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40"/>
        </w:tabs>
        <w:spacing w:line="360" w:lineRule="auto"/>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云南省地震局地震专业设备采购1标段（三次）</w:t>
      </w:r>
    </w:p>
    <w:p>
      <w:pPr>
        <w:pStyle w:val="24"/>
        <w:jc w:val="center"/>
        <w:rPr>
          <w:rFonts w:hint="eastAsia" w:ascii="仿宋" w:hAnsi="仿宋" w:eastAsia="仿宋" w:cs="仿宋"/>
          <w:b/>
          <w:color w:val="auto"/>
          <w:sz w:val="56"/>
          <w:szCs w:val="56"/>
          <w:highlight w:val="none"/>
          <w:lang w:val="en-US" w:eastAsia="zh-CN"/>
        </w:rPr>
      </w:pPr>
    </w:p>
    <w:p>
      <w:pPr>
        <w:bidi w:val="0"/>
        <w:rPr>
          <w:rFonts w:hint="eastAsia"/>
        </w:rPr>
      </w:pPr>
    </w:p>
    <w:p>
      <w:pPr>
        <w:bidi w:val="0"/>
        <w:rPr>
          <w:rFonts w:hint="eastAsia" w:ascii="仿宋" w:hAnsi="仿宋" w:eastAsia="仿宋" w:cs="仿宋"/>
          <w:color w:val="auto"/>
          <w:highlight w:val="none"/>
        </w:rPr>
      </w:pPr>
    </w:p>
    <w:p>
      <w:pPr>
        <w:pStyle w:val="2"/>
        <w:jc w:val="center"/>
        <w:rPr>
          <w:rFonts w:hint="eastAsia" w:ascii="仿宋" w:hAnsi="仿宋" w:eastAsia="仿宋" w:cs="仿宋"/>
          <w:color w:val="auto"/>
          <w:sz w:val="44"/>
          <w:szCs w:val="44"/>
          <w:highlight w:val="none"/>
        </w:rPr>
      </w:pPr>
    </w:p>
    <w:p>
      <w:pPr>
        <w:pStyle w:val="2"/>
        <w:jc w:val="center"/>
        <w:rPr>
          <w:rFonts w:hint="eastAsia" w:ascii="仿宋" w:hAnsi="仿宋" w:eastAsia="仿宋" w:cs="仿宋"/>
          <w:color w:val="auto"/>
          <w:sz w:val="44"/>
          <w:szCs w:val="44"/>
          <w:highlight w:val="none"/>
        </w:rPr>
      </w:pPr>
    </w:p>
    <w:p>
      <w:pPr>
        <w:jc w:val="center"/>
        <w:rPr>
          <w:rFonts w:hint="eastAsia" w:ascii="仿宋" w:hAnsi="仿宋" w:eastAsia="仿宋" w:cs="仿宋"/>
          <w:color w:val="auto"/>
          <w:spacing w:val="120"/>
          <w:sz w:val="96"/>
          <w:szCs w:val="96"/>
          <w:highlight w:val="none"/>
        </w:rPr>
      </w:pPr>
      <w:r>
        <w:rPr>
          <w:rFonts w:hint="eastAsia" w:ascii="仿宋" w:hAnsi="仿宋" w:eastAsia="仿宋" w:cs="仿宋"/>
          <w:color w:val="auto"/>
          <w:sz w:val="56"/>
          <w:szCs w:val="72"/>
          <w:highlight w:val="none"/>
          <w:lang w:val="en-US" w:eastAsia="zh-CN"/>
        </w:rPr>
        <w:t xml:space="preserve"> </w:t>
      </w:r>
      <w:r>
        <w:rPr>
          <w:rFonts w:hint="eastAsia" w:ascii="仿宋" w:hAnsi="仿宋" w:eastAsia="仿宋" w:cs="仿宋"/>
          <w:color w:val="auto"/>
          <w:spacing w:val="120"/>
          <w:sz w:val="96"/>
          <w:szCs w:val="96"/>
          <w:highlight w:val="none"/>
        </w:rPr>
        <w:t>招标文件</w:t>
      </w:r>
    </w:p>
    <w:p>
      <w:pPr>
        <w:jc w:val="center"/>
        <w:rPr>
          <w:rFonts w:hint="eastAsia" w:ascii="仿宋" w:hAnsi="仿宋" w:eastAsia="仿宋" w:cs="仿宋"/>
          <w:color w:val="auto"/>
          <w:sz w:val="22"/>
          <w:highlight w:val="none"/>
        </w:rPr>
      </w:pPr>
    </w:p>
    <w:p>
      <w:pPr>
        <w:jc w:val="center"/>
        <w:rPr>
          <w:rFonts w:hint="eastAsia" w:ascii="仿宋" w:hAnsi="仿宋" w:eastAsia="仿宋" w:cs="仿宋"/>
          <w:color w:val="auto"/>
          <w:spacing w:val="20"/>
          <w:sz w:val="28"/>
          <w:szCs w:val="28"/>
          <w:highlight w:val="none"/>
        </w:rPr>
      </w:pPr>
    </w:p>
    <w:p>
      <w:pPr>
        <w:jc w:val="center"/>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项目编号：</w:t>
      </w:r>
      <w:r>
        <w:rPr>
          <w:rFonts w:hint="eastAsia" w:ascii="仿宋" w:hAnsi="仿宋" w:eastAsia="仿宋" w:cs="仿宋"/>
          <w:color w:val="auto"/>
          <w:spacing w:val="20"/>
          <w:sz w:val="28"/>
          <w:szCs w:val="28"/>
          <w:highlight w:val="none"/>
          <w:lang w:eastAsia="zh-CN"/>
        </w:rPr>
        <w:t>YNXYZB（DZJ）20221101</w:t>
      </w:r>
      <w:r>
        <w:rPr>
          <w:rFonts w:hint="eastAsia" w:ascii="仿宋" w:hAnsi="仿宋" w:eastAsia="仿宋" w:cs="仿宋"/>
          <w:color w:val="auto"/>
          <w:spacing w:val="20"/>
          <w:sz w:val="28"/>
          <w:szCs w:val="28"/>
          <w:highlight w:val="none"/>
        </w:rPr>
        <w:t xml:space="preserve"> </w:t>
      </w:r>
    </w:p>
    <w:p>
      <w:pPr>
        <w:spacing w:line="480" w:lineRule="auto"/>
        <w:jc w:val="center"/>
        <w:rPr>
          <w:rFonts w:hint="eastAsia" w:ascii="仿宋" w:hAnsi="仿宋" w:eastAsia="仿宋" w:cs="仿宋"/>
          <w:color w:val="auto"/>
          <w:sz w:val="28"/>
          <w:szCs w:val="28"/>
          <w:highlight w:val="none"/>
        </w:rPr>
      </w:pPr>
    </w:p>
    <w:p>
      <w:pPr>
        <w:spacing w:line="480" w:lineRule="auto"/>
        <w:jc w:val="center"/>
        <w:rPr>
          <w:rFonts w:hint="eastAsia" w:ascii="仿宋" w:hAnsi="仿宋" w:eastAsia="仿宋" w:cs="仿宋"/>
          <w:color w:val="auto"/>
          <w:sz w:val="22"/>
          <w:highlight w:val="none"/>
        </w:rPr>
      </w:pPr>
    </w:p>
    <w:p>
      <w:pPr>
        <w:spacing w:line="480" w:lineRule="auto"/>
        <w:jc w:val="center"/>
        <w:rPr>
          <w:rFonts w:hint="eastAsia" w:ascii="仿宋" w:hAnsi="仿宋" w:eastAsia="仿宋" w:cs="仿宋"/>
          <w:color w:val="auto"/>
          <w:sz w:val="28"/>
          <w:szCs w:val="28"/>
          <w:highlight w:val="none"/>
        </w:rPr>
      </w:pPr>
    </w:p>
    <w:p>
      <w:pPr>
        <w:spacing w:line="480" w:lineRule="auto"/>
        <w:jc w:val="center"/>
        <w:rPr>
          <w:rFonts w:hint="eastAsia" w:ascii="仿宋" w:hAnsi="仿宋" w:eastAsia="仿宋" w:cs="仿宋"/>
          <w:color w:val="auto"/>
          <w:sz w:val="24"/>
          <w:szCs w:val="24"/>
          <w:highlight w:val="none"/>
        </w:rPr>
      </w:pPr>
    </w:p>
    <w:p>
      <w:pPr>
        <w:spacing w:line="600" w:lineRule="auto"/>
        <w:ind w:firstLine="1960" w:firstLineChars="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采</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购</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28"/>
          <w:szCs w:val="28"/>
          <w:highlight w:val="none"/>
          <w:u w:val="single"/>
          <w:lang w:eastAsia="zh-CN"/>
        </w:rPr>
        <w:t>云南省地震局</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28"/>
          <w:szCs w:val="28"/>
          <w:highlight w:val="none"/>
          <w:u w:val="single"/>
        </w:rPr>
        <w:t xml:space="preserve">                           </w:t>
      </w:r>
    </w:p>
    <w:p>
      <w:pPr>
        <w:spacing w:line="600" w:lineRule="auto"/>
        <w:ind w:firstLine="1960" w:firstLineChars="700"/>
        <w:rPr>
          <w:rFonts w:hint="eastAsia" w:ascii="仿宋" w:hAnsi="仿宋" w:eastAsia="仿宋" w:cs="仿宋"/>
          <w:color w:val="auto"/>
          <w:sz w:val="32"/>
          <w:szCs w:val="32"/>
          <w:highlight w:val="none"/>
          <w:u w:val="single"/>
        </w:rPr>
      </w:pPr>
      <w:r>
        <w:rPr>
          <w:rFonts w:hint="eastAsia" w:ascii="仿宋" w:hAnsi="仿宋" w:eastAsia="仿宋" w:cs="仿宋"/>
          <w:color w:val="auto"/>
          <w:sz w:val="28"/>
          <w:szCs w:val="28"/>
          <w:highlight w:val="none"/>
        </w:rPr>
        <w:t>代理机构</w:t>
      </w:r>
      <w:r>
        <w:rPr>
          <w:rFonts w:hint="eastAsia" w:ascii="仿宋" w:hAnsi="仿宋" w:eastAsia="仿宋" w:cs="仿宋"/>
          <w:color w:val="auto"/>
          <w:sz w:val="32"/>
          <w:szCs w:val="32"/>
          <w:highlight w:val="none"/>
        </w:rPr>
        <w:t>：</w:t>
      </w:r>
      <w:r>
        <w:rPr>
          <w:rFonts w:hint="eastAsia" w:ascii="仿宋" w:hAnsi="仿宋" w:eastAsia="仿宋" w:cs="仿宋"/>
          <w:color w:val="auto"/>
          <w:sz w:val="28"/>
          <w:szCs w:val="28"/>
          <w:highlight w:val="none"/>
          <w:u w:val="single"/>
          <w:lang w:eastAsia="zh-CN"/>
        </w:rPr>
        <w:t>云南兴语招标有限公司</w:t>
      </w:r>
      <w:r>
        <w:rPr>
          <w:rFonts w:hint="eastAsia" w:ascii="仿宋" w:hAnsi="仿宋" w:eastAsia="仿宋" w:cs="仿宋"/>
          <w:color w:val="auto"/>
          <w:sz w:val="28"/>
          <w:szCs w:val="28"/>
          <w:highlight w:val="none"/>
          <w:u w:val="single"/>
        </w:rPr>
        <w:t>（盖章）</w:t>
      </w:r>
    </w:p>
    <w:p>
      <w:pPr>
        <w:spacing w:line="60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二〇二二年</w:t>
      </w:r>
      <w:r>
        <w:rPr>
          <w:rFonts w:hint="eastAsia" w:ascii="仿宋" w:hAnsi="仿宋" w:eastAsia="仿宋" w:cs="仿宋"/>
          <w:color w:val="auto"/>
          <w:sz w:val="32"/>
          <w:szCs w:val="32"/>
          <w:highlight w:val="none"/>
          <w:lang w:val="en-US" w:eastAsia="zh-CN"/>
        </w:rPr>
        <w:t>十二</w:t>
      </w:r>
      <w:r>
        <w:rPr>
          <w:rFonts w:hint="eastAsia" w:ascii="仿宋" w:hAnsi="仿宋" w:eastAsia="仿宋" w:cs="仿宋"/>
          <w:color w:val="auto"/>
          <w:sz w:val="32"/>
          <w:szCs w:val="32"/>
          <w:highlight w:val="none"/>
        </w:rPr>
        <w:t>月</w:t>
      </w:r>
    </w:p>
    <w:p>
      <w:pPr>
        <w:rPr>
          <w:rFonts w:hint="eastAsia"/>
          <w:color w:val="auto"/>
          <w:highlight w:val="none"/>
        </w:rPr>
      </w:pPr>
      <w:r>
        <w:rPr>
          <w:rFonts w:hint="eastAsia"/>
          <w:color w:val="auto"/>
          <w:highlight w:val="none"/>
        </w:rPr>
        <w:br w:type="page"/>
      </w:r>
    </w:p>
    <w:p>
      <w:pPr>
        <w:spacing w:line="360" w:lineRule="auto"/>
        <w:jc w:val="center"/>
        <w:rPr>
          <w:rFonts w:hint="eastAsia" w:ascii="仿宋" w:hAnsi="仿宋" w:eastAsia="仿宋" w:cs="仿宋"/>
          <w:b/>
          <w:color w:val="auto"/>
          <w:sz w:val="44"/>
          <w:szCs w:val="44"/>
          <w:highlight w:val="none"/>
        </w:rPr>
      </w:pPr>
      <w:bookmarkStart w:id="0" w:name="_Toc462844350"/>
      <w:r>
        <w:rPr>
          <w:rFonts w:hint="eastAsia" w:ascii="仿宋" w:hAnsi="仿宋" w:eastAsia="仿宋" w:cs="仿宋"/>
          <w:b/>
          <w:color w:val="auto"/>
          <w:sz w:val="44"/>
          <w:szCs w:val="44"/>
          <w:highlight w:val="none"/>
          <w:lang w:val="en-US" w:eastAsia="zh-CN"/>
        </w:rPr>
        <w:t>温馨</w:t>
      </w:r>
      <w:r>
        <w:rPr>
          <w:rFonts w:hint="eastAsia" w:ascii="仿宋" w:hAnsi="仿宋" w:eastAsia="仿宋" w:cs="仿宋"/>
          <w:b/>
          <w:color w:val="auto"/>
          <w:sz w:val="44"/>
          <w:szCs w:val="44"/>
          <w:highlight w:val="none"/>
        </w:rPr>
        <w:t>提示</w:t>
      </w:r>
      <w:bookmarkEnd w:id="0"/>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各投标人：</w:t>
      </w:r>
    </w:p>
    <w:p>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为遵循招投标的有关规定，在您递交某一个标段的投标文件时，请按下列要求携带相关证件原件由工作人员登记（投标文件中要求的证件原件以下述为准，证件原件经评审委员会审查结束后退还投标人）：</w:t>
      </w:r>
    </w:p>
    <w:p>
      <w:pPr>
        <w:numPr>
          <w:ilvl w:val="0"/>
          <w:numId w:val="5"/>
        </w:numPr>
        <w:spacing w:line="360" w:lineRule="auto"/>
        <w:ind w:firstLine="57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营业执照副本复印件加盖公章</w:t>
      </w:r>
    </w:p>
    <w:p>
      <w:pPr>
        <w:numPr>
          <w:ilvl w:val="0"/>
          <w:numId w:val="5"/>
        </w:numPr>
        <w:spacing w:line="360" w:lineRule="auto"/>
        <w:ind w:firstLine="57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法定代表人身份证明书和法定代表人授权委托书（法人出席的除外）；</w:t>
      </w:r>
    </w:p>
    <w:p>
      <w:pPr>
        <w:spacing w:line="360" w:lineRule="auto"/>
        <w:ind w:firstLine="57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、委托代理人身份证（原件，委托代理人投标时提供）</w:t>
      </w:r>
      <w:r>
        <w:rPr>
          <w:rFonts w:hint="eastAsia" w:ascii="仿宋" w:hAnsi="仿宋" w:eastAsia="仿宋" w:cs="仿宋"/>
          <w:b/>
          <w:color w:val="auto"/>
          <w:sz w:val="28"/>
          <w:szCs w:val="28"/>
          <w:highlight w:val="none"/>
          <w:lang w:val="en-US" w:eastAsia="zh-CN"/>
        </w:rPr>
        <w:t>/</w:t>
      </w:r>
      <w:r>
        <w:rPr>
          <w:rFonts w:hint="eastAsia" w:ascii="仿宋" w:hAnsi="仿宋" w:eastAsia="仿宋" w:cs="仿宋"/>
          <w:b/>
          <w:color w:val="auto"/>
          <w:sz w:val="28"/>
          <w:szCs w:val="28"/>
          <w:highlight w:val="none"/>
        </w:rPr>
        <w:t>法定代表人身份证（原件，法定代表人投标时提供）；</w:t>
      </w:r>
    </w:p>
    <w:p>
      <w:pPr>
        <w:spacing w:line="360" w:lineRule="auto"/>
        <w:ind w:firstLine="57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、投标保证金缴纳凭证。</w:t>
      </w:r>
    </w:p>
    <w:p>
      <w:pPr>
        <w:spacing w:line="360" w:lineRule="auto"/>
        <w:ind w:firstLine="570"/>
        <w:rPr>
          <w:rFonts w:hint="eastAsia" w:ascii="仿宋" w:hAnsi="仿宋" w:eastAsia="仿宋" w:cs="仿宋"/>
          <w:b/>
          <w:color w:val="auto"/>
          <w:sz w:val="28"/>
          <w:szCs w:val="28"/>
          <w:highlight w:val="none"/>
        </w:rPr>
      </w:pPr>
    </w:p>
    <w:p>
      <w:pPr>
        <w:spacing w:line="360" w:lineRule="auto"/>
        <w:ind w:firstLine="57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注：上述“法定代表人的身份证明书”及“法定代表人授权委托书”两项原件需一式两份，一份装订在投标文件中，一份在审查原件现场提交。</w:t>
      </w:r>
    </w:p>
    <w:p>
      <w:pPr>
        <w:pStyle w:val="2"/>
        <w:rPr>
          <w:rFonts w:hint="eastAsia"/>
          <w:color w:val="auto"/>
          <w:highlight w:val="none"/>
        </w:rPr>
        <w:sectPr>
          <w:footerReference r:id="rId3" w:type="default"/>
          <w:footerReference r:id="rId4" w:type="even"/>
          <w:pgSz w:w="11907" w:h="16840"/>
          <w:pgMar w:top="1440" w:right="1080" w:bottom="1440" w:left="1080" w:header="992" w:footer="850" w:gutter="0"/>
          <w:pgBorders>
            <w:top w:val="none" w:sz="0" w:space="0"/>
            <w:left w:val="none" w:sz="0" w:space="0"/>
            <w:bottom w:val="none" w:sz="0" w:space="0"/>
            <w:right w:val="none" w:sz="0" w:space="0"/>
          </w:pgBorders>
          <w:pgNumType w:start="0"/>
          <w:cols w:space="720" w:num="1"/>
          <w:titlePg/>
          <w:docGrid w:linePitch="312" w:charSpace="0"/>
        </w:sectPr>
      </w:pPr>
    </w:p>
    <w:p>
      <w:pPr>
        <w:pStyle w:val="3"/>
        <w:spacing w:before="0" w:after="0" w:line="360" w:lineRule="auto"/>
        <w:rPr>
          <w:rFonts w:hint="eastAsia" w:ascii="仿宋" w:hAnsi="仿宋" w:eastAsia="仿宋" w:cs="仿宋"/>
          <w:b w:val="0"/>
          <w:color w:val="auto"/>
          <w:sz w:val="40"/>
          <w:szCs w:val="40"/>
          <w:highlight w:val="none"/>
        </w:rPr>
      </w:pPr>
      <w:bookmarkStart w:id="1" w:name="_Toc448305487"/>
      <w:bookmarkStart w:id="2" w:name="_Toc18023"/>
      <w:r>
        <w:rPr>
          <w:rFonts w:hint="eastAsia" w:ascii="仿宋" w:hAnsi="仿宋" w:eastAsia="仿宋" w:cs="仿宋"/>
          <w:color w:val="auto"/>
          <w:spacing w:val="0"/>
          <w:sz w:val="40"/>
          <w:szCs w:val="40"/>
          <w:highlight w:val="none"/>
        </w:rPr>
        <w:t>目  录</w:t>
      </w:r>
      <w:bookmarkEnd w:id="1"/>
      <w:bookmarkEnd w:id="2"/>
    </w:p>
    <w:p>
      <w:pPr>
        <w:pStyle w:val="19"/>
        <w:tabs>
          <w:tab w:val="right" w:leader="dot" w:pos="9746"/>
        </w:tabs>
        <w:spacing w:line="360" w:lineRule="auto"/>
        <w:rPr>
          <w:color w:val="auto"/>
          <w:sz w:val="28"/>
          <w:szCs w:val="36"/>
          <w:highlight w:val="none"/>
        </w:rPr>
      </w:pPr>
      <w:r>
        <w:rPr>
          <w:rFonts w:hint="eastAsia" w:ascii="仿宋" w:hAnsi="仿宋" w:eastAsia="仿宋" w:cs="仿宋"/>
          <w:bCs w:val="0"/>
          <w:color w:val="auto"/>
          <w:sz w:val="56"/>
          <w:szCs w:val="56"/>
          <w:highlight w:val="none"/>
        </w:rPr>
        <w:fldChar w:fldCharType="begin"/>
      </w:r>
      <w:r>
        <w:rPr>
          <w:rFonts w:hint="eastAsia" w:ascii="仿宋" w:hAnsi="仿宋" w:eastAsia="仿宋" w:cs="仿宋"/>
          <w:bCs w:val="0"/>
          <w:color w:val="auto"/>
          <w:sz w:val="56"/>
          <w:szCs w:val="56"/>
          <w:highlight w:val="none"/>
        </w:rPr>
        <w:instrText xml:space="preserve"> TOC \o "1-1" \h \z \u </w:instrText>
      </w:r>
      <w:r>
        <w:rPr>
          <w:rFonts w:hint="eastAsia" w:ascii="仿宋" w:hAnsi="仿宋" w:eastAsia="仿宋" w:cs="仿宋"/>
          <w:bCs w:val="0"/>
          <w:color w:val="auto"/>
          <w:sz w:val="56"/>
          <w:szCs w:val="56"/>
          <w:highlight w:val="none"/>
        </w:rPr>
        <w:fldChar w:fldCharType="separate"/>
      </w:r>
      <w:r>
        <w:rPr>
          <w:rFonts w:hint="eastAsia" w:ascii="仿宋" w:hAnsi="仿宋" w:eastAsia="仿宋" w:cs="仿宋"/>
          <w:bCs w:val="0"/>
          <w:color w:val="auto"/>
          <w:sz w:val="28"/>
          <w:szCs w:val="56"/>
          <w:highlight w:val="none"/>
        </w:rPr>
        <w:fldChar w:fldCharType="begin"/>
      </w:r>
      <w:r>
        <w:rPr>
          <w:rFonts w:hint="eastAsia" w:ascii="仿宋" w:hAnsi="仿宋" w:eastAsia="仿宋" w:cs="仿宋"/>
          <w:bCs w:val="0"/>
          <w:color w:val="auto"/>
          <w:sz w:val="28"/>
          <w:szCs w:val="56"/>
          <w:highlight w:val="none"/>
        </w:rPr>
        <w:instrText xml:space="preserve"> HYPERLINK \l _Toc18023 </w:instrText>
      </w:r>
      <w:r>
        <w:rPr>
          <w:rFonts w:hint="eastAsia" w:ascii="仿宋" w:hAnsi="仿宋" w:eastAsia="仿宋" w:cs="仿宋"/>
          <w:bCs w:val="0"/>
          <w:color w:val="auto"/>
          <w:sz w:val="28"/>
          <w:szCs w:val="56"/>
          <w:highlight w:val="none"/>
        </w:rPr>
        <w:fldChar w:fldCharType="separate"/>
      </w:r>
      <w:r>
        <w:rPr>
          <w:rFonts w:hint="eastAsia" w:ascii="仿宋" w:hAnsi="仿宋" w:eastAsia="仿宋" w:cs="仿宋"/>
          <w:color w:val="auto"/>
          <w:spacing w:val="0"/>
          <w:sz w:val="28"/>
          <w:szCs w:val="56"/>
          <w:highlight w:val="none"/>
        </w:rPr>
        <w:t>目  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_Toc18023 \h </w:instrText>
      </w:r>
      <w:r>
        <w:rPr>
          <w:color w:val="auto"/>
          <w:sz w:val="28"/>
          <w:szCs w:val="36"/>
          <w:highlight w:val="none"/>
        </w:rPr>
        <w:fldChar w:fldCharType="separate"/>
      </w:r>
      <w:r>
        <w:rPr>
          <w:color w:val="auto"/>
          <w:sz w:val="28"/>
          <w:szCs w:val="36"/>
          <w:highlight w:val="none"/>
        </w:rPr>
        <w:t>2</w:t>
      </w:r>
      <w:r>
        <w:rPr>
          <w:color w:val="auto"/>
          <w:sz w:val="28"/>
          <w:szCs w:val="36"/>
          <w:highlight w:val="none"/>
        </w:rPr>
        <w:fldChar w:fldCharType="end"/>
      </w:r>
      <w:r>
        <w:rPr>
          <w:rFonts w:hint="eastAsia" w:ascii="仿宋" w:hAnsi="仿宋" w:eastAsia="仿宋" w:cs="仿宋"/>
          <w:bCs w:val="0"/>
          <w:color w:val="auto"/>
          <w:sz w:val="28"/>
          <w:szCs w:val="56"/>
          <w:highlight w:val="none"/>
        </w:rPr>
        <w:fldChar w:fldCharType="end"/>
      </w:r>
    </w:p>
    <w:p>
      <w:pPr>
        <w:pStyle w:val="19"/>
        <w:tabs>
          <w:tab w:val="right" w:leader="dot" w:pos="9746"/>
        </w:tabs>
        <w:spacing w:line="360" w:lineRule="auto"/>
        <w:rPr>
          <w:color w:val="auto"/>
          <w:sz w:val="28"/>
          <w:szCs w:val="36"/>
          <w:highlight w:val="none"/>
        </w:rPr>
      </w:pPr>
      <w:r>
        <w:rPr>
          <w:rFonts w:hint="eastAsia" w:ascii="仿宋" w:hAnsi="仿宋" w:eastAsia="仿宋" w:cs="仿宋"/>
          <w:color w:val="auto"/>
          <w:sz w:val="28"/>
          <w:szCs w:val="56"/>
          <w:highlight w:val="none"/>
        </w:rPr>
        <w:fldChar w:fldCharType="begin"/>
      </w:r>
      <w:r>
        <w:rPr>
          <w:rFonts w:hint="eastAsia" w:ascii="仿宋" w:hAnsi="仿宋" w:eastAsia="仿宋" w:cs="仿宋"/>
          <w:color w:val="auto"/>
          <w:sz w:val="28"/>
          <w:szCs w:val="56"/>
          <w:highlight w:val="none"/>
        </w:rPr>
        <w:instrText xml:space="preserve"> HYPERLINK \l _Toc26473 </w:instrText>
      </w:r>
      <w:r>
        <w:rPr>
          <w:rFonts w:hint="eastAsia" w:ascii="仿宋" w:hAnsi="仿宋" w:eastAsia="仿宋" w:cs="仿宋"/>
          <w:color w:val="auto"/>
          <w:sz w:val="28"/>
          <w:szCs w:val="56"/>
          <w:highlight w:val="none"/>
        </w:rPr>
        <w:fldChar w:fldCharType="separate"/>
      </w:r>
      <w:r>
        <w:rPr>
          <w:rFonts w:hint="eastAsia" w:ascii="仿宋" w:hAnsi="仿宋" w:eastAsia="仿宋" w:cs="仿宋"/>
          <w:color w:val="auto"/>
          <w:sz w:val="28"/>
          <w:szCs w:val="36"/>
          <w:highlight w:val="none"/>
        </w:rPr>
        <w:t>第一章</w:t>
      </w:r>
      <w:r>
        <w:rPr>
          <w:rFonts w:hint="eastAsia" w:ascii="仿宋" w:hAnsi="仿宋" w:eastAsia="仿宋" w:cs="仿宋"/>
          <w:color w:val="auto"/>
          <w:sz w:val="28"/>
          <w:szCs w:val="36"/>
          <w:highlight w:val="none"/>
          <w:lang w:val="en-US" w:eastAsia="zh-CN"/>
        </w:rPr>
        <w:t xml:space="preserve">  </w:t>
      </w:r>
      <w:r>
        <w:rPr>
          <w:rFonts w:hint="eastAsia" w:ascii="仿宋" w:hAnsi="仿宋" w:eastAsia="仿宋" w:cs="仿宋"/>
          <w:color w:val="auto"/>
          <w:sz w:val="28"/>
          <w:szCs w:val="36"/>
          <w:highlight w:val="none"/>
        </w:rPr>
        <w:t>招标公告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_Toc26473 \h </w:instrText>
      </w:r>
      <w:r>
        <w:rPr>
          <w:color w:val="auto"/>
          <w:sz w:val="28"/>
          <w:szCs w:val="36"/>
          <w:highlight w:val="none"/>
        </w:rPr>
        <w:fldChar w:fldCharType="separate"/>
      </w:r>
      <w:r>
        <w:rPr>
          <w:color w:val="auto"/>
          <w:sz w:val="28"/>
          <w:szCs w:val="36"/>
          <w:highlight w:val="none"/>
        </w:rPr>
        <w:t>3</w:t>
      </w:r>
      <w:r>
        <w:rPr>
          <w:color w:val="auto"/>
          <w:sz w:val="28"/>
          <w:szCs w:val="36"/>
          <w:highlight w:val="none"/>
        </w:rPr>
        <w:fldChar w:fldCharType="end"/>
      </w:r>
      <w:r>
        <w:rPr>
          <w:rFonts w:hint="eastAsia" w:ascii="仿宋" w:hAnsi="仿宋" w:eastAsia="仿宋" w:cs="仿宋"/>
          <w:color w:val="auto"/>
          <w:sz w:val="28"/>
          <w:szCs w:val="56"/>
          <w:highlight w:val="none"/>
        </w:rPr>
        <w:fldChar w:fldCharType="end"/>
      </w:r>
    </w:p>
    <w:p>
      <w:pPr>
        <w:pStyle w:val="19"/>
        <w:tabs>
          <w:tab w:val="right" w:leader="dot" w:pos="9746"/>
        </w:tabs>
        <w:spacing w:line="360" w:lineRule="auto"/>
        <w:rPr>
          <w:color w:val="auto"/>
          <w:sz w:val="28"/>
          <w:szCs w:val="36"/>
          <w:highlight w:val="none"/>
        </w:rPr>
      </w:pPr>
      <w:r>
        <w:rPr>
          <w:rFonts w:hint="eastAsia" w:ascii="仿宋" w:hAnsi="仿宋" w:eastAsia="仿宋" w:cs="仿宋"/>
          <w:color w:val="auto"/>
          <w:sz w:val="28"/>
          <w:szCs w:val="56"/>
          <w:highlight w:val="none"/>
        </w:rPr>
        <w:fldChar w:fldCharType="begin"/>
      </w:r>
      <w:r>
        <w:rPr>
          <w:rFonts w:hint="eastAsia" w:ascii="仿宋" w:hAnsi="仿宋" w:eastAsia="仿宋" w:cs="仿宋"/>
          <w:color w:val="auto"/>
          <w:sz w:val="28"/>
          <w:szCs w:val="56"/>
          <w:highlight w:val="none"/>
        </w:rPr>
        <w:instrText xml:space="preserve"> HYPERLINK \l _Toc15093 </w:instrText>
      </w:r>
      <w:r>
        <w:rPr>
          <w:rFonts w:hint="eastAsia" w:ascii="仿宋" w:hAnsi="仿宋" w:eastAsia="仿宋" w:cs="仿宋"/>
          <w:color w:val="auto"/>
          <w:sz w:val="28"/>
          <w:szCs w:val="56"/>
          <w:highlight w:val="none"/>
        </w:rPr>
        <w:fldChar w:fldCharType="separate"/>
      </w:r>
      <w:r>
        <w:rPr>
          <w:rFonts w:hint="eastAsia" w:ascii="仿宋" w:hAnsi="仿宋" w:eastAsia="仿宋" w:cs="仿宋"/>
          <w:color w:val="auto"/>
          <w:spacing w:val="0"/>
          <w:sz w:val="28"/>
          <w:szCs w:val="56"/>
          <w:highlight w:val="none"/>
        </w:rPr>
        <w:t>第二章 投标人须知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_Toc15093 \h </w:instrText>
      </w:r>
      <w:r>
        <w:rPr>
          <w:color w:val="auto"/>
          <w:sz w:val="28"/>
          <w:szCs w:val="36"/>
          <w:highlight w:val="none"/>
        </w:rPr>
        <w:fldChar w:fldCharType="separate"/>
      </w:r>
      <w:r>
        <w:rPr>
          <w:color w:val="auto"/>
          <w:sz w:val="28"/>
          <w:szCs w:val="36"/>
          <w:highlight w:val="none"/>
        </w:rPr>
        <w:t>8</w:t>
      </w:r>
      <w:r>
        <w:rPr>
          <w:color w:val="auto"/>
          <w:sz w:val="28"/>
          <w:szCs w:val="36"/>
          <w:highlight w:val="none"/>
        </w:rPr>
        <w:fldChar w:fldCharType="end"/>
      </w:r>
      <w:r>
        <w:rPr>
          <w:rFonts w:hint="eastAsia" w:ascii="仿宋" w:hAnsi="仿宋" w:eastAsia="仿宋" w:cs="仿宋"/>
          <w:color w:val="auto"/>
          <w:sz w:val="28"/>
          <w:szCs w:val="56"/>
          <w:highlight w:val="none"/>
        </w:rPr>
        <w:fldChar w:fldCharType="end"/>
      </w:r>
    </w:p>
    <w:p>
      <w:pPr>
        <w:pStyle w:val="19"/>
        <w:tabs>
          <w:tab w:val="right" w:leader="dot" w:pos="9746"/>
        </w:tabs>
        <w:spacing w:line="360" w:lineRule="auto"/>
        <w:rPr>
          <w:color w:val="auto"/>
          <w:sz w:val="28"/>
          <w:szCs w:val="36"/>
          <w:highlight w:val="none"/>
        </w:rPr>
      </w:pPr>
      <w:r>
        <w:rPr>
          <w:rFonts w:hint="eastAsia" w:ascii="仿宋" w:hAnsi="仿宋" w:eastAsia="仿宋" w:cs="仿宋"/>
          <w:color w:val="auto"/>
          <w:sz w:val="28"/>
          <w:szCs w:val="56"/>
          <w:highlight w:val="none"/>
        </w:rPr>
        <w:fldChar w:fldCharType="begin"/>
      </w:r>
      <w:r>
        <w:rPr>
          <w:rFonts w:hint="eastAsia" w:ascii="仿宋" w:hAnsi="仿宋" w:eastAsia="仿宋" w:cs="仿宋"/>
          <w:color w:val="auto"/>
          <w:sz w:val="28"/>
          <w:szCs w:val="56"/>
          <w:highlight w:val="none"/>
        </w:rPr>
        <w:instrText xml:space="preserve"> HYPERLINK \l _Toc4443 </w:instrText>
      </w:r>
      <w:r>
        <w:rPr>
          <w:rFonts w:hint="eastAsia" w:ascii="仿宋" w:hAnsi="仿宋" w:eastAsia="仿宋" w:cs="仿宋"/>
          <w:color w:val="auto"/>
          <w:sz w:val="28"/>
          <w:szCs w:val="56"/>
          <w:highlight w:val="none"/>
        </w:rPr>
        <w:fldChar w:fldCharType="separate"/>
      </w:r>
      <w:r>
        <w:rPr>
          <w:rFonts w:hint="eastAsia" w:ascii="仿宋" w:hAnsi="仿宋" w:eastAsia="仿宋" w:cs="仿宋"/>
          <w:color w:val="auto"/>
          <w:spacing w:val="0"/>
          <w:sz w:val="28"/>
          <w:szCs w:val="56"/>
          <w:highlight w:val="none"/>
        </w:rPr>
        <w:t xml:space="preserve">第三章 </w:t>
      </w:r>
      <w:r>
        <w:rPr>
          <w:rFonts w:hint="eastAsia" w:ascii="仿宋" w:hAnsi="仿宋" w:eastAsia="仿宋" w:cs="仿宋"/>
          <w:color w:val="auto"/>
          <w:spacing w:val="0"/>
          <w:sz w:val="28"/>
          <w:szCs w:val="56"/>
          <w:highlight w:val="none"/>
          <w:lang w:eastAsia="zh-CN"/>
        </w:rPr>
        <w:t>采购需求及技术要求</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_Toc4443 \h </w:instrText>
      </w:r>
      <w:r>
        <w:rPr>
          <w:color w:val="auto"/>
          <w:sz w:val="28"/>
          <w:szCs w:val="36"/>
          <w:highlight w:val="none"/>
        </w:rPr>
        <w:fldChar w:fldCharType="separate"/>
      </w:r>
      <w:r>
        <w:rPr>
          <w:color w:val="auto"/>
          <w:sz w:val="28"/>
          <w:szCs w:val="36"/>
          <w:highlight w:val="none"/>
        </w:rPr>
        <w:t>18</w:t>
      </w:r>
      <w:r>
        <w:rPr>
          <w:color w:val="auto"/>
          <w:sz w:val="28"/>
          <w:szCs w:val="36"/>
          <w:highlight w:val="none"/>
        </w:rPr>
        <w:fldChar w:fldCharType="end"/>
      </w:r>
      <w:r>
        <w:rPr>
          <w:rFonts w:hint="eastAsia" w:ascii="仿宋" w:hAnsi="仿宋" w:eastAsia="仿宋" w:cs="仿宋"/>
          <w:color w:val="auto"/>
          <w:sz w:val="28"/>
          <w:szCs w:val="56"/>
          <w:highlight w:val="none"/>
        </w:rPr>
        <w:fldChar w:fldCharType="end"/>
      </w:r>
    </w:p>
    <w:p>
      <w:pPr>
        <w:pStyle w:val="19"/>
        <w:tabs>
          <w:tab w:val="right" w:leader="dot" w:pos="9746"/>
        </w:tabs>
        <w:spacing w:line="360" w:lineRule="auto"/>
        <w:rPr>
          <w:color w:val="auto"/>
          <w:sz w:val="28"/>
          <w:szCs w:val="36"/>
          <w:highlight w:val="none"/>
        </w:rPr>
      </w:pPr>
      <w:r>
        <w:rPr>
          <w:rFonts w:hint="eastAsia" w:ascii="仿宋" w:hAnsi="仿宋" w:eastAsia="仿宋" w:cs="仿宋"/>
          <w:color w:val="auto"/>
          <w:sz w:val="28"/>
          <w:szCs w:val="56"/>
          <w:highlight w:val="none"/>
        </w:rPr>
        <w:fldChar w:fldCharType="begin"/>
      </w:r>
      <w:r>
        <w:rPr>
          <w:rFonts w:hint="eastAsia" w:ascii="仿宋" w:hAnsi="仿宋" w:eastAsia="仿宋" w:cs="仿宋"/>
          <w:color w:val="auto"/>
          <w:sz w:val="28"/>
          <w:szCs w:val="56"/>
          <w:highlight w:val="none"/>
        </w:rPr>
        <w:instrText xml:space="preserve"> HYPERLINK \l _Toc13108 </w:instrText>
      </w:r>
      <w:r>
        <w:rPr>
          <w:rFonts w:hint="eastAsia" w:ascii="仿宋" w:hAnsi="仿宋" w:eastAsia="仿宋" w:cs="仿宋"/>
          <w:color w:val="auto"/>
          <w:sz w:val="28"/>
          <w:szCs w:val="56"/>
          <w:highlight w:val="none"/>
        </w:rPr>
        <w:fldChar w:fldCharType="separate"/>
      </w:r>
      <w:r>
        <w:rPr>
          <w:rFonts w:hint="eastAsia" w:ascii="仿宋" w:hAnsi="仿宋" w:eastAsia="仿宋" w:cs="仿宋"/>
          <w:color w:val="auto"/>
          <w:spacing w:val="0"/>
          <w:sz w:val="28"/>
          <w:szCs w:val="56"/>
          <w:highlight w:val="none"/>
          <w:lang w:val="en-US" w:eastAsia="zh-CN"/>
        </w:rPr>
        <w:t xml:space="preserve">第四章 </w:t>
      </w:r>
      <w:r>
        <w:rPr>
          <w:rFonts w:hint="eastAsia" w:ascii="仿宋" w:hAnsi="仿宋" w:eastAsia="仿宋" w:cs="仿宋"/>
          <w:color w:val="auto"/>
          <w:spacing w:val="0"/>
          <w:sz w:val="28"/>
          <w:szCs w:val="56"/>
          <w:highlight w:val="none"/>
        </w:rPr>
        <w:t>参考合同样式及主要条款</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_Toc13108 \h </w:instrText>
      </w:r>
      <w:r>
        <w:rPr>
          <w:color w:val="auto"/>
          <w:sz w:val="28"/>
          <w:szCs w:val="36"/>
          <w:highlight w:val="none"/>
        </w:rPr>
        <w:fldChar w:fldCharType="separate"/>
      </w:r>
      <w:r>
        <w:rPr>
          <w:color w:val="auto"/>
          <w:sz w:val="28"/>
          <w:szCs w:val="36"/>
          <w:highlight w:val="none"/>
        </w:rPr>
        <w:t>37</w:t>
      </w:r>
      <w:r>
        <w:rPr>
          <w:color w:val="auto"/>
          <w:sz w:val="28"/>
          <w:szCs w:val="36"/>
          <w:highlight w:val="none"/>
        </w:rPr>
        <w:fldChar w:fldCharType="end"/>
      </w:r>
      <w:r>
        <w:rPr>
          <w:rFonts w:hint="eastAsia" w:ascii="仿宋" w:hAnsi="仿宋" w:eastAsia="仿宋" w:cs="仿宋"/>
          <w:color w:val="auto"/>
          <w:sz w:val="28"/>
          <w:szCs w:val="56"/>
          <w:highlight w:val="none"/>
        </w:rPr>
        <w:fldChar w:fldCharType="end"/>
      </w:r>
    </w:p>
    <w:p>
      <w:pPr>
        <w:pStyle w:val="19"/>
        <w:tabs>
          <w:tab w:val="right" w:leader="dot" w:pos="9746"/>
        </w:tabs>
        <w:spacing w:line="360" w:lineRule="auto"/>
        <w:rPr>
          <w:color w:val="auto"/>
          <w:sz w:val="28"/>
          <w:szCs w:val="36"/>
          <w:highlight w:val="none"/>
        </w:rPr>
      </w:pPr>
      <w:r>
        <w:rPr>
          <w:rFonts w:hint="eastAsia" w:ascii="仿宋" w:hAnsi="仿宋" w:eastAsia="仿宋" w:cs="仿宋"/>
          <w:color w:val="auto"/>
          <w:sz w:val="28"/>
          <w:szCs w:val="56"/>
          <w:highlight w:val="none"/>
        </w:rPr>
        <w:fldChar w:fldCharType="begin"/>
      </w:r>
      <w:r>
        <w:rPr>
          <w:rFonts w:hint="eastAsia" w:ascii="仿宋" w:hAnsi="仿宋" w:eastAsia="仿宋" w:cs="仿宋"/>
          <w:color w:val="auto"/>
          <w:sz w:val="28"/>
          <w:szCs w:val="56"/>
          <w:highlight w:val="none"/>
        </w:rPr>
        <w:instrText xml:space="preserve"> HYPERLINK \l _Toc9693 </w:instrText>
      </w:r>
      <w:r>
        <w:rPr>
          <w:rFonts w:hint="eastAsia" w:ascii="仿宋" w:hAnsi="仿宋" w:eastAsia="仿宋" w:cs="仿宋"/>
          <w:color w:val="auto"/>
          <w:sz w:val="28"/>
          <w:szCs w:val="56"/>
          <w:highlight w:val="none"/>
        </w:rPr>
        <w:fldChar w:fldCharType="separate"/>
      </w:r>
      <w:r>
        <w:rPr>
          <w:rFonts w:hint="eastAsia" w:ascii="仿宋" w:hAnsi="仿宋" w:eastAsia="仿宋" w:cs="仿宋"/>
          <w:color w:val="auto"/>
          <w:spacing w:val="0"/>
          <w:sz w:val="28"/>
          <w:szCs w:val="56"/>
          <w:highlight w:val="none"/>
        </w:rPr>
        <w:t>第五章 评标办法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_Toc9693 \h </w:instrText>
      </w:r>
      <w:r>
        <w:rPr>
          <w:color w:val="auto"/>
          <w:sz w:val="28"/>
          <w:szCs w:val="36"/>
          <w:highlight w:val="none"/>
        </w:rPr>
        <w:fldChar w:fldCharType="separate"/>
      </w:r>
      <w:r>
        <w:rPr>
          <w:color w:val="auto"/>
          <w:sz w:val="28"/>
          <w:szCs w:val="36"/>
          <w:highlight w:val="none"/>
        </w:rPr>
        <w:t>53</w:t>
      </w:r>
      <w:r>
        <w:rPr>
          <w:color w:val="auto"/>
          <w:sz w:val="28"/>
          <w:szCs w:val="36"/>
          <w:highlight w:val="none"/>
        </w:rPr>
        <w:fldChar w:fldCharType="end"/>
      </w:r>
      <w:r>
        <w:rPr>
          <w:rFonts w:hint="eastAsia" w:ascii="仿宋" w:hAnsi="仿宋" w:eastAsia="仿宋" w:cs="仿宋"/>
          <w:color w:val="auto"/>
          <w:sz w:val="28"/>
          <w:szCs w:val="56"/>
          <w:highlight w:val="none"/>
        </w:rPr>
        <w:fldChar w:fldCharType="end"/>
      </w:r>
    </w:p>
    <w:p>
      <w:pPr>
        <w:pStyle w:val="19"/>
        <w:tabs>
          <w:tab w:val="right" w:leader="dot" w:pos="9746"/>
        </w:tabs>
        <w:spacing w:line="360" w:lineRule="auto"/>
        <w:rPr>
          <w:color w:val="auto"/>
          <w:sz w:val="28"/>
          <w:szCs w:val="36"/>
          <w:highlight w:val="none"/>
        </w:rPr>
      </w:pPr>
      <w:r>
        <w:rPr>
          <w:rFonts w:hint="eastAsia" w:ascii="仿宋" w:hAnsi="仿宋" w:eastAsia="仿宋" w:cs="仿宋"/>
          <w:color w:val="auto"/>
          <w:sz w:val="28"/>
          <w:szCs w:val="56"/>
          <w:highlight w:val="none"/>
        </w:rPr>
        <w:fldChar w:fldCharType="begin"/>
      </w:r>
      <w:r>
        <w:rPr>
          <w:rFonts w:hint="eastAsia" w:ascii="仿宋" w:hAnsi="仿宋" w:eastAsia="仿宋" w:cs="仿宋"/>
          <w:color w:val="auto"/>
          <w:sz w:val="28"/>
          <w:szCs w:val="56"/>
          <w:highlight w:val="none"/>
        </w:rPr>
        <w:instrText xml:space="preserve"> HYPERLINK \l _Toc22138 </w:instrText>
      </w:r>
      <w:r>
        <w:rPr>
          <w:rFonts w:hint="eastAsia" w:ascii="仿宋" w:hAnsi="仿宋" w:eastAsia="仿宋" w:cs="仿宋"/>
          <w:color w:val="auto"/>
          <w:sz w:val="28"/>
          <w:szCs w:val="56"/>
          <w:highlight w:val="none"/>
        </w:rPr>
        <w:fldChar w:fldCharType="separate"/>
      </w:r>
      <w:r>
        <w:rPr>
          <w:rFonts w:hint="eastAsia" w:ascii="仿宋" w:hAnsi="仿宋" w:eastAsia="仿宋" w:cs="仿宋"/>
          <w:color w:val="auto"/>
          <w:sz w:val="28"/>
          <w:szCs w:val="56"/>
          <w:highlight w:val="none"/>
        </w:rPr>
        <w:t>第六章 投标文件格式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_Toc22138 \h </w:instrText>
      </w:r>
      <w:r>
        <w:rPr>
          <w:color w:val="auto"/>
          <w:sz w:val="28"/>
          <w:szCs w:val="36"/>
          <w:highlight w:val="none"/>
        </w:rPr>
        <w:fldChar w:fldCharType="separate"/>
      </w:r>
      <w:r>
        <w:rPr>
          <w:color w:val="auto"/>
          <w:sz w:val="28"/>
          <w:szCs w:val="36"/>
          <w:highlight w:val="none"/>
        </w:rPr>
        <w:t>60</w:t>
      </w:r>
      <w:r>
        <w:rPr>
          <w:color w:val="auto"/>
          <w:sz w:val="28"/>
          <w:szCs w:val="36"/>
          <w:highlight w:val="none"/>
        </w:rPr>
        <w:fldChar w:fldCharType="end"/>
      </w:r>
      <w:r>
        <w:rPr>
          <w:rFonts w:hint="eastAsia" w:ascii="仿宋" w:hAnsi="仿宋" w:eastAsia="仿宋" w:cs="仿宋"/>
          <w:color w:val="auto"/>
          <w:sz w:val="28"/>
          <w:szCs w:val="56"/>
          <w:highlight w:val="none"/>
        </w:rPr>
        <w:fldChar w:fldCharType="end"/>
      </w:r>
    </w:p>
    <w:p>
      <w:pPr>
        <w:pStyle w:val="19"/>
        <w:tabs>
          <w:tab w:val="right" w:leader="dot" w:pos="9746"/>
        </w:tabs>
        <w:spacing w:line="360" w:lineRule="auto"/>
        <w:rPr>
          <w:color w:val="auto"/>
          <w:sz w:val="28"/>
          <w:szCs w:val="36"/>
          <w:highlight w:val="none"/>
        </w:rPr>
      </w:pPr>
      <w:r>
        <w:rPr>
          <w:rFonts w:hint="eastAsia" w:ascii="仿宋" w:hAnsi="仿宋" w:eastAsia="仿宋" w:cs="仿宋"/>
          <w:color w:val="auto"/>
          <w:sz w:val="28"/>
          <w:szCs w:val="56"/>
          <w:highlight w:val="none"/>
        </w:rPr>
        <w:fldChar w:fldCharType="begin"/>
      </w:r>
      <w:r>
        <w:rPr>
          <w:rFonts w:hint="eastAsia" w:ascii="仿宋" w:hAnsi="仿宋" w:eastAsia="仿宋" w:cs="仿宋"/>
          <w:color w:val="auto"/>
          <w:sz w:val="28"/>
          <w:szCs w:val="56"/>
          <w:highlight w:val="none"/>
        </w:rPr>
        <w:instrText xml:space="preserve"> HYPERLINK \l _Toc14154 </w:instrText>
      </w:r>
      <w:r>
        <w:rPr>
          <w:rFonts w:hint="eastAsia" w:ascii="仿宋" w:hAnsi="仿宋" w:eastAsia="仿宋" w:cs="仿宋"/>
          <w:color w:val="auto"/>
          <w:sz w:val="28"/>
          <w:szCs w:val="56"/>
          <w:highlight w:val="none"/>
        </w:rPr>
        <w:fldChar w:fldCharType="separate"/>
      </w:r>
      <w:r>
        <w:rPr>
          <w:rFonts w:hint="eastAsia" w:ascii="仿宋" w:hAnsi="仿宋" w:eastAsia="仿宋" w:cs="仿宋"/>
          <w:color w:val="auto"/>
          <w:sz w:val="28"/>
          <w:szCs w:val="56"/>
          <w:highlight w:val="none"/>
        </w:rPr>
        <w:t>第七章 与投标有关的其他事项说明</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_Toc14154 \h </w:instrText>
      </w:r>
      <w:r>
        <w:rPr>
          <w:color w:val="auto"/>
          <w:sz w:val="28"/>
          <w:szCs w:val="36"/>
          <w:highlight w:val="none"/>
        </w:rPr>
        <w:fldChar w:fldCharType="separate"/>
      </w:r>
      <w:r>
        <w:rPr>
          <w:color w:val="auto"/>
          <w:sz w:val="28"/>
          <w:szCs w:val="36"/>
          <w:highlight w:val="none"/>
        </w:rPr>
        <w:t>75</w:t>
      </w:r>
      <w:r>
        <w:rPr>
          <w:color w:val="auto"/>
          <w:sz w:val="28"/>
          <w:szCs w:val="36"/>
          <w:highlight w:val="none"/>
        </w:rPr>
        <w:fldChar w:fldCharType="end"/>
      </w:r>
      <w:r>
        <w:rPr>
          <w:rFonts w:hint="eastAsia" w:ascii="仿宋" w:hAnsi="仿宋" w:eastAsia="仿宋" w:cs="仿宋"/>
          <w:color w:val="auto"/>
          <w:sz w:val="28"/>
          <w:szCs w:val="56"/>
          <w:highlight w:val="none"/>
        </w:rPr>
        <w:fldChar w:fldCharType="end"/>
      </w:r>
    </w:p>
    <w:p>
      <w:pPr>
        <w:spacing w:line="360" w:lineRule="auto"/>
        <w:rPr>
          <w:rFonts w:hint="eastAsia" w:ascii="仿宋" w:hAnsi="仿宋" w:eastAsia="仿宋" w:cs="仿宋"/>
          <w:color w:val="auto"/>
          <w:sz w:val="20"/>
          <w:szCs w:val="21"/>
          <w:highlight w:val="none"/>
        </w:rPr>
      </w:pPr>
      <w:r>
        <w:rPr>
          <w:rFonts w:hint="eastAsia" w:ascii="仿宋" w:hAnsi="仿宋" w:eastAsia="仿宋" w:cs="仿宋"/>
          <w:color w:val="auto"/>
          <w:sz w:val="32"/>
          <w:szCs w:val="56"/>
          <w:highlight w:val="none"/>
        </w:rPr>
        <w:fldChar w:fldCharType="end"/>
      </w:r>
    </w:p>
    <w:p>
      <w:pPr>
        <w:rPr>
          <w:rFonts w:hint="eastAsia" w:ascii="仿宋" w:hAnsi="仿宋" w:eastAsia="仿宋" w:cs="仿宋"/>
          <w:caps/>
          <w:color w:val="auto"/>
          <w:sz w:val="22"/>
          <w:highlight w:val="none"/>
        </w:rPr>
      </w:pPr>
      <w:r>
        <w:rPr>
          <w:rFonts w:hint="eastAsia" w:ascii="仿宋" w:hAnsi="仿宋" w:eastAsia="仿宋" w:cs="仿宋"/>
          <w:caps/>
          <w:color w:val="auto"/>
          <w:sz w:val="22"/>
          <w:highlight w:val="none"/>
        </w:rPr>
        <w:br w:type="page"/>
      </w:r>
    </w:p>
    <w:p>
      <w:pPr>
        <w:bidi w:val="0"/>
        <w:rPr>
          <w:rFonts w:hint="eastAsia" w:ascii="仿宋" w:hAnsi="仿宋" w:eastAsia="仿宋" w:cs="仿宋"/>
          <w:color w:val="auto"/>
          <w:highlight w:val="none"/>
        </w:rPr>
      </w:pPr>
      <w:r>
        <w:rPr>
          <w:rFonts w:hint="eastAsia" w:ascii="仿宋" w:hAnsi="仿宋" w:eastAsia="仿宋" w:cs="仿宋"/>
          <w:color w:val="auto"/>
          <w:highlight w:val="none"/>
        </w:rPr>
        <w:tab/>
      </w:r>
      <w:bookmarkStart w:id="3" w:name="_Toc28359001"/>
      <w:bookmarkStart w:id="4" w:name="_Toc35393789"/>
    </w:p>
    <w:p>
      <w:pPr>
        <w:bidi w:val="0"/>
        <w:rPr>
          <w:rFonts w:hint="eastAsia" w:ascii="仿宋" w:hAnsi="仿宋" w:eastAsia="仿宋" w:cs="仿宋"/>
          <w:color w:val="auto"/>
          <w:highlight w:val="none"/>
        </w:rPr>
      </w:pPr>
    </w:p>
    <w:p>
      <w:pPr>
        <w:pStyle w:val="3"/>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color w:val="auto"/>
          <w:highlight w:val="none"/>
        </w:rPr>
      </w:pPr>
      <w:bookmarkStart w:id="5" w:name="_Toc26473"/>
      <w:bookmarkStart w:id="116" w:name="_GoBack"/>
      <w:bookmarkEnd w:id="116"/>
      <w:r>
        <w:rPr>
          <w:rFonts w:hint="eastAsia" w:ascii="仿宋" w:hAnsi="仿宋" w:eastAsia="仿宋" w:cs="仿宋"/>
          <w:color w:val="auto"/>
          <w:highlight w:val="none"/>
        </w:rPr>
        <w:t>第一章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招标公告</w:t>
      </w:r>
      <w:bookmarkEnd w:id="3"/>
      <w:bookmarkEnd w:id="4"/>
      <w:bookmarkEnd w:id="5"/>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i w:val="0"/>
          <w:iCs w:val="0"/>
          <w:color w:val="auto"/>
          <w:sz w:val="28"/>
          <w:szCs w:val="28"/>
          <w:highlight w:val="none"/>
          <w:u w:val="single"/>
        </w:rPr>
      </w:pP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u w:val="single"/>
          <w:lang w:eastAsia="zh-CN"/>
        </w:rPr>
        <w:t>云南省地震局地震专业设备采购1标段（三次）</w:t>
      </w:r>
      <w:r>
        <w:rPr>
          <w:rFonts w:hint="eastAsia" w:ascii="仿宋" w:hAnsi="仿宋" w:eastAsia="仿宋" w:cs="仿宋"/>
          <w:i w:val="0"/>
          <w:iCs w:val="0"/>
          <w:color w:val="auto"/>
          <w:sz w:val="28"/>
          <w:szCs w:val="28"/>
          <w:highlight w:val="none"/>
          <w:u w:val="single"/>
        </w:rPr>
        <w:t>)</w:t>
      </w:r>
      <w:r>
        <w:rPr>
          <w:rFonts w:hint="eastAsia" w:ascii="仿宋" w:hAnsi="仿宋" w:eastAsia="仿宋" w:cs="仿宋"/>
          <w:i w:val="0"/>
          <w:iCs w:val="0"/>
          <w:color w:val="auto"/>
          <w:sz w:val="28"/>
          <w:szCs w:val="28"/>
          <w:highlight w:val="none"/>
        </w:rPr>
        <w:t xml:space="preserve"> 的潜在投标人应在</w:t>
      </w:r>
      <w:r>
        <w:rPr>
          <w:rFonts w:hint="eastAsia" w:ascii="仿宋" w:hAnsi="仿宋" w:eastAsia="仿宋" w:cs="仿宋"/>
          <w:i w:val="0"/>
          <w:iCs w:val="0"/>
          <w:color w:val="auto"/>
          <w:sz w:val="28"/>
          <w:szCs w:val="28"/>
          <w:highlight w:val="none"/>
          <w:u w:val="single"/>
        </w:rPr>
        <w:t>（</w:t>
      </w:r>
      <w:r>
        <w:rPr>
          <w:rFonts w:hint="eastAsia" w:ascii="仿宋" w:hAnsi="仿宋" w:eastAsia="仿宋" w:cs="仿宋"/>
          <w:i w:val="0"/>
          <w:iCs w:val="0"/>
          <w:color w:val="auto"/>
          <w:sz w:val="28"/>
          <w:szCs w:val="28"/>
          <w:highlight w:val="none"/>
          <w:u w:val="single"/>
          <w:lang w:eastAsia="zh-CN"/>
        </w:rPr>
        <w:t>云南兴语招标有限公司</w:t>
      </w:r>
      <w:r>
        <w:rPr>
          <w:rFonts w:hint="eastAsia" w:ascii="仿宋" w:hAnsi="仿宋" w:eastAsia="仿宋" w:cs="仿宋"/>
          <w:i w:val="0"/>
          <w:iCs w:val="0"/>
          <w:color w:val="auto"/>
          <w:sz w:val="28"/>
          <w:szCs w:val="28"/>
          <w:highlight w:val="none"/>
          <w:u w:val="single"/>
        </w:rPr>
        <w:t>（</w:t>
      </w:r>
      <w:r>
        <w:rPr>
          <w:rFonts w:hint="eastAsia" w:ascii="仿宋" w:hAnsi="仿宋" w:eastAsia="仿宋" w:cs="仿宋"/>
          <w:i w:val="0"/>
          <w:iCs w:val="0"/>
          <w:color w:val="auto"/>
          <w:sz w:val="28"/>
          <w:szCs w:val="28"/>
          <w:highlight w:val="none"/>
          <w:u w:val="single"/>
          <w:lang w:eastAsia="zh-CN"/>
        </w:rPr>
        <w:t>云南省昆明市盘龙区同德昆明广场B区4栋1401</w:t>
      </w:r>
      <w:r>
        <w:rPr>
          <w:rFonts w:hint="eastAsia" w:ascii="仿宋" w:hAnsi="仿宋" w:eastAsia="仿宋" w:cs="仿宋"/>
          <w:i w:val="0"/>
          <w:iCs w:val="0"/>
          <w:color w:val="auto"/>
          <w:sz w:val="28"/>
          <w:szCs w:val="28"/>
          <w:highlight w:val="none"/>
          <w:u w:val="single"/>
        </w:rPr>
        <w:t>）</w:t>
      </w:r>
      <w:r>
        <w:rPr>
          <w:rFonts w:hint="eastAsia" w:ascii="仿宋" w:hAnsi="仿宋" w:eastAsia="仿宋" w:cs="仿宋"/>
          <w:i w:val="0"/>
          <w:iCs w:val="0"/>
          <w:color w:val="auto"/>
          <w:sz w:val="28"/>
          <w:szCs w:val="28"/>
          <w:highlight w:val="none"/>
        </w:rPr>
        <w:t>获取招标文件，并于</w:t>
      </w:r>
      <w:r>
        <w:rPr>
          <w:rFonts w:hint="eastAsia" w:ascii="仿宋" w:hAnsi="仿宋" w:eastAsia="仿宋" w:cs="仿宋"/>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u w:val="single"/>
          <w:lang w:val="en-US" w:eastAsia="zh-CN"/>
        </w:rPr>
        <w:t>2023</w:t>
      </w:r>
      <w:r>
        <w:rPr>
          <w:rFonts w:hint="eastAsia" w:ascii="仿宋" w:hAnsi="仿宋" w:eastAsia="仿宋" w:cs="仿宋"/>
          <w:bCs/>
          <w:i w:val="0"/>
          <w:iCs w:val="0"/>
          <w:color w:val="auto"/>
          <w:sz w:val="28"/>
          <w:szCs w:val="28"/>
          <w:highlight w:val="none"/>
          <w:u w:val="single"/>
        </w:rPr>
        <w:t>年</w:t>
      </w:r>
      <w:r>
        <w:rPr>
          <w:rFonts w:hint="eastAsia" w:ascii="仿宋" w:hAnsi="仿宋" w:eastAsia="仿宋" w:cs="仿宋"/>
          <w:bCs/>
          <w:i w:val="0"/>
          <w:iCs w:val="0"/>
          <w:color w:val="auto"/>
          <w:sz w:val="28"/>
          <w:szCs w:val="28"/>
          <w:highlight w:val="none"/>
          <w:u w:val="single"/>
          <w:lang w:val="en-US" w:eastAsia="zh-CN"/>
        </w:rPr>
        <w:t>1</w:t>
      </w:r>
      <w:r>
        <w:rPr>
          <w:rFonts w:hint="eastAsia" w:ascii="仿宋" w:hAnsi="仿宋" w:eastAsia="仿宋" w:cs="仿宋"/>
          <w:bCs/>
          <w:i w:val="0"/>
          <w:iCs w:val="0"/>
          <w:color w:val="auto"/>
          <w:sz w:val="28"/>
          <w:szCs w:val="28"/>
          <w:highlight w:val="none"/>
          <w:u w:val="single"/>
        </w:rPr>
        <w:t>月</w:t>
      </w:r>
      <w:r>
        <w:rPr>
          <w:rFonts w:hint="eastAsia" w:ascii="仿宋" w:hAnsi="仿宋" w:eastAsia="仿宋" w:cs="仿宋"/>
          <w:bCs/>
          <w:i w:val="0"/>
          <w:iCs w:val="0"/>
          <w:color w:val="auto"/>
          <w:sz w:val="28"/>
          <w:szCs w:val="28"/>
          <w:highlight w:val="none"/>
          <w:u w:val="single"/>
          <w:lang w:val="en-US" w:eastAsia="zh-CN"/>
        </w:rPr>
        <w:t>19</w:t>
      </w:r>
      <w:r>
        <w:rPr>
          <w:rFonts w:hint="eastAsia" w:ascii="仿宋" w:hAnsi="仿宋" w:eastAsia="仿宋" w:cs="仿宋"/>
          <w:bCs/>
          <w:i w:val="0"/>
          <w:iCs w:val="0"/>
          <w:color w:val="auto"/>
          <w:sz w:val="28"/>
          <w:szCs w:val="28"/>
          <w:highlight w:val="none"/>
          <w:u w:val="single"/>
        </w:rPr>
        <w:t>日</w:t>
      </w:r>
      <w:r>
        <w:rPr>
          <w:rFonts w:hint="eastAsia" w:ascii="仿宋" w:hAnsi="仿宋" w:eastAsia="仿宋" w:cs="仿宋"/>
          <w:bCs/>
          <w:i w:val="0"/>
          <w:iCs w:val="0"/>
          <w:color w:val="auto"/>
          <w:sz w:val="28"/>
          <w:szCs w:val="28"/>
          <w:highlight w:val="none"/>
          <w:u w:val="single"/>
          <w:lang w:val="en-US" w:eastAsia="zh-CN"/>
        </w:rPr>
        <w:t>09</w:t>
      </w:r>
      <w:r>
        <w:rPr>
          <w:rFonts w:hint="eastAsia" w:ascii="仿宋" w:hAnsi="仿宋" w:eastAsia="仿宋" w:cs="仿宋"/>
          <w:bCs/>
          <w:i w:val="0"/>
          <w:iCs w:val="0"/>
          <w:color w:val="auto"/>
          <w:sz w:val="28"/>
          <w:szCs w:val="28"/>
          <w:highlight w:val="none"/>
          <w:u w:val="single"/>
        </w:rPr>
        <w:t>点</w:t>
      </w:r>
      <w:r>
        <w:rPr>
          <w:rFonts w:hint="eastAsia" w:ascii="仿宋" w:hAnsi="仿宋" w:eastAsia="仿宋" w:cs="仿宋"/>
          <w:bCs/>
          <w:i w:val="0"/>
          <w:iCs w:val="0"/>
          <w:color w:val="auto"/>
          <w:sz w:val="28"/>
          <w:szCs w:val="28"/>
          <w:highlight w:val="none"/>
          <w:u w:val="single"/>
          <w:lang w:val="en-US" w:eastAsia="zh-CN"/>
        </w:rPr>
        <w:t>30</w:t>
      </w:r>
      <w:r>
        <w:rPr>
          <w:rFonts w:hint="eastAsia" w:ascii="仿宋" w:hAnsi="仿宋" w:eastAsia="仿宋" w:cs="仿宋"/>
          <w:bCs/>
          <w:i w:val="0"/>
          <w:iCs w:val="0"/>
          <w:color w:val="auto"/>
          <w:sz w:val="28"/>
          <w:szCs w:val="28"/>
          <w:highlight w:val="none"/>
          <w:u w:val="single"/>
        </w:rPr>
        <w:t>分</w:t>
      </w:r>
      <w:r>
        <w:rPr>
          <w:rFonts w:hint="eastAsia" w:ascii="仿宋" w:hAnsi="仿宋" w:eastAsia="仿宋" w:cs="仿宋"/>
          <w:bCs/>
          <w:i w:val="0"/>
          <w:iCs w:val="0"/>
          <w:color w:val="auto"/>
          <w:sz w:val="28"/>
          <w:szCs w:val="28"/>
          <w:highlight w:val="none"/>
          <w:u w:val="none"/>
        </w:rPr>
        <w:t>（</w:t>
      </w:r>
      <w:r>
        <w:rPr>
          <w:rFonts w:hint="eastAsia" w:ascii="仿宋" w:hAnsi="仿宋" w:eastAsia="仿宋" w:cs="仿宋"/>
          <w:bCs/>
          <w:i w:val="0"/>
          <w:iCs w:val="0"/>
          <w:color w:val="auto"/>
          <w:sz w:val="28"/>
          <w:szCs w:val="28"/>
          <w:highlight w:val="none"/>
        </w:rPr>
        <w:t>北京时间）前递交投标文件</w:t>
      </w:r>
      <w:r>
        <w:rPr>
          <w:rFonts w:hint="eastAsia" w:ascii="仿宋" w:hAnsi="仿宋" w:eastAsia="仿宋" w:cs="仿宋"/>
          <w:i w:val="0"/>
          <w:iCs w:val="0"/>
          <w:color w:val="auto"/>
          <w:sz w:val="28"/>
          <w:szCs w:val="28"/>
          <w:highlight w:val="none"/>
        </w:rPr>
        <w:t>。</w:t>
      </w:r>
    </w:p>
    <w:p>
      <w:pPr>
        <w:rPr>
          <w:rFonts w:hint="eastAsia" w:ascii="仿宋" w:hAnsi="仿宋" w:eastAsia="仿宋" w:cs="仿宋"/>
          <w:color w:val="auto"/>
          <w:sz w:val="28"/>
          <w:szCs w:val="28"/>
          <w:highlight w:val="none"/>
        </w:rPr>
      </w:pPr>
    </w:p>
    <w:p>
      <w:pPr>
        <w:pStyle w:val="4"/>
        <w:spacing w:line="360" w:lineRule="auto"/>
        <w:rPr>
          <w:rFonts w:hint="eastAsia" w:ascii="仿宋" w:hAnsi="仿宋" w:eastAsia="仿宋" w:cs="仿宋"/>
          <w:b w:val="0"/>
          <w:color w:val="auto"/>
          <w:sz w:val="28"/>
          <w:szCs w:val="28"/>
          <w:highlight w:val="none"/>
        </w:rPr>
      </w:pPr>
      <w:bookmarkStart w:id="6" w:name="_Toc35393790"/>
      <w:bookmarkStart w:id="7" w:name="_Toc28359079"/>
      <w:bookmarkStart w:id="8" w:name="_Toc28359002"/>
      <w:bookmarkStart w:id="9" w:name="_Toc35393621"/>
      <w:bookmarkStart w:id="10" w:name="_Hlk24379207"/>
      <w:r>
        <w:rPr>
          <w:rFonts w:hint="eastAsia" w:ascii="仿宋" w:hAnsi="仿宋" w:eastAsia="仿宋" w:cs="仿宋"/>
          <w:b w:val="0"/>
          <w:color w:val="auto"/>
          <w:sz w:val="28"/>
          <w:szCs w:val="28"/>
          <w:highlight w:val="none"/>
        </w:rPr>
        <w:t>一、项目基本情况</w:t>
      </w:r>
      <w:bookmarkEnd w:id="6"/>
      <w:bookmarkEnd w:id="7"/>
      <w:bookmarkEnd w:id="8"/>
      <w:bookmarkEnd w:id="9"/>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YNXYZB（DZJ）20221101</w:t>
      </w:r>
      <w:r>
        <w:rPr>
          <w:rFonts w:hint="eastAsia" w:ascii="仿宋" w:hAnsi="仿宋" w:eastAsia="仿宋" w:cs="仿宋"/>
          <w:color w:val="auto"/>
          <w:sz w:val="28"/>
          <w:szCs w:val="28"/>
          <w:highlight w:val="none"/>
        </w:rPr>
        <w:t xml:space="preserve"> </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云南省地震局地震专业设备采购1标段（三次）</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招标方式：公开招标</w:t>
      </w:r>
    </w:p>
    <w:bookmarkEnd w:id="10"/>
    <w:p>
      <w:pPr>
        <w:spacing w:line="360" w:lineRule="auto"/>
        <w:ind w:firstLine="560" w:firstLineChars="200"/>
        <w:rPr>
          <w:rFonts w:hint="eastAsia" w:ascii="仿宋" w:hAnsi="仿宋" w:eastAsia="仿宋" w:cs="仿宋"/>
          <w:b w:val="0"/>
          <w:bCs w:val="0"/>
          <w:color w:val="auto"/>
          <w:sz w:val="28"/>
          <w:szCs w:val="28"/>
          <w:highlight w:val="none"/>
          <w:lang w:val="en-US"/>
        </w:rPr>
      </w:pPr>
      <w:r>
        <w:rPr>
          <w:rFonts w:hint="eastAsia" w:ascii="仿宋" w:hAnsi="仿宋" w:eastAsia="仿宋" w:cs="仿宋"/>
          <w:b w:val="0"/>
          <w:bCs w:val="0"/>
          <w:color w:val="auto"/>
          <w:sz w:val="28"/>
          <w:szCs w:val="28"/>
          <w:highlight w:val="none"/>
        </w:rPr>
        <w:t>预算金额：</w:t>
      </w:r>
      <w:r>
        <w:rPr>
          <w:rFonts w:hint="eastAsia" w:ascii="仿宋" w:hAnsi="仿宋" w:eastAsia="仿宋" w:cs="仿宋"/>
          <w:b w:val="0"/>
          <w:bCs w:val="0"/>
          <w:color w:val="auto"/>
          <w:sz w:val="28"/>
          <w:szCs w:val="28"/>
          <w:highlight w:val="none"/>
          <w:lang w:val="en-US" w:eastAsia="zh-CN"/>
        </w:rPr>
        <w:t>382.30万元</w:t>
      </w:r>
      <w:r>
        <w:rPr>
          <w:rFonts w:hint="eastAsia" w:ascii="仿宋" w:hAnsi="仿宋" w:eastAsia="仿宋" w:cs="仿宋"/>
          <w:b w:val="0"/>
          <w:bCs w:val="0"/>
          <w:color w:val="auto"/>
          <w:sz w:val="28"/>
          <w:szCs w:val="28"/>
          <w:highlight w:val="none"/>
        </w:rPr>
        <w:t>(含税，包干价)</w:t>
      </w:r>
    </w:p>
    <w:p>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最高限价：142</w:t>
      </w:r>
      <w:r>
        <w:rPr>
          <w:rFonts w:hint="eastAsia" w:ascii="仿宋" w:hAnsi="仿宋" w:eastAsia="仿宋" w:cs="仿宋"/>
          <w:b w:val="0"/>
          <w:bCs w:val="0"/>
          <w:color w:val="auto"/>
          <w:sz w:val="28"/>
          <w:szCs w:val="28"/>
          <w:highlight w:val="none"/>
          <w:lang w:val="en-US" w:eastAsia="zh-CN"/>
        </w:rPr>
        <w:t>.00万元</w:t>
      </w:r>
      <w:r>
        <w:rPr>
          <w:rFonts w:hint="eastAsia" w:ascii="仿宋" w:hAnsi="仿宋" w:eastAsia="仿宋" w:cs="仿宋"/>
          <w:b w:val="0"/>
          <w:bCs w:val="0"/>
          <w:color w:val="auto"/>
          <w:sz w:val="28"/>
          <w:szCs w:val="28"/>
          <w:highlight w:val="none"/>
        </w:rPr>
        <w:t>(含税，包干价)</w:t>
      </w:r>
    </w:p>
    <w:p>
      <w:pPr>
        <w:spacing w:line="360" w:lineRule="auto"/>
        <w:ind w:firstLine="560" w:firstLineChars="20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标段划分：</w:t>
      </w:r>
      <w:r>
        <w:rPr>
          <w:rFonts w:hint="eastAsia" w:ascii="仿宋" w:hAnsi="仿宋" w:eastAsia="仿宋" w:cs="仿宋"/>
          <w:b w:val="0"/>
          <w:bCs w:val="0"/>
          <w:color w:val="auto"/>
          <w:sz w:val="28"/>
          <w:szCs w:val="28"/>
          <w:highlight w:val="none"/>
        </w:rPr>
        <w:t>本项目划分为5个标段，其中：</w:t>
      </w:r>
      <w:r>
        <w:rPr>
          <w:rFonts w:hint="eastAsia" w:ascii="仿宋" w:hAnsi="仿宋" w:eastAsia="仿宋" w:cs="仿宋"/>
          <w:b w:val="0"/>
          <w:bCs w:val="0"/>
          <w:color w:val="auto"/>
          <w:sz w:val="28"/>
          <w:szCs w:val="28"/>
          <w:highlight w:val="none"/>
          <w:lang w:val="en-US" w:eastAsia="zh-CN"/>
        </w:rPr>
        <w:t>本</w:t>
      </w:r>
      <w:r>
        <w:rPr>
          <w:rFonts w:hint="eastAsia" w:ascii="仿宋" w:hAnsi="仿宋" w:eastAsia="仿宋" w:cs="仿宋"/>
          <w:b w:val="0"/>
          <w:bCs w:val="0"/>
          <w:color w:val="auto"/>
          <w:sz w:val="28"/>
          <w:szCs w:val="28"/>
          <w:highlight w:val="none"/>
        </w:rPr>
        <w:t>标段预算金额为142万元(含税，包干价)</w:t>
      </w:r>
      <w:r>
        <w:rPr>
          <w:rFonts w:hint="eastAsia" w:ascii="仿宋" w:hAnsi="仿宋" w:eastAsia="仿宋" w:cs="仿宋"/>
          <w:b w:val="0"/>
          <w:bCs w:val="0"/>
          <w:color w:val="auto"/>
          <w:sz w:val="28"/>
          <w:szCs w:val="28"/>
          <w:highlight w:val="none"/>
          <w:lang w:val="en-US" w:eastAsia="zh-CN"/>
        </w:rPr>
        <w:t>。</w:t>
      </w:r>
    </w:p>
    <w:p>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采购</w:t>
      </w:r>
      <w:r>
        <w:rPr>
          <w:rFonts w:hint="eastAsia" w:ascii="仿宋" w:hAnsi="仿宋" w:eastAsia="仿宋" w:cs="仿宋"/>
          <w:b/>
          <w:bCs/>
          <w:color w:val="auto"/>
          <w:sz w:val="28"/>
          <w:szCs w:val="28"/>
          <w:highlight w:val="none"/>
        </w:rPr>
        <w:t>需求：</w:t>
      </w:r>
    </w:p>
    <w:p>
      <w:pPr>
        <w:spacing w:line="360" w:lineRule="auto"/>
        <w:ind w:firstLine="560" w:firstLineChars="20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1标段：</w:t>
      </w:r>
    </w:p>
    <w:tbl>
      <w:tblPr>
        <w:tblStyle w:val="25"/>
        <w:tblW w:w="499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86"/>
        <w:gridCol w:w="3722"/>
        <w:gridCol w:w="855"/>
        <w:gridCol w:w="953"/>
        <w:gridCol w:w="2677"/>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 w:hRule="atLeast"/>
          <w:tblHeader/>
        </w:trPr>
        <w:tc>
          <w:tcPr>
            <w:tcW w:w="395" w:type="pct"/>
            <w:tcBorders>
              <w:tl2br w:val="nil"/>
              <w:tr2bl w:val="nil"/>
            </w:tcBorders>
            <w:shd w:val="clear" w:color="auto" w:fill="00B0F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871" w:type="pct"/>
            <w:tcBorders>
              <w:tl2br w:val="nil"/>
              <w:tr2bl w:val="nil"/>
            </w:tcBorders>
            <w:shd w:val="clear" w:color="auto" w:fill="00B0F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产品名称</w:t>
            </w:r>
          </w:p>
        </w:tc>
        <w:tc>
          <w:tcPr>
            <w:tcW w:w="430" w:type="pct"/>
            <w:tcBorders>
              <w:tl2br w:val="nil"/>
              <w:tr2bl w:val="nil"/>
            </w:tcBorders>
            <w:shd w:val="clear" w:color="auto" w:fill="00B0F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479" w:type="pct"/>
            <w:tcBorders>
              <w:tl2br w:val="nil"/>
              <w:tr2bl w:val="nil"/>
            </w:tcBorders>
            <w:shd w:val="clear" w:color="auto" w:fill="00B0F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1346" w:type="pct"/>
            <w:tcBorders>
              <w:tl2br w:val="nil"/>
              <w:tr2bl w:val="nil"/>
            </w:tcBorders>
            <w:shd w:val="clear" w:color="auto" w:fill="00B0F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2"/>
                <w:szCs w:val="22"/>
                <w:highlight w:val="none"/>
                <w:u w:val="none"/>
                <w:lang w:val="en-US" w:eastAsia="zh-CN"/>
              </w:rPr>
            </w:pPr>
            <w:r>
              <w:rPr>
                <w:rFonts w:hint="eastAsia" w:ascii="仿宋" w:hAnsi="仿宋" w:eastAsia="仿宋" w:cs="仿宋"/>
                <w:b/>
                <w:bCs/>
                <w:i w:val="0"/>
                <w:iCs w:val="0"/>
                <w:color w:val="auto"/>
                <w:sz w:val="22"/>
                <w:szCs w:val="22"/>
                <w:highlight w:val="none"/>
                <w:u w:val="none"/>
                <w:lang w:val="en-US" w:eastAsia="zh-CN"/>
              </w:rPr>
              <w:t>主要技术参数</w:t>
            </w:r>
          </w:p>
        </w:tc>
        <w:tc>
          <w:tcPr>
            <w:tcW w:w="477" w:type="pct"/>
            <w:tcBorders>
              <w:tl2br w:val="nil"/>
              <w:tr2bl w:val="nil"/>
            </w:tcBorders>
            <w:shd w:val="clear" w:color="auto" w:fill="00B0F0"/>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39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87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气相色谱仪</w:t>
            </w:r>
          </w:p>
        </w:tc>
        <w:tc>
          <w:tcPr>
            <w:tcW w:w="4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4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134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详见招标文件“第三章 采购需求及技术和要求”</w:t>
            </w:r>
          </w:p>
        </w:tc>
        <w:tc>
          <w:tcPr>
            <w:tcW w:w="477"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39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87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离子色谱仪</w:t>
            </w:r>
          </w:p>
        </w:tc>
        <w:tc>
          <w:tcPr>
            <w:tcW w:w="4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4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134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i w:val="0"/>
                <w:iCs w:val="0"/>
                <w:color w:val="auto"/>
                <w:kern w:val="0"/>
                <w:sz w:val="22"/>
                <w:szCs w:val="22"/>
                <w:highlight w:val="none"/>
                <w:u w:val="none"/>
                <w:lang w:val="en-US" w:eastAsia="zh-CN" w:bidi="ar"/>
              </w:rPr>
            </w:pPr>
          </w:p>
        </w:tc>
        <w:tc>
          <w:tcPr>
            <w:tcW w:w="477"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39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187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水中溶解气脱气装置</w:t>
            </w:r>
          </w:p>
        </w:tc>
        <w:tc>
          <w:tcPr>
            <w:tcW w:w="43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4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1346" w:type="pct"/>
            <w:vMerge w:val="continue"/>
            <w:tcBorders>
              <w:tl2br w:val="nil"/>
              <w:tr2bl w:val="nil"/>
            </w:tcBorders>
            <w:shd w:val="clear" w:color="auto" w:fill="auto"/>
            <w:vAlign w:val="center"/>
          </w:tcPr>
          <w:p>
            <w:pPr>
              <w:pStyle w:val="81"/>
              <w:numPr>
                <w:ilvl w:val="0"/>
                <w:numId w:val="0"/>
              </w:numPr>
              <w:spacing w:line="240" w:lineRule="auto"/>
              <w:rPr>
                <w:rFonts w:hint="eastAsia" w:ascii="仿宋" w:hAnsi="仿宋" w:eastAsia="仿宋" w:cs="仿宋"/>
                <w:color w:val="auto"/>
                <w:sz w:val="22"/>
                <w:szCs w:val="22"/>
                <w:highlight w:val="none"/>
                <w:lang w:val="en-US" w:eastAsia="zh-CN"/>
              </w:rPr>
            </w:pPr>
          </w:p>
        </w:tc>
        <w:tc>
          <w:tcPr>
            <w:tcW w:w="477" w:type="pct"/>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bl>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合同履行期限</w:t>
      </w:r>
      <w:r>
        <w:rPr>
          <w:rFonts w:hint="eastAsia" w:ascii="仿宋" w:hAnsi="仿宋" w:eastAsia="仿宋" w:cs="仿宋"/>
          <w:color w:val="auto"/>
          <w:sz w:val="28"/>
          <w:szCs w:val="28"/>
          <w:highlight w:val="none"/>
        </w:rPr>
        <w:t>：合同签订后20天内完成供货</w:t>
      </w:r>
      <w:r>
        <w:rPr>
          <w:rFonts w:hint="eastAsia" w:ascii="仿宋" w:hAnsi="仿宋" w:eastAsia="仿宋" w:cs="仿宋"/>
          <w:b/>
          <w:bCs/>
          <w:color w:val="auto"/>
          <w:sz w:val="28"/>
          <w:szCs w:val="28"/>
          <w:highlight w:val="none"/>
        </w:rPr>
        <w:t>和安装调试并通过招标人的最终验收合格</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接受联合体投标。</w:t>
      </w:r>
    </w:p>
    <w:p>
      <w:pPr>
        <w:pStyle w:val="4"/>
        <w:spacing w:line="360" w:lineRule="auto"/>
        <w:rPr>
          <w:rFonts w:hint="eastAsia" w:ascii="仿宋" w:hAnsi="仿宋" w:eastAsia="仿宋" w:cs="仿宋"/>
          <w:b w:val="0"/>
          <w:color w:val="auto"/>
          <w:sz w:val="28"/>
          <w:szCs w:val="28"/>
          <w:highlight w:val="none"/>
        </w:rPr>
      </w:pPr>
      <w:bookmarkStart w:id="11" w:name="_Toc35393791"/>
      <w:bookmarkStart w:id="12" w:name="_Toc28359080"/>
      <w:bookmarkStart w:id="13" w:name="_Toc35393622"/>
      <w:bookmarkStart w:id="14" w:name="_Toc28359003"/>
      <w:r>
        <w:rPr>
          <w:rFonts w:hint="eastAsia" w:ascii="仿宋" w:hAnsi="仿宋" w:eastAsia="仿宋" w:cs="仿宋"/>
          <w:b w:val="0"/>
          <w:color w:val="auto"/>
          <w:sz w:val="28"/>
          <w:szCs w:val="28"/>
          <w:highlight w:val="none"/>
        </w:rPr>
        <w:t>二、申请人的资格要求：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 中小企业政策</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□本项目不专门面向中小企业预留采购份额。</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□本项目专门面向中小企业采购。即：提供的货物全部由符合政策要求的中小/小微企业制造、服务全部由符合政策要求的中小/小微企业承接。</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r>
        <w:rPr>
          <w:rFonts w:hint="eastAsia" w:ascii="仿宋" w:hAnsi="仿宋" w:eastAsia="仿宋" w:cs="仿宋"/>
          <w:b/>
          <w:bCs/>
          <w:color w:val="auto"/>
          <w:sz w:val="28"/>
          <w:szCs w:val="28"/>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1标段不专门面向中小企业预留采购份额</w:t>
      </w:r>
      <w:r>
        <w:rPr>
          <w:rFonts w:hint="eastAsia" w:ascii="仿宋" w:hAnsi="仿宋" w:eastAsia="仿宋" w:cs="仿宋"/>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 其它落实政府采购政策要求：</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监狱企业、残疾人福利性单位执行《财政部司法部关于政府采购支持监狱企业发展有关问题的通知》（财库〔2014〕68号）、《财政部民政部中国残疾人联合会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落实强制采购节能产品、鼓励节能政策：对国家公布的节能产品政府采购清单中属于强制采购的产品，予以强制采购。属于非强制采购的产品，在技术、服务等指标同等条件下，予以优先采购。执行政策文件：《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☑鼓励环保政策：在技术、服务等指标同等条件下，优先采购国家公布的属于环境标志产品政府采购清单中产品。执行政策文件：《关于环境标志产品政府采购实施的意见》（财库〔2006〕90号）；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投标人须具有独立承担民事责任的能力，在中华人民共和国境内注册，提供法人或者其他组织的营业执照（备注：其他组织参与投标的须提供设立本组织独立法人的唯一授权书）；</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.2投标人须具有良好的商业信誉，当前未因不良行为记录被建设行政主管部门取消投标资格；参加政府</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活动前三年内在经营活动中没有重大违法记录（重大违法记录，是指投标申请人因违法经营受到刑事处罚或者责令停产停业、吊销许可证或者执照、较大数额罚款等行政处罚），提供书面声明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未被列入“信用中国”网站（www.creditchina.gov.cn）失信被执行人、重大税收违法</w:t>
      </w:r>
      <w:r>
        <w:rPr>
          <w:rFonts w:hint="eastAsia" w:ascii="仿宋" w:hAnsi="仿宋" w:eastAsia="仿宋" w:cs="仿宋"/>
          <w:color w:val="auto"/>
          <w:sz w:val="28"/>
          <w:szCs w:val="28"/>
          <w:highlight w:val="none"/>
          <w:lang w:val="en-US" w:eastAsia="zh-CN"/>
        </w:rPr>
        <w:t>失信主体</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政府采购</w:t>
      </w:r>
      <w:r>
        <w:rPr>
          <w:rFonts w:hint="eastAsia" w:ascii="仿宋" w:hAnsi="仿宋" w:eastAsia="仿宋" w:cs="仿宋"/>
          <w:color w:val="auto"/>
          <w:sz w:val="28"/>
          <w:szCs w:val="28"/>
          <w:highlight w:val="none"/>
        </w:rPr>
        <w:t>严重违法失信行为记录名单及中国</w:t>
      </w:r>
      <w:r>
        <w:rPr>
          <w:rFonts w:hint="eastAsia" w:ascii="仿宋" w:hAnsi="仿宋" w:eastAsia="仿宋" w:cs="仿宋"/>
          <w:color w:val="auto"/>
          <w:sz w:val="28"/>
          <w:szCs w:val="28"/>
          <w:highlight w:val="none"/>
          <w:lang w:eastAsia="zh-CN"/>
        </w:rPr>
        <w:t>政府采购</w:t>
      </w:r>
      <w:r>
        <w:rPr>
          <w:rFonts w:hint="eastAsia" w:ascii="仿宋" w:hAnsi="仿宋" w:eastAsia="仿宋" w:cs="仿宋"/>
          <w:color w:val="auto"/>
          <w:sz w:val="28"/>
          <w:szCs w:val="28"/>
          <w:highlight w:val="none"/>
        </w:rPr>
        <w:t>网（www.ccgp.gov.cn）“</w:t>
      </w:r>
      <w:r>
        <w:rPr>
          <w:rFonts w:hint="eastAsia" w:ascii="仿宋" w:hAnsi="仿宋" w:eastAsia="仿宋" w:cs="仿宋"/>
          <w:color w:val="auto"/>
          <w:sz w:val="28"/>
          <w:szCs w:val="28"/>
          <w:highlight w:val="none"/>
          <w:lang w:eastAsia="zh-CN"/>
        </w:rPr>
        <w:t>政府采购</w:t>
      </w:r>
      <w:r>
        <w:rPr>
          <w:rFonts w:hint="eastAsia" w:ascii="仿宋" w:hAnsi="仿宋" w:eastAsia="仿宋" w:cs="仿宋"/>
          <w:color w:val="auto"/>
          <w:sz w:val="28"/>
          <w:szCs w:val="28"/>
          <w:highlight w:val="none"/>
        </w:rPr>
        <w:t>严重违法失信行为信息记录”。查询时间为公告发布之日起至递交响应文件截止时间前（由</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代理机构</w:t>
      </w:r>
      <w:r>
        <w:rPr>
          <w:rFonts w:hint="eastAsia" w:ascii="仿宋" w:hAnsi="仿宋" w:eastAsia="仿宋" w:cs="仿宋"/>
          <w:color w:val="auto"/>
          <w:sz w:val="28"/>
          <w:szCs w:val="28"/>
          <w:highlight w:val="none"/>
          <w:lang w:val="en-US" w:eastAsia="zh-CN"/>
        </w:rPr>
        <w:t>查询的为准</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.3具有良好的商业信誉和健全的财务会计制度，提供</w:t>
      </w:r>
      <w:r>
        <w:rPr>
          <w:rFonts w:hint="eastAsia" w:ascii="仿宋" w:hAnsi="仿宋" w:eastAsia="仿宋" w:cs="仿宋"/>
          <w:color w:val="auto"/>
          <w:sz w:val="28"/>
          <w:szCs w:val="28"/>
          <w:highlight w:val="none"/>
          <w:lang w:val="en-US" w:eastAsia="zh-CN"/>
        </w:rPr>
        <w:t>任意一年</w:t>
      </w:r>
      <w:r>
        <w:rPr>
          <w:rFonts w:hint="eastAsia" w:ascii="仿宋" w:hAnsi="仿宋" w:eastAsia="仿宋" w:cs="仿宋"/>
          <w:color w:val="auto"/>
          <w:sz w:val="28"/>
          <w:szCs w:val="28"/>
          <w:highlight w:val="none"/>
        </w:rPr>
        <w:t>（201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年）经审计的财务报表（包括资产负债表、现金流量表、利润表或损益表）及审计报告，成立未满</w:t>
      </w:r>
      <w:r>
        <w:rPr>
          <w:rFonts w:hint="eastAsia" w:ascii="仿宋" w:hAnsi="仿宋" w:eastAsia="仿宋" w:cs="仿宋"/>
          <w:color w:val="auto"/>
          <w:sz w:val="28"/>
          <w:szCs w:val="28"/>
          <w:highlight w:val="none"/>
          <w:lang w:val="en-US" w:eastAsia="zh-CN"/>
        </w:rPr>
        <w:t>一年</w:t>
      </w:r>
      <w:r>
        <w:rPr>
          <w:rFonts w:hint="eastAsia" w:ascii="仿宋" w:hAnsi="仿宋" w:eastAsia="仿宋" w:cs="仿宋"/>
          <w:color w:val="auto"/>
          <w:sz w:val="28"/>
          <w:szCs w:val="28"/>
          <w:highlight w:val="none"/>
        </w:rPr>
        <w:t xml:space="preserve">的投标人提供相关情况说明； </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.4投标人须具有履行合同所必需的设备和专业技术能力，提供书面声明并加盖公章；</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.5投标人须具有依法缴纳税收和社会保障资金的良好记录：提供20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年6月至今任意连续三个月缴纳税收及社会保障资金的完税凭证；成立未满三个月的投标人提供相关情况说明,依法免税</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免缴的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，应提供相应文件证明其依法免税</w:t>
      </w:r>
      <w:r>
        <w:rPr>
          <w:rFonts w:hint="eastAsia" w:ascii="仿宋" w:hAnsi="仿宋" w:eastAsia="仿宋" w:cs="仿宋"/>
          <w:color w:val="auto"/>
          <w:sz w:val="28"/>
          <w:szCs w:val="28"/>
          <w:highlight w:val="none"/>
          <w:lang w:val="en-US" w:eastAsia="zh-CN"/>
        </w:rPr>
        <w:t>或免缴</w:t>
      </w:r>
      <w:r>
        <w:rPr>
          <w:rFonts w:hint="eastAsia" w:ascii="仿宋" w:hAnsi="仿宋" w:eastAsia="仿宋" w:cs="仿宋"/>
          <w:color w:val="auto"/>
          <w:sz w:val="28"/>
          <w:szCs w:val="28"/>
          <w:highlight w:val="none"/>
        </w:rPr>
        <w:t>（提供复印件加盖公章）；</w:t>
      </w:r>
    </w:p>
    <w:p>
      <w:pPr>
        <w:pStyle w:val="12"/>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lang w:val="en-US" w:eastAsia="zh-CN"/>
        </w:rPr>
        <w:t>3.6</w:t>
      </w:r>
      <w:r>
        <w:rPr>
          <w:rFonts w:hint="eastAsia" w:ascii="仿宋" w:hAnsi="仿宋" w:eastAsia="仿宋" w:cs="仿宋"/>
          <w:color w:val="auto"/>
          <w:szCs w:val="24"/>
          <w:highlight w:val="none"/>
        </w:rPr>
        <w:t>单位负责人为同一人或者存在控股、管理关系的不同单位，不得参加同一标段投标或者未划分标段的同一招标项目投标</w:t>
      </w:r>
      <w:r>
        <w:rPr>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3.7为采购项目提供整体设计、规范编制或者项目管理、监理、检测等服务的投标人，不得再参加该采购项目的其他采购活动。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3.8</w:t>
      </w:r>
      <w:r>
        <w:rPr>
          <w:rFonts w:hint="eastAsia" w:ascii="仿宋" w:hAnsi="仿宋" w:eastAsia="仿宋" w:cs="仿宋"/>
          <w:color w:val="auto"/>
          <w:sz w:val="28"/>
          <w:szCs w:val="28"/>
          <w:highlight w:val="none"/>
        </w:rPr>
        <w:t>本项目不接受联合体投标</w:t>
      </w:r>
      <w:r>
        <w:rPr>
          <w:rFonts w:hint="eastAsia" w:ascii="仿宋" w:hAnsi="仿宋" w:eastAsia="仿宋" w:cs="仿宋"/>
          <w:color w:val="auto"/>
          <w:sz w:val="28"/>
          <w:szCs w:val="28"/>
          <w:highlight w:val="none"/>
          <w:lang w:eastAsia="zh-CN"/>
        </w:rPr>
        <w:t>。</w:t>
      </w:r>
    </w:p>
    <w:p>
      <w:pPr>
        <w:pStyle w:val="4"/>
        <w:spacing w:line="360" w:lineRule="auto"/>
        <w:rPr>
          <w:rFonts w:hint="eastAsia" w:ascii="仿宋" w:hAnsi="仿宋" w:eastAsia="仿宋" w:cs="仿宋"/>
          <w:b w:val="0"/>
          <w:color w:val="auto"/>
          <w:sz w:val="28"/>
          <w:szCs w:val="28"/>
          <w:highlight w:val="none"/>
        </w:rPr>
      </w:pPr>
      <w:bookmarkStart w:id="15" w:name="_Toc28359004"/>
      <w:bookmarkStart w:id="16" w:name="_Toc28359081"/>
      <w:bookmarkStart w:id="17" w:name="_Toc35393792"/>
      <w:bookmarkStart w:id="18" w:name="_Toc35393623"/>
      <w:r>
        <w:rPr>
          <w:rFonts w:hint="eastAsia" w:ascii="仿宋" w:hAnsi="仿宋" w:eastAsia="仿宋" w:cs="仿宋"/>
          <w:b w:val="0"/>
          <w:color w:val="auto"/>
          <w:sz w:val="28"/>
          <w:szCs w:val="28"/>
          <w:highlight w:val="none"/>
        </w:rPr>
        <w:t>三、获取招标文件</w:t>
      </w:r>
      <w:bookmarkEnd w:id="15"/>
      <w:bookmarkEnd w:id="16"/>
      <w:bookmarkEnd w:id="17"/>
      <w:bookmarkEnd w:id="18"/>
    </w:p>
    <w:p>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2022</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12</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2023</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rPr>
        <w:t>，每天上午</w:t>
      </w:r>
      <w:r>
        <w:rPr>
          <w:rFonts w:hint="eastAsia" w:ascii="仿宋" w:hAnsi="仿宋" w:eastAsia="仿宋" w:cs="仿宋"/>
          <w:color w:val="auto"/>
          <w:sz w:val="28"/>
          <w:szCs w:val="28"/>
          <w:highlight w:val="none"/>
          <w:u w:val="single"/>
          <w:lang w:val="en-US" w:eastAsia="zh-CN"/>
        </w:rPr>
        <w:t>09：00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eastAsia="zh-CN"/>
        </w:rPr>
        <w:t>12:00</w:t>
      </w:r>
      <w:r>
        <w:rPr>
          <w:rFonts w:hint="eastAsia" w:ascii="仿宋" w:hAnsi="仿宋" w:eastAsia="仿宋" w:cs="仿宋"/>
          <w:color w:val="auto"/>
          <w:sz w:val="28"/>
          <w:szCs w:val="28"/>
          <w:highlight w:val="none"/>
        </w:rPr>
        <w:t>，下午</w:t>
      </w:r>
      <w:r>
        <w:rPr>
          <w:rFonts w:hint="eastAsia" w:ascii="仿宋" w:hAnsi="仿宋" w:eastAsia="仿宋" w:cs="仿宋"/>
          <w:color w:val="auto"/>
          <w:sz w:val="28"/>
          <w:szCs w:val="28"/>
          <w:highlight w:val="none"/>
          <w:u w:val="single"/>
          <w:lang w:val="en-US" w:eastAsia="zh-CN"/>
        </w:rPr>
        <w:t>14:00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eastAsia="zh-CN"/>
        </w:rPr>
        <w:t>17:00</w:t>
      </w:r>
      <w:r>
        <w:rPr>
          <w:rFonts w:hint="eastAsia" w:ascii="仿宋" w:hAnsi="仿宋" w:eastAsia="仿宋" w:cs="仿宋"/>
          <w:color w:val="auto"/>
          <w:sz w:val="28"/>
          <w:szCs w:val="28"/>
          <w:highlight w:val="none"/>
        </w:rPr>
        <w:t>（北京时间，法定节假日除外）</w:t>
      </w:r>
    </w:p>
    <w:p>
      <w:pPr>
        <w:spacing w:line="360" w:lineRule="auto"/>
        <w:ind w:firstLine="54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u w:val="single"/>
          <w:lang w:eastAsia="zh-CN"/>
        </w:rPr>
        <w:t>云南兴语招标有限公司</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云南省昆明市盘龙区同德昆明广场B区4栋1401）。</w:t>
      </w:r>
    </w:p>
    <w:p>
      <w:pPr>
        <w:spacing w:line="360" w:lineRule="auto"/>
        <w:ind w:firstLine="54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lang w:val="en-US" w:eastAsia="zh-CN"/>
        </w:rPr>
        <w:t>因受疫情影响，本项目采用邮件获取方式，凡收到本邀请书的投标人，采用网络邮件的方式获取招标文件。并将以下资料：1）营业执照（复印件加盖公章）、2）法定代表人证明书（原件）、3）法定代表人授权委托书（原件）、4）法定代表人或其委托代理人身份证（复印件）、5）文件费缴纳凭证扫描为PDF格式发送至603771786@qq.com邮箱中，</w:t>
      </w:r>
      <w:r>
        <w:rPr>
          <w:rFonts w:hint="eastAsia" w:ascii="仿宋" w:hAnsi="仿宋" w:eastAsia="仿宋" w:cs="仿宋"/>
          <w:b/>
          <w:bCs/>
          <w:color w:val="auto"/>
          <w:sz w:val="28"/>
          <w:szCs w:val="28"/>
          <w:highlight w:val="none"/>
          <w:lang w:val="en-US" w:eastAsia="zh-CN"/>
        </w:rPr>
        <w:t>并注明联系方式及所报名的标段信息</w:t>
      </w:r>
      <w:r>
        <w:rPr>
          <w:rFonts w:hint="eastAsia" w:ascii="仿宋" w:hAnsi="仿宋" w:eastAsia="仿宋" w:cs="仿宋"/>
          <w:color w:val="auto"/>
          <w:sz w:val="28"/>
          <w:szCs w:val="28"/>
          <w:highlight w:val="none"/>
          <w:lang w:val="en-US" w:eastAsia="zh-CN"/>
        </w:rPr>
        <w:t>，经代理机构审核完成后，资料齐全且正确的将本项目招标文件（电子版）发送至投标人邮箱。资料不齐或有错误的投标人应在获取招标文件时间内补全并更正资料，资料不补全或不更正的投标人视为放弃此次招标活动。</w:t>
      </w:r>
    </w:p>
    <w:p>
      <w:pPr>
        <w:spacing w:line="360" w:lineRule="auto"/>
        <w:ind w:firstLine="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售价：招标文件售价：￥</w:t>
      </w:r>
      <w:r>
        <w:rPr>
          <w:rFonts w:hint="eastAsia" w:ascii="仿宋" w:hAnsi="仿宋" w:eastAsia="仿宋" w:cs="仿宋"/>
          <w:color w:val="auto"/>
          <w:sz w:val="28"/>
          <w:szCs w:val="28"/>
          <w:highlight w:val="none"/>
          <w:lang w:val="en-US" w:eastAsia="zh-CN"/>
        </w:rPr>
        <w:t>80</w:t>
      </w:r>
      <w:r>
        <w:rPr>
          <w:rFonts w:hint="eastAsia" w:ascii="仿宋" w:hAnsi="仿宋" w:eastAsia="仿宋" w:cs="仿宋"/>
          <w:color w:val="auto"/>
          <w:sz w:val="28"/>
          <w:szCs w:val="28"/>
          <w:highlight w:val="none"/>
        </w:rPr>
        <w:t>0元/</w:t>
      </w:r>
      <w:r>
        <w:rPr>
          <w:rFonts w:hint="eastAsia" w:ascii="仿宋" w:hAnsi="仿宋" w:eastAsia="仿宋" w:cs="仿宋"/>
          <w:color w:val="auto"/>
          <w:sz w:val="28"/>
          <w:szCs w:val="28"/>
          <w:highlight w:val="none"/>
          <w:lang w:val="en-US" w:eastAsia="zh-CN"/>
        </w:rPr>
        <w:t>份/每标段</w:t>
      </w:r>
      <w:r>
        <w:rPr>
          <w:rFonts w:hint="eastAsia" w:ascii="仿宋" w:hAnsi="仿宋" w:eastAsia="仿宋" w:cs="仿宋"/>
          <w:color w:val="auto"/>
          <w:sz w:val="28"/>
          <w:szCs w:val="28"/>
          <w:highlight w:val="none"/>
        </w:rPr>
        <w:t>，售后不退</w:t>
      </w:r>
      <w:r>
        <w:rPr>
          <w:rFonts w:hint="eastAsia" w:ascii="仿宋" w:hAnsi="仿宋" w:eastAsia="仿宋" w:cs="仿宋"/>
          <w:color w:val="auto"/>
          <w:sz w:val="28"/>
          <w:szCs w:val="28"/>
          <w:highlight w:val="none"/>
          <w:lang w:eastAsia="zh-CN"/>
        </w:rPr>
        <w:t>。由</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lang w:eastAsia="zh-CN"/>
        </w:rPr>
        <w:t>在获取</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lang w:eastAsia="zh-CN"/>
        </w:rPr>
        <w:t>文件时缴纳，所有发票的开具，不管是专票还是普票，必须公对公汇款。</w:t>
      </w:r>
      <w:r>
        <w:rPr>
          <w:rFonts w:hint="eastAsia" w:ascii="仿宋" w:hAnsi="仿宋" w:eastAsia="仿宋" w:cs="仿宋"/>
          <w:color w:val="auto"/>
          <w:sz w:val="28"/>
          <w:szCs w:val="28"/>
          <w:highlight w:val="none"/>
          <w:lang w:val="en-US" w:eastAsia="zh-CN"/>
        </w:rPr>
        <w:t>收款信息：</w:t>
      </w:r>
      <w:r>
        <w:rPr>
          <w:rFonts w:hint="eastAsia" w:ascii="仿宋" w:hAnsi="仿宋" w:eastAsia="仿宋" w:cs="仿宋"/>
          <w:color w:val="auto"/>
          <w:sz w:val="28"/>
          <w:szCs w:val="28"/>
          <w:highlight w:val="none"/>
          <w:lang w:eastAsia="zh-CN"/>
        </w:rPr>
        <w:t>户名：云南兴语招标有限公司；开户行：中国农业银行昆明金康支行；账 号：24014201040004655。</w:t>
      </w:r>
    </w:p>
    <w:p>
      <w:pPr>
        <w:pStyle w:val="4"/>
        <w:spacing w:line="360" w:lineRule="auto"/>
        <w:rPr>
          <w:rFonts w:hint="eastAsia" w:ascii="仿宋" w:hAnsi="仿宋" w:eastAsia="仿宋" w:cs="仿宋"/>
          <w:b w:val="0"/>
          <w:color w:val="auto"/>
          <w:sz w:val="28"/>
          <w:szCs w:val="28"/>
          <w:highlight w:val="none"/>
        </w:rPr>
      </w:pPr>
      <w:bookmarkStart w:id="19" w:name="_Toc28359005"/>
      <w:bookmarkStart w:id="20" w:name="_Toc28359082"/>
      <w:bookmarkStart w:id="21" w:name="_Toc35393624"/>
      <w:bookmarkStart w:id="22" w:name="_Toc35393793"/>
      <w:r>
        <w:rPr>
          <w:rFonts w:hint="eastAsia" w:ascii="仿宋" w:hAnsi="仿宋" w:eastAsia="仿宋" w:cs="仿宋"/>
          <w:b w:val="0"/>
          <w:color w:val="auto"/>
          <w:sz w:val="28"/>
          <w:szCs w:val="28"/>
          <w:highlight w:val="none"/>
        </w:rPr>
        <w:t>四、提交投标文件</w:t>
      </w:r>
      <w:bookmarkEnd w:id="19"/>
      <w:bookmarkEnd w:id="20"/>
      <w:r>
        <w:rPr>
          <w:rFonts w:hint="eastAsia" w:ascii="仿宋" w:hAnsi="仿宋" w:eastAsia="仿宋" w:cs="仿宋"/>
          <w:b w:val="0"/>
          <w:color w:val="auto"/>
          <w:sz w:val="28"/>
          <w:szCs w:val="28"/>
          <w:highlight w:val="none"/>
        </w:rPr>
        <w:t>截止时间、开标时间和地点</w:t>
      </w:r>
      <w:bookmarkEnd w:id="21"/>
      <w:bookmarkEnd w:id="22"/>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u w:val="none"/>
          <w:lang w:val="en-US" w:eastAsia="zh-CN"/>
        </w:rPr>
        <w:t>提交投标文件截止时间、开标时间:</w:t>
      </w:r>
      <w:r>
        <w:rPr>
          <w:rFonts w:hint="eastAsia" w:ascii="仿宋" w:hAnsi="仿宋" w:eastAsia="仿宋" w:cs="仿宋"/>
          <w:i w:val="0"/>
          <w:iCs w:val="0"/>
          <w:color w:val="auto"/>
          <w:sz w:val="28"/>
          <w:szCs w:val="28"/>
          <w:highlight w:val="none"/>
          <w:u w:val="single"/>
          <w:lang w:val="en-US" w:eastAsia="zh-CN"/>
        </w:rPr>
        <w:t>2023</w:t>
      </w:r>
      <w:r>
        <w:rPr>
          <w:rFonts w:hint="eastAsia" w:ascii="仿宋" w:hAnsi="仿宋" w:eastAsia="仿宋" w:cs="仿宋"/>
          <w:bCs/>
          <w:i w:val="0"/>
          <w:iCs w:val="0"/>
          <w:color w:val="auto"/>
          <w:sz w:val="28"/>
          <w:szCs w:val="28"/>
          <w:highlight w:val="none"/>
          <w:u w:val="single"/>
        </w:rPr>
        <w:t>年</w:t>
      </w:r>
      <w:r>
        <w:rPr>
          <w:rFonts w:hint="eastAsia" w:ascii="仿宋" w:hAnsi="仿宋" w:eastAsia="仿宋" w:cs="仿宋"/>
          <w:bCs/>
          <w:i w:val="0"/>
          <w:iCs w:val="0"/>
          <w:color w:val="auto"/>
          <w:sz w:val="28"/>
          <w:szCs w:val="28"/>
          <w:highlight w:val="none"/>
          <w:u w:val="single"/>
          <w:lang w:val="en-US" w:eastAsia="zh-CN"/>
        </w:rPr>
        <w:t>1</w:t>
      </w:r>
      <w:r>
        <w:rPr>
          <w:rFonts w:hint="eastAsia" w:ascii="仿宋" w:hAnsi="仿宋" w:eastAsia="仿宋" w:cs="仿宋"/>
          <w:bCs/>
          <w:i w:val="0"/>
          <w:iCs w:val="0"/>
          <w:color w:val="auto"/>
          <w:sz w:val="28"/>
          <w:szCs w:val="28"/>
          <w:highlight w:val="none"/>
          <w:u w:val="single"/>
        </w:rPr>
        <w:t>月</w:t>
      </w:r>
      <w:r>
        <w:rPr>
          <w:rFonts w:hint="eastAsia" w:ascii="仿宋" w:hAnsi="仿宋" w:eastAsia="仿宋" w:cs="仿宋"/>
          <w:bCs/>
          <w:i w:val="0"/>
          <w:iCs w:val="0"/>
          <w:color w:val="auto"/>
          <w:sz w:val="28"/>
          <w:szCs w:val="28"/>
          <w:highlight w:val="none"/>
          <w:u w:val="single"/>
          <w:lang w:val="en-US" w:eastAsia="zh-CN"/>
        </w:rPr>
        <w:t>19</w:t>
      </w:r>
      <w:r>
        <w:rPr>
          <w:rFonts w:hint="eastAsia" w:ascii="仿宋" w:hAnsi="仿宋" w:eastAsia="仿宋" w:cs="仿宋"/>
          <w:bCs/>
          <w:i w:val="0"/>
          <w:iCs w:val="0"/>
          <w:color w:val="auto"/>
          <w:sz w:val="28"/>
          <w:szCs w:val="28"/>
          <w:highlight w:val="none"/>
          <w:u w:val="single"/>
        </w:rPr>
        <w:t>日</w:t>
      </w:r>
      <w:r>
        <w:rPr>
          <w:rFonts w:hint="eastAsia" w:ascii="仿宋" w:hAnsi="仿宋" w:eastAsia="仿宋" w:cs="仿宋"/>
          <w:bCs/>
          <w:i w:val="0"/>
          <w:iCs w:val="0"/>
          <w:color w:val="auto"/>
          <w:sz w:val="28"/>
          <w:szCs w:val="28"/>
          <w:highlight w:val="none"/>
          <w:u w:val="single"/>
          <w:lang w:val="en-US" w:eastAsia="zh-CN"/>
        </w:rPr>
        <w:t>09</w:t>
      </w:r>
      <w:r>
        <w:rPr>
          <w:rFonts w:hint="eastAsia" w:ascii="仿宋" w:hAnsi="仿宋" w:eastAsia="仿宋" w:cs="仿宋"/>
          <w:bCs/>
          <w:i w:val="0"/>
          <w:iCs w:val="0"/>
          <w:color w:val="auto"/>
          <w:sz w:val="28"/>
          <w:szCs w:val="28"/>
          <w:highlight w:val="none"/>
          <w:u w:val="single"/>
        </w:rPr>
        <w:t>点</w:t>
      </w:r>
      <w:r>
        <w:rPr>
          <w:rFonts w:hint="eastAsia" w:ascii="仿宋" w:hAnsi="仿宋" w:eastAsia="仿宋" w:cs="仿宋"/>
          <w:bCs/>
          <w:i w:val="0"/>
          <w:iCs w:val="0"/>
          <w:color w:val="auto"/>
          <w:sz w:val="28"/>
          <w:szCs w:val="28"/>
          <w:highlight w:val="none"/>
          <w:u w:val="single"/>
          <w:lang w:val="en-US" w:eastAsia="zh-CN"/>
        </w:rPr>
        <w:t>30</w:t>
      </w:r>
      <w:r>
        <w:rPr>
          <w:rFonts w:hint="eastAsia" w:ascii="仿宋" w:hAnsi="仿宋" w:eastAsia="仿宋" w:cs="仿宋"/>
          <w:bCs/>
          <w:i w:val="0"/>
          <w:iCs w:val="0"/>
          <w:color w:val="auto"/>
          <w:sz w:val="28"/>
          <w:szCs w:val="28"/>
          <w:highlight w:val="none"/>
          <w:u w:val="single"/>
        </w:rPr>
        <w:t>分</w:t>
      </w:r>
      <w:r>
        <w:rPr>
          <w:rFonts w:hint="eastAsia" w:ascii="仿宋" w:hAnsi="仿宋" w:eastAsia="仿宋" w:cs="仿宋"/>
          <w:bCs/>
          <w:color w:val="auto"/>
          <w:sz w:val="28"/>
          <w:szCs w:val="28"/>
          <w:highlight w:val="none"/>
        </w:rPr>
        <w:t>（北京时间）</w:t>
      </w:r>
    </w:p>
    <w:p>
      <w:pPr>
        <w:spacing w:line="360" w:lineRule="auto"/>
        <w:ind w:firstLine="560" w:firstLineChars="200"/>
        <w:rPr>
          <w:rFonts w:hint="default" w:ascii="仿宋" w:hAnsi="仿宋" w:eastAsia="仿宋" w:cs="仿宋"/>
          <w:bCs/>
          <w:color w:val="auto"/>
          <w:sz w:val="28"/>
          <w:szCs w:val="28"/>
          <w:highlight w:val="none"/>
          <w:u w:val="single"/>
          <w:lang w:val="en-US" w:eastAsia="zh-CN"/>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u w:val="single"/>
          <w:lang w:eastAsia="zh-CN"/>
        </w:rPr>
        <w:t>云南兴语招标有限公司</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云南省昆明市盘龙区同德昆明广场B区4栋1401）。</w:t>
      </w:r>
    </w:p>
    <w:p>
      <w:pPr>
        <w:pStyle w:val="4"/>
        <w:spacing w:line="360" w:lineRule="auto"/>
        <w:rPr>
          <w:rFonts w:hint="eastAsia" w:ascii="仿宋" w:hAnsi="仿宋" w:eastAsia="仿宋" w:cs="仿宋"/>
          <w:b w:val="0"/>
          <w:color w:val="auto"/>
          <w:sz w:val="28"/>
          <w:szCs w:val="28"/>
          <w:highlight w:val="none"/>
        </w:rPr>
      </w:pPr>
      <w:bookmarkStart w:id="23" w:name="_Toc28359084"/>
      <w:bookmarkStart w:id="24" w:name="_Toc35393625"/>
      <w:bookmarkStart w:id="25" w:name="_Toc28359007"/>
      <w:bookmarkStart w:id="26" w:name="_Toc35393794"/>
      <w:r>
        <w:rPr>
          <w:rFonts w:hint="eastAsia" w:ascii="仿宋" w:hAnsi="仿宋" w:eastAsia="仿宋" w:cs="仿宋"/>
          <w:b w:val="0"/>
          <w:color w:val="auto"/>
          <w:sz w:val="28"/>
          <w:szCs w:val="28"/>
          <w:highlight w:val="none"/>
        </w:rPr>
        <w:t>五、公告期限</w:t>
      </w:r>
      <w:bookmarkEnd w:id="23"/>
      <w:bookmarkEnd w:id="24"/>
      <w:bookmarkEnd w:id="25"/>
      <w:bookmarkEnd w:id="26"/>
    </w:p>
    <w:p>
      <w:pPr>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pPr>
        <w:pStyle w:val="4"/>
        <w:spacing w:line="360" w:lineRule="auto"/>
        <w:rPr>
          <w:rFonts w:hint="eastAsia" w:ascii="仿宋" w:hAnsi="仿宋" w:eastAsia="仿宋" w:cs="仿宋"/>
          <w:b w:val="0"/>
          <w:color w:val="auto"/>
          <w:sz w:val="28"/>
          <w:szCs w:val="28"/>
          <w:highlight w:val="none"/>
        </w:rPr>
      </w:pPr>
      <w:bookmarkStart w:id="27" w:name="_Toc35393626"/>
      <w:bookmarkStart w:id="28" w:name="_Toc35393795"/>
      <w:r>
        <w:rPr>
          <w:rFonts w:hint="eastAsia" w:ascii="仿宋" w:hAnsi="仿宋" w:eastAsia="仿宋" w:cs="仿宋"/>
          <w:b w:val="0"/>
          <w:color w:val="auto"/>
          <w:sz w:val="28"/>
          <w:szCs w:val="28"/>
          <w:highlight w:val="none"/>
        </w:rPr>
        <w:t>六、其他补充事宜</w:t>
      </w:r>
      <w:bookmarkEnd w:id="27"/>
      <w:bookmarkEnd w:id="28"/>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本公告在《</w:t>
      </w:r>
      <w:r>
        <w:rPr>
          <w:rFonts w:hint="eastAsia" w:ascii="仿宋" w:hAnsi="仿宋" w:eastAsia="仿宋" w:cs="仿宋"/>
          <w:color w:val="auto"/>
          <w:sz w:val="28"/>
          <w:szCs w:val="28"/>
          <w:highlight w:val="none"/>
          <w:lang w:val="en-US" w:eastAsia="zh-CN"/>
        </w:rPr>
        <w:t>中国政府采购网</w:t>
      </w:r>
      <w:r>
        <w:rPr>
          <w:rFonts w:hint="eastAsia" w:ascii="仿宋" w:hAnsi="仿宋" w:eastAsia="仿宋" w:cs="仿宋"/>
          <w:color w:val="auto"/>
          <w:sz w:val="28"/>
          <w:szCs w:val="28"/>
          <w:highlight w:val="none"/>
        </w:rPr>
        <w:t>》上发布，</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和代理机构对其他网站或媒体转载的公告及公告内容不承担任何责任。</w:t>
      </w:r>
    </w:p>
    <w:p>
      <w:pPr>
        <w:pStyle w:val="4"/>
        <w:spacing w:line="360" w:lineRule="auto"/>
        <w:rPr>
          <w:rFonts w:hint="eastAsia" w:ascii="仿宋" w:hAnsi="仿宋" w:eastAsia="仿宋" w:cs="仿宋"/>
          <w:b w:val="0"/>
          <w:color w:val="auto"/>
          <w:sz w:val="28"/>
          <w:szCs w:val="28"/>
          <w:highlight w:val="none"/>
        </w:rPr>
      </w:pPr>
      <w:bookmarkStart w:id="29" w:name="_Toc35393796"/>
      <w:bookmarkStart w:id="30" w:name="_Toc28359085"/>
      <w:bookmarkStart w:id="31" w:name="_Toc35393627"/>
      <w:bookmarkStart w:id="32" w:name="_Toc28359008"/>
      <w:r>
        <w:rPr>
          <w:rFonts w:hint="eastAsia" w:ascii="仿宋" w:hAnsi="仿宋" w:eastAsia="仿宋" w:cs="仿宋"/>
          <w:b w:val="0"/>
          <w:color w:val="auto"/>
          <w:sz w:val="28"/>
          <w:szCs w:val="28"/>
          <w:highlight w:val="none"/>
        </w:rPr>
        <w:t>七、对本次招标提出询问，请按以下方式联系。</w:t>
      </w:r>
      <w:bookmarkEnd w:id="29"/>
      <w:bookmarkEnd w:id="30"/>
      <w:bookmarkEnd w:id="31"/>
      <w:bookmarkEnd w:id="32"/>
    </w:p>
    <w:p>
      <w:pPr>
        <w:widowControl/>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1.</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信息</w:t>
      </w:r>
    </w:p>
    <w:p>
      <w:pPr>
        <w:spacing w:line="360" w:lineRule="auto"/>
        <w:ind w:left="1129" w:leftChars="371" w:hanging="350" w:hangingChars="125"/>
        <w:jc w:val="left"/>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云南省地震局</w:t>
      </w:r>
    </w:p>
    <w:p>
      <w:pPr>
        <w:spacing w:line="360" w:lineRule="auto"/>
        <w:ind w:left="1129" w:leftChars="371" w:hanging="350" w:hangingChars="125"/>
        <w:jc w:val="left"/>
        <w:rPr>
          <w:rFonts w:hint="eastAsia" w:ascii="仿宋" w:hAnsi="仿宋" w:eastAsia="仿宋" w:cs="仿宋"/>
          <w:color w:val="auto"/>
          <w:sz w:val="28"/>
          <w:szCs w:val="28"/>
          <w:highlight w:val="none"/>
          <w:u w:val="single"/>
          <w:lang w:val="en-US"/>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lang w:eastAsia="zh-CN"/>
        </w:rPr>
        <w:t>昆明市盘龙区北辰大道148号</w:t>
      </w:r>
    </w:p>
    <w:p>
      <w:pPr>
        <w:spacing w:line="360" w:lineRule="auto"/>
        <w:ind w:left="1129" w:leftChars="371" w:hanging="350" w:hangingChars="125"/>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徐老师</w:t>
      </w:r>
      <w:bookmarkStart w:id="33" w:name="_Toc28359009"/>
      <w:bookmarkStart w:id="34" w:name="_Toc28359086"/>
      <w:r>
        <w:rPr>
          <w:rFonts w:hint="eastAsia" w:ascii="仿宋" w:hAnsi="仿宋" w:eastAsia="仿宋" w:cs="仿宋"/>
          <w:color w:val="auto"/>
          <w:sz w:val="28"/>
          <w:szCs w:val="28"/>
          <w:highlight w:val="none"/>
          <w:u w:val="single"/>
          <w:lang w:val="en-US" w:eastAsia="zh-CN"/>
        </w:rPr>
        <w:t xml:space="preserve">0871-65747138 </w:t>
      </w:r>
    </w:p>
    <w:p>
      <w:pPr>
        <w:spacing w:line="360" w:lineRule="auto"/>
        <w:ind w:left="1129" w:leftChars="371" w:hanging="350" w:hangingChars="12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代理机构信息</w:t>
      </w:r>
      <w:bookmarkEnd w:id="33"/>
      <w:bookmarkEnd w:id="34"/>
    </w:p>
    <w:p>
      <w:pPr>
        <w:spacing w:line="360" w:lineRule="auto"/>
        <w:ind w:firstLine="840"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val="en-US" w:eastAsia="zh-CN"/>
        </w:rPr>
        <w:t>云南兴语招标有限公司</w:t>
      </w:r>
    </w:p>
    <w:p>
      <w:pPr>
        <w:spacing w:line="360" w:lineRule="auto"/>
        <w:ind w:firstLine="840" w:firstLineChars="3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lang w:eastAsia="zh-CN"/>
        </w:rPr>
        <w:t>云南省昆明市盘龙区同德昆明广场B区4栋1401</w:t>
      </w:r>
    </w:p>
    <w:p>
      <w:pPr>
        <w:spacing w:line="360" w:lineRule="auto"/>
        <w:ind w:firstLine="840" w:firstLineChars="30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bookmarkStart w:id="35" w:name="_Toc28359087"/>
      <w:bookmarkStart w:id="36" w:name="_Toc28359010"/>
      <w:r>
        <w:rPr>
          <w:rFonts w:hint="eastAsia" w:ascii="仿宋" w:hAnsi="仿宋" w:eastAsia="仿宋" w:cs="仿宋"/>
          <w:color w:val="auto"/>
          <w:sz w:val="28"/>
          <w:szCs w:val="28"/>
          <w:highlight w:val="none"/>
          <w:u w:val="single"/>
          <w:lang w:val="en-US" w:eastAsia="zh-CN"/>
        </w:rPr>
        <w:t>李然0871-65611303/18388436993</w:t>
      </w:r>
    </w:p>
    <w:p>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3.项目联系方式</w:t>
      </w:r>
      <w:bookmarkEnd w:id="35"/>
      <w:bookmarkEnd w:id="36"/>
    </w:p>
    <w:p>
      <w:pPr>
        <w:pStyle w:val="14"/>
        <w:spacing w:line="360" w:lineRule="auto"/>
        <w:ind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lang w:val="en-US" w:eastAsia="zh-CN"/>
        </w:rPr>
        <w:t>李然</w:t>
      </w:r>
    </w:p>
    <w:p>
      <w:pPr>
        <w:spacing w:line="360" w:lineRule="auto"/>
        <w:ind w:firstLine="840" w:firstLineChars="300"/>
        <w:rPr>
          <w:rFonts w:hint="eastAsia" w:ascii="仿宋" w:hAnsi="仿宋" w:eastAsia="仿宋" w:cs="仿宋"/>
          <w:color w:val="auto"/>
          <w:spacing w:val="0"/>
          <w:sz w:val="40"/>
          <w:szCs w:val="40"/>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val="en-US" w:eastAsia="zh-CN"/>
        </w:rPr>
        <w:t>0871-65611303</w:t>
      </w:r>
      <w:r>
        <w:rPr>
          <w:rFonts w:hint="eastAsia" w:ascii="仿宋" w:hAnsi="仿宋" w:eastAsia="仿宋" w:cs="仿宋"/>
          <w:color w:val="auto"/>
          <w:sz w:val="28"/>
          <w:szCs w:val="28"/>
          <w:highlight w:val="none"/>
          <w:u w:val="single"/>
        </w:rPr>
        <w:t xml:space="preserve"> </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pStyle w:val="3"/>
        <w:spacing w:line="360" w:lineRule="auto"/>
        <w:rPr>
          <w:rFonts w:hint="eastAsia" w:ascii="仿宋" w:hAnsi="仿宋" w:eastAsia="仿宋" w:cs="仿宋"/>
          <w:color w:val="auto"/>
          <w:spacing w:val="0"/>
          <w:sz w:val="40"/>
          <w:szCs w:val="40"/>
          <w:highlight w:val="none"/>
        </w:rPr>
      </w:pPr>
      <w:bookmarkStart w:id="37" w:name="_Toc15093"/>
      <w:r>
        <w:rPr>
          <w:rFonts w:hint="eastAsia" w:ascii="仿宋" w:hAnsi="仿宋" w:eastAsia="仿宋" w:cs="仿宋"/>
          <w:color w:val="auto"/>
          <w:spacing w:val="0"/>
          <w:sz w:val="40"/>
          <w:szCs w:val="40"/>
          <w:highlight w:val="none"/>
        </w:rPr>
        <w:t>第二章 投标人须知</w:t>
      </w:r>
      <w:bookmarkEnd w:id="37"/>
    </w:p>
    <w:p>
      <w:pPr>
        <w:pStyle w:val="4"/>
        <w:spacing w:line="360" w:lineRule="auto"/>
        <w:jc w:val="center"/>
        <w:rPr>
          <w:rFonts w:hint="eastAsia" w:ascii="仿宋" w:hAnsi="仿宋" w:eastAsia="仿宋" w:cs="仿宋"/>
          <w:color w:val="auto"/>
          <w:spacing w:val="0"/>
          <w:sz w:val="28"/>
          <w:szCs w:val="28"/>
          <w:highlight w:val="none"/>
          <w:u w:val="single"/>
        </w:rPr>
      </w:pPr>
      <w:r>
        <w:rPr>
          <w:rFonts w:hint="eastAsia" w:ascii="仿宋" w:hAnsi="仿宋" w:eastAsia="仿宋" w:cs="仿宋"/>
          <w:color w:val="auto"/>
          <w:spacing w:val="0"/>
          <w:sz w:val="28"/>
          <w:szCs w:val="28"/>
          <w:highlight w:val="none"/>
        </w:rPr>
        <w:t>投标人须知前附表</w:t>
      </w:r>
    </w:p>
    <w:tbl>
      <w:tblPr>
        <w:tblStyle w:val="25"/>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725"/>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652" w:type="dxa"/>
            <w:vAlign w:val="center"/>
          </w:tcPr>
          <w:p>
            <w:pPr>
              <w:spacing w:before="40" w:after="40" w:line="360" w:lineRule="exact"/>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条款号</w:t>
            </w:r>
          </w:p>
        </w:tc>
        <w:tc>
          <w:tcPr>
            <w:tcW w:w="1725" w:type="dxa"/>
            <w:vAlign w:val="center"/>
          </w:tcPr>
          <w:p>
            <w:pPr>
              <w:spacing w:before="40" w:after="40" w:line="360" w:lineRule="exact"/>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条款名称</w:t>
            </w:r>
          </w:p>
        </w:tc>
        <w:tc>
          <w:tcPr>
            <w:tcW w:w="7746" w:type="dxa"/>
            <w:vAlign w:val="center"/>
          </w:tcPr>
          <w:p>
            <w:pPr>
              <w:spacing w:before="40" w:after="40" w:line="360" w:lineRule="exact"/>
              <w:ind w:left="57" w:right="57" w:firstLine="57"/>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项目名称</w:t>
            </w:r>
          </w:p>
        </w:tc>
        <w:tc>
          <w:tcPr>
            <w:tcW w:w="7746" w:type="dxa"/>
            <w:vAlign w:val="center"/>
          </w:tcPr>
          <w:p>
            <w:pPr>
              <w:spacing w:before="40" w:after="40" w:line="360" w:lineRule="exact"/>
              <w:ind w:left="57" w:right="57" w:firstLine="57"/>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云南省地震局地震专业设备采购1标段（三次）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项目编号</w:t>
            </w:r>
          </w:p>
        </w:tc>
        <w:tc>
          <w:tcPr>
            <w:tcW w:w="7746" w:type="dxa"/>
            <w:vAlign w:val="center"/>
          </w:tcPr>
          <w:p>
            <w:pPr>
              <w:spacing w:before="40" w:after="40" w:line="360" w:lineRule="exact"/>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YNXYZB（DZJ）20221101</w:t>
            </w:r>
            <w:r>
              <w:rPr>
                <w:rFonts w:hint="eastAsia" w:ascii="仿宋" w:hAnsi="仿宋" w:eastAsia="仿宋" w:cs="仿宋"/>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lang w:eastAsia="zh-CN"/>
              </w:rPr>
              <w:t>采购人</w:t>
            </w:r>
          </w:p>
        </w:tc>
        <w:tc>
          <w:tcPr>
            <w:tcW w:w="7746" w:type="dxa"/>
            <w:vAlign w:val="center"/>
          </w:tcPr>
          <w:p>
            <w:pPr>
              <w:spacing w:before="40" w:after="40" w:line="360" w:lineRule="exact"/>
              <w:ind w:left="57" w:right="57" w:firstLine="57"/>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云南省地震局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lang w:eastAsia="zh-CN"/>
              </w:rPr>
              <w:t>招标</w:t>
            </w:r>
            <w:r>
              <w:rPr>
                <w:rFonts w:hint="eastAsia" w:ascii="仿宋" w:hAnsi="仿宋" w:eastAsia="仿宋" w:cs="仿宋"/>
                <w:color w:val="auto"/>
                <w:sz w:val="22"/>
                <w:highlight w:val="none"/>
              </w:rPr>
              <w:t>代理机构</w:t>
            </w:r>
          </w:p>
        </w:tc>
        <w:tc>
          <w:tcPr>
            <w:tcW w:w="7746" w:type="dxa"/>
            <w:vAlign w:val="center"/>
          </w:tcPr>
          <w:p>
            <w:pPr>
              <w:spacing w:before="40" w:after="40" w:line="360" w:lineRule="exact"/>
              <w:ind w:left="57" w:right="57" w:firstLine="57"/>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云南兴语招标有限公司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5</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标段划分</w:t>
            </w:r>
          </w:p>
        </w:tc>
        <w:tc>
          <w:tcPr>
            <w:tcW w:w="7746" w:type="dxa"/>
            <w:vAlign w:val="center"/>
          </w:tcPr>
          <w:p>
            <w:pPr>
              <w:spacing w:line="312" w:lineRule="auto"/>
              <w:jc w:val="both"/>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rPr>
              <w:t>本项目划分为5个标段，其中：</w:t>
            </w:r>
            <w:r>
              <w:rPr>
                <w:rFonts w:hint="eastAsia" w:ascii="仿宋" w:hAnsi="仿宋" w:eastAsia="仿宋" w:cs="仿宋"/>
                <w:color w:val="auto"/>
                <w:sz w:val="22"/>
                <w:highlight w:val="none"/>
                <w:lang w:val="en-US" w:eastAsia="zh-CN"/>
              </w:rPr>
              <w:t>本</w:t>
            </w:r>
            <w:r>
              <w:rPr>
                <w:rFonts w:hint="eastAsia" w:ascii="仿宋" w:hAnsi="仿宋" w:eastAsia="仿宋" w:cs="仿宋"/>
                <w:color w:val="auto"/>
                <w:sz w:val="22"/>
                <w:highlight w:val="none"/>
              </w:rPr>
              <w:t>标段预算金额为142万元</w:t>
            </w:r>
            <w:r>
              <w:rPr>
                <w:rFonts w:hint="eastAsia" w:ascii="仿宋" w:hAnsi="仿宋" w:eastAsia="仿宋" w:cs="仿宋"/>
                <w:b/>
                <w:bCs/>
                <w:color w:val="auto"/>
                <w:sz w:val="22"/>
                <w:highlight w:val="none"/>
              </w:rPr>
              <w:t>（含税，包干价）</w:t>
            </w:r>
            <w:r>
              <w:rPr>
                <w:rFonts w:hint="eastAsia" w:ascii="仿宋" w:hAnsi="仿宋" w:eastAsia="仿宋" w:cs="仿宋"/>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6</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资金来源</w:t>
            </w:r>
          </w:p>
        </w:tc>
        <w:tc>
          <w:tcPr>
            <w:tcW w:w="7746" w:type="dxa"/>
            <w:vAlign w:val="center"/>
          </w:tcPr>
          <w:p>
            <w:pPr>
              <w:spacing w:before="40" w:after="40" w:line="360" w:lineRule="exact"/>
              <w:ind w:left="113" w:leftChars="54" w:right="57"/>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政府采购预算资金，</w:t>
            </w:r>
            <w:r>
              <w:rPr>
                <w:rFonts w:hint="eastAsia" w:ascii="仿宋" w:hAnsi="仿宋" w:eastAsia="仿宋" w:cs="仿宋"/>
                <w:color w:val="auto"/>
                <w:kern w:val="0"/>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7</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b/>
                <w:color w:val="auto"/>
                <w:sz w:val="22"/>
                <w:highlight w:val="none"/>
              </w:rPr>
              <w:t>资格要求</w:t>
            </w:r>
          </w:p>
        </w:tc>
        <w:tc>
          <w:tcPr>
            <w:tcW w:w="7746"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详见招标文件第一章 招标公告“二、申请人的资格要求”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8</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供货期</w:t>
            </w:r>
          </w:p>
        </w:tc>
        <w:tc>
          <w:tcPr>
            <w:tcW w:w="7746" w:type="dxa"/>
            <w:vAlign w:val="center"/>
          </w:tcPr>
          <w:p>
            <w:pPr>
              <w:spacing w:line="360" w:lineRule="auto"/>
              <w:rPr>
                <w:rFonts w:hint="eastAsia" w:ascii="仿宋" w:hAnsi="仿宋" w:eastAsia="仿宋" w:cs="仿宋"/>
                <w:color w:val="auto"/>
                <w:sz w:val="22"/>
                <w:highlight w:val="none"/>
                <w:lang w:eastAsia="zh-CN"/>
              </w:rPr>
            </w:pPr>
            <w:r>
              <w:rPr>
                <w:rFonts w:hint="eastAsia" w:ascii="仿宋" w:hAnsi="仿宋" w:eastAsia="仿宋" w:cs="仿宋"/>
                <w:color w:val="auto"/>
                <w:sz w:val="22"/>
                <w:szCs w:val="22"/>
                <w:highlight w:val="none"/>
              </w:rPr>
              <w:t>合同签订后20天内完成供货</w:t>
            </w:r>
            <w:r>
              <w:rPr>
                <w:rFonts w:hint="eastAsia" w:ascii="仿宋" w:hAnsi="仿宋" w:eastAsia="仿宋" w:cs="仿宋"/>
                <w:b/>
                <w:bCs/>
                <w:color w:val="auto"/>
                <w:sz w:val="22"/>
                <w:szCs w:val="22"/>
                <w:highlight w:val="none"/>
              </w:rPr>
              <w:t>和安装调试并通过招标人的最终验收合格</w:t>
            </w:r>
            <w:r>
              <w:rPr>
                <w:rFonts w:hint="eastAsia" w:ascii="仿宋" w:hAnsi="仿宋" w:eastAsia="仿宋" w:cs="仿宋"/>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9</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供货地点</w:t>
            </w:r>
          </w:p>
        </w:tc>
        <w:tc>
          <w:tcPr>
            <w:tcW w:w="7746" w:type="dxa"/>
            <w:vAlign w:val="center"/>
          </w:tcPr>
          <w:p>
            <w:pPr>
              <w:spacing w:before="40" w:after="40" w:line="360" w:lineRule="exact"/>
              <w:ind w:right="57"/>
              <w:jc w:val="both"/>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7"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10</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b/>
                <w:color w:val="auto"/>
                <w:sz w:val="22"/>
                <w:highlight w:val="none"/>
              </w:rPr>
              <w:t>投标保证金</w:t>
            </w:r>
          </w:p>
        </w:tc>
        <w:tc>
          <w:tcPr>
            <w:tcW w:w="7746" w:type="dxa"/>
            <w:vAlign w:val="center"/>
          </w:tcPr>
          <w:p>
            <w:pPr>
              <w:spacing w:line="360" w:lineRule="auto"/>
              <w:ind w:firstLine="220" w:firstLineChars="100"/>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eastAsia="zh-CN"/>
              </w:rPr>
              <w:t>投标</w:t>
            </w:r>
            <w:r>
              <w:rPr>
                <w:rFonts w:hint="eastAsia" w:ascii="仿宋" w:hAnsi="仿宋" w:eastAsia="仿宋" w:cs="仿宋"/>
                <w:color w:val="auto"/>
                <w:sz w:val="22"/>
                <w:highlight w:val="none"/>
              </w:rPr>
              <w:t>保证金的形式：网银、转账、电汇等非现金形式</w:t>
            </w:r>
          </w:p>
          <w:p>
            <w:pPr>
              <w:spacing w:line="360" w:lineRule="auto"/>
              <w:ind w:firstLine="220" w:firstLineChars="100"/>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eastAsia="zh-CN"/>
              </w:rPr>
              <w:t>投标</w:t>
            </w:r>
            <w:r>
              <w:rPr>
                <w:rFonts w:hint="eastAsia" w:ascii="仿宋" w:hAnsi="仿宋" w:eastAsia="仿宋" w:cs="仿宋"/>
                <w:color w:val="auto"/>
                <w:sz w:val="22"/>
                <w:highlight w:val="none"/>
              </w:rPr>
              <w:t>保证金的金额：</w:t>
            </w:r>
            <w:r>
              <w:rPr>
                <w:rFonts w:hint="eastAsia" w:ascii="仿宋" w:hAnsi="仿宋" w:eastAsia="仿宋" w:cs="仿宋"/>
                <w:color w:val="auto"/>
                <w:sz w:val="22"/>
                <w:highlight w:val="none"/>
                <w:lang w:val="en-US" w:eastAsia="zh-CN"/>
              </w:rPr>
              <w:t>5000.00元</w:t>
            </w:r>
          </w:p>
          <w:p>
            <w:pPr>
              <w:spacing w:line="360" w:lineRule="auto"/>
              <w:ind w:firstLine="220" w:firstLineChars="100"/>
              <w:rPr>
                <w:rFonts w:hint="eastAsia" w:ascii="仿宋" w:hAnsi="仿宋" w:eastAsia="仿宋" w:cs="仿宋"/>
                <w:color w:val="auto"/>
                <w:sz w:val="22"/>
                <w:highlight w:val="none"/>
              </w:rPr>
            </w:pPr>
            <w:r>
              <w:rPr>
                <w:rFonts w:hint="eastAsia" w:ascii="仿宋" w:hAnsi="仿宋" w:eastAsia="仿宋" w:cs="仿宋"/>
                <w:color w:val="auto"/>
                <w:sz w:val="22"/>
                <w:highlight w:val="none"/>
                <w:lang w:eastAsia="zh-CN"/>
              </w:rPr>
              <w:t>投标</w:t>
            </w:r>
            <w:r>
              <w:rPr>
                <w:rFonts w:hint="eastAsia" w:ascii="仿宋" w:hAnsi="仿宋" w:eastAsia="仿宋" w:cs="仿宋"/>
                <w:color w:val="auto"/>
                <w:sz w:val="22"/>
                <w:highlight w:val="none"/>
              </w:rPr>
              <w:t>保证金应当从其基本账户转出。</w:t>
            </w:r>
          </w:p>
          <w:p>
            <w:pPr>
              <w:spacing w:line="360" w:lineRule="auto"/>
              <w:ind w:firstLine="220" w:firstLineChars="100"/>
              <w:rPr>
                <w:rFonts w:hint="eastAsia" w:ascii="仿宋" w:hAnsi="仿宋" w:eastAsia="仿宋" w:cs="仿宋"/>
                <w:color w:val="auto"/>
                <w:sz w:val="22"/>
                <w:highlight w:val="none"/>
              </w:rPr>
            </w:pPr>
            <w:r>
              <w:rPr>
                <w:rFonts w:hint="eastAsia" w:ascii="仿宋" w:hAnsi="仿宋" w:eastAsia="仿宋" w:cs="仿宋"/>
                <w:color w:val="auto"/>
                <w:sz w:val="22"/>
                <w:highlight w:val="none"/>
                <w:lang w:eastAsia="zh-CN"/>
              </w:rPr>
              <w:t>投标</w:t>
            </w:r>
            <w:r>
              <w:rPr>
                <w:rFonts w:hint="eastAsia" w:ascii="仿宋" w:hAnsi="仿宋" w:eastAsia="仿宋" w:cs="仿宋"/>
                <w:color w:val="auto"/>
                <w:sz w:val="22"/>
                <w:highlight w:val="none"/>
              </w:rPr>
              <w:t>保证金有效期与</w:t>
            </w:r>
            <w:r>
              <w:rPr>
                <w:rFonts w:hint="eastAsia" w:ascii="仿宋" w:hAnsi="仿宋" w:eastAsia="仿宋" w:cs="仿宋"/>
                <w:color w:val="auto"/>
                <w:sz w:val="22"/>
                <w:highlight w:val="none"/>
                <w:lang w:eastAsia="zh-CN"/>
              </w:rPr>
              <w:t>投标</w:t>
            </w:r>
            <w:r>
              <w:rPr>
                <w:rFonts w:hint="eastAsia" w:ascii="仿宋" w:hAnsi="仿宋" w:eastAsia="仿宋" w:cs="仿宋"/>
                <w:color w:val="auto"/>
                <w:sz w:val="22"/>
                <w:highlight w:val="none"/>
              </w:rPr>
              <w:t>有效期一致。</w:t>
            </w:r>
          </w:p>
          <w:p>
            <w:pPr>
              <w:spacing w:line="360" w:lineRule="auto"/>
              <w:ind w:firstLine="220" w:firstLineChars="100"/>
              <w:rPr>
                <w:rFonts w:hint="eastAsia" w:ascii="仿宋" w:hAnsi="仿宋" w:eastAsia="仿宋" w:cs="仿宋"/>
                <w:color w:val="auto"/>
                <w:sz w:val="22"/>
                <w:highlight w:val="none"/>
              </w:rPr>
            </w:pPr>
            <w:r>
              <w:rPr>
                <w:rFonts w:hint="eastAsia" w:ascii="仿宋" w:hAnsi="仿宋" w:eastAsia="仿宋" w:cs="仿宋"/>
                <w:color w:val="auto"/>
                <w:sz w:val="22"/>
                <w:highlight w:val="none"/>
              </w:rPr>
              <w:t>提交时间：以实际到账时间为准，到账截止时间为</w:t>
            </w:r>
            <w:r>
              <w:rPr>
                <w:rFonts w:hint="eastAsia" w:ascii="仿宋" w:hAnsi="仿宋" w:eastAsia="仿宋" w:cs="仿宋"/>
                <w:color w:val="auto"/>
                <w:sz w:val="22"/>
                <w:highlight w:val="none"/>
                <w:lang w:eastAsia="zh-CN"/>
              </w:rPr>
              <w:t>投标</w:t>
            </w:r>
            <w:r>
              <w:rPr>
                <w:rFonts w:hint="eastAsia" w:ascii="仿宋" w:hAnsi="仿宋" w:eastAsia="仿宋" w:cs="仿宋"/>
                <w:color w:val="auto"/>
                <w:sz w:val="22"/>
                <w:highlight w:val="none"/>
              </w:rPr>
              <w:t>文件递交截止时间，未按时到账的</w:t>
            </w:r>
            <w:r>
              <w:rPr>
                <w:rFonts w:hint="eastAsia" w:ascii="仿宋" w:hAnsi="仿宋" w:eastAsia="仿宋" w:cs="仿宋"/>
                <w:color w:val="auto"/>
                <w:sz w:val="22"/>
                <w:highlight w:val="none"/>
                <w:lang w:eastAsia="zh-CN"/>
              </w:rPr>
              <w:t>投标</w:t>
            </w:r>
            <w:r>
              <w:rPr>
                <w:rFonts w:hint="eastAsia" w:ascii="仿宋" w:hAnsi="仿宋" w:eastAsia="仿宋" w:cs="仿宋"/>
                <w:color w:val="auto"/>
                <w:sz w:val="22"/>
                <w:highlight w:val="none"/>
              </w:rPr>
              <w:t>保证金视为未提交。</w:t>
            </w:r>
          </w:p>
          <w:p>
            <w:pPr>
              <w:spacing w:line="360" w:lineRule="auto"/>
              <w:ind w:firstLine="221" w:firstLineChars="100"/>
              <w:rPr>
                <w:rFonts w:hint="eastAsia" w:ascii="仿宋" w:hAnsi="仿宋" w:eastAsia="仿宋" w:cs="仿宋"/>
                <w:b/>
                <w:bCs/>
                <w:color w:val="auto"/>
                <w:sz w:val="22"/>
                <w:highlight w:val="none"/>
                <w:u w:val="single"/>
                <w:lang w:eastAsia="zh-CN"/>
              </w:rPr>
            </w:pPr>
            <w:r>
              <w:rPr>
                <w:rFonts w:hint="eastAsia" w:ascii="仿宋" w:hAnsi="仿宋" w:eastAsia="仿宋" w:cs="仿宋"/>
                <w:b/>
                <w:bCs/>
                <w:color w:val="auto"/>
                <w:sz w:val="22"/>
                <w:highlight w:val="none"/>
                <w:lang w:eastAsia="zh-CN"/>
              </w:rPr>
              <w:t>投标</w:t>
            </w:r>
            <w:r>
              <w:rPr>
                <w:rFonts w:hint="eastAsia" w:ascii="仿宋" w:hAnsi="仿宋" w:eastAsia="仿宋" w:cs="仿宋"/>
                <w:b/>
                <w:bCs/>
                <w:color w:val="auto"/>
                <w:sz w:val="22"/>
                <w:highlight w:val="none"/>
              </w:rPr>
              <w:t>保证金交纳账户：</w:t>
            </w:r>
            <w:r>
              <w:rPr>
                <w:rFonts w:hint="eastAsia" w:ascii="仿宋" w:hAnsi="仿宋" w:eastAsia="仿宋" w:cs="仿宋"/>
                <w:b/>
                <w:bCs/>
                <w:color w:val="auto"/>
                <w:sz w:val="22"/>
                <w:highlight w:val="none"/>
                <w:u w:val="single"/>
                <w:lang w:eastAsia="zh-CN"/>
              </w:rPr>
              <w:t>云南兴语招标有限公司</w:t>
            </w:r>
          </w:p>
          <w:p>
            <w:pPr>
              <w:spacing w:line="360" w:lineRule="auto"/>
              <w:ind w:firstLine="221" w:firstLineChars="100"/>
              <w:rPr>
                <w:rFonts w:hint="eastAsia" w:ascii="仿宋" w:hAnsi="仿宋" w:eastAsia="仿宋" w:cs="仿宋"/>
                <w:b/>
                <w:bCs/>
                <w:color w:val="auto"/>
                <w:sz w:val="22"/>
                <w:highlight w:val="none"/>
                <w:lang w:val="en-US" w:eastAsia="zh-CN"/>
              </w:rPr>
            </w:pPr>
            <w:r>
              <w:rPr>
                <w:rFonts w:hint="eastAsia" w:ascii="仿宋" w:hAnsi="仿宋" w:eastAsia="仿宋" w:cs="仿宋"/>
                <w:b/>
                <w:bCs/>
                <w:color w:val="auto"/>
                <w:sz w:val="22"/>
                <w:highlight w:val="none"/>
              </w:rPr>
              <w:t>开户行：</w:t>
            </w:r>
            <w:r>
              <w:rPr>
                <w:rFonts w:hint="eastAsia" w:ascii="仿宋" w:hAnsi="仿宋" w:eastAsia="仿宋" w:cs="仿宋"/>
                <w:b/>
                <w:bCs/>
                <w:color w:val="auto"/>
                <w:sz w:val="22"/>
                <w:highlight w:val="none"/>
                <w:lang w:val="en-US" w:eastAsia="zh-CN"/>
              </w:rPr>
              <w:t>中国农业银行昆明金康支行</w:t>
            </w:r>
            <w:r>
              <w:rPr>
                <w:rFonts w:hint="eastAsia" w:ascii="仿宋" w:hAnsi="仿宋" w:eastAsia="仿宋" w:cs="仿宋"/>
                <w:b/>
                <w:bCs/>
                <w:color w:val="auto"/>
                <w:sz w:val="22"/>
                <w:highlight w:val="none"/>
                <w:u w:val="single"/>
                <w:lang w:val="en-US" w:eastAsia="zh-CN"/>
              </w:rPr>
              <w:t xml:space="preserve">      </w:t>
            </w:r>
            <w:r>
              <w:rPr>
                <w:rFonts w:hint="eastAsia" w:ascii="仿宋" w:hAnsi="仿宋" w:eastAsia="仿宋" w:cs="仿宋"/>
                <w:b/>
                <w:bCs/>
                <w:color w:val="auto"/>
                <w:sz w:val="22"/>
                <w:highlight w:val="none"/>
                <w:lang w:val="en-US" w:eastAsia="zh-CN"/>
              </w:rPr>
              <w:t xml:space="preserve">  </w:t>
            </w:r>
          </w:p>
          <w:p>
            <w:pPr>
              <w:spacing w:line="360" w:lineRule="auto"/>
              <w:ind w:firstLine="221" w:firstLineChars="100"/>
              <w:rPr>
                <w:rFonts w:hint="eastAsia" w:ascii="仿宋" w:hAnsi="仿宋" w:eastAsia="仿宋" w:cs="仿宋"/>
                <w:b/>
                <w:bCs/>
                <w:color w:val="auto"/>
                <w:sz w:val="22"/>
                <w:highlight w:val="none"/>
                <w:lang w:val="en-US" w:eastAsia="zh-CN"/>
              </w:rPr>
            </w:pPr>
            <w:r>
              <w:rPr>
                <w:rFonts w:hint="eastAsia" w:ascii="仿宋" w:hAnsi="仿宋" w:eastAsia="仿宋" w:cs="仿宋"/>
                <w:b/>
                <w:bCs/>
                <w:color w:val="auto"/>
                <w:sz w:val="22"/>
                <w:highlight w:val="none"/>
              </w:rPr>
              <w:t>银行账号：24014201040004655</w:t>
            </w:r>
            <w:r>
              <w:rPr>
                <w:rFonts w:hint="eastAsia" w:ascii="仿宋" w:hAnsi="仿宋" w:eastAsia="仿宋" w:cs="仿宋"/>
                <w:b/>
                <w:bCs/>
                <w:color w:val="auto"/>
                <w:sz w:val="22"/>
                <w:highlight w:val="none"/>
                <w:lang w:val="en-US" w:eastAsia="zh-CN"/>
              </w:rPr>
              <w:t xml:space="preserve"> </w:t>
            </w:r>
          </w:p>
          <w:p>
            <w:pPr>
              <w:spacing w:line="360" w:lineRule="auto"/>
              <w:ind w:firstLine="221" w:firstLineChars="100"/>
              <w:rPr>
                <w:rFonts w:hint="default" w:ascii="仿宋" w:hAnsi="仿宋" w:eastAsia="仿宋" w:cs="仿宋"/>
                <w:color w:val="auto"/>
                <w:sz w:val="22"/>
                <w:highlight w:val="none"/>
                <w:lang w:val="en-US" w:eastAsia="zh-CN"/>
              </w:rPr>
            </w:pPr>
            <w:r>
              <w:rPr>
                <w:rFonts w:hint="eastAsia" w:ascii="仿宋" w:hAnsi="仿宋" w:eastAsia="仿宋" w:cs="仿宋"/>
                <w:b/>
                <w:bCs/>
                <w:color w:val="auto"/>
                <w:sz w:val="22"/>
                <w:highlight w:val="none"/>
                <w:lang w:val="en-US" w:eastAsia="zh-CN"/>
              </w:rPr>
              <w:t>联系电话：0871-65611303</w:t>
            </w:r>
          </w:p>
          <w:p>
            <w:pPr>
              <w:spacing w:line="240" w:lineRule="auto"/>
              <w:ind w:firstLine="660" w:firstLineChars="300"/>
              <w:rPr>
                <w:rFonts w:hint="eastAsia" w:ascii="仿宋" w:hAnsi="仿宋" w:eastAsia="仿宋" w:cs="仿宋"/>
                <w:color w:val="auto"/>
                <w:sz w:val="22"/>
                <w:highlight w:val="none"/>
              </w:rPr>
            </w:pPr>
            <w:r>
              <w:rPr>
                <w:rFonts w:hint="eastAsia" w:ascii="仿宋" w:hAnsi="仿宋" w:eastAsia="仿宋" w:cs="仿宋"/>
                <w:color w:val="auto"/>
                <w:sz w:val="22"/>
                <w:highlight w:val="none"/>
              </w:rPr>
              <w:t>注：1、</w:t>
            </w:r>
            <w:r>
              <w:rPr>
                <w:rFonts w:hint="eastAsia" w:ascii="仿宋" w:hAnsi="仿宋" w:eastAsia="仿宋" w:cs="仿宋"/>
                <w:color w:val="auto"/>
                <w:sz w:val="22"/>
                <w:highlight w:val="none"/>
                <w:lang w:eastAsia="zh-CN"/>
              </w:rPr>
              <w:t>投标</w:t>
            </w:r>
            <w:r>
              <w:rPr>
                <w:rFonts w:hint="eastAsia" w:ascii="仿宋" w:hAnsi="仿宋" w:eastAsia="仿宋" w:cs="仿宋"/>
                <w:color w:val="auto"/>
                <w:sz w:val="22"/>
                <w:highlight w:val="none"/>
              </w:rPr>
              <w:t>保证金提交截止时间为</w:t>
            </w:r>
            <w:r>
              <w:rPr>
                <w:rFonts w:hint="eastAsia" w:ascii="仿宋" w:hAnsi="仿宋" w:eastAsia="仿宋" w:cs="仿宋"/>
                <w:color w:val="auto"/>
                <w:sz w:val="22"/>
                <w:highlight w:val="none"/>
                <w:lang w:eastAsia="zh-CN"/>
              </w:rPr>
              <w:t>投标</w:t>
            </w:r>
            <w:r>
              <w:rPr>
                <w:rFonts w:hint="eastAsia" w:ascii="仿宋" w:hAnsi="仿宋" w:eastAsia="仿宋" w:cs="仿宋"/>
                <w:color w:val="auto"/>
                <w:sz w:val="22"/>
                <w:highlight w:val="none"/>
              </w:rPr>
              <w:t>响应文件递交截止时间，到账时间以项目专项账户实际到账时间为准，未按时到账的</w:t>
            </w:r>
            <w:r>
              <w:rPr>
                <w:rFonts w:hint="eastAsia" w:ascii="仿宋" w:hAnsi="仿宋" w:eastAsia="仿宋" w:cs="仿宋"/>
                <w:color w:val="auto"/>
                <w:sz w:val="22"/>
                <w:highlight w:val="none"/>
                <w:lang w:eastAsia="zh-CN"/>
              </w:rPr>
              <w:t>投标</w:t>
            </w:r>
            <w:r>
              <w:rPr>
                <w:rFonts w:hint="eastAsia" w:ascii="仿宋" w:hAnsi="仿宋" w:eastAsia="仿宋" w:cs="仿宋"/>
                <w:color w:val="auto"/>
                <w:sz w:val="22"/>
                <w:highlight w:val="none"/>
              </w:rPr>
              <w:t>保证金视为无效。</w:t>
            </w:r>
          </w:p>
          <w:p>
            <w:pPr>
              <w:spacing w:line="240" w:lineRule="auto"/>
              <w:ind w:firstLine="660" w:firstLineChars="300"/>
              <w:rPr>
                <w:rFonts w:hint="eastAsia" w:ascii="仿宋" w:hAnsi="仿宋" w:eastAsia="仿宋" w:cs="仿宋"/>
                <w:color w:val="auto"/>
                <w:sz w:val="22"/>
                <w:highlight w:val="none"/>
              </w:rPr>
            </w:pPr>
            <w:r>
              <w:rPr>
                <w:rFonts w:hint="eastAsia" w:ascii="仿宋" w:hAnsi="仿宋" w:eastAsia="仿宋" w:cs="仿宋"/>
                <w:color w:val="auto"/>
                <w:sz w:val="22"/>
                <w:highlight w:val="none"/>
              </w:rPr>
              <w:t>2、</w:t>
            </w:r>
            <w:r>
              <w:rPr>
                <w:rFonts w:hint="eastAsia" w:ascii="仿宋" w:hAnsi="仿宋" w:eastAsia="仿宋" w:cs="仿宋"/>
                <w:color w:val="auto"/>
                <w:sz w:val="22"/>
                <w:highlight w:val="none"/>
                <w:lang w:eastAsia="zh-CN"/>
              </w:rPr>
              <w:t>投标</w:t>
            </w:r>
            <w:r>
              <w:rPr>
                <w:rFonts w:hint="eastAsia" w:ascii="仿宋" w:hAnsi="仿宋" w:eastAsia="仿宋" w:cs="仿宋"/>
                <w:color w:val="auto"/>
                <w:sz w:val="22"/>
                <w:highlight w:val="none"/>
              </w:rPr>
              <w:t>保证金退还：</w:t>
            </w:r>
            <w:r>
              <w:rPr>
                <w:rFonts w:hint="eastAsia" w:ascii="仿宋" w:hAnsi="仿宋" w:eastAsia="仿宋" w:cs="仿宋"/>
                <w:color w:val="auto"/>
                <w:sz w:val="22"/>
                <w:highlight w:val="none"/>
                <w:lang w:eastAsia="zh-CN"/>
              </w:rPr>
              <w:t>投标</w:t>
            </w:r>
            <w:r>
              <w:rPr>
                <w:rFonts w:hint="eastAsia" w:ascii="仿宋" w:hAnsi="仿宋" w:eastAsia="仿宋" w:cs="仿宋"/>
                <w:color w:val="auto"/>
                <w:sz w:val="22"/>
                <w:highlight w:val="none"/>
              </w:rPr>
              <w:t>保证金退还时，不退现钞、不退个人。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11</w:t>
            </w:r>
          </w:p>
        </w:tc>
        <w:tc>
          <w:tcPr>
            <w:tcW w:w="1725" w:type="dxa"/>
            <w:vAlign w:val="center"/>
          </w:tcPr>
          <w:p>
            <w:p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投标保证金</w:t>
            </w:r>
          </w:p>
          <w:p>
            <w:pPr>
              <w:spacing w:line="360" w:lineRule="auto"/>
              <w:jc w:val="center"/>
              <w:rPr>
                <w:rFonts w:hint="eastAsia" w:ascii="仿宋" w:hAnsi="仿宋" w:eastAsia="仿宋" w:cs="仿宋"/>
                <w:color w:val="auto"/>
                <w:sz w:val="22"/>
                <w:highlight w:val="none"/>
              </w:rPr>
            </w:pPr>
            <w:r>
              <w:rPr>
                <w:rFonts w:hint="eastAsia" w:ascii="仿宋" w:hAnsi="仿宋" w:eastAsia="仿宋" w:cs="仿宋"/>
                <w:b/>
                <w:bCs/>
                <w:color w:val="auto"/>
                <w:szCs w:val="21"/>
                <w:highlight w:val="none"/>
              </w:rPr>
              <w:t>的退还</w:t>
            </w:r>
          </w:p>
        </w:tc>
        <w:tc>
          <w:tcPr>
            <w:tcW w:w="7746" w:type="dxa"/>
            <w:vAlign w:val="center"/>
          </w:tcPr>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中标结果公示结束后</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个工作日内各投标人</w:t>
            </w:r>
            <w:r>
              <w:rPr>
                <w:rFonts w:hint="eastAsia" w:ascii="仿宋" w:hAnsi="仿宋" w:eastAsia="仿宋" w:cs="仿宋"/>
                <w:b/>
                <w:bCs/>
                <w:color w:val="auto"/>
                <w:szCs w:val="21"/>
                <w:highlight w:val="none"/>
              </w:rPr>
              <w:t>需提供以下资料到招标代理公司办理退保手续（或邮寄以下资料至本公司）</w:t>
            </w:r>
            <w:r>
              <w:rPr>
                <w:rFonts w:hint="eastAsia" w:ascii="仿宋" w:hAnsi="仿宋" w:eastAsia="仿宋" w:cs="仿宋"/>
                <w:color w:val="auto"/>
                <w:szCs w:val="21"/>
                <w:highlight w:val="none"/>
              </w:rPr>
              <w:t>：</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1、授权委托书，需注明项目名称及</w:t>
            </w:r>
            <w:r>
              <w:rPr>
                <w:rFonts w:hint="eastAsia" w:ascii="仿宋" w:hAnsi="仿宋" w:eastAsia="仿宋" w:cs="仿宋"/>
                <w:color w:val="auto"/>
                <w:szCs w:val="21"/>
                <w:highlight w:val="none"/>
                <w:lang w:val="en-US" w:eastAsia="zh-CN"/>
              </w:rPr>
              <w:t>标段</w:t>
            </w:r>
            <w:r>
              <w:rPr>
                <w:rFonts w:hint="eastAsia" w:ascii="仿宋" w:hAnsi="仿宋" w:eastAsia="仿宋" w:cs="仿宋"/>
                <w:color w:val="auto"/>
                <w:szCs w:val="21"/>
                <w:highlight w:val="none"/>
              </w:rPr>
              <w:t>编号（加盖公章）</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2、开户许可证（复印件加盖公章）</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3、转账回单（复印件加盖公章）</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4、由投标人反开一张收款收据（加盖公章或财务章）</w:t>
            </w:r>
          </w:p>
          <w:p>
            <w:pPr>
              <w:spacing w:line="360" w:lineRule="auto"/>
              <w:rPr>
                <w:rFonts w:hint="eastAsia" w:ascii="仿宋" w:hAnsi="仿宋" w:eastAsia="仿宋" w:cs="仿宋"/>
                <w:color w:val="auto"/>
                <w:sz w:val="22"/>
                <w:highlight w:val="none"/>
              </w:rPr>
            </w:pPr>
            <w:r>
              <w:rPr>
                <w:rFonts w:hint="eastAsia" w:ascii="仿宋" w:hAnsi="仿宋" w:eastAsia="仿宋" w:cs="仿宋"/>
                <w:color w:val="auto"/>
                <w:szCs w:val="21"/>
                <w:highlight w:val="none"/>
              </w:rPr>
              <w:t>5、合同复印件（中标单位）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12</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投标文件的组成</w:t>
            </w:r>
          </w:p>
        </w:tc>
        <w:tc>
          <w:tcPr>
            <w:tcW w:w="7746" w:type="dxa"/>
            <w:vAlign w:val="center"/>
          </w:tcPr>
          <w:p>
            <w:pPr>
              <w:spacing w:before="40" w:after="40" w:line="360" w:lineRule="exact"/>
              <w:ind w:right="57"/>
              <w:rPr>
                <w:rFonts w:hint="eastAsia" w:ascii="仿宋" w:hAnsi="仿宋" w:eastAsia="仿宋" w:cs="仿宋"/>
                <w:color w:val="auto"/>
                <w:sz w:val="22"/>
                <w:highlight w:val="none"/>
              </w:rPr>
            </w:pPr>
            <w:r>
              <w:rPr>
                <w:rFonts w:hint="eastAsia" w:ascii="仿宋" w:hAnsi="仿宋" w:eastAsia="仿宋" w:cs="仿宋"/>
                <w:color w:val="auto"/>
                <w:sz w:val="22"/>
                <w:highlight w:val="none"/>
              </w:rPr>
              <w:t>详见招标文件第六章 投标文件格式</w:t>
            </w:r>
          </w:p>
          <w:p>
            <w:pPr>
              <w:spacing w:before="40" w:after="40" w:line="360" w:lineRule="exact"/>
              <w:ind w:right="57"/>
              <w:rPr>
                <w:rFonts w:hint="eastAsia" w:ascii="仿宋" w:hAnsi="仿宋" w:eastAsia="仿宋" w:cs="仿宋"/>
                <w:b/>
                <w:color w:val="auto"/>
                <w:sz w:val="22"/>
                <w:highlight w:val="none"/>
              </w:rPr>
            </w:pPr>
            <w:r>
              <w:rPr>
                <w:rFonts w:hint="eastAsia" w:ascii="仿宋" w:hAnsi="仿宋" w:eastAsia="仿宋" w:cs="仿宋"/>
                <w:b/>
                <w:color w:val="auto"/>
                <w:sz w:val="22"/>
                <w:highlight w:val="none"/>
              </w:rPr>
              <w:t>注：招标文件提供格式的，请按照格式填写，并按顺序装订成册，编写目录和页码。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13</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投标有效期</w:t>
            </w:r>
          </w:p>
        </w:tc>
        <w:tc>
          <w:tcPr>
            <w:tcW w:w="7746" w:type="dxa"/>
            <w:vAlign w:val="center"/>
          </w:tcPr>
          <w:p>
            <w:pPr>
              <w:spacing w:before="40" w:after="40" w:line="360" w:lineRule="exact"/>
              <w:ind w:right="57" w:firstLine="110" w:firstLineChars="50"/>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投标截止日后90天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14</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投标文件递交截止时间和地点</w:t>
            </w:r>
          </w:p>
        </w:tc>
        <w:tc>
          <w:tcPr>
            <w:tcW w:w="7746" w:type="dxa"/>
            <w:vAlign w:val="center"/>
          </w:tcPr>
          <w:p>
            <w:pPr>
              <w:spacing w:before="40" w:after="40" w:line="36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截止时间：</w:t>
            </w:r>
            <w:r>
              <w:rPr>
                <w:rFonts w:hint="eastAsia" w:ascii="仿宋" w:hAnsi="仿宋" w:eastAsia="仿宋" w:cs="仿宋"/>
                <w:color w:val="auto"/>
                <w:sz w:val="22"/>
                <w:highlight w:val="none"/>
                <w:u w:val="single"/>
              </w:rPr>
              <w:t>2023年1月19日09点30分（北京时间，下同）</w:t>
            </w:r>
            <w:r>
              <w:rPr>
                <w:rFonts w:hint="eastAsia" w:ascii="仿宋" w:hAnsi="仿宋" w:eastAsia="仿宋" w:cs="仿宋"/>
                <w:color w:val="auto"/>
                <w:sz w:val="22"/>
                <w:highlight w:val="none"/>
              </w:rPr>
              <w:t>。</w:t>
            </w:r>
          </w:p>
          <w:p>
            <w:pPr>
              <w:spacing w:before="40" w:after="40" w:line="36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地点：</w:t>
            </w:r>
            <w:r>
              <w:rPr>
                <w:rFonts w:hint="eastAsia" w:ascii="仿宋" w:hAnsi="仿宋" w:eastAsia="仿宋" w:cs="仿宋"/>
                <w:color w:val="auto"/>
                <w:sz w:val="22"/>
                <w:highlight w:val="none"/>
                <w:u w:val="single"/>
              </w:rPr>
              <w:t>云南兴语招标有限公司1401会议室（昆明市白云路与志强路交叉口同德昆明广场B区4栋1401）。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15</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开标时间和地点</w:t>
            </w:r>
          </w:p>
        </w:tc>
        <w:tc>
          <w:tcPr>
            <w:tcW w:w="7746" w:type="dxa"/>
            <w:vAlign w:val="center"/>
          </w:tcPr>
          <w:p>
            <w:pPr>
              <w:spacing w:before="40" w:after="40" w:line="36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开标时间：同投标截止时间</w:t>
            </w:r>
          </w:p>
          <w:p>
            <w:pPr>
              <w:spacing w:before="40" w:after="40" w:line="36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地点：</w:t>
            </w:r>
            <w:r>
              <w:rPr>
                <w:rFonts w:hint="eastAsia" w:ascii="仿宋" w:hAnsi="仿宋" w:eastAsia="仿宋" w:cs="仿宋"/>
                <w:color w:val="auto"/>
                <w:sz w:val="22"/>
                <w:highlight w:val="none"/>
                <w:u w:val="single"/>
              </w:rPr>
              <w:t>云南兴语招标有限公司1401会议室（昆明市白云路与志强路交叉口同德昆明广场B区4栋1401）。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16</w:t>
            </w:r>
          </w:p>
        </w:tc>
        <w:tc>
          <w:tcPr>
            <w:tcW w:w="1725" w:type="dxa"/>
            <w:vAlign w:val="center"/>
          </w:tcPr>
          <w:p>
            <w:pPr>
              <w:spacing w:before="40" w:after="40" w:line="360" w:lineRule="exact"/>
              <w:jc w:val="center"/>
              <w:rPr>
                <w:rFonts w:hint="eastAsia" w:ascii="仿宋" w:hAnsi="仿宋" w:eastAsia="仿宋" w:cs="仿宋"/>
                <w:color w:val="auto"/>
                <w:kern w:val="0"/>
                <w:sz w:val="22"/>
                <w:highlight w:val="none"/>
              </w:rPr>
            </w:pPr>
            <w:r>
              <w:rPr>
                <w:rFonts w:hint="eastAsia" w:ascii="仿宋" w:hAnsi="仿宋" w:eastAsia="仿宋" w:cs="仿宋"/>
                <w:color w:val="auto"/>
                <w:sz w:val="22"/>
                <w:highlight w:val="none"/>
              </w:rPr>
              <w:t>评标办法</w:t>
            </w:r>
          </w:p>
        </w:tc>
        <w:tc>
          <w:tcPr>
            <w:tcW w:w="7746" w:type="dxa"/>
            <w:vAlign w:val="center"/>
          </w:tcPr>
          <w:p>
            <w:pPr>
              <w:spacing w:before="40" w:after="40" w:line="360" w:lineRule="exact"/>
              <w:ind w:right="57" w:firstLine="110" w:firstLineChars="50"/>
              <w:jc w:val="left"/>
              <w:rPr>
                <w:rFonts w:hint="eastAsia" w:ascii="仿宋" w:hAnsi="仿宋" w:eastAsia="仿宋" w:cs="仿宋"/>
                <w:color w:val="auto"/>
                <w:sz w:val="22"/>
                <w:highlight w:val="none"/>
              </w:rPr>
            </w:pPr>
            <w:r>
              <w:rPr>
                <w:rFonts w:hint="eastAsia" w:ascii="仿宋" w:hAnsi="仿宋" w:eastAsia="仿宋" w:cs="仿宋"/>
                <w:b/>
                <w:bCs/>
                <w:color w:val="auto"/>
                <w:sz w:val="22"/>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17</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履约保证金</w:t>
            </w:r>
          </w:p>
        </w:tc>
        <w:tc>
          <w:tcPr>
            <w:tcW w:w="7746" w:type="dxa"/>
            <w:vAlign w:val="center"/>
          </w:tcPr>
          <w:p>
            <w:pPr>
              <w:spacing w:before="40" w:after="40" w:line="360" w:lineRule="exact"/>
              <w:ind w:right="57"/>
              <w:jc w:val="left"/>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lang w:val="en-US" w:eastAsia="zh-CN"/>
              </w:rPr>
              <w:t>履约保证金金额：</w:t>
            </w:r>
            <w:r>
              <w:rPr>
                <w:rFonts w:hint="eastAsia" w:ascii="仿宋" w:hAnsi="仿宋" w:eastAsia="仿宋" w:cs="仿宋"/>
                <w:color w:val="auto"/>
                <w:sz w:val="22"/>
                <w:highlight w:val="none"/>
                <w:lang w:eastAsia="zh-CN"/>
              </w:rPr>
              <w:t>合同</w:t>
            </w:r>
            <w:r>
              <w:rPr>
                <w:rFonts w:hint="eastAsia" w:ascii="仿宋" w:hAnsi="仿宋" w:eastAsia="仿宋" w:cs="仿宋"/>
                <w:color w:val="auto"/>
                <w:sz w:val="22"/>
                <w:highlight w:val="none"/>
                <w:lang w:val="en-US" w:eastAsia="zh-CN"/>
              </w:rPr>
              <w:t>金额的</w:t>
            </w:r>
            <w:r>
              <w:rPr>
                <w:rFonts w:hint="eastAsia" w:ascii="仿宋" w:hAnsi="仿宋" w:eastAsia="仿宋" w:cs="仿宋"/>
                <w:color w:val="auto"/>
                <w:sz w:val="22"/>
                <w:highlight w:val="none"/>
                <w:lang w:eastAsia="zh-CN"/>
              </w:rPr>
              <w:t>10%；</w:t>
            </w:r>
          </w:p>
          <w:p>
            <w:pPr>
              <w:spacing w:before="40" w:after="40" w:line="360" w:lineRule="exact"/>
              <w:ind w:right="57"/>
              <w:jc w:val="left"/>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履约保证金形式：转账等非现金形式。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rPr>
              <w:t>1</w:t>
            </w:r>
            <w:r>
              <w:rPr>
                <w:rFonts w:hint="eastAsia" w:ascii="仿宋" w:hAnsi="仿宋" w:eastAsia="仿宋" w:cs="仿宋"/>
                <w:color w:val="auto"/>
                <w:sz w:val="22"/>
                <w:highlight w:val="none"/>
                <w:lang w:val="en-US" w:eastAsia="zh-CN"/>
              </w:rPr>
              <w:t>8</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质量要求</w:t>
            </w:r>
          </w:p>
        </w:tc>
        <w:tc>
          <w:tcPr>
            <w:tcW w:w="7746" w:type="dxa"/>
            <w:vAlign w:val="center"/>
          </w:tcPr>
          <w:p>
            <w:pPr>
              <w:numPr>
                <w:ilvl w:val="0"/>
                <w:numId w:val="0"/>
              </w:numPr>
              <w:spacing w:before="40" w:after="40" w:line="360" w:lineRule="exact"/>
              <w:ind w:right="57" w:rightChars="0"/>
              <w:jc w:val="left"/>
              <w:rPr>
                <w:rFonts w:hint="eastAsia" w:ascii="仿宋" w:hAnsi="仿宋" w:eastAsia="仿宋" w:cs="仿宋"/>
                <w:color w:val="auto"/>
                <w:highlight w:val="none"/>
                <w:lang w:val="en-US" w:eastAsia="zh-CN"/>
              </w:rPr>
            </w:pPr>
            <w:r>
              <w:rPr>
                <w:rFonts w:hint="eastAsia" w:ascii="仿宋" w:hAnsi="仿宋" w:eastAsia="仿宋" w:cs="仿宋"/>
                <w:color w:val="auto"/>
                <w:sz w:val="22"/>
                <w:highlight w:val="none"/>
              </w:rPr>
              <w:t>产品质量符合国家相关规定的要求</w:t>
            </w:r>
            <w:r>
              <w:rPr>
                <w:rFonts w:hint="eastAsia" w:ascii="仿宋" w:hAnsi="仿宋" w:eastAsia="仿宋" w:cs="仿宋"/>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19</w:t>
            </w:r>
          </w:p>
        </w:tc>
        <w:tc>
          <w:tcPr>
            <w:tcW w:w="1725"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分包</w:t>
            </w:r>
          </w:p>
        </w:tc>
        <w:tc>
          <w:tcPr>
            <w:tcW w:w="7746" w:type="dxa"/>
            <w:vAlign w:val="center"/>
          </w:tcPr>
          <w:p>
            <w:pPr>
              <w:spacing w:before="40" w:after="40" w:line="360" w:lineRule="exact"/>
              <w:ind w:right="57"/>
              <w:jc w:val="left"/>
              <w:rPr>
                <w:rFonts w:hint="eastAsia" w:ascii="仿宋" w:hAnsi="仿宋" w:eastAsia="仿宋" w:cs="仿宋"/>
                <w:color w:val="auto"/>
                <w:sz w:val="22"/>
                <w:highlight w:val="none"/>
              </w:rPr>
            </w:pPr>
            <w:r>
              <w:rPr>
                <w:rFonts w:hint="eastAsia" w:ascii="仿宋" w:hAnsi="仿宋" w:eastAsia="仿宋" w:cs="仿宋"/>
                <w:color w:val="auto"/>
                <w:sz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3"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20</w:t>
            </w:r>
          </w:p>
        </w:tc>
        <w:tc>
          <w:tcPr>
            <w:tcW w:w="1725" w:type="dxa"/>
            <w:vAlign w:val="center"/>
          </w:tcPr>
          <w:p>
            <w:pPr>
              <w:spacing w:before="40" w:after="40" w:line="360" w:lineRule="exact"/>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注意事项</w:t>
            </w:r>
          </w:p>
        </w:tc>
        <w:tc>
          <w:tcPr>
            <w:tcW w:w="7746" w:type="dxa"/>
            <w:vAlign w:val="center"/>
          </w:tcPr>
          <w:p>
            <w:pPr>
              <w:spacing w:before="40" w:after="40" w:line="360" w:lineRule="exact"/>
              <w:ind w:right="57"/>
              <w:jc w:val="left"/>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投标人递交</w:t>
            </w:r>
            <w:r>
              <w:rPr>
                <w:rFonts w:hint="eastAsia" w:ascii="仿宋" w:hAnsi="仿宋" w:eastAsia="仿宋" w:cs="仿宋"/>
                <w:color w:val="auto"/>
                <w:sz w:val="22"/>
                <w:szCs w:val="24"/>
                <w:highlight w:val="none"/>
                <w:lang w:val="en-US" w:eastAsia="zh-CN"/>
              </w:rPr>
              <w:t>投标文件</w:t>
            </w:r>
            <w:r>
              <w:rPr>
                <w:rFonts w:hint="eastAsia" w:ascii="仿宋" w:hAnsi="仿宋" w:eastAsia="仿宋" w:cs="仿宋"/>
                <w:color w:val="auto"/>
                <w:sz w:val="22"/>
                <w:szCs w:val="24"/>
                <w:highlight w:val="none"/>
              </w:rPr>
              <w:t>的同时须携带下列证明文件以供检验：</w:t>
            </w:r>
          </w:p>
          <w:p>
            <w:pPr>
              <w:spacing w:before="40" w:after="40" w:line="360" w:lineRule="exact"/>
              <w:ind w:right="57"/>
              <w:jc w:val="left"/>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（1）营业执照副本复印件加盖公章。</w:t>
            </w:r>
          </w:p>
          <w:p>
            <w:pPr>
              <w:spacing w:before="40" w:after="40" w:line="360" w:lineRule="exact"/>
              <w:ind w:right="57"/>
              <w:jc w:val="left"/>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（2）法定代表人身份证明书和法定代表人授权委托书（法人出席的除外）。</w:t>
            </w:r>
          </w:p>
          <w:p>
            <w:pPr>
              <w:spacing w:before="40" w:after="40" w:line="360" w:lineRule="exact"/>
              <w:ind w:right="57"/>
              <w:jc w:val="left"/>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（3）委托代理人身份证（原件，委托代理人投标时提供）。</w:t>
            </w:r>
          </w:p>
          <w:p>
            <w:pPr>
              <w:spacing w:before="40" w:after="40" w:line="360" w:lineRule="exact"/>
              <w:ind w:right="57"/>
              <w:jc w:val="left"/>
              <w:rPr>
                <w:rFonts w:hint="eastAsia" w:ascii="仿宋" w:hAnsi="仿宋" w:eastAsia="仿宋" w:cs="仿宋"/>
                <w:color w:val="auto"/>
                <w:sz w:val="22"/>
                <w:szCs w:val="24"/>
                <w:highlight w:val="none"/>
              </w:rPr>
            </w:pPr>
            <w:r>
              <w:rPr>
                <w:rFonts w:hint="eastAsia" w:ascii="仿宋" w:hAnsi="仿宋" w:eastAsia="仿宋" w:cs="仿宋"/>
                <w:color w:val="auto"/>
                <w:sz w:val="22"/>
                <w:szCs w:val="24"/>
                <w:highlight w:val="none"/>
              </w:rPr>
              <w:t>（4）法定代表人身份证（原件，法定代表人投标时提供）。</w:t>
            </w:r>
          </w:p>
          <w:p>
            <w:pPr>
              <w:spacing w:before="40" w:after="40" w:line="360" w:lineRule="exact"/>
              <w:ind w:right="57"/>
              <w:jc w:val="left"/>
              <w:rPr>
                <w:rFonts w:hint="eastAsia" w:ascii="仿宋" w:hAnsi="仿宋" w:eastAsia="仿宋" w:cs="仿宋"/>
                <w:color w:val="auto"/>
                <w:sz w:val="16"/>
                <w:szCs w:val="16"/>
                <w:highlight w:val="none"/>
              </w:rPr>
            </w:pPr>
            <w:r>
              <w:rPr>
                <w:rFonts w:hint="eastAsia" w:ascii="仿宋" w:hAnsi="仿宋" w:eastAsia="仿宋" w:cs="仿宋"/>
                <w:color w:val="auto"/>
                <w:sz w:val="22"/>
                <w:szCs w:val="24"/>
                <w:highlight w:val="none"/>
              </w:rPr>
              <w:t>（5）投标保证金缴费凭证。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21</w:t>
            </w:r>
          </w:p>
        </w:tc>
        <w:tc>
          <w:tcPr>
            <w:tcW w:w="1725" w:type="dxa"/>
            <w:vAlign w:val="center"/>
          </w:tcPr>
          <w:p>
            <w:pPr>
              <w:spacing w:line="360" w:lineRule="auto"/>
              <w:jc w:val="center"/>
              <w:rPr>
                <w:rFonts w:hint="eastAsia" w:ascii="仿宋" w:hAnsi="仿宋" w:eastAsia="仿宋" w:cs="仿宋"/>
                <w:b/>
                <w:color w:val="auto"/>
                <w:sz w:val="22"/>
                <w:highlight w:val="none"/>
              </w:rPr>
            </w:pPr>
            <w:r>
              <w:rPr>
                <w:rFonts w:hint="eastAsia" w:ascii="仿宋" w:hAnsi="仿宋" w:eastAsia="仿宋" w:cs="仿宋"/>
                <w:color w:val="auto"/>
                <w:szCs w:val="21"/>
                <w:highlight w:val="none"/>
              </w:rPr>
              <w:t>投标人提出问题的截止时间和方法</w:t>
            </w:r>
          </w:p>
        </w:tc>
        <w:tc>
          <w:tcPr>
            <w:tcW w:w="7746" w:type="dxa"/>
            <w:vAlign w:val="center"/>
          </w:tcPr>
          <w:p>
            <w:pPr>
              <w:spacing w:line="380" w:lineRule="exact"/>
              <w:ind w:firstLine="4" w:firstLineChars="2"/>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在投标截止时间10日前。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22</w:t>
            </w:r>
          </w:p>
        </w:tc>
        <w:tc>
          <w:tcPr>
            <w:tcW w:w="1725" w:type="dxa"/>
            <w:vAlign w:val="center"/>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澄清的</w:t>
            </w:r>
          </w:p>
          <w:p>
            <w:pPr>
              <w:spacing w:line="360" w:lineRule="auto"/>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时间和方法</w:t>
            </w:r>
          </w:p>
        </w:tc>
        <w:tc>
          <w:tcPr>
            <w:tcW w:w="7746" w:type="dxa"/>
            <w:vAlign w:val="center"/>
          </w:tcPr>
          <w:p>
            <w:pPr>
              <w:spacing w:line="380" w:lineRule="exact"/>
              <w:ind w:firstLine="4" w:firstLineChars="2"/>
              <w:rPr>
                <w:rFonts w:hint="eastAsia" w:ascii="仿宋" w:hAnsi="仿宋" w:eastAsia="仿宋" w:cs="仿宋"/>
                <w:color w:val="auto"/>
                <w:highlight w:val="none"/>
              </w:rPr>
            </w:pPr>
            <w:r>
              <w:rPr>
                <w:rFonts w:hint="eastAsia" w:ascii="仿宋" w:hAnsi="仿宋" w:eastAsia="仿宋" w:cs="仿宋"/>
                <w:color w:val="auto"/>
                <w:szCs w:val="21"/>
                <w:highlight w:val="none"/>
              </w:rPr>
              <w:t>在投标截止时间15天前。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23</w:t>
            </w:r>
          </w:p>
        </w:tc>
        <w:tc>
          <w:tcPr>
            <w:tcW w:w="1725" w:type="dxa"/>
            <w:vAlign w:val="center"/>
          </w:tcPr>
          <w:p>
            <w:pPr>
              <w:spacing w:line="360" w:lineRule="auto"/>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投标人确认收到招标文件澄清的时间</w:t>
            </w:r>
          </w:p>
        </w:tc>
        <w:tc>
          <w:tcPr>
            <w:tcW w:w="7746" w:type="dxa"/>
            <w:vAlign w:val="center"/>
          </w:tcPr>
          <w:p>
            <w:pPr>
              <w:spacing w:line="380" w:lineRule="exact"/>
              <w:ind w:firstLine="4" w:firstLineChars="2"/>
              <w:rPr>
                <w:rFonts w:hint="eastAsia" w:ascii="仿宋" w:hAnsi="仿宋" w:eastAsia="仿宋" w:cs="仿宋"/>
                <w:color w:val="auto"/>
                <w:highlight w:val="none"/>
              </w:rPr>
            </w:pPr>
            <w:r>
              <w:rPr>
                <w:rFonts w:hint="eastAsia" w:ascii="仿宋" w:hAnsi="仿宋" w:eastAsia="仿宋" w:cs="仿宋"/>
                <w:bCs/>
                <w:color w:val="auto"/>
                <w:szCs w:val="21"/>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24</w:t>
            </w:r>
          </w:p>
        </w:tc>
        <w:tc>
          <w:tcPr>
            <w:tcW w:w="1725" w:type="dxa"/>
            <w:vAlign w:val="center"/>
          </w:tcPr>
          <w:p>
            <w:pPr>
              <w:spacing w:line="360" w:lineRule="auto"/>
              <w:jc w:val="center"/>
              <w:rPr>
                <w:rFonts w:hint="eastAsia" w:ascii="仿宋" w:hAnsi="仿宋" w:eastAsia="仿宋" w:cs="仿宋"/>
                <w:b/>
                <w:color w:val="auto"/>
                <w:sz w:val="22"/>
                <w:highlight w:val="none"/>
              </w:rPr>
            </w:pPr>
            <w:r>
              <w:rPr>
                <w:rFonts w:hint="eastAsia" w:ascii="仿宋" w:hAnsi="仿宋" w:eastAsia="仿宋" w:cs="仿宋"/>
                <w:color w:val="auto"/>
                <w:szCs w:val="21"/>
                <w:highlight w:val="none"/>
              </w:rPr>
              <w:t>投标人确认收到招标文件修改的时间</w:t>
            </w:r>
          </w:p>
        </w:tc>
        <w:tc>
          <w:tcPr>
            <w:tcW w:w="7746" w:type="dxa"/>
            <w:vAlign w:val="center"/>
          </w:tcPr>
          <w:p>
            <w:pPr>
              <w:spacing w:line="360" w:lineRule="auto"/>
              <w:ind w:right="57"/>
              <w:jc w:val="left"/>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26</w:t>
            </w:r>
          </w:p>
        </w:tc>
        <w:tc>
          <w:tcPr>
            <w:tcW w:w="1725" w:type="dxa"/>
            <w:vAlign w:val="center"/>
          </w:tcPr>
          <w:p>
            <w:pPr>
              <w:pStyle w:val="21"/>
              <w:adjustRightInd w:val="0"/>
              <w:snapToGrid w:val="0"/>
              <w:spacing w:before="0" w:beforeAutospacing="0" w:after="0" w:afterAutospacing="0" w:line="320" w:lineRule="exact"/>
              <w:jc w:val="center"/>
              <w:rPr>
                <w:rFonts w:hint="eastAsia"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签字或盖章要求</w:t>
            </w:r>
          </w:p>
        </w:tc>
        <w:tc>
          <w:tcPr>
            <w:tcW w:w="7746" w:type="dxa"/>
            <w:vAlign w:val="center"/>
          </w:tcPr>
          <w:p>
            <w:pPr>
              <w:jc w:val="left"/>
              <w:rPr>
                <w:rFonts w:hint="eastAsia" w:ascii="仿宋" w:hAnsi="仿宋" w:eastAsia="仿宋" w:cs="仿宋"/>
                <w:bCs/>
                <w:color w:val="auto"/>
                <w:sz w:val="22"/>
                <w:highlight w:val="none"/>
              </w:rPr>
            </w:pPr>
            <w:r>
              <w:rPr>
                <w:rFonts w:hint="eastAsia" w:ascii="仿宋" w:hAnsi="仿宋" w:eastAsia="仿宋" w:cs="仿宋"/>
                <w:color w:val="auto"/>
                <w:szCs w:val="21"/>
                <w:highlight w:val="none"/>
              </w:rPr>
              <w:t>按照投标文件格式，加盖投标人公章及法定代表人签字或授权代理人签字。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27</w:t>
            </w:r>
          </w:p>
        </w:tc>
        <w:tc>
          <w:tcPr>
            <w:tcW w:w="1725" w:type="dxa"/>
            <w:vAlign w:val="center"/>
          </w:tcPr>
          <w:p>
            <w:pPr>
              <w:pStyle w:val="21"/>
              <w:adjustRightInd w:val="0"/>
              <w:snapToGrid w:val="0"/>
              <w:spacing w:before="0" w:beforeAutospacing="0" w:after="0" w:afterAutospacing="0" w:line="320" w:lineRule="exact"/>
              <w:jc w:val="center"/>
              <w:rPr>
                <w:rFonts w:hint="eastAsia" w:ascii="仿宋" w:hAnsi="仿宋" w:eastAsia="仿宋" w:cs="仿宋"/>
                <w:color w:val="auto"/>
                <w:sz w:val="21"/>
                <w:szCs w:val="21"/>
                <w:highlight w:val="none"/>
              </w:rPr>
            </w:pPr>
            <w:r>
              <w:rPr>
                <w:rFonts w:hint="eastAsia" w:ascii="仿宋" w:hAnsi="仿宋" w:eastAsia="仿宋" w:cs="仿宋"/>
                <w:bCs/>
                <w:color w:val="auto"/>
                <w:kern w:val="2"/>
                <w:sz w:val="21"/>
                <w:szCs w:val="21"/>
                <w:highlight w:val="none"/>
              </w:rPr>
              <w:t>投标文件份数</w:t>
            </w:r>
          </w:p>
        </w:tc>
        <w:tc>
          <w:tcPr>
            <w:tcW w:w="7746" w:type="dxa"/>
            <w:vAlign w:val="center"/>
          </w:tcPr>
          <w:p>
            <w:pPr>
              <w:jc w:val="left"/>
              <w:rPr>
                <w:rFonts w:hint="eastAsia" w:ascii="仿宋" w:hAnsi="仿宋" w:eastAsia="仿宋" w:cs="仿宋"/>
                <w:color w:val="auto"/>
                <w:highlight w:val="none"/>
              </w:rPr>
            </w:pPr>
            <w:r>
              <w:rPr>
                <w:rFonts w:hint="eastAsia" w:ascii="仿宋" w:hAnsi="仿宋" w:eastAsia="仿宋" w:cs="仿宋"/>
                <w:b/>
                <w:bCs/>
                <w:color w:val="auto"/>
                <w:highlight w:val="none"/>
              </w:rPr>
              <w:t>文本标书</w:t>
            </w:r>
            <w:r>
              <w:rPr>
                <w:rFonts w:hint="eastAsia" w:ascii="仿宋" w:hAnsi="仿宋" w:eastAsia="仿宋" w:cs="仿宋"/>
                <w:color w:val="auto"/>
                <w:highlight w:val="none"/>
              </w:rPr>
              <w:t>：正本一份，副本二份。</w:t>
            </w:r>
          </w:p>
          <w:p>
            <w:pPr>
              <w:spacing w:line="360" w:lineRule="auto"/>
              <w:jc w:val="left"/>
              <w:rPr>
                <w:rFonts w:hint="eastAsia" w:ascii="仿宋" w:hAnsi="仿宋" w:eastAsia="仿宋" w:cs="仿宋"/>
                <w:color w:val="auto"/>
                <w:highlight w:val="none"/>
              </w:rPr>
            </w:pPr>
            <w:r>
              <w:rPr>
                <w:rFonts w:hint="eastAsia" w:ascii="仿宋" w:hAnsi="仿宋" w:eastAsia="仿宋" w:cs="仿宋"/>
                <w:b/>
                <w:bCs/>
                <w:color w:val="auto"/>
                <w:highlight w:val="none"/>
              </w:rPr>
              <w:t>电子标书</w:t>
            </w:r>
            <w:r>
              <w:rPr>
                <w:rFonts w:hint="eastAsia" w:ascii="仿宋" w:hAnsi="仿宋" w:eastAsia="仿宋" w:cs="仿宋"/>
                <w:color w:val="auto"/>
                <w:highlight w:val="none"/>
              </w:rPr>
              <w:t>：（U盘一个），包含：投标文件的所有内容，word格式一份；投标文件扫描件一份（签字盖章后投标文件的所有内容（包含封面）彩色扫描至pdf格式，如扫描件与纸质文件正本不一致，作否决投标处理）。</w:t>
            </w:r>
          </w:p>
          <w:p>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highlight w:val="none"/>
              </w:rPr>
              <w:t>投标文件电子版和投标文件纸质文件统一密封。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28</w:t>
            </w:r>
          </w:p>
        </w:tc>
        <w:tc>
          <w:tcPr>
            <w:tcW w:w="1725" w:type="dxa"/>
            <w:vAlign w:val="center"/>
          </w:tcPr>
          <w:p>
            <w:pPr>
              <w:pStyle w:val="21"/>
              <w:adjustRightInd w:val="0"/>
              <w:snapToGrid w:val="0"/>
              <w:spacing w:before="0" w:beforeAutospacing="0" w:after="0" w:afterAutospacing="0" w:line="320" w:lineRule="exact"/>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装订要求</w:t>
            </w:r>
          </w:p>
        </w:tc>
        <w:tc>
          <w:tcPr>
            <w:tcW w:w="7746" w:type="dxa"/>
            <w:vAlign w:val="center"/>
          </w:tcPr>
          <w:p>
            <w:pPr>
              <w:adjustRightInd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2"/>
                <w:szCs w:val="24"/>
                <w:highlight w:val="none"/>
              </w:rPr>
              <w:t>投标文件的正本与副本应分别装订成册，投标文件的正本与副本不得采用活页夹等可随时拆换的方式装订。投标文件应编制目录，并且逐页标注连续页码，否则，</w:t>
            </w:r>
            <w:r>
              <w:rPr>
                <w:rFonts w:hint="eastAsia" w:ascii="仿宋" w:hAnsi="仿宋" w:eastAsia="仿宋" w:cs="仿宋"/>
                <w:color w:val="auto"/>
                <w:sz w:val="22"/>
                <w:szCs w:val="24"/>
                <w:highlight w:val="none"/>
                <w:lang w:eastAsia="zh-CN"/>
              </w:rPr>
              <w:t>采购人</w:t>
            </w:r>
            <w:r>
              <w:rPr>
                <w:rFonts w:hint="eastAsia" w:ascii="仿宋" w:hAnsi="仿宋" w:eastAsia="仿宋" w:cs="仿宋"/>
                <w:color w:val="auto"/>
                <w:sz w:val="22"/>
                <w:szCs w:val="24"/>
                <w:highlight w:val="none"/>
              </w:rPr>
              <w:t>对由于投标文件装订松散而造成的丢失或其他后果不承担任何责任。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29</w:t>
            </w:r>
          </w:p>
        </w:tc>
        <w:tc>
          <w:tcPr>
            <w:tcW w:w="1725" w:type="dxa"/>
            <w:vAlign w:val="center"/>
          </w:tcPr>
          <w:p>
            <w:pPr>
              <w:pStyle w:val="21"/>
              <w:adjustRightInd w:val="0"/>
              <w:snapToGrid w:val="0"/>
              <w:spacing w:before="0" w:beforeAutospacing="0" w:after="0" w:afterAutospacing="0" w:line="320" w:lineRule="exact"/>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密封标识</w:t>
            </w:r>
          </w:p>
        </w:tc>
        <w:tc>
          <w:tcPr>
            <w:tcW w:w="7746" w:type="dxa"/>
            <w:vAlign w:val="center"/>
          </w:tcPr>
          <w:p>
            <w:pPr>
              <w:pStyle w:val="21"/>
              <w:adjustRightInd w:val="0"/>
              <w:snapToGrid w:val="0"/>
              <w:spacing w:before="0" w:beforeAutospacing="0" w:after="0" w:afterAutospacing="0" w:line="320" w:lineRule="exac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eastAsia="zh-CN"/>
              </w:rPr>
              <w:t>采购人</w:t>
            </w:r>
            <w:r>
              <w:rPr>
                <w:rFonts w:hint="eastAsia" w:ascii="仿宋" w:hAnsi="仿宋" w:eastAsia="仿宋" w:cs="仿宋"/>
                <w:color w:val="auto"/>
                <w:kern w:val="2"/>
                <w:sz w:val="21"/>
                <w:szCs w:val="21"/>
                <w:highlight w:val="none"/>
              </w:rPr>
              <w:t xml:space="preserve">名称： </w:t>
            </w:r>
          </w:p>
          <w:p>
            <w:pPr>
              <w:pStyle w:val="21"/>
              <w:adjustRightInd w:val="0"/>
              <w:snapToGrid w:val="0"/>
              <w:spacing w:before="0" w:beforeAutospacing="0" w:after="0" w:afterAutospacing="0" w:line="320" w:lineRule="exac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投标人名称：</w:t>
            </w:r>
          </w:p>
          <w:p>
            <w:pPr>
              <w:pStyle w:val="21"/>
              <w:adjustRightInd w:val="0"/>
              <w:snapToGrid w:val="0"/>
              <w:spacing w:before="0" w:beforeAutospacing="0" w:after="0" w:afterAutospacing="0" w:line="320" w:lineRule="exac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u w:val="single"/>
              </w:rPr>
              <w:t>（项目名称）</w:t>
            </w:r>
            <w:r>
              <w:rPr>
                <w:rFonts w:hint="eastAsia" w:ascii="仿宋" w:hAnsi="仿宋" w:eastAsia="仿宋" w:cs="仿宋"/>
                <w:color w:val="auto"/>
                <w:kern w:val="2"/>
                <w:sz w:val="21"/>
                <w:szCs w:val="21"/>
                <w:highlight w:val="none"/>
                <w:u w:val="single"/>
                <w:lang w:val="en-US" w:eastAsia="zh-CN"/>
              </w:rPr>
              <w:t>xx标段</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投标文件</w:t>
            </w:r>
          </w:p>
          <w:p>
            <w:pPr>
              <w:pStyle w:val="21"/>
              <w:adjustRightInd w:val="0"/>
              <w:snapToGrid w:val="0"/>
              <w:spacing w:before="0" w:beforeAutospacing="0" w:after="0" w:afterAutospacing="0" w:line="320" w:lineRule="exac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项目编号：</w:t>
            </w:r>
            <w:r>
              <w:rPr>
                <w:rFonts w:hint="eastAsia" w:ascii="仿宋" w:hAnsi="仿宋" w:eastAsia="仿宋" w:cs="仿宋"/>
                <w:color w:val="auto"/>
                <w:kern w:val="2"/>
                <w:sz w:val="21"/>
                <w:szCs w:val="21"/>
                <w:highlight w:val="none"/>
                <w:lang w:eastAsia="zh-CN"/>
              </w:rPr>
              <w:t>YNXYZB（DZJ）20221101</w:t>
            </w:r>
            <w:r>
              <w:rPr>
                <w:rFonts w:hint="eastAsia" w:ascii="仿宋" w:hAnsi="仿宋" w:eastAsia="仿宋" w:cs="仿宋"/>
                <w:color w:val="auto"/>
                <w:kern w:val="2"/>
                <w:sz w:val="21"/>
                <w:szCs w:val="21"/>
                <w:highlight w:val="none"/>
              </w:rPr>
              <w:t xml:space="preserve"> </w:t>
            </w:r>
          </w:p>
          <w:p>
            <w:pPr>
              <w:pStyle w:val="21"/>
              <w:adjustRightInd w:val="0"/>
              <w:snapToGrid w:val="0"/>
              <w:spacing w:before="0" w:beforeAutospacing="0" w:after="0" w:afterAutospacing="0" w:line="320" w:lineRule="exact"/>
              <w:rPr>
                <w:rFonts w:hint="eastAsia" w:ascii="仿宋" w:hAnsi="仿宋" w:eastAsia="仿宋" w:cs="仿宋"/>
                <w:color w:val="auto"/>
                <w:sz w:val="22"/>
                <w:szCs w:val="24"/>
                <w:highlight w:val="none"/>
              </w:rPr>
            </w:pP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日</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时</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分开标，此时间以前不得开封。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652" w:type="dxa"/>
            <w:vAlign w:val="center"/>
          </w:tcPr>
          <w:p>
            <w:pPr>
              <w:spacing w:before="40" w:after="40" w:line="360" w:lineRule="exact"/>
              <w:jc w:val="center"/>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30</w:t>
            </w:r>
          </w:p>
        </w:tc>
        <w:tc>
          <w:tcPr>
            <w:tcW w:w="1725" w:type="dxa"/>
            <w:vAlign w:val="center"/>
          </w:tcPr>
          <w:p>
            <w:pPr>
              <w:pStyle w:val="21"/>
              <w:adjustRightInd w:val="0"/>
              <w:snapToGrid w:val="0"/>
              <w:spacing w:before="0" w:beforeAutospacing="0" w:after="0" w:afterAutospacing="0" w:line="320" w:lineRule="exact"/>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投标文件审查</w:t>
            </w:r>
          </w:p>
        </w:tc>
        <w:tc>
          <w:tcPr>
            <w:tcW w:w="7746" w:type="dxa"/>
            <w:vAlign w:val="center"/>
          </w:tcPr>
          <w:p>
            <w:pPr>
              <w:pStyle w:val="21"/>
              <w:adjustRightInd w:val="0"/>
              <w:snapToGrid w:val="0"/>
              <w:spacing w:before="0" w:beforeAutospacing="0" w:after="0" w:afterAutospacing="0" w:line="320" w:lineRule="exact"/>
              <w:rPr>
                <w:rFonts w:hint="eastAsia" w:ascii="仿宋" w:hAnsi="仿宋" w:eastAsia="仿宋" w:cs="仿宋"/>
                <w:color w:val="auto"/>
                <w:kern w:val="2"/>
                <w:sz w:val="21"/>
                <w:szCs w:val="21"/>
                <w:highlight w:val="none"/>
                <w:u w:val="single"/>
                <w:lang w:val="en-US" w:eastAsia="zh-CN"/>
              </w:rPr>
            </w:pPr>
            <w:r>
              <w:rPr>
                <w:rFonts w:hint="eastAsia" w:ascii="仿宋" w:hAnsi="仿宋" w:eastAsia="仿宋" w:cs="仿宋"/>
                <w:color w:val="auto"/>
                <w:kern w:val="2"/>
                <w:sz w:val="21"/>
                <w:szCs w:val="21"/>
                <w:highlight w:val="none"/>
                <w:u w:val="none"/>
                <w:lang w:eastAsia="zh-CN"/>
              </w:rPr>
              <w:t>投标文件的资格审查</w:t>
            </w:r>
            <w:r>
              <w:rPr>
                <w:rFonts w:hint="eastAsia" w:ascii="仿宋" w:hAnsi="仿宋" w:eastAsia="仿宋" w:cs="仿宋"/>
                <w:color w:val="auto"/>
                <w:kern w:val="2"/>
                <w:sz w:val="21"/>
                <w:szCs w:val="21"/>
                <w:highlight w:val="none"/>
                <w:u w:val="none"/>
                <w:lang w:val="en-US" w:eastAsia="zh-CN"/>
              </w:rPr>
              <w:t>要求</w:t>
            </w:r>
            <w:r>
              <w:rPr>
                <w:rFonts w:hint="eastAsia" w:ascii="仿宋" w:hAnsi="仿宋" w:eastAsia="仿宋" w:cs="仿宋"/>
                <w:color w:val="auto"/>
                <w:kern w:val="2"/>
                <w:sz w:val="21"/>
                <w:szCs w:val="21"/>
                <w:highlight w:val="none"/>
                <w:u w:val="none"/>
                <w:lang w:eastAsia="zh-CN"/>
              </w:rPr>
              <w:t>、符合性审查</w:t>
            </w:r>
            <w:r>
              <w:rPr>
                <w:rFonts w:hint="eastAsia" w:ascii="仿宋" w:hAnsi="仿宋" w:eastAsia="仿宋" w:cs="仿宋"/>
                <w:color w:val="auto"/>
                <w:kern w:val="2"/>
                <w:sz w:val="21"/>
                <w:szCs w:val="21"/>
                <w:highlight w:val="none"/>
                <w:u w:val="none"/>
                <w:lang w:val="en-US" w:eastAsia="zh-CN"/>
              </w:rPr>
              <w:t>要求</w:t>
            </w:r>
            <w:r>
              <w:rPr>
                <w:rFonts w:hint="eastAsia" w:ascii="仿宋" w:hAnsi="仿宋" w:eastAsia="仿宋" w:cs="仿宋"/>
                <w:color w:val="auto"/>
                <w:kern w:val="2"/>
                <w:sz w:val="21"/>
                <w:szCs w:val="21"/>
                <w:highlight w:val="none"/>
                <w:u w:val="none"/>
                <w:lang w:eastAsia="zh-CN"/>
              </w:rPr>
              <w:t>不得负偏离，</w:t>
            </w:r>
            <w:r>
              <w:rPr>
                <w:rFonts w:hint="eastAsia" w:ascii="仿宋" w:hAnsi="仿宋" w:eastAsia="仿宋" w:cs="仿宋"/>
                <w:color w:val="auto"/>
                <w:kern w:val="2"/>
                <w:sz w:val="21"/>
                <w:szCs w:val="21"/>
                <w:highlight w:val="none"/>
                <w:u w:val="none"/>
                <w:lang w:val="en-US" w:eastAsia="zh-CN"/>
              </w:rPr>
              <w:t>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652" w:type="dxa"/>
            <w:vAlign w:val="center"/>
          </w:tcPr>
          <w:p>
            <w:pPr>
              <w:spacing w:before="40" w:after="40" w:line="360" w:lineRule="exact"/>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31</w:t>
            </w:r>
          </w:p>
        </w:tc>
        <w:tc>
          <w:tcPr>
            <w:tcW w:w="1725" w:type="dxa"/>
            <w:vAlign w:val="center"/>
          </w:tcPr>
          <w:p>
            <w:pPr>
              <w:pStyle w:val="21"/>
              <w:adjustRightInd w:val="0"/>
              <w:snapToGrid w:val="0"/>
              <w:spacing w:before="0" w:beforeAutospacing="0" w:after="0" w:afterAutospacing="0" w:line="320" w:lineRule="exact"/>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标段编号</w:t>
            </w:r>
          </w:p>
        </w:tc>
        <w:tc>
          <w:tcPr>
            <w:tcW w:w="7746" w:type="dxa"/>
            <w:vAlign w:val="center"/>
          </w:tcPr>
          <w:p>
            <w:pPr>
              <w:pStyle w:val="21"/>
              <w:adjustRightInd w:val="0"/>
              <w:snapToGrid w:val="0"/>
              <w:spacing w:before="0" w:beforeAutospacing="0" w:after="0" w:afterAutospacing="0" w:line="320" w:lineRule="exact"/>
              <w:rPr>
                <w:rFonts w:hint="default" w:ascii="仿宋" w:hAnsi="仿宋" w:eastAsia="仿宋" w:cs="仿宋"/>
                <w:color w:val="auto"/>
                <w:kern w:val="2"/>
                <w:sz w:val="21"/>
                <w:szCs w:val="21"/>
                <w:highlight w:val="none"/>
                <w:u w:val="none"/>
                <w:lang w:val="en-US" w:eastAsia="zh-CN"/>
              </w:rPr>
            </w:pPr>
            <w:r>
              <w:rPr>
                <w:rFonts w:hint="eastAsia" w:ascii="仿宋" w:hAnsi="仿宋" w:eastAsia="仿宋" w:cs="仿宋"/>
                <w:color w:val="auto"/>
                <w:kern w:val="2"/>
                <w:sz w:val="21"/>
                <w:szCs w:val="21"/>
                <w:highlight w:val="none"/>
                <w:u w:val="none"/>
                <w:lang w:val="en-US" w:eastAsia="zh-CN"/>
              </w:rPr>
              <w:t>1标段：</w:t>
            </w:r>
            <w:r>
              <w:rPr>
                <w:rFonts w:hint="eastAsia" w:ascii="仿宋" w:hAnsi="仿宋" w:eastAsia="仿宋" w:cs="仿宋"/>
                <w:color w:val="auto"/>
                <w:sz w:val="22"/>
                <w:highlight w:val="none"/>
                <w:lang w:eastAsia="zh-CN"/>
              </w:rPr>
              <w:t>YNXYZB（DZJ）20221101</w:t>
            </w:r>
            <w:r>
              <w:rPr>
                <w:rFonts w:hint="eastAsia" w:ascii="仿宋" w:hAnsi="仿宋" w:eastAsia="仿宋" w:cs="仿宋"/>
                <w:color w:val="auto"/>
                <w:sz w:val="22"/>
                <w:highlight w:val="none"/>
              </w:rPr>
              <w:t xml:space="preserve"> </w:t>
            </w:r>
            <w:r>
              <w:rPr>
                <w:rFonts w:hint="eastAsia" w:ascii="仿宋" w:hAnsi="仿宋" w:eastAsia="仿宋" w:cs="仿宋"/>
                <w:color w:val="auto"/>
                <w:sz w:val="22"/>
                <w:highlight w:val="none"/>
                <w:lang w:val="en-US" w:eastAsia="zh-CN"/>
              </w:rPr>
              <w:t>-1。</w:t>
            </w:r>
          </w:p>
        </w:tc>
      </w:tr>
    </w:tbl>
    <w:p>
      <w:pPr>
        <w:spacing w:line="360" w:lineRule="auto"/>
        <w:jc w:val="center"/>
        <w:rPr>
          <w:rFonts w:hint="eastAsia" w:ascii="仿宋" w:hAnsi="仿宋" w:eastAsia="仿宋" w:cs="仿宋"/>
          <w:color w:val="auto"/>
          <w:sz w:val="20"/>
          <w:szCs w:val="21"/>
          <w:highlight w:val="none"/>
        </w:rPr>
      </w:pPr>
      <w:r>
        <w:rPr>
          <w:rFonts w:hint="eastAsia" w:ascii="仿宋" w:hAnsi="仿宋" w:eastAsia="仿宋" w:cs="仿宋"/>
          <w:b/>
          <w:color w:val="auto"/>
          <w:sz w:val="22"/>
          <w:szCs w:val="21"/>
          <w:highlight w:val="none"/>
        </w:rPr>
        <w:br w:type="page"/>
      </w:r>
      <w:bookmarkStart w:id="38" w:name="_Toc448305490"/>
      <w:r>
        <w:rPr>
          <w:rFonts w:hint="eastAsia" w:ascii="仿宋" w:hAnsi="仿宋" w:eastAsia="仿宋" w:cs="仿宋"/>
          <w:b/>
          <w:color w:val="auto"/>
          <w:sz w:val="28"/>
          <w:szCs w:val="28"/>
          <w:highlight w:val="none"/>
        </w:rPr>
        <w:t>投标人须知</w:t>
      </w:r>
      <w:bookmarkEnd w:id="38"/>
      <w:r>
        <w:rPr>
          <w:rFonts w:hint="eastAsia" w:ascii="仿宋" w:hAnsi="仿宋" w:eastAsia="仿宋" w:cs="仿宋"/>
          <w:b/>
          <w:color w:val="auto"/>
          <w:sz w:val="28"/>
          <w:szCs w:val="28"/>
          <w:highlight w:val="none"/>
        </w:rPr>
        <w:t>正文</w:t>
      </w:r>
    </w:p>
    <w:p>
      <w:pPr>
        <w:pStyle w:val="4"/>
        <w:jc w:val="center"/>
        <w:rPr>
          <w:rFonts w:hint="eastAsia" w:ascii="仿宋" w:hAnsi="仿宋" w:eastAsia="仿宋" w:cs="仿宋"/>
          <w:color w:val="auto"/>
          <w:highlight w:val="none"/>
        </w:rPr>
      </w:pPr>
      <w:r>
        <w:rPr>
          <w:rFonts w:hint="eastAsia" w:ascii="仿宋" w:hAnsi="仿宋" w:eastAsia="仿宋" w:cs="仿宋"/>
          <w:color w:val="auto"/>
          <w:highlight w:val="none"/>
        </w:rPr>
        <w:t>一、总  则</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1、项目概况</w:t>
      </w:r>
    </w:p>
    <w:p>
      <w:pPr>
        <w:autoSpaceDE w:val="0"/>
        <w:autoSpaceDN w:val="0"/>
        <w:adjustRightInd w:val="0"/>
        <w:spacing w:line="360" w:lineRule="auto"/>
        <w:ind w:left="134" w:leftChars="64" w:firstLine="215" w:firstLineChars="98"/>
        <w:rPr>
          <w:rFonts w:hint="eastAsia" w:ascii="仿宋" w:hAnsi="仿宋" w:eastAsia="仿宋" w:cs="仿宋"/>
          <w:color w:val="auto"/>
          <w:sz w:val="22"/>
          <w:szCs w:val="21"/>
          <w:highlight w:val="none"/>
        </w:rPr>
      </w:pPr>
      <w:r>
        <w:rPr>
          <w:rFonts w:hint="eastAsia" w:ascii="仿宋" w:hAnsi="仿宋" w:eastAsia="仿宋" w:cs="仿宋"/>
          <w:color w:val="auto"/>
          <w:kern w:val="0"/>
          <w:sz w:val="22"/>
          <w:szCs w:val="21"/>
          <w:highlight w:val="none"/>
        </w:rPr>
        <w:t>1.1、</w:t>
      </w:r>
      <w:r>
        <w:rPr>
          <w:rFonts w:hint="eastAsia" w:ascii="仿宋" w:hAnsi="仿宋" w:eastAsia="仿宋" w:cs="仿宋"/>
          <w:color w:val="auto"/>
          <w:sz w:val="22"/>
          <w:szCs w:val="21"/>
          <w:highlight w:val="none"/>
        </w:rPr>
        <w:t>项目名称：</w:t>
      </w:r>
      <w:r>
        <w:rPr>
          <w:rFonts w:hint="eastAsia" w:ascii="仿宋" w:hAnsi="仿宋" w:eastAsia="仿宋" w:cs="仿宋"/>
          <w:color w:val="auto"/>
          <w:sz w:val="22"/>
          <w:highlight w:val="none"/>
        </w:rPr>
        <w:t>见“投标人须知前附表”。</w:t>
      </w:r>
    </w:p>
    <w:p>
      <w:pPr>
        <w:autoSpaceDE w:val="0"/>
        <w:autoSpaceDN w:val="0"/>
        <w:adjustRightInd w:val="0"/>
        <w:spacing w:line="360" w:lineRule="auto"/>
        <w:ind w:left="134" w:leftChars="64" w:firstLine="215" w:firstLineChars="98"/>
        <w:rPr>
          <w:rFonts w:hint="eastAsia" w:ascii="仿宋" w:hAnsi="仿宋" w:eastAsia="仿宋" w:cs="仿宋"/>
          <w:color w:val="auto"/>
          <w:sz w:val="22"/>
          <w:highlight w:val="none"/>
        </w:rPr>
      </w:pPr>
      <w:r>
        <w:rPr>
          <w:rFonts w:hint="eastAsia" w:ascii="仿宋" w:hAnsi="仿宋" w:eastAsia="仿宋" w:cs="仿宋"/>
          <w:color w:val="auto"/>
          <w:kern w:val="0"/>
          <w:sz w:val="22"/>
          <w:szCs w:val="21"/>
          <w:highlight w:val="none"/>
        </w:rPr>
        <w:t>1.2、</w:t>
      </w:r>
      <w:r>
        <w:rPr>
          <w:rFonts w:hint="eastAsia" w:ascii="仿宋" w:hAnsi="仿宋" w:eastAsia="仿宋" w:cs="仿宋"/>
          <w:color w:val="auto"/>
          <w:sz w:val="22"/>
          <w:szCs w:val="21"/>
          <w:highlight w:val="none"/>
        </w:rPr>
        <w:t>项目编号：</w:t>
      </w:r>
      <w:r>
        <w:rPr>
          <w:rFonts w:hint="eastAsia" w:ascii="仿宋" w:hAnsi="仿宋" w:eastAsia="仿宋" w:cs="仿宋"/>
          <w:color w:val="auto"/>
          <w:sz w:val="22"/>
          <w:highlight w:val="none"/>
        </w:rPr>
        <w:t>见“投标人须知前附表”。</w:t>
      </w:r>
    </w:p>
    <w:p>
      <w:pPr>
        <w:autoSpaceDE w:val="0"/>
        <w:autoSpaceDN w:val="0"/>
        <w:adjustRightInd w:val="0"/>
        <w:spacing w:line="360" w:lineRule="auto"/>
        <w:ind w:left="134" w:leftChars="64" w:firstLine="215" w:firstLineChars="98"/>
        <w:rPr>
          <w:rFonts w:hint="eastAsia" w:ascii="仿宋" w:hAnsi="仿宋" w:eastAsia="仿宋" w:cs="仿宋"/>
          <w:color w:val="auto"/>
          <w:sz w:val="22"/>
          <w:szCs w:val="21"/>
          <w:highlight w:val="none"/>
        </w:rPr>
      </w:pPr>
      <w:r>
        <w:rPr>
          <w:rFonts w:hint="eastAsia" w:ascii="仿宋" w:hAnsi="仿宋" w:eastAsia="仿宋" w:cs="仿宋"/>
          <w:color w:val="auto"/>
          <w:kern w:val="0"/>
          <w:sz w:val="22"/>
          <w:szCs w:val="21"/>
          <w:highlight w:val="none"/>
        </w:rPr>
        <w:t>1.3、标段划分：</w:t>
      </w:r>
      <w:r>
        <w:rPr>
          <w:rFonts w:hint="eastAsia" w:ascii="仿宋" w:hAnsi="仿宋" w:eastAsia="仿宋" w:cs="仿宋"/>
          <w:color w:val="auto"/>
          <w:sz w:val="22"/>
          <w:highlight w:val="none"/>
        </w:rPr>
        <w:t>见“投标人须知前附表”。</w:t>
      </w:r>
    </w:p>
    <w:p>
      <w:pPr>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1.4、</w:t>
      </w:r>
      <w:r>
        <w:rPr>
          <w:rFonts w:hint="eastAsia" w:ascii="仿宋" w:hAnsi="仿宋" w:eastAsia="仿宋" w:cs="仿宋"/>
          <w:color w:val="auto"/>
          <w:sz w:val="22"/>
          <w:highlight w:val="none"/>
        </w:rPr>
        <w:t>供货期：见“投标人须知前附表”。</w:t>
      </w:r>
    </w:p>
    <w:p>
      <w:pPr>
        <w:autoSpaceDE w:val="0"/>
        <w:autoSpaceDN w:val="0"/>
        <w:adjustRightInd w:val="0"/>
        <w:spacing w:line="360" w:lineRule="auto"/>
        <w:ind w:firstLine="323" w:firstLineChars="147"/>
        <w:rPr>
          <w:rFonts w:hint="eastAsia" w:ascii="仿宋" w:hAnsi="仿宋" w:eastAsia="仿宋" w:cs="仿宋"/>
          <w:color w:val="auto"/>
          <w:sz w:val="22"/>
          <w:highlight w:val="none"/>
        </w:rPr>
      </w:pPr>
      <w:r>
        <w:rPr>
          <w:rFonts w:hint="eastAsia" w:ascii="仿宋" w:hAnsi="仿宋" w:eastAsia="仿宋" w:cs="仿宋"/>
          <w:color w:val="auto"/>
          <w:kern w:val="0"/>
          <w:sz w:val="22"/>
          <w:szCs w:val="21"/>
          <w:highlight w:val="none"/>
        </w:rPr>
        <w:t>1.5、</w:t>
      </w:r>
      <w:r>
        <w:rPr>
          <w:rFonts w:hint="eastAsia" w:ascii="仿宋" w:hAnsi="仿宋" w:eastAsia="仿宋" w:cs="仿宋"/>
          <w:color w:val="auto"/>
          <w:sz w:val="22"/>
          <w:highlight w:val="none"/>
        </w:rPr>
        <w:t>供货地点：见“投标人须知前附表”。</w:t>
      </w:r>
    </w:p>
    <w:p>
      <w:pPr>
        <w:autoSpaceDE w:val="0"/>
        <w:autoSpaceDN w:val="0"/>
        <w:adjustRightInd w:val="0"/>
        <w:spacing w:line="360" w:lineRule="auto"/>
        <w:ind w:firstLine="323" w:firstLineChars="147"/>
        <w:rPr>
          <w:rFonts w:hint="eastAsia" w:ascii="仿宋" w:hAnsi="仿宋" w:eastAsia="仿宋" w:cs="仿宋"/>
          <w:color w:val="auto"/>
          <w:sz w:val="22"/>
          <w:highlight w:val="none"/>
        </w:rPr>
      </w:pPr>
      <w:r>
        <w:rPr>
          <w:rFonts w:hint="eastAsia" w:ascii="仿宋" w:hAnsi="仿宋" w:eastAsia="仿宋" w:cs="仿宋"/>
          <w:color w:val="auto"/>
          <w:sz w:val="22"/>
          <w:highlight w:val="none"/>
        </w:rPr>
        <w:t>1.6、质量标准：见“投标人须知前附表”。</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sz w:val="22"/>
          <w:highlight w:val="none"/>
        </w:rPr>
        <w:t>1.7、资金来源：见“投标人须知前附表”。</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2、投标人资格要求</w:t>
      </w:r>
    </w:p>
    <w:p>
      <w:pPr>
        <w:pStyle w:val="9"/>
        <w:spacing w:line="360" w:lineRule="auto"/>
        <w:ind w:firstLine="440"/>
        <w:rPr>
          <w:rFonts w:hint="eastAsia" w:ascii="仿宋" w:hAnsi="仿宋" w:eastAsia="仿宋" w:cs="仿宋"/>
          <w:color w:val="auto"/>
          <w:kern w:val="0"/>
          <w:sz w:val="22"/>
          <w:szCs w:val="21"/>
          <w:highlight w:val="none"/>
        </w:rPr>
      </w:pPr>
      <w:r>
        <w:rPr>
          <w:rFonts w:hint="eastAsia" w:ascii="仿宋" w:hAnsi="仿宋" w:eastAsia="仿宋" w:cs="仿宋"/>
          <w:color w:val="auto"/>
          <w:sz w:val="22"/>
          <w:highlight w:val="none"/>
        </w:rPr>
        <w:t>见“投标人须知前附表”。</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3、投标费用</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3.1、投标人应承担其编制投标文件与递交投标文件所涉及的一切费用。不管投标结果如何，</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对上述费用不负任何责任。</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3.2、</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不专门组织现场考察。若投标人认为必要时，可与</w:t>
      </w:r>
      <w:r>
        <w:rPr>
          <w:rFonts w:hint="eastAsia" w:ascii="仿宋" w:hAnsi="仿宋" w:eastAsia="仿宋" w:cs="仿宋"/>
          <w:color w:val="auto"/>
          <w:kern w:val="0"/>
          <w:sz w:val="22"/>
          <w:szCs w:val="21"/>
          <w:highlight w:val="none"/>
          <w:lang w:eastAsia="zh-CN"/>
        </w:rPr>
        <w:t>招标</w:t>
      </w:r>
      <w:r>
        <w:rPr>
          <w:rFonts w:hint="eastAsia" w:ascii="仿宋" w:hAnsi="仿宋" w:eastAsia="仿宋" w:cs="仿宋"/>
          <w:color w:val="auto"/>
          <w:kern w:val="0"/>
          <w:sz w:val="22"/>
          <w:szCs w:val="21"/>
          <w:highlight w:val="none"/>
        </w:rPr>
        <w:t>代理机构联系以便安排接待，但由此产生的费用和风险由投标人自行承担。</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3.3、中标人须在领取中标通知书时向</w:t>
      </w:r>
      <w:r>
        <w:rPr>
          <w:rFonts w:hint="eastAsia" w:ascii="仿宋" w:hAnsi="仿宋" w:eastAsia="仿宋" w:cs="仿宋"/>
          <w:color w:val="auto"/>
          <w:kern w:val="0"/>
          <w:sz w:val="22"/>
          <w:szCs w:val="21"/>
          <w:highlight w:val="none"/>
          <w:lang w:eastAsia="zh-CN"/>
        </w:rPr>
        <w:t>招标</w:t>
      </w:r>
      <w:r>
        <w:rPr>
          <w:rFonts w:hint="eastAsia" w:ascii="仿宋" w:hAnsi="仿宋" w:eastAsia="仿宋" w:cs="仿宋"/>
          <w:color w:val="auto"/>
          <w:kern w:val="0"/>
          <w:sz w:val="22"/>
          <w:szCs w:val="21"/>
          <w:highlight w:val="none"/>
        </w:rPr>
        <w:t>代理机构支付中标服务费，中标服务费以中标价为计费基数、按原国家发展计划委员会《招标代理服务收费管理暂行办法》（计价格[2002]1980号）规定的货物类收费标准计收，由中标人在领取《中标通知书》时支付。</w:t>
      </w:r>
    </w:p>
    <w:p>
      <w:pPr>
        <w:pStyle w:val="4"/>
        <w:jc w:val="center"/>
        <w:rPr>
          <w:rFonts w:hint="eastAsia" w:ascii="仿宋" w:hAnsi="仿宋" w:eastAsia="仿宋" w:cs="仿宋"/>
          <w:color w:val="auto"/>
          <w:highlight w:val="none"/>
        </w:rPr>
      </w:pPr>
      <w:r>
        <w:rPr>
          <w:rFonts w:hint="eastAsia" w:ascii="仿宋" w:hAnsi="仿宋" w:eastAsia="仿宋" w:cs="仿宋"/>
          <w:color w:val="auto"/>
          <w:highlight w:val="none"/>
        </w:rPr>
        <w:t>二、招标文件</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4、招标文件的构成</w:t>
      </w:r>
    </w:p>
    <w:p>
      <w:pPr>
        <w:autoSpaceDE w:val="0"/>
        <w:autoSpaceDN w:val="0"/>
        <w:adjustRightInd w:val="0"/>
        <w:spacing w:line="360" w:lineRule="auto"/>
        <w:ind w:firstLine="323" w:firstLineChars="147"/>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4.1、招标文件由目录所列内容组成</w:t>
      </w:r>
    </w:p>
    <w:p>
      <w:pPr>
        <w:autoSpaceDE w:val="0"/>
        <w:autoSpaceDN w:val="0"/>
        <w:adjustRightInd w:val="0"/>
        <w:spacing w:line="360" w:lineRule="auto"/>
        <w:ind w:firstLine="660" w:firstLineChars="30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第一章  招标公告</w:t>
      </w:r>
    </w:p>
    <w:p>
      <w:pPr>
        <w:autoSpaceDE w:val="0"/>
        <w:autoSpaceDN w:val="0"/>
        <w:adjustRightInd w:val="0"/>
        <w:spacing w:line="360" w:lineRule="auto"/>
        <w:ind w:firstLine="660" w:firstLineChars="30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第二章  投标人须知</w:t>
      </w:r>
    </w:p>
    <w:p>
      <w:pPr>
        <w:autoSpaceDE w:val="0"/>
        <w:autoSpaceDN w:val="0"/>
        <w:adjustRightInd w:val="0"/>
        <w:spacing w:line="360" w:lineRule="auto"/>
        <w:ind w:firstLine="660" w:firstLineChars="30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 xml:space="preserve">第三章  </w:t>
      </w:r>
      <w:r>
        <w:rPr>
          <w:rFonts w:hint="eastAsia" w:ascii="仿宋" w:hAnsi="仿宋" w:eastAsia="仿宋" w:cs="仿宋"/>
          <w:color w:val="auto"/>
          <w:kern w:val="0"/>
          <w:sz w:val="22"/>
          <w:szCs w:val="21"/>
          <w:highlight w:val="none"/>
          <w:lang w:eastAsia="zh-CN"/>
        </w:rPr>
        <w:t>采购需求及技术要求</w:t>
      </w:r>
    </w:p>
    <w:p>
      <w:pPr>
        <w:autoSpaceDE w:val="0"/>
        <w:autoSpaceDN w:val="0"/>
        <w:adjustRightInd w:val="0"/>
        <w:spacing w:line="360" w:lineRule="auto"/>
        <w:ind w:firstLine="660" w:firstLineChars="30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第四章  合同样式及主要条款</w:t>
      </w:r>
    </w:p>
    <w:p>
      <w:pPr>
        <w:autoSpaceDE w:val="0"/>
        <w:autoSpaceDN w:val="0"/>
        <w:adjustRightInd w:val="0"/>
        <w:spacing w:line="360" w:lineRule="auto"/>
        <w:ind w:firstLine="660" w:firstLineChars="30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第五章  评标办法（综合评分法）</w:t>
      </w:r>
    </w:p>
    <w:p>
      <w:pPr>
        <w:autoSpaceDE w:val="0"/>
        <w:autoSpaceDN w:val="0"/>
        <w:adjustRightInd w:val="0"/>
        <w:spacing w:line="360" w:lineRule="auto"/>
        <w:ind w:firstLine="660" w:firstLineChars="30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第六章  投标文件格式</w:t>
      </w:r>
    </w:p>
    <w:p>
      <w:pPr>
        <w:autoSpaceDE w:val="0"/>
        <w:autoSpaceDN w:val="0"/>
        <w:adjustRightInd w:val="0"/>
        <w:spacing w:line="360" w:lineRule="auto"/>
        <w:ind w:firstLine="660" w:firstLineChars="30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第七章  与投标有关的其他事项说明</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4.2、投标人获取招标文件后，应仔细检查招标文件及招标范围的所有内容，如有疑问应以书面形式向</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提出，由</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或</w:t>
      </w:r>
      <w:r>
        <w:rPr>
          <w:rFonts w:hint="eastAsia" w:ascii="仿宋" w:hAnsi="仿宋" w:eastAsia="仿宋" w:cs="仿宋"/>
          <w:color w:val="auto"/>
          <w:kern w:val="0"/>
          <w:sz w:val="22"/>
          <w:szCs w:val="21"/>
          <w:highlight w:val="none"/>
          <w:lang w:eastAsia="zh-CN"/>
        </w:rPr>
        <w:t>招标</w:t>
      </w:r>
      <w:r>
        <w:rPr>
          <w:rFonts w:hint="eastAsia" w:ascii="仿宋" w:hAnsi="仿宋" w:eastAsia="仿宋" w:cs="仿宋"/>
          <w:color w:val="auto"/>
          <w:kern w:val="0"/>
          <w:sz w:val="22"/>
          <w:szCs w:val="21"/>
          <w:highlight w:val="none"/>
        </w:rPr>
        <w:t>代理机构统一答疑并以答疑书的形式发给所有投标人。投标人应认真阅读招标文件中所有的事项、格式、条款和规范等要求。如果投标人没有按照招标文件要求提交全部资料或者投标文件没有对招标文件在各方面都做出实质性响应，则其投标将可能被拒绝。</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5、招标文件的澄清</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5.1 投标人应仔细阅读和检查招标文件的全部内容。如发现缺页或附件不全，应及时向</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提出，以便补齐。对招标文件有异议的，应在投标人须知前附表规定的时间前以书面形式（传真或电子邮件），要求</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对招标文件予以澄清。</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 xml:space="preserve">5.2 </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自收到异议之日起3日内对招标文件进行澄清以书面形式发给所有购买招标文件的投标人，但不指明澄清问题的来源。</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5.3 投标人在收到澄清后，应在投标人须知前附表规定的时间内以书面形式通知</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，确认已收到该澄清。</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6、招标文件的修改</w:t>
      </w:r>
    </w:p>
    <w:p>
      <w:pPr>
        <w:spacing w:line="360" w:lineRule="auto"/>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 xml:space="preserve">  6.1</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可以对已发出的招标文件进行必要的澄清或者修改，以书面形式通知所有获取招标文件的潜在投标人。澄清或者修改的内容可能影响投标文件编制的，若澄清或者修改发出时间距投标截止时间不足15日的，</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将顺延提交投标文件的截止时间。</w:t>
      </w:r>
    </w:p>
    <w:p>
      <w:pPr>
        <w:spacing w:line="360" w:lineRule="auto"/>
        <w:ind w:firstLine="220" w:firstLineChars="100"/>
        <w:rPr>
          <w:rFonts w:hint="eastAsia" w:ascii="仿宋" w:hAnsi="仿宋" w:eastAsia="仿宋" w:cs="仿宋"/>
          <w:color w:val="auto"/>
          <w:kern w:val="0"/>
          <w:sz w:val="22"/>
          <w:szCs w:val="21"/>
          <w:highlight w:val="none"/>
        </w:rPr>
      </w:pPr>
      <w:bookmarkStart w:id="39" w:name="_Toc2360"/>
      <w:bookmarkStart w:id="40" w:name="_Toc20682"/>
      <w:bookmarkStart w:id="41" w:name="_Toc12658"/>
      <w:r>
        <w:rPr>
          <w:rFonts w:hint="eastAsia" w:ascii="仿宋" w:hAnsi="仿宋" w:eastAsia="仿宋" w:cs="仿宋"/>
          <w:color w:val="auto"/>
          <w:kern w:val="0"/>
          <w:sz w:val="22"/>
          <w:szCs w:val="21"/>
          <w:highlight w:val="none"/>
        </w:rPr>
        <w:t>6.2 投标人收到修改内容后，应在投标人须知前附表规定的时间内以书面形式通知</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，确认已收到该修改。</w:t>
      </w:r>
      <w:bookmarkEnd w:id="39"/>
      <w:bookmarkEnd w:id="40"/>
      <w:bookmarkEnd w:id="41"/>
    </w:p>
    <w:p>
      <w:pPr>
        <w:pStyle w:val="4"/>
        <w:jc w:val="center"/>
        <w:rPr>
          <w:rFonts w:hint="eastAsia" w:ascii="仿宋" w:hAnsi="仿宋" w:eastAsia="仿宋" w:cs="仿宋"/>
          <w:color w:val="auto"/>
          <w:highlight w:val="none"/>
        </w:rPr>
      </w:pPr>
      <w:r>
        <w:rPr>
          <w:rFonts w:hint="eastAsia" w:ascii="仿宋" w:hAnsi="仿宋" w:eastAsia="仿宋" w:cs="仿宋"/>
          <w:color w:val="auto"/>
          <w:highlight w:val="none"/>
        </w:rPr>
        <w:t>三、投标文件的编制</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7、投标的语言及度量衡单位</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7.1、投标人提交的投标文件以及投标人与</w:t>
      </w:r>
      <w:r>
        <w:rPr>
          <w:rFonts w:hint="eastAsia" w:ascii="仿宋" w:hAnsi="仿宋" w:eastAsia="仿宋" w:cs="仿宋"/>
          <w:color w:val="auto"/>
          <w:kern w:val="0"/>
          <w:sz w:val="22"/>
          <w:szCs w:val="21"/>
          <w:highlight w:val="none"/>
          <w:lang w:eastAsia="zh-CN"/>
        </w:rPr>
        <w:t>招标</w:t>
      </w:r>
      <w:r>
        <w:rPr>
          <w:rFonts w:hint="eastAsia" w:ascii="仿宋" w:hAnsi="仿宋" w:eastAsia="仿宋" w:cs="仿宋"/>
          <w:color w:val="auto"/>
          <w:kern w:val="0"/>
          <w:sz w:val="22"/>
          <w:szCs w:val="21"/>
          <w:highlight w:val="none"/>
        </w:rPr>
        <w:t>代理机构就有关投标的所有来往函电均应使用中文。投标人可以提交用其他语言打印的资料，但有关的段落必须翻译成中文，在有差异和矛盾时以中文为准，字体要便于辨识，以正楷、宋体为好。</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7.2、非中文版印刷的产品说明书、技术资料、资质证书等，投标人应提供符合中国有关法律、法规的中文译本，并以中文译本为准。</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7.3、投标文件中所使用的度量衡单位，除招标文件中有特殊要求外，一律用公制。</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8、投标文件的组成</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8.1、投标文件由“投标人须知前附表”规定的内容组成。</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8.2、招标文件附件中提供格式的，请按照附件的格式填写。</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9、投标报价</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9.1、除招标文件中另有规定外，计量单位为我国法定计量单位。</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9.2、投标报价、货款一律使用人民币。</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9.3、投标方应按招标文件要求认真制作《分项报价明细表》，投标文件报价出现前后不一致的，按以下规定修正：投标文件中开标（唱标）一览表内容与投标文件中相应内容不一致的，以开标（唱标）一览表为准；大写金额和小写金额不一致的，以大写金额为准；单价金额小数点或者百分比有明显错位的，以开标一览表的总价为准，并修改单价；总价金额与按单价汇总金额不一致的，以单价金额计算结果为准。同时出现两种以上不一致的，按照前款规定的顺序修正。修正后的报价经投标人确认后产生约束力，投标人不确认的，其投标无效。</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9.4、投标人对每一标的只允许有一个报价，如有优惠折扣等，即在投标承诺书中注明，并做到投标承诺书的总价与投标报价表中的总价一致。</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投标人的投标报价包括</w:t>
      </w:r>
      <w:r>
        <w:rPr>
          <w:rFonts w:hint="eastAsia" w:ascii="仿宋" w:hAnsi="仿宋" w:eastAsia="仿宋" w:cs="仿宋"/>
          <w:color w:val="auto"/>
          <w:kern w:val="0"/>
          <w:sz w:val="22"/>
          <w:szCs w:val="21"/>
          <w:highlight w:val="none"/>
          <w:lang w:eastAsia="zh-CN"/>
        </w:rPr>
        <w:t>：</w:t>
      </w:r>
      <w:r>
        <w:rPr>
          <w:rFonts w:hint="eastAsia" w:ascii="仿宋" w:hAnsi="仿宋" w:eastAsia="仿宋" w:cs="仿宋"/>
          <w:color w:val="auto"/>
          <w:kern w:val="0"/>
          <w:sz w:val="22"/>
          <w:szCs w:val="21"/>
          <w:highlight w:val="none"/>
        </w:rPr>
        <w:t>产品生产或</w:t>
      </w:r>
      <w:r>
        <w:rPr>
          <w:rFonts w:hint="eastAsia" w:ascii="仿宋" w:hAnsi="仿宋" w:eastAsia="仿宋" w:cs="仿宋"/>
          <w:color w:val="auto"/>
          <w:kern w:val="0"/>
          <w:sz w:val="22"/>
          <w:szCs w:val="21"/>
          <w:highlight w:val="none"/>
          <w:lang w:eastAsia="zh-CN"/>
        </w:rPr>
        <w:t>招标</w:t>
      </w:r>
      <w:r>
        <w:rPr>
          <w:rFonts w:hint="eastAsia" w:ascii="仿宋" w:hAnsi="仿宋" w:eastAsia="仿宋" w:cs="仿宋"/>
          <w:color w:val="auto"/>
          <w:kern w:val="0"/>
          <w:sz w:val="22"/>
          <w:szCs w:val="21"/>
          <w:highlight w:val="none"/>
        </w:rPr>
        <w:t>、运输、</w:t>
      </w:r>
      <w:r>
        <w:rPr>
          <w:rFonts w:hint="eastAsia" w:ascii="仿宋" w:hAnsi="仿宋" w:eastAsia="仿宋" w:cs="仿宋"/>
          <w:color w:val="auto"/>
          <w:kern w:val="0"/>
          <w:sz w:val="22"/>
          <w:szCs w:val="21"/>
          <w:highlight w:val="none"/>
          <w:lang w:val="en-US" w:eastAsia="zh-CN"/>
        </w:rPr>
        <w:t>装卸、</w:t>
      </w:r>
      <w:r>
        <w:rPr>
          <w:rFonts w:hint="eastAsia" w:ascii="仿宋" w:hAnsi="仿宋" w:eastAsia="仿宋" w:cs="仿宋"/>
          <w:color w:val="auto"/>
          <w:kern w:val="0"/>
          <w:sz w:val="22"/>
          <w:szCs w:val="21"/>
          <w:highlight w:val="none"/>
        </w:rPr>
        <w:t>安装、调试、</w:t>
      </w:r>
      <w:r>
        <w:rPr>
          <w:rFonts w:hint="eastAsia" w:ascii="仿宋" w:hAnsi="仿宋" w:eastAsia="仿宋" w:cs="仿宋"/>
          <w:b/>
          <w:bCs/>
          <w:color w:val="auto"/>
          <w:kern w:val="0"/>
          <w:sz w:val="22"/>
          <w:szCs w:val="21"/>
          <w:highlight w:val="none"/>
        </w:rPr>
        <w:t>验收、</w:t>
      </w:r>
      <w:r>
        <w:rPr>
          <w:rFonts w:hint="eastAsia" w:ascii="仿宋" w:hAnsi="仿宋" w:eastAsia="仿宋" w:cs="仿宋"/>
          <w:color w:val="auto"/>
          <w:kern w:val="0"/>
          <w:sz w:val="22"/>
          <w:szCs w:val="21"/>
          <w:highlight w:val="none"/>
          <w:lang w:val="en-US" w:eastAsia="zh-CN"/>
        </w:rPr>
        <w:t>第三方机构检测、</w:t>
      </w:r>
      <w:r>
        <w:rPr>
          <w:rFonts w:hint="eastAsia" w:ascii="仿宋" w:hAnsi="仿宋" w:eastAsia="仿宋" w:cs="仿宋"/>
          <w:color w:val="auto"/>
          <w:kern w:val="0"/>
          <w:sz w:val="22"/>
          <w:szCs w:val="21"/>
          <w:highlight w:val="none"/>
        </w:rPr>
        <w:t>人员培训、售后服务、税金</w:t>
      </w:r>
      <w:r>
        <w:rPr>
          <w:rFonts w:hint="eastAsia" w:ascii="仿宋" w:hAnsi="仿宋" w:eastAsia="仿宋" w:cs="仿宋"/>
          <w:color w:val="auto"/>
          <w:kern w:val="0"/>
          <w:sz w:val="22"/>
          <w:szCs w:val="21"/>
          <w:highlight w:val="none"/>
          <w:lang w:eastAsia="zh-CN"/>
        </w:rPr>
        <w:t>、</w:t>
      </w:r>
      <w:r>
        <w:rPr>
          <w:rFonts w:hint="eastAsia" w:ascii="仿宋" w:hAnsi="仿宋" w:eastAsia="仿宋" w:cs="仿宋"/>
          <w:color w:val="auto"/>
          <w:kern w:val="0"/>
          <w:sz w:val="22"/>
          <w:szCs w:val="21"/>
          <w:highlight w:val="none"/>
          <w:lang w:val="en-US" w:eastAsia="zh-CN"/>
        </w:rPr>
        <w:t>投标人原指挥中心和监控室所有设备搬迁</w:t>
      </w:r>
      <w:r>
        <w:rPr>
          <w:rFonts w:ascii="仿宋" w:hAnsi="仿宋" w:eastAsia="仿宋" w:cs="仿宋"/>
          <w:b/>
          <w:bCs/>
          <w:color w:val="auto"/>
          <w:kern w:val="0"/>
          <w:sz w:val="22"/>
          <w:szCs w:val="21"/>
          <w:highlight w:val="none"/>
        </w:rPr>
        <w:t>安全、维护</w:t>
      </w:r>
      <w:r>
        <w:rPr>
          <w:rFonts w:hint="eastAsia" w:ascii="仿宋" w:hAnsi="仿宋" w:eastAsia="仿宋" w:cs="仿宋"/>
          <w:color w:val="auto"/>
          <w:kern w:val="0"/>
          <w:sz w:val="22"/>
          <w:szCs w:val="21"/>
          <w:highlight w:val="none"/>
        </w:rPr>
        <w:t>等全部费用。</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9.5、本项目不接受备选方案，投标人对同一个标的项目有选择的报价，将被拒绝。</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9.6、报价应本着合理的原则，</w:t>
      </w:r>
      <w:r>
        <w:rPr>
          <w:rFonts w:hint="eastAsia" w:ascii="仿宋" w:hAnsi="仿宋" w:eastAsia="仿宋" w:cs="仿宋"/>
          <w:b/>
          <w:color w:val="auto"/>
          <w:kern w:val="0"/>
          <w:sz w:val="22"/>
          <w:szCs w:val="21"/>
          <w:highlight w:val="none"/>
          <w:lang w:eastAsia="zh-CN"/>
        </w:rPr>
        <w:t>采购人</w:t>
      </w:r>
      <w:r>
        <w:rPr>
          <w:rFonts w:hint="eastAsia" w:ascii="仿宋" w:hAnsi="仿宋" w:eastAsia="仿宋" w:cs="仿宋"/>
          <w:b/>
          <w:color w:val="auto"/>
          <w:kern w:val="0"/>
          <w:sz w:val="22"/>
          <w:szCs w:val="21"/>
          <w:highlight w:val="none"/>
        </w:rPr>
        <w:t>不保证报价最低者一定中标</w:t>
      </w:r>
      <w:r>
        <w:rPr>
          <w:rFonts w:hint="eastAsia" w:ascii="仿宋" w:hAnsi="仿宋" w:eastAsia="仿宋" w:cs="仿宋"/>
          <w:color w:val="auto"/>
          <w:kern w:val="0"/>
          <w:sz w:val="22"/>
          <w:szCs w:val="21"/>
          <w:highlight w:val="none"/>
        </w:rPr>
        <w:t>。</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9.7、评标过程中不允许投标人二次报价。</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10、投标有效期</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10.1、所投的标书应从规定的开标之日起，在“投标人须知前附表”所规定的以日历天计算的投标有效期内有效。投标有效期比规定的时间短的可以视为非响应标予以拒绝。</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10.2、在特殊情况下，在原投标有效期期满之前，</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可征得投标人同意延长投标有效期，这种要求与答复均应以书面形式如电传、传真等。投标人可以拒绝</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的这种要求但不被没收投标保证金，同意延长的投标人既不能被要求也不允许修改其投标文件，但要相应延长其投标保证金的有效期。</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11、投标保证金</w:t>
      </w:r>
    </w:p>
    <w:p>
      <w:pPr>
        <w:spacing w:line="360" w:lineRule="auto"/>
        <w:ind w:firstLine="330" w:firstLineChars="15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11.1、</w:t>
      </w:r>
      <w:r>
        <w:rPr>
          <w:rFonts w:hint="eastAsia" w:ascii="仿宋" w:hAnsi="仿宋" w:eastAsia="仿宋" w:cs="仿宋"/>
          <w:color w:val="auto"/>
          <w:sz w:val="22"/>
          <w:highlight w:val="none"/>
        </w:rPr>
        <w:t>投标保证金为人民币。投标人应在提交投标文件截止时间以前按“投标人须知前附表”规定的金额交至</w:t>
      </w:r>
      <w:r>
        <w:rPr>
          <w:rFonts w:hint="eastAsia" w:ascii="仿宋" w:hAnsi="仿宋" w:eastAsia="仿宋" w:cs="仿宋"/>
          <w:color w:val="auto"/>
          <w:sz w:val="22"/>
          <w:highlight w:val="none"/>
          <w:lang w:eastAsia="zh-CN"/>
        </w:rPr>
        <w:t>云南兴语招标有限公司</w:t>
      </w:r>
      <w:r>
        <w:rPr>
          <w:rFonts w:hint="eastAsia" w:ascii="仿宋" w:hAnsi="仿宋" w:eastAsia="仿宋" w:cs="仿宋"/>
          <w:color w:val="auto"/>
          <w:sz w:val="22"/>
          <w:highlight w:val="none"/>
        </w:rPr>
        <w:t>，并在规定的时间内保持有效。</w:t>
      </w:r>
    </w:p>
    <w:p>
      <w:pPr>
        <w:autoSpaceDE w:val="0"/>
        <w:autoSpaceDN w:val="0"/>
        <w:adjustRightInd w:val="0"/>
        <w:spacing w:line="360" w:lineRule="auto"/>
        <w:ind w:firstLine="323" w:firstLineChars="147"/>
        <w:rPr>
          <w:rFonts w:hint="eastAsia" w:ascii="仿宋" w:hAnsi="仿宋" w:eastAsia="仿宋" w:cs="仿宋"/>
          <w:color w:val="auto"/>
          <w:sz w:val="22"/>
          <w:highlight w:val="none"/>
        </w:rPr>
      </w:pPr>
      <w:r>
        <w:rPr>
          <w:rFonts w:hint="eastAsia" w:ascii="仿宋" w:hAnsi="仿宋" w:eastAsia="仿宋" w:cs="仿宋"/>
          <w:color w:val="auto"/>
          <w:kern w:val="0"/>
          <w:sz w:val="22"/>
          <w:szCs w:val="21"/>
          <w:highlight w:val="none"/>
        </w:rPr>
        <w:t>11.2、</w:t>
      </w:r>
      <w:r>
        <w:rPr>
          <w:rFonts w:hint="eastAsia" w:ascii="仿宋" w:hAnsi="仿宋" w:eastAsia="仿宋" w:cs="仿宋"/>
          <w:color w:val="auto"/>
          <w:sz w:val="22"/>
          <w:highlight w:val="none"/>
        </w:rPr>
        <w:t>投标保证金的提交方式：应按“投标人须知前附表”规定的形式提交。</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11.3、如投标人有下列情况，其投标保证金将不予退还：</w:t>
      </w:r>
    </w:p>
    <w:p>
      <w:pPr>
        <w:pStyle w:val="15"/>
        <w:spacing w:line="360" w:lineRule="auto"/>
        <w:ind w:left="-2" w:leftChars="-1" w:firstLine="550" w:firstLineChars="2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（1）投标人在投标有效期内撤回其投标文件；</w:t>
      </w:r>
    </w:p>
    <w:p>
      <w:pPr>
        <w:autoSpaceDE w:val="0"/>
        <w:autoSpaceDN w:val="0"/>
        <w:adjustRightInd w:val="0"/>
        <w:spacing w:line="360" w:lineRule="auto"/>
        <w:ind w:firstLine="519" w:firstLineChars="236"/>
        <w:rPr>
          <w:rFonts w:hint="eastAsia" w:ascii="仿宋" w:hAnsi="仿宋" w:eastAsia="仿宋" w:cs="仿宋"/>
          <w:color w:val="auto"/>
          <w:kern w:val="0"/>
          <w:sz w:val="22"/>
          <w:szCs w:val="21"/>
          <w:highlight w:val="none"/>
        </w:rPr>
      </w:pPr>
      <w:r>
        <w:rPr>
          <w:rFonts w:hint="eastAsia" w:ascii="仿宋" w:hAnsi="仿宋" w:eastAsia="仿宋" w:cs="仿宋"/>
          <w:color w:val="auto"/>
          <w:sz w:val="22"/>
          <w:szCs w:val="21"/>
          <w:highlight w:val="none"/>
        </w:rPr>
        <w:t>（2）</w:t>
      </w:r>
      <w:r>
        <w:rPr>
          <w:rFonts w:hint="eastAsia" w:ascii="仿宋" w:hAnsi="仿宋" w:eastAsia="仿宋" w:cs="仿宋"/>
          <w:color w:val="auto"/>
          <w:kern w:val="0"/>
          <w:sz w:val="22"/>
          <w:szCs w:val="21"/>
          <w:highlight w:val="none"/>
        </w:rPr>
        <w:t>中标人中标后无正当理由不与</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签署合同的；</w:t>
      </w:r>
    </w:p>
    <w:p>
      <w:pPr>
        <w:pStyle w:val="15"/>
        <w:spacing w:line="360" w:lineRule="auto"/>
        <w:ind w:left="-2" w:leftChars="-1" w:firstLine="550" w:firstLineChars="2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（3）投标人在投标文件中提供虚假材料的；</w:t>
      </w:r>
    </w:p>
    <w:p>
      <w:pPr>
        <w:pStyle w:val="15"/>
        <w:spacing w:line="360" w:lineRule="auto"/>
        <w:ind w:left="-2" w:leftChars="-1" w:firstLine="550" w:firstLineChars="2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（4）中标人与</w:t>
      </w:r>
      <w:r>
        <w:rPr>
          <w:rFonts w:hint="eastAsia" w:ascii="仿宋" w:hAnsi="仿宋" w:eastAsia="仿宋" w:cs="仿宋"/>
          <w:color w:val="auto"/>
          <w:sz w:val="22"/>
          <w:szCs w:val="21"/>
          <w:highlight w:val="none"/>
          <w:lang w:eastAsia="zh-CN"/>
        </w:rPr>
        <w:t>采购人</w:t>
      </w:r>
      <w:r>
        <w:rPr>
          <w:rFonts w:hint="eastAsia" w:ascii="仿宋" w:hAnsi="仿宋" w:eastAsia="仿宋" w:cs="仿宋"/>
          <w:color w:val="auto"/>
          <w:sz w:val="22"/>
          <w:szCs w:val="21"/>
          <w:highlight w:val="none"/>
        </w:rPr>
        <w:t>、其他投标人或者代理机构恶意串通的；</w:t>
      </w:r>
    </w:p>
    <w:p>
      <w:pPr>
        <w:pStyle w:val="15"/>
        <w:spacing w:line="360" w:lineRule="auto"/>
        <w:ind w:left="-2" w:leftChars="-1" w:firstLine="550" w:firstLineChars="2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（5）中标人将中标项目转让给他人，或者在投标文件中未说明，且未经</w:t>
      </w:r>
      <w:r>
        <w:rPr>
          <w:rFonts w:hint="eastAsia" w:ascii="仿宋" w:hAnsi="仿宋" w:eastAsia="仿宋" w:cs="仿宋"/>
          <w:color w:val="auto"/>
          <w:sz w:val="22"/>
          <w:szCs w:val="21"/>
          <w:highlight w:val="none"/>
          <w:lang w:eastAsia="zh-CN"/>
        </w:rPr>
        <w:t>采购人</w:t>
      </w:r>
      <w:r>
        <w:rPr>
          <w:rFonts w:hint="eastAsia" w:ascii="仿宋" w:hAnsi="仿宋" w:eastAsia="仿宋" w:cs="仿宋"/>
          <w:color w:val="auto"/>
          <w:sz w:val="22"/>
          <w:szCs w:val="21"/>
          <w:highlight w:val="none"/>
        </w:rPr>
        <w:t>同意，将中标人不允许分包的项目内容分包给他人的。</w:t>
      </w:r>
    </w:p>
    <w:p>
      <w:pPr>
        <w:autoSpaceDE w:val="0"/>
        <w:autoSpaceDN w:val="0"/>
        <w:adjustRightInd w:val="0"/>
        <w:spacing w:line="360" w:lineRule="auto"/>
        <w:ind w:firstLine="323" w:firstLineChars="147"/>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11.4、未中标的投标人的投标保证金将在公示期满无异议后经</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或</w:t>
      </w:r>
      <w:r>
        <w:rPr>
          <w:rFonts w:hint="eastAsia" w:ascii="仿宋" w:hAnsi="仿宋" w:eastAsia="仿宋" w:cs="仿宋"/>
          <w:color w:val="auto"/>
          <w:kern w:val="0"/>
          <w:sz w:val="22"/>
          <w:szCs w:val="21"/>
          <w:highlight w:val="none"/>
          <w:lang w:eastAsia="zh-CN"/>
        </w:rPr>
        <w:t>招标</w:t>
      </w:r>
      <w:r>
        <w:rPr>
          <w:rFonts w:hint="eastAsia" w:ascii="仿宋" w:hAnsi="仿宋" w:eastAsia="仿宋" w:cs="仿宋"/>
          <w:color w:val="auto"/>
          <w:kern w:val="0"/>
          <w:sz w:val="22"/>
          <w:szCs w:val="21"/>
          <w:highlight w:val="none"/>
        </w:rPr>
        <w:t>代理机构确认后，托管银行为其办理退款；中标的投标人按规定办理合同上传手续后，经</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或</w:t>
      </w:r>
      <w:r>
        <w:rPr>
          <w:rFonts w:hint="eastAsia" w:ascii="仿宋" w:hAnsi="仿宋" w:eastAsia="仿宋" w:cs="仿宋"/>
          <w:color w:val="auto"/>
          <w:kern w:val="0"/>
          <w:sz w:val="22"/>
          <w:szCs w:val="21"/>
          <w:highlight w:val="none"/>
          <w:lang w:eastAsia="zh-CN"/>
        </w:rPr>
        <w:t>招标</w:t>
      </w:r>
      <w:r>
        <w:rPr>
          <w:rFonts w:hint="eastAsia" w:ascii="仿宋" w:hAnsi="仿宋" w:eastAsia="仿宋" w:cs="仿宋"/>
          <w:color w:val="auto"/>
          <w:kern w:val="0"/>
          <w:sz w:val="22"/>
          <w:szCs w:val="21"/>
          <w:highlight w:val="none"/>
        </w:rPr>
        <w:t>代理机构确认，由托管银行办理退款。</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12、投标文件的编制</w:t>
      </w:r>
    </w:p>
    <w:p>
      <w:pPr>
        <w:pStyle w:val="15"/>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12.1投标文件应按第六章“投标文件格式”进行编写，如有必要，可以增加附页，作为投标文件的组成部分。</w:t>
      </w:r>
    </w:p>
    <w:p>
      <w:pPr>
        <w:pStyle w:val="15"/>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12.2 投标文件应当对招标文件有关投标有效期、服务内容、供货地点、技术要求等实质性内容作出响应。</w:t>
      </w:r>
    </w:p>
    <w:p>
      <w:pPr>
        <w:pStyle w:val="15"/>
        <w:spacing w:line="360" w:lineRule="auto"/>
        <w:ind w:left="-2" w:leftChars="-1" w:firstLine="550" w:firstLineChars="2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12.3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并由投标人的法定代表人或其授权的代理人签字确认。签字或盖章的具体要求见投标人须知前附表。</w:t>
      </w:r>
    </w:p>
    <w:p>
      <w:pPr>
        <w:pStyle w:val="15"/>
        <w:spacing w:line="360" w:lineRule="auto"/>
        <w:ind w:left="-2" w:leftChars="-1" w:firstLine="550" w:firstLineChars="2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12.4投标文件正本一份，副本份数见投标人须知前附表。当副本和正本不一致时，以正本为准。</w:t>
      </w:r>
    </w:p>
    <w:p>
      <w:pPr>
        <w:pStyle w:val="15"/>
        <w:spacing w:line="360" w:lineRule="auto"/>
        <w:ind w:left="-2" w:leftChars="-1" w:firstLine="550" w:firstLineChars="2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12.5 投标文件的正本与副本应装订成册，并编制目录，具体装订要求见投标人须知前附表规定。</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13、投标截止日期</w:t>
      </w:r>
    </w:p>
    <w:p>
      <w:pPr>
        <w:autoSpaceDE w:val="0"/>
        <w:autoSpaceDN w:val="0"/>
        <w:adjustRightInd w:val="0"/>
        <w:spacing w:line="360" w:lineRule="auto"/>
        <w:ind w:firstLine="550" w:firstLineChars="25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（1）</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收到投标文件的时间不得迟于“投标人须知前附表”规定的截止时间。</w:t>
      </w:r>
    </w:p>
    <w:p>
      <w:pPr>
        <w:autoSpaceDE w:val="0"/>
        <w:autoSpaceDN w:val="0"/>
        <w:adjustRightInd w:val="0"/>
        <w:spacing w:line="360" w:lineRule="auto"/>
        <w:ind w:firstLine="550" w:firstLineChars="25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（2）推迟投标截止日应以书面形式通知所有投标人。</w:t>
      </w:r>
    </w:p>
    <w:p>
      <w:pPr>
        <w:autoSpaceDE w:val="0"/>
        <w:autoSpaceDN w:val="0"/>
        <w:adjustRightInd w:val="0"/>
        <w:spacing w:line="360" w:lineRule="auto"/>
        <w:ind w:firstLine="550" w:firstLineChars="25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（3）投标截止时间后送交的投标报价或其他实质性内容修正的函件不作为评标的依据。</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14、迟到的投标文件</w:t>
      </w:r>
    </w:p>
    <w:p>
      <w:pPr>
        <w:autoSpaceDE w:val="0"/>
        <w:autoSpaceDN w:val="0"/>
        <w:adjustRightInd w:val="0"/>
        <w:spacing w:line="360" w:lineRule="auto"/>
        <w:ind w:firstLine="550" w:firstLineChars="25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（1）按照第14条规定，</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将拒绝并原封退回在其规定的截止日期后收到的任何投标文件。</w:t>
      </w:r>
    </w:p>
    <w:p>
      <w:pPr>
        <w:autoSpaceDE w:val="0"/>
        <w:autoSpaceDN w:val="0"/>
        <w:adjustRightInd w:val="0"/>
        <w:spacing w:line="360" w:lineRule="auto"/>
        <w:ind w:firstLine="550" w:firstLineChars="25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（2）投标递交的地点为“投标人须知前附表”所规定的地点。</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15、投标文件的修改与撤回</w:t>
      </w:r>
    </w:p>
    <w:p>
      <w:pPr>
        <w:autoSpaceDE w:val="0"/>
        <w:autoSpaceDN w:val="0"/>
        <w:adjustRightInd w:val="0"/>
        <w:spacing w:line="360" w:lineRule="auto"/>
        <w:ind w:firstLine="550" w:firstLineChars="25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（1）投标人在递交投标文件后，是否可以修改或撤回其投标文件，投标人必须在规定的投标截止期限之前书面申请并经</w:t>
      </w:r>
      <w:r>
        <w:rPr>
          <w:rFonts w:hint="eastAsia" w:ascii="仿宋" w:hAnsi="仿宋" w:eastAsia="仿宋" w:cs="仿宋"/>
          <w:color w:val="auto"/>
          <w:kern w:val="0"/>
          <w:sz w:val="22"/>
          <w:szCs w:val="21"/>
          <w:highlight w:val="none"/>
          <w:lang w:eastAsia="zh-CN"/>
        </w:rPr>
        <w:t>采购人</w:t>
      </w:r>
      <w:r>
        <w:rPr>
          <w:rFonts w:hint="eastAsia" w:ascii="仿宋" w:hAnsi="仿宋" w:eastAsia="仿宋" w:cs="仿宋"/>
          <w:color w:val="auto"/>
          <w:kern w:val="0"/>
          <w:sz w:val="22"/>
          <w:szCs w:val="21"/>
          <w:highlight w:val="none"/>
        </w:rPr>
        <w:t>同意，修改或撤回才能生效。</w:t>
      </w:r>
    </w:p>
    <w:p>
      <w:pPr>
        <w:autoSpaceDE w:val="0"/>
        <w:autoSpaceDN w:val="0"/>
        <w:adjustRightInd w:val="0"/>
        <w:spacing w:line="360" w:lineRule="auto"/>
        <w:ind w:firstLine="550" w:firstLineChars="25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（2）投标人的修改或撤回通知，应按本须知的规定编写、密封和递交（在内层包封上标明“修改”或“撤回”字样）。</w:t>
      </w:r>
    </w:p>
    <w:p>
      <w:pPr>
        <w:autoSpaceDE w:val="0"/>
        <w:autoSpaceDN w:val="0"/>
        <w:adjustRightInd w:val="0"/>
        <w:spacing w:line="360" w:lineRule="auto"/>
        <w:ind w:firstLine="550" w:firstLineChars="250"/>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（3）在投标截止期至投标有效期期满之间的这段时间内，投标人不得撤回其投标文件，否则其投标保证金将被没收。</w:t>
      </w:r>
    </w:p>
    <w:p>
      <w:pPr>
        <w:pStyle w:val="4"/>
        <w:jc w:val="center"/>
        <w:rPr>
          <w:rFonts w:hint="eastAsia" w:ascii="仿宋" w:hAnsi="仿宋" w:eastAsia="仿宋" w:cs="仿宋"/>
          <w:color w:val="auto"/>
          <w:highlight w:val="none"/>
        </w:rPr>
      </w:pPr>
      <w:r>
        <w:rPr>
          <w:rFonts w:hint="eastAsia" w:ascii="仿宋" w:hAnsi="仿宋" w:eastAsia="仿宋" w:cs="仿宋"/>
          <w:color w:val="auto"/>
          <w:highlight w:val="none"/>
        </w:rPr>
        <w:t>四、开标与评标</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16、开标</w:t>
      </w:r>
    </w:p>
    <w:p>
      <w:pPr>
        <w:autoSpaceDE w:val="0"/>
        <w:autoSpaceDN w:val="0"/>
        <w:adjustRightInd w:val="0"/>
        <w:spacing w:line="360" w:lineRule="auto"/>
        <w:ind w:firstLine="431" w:firstLineChars="196"/>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16.1、</w:t>
      </w:r>
      <w:r>
        <w:rPr>
          <w:rFonts w:hint="eastAsia" w:ascii="仿宋" w:hAnsi="仿宋" w:eastAsia="仿宋" w:cs="仿宋"/>
          <w:color w:val="auto"/>
          <w:kern w:val="0"/>
          <w:sz w:val="22"/>
          <w:szCs w:val="21"/>
          <w:highlight w:val="none"/>
          <w:lang w:eastAsia="zh-CN"/>
        </w:rPr>
        <w:t>招标</w:t>
      </w:r>
      <w:r>
        <w:rPr>
          <w:rFonts w:hint="eastAsia" w:ascii="仿宋" w:hAnsi="仿宋" w:eastAsia="仿宋" w:cs="仿宋"/>
          <w:color w:val="auto"/>
          <w:kern w:val="0"/>
          <w:sz w:val="22"/>
          <w:szCs w:val="21"/>
          <w:highlight w:val="none"/>
        </w:rPr>
        <w:t>代理机构将在“投标人须知前附表”规定的时间和地点组织公开开标，开标由监督人员进行现场监督。参加开标的投标代表应签名报到以证明其出席，并在“开标记录表”中签字，确认开标结果。</w:t>
      </w:r>
    </w:p>
    <w:p>
      <w:pPr>
        <w:autoSpaceDE w:val="0"/>
        <w:autoSpaceDN w:val="0"/>
        <w:adjustRightInd w:val="0"/>
        <w:spacing w:line="360" w:lineRule="auto"/>
        <w:ind w:firstLine="431" w:firstLineChars="196"/>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16.2、按照第16条规定，提交了可接受的“撤回”通知的投标文件将不予开封。</w:t>
      </w:r>
    </w:p>
    <w:p>
      <w:pPr>
        <w:autoSpaceDE w:val="0"/>
        <w:autoSpaceDN w:val="0"/>
        <w:adjustRightInd w:val="0"/>
        <w:spacing w:line="360" w:lineRule="auto"/>
        <w:ind w:firstLine="431" w:firstLineChars="196"/>
        <w:rPr>
          <w:rFonts w:hint="eastAsia" w:ascii="仿宋" w:hAnsi="仿宋" w:eastAsia="仿宋" w:cs="仿宋"/>
          <w:color w:val="auto"/>
          <w:kern w:val="0"/>
          <w:sz w:val="22"/>
          <w:szCs w:val="21"/>
          <w:highlight w:val="none"/>
        </w:rPr>
      </w:pPr>
      <w:r>
        <w:rPr>
          <w:rFonts w:hint="eastAsia" w:ascii="仿宋" w:hAnsi="仿宋" w:eastAsia="仿宋" w:cs="仿宋"/>
          <w:color w:val="auto"/>
          <w:kern w:val="0"/>
          <w:sz w:val="22"/>
          <w:szCs w:val="21"/>
          <w:highlight w:val="none"/>
        </w:rPr>
        <w:t>16.3、开标时，各投标人应检查纸质投标文件的密封性，确认无误后作为有效投标。</w:t>
      </w:r>
      <w:r>
        <w:rPr>
          <w:rFonts w:hint="eastAsia" w:ascii="仿宋" w:hAnsi="仿宋" w:eastAsia="仿宋" w:cs="仿宋"/>
          <w:color w:val="auto"/>
          <w:kern w:val="0"/>
          <w:sz w:val="22"/>
          <w:szCs w:val="21"/>
          <w:highlight w:val="none"/>
          <w:lang w:eastAsia="zh-CN"/>
        </w:rPr>
        <w:t>招标</w:t>
      </w:r>
      <w:r>
        <w:rPr>
          <w:rFonts w:hint="eastAsia" w:ascii="仿宋" w:hAnsi="仿宋" w:eastAsia="仿宋" w:cs="仿宋"/>
          <w:color w:val="auto"/>
          <w:kern w:val="0"/>
          <w:sz w:val="22"/>
          <w:szCs w:val="21"/>
          <w:highlight w:val="none"/>
        </w:rPr>
        <w:t>代理机构工作人员进行现场</w:t>
      </w:r>
      <w:r>
        <w:rPr>
          <w:rFonts w:hint="eastAsia" w:ascii="仿宋" w:hAnsi="仿宋" w:eastAsia="仿宋" w:cs="仿宋"/>
          <w:color w:val="auto"/>
          <w:kern w:val="0"/>
          <w:sz w:val="22"/>
          <w:szCs w:val="21"/>
          <w:highlight w:val="none"/>
          <w:lang w:val="en-US" w:eastAsia="zh-CN"/>
        </w:rPr>
        <w:t>开启标书</w:t>
      </w:r>
      <w:r>
        <w:rPr>
          <w:rFonts w:hint="eastAsia" w:ascii="仿宋" w:hAnsi="仿宋" w:eastAsia="仿宋" w:cs="仿宋"/>
          <w:color w:val="auto"/>
          <w:kern w:val="0"/>
          <w:sz w:val="22"/>
          <w:szCs w:val="21"/>
          <w:highlight w:val="none"/>
        </w:rPr>
        <w:t>，公证人员当众宣读投标人名称、投标报价、完成时间、供货地点，以及其他内容。</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17、评标</w:t>
      </w:r>
    </w:p>
    <w:p>
      <w:pPr>
        <w:adjustRightInd w:val="0"/>
        <w:spacing w:line="360" w:lineRule="auto"/>
        <w:ind w:firstLine="510"/>
        <w:rPr>
          <w:rFonts w:hint="eastAsia" w:ascii="仿宋" w:hAnsi="仿宋" w:eastAsia="仿宋" w:cs="仿宋"/>
          <w:color w:val="auto"/>
          <w:sz w:val="22"/>
          <w:szCs w:val="21"/>
          <w:highlight w:val="none"/>
        </w:rPr>
      </w:pPr>
      <w:r>
        <w:rPr>
          <w:rFonts w:hint="eastAsia" w:ascii="仿宋" w:hAnsi="仿宋" w:eastAsia="仿宋" w:cs="仿宋"/>
          <w:color w:val="auto"/>
          <w:kern w:val="0"/>
          <w:sz w:val="22"/>
          <w:szCs w:val="21"/>
          <w:highlight w:val="none"/>
        </w:rPr>
        <w:t>17.1、</w:t>
      </w:r>
      <w:r>
        <w:rPr>
          <w:rFonts w:hint="eastAsia" w:ascii="仿宋" w:hAnsi="仿宋" w:eastAsia="仿宋" w:cs="仿宋"/>
          <w:color w:val="auto"/>
          <w:sz w:val="22"/>
          <w:szCs w:val="21"/>
          <w:highlight w:val="none"/>
          <w:lang w:eastAsia="zh-CN"/>
        </w:rPr>
        <w:t>采购人</w:t>
      </w:r>
      <w:r>
        <w:rPr>
          <w:rFonts w:hint="eastAsia" w:ascii="仿宋" w:hAnsi="仿宋" w:eastAsia="仿宋" w:cs="仿宋"/>
          <w:color w:val="auto"/>
          <w:sz w:val="22"/>
          <w:szCs w:val="21"/>
          <w:highlight w:val="none"/>
        </w:rPr>
        <w:t>将根据本次招标</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项目的性质和特点依法组建评标委员会，由5人或以上的单数组成。</w:t>
      </w:r>
    </w:p>
    <w:p>
      <w:pPr>
        <w:adjustRightInd w:val="0"/>
        <w:spacing w:line="360" w:lineRule="auto"/>
        <w:ind w:firstLine="510"/>
        <w:rPr>
          <w:rFonts w:hint="eastAsia" w:ascii="仿宋" w:hAnsi="仿宋" w:eastAsia="仿宋" w:cs="仿宋"/>
          <w:color w:val="auto"/>
          <w:sz w:val="22"/>
          <w:szCs w:val="21"/>
          <w:highlight w:val="none"/>
        </w:rPr>
      </w:pPr>
      <w:r>
        <w:rPr>
          <w:rFonts w:hint="eastAsia" w:ascii="仿宋" w:hAnsi="仿宋" w:eastAsia="仿宋" w:cs="仿宋"/>
          <w:color w:val="auto"/>
          <w:kern w:val="0"/>
          <w:sz w:val="22"/>
          <w:szCs w:val="21"/>
          <w:highlight w:val="none"/>
        </w:rPr>
        <w:t>17.2、</w:t>
      </w:r>
      <w:r>
        <w:rPr>
          <w:rFonts w:hint="eastAsia" w:ascii="仿宋" w:hAnsi="仿宋" w:eastAsia="仿宋" w:cs="仿宋"/>
          <w:bCs/>
          <w:color w:val="auto"/>
          <w:sz w:val="22"/>
          <w:szCs w:val="21"/>
          <w:highlight w:val="none"/>
        </w:rPr>
        <w:t>评标原则：</w:t>
      </w:r>
      <w:r>
        <w:rPr>
          <w:rFonts w:hint="eastAsia" w:ascii="仿宋" w:hAnsi="仿宋" w:eastAsia="仿宋" w:cs="仿宋"/>
          <w:color w:val="auto"/>
          <w:sz w:val="22"/>
          <w:szCs w:val="21"/>
          <w:highlight w:val="none"/>
        </w:rPr>
        <w:t>依照“公平、公正、科学、择优”原则。</w:t>
      </w:r>
    </w:p>
    <w:p>
      <w:pPr>
        <w:adjustRightInd w:val="0"/>
        <w:spacing w:line="360" w:lineRule="auto"/>
        <w:ind w:firstLine="510"/>
        <w:rPr>
          <w:rFonts w:hint="eastAsia" w:ascii="仿宋" w:hAnsi="仿宋" w:eastAsia="仿宋" w:cs="仿宋"/>
          <w:bCs/>
          <w:color w:val="auto"/>
          <w:sz w:val="22"/>
          <w:szCs w:val="21"/>
          <w:highlight w:val="none"/>
        </w:rPr>
      </w:pPr>
      <w:r>
        <w:rPr>
          <w:rFonts w:hint="eastAsia" w:ascii="仿宋" w:hAnsi="仿宋" w:eastAsia="仿宋" w:cs="仿宋"/>
          <w:color w:val="auto"/>
          <w:kern w:val="0"/>
          <w:sz w:val="22"/>
          <w:szCs w:val="21"/>
          <w:highlight w:val="none"/>
        </w:rPr>
        <w:t>17.3、</w:t>
      </w:r>
      <w:r>
        <w:rPr>
          <w:rFonts w:hint="eastAsia" w:ascii="仿宋" w:hAnsi="仿宋" w:eastAsia="仿宋" w:cs="仿宋"/>
          <w:bCs/>
          <w:color w:val="auto"/>
          <w:sz w:val="22"/>
          <w:szCs w:val="21"/>
          <w:highlight w:val="none"/>
        </w:rPr>
        <w:t>评标方法：本项目按照《中华人民共和国</w:t>
      </w:r>
      <w:r>
        <w:rPr>
          <w:rFonts w:hint="eastAsia" w:ascii="仿宋" w:hAnsi="仿宋" w:eastAsia="仿宋" w:cs="仿宋"/>
          <w:bCs/>
          <w:color w:val="auto"/>
          <w:sz w:val="22"/>
          <w:szCs w:val="21"/>
          <w:highlight w:val="none"/>
          <w:lang w:eastAsia="zh-CN"/>
        </w:rPr>
        <w:t>政府采购</w:t>
      </w:r>
      <w:r>
        <w:rPr>
          <w:rFonts w:hint="eastAsia" w:ascii="仿宋" w:hAnsi="仿宋" w:eastAsia="仿宋" w:cs="仿宋"/>
          <w:bCs/>
          <w:color w:val="auto"/>
          <w:sz w:val="22"/>
          <w:szCs w:val="21"/>
          <w:highlight w:val="none"/>
        </w:rPr>
        <w:t>法》、《中华人民共和国</w:t>
      </w:r>
      <w:r>
        <w:rPr>
          <w:rFonts w:hint="eastAsia" w:ascii="仿宋" w:hAnsi="仿宋" w:eastAsia="仿宋" w:cs="仿宋"/>
          <w:bCs/>
          <w:color w:val="auto"/>
          <w:sz w:val="22"/>
          <w:szCs w:val="21"/>
          <w:highlight w:val="none"/>
          <w:lang w:eastAsia="zh-CN"/>
        </w:rPr>
        <w:t>政府采购</w:t>
      </w:r>
      <w:r>
        <w:rPr>
          <w:rFonts w:hint="eastAsia" w:ascii="仿宋" w:hAnsi="仿宋" w:eastAsia="仿宋" w:cs="仿宋"/>
          <w:bCs/>
          <w:color w:val="auto"/>
          <w:sz w:val="22"/>
          <w:szCs w:val="21"/>
          <w:highlight w:val="none"/>
        </w:rPr>
        <w:t>法实施条例》和</w:t>
      </w:r>
      <w:r>
        <w:rPr>
          <w:rFonts w:hint="eastAsia" w:ascii="仿宋" w:hAnsi="仿宋" w:eastAsia="仿宋" w:cs="仿宋"/>
          <w:color w:val="auto"/>
          <w:sz w:val="22"/>
          <w:highlight w:val="none"/>
        </w:rPr>
        <w:t>《</w:t>
      </w:r>
      <w:r>
        <w:rPr>
          <w:rFonts w:hint="eastAsia" w:ascii="仿宋" w:hAnsi="仿宋" w:eastAsia="仿宋" w:cs="仿宋"/>
          <w:color w:val="auto"/>
          <w:sz w:val="22"/>
          <w:highlight w:val="none"/>
          <w:lang w:eastAsia="zh-CN"/>
        </w:rPr>
        <w:t>政府采购</w:t>
      </w:r>
      <w:r>
        <w:rPr>
          <w:rFonts w:hint="eastAsia" w:ascii="仿宋" w:hAnsi="仿宋" w:eastAsia="仿宋" w:cs="仿宋"/>
          <w:color w:val="auto"/>
          <w:sz w:val="22"/>
          <w:highlight w:val="none"/>
        </w:rPr>
        <w:t>货物和服务招标投标管理办法》（财政部令第87号）</w:t>
      </w:r>
      <w:r>
        <w:rPr>
          <w:rFonts w:hint="eastAsia" w:ascii="仿宋" w:hAnsi="仿宋" w:eastAsia="仿宋" w:cs="仿宋"/>
          <w:bCs/>
          <w:color w:val="auto"/>
          <w:sz w:val="22"/>
          <w:szCs w:val="21"/>
          <w:highlight w:val="none"/>
        </w:rPr>
        <w:t>等有关法律法规进行评标，具体内容详见第五章《评标办法》。</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18、投标文件的澄清</w:t>
      </w:r>
    </w:p>
    <w:p>
      <w:pPr>
        <w:pStyle w:val="13"/>
        <w:adjustRightInd w:val="0"/>
        <w:spacing w:line="360" w:lineRule="auto"/>
        <w:ind w:firstLine="554" w:firstLineChars="252"/>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为有助于对投标文件的审查、评价和比较，可分别要求对拟中标人进行技术询问，要求澄清，或对拟中标人进行实地考察，或要求拟中标人提供所需的有关资料。有关要求和答复可现场进行，也可以书面形式包括电传、传真提交，但不得寻求、提供或允许对投标价格或实质性内容做任何更改。</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19、中标条件</w:t>
      </w:r>
    </w:p>
    <w:p>
      <w:pPr>
        <w:pStyle w:val="13"/>
        <w:adjustRightInd w:val="0"/>
        <w:spacing w:line="360" w:lineRule="auto"/>
        <w:ind w:firstLine="554" w:firstLineChars="252"/>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投标文件能够满足招标要求且综合得分最高。</w:t>
      </w:r>
    </w:p>
    <w:p>
      <w:pPr>
        <w:pStyle w:val="4"/>
        <w:jc w:val="center"/>
        <w:rPr>
          <w:rFonts w:hint="eastAsia" w:ascii="仿宋" w:hAnsi="仿宋" w:eastAsia="仿宋" w:cs="仿宋"/>
          <w:color w:val="auto"/>
          <w:highlight w:val="none"/>
        </w:rPr>
      </w:pPr>
      <w:r>
        <w:rPr>
          <w:rFonts w:hint="eastAsia" w:ascii="仿宋" w:hAnsi="仿宋" w:eastAsia="仿宋" w:cs="仿宋"/>
          <w:color w:val="auto"/>
          <w:highlight w:val="none"/>
        </w:rPr>
        <w:t>五、定标和中标通知</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20、定标</w:t>
      </w:r>
    </w:p>
    <w:p>
      <w:pPr>
        <w:adjustRightInd w:val="0"/>
        <w:spacing w:line="360" w:lineRule="auto"/>
        <w:ind w:firstLine="431" w:firstLineChars="196"/>
        <w:rPr>
          <w:rFonts w:hint="eastAsia" w:ascii="仿宋" w:hAnsi="仿宋" w:eastAsia="仿宋" w:cs="仿宋"/>
          <w:color w:val="auto"/>
          <w:sz w:val="22"/>
          <w:szCs w:val="21"/>
          <w:highlight w:val="none"/>
        </w:rPr>
      </w:pPr>
      <w:r>
        <w:rPr>
          <w:rFonts w:hint="eastAsia" w:ascii="仿宋" w:hAnsi="仿宋" w:eastAsia="仿宋" w:cs="仿宋"/>
          <w:color w:val="auto"/>
          <w:kern w:val="0"/>
          <w:sz w:val="22"/>
          <w:szCs w:val="21"/>
          <w:highlight w:val="none"/>
        </w:rPr>
        <w:t>20.1、</w:t>
      </w:r>
      <w:r>
        <w:rPr>
          <w:rFonts w:hint="eastAsia" w:ascii="仿宋" w:hAnsi="仿宋" w:eastAsia="仿宋" w:cs="仿宋"/>
          <w:color w:val="auto"/>
          <w:sz w:val="22"/>
          <w:szCs w:val="21"/>
          <w:highlight w:val="none"/>
          <w:lang w:eastAsia="zh-CN"/>
        </w:rPr>
        <w:t>采购人</w:t>
      </w:r>
      <w:r>
        <w:rPr>
          <w:rFonts w:hint="eastAsia" w:ascii="仿宋" w:hAnsi="仿宋" w:eastAsia="仿宋" w:cs="仿宋"/>
          <w:color w:val="auto"/>
          <w:sz w:val="22"/>
          <w:szCs w:val="21"/>
          <w:highlight w:val="none"/>
        </w:rPr>
        <w:t>将根据评标委员会的推荐情况确定中标人。</w:t>
      </w:r>
    </w:p>
    <w:p>
      <w:pPr>
        <w:adjustRightInd w:val="0"/>
        <w:spacing w:line="360" w:lineRule="auto"/>
        <w:ind w:firstLine="431" w:firstLineChars="196"/>
        <w:rPr>
          <w:rFonts w:hint="eastAsia" w:ascii="仿宋" w:hAnsi="仿宋" w:eastAsia="仿宋" w:cs="仿宋"/>
          <w:color w:val="auto"/>
          <w:sz w:val="22"/>
          <w:szCs w:val="21"/>
          <w:highlight w:val="none"/>
        </w:rPr>
      </w:pPr>
      <w:r>
        <w:rPr>
          <w:rFonts w:hint="eastAsia" w:ascii="仿宋" w:hAnsi="仿宋" w:eastAsia="仿宋" w:cs="仿宋"/>
          <w:color w:val="auto"/>
          <w:kern w:val="0"/>
          <w:sz w:val="22"/>
          <w:szCs w:val="21"/>
          <w:highlight w:val="none"/>
        </w:rPr>
        <w:t>20.2、</w:t>
      </w:r>
      <w:r>
        <w:rPr>
          <w:rFonts w:hint="eastAsia" w:ascii="仿宋" w:hAnsi="仿宋" w:eastAsia="仿宋" w:cs="仿宋"/>
          <w:color w:val="auto"/>
          <w:sz w:val="22"/>
          <w:szCs w:val="21"/>
          <w:highlight w:val="none"/>
          <w:lang w:eastAsia="zh-CN"/>
        </w:rPr>
        <w:t>采购人</w:t>
      </w:r>
      <w:r>
        <w:rPr>
          <w:rFonts w:hint="eastAsia" w:ascii="仿宋" w:hAnsi="仿宋" w:eastAsia="仿宋" w:cs="仿宋"/>
          <w:color w:val="auto"/>
          <w:sz w:val="22"/>
          <w:szCs w:val="21"/>
          <w:highlight w:val="none"/>
        </w:rPr>
        <w:t>在授予合同时有权在“投标人须知前附表”规定的幅度内对规定的货物数量和服务予以增加或减少，但不得对单价或其它的条款和条件做任何改变。</w:t>
      </w:r>
    </w:p>
    <w:p>
      <w:pPr>
        <w:adjustRightInd w:val="0"/>
        <w:spacing w:line="360" w:lineRule="auto"/>
        <w:ind w:firstLine="431" w:firstLineChars="196"/>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20.3、在招标</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活动中，出现下列情形之一的，可视为废标：</w:t>
      </w:r>
    </w:p>
    <w:p>
      <w:pPr>
        <w:adjustRightInd w:val="0"/>
        <w:spacing w:line="360" w:lineRule="auto"/>
        <w:ind w:firstLine="649" w:firstLineChars="295"/>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20.3.1开标时有效投标人不足三家导致招标失败的；</w:t>
      </w:r>
    </w:p>
    <w:p>
      <w:pPr>
        <w:adjustRightInd w:val="0"/>
        <w:spacing w:line="360" w:lineRule="auto"/>
        <w:ind w:firstLine="649" w:firstLineChars="295"/>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20.3.2符合专业条件的投标人或者对招标文件作实质响应的投标人不足三家的；</w:t>
      </w:r>
    </w:p>
    <w:p>
      <w:pPr>
        <w:adjustRightInd w:val="0"/>
        <w:spacing w:line="360" w:lineRule="auto"/>
        <w:ind w:firstLine="649" w:firstLineChars="295"/>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20.3.3</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的公正性受到影响的；</w:t>
      </w:r>
    </w:p>
    <w:p>
      <w:pPr>
        <w:adjustRightInd w:val="0"/>
        <w:spacing w:line="360" w:lineRule="auto"/>
        <w:ind w:firstLine="649" w:firstLineChars="295"/>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20.3.4投标人的报价均超过了</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预算，</w:t>
      </w:r>
      <w:r>
        <w:rPr>
          <w:rFonts w:hint="eastAsia" w:ascii="仿宋" w:hAnsi="仿宋" w:eastAsia="仿宋" w:cs="仿宋"/>
          <w:color w:val="auto"/>
          <w:sz w:val="22"/>
          <w:szCs w:val="21"/>
          <w:highlight w:val="none"/>
          <w:lang w:eastAsia="zh-CN"/>
        </w:rPr>
        <w:t>采购人</w:t>
      </w:r>
      <w:r>
        <w:rPr>
          <w:rFonts w:hint="eastAsia" w:ascii="仿宋" w:hAnsi="仿宋" w:eastAsia="仿宋" w:cs="仿宋"/>
          <w:color w:val="auto"/>
          <w:sz w:val="22"/>
          <w:szCs w:val="21"/>
          <w:highlight w:val="none"/>
        </w:rPr>
        <w:t>不能支付的；</w:t>
      </w:r>
    </w:p>
    <w:p>
      <w:pPr>
        <w:adjustRightInd w:val="0"/>
        <w:spacing w:line="360" w:lineRule="auto"/>
        <w:ind w:firstLine="649" w:firstLineChars="295"/>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20.3.5因重大变故，</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任务取消的。</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21、中标通知</w:t>
      </w:r>
    </w:p>
    <w:p>
      <w:pPr>
        <w:pStyle w:val="13"/>
        <w:adjustRightInd w:val="0"/>
        <w:spacing w:line="360" w:lineRule="auto"/>
        <w:ind w:firstLine="431" w:firstLineChars="196"/>
        <w:rPr>
          <w:rFonts w:hint="eastAsia" w:ascii="仿宋" w:hAnsi="仿宋" w:eastAsia="仿宋" w:cs="仿宋"/>
          <w:bCs/>
          <w:color w:val="auto"/>
          <w:sz w:val="22"/>
          <w:szCs w:val="21"/>
          <w:highlight w:val="none"/>
        </w:rPr>
      </w:pPr>
      <w:r>
        <w:rPr>
          <w:rFonts w:hint="eastAsia" w:ascii="仿宋" w:hAnsi="仿宋" w:eastAsia="仿宋" w:cs="仿宋"/>
          <w:color w:val="auto"/>
          <w:sz w:val="22"/>
          <w:szCs w:val="21"/>
          <w:highlight w:val="none"/>
        </w:rPr>
        <w:t>21.1、</w:t>
      </w:r>
      <w:r>
        <w:rPr>
          <w:rFonts w:hint="eastAsia" w:ascii="仿宋" w:hAnsi="仿宋" w:eastAsia="仿宋" w:cs="仿宋"/>
          <w:bCs/>
          <w:color w:val="auto"/>
          <w:sz w:val="22"/>
          <w:szCs w:val="21"/>
          <w:highlight w:val="none"/>
        </w:rPr>
        <w:t>定标后，</w:t>
      </w:r>
      <w:r>
        <w:rPr>
          <w:rFonts w:hint="eastAsia" w:ascii="仿宋" w:hAnsi="仿宋" w:eastAsia="仿宋" w:cs="仿宋"/>
          <w:bCs/>
          <w:color w:val="auto"/>
          <w:sz w:val="22"/>
          <w:szCs w:val="21"/>
          <w:highlight w:val="none"/>
          <w:lang w:eastAsia="zh-CN"/>
        </w:rPr>
        <w:t>招标</w:t>
      </w:r>
      <w:r>
        <w:rPr>
          <w:rFonts w:hint="eastAsia" w:ascii="仿宋" w:hAnsi="仿宋" w:eastAsia="仿宋" w:cs="仿宋"/>
          <w:bCs/>
          <w:color w:val="auto"/>
          <w:sz w:val="22"/>
          <w:szCs w:val="21"/>
          <w:highlight w:val="none"/>
        </w:rPr>
        <w:t>代理机构根据结果签发《中标通知书》。</w:t>
      </w:r>
    </w:p>
    <w:p>
      <w:pPr>
        <w:pStyle w:val="4"/>
        <w:jc w:val="center"/>
        <w:rPr>
          <w:rFonts w:hint="eastAsia" w:ascii="仿宋" w:hAnsi="仿宋" w:eastAsia="仿宋" w:cs="仿宋"/>
          <w:color w:val="auto"/>
          <w:highlight w:val="none"/>
        </w:rPr>
      </w:pPr>
      <w:r>
        <w:rPr>
          <w:rFonts w:hint="eastAsia" w:ascii="仿宋" w:hAnsi="仿宋" w:eastAsia="仿宋" w:cs="仿宋"/>
          <w:color w:val="auto"/>
          <w:highlight w:val="none"/>
        </w:rPr>
        <w:t>六、合同签订及其他</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22、合同签订</w:t>
      </w:r>
    </w:p>
    <w:p>
      <w:pPr>
        <w:pStyle w:val="13"/>
        <w:adjustRightInd w:val="0"/>
        <w:spacing w:line="360" w:lineRule="auto"/>
        <w:ind w:firstLine="464" w:firstLineChars="211"/>
        <w:rPr>
          <w:rFonts w:hint="eastAsia" w:ascii="仿宋" w:hAnsi="仿宋" w:eastAsia="仿宋" w:cs="仿宋"/>
          <w:bCs/>
          <w:color w:val="auto"/>
          <w:sz w:val="22"/>
          <w:szCs w:val="21"/>
          <w:highlight w:val="none"/>
        </w:rPr>
      </w:pPr>
      <w:r>
        <w:rPr>
          <w:rFonts w:hint="eastAsia" w:ascii="仿宋" w:hAnsi="仿宋" w:eastAsia="仿宋" w:cs="仿宋"/>
          <w:bCs/>
          <w:color w:val="auto"/>
          <w:sz w:val="22"/>
          <w:szCs w:val="21"/>
          <w:highlight w:val="none"/>
        </w:rPr>
        <w:t>22.1、中标人须向</w:t>
      </w:r>
      <w:r>
        <w:rPr>
          <w:rFonts w:hint="eastAsia" w:ascii="仿宋" w:hAnsi="仿宋" w:eastAsia="仿宋" w:cs="仿宋"/>
          <w:bCs/>
          <w:color w:val="auto"/>
          <w:sz w:val="22"/>
          <w:szCs w:val="21"/>
          <w:highlight w:val="none"/>
          <w:lang w:eastAsia="zh-CN"/>
        </w:rPr>
        <w:t>招标</w:t>
      </w:r>
      <w:r>
        <w:rPr>
          <w:rFonts w:hint="eastAsia" w:ascii="仿宋" w:hAnsi="仿宋" w:eastAsia="仿宋" w:cs="仿宋"/>
          <w:bCs/>
          <w:color w:val="auto"/>
          <w:sz w:val="22"/>
          <w:szCs w:val="21"/>
          <w:highlight w:val="none"/>
        </w:rPr>
        <w:t>代理机构支付中标服务费后方可领取《中标通知书》。</w:t>
      </w:r>
    </w:p>
    <w:p>
      <w:pPr>
        <w:pStyle w:val="13"/>
        <w:adjustRightInd w:val="0"/>
        <w:spacing w:line="360" w:lineRule="auto"/>
        <w:ind w:firstLine="464" w:firstLineChars="211"/>
        <w:rPr>
          <w:rFonts w:hint="eastAsia" w:ascii="仿宋" w:hAnsi="仿宋" w:eastAsia="仿宋" w:cs="仿宋"/>
          <w:bCs/>
          <w:color w:val="auto"/>
          <w:sz w:val="22"/>
          <w:szCs w:val="21"/>
          <w:highlight w:val="none"/>
        </w:rPr>
      </w:pPr>
      <w:r>
        <w:rPr>
          <w:rFonts w:hint="eastAsia" w:ascii="仿宋" w:hAnsi="仿宋" w:eastAsia="仿宋" w:cs="仿宋"/>
          <w:bCs/>
          <w:color w:val="auto"/>
          <w:sz w:val="22"/>
          <w:szCs w:val="21"/>
          <w:highlight w:val="none"/>
        </w:rPr>
        <w:t>22.2、</w:t>
      </w:r>
      <w:r>
        <w:rPr>
          <w:rFonts w:hint="eastAsia" w:ascii="仿宋" w:hAnsi="仿宋" w:eastAsia="仿宋" w:cs="仿宋"/>
          <w:b/>
          <w:bCs/>
          <w:color w:val="auto"/>
          <w:sz w:val="22"/>
          <w:szCs w:val="21"/>
          <w:highlight w:val="none"/>
        </w:rPr>
        <w:t>中标人应在领取《中标通知书》之日起30日内与</w:t>
      </w:r>
      <w:r>
        <w:rPr>
          <w:rFonts w:hint="eastAsia" w:ascii="仿宋" w:hAnsi="仿宋" w:eastAsia="仿宋" w:cs="仿宋"/>
          <w:b/>
          <w:bCs/>
          <w:color w:val="auto"/>
          <w:sz w:val="22"/>
          <w:szCs w:val="21"/>
          <w:highlight w:val="none"/>
          <w:lang w:eastAsia="zh-CN"/>
        </w:rPr>
        <w:t>采购人</w:t>
      </w:r>
      <w:r>
        <w:rPr>
          <w:rFonts w:hint="eastAsia" w:ascii="仿宋" w:hAnsi="仿宋" w:eastAsia="仿宋" w:cs="仿宋"/>
          <w:b/>
          <w:bCs/>
          <w:color w:val="auto"/>
          <w:sz w:val="22"/>
          <w:szCs w:val="21"/>
          <w:highlight w:val="none"/>
        </w:rPr>
        <w:t>签订合同。</w:t>
      </w:r>
    </w:p>
    <w:p>
      <w:pPr>
        <w:pStyle w:val="13"/>
        <w:adjustRightInd w:val="0"/>
        <w:spacing w:line="360" w:lineRule="auto"/>
        <w:ind w:firstLine="464" w:firstLineChars="211"/>
        <w:rPr>
          <w:rFonts w:hint="eastAsia" w:ascii="仿宋" w:hAnsi="仿宋" w:eastAsia="仿宋" w:cs="仿宋"/>
          <w:bCs/>
          <w:color w:val="auto"/>
          <w:sz w:val="22"/>
          <w:szCs w:val="21"/>
          <w:highlight w:val="none"/>
        </w:rPr>
      </w:pPr>
      <w:r>
        <w:rPr>
          <w:rFonts w:hint="eastAsia" w:ascii="仿宋" w:hAnsi="仿宋" w:eastAsia="仿宋" w:cs="仿宋"/>
          <w:bCs/>
          <w:color w:val="auto"/>
          <w:sz w:val="22"/>
          <w:szCs w:val="21"/>
          <w:highlight w:val="none"/>
        </w:rPr>
        <w:t>22.3、招标文件、中标人的投标文件及其澄清文件、中标通知书，均作为签订合同内容的依据。</w:t>
      </w:r>
    </w:p>
    <w:p>
      <w:pPr>
        <w:pStyle w:val="13"/>
        <w:adjustRightInd w:val="0"/>
        <w:spacing w:line="360" w:lineRule="auto"/>
        <w:ind w:firstLine="464" w:firstLineChars="211"/>
        <w:rPr>
          <w:rFonts w:hint="eastAsia" w:ascii="仿宋" w:hAnsi="仿宋" w:eastAsia="仿宋" w:cs="仿宋"/>
          <w:bCs/>
          <w:color w:val="auto"/>
          <w:sz w:val="22"/>
          <w:szCs w:val="21"/>
          <w:highlight w:val="none"/>
        </w:rPr>
      </w:pPr>
      <w:r>
        <w:rPr>
          <w:rFonts w:hint="eastAsia" w:ascii="仿宋" w:hAnsi="仿宋" w:eastAsia="仿宋" w:cs="仿宋"/>
          <w:bCs/>
          <w:color w:val="auto"/>
          <w:sz w:val="22"/>
          <w:szCs w:val="21"/>
          <w:highlight w:val="none"/>
        </w:rPr>
        <w:t>22.4、签订合同时，中标人须按“投标人须知前附表”的规定向</w:t>
      </w:r>
      <w:r>
        <w:rPr>
          <w:rFonts w:hint="eastAsia" w:ascii="仿宋" w:hAnsi="仿宋" w:eastAsia="仿宋" w:cs="仿宋"/>
          <w:bCs/>
          <w:color w:val="auto"/>
          <w:sz w:val="22"/>
          <w:szCs w:val="21"/>
          <w:highlight w:val="none"/>
          <w:lang w:eastAsia="zh-CN"/>
        </w:rPr>
        <w:t>采购人</w:t>
      </w:r>
      <w:r>
        <w:rPr>
          <w:rFonts w:hint="eastAsia" w:ascii="仿宋" w:hAnsi="仿宋" w:eastAsia="仿宋" w:cs="仿宋"/>
          <w:bCs/>
          <w:color w:val="auto"/>
          <w:sz w:val="22"/>
          <w:szCs w:val="21"/>
          <w:highlight w:val="none"/>
        </w:rPr>
        <w:t>交纳履约保证金。</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23、分包</w:t>
      </w:r>
    </w:p>
    <w:p>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详见“</w:t>
      </w:r>
      <w:r>
        <w:rPr>
          <w:rFonts w:hint="eastAsia" w:ascii="仿宋" w:hAnsi="仿宋" w:eastAsia="仿宋" w:cs="仿宋"/>
          <w:b/>
          <w:color w:val="auto"/>
          <w:sz w:val="24"/>
          <w:highlight w:val="none"/>
        </w:rPr>
        <w:t>投标人须知前附表</w:t>
      </w:r>
      <w:r>
        <w:rPr>
          <w:rFonts w:hint="eastAsia" w:ascii="仿宋" w:hAnsi="仿宋" w:eastAsia="仿宋" w:cs="仿宋"/>
          <w:color w:val="auto"/>
          <w:sz w:val="24"/>
          <w:highlight w:val="none"/>
        </w:rPr>
        <w:t>”规定</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24、其他</w:t>
      </w:r>
    </w:p>
    <w:p>
      <w:pPr>
        <w:pStyle w:val="13"/>
        <w:adjustRightInd w:val="0"/>
        <w:spacing w:line="360" w:lineRule="auto"/>
        <w:ind w:firstLine="464" w:firstLineChars="211"/>
        <w:rPr>
          <w:rFonts w:hint="eastAsia" w:ascii="仿宋" w:hAnsi="仿宋" w:eastAsia="仿宋" w:cs="仿宋"/>
          <w:bCs/>
          <w:color w:val="auto"/>
          <w:sz w:val="22"/>
          <w:szCs w:val="21"/>
          <w:highlight w:val="none"/>
        </w:rPr>
      </w:pPr>
      <w:r>
        <w:rPr>
          <w:rFonts w:hint="eastAsia" w:ascii="仿宋" w:hAnsi="仿宋" w:eastAsia="仿宋" w:cs="仿宋"/>
          <w:bCs/>
          <w:color w:val="auto"/>
          <w:sz w:val="22"/>
          <w:szCs w:val="21"/>
          <w:highlight w:val="none"/>
        </w:rPr>
        <w:t>其他内容将依照相关法律法规的规定，在合同签订时具体约定。</w:t>
      </w:r>
    </w:p>
    <w:p>
      <w:pPr>
        <w:pStyle w:val="4"/>
        <w:jc w:val="center"/>
        <w:rPr>
          <w:rFonts w:hint="eastAsia" w:ascii="仿宋" w:hAnsi="仿宋" w:eastAsia="仿宋" w:cs="仿宋"/>
          <w:color w:val="auto"/>
          <w:highlight w:val="none"/>
        </w:rPr>
      </w:pPr>
      <w:r>
        <w:rPr>
          <w:rFonts w:hint="eastAsia" w:ascii="仿宋" w:hAnsi="仿宋" w:eastAsia="仿宋" w:cs="仿宋"/>
          <w:color w:val="auto"/>
          <w:highlight w:val="none"/>
        </w:rPr>
        <w:t>七、质疑和投诉</w:t>
      </w:r>
    </w:p>
    <w:p>
      <w:pPr>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25、质疑</w:t>
      </w:r>
    </w:p>
    <w:p>
      <w:pPr>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w:t>
      </w:r>
      <w:r>
        <w:rPr>
          <w:rFonts w:hint="eastAsia" w:ascii="仿宋" w:hAnsi="仿宋" w:eastAsia="仿宋" w:cs="仿宋"/>
          <w:color w:val="auto"/>
          <w:sz w:val="22"/>
          <w:szCs w:val="21"/>
          <w:highlight w:val="none"/>
          <w:lang w:eastAsia="zh-CN"/>
        </w:rPr>
        <w:t>投标人</w:t>
      </w:r>
      <w:r>
        <w:rPr>
          <w:rFonts w:hint="eastAsia" w:ascii="仿宋" w:hAnsi="仿宋" w:eastAsia="仿宋" w:cs="仿宋"/>
          <w:color w:val="auto"/>
          <w:sz w:val="22"/>
          <w:szCs w:val="21"/>
          <w:highlight w:val="none"/>
        </w:rPr>
        <w:t>认为</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文件、</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过程、中标或者成交结果使自己的权益受到损害的，可以在知道或者应知其权益受到损害之日起7个工作日内，以书面形式向</w:t>
      </w:r>
      <w:r>
        <w:rPr>
          <w:rFonts w:hint="eastAsia" w:ascii="仿宋" w:hAnsi="仿宋" w:eastAsia="仿宋" w:cs="仿宋"/>
          <w:color w:val="auto"/>
          <w:sz w:val="22"/>
          <w:szCs w:val="21"/>
          <w:highlight w:val="none"/>
          <w:lang w:eastAsia="zh-CN"/>
        </w:rPr>
        <w:t>采购人</w:t>
      </w:r>
      <w:r>
        <w:rPr>
          <w:rFonts w:hint="eastAsia" w:ascii="仿宋" w:hAnsi="仿宋" w:eastAsia="仿宋" w:cs="仿宋"/>
          <w:color w:val="auto"/>
          <w:sz w:val="22"/>
          <w:szCs w:val="21"/>
          <w:highlight w:val="none"/>
        </w:rPr>
        <w:t>、</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代理机构提出质疑。质疑内容不得含有虚假、恶意成分。当事人对自己提出的主张，有责任提供证据，提出质疑时应同时提交必要的证明材料和注明事实的确切来源。不得以假设、揣测、据说、听说等缺乏事实依据的理由提出质疑。</w:t>
      </w:r>
    </w:p>
    <w:p>
      <w:pPr>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提出质疑的</w:t>
      </w:r>
      <w:r>
        <w:rPr>
          <w:rFonts w:hint="eastAsia" w:ascii="仿宋" w:hAnsi="仿宋" w:eastAsia="仿宋" w:cs="仿宋"/>
          <w:color w:val="auto"/>
          <w:sz w:val="22"/>
          <w:szCs w:val="21"/>
          <w:highlight w:val="none"/>
          <w:lang w:eastAsia="zh-CN"/>
        </w:rPr>
        <w:t>投标人</w:t>
      </w:r>
      <w:r>
        <w:rPr>
          <w:rFonts w:hint="eastAsia" w:ascii="仿宋" w:hAnsi="仿宋" w:eastAsia="仿宋" w:cs="仿宋"/>
          <w:color w:val="auto"/>
          <w:sz w:val="22"/>
          <w:szCs w:val="21"/>
          <w:highlight w:val="none"/>
        </w:rPr>
        <w:t>应当是参与所质疑项目</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活动的</w:t>
      </w:r>
      <w:r>
        <w:rPr>
          <w:rFonts w:hint="eastAsia" w:ascii="仿宋" w:hAnsi="仿宋" w:eastAsia="仿宋" w:cs="仿宋"/>
          <w:color w:val="auto"/>
          <w:sz w:val="22"/>
          <w:szCs w:val="21"/>
          <w:highlight w:val="none"/>
          <w:lang w:eastAsia="zh-CN"/>
        </w:rPr>
        <w:t>投标人</w:t>
      </w:r>
      <w:r>
        <w:rPr>
          <w:rFonts w:hint="eastAsia" w:ascii="仿宋" w:hAnsi="仿宋" w:eastAsia="仿宋" w:cs="仿宋"/>
          <w:color w:val="auto"/>
          <w:sz w:val="22"/>
          <w:szCs w:val="21"/>
          <w:highlight w:val="none"/>
        </w:rPr>
        <w:t>。质疑</w:t>
      </w:r>
      <w:r>
        <w:rPr>
          <w:rFonts w:hint="eastAsia" w:ascii="仿宋" w:hAnsi="仿宋" w:eastAsia="仿宋" w:cs="仿宋"/>
          <w:color w:val="auto"/>
          <w:sz w:val="22"/>
          <w:szCs w:val="21"/>
          <w:highlight w:val="none"/>
          <w:lang w:eastAsia="zh-CN"/>
        </w:rPr>
        <w:t>投标人</w:t>
      </w:r>
      <w:r>
        <w:rPr>
          <w:rFonts w:hint="eastAsia" w:ascii="仿宋" w:hAnsi="仿宋" w:eastAsia="仿宋" w:cs="仿宋"/>
          <w:color w:val="auto"/>
          <w:sz w:val="22"/>
          <w:szCs w:val="21"/>
          <w:highlight w:val="none"/>
        </w:rPr>
        <w:t>应当在法定质疑期内一次性提出针对同一</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程序环节的质疑。</w:t>
      </w:r>
    </w:p>
    <w:p>
      <w:pPr>
        <w:spacing w:line="360" w:lineRule="auto"/>
        <w:ind w:firstLine="389" w:firstLineChars="177"/>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w:t>
      </w:r>
      <w:r>
        <w:rPr>
          <w:rFonts w:hint="eastAsia" w:ascii="仿宋" w:hAnsi="仿宋" w:eastAsia="仿宋" w:cs="仿宋"/>
          <w:color w:val="auto"/>
          <w:sz w:val="22"/>
          <w:szCs w:val="21"/>
          <w:highlight w:val="none"/>
          <w:lang w:eastAsia="zh-CN"/>
        </w:rPr>
        <w:t>投标人</w:t>
      </w:r>
      <w:r>
        <w:rPr>
          <w:rFonts w:hint="eastAsia" w:ascii="仿宋" w:hAnsi="仿宋" w:eastAsia="仿宋" w:cs="仿宋"/>
          <w:color w:val="auto"/>
          <w:sz w:val="22"/>
          <w:szCs w:val="21"/>
          <w:highlight w:val="none"/>
        </w:rPr>
        <w:t>提供的质疑函应符合中华人民共和国财政部令第94号《</w:t>
      </w:r>
      <w:r>
        <w:rPr>
          <w:rFonts w:hint="eastAsia" w:ascii="仿宋" w:hAnsi="仿宋" w:eastAsia="仿宋" w:cs="仿宋"/>
          <w:color w:val="auto"/>
          <w:sz w:val="22"/>
          <w:szCs w:val="21"/>
          <w:highlight w:val="none"/>
          <w:lang w:eastAsia="zh-CN"/>
        </w:rPr>
        <w:t>政府采购</w:t>
      </w:r>
      <w:r>
        <w:rPr>
          <w:rFonts w:hint="eastAsia" w:ascii="仿宋" w:hAnsi="仿宋" w:eastAsia="仿宋" w:cs="仿宋"/>
          <w:color w:val="auto"/>
          <w:sz w:val="22"/>
          <w:szCs w:val="21"/>
          <w:highlight w:val="none"/>
        </w:rPr>
        <w:t>质疑和投诉办法》的规定。投标人提供的质疑函（如材料中有外文资料应同时附上中文译本）应当包括下列内容：</w:t>
      </w:r>
    </w:p>
    <w:p>
      <w:pPr>
        <w:spacing w:line="360" w:lineRule="auto"/>
        <w:ind w:firstLine="770" w:firstLineChars="3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①</w:t>
      </w:r>
      <w:r>
        <w:rPr>
          <w:rFonts w:hint="eastAsia" w:ascii="仿宋" w:hAnsi="仿宋" w:eastAsia="仿宋" w:cs="仿宋"/>
          <w:color w:val="auto"/>
          <w:sz w:val="22"/>
          <w:szCs w:val="21"/>
          <w:highlight w:val="none"/>
          <w:lang w:eastAsia="zh-CN"/>
        </w:rPr>
        <w:t>投标人</w:t>
      </w:r>
      <w:r>
        <w:rPr>
          <w:rFonts w:hint="eastAsia" w:ascii="仿宋" w:hAnsi="仿宋" w:eastAsia="仿宋" w:cs="仿宋"/>
          <w:color w:val="auto"/>
          <w:sz w:val="22"/>
          <w:szCs w:val="21"/>
          <w:highlight w:val="none"/>
        </w:rPr>
        <w:t>的姓名或者名称、地址、邮编、联系人及联系电话；</w:t>
      </w:r>
    </w:p>
    <w:p>
      <w:pPr>
        <w:spacing w:line="360" w:lineRule="auto"/>
        <w:ind w:firstLine="770" w:firstLineChars="3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②质疑项目的名称、编号；</w:t>
      </w:r>
    </w:p>
    <w:p>
      <w:pPr>
        <w:spacing w:line="360" w:lineRule="auto"/>
        <w:ind w:firstLine="770" w:firstLineChars="3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③具体、明确的质疑事项和与质疑事项相关的请求；</w:t>
      </w:r>
    </w:p>
    <w:p>
      <w:pPr>
        <w:spacing w:line="360" w:lineRule="auto"/>
        <w:ind w:firstLine="770" w:firstLineChars="3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④事实依据；</w:t>
      </w:r>
    </w:p>
    <w:p>
      <w:pPr>
        <w:spacing w:line="360" w:lineRule="auto"/>
        <w:ind w:firstLine="770" w:firstLineChars="3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⑤必要的法律依据；</w:t>
      </w:r>
    </w:p>
    <w:p>
      <w:pPr>
        <w:spacing w:line="360" w:lineRule="auto"/>
        <w:ind w:firstLine="770" w:firstLineChars="3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⑥提出质疑的日期。</w:t>
      </w:r>
    </w:p>
    <w:p>
      <w:pPr>
        <w:spacing w:line="360" w:lineRule="auto"/>
        <w:ind w:firstLine="770" w:firstLineChars="3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质疑函实行实名制，并应当由法定代表人、主要负责人，或者其授权代表签字或者盖章，并加盖公章。</w:t>
      </w:r>
    </w:p>
    <w:p>
      <w:pPr>
        <w:spacing w:line="360" w:lineRule="auto"/>
        <w:ind w:firstLine="770" w:firstLineChars="3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接收质疑函的方式：书面形式</w:t>
      </w:r>
    </w:p>
    <w:p>
      <w:pPr>
        <w:spacing w:line="360" w:lineRule="auto"/>
        <w:ind w:firstLine="770" w:firstLineChars="350"/>
        <w:rPr>
          <w:rFonts w:hint="eastAsia" w:ascii="仿宋" w:hAnsi="仿宋" w:eastAsia="仿宋" w:cs="仿宋"/>
          <w:color w:val="auto"/>
          <w:sz w:val="22"/>
          <w:szCs w:val="21"/>
          <w:highlight w:val="none"/>
          <w:lang w:eastAsia="zh-CN"/>
        </w:rPr>
      </w:pPr>
      <w:r>
        <w:rPr>
          <w:rFonts w:hint="eastAsia" w:ascii="仿宋" w:hAnsi="仿宋" w:eastAsia="仿宋" w:cs="仿宋"/>
          <w:color w:val="auto"/>
          <w:sz w:val="22"/>
          <w:szCs w:val="21"/>
          <w:highlight w:val="none"/>
        </w:rPr>
        <w:t>联系部门：</w:t>
      </w:r>
      <w:r>
        <w:rPr>
          <w:rFonts w:hint="eastAsia" w:ascii="仿宋" w:hAnsi="仿宋" w:eastAsia="仿宋" w:cs="仿宋"/>
          <w:color w:val="auto"/>
          <w:sz w:val="22"/>
          <w:szCs w:val="21"/>
          <w:highlight w:val="none"/>
          <w:lang w:eastAsia="zh-CN"/>
        </w:rPr>
        <w:t>云南兴语招标有限公司</w:t>
      </w:r>
    </w:p>
    <w:p>
      <w:pPr>
        <w:spacing w:line="360" w:lineRule="auto"/>
        <w:ind w:firstLine="770" w:firstLineChars="350"/>
        <w:rPr>
          <w:rFonts w:hint="default" w:ascii="仿宋" w:hAnsi="仿宋" w:eastAsia="仿宋" w:cs="仿宋"/>
          <w:bCs/>
          <w:color w:val="auto"/>
          <w:sz w:val="22"/>
          <w:szCs w:val="21"/>
          <w:highlight w:val="none"/>
          <w:lang w:val="en-US" w:eastAsia="zh-CN"/>
        </w:rPr>
      </w:pPr>
      <w:r>
        <w:rPr>
          <w:rFonts w:hint="eastAsia" w:ascii="仿宋" w:hAnsi="仿宋" w:eastAsia="仿宋" w:cs="仿宋"/>
          <w:bCs/>
          <w:color w:val="auto"/>
          <w:sz w:val="22"/>
          <w:szCs w:val="21"/>
          <w:highlight w:val="none"/>
        </w:rPr>
        <w:t>联系电话：</w:t>
      </w:r>
      <w:r>
        <w:rPr>
          <w:rFonts w:hint="eastAsia" w:ascii="仿宋" w:hAnsi="仿宋" w:eastAsia="仿宋" w:cs="仿宋"/>
          <w:bCs/>
          <w:color w:val="auto"/>
          <w:sz w:val="22"/>
          <w:szCs w:val="21"/>
          <w:highlight w:val="none"/>
          <w:lang w:val="en-US" w:eastAsia="zh-CN"/>
        </w:rPr>
        <w:t>0871-65611303</w:t>
      </w:r>
    </w:p>
    <w:p>
      <w:pPr>
        <w:spacing w:line="360" w:lineRule="auto"/>
        <w:ind w:firstLine="770" w:firstLineChars="350"/>
        <w:rPr>
          <w:rFonts w:hint="eastAsia" w:ascii="仿宋" w:hAnsi="仿宋" w:eastAsia="仿宋" w:cs="仿宋"/>
          <w:color w:val="auto"/>
          <w:sz w:val="22"/>
          <w:szCs w:val="21"/>
          <w:highlight w:val="none"/>
          <w:lang w:eastAsia="zh-CN"/>
        </w:rPr>
      </w:pPr>
      <w:r>
        <w:rPr>
          <w:rFonts w:hint="eastAsia" w:ascii="仿宋" w:hAnsi="仿宋" w:eastAsia="仿宋" w:cs="仿宋"/>
          <w:bCs/>
          <w:color w:val="auto"/>
          <w:sz w:val="22"/>
          <w:szCs w:val="21"/>
          <w:highlight w:val="none"/>
        </w:rPr>
        <w:t>通讯地址：</w:t>
      </w:r>
      <w:r>
        <w:rPr>
          <w:rFonts w:hint="eastAsia" w:ascii="仿宋" w:hAnsi="仿宋" w:eastAsia="仿宋" w:cs="仿宋"/>
          <w:bCs/>
          <w:color w:val="auto"/>
          <w:sz w:val="22"/>
          <w:szCs w:val="21"/>
          <w:highlight w:val="none"/>
          <w:lang w:eastAsia="zh-CN"/>
        </w:rPr>
        <w:t>云南省昆明市盘龙区同德昆明广场B区4栋1401</w:t>
      </w:r>
    </w:p>
    <w:p>
      <w:pPr>
        <w:spacing w:line="360" w:lineRule="auto"/>
        <w:ind w:firstLine="389" w:firstLineChars="177"/>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（3）</w:t>
      </w:r>
      <w:r>
        <w:rPr>
          <w:rFonts w:hint="eastAsia" w:ascii="仿宋" w:hAnsi="仿宋" w:eastAsia="仿宋" w:cs="仿宋"/>
          <w:color w:val="auto"/>
          <w:sz w:val="22"/>
          <w:szCs w:val="21"/>
          <w:highlight w:val="none"/>
          <w:lang w:eastAsia="zh-CN"/>
        </w:rPr>
        <w:t>采购人</w:t>
      </w:r>
      <w:r>
        <w:rPr>
          <w:rFonts w:hint="eastAsia" w:ascii="仿宋" w:hAnsi="仿宋" w:eastAsia="仿宋" w:cs="仿宋"/>
          <w:color w:val="auto"/>
          <w:sz w:val="22"/>
          <w:szCs w:val="21"/>
          <w:highlight w:val="none"/>
        </w:rPr>
        <w:t>、</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代理机构应当在收到质疑函后7个工作日内作出答复，并以书面形式通知质疑</w:t>
      </w:r>
      <w:r>
        <w:rPr>
          <w:rFonts w:hint="eastAsia" w:ascii="仿宋" w:hAnsi="仿宋" w:eastAsia="仿宋" w:cs="仿宋"/>
          <w:color w:val="auto"/>
          <w:sz w:val="22"/>
          <w:szCs w:val="21"/>
          <w:highlight w:val="none"/>
          <w:lang w:eastAsia="zh-CN"/>
        </w:rPr>
        <w:t>投标人</w:t>
      </w:r>
      <w:r>
        <w:rPr>
          <w:rFonts w:hint="eastAsia" w:ascii="仿宋" w:hAnsi="仿宋" w:eastAsia="仿宋" w:cs="仿宋"/>
          <w:color w:val="auto"/>
          <w:sz w:val="22"/>
          <w:szCs w:val="21"/>
          <w:highlight w:val="none"/>
        </w:rPr>
        <w:t>和其他有关</w:t>
      </w:r>
      <w:r>
        <w:rPr>
          <w:rFonts w:hint="eastAsia" w:ascii="仿宋" w:hAnsi="仿宋" w:eastAsia="仿宋" w:cs="仿宋"/>
          <w:color w:val="auto"/>
          <w:sz w:val="22"/>
          <w:szCs w:val="21"/>
          <w:highlight w:val="none"/>
          <w:lang w:eastAsia="zh-CN"/>
        </w:rPr>
        <w:t>投标人</w:t>
      </w:r>
      <w:r>
        <w:rPr>
          <w:rFonts w:hint="eastAsia" w:ascii="仿宋" w:hAnsi="仿宋" w:eastAsia="仿宋" w:cs="仿宋"/>
          <w:color w:val="auto"/>
          <w:sz w:val="22"/>
          <w:szCs w:val="21"/>
          <w:highlight w:val="none"/>
        </w:rPr>
        <w:t>，但质疑答复的内容不得涉及商业秘密。</w:t>
      </w:r>
    </w:p>
    <w:p>
      <w:pPr>
        <w:spacing w:line="360" w:lineRule="auto"/>
        <w:ind w:firstLine="389" w:firstLineChars="177"/>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（4）</w:t>
      </w:r>
      <w:r>
        <w:rPr>
          <w:rFonts w:hint="eastAsia" w:ascii="仿宋" w:hAnsi="仿宋" w:eastAsia="仿宋" w:cs="仿宋"/>
          <w:color w:val="auto"/>
          <w:sz w:val="22"/>
          <w:szCs w:val="21"/>
          <w:highlight w:val="none"/>
          <w:lang w:eastAsia="zh-CN"/>
        </w:rPr>
        <w:t>投标人</w:t>
      </w:r>
      <w:r>
        <w:rPr>
          <w:rFonts w:hint="eastAsia" w:ascii="仿宋" w:hAnsi="仿宋" w:eastAsia="仿宋" w:cs="仿宋"/>
          <w:color w:val="auto"/>
          <w:sz w:val="22"/>
          <w:szCs w:val="21"/>
          <w:highlight w:val="none"/>
        </w:rPr>
        <w:t>对评审过程、中标或者成交结果提出质疑的，</w:t>
      </w:r>
      <w:r>
        <w:rPr>
          <w:rFonts w:hint="eastAsia" w:ascii="仿宋" w:hAnsi="仿宋" w:eastAsia="仿宋" w:cs="仿宋"/>
          <w:color w:val="auto"/>
          <w:sz w:val="22"/>
          <w:szCs w:val="21"/>
          <w:highlight w:val="none"/>
          <w:lang w:eastAsia="zh-CN"/>
        </w:rPr>
        <w:t>采购人</w:t>
      </w:r>
      <w:r>
        <w:rPr>
          <w:rFonts w:hint="eastAsia" w:ascii="仿宋" w:hAnsi="仿宋" w:eastAsia="仿宋" w:cs="仿宋"/>
          <w:color w:val="auto"/>
          <w:sz w:val="22"/>
          <w:szCs w:val="21"/>
          <w:highlight w:val="none"/>
        </w:rPr>
        <w:t>、</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代理机构可以组织原评标委员会、竞争性谈判小组、询价小组或者竞争性评标委员会协助答复质疑。</w:t>
      </w:r>
    </w:p>
    <w:p>
      <w:pPr>
        <w:spacing w:line="360" w:lineRule="auto"/>
        <w:rPr>
          <w:rFonts w:hint="eastAsia" w:ascii="仿宋" w:hAnsi="仿宋" w:eastAsia="仿宋" w:cs="仿宋"/>
          <w:b/>
          <w:bCs/>
          <w:color w:val="auto"/>
          <w:sz w:val="24"/>
          <w:szCs w:val="28"/>
          <w:highlight w:val="none"/>
        </w:rPr>
      </w:pPr>
      <w:bookmarkStart w:id="42" w:name="_Toc321836357"/>
      <w:r>
        <w:rPr>
          <w:rFonts w:hint="eastAsia" w:ascii="仿宋" w:hAnsi="仿宋" w:eastAsia="仿宋" w:cs="仿宋"/>
          <w:b/>
          <w:bCs/>
          <w:color w:val="auto"/>
          <w:sz w:val="24"/>
          <w:szCs w:val="28"/>
          <w:highlight w:val="none"/>
        </w:rPr>
        <w:t>26、投诉</w:t>
      </w:r>
      <w:bookmarkEnd w:id="42"/>
    </w:p>
    <w:p>
      <w:pPr>
        <w:spacing w:line="360" w:lineRule="auto"/>
        <w:ind w:firstLine="550" w:firstLineChars="2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投诉必须首先经过质疑程序。质疑</w:t>
      </w:r>
      <w:r>
        <w:rPr>
          <w:rFonts w:hint="eastAsia" w:ascii="仿宋" w:hAnsi="仿宋" w:eastAsia="仿宋" w:cs="仿宋"/>
          <w:color w:val="auto"/>
          <w:sz w:val="22"/>
          <w:szCs w:val="21"/>
          <w:highlight w:val="none"/>
          <w:lang w:eastAsia="zh-CN"/>
        </w:rPr>
        <w:t>投标人</w:t>
      </w:r>
      <w:r>
        <w:rPr>
          <w:rFonts w:hint="eastAsia" w:ascii="仿宋" w:hAnsi="仿宋" w:eastAsia="仿宋" w:cs="仿宋"/>
          <w:color w:val="auto"/>
          <w:sz w:val="22"/>
          <w:szCs w:val="21"/>
          <w:highlight w:val="none"/>
        </w:rPr>
        <w:t>对</w:t>
      </w:r>
      <w:r>
        <w:rPr>
          <w:rFonts w:hint="eastAsia" w:ascii="仿宋" w:hAnsi="仿宋" w:eastAsia="仿宋" w:cs="仿宋"/>
          <w:color w:val="auto"/>
          <w:sz w:val="22"/>
          <w:szCs w:val="21"/>
          <w:highlight w:val="none"/>
          <w:lang w:eastAsia="zh-CN"/>
        </w:rPr>
        <w:t>采购人</w:t>
      </w:r>
      <w:r>
        <w:rPr>
          <w:rFonts w:hint="eastAsia" w:ascii="仿宋" w:hAnsi="仿宋" w:eastAsia="仿宋" w:cs="仿宋"/>
          <w:color w:val="auto"/>
          <w:sz w:val="22"/>
          <w:szCs w:val="21"/>
          <w:highlight w:val="none"/>
        </w:rPr>
        <w:t>、</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代理机构的答复不满意，或者</w:t>
      </w:r>
      <w:r>
        <w:rPr>
          <w:rFonts w:hint="eastAsia" w:ascii="仿宋" w:hAnsi="仿宋" w:eastAsia="仿宋" w:cs="仿宋"/>
          <w:color w:val="auto"/>
          <w:sz w:val="22"/>
          <w:szCs w:val="21"/>
          <w:highlight w:val="none"/>
          <w:lang w:eastAsia="zh-CN"/>
        </w:rPr>
        <w:t>采购人</w:t>
      </w:r>
      <w:r>
        <w:rPr>
          <w:rFonts w:hint="eastAsia" w:ascii="仿宋" w:hAnsi="仿宋" w:eastAsia="仿宋" w:cs="仿宋"/>
          <w:color w:val="auto"/>
          <w:sz w:val="22"/>
          <w:szCs w:val="21"/>
          <w:highlight w:val="none"/>
        </w:rPr>
        <w:t>、</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代理机构未在规定时间内做出答复的，可以在答复期满后15个工作日内书面向同级财政部门提起投诉。</w:t>
      </w: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3"/>
        <w:numPr>
          <w:ilvl w:val="0"/>
          <w:numId w:val="6"/>
        </w:numPr>
        <w:rPr>
          <w:rFonts w:hint="eastAsia" w:ascii="仿宋" w:hAnsi="仿宋" w:eastAsia="仿宋" w:cs="仿宋"/>
          <w:color w:val="auto"/>
          <w:spacing w:val="0"/>
          <w:sz w:val="40"/>
          <w:szCs w:val="40"/>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p>
    <w:p>
      <w:pPr>
        <w:pStyle w:val="3"/>
        <w:numPr>
          <w:ilvl w:val="0"/>
          <w:numId w:val="6"/>
        </w:numPr>
        <w:rPr>
          <w:rFonts w:hint="eastAsia" w:ascii="仿宋" w:hAnsi="仿宋" w:eastAsia="仿宋" w:cs="仿宋"/>
          <w:color w:val="auto"/>
          <w:spacing w:val="0"/>
          <w:sz w:val="40"/>
          <w:szCs w:val="40"/>
          <w:highlight w:val="none"/>
        </w:rPr>
      </w:pPr>
      <w:r>
        <w:rPr>
          <w:rFonts w:hint="eastAsia" w:ascii="仿宋" w:hAnsi="仿宋" w:eastAsia="仿宋" w:cs="仿宋"/>
          <w:color w:val="auto"/>
          <w:spacing w:val="0"/>
          <w:sz w:val="40"/>
          <w:szCs w:val="40"/>
          <w:highlight w:val="none"/>
          <w:lang w:val="en-US" w:eastAsia="zh-CN"/>
        </w:rPr>
        <w:t xml:space="preserve"> </w:t>
      </w:r>
      <w:bookmarkStart w:id="43" w:name="_Toc4443"/>
      <w:r>
        <w:rPr>
          <w:rFonts w:hint="eastAsia" w:ascii="仿宋" w:hAnsi="仿宋" w:eastAsia="仿宋" w:cs="仿宋"/>
          <w:color w:val="auto"/>
          <w:spacing w:val="0"/>
          <w:sz w:val="40"/>
          <w:szCs w:val="40"/>
          <w:highlight w:val="none"/>
          <w:lang w:eastAsia="zh-CN"/>
        </w:rPr>
        <w:t>采购需求及技术要求</w:t>
      </w:r>
      <w:bookmarkEnd w:id="43"/>
    </w:p>
    <w:tbl>
      <w:tblPr>
        <w:tblStyle w:val="25"/>
        <w:tblW w:w="4988" w:type="pct"/>
        <w:tblInd w:w="0" w:type="dxa"/>
        <w:shd w:val="clear" w:color="auto" w:fill="auto"/>
        <w:tblLayout w:type="autofit"/>
        <w:tblCellMar>
          <w:top w:w="0" w:type="dxa"/>
          <w:left w:w="108" w:type="dxa"/>
          <w:bottom w:w="0" w:type="dxa"/>
          <w:right w:w="108" w:type="dxa"/>
        </w:tblCellMar>
      </w:tblPr>
      <w:tblGrid>
        <w:gridCol w:w="618"/>
        <w:gridCol w:w="1566"/>
        <w:gridCol w:w="900"/>
        <w:gridCol w:w="951"/>
        <w:gridCol w:w="9875"/>
        <w:gridCol w:w="948"/>
      </w:tblGrid>
      <w:tr>
        <w:tblPrEx>
          <w:shd w:val="clear" w:color="auto" w:fill="auto"/>
          <w:tblCellMar>
            <w:top w:w="0" w:type="dxa"/>
            <w:left w:w="108" w:type="dxa"/>
            <w:bottom w:w="0" w:type="dxa"/>
            <w:right w:w="108" w:type="dxa"/>
          </w:tblCellMar>
        </w:tblPrEx>
        <w:trPr>
          <w:trHeight w:val="420" w:hRule="atLeast"/>
          <w:tblHeader/>
        </w:trPr>
        <w:tc>
          <w:tcPr>
            <w:tcW w:w="208" w:type="pct"/>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527" w:type="pct"/>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产品名称</w:t>
            </w:r>
          </w:p>
        </w:tc>
        <w:tc>
          <w:tcPr>
            <w:tcW w:w="303" w:type="pct"/>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单位</w:t>
            </w:r>
          </w:p>
        </w:tc>
        <w:tc>
          <w:tcPr>
            <w:tcW w:w="320" w:type="pct"/>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数量</w:t>
            </w:r>
          </w:p>
        </w:tc>
        <w:tc>
          <w:tcPr>
            <w:tcW w:w="3323" w:type="pct"/>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line="240" w:lineRule="auto"/>
              <w:jc w:val="center"/>
              <w:textAlignment w:val="center"/>
              <w:rPr>
                <w:rFonts w:hint="default" w:ascii="仿宋" w:hAnsi="仿宋" w:eastAsia="仿宋" w:cs="仿宋"/>
                <w:b/>
                <w:bCs/>
                <w:i w:val="0"/>
                <w:iCs w:val="0"/>
                <w:color w:val="auto"/>
                <w:sz w:val="21"/>
                <w:szCs w:val="21"/>
                <w:highlight w:val="none"/>
                <w:u w:val="none"/>
                <w:lang w:val="en-US" w:eastAsia="zh-CN"/>
              </w:rPr>
            </w:pPr>
            <w:r>
              <w:rPr>
                <w:rFonts w:hint="eastAsia" w:ascii="仿宋" w:hAnsi="仿宋" w:eastAsia="仿宋" w:cs="仿宋"/>
                <w:b/>
                <w:bCs/>
                <w:i w:val="0"/>
                <w:iCs w:val="0"/>
                <w:color w:val="auto"/>
                <w:sz w:val="21"/>
                <w:szCs w:val="21"/>
                <w:highlight w:val="none"/>
                <w:u w:val="none"/>
                <w:lang w:val="en-US" w:eastAsia="zh-CN"/>
              </w:rPr>
              <w:t>技术参数要求</w:t>
            </w:r>
          </w:p>
        </w:tc>
        <w:tc>
          <w:tcPr>
            <w:tcW w:w="315" w:type="pct"/>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lang w:val="en-US" w:eastAsia="zh-CN"/>
              </w:rPr>
            </w:pPr>
            <w:r>
              <w:rPr>
                <w:rFonts w:hint="eastAsia" w:ascii="仿宋" w:hAnsi="仿宋" w:eastAsia="仿宋" w:cs="仿宋"/>
                <w:b/>
                <w:bCs/>
                <w:i w:val="0"/>
                <w:iCs w:val="0"/>
                <w:color w:val="auto"/>
                <w:sz w:val="22"/>
                <w:szCs w:val="22"/>
                <w:highlight w:val="none"/>
                <w:u w:val="none"/>
                <w:lang w:val="en-US" w:eastAsia="zh-CN"/>
              </w:rPr>
              <w:t>备注</w:t>
            </w:r>
          </w:p>
        </w:tc>
      </w:tr>
      <w:tr>
        <w:tblPrEx>
          <w:shd w:val="clear" w:color="auto" w:fill="auto"/>
          <w:tblCellMar>
            <w:top w:w="0" w:type="dxa"/>
            <w:left w:w="108" w:type="dxa"/>
            <w:bottom w:w="0" w:type="dxa"/>
            <w:right w:w="108" w:type="dxa"/>
          </w:tblCellMar>
        </w:tblPrEx>
        <w:trPr>
          <w:trHeight w:val="624"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1标段采购需求及技术要求：</w:t>
            </w:r>
          </w:p>
        </w:tc>
      </w:tr>
      <w:tr>
        <w:tblPrEx>
          <w:shd w:val="clear" w:color="auto" w:fill="auto"/>
          <w:tblCellMar>
            <w:top w:w="0" w:type="dxa"/>
            <w:left w:w="108" w:type="dxa"/>
            <w:bottom w:w="0" w:type="dxa"/>
            <w:right w:w="108"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气相色谱仪</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台</w:t>
            </w:r>
          </w:p>
        </w:tc>
        <w:tc>
          <w:tcPr>
            <w:tcW w:w="3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bCs/>
                <w:i w:val="0"/>
                <w:iCs w:val="0"/>
                <w:color w:val="auto"/>
                <w:spacing w:val="0"/>
                <w:w w:val="100"/>
                <w:sz w:val="22"/>
                <w:szCs w:val="22"/>
                <w:highlight w:val="none"/>
                <w:vertAlign w:val="baseline"/>
              </w:rPr>
              <w:t>1工作条件</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1.1、电源：220V，50Hz电源</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1.2、环境温度：15-35˚C</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1.3、环境湿度：&lt;90%</w:t>
            </w:r>
          </w:p>
          <w:p>
            <w:pPr>
              <w:pStyle w:val="21"/>
              <w:keepNext w:val="0"/>
              <w:keepLines w:val="0"/>
              <w:widowControl/>
              <w:suppressLineNumbers w:val="0"/>
              <w:spacing w:before="0" w:beforeAutospacing="0" w:after="0" w:afterAutospacing="0" w:line="240" w:lineRule="auto"/>
              <w:ind w:left="0" w:right="0"/>
              <w:jc w:val="both"/>
              <w:rPr>
                <w:rFonts w:hint="eastAsia" w:ascii="仿宋" w:hAnsi="仿宋" w:eastAsia="仿宋" w:cs="仿宋"/>
                <w:b/>
                <w:bCs/>
                <w:i w:val="0"/>
                <w:iCs w:val="0"/>
                <w:color w:val="auto"/>
                <w:spacing w:val="0"/>
                <w:w w:val="100"/>
                <w:sz w:val="22"/>
                <w:szCs w:val="22"/>
                <w:highlight w:val="none"/>
                <w:vertAlign w:val="baseline"/>
              </w:rPr>
            </w:pPr>
            <w:r>
              <w:rPr>
                <w:rFonts w:hint="eastAsia" w:ascii="仿宋" w:hAnsi="仿宋" w:eastAsia="仿宋" w:cs="仿宋"/>
                <w:b/>
                <w:bCs/>
                <w:i w:val="0"/>
                <w:iCs w:val="0"/>
                <w:color w:val="auto"/>
                <w:spacing w:val="0"/>
                <w:w w:val="100"/>
                <w:sz w:val="22"/>
                <w:szCs w:val="22"/>
                <w:highlight w:val="none"/>
                <w:vertAlign w:val="baseline"/>
              </w:rPr>
              <w:t>2 总体要求：主要用于温泉逸出气体全化学组成分析测试，要求He、Ne完全分离；Ar、O</w:t>
            </w:r>
            <w:r>
              <w:rPr>
                <w:rFonts w:hint="eastAsia" w:ascii="仿宋" w:hAnsi="仿宋" w:eastAsia="仿宋" w:cs="仿宋"/>
                <w:b/>
                <w:bCs/>
                <w:i w:val="0"/>
                <w:iCs w:val="0"/>
                <w:color w:val="auto"/>
                <w:spacing w:val="0"/>
                <w:w w:val="100"/>
                <w:sz w:val="22"/>
                <w:szCs w:val="22"/>
                <w:highlight w:val="none"/>
                <w:vertAlign w:val="subscript"/>
              </w:rPr>
              <w:t>2</w:t>
            </w:r>
            <w:r>
              <w:rPr>
                <w:rFonts w:hint="eastAsia" w:ascii="仿宋" w:hAnsi="仿宋" w:eastAsia="仿宋" w:cs="仿宋"/>
                <w:b/>
                <w:bCs/>
                <w:i w:val="0"/>
                <w:iCs w:val="0"/>
                <w:color w:val="auto"/>
                <w:spacing w:val="0"/>
                <w:w w:val="100"/>
                <w:sz w:val="22"/>
                <w:szCs w:val="22"/>
                <w:highlight w:val="none"/>
                <w:vertAlign w:val="baseline"/>
              </w:rPr>
              <w:t>完全分离；各组分检出限1ppm。要求安装调试和建立各种分析方法，各分析方法各自独立组成体系（载气、辅助气、色谱柱、检测器、流路系统相互独立，无需停机切换），各分析方法能同时各自独立进行分析。在购方实验室同时进行操作培训。售后提供咨询和方法维护。</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bCs/>
                <w:i w:val="0"/>
                <w:iCs w:val="0"/>
                <w:color w:val="auto"/>
                <w:spacing w:val="0"/>
                <w:w w:val="100"/>
                <w:sz w:val="22"/>
                <w:szCs w:val="22"/>
                <w:highlight w:val="none"/>
                <w:vertAlign w:val="baseline"/>
              </w:rPr>
              <w:t>2.1色谱性能：</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2.1.1、可同时安装和运行最多两个进样口和四个检测器，具有六个气相色谱柱智能钥匙和三个 USB 端口</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2.1.2、电容式触摸屏界面可实时访问仪器状态、配置和流路信息。信号图确认分析按预期运行。附加选项卡可快速访问关键功能，例如编辑方法参数、诊断、维护、日志和帮助界面。</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2.1.3、进样口及检测器均采用电子压力控制（EPC）</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2.1.4、具备交互式触摸屏，可直接在触摸屏上操作并获取仪器状态和信息；可实时显示色谱图采集状态、内置自引导诊断和维护功能，也快速访问方法、日志、设置及帮助信息</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2.1.5、色谱仪控制方式包含至少三种控制模式，包括：本地用户界面；仪器触摸屏界面；浏览器界面；</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★2.4.7、智能化要求：色谱仪主机自带中央处理器和内存存储功能，具备独立的IP地址，从而实现智能化监测，远程控制、智能提醒等功能，需提供色谱主机IP地址查询界面说明并现场验收。</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bCs/>
                <w:i w:val="0"/>
                <w:iCs w:val="0"/>
                <w:color w:val="auto"/>
                <w:spacing w:val="0"/>
                <w:w w:val="100"/>
                <w:sz w:val="22"/>
                <w:szCs w:val="22"/>
                <w:highlight w:val="none"/>
                <w:vertAlign w:val="baseline"/>
              </w:rPr>
              <w:t>2.2、分流/不分流进样口</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2.2.1、具有电子流量控制功能，气路的压力、流量分流比可由软件控制</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★2.2.2、压力控制精度: 0.001psi</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★2.2.3、维护实用性要求：采用主流的扳转式进样口设计，更换衬管及维护进样口简单，无需使用工具。</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bCs/>
                <w:i w:val="0"/>
                <w:iCs w:val="0"/>
                <w:color w:val="auto"/>
                <w:spacing w:val="0"/>
                <w:w w:val="100"/>
                <w:sz w:val="22"/>
                <w:szCs w:val="22"/>
                <w:highlight w:val="none"/>
                <w:vertAlign w:val="baseline"/>
              </w:rPr>
              <w:t>2.3、柱温箱</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 xml:space="preserve">2.3.1、温度：室温+5℃～450℃. </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2.3.2、最大升温速率：120℃/min</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2.3.3、程序升温：不低于19阶20平台，可程序降温，在5min内，从450℃降温到50℃</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2.3.4、柱温箱有两种降温模式，快速降温模式和慢速降温模式。</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bCs/>
                <w:i w:val="0"/>
                <w:iCs w:val="0"/>
                <w:color w:val="auto"/>
                <w:spacing w:val="0"/>
                <w:w w:val="100"/>
                <w:sz w:val="22"/>
                <w:szCs w:val="22"/>
                <w:highlight w:val="none"/>
                <w:vertAlign w:val="baseline"/>
              </w:rPr>
              <w:t>2.4、TCD检测器</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 xml:space="preserve">2.4.1 通用型检测器，对载气以外的所有化合物均有响应 </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 xml:space="preserve">2.4.2最低检测限：400 pg 十三烷/mL，采用He 作为载气。 </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2.4.3线性动态范围：&gt; 10</w:t>
            </w:r>
            <w:r>
              <w:rPr>
                <w:rFonts w:hint="eastAsia" w:ascii="仿宋" w:hAnsi="仿宋" w:eastAsia="仿宋" w:cs="仿宋"/>
                <w:b w:val="0"/>
                <w:bCs w:val="0"/>
                <w:i w:val="0"/>
                <w:iCs w:val="0"/>
                <w:color w:val="auto"/>
                <w:spacing w:val="0"/>
                <w:w w:val="100"/>
                <w:sz w:val="22"/>
                <w:szCs w:val="22"/>
                <w:highlight w:val="none"/>
                <w:vertAlign w:val="superscript"/>
              </w:rPr>
              <w:t xml:space="preserve">5 </w:t>
            </w:r>
            <w:r>
              <w:rPr>
                <w:rFonts w:hint="eastAsia" w:ascii="仿宋" w:hAnsi="仿宋" w:eastAsia="仿宋" w:cs="仿宋"/>
                <w:b w:val="0"/>
                <w:bCs w:val="0"/>
                <w:i w:val="0"/>
                <w:iCs w:val="0"/>
                <w:color w:val="auto"/>
                <w:spacing w:val="0"/>
                <w:w w:val="100"/>
                <w:sz w:val="22"/>
                <w:szCs w:val="22"/>
                <w:highlight w:val="none"/>
                <w:vertAlign w:val="baseline"/>
              </w:rPr>
              <w:t xml:space="preserve">±5% • 独特的流体切换设计提供了开机后快 速稳定、低漂移的性能 </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2.4.4对于热导率高于载气的组分，可在运行时对信号极性重新编程</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2.4.5最高温度：400℃</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2.4.6用于两种气体的标准 EPC（He、H</w:t>
            </w:r>
            <w:r>
              <w:rPr>
                <w:rFonts w:hint="eastAsia" w:ascii="仿宋" w:hAnsi="仿宋" w:eastAsia="仿宋" w:cs="仿宋"/>
                <w:b w:val="0"/>
                <w:bCs w:val="0"/>
                <w:i w:val="0"/>
                <w:iCs w:val="0"/>
                <w:color w:val="auto"/>
                <w:spacing w:val="0"/>
                <w:w w:val="100"/>
                <w:sz w:val="22"/>
                <w:szCs w:val="22"/>
                <w:highlight w:val="none"/>
                <w:vertAlign w:val="subscript"/>
              </w:rPr>
              <w:t xml:space="preserve">2 </w:t>
            </w:r>
            <w:r>
              <w:rPr>
                <w:rFonts w:hint="eastAsia" w:ascii="仿宋" w:hAnsi="仿宋" w:eastAsia="仿宋" w:cs="仿宋"/>
                <w:b w:val="0"/>
                <w:bCs w:val="0"/>
                <w:i w:val="0"/>
                <w:iCs w:val="0"/>
                <w:color w:val="auto"/>
                <w:spacing w:val="0"/>
                <w:w w:val="100"/>
                <w:sz w:val="22"/>
                <w:szCs w:val="22"/>
                <w:highlight w:val="none"/>
                <w:vertAlign w:val="baseline"/>
              </w:rPr>
              <w:t>或适合载气类型的 N</w:t>
            </w:r>
            <w:r>
              <w:rPr>
                <w:rFonts w:hint="eastAsia" w:ascii="仿宋" w:hAnsi="仿宋" w:eastAsia="仿宋" w:cs="仿宋"/>
                <w:b w:val="0"/>
                <w:bCs w:val="0"/>
                <w:i w:val="0"/>
                <w:iCs w:val="0"/>
                <w:color w:val="auto"/>
                <w:spacing w:val="0"/>
                <w:w w:val="100"/>
                <w:sz w:val="22"/>
                <w:szCs w:val="22"/>
                <w:highlight w:val="none"/>
                <w:vertAlign w:val="subscript"/>
              </w:rPr>
              <w:t>2</w:t>
            </w:r>
            <w:r>
              <w:rPr>
                <w:rFonts w:hint="eastAsia" w:ascii="仿宋" w:hAnsi="仿宋" w:eastAsia="仿宋" w:cs="仿宋"/>
                <w:b w:val="0"/>
                <w:bCs w:val="0"/>
                <w:i w:val="0"/>
                <w:iCs w:val="0"/>
                <w:color w:val="auto"/>
                <w:spacing w:val="0"/>
                <w:w w:val="100"/>
                <w:sz w:val="22"/>
                <w:szCs w:val="22"/>
                <w:highlight w:val="none"/>
                <w:vertAlign w:val="baseline"/>
              </w:rPr>
              <w:t>） 尾吹气：0–12 mL/min 参比气：0–100 mL/min</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bCs/>
                <w:i w:val="0"/>
                <w:iCs w:val="0"/>
                <w:color w:val="auto"/>
                <w:spacing w:val="0"/>
                <w:w w:val="100"/>
                <w:sz w:val="22"/>
                <w:szCs w:val="22"/>
                <w:highlight w:val="none"/>
                <w:vertAlign w:val="baseline"/>
              </w:rPr>
              <w:t>2.5、 FID检测器</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2.5.1 最低检测限：&lt;1.2pg C/s。</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2.5.2 电子压力/流量控制,压力控制精度: 0.001psi</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2.5.3 线性动态范围：&gt;10</w:t>
            </w:r>
            <w:r>
              <w:rPr>
                <w:rFonts w:hint="eastAsia" w:ascii="仿宋" w:hAnsi="仿宋" w:eastAsia="仿宋" w:cs="仿宋"/>
                <w:b w:val="0"/>
                <w:bCs w:val="0"/>
                <w:i w:val="0"/>
                <w:iCs w:val="0"/>
                <w:color w:val="auto"/>
                <w:spacing w:val="0"/>
                <w:w w:val="100"/>
                <w:sz w:val="22"/>
                <w:szCs w:val="22"/>
                <w:highlight w:val="none"/>
                <w:vertAlign w:val="superscript"/>
              </w:rPr>
              <w:t>7</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2.5.4 灭火自动检测和自动再点火</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★2.5.5检测器的最大数据采集频率可达到1000Hz</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bCs/>
                <w:i w:val="0"/>
                <w:iCs w:val="0"/>
                <w:color w:val="auto"/>
                <w:spacing w:val="0"/>
                <w:w w:val="100"/>
                <w:sz w:val="22"/>
                <w:szCs w:val="22"/>
                <w:highlight w:val="none"/>
                <w:vertAlign w:val="baseline"/>
              </w:rPr>
              <w:t>2.6、FPD检测器</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2.6.1 最低检测限MDL：&lt;45fg P/s，&lt;2.5pg S/s，以甲基对硫磷为样品</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2.6.2 动态范围：&gt;10</w:t>
            </w:r>
            <w:r>
              <w:rPr>
                <w:rFonts w:hint="eastAsia" w:ascii="仿宋" w:hAnsi="仿宋" w:eastAsia="仿宋" w:cs="仿宋"/>
                <w:b w:val="0"/>
                <w:bCs w:val="0"/>
                <w:i w:val="0"/>
                <w:iCs w:val="0"/>
                <w:color w:val="auto"/>
                <w:spacing w:val="0"/>
                <w:w w:val="100"/>
                <w:sz w:val="22"/>
                <w:szCs w:val="22"/>
                <w:highlight w:val="none"/>
                <w:vertAlign w:val="superscript"/>
              </w:rPr>
              <w:t>3</w:t>
            </w:r>
            <w:r>
              <w:rPr>
                <w:rFonts w:hint="eastAsia" w:ascii="仿宋" w:hAnsi="仿宋" w:eastAsia="仿宋" w:cs="仿宋"/>
                <w:b w:val="0"/>
                <w:bCs w:val="0"/>
                <w:i w:val="0"/>
                <w:iCs w:val="0"/>
                <w:color w:val="auto"/>
                <w:spacing w:val="0"/>
                <w:w w:val="100"/>
                <w:sz w:val="22"/>
                <w:szCs w:val="22"/>
                <w:highlight w:val="none"/>
                <w:vertAlign w:val="baseline"/>
              </w:rPr>
              <w:t xml:space="preserve"> S，10</w:t>
            </w:r>
            <w:r>
              <w:rPr>
                <w:rFonts w:hint="eastAsia" w:ascii="仿宋" w:hAnsi="仿宋" w:eastAsia="仿宋" w:cs="仿宋"/>
                <w:b w:val="0"/>
                <w:bCs w:val="0"/>
                <w:i w:val="0"/>
                <w:iCs w:val="0"/>
                <w:color w:val="auto"/>
                <w:spacing w:val="0"/>
                <w:w w:val="100"/>
                <w:sz w:val="22"/>
                <w:szCs w:val="22"/>
                <w:highlight w:val="none"/>
                <w:vertAlign w:val="superscript"/>
              </w:rPr>
              <w:t>4</w:t>
            </w:r>
            <w:r>
              <w:rPr>
                <w:rFonts w:hint="eastAsia" w:ascii="仿宋" w:hAnsi="仿宋" w:eastAsia="仿宋" w:cs="仿宋"/>
                <w:b w:val="0"/>
                <w:bCs w:val="0"/>
                <w:i w:val="0"/>
                <w:iCs w:val="0"/>
                <w:color w:val="auto"/>
                <w:spacing w:val="0"/>
                <w:w w:val="100"/>
                <w:sz w:val="22"/>
                <w:szCs w:val="22"/>
                <w:highlight w:val="none"/>
                <w:vertAlign w:val="baseline"/>
              </w:rPr>
              <w:t xml:space="preserve"> P，以甲基对硫磷为样品</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2.6.3 电子压力/流量控制,压力控制精度: 0.001psi</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2.6.4 为满足样品分析要求，检测器最高温度必须能够达到400°C</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bCs/>
                <w:i w:val="0"/>
                <w:iCs w:val="0"/>
                <w:color w:val="auto"/>
                <w:spacing w:val="0"/>
                <w:w w:val="100"/>
                <w:sz w:val="22"/>
                <w:szCs w:val="22"/>
                <w:highlight w:val="none"/>
                <w:vertAlign w:val="baseline"/>
              </w:rPr>
              <w:t>2.7、化学工作站</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2.7.1、时间编程</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2.7.2、仪器故障和维护情况可由内置电子跟踪系统自动记录</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2.7.3、早期维护反馈功能（EMF），能持续跟踪进样系统、垫圈、衬管、和色谱柱等信息，并将这些信息用图形化直观地显示。</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2.8.4、保留时间锁定功能（RTL），使得不同仪器之间、不同长度的色谱柱之间、不同实验室之间，有效减少同一物质的保留时间误差。用户可据此自建保留时间锁定谱库。</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bCs/>
                <w:i w:val="0"/>
                <w:iCs w:val="0"/>
                <w:color w:val="auto"/>
                <w:spacing w:val="0"/>
                <w:w w:val="100"/>
                <w:sz w:val="22"/>
                <w:szCs w:val="22"/>
                <w:highlight w:val="none"/>
                <w:vertAlign w:val="baseline"/>
              </w:rPr>
              <w:t>3. 售后服务要求</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3.1 自仪器安装调试验收合格之日起，须提供1年免费保修（消耗品除外），在保修期内，所有服务及配件全部免费，并提供终身维护。</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3.2 免费提供2人次培训１周，提供全套培训教材。</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3.3 为减少仪器备件的后期维修成本，厂家在中国境内必须具备开展入境机电产品维修业务的资质，需提供省级出入境检验检疫局入境机电产品用于维修/再制造企业能力评估能力的通知书证明。</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3.4 厂家售后服务必须通过ISO9001认证，便于售后服务的标准化和及时响应，需提供售后服务通过ISO认证的证明文件；</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3.5 厂商在云南必须有常驻的专业维修工程师，以便于及时上门维修维护。提供维修工程师名单及联系电话。</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3.6 厂商开设免费热线电话提供技术支持服务。</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bCs/>
                <w:i w:val="0"/>
                <w:iCs w:val="0"/>
                <w:color w:val="auto"/>
                <w:spacing w:val="0"/>
                <w:w w:val="100"/>
                <w:sz w:val="22"/>
                <w:szCs w:val="22"/>
                <w:highlight w:val="none"/>
                <w:vertAlign w:val="baseline"/>
              </w:rPr>
              <w:t>4.配置要求</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bCs/>
                <w:i w:val="0"/>
                <w:iCs w:val="0"/>
                <w:color w:val="auto"/>
                <w:spacing w:val="0"/>
                <w:w w:val="100"/>
                <w:sz w:val="22"/>
                <w:szCs w:val="22"/>
                <w:highlight w:val="none"/>
                <w:vertAlign w:val="baseline"/>
              </w:rPr>
              <w:t>4.1气相色谱仪一</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4.1.1气相色谱仪主机1台，控制软件1套</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4.1.2分流不分流进样口1个；</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 xml:space="preserve">4.1.3 TCD检测器2个 </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4.1.4气体自动进样六通阀1个、色谱柱十通隔离阀1个，自动阀箱1个</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4.1.5 配套色谱柱一套</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4.2气相色谱仪二</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4.2.1气相色谱仪主机1台，控制软件1套</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4.2.2分流不分流进样口1个；</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 xml:space="preserve">4.2.3 FPD检测器1个 </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4.2.4气体自动进样六通阀1个、自动加热阀箱1个</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4.2.5配套色谱柱1套</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4.3 耗材： O型圈1包，密封垫圈1包，进样隔垫2包，减压阀接头6个，色谱柱螺母4个，进样滤芯10个，备用进样针5根，气相色谱仪安装工具包1套，，</w:t>
            </w:r>
          </w:p>
          <w:p>
            <w:pPr>
              <w:pStyle w:val="21"/>
              <w:keepNext w:val="0"/>
              <w:keepLines w:val="0"/>
              <w:widowControl/>
              <w:suppressLineNumbers w:val="0"/>
              <w:spacing w:before="0" w:beforeAutospacing="0" w:after="0" w:afterAutospacing="0" w:line="240" w:lineRule="auto"/>
              <w:ind w:left="0" w:right="0"/>
              <w:jc w:val="left"/>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val="0"/>
                <w:bCs w:val="0"/>
                <w:i w:val="0"/>
                <w:iCs w:val="0"/>
                <w:color w:val="auto"/>
                <w:spacing w:val="0"/>
                <w:w w:val="100"/>
                <w:sz w:val="22"/>
                <w:szCs w:val="22"/>
                <w:highlight w:val="none"/>
                <w:vertAlign w:val="baseline"/>
              </w:rPr>
              <w:t>4.4 数据处理及结果输出装置2套；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r>
      <w:tr>
        <w:tblPrEx>
          <w:shd w:val="clear" w:color="auto" w:fill="auto"/>
          <w:tblCellMar>
            <w:top w:w="0" w:type="dxa"/>
            <w:left w:w="108" w:type="dxa"/>
            <w:bottom w:w="0" w:type="dxa"/>
            <w:right w:w="108"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离子色谱仪</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台</w:t>
            </w:r>
          </w:p>
        </w:tc>
        <w:tc>
          <w:tcPr>
            <w:tcW w:w="3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 工作条件</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bCs/>
                <w:i w:val="0"/>
                <w:iCs w:val="0"/>
                <w:color w:val="auto"/>
                <w:spacing w:val="0"/>
                <w:w w:val="100"/>
                <w:sz w:val="22"/>
                <w:szCs w:val="22"/>
                <w:highlight w:val="none"/>
                <w:vertAlign w:val="baseline"/>
              </w:rPr>
              <w:t>1 工作条件</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1.1 工作电源：220V，50Hz</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1.2 环境温度：5-45℃</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1.3 相对湿度：25-85%</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bCs/>
                <w:i w:val="0"/>
                <w:iCs w:val="0"/>
                <w:color w:val="auto"/>
                <w:spacing w:val="0"/>
                <w:w w:val="100"/>
                <w:sz w:val="22"/>
                <w:szCs w:val="22"/>
                <w:highlight w:val="none"/>
                <w:vertAlign w:val="baseline"/>
              </w:rPr>
              <w:t>2主要技术指标</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仪器多个部件带智能芯片，实现系统参数的自动优化，保证数据的可溯源性，完全符合GLP规范。</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bCs/>
                <w:i w:val="0"/>
                <w:iCs w:val="0"/>
                <w:color w:val="auto"/>
                <w:spacing w:val="0"/>
                <w:w w:val="100"/>
                <w:sz w:val="22"/>
                <w:szCs w:val="22"/>
                <w:highlight w:val="none"/>
                <w:vertAlign w:val="baseline"/>
              </w:rPr>
              <w:t>2.1双活塞串联泵</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★2.1.1类型：双活塞串联泵，整套仪器不使用任何辅助气体；</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2.1.2带智能芯片，能根据系统压力变化自动优化泵的运动，自动识别色谱柱的编号设定流速及流速上限；</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2.1.3最大压力：35 MPa （5000psi，PEEK材料）；</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★2.1.4泵最大流速≥15 mL/min；</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★2.1.5步长≤0.001ml/min；</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2.1.6重现性： &lt;0.1%；</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2.1.7自动安全关机功能：压力超过上下限及泵状态异常时自动关机；</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bCs/>
                <w:i w:val="0"/>
                <w:iCs w:val="0"/>
                <w:color w:val="auto"/>
                <w:spacing w:val="0"/>
                <w:w w:val="100"/>
                <w:sz w:val="22"/>
                <w:szCs w:val="22"/>
                <w:highlight w:val="none"/>
                <w:vertAlign w:val="baseline"/>
              </w:rPr>
              <w:t>2.2电导检测器：</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2.2.1类型：智能化高性能电导检测器，包含智能芯片，存储出厂色谱图，用于工程师维护比对、软件认证、培训等；</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2.2.2最大测量值≥15000µS/cm；</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2.2.3最大耐压≥2Mpa；</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★2.2.4电导池体积：≤0.9µL；</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2.2.5分辨率≤0.005nS/cm；</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2.2.6线性：&lt; 0.5 %；</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2.2.7电子噪音：&lt; 0.1nS/cm；</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2.2.8基线噪音：&lt; 0.2nS/cm；</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★2.2.9温度稳定性：0.001℃</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bCs/>
                <w:i w:val="0"/>
                <w:iCs w:val="0"/>
                <w:color w:val="auto"/>
                <w:spacing w:val="0"/>
                <w:w w:val="100"/>
                <w:sz w:val="22"/>
                <w:szCs w:val="22"/>
                <w:highlight w:val="none"/>
                <w:vertAlign w:val="baseline"/>
              </w:rPr>
              <w:t>2.3色谱分析柱：</w:t>
            </w:r>
            <w:r>
              <w:rPr>
                <w:rFonts w:hint="eastAsia" w:ascii="仿宋" w:hAnsi="仿宋" w:eastAsia="仿宋" w:cs="仿宋"/>
                <w:b w:val="0"/>
                <w:bCs w:val="0"/>
                <w:i w:val="0"/>
                <w:iCs w:val="0"/>
                <w:color w:val="auto"/>
                <w:spacing w:val="0"/>
                <w:w w:val="100"/>
                <w:sz w:val="22"/>
                <w:szCs w:val="22"/>
                <w:highlight w:val="none"/>
                <w:vertAlign w:val="baseline"/>
              </w:rPr>
              <w:t xml:space="preserve"> </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2.3.1带智能芯片，仪器自动识别色谱柱信息（序列号、出厂信息、建议流速等），可记录色谱柱已使用的次数等信息；</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2.3.2阳离子分离柱及保护柱，可用于Li</w:t>
            </w:r>
            <w:r>
              <w:rPr>
                <w:rFonts w:hint="eastAsia" w:ascii="仿宋" w:hAnsi="仿宋" w:eastAsia="仿宋" w:cs="仿宋"/>
                <w:b w:val="0"/>
                <w:bCs w:val="0"/>
                <w:i w:val="0"/>
                <w:iCs w:val="0"/>
                <w:color w:val="auto"/>
                <w:spacing w:val="0"/>
                <w:w w:val="100"/>
                <w:sz w:val="22"/>
                <w:szCs w:val="22"/>
                <w:highlight w:val="none"/>
                <w:vertAlign w:val="superscript"/>
              </w:rPr>
              <w:t>+</w:t>
            </w:r>
            <w:r>
              <w:rPr>
                <w:rFonts w:hint="eastAsia" w:ascii="仿宋" w:hAnsi="仿宋" w:eastAsia="仿宋" w:cs="仿宋"/>
                <w:b w:val="0"/>
                <w:bCs w:val="0"/>
                <w:i w:val="0"/>
                <w:iCs w:val="0"/>
                <w:color w:val="auto"/>
                <w:spacing w:val="0"/>
                <w:w w:val="100"/>
                <w:sz w:val="22"/>
                <w:szCs w:val="22"/>
                <w:highlight w:val="none"/>
                <w:vertAlign w:val="baseline"/>
              </w:rPr>
              <w:t xml:space="preserve"> 、Na</w:t>
            </w:r>
            <w:r>
              <w:rPr>
                <w:rFonts w:hint="eastAsia" w:ascii="仿宋" w:hAnsi="仿宋" w:eastAsia="仿宋" w:cs="仿宋"/>
                <w:b w:val="0"/>
                <w:bCs w:val="0"/>
                <w:i w:val="0"/>
                <w:iCs w:val="0"/>
                <w:color w:val="auto"/>
                <w:spacing w:val="0"/>
                <w:w w:val="100"/>
                <w:sz w:val="22"/>
                <w:szCs w:val="22"/>
                <w:highlight w:val="none"/>
                <w:vertAlign w:val="superscript"/>
              </w:rPr>
              <w:t>+</w:t>
            </w:r>
            <w:r>
              <w:rPr>
                <w:rFonts w:hint="eastAsia" w:ascii="仿宋" w:hAnsi="仿宋" w:eastAsia="仿宋" w:cs="仿宋"/>
                <w:b w:val="0"/>
                <w:bCs w:val="0"/>
                <w:i w:val="0"/>
                <w:iCs w:val="0"/>
                <w:color w:val="auto"/>
                <w:spacing w:val="0"/>
                <w:w w:val="100"/>
                <w:sz w:val="22"/>
                <w:szCs w:val="22"/>
                <w:highlight w:val="none"/>
                <w:vertAlign w:val="baseline"/>
              </w:rPr>
              <w:t>、K</w:t>
            </w:r>
            <w:r>
              <w:rPr>
                <w:rFonts w:hint="eastAsia" w:ascii="仿宋" w:hAnsi="仿宋" w:eastAsia="仿宋" w:cs="仿宋"/>
                <w:b w:val="0"/>
                <w:bCs w:val="0"/>
                <w:i w:val="0"/>
                <w:iCs w:val="0"/>
                <w:color w:val="auto"/>
                <w:spacing w:val="0"/>
                <w:w w:val="100"/>
                <w:sz w:val="22"/>
                <w:szCs w:val="22"/>
                <w:highlight w:val="none"/>
                <w:vertAlign w:val="superscript"/>
              </w:rPr>
              <w:t>+</w:t>
            </w:r>
            <w:r>
              <w:rPr>
                <w:rFonts w:hint="eastAsia" w:ascii="仿宋" w:hAnsi="仿宋" w:eastAsia="仿宋" w:cs="仿宋"/>
                <w:b w:val="0"/>
                <w:bCs w:val="0"/>
                <w:i w:val="0"/>
                <w:iCs w:val="0"/>
                <w:color w:val="auto"/>
                <w:spacing w:val="0"/>
                <w:w w:val="100"/>
                <w:sz w:val="22"/>
                <w:szCs w:val="22"/>
                <w:highlight w:val="none"/>
                <w:vertAlign w:val="baseline"/>
              </w:rPr>
              <w:t>、Ca</w:t>
            </w:r>
            <w:r>
              <w:rPr>
                <w:rFonts w:hint="eastAsia" w:ascii="仿宋" w:hAnsi="仿宋" w:eastAsia="仿宋" w:cs="仿宋"/>
                <w:b w:val="0"/>
                <w:bCs w:val="0"/>
                <w:i w:val="0"/>
                <w:iCs w:val="0"/>
                <w:color w:val="auto"/>
                <w:spacing w:val="0"/>
                <w:w w:val="100"/>
                <w:sz w:val="22"/>
                <w:szCs w:val="22"/>
                <w:highlight w:val="none"/>
                <w:vertAlign w:val="superscript"/>
              </w:rPr>
              <w:t>2+</w:t>
            </w:r>
            <w:r>
              <w:rPr>
                <w:rFonts w:hint="eastAsia" w:ascii="仿宋" w:hAnsi="仿宋" w:eastAsia="仿宋" w:cs="仿宋"/>
                <w:b w:val="0"/>
                <w:bCs w:val="0"/>
                <w:i w:val="0"/>
                <w:iCs w:val="0"/>
                <w:color w:val="auto"/>
                <w:spacing w:val="0"/>
                <w:w w:val="100"/>
                <w:sz w:val="22"/>
                <w:szCs w:val="22"/>
                <w:highlight w:val="none"/>
                <w:vertAlign w:val="baseline"/>
              </w:rPr>
              <w:t>、Mg</w:t>
            </w:r>
            <w:r>
              <w:rPr>
                <w:rFonts w:hint="eastAsia" w:ascii="仿宋" w:hAnsi="仿宋" w:eastAsia="仿宋" w:cs="仿宋"/>
                <w:b w:val="0"/>
                <w:bCs w:val="0"/>
                <w:i w:val="0"/>
                <w:iCs w:val="0"/>
                <w:color w:val="auto"/>
                <w:spacing w:val="0"/>
                <w:w w:val="100"/>
                <w:sz w:val="22"/>
                <w:szCs w:val="22"/>
                <w:highlight w:val="none"/>
                <w:vertAlign w:val="superscript"/>
              </w:rPr>
              <w:t>2+</w:t>
            </w:r>
            <w:r>
              <w:rPr>
                <w:rFonts w:hint="eastAsia" w:ascii="仿宋" w:hAnsi="仿宋" w:eastAsia="仿宋" w:cs="仿宋"/>
                <w:b w:val="0"/>
                <w:bCs w:val="0"/>
                <w:i w:val="0"/>
                <w:iCs w:val="0"/>
                <w:color w:val="auto"/>
                <w:spacing w:val="0"/>
                <w:w w:val="100"/>
                <w:sz w:val="22"/>
                <w:szCs w:val="22"/>
                <w:highlight w:val="none"/>
                <w:vertAlign w:val="baseline"/>
              </w:rPr>
              <w:t>、NH</w:t>
            </w:r>
            <w:r>
              <w:rPr>
                <w:rFonts w:hint="eastAsia" w:ascii="仿宋" w:hAnsi="仿宋" w:eastAsia="仿宋" w:cs="仿宋"/>
                <w:b w:val="0"/>
                <w:bCs w:val="0"/>
                <w:i w:val="0"/>
                <w:iCs w:val="0"/>
                <w:color w:val="auto"/>
                <w:spacing w:val="0"/>
                <w:w w:val="100"/>
                <w:sz w:val="22"/>
                <w:szCs w:val="22"/>
                <w:highlight w:val="none"/>
                <w:vertAlign w:val="subscript"/>
              </w:rPr>
              <w:t>4</w:t>
            </w:r>
            <w:r>
              <w:rPr>
                <w:rFonts w:hint="eastAsia" w:ascii="仿宋" w:hAnsi="仿宋" w:eastAsia="仿宋" w:cs="仿宋"/>
                <w:b w:val="0"/>
                <w:bCs w:val="0"/>
                <w:i w:val="0"/>
                <w:iCs w:val="0"/>
                <w:color w:val="auto"/>
                <w:spacing w:val="0"/>
                <w:w w:val="100"/>
                <w:sz w:val="22"/>
                <w:szCs w:val="22"/>
                <w:highlight w:val="none"/>
                <w:vertAlign w:val="superscript"/>
              </w:rPr>
              <w:t>+</w:t>
            </w:r>
            <w:r>
              <w:rPr>
                <w:rFonts w:hint="eastAsia" w:ascii="仿宋" w:hAnsi="仿宋" w:eastAsia="仿宋" w:cs="仿宋"/>
                <w:b w:val="0"/>
                <w:bCs w:val="0"/>
                <w:i w:val="0"/>
                <w:iCs w:val="0"/>
                <w:color w:val="auto"/>
                <w:spacing w:val="0"/>
                <w:w w:val="100"/>
                <w:sz w:val="22"/>
                <w:szCs w:val="22"/>
                <w:highlight w:val="none"/>
                <w:vertAlign w:val="baseline"/>
              </w:rPr>
              <w:t xml:space="preserve"> 的分析；</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2.3.3阴离子分离柱及保护柱，可用于F</w:t>
            </w:r>
            <w:r>
              <w:rPr>
                <w:rFonts w:hint="eastAsia" w:ascii="仿宋" w:hAnsi="仿宋" w:eastAsia="仿宋" w:cs="仿宋"/>
                <w:b w:val="0"/>
                <w:bCs w:val="0"/>
                <w:i w:val="0"/>
                <w:iCs w:val="0"/>
                <w:color w:val="auto"/>
                <w:spacing w:val="0"/>
                <w:w w:val="100"/>
                <w:sz w:val="22"/>
                <w:szCs w:val="22"/>
                <w:highlight w:val="none"/>
                <w:vertAlign w:val="superscript"/>
              </w:rPr>
              <w:t>‾</w:t>
            </w:r>
            <w:r>
              <w:rPr>
                <w:rFonts w:hint="eastAsia" w:ascii="仿宋" w:hAnsi="仿宋" w:eastAsia="仿宋" w:cs="仿宋"/>
                <w:b w:val="0"/>
                <w:bCs w:val="0"/>
                <w:i w:val="0"/>
                <w:iCs w:val="0"/>
                <w:color w:val="auto"/>
                <w:spacing w:val="0"/>
                <w:w w:val="100"/>
                <w:sz w:val="22"/>
                <w:szCs w:val="22"/>
                <w:highlight w:val="none"/>
                <w:vertAlign w:val="baseline"/>
              </w:rPr>
              <w:t>、Cl</w:t>
            </w:r>
            <w:r>
              <w:rPr>
                <w:rFonts w:hint="eastAsia" w:ascii="仿宋" w:hAnsi="仿宋" w:eastAsia="仿宋" w:cs="仿宋"/>
                <w:b w:val="0"/>
                <w:bCs w:val="0"/>
                <w:i w:val="0"/>
                <w:iCs w:val="0"/>
                <w:color w:val="auto"/>
                <w:spacing w:val="0"/>
                <w:w w:val="100"/>
                <w:sz w:val="22"/>
                <w:szCs w:val="22"/>
                <w:highlight w:val="none"/>
                <w:vertAlign w:val="superscript"/>
              </w:rPr>
              <w:t>‾</w:t>
            </w:r>
            <w:r>
              <w:rPr>
                <w:rFonts w:hint="eastAsia" w:ascii="仿宋" w:hAnsi="仿宋" w:eastAsia="仿宋" w:cs="仿宋"/>
                <w:b w:val="0"/>
                <w:bCs w:val="0"/>
                <w:i w:val="0"/>
                <w:iCs w:val="0"/>
                <w:color w:val="auto"/>
                <w:spacing w:val="0"/>
                <w:w w:val="100"/>
                <w:sz w:val="22"/>
                <w:szCs w:val="22"/>
                <w:highlight w:val="none"/>
                <w:vertAlign w:val="baseline"/>
              </w:rPr>
              <w:t>、Br</w:t>
            </w:r>
            <w:r>
              <w:rPr>
                <w:rFonts w:hint="eastAsia" w:ascii="仿宋" w:hAnsi="仿宋" w:eastAsia="仿宋" w:cs="仿宋"/>
                <w:b w:val="0"/>
                <w:bCs w:val="0"/>
                <w:i w:val="0"/>
                <w:iCs w:val="0"/>
                <w:color w:val="auto"/>
                <w:spacing w:val="0"/>
                <w:w w:val="100"/>
                <w:sz w:val="22"/>
                <w:szCs w:val="22"/>
                <w:highlight w:val="none"/>
                <w:vertAlign w:val="superscript"/>
              </w:rPr>
              <w:t>‾</w:t>
            </w:r>
            <w:r>
              <w:rPr>
                <w:rFonts w:hint="eastAsia" w:ascii="仿宋" w:hAnsi="仿宋" w:eastAsia="仿宋" w:cs="仿宋"/>
                <w:b w:val="0"/>
                <w:bCs w:val="0"/>
                <w:i w:val="0"/>
                <w:iCs w:val="0"/>
                <w:color w:val="auto"/>
                <w:spacing w:val="0"/>
                <w:w w:val="100"/>
                <w:sz w:val="22"/>
                <w:szCs w:val="22"/>
                <w:highlight w:val="none"/>
                <w:vertAlign w:val="baseline"/>
              </w:rPr>
              <w:t>、SO</w:t>
            </w:r>
            <w:r>
              <w:rPr>
                <w:rFonts w:hint="eastAsia" w:ascii="仿宋" w:hAnsi="仿宋" w:eastAsia="仿宋" w:cs="仿宋"/>
                <w:b w:val="0"/>
                <w:bCs w:val="0"/>
                <w:i w:val="0"/>
                <w:iCs w:val="0"/>
                <w:color w:val="auto"/>
                <w:spacing w:val="0"/>
                <w:w w:val="100"/>
                <w:sz w:val="22"/>
                <w:szCs w:val="22"/>
                <w:highlight w:val="none"/>
                <w:vertAlign w:val="subscript"/>
              </w:rPr>
              <w:t>4</w:t>
            </w:r>
            <w:r>
              <w:rPr>
                <w:rFonts w:hint="eastAsia" w:ascii="仿宋" w:hAnsi="仿宋" w:eastAsia="仿宋" w:cs="仿宋"/>
                <w:b w:val="0"/>
                <w:bCs w:val="0"/>
                <w:i w:val="0"/>
                <w:iCs w:val="0"/>
                <w:color w:val="auto"/>
                <w:spacing w:val="0"/>
                <w:w w:val="100"/>
                <w:sz w:val="22"/>
                <w:szCs w:val="22"/>
                <w:highlight w:val="none"/>
                <w:vertAlign w:val="superscript"/>
              </w:rPr>
              <w:t>2‾</w:t>
            </w:r>
            <w:r>
              <w:rPr>
                <w:rFonts w:hint="eastAsia" w:ascii="仿宋" w:hAnsi="仿宋" w:eastAsia="仿宋" w:cs="仿宋"/>
                <w:b w:val="0"/>
                <w:bCs w:val="0"/>
                <w:i w:val="0"/>
                <w:iCs w:val="0"/>
                <w:color w:val="auto"/>
                <w:spacing w:val="0"/>
                <w:w w:val="100"/>
                <w:sz w:val="22"/>
                <w:szCs w:val="22"/>
                <w:highlight w:val="none"/>
                <w:vertAlign w:val="baseline"/>
              </w:rPr>
              <w:t>、NO</w:t>
            </w:r>
            <w:r>
              <w:rPr>
                <w:rFonts w:hint="eastAsia" w:ascii="仿宋" w:hAnsi="仿宋" w:eastAsia="仿宋" w:cs="仿宋"/>
                <w:b w:val="0"/>
                <w:bCs w:val="0"/>
                <w:i w:val="0"/>
                <w:iCs w:val="0"/>
                <w:color w:val="auto"/>
                <w:spacing w:val="0"/>
                <w:w w:val="100"/>
                <w:sz w:val="22"/>
                <w:szCs w:val="22"/>
                <w:highlight w:val="none"/>
                <w:vertAlign w:val="subscript"/>
              </w:rPr>
              <w:t>2</w:t>
            </w:r>
            <w:r>
              <w:rPr>
                <w:rFonts w:hint="eastAsia" w:ascii="仿宋" w:hAnsi="仿宋" w:eastAsia="仿宋" w:cs="仿宋"/>
                <w:b w:val="0"/>
                <w:bCs w:val="0"/>
                <w:i w:val="0"/>
                <w:iCs w:val="0"/>
                <w:color w:val="auto"/>
                <w:spacing w:val="0"/>
                <w:w w:val="100"/>
                <w:sz w:val="22"/>
                <w:szCs w:val="22"/>
                <w:highlight w:val="none"/>
                <w:vertAlign w:val="superscript"/>
              </w:rPr>
              <w:t>‾</w:t>
            </w:r>
            <w:r>
              <w:rPr>
                <w:rFonts w:hint="eastAsia" w:ascii="仿宋" w:hAnsi="仿宋" w:eastAsia="仿宋" w:cs="仿宋"/>
                <w:b w:val="0"/>
                <w:bCs w:val="0"/>
                <w:i w:val="0"/>
                <w:iCs w:val="0"/>
                <w:color w:val="auto"/>
                <w:spacing w:val="0"/>
                <w:w w:val="100"/>
                <w:sz w:val="22"/>
                <w:szCs w:val="22"/>
                <w:highlight w:val="none"/>
                <w:vertAlign w:val="baseline"/>
              </w:rPr>
              <w:t>、NO</w:t>
            </w:r>
            <w:r>
              <w:rPr>
                <w:rFonts w:hint="eastAsia" w:ascii="仿宋" w:hAnsi="仿宋" w:eastAsia="仿宋" w:cs="仿宋"/>
                <w:b w:val="0"/>
                <w:bCs w:val="0"/>
                <w:i w:val="0"/>
                <w:iCs w:val="0"/>
                <w:color w:val="auto"/>
                <w:spacing w:val="0"/>
                <w:w w:val="100"/>
                <w:sz w:val="22"/>
                <w:szCs w:val="22"/>
                <w:highlight w:val="none"/>
                <w:vertAlign w:val="subscript"/>
              </w:rPr>
              <w:t>3</w:t>
            </w:r>
            <w:r>
              <w:rPr>
                <w:rFonts w:hint="eastAsia" w:ascii="仿宋" w:hAnsi="仿宋" w:eastAsia="仿宋" w:cs="仿宋"/>
                <w:b w:val="0"/>
                <w:bCs w:val="0"/>
                <w:i w:val="0"/>
                <w:iCs w:val="0"/>
                <w:color w:val="auto"/>
                <w:spacing w:val="0"/>
                <w:w w:val="100"/>
                <w:sz w:val="22"/>
                <w:szCs w:val="22"/>
                <w:highlight w:val="none"/>
                <w:vertAlign w:val="superscript"/>
              </w:rPr>
              <w:t>‾</w:t>
            </w:r>
            <w:r>
              <w:rPr>
                <w:rFonts w:hint="eastAsia" w:ascii="仿宋" w:hAnsi="仿宋" w:eastAsia="仿宋" w:cs="仿宋"/>
                <w:b w:val="0"/>
                <w:bCs w:val="0"/>
                <w:i w:val="0"/>
                <w:iCs w:val="0"/>
                <w:color w:val="auto"/>
                <w:spacing w:val="0"/>
                <w:w w:val="100"/>
                <w:sz w:val="22"/>
                <w:szCs w:val="22"/>
                <w:highlight w:val="none"/>
                <w:vertAlign w:val="baseline"/>
              </w:rPr>
              <w:t>、PO</w:t>
            </w:r>
            <w:r>
              <w:rPr>
                <w:rFonts w:hint="eastAsia" w:ascii="仿宋" w:hAnsi="仿宋" w:eastAsia="仿宋" w:cs="仿宋"/>
                <w:b w:val="0"/>
                <w:bCs w:val="0"/>
                <w:i w:val="0"/>
                <w:iCs w:val="0"/>
                <w:color w:val="auto"/>
                <w:spacing w:val="0"/>
                <w:w w:val="100"/>
                <w:sz w:val="22"/>
                <w:szCs w:val="22"/>
                <w:highlight w:val="none"/>
                <w:vertAlign w:val="subscript"/>
              </w:rPr>
              <w:t>4</w:t>
            </w:r>
            <w:r>
              <w:rPr>
                <w:rFonts w:hint="eastAsia" w:ascii="仿宋" w:hAnsi="仿宋" w:eastAsia="仿宋" w:cs="仿宋"/>
                <w:b w:val="0"/>
                <w:bCs w:val="0"/>
                <w:i w:val="0"/>
                <w:iCs w:val="0"/>
                <w:color w:val="auto"/>
                <w:spacing w:val="0"/>
                <w:w w:val="100"/>
                <w:sz w:val="22"/>
                <w:szCs w:val="22"/>
                <w:highlight w:val="none"/>
                <w:vertAlign w:val="superscript"/>
              </w:rPr>
              <w:t>3‾</w:t>
            </w:r>
            <w:r>
              <w:rPr>
                <w:rFonts w:hint="eastAsia" w:ascii="仿宋" w:hAnsi="仿宋" w:eastAsia="仿宋" w:cs="仿宋"/>
                <w:b w:val="0"/>
                <w:bCs w:val="0"/>
                <w:i w:val="0"/>
                <w:iCs w:val="0"/>
                <w:color w:val="auto"/>
                <w:spacing w:val="0"/>
                <w:w w:val="100"/>
                <w:sz w:val="22"/>
                <w:szCs w:val="22"/>
                <w:highlight w:val="none"/>
                <w:vertAlign w:val="baseline"/>
              </w:rPr>
              <w:t>等多种阴离子的分析。</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bCs/>
                <w:i w:val="0"/>
                <w:iCs w:val="0"/>
                <w:color w:val="auto"/>
                <w:spacing w:val="0"/>
                <w:w w:val="100"/>
                <w:sz w:val="22"/>
                <w:szCs w:val="22"/>
                <w:highlight w:val="none"/>
                <w:vertAlign w:val="baseline"/>
              </w:rPr>
              <w:t>2.4色谱工作站：</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2.4.1 功能：可自动识别所有智能组件，并读取其最佳参数信息；仪器控制和数据处理完全由软件进行；完全符合GLP、FDA等认证标准；</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2.4.2 原厂完全版软件，图形化界面，编程功能强大；</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2.4.3 可实现真正双通道，即由一个软件同时控制两个通道</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bCs/>
                <w:i w:val="0"/>
                <w:iCs w:val="0"/>
                <w:color w:val="auto"/>
                <w:spacing w:val="0"/>
                <w:w w:val="100"/>
                <w:sz w:val="22"/>
                <w:szCs w:val="22"/>
                <w:highlight w:val="none"/>
                <w:vertAlign w:val="baseline"/>
              </w:rPr>
              <w:t>3.配置要求：</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3.1 离子色谱仪主机1台</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3.2 智能型电导检测器（含智能芯片）可控温1台</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3.3 软件（原版中文/英文自由切换）1套</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3.4 阳离子分析柱及保护柱1套</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3.5 阴离子分析柱及保护柱1套</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3.6 抑制器1套</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3.7 洗脱液沉子（5个/包）1包</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3.8 2L无色玻璃瓶子2个</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3.9 过滤器芯（10个/ 包）1包</w:t>
            </w:r>
          </w:p>
          <w:p>
            <w:pPr>
              <w:pStyle w:val="21"/>
              <w:keepNext w:val="0"/>
              <w:keepLines w:val="0"/>
              <w:widowControl/>
              <w:suppressLineNumbers w:val="0"/>
              <w:spacing w:before="0" w:beforeAutospacing="0" w:after="0" w:afterAutospacing="0" w:line="240" w:lineRule="auto"/>
              <w:ind w:left="0" w:right="0"/>
              <w:jc w:val="left"/>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3.10 柱温箱1套</w:t>
            </w:r>
          </w:p>
          <w:p>
            <w:pPr>
              <w:pStyle w:val="21"/>
              <w:keepNext w:val="0"/>
              <w:keepLines w:val="0"/>
              <w:widowControl/>
              <w:suppressLineNumbers w:val="0"/>
              <w:spacing w:before="0" w:beforeAutospacing="0" w:after="0" w:afterAutospacing="0" w:line="240" w:lineRule="auto"/>
              <w:ind w:left="0" w:right="0"/>
              <w:jc w:val="left"/>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val="0"/>
                <w:bCs w:val="0"/>
                <w:i w:val="0"/>
                <w:iCs w:val="0"/>
                <w:color w:val="auto"/>
                <w:spacing w:val="0"/>
                <w:w w:val="100"/>
                <w:sz w:val="22"/>
                <w:szCs w:val="22"/>
                <w:highlight w:val="none"/>
                <w:vertAlign w:val="baseline"/>
              </w:rPr>
              <w:t>3.11 数据处理及结果输出装置1套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shd w:val="clear" w:color="auto" w:fill="auto"/>
          <w:tblCellMar>
            <w:top w:w="0" w:type="dxa"/>
            <w:left w:w="108" w:type="dxa"/>
            <w:bottom w:w="0" w:type="dxa"/>
            <w:right w:w="108"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水中溶解气脱气装置</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台</w:t>
            </w:r>
          </w:p>
        </w:tc>
        <w:tc>
          <w:tcPr>
            <w:tcW w:w="3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1、地下水中溶解气体脱出并收集气体样品；</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2、水流速小于20L/min，溶解气脱气率&gt;70%；</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3、空气污染体积分数小于0.5%；</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4、地下水温度适用范围&lt;100℃（50℃以上使用冷却）；</w:t>
            </w:r>
          </w:p>
          <w:p>
            <w:pPr>
              <w:pStyle w:val="21"/>
              <w:keepNext w:val="0"/>
              <w:keepLines w:val="0"/>
              <w:widowControl/>
              <w:suppressLineNumbers w:val="0"/>
              <w:spacing w:before="0" w:beforeAutospacing="0" w:after="0" w:afterAutospacing="0" w:line="240" w:lineRule="auto"/>
              <w:ind w:left="0" w:right="0"/>
              <w:jc w:val="both"/>
              <w:rPr>
                <w:color w:val="auto"/>
                <w:highlight w:val="none"/>
              </w:rPr>
            </w:pPr>
            <w:r>
              <w:rPr>
                <w:rFonts w:hint="eastAsia" w:ascii="仿宋" w:hAnsi="仿宋" w:eastAsia="仿宋" w:cs="仿宋"/>
                <w:b w:val="0"/>
                <w:bCs w:val="0"/>
                <w:i w:val="0"/>
                <w:iCs w:val="0"/>
                <w:color w:val="auto"/>
                <w:spacing w:val="0"/>
                <w:w w:val="100"/>
                <w:sz w:val="22"/>
                <w:szCs w:val="22"/>
                <w:highlight w:val="none"/>
                <w:vertAlign w:val="baseline"/>
              </w:rPr>
              <w:t>5、设备体积小于70cm×40cm×25cm，重量小于30kg；</w:t>
            </w:r>
          </w:p>
          <w:p>
            <w:pPr>
              <w:pStyle w:val="21"/>
              <w:keepNext w:val="0"/>
              <w:keepLines w:val="0"/>
              <w:widowControl/>
              <w:suppressLineNumbers w:val="0"/>
              <w:spacing w:before="0" w:beforeAutospacing="0" w:after="0" w:afterAutospacing="0" w:line="240" w:lineRule="auto"/>
              <w:ind w:left="0" w:right="0"/>
              <w:jc w:val="both"/>
              <w:rPr>
                <w:rFonts w:hint="eastAsia" w:ascii="仿宋" w:hAnsi="仿宋" w:eastAsia="仿宋" w:cs="仿宋"/>
                <w:color w:val="auto"/>
                <w:sz w:val="22"/>
                <w:szCs w:val="22"/>
                <w:highlight w:val="none"/>
                <w:lang w:val="en-US" w:eastAsia="zh-CN"/>
              </w:rPr>
            </w:pPr>
            <w:r>
              <w:rPr>
                <w:rFonts w:hint="eastAsia" w:ascii="仿宋" w:hAnsi="仿宋" w:eastAsia="仿宋" w:cs="仿宋"/>
                <w:b w:val="0"/>
                <w:bCs w:val="0"/>
                <w:i w:val="0"/>
                <w:iCs w:val="0"/>
                <w:color w:val="auto"/>
                <w:spacing w:val="0"/>
                <w:w w:val="100"/>
                <w:sz w:val="22"/>
                <w:szCs w:val="22"/>
                <w:highlight w:val="none"/>
                <w:vertAlign w:val="baseline"/>
              </w:rPr>
              <w:t>6、能够实现样品气瓶内正压（&gt;1.5atm）。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bl>
    <w:p>
      <w:pPr>
        <w:pStyle w:val="1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highlight w:val="none"/>
          <w:lang w:val="en-US" w:eastAsia="zh-CN"/>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b/>
          <w:bCs/>
          <w:color w:val="auto"/>
          <w:sz w:val="24"/>
          <w:szCs w:val="24"/>
          <w:highlight w:val="none"/>
          <w:lang w:val="en-US" w:eastAsia="zh-CN"/>
        </w:rPr>
        <w:t xml:space="preserve">  注：1、本项目核心产品：1标段的核心产品为</w:t>
      </w:r>
      <w:r>
        <w:rPr>
          <w:rFonts w:hint="eastAsia" w:ascii="仿宋" w:hAnsi="仿宋" w:eastAsia="仿宋" w:cs="仿宋"/>
          <w:b/>
          <w:bCs/>
          <w:color w:val="auto"/>
          <w:sz w:val="24"/>
          <w:szCs w:val="24"/>
          <w:highlight w:val="none"/>
          <w:u w:val="single"/>
          <w:lang w:val="en-US" w:eastAsia="zh-CN"/>
        </w:rPr>
        <w:t xml:space="preserve"> 气相色谱仪 </w:t>
      </w:r>
      <w:r>
        <w:rPr>
          <w:rFonts w:hint="eastAsia" w:ascii="仿宋" w:hAnsi="仿宋" w:eastAsia="仿宋" w:cs="仿宋"/>
          <w:b/>
          <w:bCs/>
          <w:color w:val="auto"/>
          <w:sz w:val="24"/>
          <w:szCs w:val="24"/>
          <w:highlight w:val="none"/>
          <w:lang w:val="en-US" w:eastAsia="zh-CN"/>
        </w:rPr>
        <w:t>。</w:t>
      </w:r>
    </w:p>
    <w:p>
      <w:pPr>
        <w:pStyle w:val="12"/>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以上各项技术参数和性能要求如出现引用品牌、型号、某一特定的专利技术、商标、名称、设计、原产地或供应者等情况，则仅起参考作用。投标人可选用实质上“相当于”或“优于”该参考技术规格要求的产品投标，同时填写技术参数偏离说明。</w:t>
      </w:r>
    </w:p>
    <w:p>
      <w:pPr>
        <w:pStyle w:val="12"/>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对于本项目中的核心产品提供相同品牌产品，且通过资格审查、符合性审查的不同投标人参加投标的，按一家投标人计算，评审后总得分最高的同品牌投标人获得中标人推荐资格；评审总得分相同的，技术部分得分最高的同品牌投标人获得中标人推荐资格；其它同品牌投标人不再推荐为中标候选人。</w:t>
      </w:r>
    </w:p>
    <w:p>
      <w:pPr>
        <w:pStyle w:val="12"/>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投标人应严格按照《中华人民共和国政府采购法》、《政府采购货物和服务招标投标管理办法》(财政部令第87号)等有关法律、法规的规定进行投标，合同签订后采购人将按照中标人投标文件中所投货物、工程或者服务进行验收，一旦发现虚假应标行为，取消该中标人的中标资格、撤销合同，并保留追究其法律责任的权利。验收时，交付的产品必须与投标产品的品牌、型号、规格、技术参数、性能说明、生产厂家等各项内容一致，投标人在投标时务必认真核实并如实填写产品品牌、型号、规格、技术参数、性能说明、生产厂家等各项信息。</w:t>
      </w:r>
    </w:p>
    <w:p>
      <w:pPr>
        <w:pStyle w:val="12"/>
        <w:spacing w:line="360" w:lineRule="auto"/>
        <w:rPr>
          <w:rFonts w:hint="eastAsia" w:ascii="仿宋" w:hAnsi="仿宋" w:eastAsia="仿宋" w:cs="仿宋"/>
          <w:b/>
          <w:bCs/>
          <w:color w:val="auto"/>
          <w:sz w:val="24"/>
          <w:szCs w:val="24"/>
          <w:highlight w:val="none"/>
          <w:lang w:val="en-US" w:eastAsia="zh-CN"/>
        </w:rPr>
      </w:pPr>
    </w:p>
    <w:p>
      <w:pPr>
        <w:rPr>
          <w:rFonts w:hint="eastAsia"/>
          <w:color w:val="auto"/>
          <w:highlight w:val="none"/>
          <w:lang w:val="en-US" w:eastAsia="zh-CN"/>
        </w:rPr>
        <w:sectPr>
          <w:pgSz w:w="16838" w:h="11906" w:orient="landscape"/>
          <w:pgMar w:top="1440" w:right="1080" w:bottom="1440" w:left="1080" w:header="851" w:footer="992" w:gutter="0"/>
          <w:pgBorders>
            <w:top w:val="none" w:sz="0" w:space="0"/>
            <w:left w:val="none" w:sz="0" w:space="0"/>
            <w:bottom w:val="none" w:sz="0" w:space="0"/>
            <w:right w:val="none" w:sz="0" w:space="0"/>
          </w:pgBorders>
          <w:cols w:space="0" w:num="1"/>
          <w:rtlGutter w:val="0"/>
          <w:docGrid w:linePitch="312" w:charSpace="0"/>
        </w:sectPr>
      </w:pPr>
      <w:r>
        <w:rPr>
          <w:rFonts w:hint="eastAsia" w:ascii="仿宋" w:hAnsi="仿宋" w:eastAsia="仿宋" w:cs="仿宋"/>
          <w:b/>
          <w:bCs/>
          <w:color w:val="auto"/>
          <w:sz w:val="24"/>
          <w:szCs w:val="24"/>
          <w:highlight w:val="none"/>
          <w:lang w:val="en-US" w:eastAsia="zh-CN"/>
        </w:rPr>
        <w:br w:type="page"/>
      </w:r>
    </w:p>
    <w:p>
      <w:pPr>
        <w:pStyle w:val="3"/>
        <w:numPr>
          <w:ilvl w:val="0"/>
          <w:numId w:val="0"/>
        </w:numPr>
        <w:spacing w:line="360" w:lineRule="auto"/>
        <w:jc w:val="center"/>
        <w:rPr>
          <w:rFonts w:hint="eastAsia" w:ascii="仿宋" w:hAnsi="仿宋" w:eastAsia="仿宋" w:cs="仿宋"/>
          <w:color w:val="auto"/>
          <w:spacing w:val="0"/>
          <w:sz w:val="40"/>
          <w:szCs w:val="40"/>
          <w:highlight w:val="none"/>
        </w:rPr>
      </w:pPr>
      <w:bookmarkStart w:id="44" w:name="_Toc13108"/>
      <w:r>
        <w:rPr>
          <w:rFonts w:hint="eastAsia" w:ascii="仿宋" w:hAnsi="仿宋" w:eastAsia="仿宋" w:cs="仿宋"/>
          <w:color w:val="auto"/>
          <w:spacing w:val="0"/>
          <w:sz w:val="40"/>
          <w:szCs w:val="40"/>
          <w:highlight w:val="none"/>
          <w:lang w:val="en-US" w:eastAsia="zh-CN"/>
        </w:rPr>
        <w:t xml:space="preserve">第四章 </w:t>
      </w:r>
      <w:r>
        <w:rPr>
          <w:rFonts w:hint="eastAsia" w:ascii="仿宋" w:hAnsi="仿宋" w:eastAsia="仿宋" w:cs="仿宋"/>
          <w:color w:val="auto"/>
          <w:spacing w:val="0"/>
          <w:sz w:val="40"/>
          <w:szCs w:val="40"/>
          <w:highlight w:val="none"/>
        </w:rPr>
        <w:t>参考合同样式及主要条款</w:t>
      </w:r>
      <w:bookmarkEnd w:id="44"/>
    </w:p>
    <w:p>
      <w:pPr>
        <w:wordWrap w:val="0"/>
        <w:jc w:val="right"/>
        <w:rPr>
          <w:rFonts w:hint="eastAsia" w:ascii="仿宋" w:hAnsi="仿宋" w:eastAsia="仿宋" w:cs="仿宋"/>
          <w:b/>
          <w:bCs/>
          <w:color w:val="auto"/>
          <w:kern w:val="44"/>
          <w:sz w:val="28"/>
          <w:szCs w:val="28"/>
          <w:highlight w:val="none"/>
          <w:u w:val="single"/>
        </w:rPr>
      </w:pPr>
      <w:r>
        <w:rPr>
          <w:rFonts w:hint="eastAsia" w:ascii="仿宋" w:hAnsi="仿宋" w:eastAsia="仿宋" w:cs="仿宋"/>
          <w:b/>
          <w:bCs/>
          <w:color w:val="auto"/>
          <w:kern w:val="44"/>
          <w:sz w:val="28"/>
          <w:szCs w:val="28"/>
          <w:highlight w:val="none"/>
        </w:rPr>
        <w:t>合同编号：</w:t>
      </w:r>
      <w:r>
        <w:rPr>
          <w:rFonts w:hint="eastAsia" w:ascii="仿宋" w:hAnsi="仿宋" w:eastAsia="仿宋" w:cs="仿宋"/>
          <w:color w:val="auto"/>
          <w:sz w:val="28"/>
          <w:szCs w:val="28"/>
          <w:highlight w:val="none"/>
        </w:rPr>
        <w:t xml:space="preserve">__________________ </w:t>
      </w:r>
    </w:p>
    <w:p>
      <w:pPr>
        <w:spacing w:line="360" w:lineRule="auto"/>
        <w:rPr>
          <w:rFonts w:hint="eastAsia" w:ascii="仿宋" w:hAnsi="仿宋" w:eastAsia="仿宋" w:cs="仿宋"/>
          <w:b/>
          <w:bCs/>
          <w:color w:val="auto"/>
          <w:kern w:val="44"/>
          <w:sz w:val="28"/>
          <w:szCs w:val="28"/>
          <w:highlight w:val="none"/>
        </w:rPr>
      </w:pPr>
    </w:p>
    <w:p>
      <w:pPr>
        <w:spacing w:line="360" w:lineRule="auto"/>
        <w:jc w:val="center"/>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（本合同仅供参考，以实际签订合同为准）</w:t>
      </w:r>
    </w:p>
    <w:p>
      <w:pPr>
        <w:spacing w:line="360" w:lineRule="auto"/>
        <w:rPr>
          <w:rFonts w:hint="eastAsia" w:ascii="仿宋" w:hAnsi="仿宋" w:eastAsia="仿宋" w:cs="仿宋"/>
          <w:b/>
          <w:bCs/>
          <w:color w:val="auto"/>
          <w:kern w:val="44"/>
          <w:sz w:val="28"/>
          <w:szCs w:val="28"/>
          <w:highlight w:val="none"/>
        </w:rPr>
      </w:pPr>
    </w:p>
    <w:p>
      <w:pPr>
        <w:spacing w:line="360" w:lineRule="auto"/>
        <w:rPr>
          <w:rFonts w:hint="eastAsia" w:ascii="仿宋" w:hAnsi="仿宋" w:eastAsia="仿宋" w:cs="仿宋"/>
          <w:b/>
          <w:bCs/>
          <w:color w:val="auto"/>
          <w:kern w:val="44"/>
          <w:sz w:val="28"/>
          <w:szCs w:val="28"/>
          <w:highlight w:val="none"/>
        </w:rPr>
      </w:pPr>
    </w:p>
    <w:p>
      <w:pPr>
        <w:spacing w:line="360" w:lineRule="auto"/>
        <w:jc w:val="center"/>
        <w:rPr>
          <w:rFonts w:hint="eastAsia" w:ascii="仿宋" w:hAnsi="仿宋" w:eastAsia="仿宋" w:cs="仿宋"/>
          <w:b/>
          <w:color w:val="auto"/>
          <w:sz w:val="40"/>
          <w:szCs w:val="40"/>
          <w:highlight w:val="none"/>
          <w:lang w:eastAsia="zh-CN"/>
        </w:rPr>
      </w:pPr>
      <w:r>
        <w:rPr>
          <w:rFonts w:hint="eastAsia" w:ascii="仿宋" w:hAnsi="仿宋" w:eastAsia="仿宋" w:cs="仿宋"/>
          <w:b/>
          <w:color w:val="auto"/>
          <w:sz w:val="40"/>
          <w:szCs w:val="40"/>
          <w:highlight w:val="none"/>
          <w:lang w:eastAsia="zh-CN"/>
        </w:rPr>
        <w:t>云南省地震局地震专业设备采购</w:t>
      </w:r>
    </w:p>
    <w:p>
      <w:pPr>
        <w:spacing w:line="360" w:lineRule="auto"/>
        <w:jc w:val="center"/>
        <w:rPr>
          <w:rFonts w:hint="default" w:ascii="仿宋" w:hAnsi="仿宋" w:eastAsia="仿宋" w:cs="仿宋"/>
          <w:b/>
          <w:bCs/>
          <w:color w:val="auto"/>
          <w:kern w:val="44"/>
          <w:sz w:val="40"/>
          <w:szCs w:val="40"/>
          <w:highlight w:val="none"/>
          <w:u w:val="single"/>
          <w:lang w:val="en-US" w:eastAsia="zh-CN"/>
        </w:rPr>
      </w:pPr>
      <w:r>
        <w:rPr>
          <w:rFonts w:hint="eastAsia" w:ascii="仿宋" w:hAnsi="仿宋" w:eastAsia="仿宋" w:cs="仿宋"/>
          <w:b/>
          <w:color w:val="auto"/>
          <w:sz w:val="40"/>
          <w:szCs w:val="40"/>
          <w:highlight w:val="none"/>
          <w:u w:val="single"/>
          <w:lang w:val="en-US" w:eastAsia="zh-CN"/>
        </w:rPr>
        <w:t>xx标段</w:t>
      </w:r>
    </w:p>
    <w:p>
      <w:pPr>
        <w:widowControl/>
        <w:rPr>
          <w:rFonts w:hint="eastAsia" w:ascii="仿宋" w:hAnsi="仿宋" w:eastAsia="仿宋" w:cs="仿宋"/>
          <w:color w:val="auto"/>
          <w:highlight w:val="none"/>
        </w:rPr>
      </w:pPr>
    </w:p>
    <w:p>
      <w:pPr>
        <w:widowControl/>
        <w:rPr>
          <w:rFonts w:hint="eastAsia" w:ascii="仿宋" w:hAnsi="仿宋" w:eastAsia="仿宋" w:cs="仿宋"/>
          <w:color w:val="auto"/>
          <w:highlight w:val="none"/>
        </w:rPr>
      </w:pPr>
    </w:p>
    <w:p>
      <w:pPr>
        <w:widowControl/>
        <w:rPr>
          <w:rFonts w:hint="eastAsia" w:ascii="仿宋" w:hAnsi="仿宋" w:eastAsia="仿宋" w:cs="仿宋"/>
          <w:color w:val="auto"/>
          <w:highlight w:val="none"/>
        </w:rPr>
      </w:pPr>
    </w:p>
    <w:p>
      <w:pPr>
        <w:rPr>
          <w:rFonts w:hint="eastAsia" w:ascii="仿宋" w:hAnsi="仿宋" w:eastAsia="仿宋" w:cs="仿宋"/>
          <w:color w:val="auto"/>
          <w:highlight w:val="none"/>
        </w:rPr>
      </w:pPr>
    </w:p>
    <w:p>
      <w:pPr>
        <w:widowControl/>
        <w:rPr>
          <w:rFonts w:hint="eastAsia" w:ascii="仿宋" w:hAnsi="仿宋" w:eastAsia="仿宋" w:cs="仿宋"/>
          <w:color w:val="auto"/>
          <w:highlight w:val="none"/>
        </w:rPr>
      </w:pPr>
    </w:p>
    <w:p>
      <w:pPr>
        <w:widowControl/>
        <w:rPr>
          <w:rFonts w:hint="eastAsia" w:ascii="仿宋" w:hAnsi="仿宋" w:eastAsia="仿宋" w:cs="仿宋"/>
          <w:color w:val="auto"/>
          <w:highlight w:val="none"/>
        </w:rPr>
      </w:pPr>
    </w:p>
    <w:p>
      <w:pPr>
        <w:spacing w:line="360" w:lineRule="auto"/>
        <w:jc w:val="center"/>
        <w:rPr>
          <w:rFonts w:hint="eastAsia" w:ascii="仿宋" w:hAnsi="仿宋" w:eastAsia="仿宋" w:cs="仿宋"/>
          <w:b/>
          <w:bCs/>
          <w:color w:val="auto"/>
          <w:kern w:val="44"/>
          <w:sz w:val="52"/>
          <w:szCs w:val="52"/>
          <w:highlight w:val="none"/>
        </w:rPr>
      </w:pPr>
      <w:r>
        <w:rPr>
          <w:rFonts w:hint="eastAsia" w:ascii="仿宋" w:hAnsi="仿宋" w:eastAsia="仿宋" w:cs="仿宋"/>
          <w:b/>
          <w:bCs/>
          <w:color w:val="auto"/>
          <w:kern w:val="44"/>
          <w:sz w:val="52"/>
          <w:szCs w:val="52"/>
          <w:highlight w:val="none"/>
        </w:rPr>
        <w:t>合同书</w:t>
      </w: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p>
    <w:p>
      <w:pP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（甲方）：</w:t>
      </w:r>
      <w:r>
        <w:rPr>
          <w:rFonts w:hint="eastAsia" w:ascii="仿宋" w:hAnsi="仿宋" w:eastAsia="仿宋" w:cs="仿宋"/>
          <w:color w:val="auto"/>
          <w:sz w:val="24"/>
          <w:highlight w:val="none"/>
        </w:rPr>
        <w:t>________________________________</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供货</w:t>
      </w:r>
      <w:r>
        <w:rPr>
          <w:rFonts w:hint="eastAsia" w:ascii="仿宋" w:hAnsi="仿宋" w:eastAsia="仿宋" w:cs="仿宋"/>
          <w:color w:val="auto"/>
          <w:sz w:val="28"/>
          <w:szCs w:val="28"/>
          <w:highlight w:val="none"/>
        </w:rPr>
        <w:t>人（乙方）：</w:t>
      </w:r>
      <w:r>
        <w:rPr>
          <w:rFonts w:hint="eastAsia" w:ascii="仿宋" w:hAnsi="仿宋" w:eastAsia="仿宋" w:cs="仿宋"/>
          <w:color w:val="auto"/>
          <w:sz w:val="24"/>
          <w:highlight w:val="none"/>
        </w:rPr>
        <w:t>________________________________</w:t>
      </w:r>
    </w:p>
    <w:p>
      <w:pPr>
        <w:spacing w:line="48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4"/>
          <w:highlight w:val="none"/>
        </w:rPr>
        <w:t>______________________________________</w:t>
      </w:r>
    </w:p>
    <w:p>
      <w:pPr>
        <w:widowControl/>
        <w:spacing w:line="360" w:lineRule="auto"/>
        <w:ind w:firstLine="1968" w:firstLineChars="700"/>
        <w:jc w:val="both"/>
        <w:rPr>
          <w:rFonts w:hint="eastAsia" w:ascii="仿宋" w:hAnsi="仿宋" w:eastAsia="仿宋" w:cs="仿宋"/>
          <w:b/>
          <w:color w:val="auto"/>
          <w:sz w:val="24"/>
          <w:highlight w:val="none"/>
        </w:rPr>
      </w:pPr>
      <w:r>
        <w:rPr>
          <w:rFonts w:hint="eastAsia" w:ascii="仿宋" w:hAnsi="仿宋" w:eastAsia="仿宋" w:cs="仿宋"/>
          <w:b/>
          <w:bCs/>
          <w:color w:val="auto"/>
          <w:sz w:val="28"/>
          <w:szCs w:val="28"/>
          <w:highlight w:val="none"/>
        </w:rPr>
        <w:t>签订地点：昆明市盘龙区</w:t>
      </w:r>
      <w:r>
        <w:rPr>
          <w:rFonts w:hint="eastAsia" w:ascii="仿宋" w:hAnsi="仿宋" w:eastAsia="仿宋" w:cs="仿宋"/>
          <w:color w:val="auto"/>
          <w:sz w:val="28"/>
          <w:szCs w:val="28"/>
          <w:highlight w:val="none"/>
        </w:rPr>
        <w:br w:type="page"/>
      </w:r>
      <w:r>
        <w:rPr>
          <w:rFonts w:hint="eastAsia" w:ascii="仿宋" w:hAnsi="仿宋" w:eastAsia="仿宋" w:cs="仿宋"/>
          <w:b/>
          <w:color w:val="auto"/>
          <w:sz w:val="24"/>
          <w:highlight w:val="none"/>
        </w:rPr>
        <w:t>合同条款</w:t>
      </w:r>
    </w:p>
    <w:p>
      <w:pPr>
        <w:autoSpaceDE w:val="0"/>
        <w:autoSpaceDN w:val="0"/>
        <w:spacing w:before="100" w:beforeAutospacing="1" w:after="100" w:afterAutospacing="1" w:line="360" w:lineRule="auto"/>
        <w:ind w:firstLine="480" w:firstLineChars="200"/>
        <w:rPr>
          <w:rFonts w:ascii="仿宋" w:hAnsi="仿宋" w:eastAsia="仿宋" w:cs="仿宋"/>
          <w:color w:val="auto"/>
          <w:sz w:val="24"/>
          <w:highlight w:val="none"/>
        </w:rPr>
      </w:pPr>
      <w:bookmarkStart w:id="45" w:name="_Toc86202596"/>
      <w:bookmarkStart w:id="46" w:name="_Toc99718144"/>
      <w:bookmarkStart w:id="47" w:name="_Toc87373492"/>
      <w:bookmarkStart w:id="48" w:name="_Toc103333718"/>
      <w:bookmarkStart w:id="49" w:name="_Toc99941334"/>
      <w:bookmarkStart w:id="50" w:name="_Toc116879959"/>
      <w:bookmarkStart w:id="51" w:name="_Toc87810245"/>
      <w:bookmarkStart w:id="52" w:name="_Toc87373392"/>
      <w:bookmarkStart w:id="53" w:name="_Toc99881762"/>
      <w:r>
        <w:rPr>
          <w:rFonts w:hint="eastAsia" w:ascii="仿宋" w:hAnsi="仿宋" w:eastAsia="仿宋" w:cs="仿宋"/>
          <w:color w:val="auto"/>
          <w:sz w:val="24"/>
          <w:highlight w:val="none"/>
        </w:rPr>
        <w:t>________________(甲方)所需________________ (货物名称、第  包)经招标代理以________________（项目编号）招标文件在国内进行公开招标。经评标委员会评定，确定 (乙方)为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标段的</w:t>
      </w:r>
      <w:r>
        <w:rPr>
          <w:rFonts w:hint="eastAsia" w:ascii="仿宋" w:hAnsi="仿宋" w:eastAsia="仿宋" w:cs="仿宋"/>
          <w:color w:val="auto"/>
          <w:sz w:val="24"/>
          <w:highlight w:val="none"/>
        </w:rPr>
        <w:t>中标人</w:t>
      </w:r>
      <w:r>
        <w:rPr>
          <w:rFonts w:hint="eastAsia" w:ascii="仿宋" w:hAnsi="仿宋" w:eastAsia="仿宋" w:cs="仿宋"/>
          <w:b/>
          <w:bCs/>
          <w:color w:val="auto"/>
          <w:sz w:val="24"/>
          <w:highlight w:val="none"/>
        </w:rPr>
        <w:t>（供货人）</w:t>
      </w:r>
      <w:r>
        <w:rPr>
          <w:rFonts w:hint="eastAsia" w:ascii="仿宋" w:hAnsi="仿宋" w:eastAsia="仿宋" w:cs="仿宋"/>
          <w:color w:val="auto"/>
          <w:sz w:val="24"/>
          <w:highlight w:val="none"/>
        </w:rPr>
        <w:t>。甲乙双方根据《中华人民共和国政府采购法》、《中华人民共和国民法典》和《中华人民共和国招标投标法》等相关法律法规以及本项目招标文件的规定，经平等协商达成合同如下：</w:t>
      </w:r>
      <w:bookmarkEnd w:id="45"/>
      <w:bookmarkEnd w:id="46"/>
      <w:bookmarkEnd w:id="47"/>
      <w:bookmarkEnd w:id="48"/>
      <w:bookmarkEnd w:id="49"/>
      <w:bookmarkEnd w:id="50"/>
      <w:bookmarkEnd w:id="51"/>
      <w:bookmarkEnd w:id="52"/>
      <w:bookmarkEnd w:id="53"/>
    </w:p>
    <w:p>
      <w:pPr>
        <w:pStyle w:val="76"/>
        <w:numPr>
          <w:ilvl w:val="0"/>
          <w:numId w:val="7"/>
        </w:numPr>
        <w:spacing w:before="100" w:beforeAutospacing="1" w:after="100" w:afterAutospacing="1" w:line="400" w:lineRule="exact"/>
        <w:ind w:right="-508" w:firstLineChars="0"/>
        <w:jc w:val="center"/>
        <w:rPr>
          <w:rFonts w:ascii="仿宋" w:hAnsi="仿宋" w:eastAsia="仿宋" w:cs="仿宋"/>
          <w:b/>
          <w:color w:val="auto"/>
          <w:sz w:val="24"/>
          <w:highlight w:val="none"/>
        </w:rPr>
      </w:pPr>
      <w:bookmarkStart w:id="54" w:name="_Toc452119130"/>
      <w:bookmarkStart w:id="55" w:name="_Toc25313453"/>
      <w:r>
        <w:rPr>
          <w:rFonts w:hint="eastAsia" w:ascii="仿宋" w:hAnsi="仿宋" w:eastAsia="仿宋" w:cs="仿宋"/>
          <w:b/>
          <w:color w:val="auto"/>
          <w:sz w:val="24"/>
          <w:highlight w:val="none"/>
        </w:rPr>
        <w:t>定义</w:t>
      </w:r>
      <w:bookmarkEnd w:id="54"/>
      <w:bookmarkEnd w:id="55"/>
    </w:p>
    <w:p>
      <w:pPr>
        <w:autoSpaceDE w:val="0"/>
        <w:autoSpaceDN w:val="0"/>
        <w:spacing w:before="100" w:beforeAutospacing="1" w:after="100" w:afterAutospacing="1"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除非另有特别解释或说明，在本合同及与本合同相关的，双方另行签署的其他文件（包括但不限于本合同的附件）中，下述词语均依如下定义进行解释：</w:t>
      </w:r>
    </w:p>
    <w:p>
      <w:pPr>
        <w:numPr>
          <w:ilvl w:val="1"/>
          <w:numId w:val="8"/>
        </w:numPr>
        <w:tabs>
          <w:tab w:val="left" w:pos="284"/>
        </w:tabs>
        <w:spacing w:before="100" w:beforeAutospacing="1" w:after="100" w:afterAutospacing="1"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“项目”指</w:t>
      </w:r>
      <w:r>
        <w:rPr>
          <w:rFonts w:hint="eastAsia" w:ascii="仿宋" w:hAnsi="仿宋" w:eastAsia="仿宋" w:cs="仿宋"/>
          <w:color w:val="auto"/>
          <w:sz w:val="24"/>
          <w:highlight w:val="none"/>
          <w:u w:val="single"/>
          <w:lang w:eastAsia="zh-CN"/>
        </w:rPr>
        <w:t>云南省地震局地震专业设备采购</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bCs/>
          <w:color w:val="auto"/>
          <w:sz w:val="24"/>
          <w:highlight w:val="none"/>
          <w:u w:val="single"/>
        </w:rPr>
        <w:t xml:space="preserve">  标段的采购</w:t>
      </w:r>
      <w:r>
        <w:rPr>
          <w:rFonts w:hint="eastAsia" w:ascii="仿宋" w:hAnsi="仿宋" w:eastAsia="仿宋" w:cs="仿宋"/>
          <w:color w:val="auto"/>
          <w:sz w:val="24"/>
          <w:highlight w:val="none"/>
          <w:u w:val="single"/>
        </w:rPr>
        <w:t>。</w:t>
      </w:r>
    </w:p>
    <w:p>
      <w:pPr>
        <w:numPr>
          <w:ilvl w:val="1"/>
          <w:numId w:val="8"/>
        </w:numPr>
        <w:tabs>
          <w:tab w:val="left" w:pos="284"/>
        </w:tabs>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“合同”指甲乙双方签署的，与本项目相关的协议、附件、附录和其他一切文件等，还包括报价文件、报价文件中的相关内容及其有效补充文件。</w:t>
      </w:r>
    </w:p>
    <w:p>
      <w:pPr>
        <w:numPr>
          <w:ilvl w:val="1"/>
          <w:numId w:val="8"/>
        </w:numPr>
        <w:tabs>
          <w:tab w:val="left" w:pos="454"/>
        </w:tabs>
        <w:spacing w:before="100" w:beforeAutospacing="1" w:after="100" w:afterAutospacing="1" w:line="400" w:lineRule="exact"/>
        <w:ind w:left="0" w:firstLine="0"/>
        <w:rPr>
          <w:rFonts w:ascii="仿宋" w:hAnsi="仿宋" w:eastAsia="仿宋" w:cs="仿宋"/>
          <w:color w:val="auto"/>
          <w:sz w:val="24"/>
          <w:highlight w:val="none"/>
        </w:rPr>
      </w:pPr>
      <w:r>
        <w:rPr>
          <w:rFonts w:hint="eastAsia" w:ascii="仿宋" w:hAnsi="仿宋" w:eastAsia="仿宋" w:cs="仿宋"/>
          <w:color w:val="auto"/>
          <w:sz w:val="24"/>
          <w:highlight w:val="none"/>
        </w:rPr>
        <w:t>“附件”是指与本合同的订立、履行有关的，经甲乙双方认可的，对本合同约定的内容进行细化、补充、修改、变更的文件、图纸、音像制品等资料。</w:t>
      </w:r>
    </w:p>
    <w:p>
      <w:pPr>
        <w:numPr>
          <w:ilvl w:val="1"/>
          <w:numId w:val="8"/>
        </w:numPr>
        <w:tabs>
          <w:tab w:val="left" w:pos="454"/>
        </w:tabs>
        <w:spacing w:before="100" w:beforeAutospacing="1" w:after="100" w:afterAutospacing="1" w:line="400" w:lineRule="exact"/>
        <w:ind w:left="0" w:firstLine="0"/>
        <w:rPr>
          <w:rFonts w:ascii="仿宋" w:hAnsi="仿宋" w:eastAsia="仿宋" w:cs="仿宋"/>
          <w:color w:val="auto"/>
          <w:sz w:val="24"/>
          <w:highlight w:val="none"/>
        </w:rPr>
      </w:pPr>
      <w:r>
        <w:rPr>
          <w:rFonts w:hint="eastAsia" w:ascii="仿宋" w:hAnsi="仿宋" w:eastAsia="仿宋" w:cs="仿宋"/>
          <w:color w:val="auto"/>
          <w:sz w:val="24"/>
          <w:highlight w:val="none"/>
        </w:rPr>
        <w:t>“合同货物”指合同货物清单（同投标文件中报价货物数量、价格表，下同）中所规定的硬件、软件、安装材料、备件及专用器具、文件资料等内容。</w:t>
      </w:r>
    </w:p>
    <w:p>
      <w:pPr>
        <w:numPr>
          <w:ilvl w:val="1"/>
          <w:numId w:val="8"/>
        </w:numPr>
        <w:tabs>
          <w:tab w:val="left" w:pos="454"/>
        </w:tabs>
        <w:spacing w:before="100" w:beforeAutospacing="1" w:after="100" w:afterAutospacing="1" w:line="400" w:lineRule="exact"/>
        <w:ind w:left="0" w:firstLine="0"/>
        <w:rPr>
          <w:rFonts w:ascii="仿宋" w:hAnsi="仿宋" w:eastAsia="仿宋" w:cs="仿宋"/>
          <w:color w:val="auto"/>
          <w:sz w:val="24"/>
          <w:highlight w:val="none"/>
        </w:rPr>
      </w:pPr>
      <w:r>
        <w:rPr>
          <w:rFonts w:hint="eastAsia" w:ascii="仿宋" w:hAnsi="仿宋" w:eastAsia="仿宋" w:cs="仿宋"/>
          <w:color w:val="auto"/>
          <w:sz w:val="24"/>
          <w:highlight w:val="none"/>
        </w:rPr>
        <w:t>“服务”指根据合同规定乙方应承担的与供货有关的辅助服务，包括（但不限于）合同货物的乙方付费办妥清关、乙方付费运输、保险、培训、</w:t>
      </w:r>
      <w:r>
        <w:rPr>
          <w:rFonts w:ascii="仿宋" w:hAnsi="仿宋" w:eastAsia="仿宋" w:cs="仿宋"/>
          <w:b/>
          <w:bCs/>
          <w:color w:val="auto"/>
          <w:sz w:val="24"/>
          <w:highlight w:val="none"/>
        </w:rPr>
        <w:t>安装、调试、</w:t>
      </w:r>
      <w:r>
        <w:rPr>
          <w:rFonts w:hint="eastAsia" w:ascii="仿宋" w:hAnsi="仿宋" w:eastAsia="仿宋" w:cs="仿宋"/>
          <w:color w:val="auto"/>
          <w:sz w:val="24"/>
          <w:highlight w:val="none"/>
        </w:rPr>
        <w:t>维修、提供技术指导和支持、保修期外的维护以及其他类似的义务。</w:t>
      </w:r>
    </w:p>
    <w:p>
      <w:pPr>
        <w:numPr>
          <w:ilvl w:val="1"/>
          <w:numId w:val="8"/>
        </w:numPr>
        <w:tabs>
          <w:tab w:val="left" w:pos="454"/>
        </w:tabs>
        <w:spacing w:before="100" w:beforeAutospacing="1" w:after="100" w:afterAutospacing="1" w:line="400" w:lineRule="exact"/>
        <w:ind w:left="0" w:firstLine="0"/>
        <w:rPr>
          <w:rFonts w:ascii="仿宋" w:hAnsi="仿宋" w:eastAsia="仿宋" w:cs="仿宋"/>
          <w:color w:val="auto"/>
          <w:sz w:val="24"/>
          <w:highlight w:val="none"/>
        </w:rPr>
      </w:pPr>
      <w:r>
        <w:rPr>
          <w:rFonts w:hint="eastAsia" w:ascii="仿宋" w:hAnsi="仿宋" w:eastAsia="仿宋" w:cs="仿宋"/>
          <w:color w:val="auto"/>
          <w:sz w:val="24"/>
          <w:highlight w:val="none"/>
        </w:rPr>
        <w:t>“检验”指按照本合同约定的标准对合同货物进行的检测与查验。</w:t>
      </w:r>
    </w:p>
    <w:p>
      <w:pPr>
        <w:numPr>
          <w:ilvl w:val="1"/>
          <w:numId w:val="8"/>
        </w:numPr>
        <w:tabs>
          <w:tab w:val="left" w:pos="454"/>
        </w:tabs>
        <w:spacing w:before="100" w:beforeAutospacing="1" w:after="100" w:afterAutospacing="1" w:line="400" w:lineRule="exact"/>
        <w:ind w:left="0" w:firstLine="0"/>
        <w:rPr>
          <w:rFonts w:ascii="仿宋" w:hAnsi="仿宋" w:eastAsia="仿宋" w:cs="仿宋"/>
          <w:color w:val="auto"/>
          <w:sz w:val="24"/>
          <w:highlight w:val="none"/>
        </w:rPr>
      </w:pPr>
      <w:r>
        <w:rPr>
          <w:rFonts w:hint="eastAsia" w:ascii="仿宋" w:hAnsi="仿宋" w:eastAsia="仿宋" w:cs="仿宋"/>
          <w:color w:val="auto"/>
          <w:sz w:val="24"/>
          <w:highlight w:val="none"/>
        </w:rPr>
        <w:t>“验收证书”指检验完成后由合同双方签署的最终验收确认书。</w:t>
      </w:r>
    </w:p>
    <w:p>
      <w:pPr>
        <w:numPr>
          <w:ilvl w:val="1"/>
          <w:numId w:val="8"/>
        </w:numPr>
        <w:tabs>
          <w:tab w:val="left" w:pos="454"/>
        </w:tabs>
        <w:spacing w:before="100" w:beforeAutospacing="1" w:after="100" w:afterAutospacing="1" w:line="400" w:lineRule="exact"/>
        <w:ind w:left="0" w:firstLine="0"/>
        <w:rPr>
          <w:rFonts w:ascii="仿宋" w:hAnsi="仿宋" w:eastAsia="仿宋" w:cs="仿宋"/>
          <w:color w:val="auto"/>
          <w:sz w:val="24"/>
          <w:highlight w:val="none"/>
        </w:rPr>
      </w:pPr>
      <w:r>
        <w:rPr>
          <w:rFonts w:hint="eastAsia" w:ascii="仿宋" w:hAnsi="仿宋" w:eastAsia="仿宋" w:cs="仿宋"/>
          <w:color w:val="auto"/>
          <w:sz w:val="24"/>
          <w:highlight w:val="none"/>
        </w:rPr>
        <w:t>“技术资料”指安装、调试、使用、维修合同货物所应具备的产品使用说明书和使用指南、操作手册、维修指南、服务手册、电路图、产品演示等文件。</w:t>
      </w:r>
    </w:p>
    <w:p>
      <w:pPr>
        <w:numPr>
          <w:ilvl w:val="1"/>
          <w:numId w:val="8"/>
        </w:numPr>
        <w:tabs>
          <w:tab w:val="left" w:pos="454"/>
        </w:tabs>
        <w:spacing w:before="100" w:beforeAutospacing="1" w:after="100" w:afterAutospacing="1" w:line="400" w:lineRule="exact"/>
        <w:ind w:left="0" w:firstLine="0"/>
        <w:rPr>
          <w:rFonts w:ascii="仿宋" w:hAnsi="仿宋" w:eastAsia="仿宋" w:cs="仿宋"/>
          <w:color w:val="auto"/>
          <w:sz w:val="24"/>
          <w:highlight w:val="none"/>
        </w:rPr>
      </w:pPr>
      <w:r>
        <w:rPr>
          <w:rFonts w:hint="eastAsia" w:ascii="仿宋" w:hAnsi="仿宋" w:eastAsia="仿宋" w:cs="仿宋"/>
          <w:color w:val="auto"/>
          <w:sz w:val="24"/>
          <w:highlight w:val="none"/>
        </w:rPr>
        <w:t>“保修期”指自验收证书甲方签署之日起，乙方免费对所卖给甲方货物更换整件或零部件，维修、保养，并以自担费用方式保证合同货物正常运行的时期。</w:t>
      </w:r>
    </w:p>
    <w:p>
      <w:pPr>
        <w:numPr>
          <w:ilvl w:val="1"/>
          <w:numId w:val="8"/>
        </w:numPr>
        <w:tabs>
          <w:tab w:val="left" w:pos="454"/>
        </w:tabs>
        <w:spacing w:before="100" w:beforeAutospacing="1" w:after="100" w:afterAutospacing="1" w:line="400" w:lineRule="exact"/>
        <w:ind w:left="0" w:firstLine="0"/>
        <w:rPr>
          <w:rFonts w:ascii="仿宋" w:hAnsi="仿宋" w:eastAsia="仿宋" w:cs="仿宋"/>
          <w:color w:val="auto"/>
          <w:sz w:val="24"/>
          <w:highlight w:val="none"/>
        </w:rPr>
      </w:pPr>
      <w:r>
        <w:rPr>
          <w:rFonts w:hint="eastAsia" w:ascii="仿宋" w:hAnsi="仿宋" w:eastAsia="仿宋" w:cs="仿宋"/>
          <w:color w:val="auto"/>
          <w:sz w:val="24"/>
          <w:highlight w:val="none"/>
        </w:rPr>
        <w:t>“第三人”是指本合同双方以外的任何中国境内、外的自然人、法人或其他经济组织。</w:t>
      </w:r>
    </w:p>
    <w:p>
      <w:pPr>
        <w:numPr>
          <w:ilvl w:val="1"/>
          <w:numId w:val="8"/>
        </w:numPr>
        <w:tabs>
          <w:tab w:val="left" w:pos="454"/>
        </w:tabs>
        <w:spacing w:before="100" w:beforeAutospacing="1" w:after="100" w:afterAutospacing="1" w:line="400" w:lineRule="exact"/>
        <w:ind w:left="0" w:firstLine="0"/>
        <w:rPr>
          <w:rFonts w:ascii="仿宋" w:hAnsi="仿宋" w:eastAsia="仿宋" w:cs="仿宋"/>
          <w:color w:val="auto"/>
          <w:sz w:val="24"/>
          <w:highlight w:val="none"/>
        </w:rPr>
      </w:pPr>
      <w:r>
        <w:rPr>
          <w:rFonts w:hint="eastAsia" w:ascii="仿宋" w:hAnsi="仿宋" w:eastAsia="仿宋" w:cs="仿宋"/>
          <w:color w:val="auto"/>
          <w:sz w:val="24"/>
          <w:highlight w:val="none"/>
        </w:rPr>
        <w:t>“法律、法规”是指由中国有关部门制定的法律、行政法规、地方性法规、规章及其他规范性文件以及经全国人民代表大会常务委员会批准的中国缔结、参加的国际条（公）约的有关规定。</w:t>
      </w:r>
    </w:p>
    <w:p>
      <w:pPr>
        <w:numPr>
          <w:ilvl w:val="1"/>
          <w:numId w:val="8"/>
        </w:numPr>
        <w:tabs>
          <w:tab w:val="left" w:pos="454"/>
        </w:tabs>
        <w:spacing w:before="100" w:beforeAutospacing="1" w:after="100" w:afterAutospacing="1" w:line="400" w:lineRule="exact"/>
        <w:ind w:left="0" w:firstLine="0"/>
        <w:rPr>
          <w:rFonts w:ascii="仿宋" w:hAnsi="仿宋" w:eastAsia="仿宋" w:cs="仿宋"/>
          <w:color w:val="auto"/>
          <w:sz w:val="24"/>
          <w:highlight w:val="none"/>
        </w:rPr>
      </w:pPr>
      <w:r>
        <w:rPr>
          <w:rFonts w:hint="eastAsia" w:ascii="仿宋" w:hAnsi="仿宋" w:eastAsia="仿宋" w:cs="仿宋"/>
          <w:color w:val="auto"/>
          <w:sz w:val="24"/>
          <w:highlight w:val="none"/>
        </w:rPr>
        <w:t>“招标文件”指招标代理发布的本招标项目招标文件中有关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标段的内容。</w:t>
      </w:r>
    </w:p>
    <w:p>
      <w:pPr>
        <w:numPr>
          <w:ilvl w:val="1"/>
          <w:numId w:val="8"/>
        </w:numPr>
        <w:tabs>
          <w:tab w:val="left" w:pos="454"/>
        </w:tabs>
        <w:spacing w:before="100" w:beforeAutospacing="1" w:after="100" w:afterAutospacing="1" w:line="400" w:lineRule="exact"/>
        <w:ind w:left="0" w:firstLine="0"/>
        <w:rPr>
          <w:rFonts w:ascii="仿宋" w:hAnsi="仿宋" w:eastAsia="仿宋" w:cs="仿宋"/>
          <w:color w:val="auto"/>
          <w:sz w:val="24"/>
          <w:highlight w:val="none"/>
        </w:rPr>
      </w:pPr>
      <w:r>
        <w:rPr>
          <w:rFonts w:hint="eastAsia" w:ascii="仿宋" w:hAnsi="仿宋" w:eastAsia="仿宋" w:cs="仿宋"/>
          <w:color w:val="auto"/>
          <w:sz w:val="24"/>
          <w:highlight w:val="none"/>
        </w:rPr>
        <w:t>“投标文件”指乙方按照招标代理发布的本招标项目招标文件的要求编制和投递，并最终被招标代理接受的有关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标段的的投标文件。</w:t>
      </w:r>
    </w:p>
    <w:p>
      <w:pPr>
        <w:numPr>
          <w:ilvl w:val="1"/>
          <w:numId w:val="8"/>
        </w:numPr>
        <w:tabs>
          <w:tab w:val="left" w:pos="454"/>
        </w:tabs>
        <w:spacing w:before="100" w:beforeAutospacing="1" w:after="100" w:afterAutospacing="1" w:line="400" w:lineRule="exact"/>
        <w:ind w:left="0" w:firstLine="0"/>
        <w:rPr>
          <w:rFonts w:ascii="仿宋" w:hAnsi="仿宋" w:eastAsia="仿宋" w:cs="仿宋"/>
          <w:color w:val="auto"/>
          <w:sz w:val="24"/>
          <w:highlight w:val="none"/>
        </w:rPr>
      </w:pPr>
      <w:r>
        <w:rPr>
          <w:rFonts w:hint="eastAsia" w:ascii="仿宋" w:hAnsi="仿宋" w:eastAsia="仿宋" w:cs="仿宋"/>
          <w:color w:val="auto"/>
          <w:sz w:val="24"/>
          <w:highlight w:val="none"/>
        </w:rPr>
        <w:t>“合同标的”甲方同意从乙方购买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标段的货物，乙方同意向甲方出售本合同</w:t>
      </w:r>
      <w:r>
        <w:rPr>
          <w:rFonts w:hint="eastAsia" w:ascii="仿宋" w:hAnsi="仿宋" w:eastAsia="仿宋" w:cs="仿宋"/>
          <w:b/>
          <w:color w:val="auto"/>
          <w:sz w:val="24"/>
          <w:highlight w:val="none"/>
        </w:rPr>
        <w:t>附件1</w:t>
      </w:r>
      <w:r>
        <w:rPr>
          <w:rFonts w:hint="eastAsia" w:ascii="仿宋" w:hAnsi="仿宋" w:eastAsia="仿宋" w:cs="仿宋"/>
          <w:color w:val="auto"/>
          <w:sz w:val="24"/>
          <w:highlight w:val="none"/>
        </w:rPr>
        <w:t>即合同货物清单中所列未曾销售并未曾使用过的、未曾返修过且新下线的、崭新的、正品合格品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标段的货物及相关服务。</w:t>
      </w:r>
    </w:p>
    <w:p>
      <w:pPr>
        <w:spacing w:before="100" w:beforeAutospacing="1" w:after="100" w:afterAutospacing="1" w:line="400" w:lineRule="exact"/>
        <w:ind w:right="-508"/>
        <w:jc w:val="center"/>
        <w:rPr>
          <w:rFonts w:ascii="仿宋" w:hAnsi="仿宋" w:eastAsia="仿宋" w:cs="仿宋"/>
          <w:b/>
          <w:color w:val="auto"/>
          <w:sz w:val="24"/>
          <w:highlight w:val="none"/>
        </w:rPr>
      </w:pPr>
      <w:bookmarkStart w:id="56" w:name="_Toc452119131"/>
      <w:bookmarkStart w:id="57" w:name="_Toc25313454"/>
      <w:r>
        <w:rPr>
          <w:rFonts w:hint="eastAsia" w:ascii="仿宋" w:hAnsi="仿宋" w:eastAsia="仿宋" w:cs="仿宋"/>
          <w:b/>
          <w:color w:val="auto"/>
          <w:sz w:val="24"/>
          <w:highlight w:val="none"/>
        </w:rPr>
        <w:t>第二条 合同标的</w:t>
      </w:r>
      <w:bookmarkEnd w:id="56"/>
      <w:bookmarkEnd w:id="57"/>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2.1 甲方同意从乙方购买，乙方同意向甲方出售下表所列设备：</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687"/>
        <w:gridCol w:w="987"/>
        <w:gridCol w:w="2007"/>
        <w:gridCol w:w="987"/>
        <w:gridCol w:w="98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8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货物名称及规格</w:t>
            </w:r>
          </w:p>
        </w:tc>
        <w:tc>
          <w:tcPr>
            <w:tcW w:w="98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200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产地及品牌</w:t>
            </w:r>
          </w:p>
        </w:tc>
        <w:tc>
          <w:tcPr>
            <w:tcW w:w="98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986"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98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68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200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6"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7" w:type="dxa"/>
            <w:tcBorders>
              <w:top w:val="single" w:color="auto" w:sz="4" w:space="0"/>
              <w:left w:val="single" w:color="auto" w:sz="4" w:space="0"/>
              <w:bottom w:val="single" w:color="auto" w:sz="4" w:space="0"/>
              <w:right w:val="single" w:color="auto" w:sz="4" w:space="0"/>
            </w:tcBorders>
            <w:vAlign w:val="bottom"/>
          </w:tcPr>
          <w:p>
            <w:pPr>
              <w:tabs>
                <w:tab w:val="left" w:pos="1496"/>
                <w:tab w:val="left" w:pos="2936"/>
                <w:tab w:val="left" w:pos="9056"/>
              </w:tabs>
              <w:autoSpaceDE w:val="0"/>
              <w:autoSpaceDN w:val="0"/>
              <w:adjustRightInd w:val="0"/>
              <w:spacing w:before="100" w:beforeAutospacing="1" w:after="100" w:afterAutospacing="1"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2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2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26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20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u w:val="single"/>
              </w:rPr>
            </w:pPr>
            <w:r>
              <w:rPr>
                <w:rFonts w:hint="eastAsia" w:ascii="仿宋" w:hAnsi="仿宋" w:eastAsia="仿宋" w:cs="仿宋"/>
                <w:b/>
                <w:bCs/>
                <w:color w:val="auto"/>
                <w:sz w:val="24"/>
                <w:highlight w:val="none"/>
              </w:rPr>
              <w:t>本</w:t>
            </w:r>
            <w:r>
              <w:rPr>
                <w:rFonts w:hint="eastAsia" w:ascii="仿宋" w:hAnsi="仿宋" w:eastAsia="仿宋" w:cs="仿宋"/>
                <w:color w:val="auto"/>
                <w:sz w:val="24"/>
                <w:highlight w:val="none"/>
              </w:rPr>
              <w:t>合同总价（</w:t>
            </w:r>
            <w:r>
              <w:rPr>
                <w:rFonts w:hint="eastAsia" w:ascii="仿宋" w:hAnsi="仿宋" w:eastAsia="仿宋" w:cs="仿宋"/>
                <w:b/>
                <w:bCs/>
                <w:color w:val="auto"/>
                <w:sz w:val="24"/>
                <w:highlight w:val="none"/>
              </w:rPr>
              <w:t>含税</w:t>
            </w:r>
            <w:r>
              <w:rPr>
                <w:rFonts w:hint="eastAsia" w:ascii="仿宋" w:hAnsi="仿宋" w:eastAsia="仿宋" w:cs="仿宋"/>
                <w:color w:val="auto"/>
                <w:sz w:val="24"/>
                <w:highlight w:val="none"/>
              </w:rPr>
              <w:t>）：大写人民币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乙方应在</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日前，乙方向甲方交货且由乙方安装调试完毕，并经</w:t>
            </w:r>
            <w:r>
              <w:rPr>
                <w:rFonts w:hint="eastAsia" w:ascii="仿宋" w:hAnsi="仿宋" w:eastAsia="仿宋" w:cs="仿宋"/>
                <w:b/>
                <w:bCs/>
                <w:color w:val="auto"/>
                <w:sz w:val="24"/>
                <w:szCs w:val="24"/>
                <w:highlight w:val="none"/>
                <w:shd w:val="clear" w:color="auto" w:fill="FFFFFF"/>
              </w:rPr>
              <w:t>甲方最终验收合格</w:t>
            </w:r>
            <w:r>
              <w:rPr>
                <w:rFonts w:hint="eastAsia" w:ascii="仿宋" w:hAnsi="仿宋" w:eastAsia="仿宋" w:cs="仿宋"/>
                <w:b/>
                <w:bCs/>
                <w:color w:val="auto"/>
                <w:sz w:val="24"/>
                <w:highlight w:val="none"/>
              </w:rPr>
              <w:t>。</w:t>
            </w:r>
          </w:p>
        </w:tc>
      </w:tr>
    </w:tbl>
    <w:p>
      <w:pPr>
        <w:spacing w:before="100" w:beforeAutospacing="1" w:after="100" w:afterAutospacing="1" w:line="400" w:lineRule="exact"/>
        <w:ind w:right="-508"/>
        <w:jc w:val="center"/>
        <w:rPr>
          <w:rFonts w:ascii="仿宋" w:hAnsi="仿宋" w:eastAsia="仿宋" w:cs="仿宋"/>
          <w:b/>
          <w:color w:val="auto"/>
          <w:sz w:val="24"/>
          <w:highlight w:val="none"/>
        </w:rPr>
      </w:pPr>
      <w:bookmarkStart w:id="58" w:name="_Toc25313455"/>
      <w:bookmarkStart w:id="59" w:name="_Toc452119132"/>
      <w:r>
        <w:rPr>
          <w:rFonts w:hint="eastAsia" w:ascii="仿宋" w:hAnsi="仿宋" w:eastAsia="仿宋" w:cs="仿宋"/>
          <w:b/>
          <w:color w:val="auto"/>
          <w:sz w:val="24"/>
          <w:highlight w:val="none"/>
        </w:rPr>
        <w:t>第三条  合同价格</w:t>
      </w:r>
      <w:bookmarkEnd w:id="58"/>
      <w:bookmarkEnd w:id="59"/>
      <w:r>
        <w:rPr>
          <w:rFonts w:ascii="仿宋" w:hAnsi="仿宋" w:eastAsia="仿宋" w:cs="仿宋"/>
          <w:b/>
          <w:color w:val="auto"/>
          <w:sz w:val="24"/>
          <w:highlight w:val="none"/>
        </w:rPr>
        <w:t>等</w:t>
      </w:r>
    </w:p>
    <w:p>
      <w:pPr>
        <w:tabs>
          <w:tab w:val="left" w:pos="3456"/>
          <w:tab w:val="left" w:pos="7056"/>
          <w:tab w:val="left" w:pos="9162"/>
        </w:tabs>
        <w:autoSpaceDE w:val="0"/>
        <w:autoSpaceDN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3.1 </w:t>
      </w:r>
      <w:r>
        <w:rPr>
          <w:rFonts w:hint="eastAsia" w:ascii="仿宋" w:hAnsi="仿宋" w:eastAsia="仿宋" w:cs="仿宋"/>
          <w:b/>
          <w:bCs/>
          <w:color w:val="auto"/>
          <w:sz w:val="24"/>
          <w:highlight w:val="none"/>
        </w:rPr>
        <w:t>合同</w:t>
      </w:r>
      <w:r>
        <w:rPr>
          <w:rFonts w:ascii="仿宋" w:hAnsi="仿宋" w:eastAsia="仿宋" w:cs="仿宋"/>
          <w:b/>
          <w:bCs/>
          <w:color w:val="auto"/>
          <w:sz w:val="24"/>
          <w:highlight w:val="none"/>
        </w:rPr>
        <w:t>总</w:t>
      </w:r>
      <w:r>
        <w:rPr>
          <w:rFonts w:hint="eastAsia" w:ascii="仿宋" w:hAnsi="仿宋" w:eastAsia="仿宋" w:cs="仿宋"/>
          <w:b/>
          <w:bCs/>
          <w:color w:val="auto"/>
          <w:sz w:val="24"/>
          <w:highlight w:val="none"/>
        </w:rPr>
        <w:t>价</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元（大写：人民币</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rPr>
        <w:t>元</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含税</w:t>
      </w:r>
      <w:r>
        <w:rPr>
          <w:rFonts w:ascii="仿宋" w:hAnsi="仿宋" w:eastAsia="仿宋" w:cs="仿宋"/>
          <w:b/>
          <w:bCs/>
          <w:color w:val="auto"/>
          <w:sz w:val="24"/>
          <w:highlight w:val="none"/>
        </w:rPr>
        <w:t>，包干价</w:t>
      </w:r>
      <w:r>
        <w:rPr>
          <w:rFonts w:hint="eastAsia" w:ascii="仿宋" w:hAnsi="仿宋" w:eastAsia="仿宋" w:cs="仿宋"/>
          <w:color w:val="auto"/>
          <w:sz w:val="24"/>
          <w:highlight w:val="none"/>
        </w:rPr>
        <w:t>）。</w:t>
      </w:r>
    </w:p>
    <w:p>
      <w:pPr>
        <w:tabs>
          <w:tab w:val="left" w:pos="1496"/>
          <w:tab w:val="left" w:pos="2936"/>
          <w:tab w:val="left" w:pos="9056"/>
        </w:tabs>
        <w:autoSpaceDE w:val="0"/>
        <w:autoSpaceDN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3.2 </w:t>
      </w:r>
      <w:r>
        <w:rPr>
          <w:rFonts w:hint="eastAsia" w:ascii="仿宋" w:hAnsi="仿宋" w:eastAsia="仿宋" w:cs="仿宋"/>
          <w:b/>
          <w:bCs/>
          <w:color w:val="auto"/>
          <w:sz w:val="24"/>
          <w:highlight w:val="none"/>
        </w:rPr>
        <w:t>合同总价</w:t>
      </w:r>
      <w:r>
        <w:rPr>
          <w:rFonts w:ascii="仿宋" w:hAnsi="仿宋" w:eastAsia="仿宋" w:cs="仿宋"/>
          <w:b/>
          <w:bCs/>
          <w:color w:val="auto"/>
          <w:sz w:val="24"/>
          <w:highlight w:val="none"/>
        </w:rPr>
        <w:t>为乙方履行本合同项下义务的全部费用，</w:t>
      </w:r>
      <w:r>
        <w:rPr>
          <w:rFonts w:hint="eastAsia" w:ascii="仿宋" w:hAnsi="仿宋" w:eastAsia="仿宋" w:cs="仿宋"/>
          <w:b/>
          <w:bCs/>
          <w:color w:val="auto"/>
          <w:sz w:val="24"/>
          <w:highlight w:val="none"/>
        </w:rPr>
        <w:t>包括</w:t>
      </w:r>
      <w:r>
        <w:rPr>
          <w:rFonts w:ascii="仿宋" w:hAnsi="仿宋" w:eastAsia="仿宋" w:cs="仿宋"/>
          <w:b/>
          <w:bCs/>
          <w:color w:val="auto"/>
          <w:sz w:val="24"/>
          <w:highlight w:val="none"/>
        </w:rPr>
        <w:t>但不限于</w:t>
      </w:r>
      <w:r>
        <w:rPr>
          <w:rFonts w:hint="eastAsia" w:ascii="仿宋" w:hAnsi="仿宋" w:eastAsia="仿宋" w:cs="仿宋"/>
          <w:color w:val="auto"/>
          <w:sz w:val="24"/>
          <w:highlight w:val="none"/>
        </w:rPr>
        <w:t>设备金额及运输、财产及第三方人身损害赔偿保险、</w:t>
      </w:r>
      <w:r>
        <w:rPr>
          <w:rFonts w:hint="eastAsia" w:ascii="仿宋" w:hAnsi="仿宋" w:eastAsia="仿宋" w:cs="仿宋"/>
          <w:b/>
          <w:bCs/>
          <w:color w:val="auto"/>
          <w:sz w:val="24"/>
          <w:highlight w:val="none"/>
        </w:rPr>
        <w:t>安装、辅材、调试</w:t>
      </w:r>
      <w:r>
        <w:rPr>
          <w:rFonts w:ascii="仿宋" w:hAnsi="仿宋" w:eastAsia="仿宋" w:cs="仿宋"/>
          <w:b/>
          <w:bCs/>
          <w:color w:val="auto"/>
          <w:sz w:val="24"/>
          <w:highlight w:val="none"/>
        </w:rPr>
        <w:t>、验收、</w:t>
      </w:r>
      <w:r>
        <w:rPr>
          <w:rFonts w:ascii="仿宋" w:hAnsi="仿宋" w:eastAsia="仿宋" w:cs="仿宋"/>
          <w:color w:val="auto"/>
          <w:sz w:val="24"/>
          <w:highlight w:val="none"/>
        </w:rPr>
        <w:t>安全、维修、保养</w:t>
      </w:r>
      <w:r>
        <w:rPr>
          <w:rFonts w:hint="eastAsia" w:ascii="仿宋" w:hAnsi="仿宋" w:eastAsia="仿宋" w:cs="仿宋"/>
          <w:color w:val="auto"/>
          <w:sz w:val="24"/>
          <w:highlight w:val="none"/>
        </w:rPr>
        <w:t>等费用，是在</w:t>
      </w:r>
      <w:r>
        <w:rPr>
          <w:rFonts w:ascii="仿宋" w:hAnsi="仿宋" w:eastAsia="仿宋" w:cs="仿宋"/>
          <w:color w:val="auto"/>
          <w:sz w:val="24"/>
          <w:highlight w:val="none"/>
        </w:rPr>
        <w:t>货物</w:t>
      </w:r>
      <w:r>
        <w:rPr>
          <w:rFonts w:hint="eastAsia" w:ascii="仿宋" w:hAnsi="仿宋" w:eastAsia="仿宋" w:cs="仿宋"/>
          <w:color w:val="auto"/>
          <w:sz w:val="24"/>
          <w:highlight w:val="none"/>
        </w:rPr>
        <w:t>交付前、交付时所发生或引起的本合同相关的全部成本、费用等，以及依约在交付后所需承担的维修、保养等售后服务价格的总和，且为完税后价格。</w:t>
      </w:r>
    </w:p>
    <w:p>
      <w:pPr>
        <w:tabs>
          <w:tab w:val="left" w:pos="1496"/>
          <w:tab w:val="left" w:pos="2936"/>
          <w:tab w:val="left" w:pos="9056"/>
        </w:tabs>
        <w:autoSpaceDE w:val="0"/>
        <w:autoSpaceDN w:val="0"/>
        <w:spacing w:before="100" w:beforeAutospacing="1" w:after="100" w:afterAutospacing="1" w:line="400" w:lineRule="exact"/>
        <w:rPr>
          <w:rFonts w:ascii="宋体" w:hAnsi="宋体" w:cs="宋体"/>
          <w:b/>
          <w:bCs/>
          <w:color w:val="auto"/>
          <w:kern w:val="0"/>
          <w:szCs w:val="21"/>
          <w:highlight w:val="none"/>
        </w:rPr>
      </w:pPr>
      <w:r>
        <w:rPr>
          <w:rFonts w:hint="eastAsia" w:ascii="仿宋" w:hAnsi="仿宋" w:eastAsia="仿宋" w:cs="仿宋"/>
          <w:b/>
          <w:bCs/>
          <w:color w:val="auto"/>
          <w:sz w:val="24"/>
          <w:highlight w:val="none"/>
        </w:rPr>
        <w:t>3.</w:t>
      </w:r>
      <w:r>
        <w:rPr>
          <w:rFonts w:ascii="仿宋" w:hAnsi="仿宋" w:eastAsia="仿宋" w:cs="仿宋"/>
          <w:b/>
          <w:bCs/>
          <w:color w:val="auto"/>
          <w:sz w:val="24"/>
          <w:highlight w:val="none"/>
        </w:rPr>
        <w:t xml:space="preserve">3 </w:t>
      </w:r>
      <w:r>
        <w:rPr>
          <w:rFonts w:hint="eastAsia" w:ascii="宋体" w:hAnsi="宋体" w:cs="宋体"/>
          <w:b/>
          <w:bCs/>
          <w:color w:val="auto"/>
          <w:kern w:val="0"/>
          <w:szCs w:val="21"/>
          <w:highlight w:val="none"/>
        </w:rPr>
        <w:t>乙方承担货物装卸、运输、安装、调试、保修、售后服务等全部安全责任，若发生事故时，责任由乙方承担，与甲方无关。</w:t>
      </w:r>
    </w:p>
    <w:p>
      <w:pPr>
        <w:tabs>
          <w:tab w:val="left" w:pos="1496"/>
          <w:tab w:val="left" w:pos="2936"/>
          <w:tab w:val="left" w:pos="9056"/>
        </w:tabs>
        <w:autoSpaceDE w:val="0"/>
        <w:autoSpaceDN w:val="0"/>
        <w:spacing w:before="100" w:beforeAutospacing="1" w:after="100" w:afterAutospacing="1" w:line="400" w:lineRule="exact"/>
        <w:rPr>
          <w:rFonts w:ascii="仿宋" w:hAnsi="仿宋" w:cs="仿宋"/>
          <w:color w:val="auto"/>
          <w:sz w:val="24"/>
          <w:highlight w:val="none"/>
        </w:rPr>
      </w:pPr>
      <w:r>
        <w:rPr>
          <w:rFonts w:hint="eastAsia" w:ascii="仿宋" w:hAnsi="仿宋" w:eastAsia="仿宋" w:cs="仿宋"/>
          <w:b/>
          <w:bCs/>
          <w:color w:val="auto"/>
          <w:sz w:val="24"/>
          <w:highlight w:val="none"/>
        </w:rPr>
        <w:t xml:space="preserve">3.4  </w:t>
      </w:r>
      <w:r>
        <w:rPr>
          <w:rFonts w:hint="eastAsia" w:ascii="宋体" w:hAnsi="宋体" w:cs="宋体"/>
          <w:b/>
          <w:bCs/>
          <w:color w:val="auto"/>
          <w:kern w:val="0"/>
          <w:szCs w:val="21"/>
          <w:highlight w:val="none"/>
        </w:rPr>
        <w:t>乙方应按当地政府有关新型冠状病毒肺炎疫情防控要求，做好疫情防控工作，否则，由此产生的法律责任由乙方承担，与甲方无关。</w:t>
      </w:r>
    </w:p>
    <w:p>
      <w:pPr>
        <w:pStyle w:val="21"/>
        <w:spacing w:before="226" w:beforeAutospacing="0" w:after="0" w:afterAutospacing="0" w:line="600" w:lineRule="atLeast"/>
        <w:ind w:firstLine="2612" w:firstLineChars="1084"/>
        <w:rPr>
          <w:rFonts w:ascii="仿宋" w:hAnsi="仿宋" w:eastAsia="仿宋" w:cs="仿宋"/>
          <w:b/>
          <w:bCs/>
          <w:color w:val="auto"/>
          <w:sz w:val="21"/>
          <w:szCs w:val="21"/>
          <w:highlight w:val="none"/>
          <w:shd w:val="clear" w:color="auto" w:fill="FFFFFF"/>
        </w:rPr>
      </w:pPr>
      <w:bookmarkStart w:id="60" w:name="_Toc452119133"/>
      <w:bookmarkStart w:id="61" w:name="_Toc25313456"/>
      <w:r>
        <w:rPr>
          <w:rFonts w:hint="eastAsia" w:ascii="仿宋" w:hAnsi="仿宋" w:eastAsia="仿宋" w:cs="仿宋"/>
          <w:b/>
          <w:color w:val="auto"/>
          <w:highlight w:val="none"/>
        </w:rPr>
        <w:t xml:space="preserve">第四条    </w:t>
      </w:r>
      <w:r>
        <w:rPr>
          <w:rFonts w:hint="eastAsia" w:ascii="仿宋" w:hAnsi="仿宋" w:eastAsia="仿宋" w:cs="仿宋"/>
          <w:b/>
          <w:bCs/>
          <w:color w:val="auto"/>
          <w:sz w:val="21"/>
          <w:szCs w:val="21"/>
          <w:highlight w:val="none"/>
          <w:shd w:val="clear" w:color="auto" w:fill="FFFFFF"/>
        </w:rPr>
        <w:t>履约保证金</w:t>
      </w:r>
    </w:p>
    <w:p>
      <w:pPr>
        <w:pStyle w:val="21"/>
        <w:spacing w:before="226" w:beforeAutospacing="0" w:after="0" w:afterAutospacing="0" w:line="600" w:lineRule="atLeast"/>
        <w:ind w:firstLine="600"/>
        <w:rPr>
          <w:rFonts w:ascii="仿宋" w:hAnsi="仿宋" w:eastAsia="仿宋" w:cs="仿宋"/>
          <w:b/>
          <w:bCs/>
          <w:color w:val="auto"/>
          <w:sz w:val="21"/>
          <w:szCs w:val="21"/>
          <w:highlight w:val="none"/>
          <w:shd w:val="clear" w:color="auto" w:fill="FFFFFF"/>
        </w:rPr>
      </w:pPr>
      <w:r>
        <w:rPr>
          <w:rFonts w:hint="eastAsia" w:ascii="仿宋" w:hAnsi="仿宋" w:eastAsia="仿宋" w:cs="仿宋"/>
          <w:b/>
          <w:bCs/>
          <w:color w:val="auto"/>
          <w:highlight w:val="none"/>
        </w:rPr>
        <w:t>4.1</w:t>
      </w:r>
      <w:r>
        <w:rPr>
          <w:rFonts w:hint="eastAsia" w:ascii="仿宋" w:hAnsi="仿宋" w:eastAsia="仿宋" w:cs="仿宋"/>
          <w:b/>
          <w:bCs/>
          <w:color w:val="auto"/>
          <w:sz w:val="21"/>
          <w:szCs w:val="21"/>
          <w:highlight w:val="none"/>
          <w:shd w:val="clear" w:color="auto" w:fill="FFFFFF"/>
        </w:rPr>
        <w:t>为确保乙方履行本合同项下义务，乙方于本合同签订时向甲方交纳</w:t>
      </w:r>
      <w:r>
        <w:rPr>
          <w:rFonts w:hint="eastAsia" w:ascii="仿宋" w:hAnsi="仿宋" w:eastAsia="仿宋" w:cs="仿宋"/>
          <w:b/>
          <w:bCs/>
          <w:color w:val="auto"/>
          <w:highlight w:val="none"/>
        </w:rPr>
        <w:t>合同</w:t>
      </w:r>
      <w:r>
        <w:rPr>
          <w:rFonts w:ascii="仿宋" w:hAnsi="仿宋" w:eastAsia="仿宋" w:cs="仿宋"/>
          <w:b/>
          <w:bCs/>
          <w:color w:val="auto"/>
          <w:highlight w:val="none"/>
        </w:rPr>
        <w:t>总</w:t>
      </w:r>
      <w:r>
        <w:rPr>
          <w:rFonts w:hint="eastAsia" w:ascii="仿宋" w:hAnsi="仿宋" w:eastAsia="仿宋" w:cs="仿宋"/>
          <w:b/>
          <w:bCs/>
          <w:color w:val="auto"/>
          <w:highlight w:val="none"/>
        </w:rPr>
        <w:t>价</w:t>
      </w:r>
      <w:r>
        <w:rPr>
          <w:rFonts w:hint="eastAsia" w:ascii="仿宋" w:hAnsi="仿宋" w:eastAsia="仿宋" w:cs="仿宋"/>
          <w:b/>
          <w:bCs/>
          <w:color w:val="auto"/>
          <w:sz w:val="21"/>
          <w:szCs w:val="21"/>
          <w:highlight w:val="none"/>
          <w:shd w:val="clear" w:color="auto" w:fill="FFFFFF"/>
        </w:rPr>
        <w:t>10%的履约保证金后本合同方生效，在乙方完成本合同内的全部货物的交付、并安装调试经甲方验收合格后，且在乙方无违约无赔偿的情况下，甲方一次性无息退还给乙方全部履约保证金。</w:t>
      </w:r>
    </w:p>
    <w:p>
      <w:pPr>
        <w:pStyle w:val="21"/>
        <w:spacing w:before="226" w:beforeAutospacing="0" w:after="0" w:afterAutospacing="0" w:line="600" w:lineRule="atLeast"/>
        <w:ind w:firstLine="600"/>
        <w:rPr>
          <w:rFonts w:ascii="仿宋" w:hAnsi="仿宋" w:eastAsia="仿宋" w:cs="仿宋"/>
          <w:b/>
          <w:bCs/>
          <w:color w:val="auto"/>
          <w:sz w:val="21"/>
          <w:szCs w:val="21"/>
          <w:highlight w:val="none"/>
          <w:shd w:val="clear" w:color="auto" w:fill="FFFFFF"/>
        </w:rPr>
      </w:pPr>
      <w:r>
        <w:rPr>
          <w:rFonts w:hint="eastAsia" w:ascii="仿宋" w:hAnsi="仿宋" w:eastAsia="仿宋" w:cs="仿宋"/>
          <w:b/>
          <w:bCs/>
          <w:color w:val="auto"/>
          <w:highlight w:val="none"/>
        </w:rPr>
        <w:t>4.2</w:t>
      </w:r>
      <w:r>
        <w:rPr>
          <w:rFonts w:hint="eastAsia" w:ascii="仿宋" w:hAnsi="仿宋" w:eastAsia="仿宋" w:cs="仿宋"/>
          <w:b/>
          <w:bCs/>
          <w:color w:val="auto"/>
          <w:sz w:val="21"/>
          <w:szCs w:val="21"/>
          <w:highlight w:val="none"/>
          <w:shd w:val="clear" w:color="auto" w:fill="FFFFFF"/>
        </w:rPr>
        <w:t>如乙方存在需向甲方支付违约金或赔偿金的情形时，甲方有权直接从乙方交纳的履约保证金中扣除；为确保乙方的履约保证金为</w:t>
      </w:r>
      <w:r>
        <w:rPr>
          <w:rFonts w:hint="eastAsia" w:ascii="仿宋" w:hAnsi="仿宋" w:eastAsia="仿宋" w:cs="仿宋"/>
          <w:b/>
          <w:bCs/>
          <w:color w:val="auto"/>
          <w:highlight w:val="none"/>
        </w:rPr>
        <w:t>合同</w:t>
      </w:r>
      <w:r>
        <w:rPr>
          <w:rFonts w:ascii="仿宋" w:hAnsi="仿宋" w:eastAsia="仿宋" w:cs="仿宋"/>
          <w:b/>
          <w:bCs/>
          <w:color w:val="auto"/>
          <w:highlight w:val="none"/>
        </w:rPr>
        <w:t>总</w:t>
      </w:r>
      <w:r>
        <w:rPr>
          <w:rFonts w:hint="eastAsia" w:ascii="仿宋" w:hAnsi="仿宋" w:eastAsia="仿宋" w:cs="仿宋"/>
          <w:b/>
          <w:bCs/>
          <w:color w:val="auto"/>
          <w:highlight w:val="none"/>
        </w:rPr>
        <w:t>价</w:t>
      </w:r>
      <w:r>
        <w:rPr>
          <w:rFonts w:hint="eastAsia" w:ascii="仿宋" w:hAnsi="仿宋" w:eastAsia="仿宋" w:cs="仿宋"/>
          <w:b/>
          <w:bCs/>
          <w:color w:val="auto"/>
          <w:sz w:val="21"/>
          <w:szCs w:val="21"/>
          <w:highlight w:val="none"/>
          <w:shd w:val="clear" w:color="auto" w:fill="FFFFFF"/>
        </w:rPr>
        <w:t>10%的的水平，甲方在扣除乙方的履约保证金并通知乙方后，乙方应在接到甲方通知后7日内补足，否则，乙方应按不足部分数额的30%向甲方支付违约金。</w:t>
      </w:r>
    </w:p>
    <w:p>
      <w:pPr>
        <w:spacing w:before="100" w:beforeAutospacing="1" w:after="100" w:afterAutospacing="1" w:line="400" w:lineRule="exact"/>
        <w:ind w:right="-508"/>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第五条  支付和结算方式</w:t>
      </w:r>
      <w:bookmarkEnd w:id="60"/>
      <w:bookmarkEnd w:id="61"/>
    </w:p>
    <w:p>
      <w:pPr>
        <w:tabs>
          <w:tab w:val="left" w:pos="540"/>
        </w:tabs>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5.1 双方因本合同发生的一切费用均以人民币结算及支付。</w:t>
      </w:r>
    </w:p>
    <w:p>
      <w:pPr>
        <w:tabs>
          <w:tab w:val="left" w:pos="540"/>
        </w:tabs>
        <w:spacing w:line="340" w:lineRule="exact"/>
        <w:rPr>
          <w:rFonts w:ascii="仿宋" w:hAnsi="仿宋" w:eastAsia="仿宋" w:cs="仿宋"/>
          <w:color w:val="auto"/>
          <w:sz w:val="24"/>
          <w:highlight w:val="none"/>
        </w:rPr>
      </w:pPr>
      <w:r>
        <w:rPr>
          <w:rFonts w:hint="eastAsia" w:ascii="仿宋" w:hAnsi="仿宋" w:eastAsia="仿宋" w:cs="仿宋"/>
          <w:color w:val="auto"/>
          <w:sz w:val="24"/>
          <w:highlight w:val="none"/>
        </w:rPr>
        <w:t>5.2 双方的账号户名称、开户银行及账号以本合同提供的资料为准。</w:t>
      </w:r>
    </w:p>
    <w:p>
      <w:pPr>
        <w:tabs>
          <w:tab w:val="left" w:pos="540"/>
        </w:tab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5.3 付款方式：</w:t>
      </w:r>
    </w:p>
    <w:p>
      <w:pPr>
        <w:tabs>
          <w:tab w:val="left" w:pos="84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w:t>
      </w:r>
      <w:r>
        <w:rPr>
          <w:rFonts w:hint="eastAsia" w:ascii="仿宋" w:hAnsi="仿宋" w:eastAsia="仿宋" w:cs="仿宋"/>
          <w:color w:val="auto"/>
          <w:sz w:val="24"/>
          <w:szCs w:val="24"/>
          <w:highlight w:val="none"/>
          <w:u w:val="single"/>
        </w:rPr>
        <w:t>7</w:t>
      </w:r>
      <w:r>
        <w:rPr>
          <w:rFonts w:hint="eastAsia" w:ascii="仿宋" w:hAnsi="仿宋" w:eastAsia="仿宋" w:cs="仿宋"/>
          <w:color w:val="auto"/>
          <w:sz w:val="24"/>
          <w:szCs w:val="24"/>
          <w:highlight w:val="none"/>
        </w:rPr>
        <w:t>日内，甲方需向乙方支付</w:t>
      </w:r>
      <w:r>
        <w:rPr>
          <w:rFonts w:hint="eastAsia" w:ascii="仿宋" w:hAnsi="仿宋" w:eastAsia="仿宋" w:cs="仿宋"/>
          <w:b/>
          <w:bCs/>
          <w:color w:val="auto"/>
          <w:sz w:val="24"/>
          <w:szCs w:val="24"/>
          <w:highlight w:val="none"/>
        </w:rPr>
        <w:t>合同</w:t>
      </w:r>
      <w:r>
        <w:rPr>
          <w:rFonts w:ascii="仿宋" w:hAnsi="仿宋" w:eastAsia="仿宋" w:cs="仿宋"/>
          <w:b/>
          <w:bCs/>
          <w:color w:val="auto"/>
          <w:sz w:val="24"/>
          <w:szCs w:val="24"/>
          <w:highlight w:val="none"/>
        </w:rPr>
        <w:t>总</w:t>
      </w:r>
      <w:r>
        <w:rPr>
          <w:rFonts w:hint="eastAsia" w:ascii="仿宋" w:hAnsi="仿宋" w:eastAsia="仿宋" w:cs="仿宋"/>
          <w:b/>
          <w:bCs/>
          <w:color w:val="auto"/>
          <w:sz w:val="24"/>
          <w:szCs w:val="24"/>
          <w:highlight w:val="none"/>
        </w:rPr>
        <w:t>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%，人民币大写[XXXXX]圆整，小写[XXXXX]元。</w:t>
      </w:r>
    </w:p>
    <w:p>
      <w:pPr>
        <w:widowControl/>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shd w:val="clear" w:color="auto" w:fill="FFFFFF"/>
        </w:rPr>
        <w:t>乙方完成本合同内的全部货物的交付、并安装调试经甲方最终验收合格后</w:t>
      </w:r>
      <w:r>
        <w:rPr>
          <w:rFonts w:hint="eastAsia" w:ascii="仿宋" w:hAnsi="仿宋" w:eastAsia="仿宋" w:cs="仿宋"/>
          <w:color w:val="auto"/>
          <w:sz w:val="24"/>
          <w:szCs w:val="24"/>
          <w:highlight w:val="none"/>
        </w:rPr>
        <w:t>，甲方向乙方支付</w:t>
      </w:r>
      <w:r>
        <w:rPr>
          <w:rFonts w:hint="eastAsia" w:ascii="仿宋" w:hAnsi="仿宋" w:eastAsia="仿宋" w:cs="仿宋"/>
          <w:b/>
          <w:bCs/>
          <w:color w:val="auto"/>
          <w:sz w:val="24"/>
          <w:szCs w:val="24"/>
          <w:highlight w:val="none"/>
        </w:rPr>
        <w:t>合同</w:t>
      </w:r>
      <w:r>
        <w:rPr>
          <w:rFonts w:ascii="仿宋" w:hAnsi="仿宋" w:eastAsia="仿宋" w:cs="仿宋"/>
          <w:b/>
          <w:bCs/>
          <w:color w:val="auto"/>
          <w:sz w:val="24"/>
          <w:szCs w:val="24"/>
          <w:highlight w:val="none"/>
        </w:rPr>
        <w:t>总</w:t>
      </w:r>
      <w:r>
        <w:rPr>
          <w:rFonts w:hint="eastAsia" w:ascii="仿宋" w:hAnsi="仿宋" w:eastAsia="仿宋" w:cs="仿宋"/>
          <w:b/>
          <w:bCs/>
          <w:color w:val="auto"/>
          <w:sz w:val="24"/>
          <w:szCs w:val="24"/>
          <w:highlight w:val="none"/>
        </w:rPr>
        <w:t>价</w:t>
      </w:r>
      <w:r>
        <w:rPr>
          <w:rFonts w:hint="eastAsia" w:ascii="仿宋" w:hAnsi="仿宋" w:eastAsia="仿宋" w:cs="仿宋"/>
          <w:color w:val="auto"/>
          <w:sz w:val="24"/>
          <w:szCs w:val="24"/>
          <w:highlight w:val="none"/>
          <w:u w:val="single"/>
        </w:rPr>
        <w:t>65</w:t>
      </w:r>
      <w:r>
        <w:rPr>
          <w:rFonts w:hint="eastAsia" w:ascii="仿宋" w:hAnsi="仿宋" w:eastAsia="仿宋" w:cs="仿宋"/>
          <w:color w:val="auto"/>
          <w:sz w:val="24"/>
          <w:szCs w:val="24"/>
          <w:highlight w:val="none"/>
        </w:rPr>
        <w:t>%，人民币大写[XXXXX]圆整，小写[XXXXX]元。</w:t>
      </w:r>
    </w:p>
    <w:p>
      <w:pPr>
        <w:pStyle w:val="24"/>
        <w:ind w:firstLine="0" w:firstLineChars="0"/>
        <w:rPr>
          <w:rFonts w:eastAsia="仿宋"/>
          <w:color w:val="auto"/>
          <w:sz w:val="24"/>
          <w:szCs w:val="24"/>
          <w:highlight w:val="none"/>
        </w:rPr>
      </w:pPr>
      <w:r>
        <w:rPr>
          <w:rFonts w:hint="eastAsia" w:ascii="仿宋" w:hAnsi="仿宋" w:eastAsia="仿宋" w:cs="仿宋"/>
          <w:b/>
          <w:bCs/>
          <w:color w:val="auto"/>
          <w:sz w:val="24"/>
          <w:szCs w:val="24"/>
          <w:highlight w:val="none"/>
        </w:rPr>
        <w:t>（3）在合同内的设备</w:t>
      </w:r>
      <w:r>
        <w:rPr>
          <w:rFonts w:hint="eastAsia" w:ascii="仿宋" w:hAnsi="仿宋" w:eastAsia="仿宋" w:cs="仿宋"/>
          <w:b/>
          <w:bCs/>
          <w:color w:val="auto"/>
          <w:sz w:val="24"/>
          <w:highlight w:val="none"/>
        </w:rPr>
        <w:t>质量</w:t>
      </w:r>
      <w:r>
        <w:rPr>
          <w:rFonts w:hint="eastAsia" w:ascii="仿宋" w:hAnsi="仿宋" w:eastAsia="仿宋" w:cs="仿宋"/>
          <w:b/>
          <w:bCs/>
          <w:color w:val="auto"/>
          <w:sz w:val="24"/>
          <w:szCs w:val="24"/>
          <w:highlight w:val="none"/>
        </w:rPr>
        <w:t>免费保修期届满后15日内，甲方向乙方支付合同</w:t>
      </w:r>
      <w:r>
        <w:rPr>
          <w:rFonts w:ascii="仿宋" w:hAnsi="仿宋" w:eastAsia="仿宋" w:cs="仿宋"/>
          <w:b/>
          <w:bCs/>
          <w:color w:val="auto"/>
          <w:sz w:val="24"/>
          <w:szCs w:val="24"/>
          <w:highlight w:val="none"/>
        </w:rPr>
        <w:t>总</w:t>
      </w:r>
      <w:r>
        <w:rPr>
          <w:rFonts w:hint="eastAsia" w:ascii="仿宋" w:hAnsi="仿宋" w:eastAsia="仿宋" w:cs="仿宋"/>
          <w:b/>
          <w:bCs/>
          <w:color w:val="auto"/>
          <w:sz w:val="24"/>
          <w:szCs w:val="24"/>
          <w:highlight w:val="none"/>
        </w:rPr>
        <w:t>价</w:t>
      </w:r>
      <w:r>
        <w:rPr>
          <w:rFonts w:hint="eastAsia" w:ascii="仿宋" w:hAnsi="仿宋" w:eastAsia="仿宋" w:cs="仿宋"/>
          <w:b/>
          <w:bCs/>
          <w:color w:val="auto"/>
          <w:sz w:val="24"/>
          <w:szCs w:val="24"/>
          <w:highlight w:val="none"/>
          <w:u w:val="single"/>
        </w:rPr>
        <w:t>5</w:t>
      </w:r>
      <w:r>
        <w:rPr>
          <w:rFonts w:hint="eastAsia" w:ascii="仿宋" w:hAnsi="仿宋" w:eastAsia="仿宋" w:cs="仿宋"/>
          <w:b/>
          <w:bCs/>
          <w:color w:val="auto"/>
          <w:sz w:val="24"/>
          <w:szCs w:val="24"/>
          <w:highlight w:val="none"/>
        </w:rPr>
        <w:t>%，人民币大写[XXXXX]圆整，小写[XXXXX]元。合同内的设备</w:t>
      </w:r>
      <w:r>
        <w:rPr>
          <w:rFonts w:hint="eastAsia" w:ascii="仿宋" w:hAnsi="仿宋" w:eastAsia="仿宋" w:cs="仿宋"/>
          <w:b/>
          <w:bCs/>
          <w:color w:val="auto"/>
          <w:sz w:val="24"/>
          <w:highlight w:val="none"/>
        </w:rPr>
        <w:t>质量</w:t>
      </w:r>
      <w:r>
        <w:rPr>
          <w:rFonts w:hint="eastAsia" w:ascii="仿宋" w:hAnsi="仿宋" w:eastAsia="仿宋" w:cs="仿宋"/>
          <w:b/>
          <w:bCs/>
          <w:color w:val="auto"/>
          <w:sz w:val="24"/>
          <w:szCs w:val="24"/>
          <w:highlight w:val="none"/>
        </w:rPr>
        <w:t>免费保修期为叁年，自</w:t>
      </w:r>
      <w:r>
        <w:rPr>
          <w:rFonts w:hint="eastAsia" w:ascii="仿宋" w:hAnsi="仿宋" w:eastAsia="仿宋" w:cs="仿宋"/>
          <w:b/>
          <w:bCs/>
          <w:color w:val="auto"/>
          <w:sz w:val="24"/>
          <w:szCs w:val="24"/>
          <w:highlight w:val="none"/>
          <w:shd w:val="clear" w:color="auto" w:fill="FFFFFF"/>
        </w:rPr>
        <w:t>甲方最终验收合格之日起算，</w:t>
      </w:r>
      <w:r>
        <w:rPr>
          <w:rFonts w:hint="eastAsia" w:ascii="仿宋" w:hAnsi="仿宋" w:eastAsia="仿宋" w:cs="仿宋"/>
          <w:b/>
          <w:bCs/>
          <w:color w:val="auto"/>
          <w:sz w:val="24"/>
          <w:highlight w:val="none"/>
        </w:rPr>
        <w:t>具体以甲方签署了《最终验收合格单据》之日开始起算</w:t>
      </w:r>
      <w:r>
        <w:rPr>
          <w:rFonts w:hint="eastAsia" w:ascii="仿宋" w:hAnsi="仿宋" w:eastAsia="仿宋" w:cs="仿宋"/>
          <w:b/>
          <w:bCs/>
          <w:color w:val="auto"/>
          <w:sz w:val="24"/>
          <w:highlight w:val="none"/>
          <w:u w:val="single"/>
        </w:rPr>
        <w:t>叁年</w:t>
      </w:r>
      <w:r>
        <w:rPr>
          <w:rFonts w:hint="eastAsia" w:ascii="仿宋" w:hAnsi="仿宋" w:eastAsia="仿宋" w:cs="仿宋"/>
          <w:b/>
          <w:bCs/>
          <w:color w:val="auto"/>
          <w:sz w:val="24"/>
          <w:szCs w:val="24"/>
          <w:highlight w:val="none"/>
          <w:shd w:val="clear" w:color="auto" w:fill="FFFFFF"/>
        </w:rPr>
        <w:t>。</w:t>
      </w:r>
    </w:p>
    <w:p>
      <w:pPr>
        <w:pStyle w:val="2"/>
        <w:rPr>
          <w:rFonts w:eastAsia="仿宋"/>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乙方在甲方每次付款前，乙方应按甲方要求出具正式的发票，否则甲方有权拒绝付款。</w:t>
      </w:r>
    </w:p>
    <w:p>
      <w:pPr>
        <w:autoSpaceDE w:val="0"/>
        <w:autoSpaceDN w:val="0"/>
        <w:spacing w:before="100" w:beforeAutospacing="1" w:after="100" w:afterAutospacing="1"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5.4 如乙方根据本合同规定有责任向甲方支付违约金或其它赔偿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有权依照本合同关于解决争议的约定方式解决。但存在或解决相关争议的期间，乙方不得停滞或减缓其合同的履行，否则对因停滞或减缓合同的履行所引起的任何及所有责任均应当全部给与赔偿。</w:t>
      </w:r>
    </w:p>
    <w:p>
      <w:pPr>
        <w:spacing w:before="100" w:beforeAutospacing="1" w:after="100" w:afterAutospacing="1" w:line="400" w:lineRule="exact"/>
        <w:ind w:right="-508"/>
        <w:jc w:val="center"/>
        <w:rPr>
          <w:rFonts w:ascii="仿宋" w:hAnsi="仿宋" w:eastAsia="仿宋" w:cs="仿宋"/>
          <w:b/>
          <w:color w:val="auto"/>
          <w:sz w:val="24"/>
          <w:highlight w:val="none"/>
        </w:rPr>
      </w:pPr>
      <w:bookmarkStart w:id="62" w:name="_Toc25313457"/>
      <w:bookmarkStart w:id="63" w:name="_Toc452119134"/>
      <w:r>
        <w:rPr>
          <w:rFonts w:hint="eastAsia" w:ascii="仿宋" w:hAnsi="仿宋" w:eastAsia="仿宋" w:cs="仿宋"/>
          <w:b/>
          <w:color w:val="auto"/>
          <w:sz w:val="24"/>
          <w:highlight w:val="none"/>
        </w:rPr>
        <w:t>第六条 交货</w:t>
      </w:r>
      <w:bookmarkEnd w:id="62"/>
      <w:bookmarkEnd w:id="63"/>
      <w:r>
        <w:rPr>
          <w:rFonts w:hint="eastAsia" w:ascii="仿宋" w:hAnsi="仿宋" w:eastAsia="仿宋" w:cs="仿宋"/>
          <w:b/>
          <w:color w:val="auto"/>
          <w:sz w:val="24"/>
          <w:highlight w:val="none"/>
        </w:rPr>
        <w:t>及安装调试等</w:t>
      </w:r>
    </w:p>
    <w:p>
      <w:pPr>
        <w:adjustRightInd w:val="0"/>
        <w:spacing w:before="100" w:beforeAutospacing="1" w:after="100" w:afterAutospacing="1" w:line="400" w:lineRule="exact"/>
        <w:ind w:right="-508"/>
        <w:rPr>
          <w:rFonts w:ascii="仿宋" w:hAnsi="仿宋" w:eastAsia="仿宋" w:cs="仿宋"/>
          <w:color w:val="auto"/>
          <w:sz w:val="24"/>
          <w:highlight w:val="none"/>
        </w:rPr>
      </w:pPr>
      <w:r>
        <w:rPr>
          <w:rFonts w:hint="eastAsia" w:ascii="仿宋" w:hAnsi="仿宋" w:eastAsia="仿宋" w:cs="仿宋"/>
          <w:color w:val="auto"/>
          <w:sz w:val="24"/>
          <w:highlight w:val="none"/>
        </w:rPr>
        <w:t>6.1 乙方负责办理运输和保险，将货物运抵交货地点。有关运输、保险和装卸等一切相关的费用由乙方承担。</w:t>
      </w:r>
    </w:p>
    <w:p>
      <w:pPr>
        <w:adjustRightInd w:val="0"/>
        <w:spacing w:before="100" w:beforeAutospacing="1" w:after="100" w:afterAutospacing="1" w:line="400" w:lineRule="exact"/>
        <w:ind w:right="-508"/>
        <w:rPr>
          <w:rFonts w:ascii="仿宋" w:hAnsi="仿宋" w:eastAsia="仿宋" w:cs="仿宋"/>
          <w:color w:val="auto"/>
          <w:sz w:val="24"/>
          <w:highlight w:val="none"/>
        </w:rPr>
      </w:pPr>
      <w:r>
        <w:rPr>
          <w:rFonts w:hint="eastAsia" w:ascii="仿宋" w:hAnsi="仿宋" w:eastAsia="仿宋" w:cs="仿宋"/>
          <w:color w:val="auto"/>
          <w:sz w:val="24"/>
          <w:highlight w:val="none"/>
        </w:rPr>
        <w:t>6.2乙方应办理合同货物从出厂至交货竣工移交期间的保险，保险应按照发票金额的110％办理“一切险”。即便若实际办理的保险与该要求存在不一致的情形，相关的风险亦均应由乙方承担。</w:t>
      </w:r>
    </w:p>
    <w:p>
      <w:pPr>
        <w:adjustRightInd w:val="0"/>
        <w:spacing w:before="100" w:beforeAutospacing="1" w:after="100" w:afterAutospacing="1" w:line="400" w:lineRule="exact"/>
        <w:ind w:right="-508"/>
        <w:rPr>
          <w:rFonts w:ascii="仿宋" w:hAnsi="仿宋" w:eastAsia="仿宋" w:cs="仿宋"/>
          <w:color w:val="auto"/>
          <w:sz w:val="24"/>
          <w:highlight w:val="none"/>
        </w:rPr>
      </w:pPr>
      <w:r>
        <w:rPr>
          <w:rFonts w:hint="eastAsia" w:ascii="仿宋" w:hAnsi="仿宋" w:eastAsia="仿宋" w:cs="仿宋"/>
          <w:color w:val="auto"/>
          <w:sz w:val="24"/>
          <w:highlight w:val="none"/>
        </w:rPr>
        <w:t>6.3货物应运至甲方指定地点，并卸至甲方指定位置，双方应派人员参加开箱清点及到货检验。</w:t>
      </w:r>
    </w:p>
    <w:p>
      <w:pPr>
        <w:adjustRightInd w:val="0"/>
        <w:spacing w:before="100" w:beforeAutospacing="1" w:after="100" w:afterAutospacing="1" w:line="400" w:lineRule="exact"/>
        <w:ind w:right="-508"/>
        <w:rPr>
          <w:rFonts w:ascii="仿宋" w:hAnsi="仿宋" w:eastAsia="仿宋" w:cs="仿宋"/>
          <w:color w:val="auto"/>
          <w:sz w:val="24"/>
          <w:highlight w:val="none"/>
        </w:rPr>
      </w:pPr>
      <w:r>
        <w:rPr>
          <w:rFonts w:hint="eastAsia" w:ascii="仿宋" w:hAnsi="仿宋" w:eastAsia="仿宋" w:cs="仿宋"/>
          <w:color w:val="auto"/>
          <w:sz w:val="24"/>
          <w:highlight w:val="none"/>
        </w:rPr>
        <w:t>6.4所有货物运抵现场并且经到货检验合格交付甲方，双方签署交付收货单后为交货完毕（</w:t>
      </w:r>
      <w:r>
        <w:rPr>
          <w:rFonts w:hint="eastAsia" w:ascii="仿宋" w:hAnsi="仿宋" w:eastAsia="仿宋" w:cs="仿宋"/>
          <w:b/>
          <w:bCs/>
          <w:color w:val="auto"/>
          <w:sz w:val="24"/>
          <w:highlight w:val="none"/>
        </w:rPr>
        <w:t>为初步检验</w:t>
      </w:r>
      <w:r>
        <w:rPr>
          <w:rFonts w:hint="eastAsia" w:ascii="仿宋" w:hAnsi="仿宋" w:eastAsia="仿宋" w:cs="仿宋"/>
          <w:color w:val="auto"/>
          <w:sz w:val="24"/>
          <w:highlight w:val="none"/>
        </w:rPr>
        <w:t>），该日期为交货日期。该交付收货单或其它名称的该等收货单一式两份，甲方和乙方各执一份。交货完毕货物所有权发生转移，此前货物毁坏的风险由乙方承担（</w:t>
      </w:r>
      <w:r>
        <w:rPr>
          <w:rFonts w:hint="eastAsia" w:ascii="仿宋" w:hAnsi="仿宋" w:eastAsia="仿宋" w:cs="仿宋"/>
          <w:b/>
          <w:bCs/>
          <w:color w:val="auto"/>
          <w:sz w:val="24"/>
          <w:highlight w:val="none"/>
        </w:rPr>
        <w:t>但是如果是签订标段2的合同时，则为乙方完成全部安装调试并经甲方最终验收合格后，所有权才转移给甲方</w:t>
      </w:r>
      <w:r>
        <w:rPr>
          <w:rFonts w:hint="eastAsia" w:ascii="仿宋" w:hAnsi="仿宋" w:eastAsia="仿宋" w:cs="仿宋"/>
          <w:color w:val="auto"/>
          <w:sz w:val="24"/>
          <w:highlight w:val="none"/>
        </w:rPr>
        <w:t>）。</w:t>
      </w:r>
    </w:p>
    <w:p>
      <w:pPr>
        <w:adjustRightInd w:val="0"/>
        <w:spacing w:before="100" w:beforeAutospacing="1" w:after="100" w:afterAutospacing="1" w:line="400" w:lineRule="exact"/>
        <w:ind w:right="-508"/>
        <w:rPr>
          <w:rFonts w:ascii="仿宋" w:hAnsi="仿宋" w:eastAsia="仿宋" w:cs="仿宋"/>
          <w:color w:val="auto"/>
          <w:sz w:val="24"/>
          <w:highlight w:val="none"/>
        </w:rPr>
      </w:pPr>
      <w:r>
        <w:rPr>
          <w:rFonts w:hint="eastAsia" w:ascii="仿宋" w:hAnsi="仿宋" w:eastAsia="仿宋" w:cs="仿宋"/>
          <w:color w:val="auto"/>
          <w:sz w:val="24"/>
          <w:highlight w:val="none"/>
        </w:rPr>
        <w:t>6.5乙方应在货物运到甲方地点日七日前，向甲方提供货物卸车、清点计划（内容包括：合同号、设备名称、数量、价格、箱数、型号规格、重量和体积、拟发运的时间及其他必要的说明），并于发运的同时通知甲方。</w:t>
      </w:r>
    </w:p>
    <w:p>
      <w:pPr>
        <w:adjustRightInd w:val="0"/>
        <w:spacing w:before="100" w:beforeAutospacing="1" w:after="100" w:afterAutospacing="1" w:line="400" w:lineRule="exact"/>
        <w:ind w:right="-508"/>
        <w:jc w:val="left"/>
        <w:rPr>
          <w:rFonts w:ascii="仿宋" w:hAnsi="仿宋" w:eastAsia="仿宋" w:cs="仿宋"/>
          <w:color w:val="auto"/>
          <w:sz w:val="24"/>
          <w:highlight w:val="none"/>
        </w:rPr>
      </w:pPr>
      <w:r>
        <w:rPr>
          <w:rFonts w:hint="eastAsia" w:ascii="仿宋" w:hAnsi="仿宋" w:eastAsia="仿宋" w:cs="仿宋"/>
          <w:color w:val="auto"/>
          <w:sz w:val="24"/>
          <w:highlight w:val="none"/>
        </w:rPr>
        <w:t>6.6在现场交货方式下，乙方装运的货物不应超过合同规定的数量或重量。 否则乙方应对超运部分的数量或重量而引起的一切后果负责。</w:t>
      </w:r>
    </w:p>
    <w:p>
      <w:pPr>
        <w:adjustRightInd w:val="0"/>
        <w:spacing w:before="100" w:beforeAutospacing="1" w:after="100" w:afterAutospacing="1" w:line="400" w:lineRule="exact"/>
        <w:ind w:right="-508"/>
        <w:jc w:val="left"/>
        <w:rPr>
          <w:rFonts w:ascii="仿宋" w:hAnsi="仿宋" w:eastAsia="仿宋" w:cs="仿宋"/>
          <w:color w:val="auto"/>
          <w:sz w:val="24"/>
          <w:highlight w:val="none"/>
        </w:rPr>
      </w:pPr>
      <w:r>
        <w:rPr>
          <w:rFonts w:hint="eastAsia" w:ascii="仿宋" w:hAnsi="仿宋" w:eastAsia="仿宋" w:cs="仿宋"/>
          <w:color w:val="auto"/>
          <w:sz w:val="24"/>
          <w:highlight w:val="none"/>
        </w:rPr>
        <w:t>6.6交货</w:t>
      </w:r>
      <w:r>
        <w:rPr>
          <w:rFonts w:hint="eastAsia" w:ascii="仿宋" w:hAnsi="仿宋" w:eastAsia="仿宋" w:cs="仿宋"/>
          <w:b/>
          <w:bCs/>
          <w:color w:val="auto"/>
          <w:sz w:val="24"/>
          <w:highlight w:val="none"/>
        </w:rPr>
        <w:t>及安装调试</w:t>
      </w:r>
      <w:r>
        <w:rPr>
          <w:rFonts w:hint="eastAsia" w:ascii="仿宋" w:hAnsi="仿宋" w:eastAsia="仿宋" w:cs="仿宋"/>
          <w:color w:val="auto"/>
          <w:sz w:val="24"/>
          <w:highlight w:val="none"/>
        </w:rPr>
        <w:t>地点：甲方指定地点。</w:t>
      </w:r>
    </w:p>
    <w:p>
      <w:pPr>
        <w:adjustRightInd w:val="0"/>
        <w:spacing w:before="100" w:beforeAutospacing="1" w:after="100" w:afterAutospacing="1" w:line="400" w:lineRule="exact"/>
        <w:ind w:right="-508"/>
        <w:jc w:val="left"/>
        <w:rPr>
          <w:rFonts w:ascii="仿宋" w:hAnsi="仿宋" w:eastAsia="仿宋" w:cs="仿宋"/>
          <w:color w:val="auto"/>
          <w:sz w:val="24"/>
          <w:highlight w:val="none"/>
        </w:rPr>
      </w:pPr>
      <w:r>
        <w:rPr>
          <w:rFonts w:hint="eastAsia" w:ascii="仿宋" w:hAnsi="仿宋" w:eastAsia="仿宋" w:cs="仿宋"/>
          <w:color w:val="auto"/>
          <w:sz w:val="24"/>
          <w:highlight w:val="none"/>
        </w:rPr>
        <w:t>6.7交货</w:t>
      </w:r>
      <w:r>
        <w:rPr>
          <w:rFonts w:hint="eastAsia" w:ascii="仿宋" w:hAnsi="仿宋" w:eastAsia="仿宋" w:cs="仿宋"/>
          <w:b/>
          <w:bCs/>
          <w:color w:val="auto"/>
          <w:sz w:val="24"/>
          <w:highlight w:val="none"/>
        </w:rPr>
        <w:t>及安装调试和最终验收</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乙方应于</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rPr>
        <w:t>日内，向甲方</w:t>
      </w:r>
      <w:r>
        <w:rPr>
          <w:rFonts w:hint="eastAsia" w:ascii="仿宋" w:hAnsi="仿宋" w:eastAsia="仿宋" w:cs="仿宋"/>
          <w:color w:val="auto"/>
          <w:sz w:val="24"/>
          <w:highlight w:val="none"/>
        </w:rPr>
        <w:t>提交全部订购设备</w:t>
      </w:r>
      <w:r>
        <w:rPr>
          <w:rFonts w:hint="eastAsia" w:ascii="仿宋" w:hAnsi="仿宋" w:eastAsia="仿宋" w:cs="仿宋"/>
          <w:b/>
          <w:bCs/>
          <w:color w:val="auto"/>
          <w:sz w:val="24"/>
          <w:highlight w:val="none"/>
        </w:rPr>
        <w:t>并完成安装调试，以及通过甲方最终验收合格；甲方的最终验收合格以甲方签署《最终验收合格单据》为准</w:t>
      </w:r>
      <w:r>
        <w:rPr>
          <w:rFonts w:hint="eastAsia" w:ascii="仿宋" w:hAnsi="仿宋" w:eastAsia="仿宋" w:cs="仿宋"/>
          <w:color w:val="auto"/>
          <w:sz w:val="24"/>
          <w:highlight w:val="none"/>
        </w:rPr>
        <w:t>。</w:t>
      </w:r>
    </w:p>
    <w:p>
      <w:pPr>
        <w:tabs>
          <w:tab w:val="center" w:pos="4410"/>
          <w:tab w:val="left" w:pos="5989"/>
        </w:tabs>
        <w:spacing w:before="100" w:beforeAutospacing="1" w:after="100" w:afterAutospacing="1" w:line="400" w:lineRule="exact"/>
        <w:ind w:right="-508"/>
        <w:jc w:val="center"/>
        <w:rPr>
          <w:rFonts w:ascii="仿宋" w:hAnsi="仿宋" w:eastAsia="仿宋" w:cs="仿宋"/>
          <w:b/>
          <w:color w:val="auto"/>
          <w:sz w:val="24"/>
          <w:highlight w:val="none"/>
        </w:rPr>
      </w:pPr>
      <w:bookmarkStart w:id="64" w:name="_Toc452119135"/>
      <w:bookmarkStart w:id="65" w:name="_Toc25313458"/>
      <w:r>
        <w:rPr>
          <w:rFonts w:hint="eastAsia" w:ascii="仿宋" w:hAnsi="仿宋" w:eastAsia="仿宋" w:cs="仿宋"/>
          <w:b/>
          <w:color w:val="auto"/>
          <w:sz w:val="24"/>
          <w:highlight w:val="none"/>
        </w:rPr>
        <w:t>第七条  包装和标记</w:t>
      </w:r>
      <w:bookmarkEnd w:id="64"/>
      <w:bookmarkEnd w:id="65"/>
    </w:p>
    <w:p>
      <w:pPr>
        <w:spacing w:before="100" w:beforeAutospacing="1" w:after="100" w:afterAutospacing="1" w:line="400" w:lineRule="exact"/>
        <w:ind w:right="-508"/>
        <w:rPr>
          <w:rFonts w:ascii="仿宋" w:hAnsi="仿宋" w:eastAsia="仿宋" w:cs="仿宋"/>
          <w:color w:val="auto"/>
          <w:sz w:val="24"/>
          <w:highlight w:val="none"/>
        </w:rPr>
      </w:pPr>
      <w:r>
        <w:rPr>
          <w:rFonts w:hint="eastAsia" w:ascii="仿宋" w:hAnsi="仿宋" w:eastAsia="仿宋" w:cs="仿宋"/>
          <w:color w:val="auto"/>
          <w:highlight w:val="none"/>
        </w:rPr>
        <w:t xml:space="preserve">7.1 </w:t>
      </w:r>
      <w:r>
        <w:rPr>
          <w:rFonts w:hint="eastAsia" w:ascii="仿宋" w:hAnsi="仿宋" w:eastAsia="仿宋" w:cs="仿宋"/>
          <w:color w:val="auto"/>
          <w:sz w:val="24"/>
          <w:highlight w:val="none"/>
        </w:rPr>
        <w:t>乙方交付的所有货物应具有适于运输的坚固包装，并且乙方应根据货物的不同特性和要求采取防潮、防雨、防锈、防震、防腐等保护措施，以确保货物安全无损地到达甲方指定交货地点。</w:t>
      </w:r>
    </w:p>
    <w:p>
      <w:pPr>
        <w:spacing w:before="100" w:beforeAutospacing="1" w:after="100" w:afterAutospacing="1" w:line="400" w:lineRule="exact"/>
        <w:ind w:right="-508"/>
        <w:rPr>
          <w:rFonts w:ascii="仿宋" w:hAnsi="仿宋" w:eastAsia="仿宋" w:cs="仿宋"/>
          <w:color w:val="auto"/>
          <w:sz w:val="24"/>
          <w:highlight w:val="none"/>
        </w:rPr>
      </w:pPr>
      <w:r>
        <w:rPr>
          <w:rFonts w:hint="eastAsia" w:ascii="仿宋" w:hAnsi="仿宋" w:eastAsia="仿宋" w:cs="仿宋"/>
          <w:color w:val="auto"/>
          <w:sz w:val="24"/>
          <w:highlight w:val="none"/>
        </w:rPr>
        <w:t>7.2 乙方应在每件包装箱相对的二个侧面上，用不褪色的油漆印刷以下标记：</w:t>
      </w:r>
    </w:p>
    <w:p>
      <w:pPr>
        <w:autoSpaceDE w:val="0"/>
        <w:autoSpaceDN w:val="0"/>
        <w:spacing w:before="120" w:beforeLines="50" w:line="400" w:lineRule="exact"/>
        <w:ind w:firstLine="629"/>
        <w:rPr>
          <w:rFonts w:ascii="仿宋" w:hAnsi="仿宋" w:eastAsia="仿宋" w:cs="仿宋"/>
          <w:color w:val="auto"/>
          <w:sz w:val="24"/>
          <w:highlight w:val="none"/>
        </w:rPr>
      </w:pPr>
      <w:r>
        <w:rPr>
          <w:rFonts w:hint="eastAsia" w:ascii="仿宋" w:hAnsi="仿宋" w:eastAsia="仿宋" w:cs="仿宋"/>
          <w:color w:val="auto"/>
          <w:sz w:val="24"/>
          <w:highlight w:val="none"/>
        </w:rPr>
        <w:t>收货单位</w:t>
      </w:r>
    </w:p>
    <w:p>
      <w:pPr>
        <w:autoSpaceDE w:val="0"/>
        <w:autoSpaceDN w:val="0"/>
        <w:spacing w:before="120" w:beforeLines="50" w:line="400" w:lineRule="exact"/>
        <w:ind w:firstLine="629"/>
        <w:rPr>
          <w:rFonts w:ascii="仿宋" w:hAnsi="仿宋" w:eastAsia="仿宋" w:cs="仿宋"/>
          <w:color w:val="auto"/>
          <w:sz w:val="24"/>
          <w:highlight w:val="none"/>
        </w:rPr>
      </w:pPr>
      <w:r>
        <w:rPr>
          <w:rFonts w:hint="eastAsia" w:ascii="仿宋" w:hAnsi="仿宋" w:eastAsia="仿宋" w:cs="仿宋"/>
          <w:color w:val="auto"/>
          <w:sz w:val="24"/>
          <w:highlight w:val="none"/>
        </w:rPr>
        <w:t>设备名称</w:t>
      </w:r>
    </w:p>
    <w:p>
      <w:pPr>
        <w:autoSpaceDE w:val="0"/>
        <w:autoSpaceDN w:val="0"/>
        <w:spacing w:before="120" w:beforeLines="50" w:line="400" w:lineRule="exact"/>
        <w:ind w:firstLine="629"/>
        <w:rPr>
          <w:rFonts w:ascii="仿宋" w:hAnsi="仿宋" w:eastAsia="仿宋" w:cs="仿宋"/>
          <w:color w:val="auto"/>
          <w:sz w:val="24"/>
          <w:highlight w:val="none"/>
        </w:rPr>
      </w:pPr>
      <w:r>
        <w:rPr>
          <w:rFonts w:hint="eastAsia" w:ascii="仿宋" w:hAnsi="仿宋" w:eastAsia="仿宋" w:cs="仿宋"/>
          <w:color w:val="auto"/>
          <w:sz w:val="24"/>
          <w:highlight w:val="none"/>
        </w:rPr>
        <w:t>箱号/件号</w:t>
      </w:r>
    </w:p>
    <w:p>
      <w:pPr>
        <w:autoSpaceDE w:val="0"/>
        <w:autoSpaceDN w:val="0"/>
        <w:spacing w:before="120" w:beforeLines="50" w:line="400" w:lineRule="exact"/>
        <w:ind w:firstLine="629"/>
        <w:rPr>
          <w:rFonts w:ascii="仿宋" w:hAnsi="仿宋" w:eastAsia="仿宋" w:cs="仿宋"/>
          <w:color w:val="auto"/>
          <w:sz w:val="24"/>
          <w:highlight w:val="none"/>
        </w:rPr>
      </w:pPr>
      <w:r>
        <w:rPr>
          <w:rFonts w:hint="eastAsia" w:ascii="仿宋" w:hAnsi="仿宋" w:eastAsia="仿宋" w:cs="仿宋"/>
          <w:color w:val="auto"/>
          <w:sz w:val="24"/>
          <w:highlight w:val="none"/>
        </w:rPr>
        <w:t>毛重（千克）</w:t>
      </w:r>
    </w:p>
    <w:p>
      <w:pPr>
        <w:autoSpaceDE w:val="0"/>
        <w:autoSpaceDN w:val="0"/>
        <w:spacing w:before="120" w:beforeLines="50" w:line="400" w:lineRule="exact"/>
        <w:ind w:firstLine="629"/>
        <w:rPr>
          <w:rFonts w:ascii="仿宋" w:hAnsi="仿宋" w:eastAsia="仿宋" w:cs="仿宋"/>
          <w:color w:val="auto"/>
          <w:sz w:val="24"/>
          <w:highlight w:val="none"/>
        </w:rPr>
      </w:pPr>
      <w:r>
        <w:rPr>
          <w:rFonts w:hint="eastAsia" w:ascii="仿宋" w:hAnsi="仿宋" w:eastAsia="仿宋" w:cs="仿宋"/>
          <w:color w:val="auto"/>
          <w:sz w:val="24"/>
          <w:highlight w:val="none"/>
        </w:rPr>
        <w:t>尺码（长×宽×高）</w:t>
      </w:r>
    </w:p>
    <w:p>
      <w:pPr>
        <w:autoSpaceDE w:val="0"/>
        <w:autoSpaceDN w:val="0"/>
        <w:spacing w:before="120" w:beforeLines="50" w:line="400" w:lineRule="exact"/>
        <w:ind w:firstLine="629"/>
        <w:rPr>
          <w:rFonts w:ascii="仿宋" w:hAnsi="仿宋" w:eastAsia="仿宋" w:cs="仿宋"/>
          <w:color w:val="auto"/>
          <w:sz w:val="24"/>
          <w:highlight w:val="none"/>
        </w:rPr>
      </w:pPr>
      <w:r>
        <w:rPr>
          <w:rFonts w:hint="eastAsia" w:ascii="仿宋" w:hAnsi="仿宋" w:eastAsia="仿宋" w:cs="仿宋"/>
          <w:color w:val="auto"/>
          <w:sz w:val="24"/>
          <w:highlight w:val="none"/>
        </w:rPr>
        <w:t>发货单位</w:t>
      </w:r>
    </w:p>
    <w:p>
      <w:pPr>
        <w:autoSpaceDE w:val="0"/>
        <w:autoSpaceDN w:val="0"/>
        <w:spacing w:before="120" w:beforeLines="50" w:line="400" w:lineRule="exact"/>
        <w:ind w:firstLine="629"/>
        <w:rPr>
          <w:rFonts w:ascii="仿宋" w:hAnsi="仿宋" w:eastAsia="仿宋" w:cs="仿宋"/>
          <w:color w:val="auto"/>
          <w:sz w:val="24"/>
          <w:highlight w:val="none"/>
        </w:rPr>
      </w:pPr>
      <w:r>
        <w:rPr>
          <w:rFonts w:hint="eastAsia" w:ascii="仿宋" w:hAnsi="仿宋" w:eastAsia="仿宋" w:cs="仿宋"/>
          <w:color w:val="auto"/>
          <w:sz w:val="24"/>
          <w:highlight w:val="none"/>
        </w:rPr>
        <w:t>发货单位详细地址</w:t>
      </w:r>
    </w:p>
    <w:p>
      <w:pPr>
        <w:spacing w:before="100" w:beforeAutospacing="1" w:after="100" w:afterAutospacing="1" w:line="400" w:lineRule="exact"/>
        <w:ind w:right="-508" w:firstLine="630"/>
        <w:rPr>
          <w:rFonts w:ascii="仿宋" w:hAnsi="仿宋" w:eastAsia="仿宋" w:cs="仿宋"/>
          <w:color w:val="auto"/>
          <w:sz w:val="24"/>
          <w:highlight w:val="none"/>
        </w:rPr>
      </w:pPr>
      <w:r>
        <w:rPr>
          <w:rFonts w:hint="eastAsia" w:ascii="仿宋" w:hAnsi="仿宋" w:eastAsia="仿宋" w:cs="仿宋"/>
          <w:color w:val="auto"/>
          <w:sz w:val="24"/>
          <w:highlight w:val="none"/>
        </w:rPr>
        <w:t>乙方应根据货物的不同特性和装卸运输上的不同要求，在包装箱相对的二个侧面上印刷“勿倒置”、“小心轻放”、“防潮”等字样和装卸搬运时应注意的通用图案。</w:t>
      </w:r>
    </w:p>
    <w:p>
      <w:pPr>
        <w:autoSpaceDE w:val="0"/>
        <w:autoSpaceDN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7.3 下列资料包装在设备的包装箱中：</w:t>
      </w:r>
    </w:p>
    <w:p>
      <w:pPr>
        <w:autoSpaceDE w:val="0"/>
        <w:autoSpaceDN w:val="0"/>
        <w:spacing w:before="120" w:beforeLines="50" w:line="400" w:lineRule="exact"/>
        <w:ind w:firstLine="720"/>
        <w:rPr>
          <w:rFonts w:ascii="仿宋" w:hAnsi="仿宋" w:eastAsia="仿宋" w:cs="仿宋"/>
          <w:color w:val="auto"/>
          <w:sz w:val="24"/>
          <w:highlight w:val="none"/>
        </w:rPr>
      </w:pPr>
      <w:r>
        <w:rPr>
          <w:rFonts w:hint="eastAsia" w:ascii="仿宋" w:hAnsi="仿宋" w:eastAsia="仿宋" w:cs="仿宋"/>
          <w:color w:val="auto"/>
          <w:sz w:val="24"/>
          <w:highlight w:val="none"/>
        </w:rPr>
        <w:t>(1)  装箱单2份</w:t>
      </w:r>
    </w:p>
    <w:p>
      <w:pPr>
        <w:autoSpaceDE w:val="0"/>
        <w:autoSpaceDN w:val="0"/>
        <w:spacing w:before="120" w:beforeLines="50" w:line="400" w:lineRule="exact"/>
        <w:ind w:firstLine="720"/>
        <w:rPr>
          <w:rFonts w:ascii="仿宋" w:hAnsi="仿宋" w:eastAsia="仿宋" w:cs="仿宋"/>
          <w:color w:val="auto"/>
          <w:sz w:val="24"/>
          <w:highlight w:val="none"/>
        </w:rPr>
      </w:pPr>
      <w:r>
        <w:rPr>
          <w:rFonts w:hint="eastAsia" w:ascii="仿宋" w:hAnsi="仿宋" w:eastAsia="仿宋" w:cs="仿宋"/>
          <w:color w:val="auto"/>
          <w:sz w:val="24"/>
          <w:highlight w:val="none"/>
        </w:rPr>
        <w:t>(2)  数量和质量证书2份</w:t>
      </w:r>
    </w:p>
    <w:p>
      <w:pPr>
        <w:autoSpaceDE w:val="0"/>
        <w:autoSpaceDN w:val="0"/>
        <w:spacing w:before="120" w:beforeLines="50" w:line="400" w:lineRule="exact"/>
        <w:ind w:firstLine="720"/>
        <w:rPr>
          <w:rFonts w:ascii="仿宋" w:hAnsi="仿宋" w:eastAsia="仿宋" w:cs="仿宋"/>
          <w:color w:val="auto"/>
          <w:sz w:val="24"/>
          <w:highlight w:val="none"/>
        </w:rPr>
      </w:pPr>
      <w:r>
        <w:rPr>
          <w:rFonts w:hint="eastAsia" w:ascii="仿宋" w:hAnsi="仿宋" w:eastAsia="仿宋" w:cs="仿宋"/>
          <w:color w:val="auto"/>
          <w:sz w:val="24"/>
          <w:highlight w:val="none"/>
        </w:rPr>
        <w:t>(3)  产品使用说明书及其它全套的技术资料</w:t>
      </w:r>
    </w:p>
    <w:p>
      <w:pPr>
        <w:spacing w:before="100" w:beforeAutospacing="1" w:after="100" w:afterAutospacing="1" w:line="400" w:lineRule="exact"/>
        <w:ind w:right="-508"/>
        <w:rPr>
          <w:rFonts w:ascii="仿宋" w:hAnsi="仿宋" w:eastAsia="仿宋" w:cs="仿宋"/>
          <w:color w:val="auto"/>
          <w:sz w:val="24"/>
          <w:highlight w:val="none"/>
        </w:rPr>
      </w:pPr>
      <w:r>
        <w:rPr>
          <w:rFonts w:hint="eastAsia" w:ascii="仿宋" w:hAnsi="仿宋" w:eastAsia="仿宋" w:cs="仿宋"/>
          <w:color w:val="auto"/>
          <w:sz w:val="24"/>
          <w:highlight w:val="none"/>
        </w:rPr>
        <w:t>7.4凡由于乙方对合同货物包装不善、标记不明、防护措施不当或在合同货物装箱前保管不良，或因乙方其它原因，致使合同货物遭到损坏或丢失，乙方应负责免费修理或更换，并承担由此给甲方造成的一切损失。</w:t>
      </w:r>
    </w:p>
    <w:p>
      <w:pPr>
        <w:spacing w:before="100" w:beforeAutospacing="1" w:after="100" w:afterAutospacing="1" w:line="400" w:lineRule="exact"/>
        <w:ind w:right="-508"/>
        <w:jc w:val="center"/>
        <w:rPr>
          <w:rFonts w:ascii="仿宋" w:hAnsi="仿宋" w:eastAsia="仿宋" w:cs="仿宋"/>
          <w:b/>
          <w:color w:val="auto"/>
          <w:sz w:val="24"/>
          <w:highlight w:val="none"/>
        </w:rPr>
      </w:pPr>
      <w:bookmarkStart w:id="66" w:name="_Toc452119136"/>
      <w:bookmarkStart w:id="67" w:name="_Toc25313459"/>
      <w:r>
        <w:rPr>
          <w:rFonts w:hint="eastAsia" w:ascii="仿宋" w:hAnsi="仿宋" w:eastAsia="仿宋" w:cs="仿宋"/>
          <w:b/>
          <w:color w:val="auto"/>
          <w:sz w:val="24"/>
          <w:highlight w:val="none"/>
        </w:rPr>
        <w:t>第八条   质量标准和检验方式</w:t>
      </w:r>
      <w:bookmarkEnd w:id="66"/>
      <w:bookmarkEnd w:id="67"/>
    </w:p>
    <w:p>
      <w:pPr>
        <w:tabs>
          <w:tab w:val="left" w:pos="988"/>
          <w:tab w:val="left" w:pos="9388"/>
        </w:tabs>
        <w:autoSpaceDE w:val="0"/>
        <w:autoSpaceDN w:val="0"/>
        <w:adjustRightInd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8.1  乙方应保证提供给甲方的合同货物是货物制造厂商原造的，全新、未使用过的，是用一流的工艺和优质材料制造而成的，并完全符合本项目招标文件规定的质量、性能和规格的要求。</w:t>
      </w:r>
    </w:p>
    <w:p>
      <w:pPr>
        <w:tabs>
          <w:tab w:val="left" w:pos="988"/>
          <w:tab w:val="left" w:pos="9388"/>
        </w:tabs>
        <w:autoSpaceDE w:val="0"/>
        <w:autoSpaceDN w:val="0"/>
        <w:adjustRightInd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8.2 乙方提供给甲方的合同货物应通过货物制造厂商的出厂检验，并提供质量合格证书。乙方承诺提供给甲方的合同货物的技术规范应与本项目</w:t>
      </w:r>
      <w:r>
        <w:rPr>
          <w:rFonts w:hint="eastAsia" w:ascii="仿宋" w:hAnsi="仿宋" w:eastAsia="仿宋" w:cs="仿宋"/>
          <w:color w:val="auto"/>
          <w:sz w:val="24"/>
          <w:highlight w:val="none"/>
          <w:u w:val="single"/>
        </w:rPr>
        <w:t>招标文件中《采购需求及技术要求》部分中的规定</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u w:val="single"/>
        </w:rPr>
        <w:t>投标文件</w:t>
      </w:r>
      <w:r>
        <w:rPr>
          <w:rFonts w:hint="eastAsia" w:ascii="仿宋" w:hAnsi="仿宋" w:eastAsia="仿宋" w:cs="仿宋"/>
          <w:color w:val="auto"/>
          <w:sz w:val="24"/>
          <w:highlight w:val="none"/>
        </w:rPr>
        <w:t>相一致，若无相应技术规范，合同货物质量应符合中华人民共和国部颁标准及相应的技术规范要求。</w:t>
      </w:r>
    </w:p>
    <w:p>
      <w:pPr>
        <w:tabs>
          <w:tab w:val="left" w:pos="988"/>
          <w:tab w:val="left" w:pos="9388"/>
        </w:tabs>
        <w:autoSpaceDE w:val="0"/>
        <w:autoSpaceDN w:val="0"/>
        <w:adjustRightInd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8.3乙方保证提供的货物符合中华人民共和国国家及行业的安全质量标准、环保标准中之较高者。上述标准为已发布的且在货物交付时有效的最新版本的标准。</w:t>
      </w:r>
    </w:p>
    <w:p>
      <w:pPr>
        <w:tabs>
          <w:tab w:val="left" w:pos="988"/>
          <w:tab w:val="left" w:pos="9388"/>
        </w:tabs>
        <w:autoSpaceDE w:val="0"/>
        <w:autoSpaceDN w:val="0"/>
        <w:adjustRightInd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8.4乙方应保证所提供的货物经正确安装、合理操作和维护保养在其使用寿命期内具有令甲方满意的性能，并对由于合同货物的设计、工艺或材料的缺陷而发生的任何故障负责。</w:t>
      </w:r>
    </w:p>
    <w:p>
      <w:pPr>
        <w:tabs>
          <w:tab w:val="left" w:pos="988"/>
          <w:tab w:val="left" w:pos="9388"/>
        </w:tabs>
        <w:autoSpaceDE w:val="0"/>
        <w:autoSpaceDN w:val="0"/>
        <w:adjustRightInd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8.5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pPr>
        <w:tabs>
          <w:tab w:val="left" w:pos="988"/>
          <w:tab w:val="left" w:pos="9388"/>
        </w:tabs>
        <w:autoSpaceDE w:val="0"/>
        <w:autoSpaceDN w:val="0"/>
        <w:adjustRightInd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8.6以本项目的招标文件技术指标为标准。乙方提供的设备须是1年内生产的全新仪器，仪器内部无损坏，外表无磨损。</w:t>
      </w:r>
    </w:p>
    <w:p>
      <w:pPr>
        <w:tabs>
          <w:tab w:val="left" w:pos="988"/>
          <w:tab w:val="left" w:pos="9388"/>
        </w:tabs>
        <w:autoSpaceDE w:val="0"/>
        <w:autoSpaceDN w:val="0"/>
        <w:adjustRightInd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8.7甲方对合同货物的数量、规格和质量的清点及初步检验，应依据本项目招标文件中的有关规定进行。采用现场清点及初步检验方式的，在卸货及安装地点进行。完成开箱清点及初步检验的时间不迟于卸货之日起三十日。</w:t>
      </w:r>
    </w:p>
    <w:p>
      <w:pPr>
        <w:tabs>
          <w:tab w:val="left" w:pos="988"/>
          <w:tab w:val="left" w:pos="9388"/>
        </w:tabs>
        <w:autoSpaceDE w:val="0"/>
        <w:autoSpaceDN w:val="0"/>
        <w:adjustRightInd w:val="0"/>
        <w:spacing w:before="100" w:beforeAutospacing="1" w:after="100" w:afterAutospacing="1" w:line="400" w:lineRule="exact"/>
        <w:ind w:left="210"/>
        <w:rPr>
          <w:rFonts w:ascii="仿宋" w:hAnsi="仿宋" w:eastAsia="仿宋" w:cs="仿宋"/>
          <w:color w:val="auto"/>
          <w:sz w:val="24"/>
          <w:highlight w:val="none"/>
        </w:rPr>
      </w:pPr>
      <w:r>
        <w:rPr>
          <w:rFonts w:hint="eastAsia" w:ascii="仿宋" w:hAnsi="仿宋" w:eastAsia="仿宋" w:cs="仿宋"/>
          <w:color w:val="auto"/>
          <w:sz w:val="24"/>
          <w:highlight w:val="none"/>
        </w:rPr>
        <w:t>8.8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pPr>
        <w:tabs>
          <w:tab w:val="left" w:pos="988"/>
          <w:tab w:val="left" w:pos="9388"/>
        </w:tabs>
        <w:autoSpaceDE w:val="0"/>
        <w:autoSpaceDN w:val="0"/>
        <w:adjustRightInd w:val="0"/>
        <w:spacing w:before="100" w:beforeAutospacing="1" w:after="100" w:afterAutospacing="1" w:line="400" w:lineRule="exact"/>
        <w:ind w:left="210"/>
        <w:rPr>
          <w:rFonts w:ascii="仿宋" w:hAnsi="仿宋" w:eastAsia="仿宋" w:cs="仿宋"/>
          <w:color w:val="auto"/>
          <w:sz w:val="24"/>
          <w:highlight w:val="none"/>
        </w:rPr>
      </w:pPr>
      <w:r>
        <w:rPr>
          <w:rFonts w:hint="eastAsia" w:ascii="仿宋" w:hAnsi="仿宋" w:eastAsia="仿宋" w:cs="仿宋"/>
          <w:color w:val="auto"/>
          <w:sz w:val="24"/>
          <w:highlight w:val="none"/>
        </w:rPr>
        <w:t>8.9若甲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或零部件是有缺陷的（包括潜在的缺陷或使用不符合要求的材料等），甲方有权要求乙方免费更换成没有缺陷的货物或零部件，并且，经过该项处理后甲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甲方可以在发现该情形后尽快并且至迟应当在上述各对应期限结束之日起7个工作日内以书面形式通知乙方，乙方应在收到甲方通知后7个工作日内免费完成更换，按本合同前述各条款项规定交付及验收。</w:t>
      </w:r>
    </w:p>
    <w:p>
      <w:pPr>
        <w:tabs>
          <w:tab w:val="left" w:pos="988"/>
          <w:tab w:val="left" w:pos="9388"/>
        </w:tabs>
        <w:autoSpaceDE w:val="0"/>
        <w:autoSpaceDN w:val="0"/>
        <w:adjustRightInd w:val="0"/>
        <w:spacing w:before="100" w:beforeAutospacing="1" w:after="100" w:afterAutospacing="1" w:line="400" w:lineRule="exact"/>
        <w:ind w:left="210"/>
        <w:rPr>
          <w:rFonts w:ascii="仿宋" w:hAnsi="仿宋" w:eastAsia="仿宋" w:cs="仿宋"/>
          <w:color w:val="auto"/>
          <w:sz w:val="24"/>
          <w:highlight w:val="none"/>
        </w:rPr>
      </w:pPr>
      <w:r>
        <w:rPr>
          <w:rFonts w:hint="eastAsia" w:ascii="仿宋" w:hAnsi="仿宋" w:eastAsia="仿宋" w:cs="仿宋"/>
          <w:color w:val="auto"/>
          <w:sz w:val="24"/>
          <w:highlight w:val="none"/>
        </w:rPr>
        <w:t>8.10乙方保证向甲方提供的技术资料均包括全部中文版本且均是清晰的、正确的、完整的。如发现缺失或其它有误的情形，乙方应在该情形出现之日起7日内将需补足的资料交付到甲方指定地点，按本合同前述各条款项规定交付及验收。</w:t>
      </w:r>
    </w:p>
    <w:p>
      <w:pPr>
        <w:tabs>
          <w:tab w:val="left" w:pos="988"/>
          <w:tab w:val="left" w:pos="9388"/>
        </w:tabs>
        <w:autoSpaceDE w:val="0"/>
        <w:autoSpaceDN w:val="0"/>
        <w:adjustRightInd w:val="0"/>
        <w:spacing w:before="100" w:beforeAutospacing="1" w:after="100" w:afterAutospacing="1" w:line="400" w:lineRule="exact"/>
        <w:ind w:left="210"/>
        <w:rPr>
          <w:rFonts w:ascii="仿宋" w:hAnsi="仿宋" w:eastAsia="仿宋" w:cs="仿宋"/>
          <w:color w:val="auto"/>
          <w:sz w:val="24"/>
          <w:highlight w:val="none"/>
        </w:rPr>
      </w:pPr>
      <w:r>
        <w:rPr>
          <w:rFonts w:hint="eastAsia" w:ascii="仿宋" w:hAnsi="仿宋" w:eastAsia="仿宋" w:cs="仿宋"/>
          <w:color w:val="auto"/>
          <w:sz w:val="24"/>
          <w:highlight w:val="none"/>
        </w:rPr>
        <w:t>8.10 乙方承认本合同项下的货物属于需经试车、运行的货物，应经过至少国家规定的月数的时间周期的整套使用或整套试车、运行期方可以完成最终验收，若无上述时间规定则最低不应少于180天(6个月)。对该类验收不合格或不完全合格的情形，或在本合同约定期限内发现货物缺陷及其它质量的问题或发现不符合设计要求、甲方在招标时的要求，乙方应当严格按照甲方的要求免费给予合理解决直至完全符合招、报价文件要求及本合同约定为止。</w:t>
      </w:r>
    </w:p>
    <w:p>
      <w:pPr>
        <w:tabs>
          <w:tab w:val="left" w:pos="988"/>
          <w:tab w:val="left" w:pos="9388"/>
        </w:tabs>
        <w:autoSpaceDE w:val="0"/>
        <w:autoSpaceDN w:val="0"/>
        <w:adjustRightInd w:val="0"/>
        <w:spacing w:before="100" w:beforeAutospacing="1" w:after="100" w:afterAutospacing="1" w:line="400" w:lineRule="exact"/>
        <w:ind w:left="210"/>
        <w:rPr>
          <w:rFonts w:ascii="仿宋" w:hAnsi="仿宋" w:eastAsia="仿宋" w:cs="仿宋"/>
          <w:color w:val="auto"/>
          <w:sz w:val="24"/>
          <w:highlight w:val="none"/>
        </w:rPr>
      </w:pPr>
      <w:r>
        <w:rPr>
          <w:rFonts w:hint="eastAsia" w:ascii="仿宋" w:hAnsi="仿宋" w:eastAsia="仿宋" w:cs="仿宋"/>
          <w:color w:val="auto"/>
          <w:sz w:val="24"/>
          <w:highlight w:val="none"/>
        </w:rPr>
        <w:t>8.11本合同各相关条款中凡与乙方责任或义务相关及由乙方原因所引起涉及各项货物、零件、部件、配件及资料的更、换、补、退等情形，所发生活相关的任何价款、成本、费用，包括但不限于运输、安装、服务、维修、调试、</w:t>
      </w:r>
      <w:r>
        <w:rPr>
          <w:rFonts w:hint="eastAsia" w:ascii="仿宋" w:hAnsi="仿宋" w:eastAsia="仿宋" w:cs="仿宋"/>
          <w:b/>
          <w:bCs/>
          <w:color w:val="auto"/>
          <w:sz w:val="24"/>
          <w:highlight w:val="none"/>
        </w:rPr>
        <w:t>验收</w:t>
      </w:r>
      <w:r>
        <w:rPr>
          <w:rFonts w:hint="eastAsia" w:ascii="仿宋" w:hAnsi="仿宋" w:eastAsia="仿宋" w:cs="仿宋"/>
          <w:color w:val="auto"/>
          <w:sz w:val="24"/>
          <w:highlight w:val="none"/>
        </w:rPr>
        <w:t>等，以及保险、税、费等，均应当由乙方承担。</w:t>
      </w:r>
    </w:p>
    <w:p>
      <w:pPr>
        <w:widowControl/>
        <w:spacing w:before="120" w:beforeLines="50"/>
        <w:ind w:left="381" w:leftChars="100" w:hanging="171" w:hangingChars="71"/>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8.12 甲方的最终验收，是指乙方向甲方提交全部订购设备并完成安装调试后，由乙方向甲</w:t>
      </w:r>
    </w:p>
    <w:p>
      <w:pPr>
        <w:widowControl/>
        <w:spacing w:before="120" w:beforeLines="50"/>
        <w:ind w:left="381" w:leftChars="100" w:hanging="171" w:hangingChars="71"/>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方申请验收后甲方组织的最终验收；如经甲方验收合格时，甲方签署《最终验收合格单据》。具体操作如下：</w:t>
      </w:r>
    </w:p>
    <w:p>
      <w:pPr>
        <w:widowControl/>
        <w:numPr>
          <w:ilvl w:val="0"/>
          <w:numId w:val="9"/>
        </w:numPr>
        <w:spacing w:before="120" w:beforeLines="50"/>
        <w:jc w:val="left"/>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乙方应在本合同签订后</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日内完成全部设备（货物）的交付和安装调试后，并向甲方申请进行验收，甲方验收合格时，甲方在</w:t>
      </w:r>
      <w:r>
        <w:rPr>
          <w:rFonts w:hint="eastAsia" w:ascii="仿宋" w:hAnsi="仿宋" w:eastAsia="仿宋" w:cs="仿宋"/>
          <w:b/>
          <w:bCs/>
          <w:color w:val="auto"/>
          <w:sz w:val="24"/>
          <w:highlight w:val="none"/>
        </w:rPr>
        <w:t>《最终验收合格单据》</w:t>
      </w:r>
      <w:r>
        <w:rPr>
          <w:rFonts w:hint="eastAsia" w:ascii="仿宋" w:hAnsi="仿宋" w:eastAsia="仿宋" w:cs="仿宋"/>
          <w:b/>
          <w:bCs/>
          <w:color w:val="auto"/>
          <w:kern w:val="0"/>
          <w:sz w:val="24"/>
          <w:szCs w:val="24"/>
          <w:highlight w:val="none"/>
        </w:rPr>
        <w:t>上签字确认；</w:t>
      </w:r>
    </w:p>
    <w:p>
      <w:pPr>
        <w:widowControl/>
        <w:spacing w:before="120" w:beforeLines="50"/>
        <w:ind w:left="120" w:firstLine="241" w:firstLineChars="1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kern w:val="0"/>
          <w:sz w:val="24"/>
          <w:szCs w:val="24"/>
          <w:highlight w:val="none"/>
        </w:rPr>
        <w:t>如经甲方</w:t>
      </w:r>
      <w:r>
        <w:rPr>
          <w:rFonts w:hint="eastAsia" w:ascii="仿宋" w:hAnsi="仿宋" w:eastAsia="仿宋" w:cs="仿宋"/>
          <w:b/>
          <w:bCs/>
          <w:color w:val="auto"/>
          <w:sz w:val="24"/>
          <w:highlight w:val="none"/>
        </w:rPr>
        <w:t>最终</w:t>
      </w:r>
      <w:r>
        <w:rPr>
          <w:rFonts w:hint="eastAsia" w:ascii="仿宋" w:hAnsi="仿宋" w:eastAsia="仿宋" w:cs="仿宋"/>
          <w:b/>
          <w:bCs/>
          <w:color w:val="auto"/>
          <w:kern w:val="0"/>
          <w:sz w:val="24"/>
          <w:szCs w:val="24"/>
          <w:highlight w:val="none"/>
        </w:rPr>
        <w:t>验收不合格时，乙方应该按甲方要求在</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日内整改完毕，并申请甲方再次进行</w:t>
      </w:r>
      <w:r>
        <w:rPr>
          <w:rFonts w:hint="eastAsia" w:ascii="仿宋" w:hAnsi="仿宋" w:eastAsia="仿宋" w:cs="仿宋"/>
          <w:b/>
          <w:bCs/>
          <w:color w:val="auto"/>
          <w:sz w:val="24"/>
          <w:highlight w:val="none"/>
        </w:rPr>
        <w:t>最终</w:t>
      </w:r>
      <w:r>
        <w:rPr>
          <w:rFonts w:hint="eastAsia" w:ascii="仿宋" w:hAnsi="仿宋" w:eastAsia="仿宋" w:cs="仿宋"/>
          <w:b/>
          <w:bCs/>
          <w:color w:val="auto"/>
          <w:kern w:val="0"/>
          <w:sz w:val="24"/>
          <w:szCs w:val="24"/>
          <w:highlight w:val="none"/>
        </w:rPr>
        <w:t>验收，如经甲方再次</w:t>
      </w:r>
      <w:r>
        <w:rPr>
          <w:rFonts w:hint="eastAsia" w:ascii="仿宋" w:hAnsi="仿宋" w:eastAsia="仿宋" w:cs="仿宋"/>
          <w:b/>
          <w:bCs/>
          <w:color w:val="auto"/>
          <w:sz w:val="24"/>
          <w:highlight w:val="none"/>
        </w:rPr>
        <w:t>最终</w:t>
      </w:r>
      <w:r>
        <w:rPr>
          <w:rFonts w:hint="eastAsia" w:ascii="仿宋" w:hAnsi="仿宋" w:eastAsia="仿宋" w:cs="仿宋"/>
          <w:b/>
          <w:bCs/>
          <w:color w:val="auto"/>
          <w:kern w:val="0"/>
          <w:sz w:val="24"/>
          <w:szCs w:val="24"/>
          <w:highlight w:val="none"/>
        </w:rPr>
        <w:t>验收不合格时，视为乙方根本违约，此时，甲方有权解除本合同，乙方除不得要求甲方支付剩余合同款项外，乙方还应向甲方返回甲方已支付的全部款项，同时乙方应向甲方支付合同总价30%的违约金，乙方如给甲方造成损失时，乙方还应赔偿因此给甲方造成的全部损失，并承担甲方主张权利所产生的全部费用，包括但不限于鉴定评估费、诉讼费、保全费、律师费等</w:t>
      </w:r>
      <w:r>
        <w:rPr>
          <w:rFonts w:hint="eastAsia" w:ascii="仿宋" w:hAnsi="仿宋" w:eastAsia="仿宋" w:cs="仿宋"/>
          <w:b/>
          <w:bCs/>
          <w:color w:val="auto"/>
          <w:sz w:val="24"/>
          <w:szCs w:val="24"/>
          <w:highlight w:val="none"/>
        </w:rPr>
        <w:t>。</w:t>
      </w:r>
    </w:p>
    <w:p>
      <w:pPr>
        <w:tabs>
          <w:tab w:val="left" w:pos="988"/>
          <w:tab w:val="left" w:pos="9388"/>
        </w:tabs>
        <w:autoSpaceDE w:val="0"/>
        <w:autoSpaceDN w:val="0"/>
        <w:adjustRightInd w:val="0"/>
        <w:spacing w:before="100" w:beforeAutospacing="1" w:after="100" w:afterAutospacing="1" w:line="400" w:lineRule="exact"/>
        <w:ind w:left="210"/>
        <w:rPr>
          <w:rFonts w:ascii="仿宋" w:hAnsi="仿宋" w:eastAsia="仿宋" w:cs="仿宋"/>
          <w:color w:val="auto"/>
          <w:sz w:val="24"/>
          <w:highlight w:val="none"/>
        </w:rPr>
      </w:pPr>
      <w:r>
        <w:rPr>
          <w:rFonts w:hint="eastAsia" w:ascii="仿宋" w:hAnsi="仿宋" w:eastAsia="仿宋" w:cs="仿宋"/>
          <w:color w:val="auto"/>
          <w:sz w:val="24"/>
          <w:highlight w:val="none"/>
        </w:rPr>
        <w:t>8.13 甲方应将货物验收单同发票一起入账，作为甲方执行了政府采购的凭证。</w:t>
      </w:r>
    </w:p>
    <w:p>
      <w:pPr>
        <w:spacing w:before="100" w:beforeAutospacing="1" w:after="100" w:afterAutospacing="1" w:line="400" w:lineRule="exact"/>
        <w:ind w:right="-508"/>
        <w:jc w:val="center"/>
        <w:rPr>
          <w:rFonts w:ascii="仿宋" w:hAnsi="仿宋" w:eastAsia="仿宋" w:cs="仿宋"/>
          <w:b/>
          <w:color w:val="auto"/>
          <w:sz w:val="24"/>
          <w:highlight w:val="none"/>
        </w:rPr>
      </w:pPr>
      <w:bookmarkStart w:id="68" w:name="_Toc25313460"/>
      <w:bookmarkStart w:id="69" w:name="_Toc452119137"/>
      <w:r>
        <w:rPr>
          <w:rFonts w:hint="eastAsia" w:ascii="仿宋" w:hAnsi="仿宋" w:eastAsia="仿宋" w:cs="仿宋"/>
          <w:b/>
          <w:color w:val="auto"/>
          <w:sz w:val="24"/>
          <w:highlight w:val="none"/>
        </w:rPr>
        <w:t>第九条   技术服务和保修责任</w:t>
      </w:r>
      <w:bookmarkEnd w:id="68"/>
      <w:bookmarkEnd w:id="69"/>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9.1乙方须提供完整的、清晰准确的设备技术文档资料及相关备件，包括软硬件操作手册、软硬件技术说明书等技术文档，每套仪器的自测报告。</w:t>
      </w: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9.2乙方须为设备安装调试；</w:t>
      </w:r>
      <w:r>
        <w:rPr>
          <w:rFonts w:hint="eastAsia" w:ascii="仿宋" w:hAnsi="仿宋" w:eastAsia="仿宋" w:cs="仿宋"/>
          <w:b/>
          <w:bCs/>
          <w:color w:val="auto"/>
          <w:sz w:val="24"/>
          <w:highlight w:val="none"/>
        </w:rPr>
        <w:t>乙方协助甲方解决在使用中</w:t>
      </w:r>
      <w:r>
        <w:rPr>
          <w:rFonts w:hint="eastAsia" w:ascii="仿宋" w:hAnsi="仿宋" w:eastAsia="仿宋" w:cs="仿宋"/>
          <w:color w:val="auto"/>
          <w:sz w:val="24"/>
          <w:highlight w:val="none"/>
        </w:rPr>
        <w:t>、集成过程中出现的技术问题。</w:t>
      </w: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9.3如因甲方在使用中自行变更货物的硬件或软件而引起的缺陷，或因甲方人员维护不当，及遭遇雷击等不可抗力而损坏的货物或零部件，乙方不负免费保修的责任，但乙方应按照或比照本合同相关条款规定提供更换或保修服务，但只收取维修所发生的成本费用。</w:t>
      </w: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9.4在合同货物免费保修期届满后，乙方保证继续为甲方提供设备的维修服务，甲方应按乙方提供的不高于任何第三方的优惠价格向乙方支付相关费用，乙方保证在合同货物使用期内以不高于本合同货物、相关配件及服务的价格，并且不高于任何第三方的优惠价格，向甲方提供备品、备件及维修服务。</w:t>
      </w: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9.5在合同货物免费保修期届满后，乙方承诺终身免费为甲方提供设备的技术指导和服务，乙方保证在接到甲方提出的技术服务要求后24小时内予以答复，如甲方有要求或必要时，乙方将派员到场予以指导，乙方人员到现场的差旅费用由甲方承担。本合同有特别约定的严格按照约定执行。</w:t>
      </w: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9.6乙方对合同货物的质量免费保修期为</w:t>
      </w:r>
      <w:r>
        <w:rPr>
          <w:rFonts w:hint="eastAsia" w:ascii="仿宋" w:hAnsi="仿宋" w:eastAsia="仿宋" w:cs="仿宋"/>
          <w:b/>
          <w:bCs/>
          <w:color w:val="auto"/>
          <w:sz w:val="24"/>
          <w:highlight w:val="none"/>
        </w:rPr>
        <w:t>通过甲方最终验收合格之日开始起算，具体以甲方签署了《最终验收合格单据》</w:t>
      </w:r>
      <w:r>
        <w:rPr>
          <w:rFonts w:hint="eastAsia" w:ascii="仿宋" w:hAnsi="仿宋" w:eastAsia="仿宋" w:cs="仿宋"/>
          <w:color w:val="auto"/>
          <w:sz w:val="24"/>
          <w:highlight w:val="none"/>
        </w:rPr>
        <w:t>之日</w:t>
      </w:r>
      <w:r>
        <w:rPr>
          <w:rFonts w:hint="eastAsia" w:ascii="仿宋" w:hAnsi="仿宋" w:eastAsia="仿宋" w:cs="仿宋"/>
          <w:b/>
          <w:bCs/>
          <w:color w:val="auto"/>
          <w:sz w:val="24"/>
          <w:highlight w:val="none"/>
        </w:rPr>
        <w:t>开始</w:t>
      </w:r>
      <w:r>
        <w:rPr>
          <w:rFonts w:hint="eastAsia" w:ascii="仿宋" w:hAnsi="仿宋" w:eastAsia="仿宋" w:cs="仿宋"/>
          <w:color w:val="auto"/>
          <w:sz w:val="24"/>
          <w:highlight w:val="none"/>
        </w:rPr>
        <w:t>起</w:t>
      </w:r>
      <w:r>
        <w:rPr>
          <w:rFonts w:hint="eastAsia" w:ascii="仿宋" w:hAnsi="仿宋" w:eastAsia="仿宋" w:cs="仿宋"/>
          <w:b/>
          <w:bCs/>
          <w:color w:val="auto"/>
          <w:sz w:val="24"/>
          <w:highlight w:val="none"/>
        </w:rPr>
        <w:t>算</w:t>
      </w:r>
      <w:r>
        <w:rPr>
          <w:rFonts w:hint="eastAsia" w:ascii="仿宋" w:hAnsi="仿宋" w:eastAsia="仿宋" w:cs="仿宋"/>
          <w:color w:val="auto"/>
          <w:sz w:val="24"/>
          <w:highlight w:val="none"/>
          <w:u w:val="single"/>
        </w:rPr>
        <w:t>叁年</w:t>
      </w:r>
      <w:r>
        <w:rPr>
          <w:rFonts w:hint="eastAsia" w:ascii="仿宋" w:hAnsi="仿宋" w:eastAsia="仿宋" w:cs="仿宋"/>
          <w:color w:val="auto"/>
          <w:sz w:val="24"/>
          <w:highlight w:val="none"/>
        </w:rPr>
        <w:t>；虽有该期限的约定，但：</w:t>
      </w:r>
      <w:r>
        <w:rPr>
          <w:rFonts w:hint="eastAsia" w:ascii="仿宋" w:hAnsi="仿宋" w:eastAsia="仿宋" w:cs="仿宋"/>
          <w:b/>
          <w:bCs/>
          <w:color w:val="auto"/>
          <w:sz w:val="24"/>
          <w:highlight w:val="none"/>
        </w:rPr>
        <w:t>此期限的约定</w:t>
      </w:r>
      <w:r>
        <w:rPr>
          <w:rFonts w:hint="eastAsia" w:ascii="仿宋" w:hAnsi="仿宋" w:eastAsia="仿宋" w:cs="仿宋"/>
          <w:color w:val="auto"/>
          <w:sz w:val="24"/>
          <w:highlight w:val="none"/>
        </w:rPr>
        <w:t>仅为兜底约定，</w:t>
      </w:r>
      <w:r>
        <w:rPr>
          <w:rFonts w:hint="eastAsia" w:ascii="仿宋" w:hAnsi="仿宋" w:eastAsia="仿宋" w:cs="仿宋"/>
          <w:b/>
          <w:bCs/>
          <w:color w:val="auto"/>
          <w:sz w:val="24"/>
          <w:highlight w:val="none"/>
        </w:rPr>
        <w:t>为最短期限的约定</w:t>
      </w:r>
      <w:r>
        <w:rPr>
          <w:rFonts w:hint="eastAsia" w:ascii="仿宋" w:hAnsi="仿宋" w:eastAsia="仿宋" w:cs="仿宋"/>
          <w:color w:val="auto"/>
          <w:sz w:val="24"/>
          <w:highlight w:val="none"/>
        </w:rPr>
        <w:t>；乙方承诺，本合同项下货物的质量免费保修期或与质量相关的其它期限</w:t>
      </w:r>
      <w:r>
        <w:rPr>
          <w:rFonts w:hint="eastAsia" w:ascii="仿宋" w:hAnsi="仿宋" w:eastAsia="仿宋" w:cs="仿宋"/>
          <w:b/>
          <w:bCs/>
          <w:color w:val="auto"/>
          <w:sz w:val="24"/>
          <w:highlight w:val="none"/>
        </w:rPr>
        <w:t>虽</w:t>
      </w:r>
      <w:r>
        <w:rPr>
          <w:rFonts w:hint="eastAsia" w:ascii="仿宋" w:hAnsi="仿宋" w:eastAsia="仿宋" w:cs="仿宋"/>
          <w:color w:val="auto"/>
          <w:sz w:val="24"/>
          <w:highlight w:val="none"/>
        </w:rPr>
        <w:t>以甲方签署了</w:t>
      </w:r>
      <w:r>
        <w:rPr>
          <w:rFonts w:hint="eastAsia" w:ascii="仿宋" w:hAnsi="仿宋" w:eastAsia="仿宋" w:cs="仿宋"/>
          <w:b/>
          <w:bCs/>
          <w:color w:val="auto"/>
          <w:sz w:val="24"/>
          <w:highlight w:val="none"/>
        </w:rPr>
        <w:t>《最终验收合格单据》</w:t>
      </w:r>
      <w:r>
        <w:rPr>
          <w:rFonts w:hint="eastAsia" w:ascii="仿宋" w:hAnsi="仿宋" w:eastAsia="仿宋" w:cs="仿宋"/>
          <w:color w:val="auto"/>
          <w:sz w:val="24"/>
          <w:highlight w:val="none"/>
        </w:rPr>
        <w:t>之日</w:t>
      </w:r>
      <w:r>
        <w:rPr>
          <w:rFonts w:hint="eastAsia" w:ascii="仿宋" w:hAnsi="仿宋" w:eastAsia="仿宋" w:cs="仿宋"/>
          <w:b/>
          <w:bCs/>
          <w:color w:val="auto"/>
          <w:sz w:val="24"/>
          <w:highlight w:val="none"/>
        </w:rPr>
        <w:t>开始</w:t>
      </w:r>
      <w:r>
        <w:rPr>
          <w:rFonts w:hint="eastAsia" w:ascii="仿宋" w:hAnsi="仿宋" w:eastAsia="仿宋" w:cs="仿宋"/>
          <w:color w:val="auto"/>
          <w:sz w:val="24"/>
          <w:highlight w:val="none"/>
        </w:rPr>
        <w:t>起算，</w:t>
      </w:r>
      <w:r>
        <w:rPr>
          <w:rFonts w:hint="eastAsia" w:ascii="仿宋" w:hAnsi="仿宋" w:eastAsia="仿宋" w:cs="仿宋"/>
          <w:b/>
          <w:bCs/>
          <w:color w:val="auto"/>
          <w:sz w:val="24"/>
          <w:highlight w:val="none"/>
        </w:rPr>
        <w:t>但是</w:t>
      </w:r>
      <w:r>
        <w:rPr>
          <w:rFonts w:hint="eastAsia" w:ascii="仿宋" w:hAnsi="仿宋" w:eastAsia="仿宋" w:cs="仿宋"/>
          <w:color w:val="auto"/>
          <w:sz w:val="24"/>
          <w:highlight w:val="none"/>
        </w:rPr>
        <w:t>本合同甲方、乙方特别约定对本合同项下货物的包退、免费包换、免费包修、负责保修等期限，应当在约定质量保证期限、约定使用寿命、甲方在招标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9.7乙方保证订货合同执行完毕后5年内可以继续提供所有部件和整套设备，10年内提供维修维护服务。</w:t>
      </w: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9.8乙方承诺在合同货物的质量免费保修期内免费为甲方提供合同货物的技术指导和维修服务，提供此项服务的时间是：每周(7)天×(24)小时（工作时间）。</w:t>
      </w:r>
    </w:p>
    <w:p>
      <w:pPr>
        <w:pStyle w:val="84"/>
        <w:tabs>
          <w:tab w:val="left" w:pos="0"/>
          <w:tab w:val="left" w:pos="567"/>
          <w:tab w:val="left" w:pos="709"/>
        </w:tabs>
        <w:adjustRightInd w:val="0"/>
        <w:spacing w:line="360" w:lineRule="auto"/>
        <w:ind w:firstLine="0" w:firstLineChars="0"/>
        <w:jc w:val="left"/>
        <w:rPr>
          <w:rFonts w:ascii="仿宋" w:hAnsi="仿宋" w:eastAsia="仿宋" w:cs="仿宋"/>
          <w:b/>
          <w:bCs/>
          <w:color w:val="auto"/>
          <w:kern w:val="0"/>
          <w:sz w:val="24"/>
          <w:highlight w:val="none"/>
          <w:u w:val="single"/>
        </w:rPr>
      </w:pPr>
      <w:r>
        <w:rPr>
          <w:rFonts w:hint="eastAsia" w:ascii="仿宋" w:hAnsi="仿宋" w:eastAsia="仿宋" w:cs="仿宋"/>
          <w:color w:val="auto"/>
          <w:sz w:val="24"/>
          <w:highlight w:val="none"/>
        </w:rPr>
        <w:t>9.9在</w:t>
      </w:r>
      <w:r>
        <w:rPr>
          <w:rFonts w:hint="eastAsia" w:ascii="仿宋" w:hAnsi="仿宋" w:eastAsia="仿宋" w:cs="仿宋"/>
          <w:b/>
          <w:bCs/>
          <w:color w:val="auto"/>
          <w:sz w:val="24"/>
          <w:highlight w:val="none"/>
        </w:rPr>
        <w:t>质量免费保修期内</w:t>
      </w:r>
      <w:r>
        <w:rPr>
          <w:rFonts w:hint="eastAsia" w:ascii="仿宋" w:hAnsi="仿宋" w:eastAsia="仿宋" w:cs="仿宋"/>
          <w:color w:val="auto"/>
          <w:sz w:val="24"/>
          <w:highlight w:val="none"/>
        </w:rPr>
        <w:t>，乙方保证在合同货物出现故障和缺陷时，或接到甲方提出的技术服务要求后（2）小时内予以响应，远程指导甲方排查故障；若无法排除故障，则配合甲方更换备机，故障设备寄送回乙方维修，乙方接到寄回的设备72小时内维修好，寄回给甲方当备机；如果无法通过更换备机恢复，甲方有权要求乙方派人员到现场排查故障进行修复，</w:t>
      </w:r>
      <w:r>
        <w:rPr>
          <w:rFonts w:hint="eastAsia" w:ascii="仿宋" w:hAnsi="仿宋" w:eastAsia="仿宋" w:cs="仿宋"/>
          <w:b/>
          <w:bCs/>
          <w:color w:val="auto"/>
          <w:sz w:val="24"/>
          <w:highlight w:val="none"/>
        </w:rPr>
        <w:t>乙方应按甲方要求派人员到现场排查故障进行修复；如乙方违反前述约定时，</w:t>
      </w:r>
      <w:r>
        <w:rPr>
          <w:rFonts w:hint="eastAsia" w:ascii="仿宋" w:hAnsi="仿宋" w:eastAsia="仿宋" w:cs="仿宋"/>
          <w:b/>
          <w:bCs/>
          <w:color w:val="auto"/>
          <w:kern w:val="0"/>
          <w:sz w:val="24"/>
          <w:highlight w:val="none"/>
        </w:rPr>
        <w:t>乙方应向甲方支付违约金</w:t>
      </w:r>
      <w:r>
        <w:rPr>
          <w:rFonts w:hint="eastAsia" w:ascii="仿宋" w:hAnsi="仿宋" w:eastAsia="仿宋" w:cs="仿宋"/>
          <w:b/>
          <w:bCs/>
          <w:color w:val="auto"/>
          <w:kern w:val="0"/>
          <w:sz w:val="24"/>
          <w:highlight w:val="none"/>
          <w:u w:val="single"/>
        </w:rPr>
        <w:t xml:space="preserve"> </w:t>
      </w: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u w:val="single"/>
        </w:rPr>
        <w:t xml:space="preserve">     </w:t>
      </w:r>
      <w:r>
        <w:rPr>
          <w:rFonts w:hint="eastAsia" w:ascii="仿宋" w:hAnsi="仿宋" w:eastAsia="仿宋" w:cs="仿宋"/>
          <w:b/>
          <w:bCs/>
          <w:color w:val="auto"/>
          <w:kern w:val="0"/>
          <w:sz w:val="24"/>
          <w:highlight w:val="none"/>
        </w:rPr>
        <w:t>元/次（可累计），如因乙方的违约行为给甲方造成损失时，乙方还应赔偿甲方的损失，并承担甲方主张权利所产生的全部费用，包括但不限于鉴定评估费、诉讼费、保全费、律师费等</w:t>
      </w:r>
      <w:r>
        <w:rPr>
          <w:rFonts w:hint="eastAsia" w:ascii="仿宋" w:hAnsi="仿宋" w:eastAsia="仿宋" w:cs="仿宋"/>
          <w:color w:val="auto"/>
          <w:sz w:val="24"/>
          <w:highlight w:val="none"/>
        </w:rPr>
        <w:t>。</w:t>
      </w: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9.10如因甲方在使用中自行变更货物的硬件或软件而引起的缺陷，或因甲方人员维护不当而损坏的货物或零部件，乙方不负免费保修的责任，但乙方应按照或比照本合同相关条款规定提供更换或保修服务，由此引起的并不包括丝毫利润的合理费用由甲方负担。</w:t>
      </w: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9.11如因乙方提供的货物硬件或软件有缺陷，或乙方提供的技术资料有错误，或乙方在现场的技术人员指导有错误而使货物不能达到合同规定的指标和技术性能，乙方应负责按本合同相关条款规定更换或修理，使货物运行指标和技术性能达到合同规定 , 由此引起的全部费用由乙方承担；若因软件或硬件缺陷导致或引起甲方损失及导致或引起第三方受到损害的，全部赔偿责任均应由乙方承担。</w:t>
      </w: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9.12在</w:t>
      </w:r>
      <w:r>
        <w:rPr>
          <w:rFonts w:hint="eastAsia" w:ascii="仿宋" w:hAnsi="仿宋" w:eastAsia="仿宋" w:cs="仿宋"/>
          <w:b/>
          <w:bCs/>
          <w:color w:val="auto"/>
          <w:sz w:val="24"/>
          <w:highlight w:val="none"/>
        </w:rPr>
        <w:t>质量免费保修期内</w:t>
      </w:r>
      <w:r>
        <w:rPr>
          <w:rFonts w:hint="eastAsia" w:ascii="仿宋" w:hAnsi="仿宋" w:eastAsia="仿宋" w:cs="仿宋"/>
          <w:color w:val="auto"/>
          <w:sz w:val="24"/>
          <w:highlight w:val="none"/>
        </w:rPr>
        <w:t>，如果由于乙方更换、修理和续补货物，而造成本合同货物不得不停止运行，货物免费保修期应依照停止运行的实际时间加以延长，若因此给甲方造成损失，乙方应负责赔偿。</w:t>
      </w: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9.13在合同货物免费保修期届满后，若因合同货物硬件或软件的固有缺陷或瑕疵出现紧急故障和事故，乙方应在接到甲方通知后立即提供电话支持、远程支持，必要时到达现场，迅速排除货物故障。</w:t>
      </w: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9.14在合同货物免费保修期届满后，若非因合同货物硬件或软件的固有缺陷或瑕疵出现其它紧急故障，乙方在接到甲方通知后，乙方维护工程师应在接到通知后立即提供电话支持、远程支持、直至在24小时内到达现场，迅速排除设备故障。但若因该设备故障使任何使用人或相关人的人身或具较高价值的财产受困、受威胁、受伤害，或存在任何危险，乙方应在接到甲方通知后立即提供电话支持、远程支持并立即以最快速度赶到现场，且最长不得超过(12 )小时到达，到达后应当立即采取有效措施、不计成本地、尽最大努力消除人身危险，再迅速排除其它所有故障，彻底消除任何及所有危险。</w:t>
      </w:r>
    </w:p>
    <w:p>
      <w:pPr>
        <w:snapToGrid w:val="0"/>
        <w:spacing w:before="120"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9.15乙方保证，乙方依据本合同提供设备及相关的软件、技术资料、</w:t>
      </w:r>
      <w:r>
        <w:rPr>
          <w:rFonts w:hint="eastAsia" w:ascii="仿宋" w:hAnsi="仿宋" w:eastAsia="仿宋" w:cs="仿宋"/>
          <w:b/>
          <w:bCs/>
          <w:color w:val="auto"/>
          <w:sz w:val="24"/>
          <w:szCs w:val="24"/>
          <w:highlight w:val="none"/>
        </w:rPr>
        <w:t>服务</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乙方不会侵犯任何第三方的在先权利（包括但不限于知识产权等）</w:t>
      </w:r>
      <w:r>
        <w:rPr>
          <w:rFonts w:hint="eastAsia" w:ascii="仿宋" w:hAnsi="仿宋" w:eastAsia="仿宋" w:cs="仿宋"/>
          <w:b/>
          <w:color w:val="auto"/>
          <w:sz w:val="24"/>
          <w:szCs w:val="24"/>
          <w:highlight w:val="none"/>
        </w:rPr>
        <w:t>，否则，</w:t>
      </w:r>
      <w:r>
        <w:rPr>
          <w:rFonts w:hint="eastAsia" w:ascii="仿宋" w:hAnsi="仿宋" w:eastAsia="仿宋" w:cs="仿宋"/>
          <w:b/>
          <w:bCs/>
          <w:color w:val="auto"/>
          <w:sz w:val="24"/>
          <w:szCs w:val="24"/>
          <w:highlight w:val="none"/>
        </w:rPr>
        <w:t>乙方除承担由此所产生的法律责任外，乙方应按</w:t>
      </w:r>
      <w:r>
        <w:rPr>
          <w:rFonts w:hint="eastAsia" w:ascii="仿宋" w:hAnsi="仿宋" w:eastAsia="仿宋" w:cs="仿宋"/>
          <w:b/>
          <w:bCs/>
          <w:color w:val="auto"/>
          <w:sz w:val="24"/>
          <w:szCs w:val="24"/>
          <w:highlight w:val="none"/>
          <w:shd w:val="clear" w:color="auto" w:fill="FFFFFF"/>
        </w:rPr>
        <w:t>合同总价</w:t>
      </w:r>
      <w:r>
        <w:rPr>
          <w:rFonts w:hint="eastAsia" w:ascii="仿宋" w:hAnsi="仿宋" w:eastAsia="仿宋" w:cs="仿宋"/>
          <w:b/>
          <w:bCs/>
          <w:color w:val="auto"/>
          <w:sz w:val="24"/>
          <w:szCs w:val="24"/>
          <w:highlight w:val="none"/>
        </w:rPr>
        <w:t>10%向甲方支付违约金，并赔偿甲方由此所产生的全部损失，而且乙方还须承担甲方因此所主张权利产生的全部费用，包括但不限于鉴定评估费、诉讼费、保全费、律师费等。</w:t>
      </w:r>
    </w:p>
    <w:p>
      <w:pPr>
        <w:pStyle w:val="84"/>
        <w:tabs>
          <w:tab w:val="left" w:pos="0"/>
          <w:tab w:val="left" w:pos="567"/>
          <w:tab w:val="left" w:pos="709"/>
        </w:tabs>
        <w:adjustRightInd w:val="0"/>
        <w:spacing w:line="360" w:lineRule="auto"/>
        <w:ind w:firstLine="0" w:firstLineChars="0"/>
        <w:jc w:val="left"/>
        <w:rPr>
          <w:rFonts w:ascii="仿宋" w:hAnsi="仿宋" w:eastAsia="仿宋" w:cs="仿宋"/>
          <w:color w:val="auto"/>
          <w:sz w:val="24"/>
          <w:highlight w:val="none"/>
        </w:rPr>
      </w:pPr>
    </w:p>
    <w:p>
      <w:pPr>
        <w:spacing w:before="100" w:beforeAutospacing="1" w:after="100" w:afterAutospacing="1" w:line="400" w:lineRule="exact"/>
        <w:ind w:right="-508"/>
        <w:jc w:val="center"/>
        <w:rPr>
          <w:rFonts w:ascii="仿宋" w:hAnsi="仿宋" w:eastAsia="仿宋" w:cs="仿宋"/>
          <w:b/>
          <w:color w:val="auto"/>
          <w:sz w:val="24"/>
          <w:highlight w:val="none"/>
        </w:rPr>
      </w:pPr>
      <w:bookmarkStart w:id="70" w:name="_Toc25313461"/>
      <w:bookmarkStart w:id="71" w:name="_Toc452119138"/>
      <w:r>
        <w:rPr>
          <w:rFonts w:hint="eastAsia" w:ascii="仿宋" w:hAnsi="仿宋" w:eastAsia="仿宋" w:cs="仿宋"/>
          <w:b/>
          <w:color w:val="auto"/>
          <w:sz w:val="24"/>
          <w:highlight w:val="none"/>
        </w:rPr>
        <w:t>第十条   违约责任</w:t>
      </w:r>
      <w:bookmarkEnd w:id="70"/>
      <w:bookmarkEnd w:id="71"/>
    </w:p>
    <w:p>
      <w:pPr>
        <w:pStyle w:val="77"/>
        <w:tabs>
          <w:tab w:val="left" w:pos="420"/>
          <w:tab w:val="left" w:pos="709"/>
        </w:tabs>
        <w:adjustRightInd w:val="0"/>
        <w:spacing w:before="100" w:beforeAutospacing="1" w:after="100" w:afterAutospacing="1" w:line="400" w:lineRule="exact"/>
        <w:ind w:firstLine="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10.1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r>
        <w:rPr>
          <w:rFonts w:hint="eastAsia" w:ascii="仿宋" w:hAnsi="仿宋" w:eastAsia="仿宋" w:cs="仿宋"/>
          <w:b/>
          <w:bCs/>
          <w:color w:val="auto"/>
          <w:sz w:val="24"/>
          <w:szCs w:val="24"/>
          <w:highlight w:val="none"/>
        </w:rPr>
        <w:t>当本合同对根本违约有约定的，则按本合同执行。</w:t>
      </w:r>
    </w:p>
    <w:p>
      <w:pPr>
        <w:pStyle w:val="77"/>
        <w:tabs>
          <w:tab w:val="left" w:pos="420"/>
          <w:tab w:val="left" w:pos="709"/>
        </w:tabs>
        <w:adjustRightInd w:val="0"/>
        <w:spacing w:before="100" w:beforeAutospacing="1" w:after="100" w:afterAutospacing="1" w:line="400"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10.2若乙方未如期按照合同约定的之要求交付合同货物（</w:t>
      </w:r>
      <w:r>
        <w:rPr>
          <w:rFonts w:hint="eastAsia" w:ascii="仿宋" w:hAnsi="仿宋" w:eastAsia="仿宋" w:cs="仿宋"/>
          <w:b/>
          <w:bCs/>
          <w:color w:val="auto"/>
          <w:sz w:val="24"/>
          <w:szCs w:val="24"/>
          <w:highlight w:val="none"/>
        </w:rPr>
        <w:t>不含乙方提供的货物或零、部件为假冒伪劣产品时；不含乙方未能在本合同签订后</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日内</w:t>
      </w:r>
      <w:r>
        <w:rPr>
          <w:rFonts w:hint="eastAsia" w:ascii="仿宋" w:hAnsi="仿宋" w:eastAsia="仿宋" w:cs="仿宋"/>
          <w:b/>
          <w:bCs/>
          <w:color w:val="auto"/>
          <w:sz w:val="24"/>
          <w:highlight w:val="none"/>
        </w:rPr>
        <w:t>向甲方提交全部订购设备，并完成安装调试以及通过甲方最终验收合格时</w:t>
      </w:r>
      <w:r>
        <w:rPr>
          <w:rFonts w:hint="eastAsia" w:ascii="仿宋" w:hAnsi="仿宋" w:eastAsia="仿宋" w:cs="仿宋"/>
          <w:color w:val="auto"/>
          <w:sz w:val="24"/>
          <w:szCs w:val="24"/>
          <w:highlight w:val="none"/>
        </w:rPr>
        <w:t>）或提供服务、补足或更换货物且符合要求，或乙方未能履行合同规定的任何其它义务时，甲方有权直接向乙方发出违约通知书，乙方应按照甲方选择的下列一种或多种方式承担赔偿责任及违约责任。</w:t>
      </w:r>
    </w:p>
    <w:p>
      <w:pPr>
        <w:spacing w:before="100" w:beforeAutospacing="1" w:after="100" w:afterAutospacing="1" w:line="40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szCs w:val="24"/>
          <w:highlight w:val="none"/>
        </w:rPr>
        <w:t>10.2</w:t>
      </w:r>
      <w:r>
        <w:rPr>
          <w:rFonts w:hint="eastAsia" w:ascii="仿宋" w:hAnsi="仿宋" w:eastAsia="仿宋" w:cs="仿宋"/>
          <w:color w:val="auto"/>
          <w:sz w:val="24"/>
          <w:highlight w:val="none"/>
        </w:rPr>
        <w:t>.1在甲方同意延长的期限内交付全部货物、提供服务并承担由此给甲方造成的直接损失及甲方因此产生的对第三方的责任。</w:t>
      </w:r>
    </w:p>
    <w:p>
      <w:pPr>
        <w:spacing w:before="100" w:beforeAutospacing="1" w:after="100" w:afterAutospacing="1" w:line="40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szCs w:val="24"/>
          <w:highlight w:val="none"/>
        </w:rPr>
        <w:t>10.2</w:t>
      </w:r>
      <w:r>
        <w:rPr>
          <w:rFonts w:hint="eastAsia" w:ascii="仿宋" w:hAnsi="仿宋" w:eastAsia="仿宋" w:cs="仿宋"/>
          <w:color w:val="auto"/>
          <w:sz w:val="24"/>
          <w:highlight w:val="none"/>
        </w:rPr>
        <w:t>.2在甲方规定的时间内，按照本合同相关条款的约定，完成相应的更换或修理以达到合同规定的各项要求，乙方应承担由此发生的各项相关费用并承担由此给甲方造成的损失及甲方因此产生的对第三方的责任。此时，相关货物的质量保修期及相关的其它期限也应相应顺延或重新起算。</w:t>
      </w:r>
    </w:p>
    <w:p>
      <w:pPr>
        <w:spacing w:before="100" w:beforeAutospacing="1" w:after="100" w:afterAutospacing="1" w:line="40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szCs w:val="24"/>
          <w:highlight w:val="none"/>
        </w:rPr>
        <w:t>10.2</w:t>
      </w:r>
      <w:r>
        <w:rPr>
          <w:rFonts w:hint="eastAsia" w:ascii="仿宋" w:hAnsi="仿宋" w:eastAsia="仿宋" w:cs="仿宋"/>
          <w:color w:val="auto"/>
          <w:sz w:val="24"/>
          <w:highlight w:val="none"/>
        </w:rPr>
        <w:t>.3按合同规定的同种货币将甲方所退货物的已支付货款全部退还给甲方，并由乙方承担甲方由此发生的损失和相关费用及甲方因此产生的对第三方的责任，</w:t>
      </w:r>
      <w:r>
        <w:rPr>
          <w:rFonts w:hint="eastAsia" w:ascii="仿宋" w:hAnsi="仿宋" w:eastAsia="仿宋" w:cs="仿宋"/>
          <w:b/>
          <w:bCs/>
          <w:color w:val="auto"/>
          <w:sz w:val="24"/>
          <w:highlight w:val="none"/>
        </w:rPr>
        <w:t>乙方并承担相应的违约责任</w:t>
      </w:r>
      <w:r>
        <w:rPr>
          <w:rFonts w:hint="eastAsia" w:ascii="仿宋" w:hAnsi="仿宋" w:eastAsia="仿宋" w:cs="仿宋"/>
          <w:color w:val="auto"/>
          <w:sz w:val="24"/>
          <w:highlight w:val="none"/>
        </w:rPr>
        <w:t>。</w:t>
      </w:r>
    </w:p>
    <w:p>
      <w:pPr>
        <w:spacing w:before="100" w:beforeAutospacing="1" w:after="100" w:afterAutospacing="1" w:line="40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szCs w:val="24"/>
          <w:highlight w:val="none"/>
        </w:rPr>
        <w:t>10.2</w:t>
      </w:r>
      <w:r>
        <w:rPr>
          <w:rFonts w:hint="eastAsia" w:ascii="仿宋" w:hAnsi="仿宋" w:eastAsia="仿宋" w:cs="仿宋"/>
          <w:color w:val="auto"/>
          <w:sz w:val="24"/>
          <w:highlight w:val="none"/>
        </w:rPr>
        <w:t>.4 此外，上述情形下甲方为采取必要的补救措施或因防止损失扩大而支出的合理费用应由乙方承担。</w:t>
      </w:r>
    </w:p>
    <w:p>
      <w:pPr>
        <w:pStyle w:val="77"/>
        <w:tabs>
          <w:tab w:val="left" w:pos="420"/>
          <w:tab w:val="left" w:pos="709"/>
        </w:tabs>
        <w:adjustRightInd w:val="0"/>
        <w:spacing w:before="100" w:beforeAutospacing="1" w:after="100" w:afterAutospacing="1" w:line="400" w:lineRule="exact"/>
        <w:ind w:left="21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10.2.5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pPr>
        <w:pStyle w:val="77"/>
        <w:tabs>
          <w:tab w:val="left" w:pos="420"/>
          <w:tab w:val="left" w:pos="709"/>
        </w:tabs>
        <w:adjustRightInd w:val="0"/>
        <w:spacing w:before="100" w:beforeAutospacing="1" w:after="100" w:afterAutospacing="1" w:line="400" w:lineRule="exact"/>
        <w:ind w:left="21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10.3延期交货、延期付款的违约责任</w:t>
      </w:r>
    </w:p>
    <w:p>
      <w:pPr>
        <w:pStyle w:val="77"/>
        <w:tabs>
          <w:tab w:val="left" w:pos="567"/>
        </w:tabs>
        <w:spacing w:before="100" w:beforeAutospacing="1" w:after="100" w:afterAutospacing="1" w:line="400" w:lineRule="exact"/>
        <w:ind w:firstLine="547" w:firstLineChars="2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如乙方延期交货或甲方延期付款，每逾期一天，违约方应按延期交货所折合的金额或延期付款金额每天 2‰ 的比例向对方支付违约金，但该违约金累计不超过合同</w:t>
      </w:r>
      <w:r>
        <w:rPr>
          <w:rFonts w:hint="eastAsia" w:ascii="仿宋" w:hAnsi="仿宋" w:eastAsia="仿宋" w:cs="仿宋"/>
          <w:b/>
          <w:bCs/>
          <w:color w:val="auto"/>
          <w:sz w:val="24"/>
          <w:szCs w:val="24"/>
          <w:highlight w:val="none"/>
        </w:rPr>
        <w:t>总价</w:t>
      </w:r>
      <w:r>
        <w:rPr>
          <w:rFonts w:hint="eastAsia" w:ascii="仿宋" w:hAnsi="仿宋" w:eastAsia="仿宋" w:cs="仿宋"/>
          <w:color w:val="auto"/>
          <w:sz w:val="24"/>
          <w:szCs w:val="24"/>
          <w:highlight w:val="none"/>
        </w:rPr>
        <w:t>的 5% 。</w:t>
      </w:r>
    </w:p>
    <w:p>
      <w:pPr>
        <w:pStyle w:val="77"/>
        <w:tabs>
          <w:tab w:val="left" w:pos="420"/>
          <w:tab w:val="left" w:pos="709"/>
        </w:tabs>
        <w:adjustRightInd w:val="0"/>
        <w:spacing w:before="100" w:beforeAutospacing="1" w:after="100" w:afterAutospacing="1" w:line="400" w:lineRule="exact"/>
        <w:ind w:left="21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10.4其它违约责任 </w:t>
      </w:r>
    </w:p>
    <w:p>
      <w:pPr>
        <w:pStyle w:val="77"/>
        <w:tabs>
          <w:tab w:val="left" w:pos="420"/>
          <w:tab w:val="left" w:pos="709"/>
        </w:tabs>
        <w:adjustRightInd w:val="0"/>
        <w:spacing w:before="100" w:beforeAutospacing="1" w:after="100" w:afterAutospacing="1" w:line="400" w:lineRule="exact"/>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10.4.1如任何一方无故解除合同或有违反本合同规定的任何情形均属于违约行为，违约方应就每一单项违约向对方支付合同</w:t>
      </w:r>
      <w:r>
        <w:rPr>
          <w:rFonts w:hint="eastAsia" w:ascii="仿宋" w:hAnsi="仿宋" w:eastAsia="仿宋" w:cs="仿宋"/>
          <w:b/>
          <w:bCs/>
          <w:color w:val="auto"/>
          <w:sz w:val="24"/>
          <w:szCs w:val="24"/>
          <w:highlight w:val="none"/>
        </w:rPr>
        <w:t>总价</w:t>
      </w:r>
      <w:r>
        <w:rPr>
          <w:rFonts w:hint="eastAsia" w:ascii="仿宋" w:hAnsi="仿宋" w:eastAsia="仿宋" w:cs="仿宋"/>
          <w:color w:val="auto"/>
          <w:sz w:val="24"/>
          <w:szCs w:val="24"/>
          <w:highlight w:val="none"/>
        </w:rPr>
        <w:t xml:space="preserve"> 5% 的违约金。</w:t>
      </w:r>
    </w:p>
    <w:p>
      <w:pPr>
        <w:widowControl/>
        <w:spacing w:before="120" w:beforeLines="50"/>
        <w:ind w:left="120" w:firstLine="240" w:firstLine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10.5</w:t>
      </w:r>
      <w:r>
        <w:rPr>
          <w:rFonts w:hint="eastAsia" w:ascii="仿宋" w:hAnsi="仿宋" w:eastAsia="仿宋" w:cs="仿宋"/>
          <w:b/>
          <w:bCs/>
          <w:color w:val="auto"/>
          <w:sz w:val="24"/>
          <w:szCs w:val="24"/>
          <w:highlight w:val="none"/>
        </w:rPr>
        <w:t>若乙方提供的</w:t>
      </w:r>
      <w:r>
        <w:rPr>
          <w:rFonts w:hint="eastAsia" w:ascii="仿宋" w:hAnsi="仿宋" w:eastAsia="仿宋" w:cs="仿宋"/>
          <w:color w:val="auto"/>
          <w:sz w:val="24"/>
          <w:szCs w:val="24"/>
          <w:highlight w:val="none"/>
        </w:rPr>
        <w:t>货物或零、部件为假冒伪劣产品时，</w:t>
      </w:r>
      <w:r>
        <w:rPr>
          <w:rFonts w:hint="eastAsia" w:ascii="仿宋" w:hAnsi="仿宋" w:eastAsia="仿宋" w:cs="仿宋"/>
          <w:b/>
          <w:bCs/>
          <w:color w:val="auto"/>
          <w:kern w:val="0"/>
          <w:sz w:val="24"/>
          <w:szCs w:val="24"/>
          <w:highlight w:val="none"/>
        </w:rPr>
        <w:t>为乙方根本违约，此时，甲方有权解除本合同，乙方除不得要求甲方支付剩余合同款项外，乙方还应向甲方返回甲方已支付的全部款项，同时乙方应向甲方支付合同总价</w:t>
      </w:r>
      <w:r>
        <w:rPr>
          <w:rFonts w:hint="eastAsia" w:ascii="仿宋" w:hAnsi="仿宋" w:eastAsia="仿宋" w:cs="仿宋"/>
          <w:b/>
          <w:bCs/>
          <w:color w:val="auto"/>
          <w:sz w:val="24"/>
          <w:szCs w:val="24"/>
          <w:highlight w:val="none"/>
        </w:rPr>
        <w:t>2倍的赔偿金</w:t>
      </w:r>
      <w:r>
        <w:rPr>
          <w:rFonts w:hint="eastAsia" w:ascii="仿宋" w:hAnsi="仿宋" w:eastAsia="仿宋" w:cs="仿宋"/>
          <w:b/>
          <w:bCs/>
          <w:color w:val="auto"/>
          <w:kern w:val="0"/>
          <w:sz w:val="24"/>
          <w:szCs w:val="24"/>
          <w:highlight w:val="none"/>
        </w:rPr>
        <w:t>，并承担甲方主张权利所产生的全部费用，包括但不限于鉴定评估费、诉讼费、保全费、律师费等</w:t>
      </w:r>
      <w:r>
        <w:rPr>
          <w:rFonts w:hint="eastAsia" w:ascii="仿宋" w:hAnsi="仿宋" w:eastAsia="仿宋" w:cs="仿宋"/>
          <w:color w:val="auto"/>
          <w:sz w:val="24"/>
          <w:szCs w:val="24"/>
          <w:highlight w:val="none"/>
        </w:rPr>
        <w:t>。</w:t>
      </w:r>
    </w:p>
    <w:p>
      <w:pPr>
        <w:pStyle w:val="77"/>
        <w:tabs>
          <w:tab w:val="left" w:pos="420"/>
          <w:tab w:val="left" w:pos="709"/>
        </w:tabs>
        <w:adjustRightInd w:val="0"/>
        <w:spacing w:before="100" w:beforeAutospacing="1" w:after="100" w:afterAutospacing="1" w:line="400" w:lineRule="exact"/>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10.6若乙方所安装的</w:t>
      </w:r>
      <w:r>
        <w:rPr>
          <w:rFonts w:hint="eastAsia" w:ascii="仿宋" w:hAnsi="仿宋" w:eastAsia="仿宋" w:cs="仿宋"/>
          <w:b/>
          <w:bCs/>
          <w:color w:val="auto"/>
          <w:kern w:val="0"/>
          <w:sz w:val="24"/>
          <w:szCs w:val="24"/>
          <w:highlight w:val="none"/>
        </w:rPr>
        <w:t>太阳能供电系统不能抗拒</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级大风，发生坠落时，由乙方承担由此产生的全部赔偿责任，同时，乙方应向甲方支付</w:t>
      </w:r>
      <w:r>
        <w:rPr>
          <w:rFonts w:hint="eastAsia" w:ascii="仿宋" w:hAnsi="仿宋" w:eastAsia="仿宋" w:cs="仿宋"/>
          <w:color w:val="auto"/>
          <w:sz w:val="24"/>
          <w:szCs w:val="24"/>
          <w:highlight w:val="none"/>
        </w:rPr>
        <w:t>合同</w:t>
      </w:r>
      <w:r>
        <w:rPr>
          <w:rFonts w:hint="eastAsia" w:ascii="仿宋" w:hAnsi="仿宋" w:eastAsia="仿宋" w:cs="仿宋"/>
          <w:b/>
          <w:bCs/>
          <w:color w:val="auto"/>
          <w:sz w:val="24"/>
          <w:szCs w:val="24"/>
          <w:highlight w:val="none"/>
        </w:rPr>
        <w:t>总价20</w:t>
      </w:r>
      <w:r>
        <w:rPr>
          <w:rFonts w:hint="eastAsia" w:ascii="仿宋" w:hAnsi="仿宋" w:eastAsia="仿宋" w:cs="仿宋"/>
          <w:color w:val="auto"/>
          <w:sz w:val="24"/>
          <w:szCs w:val="24"/>
          <w:highlight w:val="none"/>
        </w:rPr>
        <w:t>% 的违约金，并承担甲方因此主张权利所产生的全部费用，</w:t>
      </w:r>
      <w:r>
        <w:rPr>
          <w:rFonts w:hint="eastAsia" w:ascii="仿宋" w:hAnsi="仿宋" w:eastAsia="仿宋" w:cs="仿宋"/>
          <w:b/>
          <w:bCs/>
          <w:color w:val="auto"/>
          <w:kern w:val="0"/>
          <w:sz w:val="24"/>
          <w:szCs w:val="24"/>
          <w:highlight w:val="none"/>
        </w:rPr>
        <w:t>包括但不限于鉴定评估费、诉讼费、保全费、律师费等</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（备注：此款为签订标段2的合同时的专门约定）</w:t>
      </w:r>
    </w:p>
    <w:p>
      <w:pPr>
        <w:pStyle w:val="77"/>
        <w:tabs>
          <w:tab w:val="left" w:pos="420"/>
          <w:tab w:val="left" w:pos="709"/>
        </w:tabs>
        <w:adjustRightInd w:val="0"/>
        <w:spacing w:before="100" w:beforeAutospacing="1" w:after="100" w:afterAutospacing="1"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10.7  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均并不因此被减、免。</w:t>
      </w:r>
    </w:p>
    <w:p>
      <w:pPr>
        <w:pStyle w:val="77"/>
        <w:tabs>
          <w:tab w:val="left" w:pos="420"/>
          <w:tab w:val="left" w:pos="709"/>
        </w:tabs>
        <w:adjustRightInd w:val="0"/>
        <w:spacing w:before="100" w:beforeAutospacing="1" w:after="100" w:afterAutospacing="1" w:line="400"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10.8本次招标的合同项下的任何合同、文件等均应当符合有关环保、知识产权及其他法律法规的规定，包括童工禁用、劳动保护待遇等法律规定。</w:t>
      </w:r>
      <w:r>
        <w:rPr>
          <w:rFonts w:hint="eastAsia" w:ascii="仿宋" w:hAnsi="仿宋" w:eastAsia="仿宋" w:cs="仿宋"/>
          <w:b/>
          <w:color w:val="auto"/>
          <w:sz w:val="24"/>
          <w:szCs w:val="24"/>
          <w:highlight w:val="none"/>
        </w:rPr>
        <w:t>乙方</w:t>
      </w:r>
      <w:r>
        <w:rPr>
          <w:rFonts w:hint="eastAsia" w:ascii="仿宋" w:hAnsi="仿宋" w:eastAsia="仿宋" w:cs="仿宋"/>
          <w:color w:val="auto"/>
          <w:sz w:val="24"/>
          <w:szCs w:val="24"/>
          <w:highlight w:val="none"/>
        </w:rPr>
        <w:t>已清楚本次政府采购招标中的政府或其部门、采购人或招标代理机构、采购人或使用人等，均已尽声明、提示、审慎核查等注意义务及相关责任，若仍发生任何相关违反法律、法规之情形均属乙方</w:t>
      </w:r>
      <w:r>
        <w:rPr>
          <w:rFonts w:hint="eastAsia" w:ascii="仿宋" w:hAnsi="仿宋" w:eastAsia="仿宋" w:cs="仿宋"/>
          <w:b/>
          <w:color w:val="auto"/>
          <w:sz w:val="24"/>
          <w:szCs w:val="24"/>
          <w:highlight w:val="none"/>
        </w:rPr>
        <w:t>单方</w:t>
      </w:r>
      <w:r>
        <w:rPr>
          <w:rFonts w:hint="eastAsia" w:ascii="仿宋" w:hAnsi="仿宋" w:eastAsia="仿宋" w:cs="仿宋"/>
          <w:color w:val="auto"/>
          <w:sz w:val="24"/>
          <w:szCs w:val="24"/>
          <w:highlight w:val="none"/>
        </w:rPr>
        <w:t>面之因素、原因、责任。</w:t>
      </w:r>
      <w:r>
        <w:rPr>
          <w:rFonts w:hint="eastAsia" w:ascii="仿宋" w:hAnsi="仿宋" w:eastAsia="仿宋" w:cs="仿宋"/>
          <w:b/>
          <w:color w:val="auto"/>
          <w:sz w:val="24"/>
          <w:szCs w:val="24"/>
          <w:highlight w:val="none"/>
        </w:rPr>
        <w:t>乙方</w:t>
      </w:r>
      <w:r>
        <w:rPr>
          <w:rFonts w:hint="eastAsia" w:ascii="仿宋" w:hAnsi="仿宋" w:eastAsia="仿宋" w:cs="仿宋"/>
          <w:color w:val="auto"/>
          <w:sz w:val="24"/>
          <w:szCs w:val="24"/>
          <w:highlight w:val="none"/>
        </w:rPr>
        <w:t>在相关的报价活动中、合同的签订及履行过程中，其报价及签署、履行合同均意味着其已承诺，任何情况下，均将严格遵守法律、法规，并且应当独立承担全部及任何法律责任，包括对采购人、采购人、甲方、最终用户或任何第三方的民事侵权赔偿责任。上述该等责任同时亦均属严重违约责任。</w:t>
      </w:r>
    </w:p>
    <w:p>
      <w:pPr>
        <w:spacing w:before="100" w:beforeAutospacing="1" w:after="100" w:afterAutospacing="1" w:line="400" w:lineRule="exact"/>
        <w:ind w:right="-508"/>
        <w:jc w:val="center"/>
        <w:rPr>
          <w:rFonts w:ascii="仿宋" w:hAnsi="仿宋" w:eastAsia="仿宋" w:cs="仿宋"/>
          <w:b/>
          <w:color w:val="auto"/>
          <w:sz w:val="24"/>
          <w:highlight w:val="none"/>
        </w:rPr>
      </w:pPr>
      <w:bookmarkStart w:id="72" w:name="_Toc25313462"/>
      <w:bookmarkStart w:id="73" w:name="_Toc452119139"/>
      <w:r>
        <w:rPr>
          <w:rFonts w:hint="eastAsia" w:ascii="仿宋" w:hAnsi="仿宋" w:eastAsia="仿宋" w:cs="仿宋"/>
          <w:b/>
          <w:color w:val="auto"/>
          <w:sz w:val="24"/>
          <w:highlight w:val="none"/>
        </w:rPr>
        <w:t>第十一条  不可抗力</w:t>
      </w:r>
      <w:bookmarkEnd w:id="72"/>
      <w:bookmarkEnd w:id="73"/>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11.1不可抗力指下列事件：战争、骚乱、瘟疫、火灾、洪水、地震、风暴、潮水或其他自然灾害，以及本合同双方不可预见、不可防止并不能避免或克服的一切其他因素和事件。</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11.2任何一方因不可抗力不能履行本合同规定的全部或部分义务，该方应尽快通知对方，并须在不可抗力发生后三日内以书面形式向对方提供详细情况报告及不可抗力对履行本合同的影响程度的说明。就上述不可抗力的发生须由受到不可抗力影响的一方负责同时提供由公证机关做出的公证证明。</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11.3发生不可抗力事件，任何一方均不对因不可抗力无法履行或迟延履行本合同义务而使对方蒙受的任何损失承担责任。但遭受不可抗力影响的一方有责任尽可能及时采取适当或必要措施减少或消除不可抗力的影响。遭受不可抗力影响的一方对因未尽本项责任而造成的相关损失承担责任。</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11.4合同双方应根据不可抗力对本合同履行的影响程度，协商确定是否终止本合同，或是继续履行本合同。</w:t>
      </w:r>
    </w:p>
    <w:p>
      <w:pPr>
        <w:spacing w:before="100" w:beforeAutospacing="1" w:after="100" w:afterAutospacing="1" w:line="400" w:lineRule="exact"/>
        <w:ind w:right="-508"/>
        <w:jc w:val="center"/>
        <w:rPr>
          <w:rFonts w:ascii="仿宋" w:hAnsi="仿宋" w:eastAsia="仿宋" w:cs="仿宋"/>
          <w:b/>
          <w:color w:val="auto"/>
          <w:sz w:val="24"/>
          <w:highlight w:val="none"/>
        </w:rPr>
      </w:pPr>
      <w:bookmarkStart w:id="74" w:name="_Toc25313463"/>
      <w:bookmarkStart w:id="75" w:name="_Toc452119140"/>
      <w:r>
        <w:rPr>
          <w:rFonts w:hint="eastAsia" w:ascii="仿宋" w:hAnsi="仿宋" w:eastAsia="仿宋" w:cs="仿宋"/>
          <w:b/>
          <w:color w:val="auto"/>
          <w:sz w:val="24"/>
          <w:highlight w:val="none"/>
        </w:rPr>
        <w:t>第十二条  联系方式</w:t>
      </w:r>
      <w:bookmarkEnd w:id="74"/>
      <w:bookmarkEnd w:id="75"/>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12.1 各方发出与本合同有关的通知或回复，应以专人送递、传真或特快专递方式发出；如果以专人送递或特快专递发送，以送达至对方的住所地或通讯联络地视为送达；如果以传真方式发送，发件人在收到传真报告后视为送达;如果采用电话或电子邮件的方式，则应在发送后由对方以书面方式予以确认。</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12.2 各方发出的与本合同有关的通知或回复均应发至以下通讯地址，付款或收款应使用以下账号，一方变更通讯地址或账号，应自变更之日起3个工作日内，将变更后的地址通知对方。变更方不履行通知义务的，应对此造成的一切后果承担法律责任。</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甲 方：        联系人：</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地址：          邮编：</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电话：          传真：</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p>
      <w:pPr>
        <w:spacing w:before="100" w:beforeAutospacing="1" w:after="100" w:afterAutospacing="1"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开户银行及帐号：</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乙方：        联系人：</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地址：        邮编：</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电话：        传真：</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p>
      <w:pPr>
        <w:spacing w:before="100" w:beforeAutospacing="1" w:after="100" w:afterAutospacing="1"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开户银行及帐号：</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12.3上述发出通知、回复的费用由发出一方承担。</w:t>
      </w:r>
    </w:p>
    <w:p>
      <w:pPr>
        <w:spacing w:before="100" w:beforeAutospacing="1" w:after="100" w:afterAutospacing="1" w:line="400" w:lineRule="exact"/>
        <w:ind w:right="-508"/>
        <w:jc w:val="center"/>
        <w:rPr>
          <w:rFonts w:ascii="仿宋" w:hAnsi="仿宋" w:eastAsia="仿宋" w:cs="仿宋"/>
          <w:b/>
          <w:color w:val="auto"/>
          <w:sz w:val="24"/>
          <w:highlight w:val="none"/>
        </w:rPr>
      </w:pPr>
      <w:bookmarkStart w:id="76" w:name="_Toc452119141"/>
      <w:bookmarkStart w:id="77" w:name="_Toc25313464"/>
      <w:r>
        <w:rPr>
          <w:rFonts w:hint="eastAsia" w:ascii="仿宋" w:hAnsi="仿宋" w:eastAsia="仿宋" w:cs="仿宋"/>
          <w:b/>
          <w:color w:val="auto"/>
          <w:sz w:val="24"/>
          <w:highlight w:val="none"/>
        </w:rPr>
        <w:t>第十三条 保密条款</w:t>
      </w:r>
      <w:bookmarkEnd w:id="76"/>
      <w:bookmarkEnd w:id="77"/>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13.1任何一方对其获知的本合同及附件中其他各方的商业秘密和国家秘密负有保密义务。</w:t>
      </w:r>
    </w:p>
    <w:p>
      <w:pPr>
        <w:autoSpaceDE w:val="0"/>
        <w:autoSpaceDN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13.2 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spacing w:before="100" w:beforeAutospacing="1" w:after="100" w:afterAutospacing="1" w:line="400" w:lineRule="exact"/>
        <w:ind w:right="-508"/>
        <w:jc w:val="center"/>
        <w:rPr>
          <w:rFonts w:ascii="仿宋" w:hAnsi="仿宋" w:eastAsia="仿宋" w:cs="仿宋"/>
          <w:b/>
          <w:color w:val="auto"/>
          <w:sz w:val="24"/>
          <w:highlight w:val="none"/>
        </w:rPr>
      </w:pPr>
      <w:bookmarkStart w:id="78" w:name="_Toc25313465"/>
      <w:bookmarkStart w:id="79" w:name="_Toc452119142"/>
      <w:r>
        <w:rPr>
          <w:rFonts w:hint="eastAsia" w:ascii="仿宋" w:hAnsi="仿宋" w:eastAsia="仿宋" w:cs="仿宋"/>
          <w:b/>
          <w:color w:val="auto"/>
          <w:sz w:val="24"/>
          <w:highlight w:val="none"/>
        </w:rPr>
        <w:t>第十四条  合同的解释</w:t>
      </w:r>
      <w:bookmarkEnd w:id="78"/>
      <w:bookmarkEnd w:id="79"/>
    </w:p>
    <w:p>
      <w:pPr>
        <w:tabs>
          <w:tab w:val="left" w:pos="1200"/>
        </w:tabs>
        <w:spacing w:before="100" w:beforeAutospacing="1" w:after="100" w:afterAutospacing="1" w:line="400" w:lineRule="exact"/>
        <w:ind w:left="57"/>
        <w:rPr>
          <w:rFonts w:ascii="仿宋" w:hAnsi="仿宋" w:eastAsia="仿宋" w:cs="仿宋"/>
          <w:color w:val="auto"/>
          <w:sz w:val="24"/>
          <w:highlight w:val="none"/>
        </w:rPr>
      </w:pPr>
      <w:r>
        <w:rPr>
          <w:rFonts w:hint="eastAsia" w:ascii="仿宋" w:hAnsi="仿宋" w:eastAsia="仿宋" w:cs="仿宋"/>
          <w:color w:val="auto"/>
          <w:sz w:val="24"/>
          <w:highlight w:val="none"/>
        </w:rPr>
        <w:t>14.1任何一方对本合同及其附件的解释均应遵循诚实信用原则,依照本合同签订时有效的中国法律、法规以及人们通常的理解进行。</w:t>
      </w:r>
    </w:p>
    <w:p>
      <w:pPr>
        <w:tabs>
          <w:tab w:val="left" w:pos="1200"/>
        </w:tabs>
        <w:spacing w:before="100" w:beforeAutospacing="1" w:after="100" w:afterAutospacing="1" w:line="400" w:lineRule="exact"/>
        <w:ind w:left="57"/>
        <w:rPr>
          <w:rFonts w:ascii="仿宋" w:hAnsi="仿宋" w:eastAsia="仿宋" w:cs="仿宋"/>
          <w:color w:val="auto"/>
          <w:sz w:val="24"/>
          <w:highlight w:val="none"/>
        </w:rPr>
      </w:pPr>
      <w:r>
        <w:rPr>
          <w:rFonts w:hint="eastAsia" w:ascii="仿宋" w:hAnsi="仿宋" w:eastAsia="仿宋" w:cs="仿宋"/>
          <w:color w:val="auto"/>
          <w:sz w:val="24"/>
          <w:highlight w:val="none"/>
        </w:rPr>
        <w:t>14.2本合同标题仅供查阅方便，并非对本合同的诠释或解释；本合同中以日表述的时间期限均指公历日。</w:t>
      </w:r>
    </w:p>
    <w:p>
      <w:pPr>
        <w:spacing w:before="100" w:beforeAutospacing="1" w:after="100" w:afterAutospacing="1" w:line="400" w:lineRule="exact"/>
        <w:rPr>
          <w:rFonts w:ascii="仿宋" w:hAnsi="仿宋" w:eastAsia="仿宋" w:cs="仿宋"/>
          <w:color w:val="auto"/>
          <w:sz w:val="24"/>
          <w:highlight w:val="none"/>
        </w:rPr>
      </w:pPr>
      <w:bookmarkStart w:id="80" w:name="_Toc172784957"/>
      <w:bookmarkStart w:id="81" w:name="_Toc172784110"/>
      <w:r>
        <w:rPr>
          <w:rFonts w:hint="eastAsia" w:ascii="仿宋" w:hAnsi="仿宋" w:eastAsia="仿宋" w:cs="仿宋"/>
          <w:color w:val="auto"/>
          <w:sz w:val="24"/>
          <w:highlight w:val="none"/>
        </w:rPr>
        <w:t>14.3 对本合同的任何解释均应以书面做出。</w:t>
      </w:r>
      <w:bookmarkEnd w:id="80"/>
      <w:bookmarkEnd w:id="81"/>
    </w:p>
    <w:p>
      <w:pPr>
        <w:spacing w:before="100" w:beforeAutospacing="1" w:after="100" w:afterAutospacing="1" w:line="400" w:lineRule="exact"/>
        <w:ind w:right="-508"/>
        <w:jc w:val="center"/>
        <w:rPr>
          <w:rFonts w:ascii="仿宋" w:hAnsi="仿宋" w:eastAsia="仿宋" w:cs="仿宋"/>
          <w:b/>
          <w:color w:val="auto"/>
          <w:sz w:val="24"/>
          <w:highlight w:val="none"/>
        </w:rPr>
      </w:pPr>
      <w:bookmarkStart w:id="82" w:name="_Toc25313466"/>
      <w:bookmarkStart w:id="83" w:name="_Toc452119143"/>
      <w:r>
        <w:rPr>
          <w:rFonts w:hint="eastAsia" w:ascii="仿宋" w:hAnsi="仿宋" w:eastAsia="仿宋" w:cs="仿宋"/>
          <w:b/>
          <w:color w:val="auto"/>
          <w:sz w:val="24"/>
          <w:highlight w:val="none"/>
        </w:rPr>
        <w:t>第十五条 合同的终止</w:t>
      </w:r>
      <w:bookmarkEnd w:id="82"/>
      <w:bookmarkEnd w:id="83"/>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15.1 本合同因下列原因而终止：</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15.1.1 本合同正常履行完毕；</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15.1.2 双方协议终止本合同的履行；</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15.1.3 不可抗力事件导致本合同无法履行或履行不必要；</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15.1.4 任何一方行使解除权，解除本合同。</w:t>
      </w:r>
    </w:p>
    <w:p>
      <w:pPr>
        <w:tabs>
          <w:tab w:val="left" w:pos="0"/>
          <w:tab w:val="left" w:pos="728"/>
        </w:tabs>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15.2 对本合同终止有过错的一方应赔偿对方因合同终止而受到的损失。对合同终止双方均无过错的，则各自承担所受到的损失。</w:t>
      </w:r>
    </w:p>
    <w:p>
      <w:pPr>
        <w:spacing w:before="100" w:beforeAutospacing="1" w:after="100" w:afterAutospacing="1" w:line="400" w:lineRule="exact"/>
        <w:ind w:right="-508"/>
        <w:jc w:val="center"/>
        <w:rPr>
          <w:rFonts w:ascii="仿宋" w:hAnsi="仿宋" w:eastAsia="仿宋" w:cs="仿宋"/>
          <w:b/>
          <w:color w:val="auto"/>
          <w:sz w:val="24"/>
          <w:highlight w:val="none"/>
        </w:rPr>
      </w:pPr>
      <w:bookmarkStart w:id="84" w:name="_Toc452119144"/>
      <w:bookmarkStart w:id="85" w:name="_Toc25313467"/>
      <w:bookmarkStart w:id="86" w:name="_Toc172784958"/>
      <w:bookmarkStart w:id="87" w:name="_Toc172784111"/>
      <w:r>
        <w:rPr>
          <w:rFonts w:hint="eastAsia" w:ascii="仿宋" w:hAnsi="仿宋" w:eastAsia="仿宋" w:cs="仿宋"/>
          <w:b/>
          <w:color w:val="auto"/>
          <w:sz w:val="24"/>
          <w:highlight w:val="none"/>
        </w:rPr>
        <w:t>第十六条 法律适用</w:t>
      </w:r>
      <w:bookmarkEnd w:id="84"/>
      <w:bookmarkEnd w:id="85"/>
      <w:bookmarkEnd w:id="86"/>
      <w:bookmarkEnd w:id="87"/>
    </w:p>
    <w:p>
      <w:pPr>
        <w:spacing w:before="100" w:beforeAutospacing="1" w:after="100" w:afterAutospacing="1" w:line="400" w:lineRule="exact"/>
        <w:rPr>
          <w:rFonts w:ascii="仿宋" w:hAnsi="仿宋" w:eastAsia="仿宋" w:cs="仿宋"/>
          <w:color w:val="auto"/>
          <w:sz w:val="24"/>
          <w:highlight w:val="none"/>
        </w:rPr>
      </w:pPr>
      <w:bookmarkStart w:id="88" w:name="_Toc172784112"/>
      <w:bookmarkStart w:id="89" w:name="_Toc172784959"/>
      <w:r>
        <w:rPr>
          <w:rFonts w:hint="eastAsia" w:ascii="仿宋" w:hAnsi="仿宋" w:eastAsia="仿宋" w:cs="仿宋"/>
          <w:color w:val="auto"/>
          <w:sz w:val="24"/>
          <w:highlight w:val="none"/>
        </w:rPr>
        <w:t>16.1 本合同及附件的订立、效力、解释、履行、争议的解决等适用本合同签订时有效的中华人民共和国法律、法规的有关规定。</w:t>
      </w:r>
      <w:bookmarkEnd w:id="88"/>
      <w:bookmarkEnd w:id="89"/>
    </w:p>
    <w:p>
      <w:pPr>
        <w:spacing w:before="100" w:beforeAutospacing="1" w:after="100" w:afterAutospacing="1" w:line="400" w:lineRule="exact"/>
        <w:rPr>
          <w:rFonts w:ascii="仿宋" w:hAnsi="仿宋" w:eastAsia="仿宋" w:cs="仿宋"/>
          <w:color w:val="auto"/>
          <w:sz w:val="24"/>
          <w:highlight w:val="none"/>
        </w:rPr>
      </w:pPr>
      <w:bookmarkStart w:id="90" w:name="_Toc172784960"/>
      <w:bookmarkStart w:id="91" w:name="_Toc172784113"/>
      <w:r>
        <w:rPr>
          <w:rFonts w:hint="eastAsia" w:ascii="仿宋" w:hAnsi="仿宋" w:eastAsia="仿宋" w:cs="仿宋"/>
          <w:color w:val="auto"/>
          <w:sz w:val="24"/>
          <w:highlight w:val="none"/>
        </w:rPr>
        <w:t>16.2 在本合同履行期间，因中国法律、法规、政策的变化致使本合同的部分条款相冲突、无效或失去可强制执行效力时，双方同意将密切合作，尽快修改本合同中相冲突或无效或失去强制执行效力的有关条款。</w:t>
      </w:r>
      <w:bookmarkEnd w:id="90"/>
      <w:bookmarkEnd w:id="91"/>
    </w:p>
    <w:p>
      <w:pPr>
        <w:spacing w:before="100" w:beforeAutospacing="1" w:after="100" w:afterAutospacing="1" w:line="400" w:lineRule="exact"/>
        <w:ind w:right="-508"/>
        <w:jc w:val="center"/>
        <w:rPr>
          <w:rFonts w:ascii="仿宋" w:hAnsi="仿宋" w:eastAsia="仿宋" w:cs="仿宋"/>
          <w:b/>
          <w:color w:val="auto"/>
          <w:sz w:val="24"/>
          <w:highlight w:val="none"/>
        </w:rPr>
      </w:pPr>
      <w:bookmarkStart w:id="92" w:name="_Toc172784961"/>
      <w:bookmarkStart w:id="93" w:name="_Toc452119145"/>
      <w:bookmarkStart w:id="94" w:name="_Toc172784114"/>
      <w:bookmarkStart w:id="95" w:name="_Toc25313468"/>
      <w:r>
        <w:rPr>
          <w:rFonts w:hint="eastAsia" w:ascii="仿宋" w:hAnsi="仿宋" w:eastAsia="仿宋" w:cs="仿宋"/>
          <w:b/>
          <w:color w:val="auto"/>
          <w:sz w:val="24"/>
          <w:highlight w:val="none"/>
        </w:rPr>
        <w:t>第十七条 权利的保留</w:t>
      </w:r>
      <w:bookmarkEnd w:id="92"/>
      <w:bookmarkEnd w:id="93"/>
      <w:bookmarkEnd w:id="94"/>
      <w:bookmarkEnd w:id="95"/>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17.1 任何一方没有行使其权利或没有就违约方的违约行为采取任何行动，不应被视为是对其权利的放弃或对追究对方违约责任权利的放弃。任何一方放弃针对违约方的某种权利，或放弃追究违约方的某种责任，不应视为对其他权利或追究其他责任的放弃。</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17.2 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spacing w:before="100" w:beforeAutospacing="1" w:after="100" w:afterAutospacing="1" w:line="400" w:lineRule="exact"/>
        <w:ind w:right="-508"/>
        <w:jc w:val="center"/>
        <w:rPr>
          <w:rFonts w:ascii="仿宋" w:hAnsi="仿宋" w:eastAsia="仿宋" w:cs="仿宋"/>
          <w:b/>
          <w:color w:val="auto"/>
          <w:sz w:val="24"/>
          <w:highlight w:val="none"/>
        </w:rPr>
      </w:pPr>
      <w:bookmarkStart w:id="96" w:name="_Toc25313469"/>
      <w:bookmarkStart w:id="97" w:name="_Toc452119146"/>
      <w:r>
        <w:rPr>
          <w:rFonts w:hint="eastAsia" w:ascii="仿宋" w:hAnsi="仿宋" w:eastAsia="仿宋" w:cs="仿宋"/>
          <w:b/>
          <w:color w:val="auto"/>
          <w:sz w:val="24"/>
          <w:highlight w:val="none"/>
        </w:rPr>
        <w:t>第十八条  争议的解决</w:t>
      </w:r>
      <w:bookmarkEnd w:id="96"/>
      <w:bookmarkEnd w:id="97"/>
    </w:p>
    <w:p>
      <w:pPr>
        <w:tabs>
          <w:tab w:val="left" w:pos="840"/>
          <w:tab w:val="left" w:pos="9388"/>
        </w:tabs>
        <w:autoSpaceDE w:val="0"/>
        <w:autoSpaceDN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18.1 因解释﹑执行本合同所发生的和本合同有关的一切争议，合同双方应首先友好协商解决，如果</w:t>
      </w:r>
      <w:r>
        <w:rPr>
          <w:rFonts w:hint="eastAsia" w:ascii="仿宋" w:hAnsi="仿宋" w:eastAsia="仿宋" w:cs="仿宋"/>
          <w:color w:val="auto"/>
          <w:sz w:val="24"/>
          <w:highlight w:val="none"/>
          <w:u w:val="single"/>
        </w:rPr>
        <w:t>协商不成时，</w:t>
      </w:r>
      <w:r>
        <w:rPr>
          <w:rFonts w:hint="eastAsia" w:ascii="仿宋" w:hAnsi="仿宋" w:eastAsia="仿宋" w:cs="仿宋"/>
          <w:b/>
          <w:bCs/>
          <w:color w:val="auto"/>
          <w:sz w:val="24"/>
          <w:highlight w:val="none"/>
          <w:u w:val="single"/>
        </w:rPr>
        <w:t>任何一方可向本合同签订地</w:t>
      </w:r>
      <w:r>
        <w:rPr>
          <w:rFonts w:hint="eastAsia" w:ascii="仿宋" w:hAnsi="仿宋" w:eastAsia="仿宋" w:cs="仿宋"/>
          <w:color w:val="auto"/>
          <w:sz w:val="24"/>
          <w:highlight w:val="none"/>
        </w:rPr>
        <w:t>的人民法院提起诉讼。</w:t>
      </w:r>
    </w:p>
    <w:p>
      <w:pPr>
        <w:tabs>
          <w:tab w:val="left" w:pos="840"/>
          <w:tab w:val="left" w:pos="9388"/>
        </w:tabs>
        <w:autoSpaceDE w:val="0"/>
        <w:autoSpaceDN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18.2 在诉讼期间，除了必须在诉讼过程中进行解决的那部分问题外，合同其余部分应继续履行。</w:t>
      </w:r>
    </w:p>
    <w:p>
      <w:pPr>
        <w:tabs>
          <w:tab w:val="left" w:pos="840"/>
          <w:tab w:val="left" w:pos="9388"/>
        </w:tabs>
        <w:autoSpaceDE w:val="0"/>
        <w:autoSpaceDN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18.3 本合同甲、乙双方一致认为，本合同仅属于甲、乙双方之间的协议，任何争议均只应当按照本合同的约定方式处理，任何情形下招标单位或招标代理均不应当成为该等争议的当事人，无论该等仲裁或诉讼均不得针对招标单位或招标代理提起。</w:t>
      </w:r>
    </w:p>
    <w:p>
      <w:pPr>
        <w:spacing w:before="100" w:beforeAutospacing="1" w:after="100" w:afterAutospacing="1" w:line="400" w:lineRule="exact"/>
        <w:ind w:right="-508"/>
        <w:jc w:val="center"/>
        <w:rPr>
          <w:rFonts w:ascii="仿宋" w:hAnsi="仿宋" w:eastAsia="仿宋" w:cs="仿宋"/>
          <w:b/>
          <w:color w:val="auto"/>
          <w:sz w:val="24"/>
          <w:highlight w:val="none"/>
        </w:rPr>
      </w:pPr>
      <w:bookmarkStart w:id="98" w:name="_Toc25313470"/>
      <w:bookmarkStart w:id="99" w:name="_Toc452119147"/>
      <w:r>
        <w:rPr>
          <w:rFonts w:hint="eastAsia" w:ascii="仿宋" w:hAnsi="仿宋" w:eastAsia="仿宋" w:cs="仿宋"/>
          <w:b/>
          <w:color w:val="auto"/>
          <w:sz w:val="24"/>
          <w:highlight w:val="none"/>
        </w:rPr>
        <w:t>第十九条   合同的补充、修改和变更</w:t>
      </w:r>
      <w:bookmarkEnd w:id="98"/>
      <w:bookmarkEnd w:id="99"/>
    </w:p>
    <w:p>
      <w:pPr>
        <w:spacing w:before="100" w:beforeAutospacing="1" w:after="100" w:afterAutospacing="1" w:line="400" w:lineRule="exact"/>
        <w:rPr>
          <w:rFonts w:ascii="仿宋" w:hAnsi="仿宋" w:eastAsia="仿宋" w:cs="仿宋"/>
          <w:color w:val="auto"/>
          <w:sz w:val="24"/>
          <w:highlight w:val="none"/>
        </w:rPr>
      </w:pPr>
      <w:bookmarkStart w:id="100" w:name="_Toc172784115"/>
      <w:bookmarkStart w:id="101" w:name="_Toc172784962"/>
      <w:r>
        <w:rPr>
          <w:rFonts w:hint="eastAsia" w:ascii="仿宋" w:hAnsi="仿宋" w:eastAsia="仿宋" w:cs="仿宋"/>
          <w:color w:val="auto"/>
          <w:sz w:val="24"/>
          <w:highlight w:val="none"/>
        </w:rPr>
        <w:t>19.1双方</w:t>
      </w:r>
      <w:r>
        <w:rPr>
          <w:rFonts w:hint="eastAsia" w:ascii="仿宋" w:hAnsi="仿宋" w:eastAsia="仿宋" w:cs="仿宋"/>
          <w:b/>
          <w:bCs/>
          <w:color w:val="auto"/>
          <w:sz w:val="24"/>
          <w:highlight w:val="none"/>
        </w:rPr>
        <w:t>经</w:t>
      </w:r>
      <w:r>
        <w:rPr>
          <w:rFonts w:hint="eastAsia" w:ascii="仿宋" w:hAnsi="仿宋" w:eastAsia="仿宋" w:cs="仿宋"/>
          <w:color w:val="auto"/>
          <w:sz w:val="24"/>
          <w:highlight w:val="none"/>
        </w:rPr>
        <w:t>协商一致</w:t>
      </w:r>
      <w:r>
        <w:rPr>
          <w:rFonts w:hint="eastAsia" w:ascii="仿宋" w:hAnsi="仿宋" w:eastAsia="仿宋" w:cs="仿宋"/>
          <w:b/>
          <w:bCs/>
          <w:color w:val="auto"/>
          <w:sz w:val="24"/>
          <w:highlight w:val="none"/>
        </w:rPr>
        <w:t>后</w:t>
      </w:r>
      <w:r>
        <w:rPr>
          <w:rFonts w:hint="eastAsia" w:ascii="仿宋" w:hAnsi="仿宋" w:eastAsia="仿宋" w:cs="仿宋"/>
          <w:color w:val="auto"/>
          <w:sz w:val="24"/>
          <w:highlight w:val="none"/>
        </w:rPr>
        <w:t>，可以对本合同进行补充、修改或变更，</w:t>
      </w:r>
      <w:r>
        <w:rPr>
          <w:rFonts w:hint="eastAsia" w:ascii="仿宋" w:hAnsi="仿宋" w:eastAsia="仿宋" w:cs="仿宋"/>
          <w:b/>
          <w:bCs/>
          <w:color w:val="auto"/>
          <w:sz w:val="24"/>
          <w:highlight w:val="none"/>
        </w:rPr>
        <w:t>并签订书面的补充协议以示确认</w:t>
      </w:r>
      <w:r>
        <w:rPr>
          <w:rFonts w:hint="eastAsia" w:ascii="仿宋" w:hAnsi="仿宋" w:eastAsia="仿宋" w:cs="仿宋"/>
          <w:color w:val="auto"/>
          <w:sz w:val="24"/>
          <w:highlight w:val="none"/>
        </w:rPr>
        <w:t>。</w:t>
      </w:r>
      <w:bookmarkEnd w:id="100"/>
      <w:bookmarkEnd w:id="101"/>
    </w:p>
    <w:p>
      <w:pPr>
        <w:spacing w:before="100" w:beforeAutospacing="1" w:after="100" w:afterAutospacing="1" w:line="400" w:lineRule="exact"/>
        <w:rPr>
          <w:rFonts w:ascii="仿宋" w:hAnsi="仿宋" w:eastAsia="仿宋" w:cs="仿宋"/>
          <w:color w:val="auto"/>
          <w:sz w:val="24"/>
          <w:highlight w:val="none"/>
        </w:rPr>
      </w:pPr>
      <w:bookmarkStart w:id="102" w:name="_Toc172784116"/>
      <w:bookmarkStart w:id="103" w:name="_Toc172784963"/>
      <w:r>
        <w:rPr>
          <w:rFonts w:hint="eastAsia" w:ascii="仿宋" w:hAnsi="仿宋" w:eastAsia="仿宋" w:cs="仿宋"/>
          <w:color w:val="auto"/>
          <w:sz w:val="24"/>
          <w:highlight w:val="none"/>
        </w:rPr>
        <w:t>19.2</w:t>
      </w:r>
      <w:r>
        <w:rPr>
          <w:rFonts w:hint="eastAsia" w:ascii="仿宋" w:hAnsi="仿宋" w:eastAsia="仿宋" w:cs="仿宋"/>
          <w:b/>
          <w:bCs/>
          <w:color w:val="auto"/>
          <w:sz w:val="24"/>
          <w:highlight w:val="none"/>
        </w:rPr>
        <w:t>双方签订书面的补充协议后</w:t>
      </w:r>
      <w:r>
        <w:rPr>
          <w:rFonts w:hint="eastAsia" w:ascii="仿宋" w:hAnsi="仿宋" w:eastAsia="仿宋" w:cs="仿宋"/>
          <w:color w:val="auto"/>
          <w:sz w:val="24"/>
          <w:highlight w:val="none"/>
        </w:rPr>
        <w:t>，由乙方自签订</w:t>
      </w:r>
      <w:r>
        <w:rPr>
          <w:rFonts w:hint="eastAsia" w:ascii="仿宋" w:hAnsi="仿宋" w:eastAsia="仿宋" w:cs="仿宋"/>
          <w:b/>
          <w:bCs/>
          <w:color w:val="auto"/>
          <w:sz w:val="24"/>
          <w:highlight w:val="none"/>
        </w:rPr>
        <w:t>补充协议</w:t>
      </w:r>
      <w:r>
        <w:rPr>
          <w:rFonts w:hint="eastAsia" w:ascii="仿宋" w:hAnsi="仿宋" w:eastAsia="仿宋" w:cs="仿宋"/>
          <w:color w:val="auto"/>
          <w:sz w:val="24"/>
          <w:highlight w:val="none"/>
        </w:rPr>
        <w:t>之日起五日内报招标代理备案。</w:t>
      </w:r>
      <w:r>
        <w:rPr>
          <w:rFonts w:hint="eastAsia" w:ascii="仿宋" w:hAnsi="仿宋" w:eastAsia="仿宋" w:cs="仿宋"/>
          <w:b/>
          <w:bCs/>
          <w:color w:val="auto"/>
          <w:sz w:val="24"/>
          <w:highlight w:val="none"/>
        </w:rPr>
        <w:t>补充协议与本合同不一致的，以补充协议为准</w:t>
      </w:r>
      <w:r>
        <w:rPr>
          <w:rFonts w:hint="eastAsia" w:ascii="仿宋" w:hAnsi="仿宋" w:eastAsia="仿宋" w:cs="仿宋"/>
          <w:color w:val="auto"/>
          <w:sz w:val="24"/>
          <w:highlight w:val="none"/>
        </w:rPr>
        <w:t>。</w:t>
      </w:r>
      <w:bookmarkEnd w:id="102"/>
      <w:bookmarkEnd w:id="103"/>
    </w:p>
    <w:p>
      <w:pPr>
        <w:spacing w:before="100" w:beforeAutospacing="1" w:after="100" w:afterAutospacing="1" w:line="400" w:lineRule="exact"/>
        <w:ind w:right="-508"/>
        <w:jc w:val="center"/>
        <w:rPr>
          <w:rFonts w:ascii="仿宋" w:hAnsi="仿宋" w:eastAsia="仿宋" w:cs="仿宋"/>
          <w:b/>
          <w:color w:val="auto"/>
          <w:sz w:val="24"/>
          <w:highlight w:val="none"/>
        </w:rPr>
      </w:pPr>
      <w:bookmarkStart w:id="104" w:name="_Toc452119148"/>
      <w:bookmarkStart w:id="105" w:name="_Toc25313471"/>
      <w:r>
        <w:rPr>
          <w:rFonts w:hint="eastAsia" w:ascii="仿宋" w:hAnsi="仿宋" w:eastAsia="仿宋" w:cs="仿宋"/>
          <w:b/>
          <w:color w:val="auto"/>
          <w:sz w:val="24"/>
          <w:highlight w:val="none"/>
        </w:rPr>
        <w:t>第二十条  合同的生效</w:t>
      </w:r>
      <w:bookmarkEnd w:id="104"/>
      <w:bookmarkEnd w:id="105"/>
    </w:p>
    <w:p>
      <w:pPr>
        <w:tabs>
          <w:tab w:val="left" w:pos="990"/>
          <w:tab w:val="left" w:pos="9388"/>
        </w:tabs>
        <w:autoSpaceDE w:val="0"/>
        <w:autoSpaceDN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20.1本合同经双方法定代表人（负责人）或授权代表</w:t>
      </w:r>
      <w:r>
        <w:rPr>
          <w:rFonts w:hint="eastAsia" w:ascii="仿宋" w:hAnsi="仿宋" w:eastAsia="仿宋" w:cs="仿宋"/>
          <w:b/>
          <w:bCs/>
          <w:color w:val="auto"/>
          <w:sz w:val="24"/>
          <w:highlight w:val="none"/>
        </w:rPr>
        <w:t>签名</w:t>
      </w:r>
      <w:r>
        <w:rPr>
          <w:rFonts w:hint="eastAsia" w:ascii="仿宋" w:hAnsi="仿宋" w:eastAsia="仿宋" w:cs="仿宋"/>
          <w:color w:val="auto"/>
          <w:sz w:val="24"/>
          <w:highlight w:val="none"/>
        </w:rPr>
        <w:t>并加盖单位公章，</w:t>
      </w:r>
      <w:r>
        <w:rPr>
          <w:rFonts w:hint="eastAsia" w:ascii="仿宋" w:hAnsi="仿宋" w:eastAsia="仿宋" w:cs="仿宋"/>
          <w:b/>
          <w:bCs/>
          <w:color w:val="auto"/>
          <w:sz w:val="24"/>
          <w:highlight w:val="none"/>
        </w:rPr>
        <w:t>且乙方向甲方交纳履约保证金后方</w:t>
      </w:r>
      <w:r>
        <w:rPr>
          <w:rFonts w:hint="eastAsia" w:ascii="仿宋" w:hAnsi="仿宋" w:eastAsia="仿宋" w:cs="仿宋"/>
          <w:color w:val="auto"/>
          <w:sz w:val="24"/>
          <w:highlight w:val="none"/>
        </w:rPr>
        <w:t>生效。</w:t>
      </w:r>
    </w:p>
    <w:p>
      <w:pPr>
        <w:spacing w:before="100" w:beforeAutospacing="1" w:after="100" w:afterAutospacing="1" w:line="400" w:lineRule="exact"/>
        <w:ind w:right="-508"/>
        <w:jc w:val="center"/>
        <w:rPr>
          <w:rFonts w:ascii="仿宋" w:hAnsi="仿宋" w:eastAsia="仿宋" w:cs="仿宋"/>
          <w:b/>
          <w:color w:val="auto"/>
          <w:sz w:val="24"/>
          <w:highlight w:val="none"/>
        </w:rPr>
      </w:pPr>
      <w:bookmarkStart w:id="106" w:name="_Toc25313472"/>
      <w:bookmarkStart w:id="107" w:name="_Toc452119149"/>
      <w:r>
        <w:rPr>
          <w:rFonts w:hint="eastAsia" w:ascii="仿宋" w:hAnsi="仿宋" w:eastAsia="仿宋" w:cs="仿宋"/>
          <w:b/>
          <w:color w:val="auto"/>
          <w:sz w:val="24"/>
          <w:highlight w:val="none"/>
        </w:rPr>
        <w:t>第二十条  其它约定事项</w:t>
      </w:r>
      <w:bookmarkEnd w:id="106"/>
      <w:bookmarkEnd w:id="107"/>
    </w:p>
    <w:p>
      <w:pPr>
        <w:tabs>
          <w:tab w:val="left" w:pos="840"/>
          <w:tab w:val="left" w:pos="9388"/>
        </w:tabs>
        <w:autoSpaceDE w:val="0"/>
        <w:autoSpaceDN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20.1 本合同不可分割的附件：1.招标文件，2.中标人的投标文件，3.中标通知书，附件与本合同具有相同的法律效力。</w:t>
      </w:r>
      <w:r>
        <w:rPr>
          <w:rFonts w:hint="eastAsia" w:ascii="仿宋" w:hAnsi="仿宋" w:eastAsia="仿宋" w:cs="仿宋"/>
          <w:b/>
          <w:bCs/>
          <w:color w:val="auto"/>
          <w:sz w:val="24"/>
          <w:highlight w:val="none"/>
        </w:rPr>
        <w:t>本合同及相关文件的适用顺序：1、本合同，2、招标文件，3、中标通知书，4、中标人的投标文件。</w:t>
      </w:r>
    </w:p>
    <w:p>
      <w:pPr>
        <w:tabs>
          <w:tab w:val="left" w:pos="840"/>
          <w:tab w:val="left" w:pos="9388"/>
        </w:tabs>
        <w:autoSpaceDE w:val="0"/>
        <w:autoSpaceDN w:val="0"/>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20.2 乙方未经甲方事先书面同意，不得将其在合同项下的权利及/或义务全部或部分转让给第三人。</w:t>
      </w:r>
    </w:p>
    <w:p>
      <w:pPr>
        <w:spacing w:before="100" w:beforeAutospacing="1" w:after="100" w:afterAutospacing="1"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20.3  本合同一式6份，甲方4份、乙方2份，每份具有同等法律效力。</w:t>
      </w:r>
    </w:p>
    <w:p>
      <w:pPr>
        <w:tabs>
          <w:tab w:val="left" w:pos="988"/>
          <w:tab w:val="left" w:pos="9388"/>
        </w:tabs>
        <w:autoSpaceDE w:val="0"/>
        <w:autoSpaceDN w:val="0"/>
        <w:spacing w:before="100" w:beforeAutospacing="1" w:after="100" w:afterAutospacing="1" w:line="400" w:lineRule="exact"/>
        <w:ind w:left="496" w:leftChars="236"/>
        <w:rPr>
          <w:rFonts w:ascii="仿宋" w:hAnsi="仿宋" w:eastAsia="仿宋" w:cs="仿宋"/>
          <w:b/>
          <w:color w:val="auto"/>
          <w:sz w:val="24"/>
          <w:highlight w:val="none"/>
        </w:rPr>
      </w:pPr>
      <w:r>
        <w:rPr>
          <w:rFonts w:hint="eastAsia" w:ascii="仿宋" w:hAnsi="仿宋" w:eastAsia="仿宋" w:cs="仿宋"/>
          <w:b/>
          <w:color w:val="auto"/>
          <w:sz w:val="24"/>
          <w:highlight w:val="none"/>
        </w:rPr>
        <w:t>甲方：                            乙方：</w:t>
      </w:r>
    </w:p>
    <w:p>
      <w:pPr>
        <w:tabs>
          <w:tab w:val="left" w:pos="988"/>
          <w:tab w:val="left" w:pos="9388"/>
        </w:tabs>
        <w:autoSpaceDE w:val="0"/>
        <w:autoSpaceDN w:val="0"/>
        <w:spacing w:before="100" w:beforeAutospacing="1" w:after="100" w:afterAutospacing="1" w:line="400" w:lineRule="exact"/>
        <w:ind w:left="496" w:leftChars="236"/>
        <w:rPr>
          <w:rFonts w:ascii="仿宋" w:hAnsi="仿宋" w:eastAsia="仿宋" w:cs="仿宋"/>
          <w:b/>
          <w:color w:val="auto"/>
          <w:sz w:val="24"/>
          <w:highlight w:val="none"/>
        </w:rPr>
      </w:pPr>
      <w:r>
        <w:rPr>
          <w:rFonts w:hint="eastAsia" w:ascii="仿宋" w:hAnsi="仿宋" w:eastAsia="仿宋" w:cs="仿宋"/>
          <w:b/>
          <w:color w:val="auto"/>
          <w:sz w:val="24"/>
          <w:highlight w:val="none"/>
        </w:rPr>
        <w:t>单位名称（公章）                  单位名称（公章）</w:t>
      </w:r>
    </w:p>
    <w:p>
      <w:pPr>
        <w:tabs>
          <w:tab w:val="left" w:pos="988"/>
          <w:tab w:val="left" w:pos="9388"/>
        </w:tabs>
        <w:autoSpaceDE w:val="0"/>
        <w:autoSpaceDN w:val="0"/>
        <w:spacing w:before="100" w:beforeAutospacing="1" w:after="100" w:afterAutospacing="1" w:line="400" w:lineRule="exact"/>
        <w:ind w:left="496" w:leftChars="236"/>
        <w:rPr>
          <w:rFonts w:ascii="仿宋" w:hAnsi="仿宋" w:eastAsia="仿宋" w:cs="仿宋"/>
          <w:b/>
          <w:color w:val="auto"/>
          <w:sz w:val="24"/>
          <w:highlight w:val="none"/>
        </w:rPr>
      </w:pPr>
      <w:r>
        <w:rPr>
          <w:rFonts w:hint="eastAsia" w:ascii="仿宋" w:hAnsi="仿宋" w:eastAsia="仿宋" w:cs="仿宋"/>
          <w:b/>
          <w:color w:val="auto"/>
          <w:sz w:val="24"/>
          <w:highlight w:val="none"/>
        </w:rPr>
        <w:t>法定代表人：                      法定代表人：</w:t>
      </w:r>
    </w:p>
    <w:p>
      <w:pPr>
        <w:tabs>
          <w:tab w:val="left" w:pos="988"/>
          <w:tab w:val="left" w:pos="9388"/>
        </w:tabs>
        <w:autoSpaceDE w:val="0"/>
        <w:autoSpaceDN w:val="0"/>
        <w:spacing w:before="100" w:beforeAutospacing="1" w:after="100" w:afterAutospacing="1" w:line="400" w:lineRule="exact"/>
        <w:ind w:left="496" w:leftChars="236"/>
        <w:rPr>
          <w:rFonts w:ascii="仿宋" w:hAnsi="仿宋" w:eastAsia="仿宋" w:cs="仿宋"/>
          <w:b/>
          <w:color w:val="auto"/>
          <w:sz w:val="24"/>
          <w:highlight w:val="none"/>
        </w:rPr>
      </w:pPr>
      <w:r>
        <w:rPr>
          <w:rFonts w:hint="eastAsia" w:ascii="仿宋" w:hAnsi="仿宋" w:eastAsia="仿宋" w:cs="仿宋"/>
          <w:b/>
          <w:color w:val="auto"/>
          <w:sz w:val="24"/>
          <w:highlight w:val="none"/>
        </w:rPr>
        <w:t>授权代表：                        授权代表：</w:t>
      </w:r>
    </w:p>
    <w:p>
      <w:pPr>
        <w:widowControl/>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widowControl/>
        <w:rPr>
          <w:rFonts w:ascii="仿宋" w:hAnsi="仿宋" w:eastAsia="仿宋" w:cs="仿宋"/>
          <w:color w:val="auto"/>
          <w:sz w:val="24"/>
          <w:highlight w:val="none"/>
        </w:rPr>
      </w:pPr>
    </w:p>
    <w:p>
      <w:pPr>
        <w:widowControl/>
        <w:rPr>
          <w:rFonts w:ascii="仿宋" w:hAnsi="仿宋" w:eastAsia="仿宋" w:cs="仿宋"/>
          <w:color w:val="auto"/>
          <w:sz w:val="24"/>
          <w:highlight w:val="none"/>
        </w:rPr>
      </w:pPr>
    </w:p>
    <w:p>
      <w:pPr>
        <w:tabs>
          <w:tab w:val="left" w:pos="988"/>
          <w:tab w:val="left" w:pos="9388"/>
        </w:tabs>
        <w:autoSpaceDE w:val="0"/>
        <w:autoSpaceDN w:val="0"/>
        <w:spacing w:before="100" w:beforeAutospacing="1" w:after="100" w:afterAutospacing="1" w:line="400" w:lineRule="exact"/>
        <w:ind w:left="496" w:leftChars="236"/>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甲乙双方于</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日签订于昆明市盘龙区</w:t>
      </w:r>
    </w:p>
    <w:p>
      <w:pPr>
        <w:widowControl/>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br w:type="page"/>
      </w:r>
    </w:p>
    <w:p>
      <w:pPr>
        <w:pStyle w:val="3"/>
        <w:spacing w:line="360" w:lineRule="auto"/>
        <w:rPr>
          <w:rFonts w:hint="eastAsia" w:ascii="仿宋" w:hAnsi="仿宋" w:eastAsia="仿宋" w:cs="仿宋"/>
          <w:color w:val="auto"/>
          <w:spacing w:val="0"/>
          <w:sz w:val="40"/>
          <w:szCs w:val="40"/>
          <w:highlight w:val="none"/>
        </w:rPr>
      </w:pPr>
      <w:bookmarkStart w:id="108" w:name="_Toc9693"/>
      <w:r>
        <w:rPr>
          <w:rFonts w:hint="eastAsia" w:ascii="仿宋" w:hAnsi="仿宋" w:eastAsia="仿宋" w:cs="仿宋"/>
          <w:color w:val="auto"/>
          <w:spacing w:val="0"/>
          <w:sz w:val="40"/>
          <w:szCs w:val="40"/>
          <w:highlight w:val="none"/>
        </w:rPr>
        <w:t>第五章 评标办法</w:t>
      </w:r>
      <w:bookmarkEnd w:id="108"/>
    </w:p>
    <w:p>
      <w:pPr>
        <w:pStyle w:val="4"/>
        <w:spacing w:before="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1.评标总则</w:t>
      </w:r>
    </w:p>
    <w:p>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1.1本项目评标办法执行《中华人民共和国</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法》、《中华人民共和国</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法实施条例》和《</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货物和服务招标投标管理办法》（财政部令第87号）等有关法律法规，结合本项目实际情况，制定本办法。</w:t>
      </w:r>
    </w:p>
    <w:p>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评标原则：评标应遵循公开、公平、公正、科学、择优的原则。</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评标委员会成员在评标过程中应当遵守下列规定：</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1）独立进行评审，不得对其他评委的评审意见施加影响；</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2）不得将投标文件带离评标地点评审；</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3）不得无故中途退出评标；</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4）不得将与评标有关的资料复印、带离评标地点。</w:t>
      </w:r>
    </w:p>
    <w:p>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1.3评标委员会应当严格按照招标文件规定的评标标准和方法对投标文件进行评审。招标文件中没有的评标标准和方法不得作为评标依据。</w:t>
      </w:r>
    </w:p>
    <w:p>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1.4评标委员会及评标委员会组长的产生：</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1）评标委员会由五人</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以上的单数组成。</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2）评标委员会全体成员在签署《承诺书》后，由评标委员会全体共同推举一名评标委员会组长，主持或者负责本项目的评标工作。</w:t>
      </w:r>
    </w:p>
    <w:p>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1.5评标期间，参与评标的所有人员（包括评委、工作人员等）必须严格遵守保密规定，不得泄露与评标有关的任何情况，不得有影响评标的任何活动。</w:t>
      </w:r>
    </w:p>
    <w:p>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1.6投标文件的澄清和补正：</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1）在评标过程中，评标委员会可以书面形式要求投标人对所提交的投标文件中不明确的内容进行书面澄清或说明，或者对细微偏差进行补正。评标委员会不接受投标人主动提出的澄清、说明或补正。</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2）澄清、说明和补正不得改变投标文件的实质性内容（算术性错误修正的除外）。投标人的书面澄清、说明和补正属于投标文件的组成部分。</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3）评标委员会对投标人提交的澄清、说明或补正有疑问的，可以要求投标人进一步澄清、说明或补正，直至满足评标委员会的要求。</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4）凡超出招标文件规定的或给甲方带来未曾要求的利益的变化、偏差或其他因素在评标时不予考虑。</w:t>
      </w:r>
    </w:p>
    <w:p>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1.7投标文件计算错误的修正：</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评标委员会将对完全响应招标文件要求的投标文件进行校核，看其是否有计算或表达上的错误，修正错误的原则如下：</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1）投标文件中开标（唱标）一览表内容与投标文件中相应内容不一致的，以开标（唱标）一览表为准。</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大写金额和小写金额不一致的，以大写金额为准</w:t>
      </w:r>
      <w:r>
        <w:rPr>
          <w:rFonts w:hint="eastAsia" w:ascii="仿宋" w:hAnsi="仿宋" w:eastAsia="仿宋" w:cs="仿宋"/>
          <w:color w:val="auto"/>
          <w:sz w:val="24"/>
          <w:szCs w:val="24"/>
          <w:highlight w:val="none"/>
        </w:rPr>
        <w:t>。</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kern w:val="0"/>
          <w:sz w:val="24"/>
          <w:szCs w:val="24"/>
          <w:highlight w:val="none"/>
        </w:rPr>
        <w:t>单价金额小数点或者百分比有明显错位的，以</w:t>
      </w:r>
      <w:r>
        <w:rPr>
          <w:rFonts w:hint="eastAsia" w:ascii="仿宋" w:hAnsi="仿宋" w:eastAsia="仿宋" w:cs="仿宋"/>
          <w:color w:val="auto"/>
          <w:sz w:val="24"/>
          <w:szCs w:val="24"/>
          <w:highlight w:val="none"/>
        </w:rPr>
        <w:t>开标（唱标）一览表</w:t>
      </w:r>
      <w:r>
        <w:rPr>
          <w:rFonts w:hint="eastAsia" w:ascii="仿宋" w:hAnsi="仿宋" w:eastAsia="仿宋" w:cs="仿宋"/>
          <w:color w:val="auto"/>
          <w:kern w:val="0"/>
          <w:sz w:val="24"/>
          <w:szCs w:val="24"/>
          <w:highlight w:val="none"/>
        </w:rPr>
        <w:t>的总价为准，并修改单价</w:t>
      </w:r>
      <w:r>
        <w:rPr>
          <w:rFonts w:hint="eastAsia" w:ascii="仿宋" w:hAnsi="仿宋" w:eastAsia="仿宋" w:cs="仿宋"/>
          <w:color w:val="auto"/>
          <w:sz w:val="24"/>
          <w:szCs w:val="24"/>
          <w:highlight w:val="none"/>
        </w:rPr>
        <w:t>。</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kern w:val="0"/>
          <w:sz w:val="24"/>
          <w:szCs w:val="24"/>
          <w:highlight w:val="none"/>
        </w:rPr>
        <w:t>总价金额与按单价汇总金额不一致的，以单价金额计算结果为准。</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5）对于单价和合价中减少的报价内容视为已含在其他项目的单价和合价之中。</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同时出现两种以上不一致的，按照前款规定的顺序修正。修正后的报价经投标人确认后产生约束力，投标人不确认的，其投标无效。</w:t>
      </w:r>
    </w:p>
    <w:p>
      <w:pPr>
        <w:spacing w:line="500" w:lineRule="exact"/>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说明：在评标办法中，所评审的价格均为通过算术性修正后的价格。</w:t>
      </w:r>
    </w:p>
    <w:p>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1.8推荐中标候选人：</w:t>
      </w:r>
    </w:p>
    <w:p>
      <w:pPr>
        <w:spacing w:line="500" w:lineRule="exact"/>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CN"/>
        </w:rPr>
        <w:t>招标</w:t>
      </w:r>
      <w:r>
        <w:rPr>
          <w:rFonts w:hint="eastAsia" w:ascii="仿宋" w:hAnsi="仿宋" w:eastAsia="仿宋" w:cs="仿宋"/>
          <w:b/>
          <w:color w:val="auto"/>
          <w:sz w:val="24"/>
          <w:szCs w:val="24"/>
          <w:highlight w:val="none"/>
        </w:rPr>
        <w:t>代理机构依法对所有投标人的投标文件进行资格审查，资审结束后评标委员会对通过资格审查的投标文件进行符合性评审，再对通过符合性评审的投标文件进行详细评审，并按照技术部分打分标准及商务部分打分标准分别进行打分。评标委员会按投标人最后得分由高到低顺序推荐第一、第二、第三中标候选人。中标候选人限定在三家，并标明排列顺序。统计分数原则为计算算术平均分值为投标人的技术、商务部分得分（保留小数点后两位）,投标人提供核心产品相同品牌产品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得分相同的，按投标报价由低到高顺序排列；得分且投标报价相同的，按技术部分得分高低顺序排列。其他同品牌投标人不作为中标候选人，本评标办法不承诺最低价中标。</w:t>
      </w:r>
    </w:p>
    <w:p>
      <w:pPr>
        <w:spacing w:line="500" w:lineRule="exact"/>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2）经评标委员会评审后，评标委员会认为有效投标均不符合招标文件的技术要求或者明显缺乏竞争力时，应当否决全部投标。</w:t>
      </w:r>
    </w:p>
    <w:p>
      <w:pPr>
        <w:spacing w:line="500" w:lineRule="exact"/>
        <w:ind w:firstLine="723" w:firstLineChars="3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3）所有投标被评标委员会否决的，</w:t>
      </w:r>
      <w:r>
        <w:rPr>
          <w:rFonts w:hint="eastAsia" w:ascii="仿宋" w:hAnsi="仿宋" w:eastAsia="仿宋" w:cs="仿宋"/>
          <w:b/>
          <w:color w:val="auto"/>
          <w:sz w:val="24"/>
          <w:szCs w:val="24"/>
          <w:highlight w:val="none"/>
          <w:lang w:eastAsia="zh-CN"/>
        </w:rPr>
        <w:t>采购人</w:t>
      </w:r>
      <w:r>
        <w:rPr>
          <w:rFonts w:hint="eastAsia" w:ascii="仿宋" w:hAnsi="仿宋" w:eastAsia="仿宋" w:cs="仿宋"/>
          <w:b/>
          <w:color w:val="auto"/>
          <w:sz w:val="24"/>
          <w:szCs w:val="24"/>
          <w:highlight w:val="none"/>
        </w:rPr>
        <w:t>应当依法重新招标。</w:t>
      </w:r>
    </w:p>
    <w:p>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代理机构应对评标过程进行书面记录，书面记录应如实地反映评标全过程，特别是评标专家提出的各种意见和建议，并作为重要的保密资料存档。</w:t>
      </w:r>
    </w:p>
    <w:p>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1.10评标中若遇特殊问题,由评标委员会根据有关法律、法规、规定研究决定。</w:t>
      </w:r>
    </w:p>
    <w:p>
      <w:pPr>
        <w:pStyle w:val="4"/>
        <w:spacing w:before="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2.评审步骤</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第一步 资格审查（资格审查合格的投标人才能进行符合性评审）</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第二步 符合性评审（符合性评审通过后的投标人才能进入详细评审）</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第三步 详细评审</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第四步 推荐中标候选人</w:t>
      </w:r>
    </w:p>
    <w:p>
      <w:pPr>
        <w:spacing w:line="500" w:lineRule="exact"/>
        <w:ind w:firstLine="480" w:firstLineChars="200"/>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2.1第一步骤（资格审查）</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2.1.1开标后，由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代理机构依法对投标人的资格进行审查。</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2.1.2资格审查的标准详见评标办法前附表。</w:t>
      </w:r>
      <w:r>
        <w:rPr>
          <w:rFonts w:hint="eastAsia" w:ascii="仿宋" w:hAnsi="仿宋" w:eastAsia="仿宋" w:cs="仿宋"/>
          <w:b/>
          <w:color w:val="auto"/>
          <w:sz w:val="24"/>
          <w:szCs w:val="24"/>
          <w:highlight w:val="none"/>
        </w:rPr>
        <w:t>凡不能通过资格审查的投标人，不得进入下阶段评审。</w:t>
      </w:r>
    </w:p>
    <w:p>
      <w:pPr>
        <w:spacing w:line="500" w:lineRule="exact"/>
        <w:ind w:firstLine="480" w:firstLineChars="200"/>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2.2第二步骤（符合性评审）</w:t>
      </w:r>
    </w:p>
    <w:p>
      <w:pPr>
        <w:spacing w:line="5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评标委员会对通过资格审查的投标人的投标文件进行符合性评审，符合性评审的标准详见评标办法前附表。</w:t>
      </w:r>
      <w:r>
        <w:rPr>
          <w:rFonts w:hint="eastAsia" w:ascii="仿宋" w:hAnsi="仿宋" w:eastAsia="仿宋" w:cs="仿宋"/>
          <w:b/>
          <w:color w:val="auto"/>
          <w:sz w:val="24"/>
          <w:szCs w:val="24"/>
          <w:highlight w:val="none"/>
        </w:rPr>
        <w:t>凡不能通过符合性评审的投标人，不得再进入下阶段评审</w:t>
      </w:r>
      <w:r>
        <w:rPr>
          <w:rFonts w:hint="eastAsia" w:ascii="仿宋" w:hAnsi="仿宋" w:eastAsia="仿宋" w:cs="仿宋"/>
          <w:color w:val="auto"/>
          <w:sz w:val="24"/>
          <w:szCs w:val="24"/>
          <w:highlight w:val="none"/>
        </w:rPr>
        <w:t>。</w:t>
      </w:r>
    </w:p>
    <w:p>
      <w:pPr>
        <w:spacing w:line="500" w:lineRule="exact"/>
        <w:ind w:firstLine="480" w:firstLineChars="200"/>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2.3第三步骤（详细评审）综合评分。</w:t>
      </w:r>
    </w:p>
    <w:p>
      <w:pPr>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为体现评标工作的公平、公正、科学和择优的原则，采用综合评分法，本评标办法规定得分高者即为第一中标排序人，依次类推。</w:t>
      </w:r>
    </w:p>
    <w:p>
      <w:pPr>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评标委员会对各投标单位的技术、报价等各项指标分别进行综合评审，本办法的分部分值如下： </w:t>
      </w:r>
    </w:p>
    <w:p>
      <w:pPr>
        <w:spacing w:line="500" w:lineRule="exact"/>
        <w:ind w:firstLine="494" w:firstLineChars="20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评标总得分＝F1＋F2+......+Fn </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F1、F2......Fn分别为各项评审因素的得分；</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分值构成：</w:t>
      </w:r>
    </w:p>
    <w:p>
      <w:pPr>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投标报价评分F1：</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pPr>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技术部分评分F2：</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分；</w:t>
      </w:r>
    </w:p>
    <w:p>
      <w:pPr>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商务部分评分F3：</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p>
      <w:pPr>
        <w:spacing w:line="500" w:lineRule="exact"/>
        <w:ind w:firstLine="440" w:firstLineChars="200"/>
        <w:outlineLvl w:val="2"/>
        <w:rPr>
          <w:rFonts w:hint="eastAsia" w:ascii="仿宋" w:hAnsi="仿宋" w:eastAsia="仿宋" w:cs="仿宋"/>
          <w:color w:val="auto"/>
          <w:sz w:val="22"/>
          <w:highlight w:val="none"/>
        </w:rPr>
      </w:pPr>
      <w:r>
        <w:rPr>
          <w:rFonts w:hint="eastAsia" w:ascii="仿宋" w:hAnsi="仿宋" w:eastAsia="仿宋" w:cs="仿宋"/>
          <w:color w:val="auto"/>
          <w:sz w:val="22"/>
          <w:highlight w:val="none"/>
        </w:rPr>
        <w:t>2.4评审标准</w:t>
      </w:r>
    </w:p>
    <w:tbl>
      <w:tblPr>
        <w:tblStyle w:val="25"/>
        <w:tblW w:w="1012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502"/>
        <w:gridCol w:w="862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6" w:hRule="exact"/>
          <w:tblHeader/>
          <w:jc w:val="center"/>
        </w:trPr>
        <w:tc>
          <w:tcPr>
            <w:tcW w:w="1502" w:type="dxa"/>
            <w:tcBorders>
              <w:top w:val="single" w:color="auto" w:sz="12" w:space="0"/>
              <w:left w:val="single" w:color="auto" w:sz="12" w:space="0"/>
              <w:bottom w:val="single" w:color="auto" w:sz="8" w:space="0"/>
              <w:right w:val="single" w:color="auto" w:sz="8" w:space="0"/>
            </w:tcBorders>
            <w:vAlign w:val="center"/>
          </w:tcPr>
          <w:p>
            <w:pPr>
              <w:spacing w:line="380" w:lineRule="exact"/>
              <w:jc w:val="center"/>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评审因素</w:t>
            </w:r>
          </w:p>
        </w:tc>
        <w:tc>
          <w:tcPr>
            <w:tcW w:w="8623" w:type="dxa"/>
            <w:tcBorders>
              <w:top w:val="single" w:color="auto" w:sz="12" w:space="0"/>
              <w:left w:val="single" w:color="auto" w:sz="8" w:space="0"/>
              <w:bottom w:val="single" w:color="auto" w:sz="8" w:space="0"/>
              <w:right w:val="single" w:color="auto" w:sz="12" w:space="0"/>
            </w:tcBorders>
            <w:vAlign w:val="center"/>
          </w:tcPr>
          <w:p>
            <w:pPr>
              <w:spacing w:line="380" w:lineRule="exact"/>
              <w:jc w:val="center"/>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1502" w:type="dxa"/>
            <w:tcBorders>
              <w:top w:val="single" w:color="auto" w:sz="8" w:space="0"/>
              <w:left w:val="single" w:color="auto" w:sz="12" w:space="0"/>
              <w:bottom w:val="single" w:color="auto" w:sz="8" w:space="0"/>
              <w:right w:val="single" w:color="auto" w:sz="8" w:space="0"/>
            </w:tcBorders>
            <w:vAlign w:val="center"/>
          </w:tcPr>
          <w:p>
            <w:pPr>
              <w:spacing w:line="380" w:lineRule="exact"/>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资格审查</w:t>
            </w:r>
          </w:p>
        </w:tc>
        <w:tc>
          <w:tcPr>
            <w:tcW w:w="8623"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2"/>
                <w:highlight w:val="none"/>
              </w:rPr>
            </w:pPr>
            <w:r>
              <w:rPr>
                <w:rFonts w:hint="eastAsia" w:ascii="仿宋" w:hAnsi="仿宋" w:eastAsia="仿宋" w:cs="仿宋"/>
                <w:color w:val="auto"/>
                <w:sz w:val="22"/>
                <w:szCs w:val="22"/>
                <w:highlight w:val="none"/>
              </w:rPr>
              <w:t>详见招标文件第一章 招标公告“二、申请人的资格要求”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73" w:hRule="atLeast"/>
          <w:jc w:val="center"/>
        </w:trPr>
        <w:tc>
          <w:tcPr>
            <w:tcW w:w="1502" w:type="dxa"/>
            <w:tcBorders>
              <w:top w:val="single" w:color="auto" w:sz="4" w:space="0"/>
              <w:left w:val="single" w:color="auto" w:sz="12" w:space="0"/>
              <w:bottom w:val="single" w:color="auto" w:sz="12" w:space="0"/>
              <w:right w:val="single" w:color="auto" w:sz="8" w:space="0"/>
            </w:tcBorders>
            <w:vAlign w:val="center"/>
          </w:tcPr>
          <w:p>
            <w:pPr>
              <w:spacing w:line="380" w:lineRule="exact"/>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符合性评审</w:t>
            </w:r>
          </w:p>
        </w:tc>
        <w:tc>
          <w:tcPr>
            <w:tcW w:w="8623" w:type="dxa"/>
            <w:tcBorders>
              <w:top w:val="single" w:color="auto" w:sz="8" w:space="0"/>
              <w:left w:val="single" w:color="auto" w:sz="8" w:space="0"/>
              <w:bottom w:val="single" w:color="auto" w:sz="12" w:space="0"/>
              <w:right w:val="single" w:color="auto" w:sz="12" w:space="0"/>
            </w:tcBorders>
            <w:vAlign w:val="center"/>
          </w:tcPr>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1、未按规定时间要求提交投标保证金。</w:t>
            </w:r>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2、投标报价超过最高上限价的。</w:t>
            </w:r>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3、未按规定要求签字或盖章。</w:t>
            </w:r>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4、法定代表人委托代理人投标，但无法定代表人授权书。</w:t>
            </w:r>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5、未按规定的格式填写，内容不全或关键字迹模糊、无法辨认。</w:t>
            </w:r>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6、投标人递交两份或多份内容不同的投标文件，或在一份投标文件中对同一招标货物报两个或多个报价，且未声名哪一个为最终报价的(按招标文件规定提交被选投标方案的除外)。</w:t>
            </w:r>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7、投标有效期不满足招标文件要求。</w:t>
            </w:r>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8、未按招标文件要求提交相关资料。</w:t>
            </w:r>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未实质性响应招标文件明确规定。</w:t>
            </w:r>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、投标文件附有</w:t>
            </w:r>
            <w:r>
              <w:rPr>
                <w:rFonts w:hint="eastAsia" w:ascii="仿宋" w:hAnsi="仿宋" w:eastAsia="仿宋" w:cs="仿宋"/>
                <w:color w:val="auto"/>
                <w:highlight w:val="none"/>
                <w:lang w:eastAsia="zh-CN"/>
              </w:rPr>
              <w:t>采购人</w:t>
            </w:r>
            <w:r>
              <w:rPr>
                <w:rFonts w:hint="eastAsia" w:ascii="仿宋" w:hAnsi="仿宋" w:eastAsia="仿宋" w:cs="仿宋"/>
                <w:color w:val="auto"/>
                <w:highlight w:val="none"/>
              </w:rPr>
              <w:t>不能接受的条件。</w:t>
            </w:r>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、不符合法律、法规和招标文件中规定的其他实质性要求。</w:t>
            </w:r>
          </w:p>
        </w:tc>
      </w:tr>
    </w:tbl>
    <w:p>
      <w:pPr>
        <w:pStyle w:val="2"/>
        <w:rPr>
          <w:rFonts w:hint="eastAsia" w:ascii="仿宋" w:hAnsi="仿宋" w:eastAsia="仿宋" w:cs="仿宋"/>
          <w:color w:val="auto"/>
          <w:sz w:val="16"/>
          <w:szCs w:val="16"/>
          <w:highlight w:val="none"/>
        </w:rPr>
      </w:pPr>
    </w:p>
    <w:tbl>
      <w:tblPr>
        <w:tblStyle w:val="25"/>
        <w:tblpPr w:leftFromText="180" w:rightFromText="180" w:vertAnchor="text" w:horzAnchor="page" w:tblpX="982" w:tblpY="349"/>
        <w:tblOverlap w:val="never"/>
        <w:tblW w:w="1015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48"/>
        <w:gridCol w:w="70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10" w:type="dxa"/>
            <w:tcBorders>
              <w:tl2br w:val="nil"/>
              <w:tr2bl w:val="nil"/>
            </w:tcBorders>
            <w:vAlign w:val="center"/>
          </w:tcPr>
          <w:p>
            <w:pPr>
              <w:spacing w:line="400" w:lineRule="exact"/>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评分因素</w:t>
            </w:r>
          </w:p>
        </w:tc>
        <w:tc>
          <w:tcPr>
            <w:tcW w:w="8640" w:type="dxa"/>
            <w:gridSpan w:val="2"/>
            <w:tcBorders>
              <w:tl2br w:val="nil"/>
              <w:tr2bl w:val="nil"/>
            </w:tcBorders>
            <w:vAlign w:val="center"/>
          </w:tcPr>
          <w:p>
            <w:pPr>
              <w:spacing w:line="400" w:lineRule="exact"/>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1510" w:type="dxa"/>
            <w:tcBorders>
              <w:tl2br w:val="nil"/>
              <w:tr2bl w:val="nil"/>
            </w:tcBorders>
            <w:vAlign w:val="center"/>
          </w:tcPr>
          <w:p>
            <w:pPr>
              <w:spacing w:line="5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投标报价评分（F1，满分</w:t>
            </w:r>
            <w:r>
              <w:rPr>
                <w:rFonts w:hint="eastAsia" w:ascii="仿宋" w:hAnsi="仿宋" w:eastAsia="仿宋" w:cs="仿宋"/>
                <w:b/>
                <w:color w:val="auto"/>
                <w:szCs w:val="21"/>
                <w:highlight w:val="none"/>
                <w:lang w:val="en-US" w:eastAsia="zh-CN"/>
              </w:rPr>
              <w:t>30</w:t>
            </w:r>
            <w:r>
              <w:rPr>
                <w:rFonts w:hint="eastAsia" w:ascii="仿宋" w:hAnsi="仿宋" w:eastAsia="仿宋" w:cs="仿宋"/>
                <w:b/>
                <w:color w:val="auto"/>
                <w:szCs w:val="21"/>
                <w:highlight w:val="none"/>
              </w:rPr>
              <w:t>分）</w:t>
            </w:r>
          </w:p>
        </w:tc>
        <w:tc>
          <w:tcPr>
            <w:tcW w:w="8640" w:type="dxa"/>
            <w:gridSpan w:val="2"/>
            <w:tcBorders>
              <w:tl2br w:val="nil"/>
              <w:tr2bl w:val="nil"/>
            </w:tcBorders>
            <w:vAlign w:val="center"/>
          </w:tcPr>
          <w:p>
            <w:pPr>
              <w:rPr>
                <w:rFonts w:hint="eastAsia" w:ascii="仿宋" w:hAnsi="仿宋" w:eastAsia="仿宋" w:cs="仿宋"/>
                <w:color w:val="auto"/>
                <w:sz w:val="22"/>
                <w:highlight w:val="none"/>
              </w:rPr>
            </w:pPr>
            <w:r>
              <w:rPr>
                <w:rFonts w:hint="eastAsia" w:ascii="仿宋" w:hAnsi="仿宋" w:eastAsia="仿宋" w:cs="仿宋"/>
                <w:color w:val="auto"/>
                <w:sz w:val="22"/>
                <w:highlight w:val="none"/>
              </w:rPr>
              <w:t>F1=（评标基准价/该投标人报价）×</w:t>
            </w:r>
            <w:r>
              <w:rPr>
                <w:rFonts w:hint="eastAsia" w:ascii="仿宋" w:hAnsi="仿宋" w:eastAsia="仿宋" w:cs="仿宋"/>
                <w:color w:val="auto"/>
                <w:sz w:val="22"/>
                <w:highlight w:val="none"/>
                <w:lang w:val="en-US" w:eastAsia="zh-CN"/>
              </w:rPr>
              <w:t>3</w:t>
            </w:r>
            <w:r>
              <w:rPr>
                <w:rFonts w:hint="eastAsia" w:ascii="仿宋" w:hAnsi="仿宋" w:eastAsia="仿宋" w:cs="仿宋"/>
                <w:color w:val="auto"/>
                <w:sz w:val="22"/>
                <w:highlight w:val="none"/>
              </w:rPr>
              <w:t>0</w:t>
            </w:r>
          </w:p>
          <w:p>
            <w:pPr>
              <w:ind w:firstLine="440"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满足招标技术需求和招标文件要求，且投标报价最低的为评标基准价，其价格分为满分。其他投标人的价格为有效投标报价的，统一按上述投标报价公式计算。</w:t>
            </w:r>
          </w:p>
          <w:p>
            <w:pPr>
              <w:rPr>
                <w:rFonts w:hint="eastAsia" w:ascii="仿宋" w:hAnsi="仿宋" w:eastAsia="仿宋" w:cs="仿宋"/>
                <w:b/>
                <w:color w:val="auto"/>
                <w:sz w:val="22"/>
                <w:highlight w:val="none"/>
              </w:rPr>
            </w:pPr>
          </w:p>
          <w:p>
            <w:pPr>
              <w:rPr>
                <w:rFonts w:hint="eastAsia" w:ascii="仿宋" w:hAnsi="仿宋" w:eastAsia="仿宋" w:cs="仿宋"/>
                <w:b/>
                <w:color w:val="auto"/>
                <w:sz w:val="22"/>
                <w:highlight w:val="none"/>
              </w:rPr>
            </w:pPr>
            <w:r>
              <w:rPr>
                <w:rFonts w:hint="eastAsia" w:ascii="仿宋" w:hAnsi="仿宋" w:eastAsia="仿宋" w:cs="仿宋"/>
                <w:b/>
                <w:color w:val="auto"/>
                <w:sz w:val="22"/>
                <w:highlight w:val="none"/>
                <w:lang w:eastAsia="zh-CN"/>
              </w:rPr>
              <w:t>政府采购</w:t>
            </w:r>
            <w:r>
              <w:rPr>
                <w:rFonts w:hint="eastAsia" w:ascii="仿宋" w:hAnsi="仿宋" w:eastAsia="仿宋" w:cs="仿宋"/>
                <w:b/>
                <w:color w:val="auto"/>
                <w:sz w:val="22"/>
                <w:highlight w:val="none"/>
              </w:rPr>
              <w:t>优先</w:t>
            </w:r>
            <w:r>
              <w:rPr>
                <w:rFonts w:hint="eastAsia" w:ascii="仿宋" w:hAnsi="仿宋" w:eastAsia="仿宋" w:cs="仿宋"/>
                <w:b/>
                <w:color w:val="auto"/>
                <w:sz w:val="22"/>
                <w:highlight w:val="none"/>
                <w:lang w:eastAsia="zh-CN"/>
              </w:rPr>
              <w:t>招标</w:t>
            </w:r>
            <w:r>
              <w:rPr>
                <w:rFonts w:hint="eastAsia" w:ascii="仿宋" w:hAnsi="仿宋" w:eastAsia="仿宋" w:cs="仿宋"/>
                <w:b/>
                <w:color w:val="auto"/>
                <w:sz w:val="22"/>
                <w:highlight w:val="none"/>
              </w:rPr>
              <w:t>政策：</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1.根据《政府采购促进中小企业发展管理办法》（财库[2020]46号），对符合条件的小型和微型</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，在价格评分时给予报价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%的扣除，用扣除后的价格参与价格评分(即：参与价格评审的报价=</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根据自身情况提供《中小企业声明函》（详见格式部分）。应对内容的真实性负责。如有虚假，将依法承担相应责任。</w:t>
            </w:r>
          </w:p>
          <w:p>
            <w:pPr>
              <w:spacing w:line="3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2.根据《关于政府采购支持监狱企业发展有关问题的通知》</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财库〔2014〕68号</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的规定，监狱企业参与本项目投标时，提供由省级以上监狱管理局、戒毒管理局</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含新疆生产建设兵团</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出具的属于监狱企业的证明文件的，视同小型、微型企业享受价格扣除等优惠政策。</w:t>
            </w:r>
          </w:p>
          <w:p>
            <w:pPr>
              <w:spacing w:line="3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3.根据《关于促进残疾人就业政府采购政策的通知》</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财库〔2017〕141号</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的规定，符合条件的残疾人福利性单位参与本项目投标时，提供《残疾人福利性单位声明函》并对其真实性负责的，视同小、微型企业享受价格扣除等优惠政策。</w:t>
            </w:r>
          </w:p>
          <w:p>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4.属于残疾人福利性单位、监狱企业、小微企业中两种及以上的，不重复享受价格扣除政策。</w:t>
            </w:r>
          </w:p>
          <w:p>
            <w:pPr>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本项目所属行业：其他未列明行业。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68" w:hRule="atLeast"/>
        </w:trPr>
        <w:tc>
          <w:tcPr>
            <w:tcW w:w="1510" w:type="dxa"/>
            <w:vMerge w:val="restart"/>
            <w:tcBorders>
              <w:tl2br w:val="nil"/>
              <w:tr2bl w:val="nil"/>
            </w:tcBorders>
            <w:vAlign w:val="center"/>
          </w:tcPr>
          <w:p>
            <w:pPr>
              <w:spacing w:line="40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技术部分评分（F2，满分</w:t>
            </w:r>
            <w:r>
              <w:rPr>
                <w:rFonts w:hint="eastAsia" w:ascii="仿宋" w:hAnsi="仿宋" w:eastAsia="仿宋" w:cs="仿宋"/>
                <w:b/>
                <w:color w:val="auto"/>
                <w:szCs w:val="21"/>
                <w:highlight w:val="none"/>
                <w:lang w:val="en-US" w:eastAsia="zh-CN"/>
              </w:rPr>
              <w:t>40</w:t>
            </w:r>
            <w:r>
              <w:rPr>
                <w:rFonts w:hint="eastAsia" w:ascii="仿宋" w:hAnsi="仿宋" w:eastAsia="仿宋" w:cs="仿宋"/>
                <w:b/>
                <w:color w:val="auto"/>
                <w:szCs w:val="21"/>
                <w:highlight w:val="none"/>
              </w:rPr>
              <w:t>分）</w:t>
            </w:r>
          </w:p>
        </w:tc>
        <w:tc>
          <w:tcPr>
            <w:tcW w:w="1548" w:type="dxa"/>
            <w:tcBorders>
              <w:tl2br w:val="nil"/>
              <w:tr2bl w:val="nil"/>
            </w:tcBorders>
            <w:vAlign w:val="center"/>
          </w:tcPr>
          <w:p>
            <w:pPr>
              <w:pStyle w:val="2"/>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技术参数评分</w:t>
            </w:r>
          </w:p>
          <w:p>
            <w:pPr>
              <w:pStyle w:val="2"/>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r>
              <w:rPr>
                <w:rFonts w:hint="eastAsia" w:ascii="仿宋" w:hAnsi="仿宋" w:eastAsia="仿宋" w:cs="仿宋"/>
                <w:color w:val="auto"/>
                <w:sz w:val="22"/>
                <w:highlight w:val="none"/>
              </w:rPr>
              <w:t>满分</w:t>
            </w:r>
            <w:r>
              <w:rPr>
                <w:rFonts w:hint="eastAsia" w:ascii="仿宋" w:hAnsi="仿宋" w:eastAsia="仿宋" w:cs="仿宋"/>
                <w:color w:val="auto"/>
                <w:sz w:val="22"/>
                <w:highlight w:val="none"/>
                <w:lang w:val="en-US" w:eastAsia="zh-CN"/>
              </w:rPr>
              <w:t>35</w:t>
            </w:r>
            <w:r>
              <w:rPr>
                <w:rFonts w:hint="eastAsia" w:ascii="仿宋" w:hAnsi="仿宋" w:eastAsia="仿宋" w:cs="仿宋"/>
                <w:color w:val="auto"/>
                <w:sz w:val="22"/>
                <w:szCs w:val="21"/>
                <w:highlight w:val="none"/>
              </w:rPr>
              <w:t>分）</w:t>
            </w:r>
          </w:p>
        </w:tc>
        <w:tc>
          <w:tcPr>
            <w:tcW w:w="7092" w:type="dxa"/>
            <w:tcBorders>
              <w:tl2br w:val="nil"/>
              <w:tr2bl w:val="nil"/>
            </w:tcBorders>
            <w:vAlign w:val="center"/>
          </w:tcPr>
          <w:p>
            <w:pPr>
              <w:spacing w:line="380" w:lineRule="exact"/>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 xml:space="preserve">根据投标文件对招标文件“第三章 </w:t>
            </w:r>
            <w:r>
              <w:rPr>
                <w:rFonts w:hint="eastAsia" w:ascii="仿宋" w:hAnsi="仿宋" w:eastAsia="仿宋" w:cs="仿宋"/>
                <w:b/>
                <w:color w:val="auto"/>
                <w:sz w:val="22"/>
                <w:szCs w:val="21"/>
                <w:highlight w:val="none"/>
                <w:lang w:eastAsia="zh-CN"/>
              </w:rPr>
              <w:t>采购需求及技术要求</w:t>
            </w:r>
            <w:r>
              <w:rPr>
                <w:rFonts w:hint="eastAsia" w:ascii="仿宋" w:hAnsi="仿宋" w:eastAsia="仿宋" w:cs="仿宋"/>
                <w:b/>
                <w:color w:val="auto"/>
                <w:sz w:val="22"/>
                <w:szCs w:val="21"/>
                <w:highlight w:val="none"/>
              </w:rPr>
              <w:t>”中的“设备主要技术指标及功能”的响应程度进行计分：</w:t>
            </w:r>
          </w:p>
          <w:p>
            <w:pPr>
              <w:spacing w:line="380" w:lineRule="exact"/>
              <w:ind w:firstLine="44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1.投标文件表述清晰，无歧义无瑕疵，完全满足或优于技术参数的，相应的检测报告、证书等技术证明文件提供完整清晰且在有效期内的得满分。</w:t>
            </w:r>
          </w:p>
          <w:p>
            <w:pPr>
              <w:spacing w:line="380" w:lineRule="exact"/>
              <w:ind w:firstLine="44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2.投标文件表述清晰，出现不满足（负偏离）带“★”技术参数一项时，扣</w:t>
            </w:r>
            <w:r>
              <w:rPr>
                <w:rFonts w:hint="eastAsia" w:ascii="仿宋" w:hAnsi="仿宋" w:eastAsia="仿宋" w:cs="仿宋"/>
                <w:color w:val="auto"/>
                <w:sz w:val="22"/>
                <w:szCs w:val="21"/>
                <w:highlight w:val="none"/>
                <w:lang w:val="en-US" w:eastAsia="zh-CN"/>
              </w:rPr>
              <w:t>4</w:t>
            </w:r>
            <w:r>
              <w:rPr>
                <w:rFonts w:hint="eastAsia" w:ascii="仿宋" w:hAnsi="仿宋" w:eastAsia="仿宋" w:cs="仿宋"/>
                <w:color w:val="auto"/>
                <w:sz w:val="22"/>
                <w:szCs w:val="21"/>
                <w:highlight w:val="none"/>
              </w:rPr>
              <w:t>分，非带“★”技术参数每出现一项扣</w:t>
            </w:r>
            <w:r>
              <w:rPr>
                <w:rFonts w:hint="eastAsia" w:ascii="仿宋" w:hAnsi="仿宋" w:eastAsia="仿宋" w:cs="仿宋"/>
                <w:color w:val="auto"/>
                <w:sz w:val="22"/>
                <w:szCs w:val="21"/>
                <w:highlight w:val="none"/>
                <w:lang w:val="en-US" w:eastAsia="zh-CN"/>
              </w:rPr>
              <w:t>2</w:t>
            </w:r>
            <w:r>
              <w:rPr>
                <w:rFonts w:hint="eastAsia" w:ascii="仿宋" w:hAnsi="仿宋" w:eastAsia="仿宋" w:cs="仿宋"/>
                <w:color w:val="auto"/>
                <w:sz w:val="22"/>
                <w:szCs w:val="21"/>
                <w:highlight w:val="none"/>
              </w:rPr>
              <w:t>分，扣完为止。</w:t>
            </w:r>
          </w:p>
          <w:p>
            <w:pPr>
              <w:spacing w:line="380" w:lineRule="exact"/>
              <w:ind w:firstLine="440"/>
              <w:rPr>
                <w:rFonts w:hint="eastAsia" w:ascii="仿宋" w:hAnsi="仿宋" w:eastAsia="仿宋" w:cs="仿宋"/>
                <w:color w:val="auto"/>
                <w:highlight w:val="none"/>
              </w:rPr>
            </w:pPr>
            <w:r>
              <w:rPr>
                <w:rFonts w:hint="eastAsia" w:ascii="仿宋" w:hAnsi="仿宋" w:eastAsia="仿宋" w:cs="仿宋"/>
                <w:color w:val="auto"/>
                <w:sz w:val="22"/>
                <w:szCs w:val="21"/>
                <w:highlight w:val="none"/>
              </w:rPr>
              <w:t>按上述原则分别进行计分，最低0分，最高35分。。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49" w:hRule="atLeast"/>
        </w:trPr>
        <w:tc>
          <w:tcPr>
            <w:tcW w:w="1510" w:type="dxa"/>
            <w:vMerge w:val="continue"/>
            <w:tcBorders>
              <w:tl2br w:val="nil"/>
              <w:tr2bl w:val="nil"/>
            </w:tcBorders>
            <w:vAlign w:val="center"/>
          </w:tcPr>
          <w:p>
            <w:pPr>
              <w:spacing w:line="400" w:lineRule="exact"/>
              <w:jc w:val="center"/>
              <w:rPr>
                <w:rFonts w:hint="eastAsia" w:ascii="仿宋" w:hAnsi="仿宋" w:eastAsia="仿宋" w:cs="仿宋"/>
                <w:b/>
                <w:color w:val="auto"/>
                <w:szCs w:val="21"/>
                <w:highlight w:val="none"/>
              </w:rPr>
            </w:pPr>
          </w:p>
        </w:tc>
        <w:tc>
          <w:tcPr>
            <w:tcW w:w="1548" w:type="dxa"/>
            <w:tcBorders>
              <w:tl2br w:val="nil"/>
              <w:tr2bl w:val="nil"/>
            </w:tcBorders>
            <w:vAlign w:val="center"/>
          </w:tcPr>
          <w:p>
            <w:pPr>
              <w:spacing w:line="40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highlight w:val="none"/>
              </w:rPr>
              <w:t>质量保证措施及违约责任承诺（满分</w:t>
            </w:r>
            <w:r>
              <w:rPr>
                <w:rFonts w:hint="eastAsia" w:ascii="仿宋" w:hAnsi="仿宋" w:eastAsia="仿宋" w:cs="仿宋"/>
                <w:color w:val="auto"/>
                <w:sz w:val="22"/>
                <w:highlight w:val="none"/>
                <w:lang w:val="en-US" w:eastAsia="zh-CN"/>
              </w:rPr>
              <w:t>5</w:t>
            </w:r>
            <w:r>
              <w:rPr>
                <w:rFonts w:hint="eastAsia" w:ascii="仿宋" w:hAnsi="仿宋" w:eastAsia="仿宋" w:cs="仿宋"/>
                <w:color w:val="auto"/>
                <w:sz w:val="22"/>
                <w:highlight w:val="none"/>
              </w:rPr>
              <w:t>分）</w:t>
            </w:r>
          </w:p>
        </w:tc>
        <w:tc>
          <w:tcPr>
            <w:tcW w:w="7092" w:type="dxa"/>
            <w:tcBorders>
              <w:tl2br w:val="nil"/>
              <w:tr2bl w:val="nil"/>
            </w:tcBorders>
            <w:vAlign w:val="center"/>
          </w:tcPr>
          <w:p>
            <w:pPr>
              <w:spacing w:line="400" w:lineRule="exact"/>
              <w:rPr>
                <w:rFonts w:hint="eastAsia" w:ascii="仿宋" w:hAnsi="仿宋" w:eastAsia="仿宋" w:cs="仿宋"/>
                <w:color w:val="auto"/>
                <w:sz w:val="22"/>
                <w:szCs w:val="21"/>
                <w:highlight w:val="none"/>
                <w:lang w:val="en-US" w:eastAsia="zh-CN"/>
              </w:rPr>
            </w:pPr>
            <w:r>
              <w:rPr>
                <w:rFonts w:hint="eastAsia" w:ascii="仿宋" w:hAnsi="仿宋" w:eastAsia="仿宋" w:cs="仿宋"/>
                <w:color w:val="auto"/>
                <w:sz w:val="22"/>
                <w:szCs w:val="21"/>
                <w:highlight w:val="none"/>
                <w:lang w:val="en-US" w:eastAsia="zh-CN"/>
              </w:rPr>
              <w:t>评标委员会根据投标人的质量保证措施及违约责任承诺进行横向比较后，按以下标准进行评分。</w:t>
            </w:r>
          </w:p>
          <w:p>
            <w:pPr>
              <w:spacing w:line="400" w:lineRule="exact"/>
              <w:rPr>
                <w:rFonts w:hint="eastAsia" w:ascii="仿宋" w:hAnsi="仿宋" w:eastAsia="仿宋" w:cs="仿宋"/>
                <w:color w:val="auto"/>
                <w:sz w:val="22"/>
                <w:szCs w:val="21"/>
                <w:highlight w:val="none"/>
                <w:lang w:val="en-US" w:eastAsia="zh-CN"/>
              </w:rPr>
            </w:pPr>
            <w:r>
              <w:rPr>
                <w:rFonts w:hint="eastAsia" w:ascii="仿宋" w:hAnsi="仿宋" w:eastAsia="仿宋" w:cs="仿宋"/>
                <w:color w:val="auto"/>
                <w:sz w:val="22"/>
                <w:szCs w:val="21"/>
                <w:highlight w:val="none"/>
                <w:lang w:val="en-US" w:eastAsia="zh-CN"/>
              </w:rPr>
              <w:t>第一档次：有完善的质量承诺和有力保证措施，明确的违约责任承诺，完全满足采购人服务需求的，得4-5分；</w:t>
            </w:r>
          </w:p>
          <w:p>
            <w:pPr>
              <w:spacing w:line="400" w:lineRule="exact"/>
              <w:rPr>
                <w:rFonts w:hint="eastAsia" w:ascii="仿宋" w:hAnsi="仿宋" w:eastAsia="仿宋" w:cs="仿宋"/>
                <w:color w:val="auto"/>
                <w:sz w:val="22"/>
                <w:szCs w:val="21"/>
                <w:highlight w:val="none"/>
                <w:lang w:val="en-US" w:eastAsia="zh-CN"/>
              </w:rPr>
            </w:pPr>
            <w:r>
              <w:rPr>
                <w:rFonts w:hint="eastAsia" w:ascii="仿宋" w:hAnsi="仿宋" w:eastAsia="仿宋" w:cs="仿宋"/>
                <w:color w:val="auto"/>
                <w:sz w:val="22"/>
                <w:szCs w:val="21"/>
                <w:highlight w:val="none"/>
                <w:lang w:val="en-US" w:eastAsia="zh-CN"/>
              </w:rPr>
              <w:t>第二档次：有可行的质量承诺、保证措施良好，违约责任承诺较为清晰，能够较好满足采购人服务需求的，得2-3分；</w:t>
            </w:r>
          </w:p>
          <w:p>
            <w:pPr>
              <w:spacing w:line="400" w:lineRule="exac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1"/>
                <w:highlight w:val="none"/>
                <w:lang w:val="en-US" w:eastAsia="zh-CN"/>
              </w:rPr>
              <w:t>第三档次：质量承诺、保证措施一般，违约责任承诺不清晰，能基本满足采购人服务需求的，得0-1分；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43" w:hRule="atLeast"/>
        </w:trPr>
        <w:tc>
          <w:tcPr>
            <w:tcW w:w="1510" w:type="dxa"/>
            <w:vMerge w:val="restart"/>
            <w:tcBorders>
              <w:tl2br w:val="nil"/>
              <w:tr2bl w:val="nil"/>
            </w:tcBorders>
            <w:vAlign w:val="center"/>
          </w:tcPr>
          <w:p>
            <w:pPr>
              <w:spacing w:line="400" w:lineRule="exact"/>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商务部分评分(F3，满分</w:t>
            </w:r>
            <w:r>
              <w:rPr>
                <w:rFonts w:hint="eastAsia" w:ascii="仿宋" w:hAnsi="仿宋" w:eastAsia="仿宋" w:cs="仿宋"/>
                <w:b/>
                <w:color w:val="auto"/>
                <w:sz w:val="22"/>
                <w:highlight w:val="none"/>
                <w:lang w:val="en-US" w:eastAsia="zh-CN"/>
              </w:rPr>
              <w:t>30</w:t>
            </w:r>
            <w:r>
              <w:rPr>
                <w:rFonts w:hint="eastAsia" w:ascii="仿宋" w:hAnsi="仿宋" w:eastAsia="仿宋" w:cs="仿宋"/>
                <w:b/>
                <w:color w:val="auto"/>
                <w:sz w:val="22"/>
                <w:highlight w:val="none"/>
              </w:rPr>
              <w:t>分)</w:t>
            </w:r>
          </w:p>
        </w:tc>
        <w:tc>
          <w:tcPr>
            <w:tcW w:w="1548" w:type="dxa"/>
            <w:tcBorders>
              <w:tl2br w:val="nil"/>
              <w:tr2bl w:val="nil"/>
            </w:tcBorders>
            <w:vAlign w:val="center"/>
          </w:tcPr>
          <w:p>
            <w:pPr>
              <w:spacing w:line="40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类似业绩</w:t>
            </w:r>
          </w:p>
          <w:p>
            <w:pPr>
              <w:spacing w:line="40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（满分</w:t>
            </w:r>
            <w:r>
              <w:rPr>
                <w:rFonts w:hint="eastAsia" w:ascii="仿宋" w:hAnsi="仿宋" w:eastAsia="仿宋" w:cs="仿宋"/>
                <w:color w:val="auto"/>
                <w:sz w:val="22"/>
                <w:highlight w:val="none"/>
                <w:lang w:val="en-US" w:eastAsia="zh-CN"/>
              </w:rPr>
              <w:t>5</w:t>
            </w:r>
            <w:r>
              <w:rPr>
                <w:rFonts w:hint="eastAsia" w:ascii="仿宋" w:hAnsi="仿宋" w:eastAsia="仿宋" w:cs="仿宋"/>
                <w:color w:val="auto"/>
                <w:sz w:val="22"/>
                <w:highlight w:val="none"/>
              </w:rPr>
              <w:t>分）</w:t>
            </w:r>
          </w:p>
        </w:tc>
        <w:tc>
          <w:tcPr>
            <w:tcW w:w="7092" w:type="dxa"/>
            <w:tcBorders>
              <w:tl2br w:val="nil"/>
              <w:tr2bl w:val="nil"/>
            </w:tcBorders>
            <w:vAlign w:val="center"/>
          </w:tcPr>
          <w:p>
            <w:pPr>
              <w:tabs>
                <w:tab w:val="left" w:pos="-180"/>
                <w:tab w:val="left" w:pos="0"/>
                <w:tab w:val="left" w:pos="2160"/>
              </w:tabs>
              <w:snapToGrid w:val="0"/>
              <w:spacing w:line="380" w:lineRule="exact"/>
              <w:rPr>
                <w:rFonts w:hint="eastAsia" w:ascii="仿宋" w:hAnsi="仿宋" w:eastAsia="仿宋" w:cs="仿宋"/>
                <w:color w:val="auto"/>
                <w:sz w:val="22"/>
                <w:szCs w:val="21"/>
                <w:highlight w:val="none"/>
              </w:rPr>
            </w:pPr>
            <w:r>
              <w:rPr>
                <w:rFonts w:hint="eastAsia" w:ascii="仿宋" w:hAnsi="仿宋" w:eastAsia="仿宋" w:cs="仿宋"/>
                <w:b/>
                <w:color w:val="auto"/>
                <w:sz w:val="22"/>
                <w:szCs w:val="21"/>
                <w:highlight w:val="none"/>
              </w:rPr>
              <w:t>对投标人类似业绩进行综合评审打分，评分标准如下：</w:t>
            </w:r>
          </w:p>
          <w:p>
            <w:pPr>
              <w:tabs>
                <w:tab w:val="left" w:pos="-180"/>
                <w:tab w:val="left" w:pos="0"/>
                <w:tab w:val="left" w:pos="2160"/>
              </w:tabs>
              <w:snapToGrid w:val="0"/>
              <w:spacing w:line="380" w:lineRule="exact"/>
              <w:ind w:firstLine="440" w:firstLineChars="200"/>
              <w:rPr>
                <w:rFonts w:hint="eastAsia" w:ascii="仿宋" w:hAnsi="仿宋" w:eastAsia="仿宋" w:cs="仿宋"/>
                <w:bCs/>
                <w:color w:val="auto"/>
                <w:szCs w:val="21"/>
                <w:highlight w:val="none"/>
              </w:rPr>
            </w:pPr>
            <w:r>
              <w:rPr>
                <w:rFonts w:hint="eastAsia" w:ascii="仿宋" w:hAnsi="仿宋" w:eastAsia="仿宋" w:cs="仿宋"/>
                <w:color w:val="auto"/>
                <w:sz w:val="22"/>
                <w:szCs w:val="21"/>
                <w:highlight w:val="none"/>
              </w:rPr>
              <w:t>提供近3年（201</w:t>
            </w:r>
            <w:r>
              <w:rPr>
                <w:rFonts w:hint="eastAsia" w:ascii="仿宋" w:hAnsi="仿宋" w:eastAsia="仿宋" w:cs="仿宋"/>
                <w:color w:val="auto"/>
                <w:sz w:val="22"/>
                <w:szCs w:val="21"/>
                <w:highlight w:val="none"/>
                <w:lang w:val="en-US" w:eastAsia="zh-CN"/>
              </w:rPr>
              <w:t>8</w:t>
            </w:r>
            <w:r>
              <w:rPr>
                <w:rFonts w:hint="eastAsia" w:ascii="仿宋" w:hAnsi="仿宋" w:eastAsia="仿宋" w:cs="仿宋"/>
                <w:color w:val="auto"/>
                <w:sz w:val="22"/>
                <w:szCs w:val="21"/>
                <w:highlight w:val="none"/>
              </w:rPr>
              <w:t>年1月1日至今）投标人</w:t>
            </w:r>
            <w:r>
              <w:rPr>
                <w:rFonts w:hint="eastAsia" w:ascii="仿宋" w:hAnsi="仿宋" w:eastAsia="仿宋" w:cs="仿宋"/>
                <w:color w:val="auto"/>
                <w:sz w:val="22"/>
                <w:szCs w:val="21"/>
                <w:highlight w:val="none"/>
                <w:lang w:eastAsia="zh-CN"/>
              </w:rPr>
              <w:t>与中</w:t>
            </w:r>
            <w:r>
              <w:rPr>
                <w:rFonts w:hint="eastAsia" w:ascii="仿宋" w:hAnsi="仿宋" w:eastAsia="仿宋" w:cs="仿宋"/>
                <w:color w:val="auto"/>
                <w:sz w:val="22"/>
                <w:szCs w:val="21"/>
                <w:highlight w:val="none"/>
                <w:lang w:val="en-US" w:eastAsia="zh-CN"/>
              </w:rPr>
              <w:t>标/成交</w:t>
            </w:r>
            <w:r>
              <w:rPr>
                <w:rFonts w:hint="eastAsia" w:ascii="仿宋" w:hAnsi="仿宋" w:eastAsia="仿宋" w:cs="仿宋"/>
                <w:color w:val="auto"/>
                <w:sz w:val="22"/>
                <w:szCs w:val="21"/>
                <w:highlight w:val="none"/>
              </w:rPr>
              <w:t>设备</w:t>
            </w:r>
            <w:r>
              <w:rPr>
                <w:rFonts w:hint="eastAsia" w:ascii="仿宋" w:hAnsi="仿宋" w:eastAsia="仿宋" w:cs="仿宋"/>
                <w:color w:val="auto"/>
                <w:sz w:val="22"/>
                <w:szCs w:val="21"/>
                <w:highlight w:val="none"/>
                <w:lang w:eastAsia="zh-CN"/>
              </w:rPr>
              <w:t>使用单位</w:t>
            </w:r>
            <w:r>
              <w:rPr>
                <w:rFonts w:hint="eastAsia" w:ascii="仿宋" w:hAnsi="仿宋" w:eastAsia="仿宋" w:cs="仿宋"/>
                <w:color w:val="auto"/>
                <w:sz w:val="22"/>
                <w:szCs w:val="21"/>
                <w:highlight w:val="none"/>
              </w:rPr>
              <w:t>签订的合同，每提供一份加</w:t>
            </w:r>
            <w:r>
              <w:rPr>
                <w:rFonts w:hint="eastAsia" w:ascii="仿宋" w:hAnsi="仿宋" w:eastAsia="仿宋" w:cs="仿宋"/>
                <w:color w:val="auto"/>
                <w:sz w:val="22"/>
                <w:szCs w:val="21"/>
                <w:highlight w:val="none"/>
                <w:lang w:val="en-US" w:eastAsia="zh-CN"/>
              </w:rPr>
              <w:t>1</w:t>
            </w:r>
            <w:r>
              <w:rPr>
                <w:rFonts w:hint="eastAsia" w:ascii="仿宋" w:hAnsi="仿宋" w:eastAsia="仿宋" w:cs="仿宋"/>
                <w:color w:val="auto"/>
                <w:sz w:val="22"/>
                <w:szCs w:val="21"/>
                <w:highlight w:val="none"/>
              </w:rPr>
              <w:t>分，满分为</w:t>
            </w:r>
            <w:r>
              <w:rPr>
                <w:rFonts w:hint="eastAsia" w:ascii="仿宋" w:hAnsi="仿宋" w:eastAsia="仿宋" w:cs="仿宋"/>
                <w:color w:val="auto"/>
                <w:sz w:val="22"/>
                <w:szCs w:val="21"/>
                <w:highlight w:val="none"/>
                <w:lang w:val="en-US" w:eastAsia="zh-CN"/>
              </w:rPr>
              <w:t>5</w:t>
            </w:r>
            <w:r>
              <w:rPr>
                <w:rFonts w:hint="eastAsia" w:ascii="仿宋" w:hAnsi="仿宋" w:eastAsia="仿宋" w:cs="仿宋"/>
                <w:color w:val="auto"/>
                <w:sz w:val="22"/>
                <w:szCs w:val="21"/>
                <w:highlight w:val="none"/>
              </w:rPr>
              <w:t>分。</w:t>
            </w:r>
            <w:r>
              <w:rPr>
                <w:rFonts w:hint="eastAsia" w:ascii="仿宋" w:hAnsi="仿宋" w:eastAsia="仿宋" w:cs="仿宋"/>
                <w:b/>
                <w:bCs/>
                <w:color w:val="auto"/>
                <w:sz w:val="22"/>
                <w:szCs w:val="21"/>
                <w:highlight w:val="none"/>
              </w:rPr>
              <w:t>注：时间以合同签署时间为准。提供以下要求的证明材料：中标通知书</w:t>
            </w:r>
            <w:r>
              <w:rPr>
                <w:rFonts w:hint="eastAsia" w:ascii="仿宋" w:hAnsi="仿宋" w:eastAsia="仿宋" w:cs="仿宋"/>
                <w:b/>
                <w:bCs/>
                <w:color w:val="auto"/>
                <w:sz w:val="22"/>
                <w:szCs w:val="21"/>
                <w:highlight w:val="none"/>
                <w:lang w:val="en-US" w:eastAsia="zh-CN"/>
              </w:rPr>
              <w:t>或</w:t>
            </w:r>
            <w:r>
              <w:rPr>
                <w:rFonts w:hint="eastAsia" w:ascii="仿宋" w:hAnsi="仿宋" w:eastAsia="仿宋" w:cs="仿宋"/>
                <w:b/>
                <w:bCs/>
                <w:color w:val="auto"/>
                <w:sz w:val="22"/>
                <w:szCs w:val="21"/>
                <w:highlight w:val="none"/>
              </w:rPr>
              <w:t>合同协议书,否则不予认可。合同复印件内容应清晰可辨，因模糊不清所造成的后果由投标人自行承担。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1510" w:type="dxa"/>
            <w:vMerge w:val="continue"/>
            <w:tcBorders>
              <w:tl2br w:val="nil"/>
              <w:tr2bl w:val="nil"/>
            </w:tcBorders>
            <w:vAlign w:val="center"/>
          </w:tcPr>
          <w:p>
            <w:pPr>
              <w:spacing w:line="400" w:lineRule="exact"/>
              <w:jc w:val="center"/>
              <w:rPr>
                <w:rFonts w:hint="eastAsia" w:ascii="仿宋" w:hAnsi="仿宋" w:eastAsia="仿宋" w:cs="仿宋"/>
                <w:b/>
                <w:color w:val="auto"/>
                <w:sz w:val="22"/>
                <w:highlight w:val="none"/>
              </w:rPr>
            </w:pPr>
          </w:p>
        </w:tc>
        <w:tc>
          <w:tcPr>
            <w:tcW w:w="1548" w:type="dxa"/>
            <w:tcBorders>
              <w:tl2br w:val="nil"/>
              <w:tr2bl w:val="nil"/>
            </w:tcBorders>
            <w:vAlign w:val="center"/>
          </w:tcPr>
          <w:p>
            <w:pPr>
              <w:spacing w:line="40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交货计划及保障实施措施方案</w:t>
            </w:r>
          </w:p>
          <w:p>
            <w:pPr>
              <w:spacing w:line="400" w:lineRule="exact"/>
              <w:jc w:val="center"/>
              <w:rPr>
                <w:rFonts w:hint="eastAsia" w:ascii="仿宋" w:hAnsi="仿宋" w:eastAsia="仿宋" w:cs="仿宋"/>
                <w:color w:val="auto"/>
                <w:sz w:val="20"/>
                <w:szCs w:val="21"/>
                <w:highlight w:val="none"/>
              </w:rPr>
            </w:pPr>
            <w:r>
              <w:rPr>
                <w:rFonts w:hint="eastAsia" w:ascii="仿宋" w:hAnsi="仿宋" w:eastAsia="仿宋" w:cs="仿宋"/>
                <w:color w:val="auto"/>
                <w:sz w:val="22"/>
                <w:highlight w:val="none"/>
              </w:rPr>
              <w:t>（满分</w:t>
            </w:r>
            <w:r>
              <w:rPr>
                <w:rFonts w:hint="eastAsia" w:ascii="仿宋" w:hAnsi="仿宋" w:eastAsia="仿宋" w:cs="仿宋"/>
                <w:color w:val="auto"/>
                <w:sz w:val="22"/>
                <w:highlight w:val="none"/>
                <w:lang w:val="en-US" w:eastAsia="zh-CN"/>
              </w:rPr>
              <w:t>20</w:t>
            </w:r>
            <w:r>
              <w:rPr>
                <w:rFonts w:hint="eastAsia" w:ascii="仿宋" w:hAnsi="仿宋" w:eastAsia="仿宋" w:cs="仿宋"/>
                <w:color w:val="auto"/>
                <w:sz w:val="22"/>
                <w:highlight w:val="none"/>
              </w:rPr>
              <w:t>分）</w:t>
            </w:r>
          </w:p>
        </w:tc>
        <w:tc>
          <w:tcPr>
            <w:tcW w:w="7092" w:type="dxa"/>
            <w:tcBorders>
              <w:tl2br w:val="nil"/>
              <w:tr2bl w:val="nil"/>
            </w:tcBorders>
            <w:vAlign w:val="center"/>
          </w:tcPr>
          <w:p>
            <w:pPr>
              <w:spacing w:line="380" w:lineRule="exact"/>
              <w:ind w:firstLine="442" w:firstLineChars="200"/>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对投标人设备交货计划及保障措施方案进行综合评审打分，评分标准如下：</w:t>
            </w:r>
          </w:p>
          <w:p>
            <w:pPr>
              <w:spacing w:line="380" w:lineRule="exact"/>
              <w:ind w:firstLine="440" w:firstLineChars="200"/>
              <w:rPr>
                <w:rFonts w:hint="eastAsia" w:ascii="仿宋" w:hAnsi="仿宋" w:eastAsia="仿宋" w:cs="仿宋"/>
                <w:color w:val="auto"/>
                <w:szCs w:val="21"/>
                <w:highlight w:val="none"/>
              </w:rPr>
            </w:pPr>
            <w:r>
              <w:rPr>
                <w:rFonts w:hint="eastAsia" w:ascii="仿宋" w:hAnsi="仿宋" w:eastAsia="仿宋" w:cs="仿宋"/>
                <w:bCs/>
                <w:color w:val="auto"/>
                <w:sz w:val="22"/>
                <w:szCs w:val="21"/>
                <w:highlight w:val="none"/>
              </w:rPr>
              <w:t>投标人根据项目的实际情况编制交货计划</w:t>
            </w:r>
            <w:r>
              <w:rPr>
                <w:rFonts w:hint="eastAsia" w:ascii="仿宋" w:hAnsi="仿宋" w:eastAsia="仿宋" w:cs="仿宋"/>
                <w:color w:val="auto"/>
                <w:sz w:val="22"/>
                <w:highlight w:val="none"/>
              </w:rPr>
              <w:t>及保障实施措施方案</w:t>
            </w:r>
            <w:r>
              <w:rPr>
                <w:rFonts w:hint="eastAsia" w:ascii="仿宋" w:hAnsi="仿宋" w:eastAsia="仿宋" w:cs="仿宋"/>
                <w:bCs/>
                <w:color w:val="auto"/>
                <w:sz w:val="22"/>
                <w:szCs w:val="21"/>
                <w:highlight w:val="none"/>
              </w:rPr>
              <w:t>至少包括：</w:t>
            </w:r>
            <w:r>
              <w:rPr>
                <w:rFonts w:hint="eastAsia" w:ascii="仿宋" w:hAnsi="仿宋" w:eastAsia="仿宋" w:cs="仿宋"/>
                <w:color w:val="auto"/>
                <w:szCs w:val="21"/>
                <w:highlight w:val="none"/>
              </w:rPr>
              <w:t>物流保障（</w:t>
            </w:r>
            <w:r>
              <w:rPr>
                <w:rFonts w:hint="eastAsia" w:ascii="仿宋" w:hAnsi="仿宋" w:eastAsia="仿宋" w:cs="仿宋"/>
                <w:bCs/>
                <w:color w:val="auto"/>
                <w:sz w:val="22"/>
                <w:szCs w:val="21"/>
                <w:highlight w:val="none"/>
              </w:rPr>
              <w:t>内容完整、具有针对性、科学性</w:t>
            </w:r>
            <w:r>
              <w:rPr>
                <w:rFonts w:hint="eastAsia" w:ascii="仿宋" w:hAnsi="仿宋" w:eastAsia="仿宋" w:cs="仿宋"/>
                <w:color w:val="auto"/>
                <w:szCs w:val="21"/>
                <w:highlight w:val="none"/>
              </w:rPr>
              <w:t>）、物品运输保障（</w:t>
            </w:r>
            <w:r>
              <w:rPr>
                <w:rFonts w:hint="eastAsia" w:ascii="仿宋" w:hAnsi="仿宋" w:eastAsia="仿宋" w:cs="仿宋"/>
                <w:bCs/>
                <w:color w:val="auto"/>
                <w:sz w:val="22"/>
                <w:szCs w:val="21"/>
                <w:highlight w:val="none"/>
              </w:rPr>
              <w:t>内容完整、具有针对性、科学性</w:t>
            </w:r>
            <w:r>
              <w:rPr>
                <w:rFonts w:hint="eastAsia" w:ascii="仿宋" w:hAnsi="仿宋" w:eastAsia="仿宋" w:cs="仿宋"/>
                <w:color w:val="auto"/>
                <w:szCs w:val="21"/>
                <w:highlight w:val="none"/>
              </w:rPr>
              <w:t>）、按时交货保障（有具体的按时交货承诺）、项目机构人员配备（人员配备科学合理、有针对性）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培训计划(不少于1个工作日的驻点培训，培训人员不少于2名，受训者达到熟练操作使用设备并具备一般维修技能)</w:t>
            </w:r>
            <w:r>
              <w:rPr>
                <w:rFonts w:hint="eastAsia" w:ascii="仿宋" w:hAnsi="仿宋" w:eastAsia="仿宋" w:cs="仿宋"/>
                <w:color w:val="auto"/>
                <w:szCs w:val="21"/>
                <w:highlight w:val="none"/>
              </w:rPr>
              <w:t>等</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项内容，层次清楚，结构合理，功能直观，目标清晰。</w:t>
            </w:r>
          </w:p>
          <w:p>
            <w:pPr>
              <w:spacing w:line="380" w:lineRule="exact"/>
              <w:rPr>
                <w:rFonts w:hint="eastAsia" w:ascii="仿宋" w:hAnsi="仿宋" w:eastAsia="仿宋" w:cs="仿宋"/>
                <w:bCs/>
                <w:color w:val="auto"/>
                <w:sz w:val="22"/>
                <w:szCs w:val="21"/>
                <w:highlight w:val="none"/>
              </w:rPr>
            </w:pPr>
            <w:r>
              <w:rPr>
                <w:rFonts w:hint="eastAsia" w:ascii="仿宋" w:hAnsi="仿宋" w:eastAsia="仿宋" w:cs="仿宋"/>
                <w:bCs/>
                <w:color w:val="auto"/>
                <w:sz w:val="22"/>
                <w:szCs w:val="21"/>
                <w:highlight w:val="none"/>
              </w:rPr>
              <w:t>1、根据</w:t>
            </w:r>
            <w:r>
              <w:rPr>
                <w:rFonts w:hint="eastAsia" w:ascii="仿宋" w:hAnsi="仿宋" w:eastAsia="仿宋" w:cs="仿宋"/>
                <w:color w:val="auto"/>
                <w:sz w:val="22"/>
                <w:highlight w:val="none"/>
              </w:rPr>
              <w:t>保障实施措施方案</w:t>
            </w:r>
            <w:r>
              <w:rPr>
                <w:rFonts w:hint="eastAsia" w:ascii="仿宋" w:hAnsi="仿宋" w:eastAsia="仿宋" w:cs="仿宋"/>
                <w:bCs/>
                <w:color w:val="auto"/>
                <w:sz w:val="22"/>
                <w:szCs w:val="21"/>
                <w:highlight w:val="none"/>
              </w:rPr>
              <w:t>对项目的实际符合性、内容完整性、针对性、科学合理性，综合评定该项等级，最优的得</w:t>
            </w:r>
            <w:r>
              <w:rPr>
                <w:rFonts w:hint="eastAsia" w:ascii="仿宋" w:hAnsi="仿宋" w:eastAsia="仿宋" w:cs="仿宋"/>
                <w:bCs/>
                <w:color w:val="auto"/>
                <w:sz w:val="22"/>
                <w:szCs w:val="21"/>
                <w:highlight w:val="none"/>
                <w:lang w:val="en-US" w:eastAsia="zh-CN"/>
              </w:rPr>
              <w:t>20</w:t>
            </w:r>
            <w:r>
              <w:rPr>
                <w:rFonts w:hint="eastAsia" w:ascii="仿宋" w:hAnsi="仿宋" w:eastAsia="仿宋" w:cs="仿宋"/>
                <w:bCs/>
                <w:color w:val="auto"/>
                <w:sz w:val="22"/>
                <w:szCs w:val="21"/>
                <w:highlight w:val="none"/>
              </w:rPr>
              <w:t>分，每降低一个等级减</w:t>
            </w:r>
            <w:r>
              <w:rPr>
                <w:rFonts w:hint="eastAsia" w:ascii="仿宋" w:hAnsi="仿宋" w:eastAsia="仿宋" w:cs="仿宋"/>
                <w:bCs/>
                <w:color w:val="auto"/>
                <w:sz w:val="22"/>
                <w:szCs w:val="21"/>
                <w:highlight w:val="none"/>
                <w:lang w:val="en-US" w:eastAsia="zh-CN"/>
              </w:rPr>
              <w:t>5</w:t>
            </w:r>
            <w:r>
              <w:rPr>
                <w:rFonts w:hint="eastAsia" w:ascii="仿宋" w:hAnsi="仿宋" w:eastAsia="仿宋" w:cs="仿宋"/>
                <w:bCs/>
                <w:color w:val="auto"/>
                <w:sz w:val="22"/>
                <w:szCs w:val="21"/>
                <w:highlight w:val="none"/>
              </w:rPr>
              <w:t>分。</w:t>
            </w:r>
          </w:p>
          <w:p>
            <w:pPr>
              <w:spacing w:line="380" w:lineRule="exact"/>
              <w:rPr>
                <w:rFonts w:hint="eastAsia" w:ascii="仿宋" w:hAnsi="仿宋" w:eastAsia="仿宋" w:cs="仿宋"/>
                <w:color w:val="auto"/>
                <w:sz w:val="22"/>
                <w:szCs w:val="21"/>
                <w:highlight w:val="none"/>
              </w:rPr>
            </w:pPr>
            <w:r>
              <w:rPr>
                <w:rFonts w:hint="eastAsia" w:ascii="仿宋" w:hAnsi="仿宋" w:eastAsia="仿宋" w:cs="仿宋"/>
                <w:bCs/>
                <w:color w:val="auto"/>
                <w:sz w:val="22"/>
                <w:szCs w:val="21"/>
                <w:highlight w:val="none"/>
                <w:lang w:val="en-US" w:eastAsia="zh-CN"/>
              </w:rPr>
              <w:t>2</w:t>
            </w:r>
            <w:r>
              <w:rPr>
                <w:rFonts w:hint="eastAsia" w:ascii="仿宋" w:hAnsi="仿宋" w:eastAsia="仿宋" w:cs="仿宋"/>
                <w:bCs/>
                <w:color w:val="auto"/>
                <w:sz w:val="22"/>
                <w:szCs w:val="21"/>
                <w:highlight w:val="none"/>
              </w:rPr>
              <w:t>、未提交货计划及保障措施的本项不得分。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1510" w:type="dxa"/>
            <w:vMerge w:val="continue"/>
            <w:tcBorders>
              <w:tl2br w:val="nil"/>
              <w:tr2bl w:val="nil"/>
            </w:tcBorders>
            <w:vAlign w:val="center"/>
          </w:tcPr>
          <w:p>
            <w:pPr>
              <w:spacing w:line="400" w:lineRule="exact"/>
              <w:jc w:val="center"/>
              <w:rPr>
                <w:rFonts w:hint="eastAsia" w:ascii="仿宋" w:hAnsi="仿宋" w:eastAsia="仿宋" w:cs="仿宋"/>
                <w:b/>
                <w:color w:val="auto"/>
                <w:sz w:val="22"/>
                <w:highlight w:val="none"/>
              </w:rPr>
            </w:pPr>
          </w:p>
        </w:tc>
        <w:tc>
          <w:tcPr>
            <w:tcW w:w="1548" w:type="dxa"/>
            <w:tcBorders>
              <w:tl2br w:val="nil"/>
              <w:tr2bl w:val="nil"/>
            </w:tcBorders>
            <w:vAlign w:val="center"/>
          </w:tcPr>
          <w:p>
            <w:pPr>
              <w:spacing w:line="400" w:lineRule="exact"/>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售后服务方案</w:t>
            </w:r>
          </w:p>
          <w:p>
            <w:pPr>
              <w:spacing w:line="400" w:lineRule="exact"/>
              <w:jc w:val="center"/>
              <w:rPr>
                <w:rFonts w:hint="eastAsia" w:ascii="仿宋" w:hAnsi="仿宋" w:eastAsia="仿宋" w:cs="仿宋"/>
                <w:bCs/>
                <w:color w:val="auto"/>
                <w:sz w:val="20"/>
                <w:szCs w:val="21"/>
                <w:highlight w:val="none"/>
              </w:rPr>
            </w:pPr>
            <w:r>
              <w:rPr>
                <w:rFonts w:hint="eastAsia" w:ascii="仿宋" w:hAnsi="仿宋" w:eastAsia="仿宋" w:cs="仿宋"/>
                <w:color w:val="auto"/>
                <w:sz w:val="22"/>
                <w:highlight w:val="none"/>
              </w:rPr>
              <w:t>（满分</w:t>
            </w:r>
            <w:r>
              <w:rPr>
                <w:rFonts w:hint="eastAsia" w:ascii="仿宋" w:hAnsi="仿宋" w:eastAsia="仿宋" w:cs="仿宋"/>
                <w:color w:val="auto"/>
                <w:sz w:val="22"/>
                <w:highlight w:val="none"/>
                <w:lang w:val="en-US" w:eastAsia="zh-CN"/>
              </w:rPr>
              <w:t>5</w:t>
            </w:r>
            <w:r>
              <w:rPr>
                <w:rFonts w:hint="eastAsia" w:ascii="仿宋" w:hAnsi="仿宋" w:eastAsia="仿宋" w:cs="仿宋"/>
                <w:color w:val="auto"/>
                <w:sz w:val="22"/>
                <w:highlight w:val="none"/>
              </w:rPr>
              <w:t>分）</w:t>
            </w:r>
          </w:p>
        </w:tc>
        <w:tc>
          <w:tcPr>
            <w:tcW w:w="7092" w:type="dxa"/>
            <w:tcBorders>
              <w:tl2br w:val="nil"/>
              <w:tr2bl w:val="nil"/>
            </w:tcBorders>
            <w:vAlign w:val="center"/>
          </w:tcPr>
          <w:p>
            <w:pPr>
              <w:tabs>
                <w:tab w:val="left" w:pos="-180"/>
                <w:tab w:val="left" w:pos="0"/>
                <w:tab w:val="left" w:pos="2160"/>
              </w:tabs>
              <w:snapToGrid w:val="0"/>
              <w:spacing w:line="380" w:lineRule="exact"/>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对投标人售后服务方案综合评审打分，评分标准如下：</w:t>
            </w:r>
          </w:p>
          <w:p>
            <w:pPr>
              <w:tabs>
                <w:tab w:val="left" w:pos="-180"/>
                <w:tab w:val="left" w:pos="0"/>
                <w:tab w:val="left" w:pos="2160"/>
              </w:tabs>
              <w:snapToGrid w:val="0"/>
              <w:spacing w:line="380" w:lineRule="exact"/>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售后服务方案包括：应急处理措施、处理程序、响应时间、服务网点、维保服务期、拟派人员、维修配件（易耗品更换的承担方式）、备品配件库的内容。</w:t>
            </w:r>
          </w:p>
          <w:p>
            <w:pPr>
              <w:tabs>
                <w:tab w:val="left" w:pos="-180"/>
                <w:tab w:val="left" w:pos="0"/>
                <w:tab w:val="left" w:pos="2160"/>
              </w:tabs>
              <w:snapToGrid w:val="0"/>
              <w:spacing w:line="380" w:lineRule="exact"/>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第一个档次（</w:t>
            </w:r>
            <w:r>
              <w:rPr>
                <w:rFonts w:hint="eastAsia" w:ascii="仿宋" w:hAnsi="仿宋" w:eastAsia="仿宋" w:cs="仿宋"/>
                <w:color w:val="auto"/>
                <w:sz w:val="22"/>
                <w:szCs w:val="21"/>
                <w:highlight w:val="none"/>
                <w:lang w:val="en-US" w:eastAsia="zh-CN"/>
              </w:rPr>
              <w:t>4-5</w:t>
            </w:r>
            <w:r>
              <w:rPr>
                <w:rFonts w:hint="eastAsia" w:ascii="仿宋" w:hAnsi="仿宋" w:eastAsia="仿宋" w:cs="仿宋"/>
                <w:color w:val="auto"/>
                <w:sz w:val="22"/>
                <w:szCs w:val="21"/>
                <w:highlight w:val="none"/>
              </w:rPr>
              <w:t>分）：满足招标文件要求和项目售后实际需要，针对性强、科学合理，承诺免费</w:t>
            </w:r>
            <w:r>
              <w:rPr>
                <w:rFonts w:hint="eastAsia" w:ascii="仿宋" w:hAnsi="仿宋" w:eastAsia="仿宋" w:cs="仿宋"/>
                <w:color w:val="auto"/>
                <w:sz w:val="22"/>
                <w:szCs w:val="21"/>
                <w:highlight w:val="none"/>
                <w:lang w:val="en-US" w:eastAsia="zh-CN"/>
              </w:rPr>
              <w:t>售后时间长</w:t>
            </w:r>
            <w:r>
              <w:rPr>
                <w:rFonts w:hint="eastAsia" w:ascii="仿宋" w:hAnsi="仿宋" w:eastAsia="仿宋" w:cs="仿宋"/>
                <w:color w:val="auto"/>
                <w:sz w:val="22"/>
                <w:szCs w:val="21"/>
                <w:highlight w:val="none"/>
              </w:rPr>
              <w:t>，能有效的保证服务的质量、效率、安全的。</w:t>
            </w:r>
          </w:p>
          <w:p>
            <w:pPr>
              <w:tabs>
                <w:tab w:val="left" w:pos="-180"/>
                <w:tab w:val="left" w:pos="0"/>
                <w:tab w:val="left" w:pos="2160"/>
              </w:tabs>
              <w:snapToGrid w:val="0"/>
              <w:spacing w:line="380" w:lineRule="exact"/>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第二个档次（</w:t>
            </w:r>
            <w:r>
              <w:rPr>
                <w:rFonts w:hint="eastAsia" w:ascii="仿宋" w:hAnsi="仿宋" w:eastAsia="仿宋" w:cs="仿宋"/>
                <w:color w:val="auto"/>
                <w:sz w:val="22"/>
                <w:szCs w:val="21"/>
                <w:highlight w:val="none"/>
                <w:lang w:val="en-US" w:eastAsia="zh-CN"/>
              </w:rPr>
              <w:t>3</w:t>
            </w:r>
            <w:r>
              <w:rPr>
                <w:rFonts w:hint="eastAsia" w:ascii="仿宋" w:hAnsi="仿宋" w:eastAsia="仿宋" w:cs="仿宋"/>
                <w:color w:val="auto"/>
                <w:sz w:val="22"/>
                <w:szCs w:val="21"/>
                <w:highlight w:val="none"/>
              </w:rPr>
              <w:t>分）：符合招标文件要求和项目售后实际需要，针对性较强、科学合理，承诺免费</w:t>
            </w:r>
            <w:r>
              <w:rPr>
                <w:rFonts w:hint="eastAsia" w:ascii="仿宋" w:hAnsi="仿宋" w:eastAsia="仿宋" w:cs="仿宋"/>
                <w:color w:val="auto"/>
                <w:sz w:val="22"/>
                <w:szCs w:val="21"/>
                <w:highlight w:val="none"/>
                <w:lang w:val="en-US" w:eastAsia="zh-CN"/>
              </w:rPr>
              <w:t>售后时间长</w:t>
            </w:r>
            <w:r>
              <w:rPr>
                <w:rFonts w:hint="eastAsia" w:ascii="仿宋" w:hAnsi="仿宋" w:eastAsia="仿宋" w:cs="仿宋"/>
                <w:color w:val="auto"/>
                <w:sz w:val="22"/>
                <w:szCs w:val="21"/>
                <w:highlight w:val="none"/>
              </w:rPr>
              <w:t>，能较为有效的保证服务的质量、效率、安全的。</w:t>
            </w:r>
          </w:p>
          <w:p>
            <w:pPr>
              <w:tabs>
                <w:tab w:val="left" w:pos="-180"/>
                <w:tab w:val="left" w:pos="0"/>
                <w:tab w:val="left" w:pos="2160"/>
              </w:tabs>
              <w:snapToGrid w:val="0"/>
              <w:spacing w:line="380" w:lineRule="exact"/>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第三个档次（</w:t>
            </w:r>
            <w:r>
              <w:rPr>
                <w:rFonts w:hint="eastAsia" w:ascii="仿宋" w:hAnsi="仿宋" w:eastAsia="仿宋" w:cs="仿宋"/>
                <w:color w:val="auto"/>
                <w:sz w:val="22"/>
                <w:szCs w:val="21"/>
                <w:highlight w:val="none"/>
                <w:lang w:val="en-US" w:eastAsia="zh-CN"/>
              </w:rPr>
              <w:t>2</w:t>
            </w:r>
            <w:r>
              <w:rPr>
                <w:rFonts w:hint="eastAsia" w:ascii="仿宋" w:hAnsi="仿宋" w:eastAsia="仿宋" w:cs="仿宋"/>
                <w:color w:val="auto"/>
                <w:sz w:val="22"/>
                <w:szCs w:val="21"/>
                <w:highlight w:val="none"/>
              </w:rPr>
              <w:t>分）：基本符合招标文件要求和项目售后实际需要，针对性一般，承诺免费</w:t>
            </w:r>
            <w:r>
              <w:rPr>
                <w:rFonts w:hint="eastAsia" w:ascii="仿宋" w:hAnsi="仿宋" w:eastAsia="仿宋" w:cs="仿宋"/>
                <w:color w:val="auto"/>
                <w:sz w:val="22"/>
                <w:szCs w:val="21"/>
                <w:highlight w:val="none"/>
                <w:lang w:val="en-US" w:eastAsia="zh-CN"/>
              </w:rPr>
              <w:t>售后时间一般</w:t>
            </w:r>
            <w:r>
              <w:rPr>
                <w:rFonts w:hint="eastAsia" w:ascii="仿宋" w:hAnsi="仿宋" w:eastAsia="仿宋" w:cs="仿宋"/>
                <w:color w:val="auto"/>
                <w:sz w:val="22"/>
                <w:szCs w:val="21"/>
                <w:highlight w:val="none"/>
              </w:rPr>
              <w:t>，勉强保证服务的质量、效率、安全的。</w:t>
            </w:r>
          </w:p>
          <w:p>
            <w:pPr>
              <w:tabs>
                <w:tab w:val="left" w:pos="-180"/>
                <w:tab w:val="left" w:pos="0"/>
                <w:tab w:val="left" w:pos="2160"/>
              </w:tabs>
              <w:snapToGrid w:val="0"/>
              <w:spacing w:line="380" w:lineRule="exact"/>
              <w:ind w:firstLine="440" w:firstLineChars="200"/>
              <w:rPr>
                <w:rFonts w:hint="eastAsia" w:ascii="仿宋" w:hAnsi="仿宋" w:eastAsia="仿宋" w:cs="仿宋"/>
                <w:color w:val="auto"/>
                <w:sz w:val="20"/>
                <w:szCs w:val="21"/>
                <w:highlight w:val="none"/>
              </w:rPr>
            </w:pPr>
            <w:r>
              <w:rPr>
                <w:rFonts w:hint="eastAsia" w:ascii="仿宋" w:hAnsi="仿宋" w:eastAsia="仿宋" w:cs="仿宋"/>
                <w:color w:val="auto"/>
                <w:sz w:val="22"/>
                <w:szCs w:val="21"/>
                <w:highlight w:val="none"/>
              </w:rPr>
              <w:t>第四个档次（0-1分）：承诺免费</w:t>
            </w:r>
            <w:r>
              <w:rPr>
                <w:rFonts w:hint="eastAsia" w:ascii="仿宋" w:hAnsi="仿宋" w:eastAsia="仿宋" w:cs="仿宋"/>
                <w:color w:val="auto"/>
                <w:sz w:val="22"/>
                <w:szCs w:val="21"/>
                <w:highlight w:val="none"/>
                <w:lang w:val="en-US" w:eastAsia="zh-CN"/>
              </w:rPr>
              <w:t>售后时间短</w:t>
            </w:r>
            <w:r>
              <w:rPr>
                <w:rFonts w:hint="eastAsia" w:ascii="仿宋" w:hAnsi="仿宋" w:eastAsia="仿宋" w:cs="仿宋"/>
                <w:color w:val="auto"/>
                <w:sz w:val="22"/>
                <w:szCs w:val="21"/>
                <w:highlight w:val="none"/>
              </w:rPr>
              <w:t>，或未提供售后服务方案的。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10" w:type="dxa"/>
            <w:vMerge w:val="continue"/>
            <w:tcBorders>
              <w:tl2br w:val="nil"/>
              <w:tr2bl w:val="nil"/>
            </w:tcBorders>
            <w:vAlign w:val="center"/>
          </w:tcPr>
          <w:p>
            <w:pPr>
              <w:widowControl/>
              <w:spacing w:line="400" w:lineRule="exact"/>
              <w:jc w:val="left"/>
              <w:rPr>
                <w:rFonts w:hint="eastAsia" w:ascii="仿宋" w:hAnsi="仿宋" w:eastAsia="仿宋" w:cs="仿宋"/>
                <w:b/>
                <w:color w:val="auto"/>
                <w:sz w:val="22"/>
                <w:highlight w:val="none"/>
              </w:rPr>
            </w:pPr>
          </w:p>
        </w:tc>
        <w:tc>
          <w:tcPr>
            <w:tcW w:w="8640" w:type="dxa"/>
            <w:gridSpan w:val="2"/>
            <w:tcBorders>
              <w:tl2br w:val="nil"/>
              <w:tr2bl w:val="nil"/>
            </w:tcBorders>
            <w:vAlign w:val="center"/>
          </w:tcPr>
          <w:p>
            <w:pPr>
              <w:spacing w:line="400" w:lineRule="exact"/>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备注：评标委员会对各投标人的技术部分、商务部分进行独立评分。其中，</w:t>
            </w:r>
            <w:r>
              <w:rPr>
                <w:rFonts w:hint="eastAsia" w:ascii="仿宋" w:hAnsi="仿宋" w:eastAsia="仿宋" w:cs="仿宋"/>
                <w:b/>
                <w:color w:val="auto"/>
                <w:sz w:val="22"/>
                <w:szCs w:val="21"/>
                <w:highlight w:val="none"/>
              </w:rPr>
              <w:t>技术参数评分和类似业绩</w:t>
            </w:r>
            <w:r>
              <w:rPr>
                <w:rFonts w:hint="eastAsia" w:ascii="仿宋" w:hAnsi="仿宋" w:eastAsia="仿宋" w:cs="仿宋"/>
                <w:b/>
                <w:color w:val="auto"/>
                <w:sz w:val="22"/>
                <w:szCs w:val="21"/>
                <w:highlight w:val="none"/>
                <w:lang w:val="en-US" w:eastAsia="zh-CN"/>
              </w:rPr>
              <w:t>两</w:t>
            </w:r>
            <w:r>
              <w:rPr>
                <w:rFonts w:hint="eastAsia" w:ascii="仿宋" w:hAnsi="仿宋" w:eastAsia="仿宋" w:cs="仿宋"/>
                <w:b/>
                <w:color w:val="auto"/>
                <w:sz w:val="22"/>
                <w:szCs w:val="21"/>
                <w:highlight w:val="none"/>
              </w:rPr>
              <w:t>项</w:t>
            </w:r>
            <w:r>
              <w:rPr>
                <w:rFonts w:hint="eastAsia" w:ascii="仿宋" w:hAnsi="仿宋" w:eastAsia="仿宋" w:cs="仿宋"/>
                <w:b/>
                <w:color w:val="auto"/>
                <w:sz w:val="22"/>
                <w:highlight w:val="none"/>
              </w:rPr>
              <w:t>客观分须统一。</w:t>
            </w:r>
          </w:p>
        </w:tc>
      </w:tr>
    </w:tbl>
    <w:p>
      <w:pPr>
        <w:pStyle w:val="2"/>
        <w:jc w:val="left"/>
        <w:rPr>
          <w:rFonts w:hint="eastAsia" w:ascii="仿宋" w:hAnsi="仿宋" w:eastAsia="仿宋" w:cs="仿宋"/>
          <w:color w:val="auto"/>
          <w:sz w:val="16"/>
          <w:szCs w:val="16"/>
          <w:highlight w:val="none"/>
        </w:rPr>
      </w:pPr>
    </w:p>
    <w:p>
      <w:pPr>
        <w:pStyle w:val="4"/>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3.评标委员会</w:t>
      </w:r>
    </w:p>
    <w:p>
      <w:pPr>
        <w:spacing w:before="120" w:beforeLines="50"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评标委员会由</w:t>
      </w:r>
      <w:r>
        <w:rPr>
          <w:rFonts w:hint="eastAsia" w:ascii="仿宋" w:hAnsi="仿宋" w:eastAsia="仿宋" w:cs="仿宋"/>
          <w:color w:val="auto"/>
          <w:sz w:val="22"/>
          <w:szCs w:val="21"/>
          <w:highlight w:val="none"/>
          <w:lang w:eastAsia="zh-CN"/>
        </w:rPr>
        <w:t>采购人</w:t>
      </w:r>
      <w:r>
        <w:rPr>
          <w:rFonts w:hint="eastAsia" w:ascii="仿宋" w:hAnsi="仿宋" w:eastAsia="仿宋" w:cs="仿宋"/>
          <w:color w:val="auto"/>
          <w:sz w:val="22"/>
          <w:szCs w:val="21"/>
          <w:highlight w:val="none"/>
        </w:rPr>
        <w:t>代表和评审专家共同组成，</w:t>
      </w:r>
      <w:r>
        <w:rPr>
          <w:rFonts w:hint="eastAsia" w:ascii="仿宋" w:hAnsi="仿宋" w:eastAsia="仿宋" w:cs="仿宋"/>
          <w:color w:val="auto"/>
          <w:sz w:val="22"/>
          <w:szCs w:val="21"/>
          <w:highlight w:val="none"/>
          <w:lang w:eastAsia="zh-CN"/>
        </w:rPr>
        <w:t>采购人</w:t>
      </w:r>
      <w:r>
        <w:rPr>
          <w:rFonts w:hint="eastAsia" w:ascii="仿宋" w:hAnsi="仿宋" w:eastAsia="仿宋" w:cs="仿宋"/>
          <w:color w:val="auto"/>
          <w:sz w:val="22"/>
          <w:szCs w:val="21"/>
          <w:highlight w:val="none"/>
        </w:rPr>
        <w:t>代表不得担任评标委员会组长。评审专家应当从</w:t>
      </w:r>
      <w:r>
        <w:rPr>
          <w:rFonts w:hint="eastAsia" w:ascii="仿宋" w:hAnsi="仿宋" w:eastAsia="仿宋" w:cs="仿宋"/>
          <w:color w:val="auto"/>
          <w:sz w:val="22"/>
          <w:szCs w:val="21"/>
          <w:highlight w:val="none"/>
          <w:lang w:eastAsia="zh-CN"/>
        </w:rPr>
        <w:t>政府采购</w:t>
      </w:r>
      <w:r>
        <w:rPr>
          <w:rFonts w:hint="eastAsia" w:ascii="仿宋" w:hAnsi="仿宋" w:eastAsia="仿宋" w:cs="仿宋"/>
          <w:color w:val="auto"/>
          <w:sz w:val="22"/>
          <w:szCs w:val="21"/>
          <w:highlight w:val="none"/>
        </w:rPr>
        <w:t>评审专家库内相关专业的专家名单中随机抽取。</w:t>
      </w:r>
    </w:p>
    <w:p>
      <w:pPr>
        <w:pStyle w:val="4"/>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4.评审纪律</w:t>
      </w:r>
    </w:p>
    <w:p>
      <w:pPr>
        <w:spacing w:before="120" w:beforeLines="50"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4.1评标委员会成员内部讨论的情况和意见必须保密，任何人不得以任何形式透露给</w:t>
      </w:r>
      <w:r>
        <w:rPr>
          <w:rFonts w:hint="eastAsia" w:ascii="仿宋" w:hAnsi="仿宋" w:eastAsia="仿宋" w:cs="仿宋"/>
          <w:color w:val="auto"/>
          <w:sz w:val="22"/>
          <w:szCs w:val="21"/>
          <w:highlight w:val="none"/>
          <w:lang w:eastAsia="zh-CN"/>
        </w:rPr>
        <w:t>投标人</w:t>
      </w:r>
      <w:r>
        <w:rPr>
          <w:rFonts w:hint="eastAsia" w:ascii="仿宋" w:hAnsi="仿宋" w:eastAsia="仿宋" w:cs="仿宋"/>
          <w:color w:val="auto"/>
          <w:sz w:val="22"/>
          <w:szCs w:val="21"/>
          <w:highlight w:val="none"/>
        </w:rPr>
        <w:t>或与</w:t>
      </w:r>
      <w:r>
        <w:rPr>
          <w:rFonts w:hint="eastAsia" w:ascii="仿宋" w:hAnsi="仿宋" w:eastAsia="仿宋" w:cs="仿宋"/>
          <w:color w:val="auto"/>
          <w:sz w:val="22"/>
          <w:szCs w:val="21"/>
          <w:highlight w:val="none"/>
          <w:lang w:eastAsia="zh-CN"/>
        </w:rPr>
        <w:t>投标人</w:t>
      </w:r>
      <w:r>
        <w:rPr>
          <w:rFonts w:hint="eastAsia" w:ascii="仿宋" w:hAnsi="仿宋" w:eastAsia="仿宋" w:cs="仿宋"/>
          <w:color w:val="auto"/>
          <w:sz w:val="22"/>
          <w:szCs w:val="21"/>
          <w:highlight w:val="none"/>
        </w:rPr>
        <w:t>有关的单位或个人。</w:t>
      </w:r>
    </w:p>
    <w:p>
      <w:pPr>
        <w:spacing w:before="120" w:beforeLines="50"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4.2在</w:t>
      </w:r>
      <w:r>
        <w:rPr>
          <w:rFonts w:hint="eastAsia" w:ascii="仿宋" w:hAnsi="仿宋" w:eastAsia="仿宋" w:cs="仿宋"/>
          <w:color w:val="auto"/>
          <w:sz w:val="22"/>
          <w:szCs w:val="21"/>
          <w:highlight w:val="none"/>
          <w:lang w:val="en-US" w:eastAsia="zh-CN"/>
        </w:rPr>
        <w:t>评审</w:t>
      </w:r>
      <w:r>
        <w:rPr>
          <w:rFonts w:hint="eastAsia" w:ascii="仿宋" w:hAnsi="仿宋" w:eastAsia="仿宋" w:cs="仿宋"/>
          <w:color w:val="auto"/>
          <w:sz w:val="22"/>
          <w:szCs w:val="21"/>
          <w:highlight w:val="none"/>
        </w:rPr>
        <w:t>过程中，</w:t>
      </w:r>
      <w:r>
        <w:rPr>
          <w:rFonts w:hint="eastAsia" w:ascii="仿宋" w:hAnsi="仿宋" w:eastAsia="仿宋" w:cs="仿宋"/>
          <w:color w:val="auto"/>
          <w:sz w:val="22"/>
          <w:szCs w:val="21"/>
          <w:highlight w:val="none"/>
          <w:lang w:eastAsia="zh-CN"/>
        </w:rPr>
        <w:t>投标人</w:t>
      </w:r>
      <w:r>
        <w:rPr>
          <w:rFonts w:hint="eastAsia" w:ascii="仿宋" w:hAnsi="仿宋" w:eastAsia="仿宋" w:cs="仿宋"/>
          <w:color w:val="auto"/>
          <w:sz w:val="22"/>
          <w:szCs w:val="21"/>
          <w:highlight w:val="none"/>
        </w:rPr>
        <w:t>不得以任何形式对评标委员会成员进行旨在影响</w:t>
      </w:r>
      <w:r>
        <w:rPr>
          <w:rFonts w:hint="eastAsia" w:ascii="仿宋" w:hAnsi="仿宋" w:eastAsia="仿宋" w:cs="仿宋"/>
          <w:color w:val="auto"/>
          <w:sz w:val="22"/>
          <w:szCs w:val="21"/>
          <w:highlight w:val="none"/>
          <w:lang w:val="en-US" w:eastAsia="zh-CN"/>
        </w:rPr>
        <w:t>评审</w:t>
      </w:r>
      <w:r>
        <w:rPr>
          <w:rFonts w:hint="eastAsia" w:ascii="仿宋" w:hAnsi="仿宋" w:eastAsia="仿宋" w:cs="仿宋"/>
          <w:color w:val="auto"/>
          <w:sz w:val="22"/>
          <w:szCs w:val="21"/>
          <w:highlight w:val="none"/>
        </w:rPr>
        <w:t>结果的私下接触，否则取消其</w:t>
      </w:r>
      <w:r>
        <w:rPr>
          <w:rFonts w:hint="eastAsia" w:ascii="仿宋" w:hAnsi="仿宋" w:eastAsia="仿宋" w:cs="仿宋"/>
          <w:color w:val="auto"/>
          <w:sz w:val="22"/>
          <w:szCs w:val="21"/>
          <w:highlight w:val="none"/>
          <w:lang w:val="en-US" w:eastAsia="zh-CN"/>
        </w:rPr>
        <w:t>投标</w:t>
      </w:r>
      <w:r>
        <w:rPr>
          <w:rFonts w:hint="eastAsia" w:ascii="仿宋" w:hAnsi="仿宋" w:eastAsia="仿宋" w:cs="仿宋"/>
          <w:color w:val="auto"/>
          <w:sz w:val="22"/>
          <w:szCs w:val="21"/>
          <w:highlight w:val="none"/>
        </w:rPr>
        <w:t>资格。</w:t>
      </w:r>
    </w:p>
    <w:p>
      <w:pPr>
        <w:spacing w:before="120" w:beforeLines="50" w:line="360" w:lineRule="auto"/>
        <w:ind w:firstLine="440" w:firstLineChars="200"/>
        <w:rPr>
          <w:rFonts w:hint="eastAsia" w:ascii="仿宋" w:hAnsi="仿宋" w:eastAsia="仿宋" w:cs="仿宋"/>
          <w:color w:val="auto"/>
          <w:sz w:val="16"/>
          <w:szCs w:val="16"/>
          <w:highlight w:val="none"/>
        </w:rPr>
      </w:pPr>
      <w:r>
        <w:rPr>
          <w:rFonts w:hint="eastAsia" w:ascii="仿宋" w:hAnsi="仿宋" w:eastAsia="仿宋" w:cs="仿宋"/>
          <w:color w:val="auto"/>
          <w:sz w:val="22"/>
          <w:szCs w:val="21"/>
          <w:highlight w:val="none"/>
        </w:rPr>
        <w:t>4.3评标委员会以及与</w:t>
      </w:r>
      <w:r>
        <w:rPr>
          <w:rFonts w:hint="eastAsia" w:ascii="仿宋" w:hAnsi="仿宋" w:eastAsia="仿宋" w:cs="仿宋"/>
          <w:color w:val="auto"/>
          <w:sz w:val="22"/>
          <w:szCs w:val="21"/>
          <w:highlight w:val="none"/>
          <w:lang w:val="en-US" w:eastAsia="zh-CN"/>
        </w:rPr>
        <w:t>投标</w:t>
      </w:r>
      <w:r>
        <w:rPr>
          <w:rFonts w:hint="eastAsia" w:ascii="仿宋" w:hAnsi="仿宋" w:eastAsia="仿宋" w:cs="仿宋"/>
          <w:color w:val="auto"/>
          <w:sz w:val="22"/>
          <w:szCs w:val="21"/>
          <w:highlight w:val="none"/>
        </w:rPr>
        <w:t>有关的人员应当对评审情况和评审过程中获悉的国家秘密、商业秘密予以保密。</w:t>
      </w:r>
    </w:p>
    <w:p>
      <w:pPr>
        <w:pStyle w:val="2"/>
        <w:rPr>
          <w:rFonts w:hint="eastAsia" w:ascii="仿宋" w:hAnsi="仿宋" w:eastAsia="仿宋" w:cs="仿宋"/>
          <w:color w:val="auto"/>
          <w:sz w:val="16"/>
          <w:szCs w:val="16"/>
          <w:highlight w:val="none"/>
        </w:rPr>
      </w:pPr>
    </w:p>
    <w:p>
      <w:pPr>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br w:type="page"/>
      </w:r>
    </w:p>
    <w:p>
      <w:pPr>
        <w:rPr>
          <w:rFonts w:hint="eastAsia" w:ascii="仿宋" w:hAnsi="仿宋" w:eastAsia="仿宋" w:cs="仿宋"/>
          <w:color w:val="auto"/>
          <w:highlight w:val="none"/>
        </w:rPr>
      </w:pPr>
    </w:p>
    <w:p>
      <w:pPr>
        <w:pStyle w:val="3"/>
        <w:rPr>
          <w:rFonts w:hint="eastAsia" w:ascii="仿宋" w:hAnsi="仿宋" w:eastAsia="仿宋" w:cs="仿宋"/>
          <w:color w:val="auto"/>
          <w:sz w:val="40"/>
          <w:szCs w:val="40"/>
          <w:highlight w:val="none"/>
        </w:rPr>
      </w:pPr>
      <w:bookmarkStart w:id="109" w:name="_Toc22138"/>
      <w:r>
        <w:rPr>
          <w:rFonts w:hint="eastAsia" w:ascii="仿宋" w:hAnsi="仿宋" w:eastAsia="仿宋" w:cs="仿宋"/>
          <w:color w:val="auto"/>
          <w:sz w:val="40"/>
          <w:szCs w:val="40"/>
          <w:highlight w:val="none"/>
        </w:rPr>
        <w:t>第六章 投标文件格式</w:t>
      </w:r>
      <w:bookmarkEnd w:id="109"/>
    </w:p>
    <w:p>
      <w:pPr>
        <w:pStyle w:val="9"/>
        <w:ind w:firstLine="0" w:firstLineChars="0"/>
        <w:rPr>
          <w:rFonts w:hint="eastAsia" w:ascii="仿宋" w:hAnsi="仿宋" w:eastAsia="仿宋" w:cs="仿宋"/>
          <w:color w:val="auto"/>
          <w:sz w:val="20"/>
          <w:szCs w:val="21"/>
          <w:highlight w:val="none"/>
        </w:rPr>
      </w:pPr>
    </w:p>
    <w:p>
      <w:pPr>
        <w:pStyle w:val="9"/>
        <w:ind w:firstLine="0" w:firstLineChars="0"/>
        <w:rPr>
          <w:rFonts w:hint="eastAsia" w:ascii="仿宋" w:hAnsi="仿宋" w:eastAsia="仿宋" w:cs="仿宋"/>
          <w:color w:val="auto"/>
          <w:sz w:val="20"/>
          <w:szCs w:val="21"/>
          <w:highlight w:val="none"/>
        </w:rPr>
      </w:pPr>
    </w:p>
    <w:p>
      <w:pPr>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云南省地震局地震专业设备采购1标段（三次）</w:t>
      </w:r>
    </w:p>
    <w:p>
      <w:pPr>
        <w:rPr>
          <w:rFonts w:hint="eastAsia" w:ascii="仿宋" w:hAnsi="仿宋" w:eastAsia="仿宋" w:cs="仿宋"/>
          <w:color w:val="auto"/>
          <w:highlight w:val="none"/>
        </w:rPr>
      </w:pPr>
    </w:p>
    <w:p>
      <w:pPr>
        <w:pStyle w:val="12"/>
        <w:rPr>
          <w:rFonts w:hint="eastAsia" w:ascii="仿宋" w:hAnsi="仿宋" w:eastAsia="仿宋" w:cs="仿宋"/>
          <w:color w:val="auto"/>
          <w:kern w:val="2"/>
          <w:sz w:val="48"/>
          <w:szCs w:val="48"/>
          <w:highlight w:val="none"/>
        </w:rPr>
      </w:pPr>
    </w:p>
    <w:p>
      <w:pPr>
        <w:rPr>
          <w:rFonts w:hint="eastAsia"/>
          <w:color w:val="auto"/>
          <w:highlight w:val="none"/>
        </w:rPr>
      </w:pPr>
    </w:p>
    <w:p>
      <w:pP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投标文件</w:t>
      </w:r>
    </w:p>
    <w:p>
      <w:pPr>
        <w:pStyle w:val="12"/>
        <w:rPr>
          <w:rFonts w:hint="eastAsia" w:ascii="仿宋" w:hAnsi="仿宋" w:eastAsia="仿宋" w:cs="仿宋"/>
          <w:color w:val="auto"/>
          <w:sz w:val="36"/>
          <w:szCs w:val="36"/>
          <w:highlight w:val="none"/>
        </w:rPr>
      </w:pPr>
    </w:p>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eastAsia="zh-CN"/>
        </w:rPr>
        <w:t>YNXYZB（DZJ）20221101</w:t>
      </w:r>
      <w:r>
        <w:rPr>
          <w:rFonts w:hint="eastAsia" w:ascii="仿宋" w:hAnsi="仿宋" w:eastAsia="仿宋" w:cs="仿宋"/>
          <w:b/>
          <w:color w:val="auto"/>
          <w:sz w:val="28"/>
          <w:szCs w:val="28"/>
          <w:highlight w:val="none"/>
        </w:rPr>
        <w:t xml:space="preserve"> ）</w:t>
      </w:r>
    </w:p>
    <w:p>
      <w:pPr>
        <w:spacing w:line="480" w:lineRule="auto"/>
        <w:rPr>
          <w:rFonts w:hint="eastAsia" w:ascii="仿宋" w:hAnsi="仿宋" w:eastAsia="仿宋" w:cs="仿宋"/>
          <w:bCs/>
          <w:color w:val="auto"/>
          <w:sz w:val="48"/>
          <w:szCs w:val="48"/>
          <w:highlight w:val="none"/>
        </w:rPr>
      </w:pPr>
    </w:p>
    <w:p>
      <w:pPr>
        <w:pStyle w:val="12"/>
        <w:rPr>
          <w:rFonts w:hint="eastAsia" w:ascii="仿宋" w:hAnsi="仿宋" w:eastAsia="仿宋" w:cs="仿宋"/>
          <w:bCs/>
          <w:color w:val="auto"/>
          <w:sz w:val="48"/>
          <w:szCs w:val="48"/>
          <w:highlight w:val="none"/>
        </w:rPr>
      </w:pPr>
    </w:p>
    <w:p>
      <w:pPr>
        <w:bidi w:val="0"/>
        <w:rPr>
          <w:rFonts w:hint="eastAsia"/>
          <w:color w:val="auto"/>
          <w:highlight w:val="none"/>
        </w:rPr>
      </w:pPr>
    </w:p>
    <w:p>
      <w:pPr>
        <w:rPr>
          <w:rFonts w:hint="eastAsia"/>
          <w:color w:val="auto"/>
          <w:highlight w:val="none"/>
        </w:rPr>
      </w:pPr>
    </w:p>
    <w:p>
      <w:pPr>
        <w:rPr>
          <w:rFonts w:hint="eastAsia" w:ascii="仿宋" w:hAnsi="仿宋" w:eastAsia="仿宋" w:cs="仿宋"/>
          <w:color w:val="auto"/>
          <w:highlight w:val="none"/>
        </w:rPr>
      </w:pPr>
    </w:p>
    <w:p>
      <w:pPr>
        <w:spacing w:line="480" w:lineRule="auto"/>
        <w:ind w:firstLine="1240" w:firstLineChars="441"/>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投标人名称（盖公章）：</w:t>
      </w:r>
    </w:p>
    <w:p>
      <w:pPr>
        <w:spacing w:line="480" w:lineRule="auto"/>
        <w:ind w:firstLine="1240" w:firstLineChars="441"/>
        <w:rPr>
          <w:rFonts w:hint="eastAsia" w:ascii="仿宋" w:hAnsi="仿宋" w:eastAsia="仿宋" w:cs="仿宋"/>
          <w:bCs/>
          <w:color w:val="auto"/>
          <w:sz w:val="28"/>
          <w:szCs w:val="28"/>
          <w:highlight w:val="none"/>
          <w:u w:val="single"/>
        </w:rPr>
      </w:pPr>
      <w:r>
        <w:rPr>
          <w:rFonts w:hint="eastAsia" w:ascii="仿宋" w:hAnsi="仿宋" w:eastAsia="仿宋" w:cs="仿宋"/>
          <w:b/>
          <w:bCs/>
          <w:color w:val="auto"/>
          <w:sz w:val="28"/>
          <w:szCs w:val="28"/>
          <w:highlight w:val="none"/>
        </w:rPr>
        <w:t>法定代表人或其委托代理人（签字或盖章）：</w:t>
      </w:r>
    </w:p>
    <w:p>
      <w:pPr>
        <w:spacing w:line="480" w:lineRule="auto"/>
        <w:ind w:firstLine="1240" w:firstLineChars="44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 期：     年  月  日</w:t>
      </w:r>
    </w:p>
    <w:p>
      <w:pPr>
        <w:spacing w:line="360" w:lineRule="auto"/>
        <w:ind w:firstLine="974" w:firstLineChars="441"/>
        <w:rPr>
          <w:rFonts w:hint="eastAsia" w:ascii="仿宋" w:hAnsi="仿宋" w:eastAsia="仿宋" w:cs="仿宋"/>
          <w:b/>
          <w:bCs/>
          <w:color w:val="auto"/>
          <w:sz w:val="22"/>
          <w:highlight w:val="none"/>
        </w:rPr>
      </w:pPr>
    </w:p>
    <w:p>
      <w:pPr>
        <w:jc w:val="center"/>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注：本章未提供格式的，投标人可自行拟定。</w:t>
      </w:r>
    </w:p>
    <w:p>
      <w:pPr>
        <w:pStyle w:val="9"/>
        <w:ind w:firstLine="0" w:firstLineChars="0"/>
        <w:rPr>
          <w:rFonts w:hint="eastAsia" w:ascii="仿宋" w:hAnsi="仿宋" w:eastAsia="仿宋" w:cs="仿宋"/>
          <w:color w:val="auto"/>
          <w:sz w:val="20"/>
          <w:szCs w:val="21"/>
          <w:highlight w:val="none"/>
        </w:rPr>
      </w:pPr>
    </w:p>
    <w:p>
      <w:pPr>
        <w:pStyle w:val="9"/>
        <w:ind w:firstLine="0" w:firstLineChars="0"/>
        <w:rPr>
          <w:rFonts w:hint="eastAsia" w:ascii="仿宋" w:hAnsi="仿宋" w:eastAsia="仿宋" w:cs="仿宋"/>
          <w:color w:val="auto"/>
          <w:sz w:val="20"/>
          <w:szCs w:val="21"/>
          <w:highlight w:val="none"/>
        </w:rPr>
      </w:pPr>
    </w:p>
    <w:p>
      <w:pPr>
        <w:pStyle w:val="4"/>
        <w:spacing w:line="360" w:lineRule="auto"/>
        <w:jc w:val="center"/>
        <w:rPr>
          <w:rFonts w:hint="eastAsia" w:ascii="仿宋" w:hAnsi="仿宋" w:eastAsia="仿宋" w:cs="仿宋"/>
          <w:color w:val="auto"/>
          <w:spacing w:val="0"/>
          <w:sz w:val="28"/>
          <w:szCs w:val="21"/>
          <w:highlight w:val="none"/>
        </w:rPr>
      </w:pPr>
      <w:bookmarkStart w:id="110" w:name="_Toc491307468"/>
      <w:bookmarkStart w:id="111" w:name="_Toc494043332"/>
      <w:bookmarkStart w:id="112" w:name="_Toc491307348"/>
      <w:bookmarkStart w:id="113" w:name="_Toc491307286"/>
      <w:r>
        <w:rPr>
          <w:rFonts w:hint="eastAsia" w:ascii="仿宋" w:hAnsi="仿宋" w:eastAsia="仿宋" w:cs="仿宋"/>
          <w:color w:val="auto"/>
          <w:spacing w:val="0"/>
          <w:sz w:val="28"/>
          <w:szCs w:val="21"/>
          <w:highlight w:val="none"/>
        </w:rPr>
        <w:t>开标（唱标）一览表</w:t>
      </w:r>
    </w:p>
    <w:p>
      <w:pPr>
        <w:pStyle w:val="9"/>
        <w:spacing w:line="360" w:lineRule="auto"/>
        <w:ind w:firstLine="440"/>
        <w:rPr>
          <w:rFonts w:hint="eastAsia" w:ascii="仿宋" w:hAnsi="仿宋" w:eastAsia="仿宋" w:cs="仿宋"/>
          <w:color w:val="auto"/>
          <w:sz w:val="22"/>
          <w:highlight w:val="none"/>
        </w:rPr>
      </w:pPr>
    </w:p>
    <w:p>
      <w:pPr>
        <w:spacing w:line="360" w:lineRule="auto"/>
        <w:ind w:left="990" w:hanging="990" w:hangingChars="450"/>
        <w:rPr>
          <w:rFonts w:hint="default" w:ascii="仿宋" w:hAnsi="仿宋" w:eastAsia="仿宋" w:cs="仿宋"/>
          <w:color w:val="auto"/>
          <w:sz w:val="22"/>
          <w:szCs w:val="21"/>
          <w:highlight w:val="none"/>
          <w:u w:val="single"/>
          <w:lang w:val="en-US" w:eastAsia="zh-CN"/>
        </w:rPr>
      </w:pPr>
      <w:r>
        <w:rPr>
          <w:rFonts w:hint="eastAsia" w:ascii="仿宋" w:hAnsi="仿宋" w:eastAsia="仿宋" w:cs="仿宋"/>
          <w:color w:val="auto"/>
          <w:sz w:val="22"/>
          <w:highlight w:val="none"/>
        </w:rPr>
        <w:t>项目名称：</w:t>
      </w:r>
      <w:r>
        <w:rPr>
          <w:rFonts w:hint="eastAsia" w:ascii="仿宋" w:hAnsi="仿宋" w:eastAsia="仿宋" w:cs="仿宋"/>
          <w:color w:val="auto"/>
          <w:sz w:val="22"/>
          <w:szCs w:val="21"/>
          <w:highlight w:val="none"/>
          <w:lang w:eastAsia="zh-CN"/>
        </w:rPr>
        <w:t>云南省地震局地震专业设备采购1标段（三次）</w:t>
      </w:r>
      <w:r>
        <w:rPr>
          <w:rFonts w:hint="eastAsia" w:ascii="仿宋" w:hAnsi="仿宋" w:eastAsia="仿宋" w:cs="仿宋"/>
          <w:color w:val="auto"/>
          <w:sz w:val="22"/>
          <w:szCs w:val="21"/>
          <w:highlight w:val="none"/>
          <w:u w:val="single"/>
          <w:lang w:val="en-US" w:eastAsia="zh-CN"/>
        </w:rPr>
        <w:t xml:space="preserve"> </w:t>
      </w:r>
    </w:p>
    <w:p>
      <w:pPr>
        <w:spacing w:line="360" w:lineRule="auto"/>
        <w:ind w:left="990" w:hanging="990" w:hangingChars="45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项目编号：</w:t>
      </w:r>
      <w:r>
        <w:rPr>
          <w:rFonts w:hint="eastAsia" w:ascii="仿宋" w:hAnsi="仿宋" w:eastAsia="仿宋" w:cs="仿宋"/>
          <w:color w:val="auto"/>
          <w:sz w:val="22"/>
          <w:szCs w:val="21"/>
          <w:highlight w:val="none"/>
          <w:lang w:eastAsia="zh-CN"/>
        </w:rPr>
        <w:t>YNXYZB（DZJ）20221101</w:t>
      </w:r>
      <w:r>
        <w:rPr>
          <w:rFonts w:hint="eastAsia" w:ascii="仿宋" w:hAnsi="仿宋" w:eastAsia="仿宋" w:cs="仿宋"/>
          <w:color w:val="auto"/>
          <w:sz w:val="22"/>
          <w:szCs w:val="21"/>
          <w:highlight w:val="none"/>
        </w:rPr>
        <w:t xml:space="preserve"> </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2402"/>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45" w:type="pct"/>
            <w:vAlign w:val="center"/>
          </w:tcPr>
          <w:p>
            <w:pPr>
              <w:adjustRightInd w:val="0"/>
              <w:snapToGrid w:val="0"/>
              <w:spacing w:line="360" w:lineRule="exact"/>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序号</w:t>
            </w:r>
          </w:p>
        </w:tc>
        <w:tc>
          <w:tcPr>
            <w:tcW w:w="4454" w:type="pct"/>
            <w:gridSpan w:val="2"/>
            <w:vAlign w:val="center"/>
          </w:tcPr>
          <w:p>
            <w:pPr>
              <w:adjustRightInd w:val="0"/>
              <w:snapToGrid w:val="0"/>
              <w:spacing w:line="360" w:lineRule="exact"/>
              <w:jc w:val="center"/>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投标报价（</w:t>
            </w:r>
            <w:r>
              <w:rPr>
                <w:rFonts w:hint="eastAsia" w:ascii="仿宋" w:hAnsi="仿宋" w:eastAsia="仿宋" w:cs="仿宋"/>
                <w:color w:val="auto"/>
                <w:sz w:val="22"/>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45" w:type="pct"/>
            <w:vMerge w:val="restart"/>
            <w:vAlign w:val="center"/>
          </w:tcPr>
          <w:p>
            <w:pPr>
              <w:adjustRightInd w:val="0"/>
              <w:snapToGrid w:val="0"/>
              <w:spacing w:line="360" w:lineRule="exact"/>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1</w:t>
            </w:r>
          </w:p>
        </w:tc>
        <w:tc>
          <w:tcPr>
            <w:tcW w:w="4454" w:type="pct"/>
            <w:gridSpan w:val="2"/>
            <w:vAlign w:val="center"/>
          </w:tcPr>
          <w:p>
            <w:pPr>
              <w:adjustRightInd w:val="0"/>
              <w:snapToGrid w:val="0"/>
              <w:spacing w:line="360" w:lineRule="exact"/>
              <w:jc w:val="left"/>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45" w:type="pct"/>
            <w:vMerge w:val="continue"/>
            <w:vAlign w:val="center"/>
          </w:tcPr>
          <w:p>
            <w:pPr>
              <w:adjustRightInd w:val="0"/>
              <w:snapToGrid w:val="0"/>
              <w:spacing w:line="360" w:lineRule="exact"/>
              <w:jc w:val="center"/>
              <w:rPr>
                <w:rFonts w:hint="eastAsia" w:ascii="仿宋" w:hAnsi="仿宋" w:eastAsia="仿宋" w:cs="仿宋"/>
                <w:color w:val="auto"/>
                <w:kern w:val="0"/>
                <w:sz w:val="22"/>
                <w:highlight w:val="none"/>
              </w:rPr>
            </w:pPr>
          </w:p>
        </w:tc>
        <w:tc>
          <w:tcPr>
            <w:tcW w:w="4454" w:type="pct"/>
            <w:gridSpan w:val="2"/>
            <w:vAlign w:val="center"/>
          </w:tcPr>
          <w:p>
            <w:pPr>
              <w:adjustRightInd w:val="0"/>
              <w:snapToGrid w:val="0"/>
              <w:spacing w:line="360" w:lineRule="exact"/>
              <w:jc w:val="left"/>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45" w:type="pct"/>
            <w:vAlign w:val="center"/>
          </w:tcPr>
          <w:p>
            <w:pPr>
              <w:widowControl/>
              <w:adjustRightInd w:val="0"/>
              <w:snapToGrid w:val="0"/>
              <w:spacing w:line="360" w:lineRule="exact"/>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2</w:t>
            </w:r>
          </w:p>
        </w:tc>
        <w:tc>
          <w:tcPr>
            <w:tcW w:w="1206" w:type="pct"/>
            <w:vAlign w:val="center"/>
          </w:tcPr>
          <w:p>
            <w:pPr>
              <w:widowControl/>
              <w:adjustRightInd w:val="0"/>
              <w:snapToGrid w:val="0"/>
              <w:spacing w:line="360" w:lineRule="exact"/>
              <w:jc w:val="center"/>
              <w:rPr>
                <w:rFonts w:hint="eastAsia" w:ascii="仿宋" w:hAnsi="仿宋" w:eastAsia="仿宋" w:cs="仿宋"/>
                <w:color w:val="auto"/>
                <w:kern w:val="0"/>
                <w:sz w:val="22"/>
                <w:highlight w:val="none"/>
              </w:rPr>
            </w:pPr>
            <w:r>
              <w:rPr>
                <w:rFonts w:hint="eastAsia" w:ascii="仿宋" w:hAnsi="仿宋" w:eastAsia="仿宋" w:cs="仿宋"/>
                <w:bCs/>
                <w:color w:val="auto"/>
                <w:sz w:val="22"/>
                <w:highlight w:val="none"/>
              </w:rPr>
              <w:t>供货期</w:t>
            </w:r>
          </w:p>
        </w:tc>
        <w:tc>
          <w:tcPr>
            <w:tcW w:w="3248" w:type="pct"/>
            <w:vAlign w:val="center"/>
          </w:tcPr>
          <w:p>
            <w:pPr>
              <w:adjustRightInd w:val="0"/>
              <w:snapToGrid w:val="0"/>
              <w:spacing w:line="360" w:lineRule="exact"/>
              <w:jc w:val="center"/>
              <w:rPr>
                <w:rFonts w:hint="eastAsia" w:ascii="仿宋" w:hAnsi="仿宋" w:eastAsia="仿宋" w:cs="仿宋"/>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45" w:type="pct"/>
            <w:vAlign w:val="center"/>
          </w:tcPr>
          <w:p>
            <w:pPr>
              <w:widowControl/>
              <w:adjustRightInd w:val="0"/>
              <w:snapToGrid w:val="0"/>
              <w:spacing w:line="360" w:lineRule="exact"/>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3</w:t>
            </w:r>
          </w:p>
        </w:tc>
        <w:tc>
          <w:tcPr>
            <w:tcW w:w="1206" w:type="pct"/>
            <w:vAlign w:val="center"/>
          </w:tcPr>
          <w:p>
            <w:pPr>
              <w:widowControl/>
              <w:adjustRightInd w:val="0"/>
              <w:snapToGrid w:val="0"/>
              <w:spacing w:line="360" w:lineRule="exact"/>
              <w:jc w:val="center"/>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质量承诺</w:t>
            </w:r>
          </w:p>
        </w:tc>
        <w:tc>
          <w:tcPr>
            <w:tcW w:w="3248" w:type="pct"/>
            <w:vAlign w:val="center"/>
          </w:tcPr>
          <w:p>
            <w:pPr>
              <w:adjustRightInd w:val="0"/>
              <w:snapToGrid w:val="0"/>
              <w:spacing w:line="360" w:lineRule="exact"/>
              <w:jc w:val="center"/>
              <w:rPr>
                <w:rFonts w:hint="eastAsia" w:ascii="仿宋" w:hAnsi="仿宋" w:eastAsia="仿宋" w:cs="仿宋"/>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45" w:type="pct"/>
            <w:vAlign w:val="center"/>
          </w:tcPr>
          <w:p>
            <w:pPr>
              <w:widowControl/>
              <w:adjustRightInd w:val="0"/>
              <w:snapToGrid w:val="0"/>
              <w:spacing w:line="360" w:lineRule="exact"/>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4</w:t>
            </w:r>
          </w:p>
        </w:tc>
        <w:tc>
          <w:tcPr>
            <w:tcW w:w="1206" w:type="pct"/>
            <w:vAlign w:val="center"/>
          </w:tcPr>
          <w:p>
            <w:pPr>
              <w:widowControl/>
              <w:adjustRightInd w:val="0"/>
              <w:snapToGrid w:val="0"/>
              <w:spacing w:line="360" w:lineRule="exact"/>
              <w:jc w:val="center"/>
              <w:rPr>
                <w:rFonts w:hint="eastAsia" w:ascii="仿宋" w:hAnsi="仿宋" w:eastAsia="仿宋" w:cs="仿宋"/>
                <w:color w:val="auto"/>
                <w:kern w:val="0"/>
                <w:sz w:val="22"/>
                <w:highlight w:val="none"/>
              </w:rPr>
            </w:pPr>
            <w:r>
              <w:rPr>
                <w:rFonts w:hint="eastAsia" w:ascii="仿宋" w:hAnsi="仿宋" w:eastAsia="仿宋" w:cs="仿宋"/>
                <w:bCs/>
                <w:color w:val="auto"/>
                <w:sz w:val="22"/>
                <w:highlight w:val="none"/>
              </w:rPr>
              <w:t>供货地点</w:t>
            </w:r>
          </w:p>
        </w:tc>
        <w:tc>
          <w:tcPr>
            <w:tcW w:w="3248" w:type="pct"/>
            <w:vAlign w:val="center"/>
          </w:tcPr>
          <w:p>
            <w:pPr>
              <w:adjustRightInd w:val="0"/>
              <w:snapToGrid w:val="0"/>
              <w:spacing w:line="360" w:lineRule="exact"/>
              <w:jc w:val="center"/>
              <w:rPr>
                <w:rFonts w:hint="eastAsia" w:ascii="仿宋" w:hAnsi="仿宋" w:eastAsia="仿宋" w:cs="仿宋"/>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45" w:type="pct"/>
            <w:vAlign w:val="center"/>
          </w:tcPr>
          <w:p>
            <w:pPr>
              <w:widowControl/>
              <w:adjustRightInd w:val="0"/>
              <w:snapToGrid w:val="0"/>
              <w:spacing w:line="360" w:lineRule="exact"/>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5</w:t>
            </w:r>
          </w:p>
        </w:tc>
        <w:tc>
          <w:tcPr>
            <w:tcW w:w="1206" w:type="pct"/>
            <w:vAlign w:val="center"/>
          </w:tcPr>
          <w:p>
            <w:pPr>
              <w:widowControl/>
              <w:adjustRightInd w:val="0"/>
              <w:snapToGrid w:val="0"/>
              <w:spacing w:line="360" w:lineRule="exact"/>
              <w:jc w:val="center"/>
              <w:rPr>
                <w:rFonts w:hint="eastAsia" w:ascii="仿宋" w:hAnsi="仿宋" w:eastAsia="仿宋" w:cs="仿宋"/>
                <w:color w:val="auto"/>
                <w:kern w:val="0"/>
                <w:sz w:val="22"/>
                <w:highlight w:val="none"/>
              </w:rPr>
            </w:pPr>
            <w:r>
              <w:rPr>
                <w:rFonts w:hint="eastAsia" w:ascii="仿宋" w:hAnsi="仿宋" w:eastAsia="仿宋" w:cs="仿宋"/>
                <w:bCs/>
                <w:color w:val="auto"/>
                <w:sz w:val="22"/>
                <w:highlight w:val="none"/>
              </w:rPr>
              <w:t>备注</w:t>
            </w:r>
          </w:p>
        </w:tc>
        <w:tc>
          <w:tcPr>
            <w:tcW w:w="3248" w:type="pct"/>
            <w:vAlign w:val="center"/>
          </w:tcPr>
          <w:p>
            <w:pPr>
              <w:adjustRightInd w:val="0"/>
              <w:snapToGrid w:val="0"/>
              <w:spacing w:line="360" w:lineRule="exact"/>
              <w:jc w:val="center"/>
              <w:rPr>
                <w:rFonts w:hint="eastAsia" w:ascii="仿宋" w:hAnsi="仿宋" w:eastAsia="仿宋" w:cs="仿宋"/>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5000" w:type="pct"/>
            <w:gridSpan w:val="3"/>
            <w:vAlign w:val="center"/>
          </w:tcPr>
          <w:p>
            <w:pPr>
              <w:adjustRightInd w:val="0"/>
              <w:snapToGrid w:val="0"/>
              <w:spacing w:line="400" w:lineRule="exact"/>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投标单位名称：（加盖公章）</w:t>
            </w:r>
          </w:p>
          <w:p>
            <w:pPr>
              <w:adjustRightInd w:val="0"/>
              <w:snapToGrid w:val="0"/>
              <w:spacing w:line="400" w:lineRule="exact"/>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法定代表人或委托代理人：（签字或盖章）</w:t>
            </w:r>
          </w:p>
          <w:p>
            <w:pPr>
              <w:adjustRightInd w:val="0"/>
              <w:snapToGrid w:val="0"/>
              <w:spacing w:line="400" w:lineRule="exact"/>
              <w:rPr>
                <w:rFonts w:hint="eastAsia" w:ascii="仿宋" w:hAnsi="仿宋" w:eastAsia="仿宋" w:cs="仿宋"/>
                <w:bCs/>
                <w:color w:val="auto"/>
                <w:sz w:val="22"/>
                <w:highlight w:val="none"/>
              </w:rPr>
            </w:pPr>
            <w:r>
              <w:rPr>
                <w:rFonts w:hint="eastAsia" w:ascii="仿宋" w:hAnsi="仿宋" w:eastAsia="仿宋" w:cs="仿宋"/>
                <w:bCs/>
                <w:color w:val="auto"/>
                <w:sz w:val="22"/>
                <w:highlight w:val="none"/>
              </w:rPr>
              <w:t>日期：</w:t>
            </w:r>
          </w:p>
        </w:tc>
      </w:tr>
    </w:tbl>
    <w:p>
      <w:pPr>
        <w:spacing w:line="360" w:lineRule="exact"/>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注：1、此表须放在投标文件第一页。</w:t>
      </w:r>
    </w:p>
    <w:p>
      <w:pPr>
        <w:spacing w:line="360" w:lineRule="exact"/>
        <w:ind w:firstLine="442" w:firstLineChars="200"/>
        <w:rPr>
          <w:rFonts w:hint="eastAsia" w:ascii="仿宋" w:hAnsi="仿宋" w:eastAsia="仿宋" w:cs="仿宋"/>
          <w:b/>
          <w:bCs/>
          <w:color w:val="auto"/>
          <w:sz w:val="22"/>
          <w:highlight w:val="none"/>
        </w:rPr>
      </w:pPr>
      <w:r>
        <w:rPr>
          <w:rFonts w:hint="eastAsia" w:ascii="仿宋" w:hAnsi="仿宋" w:eastAsia="仿宋" w:cs="仿宋"/>
          <w:b/>
          <w:bCs/>
          <w:color w:val="auto"/>
          <w:sz w:val="22"/>
          <w:highlight w:val="none"/>
        </w:rPr>
        <w:t>2、投标报价币种:按人民币报价。</w:t>
      </w:r>
    </w:p>
    <w:p>
      <w:pP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br w:type="page"/>
      </w:r>
    </w:p>
    <w:p>
      <w:pPr>
        <w:pStyle w:val="4"/>
        <w:jc w:val="center"/>
        <w:rPr>
          <w:rFonts w:hint="eastAsia" w:ascii="仿宋" w:hAnsi="仿宋" w:eastAsia="仿宋" w:cs="仿宋"/>
          <w:color w:val="auto"/>
          <w:spacing w:val="0"/>
          <w:sz w:val="28"/>
          <w:szCs w:val="21"/>
          <w:highlight w:val="none"/>
        </w:rPr>
      </w:pPr>
      <w:r>
        <w:rPr>
          <w:rFonts w:hint="eastAsia" w:ascii="仿宋" w:hAnsi="仿宋" w:eastAsia="仿宋" w:cs="仿宋"/>
          <w:color w:val="auto"/>
          <w:spacing w:val="0"/>
          <w:sz w:val="28"/>
          <w:szCs w:val="21"/>
          <w:highlight w:val="none"/>
        </w:rPr>
        <w:t>格式一：投标函</w:t>
      </w:r>
      <w:bookmarkEnd w:id="110"/>
      <w:bookmarkEnd w:id="111"/>
      <w:bookmarkEnd w:id="112"/>
      <w:bookmarkEnd w:id="113"/>
    </w:p>
    <w:p>
      <w:pPr>
        <w:pStyle w:val="9"/>
        <w:ind w:firstLine="440"/>
        <w:rPr>
          <w:rFonts w:hint="eastAsia" w:ascii="仿宋" w:hAnsi="仿宋" w:eastAsia="仿宋" w:cs="仿宋"/>
          <w:color w:val="auto"/>
          <w:sz w:val="22"/>
          <w:highlight w:val="none"/>
        </w:rPr>
      </w:pPr>
    </w:p>
    <w:p>
      <w:pPr>
        <w:pStyle w:val="14"/>
        <w:spacing w:line="36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致：</w:t>
      </w:r>
      <w:r>
        <w:rPr>
          <w:rFonts w:hint="eastAsia" w:ascii="仿宋" w:hAnsi="仿宋" w:eastAsia="仿宋" w:cs="仿宋"/>
          <w:color w:val="auto"/>
          <w:sz w:val="22"/>
          <w:highlight w:val="none"/>
          <w:u w:val="single"/>
        </w:rPr>
        <w:t>（</w:t>
      </w:r>
      <w:r>
        <w:rPr>
          <w:rFonts w:hint="eastAsia" w:ascii="仿宋" w:hAnsi="仿宋" w:eastAsia="仿宋" w:cs="仿宋"/>
          <w:color w:val="auto"/>
          <w:sz w:val="22"/>
          <w:highlight w:val="none"/>
          <w:u w:val="single"/>
          <w:lang w:eastAsia="zh-CN"/>
        </w:rPr>
        <w:t>采购人</w:t>
      </w:r>
      <w:r>
        <w:rPr>
          <w:rFonts w:hint="eastAsia" w:ascii="仿宋" w:hAnsi="仿宋" w:eastAsia="仿宋" w:cs="仿宋"/>
          <w:color w:val="auto"/>
          <w:sz w:val="22"/>
          <w:highlight w:val="none"/>
          <w:u w:val="single"/>
        </w:rPr>
        <w:t>名称）</w:t>
      </w:r>
    </w:p>
    <w:p>
      <w:pPr>
        <w:pStyle w:val="14"/>
        <w:spacing w:line="360" w:lineRule="auto"/>
        <w:ind w:firstLine="482"/>
        <w:rPr>
          <w:rFonts w:hint="eastAsia" w:ascii="仿宋" w:hAnsi="仿宋" w:eastAsia="仿宋" w:cs="仿宋"/>
          <w:color w:val="auto"/>
          <w:sz w:val="22"/>
          <w:highlight w:val="none"/>
        </w:rPr>
      </w:pPr>
      <w:r>
        <w:rPr>
          <w:rFonts w:hint="eastAsia" w:ascii="仿宋" w:hAnsi="仿宋" w:eastAsia="仿宋" w:cs="仿宋"/>
          <w:color w:val="auto"/>
          <w:sz w:val="22"/>
          <w:highlight w:val="none"/>
        </w:rPr>
        <w:t>我方仔细研究了</w:t>
      </w:r>
      <w:r>
        <w:rPr>
          <w:rFonts w:hint="eastAsia" w:ascii="仿宋" w:hAnsi="仿宋" w:eastAsia="仿宋" w:cs="仿宋"/>
          <w:color w:val="auto"/>
          <w:sz w:val="22"/>
          <w:highlight w:val="none"/>
          <w:u w:val="single"/>
        </w:rPr>
        <w:t>（项目名称）</w:t>
      </w:r>
      <w:r>
        <w:rPr>
          <w:rFonts w:hint="eastAsia" w:ascii="仿宋" w:hAnsi="仿宋" w:eastAsia="仿宋" w:cs="仿宋"/>
          <w:color w:val="auto"/>
          <w:sz w:val="22"/>
          <w:highlight w:val="none"/>
        </w:rPr>
        <w:t>（项目编号：</w:t>
      </w:r>
      <w:r>
        <w:rPr>
          <w:rFonts w:hint="eastAsia" w:ascii="仿宋" w:hAnsi="仿宋" w:eastAsia="仿宋" w:cs="仿宋"/>
          <w:color w:val="auto"/>
          <w:sz w:val="22"/>
          <w:highlight w:val="none"/>
          <w:lang w:eastAsia="zh-CN"/>
        </w:rPr>
        <w:t>YNXYZB（DZJ）20221101</w:t>
      </w:r>
      <w:r>
        <w:rPr>
          <w:rFonts w:hint="eastAsia" w:ascii="仿宋" w:hAnsi="仿宋" w:eastAsia="仿宋" w:cs="仿宋"/>
          <w:color w:val="auto"/>
          <w:sz w:val="22"/>
          <w:highlight w:val="none"/>
        </w:rPr>
        <w:t xml:space="preserve"> ）项目招标文件的全部内容，正式授权下述签字人</w:t>
      </w:r>
      <w:r>
        <w:rPr>
          <w:rFonts w:hint="eastAsia" w:ascii="仿宋" w:hAnsi="仿宋" w:eastAsia="仿宋" w:cs="仿宋"/>
          <w:color w:val="auto"/>
          <w:sz w:val="22"/>
          <w:highlight w:val="none"/>
          <w:u w:val="single"/>
        </w:rPr>
        <w:t xml:space="preserve">（姓名和职务）  </w:t>
      </w:r>
      <w:r>
        <w:rPr>
          <w:rFonts w:hint="eastAsia" w:ascii="仿宋" w:hAnsi="仿宋" w:eastAsia="仿宋" w:cs="仿宋"/>
          <w:color w:val="auto"/>
          <w:sz w:val="22"/>
          <w:highlight w:val="none"/>
        </w:rPr>
        <w:t>全权代表</w:t>
      </w:r>
      <w:r>
        <w:rPr>
          <w:rFonts w:hint="eastAsia" w:ascii="仿宋" w:hAnsi="仿宋" w:eastAsia="仿宋" w:cs="仿宋"/>
          <w:color w:val="auto"/>
          <w:sz w:val="22"/>
          <w:highlight w:val="none"/>
          <w:u w:val="single"/>
        </w:rPr>
        <w:t xml:space="preserve">  （投标人全称）   </w:t>
      </w:r>
      <w:r>
        <w:rPr>
          <w:rFonts w:hint="eastAsia" w:ascii="仿宋" w:hAnsi="仿宋" w:eastAsia="仿宋" w:cs="仿宋"/>
          <w:color w:val="auto"/>
          <w:sz w:val="22"/>
          <w:highlight w:val="none"/>
        </w:rPr>
        <w:t>参加投标，并提交投标文件。</w:t>
      </w:r>
    </w:p>
    <w:p>
      <w:pPr>
        <w:pStyle w:val="14"/>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据此函，签字人兹宣布同意如下：</w:t>
      </w:r>
    </w:p>
    <w:p>
      <w:pPr>
        <w:pStyle w:val="14"/>
        <w:spacing w:line="360" w:lineRule="auto"/>
        <w:ind w:firstLine="420"/>
        <w:rPr>
          <w:rFonts w:hint="eastAsia" w:ascii="仿宋" w:hAnsi="仿宋" w:eastAsia="仿宋" w:cs="仿宋"/>
          <w:color w:val="auto"/>
          <w:spacing w:val="-10"/>
          <w:sz w:val="22"/>
          <w:highlight w:val="none"/>
        </w:rPr>
      </w:pPr>
      <w:r>
        <w:rPr>
          <w:rFonts w:hint="eastAsia" w:ascii="仿宋" w:hAnsi="仿宋" w:eastAsia="仿宋" w:cs="仿宋"/>
          <w:color w:val="auto"/>
          <w:sz w:val="22"/>
          <w:highlight w:val="none"/>
        </w:rPr>
        <w:t>1、</w:t>
      </w:r>
      <w:r>
        <w:rPr>
          <w:rFonts w:hint="eastAsia" w:ascii="仿宋" w:hAnsi="仿宋" w:eastAsia="仿宋" w:cs="仿宋"/>
          <w:color w:val="auto"/>
          <w:spacing w:val="-10"/>
          <w:sz w:val="22"/>
          <w:highlight w:val="none"/>
        </w:rPr>
        <w:t>我方已详细审查招标文件的全部内容，包括</w:t>
      </w:r>
      <w:r>
        <w:rPr>
          <w:rFonts w:hint="eastAsia" w:ascii="仿宋" w:hAnsi="仿宋" w:eastAsia="仿宋" w:cs="仿宋"/>
          <w:color w:val="auto"/>
          <w:spacing w:val="-10"/>
          <w:sz w:val="22"/>
          <w:highlight w:val="none"/>
          <w:u w:val="single"/>
        </w:rPr>
        <w:t>（澄清文件）(如果有)</w:t>
      </w:r>
      <w:r>
        <w:rPr>
          <w:rFonts w:hint="eastAsia" w:ascii="仿宋" w:hAnsi="仿宋" w:eastAsia="仿宋" w:cs="仿宋"/>
          <w:color w:val="auto"/>
          <w:spacing w:val="-10"/>
          <w:sz w:val="22"/>
          <w:highlight w:val="none"/>
        </w:rPr>
        <w:t>。我方完全理解招标文件相关要求，并承担对招标文件有不明及误解的后果。</w:t>
      </w:r>
    </w:p>
    <w:p>
      <w:pPr>
        <w:pStyle w:val="14"/>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2、在招标文件规定的提交日期起遵循本招标文件，并在招标文件规定的投标有效期届满之日前均具有约束力。</w:t>
      </w:r>
    </w:p>
    <w:p>
      <w:pPr>
        <w:pStyle w:val="14"/>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3、同意招标文件中关于没收投标保证金的规定。</w:t>
      </w:r>
    </w:p>
    <w:p>
      <w:pPr>
        <w:pStyle w:val="14"/>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4、同意应贵方要求提供与本项目有关的任何数据或资料，并保证数据和资料的完整性和真实性。</w:t>
      </w:r>
    </w:p>
    <w:p>
      <w:pPr>
        <w:pStyle w:val="14"/>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5、如我方成交：</w:t>
      </w:r>
    </w:p>
    <w:p>
      <w:pPr>
        <w:pStyle w:val="14"/>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（1）我方承诺在收到中标通知书后，在规定的期限内与你方签订合同，并履行相应的合同责任和义务。</w:t>
      </w:r>
    </w:p>
    <w:p>
      <w:pPr>
        <w:pStyle w:val="14"/>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（2）我方承诺按照招标文件的规定向你方递交履约保证金。</w:t>
      </w:r>
    </w:p>
    <w:p>
      <w:pPr>
        <w:pStyle w:val="14"/>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（3）我方承诺将承担售后服务及质量责任。</w:t>
      </w:r>
    </w:p>
    <w:p>
      <w:pPr>
        <w:pStyle w:val="14"/>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6、我方在此声明，所递交的投标文件及有关资料内容完整、真实和准确。</w:t>
      </w:r>
    </w:p>
    <w:p>
      <w:pPr>
        <w:pStyle w:val="14"/>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7、（其他补充说明）。</w:t>
      </w:r>
    </w:p>
    <w:p>
      <w:pPr>
        <w:pStyle w:val="14"/>
        <w:spacing w:line="360" w:lineRule="auto"/>
        <w:ind w:firstLine="420"/>
        <w:rPr>
          <w:rFonts w:hint="eastAsia" w:ascii="仿宋" w:hAnsi="仿宋" w:eastAsia="仿宋" w:cs="仿宋"/>
          <w:color w:val="auto"/>
          <w:sz w:val="22"/>
          <w:highlight w:val="none"/>
        </w:rPr>
      </w:pPr>
    </w:p>
    <w:p>
      <w:pPr>
        <w:pStyle w:val="14"/>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我单位正式通讯地址为：</w:t>
      </w:r>
    </w:p>
    <w:p>
      <w:pPr>
        <w:pStyle w:val="14"/>
        <w:spacing w:line="360" w:lineRule="auto"/>
        <w:ind w:firstLine="420"/>
        <w:rPr>
          <w:rFonts w:hint="eastAsia" w:ascii="仿宋" w:hAnsi="仿宋" w:eastAsia="仿宋" w:cs="仿宋"/>
          <w:color w:val="auto"/>
          <w:sz w:val="22"/>
          <w:highlight w:val="none"/>
          <w:u w:val="single"/>
        </w:rPr>
      </w:pPr>
      <w:r>
        <w:rPr>
          <w:rFonts w:hint="eastAsia" w:ascii="仿宋" w:hAnsi="仿宋" w:eastAsia="仿宋" w:cs="仿宋"/>
          <w:color w:val="auto"/>
          <w:sz w:val="22"/>
          <w:highlight w:val="none"/>
        </w:rPr>
        <w:t>地    址：                              邮政编码：</w:t>
      </w:r>
    </w:p>
    <w:p>
      <w:pPr>
        <w:pStyle w:val="14"/>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电    话：                              传    真：</w:t>
      </w:r>
    </w:p>
    <w:p>
      <w:pPr>
        <w:pStyle w:val="14"/>
        <w:spacing w:line="360" w:lineRule="auto"/>
        <w:ind w:firstLine="420"/>
        <w:rPr>
          <w:rFonts w:hint="eastAsia" w:ascii="仿宋" w:hAnsi="仿宋" w:eastAsia="仿宋" w:cs="仿宋"/>
          <w:color w:val="auto"/>
          <w:sz w:val="22"/>
          <w:highlight w:val="none"/>
          <w:u w:val="single"/>
        </w:rPr>
      </w:pPr>
      <w:r>
        <w:rPr>
          <w:rFonts w:hint="eastAsia" w:ascii="仿宋" w:hAnsi="仿宋" w:eastAsia="仿宋" w:cs="仿宋"/>
          <w:color w:val="auto"/>
          <w:sz w:val="22"/>
          <w:highlight w:val="none"/>
        </w:rPr>
        <w:t>开户银行：                              账    号：</w:t>
      </w:r>
    </w:p>
    <w:p>
      <w:pPr>
        <w:pStyle w:val="56"/>
        <w:spacing w:line="360" w:lineRule="auto"/>
        <w:jc w:val="both"/>
        <w:rPr>
          <w:rFonts w:hint="eastAsia" w:ascii="仿宋" w:hAnsi="仿宋" w:eastAsia="仿宋" w:cs="仿宋"/>
          <w:color w:val="auto"/>
          <w:sz w:val="22"/>
          <w:szCs w:val="22"/>
          <w:highlight w:val="none"/>
        </w:rPr>
      </w:pPr>
    </w:p>
    <w:p>
      <w:pPr>
        <w:pStyle w:val="56"/>
        <w:spacing w:line="360" w:lineRule="auto"/>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投标人（加盖公章）：</w:t>
      </w:r>
    </w:p>
    <w:p>
      <w:pPr>
        <w:spacing w:line="360" w:lineRule="auto"/>
        <w:ind w:firstLine="2" w:firstLineChars="1"/>
        <w:jc w:val="left"/>
        <w:rPr>
          <w:rFonts w:hint="eastAsia" w:ascii="仿宋" w:hAnsi="仿宋" w:eastAsia="仿宋" w:cs="仿宋"/>
          <w:color w:val="auto"/>
          <w:sz w:val="22"/>
          <w:highlight w:val="none"/>
        </w:rPr>
      </w:pPr>
      <w:r>
        <w:rPr>
          <w:rFonts w:hint="eastAsia" w:ascii="仿宋" w:hAnsi="仿宋" w:eastAsia="仿宋" w:cs="仿宋"/>
          <w:color w:val="auto"/>
          <w:sz w:val="22"/>
          <w:highlight w:val="none"/>
        </w:rPr>
        <w:t>法定代表人或委托代理人（签字或盖章）：</w:t>
      </w:r>
    </w:p>
    <w:p>
      <w:pPr>
        <w:pStyle w:val="56"/>
        <w:spacing w:line="360" w:lineRule="auto"/>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p>
    <w:p>
      <w:pP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br w:type="page"/>
      </w:r>
    </w:p>
    <w:p>
      <w:pPr>
        <w:pStyle w:val="4"/>
        <w:jc w:val="center"/>
        <w:rPr>
          <w:rFonts w:hint="eastAsia" w:ascii="仿宋" w:hAnsi="仿宋" w:eastAsia="仿宋" w:cs="仿宋"/>
          <w:color w:val="auto"/>
          <w:spacing w:val="0"/>
          <w:sz w:val="28"/>
          <w:szCs w:val="21"/>
          <w:highlight w:val="none"/>
        </w:rPr>
      </w:pPr>
      <w:r>
        <w:rPr>
          <w:rFonts w:hint="eastAsia" w:ascii="仿宋" w:hAnsi="仿宋" w:eastAsia="仿宋" w:cs="仿宋"/>
          <w:color w:val="auto"/>
          <w:spacing w:val="0"/>
          <w:sz w:val="28"/>
          <w:szCs w:val="21"/>
          <w:highlight w:val="none"/>
        </w:rPr>
        <w:t>格式二：法定代表人身份证明书</w:t>
      </w:r>
    </w:p>
    <w:p>
      <w:pPr>
        <w:pStyle w:val="9"/>
        <w:spacing w:line="480" w:lineRule="auto"/>
        <w:ind w:firstLine="480"/>
        <w:rPr>
          <w:rFonts w:hint="eastAsia" w:ascii="仿宋" w:hAnsi="仿宋" w:eastAsia="仿宋" w:cs="仿宋"/>
          <w:color w:val="auto"/>
          <w:sz w:val="24"/>
          <w:szCs w:val="24"/>
          <w:highlight w:val="none"/>
        </w:rPr>
      </w:pPr>
    </w:p>
    <w:p>
      <w:pPr>
        <w:spacing w:line="480" w:lineRule="auto"/>
        <w:rPr>
          <w:rFonts w:hint="eastAsia" w:ascii="仿宋" w:hAnsi="仿宋" w:eastAsia="仿宋" w:cs="仿宋"/>
          <w:color w:val="auto"/>
          <w:sz w:val="22"/>
          <w:szCs w:val="21"/>
          <w:highlight w:val="none"/>
          <w:u w:val="single"/>
        </w:rPr>
      </w:pPr>
      <w:r>
        <w:rPr>
          <w:rFonts w:hint="eastAsia" w:ascii="仿宋" w:hAnsi="仿宋" w:eastAsia="仿宋" w:cs="仿宋"/>
          <w:color w:val="auto"/>
          <w:sz w:val="22"/>
          <w:szCs w:val="21"/>
          <w:highlight w:val="none"/>
        </w:rPr>
        <w:t>单位名称：</w:t>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p>
    <w:p>
      <w:pPr>
        <w:spacing w:line="480" w:lineRule="auto"/>
        <w:rPr>
          <w:rFonts w:hint="eastAsia" w:ascii="仿宋" w:hAnsi="仿宋" w:eastAsia="仿宋" w:cs="仿宋"/>
          <w:color w:val="auto"/>
          <w:sz w:val="22"/>
          <w:szCs w:val="21"/>
          <w:highlight w:val="none"/>
        </w:rPr>
      </w:pPr>
    </w:p>
    <w:p>
      <w:pPr>
        <w:spacing w:line="480" w:lineRule="auto"/>
        <w:rPr>
          <w:rFonts w:hint="eastAsia" w:ascii="仿宋" w:hAnsi="仿宋" w:eastAsia="仿宋" w:cs="仿宋"/>
          <w:color w:val="auto"/>
          <w:sz w:val="22"/>
          <w:szCs w:val="21"/>
          <w:highlight w:val="none"/>
          <w:u w:val="single"/>
        </w:rPr>
      </w:pPr>
      <w:r>
        <w:rPr>
          <w:rFonts w:hint="eastAsia" w:ascii="仿宋" w:hAnsi="仿宋" w:eastAsia="仿宋" w:cs="仿宋"/>
          <w:color w:val="auto"/>
          <w:sz w:val="22"/>
          <w:szCs w:val="21"/>
          <w:highlight w:val="none"/>
        </w:rPr>
        <w:t>单位性质：</w:t>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p>
    <w:p>
      <w:pPr>
        <w:spacing w:line="480" w:lineRule="auto"/>
        <w:rPr>
          <w:rFonts w:hint="eastAsia" w:ascii="仿宋" w:hAnsi="仿宋" w:eastAsia="仿宋" w:cs="仿宋"/>
          <w:color w:val="auto"/>
          <w:sz w:val="22"/>
          <w:szCs w:val="21"/>
          <w:highlight w:val="none"/>
        </w:rPr>
      </w:pPr>
    </w:p>
    <w:p>
      <w:pPr>
        <w:spacing w:line="480" w:lineRule="auto"/>
        <w:rPr>
          <w:rFonts w:hint="eastAsia" w:ascii="仿宋" w:hAnsi="仿宋" w:eastAsia="仿宋" w:cs="仿宋"/>
          <w:color w:val="auto"/>
          <w:sz w:val="22"/>
          <w:szCs w:val="21"/>
          <w:highlight w:val="none"/>
          <w:u w:val="single"/>
        </w:rPr>
      </w:pPr>
      <w:r>
        <w:rPr>
          <w:rFonts w:hint="eastAsia" w:ascii="仿宋" w:hAnsi="仿宋" w:eastAsia="仿宋" w:cs="仿宋"/>
          <w:color w:val="auto"/>
          <w:sz w:val="22"/>
          <w:szCs w:val="21"/>
          <w:highlight w:val="none"/>
        </w:rPr>
        <w:t>地址：</w:t>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r>
        <w:rPr>
          <w:rFonts w:hint="eastAsia" w:ascii="仿宋" w:hAnsi="仿宋" w:eastAsia="仿宋" w:cs="仿宋"/>
          <w:color w:val="auto"/>
          <w:sz w:val="22"/>
          <w:szCs w:val="21"/>
          <w:highlight w:val="none"/>
          <w:u w:val="single"/>
        </w:rPr>
        <w:tab/>
      </w:r>
    </w:p>
    <w:p>
      <w:pPr>
        <w:spacing w:line="480" w:lineRule="auto"/>
        <w:rPr>
          <w:rFonts w:hint="eastAsia" w:ascii="仿宋" w:hAnsi="仿宋" w:eastAsia="仿宋" w:cs="仿宋"/>
          <w:color w:val="auto"/>
          <w:sz w:val="22"/>
          <w:szCs w:val="21"/>
          <w:highlight w:val="none"/>
        </w:rPr>
      </w:pPr>
    </w:p>
    <w:p>
      <w:pPr>
        <w:spacing w:line="480" w:lineRule="auto"/>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成立时间：     年  月  日</w:t>
      </w:r>
    </w:p>
    <w:p>
      <w:pPr>
        <w:spacing w:line="480" w:lineRule="auto"/>
        <w:rPr>
          <w:rFonts w:hint="eastAsia" w:ascii="仿宋" w:hAnsi="仿宋" w:eastAsia="仿宋" w:cs="仿宋"/>
          <w:color w:val="auto"/>
          <w:sz w:val="22"/>
          <w:szCs w:val="21"/>
          <w:highlight w:val="none"/>
        </w:rPr>
      </w:pPr>
    </w:p>
    <w:p>
      <w:pPr>
        <w:spacing w:line="480" w:lineRule="auto"/>
        <w:rPr>
          <w:rFonts w:hint="eastAsia" w:ascii="仿宋" w:hAnsi="仿宋" w:eastAsia="仿宋" w:cs="仿宋"/>
          <w:color w:val="auto"/>
          <w:sz w:val="22"/>
          <w:szCs w:val="21"/>
          <w:highlight w:val="none"/>
          <w:u w:val="single"/>
        </w:rPr>
      </w:pPr>
      <w:r>
        <w:rPr>
          <w:rFonts w:hint="eastAsia" w:ascii="仿宋" w:hAnsi="仿宋" w:eastAsia="仿宋" w:cs="仿宋"/>
          <w:color w:val="auto"/>
          <w:sz w:val="22"/>
          <w:szCs w:val="21"/>
          <w:highlight w:val="none"/>
        </w:rPr>
        <w:t>经营期限：</w:t>
      </w:r>
      <w:r>
        <w:rPr>
          <w:rFonts w:hint="eastAsia" w:ascii="仿宋" w:hAnsi="仿宋" w:eastAsia="仿宋" w:cs="仿宋"/>
          <w:color w:val="auto"/>
          <w:sz w:val="22"/>
          <w:szCs w:val="21"/>
          <w:highlight w:val="none"/>
          <w:u w:val="single"/>
        </w:rPr>
        <w:tab/>
      </w:r>
    </w:p>
    <w:p>
      <w:pPr>
        <w:spacing w:line="480" w:lineRule="auto"/>
        <w:rPr>
          <w:rFonts w:hint="eastAsia" w:ascii="仿宋" w:hAnsi="仿宋" w:eastAsia="仿宋" w:cs="仿宋"/>
          <w:color w:val="auto"/>
          <w:sz w:val="22"/>
          <w:szCs w:val="21"/>
          <w:highlight w:val="none"/>
        </w:rPr>
      </w:pPr>
    </w:p>
    <w:p>
      <w:pPr>
        <w:spacing w:line="480" w:lineRule="auto"/>
        <w:rPr>
          <w:rFonts w:hint="eastAsia" w:ascii="仿宋" w:hAnsi="仿宋" w:eastAsia="仿宋" w:cs="仿宋"/>
          <w:color w:val="auto"/>
          <w:sz w:val="22"/>
          <w:szCs w:val="21"/>
          <w:highlight w:val="none"/>
          <w:u w:val="single"/>
        </w:rPr>
      </w:pPr>
      <w:r>
        <w:rPr>
          <w:rFonts w:hint="eastAsia" w:ascii="仿宋" w:hAnsi="仿宋" w:eastAsia="仿宋" w:cs="仿宋"/>
          <w:color w:val="auto"/>
          <w:sz w:val="22"/>
          <w:szCs w:val="21"/>
          <w:highlight w:val="none"/>
        </w:rPr>
        <w:t>姓名：            性别：          年龄：         职务：</w:t>
      </w:r>
      <w:r>
        <w:rPr>
          <w:rFonts w:hint="eastAsia" w:ascii="仿宋" w:hAnsi="仿宋" w:eastAsia="仿宋" w:cs="仿宋"/>
          <w:color w:val="auto"/>
          <w:sz w:val="22"/>
          <w:szCs w:val="21"/>
          <w:highlight w:val="none"/>
        </w:rPr>
        <w:tab/>
      </w:r>
      <w:r>
        <w:rPr>
          <w:rFonts w:hint="eastAsia" w:ascii="仿宋" w:hAnsi="仿宋" w:eastAsia="仿宋" w:cs="仿宋"/>
          <w:color w:val="auto"/>
          <w:sz w:val="22"/>
          <w:szCs w:val="21"/>
          <w:highlight w:val="none"/>
        </w:rPr>
        <w:tab/>
      </w:r>
    </w:p>
    <w:p>
      <w:pPr>
        <w:spacing w:line="480" w:lineRule="auto"/>
        <w:rPr>
          <w:rFonts w:hint="eastAsia" w:ascii="仿宋" w:hAnsi="仿宋" w:eastAsia="仿宋" w:cs="仿宋"/>
          <w:color w:val="auto"/>
          <w:sz w:val="22"/>
          <w:szCs w:val="21"/>
          <w:highlight w:val="none"/>
        </w:rPr>
      </w:pPr>
    </w:p>
    <w:p>
      <w:pPr>
        <w:spacing w:line="480" w:lineRule="auto"/>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系</w:t>
      </w:r>
      <w:r>
        <w:rPr>
          <w:rFonts w:hint="eastAsia" w:ascii="仿宋" w:hAnsi="仿宋" w:eastAsia="仿宋" w:cs="仿宋"/>
          <w:color w:val="auto"/>
          <w:sz w:val="22"/>
          <w:szCs w:val="21"/>
          <w:highlight w:val="none"/>
          <w:u w:val="single"/>
        </w:rPr>
        <w:t xml:space="preserve">       （投标人名称）        </w:t>
      </w:r>
      <w:r>
        <w:rPr>
          <w:rFonts w:hint="eastAsia" w:ascii="仿宋" w:hAnsi="仿宋" w:eastAsia="仿宋" w:cs="仿宋"/>
          <w:color w:val="auto"/>
          <w:sz w:val="22"/>
          <w:szCs w:val="21"/>
          <w:highlight w:val="none"/>
        </w:rPr>
        <w:t>的法定代表人。</w:t>
      </w:r>
    </w:p>
    <w:p>
      <w:pPr>
        <w:spacing w:line="480" w:lineRule="auto"/>
        <w:rPr>
          <w:rFonts w:hint="eastAsia" w:ascii="仿宋" w:hAnsi="仿宋" w:eastAsia="仿宋" w:cs="仿宋"/>
          <w:color w:val="auto"/>
          <w:sz w:val="22"/>
          <w:szCs w:val="21"/>
          <w:highlight w:val="none"/>
        </w:rPr>
      </w:pPr>
    </w:p>
    <w:p>
      <w:pPr>
        <w:spacing w:line="480" w:lineRule="auto"/>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特此证明。</w:t>
      </w:r>
    </w:p>
    <w:p>
      <w:pPr>
        <w:spacing w:line="480" w:lineRule="auto"/>
        <w:rPr>
          <w:rFonts w:hint="eastAsia" w:ascii="仿宋" w:hAnsi="仿宋" w:eastAsia="仿宋" w:cs="仿宋"/>
          <w:color w:val="auto"/>
          <w:sz w:val="22"/>
          <w:szCs w:val="21"/>
          <w:highlight w:val="none"/>
        </w:rPr>
      </w:pPr>
    </w:p>
    <w:p>
      <w:pPr>
        <w:spacing w:line="480" w:lineRule="auto"/>
        <w:rPr>
          <w:rFonts w:hint="eastAsia" w:ascii="仿宋" w:hAnsi="仿宋" w:eastAsia="仿宋" w:cs="仿宋"/>
          <w:color w:val="auto"/>
          <w:sz w:val="22"/>
          <w:szCs w:val="21"/>
          <w:highlight w:val="none"/>
          <w:u w:val="single"/>
        </w:rPr>
      </w:pPr>
      <w:r>
        <w:rPr>
          <w:rFonts w:hint="eastAsia" w:ascii="仿宋" w:hAnsi="仿宋" w:eastAsia="仿宋" w:cs="仿宋"/>
          <w:color w:val="auto"/>
          <w:sz w:val="22"/>
          <w:szCs w:val="21"/>
          <w:highlight w:val="none"/>
        </w:rPr>
        <w:t>投标人：</w:t>
      </w:r>
      <w:r>
        <w:rPr>
          <w:rFonts w:hint="eastAsia" w:ascii="仿宋" w:hAnsi="仿宋" w:eastAsia="仿宋" w:cs="仿宋"/>
          <w:color w:val="auto"/>
          <w:sz w:val="22"/>
          <w:szCs w:val="21"/>
          <w:highlight w:val="none"/>
          <w:u w:val="single"/>
        </w:rPr>
        <w:t xml:space="preserve">                                    （盖公章）</w:t>
      </w:r>
    </w:p>
    <w:p>
      <w:pPr>
        <w:spacing w:line="480" w:lineRule="auto"/>
        <w:rPr>
          <w:rFonts w:hint="eastAsia" w:ascii="仿宋" w:hAnsi="仿宋" w:eastAsia="仿宋" w:cs="仿宋"/>
          <w:color w:val="auto"/>
          <w:sz w:val="22"/>
          <w:szCs w:val="21"/>
          <w:highlight w:val="none"/>
        </w:rPr>
      </w:pPr>
    </w:p>
    <w:p>
      <w:pPr>
        <w:spacing w:line="480" w:lineRule="auto"/>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日期：     年  月  日</w:t>
      </w:r>
    </w:p>
    <w:p>
      <w:pPr>
        <w:spacing w:line="480" w:lineRule="auto"/>
        <w:rPr>
          <w:rFonts w:hint="eastAsia" w:ascii="仿宋" w:hAnsi="仿宋" w:eastAsia="仿宋" w:cs="仿宋"/>
          <w:color w:val="auto"/>
          <w:sz w:val="22"/>
          <w:szCs w:val="21"/>
          <w:highlight w:val="none"/>
          <w:lang w:val="en-US" w:eastAsia="zh-CN"/>
        </w:rPr>
      </w:pPr>
      <w:r>
        <w:rPr>
          <w:rFonts w:hint="eastAsia" w:ascii="仿宋" w:hAnsi="仿宋" w:eastAsia="仿宋" w:cs="仿宋"/>
          <w:color w:val="auto"/>
          <w:sz w:val="22"/>
          <w:szCs w:val="21"/>
          <w:highlight w:val="none"/>
        </w:rPr>
        <w:t>附：身份证正反面复印件</w:t>
      </w:r>
      <w:r>
        <w:rPr>
          <w:rFonts w:hint="eastAsia" w:ascii="仿宋" w:hAnsi="仿宋" w:eastAsia="仿宋" w:cs="仿宋"/>
          <w:color w:val="auto"/>
          <w:sz w:val="22"/>
          <w:szCs w:val="21"/>
          <w:highlight w:val="none"/>
          <w:lang w:val="en-US" w:eastAsia="zh-CN"/>
        </w:rPr>
        <w:t>并加盖公章</w:t>
      </w:r>
    </w:p>
    <w:p>
      <w:pPr>
        <w:pStyle w:val="9"/>
        <w:ind w:firstLine="0" w:firstLineChars="0"/>
        <w:rPr>
          <w:rFonts w:hint="eastAsia" w:ascii="仿宋" w:hAnsi="仿宋" w:eastAsia="仿宋" w:cs="仿宋"/>
          <w:color w:val="auto"/>
          <w:sz w:val="20"/>
          <w:szCs w:val="21"/>
          <w:highlight w:val="none"/>
        </w:rPr>
      </w:pPr>
    </w:p>
    <w:p>
      <w:pPr>
        <w:pStyle w:val="4"/>
        <w:jc w:val="center"/>
        <w:rPr>
          <w:rFonts w:hint="eastAsia" w:ascii="仿宋" w:hAnsi="仿宋" w:eastAsia="仿宋" w:cs="仿宋"/>
          <w:color w:val="auto"/>
          <w:spacing w:val="0"/>
          <w:sz w:val="28"/>
          <w:szCs w:val="21"/>
          <w:highlight w:val="none"/>
        </w:rPr>
      </w:pPr>
      <w:r>
        <w:rPr>
          <w:rFonts w:hint="eastAsia" w:ascii="仿宋" w:hAnsi="仿宋" w:eastAsia="仿宋" w:cs="仿宋"/>
          <w:color w:val="auto"/>
          <w:spacing w:val="0"/>
          <w:sz w:val="28"/>
          <w:szCs w:val="21"/>
          <w:highlight w:val="none"/>
        </w:rPr>
        <w:t>格式三：法定代表人授权委托书</w:t>
      </w:r>
    </w:p>
    <w:p>
      <w:pPr>
        <w:spacing w:line="480" w:lineRule="auto"/>
        <w:rPr>
          <w:rFonts w:hint="eastAsia" w:ascii="仿宋" w:hAnsi="仿宋" w:eastAsia="仿宋" w:cs="仿宋"/>
          <w:color w:val="auto"/>
          <w:sz w:val="22"/>
          <w:szCs w:val="21"/>
          <w:highlight w:val="none"/>
        </w:rPr>
      </w:pPr>
    </w:p>
    <w:p>
      <w:pPr>
        <w:spacing w:line="48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本授权委托书声明：我（姓名）系（投标名称）的法定代表人，现授权委托（姓名）为我公司代理人，以公司名义参加</w:t>
      </w:r>
      <w:r>
        <w:rPr>
          <w:rFonts w:hint="eastAsia" w:ascii="仿宋" w:hAnsi="仿宋" w:eastAsia="仿宋" w:cs="仿宋"/>
          <w:color w:val="auto"/>
          <w:sz w:val="22"/>
          <w:szCs w:val="21"/>
          <w:highlight w:val="none"/>
          <w:lang w:eastAsia="zh-CN"/>
        </w:rPr>
        <w:t>云南省地震局地震专业设备采购1标段（三次）</w:t>
      </w:r>
      <w:r>
        <w:rPr>
          <w:rFonts w:hint="eastAsia" w:ascii="仿宋" w:hAnsi="仿宋" w:eastAsia="仿宋" w:cs="仿宋"/>
          <w:b/>
          <w:color w:val="auto"/>
          <w:sz w:val="22"/>
          <w:szCs w:val="21"/>
          <w:highlight w:val="none"/>
          <w:u w:val="single"/>
        </w:rPr>
        <w:t>（项目编号：</w:t>
      </w:r>
      <w:r>
        <w:rPr>
          <w:rFonts w:hint="eastAsia" w:ascii="仿宋" w:hAnsi="仿宋" w:eastAsia="仿宋" w:cs="仿宋"/>
          <w:b/>
          <w:color w:val="auto"/>
          <w:sz w:val="22"/>
          <w:szCs w:val="21"/>
          <w:highlight w:val="none"/>
          <w:u w:val="single"/>
          <w:lang w:eastAsia="zh-CN"/>
        </w:rPr>
        <w:t>YNXYZB（DZJ）20221101</w:t>
      </w:r>
      <w:r>
        <w:rPr>
          <w:rFonts w:hint="eastAsia" w:ascii="仿宋" w:hAnsi="仿宋" w:eastAsia="仿宋" w:cs="仿宋"/>
          <w:b/>
          <w:color w:val="auto"/>
          <w:sz w:val="22"/>
          <w:szCs w:val="21"/>
          <w:highlight w:val="none"/>
          <w:u w:val="single"/>
        </w:rPr>
        <w:t xml:space="preserve"> ）</w:t>
      </w:r>
      <w:r>
        <w:rPr>
          <w:rFonts w:hint="eastAsia" w:ascii="仿宋" w:hAnsi="仿宋" w:eastAsia="仿宋" w:cs="仿宋"/>
          <w:color w:val="auto"/>
          <w:sz w:val="22"/>
          <w:szCs w:val="21"/>
          <w:highlight w:val="none"/>
        </w:rPr>
        <w:t>的公开招标活动。</w:t>
      </w:r>
    </w:p>
    <w:p>
      <w:pPr>
        <w:spacing w:line="48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代理人在参加本项目过程中所签署的一切文件和处理与之有关的一切事务，我均予以承认。</w:t>
      </w:r>
    </w:p>
    <w:p>
      <w:pPr>
        <w:spacing w:line="480" w:lineRule="auto"/>
        <w:rPr>
          <w:rFonts w:hint="eastAsia" w:ascii="仿宋" w:hAnsi="仿宋" w:eastAsia="仿宋" w:cs="仿宋"/>
          <w:color w:val="auto"/>
          <w:sz w:val="22"/>
          <w:szCs w:val="21"/>
          <w:highlight w:val="none"/>
        </w:rPr>
      </w:pPr>
    </w:p>
    <w:p>
      <w:pPr>
        <w:spacing w:line="480" w:lineRule="auto"/>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代理人：                               性别：                   年龄：</w:t>
      </w:r>
    </w:p>
    <w:p>
      <w:pPr>
        <w:spacing w:line="480" w:lineRule="auto"/>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部门：                                 职务：</w:t>
      </w:r>
    </w:p>
    <w:p>
      <w:pPr>
        <w:spacing w:line="480" w:lineRule="auto"/>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代理人无转委权。特此委托。</w:t>
      </w:r>
    </w:p>
    <w:p>
      <w:pPr>
        <w:spacing w:line="480" w:lineRule="auto"/>
        <w:rPr>
          <w:rFonts w:hint="eastAsia" w:ascii="仿宋" w:hAnsi="仿宋" w:eastAsia="仿宋" w:cs="仿宋"/>
          <w:b/>
          <w:color w:val="auto"/>
          <w:sz w:val="22"/>
          <w:szCs w:val="21"/>
          <w:highlight w:val="none"/>
        </w:rPr>
      </w:pPr>
    </w:p>
    <w:p>
      <w:pPr>
        <w:spacing w:line="480" w:lineRule="auto"/>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投标人（盖章）：</w:t>
      </w:r>
    </w:p>
    <w:p>
      <w:pPr>
        <w:spacing w:line="480" w:lineRule="auto"/>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法定代表人（签字或盖章）：</w:t>
      </w:r>
    </w:p>
    <w:p>
      <w:pPr>
        <w:spacing w:line="480" w:lineRule="auto"/>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日 期：     年  月  日</w:t>
      </w:r>
    </w:p>
    <w:p>
      <w:pPr>
        <w:spacing w:line="480" w:lineRule="auto"/>
        <w:rPr>
          <w:rFonts w:hint="eastAsia" w:ascii="仿宋" w:hAnsi="仿宋" w:eastAsia="仿宋" w:cs="仿宋"/>
          <w:color w:val="auto"/>
          <w:sz w:val="22"/>
          <w:szCs w:val="21"/>
          <w:highlight w:val="none"/>
          <w:lang w:val="en-US" w:eastAsia="zh-CN"/>
        </w:rPr>
      </w:pPr>
      <w:r>
        <w:rPr>
          <w:rFonts w:hint="eastAsia" w:ascii="仿宋" w:hAnsi="仿宋" w:eastAsia="仿宋" w:cs="仿宋"/>
          <w:color w:val="auto"/>
          <w:sz w:val="22"/>
          <w:szCs w:val="21"/>
          <w:highlight w:val="none"/>
        </w:rPr>
        <w:t>附：身份证正反面复印件</w:t>
      </w:r>
      <w:r>
        <w:rPr>
          <w:rFonts w:hint="eastAsia" w:ascii="仿宋" w:hAnsi="仿宋" w:eastAsia="仿宋" w:cs="仿宋"/>
          <w:color w:val="auto"/>
          <w:sz w:val="22"/>
          <w:szCs w:val="21"/>
          <w:highlight w:val="none"/>
          <w:lang w:val="en-US" w:eastAsia="zh-CN"/>
        </w:rPr>
        <w:t>并加盖公章</w:t>
      </w:r>
    </w:p>
    <w:p>
      <w:pPr>
        <w:spacing w:line="480" w:lineRule="auto"/>
        <w:rPr>
          <w:rFonts w:hint="eastAsia" w:ascii="仿宋" w:hAnsi="仿宋" w:eastAsia="仿宋" w:cs="仿宋"/>
          <w:i/>
          <w:color w:val="auto"/>
          <w:sz w:val="22"/>
          <w:szCs w:val="21"/>
          <w:highlight w:val="none"/>
        </w:rPr>
      </w:pPr>
    </w:p>
    <w:p>
      <w:pPr>
        <w:widowControl/>
        <w:jc w:val="left"/>
        <w:rPr>
          <w:rFonts w:hint="eastAsia" w:ascii="仿宋" w:hAnsi="仿宋" w:eastAsia="仿宋" w:cs="仿宋"/>
          <w:b/>
          <w:color w:val="auto"/>
          <w:spacing w:val="40"/>
          <w:sz w:val="28"/>
          <w:szCs w:val="21"/>
          <w:highlight w:val="none"/>
        </w:rPr>
      </w:pPr>
    </w:p>
    <w:p>
      <w:pPr>
        <w:widowControl/>
        <w:jc w:val="left"/>
        <w:rPr>
          <w:rFonts w:hint="eastAsia" w:ascii="仿宋" w:hAnsi="仿宋" w:eastAsia="仿宋" w:cs="仿宋"/>
          <w:b/>
          <w:color w:val="auto"/>
          <w:spacing w:val="40"/>
          <w:sz w:val="28"/>
          <w:szCs w:val="21"/>
          <w:highlight w:val="none"/>
        </w:rPr>
      </w:pPr>
    </w:p>
    <w:p>
      <w:pPr>
        <w:widowControl/>
        <w:jc w:val="left"/>
        <w:rPr>
          <w:rFonts w:hint="eastAsia" w:ascii="仿宋" w:hAnsi="仿宋" w:eastAsia="仿宋" w:cs="仿宋"/>
          <w:b/>
          <w:color w:val="auto"/>
          <w:spacing w:val="40"/>
          <w:sz w:val="28"/>
          <w:szCs w:val="21"/>
          <w:highlight w:val="none"/>
        </w:rPr>
      </w:pPr>
    </w:p>
    <w:p>
      <w:pPr>
        <w:widowControl/>
        <w:jc w:val="left"/>
        <w:rPr>
          <w:rFonts w:hint="eastAsia" w:ascii="仿宋" w:hAnsi="仿宋" w:eastAsia="仿宋" w:cs="仿宋"/>
          <w:b/>
          <w:color w:val="auto"/>
          <w:spacing w:val="40"/>
          <w:sz w:val="28"/>
          <w:szCs w:val="21"/>
          <w:highlight w:val="none"/>
        </w:rPr>
      </w:pPr>
    </w:p>
    <w:p>
      <w:pPr>
        <w:widowControl/>
        <w:jc w:val="left"/>
        <w:rPr>
          <w:rFonts w:hint="eastAsia" w:ascii="仿宋" w:hAnsi="仿宋" w:eastAsia="仿宋" w:cs="仿宋"/>
          <w:b/>
          <w:color w:val="auto"/>
          <w:spacing w:val="40"/>
          <w:sz w:val="28"/>
          <w:szCs w:val="21"/>
          <w:highlight w:val="none"/>
        </w:rPr>
      </w:pPr>
    </w:p>
    <w:p>
      <w:pPr>
        <w:widowControl/>
        <w:jc w:val="left"/>
        <w:rPr>
          <w:rFonts w:hint="eastAsia" w:ascii="仿宋" w:hAnsi="仿宋" w:eastAsia="仿宋" w:cs="仿宋"/>
          <w:b/>
          <w:color w:val="auto"/>
          <w:spacing w:val="40"/>
          <w:sz w:val="28"/>
          <w:szCs w:val="21"/>
          <w:highlight w:val="none"/>
        </w:rPr>
      </w:pPr>
    </w:p>
    <w:p>
      <w:pPr>
        <w:widowControl/>
        <w:jc w:val="left"/>
        <w:rPr>
          <w:rFonts w:hint="eastAsia" w:ascii="仿宋" w:hAnsi="仿宋" w:eastAsia="仿宋" w:cs="仿宋"/>
          <w:b/>
          <w:color w:val="auto"/>
          <w:spacing w:val="40"/>
          <w:sz w:val="28"/>
          <w:szCs w:val="21"/>
          <w:highlight w:val="none"/>
        </w:rPr>
      </w:pPr>
    </w:p>
    <w:p>
      <w:pP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br w:type="page"/>
      </w:r>
    </w:p>
    <w:p>
      <w:pPr>
        <w:pStyle w:val="4"/>
        <w:spacing w:line="360" w:lineRule="auto"/>
        <w:jc w:val="center"/>
        <w:rPr>
          <w:rFonts w:hint="eastAsia" w:ascii="仿宋" w:hAnsi="仿宋" w:eastAsia="仿宋" w:cs="仿宋"/>
          <w:color w:val="auto"/>
          <w:spacing w:val="0"/>
          <w:sz w:val="28"/>
          <w:szCs w:val="21"/>
          <w:highlight w:val="none"/>
        </w:rPr>
      </w:pPr>
      <w:r>
        <w:rPr>
          <w:rFonts w:hint="eastAsia" w:ascii="仿宋" w:hAnsi="仿宋" w:eastAsia="仿宋" w:cs="仿宋"/>
          <w:color w:val="auto"/>
          <w:spacing w:val="0"/>
          <w:sz w:val="28"/>
          <w:szCs w:val="21"/>
          <w:highlight w:val="none"/>
        </w:rPr>
        <w:t>格式四：投标保证书</w:t>
      </w:r>
    </w:p>
    <w:p>
      <w:pPr>
        <w:pStyle w:val="9"/>
        <w:ind w:firstLine="440"/>
        <w:rPr>
          <w:rFonts w:hint="eastAsia" w:ascii="仿宋" w:hAnsi="仿宋" w:eastAsia="仿宋" w:cs="仿宋"/>
          <w:color w:val="auto"/>
          <w:sz w:val="22"/>
          <w:highlight w:val="none"/>
        </w:rPr>
      </w:pPr>
    </w:p>
    <w:p>
      <w:pPr>
        <w:spacing w:after="120" w:line="360" w:lineRule="auto"/>
        <w:rPr>
          <w:rFonts w:hint="eastAsia" w:ascii="仿宋" w:hAnsi="仿宋" w:eastAsia="仿宋" w:cs="仿宋"/>
          <w:b/>
          <w:color w:val="auto"/>
          <w:sz w:val="22"/>
          <w:highlight w:val="none"/>
          <w:u w:val="single"/>
        </w:rPr>
      </w:pPr>
      <w:r>
        <w:rPr>
          <w:rFonts w:hint="eastAsia" w:ascii="仿宋" w:hAnsi="仿宋" w:eastAsia="仿宋" w:cs="仿宋"/>
          <w:b/>
          <w:color w:val="auto"/>
          <w:sz w:val="22"/>
          <w:highlight w:val="none"/>
        </w:rPr>
        <w:t>致：</w:t>
      </w:r>
      <w:r>
        <w:rPr>
          <w:rFonts w:hint="eastAsia" w:ascii="仿宋" w:hAnsi="仿宋" w:eastAsia="仿宋" w:cs="仿宋"/>
          <w:b/>
          <w:color w:val="auto"/>
          <w:sz w:val="22"/>
          <w:highlight w:val="none"/>
          <w:u w:val="single"/>
        </w:rPr>
        <w:t>（</w:t>
      </w:r>
      <w:r>
        <w:rPr>
          <w:rFonts w:hint="eastAsia" w:ascii="仿宋" w:hAnsi="仿宋" w:eastAsia="仿宋" w:cs="仿宋"/>
          <w:b/>
          <w:color w:val="auto"/>
          <w:spacing w:val="10"/>
          <w:sz w:val="22"/>
          <w:highlight w:val="none"/>
          <w:u w:val="single"/>
          <w:lang w:eastAsia="zh-CN"/>
        </w:rPr>
        <w:t>采购人</w:t>
      </w:r>
      <w:r>
        <w:rPr>
          <w:rFonts w:hint="eastAsia" w:ascii="仿宋" w:hAnsi="仿宋" w:eastAsia="仿宋" w:cs="仿宋"/>
          <w:b/>
          <w:color w:val="auto"/>
          <w:sz w:val="22"/>
          <w:highlight w:val="none"/>
          <w:u w:val="single"/>
        </w:rPr>
        <w:t>名称）</w:t>
      </w:r>
    </w:p>
    <w:p>
      <w:pPr>
        <w:spacing w:before="60" w:after="60" w:line="360" w:lineRule="auto"/>
        <w:ind w:firstLine="51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本保证书作为我公司对贵公司招标的“</w:t>
      </w:r>
      <w:r>
        <w:rPr>
          <w:rFonts w:hint="eastAsia" w:ascii="仿宋" w:hAnsi="仿宋" w:eastAsia="仿宋" w:cs="仿宋"/>
          <w:color w:val="auto"/>
          <w:sz w:val="22"/>
          <w:szCs w:val="21"/>
          <w:highlight w:val="none"/>
          <w:lang w:eastAsia="zh-CN"/>
        </w:rPr>
        <w:t>云南省地震局地震专业设备采购1标段（三次）</w:t>
      </w:r>
      <w:r>
        <w:rPr>
          <w:rFonts w:hint="eastAsia" w:ascii="仿宋" w:hAnsi="仿宋" w:eastAsia="仿宋" w:cs="仿宋"/>
          <w:color w:val="auto"/>
          <w:sz w:val="22"/>
          <w:szCs w:val="21"/>
          <w:highlight w:val="none"/>
        </w:rPr>
        <w:t>”（项目编号：</w:t>
      </w:r>
      <w:r>
        <w:rPr>
          <w:rFonts w:hint="eastAsia" w:ascii="仿宋" w:hAnsi="仿宋" w:eastAsia="仿宋" w:cs="仿宋"/>
          <w:color w:val="auto"/>
          <w:sz w:val="22"/>
          <w:szCs w:val="21"/>
          <w:highlight w:val="none"/>
          <w:lang w:eastAsia="zh-CN"/>
        </w:rPr>
        <w:t>YNXYZB（DZJ）20221101</w:t>
      </w:r>
      <w:r>
        <w:rPr>
          <w:rFonts w:hint="eastAsia" w:ascii="仿宋" w:hAnsi="仿宋" w:eastAsia="仿宋" w:cs="仿宋"/>
          <w:color w:val="auto"/>
          <w:sz w:val="22"/>
          <w:szCs w:val="21"/>
          <w:highlight w:val="none"/>
        </w:rPr>
        <w:t>）的投标保证金的保证。</w:t>
      </w:r>
    </w:p>
    <w:p>
      <w:pPr>
        <w:spacing w:before="60" w:after="60" w:line="360" w:lineRule="auto"/>
        <w:ind w:firstLine="51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我单位以</w:t>
      </w:r>
      <w:r>
        <w:rPr>
          <w:rFonts w:hint="eastAsia" w:ascii="仿宋" w:hAnsi="仿宋" w:eastAsia="仿宋" w:cs="仿宋"/>
          <w:color w:val="auto"/>
          <w:sz w:val="22"/>
          <w:szCs w:val="21"/>
          <w:highlight w:val="none"/>
          <w:u w:val="single"/>
        </w:rPr>
        <w:t>（       ）</w:t>
      </w:r>
      <w:r>
        <w:rPr>
          <w:rFonts w:hint="eastAsia" w:ascii="仿宋" w:hAnsi="仿宋" w:eastAsia="仿宋" w:cs="仿宋"/>
          <w:color w:val="auto"/>
          <w:sz w:val="22"/>
          <w:szCs w:val="21"/>
          <w:highlight w:val="none"/>
        </w:rPr>
        <w:t>方式提交了总额为人民币（大写）</w:t>
      </w:r>
      <w:r>
        <w:rPr>
          <w:rFonts w:hint="eastAsia" w:ascii="仿宋" w:hAnsi="仿宋" w:eastAsia="仿宋" w:cs="仿宋"/>
          <w:color w:val="auto"/>
          <w:sz w:val="22"/>
          <w:szCs w:val="21"/>
          <w:highlight w:val="none"/>
          <w:u w:val="single"/>
          <w:lang w:val="en-US" w:eastAsia="zh-CN"/>
        </w:rPr>
        <w:t xml:space="preserve">    </w:t>
      </w:r>
      <w:r>
        <w:rPr>
          <w:rFonts w:hint="eastAsia" w:ascii="仿宋" w:hAnsi="仿宋" w:eastAsia="仿宋" w:cs="仿宋"/>
          <w:color w:val="auto"/>
          <w:sz w:val="22"/>
          <w:szCs w:val="21"/>
          <w:highlight w:val="none"/>
        </w:rPr>
        <w:t>（小写：</w:t>
      </w:r>
      <w:r>
        <w:rPr>
          <w:rFonts w:hint="eastAsia" w:ascii="仿宋" w:hAnsi="仿宋" w:eastAsia="仿宋" w:cs="仿宋"/>
          <w:color w:val="auto"/>
          <w:sz w:val="22"/>
          <w:szCs w:val="21"/>
          <w:highlight w:val="none"/>
          <w:u w:val="single"/>
          <w:lang w:val="en-US" w:eastAsia="zh-CN"/>
        </w:rPr>
        <w:t xml:space="preserve">     </w:t>
      </w:r>
      <w:r>
        <w:rPr>
          <w:rFonts w:hint="eastAsia" w:ascii="仿宋" w:hAnsi="仿宋" w:eastAsia="仿宋" w:cs="仿宋"/>
          <w:color w:val="auto"/>
          <w:sz w:val="22"/>
          <w:szCs w:val="21"/>
          <w:highlight w:val="none"/>
        </w:rPr>
        <w:t>元）的投标保证金。一旦发生下述行为，我单位（或公司）将放弃追索保证金的权利：</w:t>
      </w:r>
    </w:p>
    <w:p>
      <w:pPr>
        <w:spacing w:before="60" w:after="60" w:line="360" w:lineRule="auto"/>
        <w:ind w:firstLine="51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（1）从开标日起到招标文件有效期满前，我单位撤回投标；</w:t>
      </w:r>
    </w:p>
    <w:p>
      <w:pPr>
        <w:spacing w:before="60" w:after="60" w:line="360" w:lineRule="auto"/>
        <w:ind w:firstLine="51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（2）开标、评标到定标期间发生违反招标文件规定的行为；</w:t>
      </w:r>
    </w:p>
    <w:p>
      <w:pPr>
        <w:spacing w:before="60" w:after="60" w:line="360" w:lineRule="auto"/>
        <w:ind w:firstLine="51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（3）中标后未向</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代理机构支付中标服务费；</w:t>
      </w:r>
    </w:p>
    <w:p>
      <w:pPr>
        <w:spacing w:before="60" w:after="60" w:line="360" w:lineRule="auto"/>
        <w:ind w:firstLine="51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（4）在收到《中标通知书》后未能按规定的时间与</w:t>
      </w:r>
      <w:r>
        <w:rPr>
          <w:rFonts w:hint="eastAsia" w:ascii="仿宋" w:hAnsi="仿宋" w:eastAsia="仿宋" w:cs="仿宋"/>
          <w:color w:val="auto"/>
          <w:sz w:val="22"/>
          <w:szCs w:val="21"/>
          <w:highlight w:val="none"/>
          <w:lang w:eastAsia="zh-CN"/>
        </w:rPr>
        <w:t>采购人</w:t>
      </w:r>
      <w:r>
        <w:rPr>
          <w:rFonts w:hint="eastAsia" w:ascii="仿宋" w:hAnsi="仿宋" w:eastAsia="仿宋" w:cs="仿宋"/>
          <w:color w:val="auto"/>
          <w:sz w:val="22"/>
          <w:szCs w:val="21"/>
          <w:highlight w:val="none"/>
        </w:rPr>
        <w:t>签订合同。</w:t>
      </w:r>
    </w:p>
    <w:p>
      <w:pPr>
        <w:spacing w:before="60" w:after="60" w:line="360" w:lineRule="auto"/>
        <w:ind w:firstLine="51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本保证书自开标日起90日有效，除非贵方提前终止或解除本保证书。</w:t>
      </w:r>
    </w:p>
    <w:p>
      <w:pPr>
        <w:spacing w:line="360" w:lineRule="auto"/>
        <w:rPr>
          <w:rFonts w:hint="eastAsia" w:ascii="仿宋" w:hAnsi="仿宋" w:eastAsia="仿宋" w:cs="仿宋"/>
          <w:color w:val="auto"/>
          <w:sz w:val="22"/>
          <w:szCs w:val="21"/>
          <w:highlight w:val="none"/>
        </w:rPr>
      </w:pPr>
    </w:p>
    <w:p>
      <w:pPr>
        <w:spacing w:line="360" w:lineRule="auto"/>
        <w:ind w:firstLine="440" w:firstLineChars="200"/>
        <w:rPr>
          <w:rFonts w:hint="eastAsia" w:ascii="仿宋" w:hAnsi="仿宋" w:eastAsia="仿宋" w:cs="仿宋"/>
          <w:i/>
          <w:color w:val="auto"/>
          <w:sz w:val="22"/>
          <w:szCs w:val="21"/>
          <w:highlight w:val="none"/>
        </w:rPr>
      </w:pPr>
      <w:r>
        <w:rPr>
          <w:rFonts w:hint="eastAsia" w:ascii="仿宋" w:hAnsi="仿宋" w:eastAsia="仿宋" w:cs="仿宋"/>
          <w:color w:val="auto"/>
          <w:sz w:val="22"/>
          <w:szCs w:val="21"/>
          <w:highlight w:val="none"/>
        </w:rPr>
        <w:t>附：投标保证金缴纳凭证复印件</w:t>
      </w:r>
    </w:p>
    <w:p>
      <w:pPr>
        <w:spacing w:before="60" w:after="60" w:line="360" w:lineRule="auto"/>
        <w:rPr>
          <w:rFonts w:hint="eastAsia" w:ascii="仿宋" w:hAnsi="仿宋" w:eastAsia="仿宋" w:cs="仿宋"/>
          <w:color w:val="auto"/>
          <w:sz w:val="22"/>
          <w:szCs w:val="21"/>
          <w:highlight w:val="none"/>
        </w:rPr>
      </w:pPr>
    </w:p>
    <w:p>
      <w:pPr>
        <w:spacing w:before="60" w:after="60" w:line="360" w:lineRule="auto"/>
        <w:ind w:firstLine="51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投标人全称（盖章）：________________________</w:t>
      </w:r>
    </w:p>
    <w:p>
      <w:pPr>
        <w:spacing w:before="60" w:after="60" w:line="360" w:lineRule="auto"/>
        <w:ind w:firstLine="51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开户银行：___________________        账号：_____________________</w:t>
      </w:r>
    </w:p>
    <w:p>
      <w:pPr>
        <w:spacing w:before="60" w:after="60" w:line="360" w:lineRule="auto"/>
        <w:ind w:firstLine="51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法定代表人或其委托代理人（签字或盖章）：__________</w:t>
      </w:r>
    </w:p>
    <w:p>
      <w:pPr>
        <w:widowControl/>
        <w:spacing w:line="360" w:lineRule="auto"/>
        <w:ind w:firstLine="440" w:firstLineChars="200"/>
        <w:jc w:val="left"/>
        <w:rPr>
          <w:rFonts w:hint="eastAsia" w:ascii="仿宋" w:hAnsi="仿宋" w:eastAsia="仿宋" w:cs="仿宋"/>
          <w:b/>
          <w:color w:val="auto"/>
          <w:spacing w:val="40"/>
          <w:sz w:val="28"/>
          <w:szCs w:val="21"/>
          <w:highlight w:val="none"/>
        </w:rPr>
      </w:pPr>
      <w:r>
        <w:rPr>
          <w:rFonts w:hint="eastAsia" w:ascii="仿宋" w:hAnsi="仿宋" w:eastAsia="仿宋" w:cs="仿宋"/>
          <w:color w:val="auto"/>
          <w:sz w:val="22"/>
          <w:szCs w:val="21"/>
          <w:highlight w:val="none"/>
        </w:rPr>
        <w:t>日期：_______年____月____日</w:t>
      </w:r>
    </w:p>
    <w:p>
      <w:pPr>
        <w:widowControl/>
        <w:spacing w:line="360" w:lineRule="auto"/>
        <w:jc w:val="left"/>
        <w:rPr>
          <w:rFonts w:hint="eastAsia" w:ascii="仿宋" w:hAnsi="仿宋" w:eastAsia="仿宋" w:cs="仿宋"/>
          <w:b/>
          <w:color w:val="auto"/>
          <w:spacing w:val="40"/>
          <w:sz w:val="28"/>
          <w:szCs w:val="21"/>
          <w:highlight w:val="none"/>
        </w:rPr>
      </w:pPr>
    </w:p>
    <w:p>
      <w:pPr>
        <w:widowControl/>
        <w:jc w:val="left"/>
        <w:rPr>
          <w:rFonts w:hint="eastAsia" w:ascii="仿宋" w:hAnsi="仿宋" w:eastAsia="仿宋" w:cs="仿宋"/>
          <w:b/>
          <w:color w:val="auto"/>
          <w:spacing w:val="40"/>
          <w:sz w:val="28"/>
          <w:szCs w:val="21"/>
          <w:highlight w:val="none"/>
        </w:rPr>
      </w:pPr>
    </w:p>
    <w:p>
      <w:pPr>
        <w:widowControl/>
        <w:jc w:val="left"/>
        <w:rPr>
          <w:rFonts w:hint="eastAsia" w:ascii="仿宋" w:hAnsi="仿宋" w:eastAsia="仿宋" w:cs="仿宋"/>
          <w:b/>
          <w:color w:val="auto"/>
          <w:spacing w:val="40"/>
          <w:sz w:val="28"/>
          <w:szCs w:val="21"/>
          <w:highlight w:val="none"/>
        </w:rPr>
      </w:pPr>
    </w:p>
    <w:p>
      <w:pPr>
        <w:widowControl/>
        <w:jc w:val="left"/>
        <w:rPr>
          <w:rFonts w:hint="eastAsia" w:ascii="仿宋" w:hAnsi="仿宋" w:eastAsia="仿宋" w:cs="仿宋"/>
          <w:b/>
          <w:color w:val="auto"/>
          <w:spacing w:val="40"/>
          <w:sz w:val="28"/>
          <w:szCs w:val="21"/>
          <w:highlight w:val="none"/>
        </w:rPr>
      </w:pPr>
    </w:p>
    <w:p>
      <w:pPr>
        <w:widowControl/>
        <w:jc w:val="left"/>
        <w:rPr>
          <w:rFonts w:hint="eastAsia" w:ascii="仿宋" w:hAnsi="仿宋" w:eastAsia="仿宋" w:cs="仿宋"/>
          <w:b/>
          <w:color w:val="auto"/>
          <w:spacing w:val="40"/>
          <w:sz w:val="28"/>
          <w:szCs w:val="21"/>
          <w:highlight w:val="none"/>
        </w:rPr>
      </w:pPr>
    </w:p>
    <w:p>
      <w:pPr>
        <w:widowControl/>
        <w:jc w:val="left"/>
        <w:rPr>
          <w:rFonts w:hint="eastAsia" w:ascii="仿宋" w:hAnsi="仿宋" w:eastAsia="仿宋" w:cs="仿宋"/>
          <w:b/>
          <w:color w:val="auto"/>
          <w:spacing w:val="40"/>
          <w:sz w:val="28"/>
          <w:szCs w:val="21"/>
          <w:highlight w:val="none"/>
        </w:rPr>
      </w:pPr>
    </w:p>
    <w:p>
      <w:pPr>
        <w:widowControl/>
        <w:jc w:val="left"/>
        <w:rPr>
          <w:rFonts w:hint="eastAsia" w:ascii="仿宋" w:hAnsi="仿宋" w:eastAsia="仿宋" w:cs="仿宋"/>
          <w:b/>
          <w:color w:val="auto"/>
          <w:spacing w:val="40"/>
          <w:sz w:val="28"/>
          <w:szCs w:val="21"/>
          <w:highlight w:val="none"/>
        </w:rPr>
      </w:pPr>
    </w:p>
    <w:p>
      <w:pPr>
        <w:widowControl/>
        <w:jc w:val="left"/>
        <w:rPr>
          <w:rFonts w:hint="eastAsia" w:ascii="仿宋" w:hAnsi="仿宋" w:eastAsia="仿宋" w:cs="仿宋"/>
          <w:b/>
          <w:color w:val="auto"/>
          <w:spacing w:val="40"/>
          <w:sz w:val="28"/>
          <w:szCs w:val="21"/>
          <w:highlight w:val="none"/>
        </w:rPr>
      </w:pPr>
    </w:p>
    <w:p>
      <w:pPr>
        <w:widowControl/>
        <w:jc w:val="left"/>
        <w:rPr>
          <w:rFonts w:hint="eastAsia" w:ascii="仿宋" w:hAnsi="仿宋" w:eastAsia="仿宋" w:cs="仿宋"/>
          <w:b/>
          <w:color w:val="auto"/>
          <w:spacing w:val="40"/>
          <w:sz w:val="28"/>
          <w:szCs w:val="21"/>
          <w:highlight w:val="none"/>
        </w:rPr>
      </w:pPr>
    </w:p>
    <w:p>
      <w:pPr>
        <w:rPr>
          <w:rFonts w:hint="eastAsia" w:ascii="仿宋" w:hAnsi="仿宋" w:eastAsia="仿宋" w:cs="仿宋"/>
          <w:color w:val="auto"/>
          <w:sz w:val="28"/>
          <w:szCs w:val="21"/>
          <w:highlight w:val="none"/>
        </w:rPr>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8"/>
          <w:szCs w:val="21"/>
          <w:highlight w:val="none"/>
        </w:rPr>
        <w:br w:type="page"/>
      </w:r>
    </w:p>
    <w:p>
      <w:pPr>
        <w:pStyle w:val="4"/>
        <w:spacing w:line="360" w:lineRule="auto"/>
        <w:ind w:left="-199" w:leftChars="-95" w:firstLine="199" w:firstLineChars="62"/>
        <w:jc w:val="center"/>
        <w:rPr>
          <w:rFonts w:hint="eastAsia" w:ascii="仿宋" w:hAnsi="仿宋" w:eastAsia="仿宋" w:cs="仿宋"/>
          <w:color w:val="auto"/>
          <w:spacing w:val="0"/>
          <w:highlight w:val="none"/>
        </w:rPr>
      </w:pPr>
      <w:r>
        <w:rPr>
          <w:rFonts w:hint="eastAsia" w:ascii="仿宋" w:hAnsi="仿宋" w:eastAsia="仿宋" w:cs="仿宋"/>
          <w:color w:val="auto"/>
          <w:spacing w:val="0"/>
          <w:highlight w:val="none"/>
        </w:rPr>
        <w:t>格式五：分项报价明细表</w:t>
      </w:r>
    </w:p>
    <w:p>
      <w:pPr>
        <w:tabs>
          <w:tab w:val="left" w:pos="840"/>
        </w:tabs>
        <w:spacing w:line="360" w:lineRule="auto"/>
        <w:rPr>
          <w:rFonts w:hint="eastAsia" w:ascii="仿宋" w:hAnsi="仿宋" w:eastAsia="仿宋" w:cs="仿宋"/>
          <w:b/>
          <w:color w:val="auto"/>
          <w:sz w:val="56"/>
          <w:szCs w:val="56"/>
          <w:highlight w:val="none"/>
          <w:lang w:eastAsia="zh-CN"/>
        </w:rPr>
      </w:pPr>
      <w:r>
        <w:rPr>
          <w:rFonts w:hint="eastAsia" w:ascii="仿宋" w:hAnsi="仿宋" w:eastAsia="仿宋" w:cs="仿宋"/>
          <w:color w:val="auto"/>
          <w:sz w:val="22"/>
          <w:highlight w:val="none"/>
        </w:rPr>
        <w:t>项目名称：</w:t>
      </w:r>
      <w:r>
        <w:rPr>
          <w:rFonts w:hint="eastAsia" w:ascii="仿宋" w:hAnsi="仿宋" w:eastAsia="仿宋" w:cs="仿宋"/>
          <w:color w:val="auto"/>
          <w:sz w:val="22"/>
          <w:szCs w:val="21"/>
          <w:highlight w:val="none"/>
          <w:lang w:eastAsia="zh-CN"/>
        </w:rPr>
        <w:t>云南省地震局地震专业设备采购1标段（三次）</w:t>
      </w:r>
    </w:p>
    <w:p>
      <w:pPr>
        <w:spacing w:line="360" w:lineRule="auto"/>
        <w:ind w:left="990" w:hanging="990" w:hangingChars="450"/>
        <w:jc w:val="left"/>
        <w:rPr>
          <w:rFonts w:hint="eastAsia" w:ascii="仿宋" w:hAnsi="仿宋" w:eastAsia="仿宋" w:cs="仿宋"/>
          <w:color w:val="auto"/>
          <w:highlight w:val="none"/>
        </w:rPr>
      </w:pPr>
      <w:r>
        <w:rPr>
          <w:rFonts w:hint="eastAsia" w:ascii="仿宋" w:hAnsi="仿宋" w:eastAsia="仿宋" w:cs="仿宋"/>
          <w:color w:val="auto"/>
          <w:sz w:val="22"/>
          <w:szCs w:val="21"/>
          <w:highlight w:val="none"/>
        </w:rPr>
        <w:t>项目编号：</w:t>
      </w:r>
      <w:r>
        <w:rPr>
          <w:rFonts w:hint="eastAsia" w:ascii="仿宋" w:hAnsi="仿宋" w:eastAsia="仿宋" w:cs="仿宋"/>
          <w:color w:val="auto"/>
          <w:sz w:val="22"/>
          <w:szCs w:val="21"/>
          <w:highlight w:val="none"/>
          <w:lang w:eastAsia="zh-CN"/>
        </w:rPr>
        <w:t>YNXYZB（DZJ）20221101</w:t>
      </w:r>
    </w:p>
    <w:tbl>
      <w:tblPr>
        <w:tblStyle w:val="25"/>
        <w:tblW w:w="4997" w:type="pct"/>
        <w:tblInd w:w="0" w:type="dxa"/>
        <w:tblLayout w:type="autofit"/>
        <w:tblCellMar>
          <w:top w:w="0" w:type="dxa"/>
          <w:left w:w="108" w:type="dxa"/>
          <w:bottom w:w="0" w:type="dxa"/>
          <w:right w:w="108" w:type="dxa"/>
        </w:tblCellMar>
      </w:tblPr>
      <w:tblGrid>
        <w:gridCol w:w="530"/>
        <w:gridCol w:w="1115"/>
        <w:gridCol w:w="998"/>
        <w:gridCol w:w="1370"/>
        <w:gridCol w:w="916"/>
        <w:gridCol w:w="966"/>
        <w:gridCol w:w="677"/>
        <w:gridCol w:w="1333"/>
        <w:gridCol w:w="1062"/>
        <w:gridCol w:w="990"/>
      </w:tblGrid>
      <w:tr>
        <w:tblPrEx>
          <w:tblCellMar>
            <w:top w:w="0" w:type="dxa"/>
            <w:left w:w="108" w:type="dxa"/>
            <w:bottom w:w="0" w:type="dxa"/>
            <w:right w:w="108" w:type="dxa"/>
          </w:tblCellMar>
        </w:tblPrEx>
        <w:trPr>
          <w:trHeight w:val="528" w:hRule="atLeast"/>
        </w:trPr>
        <w:tc>
          <w:tcPr>
            <w:tcW w:w="26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560"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产品名称</w:t>
            </w:r>
          </w:p>
        </w:tc>
        <w:tc>
          <w:tcPr>
            <w:tcW w:w="501"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规格型号</w:t>
            </w:r>
          </w:p>
        </w:tc>
        <w:tc>
          <w:tcPr>
            <w:tcW w:w="688"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技术参数</w:t>
            </w:r>
          </w:p>
        </w:tc>
        <w:tc>
          <w:tcPr>
            <w:tcW w:w="46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制造厂家或品牌</w:t>
            </w:r>
          </w:p>
        </w:tc>
        <w:tc>
          <w:tcPr>
            <w:tcW w:w="48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单位</w:t>
            </w:r>
          </w:p>
        </w:tc>
        <w:tc>
          <w:tcPr>
            <w:tcW w:w="340"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招标</w:t>
            </w:r>
          </w:p>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669"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单价（元）</w:t>
            </w:r>
          </w:p>
        </w:tc>
        <w:tc>
          <w:tcPr>
            <w:tcW w:w="5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总价（元）</w:t>
            </w:r>
          </w:p>
        </w:tc>
        <w:tc>
          <w:tcPr>
            <w:tcW w:w="49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393" w:hRule="atLeast"/>
        </w:trPr>
        <w:tc>
          <w:tcPr>
            <w:tcW w:w="266"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560" w:type="pc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01"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688"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34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669"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33"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94"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93" w:hRule="atLeast"/>
        </w:trPr>
        <w:tc>
          <w:tcPr>
            <w:tcW w:w="266"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560" w:type="pc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01"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688"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34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669"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33"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94"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93" w:hRule="atLeast"/>
        </w:trPr>
        <w:tc>
          <w:tcPr>
            <w:tcW w:w="266"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560" w:type="pc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01"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688"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34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669"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33"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94"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93" w:hRule="atLeast"/>
        </w:trPr>
        <w:tc>
          <w:tcPr>
            <w:tcW w:w="266"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560" w:type="pc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01"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688"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34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669"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33"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94"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393" w:hRule="atLeast"/>
        </w:trPr>
        <w:tc>
          <w:tcPr>
            <w:tcW w:w="266"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560" w:type="pc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01"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688"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8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340" w:type="pct"/>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669"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533"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c>
          <w:tcPr>
            <w:tcW w:w="494" w:type="pc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Cs w:val="21"/>
                <w:highlight w:val="none"/>
              </w:rPr>
            </w:pPr>
          </w:p>
        </w:tc>
      </w:tr>
      <w:tr>
        <w:tblPrEx>
          <w:tblCellMar>
            <w:top w:w="0" w:type="dxa"/>
            <w:left w:w="108" w:type="dxa"/>
            <w:bottom w:w="0" w:type="dxa"/>
            <w:right w:w="108" w:type="dxa"/>
          </w:tblCellMar>
        </w:tblPrEx>
        <w:trPr>
          <w:trHeight w:val="1240" w:hRule="atLeast"/>
        </w:trPr>
        <w:tc>
          <w:tcPr>
            <w:tcW w:w="82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投标总报价</w:t>
            </w:r>
          </w:p>
        </w:tc>
        <w:tc>
          <w:tcPr>
            <w:tcW w:w="4173" w:type="pct"/>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小写:               元（大写：                元    ）</w:t>
            </w:r>
          </w:p>
        </w:tc>
      </w:tr>
    </w:tbl>
    <w:p>
      <w:pPr>
        <w:pStyle w:val="14"/>
        <w:tabs>
          <w:tab w:val="left" w:pos="9030"/>
        </w:tabs>
        <w:spacing w:line="360" w:lineRule="auto"/>
        <w:ind w:right="139" w:rightChars="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480" w:lineRule="auto"/>
        <w:ind w:firstLine="283" w:firstLineChars="118"/>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pPr>
        <w:spacing w:line="480" w:lineRule="auto"/>
        <w:ind w:firstLine="283" w:firstLineChars="118"/>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pPr>
        <w:spacing w:line="48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pStyle w:val="12"/>
        <w:rPr>
          <w:rFonts w:hint="eastAsia" w:ascii="仿宋" w:hAnsi="仿宋" w:eastAsia="仿宋" w:cs="仿宋"/>
          <w:color w:val="auto"/>
          <w:highlight w:val="none"/>
        </w:rPr>
      </w:pPr>
    </w:p>
    <w:tbl>
      <w:tblPr>
        <w:tblStyle w:val="25"/>
        <w:tblpPr w:leftFromText="180" w:rightFromText="180" w:vertAnchor="text" w:tblpX="9570" w:tblpY="14792"/>
        <w:tblOverlap w:val="never"/>
        <w:tblW w:w="324" w:type="dxa"/>
        <w:tblInd w:w="0" w:type="dxa"/>
        <w:tblLayout w:type="fixed"/>
        <w:tblCellMar>
          <w:top w:w="0" w:type="dxa"/>
          <w:left w:w="108" w:type="dxa"/>
          <w:bottom w:w="0" w:type="dxa"/>
          <w:right w:w="108" w:type="dxa"/>
        </w:tblCellMar>
      </w:tblPr>
      <w:tblGrid>
        <w:gridCol w:w="324"/>
      </w:tblGrid>
      <w:tr>
        <w:tblPrEx>
          <w:tblCellMar>
            <w:top w:w="0" w:type="dxa"/>
            <w:left w:w="108" w:type="dxa"/>
            <w:bottom w:w="0" w:type="dxa"/>
            <w:right w:w="108" w:type="dxa"/>
          </w:tblCellMar>
        </w:tblPrEx>
        <w:trPr>
          <w:trHeight w:val="30" w:hRule="atLeast"/>
        </w:trPr>
        <w:tc>
          <w:tcPr>
            <w:tcW w:w="324" w:type="dxa"/>
          </w:tcPr>
          <w:p>
            <w:pPr>
              <w:pStyle w:val="9"/>
              <w:ind w:firstLine="400"/>
              <w:rPr>
                <w:rFonts w:hint="eastAsia" w:ascii="仿宋" w:hAnsi="仿宋" w:eastAsia="仿宋" w:cs="仿宋"/>
                <w:color w:val="auto"/>
                <w:sz w:val="20"/>
                <w:szCs w:val="21"/>
                <w:highlight w:val="none"/>
              </w:rPr>
            </w:pPr>
          </w:p>
        </w:tc>
      </w:tr>
    </w:tbl>
    <w:p>
      <w:pPr>
        <w:pStyle w:val="4"/>
        <w:spacing w:line="360" w:lineRule="auto"/>
        <w:jc w:val="center"/>
        <w:rPr>
          <w:rFonts w:hint="eastAsia" w:ascii="仿宋" w:hAnsi="仿宋" w:eastAsia="仿宋" w:cs="仿宋"/>
          <w:color w:val="auto"/>
          <w:spacing w:val="0"/>
          <w:sz w:val="28"/>
          <w:szCs w:val="21"/>
          <w:highlight w:val="none"/>
        </w:rPr>
      </w:pPr>
      <w:r>
        <w:rPr>
          <w:rFonts w:hint="eastAsia" w:ascii="仿宋" w:hAnsi="仿宋" w:eastAsia="仿宋" w:cs="仿宋"/>
          <w:color w:val="auto"/>
          <w:spacing w:val="0"/>
          <w:sz w:val="28"/>
          <w:szCs w:val="21"/>
          <w:highlight w:val="none"/>
        </w:rPr>
        <w:t>格式六：投标产品技术参数及偏离说明表</w:t>
      </w:r>
    </w:p>
    <w:p>
      <w:pPr>
        <w:pStyle w:val="9"/>
        <w:spacing w:line="360" w:lineRule="auto"/>
        <w:ind w:firstLine="440"/>
        <w:rPr>
          <w:rFonts w:hint="eastAsia" w:ascii="仿宋" w:hAnsi="仿宋" w:eastAsia="仿宋" w:cs="仿宋"/>
          <w:color w:val="auto"/>
          <w:sz w:val="22"/>
          <w:highlight w:val="none"/>
        </w:rPr>
      </w:pPr>
    </w:p>
    <w:p>
      <w:pPr>
        <w:pStyle w:val="14"/>
        <w:spacing w:line="360" w:lineRule="auto"/>
        <w:ind w:left="1100" w:hanging="1100" w:hangingChars="500"/>
        <w:rPr>
          <w:rFonts w:hint="eastAsia" w:ascii="仿宋" w:hAnsi="仿宋" w:eastAsia="仿宋" w:cs="仿宋"/>
          <w:color w:val="auto"/>
          <w:sz w:val="22"/>
          <w:szCs w:val="21"/>
          <w:highlight w:val="none"/>
          <w:lang w:eastAsia="zh-CN"/>
        </w:rPr>
      </w:pPr>
      <w:r>
        <w:rPr>
          <w:rFonts w:hint="eastAsia" w:ascii="仿宋" w:hAnsi="仿宋" w:eastAsia="仿宋" w:cs="仿宋"/>
          <w:color w:val="auto"/>
          <w:sz w:val="22"/>
          <w:highlight w:val="none"/>
        </w:rPr>
        <w:t>项目名称：</w:t>
      </w:r>
      <w:r>
        <w:rPr>
          <w:rFonts w:hint="eastAsia" w:ascii="仿宋" w:hAnsi="仿宋" w:eastAsia="仿宋" w:cs="仿宋"/>
          <w:color w:val="auto"/>
          <w:sz w:val="22"/>
          <w:szCs w:val="21"/>
          <w:highlight w:val="none"/>
          <w:lang w:eastAsia="zh-CN"/>
        </w:rPr>
        <w:t>云南省地震局地震专业设备采购1标段（三次）</w:t>
      </w:r>
    </w:p>
    <w:p>
      <w:pPr>
        <w:pStyle w:val="14"/>
        <w:spacing w:line="360" w:lineRule="auto"/>
        <w:ind w:left="1100" w:hanging="1100" w:hangingChars="500"/>
        <w:rPr>
          <w:rFonts w:hint="eastAsia" w:ascii="仿宋" w:hAnsi="仿宋" w:eastAsia="仿宋" w:cs="仿宋"/>
          <w:color w:val="auto"/>
          <w:sz w:val="22"/>
          <w:szCs w:val="21"/>
          <w:highlight w:val="none"/>
        </w:rPr>
      </w:pPr>
      <w:r>
        <w:rPr>
          <w:rFonts w:hint="eastAsia" w:ascii="仿宋" w:hAnsi="仿宋" w:eastAsia="仿宋" w:cs="仿宋"/>
          <w:color w:val="auto"/>
          <w:sz w:val="22"/>
          <w:highlight w:val="none"/>
        </w:rPr>
        <w:t>项目编号：</w:t>
      </w:r>
      <w:r>
        <w:rPr>
          <w:rFonts w:hint="eastAsia" w:ascii="仿宋" w:hAnsi="仿宋" w:eastAsia="仿宋" w:cs="仿宋"/>
          <w:color w:val="auto"/>
          <w:sz w:val="22"/>
          <w:highlight w:val="none"/>
          <w:lang w:eastAsia="zh-CN"/>
        </w:rPr>
        <w:t>YNXYZB（DZJ）20221101</w:t>
      </w:r>
      <w:r>
        <w:rPr>
          <w:rFonts w:hint="eastAsia" w:ascii="仿宋" w:hAnsi="仿宋" w:eastAsia="仿宋" w:cs="仿宋"/>
          <w:color w:val="auto"/>
          <w:sz w:val="22"/>
          <w:highlight w:val="none"/>
        </w:rPr>
        <w:t xml:space="preserve"> </w:t>
      </w:r>
    </w:p>
    <w:tbl>
      <w:tblPr>
        <w:tblStyle w:val="25"/>
        <w:tblW w:w="4997" w:type="pct"/>
        <w:jc w:val="center"/>
        <w:tblLayout w:type="autofit"/>
        <w:tblCellMar>
          <w:top w:w="0" w:type="dxa"/>
          <w:left w:w="108" w:type="dxa"/>
          <w:bottom w:w="0" w:type="dxa"/>
          <w:right w:w="108" w:type="dxa"/>
        </w:tblCellMar>
      </w:tblPr>
      <w:tblGrid>
        <w:gridCol w:w="763"/>
        <w:gridCol w:w="1793"/>
        <w:gridCol w:w="3308"/>
        <w:gridCol w:w="2224"/>
        <w:gridCol w:w="1044"/>
        <w:gridCol w:w="825"/>
      </w:tblGrid>
      <w:tr>
        <w:tblPrEx>
          <w:tblCellMar>
            <w:top w:w="0" w:type="dxa"/>
            <w:left w:w="108" w:type="dxa"/>
            <w:bottom w:w="0" w:type="dxa"/>
            <w:right w:w="108" w:type="dxa"/>
          </w:tblCellMar>
        </w:tblPrEx>
        <w:trPr>
          <w:trHeight w:val="720" w:hRule="atLeast"/>
          <w:jc w:val="center"/>
        </w:trPr>
        <w:tc>
          <w:tcPr>
            <w:tcW w:w="383"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序号</w:t>
            </w:r>
          </w:p>
        </w:tc>
        <w:tc>
          <w:tcPr>
            <w:tcW w:w="900" w:type="pct"/>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产品名称</w:t>
            </w:r>
          </w:p>
        </w:tc>
        <w:tc>
          <w:tcPr>
            <w:tcW w:w="1660" w:type="pct"/>
            <w:tcBorders>
              <w:top w:val="single" w:color="000000" w:sz="4" w:space="0"/>
              <w:left w:val="single" w:color="auto" w:sz="4" w:space="0"/>
              <w:bottom w:val="single" w:color="000000" w:sz="4" w:space="0"/>
              <w:right w:val="single" w:color="auto" w:sz="4" w:space="0"/>
            </w:tcBorders>
            <w:vAlign w:val="center"/>
          </w:tcPr>
          <w:p>
            <w:pPr>
              <w:spacing w:line="360" w:lineRule="exact"/>
              <w:jc w:val="center"/>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招标文件要求的技术参数</w:t>
            </w:r>
          </w:p>
        </w:tc>
        <w:tc>
          <w:tcPr>
            <w:tcW w:w="1116" w:type="pct"/>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投标技术参数</w:t>
            </w:r>
          </w:p>
        </w:tc>
        <w:tc>
          <w:tcPr>
            <w:tcW w:w="524" w:type="pct"/>
            <w:tcBorders>
              <w:top w:val="single" w:color="000000" w:sz="4" w:space="0"/>
              <w:left w:val="nil"/>
              <w:bottom w:val="single" w:color="000000" w:sz="4" w:space="0"/>
              <w:right w:val="single" w:color="auto" w:sz="4" w:space="0"/>
            </w:tcBorders>
            <w:vAlign w:val="center"/>
          </w:tcPr>
          <w:p>
            <w:pPr>
              <w:spacing w:line="360" w:lineRule="exact"/>
              <w:jc w:val="center"/>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偏离</w:t>
            </w:r>
          </w:p>
        </w:tc>
        <w:tc>
          <w:tcPr>
            <w:tcW w:w="414" w:type="pct"/>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 w:hAnsi="仿宋" w:eastAsia="仿宋" w:cs="仿宋"/>
                <w:b/>
                <w:color w:val="auto"/>
                <w:sz w:val="22"/>
                <w:szCs w:val="21"/>
                <w:highlight w:val="none"/>
              </w:rPr>
            </w:pPr>
            <w:r>
              <w:rPr>
                <w:rFonts w:hint="eastAsia" w:ascii="仿宋" w:hAnsi="仿宋" w:eastAsia="仿宋" w:cs="仿宋"/>
                <w:b/>
                <w:color w:val="auto"/>
                <w:sz w:val="22"/>
                <w:szCs w:val="21"/>
                <w:highlight w:val="none"/>
              </w:rPr>
              <w:t>备注</w:t>
            </w:r>
          </w:p>
        </w:tc>
      </w:tr>
      <w:tr>
        <w:tblPrEx>
          <w:tblCellMar>
            <w:top w:w="0" w:type="dxa"/>
            <w:left w:w="108" w:type="dxa"/>
            <w:bottom w:w="0" w:type="dxa"/>
            <w:right w:w="108" w:type="dxa"/>
          </w:tblCellMar>
        </w:tblPrEx>
        <w:trPr>
          <w:trHeight w:val="720" w:hRule="atLeast"/>
          <w:jc w:val="center"/>
        </w:trPr>
        <w:tc>
          <w:tcPr>
            <w:tcW w:w="383"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w:t>
            </w:r>
          </w:p>
        </w:tc>
        <w:tc>
          <w:tcPr>
            <w:tcW w:w="900" w:type="pct"/>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p>
        </w:tc>
        <w:tc>
          <w:tcPr>
            <w:tcW w:w="1660" w:type="pct"/>
            <w:tcBorders>
              <w:top w:val="single" w:color="000000" w:sz="4" w:space="0"/>
              <w:left w:val="single" w:color="auto" w:sz="4" w:space="0"/>
              <w:bottom w:val="single" w:color="000000" w:sz="4" w:space="0"/>
              <w:right w:val="single" w:color="auto" w:sz="4" w:space="0"/>
            </w:tcBorders>
            <w:vAlign w:val="center"/>
          </w:tcPr>
          <w:p>
            <w:pPr>
              <w:spacing w:line="360" w:lineRule="exact"/>
              <w:jc w:val="center"/>
              <w:rPr>
                <w:rFonts w:hint="eastAsia" w:ascii="仿宋" w:hAnsi="仿宋" w:eastAsia="仿宋" w:cs="仿宋"/>
                <w:color w:val="auto"/>
                <w:sz w:val="22"/>
                <w:szCs w:val="21"/>
                <w:highlight w:val="none"/>
              </w:rPr>
            </w:pPr>
          </w:p>
        </w:tc>
        <w:tc>
          <w:tcPr>
            <w:tcW w:w="1116" w:type="pct"/>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p>
        </w:tc>
        <w:tc>
          <w:tcPr>
            <w:tcW w:w="524" w:type="pct"/>
            <w:tcBorders>
              <w:top w:val="single" w:color="000000" w:sz="4" w:space="0"/>
              <w:left w:val="nil"/>
              <w:bottom w:val="single" w:color="000000" w:sz="4" w:space="0"/>
              <w:right w:val="single" w:color="auto" w:sz="4" w:space="0"/>
            </w:tcBorders>
            <w:vAlign w:val="center"/>
          </w:tcPr>
          <w:p>
            <w:pPr>
              <w:spacing w:line="360" w:lineRule="exact"/>
              <w:jc w:val="center"/>
              <w:rPr>
                <w:rFonts w:hint="eastAsia" w:ascii="仿宋" w:hAnsi="仿宋" w:eastAsia="仿宋" w:cs="仿宋"/>
                <w:color w:val="auto"/>
                <w:sz w:val="22"/>
                <w:szCs w:val="21"/>
                <w:highlight w:val="none"/>
              </w:rPr>
            </w:pPr>
          </w:p>
        </w:tc>
        <w:tc>
          <w:tcPr>
            <w:tcW w:w="414" w:type="pct"/>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p>
        </w:tc>
      </w:tr>
      <w:tr>
        <w:tblPrEx>
          <w:tblCellMar>
            <w:top w:w="0" w:type="dxa"/>
            <w:left w:w="108" w:type="dxa"/>
            <w:bottom w:w="0" w:type="dxa"/>
            <w:right w:w="108" w:type="dxa"/>
          </w:tblCellMar>
        </w:tblPrEx>
        <w:trPr>
          <w:trHeight w:val="720" w:hRule="atLeast"/>
          <w:jc w:val="center"/>
        </w:trPr>
        <w:tc>
          <w:tcPr>
            <w:tcW w:w="383"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w:t>
            </w:r>
          </w:p>
        </w:tc>
        <w:tc>
          <w:tcPr>
            <w:tcW w:w="900" w:type="pct"/>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p>
        </w:tc>
        <w:tc>
          <w:tcPr>
            <w:tcW w:w="1660" w:type="pct"/>
            <w:tcBorders>
              <w:top w:val="single" w:color="000000" w:sz="4" w:space="0"/>
              <w:left w:val="single" w:color="auto" w:sz="4" w:space="0"/>
              <w:bottom w:val="single" w:color="000000" w:sz="4" w:space="0"/>
              <w:right w:val="single" w:color="auto" w:sz="4" w:space="0"/>
            </w:tcBorders>
            <w:vAlign w:val="center"/>
          </w:tcPr>
          <w:p>
            <w:pPr>
              <w:spacing w:line="360" w:lineRule="exact"/>
              <w:jc w:val="center"/>
              <w:rPr>
                <w:rFonts w:hint="eastAsia" w:ascii="仿宋" w:hAnsi="仿宋" w:eastAsia="仿宋" w:cs="仿宋"/>
                <w:color w:val="auto"/>
                <w:sz w:val="22"/>
                <w:szCs w:val="21"/>
                <w:highlight w:val="none"/>
              </w:rPr>
            </w:pPr>
          </w:p>
        </w:tc>
        <w:tc>
          <w:tcPr>
            <w:tcW w:w="1116" w:type="pct"/>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p>
        </w:tc>
        <w:tc>
          <w:tcPr>
            <w:tcW w:w="524" w:type="pct"/>
            <w:tcBorders>
              <w:top w:val="single" w:color="000000" w:sz="4" w:space="0"/>
              <w:left w:val="nil"/>
              <w:bottom w:val="single" w:color="000000" w:sz="4" w:space="0"/>
              <w:right w:val="single" w:color="auto" w:sz="4" w:space="0"/>
            </w:tcBorders>
            <w:vAlign w:val="center"/>
          </w:tcPr>
          <w:p>
            <w:pPr>
              <w:spacing w:line="360" w:lineRule="exact"/>
              <w:jc w:val="center"/>
              <w:rPr>
                <w:rFonts w:hint="eastAsia" w:ascii="仿宋" w:hAnsi="仿宋" w:eastAsia="仿宋" w:cs="仿宋"/>
                <w:color w:val="auto"/>
                <w:sz w:val="22"/>
                <w:szCs w:val="21"/>
                <w:highlight w:val="none"/>
              </w:rPr>
            </w:pPr>
          </w:p>
        </w:tc>
        <w:tc>
          <w:tcPr>
            <w:tcW w:w="414" w:type="pct"/>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p>
        </w:tc>
      </w:tr>
      <w:tr>
        <w:tblPrEx>
          <w:tblCellMar>
            <w:top w:w="0" w:type="dxa"/>
            <w:left w:w="108" w:type="dxa"/>
            <w:bottom w:w="0" w:type="dxa"/>
            <w:right w:w="108" w:type="dxa"/>
          </w:tblCellMar>
        </w:tblPrEx>
        <w:trPr>
          <w:trHeight w:val="720" w:hRule="atLeast"/>
          <w:jc w:val="center"/>
        </w:trPr>
        <w:tc>
          <w:tcPr>
            <w:tcW w:w="383"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3</w:t>
            </w:r>
          </w:p>
        </w:tc>
        <w:tc>
          <w:tcPr>
            <w:tcW w:w="900" w:type="pct"/>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p>
        </w:tc>
        <w:tc>
          <w:tcPr>
            <w:tcW w:w="1660" w:type="pct"/>
            <w:tcBorders>
              <w:top w:val="single" w:color="000000" w:sz="4" w:space="0"/>
              <w:left w:val="single" w:color="auto" w:sz="4" w:space="0"/>
              <w:bottom w:val="single" w:color="000000" w:sz="4" w:space="0"/>
              <w:right w:val="single" w:color="auto" w:sz="4" w:space="0"/>
            </w:tcBorders>
            <w:vAlign w:val="center"/>
          </w:tcPr>
          <w:p>
            <w:pPr>
              <w:spacing w:line="360" w:lineRule="exact"/>
              <w:jc w:val="center"/>
              <w:rPr>
                <w:rFonts w:hint="eastAsia" w:ascii="仿宋" w:hAnsi="仿宋" w:eastAsia="仿宋" w:cs="仿宋"/>
                <w:color w:val="auto"/>
                <w:sz w:val="22"/>
                <w:szCs w:val="21"/>
                <w:highlight w:val="none"/>
              </w:rPr>
            </w:pPr>
          </w:p>
        </w:tc>
        <w:tc>
          <w:tcPr>
            <w:tcW w:w="1116" w:type="pct"/>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p>
        </w:tc>
        <w:tc>
          <w:tcPr>
            <w:tcW w:w="524" w:type="pct"/>
            <w:tcBorders>
              <w:top w:val="single" w:color="000000" w:sz="4" w:space="0"/>
              <w:left w:val="nil"/>
              <w:bottom w:val="single" w:color="000000" w:sz="4" w:space="0"/>
              <w:right w:val="single" w:color="auto" w:sz="4" w:space="0"/>
            </w:tcBorders>
            <w:vAlign w:val="center"/>
          </w:tcPr>
          <w:p>
            <w:pPr>
              <w:spacing w:line="360" w:lineRule="exact"/>
              <w:jc w:val="center"/>
              <w:rPr>
                <w:rFonts w:hint="eastAsia" w:ascii="仿宋" w:hAnsi="仿宋" w:eastAsia="仿宋" w:cs="仿宋"/>
                <w:color w:val="auto"/>
                <w:sz w:val="22"/>
                <w:szCs w:val="21"/>
                <w:highlight w:val="none"/>
              </w:rPr>
            </w:pPr>
          </w:p>
        </w:tc>
        <w:tc>
          <w:tcPr>
            <w:tcW w:w="414" w:type="pct"/>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p>
        </w:tc>
      </w:tr>
      <w:tr>
        <w:tblPrEx>
          <w:tblCellMar>
            <w:top w:w="0" w:type="dxa"/>
            <w:left w:w="108" w:type="dxa"/>
            <w:bottom w:w="0" w:type="dxa"/>
            <w:right w:w="108" w:type="dxa"/>
          </w:tblCellMar>
        </w:tblPrEx>
        <w:trPr>
          <w:trHeight w:val="720" w:hRule="atLeast"/>
          <w:jc w:val="center"/>
        </w:trPr>
        <w:tc>
          <w:tcPr>
            <w:tcW w:w="383"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w:t>
            </w:r>
          </w:p>
        </w:tc>
        <w:tc>
          <w:tcPr>
            <w:tcW w:w="900" w:type="pct"/>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p>
        </w:tc>
        <w:tc>
          <w:tcPr>
            <w:tcW w:w="1660" w:type="pct"/>
            <w:tcBorders>
              <w:top w:val="single" w:color="000000" w:sz="4" w:space="0"/>
              <w:left w:val="single" w:color="auto" w:sz="4" w:space="0"/>
              <w:bottom w:val="single" w:color="000000" w:sz="4" w:space="0"/>
              <w:right w:val="single" w:color="auto" w:sz="4" w:space="0"/>
            </w:tcBorders>
            <w:vAlign w:val="center"/>
          </w:tcPr>
          <w:p>
            <w:pPr>
              <w:spacing w:line="360" w:lineRule="exact"/>
              <w:jc w:val="center"/>
              <w:rPr>
                <w:rFonts w:hint="eastAsia" w:ascii="仿宋" w:hAnsi="仿宋" w:eastAsia="仿宋" w:cs="仿宋"/>
                <w:color w:val="auto"/>
                <w:sz w:val="22"/>
                <w:szCs w:val="21"/>
                <w:highlight w:val="none"/>
              </w:rPr>
            </w:pPr>
          </w:p>
        </w:tc>
        <w:tc>
          <w:tcPr>
            <w:tcW w:w="1116" w:type="pct"/>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p>
        </w:tc>
        <w:tc>
          <w:tcPr>
            <w:tcW w:w="524" w:type="pct"/>
            <w:tcBorders>
              <w:top w:val="single" w:color="000000" w:sz="4" w:space="0"/>
              <w:left w:val="nil"/>
              <w:bottom w:val="single" w:color="000000" w:sz="4" w:space="0"/>
              <w:right w:val="single" w:color="auto" w:sz="4" w:space="0"/>
            </w:tcBorders>
            <w:vAlign w:val="center"/>
          </w:tcPr>
          <w:p>
            <w:pPr>
              <w:spacing w:line="360" w:lineRule="exact"/>
              <w:jc w:val="center"/>
              <w:rPr>
                <w:rFonts w:hint="eastAsia" w:ascii="仿宋" w:hAnsi="仿宋" w:eastAsia="仿宋" w:cs="仿宋"/>
                <w:color w:val="auto"/>
                <w:sz w:val="22"/>
                <w:szCs w:val="21"/>
                <w:highlight w:val="none"/>
              </w:rPr>
            </w:pPr>
          </w:p>
        </w:tc>
        <w:tc>
          <w:tcPr>
            <w:tcW w:w="414" w:type="pct"/>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hint="eastAsia" w:ascii="仿宋" w:hAnsi="仿宋" w:eastAsia="仿宋" w:cs="仿宋"/>
                <w:color w:val="auto"/>
                <w:sz w:val="22"/>
                <w:szCs w:val="21"/>
                <w:highlight w:val="none"/>
              </w:rPr>
            </w:pPr>
          </w:p>
        </w:tc>
      </w:tr>
    </w:tbl>
    <w:p>
      <w:pPr>
        <w:spacing w:line="360" w:lineRule="auto"/>
        <w:rPr>
          <w:rFonts w:hint="eastAsia" w:ascii="仿宋" w:hAnsi="仿宋" w:eastAsia="仿宋" w:cs="仿宋"/>
          <w:b/>
          <w:bCs/>
          <w:color w:val="auto"/>
          <w:sz w:val="22"/>
          <w:szCs w:val="21"/>
          <w:highlight w:val="none"/>
        </w:rPr>
      </w:pPr>
      <w:r>
        <w:rPr>
          <w:rFonts w:hint="eastAsia" w:ascii="仿宋" w:hAnsi="仿宋" w:eastAsia="仿宋" w:cs="仿宋"/>
          <w:b/>
          <w:bCs/>
          <w:color w:val="auto"/>
          <w:sz w:val="22"/>
          <w:szCs w:val="21"/>
          <w:highlight w:val="none"/>
        </w:rPr>
        <w:t>说明：</w:t>
      </w:r>
    </w:p>
    <w:p>
      <w:pPr>
        <w:spacing w:line="360" w:lineRule="auto"/>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1) 请在表上加盖投标单位公章，否则无效；</w:t>
      </w:r>
    </w:p>
    <w:p>
      <w:pPr>
        <w:spacing w:line="360" w:lineRule="auto"/>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2) 序号请按标的清单中的序号填写；</w:t>
      </w:r>
    </w:p>
    <w:p>
      <w:pPr>
        <w:spacing w:line="360" w:lineRule="auto"/>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3）“招标文件中要求的技术参数”项，每一行填写1项参数，投标技术参数需与之</w:t>
      </w:r>
      <w:r>
        <w:rPr>
          <w:rFonts w:hint="eastAsia" w:ascii="仿宋" w:hAnsi="仿宋" w:eastAsia="仿宋" w:cs="仿宋"/>
          <w:color w:val="auto"/>
          <w:sz w:val="22"/>
          <w:szCs w:val="21"/>
          <w:highlight w:val="none"/>
          <w:lang w:val="en-US" w:eastAsia="zh-CN"/>
        </w:rPr>
        <w:t>逐</w:t>
      </w:r>
      <w:r>
        <w:rPr>
          <w:rFonts w:hint="eastAsia" w:ascii="仿宋" w:hAnsi="仿宋" w:eastAsia="仿宋" w:cs="仿宋"/>
          <w:color w:val="auto"/>
          <w:sz w:val="22"/>
          <w:szCs w:val="21"/>
          <w:highlight w:val="none"/>
        </w:rPr>
        <w:t>一对应，未</w:t>
      </w:r>
      <w:r>
        <w:rPr>
          <w:rFonts w:hint="eastAsia" w:ascii="仿宋" w:hAnsi="仿宋" w:eastAsia="仿宋" w:cs="仿宋"/>
          <w:color w:val="auto"/>
          <w:sz w:val="22"/>
          <w:szCs w:val="21"/>
          <w:highlight w:val="none"/>
          <w:lang w:val="en-US" w:eastAsia="zh-CN"/>
        </w:rPr>
        <w:t>逐</w:t>
      </w:r>
      <w:r>
        <w:rPr>
          <w:rFonts w:hint="eastAsia" w:ascii="仿宋" w:hAnsi="仿宋" w:eastAsia="仿宋" w:cs="仿宋"/>
          <w:color w:val="auto"/>
          <w:sz w:val="22"/>
          <w:szCs w:val="21"/>
          <w:highlight w:val="none"/>
        </w:rPr>
        <w:t>一对应的，评标委员会有权认定为未响应该项技术参数。</w:t>
      </w:r>
    </w:p>
    <w:p>
      <w:pPr>
        <w:spacing w:line="360" w:lineRule="auto"/>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4) 投标人按格式详细说明有关产品及配置的变动情况；</w:t>
      </w:r>
    </w:p>
    <w:p>
      <w:pPr>
        <w:spacing w:line="360" w:lineRule="auto"/>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5) 技术有偏离的项目，必须说明具体的偏离指标，并附偏离后投标的型号及规格的产品说明书。</w:t>
      </w:r>
    </w:p>
    <w:p>
      <w:pPr>
        <w:spacing w:line="360" w:lineRule="auto"/>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6) 此表为评标的重要依据，请认真慎重填写；</w:t>
      </w:r>
    </w:p>
    <w:p>
      <w:pPr>
        <w:widowControl/>
        <w:ind w:firstLine="562" w:firstLineChars="200"/>
        <w:jc w:val="center"/>
        <w:rPr>
          <w:rFonts w:hint="eastAsia" w:ascii="仿宋" w:hAnsi="仿宋" w:eastAsia="仿宋" w:cs="仿宋"/>
          <w:b/>
          <w:color w:val="auto"/>
          <w:sz w:val="28"/>
          <w:szCs w:val="28"/>
          <w:highlight w:val="none"/>
        </w:rPr>
      </w:pPr>
    </w:p>
    <w:p>
      <w:pPr>
        <w:spacing w:line="48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投标人（盖章）：</w:t>
      </w:r>
    </w:p>
    <w:p>
      <w:pPr>
        <w:spacing w:line="48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法定代表人或委托代理人（签字或盖章）：</w:t>
      </w:r>
    </w:p>
    <w:p>
      <w:pPr>
        <w:spacing w:line="48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rPr>
        <w:t>日期：    年  月  日</w:t>
      </w:r>
    </w:p>
    <w:p>
      <w:pPr>
        <w:spacing w:line="360" w:lineRule="auto"/>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注：1、填写本表时须附相关资料，此表和所附资料都将作为评标的依据。</w:t>
      </w:r>
    </w:p>
    <w:p>
      <w:pPr>
        <w:numPr>
          <w:ilvl w:val="0"/>
          <w:numId w:val="10"/>
        </w:numPr>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若投标人填写的投标技术参数与所附</w:t>
      </w:r>
      <w:r>
        <w:rPr>
          <w:rFonts w:hint="eastAsia" w:ascii="仿宋" w:hAnsi="仿宋" w:eastAsia="仿宋" w:cs="仿宋"/>
          <w:bCs/>
          <w:color w:val="auto"/>
          <w:sz w:val="22"/>
          <w:szCs w:val="21"/>
          <w:highlight w:val="none"/>
        </w:rPr>
        <w:t>技术支持资料</w:t>
      </w:r>
      <w:r>
        <w:rPr>
          <w:rFonts w:hint="eastAsia" w:ascii="仿宋" w:hAnsi="仿宋" w:eastAsia="仿宋" w:cs="仿宋"/>
          <w:color w:val="auto"/>
          <w:sz w:val="22"/>
          <w:szCs w:val="21"/>
          <w:highlight w:val="none"/>
        </w:rPr>
        <w:t>有出入时，</w:t>
      </w:r>
      <w:r>
        <w:rPr>
          <w:rFonts w:hint="eastAsia" w:ascii="仿宋" w:hAnsi="仿宋" w:eastAsia="仿宋" w:cs="仿宋"/>
          <w:bCs/>
          <w:color w:val="auto"/>
          <w:sz w:val="22"/>
          <w:szCs w:val="21"/>
          <w:highlight w:val="none"/>
        </w:rPr>
        <w:t>以制造商公开发布的印刷资料或检测机构出具的检测报告等技术支持资料为准。</w:t>
      </w:r>
    </w:p>
    <w:p>
      <w:pPr>
        <w:spacing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3、本表内容须与招标内容</w:t>
      </w:r>
      <w:r>
        <w:rPr>
          <w:rFonts w:hint="eastAsia" w:ascii="仿宋" w:hAnsi="仿宋" w:eastAsia="仿宋" w:cs="仿宋"/>
          <w:color w:val="auto"/>
          <w:sz w:val="22"/>
          <w:szCs w:val="21"/>
          <w:highlight w:val="none"/>
          <w:lang w:val="en-US" w:eastAsia="zh-CN"/>
        </w:rPr>
        <w:t>逐</w:t>
      </w:r>
      <w:r>
        <w:rPr>
          <w:rFonts w:hint="eastAsia" w:ascii="仿宋" w:hAnsi="仿宋" w:eastAsia="仿宋" w:cs="仿宋"/>
          <w:color w:val="auto"/>
          <w:sz w:val="22"/>
          <w:szCs w:val="21"/>
          <w:highlight w:val="none"/>
        </w:rPr>
        <w:t>一对应，以便于评标，否则造成的一切后果将由投标人自行承担。</w:t>
      </w:r>
    </w:p>
    <w:p>
      <w:pPr>
        <w:pStyle w:val="2"/>
        <w:rPr>
          <w:rFonts w:hint="eastAsia" w:ascii="仿宋" w:hAnsi="仿宋" w:eastAsia="仿宋" w:cs="仿宋"/>
          <w:color w:val="auto"/>
          <w:sz w:val="20"/>
          <w:szCs w:val="21"/>
          <w:highlight w:val="none"/>
        </w:rPr>
      </w:pPr>
    </w:p>
    <w:p>
      <w:pPr>
        <w:rPr>
          <w:rFonts w:hint="eastAsia" w:ascii="仿宋" w:hAnsi="仿宋" w:eastAsia="仿宋" w:cs="仿宋"/>
          <w:color w:val="auto"/>
          <w:spacing w:val="0"/>
          <w:sz w:val="28"/>
          <w:szCs w:val="21"/>
          <w:highlight w:val="none"/>
        </w:rPr>
      </w:pPr>
      <w:r>
        <w:rPr>
          <w:rFonts w:hint="eastAsia" w:ascii="仿宋" w:hAnsi="仿宋" w:eastAsia="仿宋" w:cs="仿宋"/>
          <w:color w:val="auto"/>
          <w:spacing w:val="0"/>
          <w:sz w:val="28"/>
          <w:szCs w:val="21"/>
          <w:highlight w:val="none"/>
        </w:rPr>
        <w:br w:type="page"/>
      </w:r>
    </w:p>
    <w:p>
      <w:pPr>
        <w:pStyle w:val="4"/>
        <w:jc w:val="center"/>
        <w:rPr>
          <w:rFonts w:hint="eastAsia" w:ascii="仿宋" w:hAnsi="仿宋" w:eastAsia="仿宋" w:cs="仿宋"/>
          <w:color w:val="auto"/>
          <w:spacing w:val="0"/>
          <w:sz w:val="28"/>
          <w:szCs w:val="21"/>
          <w:highlight w:val="none"/>
          <w:lang w:val="en-US" w:eastAsia="zh-CN"/>
        </w:rPr>
      </w:pPr>
      <w:r>
        <w:rPr>
          <w:rFonts w:hint="eastAsia" w:ascii="仿宋" w:hAnsi="仿宋" w:eastAsia="仿宋" w:cs="仿宋"/>
          <w:color w:val="auto"/>
          <w:spacing w:val="0"/>
          <w:sz w:val="28"/>
          <w:szCs w:val="21"/>
          <w:highlight w:val="none"/>
        </w:rPr>
        <w:t>格式七：交货计划及保障实施措施方案</w:t>
      </w:r>
    </w:p>
    <w:p>
      <w:pPr>
        <w:bidi w:val="0"/>
        <w:rPr>
          <w:rFonts w:hint="eastAsia" w:ascii="仿宋" w:hAnsi="仿宋" w:eastAsia="仿宋" w:cs="仿宋"/>
          <w:color w:val="auto"/>
          <w:highlight w:val="none"/>
        </w:rPr>
      </w:pPr>
    </w:p>
    <w:p>
      <w:pPr>
        <w:pStyle w:val="9"/>
        <w:ind w:firstLine="0" w:firstLineChars="0"/>
        <w:rPr>
          <w:rFonts w:hint="eastAsia" w:ascii="仿宋" w:hAnsi="仿宋" w:eastAsia="仿宋" w:cs="仿宋"/>
          <w:color w:val="auto"/>
          <w:sz w:val="44"/>
          <w:szCs w:val="44"/>
          <w:highlight w:val="none"/>
        </w:rPr>
      </w:pPr>
    </w:p>
    <w:p>
      <w:pPr>
        <w:adjustRightInd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格式自拟</w:t>
      </w:r>
    </w:p>
    <w:p>
      <w:pPr>
        <w:adjustRightInd w:val="0"/>
        <w:spacing w:line="400" w:lineRule="exact"/>
        <w:jc w:val="left"/>
        <w:rPr>
          <w:rFonts w:hint="eastAsia" w:ascii="仿宋" w:hAnsi="仿宋" w:eastAsia="仿宋" w:cs="仿宋"/>
          <w:bCs/>
          <w:color w:val="auto"/>
          <w:sz w:val="24"/>
          <w:highlight w:val="none"/>
        </w:rPr>
      </w:pPr>
    </w:p>
    <w:p>
      <w:pPr>
        <w:spacing w:line="480" w:lineRule="auto"/>
        <w:rPr>
          <w:rFonts w:hint="eastAsia" w:ascii="仿宋" w:hAnsi="仿宋" w:eastAsia="仿宋" w:cs="仿宋"/>
          <w:color w:val="auto"/>
          <w:sz w:val="22"/>
          <w:highlight w:val="none"/>
        </w:rPr>
      </w:pPr>
    </w:p>
    <w:p>
      <w:pPr>
        <w:spacing w:line="480" w:lineRule="auto"/>
        <w:rPr>
          <w:rFonts w:hint="eastAsia" w:ascii="仿宋" w:hAnsi="仿宋" w:eastAsia="仿宋" w:cs="仿宋"/>
          <w:color w:val="auto"/>
          <w:sz w:val="22"/>
          <w:highlight w:val="none"/>
        </w:rPr>
      </w:pPr>
    </w:p>
    <w:p>
      <w:pPr>
        <w:spacing w:line="480" w:lineRule="auto"/>
        <w:rPr>
          <w:rFonts w:hint="eastAsia" w:ascii="仿宋" w:hAnsi="仿宋" w:eastAsia="仿宋" w:cs="仿宋"/>
          <w:color w:val="auto"/>
          <w:sz w:val="22"/>
          <w:highlight w:val="none"/>
        </w:rPr>
      </w:pPr>
    </w:p>
    <w:p>
      <w:pPr>
        <w:pStyle w:val="4"/>
        <w:jc w:val="center"/>
        <w:rPr>
          <w:rFonts w:hint="eastAsia" w:ascii="仿宋" w:hAnsi="仿宋" w:eastAsia="仿宋" w:cs="仿宋"/>
          <w:color w:val="auto"/>
          <w:spacing w:val="0"/>
          <w:sz w:val="28"/>
          <w:szCs w:val="21"/>
          <w:highlight w:val="none"/>
        </w:rPr>
      </w:pPr>
      <w:r>
        <w:rPr>
          <w:rFonts w:hint="eastAsia" w:ascii="仿宋" w:hAnsi="仿宋" w:eastAsia="仿宋" w:cs="仿宋"/>
          <w:color w:val="auto"/>
          <w:spacing w:val="0"/>
          <w:sz w:val="28"/>
          <w:szCs w:val="21"/>
          <w:highlight w:val="none"/>
        </w:rPr>
        <w:t>格式八：售后服务方案</w:t>
      </w:r>
    </w:p>
    <w:p>
      <w:pPr>
        <w:spacing w:line="480" w:lineRule="auto"/>
        <w:jc w:val="center"/>
        <w:rPr>
          <w:rFonts w:hint="eastAsia" w:ascii="仿宋" w:hAnsi="仿宋" w:eastAsia="仿宋" w:cs="仿宋"/>
          <w:b/>
          <w:bCs/>
          <w:color w:val="auto"/>
          <w:sz w:val="28"/>
          <w:szCs w:val="21"/>
          <w:highlight w:val="none"/>
        </w:rPr>
      </w:pPr>
    </w:p>
    <w:p>
      <w:pPr>
        <w:spacing w:line="480" w:lineRule="auto"/>
        <w:rPr>
          <w:rFonts w:hint="eastAsia" w:ascii="仿宋" w:hAnsi="仿宋" w:eastAsia="仿宋" w:cs="仿宋"/>
          <w:color w:val="auto"/>
          <w:sz w:val="22"/>
          <w:highlight w:val="none"/>
        </w:rPr>
      </w:pPr>
    </w:p>
    <w:p>
      <w:pPr>
        <w:adjustRightIn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格式自拟</w:t>
      </w:r>
    </w:p>
    <w:p>
      <w:pPr>
        <w:spacing w:line="480" w:lineRule="auto"/>
        <w:rPr>
          <w:rFonts w:hint="eastAsia" w:ascii="仿宋" w:hAnsi="仿宋" w:eastAsia="仿宋" w:cs="仿宋"/>
          <w:color w:val="auto"/>
          <w:sz w:val="22"/>
          <w:highlight w:val="none"/>
        </w:rPr>
      </w:pPr>
    </w:p>
    <w:p>
      <w:pPr>
        <w:spacing w:line="480" w:lineRule="auto"/>
        <w:rPr>
          <w:rFonts w:hint="eastAsia" w:ascii="仿宋" w:hAnsi="仿宋" w:eastAsia="仿宋" w:cs="仿宋"/>
          <w:color w:val="auto"/>
          <w:sz w:val="22"/>
          <w:highlight w:val="none"/>
        </w:rPr>
      </w:pPr>
    </w:p>
    <w:p>
      <w:pPr>
        <w:spacing w:line="480" w:lineRule="auto"/>
        <w:rPr>
          <w:rFonts w:hint="eastAsia" w:ascii="仿宋" w:hAnsi="仿宋" w:eastAsia="仿宋" w:cs="仿宋"/>
          <w:color w:val="auto"/>
          <w:sz w:val="22"/>
          <w:highlight w:val="none"/>
        </w:rPr>
      </w:pPr>
    </w:p>
    <w:p>
      <w:pP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br w:type="page"/>
      </w:r>
    </w:p>
    <w:p>
      <w:pPr>
        <w:spacing w:line="480" w:lineRule="auto"/>
        <w:jc w:val="center"/>
        <w:rPr>
          <w:rFonts w:hint="eastAsia" w:ascii="仿宋" w:hAnsi="仿宋" w:eastAsia="仿宋" w:cs="仿宋"/>
          <w:b/>
          <w:bCs/>
          <w:color w:val="auto"/>
          <w:sz w:val="28"/>
          <w:szCs w:val="21"/>
          <w:highlight w:val="none"/>
        </w:rPr>
      </w:pPr>
      <w:r>
        <w:rPr>
          <w:rFonts w:hint="eastAsia" w:ascii="仿宋" w:hAnsi="仿宋" w:eastAsia="仿宋" w:cs="仿宋"/>
          <w:b/>
          <w:bCs/>
          <w:color w:val="auto"/>
          <w:sz w:val="28"/>
          <w:szCs w:val="21"/>
          <w:highlight w:val="none"/>
        </w:rPr>
        <w:t>格式九：质量保证措施及违约责任承诺</w:t>
      </w:r>
    </w:p>
    <w:p>
      <w:pPr>
        <w:adjustRightIn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格式自拟</w:t>
      </w:r>
    </w:p>
    <w:p>
      <w:pPr>
        <w:pStyle w:val="24"/>
        <w:rPr>
          <w:rFonts w:hint="eastAsia" w:ascii="仿宋" w:hAnsi="仿宋" w:eastAsia="仿宋" w:cs="仿宋"/>
          <w:color w:val="auto"/>
          <w:highlight w:val="none"/>
          <w:lang w:val="en-US" w:eastAsia="zh-CN"/>
        </w:rPr>
      </w:pPr>
    </w:p>
    <w:p>
      <w:pPr>
        <w:spacing w:before="240" w:beforeLines="100" w:line="360" w:lineRule="auto"/>
        <w:ind w:firstLine="546" w:firstLineChars="195"/>
        <w:rPr>
          <w:rFonts w:hint="eastAsia" w:ascii="仿宋" w:hAnsi="仿宋" w:eastAsia="仿宋" w:cs="仿宋"/>
          <w:color w:val="auto"/>
          <w:sz w:val="24"/>
          <w:highlight w:val="none"/>
        </w:rPr>
        <w:sectPr>
          <w:pgSz w:w="11907" w:h="16840"/>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8"/>
          <w:szCs w:val="28"/>
          <w:highlight w:val="none"/>
        </w:rPr>
        <w:t xml:space="preserve">         </w:t>
      </w:r>
    </w:p>
    <w:p>
      <w:pPr>
        <w:pStyle w:val="4"/>
        <w:spacing w:line="360" w:lineRule="auto"/>
        <w:jc w:val="center"/>
        <w:rPr>
          <w:rFonts w:hint="eastAsia" w:ascii="仿宋" w:hAnsi="仿宋" w:eastAsia="仿宋" w:cs="仿宋"/>
          <w:color w:val="auto"/>
          <w:spacing w:val="0"/>
          <w:sz w:val="28"/>
          <w:szCs w:val="21"/>
          <w:highlight w:val="none"/>
        </w:rPr>
      </w:pPr>
      <w:r>
        <w:rPr>
          <w:rFonts w:hint="eastAsia" w:ascii="仿宋" w:hAnsi="仿宋" w:eastAsia="仿宋" w:cs="仿宋"/>
          <w:color w:val="auto"/>
          <w:spacing w:val="0"/>
          <w:sz w:val="28"/>
          <w:szCs w:val="21"/>
          <w:highlight w:val="none"/>
        </w:rPr>
        <w:t>格式十：类似项目业绩表</w:t>
      </w:r>
    </w:p>
    <w:tbl>
      <w:tblPr>
        <w:tblStyle w:val="2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522"/>
        <w:gridCol w:w="1599"/>
        <w:gridCol w:w="175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3" w:type="dxa"/>
            <w:vAlign w:val="center"/>
          </w:tcPr>
          <w:p>
            <w:pPr>
              <w:pStyle w:val="19"/>
              <w:tabs>
                <w:tab w:val="right" w:leader="dot" w:pos="9240"/>
              </w:tabs>
              <w:snapToGrid w:val="0"/>
              <w:spacing w:line="360" w:lineRule="exact"/>
              <w:ind w:firstLine="110" w:firstLineChars="50"/>
              <w:rPr>
                <w:rFonts w:hint="eastAsia" w:ascii="仿宋" w:hAnsi="仿宋" w:eastAsia="仿宋" w:cs="仿宋"/>
                <w:b w:val="0"/>
                <w:bCs w:val="0"/>
                <w:color w:val="auto"/>
                <w:sz w:val="22"/>
                <w:highlight w:val="none"/>
              </w:rPr>
            </w:pPr>
            <w:r>
              <w:rPr>
                <w:rFonts w:hint="eastAsia" w:ascii="仿宋" w:hAnsi="仿宋" w:eastAsia="仿宋" w:cs="仿宋"/>
                <w:b w:val="0"/>
                <w:bCs w:val="0"/>
                <w:color w:val="auto"/>
                <w:sz w:val="22"/>
                <w:highlight w:val="none"/>
              </w:rPr>
              <w:t>序号</w:t>
            </w:r>
          </w:p>
        </w:tc>
        <w:tc>
          <w:tcPr>
            <w:tcW w:w="3522"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r>
              <w:rPr>
                <w:rFonts w:hint="eastAsia" w:ascii="仿宋" w:hAnsi="仿宋" w:eastAsia="仿宋" w:cs="仿宋"/>
                <w:b w:val="0"/>
                <w:bCs w:val="0"/>
                <w:color w:val="auto"/>
                <w:sz w:val="22"/>
                <w:highlight w:val="none"/>
              </w:rPr>
              <w:t>项目名称</w:t>
            </w:r>
          </w:p>
        </w:tc>
        <w:tc>
          <w:tcPr>
            <w:tcW w:w="1599"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r>
              <w:rPr>
                <w:rFonts w:hint="eastAsia" w:ascii="仿宋" w:hAnsi="仿宋" w:eastAsia="仿宋" w:cs="仿宋"/>
                <w:b w:val="0"/>
                <w:bCs w:val="0"/>
                <w:color w:val="auto"/>
                <w:sz w:val="22"/>
                <w:highlight w:val="none"/>
              </w:rPr>
              <w:t>业主单位</w:t>
            </w:r>
          </w:p>
        </w:tc>
        <w:tc>
          <w:tcPr>
            <w:tcW w:w="1755"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r>
              <w:rPr>
                <w:rFonts w:hint="eastAsia" w:ascii="仿宋" w:hAnsi="仿宋" w:eastAsia="仿宋" w:cs="仿宋"/>
                <w:b w:val="0"/>
                <w:bCs w:val="0"/>
                <w:color w:val="auto"/>
                <w:sz w:val="22"/>
                <w:highlight w:val="none"/>
              </w:rPr>
              <w:t>项目实施时间</w:t>
            </w:r>
          </w:p>
        </w:tc>
        <w:tc>
          <w:tcPr>
            <w:tcW w:w="1855"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r>
              <w:rPr>
                <w:rFonts w:hint="eastAsia" w:ascii="仿宋" w:hAnsi="仿宋" w:eastAsia="仿宋" w:cs="仿宋"/>
                <w:b w:val="0"/>
                <w:bCs w:val="0"/>
                <w:color w:val="auto"/>
                <w:sz w:val="22"/>
                <w:highlight w:val="none"/>
              </w:rPr>
              <w:t>业主评价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3522"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599"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755"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855"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3522"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599"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755"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855"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3"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3522"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599"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755"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855"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3522"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599"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755"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855"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3522"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599"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755"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855"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3522"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599"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755"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c>
          <w:tcPr>
            <w:tcW w:w="1855" w:type="dxa"/>
            <w:vAlign w:val="center"/>
          </w:tcPr>
          <w:p>
            <w:pPr>
              <w:pStyle w:val="19"/>
              <w:tabs>
                <w:tab w:val="right" w:leader="dot" w:pos="9240"/>
              </w:tabs>
              <w:snapToGrid w:val="0"/>
              <w:spacing w:line="360" w:lineRule="exact"/>
              <w:jc w:val="center"/>
              <w:rPr>
                <w:rFonts w:hint="eastAsia" w:ascii="仿宋" w:hAnsi="仿宋" w:eastAsia="仿宋" w:cs="仿宋"/>
                <w:b w:val="0"/>
                <w:bCs w:val="0"/>
                <w:color w:val="auto"/>
                <w:sz w:val="22"/>
                <w:highlight w:val="none"/>
              </w:rPr>
            </w:pPr>
          </w:p>
        </w:tc>
      </w:tr>
    </w:tbl>
    <w:p>
      <w:pPr>
        <w:pStyle w:val="20"/>
        <w:spacing w:after="0" w:line="360" w:lineRule="auto"/>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注：1.本表仅需填写投标人实施的类似项目业绩。</w:t>
      </w:r>
    </w:p>
    <w:p>
      <w:pPr>
        <w:widowControl/>
        <w:ind w:firstLine="440" w:firstLineChars="200"/>
        <w:jc w:val="left"/>
        <w:rPr>
          <w:rFonts w:hint="eastAsia" w:ascii="仿宋" w:hAnsi="仿宋" w:eastAsia="仿宋" w:cs="仿宋"/>
          <w:b/>
          <w:color w:val="auto"/>
          <w:sz w:val="28"/>
          <w:szCs w:val="28"/>
          <w:highlight w:val="none"/>
        </w:rPr>
      </w:pPr>
      <w:r>
        <w:rPr>
          <w:rFonts w:hint="eastAsia" w:ascii="仿宋" w:hAnsi="仿宋" w:eastAsia="仿宋" w:cs="仿宋"/>
          <w:color w:val="auto"/>
          <w:sz w:val="22"/>
          <w:szCs w:val="21"/>
          <w:highlight w:val="none"/>
        </w:rPr>
        <w:t>2.附招标文件指定的证明材料。</w:t>
      </w:r>
    </w:p>
    <w:p>
      <w:pPr>
        <w:widowControl/>
        <w:jc w:val="left"/>
        <w:rPr>
          <w:rFonts w:hint="eastAsia" w:ascii="仿宋" w:hAnsi="仿宋" w:eastAsia="仿宋" w:cs="仿宋"/>
          <w:b/>
          <w:color w:val="auto"/>
          <w:sz w:val="28"/>
          <w:szCs w:val="28"/>
          <w:highlight w:val="none"/>
        </w:rPr>
      </w:pPr>
    </w:p>
    <w:p>
      <w:pPr>
        <w:widowControl/>
        <w:jc w:val="left"/>
        <w:rPr>
          <w:rFonts w:hint="eastAsia" w:ascii="仿宋" w:hAnsi="仿宋" w:eastAsia="仿宋" w:cs="仿宋"/>
          <w:b/>
          <w:color w:val="auto"/>
          <w:sz w:val="28"/>
          <w:szCs w:val="28"/>
          <w:highlight w:val="none"/>
        </w:rPr>
      </w:pPr>
    </w:p>
    <w:p>
      <w:pPr>
        <w:widowControl/>
        <w:jc w:val="left"/>
        <w:rPr>
          <w:rFonts w:hint="eastAsia" w:ascii="仿宋" w:hAnsi="仿宋" w:eastAsia="仿宋" w:cs="仿宋"/>
          <w:b/>
          <w:color w:val="auto"/>
          <w:sz w:val="28"/>
          <w:szCs w:val="28"/>
          <w:highlight w:val="none"/>
        </w:rPr>
      </w:pPr>
    </w:p>
    <w:p>
      <w:pPr>
        <w:adjustRightInd w:val="0"/>
        <w:spacing w:before="360" w:beforeLines="150"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pPr>
        <w:spacing w:before="360" w:beforeLines="150" w:line="480" w:lineRule="auto"/>
        <w:jc w:val="right"/>
        <w:rPr>
          <w:rFonts w:hint="eastAsia" w:ascii="仿宋" w:hAnsi="仿宋" w:eastAsia="仿宋" w:cs="仿宋"/>
          <w:bCs/>
          <w:color w:val="auto"/>
          <w:sz w:val="24"/>
          <w:szCs w:val="21"/>
          <w:highlight w:val="none"/>
        </w:rPr>
      </w:pPr>
      <w:r>
        <w:rPr>
          <w:rFonts w:hint="eastAsia" w:ascii="仿宋" w:hAnsi="仿宋" w:eastAsia="仿宋" w:cs="仿宋"/>
          <w:color w:val="auto"/>
          <w:sz w:val="24"/>
          <w:szCs w:val="21"/>
          <w:highlight w:val="none"/>
        </w:rPr>
        <w:t>法定代表人或授权代表</w:t>
      </w:r>
      <w:r>
        <w:rPr>
          <w:rFonts w:hint="eastAsia" w:ascii="仿宋" w:hAnsi="仿宋" w:eastAsia="仿宋" w:cs="仿宋"/>
          <w:bCs/>
          <w:color w:val="auto"/>
          <w:sz w:val="24"/>
          <w:szCs w:val="21"/>
          <w:highlight w:val="none"/>
        </w:rPr>
        <w:t>：</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color w:val="auto"/>
          <w:sz w:val="24"/>
          <w:szCs w:val="21"/>
          <w:highlight w:val="none"/>
        </w:rPr>
        <w:t>（签名或盖章）</w:t>
      </w:r>
    </w:p>
    <w:p>
      <w:pPr>
        <w:widowControl/>
        <w:spacing w:line="480" w:lineRule="auto"/>
        <w:jc w:val="right"/>
        <w:rPr>
          <w:rFonts w:hint="eastAsia" w:ascii="仿宋" w:hAnsi="仿宋" w:eastAsia="仿宋" w:cs="仿宋"/>
          <w:b/>
          <w:color w:val="auto"/>
          <w:sz w:val="28"/>
          <w:szCs w:val="28"/>
          <w:highlight w:val="none"/>
        </w:rPr>
      </w:pPr>
      <w:r>
        <w:rPr>
          <w:rFonts w:hint="eastAsia" w:ascii="仿宋" w:hAnsi="仿宋" w:eastAsia="仿宋" w:cs="仿宋"/>
          <w:bCs/>
          <w:color w:val="auto"/>
          <w:sz w:val="24"/>
          <w:szCs w:val="21"/>
          <w:highlight w:val="none"/>
        </w:rPr>
        <w:t>年  月  日</w:t>
      </w:r>
    </w:p>
    <w:p>
      <w:pPr>
        <w:widowControl/>
        <w:jc w:val="left"/>
        <w:rPr>
          <w:rFonts w:hint="eastAsia" w:ascii="仿宋" w:hAnsi="仿宋" w:eastAsia="仿宋" w:cs="仿宋"/>
          <w:b/>
          <w:color w:val="auto"/>
          <w:sz w:val="28"/>
          <w:szCs w:val="28"/>
          <w:highlight w:val="none"/>
        </w:rPr>
      </w:pPr>
    </w:p>
    <w:p>
      <w:pPr>
        <w:widowControl/>
        <w:jc w:val="left"/>
        <w:rPr>
          <w:rFonts w:hint="eastAsia" w:ascii="仿宋" w:hAnsi="仿宋" w:eastAsia="仿宋" w:cs="仿宋"/>
          <w:b/>
          <w:color w:val="auto"/>
          <w:sz w:val="28"/>
          <w:szCs w:val="28"/>
          <w:highlight w:val="none"/>
        </w:rPr>
      </w:pPr>
    </w:p>
    <w:p>
      <w:pPr>
        <w:widowControl/>
        <w:jc w:val="left"/>
        <w:rPr>
          <w:rFonts w:hint="eastAsia" w:ascii="仿宋" w:hAnsi="仿宋" w:eastAsia="仿宋" w:cs="仿宋"/>
          <w:b/>
          <w:color w:val="auto"/>
          <w:sz w:val="28"/>
          <w:szCs w:val="28"/>
          <w:highlight w:val="none"/>
        </w:rPr>
      </w:pPr>
    </w:p>
    <w:p>
      <w:pPr>
        <w:widowControl/>
        <w:jc w:val="left"/>
        <w:rPr>
          <w:rFonts w:hint="eastAsia" w:ascii="仿宋" w:hAnsi="仿宋" w:eastAsia="仿宋" w:cs="仿宋"/>
          <w:b/>
          <w:color w:val="auto"/>
          <w:sz w:val="28"/>
          <w:szCs w:val="28"/>
          <w:highlight w:val="none"/>
        </w:rPr>
      </w:pPr>
    </w:p>
    <w:p>
      <w:pPr>
        <w:widowControl/>
        <w:jc w:val="left"/>
        <w:rPr>
          <w:rFonts w:hint="eastAsia" w:ascii="仿宋" w:hAnsi="仿宋" w:eastAsia="仿宋" w:cs="仿宋"/>
          <w:b/>
          <w:color w:val="auto"/>
          <w:sz w:val="28"/>
          <w:szCs w:val="28"/>
          <w:highlight w:val="none"/>
        </w:rPr>
      </w:pPr>
    </w:p>
    <w:p>
      <w:pPr>
        <w:widowControl/>
        <w:rPr>
          <w:rFonts w:hint="eastAsia" w:ascii="仿宋" w:hAnsi="仿宋" w:eastAsia="仿宋" w:cs="仿宋"/>
          <w:b/>
          <w:color w:val="auto"/>
          <w:sz w:val="28"/>
          <w:szCs w:val="28"/>
          <w:highlight w:val="none"/>
        </w:rPr>
      </w:pPr>
    </w:p>
    <w:p>
      <w:pPr>
        <w:widowControl/>
        <w:rPr>
          <w:rFonts w:hint="eastAsia" w:ascii="仿宋" w:hAnsi="仿宋" w:eastAsia="仿宋" w:cs="仿宋"/>
          <w:b/>
          <w:color w:val="auto"/>
          <w:sz w:val="28"/>
          <w:szCs w:val="28"/>
          <w:highlight w:val="none"/>
        </w:rPr>
      </w:pPr>
    </w:p>
    <w:p>
      <w:pPr>
        <w:widowControl/>
        <w:rPr>
          <w:rFonts w:hint="eastAsia" w:ascii="仿宋" w:hAnsi="仿宋" w:eastAsia="仿宋" w:cs="仿宋"/>
          <w:b/>
          <w:color w:val="auto"/>
          <w:sz w:val="28"/>
          <w:szCs w:val="28"/>
          <w:highlight w:val="none"/>
        </w:rPr>
      </w:pPr>
    </w:p>
    <w:p>
      <w:pPr>
        <w:widowControl/>
        <w:rPr>
          <w:rFonts w:hint="eastAsia" w:ascii="仿宋" w:hAnsi="仿宋" w:eastAsia="仿宋" w:cs="仿宋"/>
          <w:b/>
          <w:color w:val="auto"/>
          <w:sz w:val="28"/>
          <w:szCs w:val="28"/>
          <w:highlight w:val="none"/>
        </w:rPr>
      </w:pPr>
    </w:p>
    <w:p>
      <w:pPr>
        <w:widowControl/>
        <w:rPr>
          <w:rFonts w:hint="eastAsia" w:ascii="仿宋" w:hAnsi="仿宋" w:eastAsia="仿宋" w:cs="仿宋"/>
          <w:b/>
          <w:color w:val="auto"/>
          <w:sz w:val="28"/>
          <w:szCs w:val="28"/>
          <w:highlight w:val="none"/>
        </w:rPr>
      </w:pPr>
    </w:p>
    <w:p>
      <w:pPr>
        <w:widowControl/>
        <w:rPr>
          <w:rFonts w:hint="eastAsia" w:ascii="仿宋" w:hAnsi="仿宋" w:eastAsia="仿宋" w:cs="仿宋"/>
          <w:b/>
          <w:color w:val="auto"/>
          <w:sz w:val="28"/>
          <w:szCs w:val="28"/>
          <w:highlight w:val="none"/>
        </w:rPr>
      </w:pPr>
    </w:p>
    <w:p>
      <w:pPr>
        <w:widowControl/>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pStyle w:val="4"/>
        <w:spacing w:line="360" w:lineRule="auto"/>
        <w:jc w:val="center"/>
        <w:rPr>
          <w:rFonts w:hint="eastAsia" w:ascii="仿宋" w:hAnsi="仿宋" w:eastAsia="仿宋" w:cs="仿宋"/>
          <w:color w:val="auto"/>
          <w:spacing w:val="0"/>
          <w:sz w:val="28"/>
          <w:szCs w:val="21"/>
          <w:highlight w:val="none"/>
        </w:rPr>
      </w:pPr>
      <w:r>
        <w:rPr>
          <w:rFonts w:hint="eastAsia" w:ascii="仿宋" w:hAnsi="仿宋" w:eastAsia="仿宋" w:cs="仿宋"/>
          <w:color w:val="auto"/>
          <w:spacing w:val="0"/>
          <w:sz w:val="28"/>
          <w:szCs w:val="21"/>
          <w:highlight w:val="none"/>
        </w:rPr>
        <w:t>格式十一：资格证明文件</w:t>
      </w:r>
    </w:p>
    <w:p>
      <w:pPr>
        <w:pStyle w:val="14"/>
        <w:spacing w:line="360" w:lineRule="auto"/>
        <w:jc w:val="left"/>
        <w:rPr>
          <w:rFonts w:hint="eastAsia" w:ascii="仿宋" w:hAnsi="仿宋" w:eastAsia="仿宋" w:cs="仿宋"/>
          <w:b/>
          <w:color w:val="auto"/>
          <w:sz w:val="28"/>
          <w:szCs w:val="28"/>
          <w:highlight w:val="none"/>
        </w:rPr>
      </w:pPr>
    </w:p>
    <w:p>
      <w:pPr>
        <w:pStyle w:val="14"/>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格式11-1：营业执照副本（加盖公章的复印件）</w:t>
      </w:r>
    </w:p>
    <w:p>
      <w:pPr>
        <w:pStyle w:val="14"/>
        <w:spacing w:line="360" w:lineRule="auto"/>
        <w:jc w:val="left"/>
        <w:rPr>
          <w:rFonts w:hint="eastAsia" w:ascii="仿宋" w:hAnsi="仿宋" w:eastAsia="仿宋" w:cs="仿宋"/>
          <w:b/>
          <w:color w:val="auto"/>
          <w:sz w:val="28"/>
          <w:szCs w:val="28"/>
          <w:highlight w:val="none"/>
        </w:rPr>
      </w:pPr>
    </w:p>
    <w:p>
      <w:pPr>
        <w:pStyle w:val="14"/>
        <w:spacing w:line="360" w:lineRule="auto"/>
        <w:jc w:val="left"/>
        <w:rPr>
          <w:rFonts w:hint="eastAsia" w:ascii="仿宋" w:hAnsi="仿宋" w:eastAsia="仿宋" w:cs="仿宋"/>
          <w:b/>
          <w:color w:val="auto"/>
          <w:sz w:val="28"/>
          <w:szCs w:val="28"/>
          <w:highlight w:val="none"/>
        </w:rPr>
      </w:pPr>
    </w:p>
    <w:p>
      <w:pPr>
        <w:pStyle w:val="14"/>
        <w:spacing w:line="360" w:lineRule="auto"/>
        <w:jc w:val="left"/>
        <w:rPr>
          <w:rFonts w:hint="eastAsia" w:ascii="仿宋" w:hAnsi="仿宋" w:eastAsia="仿宋" w:cs="仿宋"/>
          <w:b/>
          <w:color w:val="auto"/>
          <w:sz w:val="28"/>
          <w:szCs w:val="28"/>
          <w:highlight w:val="none"/>
        </w:rPr>
      </w:pPr>
    </w:p>
    <w:p>
      <w:pPr>
        <w:pStyle w:val="14"/>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格式11-2：经审计的财务</w:t>
      </w:r>
      <w:r>
        <w:rPr>
          <w:rFonts w:hint="eastAsia" w:ascii="仿宋" w:hAnsi="仿宋" w:eastAsia="仿宋" w:cs="仿宋"/>
          <w:b/>
          <w:color w:val="auto"/>
          <w:sz w:val="28"/>
          <w:szCs w:val="28"/>
          <w:highlight w:val="none"/>
          <w:lang w:val="en-US" w:eastAsia="zh-CN"/>
        </w:rPr>
        <w:t>报表及</w:t>
      </w:r>
      <w:r>
        <w:rPr>
          <w:rFonts w:hint="eastAsia" w:ascii="仿宋" w:hAnsi="仿宋" w:eastAsia="仿宋" w:cs="仿宋"/>
          <w:b/>
          <w:color w:val="auto"/>
          <w:sz w:val="28"/>
          <w:szCs w:val="28"/>
          <w:highlight w:val="none"/>
        </w:rPr>
        <w:t>报告</w:t>
      </w:r>
    </w:p>
    <w:p>
      <w:pPr>
        <w:pStyle w:val="14"/>
        <w:spacing w:line="360" w:lineRule="auto"/>
        <w:jc w:val="left"/>
        <w:rPr>
          <w:rFonts w:hint="eastAsia" w:ascii="仿宋" w:hAnsi="仿宋" w:eastAsia="仿宋" w:cs="仿宋"/>
          <w:b/>
          <w:color w:val="auto"/>
          <w:sz w:val="22"/>
          <w:highlight w:val="none"/>
          <w:lang w:val="zh-CN"/>
        </w:rPr>
      </w:pPr>
    </w:p>
    <w:p>
      <w:pPr>
        <w:pStyle w:val="14"/>
        <w:spacing w:line="360" w:lineRule="auto"/>
        <w:jc w:val="left"/>
        <w:rPr>
          <w:rFonts w:hint="eastAsia" w:ascii="仿宋" w:hAnsi="仿宋" w:eastAsia="仿宋" w:cs="仿宋"/>
          <w:b/>
          <w:color w:val="auto"/>
          <w:sz w:val="22"/>
          <w:highlight w:val="none"/>
          <w:lang w:val="zh-CN"/>
        </w:rPr>
      </w:pPr>
    </w:p>
    <w:p>
      <w:pPr>
        <w:pStyle w:val="14"/>
        <w:spacing w:line="360" w:lineRule="auto"/>
        <w:rPr>
          <w:rFonts w:hint="eastAsia" w:ascii="仿宋" w:hAnsi="仿宋" w:eastAsia="仿宋" w:cs="仿宋"/>
          <w:b/>
          <w:color w:val="auto"/>
          <w:sz w:val="28"/>
          <w:szCs w:val="28"/>
          <w:highlight w:val="none"/>
        </w:rPr>
      </w:pPr>
    </w:p>
    <w:p>
      <w:pPr>
        <w:pStyle w:val="14"/>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格式11-3：税收和社保缴纳证明材料</w:t>
      </w:r>
    </w:p>
    <w:p>
      <w:pPr>
        <w:pStyle w:val="14"/>
        <w:spacing w:line="360" w:lineRule="auto"/>
        <w:jc w:val="left"/>
        <w:rPr>
          <w:rFonts w:hint="eastAsia" w:ascii="仿宋" w:hAnsi="仿宋" w:eastAsia="仿宋" w:cs="仿宋"/>
          <w:b/>
          <w:color w:val="auto"/>
          <w:sz w:val="22"/>
          <w:highlight w:val="none"/>
        </w:rPr>
      </w:pPr>
    </w:p>
    <w:p>
      <w:pPr>
        <w:pStyle w:val="14"/>
        <w:spacing w:line="360" w:lineRule="auto"/>
        <w:jc w:val="left"/>
        <w:rPr>
          <w:rFonts w:hint="eastAsia" w:ascii="仿宋" w:hAnsi="仿宋" w:eastAsia="仿宋" w:cs="仿宋"/>
          <w:b/>
          <w:color w:val="auto"/>
          <w:sz w:val="24"/>
          <w:szCs w:val="24"/>
          <w:highlight w:val="none"/>
        </w:rPr>
      </w:pPr>
    </w:p>
    <w:p>
      <w:pPr>
        <w:pStyle w:val="14"/>
        <w:spacing w:line="360" w:lineRule="auto"/>
        <w:jc w:val="left"/>
        <w:rPr>
          <w:rFonts w:hint="eastAsia" w:ascii="仿宋" w:hAnsi="仿宋" w:eastAsia="仿宋" w:cs="仿宋"/>
          <w:b/>
          <w:color w:val="auto"/>
          <w:sz w:val="24"/>
          <w:szCs w:val="24"/>
          <w:highlight w:val="none"/>
        </w:rPr>
      </w:pPr>
    </w:p>
    <w:p>
      <w:pPr>
        <w:pStyle w:val="14"/>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格式11-4：书面声明</w:t>
      </w:r>
    </w:p>
    <w:p>
      <w:pPr>
        <w:pStyle w:val="14"/>
        <w:spacing w:line="360" w:lineRule="auto"/>
        <w:jc w:val="left"/>
        <w:rPr>
          <w:rFonts w:hint="eastAsia" w:ascii="仿宋" w:hAnsi="仿宋" w:eastAsia="仿宋" w:cs="仿宋"/>
          <w:b/>
          <w:color w:val="auto"/>
          <w:sz w:val="22"/>
          <w:highlight w:val="none"/>
        </w:rPr>
      </w:pPr>
    </w:p>
    <w:p>
      <w:pPr>
        <w:pStyle w:val="14"/>
        <w:spacing w:line="360" w:lineRule="auto"/>
        <w:jc w:val="left"/>
        <w:rPr>
          <w:rFonts w:hint="eastAsia" w:ascii="仿宋" w:hAnsi="仿宋" w:eastAsia="仿宋" w:cs="仿宋"/>
          <w:b/>
          <w:bCs/>
          <w:color w:val="auto"/>
          <w:sz w:val="24"/>
          <w:szCs w:val="24"/>
          <w:highlight w:val="none"/>
        </w:rPr>
      </w:pPr>
    </w:p>
    <w:p>
      <w:pPr>
        <w:pStyle w:val="14"/>
        <w:spacing w:line="360" w:lineRule="auto"/>
        <w:jc w:val="left"/>
        <w:rPr>
          <w:rFonts w:hint="eastAsia" w:ascii="仿宋" w:hAnsi="仿宋" w:eastAsia="仿宋" w:cs="仿宋"/>
          <w:b/>
          <w:bCs/>
          <w:color w:val="auto"/>
          <w:sz w:val="24"/>
          <w:szCs w:val="24"/>
          <w:highlight w:val="none"/>
        </w:rPr>
      </w:pPr>
    </w:p>
    <w:p>
      <w:pPr>
        <w:pStyle w:val="14"/>
        <w:spacing w:line="360" w:lineRule="auto"/>
        <w:jc w:val="left"/>
        <w:rPr>
          <w:rFonts w:hint="eastAsia" w:ascii="仿宋" w:hAnsi="仿宋" w:eastAsia="仿宋" w:cs="仿宋"/>
          <w:b/>
          <w:color w:val="auto"/>
          <w:sz w:val="24"/>
          <w:szCs w:val="24"/>
          <w:highlight w:val="none"/>
        </w:rPr>
      </w:pPr>
    </w:p>
    <w:p>
      <w:pPr>
        <w:pStyle w:val="2"/>
        <w:rPr>
          <w:rFonts w:hint="eastAsia" w:ascii="仿宋" w:hAnsi="仿宋" w:eastAsia="仿宋" w:cs="仿宋"/>
          <w:color w:val="auto"/>
          <w:sz w:val="22"/>
          <w:szCs w:val="22"/>
          <w:highlight w:val="none"/>
        </w:rPr>
      </w:pPr>
    </w:p>
    <w:p>
      <w:pPr>
        <w:pStyle w:val="2"/>
        <w:rPr>
          <w:rFonts w:hint="eastAsia" w:ascii="仿宋" w:hAnsi="仿宋" w:eastAsia="仿宋" w:cs="仿宋"/>
          <w:color w:val="auto"/>
          <w:sz w:val="22"/>
          <w:szCs w:val="22"/>
          <w:highlight w:val="none"/>
        </w:rPr>
      </w:pPr>
    </w:p>
    <w:p>
      <w:pPr>
        <w:pStyle w:val="2"/>
        <w:rPr>
          <w:rFonts w:hint="eastAsia" w:ascii="仿宋" w:hAnsi="仿宋" w:eastAsia="仿宋" w:cs="仿宋"/>
          <w:color w:val="auto"/>
          <w:sz w:val="22"/>
          <w:szCs w:val="22"/>
          <w:highlight w:val="none"/>
        </w:rPr>
      </w:pPr>
    </w:p>
    <w:p>
      <w:pPr>
        <w:pStyle w:val="2"/>
        <w:rPr>
          <w:rFonts w:hint="eastAsia" w:ascii="仿宋" w:hAnsi="仿宋" w:eastAsia="仿宋" w:cs="仿宋"/>
          <w:color w:val="auto"/>
          <w:sz w:val="22"/>
          <w:szCs w:val="22"/>
          <w:highlight w:val="none"/>
        </w:rPr>
      </w:pPr>
    </w:p>
    <w:p>
      <w:pPr>
        <w:pStyle w:val="2"/>
        <w:rPr>
          <w:rFonts w:hint="eastAsia" w:ascii="仿宋" w:hAnsi="仿宋" w:eastAsia="仿宋" w:cs="仿宋"/>
          <w:color w:val="auto"/>
          <w:sz w:val="22"/>
          <w:szCs w:val="22"/>
          <w:highlight w:val="none"/>
        </w:rPr>
      </w:pPr>
    </w:p>
    <w:p>
      <w:pPr>
        <w:pStyle w:val="2"/>
        <w:rPr>
          <w:rFonts w:hint="eastAsia" w:ascii="仿宋" w:hAnsi="仿宋" w:eastAsia="仿宋" w:cs="仿宋"/>
          <w:color w:val="auto"/>
          <w:sz w:val="22"/>
          <w:szCs w:val="22"/>
          <w:highlight w:val="none"/>
        </w:rPr>
      </w:pPr>
    </w:p>
    <w:p>
      <w:pPr>
        <w:pStyle w:val="2"/>
        <w:rPr>
          <w:rFonts w:hint="eastAsia" w:ascii="仿宋" w:hAnsi="仿宋" w:eastAsia="仿宋" w:cs="仿宋"/>
          <w:color w:val="auto"/>
          <w:sz w:val="22"/>
          <w:szCs w:val="22"/>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pStyle w:val="4"/>
        <w:spacing w:line="480" w:lineRule="auto"/>
        <w:jc w:val="center"/>
        <w:rPr>
          <w:rFonts w:hint="eastAsia" w:ascii="仿宋" w:hAnsi="仿宋" w:eastAsia="仿宋" w:cs="仿宋"/>
          <w:color w:val="auto"/>
          <w:spacing w:val="0"/>
          <w:sz w:val="28"/>
          <w:szCs w:val="21"/>
          <w:highlight w:val="none"/>
        </w:rPr>
      </w:pPr>
      <w:r>
        <w:rPr>
          <w:rFonts w:hint="eastAsia" w:ascii="仿宋" w:hAnsi="仿宋" w:eastAsia="仿宋" w:cs="仿宋"/>
          <w:color w:val="auto"/>
          <w:spacing w:val="0"/>
          <w:sz w:val="28"/>
          <w:szCs w:val="21"/>
          <w:highlight w:val="none"/>
        </w:rPr>
        <w:t>格式十二：中小企业声明函</w:t>
      </w: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 号）的规定，本公司参加</w:t>
      </w:r>
      <w:r>
        <w:rPr>
          <w:rFonts w:hint="eastAsia" w:ascii="仿宋" w:hAnsi="仿宋" w:eastAsia="仿宋" w:cs="仿宋"/>
          <w:i/>
          <w:iCs/>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i/>
          <w:iCs/>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 xml:space="preserve">（标的名称）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（采购文件中明确的所属行业）行业</w:t>
      </w:r>
      <w:r>
        <w:rPr>
          <w:rFonts w:hint="eastAsia" w:ascii="仿宋" w:hAnsi="仿宋" w:eastAsia="仿宋" w:cs="仿宋"/>
          <w:color w:val="auto"/>
          <w:sz w:val="24"/>
          <w:szCs w:val="24"/>
          <w:highlight w:val="none"/>
        </w:rPr>
        <w:t>；制造商为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widowControl/>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本企业对上述声明内容的真实性负责。如有虚假，将依法承担相应责任。</w:t>
      </w:r>
    </w:p>
    <w:p>
      <w:pPr>
        <w:widowControl/>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widowControl/>
        <w:spacing w:line="480" w:lineRule="auto"/>
        <w:ind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pPr>
        <w:widowControl/>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pPr>
        <w:spacing w:line="360" w:lineRule="auto"/>
        <w:jc w:val="left"/>
        <w:rPr>
          <w:rFonts w:hint="eastAsia" w:ascii="仿宋" w:hAnsi="仿宋" w:eastAsia="仿宋" w:cs="仿宋"/>
          <w:b/>
          <w:color w:val="auto"/>
          <w:sz w:val="24"/>
          <w:szCs w:val="24"/>
          <w:highlight w:val="none"/>
        </w:rPr>
      </w:pPr>
      <w:bookmarkStart w:id="114" w:name="_Toc419059324"/>
      <w:r>
        <w:rPr>
          <w:rFonts w:hint="eastAsia" w:ascii="仿宋" w:hAnsi="仿宋" w:eastAsia="仿宋" w:cs="仿宋"/>
          <w:b/>
          <w:color w:val="auto"/>
          <w:sz w:val="24"/>
          <w:szCs w:val="24"/>
          <w:highlight w:val="none"/>
        </w:rPr>
        <w:t>注：</w:t>
      </w:r>
    </w:p>
    <w:p>
      <w:pPr>
        <w:numPr>
          <w:ilvl w:val="0"/>
          <w:numId w:val="0"/>
        </w:num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中小企业提供本企业制造的货物或服务参与投标时，须提供本企业的《中小企业声明函》；中小企业提供其他中小企业制造的货物参与投标时，还须同时提供货物制造企业的《中小企业声明函》。</w:t>
      </w:r>
      <w:bookmarkEnd w:id="114"/>
      <w:r>
        <w:rPr>
          <w:rFonts w:hint="eastAsia" w:ascii="仿宋" w:hAnsi="仿宋" w:eastAsia="仿宋" w:cs="仿宋"/>
          <w:b/>
          <w:color w:val="auto"/>
          <w:sz w:val="24"/>
          <w:szCs w:val="24"/>
          <w:highlight w:val="none"/>
        </w:rPr>
        <w:t>从业人员、营业收入、资产总额填报上一年度数据，无上一年度数据的新成立企业可不填报。</w:t>
      </w:r>
    </w:p>
    <w:p>
      <w:pPr>
        <w:numPr>
          <w:ilvl w:val="0"/>
          <w:numId w:val="0"/>
        </w:numPr>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不享受中小企业优先采购政策的</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不需填写《中小企业声明函》。对于提供《中小企业声明函》但经查实不符合中小企业条件的</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，将追究其虚假投标的法律责任。</w:t>
      </w:r>
    </w:p>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spacing w:line="520" w:lineRule="exact"/>
        <w:jc w:val="center"/>
        <w:rPr>
          <w:rFonts w:hint="eastAsia" w:ascii="仿宋" w:hAnsi="仿宋" w:eastAsia="仿宋" w:cs="仿宋"/>
          <w:b/>
          <w:bCs/>
          <w:color w:val="auto"/>
          <w:sz w:val="32"/>
          <w:szCs w:val="36"/>
          <w:highlight w:val="none"/>
        </w:rPr>
      </w:pPr>
    </w:p>
    <w:p>
      <w:pPr>
        <w:spacing w:line="520" w:lineRule="exact"/>
        <w:jc w:val="center"/>
        <w:rPr>
          <w:rFonts w:hint="eastAsia" w:ascii="仿宋" w:hAnsi="仿宋" w:eastAsia="仿宋" w:cs="仿宋"/>
          <w:b/>
          <w:bCs/>
          <w:color w:val="auto"/>
          <w:sz w:val="32"/>
          <w:szCs w:val="36"/>
          <w:highlight w:val="none"/>
        </w:rPr>
      </w:pPr>
      <w:r>
        <w:rPr>
          <w:rFonts w:hint="eastAsia" w:ascii="仿宋" w:hAnsi="仿宋" w:eastAsia="仿宋" w:cs="仿宋"/>
          <w:b/>
          <w:bCs/>
          <w:color w:val="auto"/>
          <w:sz w:val="32"/>
          <w:szCs w:val="36"/>
          <w:highlight w:val="none"/>
        </w:rPr>
        <w:t>若</w:t>
      </w:r>
      <w:r>
        <w:rPr>
          <w:rFonts w:hint="eastAsia" w:ascii="仿宋" w:hAnsi="仿宋" w:eastAsia="仿宋" w:cs="仿宋"/>
          <w:b/>
          <w:bCs/>
          <w:color w:val="auto"/>
          <w:sz w:val="32"/>
          <w:szCs w:val="36"/>
          <w:highlight w:val="none"/>
          <w:lang w:val="en-US" w:eastAsia="zh-CN"/>
        </w:rPr>
        <w:t>投标人</w:t>
      </w:r>
      <w:r>
        <w:rPr>
          <w:rFonts w:hint="eastAsia" w:ascii="仿宋" w:hAnsi="仿宋" w:eastAsia="仿宋" w:cs="仿宋"/>
          <w:b/>
          <w:bCs/>
          <w:color w:val="auto"/>
          <w:sz w:val="32"/>
          <w:szCs w:val="36"/>
          <w:highlight w:val="none"/>
        </w:rPr>
        <w:t>为监狱企业，须提供省级以上监狱管理局、戒毒管理局（含新疆生产建设兵团）出具的属于监狱企业的证明文件；</w:t>
      </w:r>
    </w:p>
    <w:p>
      <w:pPr>
        <w:spacing w:line="520" w:lineRule="exact"/>
        <w:jc w:val="center"/>
        <w:rPr>
          <w:rFonts w:hint="eastAsia" w:ascii="仿宋" w:hAnsi="仿宋" w:eastAsia="仿宋" w:cs="仿宋"/>
          <w:b/>
          <w:bCs/>
          <w:color w:val="auto"/>
          <w:sz w:val="32"/>
          <w:szCs w:val="36"/>
          <w:highlight w:val="none"/>
        </w:rPr>
      </w:pPr>
    </w:p>
    <w:p>
      <w:pPr>
        <w:spacing w:line="520" w:lineRule="exact"/>
        <w:jc w:val="both"/>
        <w:rPr>
          <w:rFonts w:hint="eastAsia" w:ascii="仿宋" w:hAnsi="仿宋" w:eastAsia="仿宋" w:cs="仿宋"/>
          <w:b/>
          <w:bCs/>
          <w:color w:val="auto"/>
          <w:sz w:val="32"/>
          <w:szCs w:val="36"/>
          <w:highlight w:val="none"/>
        </w:rPr>
      </w:pPr>
    </w:p>
    <w:p>
      <w:pPr>
        <w:spacing w:line="520" w:lineRule="exact"/>
        <w:jc w:val="center"/>
        <w:rPr>
          <w:rFonts w:hint="eastAsia" w:ascii="仿宋" w:hAnsi="仿宋" w:eastAsia="仿宋" w:cs="仿宋"/>
          <w:b/>
          <w:bCs/>
          <w:color w:val="auto"/>
          <w:sz w:val="32"/>
          <w:szCs w:val="36"/>
          <w:highlight w:val="none"/>
        </w:rPr>
      </w:pPr>
    </w:p>
    <w:p>
      <w:pPr>
        <w:spacing w:line="520" w:lineRule="exact"/>
        <w:jc w:val="center"/>
        <w:rPr>
          <w:rFonts w:hint="eastAsia" w:ascii="仿宋" w:hAnsi="仿宋" w:eastAsia="仿宋" w:cs="仿宋"/>
          <w:b/>
          <w:bCs/>
          <w:color w:val="auto"/>
          <w:sz w:val="32"/>
          <w:szCs w:val="36"/>
          <w:highlight w:val="none"/>
        </w:rPr>
      </w:pPr>
      <w:r>
        <w:rPr>
          <w:rFonts w:hint="eastAsia" w:ascii="仿宋" w:hAnsi="仿宋" w:eastAsia="仿宋" w:cs="仿宋"/>
          <w:b/>
          <w:bCs/>
          <w:color w:val="auto"/>
          <w:sz w:val="32"/>
          <w:szCs w:val="36"/>
          <w:highlight w:val="none"/>
        </w:rPr>
        <w:t>残疾人福利性单位声明函</w:t>
      </w:r>
    </w:p>
    <w:p>
      <w:pPr>
        <w:spacing w:line="520" w:lineRule="exact"/>
        <w:rPr>
          <w:rFonts w:hint="eastAsia" w:ascii="仿宋" w:hAnsi="仿宋" w:eastAsia="仿宋" w:cs="仿宋"/>
          <w:color w:val="auto"/>
          <w:sz w:val="24"/>
          <w:szCs w:val="28"/>
          <w:highlight w:val="none"/>
        </w:rPr>
      </w:pPr>
    </w:p>
    <w:p>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单位的</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项目采购活动提供本单位制造的货物（由本单位承担工程/提供服务），或者提供其他残疾人福利性单位制造的货物（不包括使用非残疾人福利性单位注册商标的货物）。</w:t>
      </w:r>
    </w:p>
    <w:p>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本单位对上述声明的真实性负责。如有虚假，将依法承担相应责任。</w:t>
      </w:r>
    </w:p>
    <w:p>
      <w:pPr>
        <w:pStyle w:val="12"/>
        <w:rPr>
          <w:rFonts w:hint="eastAsia" w:ascii="仿宋" w:hAnsi="仿宋" w:eastAsia="仿宋" w:cs="仿宋"/>
          <w:color w:val="auto"/>
          <w:highlight w:val="none"/>
        </w:rPr>
      </w:pPr>
    </w:p>
    <w:p>
      <w:pPr>
        <w:spacing w:line="480" w:lineRule="auto"/>
        <w:ind w:firstLine="283" w:firstLineChars="118"/>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pPr>
        <w:spacing w:line="480" w:lineRule="auto"/>
        <w:ind w:firstLine="283" w:firstLineChars="118"/>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pPr>
        <w:spacing w:line="48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widowControl/>
        <w:spacing w:line="360" w:lineRule="auto"/>
        <w:ind w:firstLine="429" w:firstLineChars="195"/>
        <w:rPr>
          <w:rFonts w:hint="eastAsia" w:ascii="仿宋" w:hAnsi="仿宋" w:eastAsia="仿宋" w:cs="仿宋"/>
          <w:color w:val="auto"/>
          <w:sz w:val="22"/>
          <w:highlight w:val="none"/>
        </w:rPr>
      </w:pPr>
    </w:p>
    <w:p>
      <w:pPr>
        <w:widowControl/>
        <w:rPr>
          <w:rFonts w:hint="eastAsia" w:ascii="仿宋" w:hAnsi="仿宋" w:eastAsia="仿宋" w:cs="仿宋"/>
          <w:color w:val="auto"/>
          <w:sz w:val="22"/>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pStyle w:val="4"/>
        <w:spacing w:line="480" w:lineRule="auto"/>
        <w:jc w:val="center"/>
        <w:rPr>
          <w:rFonts w:hint="eastAsia" w:ascii="仿宋" w:hAnsi="仿宋" w:eastAsia="仿宋" w:cs="仿宋"/>
          <w:color w:val="auto"/>
          <w:spacing w:val="0"/>
          <w:sz w:val="28"/>
          <w:szCs w:val="21"/>
          <w:highlight w:val="none"/>
        </w:rPr>
      </w:pPr>
      <w:r>
        <w:rPr>
          <w:rFonts w:hint="eastAsia" w:ascii="仿宋" w:hAnsi="仿宋" w:eastAsia="仿宋" w:cs="仿宋"/>
          <w:color w:val="auto"/>
          <w:spacing w:val="0"/>
          <w:sz w:val="28"/>
          <w:szCs w:val="21"/>
          <w:highlight w:val="none"/>
        </w:rPr>
        <w:t>格式十</w:t>
      </w:r>
      <w:r>
        <w:rPr>
          <w:rFonts w:hint="eastAsia" w:ascii="仿宋" w:hAnsi="仿宋" w:eastAsia="仿宋" w:cs="仿宋"/>
          <w:color w:val="auto"/>
          <w:spacing w:val="0"/>
          <w:sz w:val="28"/>
          <w:szCs w:val="21"/>
          <w:highlight w:val="none"/>
          <w:lang w:val="en-US" w:eastAsia="zh-CN"/>
        </w:rPr>
        <w:t>三</w:t>
      </w:r>
      <w:r>
        <w:rPr>
          <w:rFonts w:hint="eastAsia" w:ascii="仿宋" w:hAnsi="仿宋" w:eastAsia="仿宋" w:cs="仿宋"/>
          <w:color w:val="auto"/>
          <w:spacing w:val="0"/>
          <w:sz w:val="28"/>
          <w:szCs w:val="21"/>
          <w:highlight w:val="none"/>
        </w:rPr>
        <w:t>：构成投标文件的其他资料</w:t>
      </w:r>
    </w:p>
    <w:p>
      <w:pPr>
        <w:pStyle w:val="9"/>
        <w:ind w:firstLine="400"/>
        <w:rPr>
          <w:rFonts w:hint="eastAsia" w:ascii="仿宋" w:hAnsi="仿宋" w:eastAsia="仿宋" w:cs="仿宋"/>
          <w:color w:val="auto"/>
          <w:sz w:val="20"/>
          <w:szCs w:val="21"/>
          <w:highlight w:val="none"/>
        </w:rPr>
      </w:pPr>
    </w:p>
    <w:p>
      <w:pPr>
        <w:pStyle w:val="9"/>
        <w:ind w:firstLine="400"/>
        <w:rPr>
          <w:rFonts w:hint="eastAsia" w:ascii="仿宋" w:hAnsi="仿宋" w:eastAsia="仿宋" w:cs="仿宋"/>
          <w:color w:val="auto"/>
          <w:sz w:val="20"/>
          <w:szCs w:val="21"/>
          <w:highlight w:val="none"/>
        </w:rPr>
      </w:pPr>
    </w:p>
    <w:p>
      <w:pPr>
        <w:pStyle w:val="9"/>
        <w:ind w:firstLine="400"/>
        <w:rPr>
          <w:rFonts w:hint="eastAsia" w:ascii="仿宋" w:hAnsi="仿宋" w:eastAsia="仿宋" w:cs="仿宋"/>
          <w:color w:val="auto"/>
          <w:sz w:val="20"/>
          <w:szCs w:val="21"/>
          <w:highlight w:val="none"/>
        </w:rPr>
      </w:pPr>
    </w:p>
    <w:p>
      <w:pPr>
        <w:pStyle w:val="9"/>
        <w:ind w:firstLine="400"/>
        <w:rPr>
          <w:rFonts w:hint="eastAsia" w:ascii="仿宋" w:hAnsi="仿宋" w:eastAsia="仿宋" w:cs="仿宋"/>
          <w:color w:val="auto"/>
          <w:sz w:val="20"/>
          <w:szCs w:val="21"/>
          <w:highlight w:val="none"/>
        </w:rPr>
      </w:pPr>
    </w:p>
    <w:p>
      <w:pPr>
        <w:adjustRightInd w:val="0"/>
        <w:snapToGrid w:val="0"/>
        <w:spacing w:line="360" w:lineRule="auto"/>
        <w:ind w:firstLine="525" w:firstLineChars="25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说明：1、招标文件要求的其他资格证明材料，</w:t>
      </w:r>
    </w:p>
    <w:p>
      <w:pPr>
        <w:adjustRightInd w:val="0"/>
        <w:snapToGrid w:val="0"/>
        <w:spacing w:line="360" w:lineRule="auto"/>
        <w:ind w:firstLine="525" w:firstLineChars="250"/>
        <w:jc w:val="center"/>
        <w:rPr>
          <w:rFonts w:hint="eastAsia" w:ascii="仿宋" w:hAnsi="仿宋" w:eastAsia="仿宋" w:cs="仿宋"/>
          <w:bCs/>
          <w:color w:val="auto"/>
          <w:szCs w:val="21"/>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bCs/>
          <w:color w:val="auto"/>
          <w:szCs w:val="21"/>
          <w:highlight w:val="none"/>
        </w:rPr>
        <w:t xml:space="preserve">    2、</w:t>
      </w:r>
      <w:r>
        <w:rPr>
          <w:rFonts w:hint="eastAsia" w:ascii="仿宋" w:hAnsi="仿宋" w:eastAsia="仿宋" w:cs="仿宋"/>
          <w:bCs/>
          <w:color w:val="auto"/>
          <w:szCs w:val="21"/>
          <w:highlight w:val="none"/>
          <w:lang w:val="en-US" w:eastAsia="zh-CN"/>
        </w:rPr>
        <w:t>投标人</w:t>
      </w:r>
      <w:r>
        <w:rPr>
          <w:rFonts w:hint="eastAsia" w:ascii="仿宋" w:hAnsi="仿宋" w:eastAsia="仿宋" w:cs="仿宋"/>
          <w:bCs/>
          <w:color w:val="auto"/>
          <w:szCs w:val="21"/>
          <w:highlight w:val="none"/>
        </w:rPr>
        <w:t>认为有必要补充说明的事项。</w:t>
      </w:r>
    </w:p>
    <w:p>
      <w:pPr>
        <w:pStyle w:val="3"/>
        <w:rPr>
          <w:rFonts w:hint="eastAsia" w:ascii="仿宋" w:hAnsi="仿宋" w:eastAsia="仿宋" w:cs="仿宋"/>
          <w:color w:val="auto"/>
          <w:sz w:val="40"/>
          <w:szCs w:val="40"/>
          <w:highlight w:val="none"/>
        </w:rPr>
      </w:pPr>
      <w:bookmarkStart w:id="115" w:name="_Toc14154"/>
      <w:r>
        <w:rPr>
          <w:rFonts w:hint="eastAsia" w:ascii="仿宋" w:hAnsi="仿宋" w:eastAsia="仿宋" w:cs="仿宋"/>
          <w:color w:val="auto"/>
          <w:sz w:val="40"/>
          <w:szCs w:val="40"/>
          <w:highlight w:val="none"/>
        </w:rPr>
        <w:t>第七章 与投标有关的其他事项说明</w:t>
      </w:r>
      <w:bookmarkEnd w:id="115"/>
    </w:p>
    <w:p>
      <w:pPr>
        <w:rPr>
          <w:rFonts w:hint="eastAsia" w:ascii="仿宋" w:hAnsi="仿宋" w:eastAsia="仿宋" w:cs="仿宋"/>
          <w:color w:val="auto"/>
          <w:sz w:val="20"/>
          <w:szCs w:val="21"/>
          <w:highlight w:val="none"/>
        </w:rPr>
      </w:pPr>
    </w:p>
    <w:p>
      <w:pPr>
        <w:spacing w:before="120" w:beforeLines="50" w:line="360" w:lineRule="auto"/>
        <w:ind w:firstLine="440" w:firstLineChars="200"/>
        <w:rPr>
          <w:rFonts w:hint="eastAsia" w:ascii="仿宋" w:hAnsi="仿宋" w:eastAsia="仿宋" w:cs="仿宋"/>
          <w:color w:val="auto"/>
          <w:sz w:val="22"/>
          <w:szCs w:val="21"/>
          <w:highlight w:val="none"/>
        </w:rPr>
      </w:pPr>
      <w:r>
        <w:rPr>
          <w:rFonts w:hint="eastAsia" w:ascii="仿宋" w:hAnsi="仿宋" w:eastAsia="仿宋" w:cs="仿宋"/>
          <w:color w:val="auto"/>
          <w:sz w:val="22"/>
          <w:szCs w:val="21"/>
          <w:highlight w:val="none"/>
        </w:rPr>
        <w:t>招标答疑、补遗、质疑等将采用网上公告、传真或者电子邮件（扫描件）等方式发布，投标人在收到相关文件后，需在24小时内书面回复，否则视为已收阅。回复采用传真或电子邮件（扫描件）或专人送达等方式，采用电子邮件回复的，回复后应电话告知</w:t>
      </w:r>
      <w:r>
        <w:rPr>
          <w:rFonts w:hint="eastAsia" w:ascii="仿宋" w:hAnsi="仿宋" w:eastAsia="仿宋" w:cs="仿宋"/>
          <w:color w:val="auto"/>
          <w:sz w:val="22"/>
          <w:szCs w:val="21"/>
          <w:highlight w:val="none"/>
          <w:lang w:eastAsia="zh-CN"/>
        </w:rPr>
        <w:t>招标</w:t>
      </w:r>
      <w:r>
        <w:rPr>
          <w:rFonts w:hint="eastAsia" w:ascii="仿宋" w:hAnsi="仿宋" w:eastAsia="仿宋" w:cs="仿宋"/>
          <w:color w:val="auto"/>
          <w:sz w:val="22"/>
          <w:szCs w:val="21"/>
          <w:highlight w:val="none"/>
        </w:rPr>
        <w:t>代理机构。回复文件格式如下：</w:t>
      </w:r>
    </w:p>
    <w:p>
      <w:pPr>
        <w:spacing w:before="120" w:beforeLines="50" w:line="360" w:lineRule="auto"/>
        <w:ind w:firstLine="400" w:firstLineChars="200"/>
        <w:rPr>
          <w:rFonts w:hint="eastAsia" w:ascii="仿宋" w:hAnsi="仿宋" w:eastAsia="仿宋" w:cs="仿宋"/>
          <w:color w:val="auto"/>
          <w:sz w:val="22"/>
          <w:szCs w:val="21"/>
          <w:highlight w:val="none"/>
        </w:rPr>
      </w:pPr>
      <w:r>
        <w:rPr>
          <w:rFonts w:hint="eastAsia" w:ascii="仿宋" w:hAnsi="仿宋" w:eastAsia="仿宋" w:cs="仿宋"/>
          <w:color w:val="auto"/>
          <w:sz w:val="20"/>
          <w:szCs w:val="21"/>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82550</wp:posOffset>
                </wp:positionV>
                <wp:extent cx="6271895" cy="2745105"/>
                <wp:effectExtent l="4445" t="4445" r="10160" b="6350"/>
                <wp:wrapNone/>
                <wp:docPr id="4" name="文本框 3"/>
                <wp:cNvGraphicFramePr/>
                <a:graphic xmlns:a="http://schemas.openxmlformats.org/drawingml/2006/main">
                  <a:graphicData uri="http://schemas.microsoft.com/office/word/2010/wordprocessingShape">
                    <wps:wsp>
                      <wps:cNvSpPr txBox="1"/>
                      <wps:spPr>
                        <a:xfrm>
                          <a:off x="0" y="0"/>
                          <a:ext cx="6271895" cy="27451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cs="仿宋"/>
                                <w:b/>
                                <w:bCs/>
                                <w:sz w:val="36"/>
                                <w:szCs w:val="36"/>
                              </w:rPr>
                            </w:pPr>
                            <w:r>
                              <w:rPr>
                                <w:rFonts w:hint="eastAsia" w:ascii="仿宋" w:hAnsi="仿宋" w:eastAsia="仿宋" w:cs="仿宋"/>
                                <w:b/>
                                <w:bCs/>
                                <w:sz w:val="36"/>
                                <w:szCs w:val="36"/>
                              </w:rPr>
                              <w:t>文件签收函</w:t>
                            </w:r>
                          </w:p>
                          <w:p>
                            <w:pPr>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云南兴语招标有限公司</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贵公司所发</w:t>
                            </w:r>
                            <w:r>
                              <w:rPr>
                                <w:rFonts w:hint="eastAsia" w:ascii="仿宋" w:hAnsi="仿宋" w:eastAsia="仿宋" w:cs="仿宋"/>
                                <w:sz w:val="24"/>
                                <w:szCs w:val="24"/>
                                <w:u w:val="single"/>
                              </w:rPr>
                              <w:t>（项目名称、项目编号）</w:t>
                            </w:r>
                            <w:r>
                              <w:rPr>
                                <w:rFonts w:hint="eastAsia" w:ascii="仿宋" w:hAnsi="仿宋" w:eastAsia="仿宋" w:cs="仿宋"/>
                                <w:sz w:val="24"/>
                                <w:szCs w:val="24"/>
                              </w:rPr>
                              <w:t>项目的</w:t>
                            </w:r>
                            <w:r>
                              <w:rPr>
                                <w:rFonts w:hint="eastAsia" w:ascii="仿宋" w:hAnsi="仿宋" w:eastAsia="仿宋" w:cs="仿宋"/>
                                <w:sz w:val="24"/>
                                <w:szCs w:val="24"/>
                                <w:u w:val="single"/>
                              </w:rPr>
                              <w:t>（招标答疑、补遗、质疑回函）</w:t>
                            </w:r>
                            <w:r>
                              <w:rPr>
                                <w:rFonts w:hint="eastAsia" w:ascii="仿宋" w:hAnsi="仿宋" w:eastAsia="仿宋" w:cs="仿宋"/>
                                <w:sz w:val="24"/>
                                <w:szCs w:val="24"/>
                              </w:rPr>
                              <w:t>文件，我公司已收阅。</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投标人名称：（盖章）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法定代表人或授权代理人（签字或盖章）：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日期：</w:t>
                            </w:r>
                          </w:p>
                        </w:txbxContent>
                      </wps:txbx>
                      <wps:bodyPr wrap="square" anchor="t" upright="1"/>
                    </wps:wsp>
                  </a:graphicData>
                </a:graphic>
              </wp:anchor>
            </w:drawing>
          </mc:Choice>
          <mc:Fallback>
            <w:pict>
              <v:shape id="文本框 3" o:spid="_x0000_s1026" o:spt="202" type="#_x0000_t202" style="position:absolute;left:0pt;margin-left:-5.25pt;margin-top:6.5pt;height:216.15pt;width:493.85pt;z-index:251659264;mso-width-relative:page;mso-height-relative:page;" fillcolor="#FFFFFF" filled="t" stroked="t" coordsize="21600,21600" o:gfxdata="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C35XhtoAAAAKAQAADwAAAAAAAAABACAAAAAiAAAAZHJzL2Rvd25yZXYueG1sUEsBAhQAFAAAAAgA&#10;h07iQCbRrEgjAgAAXgQAAA4AAAAAAAAAAQAgAAAAKQEAAGRycy9lMm9Eb2MueG1sUEsFBgAAAAAG&#10;AAYAWQEAAL4FAAAAAA==&#10;">
                <v:fill on="t" focussize="0,0"/>
                <v:stroke color="#000000" joinstyle="miter"/>
                <v:imagedata o:title=""/>
                <o:lock v:ext="edit" aspectratio="f"/>
                <v:textbox>
                  <w:txbxContent>
                    <w:p>
                      <w:pPr>
                        <w:jc w:val="center"/>
                        <w:rPr>
                          <w:rFonts w:hint="eastAsia" w:ascii="仿宋" w:hAnsi="仿宋" w:eastAsia="仿宋" w:cs="仿宋"/>
                          <w:b/>
                          <w:bCs/>
                          <w:sz w:val="36"/>
                          <w:szCs w:val="36"/>
                        </w:rPr>
                      </w:pPr>
                      <w:r>
                        <w:rPr>
                          <w:rFonts w:hint="eastAsia" w:ascii="仿宋" w:hAnsi="仿宋" w:eastAsia="仿宋" w:cs="仿宋"/>
                          <w:b/>
                          <w:bCs/>
                          <w:sz w:val="36"/>
                          <w:szCs w:val="36"/>
                        </w:rPr>
                        <w:t>文件签收函</w:t>
                      </w:r>
                    </w:p>
                    <w:p>
                      <w:pPr>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云南兴语招标有限公司</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贵公司所发</w:t>
                      </w:r>
                      <w:r>
                        <w:rPr>
                          <w:rFonts w:hint="eastAsia" w:ascii="仿宋" w:hAnsi="仿宋" w:eastAsia="仿宋" w:cs="仿宋"/>
                          <w:sz w:val="24"/>
                          <w:szCs w:val="24"/>
                          <w:u w:val="single"/>
                        </w:rPr>
                        <w:t>（项目名称、项目编号）</w:t>
                      </w:r>
                      <w:r>
                        <w:rPr>
                          <w:rFonts w:hint="eastAsia" w:ascii="仿宋" w:hAnsi="仿宋" w:eastAsia="仿宋" w:cs="仿宋"/>
                          <w:sz w:val="24"/>
                          <w:szCs w:val="24"/>
                        </w:rPr>
                        <w:t>项目的</w:t>
                      </w:r>
                      <w:r>
                        <w:rPr>
                          <w:rFonts w:hint="eastAsia" w:ascii="仿宋" w:hAnsi="仿宋" w:eastAsia="仿宋" w:cs="仿宋"/>
                          <w:sz w:val="24"/>
                          <w:szCs w:val="24"/>
                          <w:u w:val="single"/>
                        </w:rPr>
                        <w:t>（招标答疑、补遗、质疑回函）</w:t>
                      </w:r>
                      <w:r>
                        <w:rPr>
                          <w:rFonts w:hint="eastAsia" w:ascii="仿宋" w:hAnsi="仿宋" w:eastAsia="仿宋" w:cs="仿宋"/>
                          <w:sz w:val="24"/>
                          <w:szCs w:val="24"/>
                        </w:rPr>
                        <w:t>文件，我公司已收阅。</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投标人名称：（盖章）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法定代表人或授权代理人（签字或盖章）：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日期：</w:t>
                      </w:r>
                    </w:p>
                  </w:txbxContent>
                </v:textbox>
              </v:shape>
            </w:pict>
          </mc:Fallback>
        </mc:AlternateContent>
      </w:r>
    </w:p>
    <w:p>
      <w:pPr>
        <w:spacing w:before="120" w:beforeLines="50" w:line="360" w:lineRule="auto"/>
        <w:ind w:firstLine="440" w:firstLineChars="200"/>
        <w:rPr>
          <w:rFonts w:hint="eastAsia" w:ascii="仿宋" w:hAnsi="仿宋" w:eastAsia="仿宋" w:cs="仿宋"/>
          <w:color w:val="auto"/>
          <w:sz w:val="22"/>
          <w:szCs w:val="21"/>
          <w:highlight w:val="none"/>
        </w:rPr>
      </w:pPr>
    </w:p>
    <w:p>
      <w:pPr>
        <w:spacing w:before="120" w:beforeLines="50" w:line="360" w:lineRule="auto"/>
        <w:ind w:firstLine="440" w:firstLineChars="200"/>
        <w:rPr>
          <w:rFonts w:hint="eastAsia" w:ascii="仿宋" w:hAnsi="仿宋" w:eastAsia="仿宋" w:cs="仿宋"/>
          <w:color w:val="auto"/>
          <w:sz w:val="22"/>
          <w:szCs w:val="21"/>
          <w:highlight w:val="none"/>
        </w:rPr>
      </w:pPr>
    </w:p>
    <w:p>
      <w:pPr>
        <w:spacing w:before="120" w:beforeLines="50" w:line="360" w:lineRule="auto"/>
        <w:ind w:firstLine="440" w:firstLineChars="200"/>
        <w:rPr>
          <w:rFonts w:hint="eastAsia" w:ascii="仿宋" w:hAnsi="仿宋" w:eastAsia="仿宋" w:cs="仿宋"/>
          <w:color w:val="auto"/>
          <w:sz w:val="22"/>
          <w:szCs w:val="21"/>
          <w:highlight w:val="none"/>
        </w:rPr>
      </w:pPr>
    </w:p>
    <w:p>
      <w:pPr>
        <w:spacing w:before="120" w:beforeLines="50" w:line="360" w:lineRule="auto"/>
        <w:ind w:firstLine="440" w:firstLineChars="200"/>
        <w:rPr>
          <w:rFonts w:hint="eastAsia" w:ascii="仿宋" w:hAnsi="仿宋" w:eastAsia="仿宋" w:cs="仿宋"/>
          <w:color w:val="auto"/>
          <w:sz w:val="22"/>
          <w:szCs w:val="21"/>
          <w:highlight w:val="none"/>
        </w:rPr>
      </w:pPr>
    </w:p>
    <w:p>
      <w:pPr>
        <w:spacing w:before="120" w:beforeLines="50" w:line="360" w:lineRule="auto"/>
        <w:ind w:firstLine="440" w:firstLineChars="200"/>
        <w:rPr>
          <w:rFonts w:hint="eastAsia" w:ascii="仿宋" w:hAnsi="仿宋" w:eastAsia="仿宋" w:cs="仿宋"/>
          <w:color w:val="auto"/>
          <w:sz w:val="22"/>
          <w:szCs w:val="21"/>
          <w:highlight w:val="none"/>
        </w:rPr>
      </w:pPr>
    </w:p>
    <w:p>
      <w:pPr>
        <w:spacing w:before="120" w:beforeLines="50" w:line="360" w:lineRule="auto"/>
        <w:ind w:firstLine="440" w:firstLineChars="200"/>
        <w:rPr>
          <w:rFonts w:hint="eastAsia" w:ascii="仿宋" w:hAnsi="仿宋" w:eastAsia="仿宋" w:cs="仿宋"/>
          <w:color w:val="auto"/>
          <w:sz w:val="22"/>
          <w:szCs w:val="21"/>
          <w:highlight w:val="none"/>
        </w:rPr>
      </w:pPr>
    </w:p>
    <w:p>
      <w:pPr>
        <w:spacing w:before="120" w:beforeLines="50" w:line="360" w:lineRule="auto"/>
        <w:ind w:firstLine="440" w:firstLineChars="200"/>
        <w:rPr>
          <w:rFonts w:hint="eastAsia" w:ascii="仿宋" w:hAnsi="仿宋" w:eastAsia="仿宋" w:cs="仿宋"/>
          <w:color w:val="auto"/>
          <w:sz w:val="22"/>
          <w:szCs w:val="21"/>
          <w:highlight w:val="none"/>
        </w:rPr>
      </w:pPr>
    </w:p>
    <w:p>
      <w:pPr>
        <w:spacing w:before="120" w:beforeLines="50" w:line="360" w:lineRule="auto"/>
        <w:rPr>
          <w:rFonts w:hint="eastAsia" w:ascii="仿宋" w:hAnsi="仿宋" w:eastAsia="仿宋" w:cs="仿宋"/>
          <w:color w:val="auto"/>
          <w:sz w:val="22"/>
          <w:szCs w:val="21"/>
          <w:highlight w:val="none"/>
        </w:rPr>
      </w:pPr>
    </w:p>
    <w:p>
      <w:pPr>
        <w:rPr>
          <w:rFonts w:hint="eastAsia" w:ascii="仿宋" w:hAnsi="仿宋" w:eastAsia="仿宋" w:cs="仿宋"/>
          <w:color w:val="auto"/>
          <w:sz w:val="20"/>
          <w:szCs w:val="21"/>
          <w:highlight w:val="none"/>
        </w:rPr>
      </w:pPr>
    </w:p>
    <w:p>
      <w:pPr>
        <w:rPr>
          <w:rFonts w:hint="eastAsia" w:ascii="仿宋" w:hAnsi="仿宋" w:eastAsia="仿宋" w:cs="仿宋"/>
          <w:color w:val="auto"/>
          <w:sz w:val="20"/>
          <w:szCs w:val="21"/>
          <w:highlight w:val="none"/>
        </w:rPr>
      </w:pPr>
    </w:p>
    <w:sectPr>
      <w:pgSz w:w="11907" w:h="16840"/>
      <w:pgMar w:top="1440" w:right="1080" w:bottom="1440" w:left="1080" w:header="992"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6078" w:y="-24"/>
      <w:jc w:val="center"/>
      <w:rPr>
        <w:rStyle w:val="28"/>
        <w:rFonts w:ascii="宋体"/>
        <w:sz w:val="21"/>
      </w:rPr>
    </w:pPr>
    <w:r>
      <w:rPr>
        <w:rFonts w:ascii="宋体" w:hAnsi="宋体"/>
        <w:sz w:val="21"/>
      </w:rPr>
      <w:fldChar w:fldCharType="begin"/>
    </w:r>
    <w:r>
      <w:rPr>
        <w:rStyle w:val="28"/>
        <w:rFonts w:ascii="宋体" w:hAnsi="宋体"/>
        <w:sz w:val="21"/>
      </w:rPr>
      <w:instrText xml:space="preserve">PAGE  </w:instrText>
    </w:r>
    <w:r>
      <w:rPr>
        <w:rFonts w:ascii="宋体" w:hAnsi="宋体"/>
        <w:sz w:val="21"/>
      </w:rPr>
      <w:fldChar w:fldCharType="separate"/>
    </w:r>
    <w:r>
      <w:rPr>
        <w:rStyle w:val="28"/>
        <w:rFonts w:ascii="宋体" w:hAnsi="宋体"/>
        <w:sz w:val="21"/>
      </w:rPr>
      <w:t>15</w:t>
    </w:r>
    <w:r>
      <w:rPr>
        <w:rFonts w:ascii="宋体" w:hAnsi="宋体"/>
        <w:sz w:val="21"/>
      </w:rPr>
      <w:fldChar w:fldCharType="end"/>
    </w:r>
  </w:p>
  <w:p>
    <w:pPr>
      <w:pStyle w:val="50"/>
      <w:tabs>
        <w:tab w:val="center" w:pos="4592"/>
        <w:tab w:val="right" w:pos="8925"/>
        <w:tab w:val="left" w:pos="937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fldChar w:fldCharType="begin"/>
    </w:r>
    <w:r>
      <w:rPr>
        <w:rStyle w:val="28"/>
      </w:rPr>
      <w:instrText xml:space="preserve">PAGE  </w:instrText>
    </w:r>
    <w:r>
      <w:fldChar w:fldCharType="separate"/>
    </w:r>
    <w:r>
      <w:rPr>
        <w:rStyle w:val="28"/>
      </w:rPr>
      <w:t>2</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tabs>
        <w:tab w:val="center" w:pos="4592"/>
        <w:tab w:val="right" w:pos="8925"/>
        <w:tab w:val="left" w:pos="937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-15875</wp:posOffset>
              </wp:positionV>
              <wp:extent cx="133985" cy="172720"/>
              <wp:effectExtent l="0" t="0" r="12065" b="11430"/>
              <wp:wrapNone/>
              <wp:docPr id="1" name="文本框 1"/>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w="6350">
                        <a:noFill/>
                      </a:ln>
                      <a:effectLst/>
                    </wps:spPr>
                    <wps:txbx>
                      <w:txbxContent>
                        <w:p>
                          <w:pPr>
                            <w:pStyle w:val="17"/>
                            <w:jc w:val="center"/>
                            <w:rPr>
                              <w:rStyle w:val="28"/>
                              <w:rFonts w:ascii="宋体"/>
                              <w:sz w:val="21"/>
                            </w:rPr>
                          </w:pPr>
                          <w:r>
                            <w:rPr>
                              <w:rFonts w:ascii="宋体" w:hAnsi="宋体"/>
                              <w:sz w:val="21"/>
                            </w:rPr>
                            <w:fldChar w:fldCharType="begin"/>
                          </w:r>
                          <w:r>
                            <w:rPr>
                              <w:rStyle w:val="28"/>
                              <w:rFonts w:ascii="宋体" w:hAnsi="宋体"/>
                              <w:sz w:val="21"/>
                            </w:rPr>
                            <w:instrText xml:space="preserve">PAGE  </w:instrText>
                          </w:r>
                          <w:r>
                            <w:rPr>
                              <w:rFonts w:ascii="宋体" w:hAnsi="宋体"/>
                              <w:sz w:val="21"/>
                            </w:rPr>
                            <w:fldChar w:fldCharType="separate"/>
                          </w:r>
                          <w:r>
                            <w:rPr>
                              <w:rStyle w:val="28"/>
                              <w:rFonts w:ascii="宋体" w:hAnsi="宋体"/>
                              <w:sz w:val="21"/>
                            </w:rPr>
                            <w:t>19</w:t>
                          </w:r>
                          <w:r>
                            <w:rPr>
                              <w:rFonts w:ascii="宋体" w:hAnsi="宋体"/>
                              <w:sz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5pt;height:13.6pt;width:10.55pt;mso-position-horizontal:center;mso-position-horizontal-relative:margin;mso-wrap-style:none;z-index:251659264;mso-width-relative:page;mso-height-relative:page;" filled="f" stroked="f" coordsize="21600,21600" o:gfxdata="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KF1z3UAAAABQEAAA8AAAAAAAAAAQAgAAAAIgAAAGRycy9kb3ducmV2Lnht&#10;bFBLAQIUABQAAAAIAIdO4kB3UnPhNgIAAGEEAAAOAAAAAAAAAAEAIAAAACMBAABkcnMvZTJvRG9j&#10;LnhtbFBLBQYAAAAABgAGAFkBAADLBQAAAAA=&#10;">
              <v:fill on="f" focussize="0,0"/>
              <v:stroke on="f" weight="0.5pt"/>
              <v:imagedata o:title=""/>
              <o:lock v:ext="edit" aspectratio="f"/>
              <v:textbox inset="0mm,0mm,0mm,0mm" style="mso-fit-shape-to-text:t;">
                <w:txbxContent>
                  <w:p>
                    <w:pPr>
                      <w:pStyle w:val="17"/>
                      <w:jc w:val="center"/>
                      <w:rPr>
                        <w:rStyle w:val="28"/>
                        <w:rFonts w:ascii="宋体"/>
                        <w:sz w:val="21"/>
                      </w:rPr>
                    </w:pPr>
                    <w:r>
                      <w:rPr>
                        <w:rFonts w:ascii="宋体" w:hAnsi="宋体"/>
                        <w:sz w:val="21"/>
                      </w:rPr>
                      <w:fldChar w:fldCharType="begin"/>
                    </w:r>
                    <w:r>
                      <w:rPr>
                        <w:rStyle w:val="28"/>
                        <w:rFonts w:ascii="宋体" w:hAnsi="宋体"/>
                        <w:sz w:val="21"/>
                      </w:rPr>
                      <w:instrText xml:space="preserve">PAGE  </w:instrText>
                    </w:r>
                    <w:r>
                      <w:rPr>
                        <w:rFonts w:ascii="宋体" w:hAnsi="宋体"/>
                        <w:sz w:val="21"/>
                      </w:rPr>
                      <w:fldChar w:fldCharType="separate"/>
                    </w:r>
                    <w:r>
                      <w:rPr>
                        <w:rStyle w:val="28"/>
                        <w:rFonts w:ascii="宋体" w:hAnsi="宋体"/>
                        <w:sz w:val="21"/>
                      </w:rPr>
                      <w:t>19</w:t>
                    </w:r>
                    <w:r>
                      <w:rPr>
                        <w:rFonts w:ascii="宋体" w:hAnsi="宋体"/>
                        <w:sz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6078" w:y="-24"/>
      <w:jc w:val="center"/>
      <w:rPr>
        <w:rStyle w:val="28"/>
        <w:rFonts w:ascii="宋体"/>
        <w:sz w:val="21"/>
      </w:rPr>
    </w:pPr>
    <w:r>
      <w:rPr>
        <w:rFonts w:ascii="宋体" w:hAnsi="宋体"/>
        <w:sz w:val="21"/>
      </w:rPr>
      <w:fldChar w:fldCharType="begin"/>
    </w:r>
    <w:r>
      <w:rPr>
        <w:rStyle w:val="28"/>
        <w:rFonts w:ascii="宋体" w:hAnsi="宋体"/>
        <w:sz w:val="21"/>
      </w:rPr>
      <w:instrText xml:space="preserve">PAGE  </w:instrText>
    </w:r>
    <w:r>
      <w:rPr>
        <w:rFonts w:ascii="宋体" w:hAnsi="宋体"/>
        <w:sz w:val="21"/>
      </w:rPr>
      <w:fldChar w:fldCharType="separate"/>
    </w:r>
    <w:r>
      <w:rPr>
        <w:rStyle w:val="28"/>
        <w:rFonts w:ascii="宋体" w:hAnsi="宋体"/>
        <w:sz w:val="21"/>
      </w:rPr>
      <w:t>56</w:t>
    </w:r>
    <w:r>
      <w:rPr>
        <w:rFonts w:ascii="宋体" w:hAnsi="宋体"/>
        <w:sz w:val="21"/>
      </w:rPr>
      <w:fldChar w:fldCharType="end"/>
    </w:r>
  </w:p>
  <w:p>
    <w:pPr>
      <w:pStyle w:val="50"/>
      <w:tabs>
        <w:tab w:val="center" w:pos="4592"/>
        <w:tab w:val="right" w:pos="8925"/>
        <w:tab w:val="left" w:pos="937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0BFBA"/>
    <w:multiLevelType w:val="singleLevel"/>
    <w:tmpl w:val="AC50BFBA"/>
    <w:lvl w:ilvl="0" w:tentative="0">
      <w:start w:val="2"/>
      <w:numFmt w:val="decimal"/>
      <w:suff w:val="nothing"/>
      <w:lvlText w:val="%1、"/>
      <w:lvlJc w:val="left"/>
    </w:lvl>
  </w:abstractNum>
  <w:abstractNum w:abstractNumId="1">
    <w:nsid w:val="B48D1933"/>
    <w:multiLevelType w:val="singleLevel"/>
    <w:tmpl w:val="B48D1933"/>
    <w:lvl w:ilvl="0" w:tentative="0">
      <w:start w:val="1"/>
      <w:numFmt w:val="decimal"/>
      <w:suff w:val="nothing"/>
      <w:lvlText w:val="%1、"/>
      <w:lvlJc w:val="left"/>
    </w:lvl>
  </w:abstractNum>
  <w:abstractNum w:abstractNumId="2">
    <w:nsid w:val="BCDECF1C"/>
    <w:multiLevelType w:val="singleLevel"/>
    <w:tmpl w:val="BCDECF1C"/>
    <w:lvl w:ilvl="0" w:tentative="0">
      <w:start w:val="3"/>
      <w:numFmt w:val="chineseCounting"/>
      <w:suff w:val="space"/>
      <w:lvlText w:val="第%1章"/>
      <w:lvlJc w:val="left"/>
      <w:rPr>
        <w:rFonts w:hint="eastAsia"/>
      </w:rPr>
    </w:lvl>
  </w:abstractNum>
  <w:abstractNum w:abstractNumId="3">
    <w:nsid w:val="FFEC0233"/>
    <w:multiLevelType w:val="singleLevel"/>
    <w:tmpl w:val="FFEC0233"/>
    <w:lvl w:ilvl="0" w:tentative="0">
      <w:start w:val="1"/>
      <w:numFmt w:val="decimal"/>
      <w:suff w:val="nothing"/>
      <w:lvlText w:val="（%1）"/>
      <w:lvlJc w:val="left"/>
      <w:pPr>
        <w:ind w:left="120" w:firstLine="0"/>
      </w:pPr>
    </w:lvl>
  </w:abstractNum>
  <w:abstractNum w:abstractNumId="4">
    <w:nsid w:val="00000024"/>
    <w:multiLevelType w:val="multilevel"/>
    <w:tmpl w:val="00000024"/>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7078"/>
    <w:multiLevelType w:val="multilevel"/>
    <w:tmpl w:val="12657078"/>
    <w:lvl w:ilvl="0" w:tentative="0">
      <w:start w:val="0"/>
      <w:numFmt w:val="decimal"/>
      <w:lvlText w:val=""/>
      <w:lvlJc w:val="left"/>
    </w:lvl>
    <w:lvl w:ilvl="1" w:tentative="0">
      <w:start w:val="0"/>
      <w:numFmt w:val="decimal"/>
      <w:pStyle w:val="62"/>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D2E5139"/>
    <w:multiLevelType w:val="multilevel"/>
    <w:tmpl w:val="3D2E5139"/>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015358"/>
    <w:multiLevelType w:val="multilevel"/>
    <w:tmpl w:val="5501535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pStyle w:val="60"/>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CDA6911"/>
    <w:multiLevelType w:val="multilevel"/>
    <w:tmpl w:val="5CDA6911"/>
    <w:lvl w:ilvl="0" w:tentative="0">
      <w:start w:val="0"/>
      <w:numFmt w:val="decimal"/>
      <w:pStyle w:val="5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4E03705"/>
    <w:multiLevelType w:val="multilevel"/>
    <w:tmpl w:val="64E03705"/>
    <w:lvl w:ilvl="0" w:tentative="0">
      <w:start w:val="0"/>
      <w:numFmt w:val="decimal"/>
      <w:pStyle w:val="61"/>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7"/>
  </w:num>
  <w:num w:numId="3">
    <w:abstractNumId w:val="9"/>
  </w:num>
  <w:num w:numId="4">
    <w:abstractNumId w:val="5"/>
  </w:num>
  <w:num w:numId="5">
    <w:abstractNumId w:val="1"/>
  </w:num>
  <w:num w:numId="6">
    <w:abstractNumId w:val="2"/>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dit="readOnly" w:enforcement="1" w:cryptProviderType="rsaFull" w:cryptAlgorithmClass="hash" w:cryptAlgorithmType="typeAny" w:cryptAlgorithmSid="4" w:cryptSpinCount="0" w:hash="IuG9j4TlrfBze4Dn/VnKc4u+G3w=" w:salt="IRGwDG/I6YanZzmDK/1PyQ=="/>
  <w:defaultTabStop w:val="105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kNmJhZjgzN2MzNGJiYjJhM2I1MTg1ZmMxYmZmZDQifQ=="/>
  </w:docVars>
  <w:rsids>
    <w:rsidRoot w:val="007350E3"/>
    <w:rsid w:val="000005BA"/>
    <w:rsid w:val="0000111B"/>
    <w:rsid w:val="00003AAB"/>
    <w:rsid w:val="00003AED"/>
    <w:rsid w:val="00004A17"/>
    <w:rsid w:val="00006A34"/>
    <w:rsid w:val="0001006C"/>
    <w:rsid w:val="00010A15"/>
    <w:rsid w:val="00010FC8"/>
    <w:rsid w:val="00011254"/>
    <w:rsid w:val="00014BFE"/>
    <w:rsid w:val="000175EF"/>
    <w:rsid w:val="00017CF4"/>
    <w:rsid w:val="00020684"/>
    <w:rsid w:val="00020F6C"/>
    <w:rsid w:val="000217B8"/>
    <w:rsid w:val="00023B0F"/>
    <w:rsid w:val="000268C7"/>
    <w:rsid w:val="00027FAA"/>
    <w:rsid w:val="000300E3"/>
    <w:rsid w:val="00030A5D"/>
    <w:rsid w:val="00032762"/>
    <w:rsid w:val="000328FB"/>
    <w:rsid w:val="000376CF"/>
    <w:rsid w:val="00037D64"/>
    <w:rsid w:val="00040486"/>
    <w:rsid w:val="0004072B"/>
    <w:rsid w:val="0004399F"/>
    <w:rsid w:val="00043C5F"/>
    <w:rsid w:val="0004421D"/>
    <w:rsid w:val="00044913"/>
    <w:rsid w:val="00051FB6"/>
    <w:rsid w:val="00053F8B"/>
    <w:rsid w:val="00062043"/>
    <w:rsid w:val="00062FA3"/>
    <w:rsid w:val="0006374E"/>
    <w:rsid w:val="00064F8F"/>
    <w:rsid w:val="000708F5"/>
    <w:rsid w:val="00070C2A"/>
    <w:rsid w:val="00076323"/>
    <w:rsid w:val="000816A0"/>
    <w:rsid w:val="000830BD"/>
    <w:rsid w:val="000834A8"/>
    <w:rsid w:val="00083B79"/>
    <w:rsid w:val="00085A1A"/>
    <w:rsid w:val="0008628B"/>
    <w:rsid w:val="00086C29"/>
    <w:rsid w:val="00087686"/>
    <w:rsid w:val="00092114"/>
    <w:rsid w:val="000929A5"/>
    <w:rsid w:val="00092DCC"/>
    <w:rsid w:val="0009563A"/>
    <w:rsid w:val="00095ACF"/>
    <w:rsid w:val="00095D0E"/>
    <w:rsid w:val="00096727"/>
    <w:rsid w:val="00097103"/>
    <w:rsid w:val="000979F8"/>
    <w:rsid w:val="00097FF5"/>
    <w:rsid w:val="000A0BB7"/>
    <w:rsid w:val="000A494F"/>
    <w:rsid w:val="000A4BB3"/>
    <w:rsid w:val="000A4CE1"/>
    <w:rsid w:val="000A5A1A"/>
    <w:rsid w:val="000A6D7E"/>
    <w:rsid w:val="000B16EF"/>
    <w:rsid w:val="000B3F56"/>
    <w:rsid w:val="000B40CD"/>
    <w:rsid w:val="000B5006"/>
    <w:rsid w:val="000C1634"/>
    <w:rsid w:val="000C2B3C"/>
    <w:rsid w:val="000C2FD9"/>
    <w:rsid w:val="000C7C3E"/>
    <w:rsid w:val="000D003C"/>
    <w:rsid w:val="000D1E40"/>
    <w:rsid w:val="000D2325"/>
    <w:rsid w:val="000D401A"/>
    <w:rsid w:val="000D694B"/>
    <w:rsid w:val="000D6FC0"/>
    <w:rsid w:val="000D7C73"/>
    <w:rsid w:val="000E1306"/>
    <w:rsid w:val="000E13CE"/>
    <w:rsid w:val="000E1DD7"/>
    <w:rsid w:val="000E29BF"/>
    <w:rsid w:val="000E60B7"/>
    <w:rsid w:val="000E6C9B"/>
    <w:rsid w:val="000E7E71"/>
    <w:rsid w:val="000F0BD9"/>
    <w:rsid w:val="000F13F3"/>
    <w:rsid w:val="000F4D64"/>
    <w:rsid w:val="00101691"/>
    <w:rsid w:val="001033A6"/>
    <w:rsid w:val="00104B16"/>
    <w:rsid w:val="001054A0"/>
    <w:rsid w:val="0010612A"/>
    <w:rsid w:val="00106DA8"/>
    <w:rsid w:val="001125B8"/>
    <w:rsid w:val="00113319"/>
    <w:rsid w:val="00114F94"/>
    <w:rsid w:val="00116C89"/>
    <w:rsid w:val="00117D4C"/>
    <w:rsid w:val="00117F80"/>
    <w:rsid w:val="00120057"/>
    <w:rsid w:val="00123584"/>
    <w:rsid w:val="00123DE0"/>
    <w:rsid w:val="00125855"/>
    <w:rsid w:val="001264FC"/>
    <w:rsid w:val="00127733"/>
    <w:rsid w:val="0013035D"/>
    <w:rsid w:val="0013099D"/>
    <w:rsid w:val="001319CA"/>
    <w:rsid w:val="00131B84"/>
    <w:rsid w:val="00131DB5"/>
    <w:rsid w:val="001336C6"/>
    <w:rsid w:val="00133E8F"/>
    <w:rsid w:val="001347DF"/>
    <w:rsid w:val="00137442"/>
    <w:rsid w:val="00140A3B"/>
    <w:rsid w:val="001415EF"/>
    <w:rsid w:val="00142CA1"/>
    <w:rsid w:val="0014350E"/>
    <w:rsid w:val="00144FB4"/>
    <w:rsid w:val="00145C1A"/>
    <w:rsid w:val="00147830"/>
    <w:rsid w:val="00150035"/>
    <w:rsid w:val="00151AA1"/>
    <w:rsid w:val="00151FC9"/>
    <w:rsid w:val="001539F9"/>
    <w:rsid w:val="001573C4"/>
    <w:rsid w:val="00162D04"/>
    <w:rsid w:val="00163A09"/>
    <w:rsid w:val="00164838"/>
    <w:rsid w:val="00164A15"/>
    <w:rsid w:val="0016543C"/>
    <w:rsid w:val="0016563D"/>
    <w:rsid w:val="00166E3C"/>
    <w:rsid w:val="00167B04"/>
    <w:rsid w:val="0017365F"/>
    <w:rsid w:val="0017466D"/>
    <w:rsid w:val="0017560E"/>
    <w:rsid w:val="00177F59"/>
    <w:rsid w:val="00180B07"/>
    <w:rsid w:val="0018224C"/>
    <w:rsid w:val="0018226D"/>
    <w:rsid w:val="00183ECE"/>
    <w:rsid w:val="00184C28"/>
    <w:rsid w:val="0018534C"/>
    <w:rsid w:val="0018671F"/>
    <w:rsid w:val="001868BE"/>
    <w:rsid w:val="00187CE9"/>
    <w:rsid w:val="00195250"/>
    <w:rsid w:val="001A3A34"/>
    <w:rsid w:val="001A3D7E"/>
    <w:rsid w:val="001A4006"/>
    <w:rsid w:val="001A665F"/>
    <w:rsid w:val="001A6B30"/>
    <w:rsid w:val="001B1F8F"/>
    <w:rsid w:val="001B3292"/>
    <w:rsid w:val="001B78E7"/>
    <w:rsid w:val="001C2A9F"/>
    <w:rsid w:val="001C34BB"/>
    <w:rsid w:val="001C4E6E"/>
    <w:rsid w:val="001D0FDC"/>
    <w:rsid w:val="001D210E"/>
    <w:rsid w:val="001D2F3C"/>
    <w:rsid w:val="001D321C"/>
    <w:rsid w:val="001D43FA"/>
    <w:rsid w:val="001D6D98"/>
    <w:rsid w:val="001E0BC9"/>
    <w:rsid w:val="001E230D"/>
    <w:rsid w:val="001E4607"/>
    <w:rsid w:val="001E46C8"/>
    <w:rsid w:val="001E71CF"/>
    <w:rsid w:val="001F100C"/>
    <w:rsid w:val="001F3D23"/>
    <w:rsid w:val="001F4CCB"/>
    <w:rsid w:val="001F764C"/>
    <w:rsid w:val="0020034D"/>
    <w:rsid w:val="0020056E"/>
    <w:rsid w:val="002048C5"/>
    <w:rsid w:val="00204D8A"/>
    <w:rsid w:val="0021349E"/>
    <w:rsid w:val="00213FE8"/>
    <w:rsid w:val="0021579D"/>
    <w:rsid w:val="00220022"/>
    <w:rsid w:val="002203C8"/>
    <w:rsid w:val="00220AD9"/>
    <w:rsid w:val="00222BEB"/>
    <w:rsid w:val="00222E5A"/>
    <w:rsid w:val="002242B4"/>
    <w:rsid w:val="002277A5"/>
    <w:rsid w:val="00231165"/>
    <w:rsid w:val="00231B44"/>
    <w:rsid w:val="00231F54"/>
    <w:rsid w:val="00232AED"/>
    <w:rsid w:val="00237F64"/>
    <w:rsid w:val="00240227"/>
    <w:rsid w:val="0024042F"/>
    <w:rsid w:val="00241050"/>
    <w:rsid w:val="00241759"/>
    <w:rsid w:val="00242843"/>
    <w:rsid w:val="002431B6"/>
    <w:rsid w:val="00243FF7"/>
    <w:rsid w:val="00244BE7"/>
    <w:rsid w:val="00245D10"/>
    <w:rsid w:val="00245F3F"/>
    <w:rsid w:val="002473F6"/>
    <w:rsid w:val="00247437"/>
    <w:rsid w:val="00251ADC"/>
    <w:rsid w:val="00252EA6"/>
    <w:rsid w:val="00254B4B"/>
    <w:rsid w:val="00255C1B"/>
    <w:rsid w:val="002569F0"/>
    <w:rsid w:val="002571B0"/>
    <w:rsid w:val="00260A2C"/>
    <w:rsid w:val="00260A2E"/>
    <w:rsid w:val="00261C16"/>
    <w:rsid w:val="00262D6A"/>
    <w:rsid w:val="00265269"/>
    <w:rsid w:val="00270C68"/>
    <w:rsid w:val="00270CB6"/>
    <w:rsid w:val="00271D44"/>
    <w:rsid w:val="00274FBB"/>
    <w:rsid w:val="00277BFD"/>
    <w:rsid w:val="00280F9D"/>
    <w:rsid w:val="0028199A"/>
    <w:rsid w:val="002858D1"/>
    <w:rsid w:val="00285CBD"/>
    <w:rsid w:val="00286348"/>
    <w:rsid w:val="002878B2"/>
    <w:rsid w:val="002878D7"/>
    <w:rsid w:val="00292E4C"/>
    <w:rsid w:val="00297135"/>
    <w:rsid w:val="0029780C"/>
    <w:rsid w:val="002A053D"/>
    <w:rsid w:val="002A0D96"/>
    <w:rsid w:val="002A2F52"/>
    <w:rsid w:val="002A2FF9"/>
    <w:rsid w:val="002B0867"/>
    <w:rsid w:val="002B1E5F"/>
    <w:rsid w:val="002B4020"/>
    <w:rsid w:val="002B4777"/>
    <w:rsid w:val="002B4A97"/>
    <w:rsid w:val="002B57C2"/>
    <w:rsid w:val="002C07E6"/>
    <w:rsid w:val="002C1D61"/>
    <w:rsid w:val="002C1D88"/>
    <w:rsid w:val="002C5804"/>
    <w:rsid w:val="002D1A4B"/>
    <w:rsid w:val="002D2702"/>
    <w:rsid w:val="002D2DD3"/>
    <w:rsid w:val="002D503A"/>
    <w:rsid w:val="002D504E"/>
    <w:rsid w:val="002D5A96"/>
    <w:rsid w:val="002D5C07"/>
    <w:rsid w:val="002D6CA5"/>
    <w:rsid w:val="002D6CF8"/>
    <w:rsid w:val="002E1C49"/>
    <w:rsid w:val="002E2D5F"/>
    <w:rsid w:val="002E47D1"/>
    <w:rsid w:val="002E671B"/>
    <w:rsid w:val="002E771D"/>
    <w:rsid w:val="002F1953"/>
    <w:rsid w:val="002F1CA7"/>
    <w:rsid w:val="002F36FE"/>
    <w:rsid w:val="002F5AEF"/>
    <w:rsid w:val="002F5E08"/>
    <w:rsid w:val="002F5E5F"/>
    <w:rsid w:val="002F61BF"/>
    <w:rsid w:val="00303184"/>
    <w:rsid w:val="00303AC4"/>
    <w:rsid w:val="00305500"/>
    <w:rsid w:val="0030567F"/>
    <w:rsid w:val="00305FA0"/>
    <w:rsid w:val="0030792A"/>
    <w:rsid w:val="00307B5D"/>
    <w:rsid w:val="00310A54"/>
    <w:rsid w:val="00310D52"/>
    <w:rsid w:val="003133E1"/>
    <w:rsid w:val="00313A1F"/>
    <w:rsid w:val="00317C99"/>
    <w:rsid w:val="00322153"/>
    <w:rsid w:val="00331617"/>
    <w:rsid w:val="00332D75"/>
    <w:rsid w:val="00335129"/>
    <w:rsid w:val="00336274"/>
    <w:rsid w:val="00337DB5"/>
    <w:rsid w:val="0034098E"/>
    <w:rsid w:val="00343C69"/>
    <w:rsid w:val="00347FB1"/>
    <w:rsid w:val="0035011F"/>
    <w:rsid w:val="00352D3B"/>
    <w:rsid w:val="003531F5"/>
    <w:rsid w:val="003541E4"/>
    <w:rsid w:val="003541F6"/>
    <w:rsid w:val="00355333"/>
    <w:rsid w:val="00356C10"/>
    <w:rsid w:val="0036086D"/>
    <w:rsid w:val="00360C7A"/>
    <w:rsid w:val="00363730"/>
    <w:rsid w:val="0036487F"/>
    <w:rsid w:val="00365446"/>
    <w:rsid w:val="00366BB8"/>
    <w:rsid w:val="00366CED"/>
    <w:rsid w:val="003672ED"/>
    <w:rsid w:val="00367761"/>
    <w:rsid w:val="00367D13"/>
    <w:rsid w:val="00370B0A"/>
    <w:rsid w:val="0037140E"/>
    <w:rsid w:val="00371E54"/>
    <w:rsid w:val="00372408"/>
    <w:rsid w:val="00373700"/>
    <w:rsid w:val="00377BDD"/>
    <w:rsid w:val="003801BA"/>
    <w:rsid w:val="003831EE"/>
    <w:rsid w:val="00384942"/>
    <w:rsid w:val="00384DD1"/>
    <w:rsid w:val="0038597C"/>
    <w:rsid w:val="00385B95"/>
    <w:rsid w:val="0038676C"/>
    <w:rsid w:val="003908FB"/>
    <w:rsid w:val="0039177C"/>
    <w:rsid w:val="00392F1C"/>
    <w:rsid w:val="003967E2"/>
    <w:rsid w:val="003A3B10"/>
    <w:rsid w:val="003A61D2"/>
    <w:rsid w:val="003A67CD"/>
    <w:rsid w:val="003A67FD"/>
    <w:rsid w:val="003B105D"/>
    <w:rsid w:val="003B22CB"/>
    <w:rsid w:val="003B4116"/>
    <w:rsid w:val="003B5303"/>
    <w:rsid w:val="003B700E"/>
    <w:rsid w:val="003C029E"/>
    <w:rsid w:val="003C2A42"/>
    <w:rsid w:val="003C310B"/>
    <w:rsid w:val="003C4ECD"/>
    <w:rsid w:val="003C6B0E"/>
    <w:rsid w:val="003D02EC"/>
    <w:rsid w:val="003D162C"/>
    <w:rsid w:val="003D1FD5"/>
    <w:rsid w:val="003D4D40"/>
    <w:rsid w:val="003D5848"/>
    <w:rsid w:val="003D5F3F"/>
    <w:rsid w:val="003D691A"/>
    <w:rsid w:val="003D7D5F"/>
    <w:rsid w:val="003E0375"/>
    <w:rsid w:val="003E11AA"/>
    <w:rsid w:val="003E133C"/>
    <w:rsid w:val="003E1B54"/>
    <w:rsid w:val="003E2925"/>
    <w:rsid w:val="003E3846"/>
    <w:rsid w:val="003E4E90"/>
    <w:rsid w:val="003E63CC"/>
    <w:rsid w:val="003E6ABA"/>
    <w:rsid w:val="003F0406"/>
    <w:rsid w:val="003F0572"/>
    <w:rsid w:val="003F2795"/>
    <w:rsid w:val="003F2CDD"/>
    <w:rsid w:val="003F537E"/>
    <w:rsid w:val="003F6B20"/>
    <w:rsid w:val="00400F64"/>
    <w:rsid w:val="004030C0"/>
    <w:rsid w:val="00404C2C"/>
    <w:rsid w:val="00405722"/>
    <w:rsid w:val="0040590C"/>
    <w:rsid w:val="0040706B"/>
    <w:rsid w:val="00407E85"/>
    <w:rsid w:val="00411110"/>
    <w:rsid w:val="004132E8"/>
    <w:rsid w:val="00413EA9"/>
    <w:rsid w:val="00416CD2"/>
    <w:rsid w:val="00417F54"/>
    <w:rsid w:val="00423417"/>
    <w:rsid w:val="00423690"/>
    <w:rsid w:val="00426FB3"/>
    <w:rsid w:val="00430DF9"/>
    <w:rsid w:val="00433A06"/>
    <w:rsid w:val="00434682"/>
    <w:rsid w:val="004359A3"/>
    <w:rsid w:val="00437B1C"/>
    <w:rsid w:val="004416F9"/>
    <w:rsid w:val="00442C4F"/>
    <w:rsid w:val="00443006"/>
    <w:rsid w:val="0044591D"/>
    <w:rsid w:val="00445CFA"/>
    <w:rsid w:val="0045029B"/>
    <w:rsid w:val="00450543"/>
    <w:rsid w:val="00450E3B"/>
    <w:rsid w:val="0045365E"/>
    <w:rsid w:val="00453FB0"/>
    <w:rsid w:val="004543CB"/>
    <w:rsid w:val="00455E05"/>
    <w:rsid w:val="0045669D"/>
    <w:rsid w:val="004569CA"/>
    <w:rsid w:val="004619BB"/>
    <w:rsid w:val="00463C71"/>
    <w:rsid w:val="00464651"/>
    <w:rsid w:val="0047224A"/>
    <w:rsid w:val="004728A7"/>
    <w:rsid w:val="00473545"/>
    <w:rsid w:val="004751D2"/>
    <w:rsid w:val="00475410"/>
    <w:rsid w:val="00475960"/>
    <w:rsid w:val="004759CA"/>
    <w:rsid w:val="00480122"/>
    <w:rsid w:val="0048351E"/>
    <w:rsid w:val="00487498"/>
    <w:rsid w:val="00487801"/>
    <w:rsid w:val="00487E2F"/>
    <w:rsid w:val="00495C62"/>
    <w:rsid w:val="00495DED"/>
    <w:rsid w:val="00496B4C"/>
    <w:rsid w:val="004A1E69"/>
    <w:rsid w:val="004A31C1"/>
    <w:rsid w:val="004A3936"/>
    <w:rsid w:val="004A40C5"/>
    <w:rsid w:val="004A4C80"/>
    <w:rsid w:val="004B10ED"/>
    <w:rsid w:val="004B16B6"/>
    <w:rsid w:val="004B2FB6"/>
    <w:rsid w:val="004B3256"/>
    <w:rsid w:val="004B478A"/>
    <w:rsid w:val="004B6018"/>
    <w:rsid w:val="004B75A8"/>
    <w:rsid w:val="004C0DDD"/>
    <w:rsid w:val="004C14AB"/>
    <w:rsid w:val="004C150B"/>
    <w:rsid w:val="004C20B8"/>
    <w:rsid w:val="004C2BAB"/>
    <w:rsid w:val="004C55EF"/>
    <w:rsid w:val="004C5C09"/>
    <w:rsid w:val="004C6905"/>
    <w:rsid w:val="004C6C6F"/>
    <w:rsid w:val="004C7303"/>
    <w:rsid w:val="004D1DF6"/>
    <w:rsid w:val="004D1ECE"/>
    <w:rsid w:val="004D3C80"/>
    <w:rsid w:val="004D499B"/>
    <w:rsid w:val="004D6219"/>
    <w:rsid w:val="004D7E38"/>
    <w:rsid w:val="004E1AD3"/>
    <w:rsid w:val="004E2EDB"/>
    <w:rsid w:val="004E3299"/>
    <w:rsid w:val="004E3EC0"/>
    <w:rsid w:val="004E4D6D"/>
    <w:rsid w:val="004E4F16"/>
    <w:rsid w:val="004E677F"/>
    <w:rsid w:val="004E7827"/>
    <w:rsid w:val="004E7A55"/>
    <w:rsid w:val="004F27AF"/>
    <w:rsid w:val="004F4AC9"/>
    <w:rsid w:val="0050046C"/>
    <w:rsid w:val="00500C24"/>
    <w:rsid w:val="005022EE"/>
    <w:rsid w:val="005073C6"/>
    <w:rsid w:val="00511C82"/>
    <w:rsid w:val="00513FF0"/>
    <w:rsid w:val="00515859"/>
    <w:rsid w:val="00517198"/>
    <w:rsid w:val="00517E88"/>
    <w:rsid w:val="00522E95"/>
    <w:rsid w:val="00523BBB"/>
    <w:rsid w:val="005257D7"/>
    <w:rsid w:val="00526C01"/>
    <w:rsid w:val="0052773F"/>
    <w:rsid w:val="00531977"/>
    <w:rsid w:val="005329DA"/>
    <w:rsid w:val="005333BD"/>
    <w:rsid w:val="005345E5"/>
    <w:rsid w:val="0054301D"/>
    <w:rsid w:val="005432D0"/>
    <w:rsid w:val="005434F5"/>
    <w:rsid w:val="0054480F"/>
    <w:rsid w:val="0054522D"/>
    <w:rsid w:val="00545D8F"/>
    <w:rsid w:val="00546345"/>
    <w:rsid w:val="00551E07"/>
    <w:rsid w:val="00554CF1"/>
    <w:rsid w:val="0055671C"/>
    <w:rsid w:val="00556B94"/>
    <w:rsid w:val="005576B7"/>
    <w:rsid w:val="00557FAB"/>
    <w:rsid w:val="00562E7B"/>
    <w:rsid w:val="005639D0"/>
    <w:rsid w:val="00564141"/>
    <w:rsid w:val="005646B1"/>
    <w:rsid w:val="005659CA"/>
    <w:rsid w:val="00576008"/>
    <w:rsid w:val="00576166"/>
    <w:rsid w:val="0057626A"/>
    <w:rsid w:val="00576C90"/>
    <w:rsid w:val="0057798E"/>
    <w:rsid w:val="00583A46"/>
    <w:rsid w:val="00585FE4"/>
    <w:rsid w:val="005865BA"/>
    <w:rsid w:val="005866B2"/>
    <w:rsid w:val="00587A34"/>
    <w:rsid w:val="005909EA"/>
    <w:rsid w:val="00590D23"/>
    <w:rsid w:val="00592405"/>
    <w:rsid w:val="00594D23"/>
    <w:rsid w:val="00597A58"/>
    <w:rsid w:val="005A023F"/>
    <w:rsid w:val="005A2577"/>
    <w:rsid w:val="005A28B3"/>
    <w:rsid w:val="005A2981"/>
    <w:rsid w:val="005A2FE3"/>
    <w:rsid w:val="005A5BB5"/>
    <w:rsid w:val="005B2346"/>
    <w:rsid w:val="005B5928"/>
    <w:rsid w:val="005B6BD7"/>
    <w:rsid w:val="005C0327"/>
    <w:rsid w:val="005C2578"/>
    <w:rsid w:val="005C3EC1"/>
    <w:rsid w:val="005C47B7"/>
    <w:rsid w:val="005C4AB6"/>
    <w:rsid w:val="005C7BB4"/>
    <w:rsid w:val="005D3765"/>
    <w:rsid w:val="005D590B"/>
    <w:rsid w:val="005D5F2B"/>
    <w:rsid w:val="005D7CE1"/>
    <w:rsid w:val="005E1606"/>
    <w:rsid w:val="005E18EE"/>
    <w:rsid w:val="005E29CA"/>
    <w:rsid w:val="005E3E81"/>
    <w:rsid w:val="005E40DB"/>
    <w:rsid w:val="005E4DBF"/>
    <w:rsid w:val="005E567A"/>
    <w:rsid w:val="005E65EF"/>
    <w:rsid w:val="005E69FB"/>
    <w:rsid w:val="005F19CC"/>
    <w:rsid w:val="005F2B91"/>
    <w:rsid w:val="005F3509"/>
    <w:rsid w:val="005F3AFE"/>
    <w:rsid w:val="005F3F05"/>
    <w:rsid w:val="005F6347"/>
    <w:rsid w:val="005F6803"/>
    <w:rsid w:val="005F75A5"/>
    <w:rsid w:val="0060043D"/>
    <w:rsid w:val="0060210C"/>
    <w:rsid w:val="00602707"/>
    <w:rsid w:val="00603867"/>
    <w:rsid w:val="00604DEC"/>
    <w:rsid w:val="00604E31"/>
    <w:rsid w:val="006067F4"/>
    <w:rsid w:val="00606836"/>
    <w:rsid w:val="00610514"/>
    <w:rsid w:val="00611423"/>
    <w:rsid w:val="00621CB1"/>
    <w:rsid w:val="0062388E"/>
    <w:rsid w:val="006248A7"/>
    <w:rsid w:val="00627157"/>
    <w:rsid w:val="0062718E"/>
    <w:rsid w:val="00627928"/>
    <w:rsid w:val="00630051"/>
    <w:rsid w:val="00632402"/>
    <w:rsid w:val="006328B3"/>
    <w:rsid w:val="00632FF3"/>
    <w:rsid w:val="006330C3"/>
    <w:rsid w:val="0063410F"/>
    <w:rsid w:val="006364DA"/>
    <w:rsid w:val="00637900"/>
    <w:rsid w:val="00640B3D"/>
    <w:rsid w:val="00640F27"/>
    <w:rsid w:val="00645E89"/>
    <w:rsid w:val="006461FA"/>
    <w:rsid w:val="00646E1B"/>
    <w:rsid w:val="00652296"/>
    <w:rsid w:val="00652B78"/>
    <w:rsid w:val="00654404"/>
    <w:rsid w:val="00656405"/>
    <w:rsid w:val="0065650D"/>
    <w:rsid w:val="006570A6"/>
    <w:rsid w:val="006576DE"/>
    <w:rsid w:val="00657F55"/>
    <w:rsid w:val="0066077B"/>
    <w:rsid w:val="006612B4"/>
    <w:rsid w:val="00662418"/>
    <w:rsid w:val="00667A73"/>
    <w:rsid w:val="00667F07"/>
    <w:rsid w:val="006711BE"/>
    <w:rsid w:val="0067332D"/>
    <w:rsid w:val="00673BEB"/>
    <w:rsid w:val="00680499"/>
    <w:rsid w:val="00680DDE"/>
    <w:rsid w:val="00682BEE"/>
    <w:rsid w:val="0068317E"/>
    <w:rsid w:val="006852C5"/>
    <w:rsid w:val="006854BE"/>
    <w:rsid w:val="0068592F"/>
    <w:rsid w:val="00685C4D"/>
    <w:rsid w:val="00687069"/>
    <w:rsid w:val="006875AC"/>
    <w:rsid w:val="00691B5D"/>
    <w:rsid w:val="00692D9B"/>
    <w:rsid w:val="0069472E"/>
    <w:rsid w:val="00696EDD"/>
    <w:rsid w:val="00697A8C"/>
    <w:rsid w:val="00697EB9"/>
    <w:rsid w:val="006A09C1"/>
    <w:rsid w:val="006A22DC"/>
    <w:rsid w:val="006A40E4"/>
    <w:rsid w:val="006B006C"/>
    <w:rsid w:val="006B09BA"/>
    <w:rsid w:val="006B33A3"/>
    <w:rsid w:val="006B3BC5"/>
    <w:rsid w:val="006B472E"/>
    <w:rsid w:val="006B620D"/>
    <w:rsid w:val="006C0E47"/>
    <w:rsid w:val="006C170A"/>
    <w:rsid w:val="006C1871"/>
    <w:rsid w:val="006C58E7"/>
    <w:rsid w:val="006C6A9D"/>
    <w:rsid w:val="006C710C"/>
    <w:rsid w:val="006D1C53"/>
    <w:rsid w:val="006D21FE"/>
    <w:rsid w:val="006D4F2A"/>
    <w:rsid w:val="006D673E"/>
    <w:rsid w:val="006D76DA"/>
    <w:rsid w:val="006E07F9"/>
    <w:rsid w:val="006E0C1E"/>
    <w:rsid w:val="006E11EB"/>
    <w:rsid w:val="006E1F3A"/>
    <w:rsid w:val="006E276F"/>
    <w:rsid w:val="006E27D2"/>
    <w:rsid w:val="006E359E"/>
    <w:rsid w:val="006E3FE8"/>
    <w:rsid w:val="006E44E9"/>
    <w:rsid w:val="006E7AE2"/>
    <w:rsid w:val="006F06DD"/>
    <w:rsid w:val="006F0EAC"/>
    <w:rsid w:val="006F4C07"/>
    <w:rsid w:val="006F6C28"/>
    <w:rsid w:val="006F7237"/>
    <w:rsid w:val="007000E5"/>
    <w:rsid w:val="00700473"/>
    <w:rsid w:val="00701702"/>
    <w:rsid w:val="00702C83"/>
    <w:rsid w:val="00703542"/>
    <w:rsid w:val="00703A5C"/>
    <w:rsid w:val="00705C4E"/>
    <w:rsid w:val="0070677A"/>
    <w:rsid w:val="00706D14"/>
    <w:rsid w:val="0070785F"/>
    <w:rsid w:val="00707926"/>
    <w:rsid w:val="0071097A"/>
    <w:rsid w:val="00712DB1"/>
    <w:rsid w:val="00714202"/>
    <w:rsid w:val="00715422"/>
    <w:rsid w:val="00720963"/>
    <w:rsid w:val="00722653"/>
    <w:rsid w:val="007242C0"/>
    <w:rsid w:val="007350E3"/>
    <w:rsid w:val="00735873"/>
    <w:rsid w:val="007358C5"/>
    <w:rsid w:val="00737C5F"/>
    <w:rsid w:val="00740969"/>
    <w:rsid w:val="00740DC3"/>
    <w:rsid w:val="007425E7"/>
    <w:rsid w:val="0074295B"/>
    <w:rsid w:val="0074381E"/>
    <w:rsid w:val="007447A6"/>
    <w:rsid w:val="00745611"/>
    <w:rsid w:val="0075195A"/>
    <w:rsid w:val="00751FC0"/>
    <w:rsid w:val="00755514"/>
    <w:rsid w:val="00755D62"/>
    <w:rsid w:val="00756086"/>
    <w:rsid w:val="00756AB8"/>
    <w:rsid w:val="00760373"/>
    <w:rsid w:val="00760682"/>
    <w:rsid w:val="00761AC2"/>
    <w:rsid w:val="007633B1"/>
    <w:rsid w:val="00764150"/>
    <w:rsid w:val="00766C1D"/>
    <w:rsid w:val="00770CE5"/>
    <w:rsid w:val="00771E78"/>
    <w:rsid w:val="00771FEF"/>
    <w:rsid w:val="007825A2"/>
    <w:rsid w:val="007829C0"/>
    <w:rsid w:val="00782D1A"/>
    <w:rsid w:val="00782E18"/>
    <w:rsid w:val="00782FCF"/>
    <w:rsid w:val="00783589"/>
    <w:rsid w:val="00787712"/>
    <w:rsid w:val="00787A23"/>
    <w:rsid w:val="0079120E"/>
    <w:rsid w:val="0079185F"/>
    <w:rsid w:val="00792B96"/>
    <w:rsid w:val="007A0513"/>
    <w:rsid w:val="007A16EF"/>
    <w:rsid w:val="007A1ED5"/>
    <w:rsid w:val="007A2A9A"/>
    <w:rsid w:val="007A4B00"/>
    <w:rsid w:val="007A7C51"/>
    <w:rsid w:val="007B0DD0"/>
    <w:rsid w:val="007B2270"/>
    <w:rsid w:val="007B294C"/>
    <w:rsid w:val="007B2D38"/>
    <w:rsid w:val="007B7E27"/>
    <w:rsid w:val="007C10D7"/>
    <w:rsid w:val="007C4BF7"/>
    <w:rsid w:val="007C4F55"/>
    <w:rsid w:val="007C5C9D"/>
    <w:rsid w:val="007C65DF"/>
    <w:rsid w:val="007C6CC4"/>
    <w:rsid w:val="007D0208"/>
    <w:rsid w:val="007D1620"/>
    <w:rsid w:val="007D3163"/>
    <w:rsid w:val="007E184F"/>
    <w:rsid w:val="007E43A2"/>
    <w:rsid w:val="007E55B0"/>
    <w:rsid w:val="007E5798"/>
    <w:rsid w:val="007E62A5"/>
    <w:rsid w:val="007E6EC4"/>
    <w:rsid w:val="007E7267"/>
    <w:rsid w:val="007E7E89"/>
    <w:rsid w:val="007F0595"/>
    <w:rsid w:val="007F0CAE"/>
    <w:rsid w:val="007F2C13"/>
    <w:rsid w:val="007F336D"/>
    <w:rsid w:val="007F64F7"/>
    <w:rsid w:val="007F6C8D"/>
    <w:rsid w:val="00800424"/>
    <w:rsid w:val="00802DED"/>
    <w:rsid w:val="008032AE"/>
    <w:rsid w:val="008038BF"/>
    <w:rsid w:val="0080576C"/>
    <w:rsid w:val="00806F2B"/>
    <w:rsid w:val="0080704E"/>
    <w:rsid w:val="008076D1"/>
    <w:rsid w:val="00812C9E"/>
    <w:rsid w:val="008134CF"/>
    <w:rsid w:val="008137CA"/>
    <w:rsid w:val="008139C4"/>
    <w:rsid w:val="00813A4B"/>
    <w:rsid w:val="00813DEF"/>
    <w:rsid w:val="0081577E"/>
    <w:rsid w:val="00816ED8"/>
    <w:rsid w:val="0081798B"/>
    <w:rsid w:val="00817D56"/>
    <w:rsid w:val="00817D88"/>
    <w:rsid w:val="008218A2"/>
    <w:rsid w:val="008218A6"/>
    <w:rsid w:val="008238DE"/>
    <w:rsid w:val="00824935"/>
    <w:rsid w:val="00824ED2"/>
    <w:rsid w:val="008275B0"/>
    <w:rsid w:val="008302CC"/>
    <w:rsid w:val="00830672"/>
    <w:rsid w:val="00830825"/>
    <w:rsid w:val="00831A2A"/>
    <w:rsid w:val="00833333"/>
    <w:rsid w:val="00835639"/>
    <w:rsid w:val="00841B9C"/>
    <w:rsid w:val="0084202A"/>
    <w:rsid w:val="00843E6B"/>
    <w:rsid w:val="0084432E"/>
    <w:rsid w:val="00844ACE"/>
    <w:rsid w:val="00846690"/>
    <w:rsid w:val="00846734"/>
    <w:rsid w:val="00850749"/>
    <w:rsid w:val="008518AA"/>
    <w:rsid w:val="0085330A"/>
    <w:rsid w:val="00855722"/>
    <w:rsid w:val="008559DD"/>
    <w:rsid w:val="008574EE"/>
    <w:rsid w:val="008627DA"/>
    <w:rsid w:val="00862ADF"/>
    <w:rsid w:val="00862BC3"/>
    <w:rsid w:val="00866394"/>
    <w:rsid w:val="00870B60"/>
    <w:rsid w:val="0087104A"/>
    <w:rsid w:val="00871A9C"/>
    <w:rsid w:val="00873B9F"/>
    <w:rsid w:val="00877E11"/>
    <w:rsid w:val="008810B1"/>
    <w:rsid w:val="0088128E"/>
    <w:rsid w:val="008853C1"/>
    <w:rsid w:val="00885B87"/>
    <w:rsid w:val="008867F2"/>
    <w:rsid w:val="00886CA2"/>
    <w:rsid w:val="00890CBB"/>
    <w:rsid w:val="00891453"/>
    <w:rsid w:val="00891DEE"/>
    <w:rsid w:val="0089204B"/>
    <w:rsid w:val="00892820"/>
    <w:rsid w:val="0089328F"/>
    <w:rsid w:val="008970BD"/>
    <w:rsid w:val="008A0EDD"/>
    <w:rsid w:val="008A207B"/>
    <w:rsid w:val="008A41A6"/>
    <w:rsid w:val="008A4CD8"/>
    <w:rsid w:val="008A7E7E"/>
    <w:rsid w:val="008B16DF"/>
    <w:rsid w:val="008B237D"/>
    <w:rsid w:val="008B2F86"/>
    <w:rsid w:val="008B4E4B"/>
    <w:rsid w:val="008B52CD"/>
    <w:rsid w:val="008B6477"/>
    <w:rsid w:val="008B7BBA"/>
    <w:rsid w:val="008B7BEA"/>
    <w:rsid w:val="008C0377"/>
    <w:rsid w:val="008C1104"/>
    <w:rsid w:val="008C1178"/>
    <w:rsid w:val="008C1B44"/>
    <w:rsid w:val="008C41AE"/>
    <w:rsid w:val="008C590B"/>
    <w:rsid w:val="008C6188"/>
    <w:rsid w:val="008C6655"/>
    <w:rsid w:val="008D4EF0"/>
    <w:rsid w:val="008D4FC5"/>
    <w:rsid w:val="008D5C18"/>
    <w:rsid w:val="008D608D"/>
    <w:rsid w:val="008D6719"/>
    <w:rsid w:val="008E492B"/>
    <w:rsid w:val="008E4C3D"/>
    <w:rsid w:val="008E7AC6"/>
    <w:rsid w:val="008F20E9"/>
    <w:rsid w:val="008F5DEB"/>
    <w:rsid w:val="008F6489"/>
    <w:rsid w:val="008F6E97"/>
    <w:rsid w:val="00907AF0"/>
    <w:rsid w:val="00910EFC"/>
    <w:rsid w:val="00911322"/>
    <w:rsid w:val="0091199B"/>
    <w:rsid w:val="00912251"/>
    <w:rsid w:val="009126FB"/>
    <w:rsid w:val="00912739"/>
    <w:rsid w:val="00913CC9"/>
    <w:rsid w:val="00914AA7"/>
    <w:rsid w:val="009170C7"/>
    <w:rsid w:val="00917808"/>
    <w:rsid w:val="00920ADB"/>
    <w:rsid w:val="00922317"/>
    <w:rsid w:val="0092583A"/>
    <w:rsid w:val="00927C53"/>
    <w:rsid w:val="009307C5"/>
    <w:rsid w:val="00931833"/>
    <w:rsid w:val="009325E1"/>
    <w:rsid w:val="00935953"/>
    <w:rsid w:val="00935A45"/>
    <w:rsid w:val="00935EC7"/>
    <w:rsid w:val="00935EDF"/>
    <w:rsid w:val="0093632A"/>
    <w:rsid w:val="0094039F"/>
    <w:rsid w:val="00940665"/>
    <w:rsid w:val="0094135A"/>
    <w:rsid w:val="00941E7F"/>
    <w:rsid w:val="009428DB"/>
    <w:rsid w:val="00943DB2"/>
    <w:rsid w:val="00944BC4"/>
    <w:rsid w:val="00945043"/>
    <w:rsid w:val="00945D40"/>
    <w:rsid w:val="00945E10"/>
    <w:rsid w:val="00945E22"/>
    <w:rsid w:val="009519C9"/>
    <w:rsid w:val="009528E2"/>
    <w:rsid w:val="00954D19"/>
    <w:rsid w:val="009558FF"/>
    <w:rsid w:val="00955AD1"/>
    <w:rsid w:val="0096078D"/>
    <w:rsid w:val="00961A8A"/>
    <w:rsid w:val="00964CB3"/>
    <w:rsid w:val="00964DD4"/>
    <w:rsid w:val="00966239"/>
    <w:rsid w:val="00966958"/>
    <w:rsid w:val="00970926"/>
    <w:rsid w:val="00974919"/>
    <w:rsid w:val="00975317"/>
    <w:rsid w:val="00975DAA"/>
    <w:rsid w:val="00976803"/>
    <w:rsid w:val="00976A0B"/>
    <w:rsid w:val="00976C08"/>
    <w:rsid w:val="00976D5D"/>
    <w:rsid w:val="00977B67"/>
    <w:rsid w:val="0098340D"/>
    <w:rsid w:val="009855BD"/>
    <w:rsid w:val="009855E3"/>
    <w:rsid w:val="00987FB6"/>
    <w:rsid w:val="0099180E"/>
    <w:rsid w:val="00994B54"/>
    <w:rsid w:val="00996031"/>
    <w:rsid w:val="009962D9"/>
    <w:rsid w:val="00997381"/>
    <w:rsid w:val="00997463"/>
    <w:rsid w:val="00997572"/>
    <w:rsid w:val="009A340B"/>
    <w:rsid w:val="009A36EB"/>
    <w:rsid w:val="009A4077"/>
    <w:rsid w:val="009A53A0"/>
    <w:rsid w:val="009A56AB"/>
    <w:rsid w:val="009A6F71"/>
    <w:rsid w:val="009B3B84"/>
    <w:rsid w:val="009B3CE2"/>
    <w:rsid w:val="009B469B"/>
    <w:rsid w:val="009B66E3"/>
    <w:rsid w:val="009C0435"/>
    <w:rsid w:val="009C0EEC"/>
    <w:rsid w:val="009C1432"/>
    <w:rsid w:val="009C239D"/>
    <w:rsid w:val="009C32A6"/>
    <w:rsid w:val="009C38F3"/>
    <w:rsid w:val="009C3EB2"/>
    <w:rsid w:val="009C528D"/>
    <w:rsid w:val="009C56F8"/>
    <w:rsid w:val="009C78DD"/>
    <w:rsid w:val="009C7A2D"/>
    <w:rsid w:val="009C7D4B"/>
    <w:rsid w:val="009D2894"/>
    <w:rsid w:val="009D3800"/>
    <w:rsid w:val="009D4EC8"/>
    <w:rsid w:val="009D501E"/>
    <w:rsid w:val="009D7D25"/>
    <w:rsid w:val="009E0728"/>
    <w:rsid w:val="009E1B8B"/>
    <w:rsid w:val="009E20AE"/>
    <w:rsid w:val="009E3F3B"/>
    <w:rsid w:val="009E5599"/>
    <w:rsid w:val="009E72BB"/>
    <w:rsid w:val="009F071B"/>
    <w:rsid w:val="009F2B1F"/>
    <w:rsid w:val="009F4BB6"/>
    <w:rsid w:val="009F7D6A"/>
    <w:rsid w:val="00A02520"/>
    <w:rsid w:val="00A02E65"/>
    <w:rsid w:val="00A04F88"/>
    <w:rsid w:val="00A05A8F"/>
    <w:rsid w:val="00A07D34"/>
    <w:rsid w:val="00A128FF"/>
    <w:rsid w:val="00A13CAB"/>
    <w:rsid w:val="00A1467A"/>
    <w:rsid w:val="00A15BE2"/>
    <w:rsid w:val="00A16471"/>
    <w:rsid w:val="00A22224"/>
    <w:rsid w:val="00A228EE"/>
    <w:rsid w:val="00A23103"/>
    <w:rsid w:val="00A24267"/>
    <w:rsid w:val="00A24BA4"/>
    <w:rsid w:val="00A24EBB"/>
    <w:rsid w:val="00A261DD"/>
    <w:rsid w:val="00A274F9"/>
    <w:rsid w:val="00A27D88"/>
    <w:rsid w:val="00A317B3"/>
    <w:rsid w:val="00A32625"/>
    <w:rsid w:val="00A33EBC"/>
    <w:rsid w:val="00A3428E"/>
    <w:rsid w:val="00A35542"/>
    <w:rsid w:val="00A36467"/>
    <w:rsid w:val="00A419D3"/>
    <w:rsid w:val="00A42C0B"/>
    <w:rsid w:val="00A433F5"/>
    <w:rsid w:val="00A43D22"/>
    <w:rsid w:val="00A46AF2"/>
    <w:rsid w:val="00A46D8E"/>
    <w:rsid w:val="00A477CC"/>
    <w:rsid w:val="00A51E57"/>
    <w:rsid w:val="00A52E05"/>
    <w:rsid w:val="00A54A7A"/>
    <w:rsid w:val="00A604DF"/>
    <w:rsid w:val="00A61576"/>
    <w:rsid w:val="00A635A7"/>
    <w:rsid w:val="00A65737"/>
    <w:rsid w:val="00A6742C"/>
    <w:rsid w:val="00A714D9"/>
    <w:rsid w:val="00A72C17"/>
    <w:rsid w:val="00A72F0F"/>
    <w:rsid w:val="00A751F4"/>
    <w:rsid w:val="00A76769"/>
    <w:rsid w:val="00A803D1"/>
    <w:rsid w:val="00A80D17"/>
    <w:rsid w:val="00A81A69"/>
    <w:rsid w:val="00A83398"/>
    <w:rsid w:val="00A846C2"/>
    <w:rsid w:val="00A85F21"/>
    <w:rsid w:val="00A91F79"/>
    <w:rsid w:val="00A9235E"/>
    <w:rsid w:val="00A94019"/>
    <w:rsid w:val="00A96636"/>
    <w:rsid w:val="00AA0621"/>
    <w:rsid w:val="00AA2796"/>
    <w:rsid w:val="00AA4029"/>
    <w:rsid w:val="00AA4776"/>
    <w:rsid w:val="00AA74A5"/>
    <w:rsid w:val="00AB00EF"/>
    <w:rsid w:val="00AB1C11"/>
    <w:rsid w:val="00AB243E"/>
    <w:rsid w:val="00AB4612"/>
    <w:rsid w:val="00AB4D13"/>
    <w:rsid w:val="00AB5CAF"/>
    <w:rsid w:val="00AC09A2"/>
    <w:rsid w:val="00AC11D4"/>
    <w:rsid w:val="00AC3DAA"/>
    <w:rsid w:val="00AC3DC9"/>
    <w:rsid w:val="00AC45FF"/>
    <w:rsid w:val="00AC4DAF"/>
    <w:rsid w:val="00AC622B"/>
    <w:rsid w:val="00AC7B56"/>
    <w:rsid w:val="00AD0D31"/>
    <w:rsid w:val="00AD4304"/>
    <w:rsid w:val="00AD5355"/>
    <w:rsid w:val="00AE4BE6"/>
    <w:rsid w:val="00AE4E72"/>
    <w:rsid w:val="00AE5BE5"/>
    <w:rsid w:val="00AE75D1"/>
    <w:rsid w:val="00AF3C66"/>
    <w:rsid w:val="00AF3C88"/>
    <w:rsid w:val="00AF5454"/>
    <w:rsid w:val="00B00B64"/>
    <w:rsid w:val="00B040F1"/>
    <w:rsid w:val="00B04E4D"/>
    <w:rsid w:val="00B05834"/>
    <w:rsid w:val="00B05A82"/>
    <w:rsid w:val="00B05ED8"/>
    <w:rsid w:val="00B0671D"/>
    <w:rsid w:val="00B109E1"/>
    <w:rsid w:val="00B11D4D"/>
    <w:rsid w:val="00B20C16"/>
    <w:rsid w:val="00B22280"/>
    <w:rsid w:val="00B22E3A"/>
    <w:rsid w:val="00B22EFD"/>
    <w:rsid w:val="00B2354D"/>
    <w:rsid w:val="00B23552"/>
    <w:rsid w:val="00B24D46"/>
    <w:rsid w:val="00B258B2"/>
    <w:rsid w:val="00B27F04"/>
    <w:rsid w:val="00B27F96"/>
    <w:rsid w:val="00B306F6"/>
    <w:rsid w:val="00B32497"/>
    <w:rsid w:val="00B33CB5"/>
    <w:rsid w:val="00B341A4"/>
    <w:rsid w:val="00B35076"/>
    <w:rsid w:val="00B3795E"/>
    <w:rsid w:val="00B40375"/>
    <w:rsid w:val="00B420A5"/>
    <w:rsid w:val="00B43058"/>
    <w:rsid w:val="00B4313B"/>
    <w:rsid w:val="00B4513E"/>
    <w:rsid w:val="00B47CDD"/>
    <w:rsid w:val="00B5020F"/>
    <w:rsid w:val="00B535A9"/>
    <w:rsid w:val="00B54081"/>
    <w:rsid w:val="00B547D5"/>
    <w:rsid w:val="00B56E66"/>
    <w:rsid w:val="00B57162"/>
    <w:rsid w:val="00B63AFC"/>
    <w:rsid w:val="00B645CD"/>
    <w:rsid w:val="00B64669"/>
    <w:rsid w:val="00B64724"/>
    <w:rsid w:val="00B64959"/>
    <w:rsid w:val="00B65F91"/>
    <w:rsid w:val="00B678AE"/>
    <w:rsid w:val="00B70885"/>
    <w:rsid w:val="00B709A5"/>
    <w:rsid w:val="00B742A7"/>
    <w:rsid w:val="00B75CC7"/>
    <w:rsid w:val="00B7721D"/>
    <w:rsid w:val="00B802E5"/>
    <w:rsid w:val="00B80BE3"/>
    <w:rsid w:val="00B81A1C"/>
    <w:rsid w:val="00B83A43"/>
    <w:rsid w:val="00B84EF3"/>
    <w:rsid w:val="00B856E7"/>
    <w:rsid w:val="00B85AD6"/>
    <w:rsid w:val="00B86412"/>
    <w:rsid w:val="00B86946"/>
    <w:rsid w:val="00B870F5"/>
    <w:rsid w:val="00B9171C"/>
    <w:rsid w:val="00B9320C"/>
    <w:rsid w:val="00B93221"/>
    <w:rsid w:val="00B93E66"/>
    <w:rsid w:val="00B95493"/>
    <w:rsid w:val="00B96A23"/>
    <w:rsid w:val="00B97A67"/>
    <w:rsid w:val="00BA03DA"/>
    <w:rsid w:val="00BA0E74"/>
    <w:rsid w:val="00BA136F"/>
    <w:rsid w:val="00BA19A7"/>
    <w:rsid w:val="00BA3925"/>
    <w:rsid w:val="00BA5273"/>
    <w:rsid w:val="00BB1119"/>
    <w:rsid w:val="00BB16E6"/>
    <w:rsid w:val="00BB2ABA"/>
    <w:rsid w:val="00BB54A9"/>
    <w:rsid w:val="00BB6150"/>
    <w:rsid w:val="00BB6686"/>
    <w:rsid w:val="00BB68D3"/>
    <w:rsid w:val="00BB7E69"/>
    <w:rsid w:val="00BC14B1"/>
    <w:rsid w:val="00BC1541"/>
    <w:rsid w:val="00BC1CE2"/>
    <w:rsid w:val="00BC22C1"/>
    <w:rsid w:val="00BC3CB1"/>
    <w:rsid w:val="00BC4C4C"/>
    <w:rsid w:val="00BC5E7B"/>
    <w:rsid w:val="00BD1F37"/>
    <w:rsid w:val="00BD515B"/>
    <w:rsid w:val="00BD731B"/>
    <w:rsid w:val="00BE01B1"/>
    <w:rsid w:val="00BE4FC8"/>
    <w:rsid w:val="00BE6E7E"/>
    <w:rsid w:val="00BE77F9"/>
    <w:rsid w:val="00BF3D15"/>
    <w:rsid w:val="00BF4466"/>
    <w:rsid w:val="00BF6BD8"/>
    <w:rsid w:val="00C00106"/>
    <w:rsid w:val="00C0109C"/>
    <w:rsid w:val="00C01662"/>
    <w:rsid w:val="00C02761"/>
    <w:rsid w:val="00C04134"/>
    <w:rsid w:val="00C05439"/>
    <w:rsid w:val="00C061CD"/>
    <w:rsid w:val="00C1113D"/>
    <w:rsid w:val="00C11432"/>
    <w:rsid w:val="00C14589"/>
    <w:rsid w:val="00C149AC"/>
    <w:rsid w:val="00C14C7E"/>
    <w:rsid w:val="00C15818"/>
    <w:rsid w:val="00C15F34"/>
    <w:rsid w:val="00C15FF2"/>
    <w:rsid w:val="00C16A00"/>
    <w:rsid w:val="00C178B8"/>
    <w:rsid w:val="00C17DC9"/>
    <w:rsid w:val="00C17E84"/>
    <w:rsid w:val="00C210FD"/>
    <w:rsid w:val="00C21FAD"/>
    <w:rsid w:val="00C25300"/>
    <w:rsid w:val="00C26519"/>
    <w:rsid w:val="00C27641"/>
    <w:rsid w:val="00C305E7"/>
    <w:rsid w:val="00C30649"/>
    <w:rsid w:val="00C3224B"/>
    <w:rsid w:val="00C32307"/>
    <w:rsid w:val="00C3376B"/>
    <w:rsid w:val="00C3429C"/>
    <w:rsid w:val="00C40784"/>
    <w:rsid w:val="00C42B65"/>
    <w:rsid w:val="00C42C52"/>
    <w:rsid w:val="00C42DE9"/>
    <w:rsid w:val="00C44FDE"/>
    <w:rsid w:val="00C45189"/>
    <w:rsid w:val="00C4525F"/>
    <w:rsid w:val="00C46C08"/>
    <w:rsid w:val="00C46C9F"/>
    <w:rsid w:val="00C5049B"/>
    <w:rsid w:val="00C50BB9"/>
    <w:rsid w:val="00C517EC"/>
    <w:rsid w:val="00C52636"/>
    <w:rsid w:val="00C53AFF"/>
    <w:rsid w:val="00C61B67"/>
    <w:rsid w:val="00C62BED"/>
    <w:rsid w:val="00C70FDB"/>
    <w:rsid w:val="00C71399"/>
    <w:rsid w:val="00C728AD"/>
    <w:rsid w:val="00C73314"/>
    <w:rsid w:val="00C7331A"/>
    <w:rsid w:val="00C746CD"/>
    <w:rsid w:val="00C76A44"/>
    <w:rsid w:val="00C77A0A"/>
    <w:rsid w:val="00C81359"/>
    <w:rsid w:val="00C82314"/>
    <w:rsid w:val="00C830CE"/>
    <w:rsid w:val="00C83FCD"/>
    <w:rsid w:val="00C8474A"/>
    <w:rsid w:val="00C85031"/>
    <w:rsid w:val="00C90B0D"/>
    <w:rsid w:val="00C93E98"/>
    <w:rsid w:val="00C94BE8"/>
    <w:rsid w:val="00C958AB"/>
    <w:rsid w:val="00CA03E8"/>
    <w:rsid w:val="00CA0D78"/>
    <w:rsid w:val="00CA0E70"/>
    <w:rsid w:val="00CA17D3"/>
    <w:rsid w:val="00CA713D"/>
    <w:rsid w:val="00CB075B"/>
    <w:rsid w:val="00CB1594"/>
    <w:rsid w:val="00CB20B4"/>
    <w:rsid w:val="00CB2E85"/>
    <w:rsid w:val="00CB3290"/>
    <w:rsid w:val="00CB44DB"/>
    <w:rsid w:val="00CB5B83"/>
    <w:rsid w:val="00CB5C8E"/>
    <w:rsid w:val="00CB6CE2"/>
    <w:rsid w:val="00CC00BF"/>
    <w:rsid w:val="00CC3306"/>
    <w:rsid w:val="00CC3CAE"/>
    <w:rsid w:val="00CD1BBD"/>
    <w:rsid w:val="00CD1FF5"/>
    <w:rsid w:val="00CD212D"/>
    <w:rsid w:val="00CD25BC"/>
    <w:rsid w:val="00CD36BA"/>
    <w:rsid w:val="00CD42EE"/>
    <w:rsid w:val="00CD512F"/>
    <w:rsid w:val="00CD5ADA"/>
    <w:rsid w:val="00CE2B56"/>
    <w:rsid w:val="00CE303D"/>
    <w:rsid w:val="00CE34D5"/>
    <w:rsid w:val="00CE377B"/>
    <w:rsid w:val="00CE65D2"/>
    <w:rsid w:val="00CF428F"/>
    <w:rsid w:val="00CF5DC9"/>
    <w:rsid w:val="00CF5FEB"/>
    <w:rsid w:val="00CF641B"/>
    <w:rsid w:val="00D000A8"/>
    <w:rsid w:val="00D00C0D"/>
    <w:rsid w:val="00D01E80"/>
    <w:rsid w:val="00D02A11"/>
    <w:rsid w:val="00D04FBA"/>
    <w:rsid w:val="00D0558F"/>
    <w:rsid w:val="00D05C90"/>
    <w:rsid w:val="00D065A7"/>
    <w:rsid w:val="00D14662"/>
    <w:rsid w:val="00D21BD2"/>
    <w:rsid w:val="00D224DB"/>
    <w:rsid w:val="00D22E37"/>
    <w:rsid w:val="00D243A1"/>
    <w:rsid w:val="00D25972"/>
    <w:rsid w:val="00D27606"/>
    <w:rsid w:val="00D3148C"/>
    <w:rsid w:val="00D3148E"/>
    <w:rsid w:val="00D339A8"/>
    <w:rsid w:val="00D35AC6"/>
    <w:rsid w:val="00D41116"/>
    <w:rsid w:val="00D420B9"/>
    <w:rsid w:val="00D449D8"/>
    <w:rsid w:val="00D45437"/>
    <w:rsid w:val="00D45AAD"/>
    <w:rsid w:val="00D51748"/>
    <w:rsid w:val="00D51C69"/>
    <w:rsid w:val="00D52E67"/>
    <w:rsid w:val="00D547E9"/>
    <w:rsid w:val="00D54A3A"/>
    <w:rsid w:val="00D55A08"/>
    <w:rsid w:val="00D574AB"/>
    <w:rsid w:val="00D60693"/>
    <w:rsid w:val="00D61686"/>
    <w:rsid w:val="00D62555"/>
    <w:rsid w:val="00D6266D"/>
    <w:rsid w:val="00D6277C"/>
    <w:rsid w:val="00D631A0"/>
    <w:rsid w:val="00D63CA6"/>
    <w:rsid w:val="00D6666E"/>
    <w:rsid w:val="00D67CEB"/>
    <w:rsid w:val="00D700A7"/>
    <w:rsid w:val="00D713E0"/>
    <w:rsid w:val="00D716D8"/>
    <w:rsid w:val="00D71992"/>
    <w:rsid w:val="00D735E9"/>
    <w:rsid w:val="00D75406"/>
    <w:rsid w:val="00D755EC"/>
    <w:rsid w:val="00D75D73"/>
    <w:rsid w:val="00D76F8F"/>
    <w:rsid w:val="00D77917"/>
    <w:rsid w:val="00D77CA6"/>
    <w:rsid w:val="00D817A1"/>
    <w:rsid w:val="00D84222"/>
    <w:rsid w:val="00D84708"/>
    <w:rsid w:val="00D85675"/>
    <w:rsid w:val="00D86657"/>
    <w:rsid w:val="00D8778B"/>
    <w:rsid w:val="00D900D3"/>
    <w:rsid w:val="00D90240"/>
    <w:rsid w:val="00D90957"/>
    <w:rsid w:val="00D91995"/>
    <w:rsid w:val="00D92462"/>
    <w:rsid w:val="00D92EF4"/>
    <w:rsid w:val="00D94F71"/>
    <w:rsid w:val="00D951E5"/>
    <w:rsid w:val="00D959E4"/>
    <w:rsid w:val="00D97C2F"/>
    <w:rsid w:val="00DA0C45"/>
    <w:rsid w:val="00DA164F"/>
    <w:rsid w:val="00DA1770"/>
    <w:rsid w:val="00DA55FE"/>
    <w:rsid w:val="00DA7E07"/>
    <w:rsid w:val="00DB0043"/>
    <w:rsid w:val="00DB1816"/>
    <w:rsid w:val="00DB1C22"/>
    <w:rsid w:val="00DB540F"/>
    <w:rsid w:val="00DB5AA4"/>
    <w:rsid w:val="00DB6A13"/>
    <w:rsid w:val="00DB7155"/>
    <w:rsid w:val="00DB74BE"/>
    <w:rsid w:val="00DB7503"/>
    <w:rsid w:val="00DC01DA"/>
    <w:rsid w:val="00DC3C9C"/>
    <w:rsid w:val="00DD11D5"/>
    <w:rsid w:val="00DD30AF"/>
    <w:rsid w:val="00DD4FA2"/>
    <w:rsid w:val="00DD73A9"/>
    <w:rsid w:val="00DE02C2"/>
    <w:rsid w:val="00DE236F"/>
    <w:rsid w:val="00DE2E39"/>
    <w:rsid w:val="00DE3934"/>
    <w:rsid w:val="00DE39E7"/>
    <w:rsid w:val="00DE3DD1"/>
    <w:rsid w:val="00DE40E3"/>
    <w:rsid w:val="00DE47C2"/>
    <w:rsid w:val="00DE55CA"/>
    <w:rsid w:val="00DE58BB"/>
    <w:rsid w:val="00DE6FEC"/>
    <w:rsid w:val="00DF4335"/>
    <w:rsid w:val="00DF4D9E"/>
    <w:rsid w:val="00DF5E64"/>
    <w:rsid w:val="00DF6447"/>
    <w:rsid w:val="00DF7F8C"/>
    <w:rsid w:val="00E001C4"/>
    <w:rsid w:val="00E0144D"/>
    <w:rsid w:val="00E01A65"/>
    <w:rsid w:val="00E038F6"/>
    <w:rsid w:val="00E055ED"/>
    <w:rsid w:val="00E06A9F"/>
    <w:rsid w:val="00E07DC7"/>
    <w:rsid w:val="00E10B58"/>
    <w:rsid w:val="00E12E66"/>
    <w:rsid w:val="00E12F60"/>
    <w:rsid w:val="00E200FE"/>
    <w:rsid w:val="00E21D20"/>
    <w:rsid w:val="00E23A96"/>
    <w:rsid w:val="00E23B6F"/>
    <w:rsid w:val="00E2671B"/>
    <w:rsid w:val="00E309BD"/>
    <w:rsid w:val="00E3168E"/>
    <w:rsid w:val="00E36BB9"/>
    <w:rsid w:val="00E36E95"/>
    <w:rsid w:val="00E40598"/>
    <w:rsid w:val="00E41907"/>
    <w:rsid w:val="00E43F84"/>
    <w:rsid w:val="00E44D69"/>
    <w:rsid w:val="00E44DA1"/>
    <w:rsid w:val="00E455F5"/>
    <w:rsid w:val="00E47A0F"/>
    <w:rsid w:val="00E47CA9"/>
    <w:rsid w:val="00E50643"/>
    <w:rsid w:val="00E51399"/>
    <w:rsid w:val="00E51EFB"/>
    <w:rsid w:val="00E52FB6"/>
    <w:rsid w:val="00E53EA5"/>
    <w:rsid w:val="00E55525"/>
    <w:rsid w:val="00E55E20"/>
    <w:rsid w:val="00E56AAE"/>
    <w:rsid w:val="00E577D8"/>
    <w:rsid w:val="00E64B28"/>
    <w:rsid w:val="00E678BD"/>
    <w:rsid w:val="00E70046"/>
    <w:rsid w:val="00E70385"/>
    <w:rsid w:val="00E7099F"/>
    <w:rsid w:val="00E7109D"/>
    <w:rsid w:val="00E71715"/>
    <w:rsid w:val="00E71817"/>
    <w:rsid w:val="00E72098"/>
    <w:rsid w:val="00E73B9A"/>
    <w:rsid w:val="00E7402E"/>
    <w:rsid w:val="00E7403A"/>
    <w:rsid w:val="00E75AA2"/>
    <w:rsid w:val="00E75F11"/>
    <w:rsid w:val="00E76815"/>
    <w:rsid w:val="00E80F1D"/>
    <w:rsid w:val="00E81063"/>
    <w:rsid w:val="00E8133C"/>
    <w:rsid w:val="00E8252E"/>
    <w:rsid w:val="00E8448B"/>
    <w:rsid w:val="00E84E8D"/>
    <w:rsid w:val="00E8622D"/>
    <w:rsid w:val="00E92B32"/>
    <w:rsid w:val="00E943D4"/>
    <w:rsid w:val="00E9561F"/>
    <w:rsid w:val="00E96285"/>
    <w:rsid w:val="00E970D3"/>
    <w:rsid w:val="00EA1930"/>
    <w:rsid w:val="00EA1C9C"/>
    <w:rsid w:val="00EA1E5D"/>
    <w:rsid w:val="00EA3A5C"/>
    <w:rsid w:val="00EA4CF1"/>
    <w:rsid w:val="00EA55AC"/>
    <w:rsid w:val="00EA5A76"/>
    <w:rsid w:val="00EA5B7F"/>
    <w:rsid w:val="00EB0C61"/>
    <w:rsid w:val="00EB19AF"/>
    <w:rsid w:val="00EB1F90"/>
    <w:rsid w:val="00EB28A8"/>
    <w:rsid w:val="00EB3F42"/>
    <w:rsid w:val="00EB4159"/>
    <w:rsid w:val="00EB43E1"/>
    <w:rsid w:val="00EB5BA1"/>
    <w:rsid w:val="00EB5CCA"/>
    <w:rsid w:val="00EB7213"/>
    <w:rsid w:val="00EC1C25"/>
    <w:rsid w:val="00EC2451"/>
    <w:rsid w:val="00EC47E7"/>
    <w:rsid w:val="00EC4A8B"/>
    <w:rsid w:val="00EC65FD"/>
    <w:rsid w:val="00EC6E81"/>
    <w:rsid w:val="00EC7C08"/>
    <w:rsid w:val="00ED0222"/>
    <w:rsid w:val="00ED024B"/>
    <w:rsid w:val="00ED0598"/>
    <w:rsid w:val="00ED05F5"/>
    <w:rsid w:val="00ED08EA"/>
    <w:rsid w:val="00ED394F"/>
    <w:rsid w:val="00EE081B"/>
    <w:rsid w:val="00EE21FB"/>
    <w:rsid w:val="00EE27E3"/>
    <w:rsid w:val="00EE32CC"/>
    <w:rsid w:val="00EE671F"/>
    <w:rsid w:val="00EE7A8A"/>
    <w:rsid w:val="00EF17FC"/>
    <w:rsid w:val="00EF19D7"/>
    <w:rsid w:val="00EF2CAC"/>
    <w:rsid w:val="00EF365F"/>
    <w:rsid w:val="00EF4BA6"/>
    <w:rsid w:val="00EF5162"/>
    <w:rsid w:val="00EF7912"/>
    <w:rsid w:val="00F01635"/>
    <w:rsid w:val="00F027D2"/>
    <w:rsid w:val="00F0733C"/>
    <w:rsid w:val="00F11991"/>
    <w:rsid w:val="00F11F2F"/>
    <w:rsid w:val="00F1254A"/>
    <w:rsid w:val="00F13AFB"/>
    <w:rsid w:val="00F13DA4"/>
    <w:rsid w:val="00F159B1"/>
    <w:rsid w:val="00F17FAA"/>
    <w:rsid w:val="00F22F9B"/>
    <w:rsid w:val="00F24832"/>
    <w:rsid w:val="00F25F90"/>
    <w:rsid w:val="00F27630"/>
    <w:rsid w:val="00F320B9"/>
    <w:rsid w:val="00F333DF"/>
    <w:rsid w:val="00F35652"/>
    <w:rsid w:val="00F367E2"/>
    <w:rsid w:val="00F3765E"/>
    <w:rsid w:val="00F4369D"/>
    <w:rsid w:val="00F4431D"/>
    <w:rsid w:val="00F44D69"/>
    <w:rsid w:val="00F4630D"/>
    <w:rsid w:val="00F470F1"/>
    <w:rsid w:val="00F53128"/>
    <w:rsid w:val="00F53D4B"/>
    <w:rsid w:val="00F56C5B"/>
    <w:rsid w:val="00F571C4"/>
    <w:rsid w:val="00F5725A"/>
    <w:rsid w:val="00F60A90"/>
    <w:rsid w:val="00F61220"/>
    <w:rsid w:val="00F61B71"/>
    <w:rsid w:val="00F62BC0"/>
    <w:rsid w:val="00F6400F"/>
    <w:rsid w:val="00F641DD"/>
    <w:rsid w:val="00F659A5"/>
    <w:rsid w:val="00F66793"/>
    <w:rsid w:val="00F72820"/>
    <w:rsid w:val="00F72B70"/>
    <w:rsid w:val="00F73928"/>
    <w:rsid w:val="00F742B5"/>
    <w:rsid w:val="00F7755A"/>
    <w:rsid w:val="00F77FCB"/>
    <w:rsid w:val="00F83679"/>
    <w:rsid w:val="00F83803"/>
    <w:rsid w:val="00F84BF4"/>
    <w:rsid w:val="00F91CF3"/>
    <w:rsid w:val="00F92936"/>
    <w:rsid w:val="00F962AE"/>
    <w:rsid w:val="00FA12AE"/>
    <w:rsid w:val="00FA2925"/>
    <w:rsid w:val="00FA6C6D"/>
    <w:rsid w:val="00FA744C"/>
    <w:rsid w:val="00FB2766"/>
    <w:rsid w:val="00FB2F14"/>
    <w:rsid w:val="00FB38EF"/>
    <w:rsid w:val="00FB4C32"/>
    <w:rsid w:val="00FB6121"/>
    <w:rsid w:val="00FB64BF"/>
    <w:rsid w:val="00FC06CC"/>
    <w:rsid w:val="00FC0759"/>
    <w:rsid w:val="00FC0FA3"/>
    <w:rsid w:val="00FC147E"/>
    <w:rsid w:val="00FC4A7F"/>
    <w:rsid w:val="00FC628B"/>
    <w:rsid w:val="00FD36C2"/>
    <w:rsid w:val="00FD3B98"/>
    <w:rsid w:val="00FD4EA8"/>
    <w:rsid w:val="00FD5D14"/>
    <w:rsid w:val="00FD5DF2"/>
    <w:rsid w:val="00FE0BB2"/>
    <w:rsid w:val="00FE117F"/>
    <w:rsid w:val="00FE1BBB"/>
    <w:rsid w:val="00FE437B"/>
    <w:rsid w:val="00FE5944"/>
    <w:rsid w:val="00FE65D3"/>
    <w:rsid w:val="00FE66DB"/>
    <w:rsid w:val="00FF3343"/>
    <w:rsid w:val="00FF3AB8"/>
    <w:rsid w:val="00FF5A8C"/>
    <w:rsid w:val="00FF760D"/>
    <w:rsid w:val="01277E72"/>
    <w:rsid w:val="01890384"/>
    <w:rsid w:val="01B464C1"/>
    <w:rsid w:val="01CF4872"/>
    <w:rsid w:val="01D76E23"/>
    <w:rsid w:val="023A76AE"/>
    <w:rsid w:val="024040F0"/>
    <w:rsid w:val="02506E67"/>
    <w:rsid w:val="02561EEC"/>
    <w:rsid w:val="02840F3D"/>
    <w:rsid w:val="029A03F8"/>
    <w:rsid w:val="02C9343A"/>
    <w:rsid w:val="02E53CC2"/>
    <w:rsid w:val="03007961"/>
    <w:rsid w:val="0302615C"/>
    <w:rsid w:val="03150A63"/>
    <w:rsid w:val="03275CE5"/>
    <w:rsid w:val="032C076F"/>
    <w:rsid w:val="0330147B"/>
    <w:rsid w:val="03441B9E"/>
    <w:rsid w:val="036439FF"/>
    <w:rsid w:val="0368528C"/>
    <w:rsid w:val="0378700A"/>
    <w:rsid w:val="038E1B3E"/>
    <w:rsid w:val="039977E8"/>
    <w:rsid w:val="03B613F5"/>
    <w:rsid w:val="03BD6E4E"/>
    <w:rsid w:val="03BF7364"/>
    <w:rsid w:val="03CD0B15"/>
    <w:rsid w:val="041573BE"/>
    <w:rsid w:val="042267B4"/>
    <w:rsid w:val="042D58AB"/>
    <w:rsid w:val="04845D5E"/>
    <w:rsid w:val="048C0D44"/>
    <w:rsid w:val="049046F7"/>
    <w:rsid w:val="049D693C"/>
    <w:rsid w:val="04A641F2"/>
    <w:rsid w:val="04C05460"/>
    <w:rsid w:val="04D6464B"/>
    <w:rsid w:val="05177247"/>
    <w:rsid w:val="052D31C9"/>
    <w:rsid w:val="056E00A9"/>
    <w:rsid w:val="057E1907"/>
    <w:rsid w:val="05D07404"/>
    <w:rsid w:val="05E1206E"/>
    <w:rsid w:val="05F2105A"/>
    <w:rsid w:val="0609789D"/>
    <w:rsid w:val="067432E4"/>
    <w:rsid w:val="06A022B4"/>
    <w:rsid w:val="06A17509"/>
    <w:rsid w:val="06AB60C8"/>
    <w:rsid w:val="06C915B3"/>
    <w:rsid w:val="06CD7079"/>
    <w:rsid w:val="06D654A6"/>
    <w:rsid w:val="06EB1A12"/>
    <w:rsid w:val="07022EBE"/>
    <w:rsid w:val="071567A8"/>
    <w:rsid w:val="07923C5C"/>
    <w:rsid w:val="07A97A07"/>
    <w:rsid w:val="07AB09AE"/>
    <w:rsid w:val="07BC49F5"/>
    <w:rsid w:val="07C37EA1"/>
    <w:rsid w:val="07D05E79"/>
    <w:rsid w:val="07EF0765"/>
    <w:rsid w:val="07FF5513"/>
    <w:rsid w:val="0849022F"/>
    <w:rsid w:val="084B692E"/>
    <w:rsid w:val="08A118FA"/>
    <w:rsid w:val="08C82FEA"/>
    <w:rsid w:val="08DD35C0"/>
    <w:rsid w:val="095A65B1"/>
    <w:rsid w:val="09720D7F"/>
    <w:rsid w:val="097772A8"/>
    <w:rsid w:val="097A6558"/>
    <w:rsid w:val="09A037F1"/>
    <w:rsid w:val="09C22D9E"/>
    <w:rsid w:val="09CF383D"/>
    <w:rsid w:val="09D071FD"/>
    <w:rsid w:val="09D26AED"/>
    <w:rsid w:val="09DD5269"/>
    <w:rsid w:val="09E8074E"/>
    <w:rsid w:val="09EC208A"/>
    <w:rsid w:val="09EC57EE"/>
    <w:rsid w:val="0A11768D"/>
    <w:rsid w:val="0A300C32"/>
    <w:rsid w:val="0A5215F8"/>
    <w:rsid w:val="0A5E0CCB"/>
    <w:rsid w:val="0A6615FF"/>
    <w:rsid w:val="0AB24585"/>
    <w:rsid w:val="0AB6547C"/>
    <w:rsid w:val="0ABD1EA8"/>
    <w:rsid w:val="0AEE4C12"/>
    <w:rsid w:val="0AF853EA"/>
    <w:rsid w:val="0B10217E"/>
    <w:rsid w:val="0B520692"/>
    <w:rsid w:val="0B5D757D"/>
    <w:rsid w:val="0BA502BC"/>
    <w:rsid w:val="0BB614EF"/>
    <w:rsid w:val="0BB82644"/>
    <w:rsid w:val="0BD6775F"/>
    <w:rsid w:val="0BE8129C"/>
    <w:rsid w:val="0C057D3E"/>
    <w:rsid w:val="0C2B6A06"/>
    <w:rsid w:val="0C323DAF"/>
    <w:rsid w:val="0C5D4C82"/>
    <w:rsid w:val="0C6D7831"/>
    <w:rsid w:val="0CB4377B"/>
    <w:rsid w:val="0CF87104"/>
    <w:rsid w:val="0CFD2A4D"/>
    <w:rsid w:val="0D0018ED"/>
    <w:rsid w:val="0D087BF2"/>
    <w:rsid w:val="0D4D67EB"/>
    <w:rsid w:val="0D5743BE"/>
    <w:rsid w:val="0D5E13E2"/>
    <w:rsid w:val="0D7C1B9A"/>
    <w:rsid w:val="0D816A13"/>
    <w:rsid w:val="0D8C1A3D"/>
    <w:rsid w:val="0DAC2286"/>
    <w:rsid w:val="0DC30B1C"/>
    <w:rsid w:val="0DD018A6"/>
    <w:rsid w:val="0E074C78"/>
    <w:rsid w:val="0E102C7A"/>
    <w:rsid w:val="0E1176FC"/>
    <w:rsid w:val="0E1307A7"/>
    <w:rsid w:val="0E200A4F"/>
    <w:rsid w:val="0E29578B"/>
    <w:rsid w:val="0E4772F7"/>
    <w:rsid w:val="0E5301D8"/>
    <w:rsid w:val="0E835218"/>
    <w:rsid w:val="0EB56FC2"/>
    <w:rsid w:val="0EBC752E"/>
    <w:rsid w:val="0ECB1794"/>
    <w:rsid w:val="0EDA1AE7"/>
    <w:rsid w:val="0EE657D2"/>
    <w:rsid w:val="0EF650E6"/>
    <w:rsid w:val="0EFE4D07"/>
    <w:rsid w:val="0F14665F"/>
    <w:rsid w:val="0F2D7C84"/>
    <w:rsid w:val="0F311C1E"/>
    <w:rsid w:val="0F5128EF"/>
    <w:rsid w:val="0F5E7904"/>
    <w:rsid w:val="10101626"/>
    <w:rsid w:val="106347E3"/>
    <w:rsid w:val="106D67FA"/>
    <w:rsid w:val="108D1B43"/>
    <w:rsid w:val="109C3B68"/>
    <w:rsid w:val="10A01FAF"/>
    <w:rsid w:val="11001B16"/>
    <w:rsid w:val="11091FF6"/>
    <w:rsid w:val="118E7E2D"/>
    <w:rsid w:val="11BB3DB9"/>
    <w:rsid w:val="121230E7"/>
    <w:rsid w:val="124059B5"/>
    <w:rsid w:val="124D5887"/>
    <w:rsid w:val="124D6545"/>
    <w:rsid w:val="124E143B"/>
    <w:rsid w:val="126848A9"/>
    <w:rsid w:val="128D72F1"/>
    <w:rsid w:val="12C3542E"/>
    <w:rsid w:val="12CA3C3B"/>
    <w:rsid w:val="12CB7E83"/>
    <w:rsid w:val="12D27594"/>
    <w:rsid w:val="13094DAF"/>
    <w:rsid w:val="13260BBF"/>
    <w:rsid w:val="13485443"/>
    <w:rsid w:val="135066BA"/>
    <w:rsid w:val="13A02F43"/>
    <w:rsid w:val="13B16C25"/>
    <w:rsid w:val="13C643AB"/>
    <w:rsid w:val="13CF0E99"/>
    <w:rsid w:val="13E74526"/>
    <w:rsid w:val="13F9306C"/>
    <w:rsid w:val="14091E1F"/>
    <w:rsid w:val="140F7DC5"/>
    <w:rsid w:val="14161036"/>
    <w:rsid w:val="14187D70"/>
    <w:rsid w:val="14253C5F"/>
    <w:rsid w:val="14595BA8"/>
    <w:rsid w:val="146153FD"/>
    <w:rsid w:val="149E133C"/>
    <w:rsid w:val="14EF1BFD"/>
    <w:rsid w:val="150D41C9"/>
    <w:rsid w:val="151D4F5D"/>
    <w:rsid w:val="1571362E"/>
    <w:rsid w:val="15744E38"/>
    <w:rsid w:val="15760A2E"/>
    <w:rsid w:val="15B97C12"/>
    <w:rsid w:val="15D04E05"/>
    <w:rsid w:val="15FD27D4"/>
    <w:rsid w:val="161912A6"/>
    <w:rsid w:val="166B741A"/>
    <w:rsid w:val="1685198B"/>
    <w:rsid w:val="17490991"/>
    <w:rsid w:val="17796F3C"/>
    <w:rsid w:val="177F24CB"/>
    <w:rsid w:val="179D0F53"/>
    <w:rsid w:val="17CA5ABB"/>
    <w:rsid w:val="17CD33FE"/>
    <w:rsid w:val="17DB6301"/>
    <w:rsid w:val="18905679"/>
    <w:rsid w:val="18AF4374"/>
    <w:rsid w:val="18AF5EA7"/>
    <w:rsid w:val="18B11263"/>
    <w:rsid w:val="18E179F1"/>
    <w:rsid w:val="1912550A"/>
    <w:rsid w:val="191C6556"/>
    <w:rsid w:val="191D238C"/>
    <w:rsid w:val="19347DBA"/>
    <w:rsid w:val="1968429B"/>
    <w:rsid w:val="19B74478"/>
    <w:rsid w:val="19EC50AF"/>
    <w:rsid w:val="1A25010C"/>
    <w:rsid w:val="1A416D70"/>
    <w:rsid w:val="1A630E17"/>
    <w:rsid w:val="1AC02B4F"/>
    <w:rsid w:val="1AC843D1"/>
    <w:rsid w:val="1B0F22ED"/>
    <w:rsid w:val="1B186450"/>
    <w:rsid w:val="1B1D321B"/>
    <w:rsid w:val="1B7455BC"/>
    <w:rsid w:val="1B923271"/>
    <w:rsid w:val="1B937493"/>
    <w:rsid w:val="1B9A011C"/>
    <w:rsid w:val="1BAF04DD"/>
    <w:rsid w:val="1BB362B8"/>
    <w:rsid w:val="1BB66941"/>
    <w:rsid w:val="1BD47636"/>
    <w:rsid w:val="1BFE209C"/>
    <w:rsid w:val="1C104823"/>
    <w:rsid w:val="1C375BAD"/>
    <w:rsid w:val="1C3D499F"/>
    <w:rsid w:val="1C586BE0"/>
    <w:rsid w:val="1C8C1D3F"/>
    <w:rsid w:val="1CD9517D"/>
    <w:rsid w:val="1CFD35E4"/>
    <w:rsid w:val="1D892B5F"/>
    <w:rsid w:val="1DD329F1"/>
    <w:rsid w:val="1DD417D5"/>
    <w:rsid w:val="1DDA69C8"/>
    <w:rsid w:val="1E0359B4"/>
    <w:rsid w:val="1E5B5580"/>
    <w:rsid w:val="1E62577E"/>
    <w:rsid w:val="1EA344A6"/>
    <w:rsid w:val="1EC045C8"/>
    <w:rsid w:val="1ED04851"/>
    <w:rsid w:val="1EE446AC"/>
    <w:rsid w:val="1EE719FA"/>
    <w:rsid w:val="1F316E0A"/>
    <w:rsid w:val="1F3A703A"/>
    <w:rsid w:val="1F3E0C43"/>
    <w:rsid w:val="1F4B2D4D"/>
    <w:rsid w:val="1F4F2BAE"/>
    <w:rsid w:val="1F672CA3"/>
    <w:rsid w:val="1FA83069"/>
    <w:rsid w:val="1FBC6C98"/>
    <w:rsid w:val="2000144F"/>
    <w:rsid w:val="201D6076"/>
    <w:rsid w:val="20356B70"/>
    <w:rsid w:val="205A0252"/>
    <w:rsid w:val="205C09D7"/>
    <w:rsid w:val="20740210"/>
    <w:rsid w:val="20824AF7"/>
    <w:rsid w:val="20AE718C"/>
    <w:rsid w:val="21125582"/>
    <w:rsid w:val="211B36AD"/>
    <w:rsid w:val="21236BA0"/>
    <w:rsid w:val="2148661F"/>
    <w:rsid w:val="21962553"/>
    <w:rsid w:val="21A81616"/>
    <w:rsid w:val="21AC18FE"/>
    <w:rsid w:val="21E12578"/>
    <w:rsid w:val="220C0736"/>
    <w:rsid w:val="222C2022"/>
    <w:rsid w:val="224A3B85"/>
    <w:rsid w:val="22556EB1"/>
    <w:rsid w:val="226421EF"/>
    <w:rsid w:val="226A498F"/>
    <w:rsid w:val="22754FCD"/>
    <w:rsid w:val="22A4447A"/>
    <w:rsid w:val="22BC477F"/>
    <w:rsid w:val="23205C75"/>
    <w:rsid w:val="2352779F"/>
    <w:rsid w:val="235E5C3B"/>
    <w:rsid w:val="23706BDC"/>
    <w:rsid w:val="23747367"/>
    <w:rsid w:val="238369D4"/>
    <w:rsid w:val="239D36C4"/>
    <w:rsid w:val="23AA59FE"/>
    <w:rsid w:val="23CD513F"/>
    <w:rsid w:val="23CD600C"/>
    <w:rsid w:val="23E725E9"/>
    <w:rsid w:val="23FF4ECD"/>
    <w:rsid w:val="242D4ECD"/>
    <w:rsid w:val="24956E9E"/>
    <w:rsid w:val="24A96C01"/>
    <w:rsid w:val="25380E0C"/>
    <w:rsid w:val="253F083C"/>
    <w:rsid w:val="25556B95"/>
    <w:rsid w:val="25706F5C"/>
    <w:rsid w:val="25875905"/>
    <w:rsid w:val="259577B6"/>
    <w:rsid w:val="25AB57DB"/>
    <w:rsid w:val="25BA3751"/>
    <w:rsid w:val="25C72663"/>
    <w:rsid w:val="26094132"/>
    <w:rsid w:val="262B692C"/>
    <w:rsid w:val="263964DF"/>
    <w:rsid w:val="263B1383"/>
    <w:rsid w:val="265E2072"/>
    <w:rsid w:val="26AA25D1"/>
    <w:rsid w:val="26C11D95"/>
    <w:rsid w:val="27010662"/>
    <w:rsid w:val="271C1E98"/>
    <w:rsid w:val="276872BD"/>
    <w:rsid w:val="276F42E7"/>
    <w:rsid w:val="27937390"/>
    <w:rsid w:val="27B16EF7"/>
    <w:rsid w:val="27B97C6A"/>
    <w:rsid w:val="27E8239B"/>
    <w:rsid w:val="27FF6986"/>
    <w:rsid w:val="280A169C"/>
    <w:rsid w:val="282F2901"/>
    <w:rsid w:val="28372F42"/>
    <w:rsid w:val="28514A4B"/>
    <w:rsid w:val="2862061B"/>
    <w:rsid w:val="28952803"/>
    <w:rsid w:val="28A71C66"/>
    <w:rsid w:val="28E20375"/>
    <w:rsid w:val="28F87F82"/>
    <w:rsid w:val="29042D90"/>
    <w:rsid w:val="291E1CE4"/>
    <w:rsid w:val="293D4D17"/>
    <w:rsid w:val="29472B26"/>
    <w:rsid w:val="29482350"/>
    <w:rsid w:val="294C0C4E"/>
    <w:rsid w:val="295E2571"/>
    <w:rsid w:val="29877DD0"/>
    <w:rsid w:val="29FA7F25"/>
    <w:rsid w:val="2A38316F"/>
    <w:rsid w:val="2A42469C"/>
    <w:rsid w:val="2A42780B"/>
    <w:rsid w:val="2A5538CF"/>
    <w:rsid w:val="2A7E1048"/>
    <w:rsid w:val="2A836B4E"/>
    <w:rsid w:val="2A8C2D08"/>
    <w:rsid w:val="2A97149D"/>
    <w:rsid w:val="2AB124FA"/>
    <w:rsid w:val="2AB14A21"/>
    <w:rsid w:val="2AEF60F0"/>
    <w:rsid w:val="2B1B18EF"/>
    <w:rsid w:val="2B240E85"/>
    <w:rsid w:val="2B42795F"/>
    <w:rsid w:val="2B69044C"/>
    <w:rsid w:val="2B6A3203"/>
    <w:rsid w:val="2BA81A59"/>
    <w:rsid w:val="2BA84622"/>
    <w:rsid w:val="2BB31E5B"/>
    <w:rsid w:val="2BC12CA4"/>
    <w:rsid w:val="2CA9493B"/>
    <w:rsid w:val="2CC52DD3"/>
    <w:rsid w:val="2D0F01EA"/>
    <w:rsid w:val="2D186657"/>
    <w:rsid w:val="2D212EDB"/>
    <w:rsid w:val="2D431BE3"/>
    <w:rsid w:val="2D6258B9"/>
    <w:rsid w:val="2D7F1442"/>
    <w:rsid w:val="2D9B03B1"/>
    <w:rsid w:val="2DAB517F"/>
    <w:rsid w:val="2DF41072"/>
    <w:rsid w:val="2E1D77A7"/>
    <w:rsid w:val="2E23266C"/>
    <w:rsid w:val="2E4219C0"/>
    <w:rsid w:val="2E80760F"/>
    <w:rsid w:val="2EC47199"/>
    <w:rsid w:val="2EE528A1"/>
    <w:rsid w:val="2F097F8F"/>
    <w:rsid w:val="2F183C68"/>
    <w:rsid w:val="2F432606"/>
    <w:rsid w:val="2F966881"/>
    <w:rsid w:val="2F9F6C54"/>
    <w:rsid w:val="2FA91852"/>
    <w:rsid w:val="2FC7512C"/>
    <w:rsid w:val="30141859"/>
    <w:rsid w:val="301C30D6"/>
    <w:rsid w:val="30281193"/>
    <w:rsid w:val="307C49A9"/>
    <w:rsid w:val="307F51B9"/>
    <w:rsid w:val="30817232"/>
    <w:rsid w:val="30854963"/>
    <w:rsid w:val="30902C84"/>
    <w:rsid w:val="30A12174"/>
    <w:rsid w:val="30D70772"/>
    <w:rsid w:val="30DD54B5"/>
    <w:rsid w:val="30EF4995"/>
    <w:rsid w:val="310B6B48"/>
    <w:rsid w:val="31661E47"/>
    <w:rsid w:val="316D1F3D"/>
    <w:rsid w:val="317A7012"/>
    <w:rsid w:val="3185788E"/>
    <w:rsid w:val="31B93802"/>
    <w:rsid w:val="31F42C06"/>
    <w:rsid w:val="321A68F5"/>
    <w:rsid w:val="32325C84"/>
    <w:rsid w:val="323D72A5"/>
    <w:rsid w:val="32572A39"/>
    <w:rsid w:val="32784477"/>
    <w:rsid w:val="32B22740"/>
    <w:rsid w:val="32D1709B"/>
    <w:rsid w:val="33304EEB"/>
    <w:rsid w:val="33626002"/>
    <w:rsid w:val="336F1D6C"/>
    <w:rsid w:val="33710399"/>
    <w:rsid w:val="33821BE3"/>
    <w:rsid w:val="33A518A0"/>
    <w:rsid w:val="33C04163"/>
    <w:rsid w:val="33C14F4B"/>
    <w:rsid w:val="33C45D91"/>
    <w:rsid w:val="33CB536B"/>
    <w:rsid w:val="33D1572C"/>
    <w:rsid w:val="341B2639"/>
    <w:rsid w:val="343C5158"/>
    <w:rsid w:val="34507073"/>
    <w:rsid w:val="346D2C5E"/>
    <w:rsid w:val="34872650"/>
    <w:rsid w:val="34B042BC"/>
    <w:rsid w:val="34B11B9C"/>
    <w:rsid w:val="34CE5A7A"/>
    <w:rsid w:val="34D050B4"/>
    <w:rsid w:val="34D75565"/>
    <w:rsid w:val="34E72268"/>
    <w:rsid w:val="352F4005"/>
    <w:rsid w:val="354E2806"/>
    <w:rsid w:val="357E1295"/>
    <w:rsid w:val="35AB04F9"/>
    <w:rsid w:val="35C5416A"/>
    <w:rsid w:val="35CD3200"/>
    <w:rsid w:val="35E015B3"/>
    <w:rsid w:val="35FA6981"/>
    <w:rsid w:val="360E0743"/>
    <w:rsid w:val="36213E10"/>
    <w:rsid w:val="36221A0D"/>
    <w:rsid w:val="362F0356"/>
    <w:rsid w:val="36395B16"/>
    <w:rsid w:val="36536945"/>
    <w:rsid w:val="365F6893"/>
    <w:rsid w:val="36605023"/>
    <w:rsid w:val="36890355"/>
    <w:rsid w:val="36D542F1"/>
    <w:rsid w:val="36E52653"/>
    <w:rsid w:val="36F3720B"/>
    <w:rsid w:val="37002228"/>
    <w:rsid w:val="370E5E5D"/>
    <w:rsid w:val="372A5799"/>
    <w:rsid w:val="37683B62"/>
    <w:rsid w:val="37CA7EA7"/>
    <w:rsid w:val="37EB144A"/>
    <w:rsid w:val="3870148F"/>
    <w:rsid w:val="38995887"/>
    <w:rsid w:val="38AF4AD3"/>
    <w:rsid w:val="38C616D1"/>
    <w:rsid w:val="38DB1E7D"/>
    <w:rsid w:val="38E20250"/>
    <w:rsid w:val="38EE2472"/>
    <w:rsid w:val="38EE7184"/>
    <w:rsid w:val="390300A3"/>
    <w:rsid w:val="392D6D69"/>
    <w:rsid w:val="39644FD7"/>
    <w:rsid w:val="396614C8"/>
    <w:rsid w:val="39726A6B"/>
    <w:rsid w:val="39EF4880"/>
    <w:rsid w:val="39F10F63"/>
    <w:rsid w:val="39FB6E5C"/>
    <w:rsid w:val="3A765423"/>
    <w:rsid w:val="3AAE6D86"/>
    <w:rsid w:val="3AB86A62"/>
    <w:rsid w:val="3ACD4326"/>
    <w:rsid w:val="3AE3528E"/>
    <w:rsid w:val="3AED7D56"/>
    <w:rsid w:val="3AF95F4A"/>
    <w:rsid w:val="3AFD539A"/>
    <w:rsid w:val="3B1159BB"/>
    <w:rsid w:val="3B177A95"/>
    <w:rsid w:val="3B2353AA"/>
    <w:rsid w:val="3B381BC5"/>
    <w:rsid w:val="3B3E0C8C"/>
    <w:rsid w:val="3B4D64E3"/>
    <w:rsid w:val="3B4E1099"/>
    <w:rsid w:val="3B58147E"/>
    <w:rsid w:val="3B6A7864"/>
    <w:rsid w:val="3BBB512B"/>
    <w:rsid w:val="3BD61C83"/>
    <w:rsid w:val="3CAD0516"/>
    <w:rsid w:val="3CAD2CDD"/>
    <w:rsid w:val="3CCC1DE5"/>
    <w:rsid w:val="3CE023B5"/>
    <w:rsid w:val="3D160B61"/>
    <w:rsid w:val="3D3B6886"/>
    <w:rsid w:val="3D3D638C"/>
    <w:rsid w:val="3D554540"/>
    <w:rsid w:val="3DAE63B5"/>
    <w:rsid w:val="3DB557FF"/>
    <w:rsid w:val="3DBE6CD2"/>
    <w:rsid w:val="3DD72CDB"/>
    <w:rsid w:val="3DFD72B5"/>
    <w:rsid w:val="3E007AAC"/>
    <w:rsid w:val="3E076332"/>
    <w:rsid w:val="3E2C2B77"/>
    <w:rsid w:val="3E380818"/>
    <w:rsid w:val="3E524E74"/>
    <w:rsid w:val="3E644463"/>
    <w:rsid w:val="3E773461"/>
    <w:rsid w:val="3EAA292D"/>
    <w:rsid w:val="3EB543B0"/>
    <w:rsid w:val="3ECF0D69"/>
    <w:rsid w:val="3EDA6E7D"/>
    <w:rsid w:val="3EE9570B"/>
    <w:rsid w:val="3F270859"/>
    <w:rsid w:val="3F522828"/>
    <w:rsid w:val="3F637943"/>
    <w:rsid w:val="3F757EE5"/>
    <w:rsid w:val="3F832607"/>
    <w:rsid w:val="3F9E02A4"/>
    <w:rsid w:val="3FAE1271"/>
    <w:rsid w:val="3FBD727F"/>
    <w:rsid w:val="3FC65C7A"/>
    <w:rsid w:val="3FC96A23"/>
    <w:rsid w:val="3FDB1230"/>
    <w:rsid w:val="3FDB2DD2"/>
    <w:rsid w:val="3FEB0676"/>
    <w:rsid w:val="3FED1E46"/>
    <w:rsid w:val="3FEE2C96"/>
    <w:rsid w:val="40006F9D"/>
    <w:rsid w:val="404023E0"/>
    <w:rsid w:val="405D056A"/>
    <w:rsid w:val="40AB21D2"/>
    <w:rsid w:val="40B16D7C"/>
    <w:rsid w:val="40CE19C3"/>
    <w:rsid w:val="40DF5EA1"/>
    <w:rsid w:val="40E328B7"/>
    <w:rsid w:val="41052E4A"/>
    <w:rsid w:val="410631CD"/>
    <w:rsid w:val="416C593F"/>
    <w:rsid w:val="416E2FB7"/>
    <w:rsid w:val="41827C7E"/>
    <w:rsid w:val="41935ECD"/>
    <w:rsid w:val="41E42359"/>
    <w:rsid w:val="424B3A8E"/>
    <w:rsid w:val="425E5073"/>
    <w:rsid w:val="425E55E7"/>
    <w:rsid w:val="42926712"/>
    <w:rsid w:val="430D6899"/>
    <w:rsid w:val="432A120D"/>
    <w:rsid w:val="434E4E72"/>
    <w:rsid w:val="43742E2C"/>
    <w:rsid w:val="438947DA"/>
    <w:rsid w:val="43E715A4"/>
    <w:rsid w:val="443D2515"/>
    <w:rsid w:val="44606D62"/>
    <w:rsid w:val="44646D91"/>
    <w:rsid w:val="44846CCA"/>
    <w:rsid w:val="44861D73"/>
    <w:rsid w:val="448C1390"/>
    <w:rsid w:val="44927D8E"/>
    <w:rsid w:val="44CC0356"/>
    <w:rsid w:val="44E51A8A"/>
    <w:rsid w:val="450D49F5"/>
    <w:rsid w:val="450D7EF6"/>
    <w:rsid w:val="450F2305"/>
    <w:rsid w:val="45205963"/>
    <w:rsid w:val="456320C4"/>
    <w:rsid w:val="457E7A18"/>
    <w:rsid w:val="45CE60BC"/>
    <w:rsid w:val="45D846DA"/>
    <w:rsid w:val="45DA1D97"/>
    <w:rsid w:val="460B76CF"/>
    <w:rsid w:val="46905952"/>
    <w:rsid w:val="469F5203"/>
    <w:rsid w:val="46A9213D"/>
    <w:rsid w:val="46CA5F08"/>
    <w:rsid w:val="4714279A"/>
    <w:rsid w:val="47303E28"/>
    <w:rsid w:val="473D79A9"/>
    <w:rsid w:val="474478DB"/>
    <w:rsid w:val="478720DA"/>
    <w:rsid w:val="47911DC1"/>
    <w:rsid w:val="47A02873"/>
    <w:rsid w:val="48077426"/>
    <w:rsid w:val="48115D4F"/>
    <w:rsid w:val="484247E1"/>
    <w:rsid w:val="486370CF"/>
    <w:rsid w:val="488D487F"/>
    <w:rsid w:val="489150CE"/>
    <w:rsid w:val="48D2745D"/>
    <w:rsid w:val="48DB56FE"/>
    <w:rsid w:val="48E966A3"/>
    <w:rsid w:val="48F04EAD"/>
    <w:rsid w:val="490457E5"/>
    <w:rsid w:val="492C45E3"/>
    <w:rsid w:val="49531C48"/>
    <w:rsid w:val="499A0CCA"/>
    <w:rsid w:val="49A96108"/>
    <w:rsid w:val="49B17395"/>
    <w:rsid w:val="49BC6F2C"/>
    <w:rsid w:val="49BF3DC3"/>
    <w:rsid w:val="49C13BDB"/>
    <w:rsid w:val="49EB6AD4"/>
    <w:rsid w:val="4A1F7CEB"/>
    <w:rsid w:val="4A273FF4"/>
    <w:rsid w:val="4A426F04"/>
    <w:rsid w:val="4A571809"/>
    <w:rsid w:val="4A5C6C0A"/>
    <w:rsid w:val="4A605FBC"/>
    <w:rsid w:val="4A904138"/>
    <w:rsid w:val="4AA94365"/>
    <w:rsid w:val="4AB11BF7"/>
    <w:rsid w:val="4AB703CB"/>
    <w:rsid w:val="4AD050DB"/>
    <w:rsid w:val="4B2916A9"/>
    <w:rsid w:val="4B3C641E"/>
    <w:rsid w:val="4B553E21"/>
    <w:rsid w:val="4B676513"/>
    <w:rsid w:val="4BA82685"/>
    <w:rsid w:val="4BD032CC"/>
    <w:rsid w:val="4C035388"/>
    <w:rsid w:val="4C097BBC"/>
    <w:rsid w:val="4C0F3D94"/>
    <w:rsid w:val="4C1C4627"/>
    <w:rsid w:val="4C390729"/>
    <w:rsid w:val="4C4609BF"/>
    <w:rsid w:val="4C4909B1"/>
    <w:rsid w:val="4C616E7E"/>
    <w:rsid w:val="4C723E88"/>
    <w:rsid w:val="4C7265CA"/>
    <w:rsid w:val="4C8352D1"/>
    <w:rsid w:val="4CBD745F"/>
    <w:rsid w:val="4CDE7B9E"/>
    <w:rsid w:val="4D163790"/>
    <w:rsid w:val="4D1F74CC"/>
    <w:rsid w:val="4D45033D"/>
    <w:rsid w:val="4D456360"/>
    <w:rsid w:val="4D7C38FD"/>
    <w:rsid w:val="4D8637E6"/>
    <w:rsid w:val="4DED5CA8"/>
    <w:rsid w:val="4DF770C8"/>
    <w:rsid w:val="4E940529"/>
    <w:rsid w:val="4E9422F8"/>
    <w:rsid w:val="4E9A5DD6"/>
    <w:rsid w:val="4EC53713"/>
    <w:rsid w:val="4EF31B01"/>
    <w:rsid w:val="4F0963E0"/>
    <w:rsid w:val="4F1333F7"/>
    <w:rsid w:val="4F3430A3"/>
    <w:rsid w:val="4F3437AA"/>
    <w:rsid w:val="4F726F26"/>
    <w:rsid w:val="4FC83FB6"/>
    <w:rsid w:val="500605D5"/>
    <w:rsid w:val="50117033"/>
    <w:rsid w:val="50167644"/>
    <w:rsid w:val="50177C08"/>
    <w:rsid w:val="50351EEB"/>
    <w:rsid w:val="504D2D8F"/>
    <w:rsid w:val="506B5C86"/>
    <w:rsid w:val="50884351"/>
    <w:rsid w:val="508C0AEE"/>
    <w:rsid w:val="509945F9"/>
    <w:rsid w:val="50A3174B"/>
    <w:rsid w:val="50AA602A"/>
    <w:rsid w:val="50B50EE4"/>
    <w:rsid w:val="50B52F4E"/>
    <w:rsid w:val="50D711F2"/>
    <w:rsid w:val="50E31904"/>
    <w:rsid w:val="5109743B"/>
    <w:rsid w:val="511A4CA8"/>
    <w:rsid w:val="51472C73"/>
    <w:rsid w:val="51537A39"/>
    <w:rsid w:val="516A7D5C"/>
    <w:rsid w:val="517944E3"/>
    <w:rsid w:val="518968FE"/>
    <w:rsid w:val="51AB6DCE"/>
    <w:rsid w:val="51CE2237"/>
    <w:rsid w:val="51D72075"/>
    <w:rsid w:val="51FF3824"/>
    <w:rsid w:val="523E21B8"/>
    <w:rsid w:val="524B23DF"/>
    <w:rsid w:val="525317DF"/>
    <w:rsid w:val="52687877"/>
    <w:rsid w:val="528948C2"/>
    <w:rsid w:val="529C4060"/>
    <w:rsid w:val="52A37FBC"/>
    <w:rsid w:val="52BC4CDD"/>
    <w:rsid w:val="52C13BB8"/>
    <w:rsid w:val="52CC160A"/>
    <w:rsid w:val="52E374DA"/>
    <w:rsid w:val="52F65FD8"/>
    <w:rsid w:val="5306256E"/>
    <w:rsid w:val="530A3B95"/>
    <w:rsid w:val="53255E4B"/>
    <w:rsid w:val="534014A9"/>
    <w:rsid w:val="5353696C"/>
    <w:rsid w:val="535F46E9"/>
    <w:rsid w:val="53732168"/>
    <w:rsid w:val="53891A4C"/>
    <w:rsid w:val="53931C10"/>
    <w:rsid w:val="53A51ED1"/>
    <w:rsid w:val="53B64FBB"/>
    <w:rsid w:val="53E42549"/>
    <w:rsid w:val="541C5E2A"/>
    <w:rsid w:val="545B199A"/>
    <w:rsid w:val="546A6AF2"/>
    <w:rsid w:val="547B1050"/>
    <w:rsid w:val="54885B94"/>
    <w:rsid w:val="54926FD0"/>
    <w:rsid w:val="54DF1E30"/>
    <w:rsid w:val="552B53AA"/>
    <w:rsid w:val="55341E39"/>
    <w:rsid w:val="554A4CF0"/>
    <w:rsid w:val="560276E0"/>
    <w:rsid w:val="56097230"/>
    <w:rsid w:val="563424B2"/>
    <w:rsid w:val="5657157A"/>
    <w:rsid w:val="56B8614F"/>
    <w:rsid w:val="56BC5666"/>
    <w:rsid w:val="56EE6AB8"/>
    <w:rsid w:val="56F6534A"/>
    <w:rsid w:val="57153789"/>
    <w:rsid w:val="57240817"/>
    <w:rsid w:val="5737484D"/>
    <w:rsid w:val="5742756C"/>
    <w:rsid w:val="574633B2"/>
    <w:rsid w:val="576B17CC"/>
    <w:rsid w:val="57716386"/>
    <w:rsid w:val="57DF45BE"/>
    <w:rsid w:val="57F1362C"/>
    <w:rsid w:val="580A22E1"/>
    <w:rsid w:val="580A32BC"/>
    <w:rsid w:val="581B3FBA"/>
    <w:rsid w:val="582A7BB9"/>
    <w:rsid w:val="582D50CF"/>
    <w:rsid w:val="584B0222"/>
    <w:rsid w:val="585A7BDC"/>
    <w:rsid w:val="585D3D4F"/>
    <w:rsid w:val="58944425"/>
    <w:rsid w:val="58DE29C8"/>
    <w:rsid w:val="58DF1921"/>
    <w:rsid w:val="58FF0F10"/>
    <w:rsid w:val="590C59C7"/>
    <w:rsid w:val="591D711B"/>
    <w:rsid w:val="591F048B"/>
    <w:rsid w:val="59210633"/>
    <w:rsid w:val="597E4792"/>
    <w:rsid w:val="59833FD8"/>
    <w:rsid w:val="59BC0E55"/>
    <w:rsid w:val="59C16777"/>
    <w:rsid w:val="59EA4480"/>
    <w:rsid w:val="59FD40CE"/>
    <w:rsid w:val="5A0F3C2D"/>
    <w:rsid w:val="5A7002A5"/>
    <w:rsid w:val="5A8878BE"/>
    <w:rsid w:val="5A8C6359"/>
    <w:rsid w:val="5AAC6D55"/>
    <w:rsid w:val="5ABB6F5D"/>
    <w:rsid w:val="5AE05555"/>
    <w:rsid w:val="5B0F0BD2"/>
    <w:rsid w:val="5B5623B3"/>
    <w:rsid w:val="5B693FC4"/>
    <w:rsid w:val="5B756B70"/>
    <w:rsid w:val="5B98648A"/>
    <w:rsid w:val="5BB037CF"/>
    <w:rsid w:val="5BB743B3"/>
    <w:rsid w:val="5BC10EF6"/>
    <w:rsid w:val="5BCA5771"/>
    <w:rsid w:val="5C1F4D54"/>
    <w:rsid w:val="5C3A51A5"/>
    <w:rsid w:val="5C52732F"/>
    <w:rsid w:val="5C7C42BA"/>
    <w:rsid w:val="5C8B3E9E"/>
    <w:rsid w:val="5CA5382F"/>
    <w:rsid w:val="5CB35D44"/>
    <w:rsid w:val="5CF73E06"/>
    <w:rsid w:val="5D094EA1"/>
    <w:rsid w:val="5D1607E9"/>
    <w:rsid w:val="5D2611DD"/>
    <w:rsid w:val="5D4F17B8"/>
    <w:rsid w:val="5D4F73C0"/>
    <w:rsid w:val="5D69437A"/>
    <w:rsid w:val="5D722DD9"/>
    <w:rsid w:val="5D87263A"/>
    <w:rsid w:val="5D8E3786"/>
    <w:rsid w:val="5D9E0F02"/>
    <w:rsid w:val="5D9F75AC"/>
    <w:rsid w:val="5DE50A4B"/>
    <w:rsid w:val="5E0853F7"/>
    <w:rsid w:val="5E272098"/>
    <w:rsid w:val="5E2A3271"/>
    <w:rsid w:val="5E470517"/>
    <w:rsid w:val="5E546622"/>
    <w:rsid w:val="5E6363BD"/>
    <w:rsid w:val="5E763D9D"/>
    <w:rsid w:val="5EA53775"/>
    <w:rsid w:val="5EB841A2"/>
    <w:rsid w:val="5EC61456"/>
    <w:rsid w:val="5EC90894"/>
    <w:rsid w:val="5EC93E79"/>
    <w:rsid w:val="5F000E89"/>
    <w:rsid w:val="5F0D4D8D"/>
    <w:rsid w:val="5F360789"/>
    <w:rsid w:val="5F3D1EB9"/>
    <w:rsid w:val="5F454F37"/>
    <w:rsid w:val="5F5F26BB"/>
    <w:rsid w:val="5F6B3E06"/>
    <w:rsid w:val="5FA3502C"/>
    <w:rsid w:val="5FB7393A"/>
    <w:rsid w:val="5FBD1168"/>
    <w:rsid w:val="5FCB7D80"/>
    <w:rsid w:val="60001A13"/>
    <w:rsid w:val="6007540C"/>
    <w:rsid w:val="603404AA"/>
    <w:rsid w:val="60421C5F"/>
    <w:rsid w:val="605A0429"/>
    <w:rsid w:val="60645481"/>
    <w:rsid w:val="60647BFD"/>
    <w:rsid w:val="60A34BDD"/>
    <w:rsid w:val="60B40393"/>
    <w:rsid w:val="60F20DA2"/>
    <w:rsid w:val="60F801B1"/>
    <w:rsid w:val="60FC05E4"/>
    <w:rsid w:val="60FF5492"/>
    <w:rsid w:val="61310950"/>
    <w:rsid w:val="613D1C13"/>
    <w:rsid w:val="614D73EF"/>
    <w:rsid w:val="61550570"/>
    <w:rsid w:val="615D1669"/>
    <w:rsid w:val="616A7583"/>
    <w:rsid w:val="61785C83"/>
    <w:rsid w:val="61AC475C"/>
    <w:rsid w:val="61C41E36"/>
    <w:rsid w:val="61C84EA3"/>
    <w:rsid w:val="61D64D13"/>
    <w:rsid w:val="6202333A"/>
    <w:rsid w:val="62156C2C"/>
    <w:rsid w:val="622A1920"/>
    <w:rsid w:val="62315190"/>
    <w:rsid w:val="6255373B"/>
    <w:rsid w:val="62763734"/>
    <w:rsid w:val="627A7053"/>
    <w:rsid w:val="627D3735"/>
    <w:rsid w:val="62943E5E"/>
    <w:rsid w:val="62B6154D"/>
    <w:rsid w:val="62D82069"/>
    <w:rsid w:val="62EC19BF"/>
    <w:rsid w:val="62FF41DD"/>
    <w:rsid w:val="63070209"/>
    <w:rsid w:val="63171C29"/>
    <w:rsid w:val="632B457F"/>
    <w:rsid w:val="633E30E5"/>
    <w:rsid w:val="63410CB0"/>
    <w:rsid w:val="635F30C9"/>
    <w:rsid w:val="6376421B"/>
    <w:rsid w:val="63A14649"/>
    <w:rsid w:val="64121605"/>
    <w:rsid w:val="641C6D6C"/>
    <w:rsid w:val="641E0400"/>
    <w:rsid w:val="642B39AE"/>
    <w:rsid w:val="646C4F36"/>
    <w:rsid w:val="647667B0"/>
    <w:rsid w:val="648611E1"/>
    <w:rsid w:val="64A16F6E"/>
    <w:rsid w:val="64BA70A6"/>
    <w:rsid w:val="64DD357A"/>
    <w:rsid w:val="652E6875"/>
    <w:rsid w:val="65525A53"/>
    <w:rsid w:val="65527942"/>
    <w:rsid w:val="6570336E"/>
    <w:rsid w:val="657B0A4D"/>
    <w:rsid w:val="659754AE"/>
    <w:rsid w:val="65DC213B"/>
    <w:rsid w:val="65FB796E"/>
    <w:rsid w:val="66170E4A"/>
    <w:rsid w:val="663A0BCF"/>
    <w:rsid w:val="66584BA0"/>
    <w:rsid w:val="666E0F95"/>
    <w:rsid w:val="667140B7"/>
    <w:rsid w:val="6684396C"/>
    <w:rsid w:val="66A56E91"/>
    <w:rsid w:val="66A654F2"/>
    <w:rsid w:val="66C61962"/>
    <w:rsid w:val="66D93D63"/>
    <w:rsid w:val="6769799D"/>
    <w:rsid w:val="678E21FF"/>
    <w:rsid w:val="67E2710E"/>
    <w:rsid w:val="682C005E"/>
    <w:rsid w:val="6846787F"/>
    <w:rsid w:val="68696F27"/>
    <w:rsid w:val="68726871"/>
    <w:rsid w:val="688860E4"/>
    <w:rsid w:val="688A3454"/>
    <w:rsid w:val="68963E7C"/>
    <w:rsid w:val="689C3323"/>
    <w:rsid w:val="68D7355D"/>
    <w:rsid w:val="69451CB2"/>
    <w:rsid w:val="69933EDF"/>
    <w:rsid w:val="6996001B"/>
    <w:rsid w:val="69E07FE3"/>
    <w:rsid w:val="69E8026B"/>
    <w:rsid w:val="6A215ACD"/>
    <w:rsid w:val="6A217F52"/>
    <w:rsid w:val="6A3D68CB"/>
    <w:rsid w:val="6A3E34E8"/>
    <w:rsid w:val="6A626177"/>
    <w:rsid w:val="6A6943E3"/>
    <w:rsid w:val="6A7D5C16"/>
    <w:rsid w:val="6A90202B"/>
    <w:rsid w:val="6ABC4764"/>
    <w:rsid w:val="6AD3396F"/>
    <w:rsid w:val="6B331C25"/>
    <w:rsid w:val="6B33412D"/>
    <w:rsid w:val="6B370BAB"/>
    <w:rsid w:val="6B40663B"/>
    <w:rsid w:val="6B7A61AC"/>
    <w:rsid w:val="6B8A2D02"/>
    <w:rsid w:val="6B956282"/>
    <w:rsid w:val="6BA613FF"/>
    <w:rsid w:val="6BAD256C"/>
    <w:rsid w:val="6BFD7E2F"/>
    <w:rsid w:val="6BFF2231"/>
    <w:rsid w:val="6C37017D"/>
    <w:rsid w:val="6C502CAA"/>
    <w:rsid w:val="6C862DA7"/>
    <w:rsid w:val="6C983089"/>
    <w:rsid w:val="6C9C4791"/>
    <w:rsid w:val="6CA829E3"/>
    <w:rsid w:val="6CCE1435"/>
    <w:rsid w:val="6D1557D0"/>
    <w:rsid w:val="6D1C024C"/>
    <w:rsid w:val="6D2B338A"/>
    <w:rsid w:val="6D371DD5"/>
    <w:rsid w:val="6D3B2858"/>
    <w:rsid w:val="6D4A6083"/>
    <w:rsid w:val="6D4E67B5"/>
    <w:rsid w:val="6D527C2C"/>
    <w:rsid w:val="6D640B53"/>
    <w:rsid w:val="6D81444F"/>
    <w:rsid w:val="6DBF4DB4"/>
    <w:rsid w:val="6DE42380"/>
    <w:rsid w:val="6DEB4DB9"/>
    <w:rsid w:val="6DF10EB3"/>
    <w:rsid w:val="6E260687"/>
    <w:rsid w:val="6E6A7D64"/>
    <w:rsid w:val="6E9F6F40"/>
    <w:rsid w:val="6EB97487"/>
    <w:rsid w:val="6EC75B57"/>
    <w:rsid w:val="6EE52D44"/>
    <w:rsid w:val="6EE659C1"/>
    <w:rsid w:val="6F0C4669"/>
    <w:rsid w:val="6F104EF4"/>
    <w:rsid w:val="6F2258C7"/>
    <w:rsid w:val="6F2C6965"/>
    <w:rsid w:val="6F336D3A"/>
    <w:rsid w:val="6F4B6615"/>
    <w:rsid w:val="6F4C2D08"/>
    <w:rsid w:val="6FD00656"/>
    <w:rsid w:val="6FD52AB0"/>
    <w:rsid w:val="70076AAC"/>
    <w:rsid w:val="707F2787"/>
    <w:rsid w:val="708E3AF4"/>
    <w:rsid w:val="7090237C"/>
    <w:rsid w:val="709F77A1"/>
    <w:rsid w:val="70AB785E"/>
    <w:rsid w:val="70BF70F7"/>
    <w:rsid w:val="70CA4071"/>
    <w:rsid w:val="70CC0632"/>
    <w:rsid w:val="70E02B02"/>
    <w:rsid w:val="70E22D40"/>
    <w:rsid w:val="70E34884"/>
    <w:rsid w:val="70F83605"/>
    <w:rsid w:val="710B3F24"/>
    <w:rsid w:val="713D37D1"/>
    <w:rsid w:val="714430FF"/>
    <w:rsid w:val="7145444A"/>
    <w:rsid w:val="718206E2"/>
    <w:rsid w:val="71911948"/>
    <w:rsid w:val="71B2443E"/>
    <w:rsid w:val="71BA3D06"/>
    <w:rsid w:val="71D1799D"/>
    <w:rsid w:val="71F00255"/>
    <w:rsid w:val="721529F0"/>
    <w:rsid w:val="721E403E"/>
    <w:rsid w:val="721F502C"/>
    <w:rsid w:val="722478CD"/>
    <w:rsid w:val="72415A07"/>
    <w:rsid w:val="726E1322"/>
    <w:rsid w:val="727B46D2"/>
    <w:rsid w:val="728B545A"/>
    <w:rsid w:val="72AD0783"/>
    <w:rsid w:val="72B55F0D"/>
    <w:rsid w:val="72BC3716"/>
    <w:rsid w:val="72CC2538"/>
    <w:rsid w:val="72DB3F4F"/>
    <w:rsid w:val="73004BA2"/>
    <w:rsid w:val="73246605"/>
    <w:rsid w:val="73517053"/>
    <w:rsid w:val="73794A10"/>
    <w:rsid w:val="737D5AA7"/>
    <w:rsid w:val="738100AB"/>
    <w:rsid w:val="739D7A28"/>
    <w:rsid w:val="739F0A65"/>
    <w:rsid w:val="73B403BC"/>
    <w:rsid w:val="73C73E03"/>
    <w:rsid w:val="74084072"/>
    <w:rsid w:val="7416302A"/>
    <w:rsid w:val="741B1A64"/>
    <w:rsid w:val="7432071A"/>
    <w:rsid w:val="74644531"/>
    <w:rsid w:val="746F747F"/>
    <w:rsid w:val="74A1145C"/>
    <w:rsid w:val="74B028BE"/>
    <w:rsid w:val="74FD31AB"/>
    <w:rsid w:val="7526432C"/>
    <w:rsid w:val="75361B5B"/>
    <w:rsid w:val="753F4EBD"/>
    <w:rsid w:val="75BB2C39"/>
    <w:rsid w:val="75C6153B"/>
    <w:rsid w:val="75CB6ED9"/>
    <w:rsid w:val="75E2474E"/>
    <w:rsid w:val="75F645B3"/>
    <w:rsid w:val="76006A15"/>
    <w:rsid w:val="76231FDA"/>
    <w:rsid w:val="76237C20"/>
    <w:rsid w:val="763F3136"/>
    <w:rsid w:val="767D5078"/>
    <w:rsid w:val="769E797C"/>
    <w:rsid w:val="76AD04ED"/>
    <w:rsid w:val="76BC2858"/>
    <w:rsid w:val="76D559C9"/>
    <w:rsid w:val="76F54954"/>
    <w:rsid w:val="77040C23"/>
    <w:rsid w:val="77112393"/>
    <w:rsid w:val="77216256"/>
    <w:rsid w:val="773B7FE5"/>
    <w:rsid w:val="77445D0C"/>
    <w:rsid w:val="77810B5F"/>
    <w:rsid w:val="77EE134A"/>
    <w:rsid w:val="77F12AA5"/>
    <w:rsid w:val="780F1A45"/>
    <w:rsid w:val="78412CF5"/>
    <w:rsid w:val="78631EFD"/>
    <w:rsid w:val="786544C5"/>
    <w:rsid w:val="786A4572"/>
    <w:rsid w:val="78753A4A"/>
    <w:rsid w:val="787E3D8D"/>
    <w:rsid w:val="788F3CB7"/>
    <w:rsid w:val="78BC0EE2"/>
    <w:rsid w:val="78CF092B"/>
    <w:rsid w:val="78E01D85"/>
    <w:rsid w:val="78F721D5"/>
    <w:rsid w:val="79110466"/>
    <w:rsid w:val="791B0882"/>
    <w:rsid w:val="79256538"/>
    <w:rsid w:val="792F481A"/>
    <w:rsid w:val="79366B16"/>
    <w:rsid w:val="79D3165E"/>
    <w:rsid w:val="79E1653D"/>
    <w:rsid w:val="7A0F42C7"/>
    <w:rsid w:val="7A276918"/>
    <w:rsid w:val="7A6415AA"/>
    <w:rsid w:val="7A875F70"/>
    <w:rsid w:val="7AA87E6D"/>
    <w:rsid w:val="7ABE4F9F"/>
    <w:rsid w:val="7AE345E4"/>
    <w:rsid w:val="7AE7205C"/>
    <w:rsid w:val="7B0C2CA9"/>
    <w:rsid w:val="7B1F0911"/>
    <w:rsid w:val="7B271024"/>
    <w:rsid w:val="7B3E3457"/>
    <w:rsid w:val="7B44787D"/>
    <w:rsid w:val="7B7B5B5D"/>
    <w:rsid w:val="7B7D55E6"/>
    <w:rsid w:val="7B873D10"/>
    <w:rsid w:val="7B955E53"/>
    <w:rsid w:val="7BA04313"/>
    <w:rsid w:val="7BD66BEE"/>
    <w:rsid w:val="7BFF6FC5"/>
    <w:rsid w:val="7C1619F7"/>
    <w:rsid w:val="7C1A0A86"/>
    <w:rsid w:val="7C233182"/>
    <w:rsid w:val="7C2A34B1"/>
    <w:rsid w:val="7C3919CD"/>
    <w:rsid w:val="7C5E397A"/>
    <w:rsid w:val="7CA25FC2"/>
    <w:rsid w:val="7CA93BB5"/>
    <w:rsid w:val="7CB764FB"/>
    <w:rsid w:val="7CEC3C89"/>
    <w:rsid w:val="7D0E398B"/>
    <w:rsid w:val="7D143B5E"/>
    <w:rsid w:val="7D154300"/>
    <w:rsid w:val="7D1E1ADB"/>
    <w:rsid w:val="7D201CDB"/>
    <w:rsid w:val="7D2D25B5"/>
    <w:rsid w:val="7D4A7F21"/>
    <w:rsid w:val="7D4B5811"/>
    <w:rsid w:val="7D5151FD"/>
    <w:rsid w:val="7DA43509"/>
    <w:rsid w:val="7DEA5FE6"/>
    <w:rsid w:val="7E1A38D2"/>
    <w:rsid w:val="7E4F76B6"/>
    <w:rsid w:val="7E7B45A2"/>
    <w:rsid w:val="7F052CEB"/>
    <w:rsid w:val="7F1D3E90"/>
    <w:rsid w:val="7F5824CD"/>
    <w:rsid w:val="7F623AD0"/>
    <w:rsid w:val="7F767661"/>
    <w:rsid w:val="7F7C74FF"/>
    <w:rsid w:val="7FAD231F"/>
    <w:rsid w:val="7FCC4BF0"/>
    <w:rsid w:val="7FDF02E3"/>
    <w:rsid w:val="7FF57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3"/>
    <w:qFormat/>
    <w:uiPriority w:val="0"/>
    <w:pPr>
      <w:keepNext/>
      <w:keepLines/>
      <w:spacing w:before="120" w:after="120"/>
      <w:jc w:val="center"/>
      <w:outlineLvl w:val="0"/>
    </w:pPr>
    <w:rPr>
      <w:b/>
      <w:spacing w:val="20"/>
      <w:kern w:val="44"/>
      <w:sz w:val="32"/>
    </w:rPr>
  </w:style>
  <w:style w:type="paragraph" w:styleId="4">
    <w:name w:val="heading 2"/>
    <w:basedOn w:val="1"/>
    <w:next w:val="1"/>
    <w:link w:val="34"/>
    <w:qFormat/>
    <w:uiPriority w:val="0"/>
    <w:pPr>
      <w:keepNext/>
      <w:keepLines/>
      <w:spacing w:before="240" w:line="400" w:lineRule="exact"/>
      <w:outlineLvl w:val="1"/>
    </w:pPr>
    <w:rPr>
      <w:rFonts w:ascii="Arial" w:hAnsi="Arial"/>
      <w:b/>
      <w:color w:val="000000"/>
      <w:spacing w:val="40"/>
      <w:sz w:val="32"/>
    </w:rPr>
  </w:style>
  <w:style w:type="paragraph" w:styleId="5">
    <w:name w:val="heading 3"/>
    <w:basedOn w:val="1"/>
    <w:next w:val="1"/>
    <w:qFormat/>
    <w:uiPriority w:val="0"/>
    <w:pPr>
      <w:keepNext/>
      <w:keepLines/>
      <w:spacing w:before="60" w:after="60" w:line="400" w:lineRule="exact"/>
      <w:ind w:firstLine="510"/>
      <w:outlineLvl w:val="2"/>
    </w:pPr>
    <w:rPr>
      <w:rFonts w:ascii="宋体"/>
      <w:b/>
      <w:sz w:val="24"/>
    </w:rPr>
  </w:style>
  <w:style w:type="paragraph" w:styleId="6">
    <w:name w:val="heading 4"/>
    <w:basedOn w:val="1"/>
    <w:next w:val="1"/>
    <w:link w:val="3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unhideWhenUsed/>
    <w:qFormat/>
    <w:uiPriority w:val="0"/>
    <w:pPr>
      <w:keepNext/>
      <w:keepLines/>
      <w:spacing w:before="280" w:after="290" w:line="376" w:lineRule="auto"/>
      <w:outlineLvl w:val="4"/>
    </w:pPr>
    <w:rPr>
      <w:b/>
      <w:bCs/>
      <w:sz w:val="28"/>
      <w:szCs w:val="28"/>
    </w:rPr>
  </w:style>
  <w:style w:type="paragraph" w:styleId="8">
    <w:name w:val="heading 7"/>
    <w:basedOn w:val="1"/>
    <w:next w:val="1"/>
    <w:link w:val="37"/>
    <w:unhideWhenUsed/>
    <w:qFormat/>
    <w:uiPriority w:val="0"/>
    <w:pPr>
      <w:keepNext/>
      <w:keepLines/>
      <w:spacing w:before="240" w:after="64" w:line="320" w:lineRule="auto"/>
      <w:outlineLvl w:val="6"/>
    </w:pPr>
    <w:rPr>
      <w:b/>
      <w:bCs/>
      <w:sz w:val="24"/>
      <w:szCs w:val="24"/>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Document Map"/>
    <w:basedOn w:val="1"/>
    <w:link w:val="39"/>
    <w:qFormat/>
    <w:uiPriority w:val="99"/>
    <w:rPr>
      <w:rFonts w:ascii="宋体"/>
      <w:sz w:val="18"/>
      <w:szCs w:val="18"/>
    </w:rPr>
  </w:style>
  <w:style w:type="paragraph" w:styleId="9">
    <w:name w:val="Normal Indent"/>
    <w:basedOn w:val="1"/>
    <w:link w:val="38"/>
    <w:qFormat/>
    <w:uiPriority w:val="0"/>
    <w:pPr>
      <w:ind w:firstLine="420" w:firstLineChars="200"/>
    </w:pPr>
  </w:style>
  <w:style w:type="paragraph" w:styleId="10">
    <w:name w:val="caption"/>
    <w:basedOn w:val="1"/>
    <w:next w:val="1"/>
    <w:unhideWhenUsed/>
    <w:qFormat/>
    <w:uiPriority w:val="0"/>
    <w:rPr>
      <w:rFonts w:ascii="Arial" w:hAnsi="Arial" w:eastAsia="黑体"/>
      <w:sz w:val="20"/>
    </w:rPr>
  </w:style>
  <w:style w:type="paragraph" w:styleId="11">
    <w:name w:val="annotation text"/>
    <w:basedOn w:val="1"/>
    <w:link w:val="40"/>
    <w:qFormat/>
    <w:uiPriority w:val="0"/>
    <w:pPr>
      <w:jc w:val="left"/>
    </w:pPr>
  </w:style>
  <w:style w:type="paragraph" w:styleId="12">
    <w:name w:val="Body Text"/>
    <w:basedOn w:val="1"/>
    <w:next w:val="1"/>
    <w:link w:val="32"/>
    <w:qFormat/>
    <w:uiPriority w:val="99"/>
    <w:pPr>
      <w:autoSpaceDE w:val="0"/>
      <w:autoSpaceDN w:val="0"/>
      <w:adjustRightInd w:val="0"/>
      <w:spacing w:after="120"/>
      <w:jc w:val="left"/>
    </w:pPr>
    <w:rPr>
      <w:rFonts w:ascii="Copperplate Gothic Bold" w:hAnsi="Copperplate Gothic Bold"/>
      <w:kern w:val="0"/>
      <w:sz w:val="28"/>
      <w:szCs w:val="28"/>
    </w:rPr>
  </w:style>
  <w:style w:type="paragraph" w:styleId="13">
    <w:name w:val="Body Text Indent"/>
    <w:basedOn w:val="1"/>
    <w:qFormat/>
    <w:uiPriority w:val="0"/>
    <w:pPr>
      <w:spacing w:line="460" w:lineRule="exact"/>
      <w:ind w:firstLine="510"/>
    </w:pPr>
  </w:style>
  <w:style w:type="paragraph" w:styleId="14">
    <w:name w:val="Plain Text"/>
    <w:basedOn w:val="1"/>
    <w:link w:val="41"/>
    <w:qFormat/>
    <w:uiPriority w:val="99"/>
    <w:rPr>
      <w:rFonts w:ascii="宋体" w:hAnsi="Courier New"/>
    </w:rPr>
  </w:style>
  <w:style w:type="paragraph" w:styleId="15">
    <w:name w:val="Date"/>
    <w:basedOn w:val="1"/>
    <w:next w:val="1"/>
    <w:qFormat/>
    <w:uiPriority w:val="0"/>
    <w:rPr>
      <w:kern w:val="0"/>
      <w:sz w:val="28"/>
    </w:rPr>
  </w:style>
  <w:style w:type="paragraph" w:styleId="16">
    <w:name w:val="Balloon Text"/>
    <w:basedOn w:val="1"/>
    <w:link w:val="4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b/>
      <w:bCs/>
      <w:caps/>
      <w:sz w:val="20"/>
    </w:rPr>
  </w:style>
  <w:style w:type="paragraph" w:styleId="20">
    <w:name w:val="Body Text 2"/>
    <w:basedOn w:val="1"/>
    <w:qFormat/>
    <w:uiPriority w:val="0"/>
    <w:pPr>
      <w:spacing w:after="120" w:line="480" w:lineRule="auto"/>
    </w:pPr>
  </w:style>
  <w:style w:type="paragraph" w:styleId="21">
    <w:name w:val="Normal (Web)"/>
    <w:basedOn w:val="1"/>
    <w:qFormat/>
    <w:uiPriority w:val="0"/>
    <w:pPr>
      <w:widowControl/>
      <w:spacing w:before="100" w:beforeAutospacing="1" w:after="100" w:afterAutospacing="1"/>
      <w:jc w:val="left"/>
    </w:pPr>
    <w:rPr>
      <w:rFonts w:ascii="宋体" w:hAnsi="宋体"/>
      <w:kern w:val="0"/>
      <w:sz w:val="24"/>
    </w:rPr>
  </w:style>
  <w:style w:type="paragraph" w:styleId="22">
    <w:name w:val="Title"/>
    <w:basedOn w:val="1"/>
    <w:next w:val="1"/>
    <w:qFormat/>
    <w:uiPriority w:val="0"/>
    <w:pPr>
      <w:jc w:val="center"/>
      <w:outlineLvl w:val="0"/>
    </w:pPr>
    <w:rPr>
      <w:rFonts w:ascii="Cambria" w:hAnsi="Cambria"/>
      <w:b/>
      <w:bCs/>
      <w:sz w:val="44"/>
      <w:szCs w:val="32"/>
    </w:rPr>
  </w:style>
  <w:style w:type="paragraph" w:styleId="23">
    <w:name w:val="annotation subject"/>
    <w:basedOn w:val="11"/>
    <w:next w:val="11"/>
    <w:link w:val="44"/>
    <w:unhideWhenUsed/>
    <w:qFormat/>
    <w:uiPriority w:val="0"/>
    <w:rPr>
      <w:b/>
      <w:bCs/>
    </w:rPr>
  </w:style>
  <w:style w:type="paragraph" w:styleId="24">
    <w:name w:val="Body Text First Indent 2"/>
    <w:basedOn w:val="13"/>
    <w:unhideWhenUsed/>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rPr>
      <w:rFonts w:cs="Times New Roman"/>
    </w:rPr>
  </w:style>
  <w:style w:type="character" w:styleId="29">
    <w:name w:val="FollowedHyperlink"/>
    <w:qFormat/>
    <w:uiPriority w:val="99"/>
    <w:rPr>
      <w:rFonts w:hint="eastAsia" w:ascii="宋体" w:hAnsi="宋体" w:eastAsia="宋体" w:cs="宋体"/>
      <w:color w:val="0033CC"/>
      <w:sz w:val="18"/>
      <w:szCs w:val="18"/>
      <w:u w:val="none"/>
    </w:rPr>
  </w:style>
  <w:style w:type="character" w:styleId="30">
    <w:name w:val="Hyperlink"/>
    <w:qFormat/>
    <w:uiPriority w:val="99"/>
    <w:rPr>
      <w:rFonts w:hint="eastAsia" w:ascii="宋体" w:hAnsi="宋体" w:eastAsia="宋体" w:cs="宋体"/>
      <w:color w:val="0033CC"/>
      <w:sz w:val="18"/>
      <w:szCs w:val="18"/>
      <w:u w:val="none"/>
    </w:rPr>
  </w:style>
  <w:style w:type="character" w:styleId="31">
    <w:name w:val="annotation reference"/>
    <w:basedOn w:val="27"/>
    <w:unhideWhenUsed/>
    <w:qFormat/>
    <w:uiPriority w:val="0"/>
    <w:rPr>
      <w:sz w:val="21"/>
      <w:szCs w:val="21"/>
    </w:rPr>
  </w:style>
  <w:style w:type="character" w:customStyle="1" w:styleId="32">
    <w:name w:val="正文文本 字符"/>
    <w:basedOn w:val="27"/>
    <w:link w:val="12"/>
    <w:qFormat/>
    <w:uiPriority w:val="99"/>
    <w:rPr>
      <w:rFonts w:ascii="Copperplate Gothic Bold" w:hAnsi="Copperplate Gothic Bold"/>
      <w:sz w:val="28"/>
      <w:szCs w:val="28"/>
    </w:rPr>
  </w:style>
  <w:style w:type="character" w:customStyle="1" w:styleId="33">
    <w:name w:val="标题 1 字符"/>
    <w:link w:val="3"/>
    <w:qFormat/>
    <w:uiPriority w:val="0"/>
    <w:rPr>
      <w:b/>
      <w:spacing w:val="20"/>
      <w:kern w:val="44"/>
      <w:sz w:val="32"/>
    </w:rPr>
  </w:style>
  <w:style w:type="character" w:customStyle="1" w:styleId="34">
    <w:name w:val="标题 2 字符"/>
    <w:link w:val="4"/>
    <w:qFormat/>
    <w:uiPriority w:val="0"/>
    <w:rPr>
      <w:rFonts w:ascii="Arial" w:hAnsi="Arial"/>
      <w:b/>
      <w:color w:val="000000"/>
      <w:spacing w:val="40"/>
      <w:sz w:val="32"/>
    </w:rPr>
  </w:style>
  <w:style w:type="character" w:customStyle="1" w:styleId="35">
    <w:name w:val="标题 4 字符"/>
    <w:basedOn w:val="27"/>
    <w:link w:val="6"/>
    <w:qFormat/>
    <w:uiPriority w:val="0"/>
    <w:rPr>
      <w:rFonts w:asciiTheme="majorHAnsi" w:hAnsiTheme="majorHAnsi" w:eastAsiaTheme="majorEastAsia" w:cstheme="majorBidi"/>
      <w:b/>
      <w:bCs/>
      <w:kern w:val="2"/>
      <w:sz w:val="28"/>
      <w:szCs w:val="28"/>
    </w:rPr>
  </w:style>
  <w:style w:type="character" w:customStyle="1" w:styleId="36">
    <w:name w:val="标题 5 字符"/>
    <w:link w:val="7"/>
    <w:semiHidden/>
    <w:qFormat/>
    <w:uiPriority w:val="0"/>
    <w:rPr>
      <w:b/>
      <w:bCs/>
      <w:kern w:val="2"/>
      <w:sz w:val="28"/>
      <w:szCs w:val="28"/>
    </w:rPr>
  </w:style>
  <w:style w:type="character" w:customStyle="1" w:styleId="37">
    <w:name w:val="标题 7 字符"/>
    <w:link w:val="8"/>
    <w:semiHidden/>
    <w:qFormat/>
    <w:uiPriority w:val="0"/>
    <w:rPr>
      <w:b/>
      <w:bCs/>
      <w:kern w:val="2"/>
      <w:sz w:val="24"/>
      <w:szCs w:val="24"/>
    </w:rPr>
  </w:style>
  <w:style w:type="character" w:customStyle="1" w:styleId="38">
    <w:name w:val="正文缩进 字符"/>
    <w:link w:val="9"/>
    <w:qFormat/>
    <w:uiPriority w:val="0"/>
    <w:rPr>
      <w:kern w:val="2"/>
      <w:sz w:val="21"/>
      <w:szCs w:val="22"/>
    </w:rPr>
  </w:style>
  <w:style w:type="character" w:customStyle="1" w:styleId="39">
    <w:name w:val="文档结构图 字符"/>
    <w:link w:val="2"/>
    <w:qFormat/>
    <w:uiPriority w:val="99"/>
    <w:rPr>
      <w:rFonts w:ascii="宋体" w:hAnsi="Times New Roman"/>
      <w:kern w:val="2"/>
      <w:sz w:val="18"/>
      <w:szCs w:val="18"/>
    </w:rPr>
  </w:style>
  <w:style w:type="character" w:customStyle="1" w:styleId="40">
    <w:name w:val="批注文字 字符"/>
    <w:basedOn w:val="27"/>
    <w:link w:val="11"/>
    <w:qFormat/>
    <w:uiPriority w:val="0"/>
    <w:rPr>
      <w:kern w:val="2"/>
      <w:sz w:val="21"/>
      <w:szCs w:val="22"/>
    </w:rPr>
  </w:style>
  <w:style w:type="character" w:customStyle="1" w:styleId="41">
    <w:name w:val="纯文本 字符"/>
    <w:link w:val="14"/>
    <w:qFormat/>
    <w:uiPriority w:val="99"/>
    <w:rPr>
      <w:rFonts w:ascii="宋体" w:hAnsi="Courier New"/>
      <w:kern w:val="2"/>
      <w:sz w:val="21"/>
      <w:szCs w:val="22"/>
    </w:rPr>
  </w:style>
  <w:style w:type="character" w:customStyle="1" w:styleId="42">
    <w:name w:val="批注框文本 字符"/>
    <w:link w:val="16"/>
    <w:qFormat/>
    <w:uiPriority w:val="0"/>
    <w:rPr>
      <w:rFonts w:ascii="Times New Roman" w:hAnsi="Times New Roman"/>
      <w:kern w:val="2"/>
      <w:sz w:val="18"/>
      <w:szCs w:val="18"/>
    </w:rPr>
  </w:style>
  <w:style w:type="character" w:customStyle="1" w:styleId="43">
    <w:name w:val="页眉 字符"/>
    <w:link w:val="18"/>
    <w:qFormat/>
    <w:uiPriority w:val="0"/>
    <w:rPr>
      <w:rFonts w:ascii="Times New Roman" w:hAnsi="Times New Roman"/>
      <w:kern w:val="2"/>
      <w:sz w:val="18"/>
      <w:szCs w:val="18"/>
    </w:rPr>
  </w:style>
  <w:style w:type="character" w:customStyle="1" w:styleId="44">
    <w:name w:val="批注主题 字符"/>
    <w:basedOn w:val="40"/>
    <w:link w:val="23"/>
    <w:qFormat/>
    <w:uiPriority w:val="0"/>
    <w:rPr>
      <w:kern w:val="2"/>
      <w:sz w:val="21"/>
      <w:szCs w:val="22"/>
    </w:rPr>
  </w:style>
  <w:style w:type="character" w:customStyle="1" w:styleId="45">
    <w:name w:val="纯文本 Char1"/>
    <w:qFormat/>
    <w:uiPriority w:val="0"/>
    <w:rPr>
      <w:rFonts w:ascii="宋体" w:eastAsia="宋体"/>
      <w:kern w:val="2"/>
      <w:sz w:val="21"/>
      <w:lang w:val="en-US" w:eastAsia="zh-CN" w:bidi="ar-SA"/>
    </w:rPr>
  </w:style>
  <w:style w:type="character" w:customStyle="1" w:styleId="46">
    <w:name w:val="con"/>
    <w:qFormat/>
    <w:uiPriority w:val="0"/>
  </w:style>
  <w:style w:type="character" w:customStyle="1" w:styleId="47">
    <w:name w:val="无"/>
    <w:qFormat/>
    <w:uiPriority w:val="0"/>
  </w:style>
  <w:style w:type="paragraph" w:customStyle="1" w:styleId="48">
    <w:name w:val="列出段落1"/>
    <w:basedOn w:val="1"/>
    <w:link w:val="49"/>
    <w:qFormat/>
    <w:uiPriority w:val="0"/>
    <w:pPr>
      <w:ind w:firstLine="420" w:firstLineChars="200"/>
    </w:pPr>
  </w:style>
  <w:style w:type="character" w:customStyle="1" w:styleId="49">
    <w:name w:val="List Paragraph Char"/>
    <w:link w:val="48"/>
    <w:qFormat/>
    <w:locked/>
    <w:uiPriority w:val="0"/>
    <w:rPr>
      <w:kern w:val="2"/>
      <w:sz w:val="21"/>
      <w:szCs w:val="22"/>
    </w:rPr>
  </w:style>
  <w:style w:type="paragraph" w:customStyle="1" w:styleId="50">
    <w:name w:val="页脚1"/>
    <w:qFormat/>
    <w:uiPriority w:val="99"/>
    <w:pPr>
      <w:widowControl w:val="0"/>
      <w:tabs>
        <w:tab w:val="center" w:pos="4153"/>
        <w:tab w:val="right" w:pos="8306"/>
      </w:tabs>
    </w:pPr>
    <w:rPr>
      <w:rFonts w:ascii="宋体" w:hAnsi="宋体" w:eastAsia="ヒラギノ角ゴ Pro W3" w:cs="Times New Roman"/>
      <w:color w:val="000000"/>
      <w:sz w:val="18"/>
      <w:szCs w:val="22"/>
      <w:lang w:val="en-US" w:eastAsia="zh-CN" w:bidi="ar-SA"/>
    </w:rPr>
  </w:style>
  <w:style w:type="paragraph" w:customStyle="1" w:styleId="51">
    <w:name w:val="List Paragraph"/>
    <w:basedOn w:val="1"/>
    <w:link w:val="52"/>
    <w:qFormat/>
    <w:uiPriority w:val="34"/>
    <w:pPr>
      <w:ind w:firstLine="420" w:firstLineChars="200"/>
    </w:pPr>
    <w:rPr>
      <w:szCs w:val="24"/>
    </w:rPr>
  </w:style>
  <w:style w:type="character" w:customStyle="1" w:styleId="52">
    <w:name w:val="列出段落 字符"/>
    <w:link w:val="51"/>
    <w:qFormat/>
    <w:uiPriority w:val="0"/>
    <w:rPr>
      <w:kern w:val="2"/>
      <w:sz w:val="21"/>
      <w:szCs w:val="24"/>
    </w:rPr>
  </w:style>
  <w:style w:type="paragraph" w:customStyle="1" w:styleId="53">
    <w:name w:val="msolistparagraph"/>
    <w:basedOn w:val="1"/>
    <w:qFormat/>
    <w:uiPriority w:val="0"/>
    <w:pPr>
      <w:ind w:firstLine="420" w:firstLineChars="200"/>
    </w:pPr>
    <w:rPr>
      <w:szCs w:val="24"/>
    </w:rPr>
  </w:style>
  <w:style w:type="character" w:customStyle="1" w:styleId="54">
    <w:name w:val="cfdate"/>
    <w:qFormat/>
    <w:uiPriority w:val="0"/>
    <w:rPr>
      <w:color w:val="333333"/>
      <w:sz w:val="12"/>
      <w:szCs w:val="12"/>
    </w:rPr>
  </w:style>
  <w:style w:type="character" w:customStyle="1" w:styleId="55">
    <w:name w:val="纯文本 Char"/>
    <w:qFormat/>
    <w:uiPriority w:val="99"/>
    <w:rPr>
      <w:rFonts w:ascii="宋体" w:hAnsi="Courier New" w:eastAsia="宋体"/>
      <w:kern w:val="2"/>
      <w:sz w:val="21"/>
      <w:lang w:val="en-US" w:eastAsia="zh-CN" w:bidi="ar-SA"/>
    </w:rPr>
  </w:style>
  <w:style w:type="paragraph" w:customStyle="1" w:styleId="56">
    <w:name w:val="表格"/>
    <w:basedOn w:val="1"/>
    <w:qFormat/>
    <w:uiPriority w:val="0"/>
    <w:pPr>
      <w:tabs>
        <w:tab w:val="left" w:pos="1200"/>
      </w:tabs>
      <w:spacing w:line="500" w:lineRule="exact"/>
      <w:jc w:val="center"/>
    </w:pPr>
    <w:rPr>
      <w:sz w:val="24"/>
      <w:szCs w:val="18"/>
    </w:rPr>
  </w:style>
  <w:style w:type="paragraph" w:customStyle="1" w:styleId="57">
    <w:name w:val="表格内容"/>
    <w:basedOn w:val="1"/>
    <w:link w:val="58"/>
    <w:qFormat/>
    <w:uiPriority w:val="0"/>
    <w:pPr>
      <w:jc w:val="center"/>
    </w:pPr>
    <w:rPr>
      <w:rFonts w:ascii="Calibri" w:hAnsi="Calibri"/>
    </w:rPr>
  </w:style>
  <w:style w:type="character" w:customStyle="1" w:styleId="58">
    <w:name w:val="表格内容 Char"/>
    <w:link w:val="57"/>
    <w:qFormat/>
    <w:uiPriority w:val="0"/>
    <w:rPr>
      <w:rFonts w:ascii="Calibri" w:hAnsi="Calibri"/>
      <w:kern w:val="2"/>
      <w:sz w:val="21"/>
      <w:szCs w:val="22"/>
    </w:rPr>
  </w:style>
  <w:style w:type="paragraph" w:customStyle="1" w:styleId="59">
    <w:name w:val="l小标题列表"/>
    <w:basedOn w:val="1"/>
    <w:next w:val="1"/>
    <w:qFormat/>
    <w:uiPriority w:val="0"/>
    <w:pPr>
      <w:widowControl/>
      <w:numPr>
        <w:ilvl w:val="0"/>
        <w:numId w:val="1"/>
      </w:numPr>
      <w:spacing w:line="360" w:lineRule="auto"/>
      <w:jc w:val="left"/>
    </w:pPr>
    <w:rPr>
      <w:b/>
      <w:iCs/>
      <w:sz w:val="22"/>
    </w:rPr>
  </w:style>
  <w:style w:type="paragraph" w:customStyle="1" w:styleId="60">
    <w:name w:val="编号标题5"/>
    <w:basedOn w:val="7"/>
    <w:next w:val="1"/>
    <w:qFormat/>
    <w:uiPriority w:val="0"/>
    <w:pPr>
      <w:widowControl/>
      <w:numPr>
        <w:ilvl w:val="4"/>
        <w:numId w:val="2"/>
      </w:numPr>
      <w:adjustRightInd w:val="0"/>
      <w:spacing w:before="0" w:after="0" w:line="372" w:lineRule="auto"/>
      <w:ind w:left="1080" w:firstLine="200" w:firstLineChars="200"/>
      <w:jc w:val="left"/>
    </w:pPr>
    <w:rPr>
      <w:rFonts w:ascii="黑体" w:hAnsi="黑体" w:eastAsia="黑体" w:cs="黑体"/>
      <w:b w:val="0"/>
      <w:sz w:val="21"/>
      <w:szCs w:val="24"/>
      <w:lang w:val="zh-CN"/>
    </w:rPr>
  </w:style>
  <w:style w:type="paragraph" w:customStyle="1" w:styleId="61">
    <w:name w:val="Style4"/>
    <w:basedOn w:val="1"/>
    <w:qFormat/>
    <w:uiPriority w:val="0"/>
    <w:pPr>
      <w:widowControl/>
      <w:numPr>
        <w:ilvl w:val="0"/>
        <w:numId w:val="3"/>
      </w:numPr>
      <w:spacing w:line="360" w:lineRule="auto"/>
      <w:ind w:firstLine="200" w:firstLineChars="200"/>
    </w:pPr>
    <w:rPr>
      <w:kern w:val="0"/>
      <w:szCs w:val="24"/>
      <w:lang w:val="zh-CN"/>
    </w:rPr>
  </w:style>
  <w:style w:type="paragraph" w:customStyle="1" w:styleId="62">
    <w:name w:val="日期1"/>
    <w:basedOn w:val="1"/>
    <w:next w:val="1"/>
    <w:qFormat/>
    <w:uiPriority w:val="0"/>
    <w:pPr>
      <w:numPr>
        <w:ilvl w:val="1"/>
        <w:numId w:val="4"/>
      </w:numPr>
      <w:adjustRightInd w:val="0"/>
      <w:spacing w:line="312" w:lineRule="atLeast"/>
      <w:ind w:firstLine="200" w:firstLineChars="200"/>
      <w:textAlignment w:val="baseline"/>
    </w:pPr>
    <w:rPr>
      <w:kern w:val="0"/>
      <w:szCs w:val="20"/>
      <w:lang w:val="zh-CN"/>
    </w:rPr>
  </w:style>
  <w:style w:type="character" w:customStyle="1" w:styleId="63">
    <w:name w:val="_正文段落 Char Char"/>
    <w:qFormat/>
    <w:uiPriority w:val="0"/>
    <w:rPr>
      <w:szCs w:val="24"/>
    </w:rPr>
  </w:style>
  <w:style w:type="paragraph" w:customStyle="1" w:styleId="64">
    <w:name w:val="标准文本"/>
    <w:basedOn w:val="1"/>
    <w:link w:val="65"/>
    <w:qFormat/>
    <w:uiPriority w:val="0"/>
    <w:pPr>
      <w:widowControl/>
      <w:spacing w:line="360" w:lineRule="auto"/>
      <w:ind w:firstLine="480" w:firstLineChars="200"/>
      <w:jc w:val="left"/>
    </w:pPr>
    <w:rPr>
      <w:szCs w:val="20"/>
      <w:lang w:val="zh-CN"/>
    </w:rPr>
  </w:style>
  <w:style w:type="character" w:customStyle="1" w:styleId="65">
    <w:name w:val="标准文本 Char"/>
    <w:link w:val="64"/>
    <w:qFormat/>
    <w:uiPriority w:val="0"/>
    <w:rPr>
      <w:kern w:val="2"/>
      <w:sz w:val="21"/>
      <w:lang w:val="zh-CN"/>
    </w:rPr>
  </w:style>
  <w:style w:type="character" w:customStyle="1" w:styleId="66">
    <w:name w:val="HTML Markup"/>
    <w:qFormat/>
    <w:uiPriority w:val="0"/>
    <w:rPr>
      <w:vanish/>
      <w:color w:val="FF0000"/>
    </w:rPr>
  </w:style>
  <w:style w:type="character" w:customStyle="1" w:styleId="67">
    <w:name w:val="Char Char3"/>
    <w:qFormat/>
    <w:uiPriority w:val="0"/>
    <w:rPr>
      <w:rFonts w:eastAsia="宋体"/>
      <w:kern w:val="2"/>
      <w:sz w:val="21"/>
      <w:szCs w:val="24"/>
      <w:lang w:val="en-US" w:eastAsia="zh-CN" w:bidi="ar-SA"/>
    </w:rPr>
  </w:style>
  <w:style w:type="character" w:customStyle="1" w:styleId="68">
    <w:name w:val="font31"/>
    <w:basedOn w:val="27"/>
    <w:qFormat/>
    <w:uiPriority w:val="0"/>
    <w:rPr>
      <w:rFonts w:hint="eastAsia" w:ascii="仿宋" w:hAnsi="仿宋" w:eastAsia="仿宋" w:cs="仿宋"/>
      <w:color w:val="000000"/>
      <w:sz w:val="24"/>
      <w:szCs w:val="24"/>
      <w:u w:val="none"/>
    </w:rPr>
  </w:style>
  <w:style w:type="character" w:customStyle="1" w:styleId="69">
    <w:name w:val="font11"/>
    <w:basedOn w:val="27"/>
    <w:qFormat/>
    <w:uiPriority w:val="0"/>
    <w:rPr>
      <w:rFonts w:hint="eastAsia" w:ascii="仿宋" w:hAnsi="仿宋" w:eastAsia="仿宋" w:cs="仿宋"/>
      <w:color w:val="000000"/>
      <w:sz w:val="24"/>
      <w:szCs w:val="24"/>
      <w:u w:val="none"/>
      <w:vertAlign w:val="superscript"/>
    </w:rPr>
  </w:style>
  <w:style w:type="character" w:customStyle="1" w:styleId="70">
    <w:name w:val="font51"/>
    <w:basedOn w:val="27"/>
    <w:qFormat/>
    <w:uiPriority w:val="0"/>
    <w:rPr>
      <w:rFonts w:hint="eastAsia" w:ascii="仿宋" w:hAnsi="仿宋" w:eastAsia="仿宋" w:cs="仿宋"/>
      <w:color w:val="000000"/>
      <w:sz w:val="24"/>
      <w:szCs w:val="24"/>
      <w:u w:val="none"/>
    </w:rPr>
  </w:style>
  <w:style w:type="character" w:customStyle="1" w:styleId="71">
    <w:name w:val="font21"/>
    <w:basedOn w:val="27"/>
    <w:qFormat/>
    <w:uiPriority w:val="0"/>
    <w:rPr>
      <w:rFonts w:ascii="微软雅黑" w:hAnsi="微软雅黑" w:eastAsia="微软雅黑" w:cs="微软雅黑"/>
      <w:color w:val="000000"/>
      <w:sz w:val="24"/>
      <w:szCs w:val="24"/>
      <w:u w:val="none"/>
    </w:rPr>
  </w:style>
  <w:style w:type="character" w:customStyle="1" w:styleId="72">
    <w:name w:val="font41"/>
    <w:basedOn w:val="27"/>
    <w:qFormat/>
    <w:uiPriority w:val="0"/>
    <w:rPr>
      <w:rFonts w:hint="eastAsia" w:ascii="仿宋" w:hAnsi="仿宋" w:eastAsia="仿宋" w:cs="仿宋"/>
      <w:color w:val="000000"/>
      <w:sz w:val="24"/>
      <w:szCs w:val="24"/>
      <w:u w:val="none"/>
    </w:rPr>
  </w:style>
  <w:style w:type="character" w:customStyle="1" w:styleId="73">
    <w:name w:val="grame"/>
    <w:qFormat/>
    <w:uiPriority w:val="0"/>
  </w:style>
  <w:style w:type="paragraph" w:customStyle="1" w:styleId="74">
    <w:name w:val="样式2"/>
    <w:basedOn w:val="21"/>
    <w:qFormat/>
    <w:uiPriority w:val="0"/>
    <w:pPr>
      <w:adjustRightInd w:val="0"/>
      <w:snapToGrid w:val="0"/>
      <w:spacing w:before="0" w:beforeAutospacing="0" w:after="0" w:afterAutospacing="0" w:line="360" w:lineRule="auto"/>
      <w:outlineLvl w:val="1"/>
    </w:pPr>
    <w:rPr>
      <w:b/>
    </w:rPr>
  </w:style>
  <w:style w:type="paragraph" w:customStyle="1" w:styleId="75">
    <w:name w:val="！正文"/>
    <w:basedOn w:val="1"/>
    <w:qFormat/>
    <w:uiPriority w:val="0"/>
    <w:pPr>
      <w:spacing w:line="360" w:lineRule="auto"/>
      <w:ind w:firstLine="200" w:firstLineChars="200"/>
    </w:pPr>
    <w:rPr>
      <w:rFonts w:ascii="宋体" w:hAnsi="宋体"/>
      <w:sz w:val="24"/>
      <w:szCs w:val="28"/>
    </w:rPr>
  </w:style>
  <w:style w:type="paragraph" w:customStyle="1" w:styleId="76">
    <w:name w:val="列出段落2"/>
    <w:basedOn w:val="1"/>
    <w:qFormat/>
    <w:uiPriority w:val="0"/>
    <w:pPr>
      <w:ind w:firstLine="420" w:firstLineChars="200"/>
    </w:pPr>
    <w:rPr>
      <w:rFonts w:ascii="Calibri" w:hAnsi="Calibri"/>
      <w:szCs w:val="24"/>
    </w:rPr>
  </w:style>
  <w:style w:type="paragraph" w:customStyle="1" w:styleId="77">
    <w:name w:val="样式1"/>
    <w:basedOn w:val="1"/>
    <w:next w:val="5"/>
    <w:qFormat/>
    <w:uiPriority w:val="0"/>
    <w:pPr>
      <w:spacing w:line="360" w:lineRule="auto"/>
      <w:ind w:firstLine="454"/>
    </w:pPr>
    <w:rPr>
      <w:rFonts w:ascii="Arial" w:hAnsi="Arial"/>
      <w:szCs w:val="20"/>
    </w:rPr>
  </w:style>
  <w:style w:type="character" w:customStyle="1" w:styleId="78">
    <w:name w:val="font61"/>
    <w:basedOn w:val="27"/>
    <w:qFormat/>
    <w:uiPriority w:val="0"/>
    <w:rPr>
      <w:rFonts w:hint="eastAsia" w:ascii="宋体" w:hAnsi="宋体" w:eastAsia="宋体" w:cs="宋体"/>
      <w:color w:val="000000"/>
      <w:sz w:val="20"/>
      <w:szCs w:val="20"/>
      <w:u w:val="none"/>
    </w:rPr>
  </w:style>
  <w:style w:type="character" w:customStyle="1" w:styleId="79">
    <w:name w:val="font01"/>
    <w:basedOn w:val="27"/>
    <w:qFormat/>
    <w:uiPriority w:val="0"/>
    <w:rPr>
      <w:rFonts w:hint="eastAsia" w:ascii="宋体" w:hAnsi="宋体" w:eastAsia="宋体" w:cs="宋体"/>
      <w:color w:val="000000"/>
      <w:sz w:val="20"/>
      <w:szCs w:val="20"/>
      <w:u w:val="none"/>
    </w:rPr>
  </w:style>
  <w:style w:type="paragraph" w:customStyle="1" w:styleId="80">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1">
    <w:name w:val="_Style 2"/>
    <w:basedOn w:val="1"/>
    <w:qFormat/>
    <w:uiPriority w:val="99"/>
    <w:pPr>
      <w:ind w:firstLine="420" w:firstLineChars="200"/>
    </w:pPr>
    <w:rPr>
      <w:rFonts w:ascii="等线" w:hAnsi="等线" w:eastAsia="等线" w:cs="Times New Roman"/>
      <w:szCs w:val="22"/>
    </w:rPr>
  </w:style>
  <w:style w:type="paragraph" w:customStyle="1" w:styleId="82">
    <w:name w:val="Table Paragraph"/>
    <w:basedOn w:val="1"/>
    <w:qFormat/>
    <w:uiPriority w:val="1"/>
    <w:rPr>
      <w:rFonts w:ascii="宋体" w:hAnsi="宋体" w:eastAsia="宋体" w:cs="宋体"/>
    </w:rPr>
  </w:style>
  <w:style w:type="table" w:customStyle="1" w:styleId="83">
    <w:name w:val="Table Normal1"/>
    <w:semiHidden/>
    <w:unhideWhenUsed/>
    <w:qFormat/>
    <w:uiPriority w:val="2"/>
    <w:pPr>
      <w:widowControl w:val="0"/>
      <w:autoSpaceDE w:val="0"/>
      <w:autoSpaceDN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 w:type="paragraph" w:customStyle="1" w:styleId="84">
    <w:name w:val="列出段落21"/>
    <w:basedOn w:val="1"/>
    <w:qFormat/>
    <w:uiPriority w:val="0"/>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DDC02-4F25-40CE-B86E-A0EDC193B0E3}">
  <ds:schemaRefs/>
</ds:datastoreItem>
</file>

<file path=docProps/app.xml><?xml version="1.0" encoding="utf-8"?>
<Properties xmlns="http://schemas.openxmlformats.org/officeDocument/2006/extended-properties" xmlns:vt="http://schemas.openxmlformats.org/officeDocument/2006/docPropsVTypes">
  <Template>Normal.dotm</Template>
  <Company>YNDZJ</Company>
  <Pages>62</Pages>
  <Words>31784</Words>
  <Characters>33910</Characters>
  <Lines>339</Lines>
  <Paragraphs>95</Paragraphs>
  <TotalTime>5</TotalTime>
  <ScaleCrop>false</ScaleCrop>
  <LinksUpToDate>false</LinksUpToDate>
  <CharactersWithSpaces>35374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2020-01-15T07:11:00Z</dcterms:created>
  <dc:creator>Administrator</dc:creator>
  <cp:lastModifiedBy>A   我比多肉更多肉จุ๊บ</cp:lastModifiedBy>
  <cp:lastPrinted>2020-04-24T09:06:00Z</cp:lastPrinted>
  <dcterms:modified xsi:type="dcterms:W3CDTF">2023-02-15T09:01:03Z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884AFA1D987D404983E3BBA5008F6CAE</vt:lpwstr>
  </property>
</Properties>
</file>