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topLinePunct/>
        <w:autoSpaceDE w:val="0"/>
        <w:autoSpaceDN w:val="0"/>
        <w:spacing w:line="460" w:lineRule="exact"/>
        <w:jc w:val="center"/>
        <w:rPr>
          <w:rFonts w:hint="default" w:hAnsi="宋体"/>
          <w:b/>
          <w:color w:val="auto"/>
          <w:sz w:val="52"/>
          <w:highlight w:val="none"/>
        </w:rPr>
      </w:pPr>
    </w:p>
    <w:p>
      <w:pPr>
        <w:pStyle w:val="19"/>
        <w:topLinePunct/>
        <w:autoSpaceDE w:val="0"/>
        <w:autoSpaceDN w:val="0"/>
        <w:jc w:val="center"/>
        <w:rPr>
          <w:rFonts w:hint="default" w:hAnsi="宋体"/>
          <w:b/>
          <w:color w:val="auto"/>
          <w:sz w:val="52"/>
          <w:highlight w:val="none"/>
        </w:rPr>
      </w:pPr>
    </w:p>
    <w:p>
      <w:pPr>
        <w:pStyle w:val="19"/>
        <w:topLinePunct/>
        <w:autoSpaceDE w:val="0"/>
        <w:autoSpaceDN w:val="0"/>
        <w:jc w:val="center"/>
        <w:rPr>
          <w:rFonts w:hint="default" w:hAnsi="宋体"/>
          <w:b/>
          <w:color w:val="auto"/>
          <w:sz w:val="52"/>
          <w:highlight w:val="none"/>
        </w:rPr>
      </w:pPr>
    </w:p>
    <w:p>
      <w:pPr>
        <w:pStyle w:val="19"/>
        <w:topLinePunct/>
        <w:autoSpaceDE w:val="0"/>
        <w:autoSpaceDN w:val="0"/>
        <w:jc w:val="center"/>
        <w:rPr>
          <w:rFonts w:hint="default" w:hAnsi="宋体"/>
          <w:b/>
          <w:color w:val="auto"/>
          <w:sz w:val="96"/>
          <w:szCs w:val="96"/>
          <w:highlight w:val="none"/>
        </w:rPr>
      </w:pPr>
      <w:r>
        <w:rPr>
          <w:rFonts w:hint="default" w:hAnsi="宋体"/>
          <w:b/>
          <w:color w:val="auto"/>
          <w:sz w:val="96"/>
          <w:szCs w:val="96"/>
          <w:highlight w:val="none"/>
        </w:rPr>
        <w:t>招 标 文 件</w:t>
      </w:r>
    </w:p>
    <w:p>
      <w:pPr>
        <w:pStyle w:val="19"/>
        <w:topLinePunct/>
        <w:autoSpaceDE w:val="0"/>
        <w:autoSpaceDN w:val="0"/>
        <w:spacing w:line="60" w:lineRule="exact"/>
        <w:jc w:val="center"/>
        <w:rPr>
          <w:rFonts w:hint="default" w:hAnsi="宋体"/>
          <w:color w:val="auto"/>
          <w:sz w:val="96"/>
          <w:szCs w:val="96"/>
          <w:highlight w:val="none"/>
        </w:rPr>
      </w:pPr>
    </w:p>
    <w:p>
      <w:pPr>
        <w:topLinePunct/>
        <w:autoSpaceDE w:val="0"/>
        <w:autoSpaceDN w:val="0"/>
        <w:snapToGrid w:val="0"/>
        <w:rPr>
          <w:rFonts w:ascii="宋体" w:hAnsi="宋体"/>
          <w:color w:val="auto"/>
          <w:sz w:val="96"/>
          <w:szCs w:val="96"/>
          <w:highlight w:val="none"/>
        </w:rPr>
      </w:pPr>
    </w:p>
    <w:p>
      <w:pPr>
        <w:topLinePunct/>
        <w:autoSpaceDE w:val="0"/>
        <w:autoSpaceDN w:val="0"/>
        <w:snapToGrid w:val="0"/>
        <w:spacing w:line="360" w:lineRule="auto"/>
        <w:rPr>
          <w:rFonts w:ascii="宋体" w:hAnsi="宋体"/>
          <w:b/>
          <w:bCs/>
          <w:color w:val="auto"/>
          <w:sz w:val="32"/>
          <w:szCs w:val="32"/>
          <w:highlight w:val="none"/>
        </w:rPr>
      </w:pPr>
    </w:p>
    <w:p>
      <w:pPr>
        <w:topLinePunct/>
        <w:autoSpaceDE w:val="0"/>
        <w:autoSpaceDN w:val="0"/>
        <w:snapToGrid w:val="0"/>
        <w:spacing w:line="360" w:lineRule="auto"/>
        <w:ind w:left="1606" w:hanging="1606" w:hangingChars="500"/>
        <w:rPr>
          <w:rFonts w:ascii="宋体" w:hAnsi="宋体"/>
          <w:b/>
          <w:bCs/>
          <w:color w:val="auto"/>
          <w:sz w:val="32"/>
          <w:szCs w:val="32"/>
          <w:highlight w:val="none"/>
        </w:rPr>
      </w:pPr>
      <w:r>
        <w:rPr>
          <w:rFonts w:ascii="宋体" w:hAnsi="宋体"/>
          <w:b/>
          <w:bCs/>
          <w:color w:val="auto"/>
          <w:sz w:val="32"/>
          <w:szCs w:val="32"/>
          <w:highlight w:val="none"/>
        </w:rPr>
        <w:t>项目名称：</w:t>
      </w:r>
      <w:r>
        <w:rPr>
          <w:rFonts w:hint="eastAsia" w:ascii="宋体" w:hAnsi="宋体"/>
          <w:b/>
          <w:bCs/>
          <w:color w:val="auto"/>
          <w:sz w:val="32"/>
          <w:szCs w:val="32"/>
          <w:highlight w:val="none"/>
        </w:rPr>
        <w:t>国家税务总局辽宁省税务局</w:t>
      </w:r>
    </w:p>
    <w:p>
      <w:pPr>
        <w:topLinePunct/>
        <w:autoSpaceDE w:val="0"/>
        <w:autoSpaceDN w:val="0"/>
        <w:snapToGrid w:val="0"/>
        <w:spacing w:line="360" w:lineRule="auto"/>
        <w:ind w:left="1600" w:leftChars="762" w:firstLine="321" w:firstLineChars="100"/>
        <w:rPr>
          <w:rFonts w:ascii="宋体" w:hAnsi="宋体"/>
          <w:b/>
          <w:bCs/>
          <w:color w:val="auto"/>
          <w:sz w:val="32"/>
          <w:szCs w:val="32"/>
          <w:highlight w:val="none"/>
        </w:rPr>
      </w:pPr>
      <w:r>
        <w:rPr>
          <w:rFonts w:hint="eastAsia" w:ascii="宋体" w:hAnsi="宋体"/>
          <w:b/>
          <w:bCs/>
          <w:color w:val="auto"/>
          <w:sz w:val="32"/>
          <w:szCs w:val="32"/>
          <w:highlight w:val="none"/>
        </w:rPr>
        <w:t>存储设备扩容采购项目</w:t>
      </w:r>
    </w:p>
    <w:p>
      <w:pPr>
        <w:topLinePunct/>
        <w:autoSpaceDE w:val="0"/>
        <w:autoSpaceDN w:val="0"/>
        <w:snapToGrid w:val="0"/>
        <w:spacing w:line="360" w:lineRule="auto"/>
        <w:ind w:left="1600" w:leftChars="762" w:firstLine="19" w:firstLineChars="6"/>
        <w:rPr>
          <w:rFonts w:ascii="宋体" w:hAnsi="宋体"/>
          <w:b/>
          <w:bCs/>
          <w:color w:val="auto"/>
          <w:sz w:val="32"/>
          <w:szCs w:val="32"/>
          <w:highlight w:val="none"/>
        </w:rPr>
      </w:pPr>
    </w:p>
    <w:p>
      <w:pPr>
        <w:topLinePunct/>
        <w:autoSpaceDE w:val="0"/>
        <w:autoSpaceDN w:val="0"/>
        <w:snapToGrid w:val="0"/>
        <w:spacing w:line="360" w:lineRule="auto"/>
        <w:rPr>
          <w:rFonts w:ascii="宋体" w:hAnsi="宋体"/>
          <w:b/>
          <w:bCs/>
          <w:color w:val="auto"/>
          <w:sz w:val="32"/>
          <w:szCs w:val="32"/>
          <w:highlight w:val="none"/>
        </w:rPr>
      </w:pPr>
      <w:r>
        <w:rPr>
          <w:rFonts w:ascii="宋体" w:hAnsi="宋体"/>
          <w:b/>
          <w:bCs/>
          <w:color w:val="auto"/>
          <w:sz w:val="32"/>
          <w:szCs w:val="32"/>
          <w:highlight w:val="none"/>
        </w:rPr>
        <w:t>项目编号：</w:t>
      </w:r>
      <w:r>
        <w:rPr>
          <w:rFonts w:hint="eastAsia" w:ascii="宋体" w:hAnsi="宋体"/>
          <w:b/>
          <w:bCs/>
          <w:color w:val="auto"/>
          <w:sz w:val="32"/>
          <w:szCs w:val="32"/>
          <w:highlight w:val="none"/>
        </w:rPr>
        <w:t>2022CG022</w:t>
      </w:r>
    </w:p>
    <w:p>
      <w:pPr>
        <w:pStyle w:val="19"/>
        <w:topLinePunct/>
        <w:autoSpaceDE w:val="0"/>
        <w:autoSpaceDN w:val="0"/>
        <w:spacing w:line="460" w:lineRule="exact"/>
        <w:rPr>
          <w:rFonts w:hint="default" w:hAnsi="宋体"/>
          <w:b/>
          <w:color w:val="auto"/>
          <w:sz w:val="36"/>
          <w:szCs w:val="36"/>
          <w:highlight w:val="none"/>
        </w:rPr>
      </w:pPr>
    </w:p>
    <w:p>
      <w:pPr>
        <w:pStyle w:val="19"/>
        <w:topLinePunct/>
        <w:autoSpaceDE w:val="0"/>
        <w:autoSpaceDN w:val="0"/>
        <w:spacing w:line="480" w:lineRule="auto"/>
        <w:jc w:val="left"/>
        <w:rPr>
          <w:rFonts w:hint="default" w:hAnsi="宋体"/>
          <w:b/>
          <w:color w:val="auto"/>
          <w:sz w:val="32"/>
          <w:szCs w:val="32"/>
          <w:highlight w:val="none"/>
        </w:rPr>
      </w:pPr>
      <w:r>
        <w:rPr>
          <w:rFonts w:hint="default" w:hAnsi="宋体"/>
          <w:b/>
          <w:bCs/>
          <w:color w:val="auto"/>
          <w:sz w:val="32"/>
          <w:szCs w:val="32"/>
          <w:highlight w:val="none"/>
        </w:rPr>
        <w:t>采购人：国家税务总局辽宁省税务局</w:t>
      </w:r>
    </w:p>
    <w:p>
      <w:pPr>
        <w:pStyle w:val="33"/>
        <w:ind w:firstLine="320"/>
        <w:rPr>
          <w:color w:val="auto"/>
          <w:sz w:val="32"/>
          <w:szCs w:val="32"/>
          <w:highlight w:val="none"/>
        </w:rPr>
      </w:pPr>
    </w:p>
    <w:p>
      <w:pPr>
        <w:pStyle w:val="33"/>
        <w:ind w:firstLine="320"/>
        <w:rPr>
          <w:color w:val="auto"/>
          <w:sz w:val="32"/>
          <w:szCs w:val="32"/>
          <w:highlight w:val="none"/>
        </w:rPr>
      </w:pPr>
    </w:p>
    <w:p>
      <w:pPr>
        <w:widowControl/>
        <w:topLinePunct/>
        <w:autoSpaceDE w:val="0"/>
        <w:autoSpaceDN w:val="0"/>
        <w:spacing w:line="480" w:lineRule="auto"/>
        <w:jc w:val="center"/>
        <w:rPr>
          <w:rFonts w:ascii="宋体" w:hAnsi="宋体"/>
          <w:color w:val="auto"/>
          <w:sz w:val="36"/>
          <w:szCs w:val="36"/>
          <w:highlight w:val="none"/>
        </w:rPr>
      </w:pPr>
      <w:r>
        <w:rPr>
          <w:rFonts w:ascii="宋体" w:hAnsi="宋体"/>
          <w:color w:val="auto"/>
          <w:sz w:val="32"/>
          <w:szCs w:val="32"/>
          <w:highlight w:val="none"/>
        </w:rPr>
        <w:t>202</w:t>
      </w:r>
      <w:r>
        <w:rPr>
          <w:rFonts w:hint="eastAsia" w:ascii="宋体" w:hAnsi="宋体"/>
          <w:color w:val="auto"/>
          <w:sz w:val="32"/>
          <w:szCs w:val="32"/>
          <w:highlight w:val="none"/>
        </w:rPr>
        <w:t>3</w:t>
      </w:r>
      <w:r>
        <w:rPr>
          <w:rFonts w:ascii="宋体" w:hAnsi="宋体"/>
          <w:color w:val="auto"/>
          <w:sz w:val="32"/>
          <w:szCs w:val="32"/>
          <w:highlight w:val="none"/>
        </w:rPr>
        <w:t>年1月</w:t>
      </w:r>
    </w:p>
    <w:p>
      <w:pPr>
        <w:jc w:val="center"/>
        <w:rPr>
          <w:rFonts w:ascii="宋体" w:hAnsi="宋体"/>
          <w:color w:val="auto"/>
          <w:highlight w:val="none"/>
        </w:rPr>
      </w:pPr>
    </w:p>
    <w:p>
      <w:pPr>
        <w:jc w:val="center"/>
        <w:rPr>
          <w:rFonts w:ascii="宋体" w:hAnsi="宋体"/>
          <w:color w:val="auto"/>
          <w:highlight w:val="none"/>
        </w:rPr>
        <w:sectPr>
          <w:footerReference r:id="rId5" w:type="first"/>
          <w:headerReference r:id="rId3" w:type="even"/>
          <w:footerReference r:id="rId4" w:type="even"/>
          <w:pgSz w:w="11906" w:h="16838"/>
          <w:pgMar w:top="1440" w:right="1797" w:bottom="1440" w:left="1797" w:header="851" w:footer="992" w:gutter="0"/>
          <w:pgNumType w:start="0"/>
          <w:cols w:space="720" w:num="1"/>
          <w:docGrid w:type="lines" w:linePitch="312" w:charSpace="0"/>
        </w:sectPr>
      </w:pPr>
    </w:p>
    <w:p>
      <w:pPr>
        <w:jc w:val="center"/>
        <w:rPr>
          <w:rFonts w:ascii="宋体" w:hAnsi="宋体"/>
          <w:b/>
          <w:color w:val="auto"/>
          <w:sz w:val="44"/>
          <w:szCs w:val="44"/>
          <w:highlight w:val="none"/>
        </w:rPr>
      </w:pPr>
      <w:r>
        <w:rPr>
          <w:rFonts w:ascii="宋体" w:hAnsi="宋体"/>
          <w:b/>
          <w:color w:val="auto"/>
          <w:sz w:val="44"/>
          <w:szCs w:val="44"/>
          <w:highlight w:val="none"/>
        </w:rPr>
        <w:t>目　　录</w:t>
      </w:r>
    </w:p>
    <w:p>
      <w:pPr>
        <w:rPr>
          <w:rFonts w:ascii="宋体" w:hAnsi="宋体"/>
          <w:color w:val="auto"/>
          <w:highlight w:val="none"/>
        </w:rPr>
      </w:pPr>
    </w:p>
    <w:p>
      <w:pPr>
        <w:jc w:val="center"/>
        <w:rPr>
          <w:rFonts w:ascii="宋体" w:hAnsi="宋体"/>
          <w:b/>
          <w:color w:val="auto"/>
          <w:sz w:val="32"/>
          <w:szCs w:val="32"/>
          <w:highlight w:val="none"/>
        </w:rPr>
      </w:pPr>
    </w:p>
    <w:p>
      <w:pPr>
        <w:jc w:val="center"/>
        <w:rPr>
          <w:rFonts w:ascii="宋体" w:hAnsi="宋体"/>
          <w:color w:val="auto"/>
          <w:sz w:val="36"/>
          <w:szCs w:val="36"/>
          <w:highlight w:val="none"/>
        </w:rPr>
      </w:pPr>
      <w:r>
        <w:rPr>
          <w:rFonts w:ascii="宋体" w:hAnsi="宋体"/>
          <w:b/>
          <w:color w:val="auto"/>
          <w:sz w:val="36"/>
          <w:szCs w:val="36"/>
          <w:highlight w:val="none"/>
        </w:rPr>
        <w:t>第一部分　商 务 部 分</w:t>
      </w:r>
    </w:p>
    <w:p>
      <w:pPr>
        <w:ind w:firstLine="422"/>
        <w:rPr>
          <w:rFonts w:ascii="宋体" w:hAnsi="宋体"/>
          <w:b/>
          <w:color w:val="auto"/>
          <w:highlight w:val="none"/>
        </w:rPr>
      </w:pPr>
    </w:p>
    <w:p>
      <w:pPr>
        <w:pStyle w:val="25"/>
        <w:rPr>
          <w:color w:val="auto"/>
          <w:highlight w:val="none"/>
        </w:rPr>
      </w:pPr>
      <w:r>
        <w:rPr>
          <w:color w:val="auto"/>
          <w:highlight w:val="none"/>
        </w:rPr>
        <w:fldChar w:fldCharType="begin"/>
      </w:r>
      <w:r>
        <w:rPr>
          <w:color w:val="auto"/>
          <w:highlight w:val="none"/>
        </w:rPr>
        <w:instrText xml:space="preserve"> TOC \o "1-1" \h \z \u </w:instrText>
      </w:r>
      <w:r>
        <w:rPr>
          <w:color w:val="auto"/>
          <w:highlight w:val="none"/>
        </w:rPr>
        <w:fldChar w:fldCharType="separate"/>
      </w:r>
      <w:r>
        <w:rPr>
          <w:color w:val="auto"/>
          <w:highlight w:val="none"/>
        </w:rPr>
        <w:fldChar w:fldCharType="begin"/>
      </w:r>
      <w:r>
        <w:rPr>
          <w:color w:val="auto"/>
          <w:highlight w:val="none"/>
        </w:rPr>
        <w:instrText xml:space="preserve"> HYPERLINK \l "_Toc124754485" </w:instrText>
      </w:r>
      <w:r>
        <w:rPr>
          <w:color w:val="auto"/>
          <w:highlight w:val="none"/>
        </w:rPr>
        <w:fldChar w:fldCharType="separate"/>
      </w:r>
      <w:r>
        <w:rPr>
          <w:color w:val="auto"/>
          <w:highlight w:val="none"/>
        </w:rPr>
        <w:fldChar w:fldCharType="end"/>
      </w:r>
    </w:p>
    <w:p>
      <w:pPr>
        <w:pStyle w:val="25"/>
        <w:rPr>
          <w:color w:val="auto"/>
          <w:highlight w:val="none"/>
        </w:rPr>
      </w:pPr>
      <w:r>
        <w:rPr>
          <w:color w:val="auto"/>
          <w:highlight w:val="none"/>
        </w:rPr>
        <w:fldChar w:fldCharType="begin"/>
      </w:r>
      <w:r>
        <w:rPr>
          <w:color w:val="auto"/>
          <w:highlight w:val="none"/>
        </w:rPr>
        <w:instrText xml:space="preserve"> HYPERLINK \l "_Toc124754486" </w:instrText>
      </w:r>
      <w:r>
        <w:rPr>
          <w:color w:val="auto"/>
          <w:highlight w:val="none"/>
        </w:rPr>
        <w:fldChar w:fldCharType="separate"/>
      </w:r>
      <w:r>
        <w:rPr>
          <w:rFonts w:hint="eastAsia"/>
          <w:color w:val="auto"/>
          <w:highlight w:val="none"/>
        </w:rPr>
        <w:t>第一章</w:t>
      </w:r>
      <w:r>
        <w:rPr>
          <w:color w:val="auto"/>
          <w:highlight w:val="none"/>
        </w:rPr>
        <w:t xml:space="preserve">  </w:t>
      </w:r>
      <w:r>
        <w:rPr>
          <w:rFonts w:hint="eastAsia"/>
          <w:color w:val="auto"/>
          <w:highlight w:val="none"/>
        </w:rPr>
        <w:t>招标公告</w:t>
      </w:r>
      <w:r>
        <w:rPr>
          <w:color w:val="auto"/>
          <w:highlight w:val="none"/>
        </w:rPr>
        <w:tab/>
      </w:r>
      <w:r>
        <w:rPr>
          <w:color w:val="auto"/>
          <w:highlight w:val="none"/>
        </w:rPr>
        <w:fldChar w:fldCharType="begin"/>
      </w:r>
      <w:r>
        <w:rPr>
          <w:color w:val="auto"/>
          <w:highlight w:val="none"/>
        </w:rPr>
        <w:instrText xml:space="preserve"> PAGEREF _Toc124754486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25"/>
        <w:rPr>
          <w:color w:val="auto"/>
          <w:highlight w:val="none"/>
        </w:rPr>
      </w:pPr>
      <w:r>
        <w:rPr>
          <w:color w:val="auto"/>
          <w:highlight w:val="none"/>
        </w:rPr>
        <w:fldChar w:fldCharType="begin"/>
      </w:r>
      <w:r>
        <w:rPr>
          <w:color w:val="auto"/>
          <w:highlight w:val="none"/>
        </w:rPr>
        <w:instrText xml:space="preserve"> HYPERLINK \l "_Toc124754487" </w:instrText>
      </w:r>
      <w:r>
        <w:rPr>
          <w:color w:val="auto"/>
          <w:highlight w:val="none"/>
        </w:rPr>
        <w:fldChar w:fldCharType="separate"/>
      </w:r>
      <w:r>
        <w:rPr>
          <w:rFonts w:hint="eastAsia"/>
          <w:color w:val="auto"/>
          <w:highlight w:val="none"/>
        </w:rPr>
        <w:t>第二章　投标人须知</w:t>
      </w:r>
      <w:r>
        <w:rPr>
          <w:color w:val="auto"/>
          <w:highlight w:val="none"/>
        </w:rPr>
        <w:tab/>
      </w:r>
      <w:r>
        <w:rPr>
          <w:color w:val="auto"/>
          <w:highlight w:val="none"/>
        </w:rPr>
        <w:fldChar w:fldCharType="begin"/>
      </w:r>
      <w:r>
        <w:rPr>
          <w:color w:val="auto"/>
          <w:highlight w:val="none"/>
        </w:rPr>
        <w:instrText xml:space="preserve"> PAGEREF _Toc124754487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25"/>
        <w:rPr>
          <w:color w:val="auto"/>
          <w:highlight w:val="none"/>
        </w:rPr>
      </w:pPr>
      <w:r>
        <w:rPr>
          <w:color w:val="auto"/>
          <w:highlight w:val="none"/>
        </w:rPr>
        <w:fldChar w:fldCharType="begin"/>
      </w:r>
      <w:r>
        <w:rPr>
          <w:color w:val="auto"/>
          <w:highlight w:val="none"/>
        </w:rPr>
        <w:instrText xml:space="preserve"> HYPERLINK \l "_Toc124754488" </w:instrText>
      </w:r>
      <w:r>
        <w:rPr>
          <w:color w:val="auto"/>
          <w:highlight w:val="none"/>
        </w:rPr>
        <w:fldChar w:fldCharType="separate"/>
      </w:r>
      <w:r>
        <w:rPr>
          <w:rFonts w:hint="eastAsia"/>
          <w:color w:val="auto"/>
          <w:highlight w:val="none"/>
        </w:rPr>
        <w:t>第三章　评标方法及标准</w:t>
      </w:r>
      <w:r>
        <w:rPr>
          <w:color w:val="auto"/>
          <w:highlight w:val="none"/>
        </w:rPr>
        <w:tab/>
      </w:r>
      <w:r>
        <w:rPr>
          <w:color w:val="auto"/>
          <w:highlight w:val="none"/>
        </w:rPr>
        <w:fldChar w:fldCharType="begin"/>
      </w:r>
      <w:r>
        <w:rPr>
          <w:color w:val="auto"/>
          <w:highlight w:val="none"/>
        </w:rPr>
        <w:instrText xml:space="preserve"> PAGEREF _Toc124754488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25"/>
        <w:rPr>
          <w:color w:val="auto"/>
          <w:highlight w:val="none"/>
        </w:rPr>
      </w:pPr>
      <w:r>
        <w:rPr>
          <w:color w:val="auto"/>
          <w:highlight w:val="none"/>
        </w:rPr>
        <w:fldChar w:fldCharType="begin"/>
      </w:r>
      <w:r>
        <w:rPr>
          <w:color w:val="auto"/>
          <w:highlight w:val="none"/>
        </w:rPr>
        <w:instrText xml:space="preserve"> HYPERLINK \l "_Toc124754489" </w:instrText>
      </w:r>
      <w:r>
        <w:rPr>
          <w:color w:val="auto"/>
          <w:highlight w:val="none"/>
        </w:rPr>
        <w:fldChar w:fldCharType="separate"/>
      </w:r>
      <w:r>
        <w:rPr>
          <w:rFonts w:hint="eastAsia"/>
          <w:color w:val="auto"/>
          <w:highlight w:val="none"/>
        </w:rPr>
        <w:t>第四章 政府采购合同样本</w:t>
      </w:r>
      <w:r>
        <w:rPr>
          <w:color w:val="auto"/>
          <w:highlight w:val="none"/>
        </w:rPr>
        <w:tab/>
      </w:r>
      <w:r>
        <w:rPr>
          <w:color w:val="auto"/>
          <w:highlight w:val="none"/>
        </w:rPr>
        <w:fldChar w:fldCharType="begin"/>
      </w:r>
      <w:r>
        <w:rPr>
          <w:color w:val="auto"/>
          <w:highlight w:val="none"/>
        </w:rPr>
        <w:instrText xml:space="preserve"> PAGEREF _Toc124754489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pPr>
        <w:pStyle w:val="25"/>
        <w:rPr>
          <w:color w:val="auto"/>
          <w:highlight w:val="none"/>
        </w:rPr>
      </w:pPr>
      <w:r>
        <w:rPr>
          <w:color w:val="auto"/>
          <w:highlight w:val="none"/>
        </w:rPr>
        <w:fldChar w:fldCharType="begin"/>
      </w:r>
      <w:r>
        <w:rPr>
          <w:color w:val="auto"/>
          <w:highlight w:val="none"/>
        </w:rPr>
        <w:instrText xml:space="preserve"> HYPERLINK \l "_Toc124754490" </w:instrText>
      </w:r>
      <w:r>
        <w:rPr>
          <w:color w:val="auto"/>
          <w:highlight w:val="none"/>
        </w:rPr>
        <w:fldChar w:fldCharType="separate"/>
      </w:r>
      <w:r>
        <w:rPr>
          <w:rFonts w:hint="eastAsia"/>
          <w:color w:val="auto"/>
          <w:highlight w:val="none"/>
        </w:rPr>
        <w:t>第五章　投标文件格式</w:t>
      </w:r>
      <w:r>
        <w:rPr>
          <w:color w:val="auto"/>
          <w:highlight w:val="none"/>
        </w:rPr>
        <w:tab/>
      </w:r>
      <w:r>
        <w:rPr>
          <w:color w:val="auto"/>
          <w:highlight w:val="none"/>
        </w:rPr>
        <w:fldChar w:fldCharType="begin"/>
      </w:r>
      <w:r>
        <w:rPr>
          <w:color w:val="auto"/>
          <w:highlight w:val="none"/>
        </w:rPr>
        <w:instrText xml:space="preserve"> PAGEREF _Toc124754490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pPr>
        <w:pStyle w:val="25"/>
        <w:rPr>
          <w:b/>
          <w:color w:val="auto"/>
          <w:sz w:val="32"/>
          <w:szCs w:val="32"/>
          <w:highlight w:val="none"/>
        </w:rPr>
      </w:pPr>
      <w:r>
        <w:rPr>
          <w:color w:val="auto"/>
          <w:highlight w:val="none"/>
        </w:rPr>
        <w:fldChar w:fldCharType="end"/>
      </w:r>
    </w:p>
    <w:p>
      <w:pPr>
        <w:jc w:val="center"/>
        <w:rPr>
          <w:rFonts w:ascii="宋体" w:hAnsi="宋体"/>
          <w:b/>
          <w:color w:val="auto"/>
          <w:sz w:val="32"/>
          <w:szCs w:val="32"/>
          <w:highlight w:val="none"/>
        </w:rPr>
      </w:pPr>
    </w:p>
    <w:p>
      <w:pPr>
        <w:jc w:val="center"/>
        <w:outlineLvl w:val="0"/>
        <w:rPr>
          <w:rFonts w:ascii="宋体" w:hAnsi="宋体"/>
          <w:color w:val="auto"/>
          <w:sz w:val="36"/>
          <w:szCs w:val="36"/>
          <w:highlight w:val="none"/>
        </w:rPr>
      </w:pPr>
      <w:bookmarkStart w:id="0" w:name="_Toc124754485"/>
      <w:r>
        <w:rPr>
          <w:rFonts w:ascii="宋体" w:hAnsi="宋体"/>
          <w:b/>
          <w:color w:val="auto"/>
          <w:sz w:val="36"/>
          <w:szCs w:val="36"/>
          <w:highlight w:val="none"/>
        </w:rPr>
        <w:t>第二部分　技 术 部 分</w:t>
      </w:r>
      <w:bookmarkEnd w:id="0"/>
    </w:p>
    <w:p>
      <w:pPr>
        <w:pStyle w:val="25"/>
        <w:rPr>
          <w:rStyle w:val="40"/>
          <w:rFonts w:hint="default"/>
          <w:color w:val="auto"/>
          <w:highlight w:val="none"/>
        </w:rPr>
      </w:pPr>
    </w:p>
    <w:p>
      <w:pPr>
        <w:pStyle w:val="25"/>
        <w:tabs>
          <w:tab w:val="right" w:leader="dot" w:pos="8312"/>
          <w:tab w:val="clear" w:pos="8302"/>
        </w:tabs>
        <w:rPr>
          <w:color w:val="auto"/>
          <w:highlight w:val="none"/>
        </w:rPr>
      </w:pPr>
      <w:r>
        <w:rPr>
          <w:color w:val="auto"/>
          <w:highlight w:val="none"/>
        </w:rPr>
        <w:fldChar w:fldCharType="begin"/>
      </w:r>
      <w:r>
        <w:rPr>
          <w:color w:val="auto"/>
          <w:highlight w:val="none"/>
        </w:rPr>
        <w:instrText xml:space="preserve"> HYPERLINK \l "_Toc15632" </w:instrText>
      </w:r>
      <w:r>
        <w:rPr>
          <w:color w:val="auto"/>
          <w:highlight w:val="none"/>
        </w:rPr>
        <w:fldChar w:fldCharType="separate"/>
      </w:r>
      <w:r>
        <w:rPr>
          <w:color w:val="auto"/>
          <w:highlight w:val="none"/>
        </w:rPr>
        <w:t>第六章　项目业务需求</w:t>
      </w:r>
      <w:r>
        <w:rPr>
          <w:color w:val="auto"/>
          <w:highlight w:val="none"/>
        </w:rPr>
        <w:tab/>
      </w:r>
      <w:r>
        <w:rPr>
          <w:color w:val="auto"/>
          <w:highlight w:val="none"/>
        </w:rPr>
        <w:fldChar w:fldCharType="begin"/>
      </w:r>
      <w:r>
        <w:rPr>
          <w:color w:val="auto"/>
          <w:highlight w:val="none"/>
        </w:rPr>
        <w:instrText xml:space="preserve"> PAGEREF _Toc15632 \h </w:instrText>
      </w:r>
      <w:r>
        <w:rPr>
          <w:color w:val="auto"/>
          <w:highlight w:val="none"/>
        </w:rPr>
        <w:fldChar w:fldCharType="separate"/>
      </w:r>
      <w:r>
        <w:rPr>
          <w:color w:val="auto"/>
          <w:highlight w:val="none"/>
        </w:rPr>
        <w:t>6</w:t>
      </w:r>
      <w:r>
        <w:rPr>
          <w:rFonts w:hint="eastAsia"/>
          <w:color w:val="auto"/>
          <w:highlight w:val="none"/>
        </w:rPr>
        <w:t>0</w:t>
      </w:r>
      <w:r>
        <w:rPr>
          <w:color w:val="auto"/>
          <w:highlight w:val="none"/>
        </w:rPr>
        <w:fldChar w:fldCharType="end"/>
      </w:r>
      <w:r>
        <w:rPr>
          <w:color w:val="auto"/>
          <w:highlight w:val="none"/>
        </w:rPr>
        <w:fldChar w:fldCharType="end"/>
      </w:r>
    </w:p>
    <w:p>
      <w:pPr>
        <w:pStyle w:val="19"/>
        <w:ind w:firstLine="643" w:firstLineChars="200"/>
        <w:rPr>
          <w:rFonts w:hint="default" w:hAnsi="宋体"/>
          <w:b/>
          <w:color w:val="auto"/>
          <w:sz w:val="32"/>
          <w:szCs w:val="32"/>
          <w:highlight w:val="none"/>
        </w:rPr>
      </w:pPr>
    </w:p>
    <w:p>
      <w:pPr>
        <w:pStyle w:val="19"/>
        <w:ind w:firstLine="643" w:firstLineChars="200"/>
        <w:jc w:val="center"/>
        <w:rPr>
          <w:rFonts w:hint="default" w:hAnsi="宋体"/>
          <w:b/>
          <w:color w:val="auto"/>
          <w:sz w:val="32"/>
          <w:szCs w:val="32"/>
          <w:highlight w:val="none"/>
        </w:rPr>
      </w:pPr>
    </w:p>
    <w:p>
      <w:pPr>
        <w:widowControl/>
        <w:shd w:val="clear" w:color="auto" w:fill="FFFFFF"/>
        <w:spacing w:line="360" w:lineRule="auto"/>
        <w:ind w:firstLine="480" w:firstLineChars="200"/>
        <w:jc w:val="left"/>
        <w:rPr>
          <w:rFonts w:ascii="宋体" w:hAnsi="宋体"/>
          <w:color w:val="auto"/>
          <w:sz w:val="24"/>
          <w:highlight w:val="none"/>
        </w:rPr>
      </w:pPr>
    </w:p>
    <w:p>
      <w:pPr>
        <w:pStyle w:val="19"/>
        <w:topLinePunct/>
        <w:autoSpaceDE w:val="0"/>
        <w:autoSpaceDN w:val="0"/>
        <w:jc w:val="center"/>
        <w:rPr>
          <w:rFonts w:hint="default" w:hAnsi="宋体"/>
          <w:b/>
          <w:color w:val="auto"/>
          <w:sz w:val="44"/>
          <w:szCs w:val="44"/>
          <w:highlight w:val="none"/>
        </w:rPr>
      </w:pPr>
      <w:r>
        <w:rPr>
          <w:rFonts w:hint="default" w:hAnsi="宋体"/>
          <w:b/>
          <w:color w:val="auto"/>
          <w:sz w:val="32"/>
          <w:szCs w:val="32"/>
          <w:highlight w:val="none"/>
        </w:rPr>
        <w:br w:type="page"/>
      </w:r>
      <w:r>
        <w:rPr>
          <w:rFonts w:hint="default" w:hAnsi="宋体"/>
          <w:b/>
          <w:color w:val="auto"/>
          <w:sz w:val="44"/>
          <w:szCs w:val="44"/>
          <w:highlight w:val="none"/>
        </w:rPr>
        <w:t>第一部分 商务部分</w:t>
      </w:r>
    </w:p>
    <w:p>
      <w:pPr>
        <w:pStyle w:val="280"/>
        <w:rPr>
          <w:rFonts w:ascii="宋体" w:hAnsi="宋体"/>
          <w:color w:val="auto"/>
          <w:highlight w:val="none"/>
        </w:rPr>
      </w:pPr>
      <w:bookmarkStart w:id="1" w:name="_Toc550008647"/>
      <w:bookmarkStart w:id="2" w:name="_Toc1314141995"/>
      <w:bookmarkStart w:id="3" w:name="_Toc1507395400"/>
      <w:bookmarkStart w:id="4" w:name="_Toc525052844"/>
      <w:bookmarkStart w:id="5" w:name="_Toc38030147"/>
      <w:bookmarkStart w:id="6" w:name="_Toc2069573289"/>
      <w:bookmarkStart w:id="7" w:name="_Toc1669619672"/>
      <w:bookmarkStart w:id="8" w:name="_Toc124754486"/>
      <w:r>
        <w:rPr>
          <w:rFonts w:ascii="宋体" w:hAnsi="宋体"/>
          <w:color w:val="auto"/>
          <w:highlight w:val="none"/>
        </w:rPr>
        <w:t xml:space="preserve">第一章  </w:t>
      </w:r>
      <w:bookmarkEnd w:id="1"/>
      <w:bookmarkEnd w:id="2"/>
      <w:bookmarkEnd w:id="3"/>
      <w:bookmarkEnd w:id="4"/>
      <w:bookmarkEnd w:id="5"/>
      <w:bookmarkEnd w:id="6"/>
      <w:bookmarkEnd w:id="7"/>
      <w:r>
        <w:rPr>
          <w:rFonts w:ascii="宋体" w:hAnsi="宋体"/>
          <w:color w:val="auto"/>
          <w:highlight w:val="none"/>
        </w:rPr>
        <w:t>招标公告</w:t>
      </w:r>
      <w:bookmarkEnd w:id="8"/>
    </w:p>
    <w:p>
      <w:pPr>
        <w:pBdr>
          <w:top w:val="single" w:color="auto" w:sz="4" w:space="1"/>
          <w:left w:val="single" w:color="auto" w:sz="4" w:space="4"/>
          <w:bottom w:val="single" w:color="auto" w:sz="4" w:space="1"/>
          <w:right w:val="single" w:color="auto" w:sz="4" w:space="4"/>
        </w:pBdr>
        <w:spacing w:line="500" w:lineRule="exact"/>
        <w:ind w:firstLine="480" w:firstLineChars="200"/>
        <w:rPr>
          <w:rFonts w:ascii="宋体" w:hAnsi="宋体"/>
          <w:color w:val="auto"/>
          <w:sz w:val="24"/>
          <w:highlight w:val="none"/>
        </w:rPr>
      </w:pPr>
      <w:r>
        <w:rPr>
          <w:rFonts w:ascii="宋体" w:hAnsi="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国家税务总局辽宁省税务局存储设备扩容项目</w:t>
      </w:r>
      <w:r>
        <w:rPr>
          <w:rFonts w:ascii="宋体" w:hAnsi="宋体"/>
          <w:color w:val="auto"/>
          <w:sz w:val="24"/>
          <w:highlight w:val="none"/>
        </w:rPr>
        <w:t>的潜在投标人</w:t>
      </w:r>
      <w:r>
        <w:rPr>
          <w:rFonts w:hint="eastAsia" w:ascii="宋体" w:hAnsi="宋体"/>
          <w:color w:val="auto"/>
          <w:sz w:val="24"/>
          <w:highlight w:val="none"/>
        </w:rPr>
        <w:t>应在线上获取招标文件，并于2023年2月6日13时30分前递交投标文件。</w:t>
      </w:r>
    </w:p>
    <w:p>
      <w:pPr>
        <w:pStyle w:val="2"/>
        <w:rPr>
          <w:color w:val="auto"/>
          <w:highlight w:val="none"/>
        </w:rPr>
      </w:pPr>
    </w:p>
    <w:p>
      <w:pPr>
        <w:widowControl/>
        <w:shd w:val="clear" w:color="auto" w:fill="FFFFFF"/>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一、项目基本情况</w:t>
      </w:r>
    </w:p>
    <w:p>
      <w:pPr>
        <w:widowControl/>
        <w:shd w:val="clear" w:color="auto" w:fill="FFFFFF"/>
        <w:adjustRightInd w:val="0"/>
        <w:snapToGrid w:val="0"/>
        <w:spacing w:line="360" w:lineRule="auto"/>
        <w:ind w:firstLine="472" w:firstLineChars="196"/>
        <w:jc w:val="left"/>
        <w:rPr>
          <w:rFonts w:ascii="宋体" w:hAnsi="宋体"/>
          <w:bCs/>
          <w:color w:val="auto"/>
          <w:sz w:val="24"/>
          <w:highlight w:val="none"/>
        </w:rPr>
      </w:pPr>
      <w:r>
        <w:rPr>
          <w:rFonts w:ascii="宋体" w:hAnsi="宋体"/>
          <w:b/>
          <w:bCs/>
          <w:color w:val="auto"/>
          <w:sz w:val="24"/>
          <w:highlight w:val="none"/>
        </w:rPr>
        <w:t>项目编号：</w:t>
      </w:r>
      <w:r>
        <w:rPr>
          <w:rFonts w:hint="eastAsia" w:ascii="宋体" w:hAnsi="宋体"/>
          <w:bCs/>
          <w:color w:val="auto"/>
          <w:sz w:val="24"/>
          <w:highlight w:val="none"/>
        </w:rPr>
        <w:t>2022CG022</w:t>
      </w:r>
    </w:p>
    <w:p>
      <w:pPr>
        <w:widowControl/>
        <w:shd w:val="clear" w:color="auto" w:fill="FFFFFF"/>
        <w:adjustRightInd w:val="0"/>
        <w:snapToGrid w:val="0"/>
        <w:spacing w:line="360" w:lineRule="auto"/>
        <w:ind w:firstLine="472" w:firstLineChars="196"/>
        <w:jc w:val="left"/>
        <w:rPr>
          <w:rFonts w:ascii="宋体" w:hAnsi="宋体"/>
          <w:color w:val="auto"/>
          <w:sz w:val="24"/>
          <w:highlight w:val="none"/>
        </w:rPr>
      </w:pPr>
      <w:r>
        <w:rPr>
          <w:rFonts w:ascii="宋体" w:hAnsi="宋体"/>
          <w:b/>
          <w:bCs/>
          <w:color w:val="auto"/>
          <w:sz w:val="24"/>
          <w:highlight w:val="none"/>
        </w:rPr>
        <w:t>项目名称：</w:t>
      </w:r>
      <w:r>
        <w:rPr>
          <w:rFonts w:hint="eastAsia" w:ascii="宋体" w:hAnsi="宋体"/>
          <w:color w:val="auto"/>
          <w:sz w:val="24"/>
          <w:highlight w:val="none"/>
        </w:rPr>
        <w:t>国家税务总局辽宁省税务局存储设备扩容项目</w:t>
      </w:r>
    </w:p>
    <w:p>
      <w:pPr>
        <w:widowControl/>
        <w:shd w:val="clear" w:color="auto" w:fill="FFFFFF"/>
        <w:adjustRightInd w:val="0"/>
        <w:snapToGrid w:val="0"/>
        <w:spacing w:line="360" w:lineRule="auto"/>
        <w:ind w:firstLine="472" w:firstLineChars="196"/>
        <w:jc w:val="left"/>
        <w:rPr>
          <w:rFonts w:hint="eastAsia" w:ascii="宋体" w:hAnsi="宋体"/>
          <w:color w:val="auto"/>
          <w:sz w:val="24"/>
          <w:highlight w:val="none"/>
        </w:rPr>
      </w:pPr>
      <w:r>
        <w:rPr>
          <w:rFonts w:ascii="宋体" w:hAnsi="宋体"/>
          <w:b/>
          <w:bCs/>
          <w:color w:val="auto"/>
          <w:sz w:val="24"/>
          <w:highlight w:val="none"/>
        </w:rPr>
        <w:t>预算金额：</w:t>
      </w:r>
      <w:r>
        <w:rPr>
          <w:rFonts w:hint="eastAsia" w:ascii="宋体" w:hAnsi="宋体"/>
          <w:bCs/>
          <w:color w:val="auto"/>
          <w:sz w:val="24"/>
          <w:highlight w:val="none"/>
        </w:rPr>
        <w:t>306</w:t>
      </w:r>
      <w:r>
        <w:rPr>
          <w:rFonts w:hint="eastAsia" w:ascii="宋体" w:hAnsi="宋体"/>
          <w:color w:val="auto"/>
          <w:sz w:val="24"/>
          <w:highlight w:val="none"/>
        </w:rPr>
        <w:t>万元</w:t>
      </w:r>
    </w:p>
    <w:p>
      <w:pPr>
        <w:widowControl/>
        <w:shd w:val="clear" w:color="auto" w:fill="FFFFFF"/>
        <w:adjustRightInd w:val="0"/>
        <w:snapToGrid w:val="0"/>
        <w:spacing w:line="360" w:lineRule="auto"/>
        <w:ind w:firstLine="472" w:firstLineChars="196"/>
        <w:jc w:val="left"/>
        <w:rPr>
          <w:rFonts w:hint="eastAsia" w:ascii="宋体" w:hAnsi="宋体"/>
          <w:color w:val="auto"/>
          <w:sz w:val="24"/>
          <w:highlight w:val="none"/>
        </w:rPr>
      </w:pPr>
      <w:r>
        <w:rPr>
          <w:rFonts w:ascii="宋体" w:hAnsi="宋体"/>
          <w:b/>
          <w:bCs/>
          <w:color w:val="auto"/>
          <w:sz w:val="24"/>
          <w:highlight w:val="none"/>
        </w:rPr>
        <w:t>采购需求：</w:t>
      </w:r>
      <w:r>
        <w:rPr>
          <w:rFonts w:hint="eastAsia" w:ascii="宋体" w:hAnsi="宋体"/>
          <w:color w:val="auto"/>
          <w:sz w:val="24"/>
          <w:highlight w:val="none"/>
        </w:rPr>
        <w:t>为现有的华为OceanStor 18800 V5存储和华三HPE 3PAR StoreServ 20840存储扩容，其中华为OceanStor 18800 V5存储扩容数量≥150块硬盘（2.4T 10K SAS，含硬盘框），华三HPE 3PAR StoreServ 20840存储扩容数量≥200块硬盘（1.8T 10K SAS，含硬盘框），并包含以上所有扩容部分自试运行验收合格起3年维保和现场技术支持服务。</w:t>
      </w:r>
    </w:p>
    <w:p>
      <w:pPr>
        <w:widowControl/>
        <w:shd w:val="clear" w:color="auto" w:fill="FFFFFF"/>
        <w:adjustRightInd w:val="0"/>
        <w:snapToGrid w:val="0"/>
        <w:spacing w:line="360" w:lineRule="auto"/>
        <w:ind w:firstLine="472" w:firstLineChars="196"/>
        <w:jc w:val="left"/>
        <w:rPr>
          <w:rFonts w:ascii="宋体" w:hAnsi="宋体"/>
          <w:color w:val="auto"/>
          <w:sz w:val="24"/>
          <w:highlight w:val="none"/>
        </w:rPr>
      </w:pPr>
      <w:r>
        <w:rPr>
          <w:rFonts w:ascii="宋体" w:hAnsi="宋体"/>
          <w:b/>
          <w:bCs/>
          <w:color w:val="auto"/>
          <w:sz w:val="24"/>
          <w:highlight w:val="none"/>
        </w:rPr>
        <w:t>合同履行期限：</w:t>
      </w:r>
      <w:r>
        <w:rPr>
          <w:rFonts w:hint="eastAsia" w:ascii="宋体" w:hAnsi="宋体"/>
          <w:color w:val="auto"/>
          <w:sz w:val="24"/>
          <w:highlight w:val="none"/>
        </w:rPr>
        <w:t>自合同签订之日起35个自然日内</w:t>
      </w:r>
      <w:bookmarkStart w:id="82" w:name="_GoBack"/>
      <w:bookmarkEnd w:id="82"/>
      <w:r>
        <w:rPr>
          <w:rFonts w:hint="eastAsia" w:ascii="宋体" w:hAnsi="宋体"/>
          <w:color w:val="auto"/>
          <w:sz w:val="24"/>
          <w:highlight w:val="none"/>
        </w:rPr>
        <w:t>完成设备到货安装和集成调试等实施工作。自试运行验收合格之日起3年维保和现场技术支持服务。</w:t>
      </w:r>
    </w:p>
    <w:p>
      <w:pPr>
        <w:adjustRightInd w:val="0"/>
        <w:snapToGrid w:val="0"/>
        <w:spacing w:line="360" w:lineRule="auto"/>
        <w:ind w:firstLine="482" w:firstLineChars="200"/>
        <w:jc w:val="left"/>
        <w:rPr>
          <w:rFonts w:ascii="宋体" w:hAnsi="宋体"/>
          <w:color w:val="auto"/>
          <w:sz w:val="24"/>
          <w:highlight w:val="none"/>
        </w:rPr>
      </w:pPr>
      <w:r>
        <w:rPr>
          <w:rFonts w:ascii="宋体" w:hAnsi="宋体"/>
          <w:b/>
          <w:bCs/>
          <w:color w:val="auto"/>
          <w:sz w:val="24"/>
          <w:highlight w:val="none"/>
        </w:rPr>
        <w:t>本项目</w:t>
      </w:r>
      <w:r>
        <w:rPr>
          <w:rFonts w:hint="eastAsia" w:ascii="宋体" w:hAnsi="宋体"/>
          <w:b/>
          <w:bCs/>
          <w:color w:val="auto"/>
          <w:sz w:val="24"/>
          <w:highlight w:val="none"/>
        </w:rPr>
        <w:t>不</w:t>
      </w:r>
      <w:r>
        <w:rPr>
          <w:rFonts w:ascii="宋体" w:hAnsi="宋体"/>
          <w:b/>
          <w:bCs/>
          <w:color w:val="auto"/>
          <w:sz w:val="24"/>
          <w:highlight w:val="none"/>
        </w:rPr>
        <w:t>接受联合体投标</w:t>
      </w:r>
      <w:r>
        <w:rPr>
          <w:rFonts w:hint="eastAsia" w:ascii="宋体" w:hAnsi="宋体"/>
          <w:b/>
          <w:bCs/>
          <w:color w:val="auto"/>
          <w:sz w:val="24"/>
          <w:highlight w:val="none"/>
        </w:rPr>
        <w:t>。</w:t>
      </w:r>
    </w:p>
    <w:p>
      <w:pPr>
        <w:widowControl/>
        <w:overflowPunct w:val="0"/>
        <w:autoSpaceDE w:val="0"/>
        <w:autoSpaceDN w:val="0"/>
        <w:adjustRightInd w:val="0"/>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二、申请人的资格要求</w:t>
      </w:r>
    </w:p>
    <w:p>
      <w:pPr>
        <w:widowControl/>
        <w:overflowPunct w:val="0"/>
        <w:autoSpaceDE w:val="0"/>
        <w:autoSpaceDN w:val="0"/>
        <w:adjustRightInd w:val="0"/>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1.</w:t>
      </w:r>
      <w:r>
        <w:rPr>
          <w:rFonts w:ascii="宋体" w:hAnsi="宋体"/>
          <w:color w:val="auto"/>
          <w:sz w:val="24"/>
          <w:highlight w:val="none"/>
          <w:lang w:val="zh-CN"/>
        </w:rPr>
        <w:t>本项目由符合国家有关法律法规规定的供应商参与，供应商应</w:t>
      </w:r>
      <w:r>
        <w:rPr>
          <w:rFonts w:ascii="宋体" w:hAnsi="宋体"/>
          <w:color w:val="auto"/>
          <w:sz w:val="24"/>
          <w:highlight w:val="none"/>
        </w:rPr>
        <w:t>满足《中华人民共和国政府采购法》第二十二条规定；</w:t>
      </w:r>
    </w:p>
    <w:p>
      <w:pPr>
        <w:widowControl/>
        <w:overflowPunct w:val="0"/>
        <w:autoSpaceDE w:val="0"/>
        <w:autoSpaceDN w:val="0"/>
        <w:adjustRightInd w:val="0"/>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2.落实政府采购政策需满足的资格要求：无。</w:t>
      </w:r>
    </w:p>
    <w:p>
      <w:pPr>
        <w:widowControl/>
        <w:overflowPunct w:val="0"/>
        <w:autoSpaceDE w:val="0"/>
        <w:autoSpaceDN w:val="0"/>
        <w:adjustRightInd w:val="0"/>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3.本项目的特定资格要求：无。</w:t>
      </w:r>
    </w:p>
    <w:p>
      <w:pPr>
        <w:widowControl/>
        <w:shd w:val="clear" w:color="auto" w:fill="FFFFFF"/>
        <w:spacing w:line="360" w:lineRule="auto"/>
        <w:ind w:firstLine="480" w:firstLineChars="200"/>
        <w:jc w:val="left"/>
        <w:rPr>
          <w:rFonts w:ascii="宋体" w:hAnsi="宋体"/>
          <w:color w:val="auto"/>
          <w:sz w:val="24"/>
          <w:highlight w:val="none"/>
        </w:rPr>
      </w:pPr>
      <w:r>
        <w:rPr>
          <w:rFonts w:ascii="宋体" w:hAnsi="宋体"/>
          <w:color w:val="auto"/>
          <w:sz w:val="24"/>
          <w:highlight w:val="none"/>
        </w:rPr>
        <w:t>三、获取招标文件</w:t>
      </w:r>
    </w:p>
    <w:p>
      <w:pPr>
        <w:widowControl/>
        <w:overflowPunct w:val="0"/>
        <w:autoSpaceDE w:val="0"/>
        <w:autoSpaceDN w:val="0"/>
        <w:adjustRightInd w:val="0"/>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时间：</w:t>
      </w:r>
      <w:r>
        <w:rPr>
          <w:rFonts w:hint="eastAsia" w:ascii="宋体" w:hAnsi="宋体"/>
          <w:color w:val="auto"/>
          <w:sz w:val="24"/>
          <w:highlight w:val="none"/>
        </w:rPr>
        <w:t>2023年1</w:t>
      </w:r>
      <w:r>
        <w:rPr>
          <w:rFonts w:ascii="宋体" w:hAnsi="宋体"/>
          <w:color w:val="auto"/>
          <w:sz w:val="24"/>
          <w:highlight w:val="none"/>
        </w:rPr>
        <w:t>月</w:t>
      </w:r>
      <w:r>
        <w:rPr>
          <w:rFonts w:hint="eastAsia" w:ascii="宋体" w:hAnsi="宋体"/>
          <w:color w:val="auto"/>
          <w:sz w:val="24"/>
          <w:highlight w:val="none"/>
        </w:rPr>
        <w:t>16</w:t>
      </w:r>
      <w:r>
        <w:rPr>
          <w:rFonts w:ascii="宋体" w:hAnsi="宋体"/>
          <w:color w:val="auto"/>
          <w:sz w:val="24"/>
          <w:highlight w:val="none"/>
        </w:rPr>
        <w:t>日至202</w:t>
      </w:r>
      <w:r>
        <w:rPr>
          <w:rFonts w:hint="eastAsia" w:ascii="宋体" w:hAnsi="宋体"/>
          <w:color w:val="auto"/>
          <w:sz w:val="24"/>
          <w:highlight w:val="none"/>
        </w:rPr>
        <w:t>3</w:t>
      </w:r>
      <w:r>
        <w:rPr>
          <w:rFonts w:ascii="宋体" w:hAnsi="宋体"/>
          <w:color w:val="auto"/>
          <w:sz w:val="24"/>
          <w:highlight w:val="none"/>
        </w:rPr>
        <w:t>年</w:t>
      </w:r>
      <w:r>
        <w:rPr>
          <w:rFonts w:hint="eastAsia" w:ascii="宋体" w:hAnsi="宋体"/>
          <w:color w:val="auto"/>
          <w:sz w:val="24"/>
          <w:highlight w:val="none"/>
        </w:rPr>
        <w:t>1</w:t>
      </w:r>
      <w:r>
        <w:rPr>
          <w:rFonts w:ascii="宋体" w:hAnsi="宋体"/>
          <w:color w:val="auto"/>
          <w:sz w:val="24"/>
          <w:highlight w:val="none"/>
        </w:rPr>
        <w:t>月</w:t>
      </w:r>
      <w:r>
        <w:rPr>
          <w:rFonts w:hint="eastAsia" w:ascii="宋体" w:hAnsi="宋体"/>
          <w:color w:val="auto"/>
          <w:sz w:val="24"/>
          <w:highlight w:val="none"/>
        </w:rPr>
        <w:t>28</w:t>
      </w:r>
      <w:r>
        <w:rPr>
          <w:rFonts w:ascii="宋体" w:hAnsi="宋体"/>
          <w:color w:val="auto"/>
          <w:sz w:val="24"/>
          <w:highlight w:val="none"/>
        </w:rPr>
        <w:t>日，每天上午8:30至11:30，下午13:00至16:30。（北京时间，法定节假日除外）。</w:t>
      </w:r>
    </w:p>
    <w:p>
      <w:pPr>
        <w:widowControl/>
        <w:overflowPunct w:val="0"/>
        <w:autoSpaceDE w:val="0"/>
        <w:autoSpaceDN w:val="0"/>
        <w:adjustRightInd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地点：线上（电子邮箱</w:t>
      </w:r>
      <w:r>
        <w:rPr>
          <w:rFonts w:hint="eastAsia" w:ascii="宋体" w:hAnsi="宋体"/>
          <w:color w:val="auto"/>
          <w:sz w:val="24"/>
          <w:highlight w:val="none"/>
          <w:lang w:eastAsia="zh-CN"/>
        </w:rPr>
        <w:t>lnsswjzfcg@163.com</w:t>
      </w:r>
      <w:r>
        <w:rPr>
          <w:rFonts w:hint="eastAsia" w:ascii="宋体" w:hAnsi="宋体"/>
          <w:color w:val="auto"/>
          <w:sz w:val="24"/>
          <w:highlight w:val="none"/>
        </w:rPr>
        <w:t>）。</w:t>
      </w:r>
    </w:p>
    <w:p>
      <w:pPr>
        <w:widowControl/>
        <w:shd w:val="clear" w:color="auto" w:fill="FFFFFF"/>
        <w:spacing w:line="360" w:lineRule="auto"/>
        <w:ind w:firstLine="480" w:firstLineChars="200"/>
        <w:jc w:val="left"/>
        <w:rPr>
          <w:rFonts w:ascii="宋体" w:hAnsi="宋体"/>
          <w:bCs/>
          <w:color w:val="auto"/>
          <w:sz w:val="24"/>
          <w:highlight w:val="none"/>
        </w:rPr>
      </w:pPr>
      <w:r>
        <w:rPr>
          <w:rFonts w:hint="eastAsia" w:ascii="宋体" w:hAnsi="宋体"/>
          <w:color w:val="auto"/>
          <w:sz w:val="24"/>
          <w:highlight w:val="none"/>
        </w:rPr>
        <w:t>方式：潜在投标人下载本公告附件《招标文件领取登记表》，按要求填写登记表加盖公章后，将扫描件在上述获取招标文件的规定时间内发送至邮箱</w:t>
      </w:r>
      <w:r>
        <w:rPr>
          <w:rFonts w:hint="eastAsia" w:ascii="宋体" w:hAnsi="宋体"/>
          <w:color w:val="auto"/>
          <w:sz w:val="24"/>
          <w:highlight w:val="none"/>
          <w:lang w:eastAsia="zh-CN"/>
        </w:rPr>
        <w:t>lnsswjzfcg@163.com</w:t>
      </w:r>
      <w:r>
        <w:rPr>
          <w:rFonts w:hint="eastAsia" w:ascii="宋体" w:hAnsi="宋体"/>
          <w:color w:val="auto"/>
          <w:sz w:val="24"/>
          <w:highlight w:val="none"/>
        </w:rPr>
        <w:t>，邮件主题和附件名均设置为“投标人（公司）名称+拟领取招</w:t>
      </w:r>
      <w:r>
        <w:rPr>
          <w:rFonts w:ascii="宋体" w:hAnsi="宋体"/>
          <w:color w:val="auto"/>
          <w:sz w:val="24"/>
          <w:highlight w:val="none"/>
        </w:rPr>
        <w:t>标文件项目名称”。经审核无误后，</w:t>
      </w:r>
      <w:r>
        <w:rPr>
          <w:rFonts w:hint="eastAsia" w:ascii="宋体" w:hAnsi="宋体"/>
          <w:color w:val="auto"/>
          <w:sz w:val="24"/>
          <w:highlight w:val="none"/>
        </w:rPr>
        <w:t>采购人</w:t>
      </w:r>
      <w:r>
        <w:rPr>
          <w:rFonts w:ascii="宋体" w:hAnsi="宋体"/>
          <w:color w:val="auto"/>
          <w:sz w:val="24"/>
          <w:highlight w:val="none"/>
        </w:rPr>
        <w:t>通过电子邮件方式将招标文件电子版发送至潜在投标人在《招标文件领取登记表》中所填报的邮箱，潜在投标人收到招标文件电子版后请进行确认并以回复邮件的方式向</w:t>
      </w:r>
      <w:r>
        <w:rPr>
          <w:rFonts w:hint="eastAsia" w:ascii="宋体" w:hAnsi="宋体"/>
          <w:color w:val="auto"/>
          <w:sz w:val="24"/>
          <w:highlight w:val="none"/>
        </w:rPr>
        <w:t>采购人</w:t>
      </w:r>
      <w:r>
        <w:rPr>
          <w:rFonts w:ascii="宋体" w:hAnsi="宋体"/>
          <w:color w:val="auto"/>
          <w:sz w:val="24"/>
          <w:highlight w:val="none"/>
        </w:rPr>
        <w:t>反馈。潜在投标人没有领取招标文件的，该投标人不能参加本项目投标等政府采购活动。</w:t>
      </w:r>
    </w:p>
    <w:p>
      <w:pPr>
        <w:widowControl/>
        <w:shd w:val="clear" w:color="auto" w:fill="FFFFFF"/>
        <w:spacing w:line="360" w:lineRule="auto"/>
        <w:ind w:firstLine="480" w:firstLineChars="200"/>
        <w:jc w:val="left"/>
        <w:rPr>
          <w:rFonts w:ascii="宋体" w:hAnsi="宋体"/>
          <w:color w:val="auto"/>
          <w:sz w:val="24"/>
          <w:highlight w:val="none"/>
        </w:rPr>
      </w:pPr>
      <w:r>
        <w:rPr>
          <w:rFonts w:ascii="宋体" w:hAnsi="宋体"/>
          <w:bCs/>
          <w:color w:val="auto"/>
          <w:sz w:val="24"/>
          <w:highlight w:val="none"/>
        </w:rPr>
        <w:t>售价：</w:t>
      </w:r>
      <w:r>
        <w:rPr>
          <w:rFonts w:hint="eastAsia" w:ascii="宋体" w:hAnsi="宋体"/>
          <w:color w:val="auto"/>
          <w:sz w:val="24"/>
          <w:highlight w:val="none"/>
        </w:rPr>
        <w:t>免费</w:t>
      </w:r>
      <w:r>
        <w:rPr>
          <w:rFonts w:ascii="宋体" w:hAnsi="宋体"/>
          <w:color w:val="auto"/>
          <w:sz w:val="24"/>
          <w:highlight w:val="none"/>
        </w:rPr>
        <w:t>。</w:t>
      </w:r>
    </w:p>
    <w:p>
      <w:pPr>
        <w:widowControl/>
        <w:numPr>
          <w:ilvl w:val="0"/>
          <w:numId w:val="1"/>
        </w:numPr>
        <w:shd w:val="clear" w:color="auto" w:fill="FFFFFF"/>
        <w:spacing w:line="360" w:lineRule="auto"/>
        <w:ind w:firstLine="480" w:firstLineChars="200"/>
        <w:jc w:val="left"/>
        <w:rPr>
          <w:rFonts w:ascii="宋体" w:hAnsi="宋体"/>
          <w:color w:val="auto"/>
          <w:sz w:val="24"/>
          <w:highlight w:val="none"/>
        </w:rPr>
      </w:pPr>
      <w:r>
        <w:rPr>
          <w:rFonts w:ascii="宋体" w:hAnsi="宋体"/>
          <w:color w:val="auto"/>
          <w:sz w:val="24"/>
          <w:highlight w:val="none"/>
        </w:rPr>
        <w:t>提交投标文件截止时间、开标时间和地点</w:t>
      </w:r>
    </w:p>
    <w:p>
      <w:pPr>
        <w:widowControl/>
        <w:shd w:val="clear" w:color="auto" w:fill="FFFFFF"/>
        <w:spacing w:line="360" w:lineRule="auto"/>
        <w:ind w:firstLine="480" w:firstLineChars="200"/>
        <w:jc w:val="left"/>
        <w:rPr>
          <w:rFonts w:ascii="宋体" w:hAnsi="宋体"/>
          <w:bCs/>
          <w:color w:val="auto"/>
          <w:sz w:val="24"/>
          <w:highlight w:val="none"/>
        </w:rPr>
      </w:pPr>
      <w:r>
        <w:rPr>
          <w:rFonts w:ascii="宋体" w:hAnsi="宋体"/>
          <w:bCs/>
          <w:color w:val="auto"/>
          <w:sz w:val="24"/>
          <w:highlight w:val="none"/>
        </w:rPr>
        <w:t>提交投标文件截止时间、开标时间：202</w:t>
      </w:r>
      <w:r>
        <w:rPr>
          <w:rFonts w:hint="eastAsia" w:ascii="宋体" w:hAnsi="宋体"/>
          <w:bCs/>
          <w:color w:val="auto"/>
          <w:sz w:val="24"/>
          <w:highlight w:val="none"/>
        </w:rPr>
        <w:t>3</w:t>
      </w:r>
      <w:r>
        <w:rPr>
          <w:rFonts w:ascii="宋体" w:hAnsi="宋体"/>
          <w:bCs/>
          <w:color w:val="auto"/>
          <w:sz w:val="24"/>
          <w:highlight w:val="none"/>
        </w:rPr>
        <w:t>年</w:t>
      </w:r>
      <w:r>
        <w:rPr>
          <w:rFonts w:hint="eastAsia" w:ascii="宋体" w:hAnsi="宋体"/>
          <w:bCs/>
          <w:color w:val="auto"/>
          <w:sz w:val="24"/>
          <w:highlight w:val="none"/>
        </w:rPr>
        <w:t>2</w:t>
      </w:r>
      <w:r>
        <w:rPr>
          <w:rFonts w:ascii="宋体" w:hAnsi="宋体"/>
          <w:bCs/>
          <w:color w:val="auto"/>
          <w:sz w:val="24"/>
          <w:highlight w:val="none"/>
        </w:rPr>
        <w:t>月</w:t>
      </w:r>
      <w:r>
        <w:rPr>
          <w:rFonts w:hint="eastAsia" w:ascii="宋体" w:hAnsi="宋体"/>
          <w:bCs/>
          <w:color w:val="auto"/>
          <w:sz w:val="24"/>
          <w:highlight w:val="none"/>
        </w:rPr>
        <w:t>6</w:t>
      </w:r>
      <w:r>
        <w:rPr>
          <w:rFonts w:ascii="宋体" w:hAnsi="宋体"/>
          <w:bCs/>
          <w:color w:val="auto"/>
          <w:sz w:val="24"/>
          <w:highlight w:val="none"/>
        </w:rPr>
        <w:t>日</w:t>
      </w:r>
      <w:r>
        <w:rPr>
          <w:rFonts w:hint="eastAsia" w:ascii="宋体" w:hAnsi="宋体"/>
          <w:bCs/>
          <w:color w:val="auto"/>
          <w:sz w:val="24"/>
          <w:highlight w:val="none"/>
        </w:rPr>
        <w:t>13时30</w:t>
      </w:r>
      <w:r>
        <w:rPr>
          <w:rFonts w:ascii="宋体" w:hAnsi="宋体"/>
          <w:bCs/>
          <w:color w:val="auto"/>
          <w:sz w:val="24"/>
          <w:highlight w:val="none"/>
        </w:rPr>
        <w:t>分</w:t>
      </w:r>
      <w:r>
        <w:rPr>
          <w:rFonts w:hint="eastAsia" w:ascii="宋体" w:hAnsi="宋体"/>
          <w:bCs/>
          <w:color w:val="auto"/>
          <w:sz w:val="24"/>
          <w:highlight w:val="none"/>
        </w:rPr>
        <w:t>（北京时间）</w:t>
      </w:r>
      <w:r>
        <w:rPr>
          <w:rFonts w:ascii="宋体" w:hAnsi="宋体"/>
          <w:bCs/>
          <w:color w:val="auto"/>
          <w:sz w:val="24"/>
          <w:highlight w:val="none"/>
        </w:rPr>
        <w:t>。</w:t>
      </w:r>
    </w:p>
    <w:p>
      <w:pPr>
        <w:widowControl/>
        <w:overflowPunct w:val="0"/>
        <w:autoSpaceDE w:val="0"/>
        <w:autoSpaceDN w:val="0"/>
        <w:adjustRightInd w:val="0"/>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地点</w:t>
      </w:r>
      <w:r>
        <w:rPr>
          <w:rFonts w:hint="eastAsia" w:ascii="宋体" w:hAnsi="宋体"/>
          <w:color w:val="auto"/>
          <w:sz w:val="24"/>
          <w:highlight w:val="none"/>
        </w:rPr>
        <w:t>（临时租用场地）</w:t>
      </w:r>
      <w:r>
        <w:rPr>
          <w:rFonts w:ascii="宋体" w:hAnsi="宋体"/>
          <w:color w:val="auto"/>
          <w:sz w:val="24"/>
          <w:highlight w:val="none"/>
        </w:rPr>
        <w:t>：沈阳市和平区南京北街65号民生银行大厦10层</w:t>
      </w:r>
      <w:r>
        <w:rPr>
          <w:rFonts w:hint="eastAsia" w:ascii="宋体" w:hAnsi="宋体"/>
          <w:color w:val="auto"/>
          <w:sz w:val="24"/>
          <w:highlight w:val="none"/>
        </w:rPr>
        <w:t>会议室</w:t>
      </w:r>
      <w:r>
        <w:rPr>
          <w:rFonts w:ascii="宋体" w:hAnsi="宋体"/>
          <w:color w:val="auto"/>
          <w:sz w:val="24"/>
          <w:highlight w:val="none"/>
        </w:rPr>
        <w:t>。</w:t>
      </w:r>
    </w:p>
    <w:p>
      <w:pPr>
        <w:widowControl/>
        <w:shd w:val="clear" w:color="auto" w:fill="FFFFFF"/>
        <w:spacing w:line="360" w:lineRule="auto"/>
        <w:ind w:firstLine="480" w:firstLineChars="200"/>
        <w:jc w:val="left"/>
        <w:rPr>
          <w:rFonts w:ascii="宋体" w:hAnsi="宋体"/>
          <w:color w:val="auto"/>
          <w:sz w:val="24"/>
          <w:highlight w:val="none"/>
        </w:rPr>
      </w:pPr>
      <w:r>
        <w:rPr>
          <w:rFonts w:ascii="宋体" w:hAnsi="宋体"/>
          <w:color w:val="auto"/>
          <w:sz w:val="24"/>
          <w:highlight w:val="none"/>
        </w:rPr>
        <w:t>五、公告期限</w:t>
      </w:r>
    </w:p>
    <w:p>
      <w:pPr>
        <w:widowControl/>
        <w:shd w:val="clear" w:color="auto" w:fill="FFFFFF"/>
        <w:spacing w:line="360" w:lineRule="auto"/>
        <w:ind w:firstLine="480" w:firstLineChars="200"/>
        <w:jc w:val="left"/>
        <w:rPr>
          <w:rFonts w:ascii="宋体" w:hAnsi="宋体"/>
          <w:color w:val="auto"/>
          <w:sz w:val="24"/>
          <w:highlight w:val="none"/>
        </w:rPr>
      </w:pPr>
      <w:r>
        <w:rPr>
          <w:rFonts w:ascii="宋体" w:hAnsi="宋体"/>
          <w:color w:val="auto"/>
          <w:sz w:val="24"/>
          <w:highlight w:val="none"/>
        </w:rPr>
        <w:t>自本公告发布之日起5个工作日。</w:t>
      </w:r>
    </w:p>
    <w:p>
      <w:pPr>
        <w:widowControl/>
        <w:shd w:val="clear" w:color="auto" w:fill="FFFFFF"/>
        <w:spacing w:line="360" w:lineRule="auto"/>
        <w:ind w:firstLine="480" w:firstLineChars="200"/>
        <w:jc w:val="left"/>
        <w:rPr>
          <w:rFonts w:ascii="宋体" w:hAnsi="宋体"/>
          <w:color w:val="auto"/>
          <w:sz w:val="24"/>
          <w:highlight w:val="none"/>
        </w:rPr>
      </w:pPr>
      <w:r>
        <w:rPr>
          <w:rFonts w:ascii="宋体" w:hAnsi="宋体"/>
          <w:color w:val="auto"/>
          <w:sz w:val="24"/>
          <w:highlight w:val="none"/>
        </w:rPr>
        <w:t>六、其他补充事宜</w:t>
      </w:r>
    </w:p>
    <w:p>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对在“信用中国”网站(www.creditchina.gov.cn)、“中国政府采购网”(www.ccgp.gov.cn)等渠道列入失信被执行人、</w:t>
      </w:r>
      <w:r>
        <w:rPr>
          <w:rFonts w:hint="eastAsia" w:ascii="宋体" w:hAnsi="宋体"/>
          <w:color w:val="auto"/>
          <w:sz w:val="24"/>
          <w:highlight w:val="none"/>
        </w:rPr>
        <w:t>重大税收违法失信主体</w:t>
      </w:r>
      <w:r>
        <w:rPr>
          <w:rFonts w:ascii="宋体" w:hAnsi="宋体"/>
          <w:color w:val="auto"/>
          <w:sz w:val="24"/>
          <w:highlight w:val="none"/>
        </w:rPr>
        <w:t>、政府采购严重违法失信行为记录名单</w:t>
      </w:r>
      <w:r>
        <w:rPr>
          <w:rFonts w:hint="eastAsia" w:ascii="宋体" w:hAnsi="宋体"/>
          <w:color w:val="auto"/>
          <w:sz w:val="24"/>
          <w:highlight w:val="none"/>
        </w:rPr>
        <w:t>、</w:t>
      </w:r>
      <w:r>
        <w:rPr>
          <w:rFonts w:hint="eastAsia" w:ascii="宋体" w:hAnsi="宋体"/>
          <w:color w:val="auto"/>
          <w:sz w:val="24"/>
          <w:highlight w:val="none"/>
          <w:lang w:val="zh-CN"/>
        </w:rPr>
        <w:t>税务系统信息化服务商失信行为名单</w:t>
      </w:r>
      <w:r>
        <w:rPr>
          <w:rFonts w:ascii="宋体" w:hAnsi="宋体"/>
          <w:color w:val="auto"/>
          <w:sz w:val="24"/>
          <w:highlight w:val="none"/>
        </w:rPr>
        <w:t>及其他不符合《中华人民共和国政府采购法》第二十二条规定条件的投标人，不得参与本次招标活动。</w:t>
      </w:r>
    </w:p>
    <w:p>
      <w:pPr>
        <w:adjustRightInd w:val="0"/>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2.投标人可采用邮寄形式提交投标文件，并于提交投标文件截止时间前将投标文件送达提交地点。</w:t>
      </w:r>
      <w:r>
        <w:rPr>
          <w:rFonts w:hint="eastAsia" w:ascii="宋体" w:hAnsi="宋体"/>
          <w:b/>
          <w:color w:val="auto"/>
          <w:sz w:val="24"/>
          <w:highlight w:val="none"/>
        </w:rPr>
        <w:t>对于已提交投标文件的投标人未全部到达开标现场时</w:t>
      </w:r>
      <w:r>
        <w:rPr>
          <w:rFonts w:hint="eastAsia" w:ascii="宋体" w:hAnsi="宋体"/>
          <w:bCs/>
          <w:color w:val="auto"/>
          <w:sz w:val="24"/>
          <w:highlight w:val="none"/>
        </w:rPr>
        <w:t xml:space="preserve">，本项目将采取远程视频会议的方式进行开标，届时请投标人的法定代表人或其授权代表人远程参加。 </w:t>
      </w:r>
    </w:p>
    <w:p>
      <w:pPr>
        <w:widowControl/>
        <w:shd w:val="clear" w:color="auto" w:fill="FFFFFF"/>
        <w:spacing w:line="360" w:lineRule="auto"/>
        <w:ind w:firstLine="480" w:firstLineChars="200"/>
        <w:jc w:val="left"/>
        <w:rPr>
          <w:color w:val="auto"/>
          <w:sz w:val="24"/>
          <w:highlight w:val="none"/>
        </w:rPr>
      </w:pPr>
      <w:r>
        <w:rPr>
          <w:rFonts w:hint="eastAsia" w:ascii="宋体" w:hAnsi="宋体"/>
          <w:color w:val="auto"/>
          <w:sz w:val="24"/>
          <w:highlight w:val="none"/>
        </w:rPr>
        <w:t>3.</w:t>
      </w:r>
      <w:r>
        <w:rPr>
          <w:color w:val="auto"/>
          <w:sz w:val="24"/>
          <w:highlight w:val="none"/>
        </w:rPr>
        <w:t xml:space="preserve"> 请各</w:t>
      </w:r>
      <w:r>
        <w:rPr>
          <w:rFonts w:hint="eastAsia"/>
          <w:color w:val="auto"/>
          <w:sz w:val="24"/>
          <w:highlight w:val="none"/>
        </w:rPr>
        <w:t>投标人</w:t>
      </w:r>
      <w:r>
        <w:rPr>
          <w:color w:val="auto"/>
          <w:sz w:val="24"/>
          <w:highlight w:val="none"/>
        </w:rPr>
        <w:t>自觉加强个人防护，自行戴好口罩，配合工作人员的问询、测温和登记工作。各</w:t>
      </w:r>
      <w:r>
        <w:rPr>
          <w:rFonts w:hint="eastAsia"/>
          <w:color w:val="auto"/>
          <w:sz w:val="24"/>
          <w:highlight w:val="none"/>
        </w:rPr>
        <w:t>投标人</w:t>
      </w:r>
      <w:r>
        <w:rPr>
          <w:color w:val="auto"/>
          <w:sz w:val="24"/>
          <w:highlight w:val="none"/>
        </w:rPr>
        <w:t>从民生银行大厦西门（南京街一侧）进入，至左侧前台处登记，前台工作人员将与负责项目的业务人员确认办事事宜，再为您刷卡进入10层办公区（请</w:t>
      </w:r>
      <w:r>
        <w:rPr>
          <w:rFonts w:hint="eastAsia"/>
          <w:color w:val="auto"/>
          <w:sz w:val="24"/>
          <w:highlight w:val="none"/>
        </w:rPr>
        <w:t>投标人</w:t>
      </w:r>
      <w:r>
        <w:rPr>
          <w:color w:val="auto"/>
          <w:sz w:val="24"/>
          <w:highlight w:val="none"/>
        </w:rPr>
        <w:t>配合并安排好时间）。</w:t>
      </w:r>
    </w:p>
    <w:p>
      <w:pPr>
        <w:widowControl/>
        <w:spacing w:line="360" w:lineRule="auto"/>
        <w:ind w:firstLine="480" w:firstLineChars="200"/>
        <w:jc w:val="left"/>
        <w:rPr>
          <w:rFonts w:ascii="宋体" w:hAnsi="宋体"/>
          <w:color w:val="auto"/>
          <w:sz w:val="24"/>
          <w:highlight w:val="none"/>
        </w:rPr>
      </w:pPr>
      <w:r>
        <w:rPr>
          <w:rFonts w:ascii="宋体" w:hAnsi="宋体"/>
          <w:color w:val="auto"/>
          <w:sz w:val="24"/>
          <w:highlight w:val="none"/>
        </w:rPr>
        <w:t>七、对本次招标提出询问，请按以下方式联系。</w:t>
      </w:r>
    </w:p>
    <w:p>
      <w:pPr>
        <w:widowControl/>
        <w:shd w:val="clear" w:color="auto" w:fill="FFFFFF"/>
        <w:spacing w:line="360" w:lineRule="auto"/>
        <w:ind w:firstLine="480" w:firstLineChars="200"/>
        <w:jc w:val="left"/>
        <w:rPr>
          <w:rFonts w:ascii="宋体" w:hAnsi="宋体"/>
          <w:color w:val="auto"/>
          <w:sz w:val="24"/>
          <w:highlight w:val="none"/>
        </w:rPr>
      </w:pPr>
      <w:r>
        <w:rPr>
          <w:rFonts w:ascii="宋体" w:hAnsi="宋体"/>
          <w:color w:val="auto"/>
          <w:sz w:val="24"/>
          <w:highlight w:val="none"/>
        </w:rPr>
        <w:t>1.采购人信息</w:t>
      </w:r>
    </w:p>
    <w:p>
      <w:pPr>
        <w:widowControl/>
        <w:shd w:val="clear" w:color="auto" w:fill="FFFFFF"/>
        <w:spacing w:line="360" w:lineRule="auto"/>
        <w:ind w:firstLine="720" w:firstLineChars="300"/>
        <w:jc w:val="left"/>
        <w:rPr>
          <w:rFonts w:ascii="宋体" w:hAnsi="宋体"/>
          <w:color w:val="auto"/>
          <w:sz w:val="24"/>
          <w:highlight w:val="none"/>
        </w:rPr>
      </w:pPr>
      <w:r>
        <w:rPr>
          <w:rFonts w:ascii="宋体" w:hAnsi="宋体"/>
          <w:color w:val="auto"/>
          <w:sz w:val="24"/>
          <w:highlight w:val="none"/>
        </w:rPr>
        <w:t>名称：国家税务总局辽宁省税务局</w:t>
      </w:r>
    </w:p>
    <w:p>
      <w:pPr>
        <w:widowControl/>
        <w:shd w:val="clear" w:color="auto" w:fill="FFFFFF"/>
        <w:spacing w:line="360" w:lineRule="auto"/>
        <w:ind w:firstLine="720" w:firstLineChars="300"/>
        <w:jc w:val="left"/>
        <w:rPr>
          <w:rFonts w:ascii="宋体" w:hAnsi="宋体"/>
          <w:color w:val="auto"/>
          <w:sz w:val="24"/>
          <w:highlight w:val="none"/>
        </w:rPr>
      </w:pPr>
      <w:r>
        <w:rPr>
          <w:rFonts w:ascii="宋体" w:hAnsi="宋体"/>
          <w:color w:val="auto"/>
          <w:sz w:val="24"/>
          <w:highlight w:val="none"/>
        </w:rPr>
        <w:t>地址：沈阳市沈河区青年大街256号　</w:t>
      </w:r>
    </w:p>
    <w:p>
      <w:pPr>
        <w:widowControl/>
        <w:shd w:val="clear" w:color="auto" w:fill="FFFFFF"/>
        <w:spacing w:line="360" w:lineRule="auto"/>
        <w:ind w:firstLine="720" w:firstLineChars="300"/>
        <w:jc w:val="left"/>
        <w:rPr>
          <w:rFonts w:ascii="宋体" w:hAnsi="宋体"/>
          <w:color w:val="auto"/>
          <w:sz w:val="24"/>
          <w:highlight w:val="none"/>
        </w:rPr>
      </w:pPr>
      <w:r>
        <w:rPr>
          <w:rFonts w:ascii="宋体" w:hAnsi="宋体"/>
          <w:color w:val="auto"/>
          <w:sz w:val="24"/>
          <w:highlight w:val="none"/>
        </w:rPr>
        <w:t>联系方式：024-</w:t>
      </w:r>
      <w:r>
        <w:rPr>
          <w:rFonts w:hint="eastAsia" w:ascii="宋体" w:hAnsi="宋体"/>
          <w:color w:val="auto"/>
          <w:sz w:val="24"/>
          <w:highlight w:val="none"/>
        </w:rPr>
        <w:t>81180258</w:t>
      </w:r>
    </w:p>
    <w:p>
      <w:pPr>
        <w:widowControl/>
        <w:shd w:val="clear" w:color="auto" w:fill="FFFFFF"/>
        <w:spacing w:line="360" w:lineRule="auto"/>
        <w:ind w:firstLine="480" w:firstLineChars="200"/>
        <w:jc w:val="left"/>
        <w:rPr>
          <w:rFonts w:ascii="宋体" w:hAnsi="宋体"/>
          <w:color w:val="auto"/>
          <w:sz w:val="24"/>
          <w:highlight w:val="none"/>
        </w:rPr>
      </w:pPr>
      <w:r>
        <w:rPr>
          <w:rFonts w:ascii="宋体" w:hAnsi="宋体"/>
          <w:color w:val="auto"/>
          <w:sz w:val="24"/>
          <w:highlight w:val="none"/>
        </w:rPr>
        <w:t>2.项目联系方式</w:t>
      </w:r>
    </w:p>
    <w:p>
      <w:pPr>
        <w:widowControl/>
        <w:shd w:val="clear" w:color="auto" w:fill="FFFFFF"/>
        <w:spacing w:line="360" w:lineRule="auto"/>
        <w:ind w:firstLine="720" w:firstLineChars="300"/>
        <w:jc w:val="left"/>
        <w:rPr>
          <w:rFonts w:ascii="宋体" w:hAnsi="宋体"/>
          <w:color w:val="auto"/>
          <w:sz w:val="24"/>
          <w:highlight w:val="none"/>
        </w:rPr>
      </w:pPr>
      <w:r>
        <w:rPr>
          <w:rFonts w:ascii="宋体" w:hAnsi="宋体"/>
          <w:color w:val="auto"/>
          <w:sz w:val="24"/>
          <w:highlight w:val="none"/>
        </w:rPr>
        <w:t>项目联系人：</w:t>
      </w:r>
      <w:r>
        <w:rPr>
          <w:rFonts w:hint="eastAsia" w:ascii="宋体" w:hAnsi="宋体"/>
          <w:color w:val="auto"/>
          <w:sz w:val="24"/>
          <w:highlight w:val="none"/>
        </w:rPr>
        <w:t>罗先生</w:t>
      </w:r>
    </w:p>
    <w:p>
      <w:pPr>
        <w:widowControl/>
        <w:shd w:val="clear" w:color="auto" w:fill="FFFFFF"/>
        <w:spacing w:line="360" w:lineRule="auto"/>
        <w:ind w:firstLine="720" w:firstLineChars="300"/>
        <w:jc w:val="left"/>
        <w:rPr>
          <w:rFonts w:ascii="宋体" w:hAnsi="宋体"/>
          <w:color w:val="auto"/>
          <w:sz w:val="24"/>
          <w:highlight w:val="none"/>
        </w:rPr>
      </w:pPr>
      <w:r>
        <w:rPr>
          <w:rFonts w:ascii="宋体" w:hAnsi="宋体"/>
          <w:color w:val="auto"/>
          <w:sz w:val="24"/>
          <w:highlight w:val="none"/>
        </w:rPr>
        <w:t>电　话：</w:t>
      </w:r>
      <w:r>
        <w:rPr>
          <w:rFonts w:hint="eastAsia" w:ascii="宋体" w:hAnsi="宋体"/>
          <w:color w:val="auto"/>
          <w:sz w:val="24"/>
          <w:highlight w:val="none"/>
        </w:rPr>
        <w:t>024-81180932</w:t>
      </w:r>
    </w:p>
    <w:p>
      <w:pPr>
        <w:widowControl/>
        <w:shd w:val="clear" w:color="auto" w:fill="FFFFFF"/>
        <w:spacing w:line="360" w:lineRule="auto"/>
        <w:ind w:firstLine="480" w:firstLineChars="200"/>
        <w:jc w:val="left"/>
        <w:rPr>
          <w:rFonts w:ascii="宋体" w:hAnsi="宋体"/>
          <w:color w:val="auto"/>
          <w:sz w:val="24"/>
          <w:highlight w:val="none"/>
        </w:rPr>
      </w:pPr>
      <w:r>
        <w:rPr>
          <w:rFonts w:ascii="宋体" w:hAnsi="宋体"/>
          <w:color w:val="auto"/>
          <w:sz w:val="24"/>
          <w:highlight w:val="none"/>
        </w:rPr>
        <w:t>附件：《招标文件领取登记表》</w:t>
      </w:r>
    </w:p>
    <w:p>
      <w:pPr>
        <w:widowControl/>
        <w:shd w:val="clear" w:color="auto" w:fill="FFFFFF"/>
        <w:spacing w:line="360" w:lineRule="auto"/>
        <w:ind w:firstLine="480" w:firstLineChars="200"/>
        <w:jc w:val="left"/>
        <w:rPr>
          <w:rFonts w:ascii="宋体" w:hAnsi="宋体"/>
          <w:color w:val="auto"/>
          <w:sz w:val="24"/>
          <w:highlight w:val="none"/>
        </w:rPr>
        <w:sectPr>
          <w:footerReference r:id="rId6" w:type="default"/>
          <w:pgSz w:w="11906" w:h="16838"/>
          <w:pgMar w:top="1440" w:right="1797" w:bottom="1440" w:left="1797" w:header="851" w:footer="992" w:gutter="0"/>
          <w:pgNumType w:start="1"/>
          <w:cols w:space="720" w:num="1"/>
          <w:docGrid w:type="lines" w:linePitch="312" w:charSpace="0"/>
        </w:sectPr>
      </w:pPr>
    </w:p>
    <w:p>
      <w:pPr>
        <w:rPr>
          <w:rFonts w:ascii="宋体" w:hAnsi="宋体"/>
          <w:color w:val="auto"/>
          <w:sz w:val="24"/>
          <w:highlight w:val="none"/>
        </w:rPr>
      </w:pPr>
      <w:r>
        <w:rPr>
          <w:rFonts w:ascii="宋体" w:hAnsi="宋体"/>
          <w:color w:val="auto"/>
          <w:sz w:val="24"/>
          <w:highlight w:val="none"/>
        </w:rPr>
        <w:t>附件：</w:t>
      </w:r>
    </w:p>
    <w:p>
      <w:pPr>
        <w:jc w:val="center"/>
        <w:rPr>
          <w:b/>
          <w:color w:val="auto"/>
          <w:sz w:val="44"/>
          <w:szCs w:val="44"/>
          <w:highlight w:val="none"/>
        </w:rPr>
      </w:pPr>
      <w:r>
        <w:rPr>
          <w:rFonts w:hint="eastAsia"/>
          <w:b/>
          <w:color w:val="auto"/>
          <w:sz w:val="44"/>
          <w:szCs w:val="44"/>
          <w:highlight w:val="none"/>
        </w:rPr>
        <w:t>招标文件领取登记表</w:t>
      </w:r>
    </w:p>
    <w:p>
      <w:pPr>
        <w:jc w:val="center"/>
        <w:rPr>
          <w:b/>
          <w:color w:val="auto"/>
          <w:sz w:val="44"/>
          <w:szCs w:val="44"/>
          <w:highlight w:val="none"/>
        </w:rPr>
      </w:pPr>
    </w:p>
    <w:p>
      <w:pPr>
        <w:spacing w:line="360" w:lineRule="auto"/>
        <w:rPr>
          <w:b/>
          <w:color w:val="auto"/>
          <w:sz w:val="24"/>
          <w:highlight w:val="none"/>
        </w:rPr>
      </w:pPr>
      <w:r>
        <w:rPr>
          <w:rFonts w:hint="eastAsia"/>
          <w:b/>
          <w:color w:val="auto"/>
          <w:sz w:val="24"/>
          <w:highlight w:val="none"/>
        </w:rPr>
        <w:t>项目名称：</w:t>
      </w:r>
      <w:r>
        <w:rPr>
          <w:rFonts w:hint="eastAsia" w:ascii="宋体" w:hAnsi="宋体"/>
          <w:color w:val="auto"/>
          <w:sz w:val="24"/>
          <w:highlight w:val="none"/>
        </w:rPr>
        <w:t>国家税务总局辽宁省税务局存储设备扩容采购项目</w:t>
      </w:r>
    </w:p>
    <w:p>
      <w:pPr>
        <w:spacing w:line="360" w:lineRule="auto"/>
        <w:rPr>
          <w:b/>
          <w:color w:val="auto"/>
          <w:sz w:val="24"/>
          <w:highlight w:val="none"/>
        </w:rPr>
      </w:pPr>
      <w:r>
        <w:rPr>
          <w:rFonts w:hint="eastAsia"/>
          <w:b/>
          <w:color w:val="auto"/>
          <w:sz w:val="24"/>
          <w:highlight w:val="none"/>
        </w:rPr>
        <w:t>项目编号：</w:t>
      </w:r>
      <w:r>
        <w:rPr>
          <w:rFonts w:hint="eastAsia" w:ascii="宋体" w:hAnsi="宋体"/>
          <w:bCs/>
          <w:color w:val="auto"/>
          <w:sz w:val="24"/>
          <w:highlight w:val="none"/>
        </w:rPr>
        <w:t>2022CG022</w:t>
      </w:r>
    </w:p>
    <w:p>
      <w:pPr>
        <w:topLinePunct/>
        <w:spacing w:line="360" w:lineRule="auto"/>
        <w:jc w:val="left"/>
        <w:rPr>
          <w:b/>
          <w:color w:val="auto"/>
          <w:sz w:val="24"/>
          <w:highlight w:val="none"/>
        </w:rPr>
      </w:pPr>
      <w:r>
        <w:rPr>
          <w:rFonts w:hint="eastAsia"/>
          <w:b/>
          <w:color w:val="auto"/>
          <w:sz w:val="24"/>
          <w:highlight w:val="none"/>
        </w:rPr>
        <w:t>采购方式：</w:t>
      </w:r>
      <w:r>
        <w:rPr>
          <w:rFonts w:hint="eastAsia" w:ascii="宋体" w:hAnsi="宋体"/>
          <w:color w:val="auto"/>
          <w:sz w:val="24"/>
          <w:highlight w:val="none"/>
        </w:rPr>
        <w:t>公开招标</w:t>
      </w:r>
    </w:p>
    <w:tbl>
      <w:tblPr>
        <w:tblStyle w:val="34"/>
        <w:tblpPr w:leftFromText="180" w:rightFromText="180" w:vertAnchor="text" w:horzAnchor="page" w:tblpX="1683" w:tblpY="261"/>
        <w:tblOverlap w:val="never"/>
        <w:tblW w:w="8600" w:type="dxa"/>
        <w:tblInd w:w="0" w:type="dxa"/>
        <w:tblLayout w:type="fixed"/>
        <w:tblCellMar>
          <w:top w:w="0" w:type="dxa"/>
          <w:left w:w="108" w:type="dxa"/>
          <w:bottom w:w="0" w:type="dxa"/>
          <w:right w:w="108" w:type="dxa"/>
        </w:tblCellMar>
      </w:tblPr>
      <w:tblGrid>
        <w:gridCol w:w="1687"/>
        <w:gridCol w:w="1473"/>
        <w:gridCol w:w="5440"/>
      </w:tblGrid>
      <w:tr>
        <w:tblPrEx>
          <w:tblCellMar>
            <w:top w:w="0" w:type="dxa"/>
            <w:left w:w="108" w:type="dxa"/>
            <w:bottom w:w="0" w:type="dxa"/>
            <w:right w:w="108" w:type="dxa"/>
          </w:tblCellMar>
        </w:tblPrEx>
        <w:trPr>
          <w:trHeight w:val="917" w:hRule="atLeast"/>
        </w:trPr>
        <w:tc>
          <w:tcPr>
            <w:tcW w:w="31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申请领取时间</w:t>
            </w:r>
          </w:p>
        </w:tc>
        <w:tc>
          <w:tcPr>
            <w:tcW w:w="5440" w:type="dxa"/>
            <w:tcBorders>
              <w:top w:val="single" w:color="auto" w:sz="4" w:space="0"/>
              <w:left w:val="nil"/>
              <w:bottom w:val="single" w:color="auto" w:sz="4" w:space="0"/>
              <w:right w:val="single" w:color="auto" w:sz="4" w:space="0"/>
            </w:tcBorders>
            <w:vAlign w:val="center"/>
          </w:tcPr>
          <w:p>
            <w:pPr>
              <w:jc w:val="right"/>
              <w:rPr>
                <w:rFonts w:ascii="宋体" w:hAnsi="宋体" w:cs="宋体"/>
                <w:color w:val="auto"/>
                <w:sz w:val="24"/>
                <w:highlight w:val="none"/>
              </w:rPr>
            </w:pPr>
            <w:r>
              <w:rPr>
                <w:rFonts w:hint="eastAsia" w:ascii="宋体" w:hAnsi="宋体" w:cs="宋体"/>
                <w:color w:val="auto"/>
                <w:sz w:val="24"/>
                <w:highlight w:val="none"/>
              </w:rPr>
              <w:t>　         年      月      日</w:t>
            </w:r>
          </w:p>
        </w:tc>
      </w:tr>
      <w:tr>
        <w:tblPrEx>
          <w:tblCellMar>
            <w:top w:w="0" w:type="dxa"/>
            <w:left w:w="108" w:type="dxa"/>
            <w:bottom w:w="0" w:type="dxa"/>
            <w:right w:w="108" w:type="dxa"/>
          </w:tblCellMar>
        </w:tblPrEx>
        <w:trPr>
          <w:trHeight w:val="842" w:hRule="atLeast"/>
        </w:trPr>
        <w:tc>
          <w:tcPr>
            <w:tcW w:w="3160" w:type="dxa"/>
            <w:gridSpan w:val="2"/>
            <w:tcBorders>
              <w:top w:val="nil"/>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投标人（公司）名称</w:t>
            </w:r>
          </w:p>
        </w:tc>
        <w:tc>
          <w:tcPr>
            <w:tcW w:w="5440" w:type="dxa"/>
            <w:tcBorders>
              <w:top w:val="nil"/>
              <w:left w:val="nil"/>
              <w:bottom w:val="single" w:color="auto" w:sz="4" w:space="0"/>
              <w:right w:val="single" w:color="auto" w:sz="4" w:space="0"/>
            </w:tcBorders>
            <w:vAlign w:val="center"/>
          </w:tcPr>
          <w:p>
            <w:pPr>
              <w:jc w:val="left"/>
              <w:rPr>
                <w:rFonts w:ascii="宋体" w:hAnsi="宋体" w:cs="宋体"/>
                <w:color w:val="auto"/>
                <w:sz w:val="24"/>
                <w:highlight w:val="none"/>
              </w:rPr>
            </w:pPr>
            <w:r>
              <w:rPr>
                <w:rFonts w:hint="eastAsia" w:ascii="宋体" w:hAnsi="宋体" w:cs="宋体"/>
                <w:color w:val="auto"/>
                <w:sz w:val="24"/>
                <w:highlight w:val="none"/>
              </w:rPr>
              <w:t>　</w:t>
            </w:r>
          </w:p>
        </w:tc>
      </w:tr>
      <w:tr>
        <w:tblPrEx>
          <w:tblCellMar>
            <w:top w:w="0" w:type="dxa"/>
            <w:left w:w="108" w:type="dxa"/>
            <w:bottom w:w="0" w:type="dxa"/>
            <w:right w:w="108" w:type="dxa"/>
          </w:tblCellMar>
        </w:tblPrEx>
        <w:trPr>
          <w:trHeight w:val="935" w:hRule="atLeast"/>
        </w:trPr>
        <w:tc>
          <w:tcPr>
            <w:tcW w:w="3160" w:type="dxa"/>
            <w:gridSpan w:val="2"/>
            <w:tcBorders>
              <w:top w:val="nil"/>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投标人（公司）地址</w:t>
            </w:r>
          </w:p>
        </w:tc>
        <w:tc>
          <w:tcPr>
            <w:tcW w:w="5440" w:type="dxa"/>
            <w:tcBorders>
              <w:top w:val="nil"/>
              <w:left w:val="nil"/>
              <w:bottom w:val="single" w:color="auto" w:sz="4" w:space="0"/>
              <w:right w:val="single" w:color="auto" w:sz="4" w:space="0"/>
            </w:tcBorders>
            <w:vAlign w:val="center"/>
          </w:tcPr>
          <w:p>
            <w:pPr>
              <w:jc w:val="left"/>
              <w:rPr>
                <w:rFonts w:ascii="宋体" w:hAnsi="宋体" w:cs="宋体"/>
                <w:color w:val="auto"/>
                <w:sz w:val="24"/>
                <w:highlight w:val="none"/>
              </w:rPr>
            </w:pPr>
          </w:p>
        </w:tc>
      </w:tr>
      <w:tr>
        <w:tblPrEx>
          <w:tblCellMar>
            <w:top w:w="0" w:type="dxa"/>
            <w:left w:w="108" w:type="dxa"/>
            <w:bottom w:w="0" w:type="dxa"/>
            <w:right w:w="108" w:type="dxa"/>
          </w:tblCellMar>
        </w:tblPrEx>
        <w:trPr>
          <w:trHeight w:val="870" w:hRule="atLeast"/>
        </w:trPr>
        <w:tc>
          <w:tcPr>
            <w:tcW w:w="1687" w:type="dxa"/>
            <w:vMerge w:val="restart"/>
            <w:tcBorders>
              <w:top w:val="nil"/>
              <w:left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领取联系人</w:t>
            </w:r>
          </w:p>
          <w:p>
            <w:pPr>
              <w:jc w:val="center"/>
              <w:rPr>
                <w:rFonts w:ascii="宋体" w:hAnsi="宋体" w:cs="宋体"/>
                <w:color w:val="auto"/>
                <w:sz w:val="24"/>
                <w:highlight w:val="none"/>
              </w:rPr>
            </w:pPr>
            <w:r>
              <w:rPr>
                <w:rFonts w:hint="eastAsia" w:ascii="宋体" w:hAnsi="宋体" w:cs="宋体"/>
                <w:color w:val="auto"/>
                <w:sz w:val="24"/>
                <w:highlight w:val="none"/>
              </w:rPr>
              <w:t>相关信息</w:t>
            </w:r>
          </w:p>
        </w:tc>
        <w:tc>
          <w:tcPr>
            <w:tcW w:w="1473" w:type="dxa"/>
            <w:tcBorders>
              <w:top w:val="nil"/>
              <w:left w:val="single" w:color="auto" w:sz="4" w:space="0"/>
              <w:bottom w:val="single" w:color="auto" w:sz="4" w:space="0"/>
              <w:right w:val="single" w:color="auto" w:sz="4" w:space="0"/>
            </w:tcBorders>
            <w:vAlign w:val="center"/>
          </w:tcPr>
          <w:p>
            <w:pPr>
              <w:jc w:val="distribute"/>
              <w:rPr>
                <w:rFonts w:ascii="宋体" w:hAnsi="宋体" w:cs="宋体"/>
                <w:color w:val="auto"/>
                <w:sz w:val="24"/>
                <w:highlight w:val="none"/>
              </w:rPr>
            </w:pPr>
            <w:r>
              <w:rPr>
                <w:rFonts w:hint="eastAsia" w:ascii="宋体" w:hAnsi="宋体" w:cs="宋体"/>
                <w:color w:val="auto"/>
                <w:sz w:val="24"/>
                <w:highlight w:val="none"/>
              </w:rPr>
              <w:t>姓名</w:t>
            </w:r>
          </w:p>
        </w:tc>
        <w:tc>
          <w:tcPr>
            <w:tcW w:w="5440" w:type="dxa"/>
            <w:tcBorders>
              <w:top w:val="nil"/>
              <w:left w:val="nil"/>
              <w:bottom w:val="single" w:color="auto" w:sz="4" w:space="0"/>
              <w:right w:val="single" w:color="auto" w:sz="4" w:space="0"/>
            </w:tcBorders>
            <w:vAlign w:val="center"/>
          </w:tcPr>
          <w:p>
            <w:pPr>
              <w:jc w:val="left"/>
              <w:rPr>
                <w:rFonts w:ascii="宋体" w:hAnsi="宋体" w:cs="宋体"/>
                <w:color w:val="auto"/>
                <w:sz w:val="24"/>
                <w:highlight w:val="none"/>
              </w:rPr>
            </w:pPr>
            <w:r>
              <w:rPr>
                <w:rFonts w:hint="eastAsia" w:ascii="宋体" w:hAnsi="宋体" w:cs="宋体"/>
                <w:color w:val="auto"/>
                <w:sz w:val="24"/>
                <w:highlight w:val="none"/>
              </w:rPr>
              <w:t>　</w:t>
            </w:r>
          </w:p>
        </w:tc>
      </w:tr>
      <w:tr>
        <w:tblPrEx>
          <w:tblCellMar>
            <w:top w:w="0" w:type="dxa"/>
            <w:left w:w="108" w:type="dxa"/>
            <w:bottom w:w="0" w:type="dxa"/>
            <w:right w:w="108" w:type="dxa"/>
          </w:tblCellMar>
        </w:tblPrEx>
        <w:trPr>
          <w:trHeight w:val="992" w:hRule="atLeast"/>
        </w:trPr>
        <w:tc>
          <w:tcPr>
            <w:tcW w:w="1687" w:type="dxa"/>
            <w:vMerge w:val="continue"/>
            <w:tcBorders>
              <w:left w:val="single" w:color="auto" w:sz="4" w:space="0"/>
              <w:right w:val="single" w:color="auto" w:sz="4" w:space="0"/>
            </w:tcBorders>
            <w:vAlign w:val="center"/>
          </w:tcPr>
          <w:p>
            <w:pPr>
              <w:jc w:val="center"/>
              <w:rPr>
                <w:rFonts w:ascii="宋体" w:hAnsi="宋体" w:cs="宋体"/>
                <w:color w:val="auto"/>
                <w:sz w:val="24"/>
                <w:highlight w:val="none"/>
              </w:rPr>
            </w:pPr>
          </w:p>
        </w:tc>
        <w:tc>
          <w:tcPr>
            <w:tcW w:w="1473" w:type="dxa"/>
            <w:tcBorders>
              <w:top w:val="nil"/>
              <w:left w:val="single" w:color="auto" w:sz="4" w:space="0"/>
              <w:bottom w:val="single" w:color="auto" w:sz="4" w:space="0"/>
              <w:right w:val="single" w:color="auto" w:sz="4" w:space="0"/>
            </w:tcBorders>
            <w:vAlign w:val="center"/>
          </w:tcPr>
          <w:p>
            <w:pPr>
              <w:jc w:val="distribute"/>
              <w:rPr>
                <w:rFonts w:ascii="宋体" w:hAnsi="宋体" w:cs="宋体"/>
                <w:color w:val="auto"/>
                <w:sz w:val="24"/>
                <w:highlight w:val="none"/>
              </w:rPr>
            </w:pPr>
            <w:r>
              <w:rPr>
                <w:rFonts w:hint="eastAsia" w:ascii="宋体" w:hAnsi="宋体" w:cs="宋体"/>
                <w:color w:val="auto"/>
                <w:sz w:val="24"/>
                <w:highlight w:val="none"/>
              </w:rPr>
              <w:t>身份证号码</w:t>
            </w:r>
          </w:p>
        </w:tc>
        <w:tc>
          <w:tcPr>
            <w:tcW w:w="5440" w:type="dxa"/>
            <w:tcBorders>
              <w:top w:val="nil"/>
              <w:left w:val="nil"/>
              <w:bottom w:val="single" w:color="auto" w:sz="4" w:space="0"/>
              <w:right w:val="single" w:color="auto" w:sz="4" w:space="0"/>
            </w:tcBorders>
            <w:vAlign w:val="center"/>
          </w:tcPr>
          <w:p>
            <w:pPr>
              <w:jc w:val="left"/>
              <w:rPr>
                <w:rFonts w:ascii="宋体" w:hAnsi="宋体" w:cs="宋体"/>
                <w:color w:val="auto"/>
                <w:sz w:val="24"/>
                <w:highlight w:val="none"/>
              </w:rPr>
            </w:pPr>
            <w:r>
              <w:rPr>
                <w:rFonts w:hint="eastAsia" w:ascii="宋体" w:hAnsi="宋体" w:cs="宋体"/>
                <w:color w:val="auto"/>
                <w:sz w:val="24"/>
                <w:highlight w:val="none"/>
              </w:rPr>
              <w:t>　</w:t>
            </w:r>
          </w:p>
        </w:tc>
      </w:tr>
      <w:tr>
        <w:tblPrEx>
          <w:tblCellMar>
            <w:top w:w="0" w:type="dxa"/>
            <w:left w:w="108" w:type="dxa"/>
            <w:bottom w:w="0" w:type="dxa"/>
            <w:right w:w="108" w:type="dxa"/>
          </w:tblCellMar>
        </w:tblPrEx>
        <w:trPr>
          <w:trHeight w:val="993" w:hRule="atLeast"/>
        </w:trPr>
        <w:tc>
          <w:tcPr>
            <w:tcW w:w="1687" w:type="dxa"/>
            <w:vMerge w:val="continue"/>
            <w:tcBorders>
              <w:left w:val="single" w:color="auto" w:sz="4" w:space="0"/>
              <w:right w:val="single" w:color="auto" w:sz="4" w:space="0"/>
            </w:tcBorders>
            <w:vAlign w:val="center"/>
          </w:tcPr>
          <w:p>
            <w:pPr>
              <w:jc w:val="center"/>
              <w:rPr>
                <w:rFonts w:ascii="宋体" w:hAnsi="宋体" w:cs="宋体"/>
                <w:color w:val="auto"/>
                <w:sz w:val="24"/>
                <w:highlight w:val="none"/>
              </w:rPr>
            </w:pPr>
          </w:p>
        </w:tc>
        <w:tc>
          <w:tcPr>
            <w:tcW w:w="1473" w:type="dxa"/>
            <w:tcBorders>
              <w:top w:val="nil"/>
              <w:left w:val="single" w:color="auto" w:sz="4" w:space="0"/>
              <w:bottom w:val="single" w:color="auto" w:sz="4" w:space="0"/>
              <w:right w:val="single" w:color="auto" w:sz="4" w:space="0"/>
            </w:tcBorders>
            <w:vAlign w:val="center"/>
          </w:tcPr>
          <w:p>
            <w:pPr>
              <w:jc w:val="distribute"/>
              <w:rPr>
                <w:rFonts w:ascii="宋体" w:hAnsi="宋体" w:cs="宋体"/>
                <w:color w:val="auto"/>
                <w:sz w:val="24"/>
                <w:highlight w:val="none"/>
              </w:rPr>
            </w:pPr>
            <w:r>
              <w:rPr>
                <w:rFonts w:hint="eastAsia" w:ascii="宋体" w:hAnsi="宋体" w:cs="宋体"/>
                <w:color w:val="auto"/>
                <w:sz w:val="24"/>
                <w:highlight w:val="none"/>
              </w:rPr>
              <w:t>联系电话</w:t>
            </w:r>
          </w:p>
        </w:tc>
        <w:tc>
          <w:tcPr>
            <w:tcW w:w="5440" w:type="dxa"/>
            <w:tcBorders>
              <w:top w:val="nil"/>
              <w:left w:val="nil"/>
              <w:bottom w:val="single" w:color="auto" w:sz="4" w:space="0"/>
              <w:right w:val="single" w:color="auto" w:sz="4" w:space="0"/>
            </w:tcBorders>
            <w:vAlign w:val="center"/>
          </w:tcPr>
          <w:p>
            <w:pPr>
              <w:jc w:val="left"/>
              <w:rPr>
                <w:rFonts w:ascii="宋体" w:hAnsi="宋体" w:cs="宋体"/>
                <w:color w:val="auto"/>
                <w:sz w:val="24"/>
                <w:highlight w:val="none"/>
              </w:rPr>
            </w:pPr>
            <w:r>
              <w:rPr>
                <w:rFonts w:hint="eastAsia" w:ascii="宋体" w:hAnsi="宋体" w:cs="宋体"/>
                <w:color w:val="auto"/>
                <w:sz w:val="24"/>
                <w:highlight w:val="none"/>
              </w:rPr>
              <w:t>　</w:t>
            </w:r>
          </w:p>
        </w:tc>
      </w:tr>
      <w:tr>
        <w:tblPrEx>
          <w:tblCellMar>
            <w:top w:w="0" w:type="dxa"/>
            <w:left w:w="108" w:type="dxa"/>
            <w:bottom w:w="0" w:type="dxa"/>
            <w:right w:w="108" w:type="dxa"/>
          </w:tblCellMar>
        </w:tblPrEx>
        <w:trPr>
          <w:trHeight w:val="982" w:hRule="atLeast"/>
        </w:trPr>
        <w:tc>
          <w:tcPr>
            <w:tcW w:w="1687" w:type="dxa"/>
            <w:vMerge w:val="continue"/>
            <w:tcBorders>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1473" w:type="dxa"/>
            <w:tcBorders>
              <w:top w:val="nil"/>
              <w:left w:val="single" w:color="auto" w:sz="4" w:space="0"/>
              <w:bottom w:val="single" w:color="auto" w:sz="4" w:space="0"/>
              <w:right w:val="single" w:color="auto" w:sz="4" w:space="0"/>
            </w:tcBorders>
            <w:vAlign w:val="center"/>
          </w:tcPr>
          <w:p>
            <w:pPr>
              <w:jc w:val="distribute"/>
              <w:rPr>
                <w:rFonts w:ascii="宋体" w:hAnsi="宋体" w:cs="宋体"/>
                <w:color w:val="auto"/>
                <w:sz w:val="24"/>
                <w:highlight w:val="none"/>
              </w:rPr>
            </w:pPr>
            <w:r>
              <w:rPr>
                <w:rFonts w:hint="eastAsia" w:ascii="宋体" w:hAnsi="宋体" w:cs="宋体"/>
                <w:color w:val="auto"/>
                <w:sz w:val="24"/>
                <w:highlight w:val="none"/>
              </w:rPr>
              <w:t>邮箱地址</w:t>
            </w:r>
          </w:p>
        </w:tc>
        <w:tc>
          <w:tcPr>
            <w:tcW w:w="5440" w:type="dxa"/>
            <w:tcBorders>
              <w:top w:val="nil"/>
              <w:left w:val="nil"/>
              <w:bottom w:val="single" w:color="auto" w:sz="4" w:space="0"/>
              <w:right w:val="single" w:color="auto" w:sz="4" w:space="0"/>
            </w:tcBorders>
            <w:vAlign w:val="center"/>
          </w:tcPr>
          <w:p>
            <w:pPr>
              <w:jc w:val="left"/>
              <w:rPr>
                <w:rFonts w:ascii="宋体" w:hAnsi="宋体" w:cs="宋体"/>
                <w:color w:val="auto"/>
                <w:sz w:val="24"/>
                <w:highlight w:val="none"/>
              </w:rPr>
            </w:pPr>
            <w:r>
              <w:rPr>
                <w:rFonts w:hint="eastAsia" w:ascii="宋体" w:hAnsi="宋体" w:cs="宋体"/>
                <w:color w:val="auto"/>
                <w:sz w:val="24"/>
                <w:highlight w:val="none"/>
              </w:rPr>
              <w:t>　</w:t>
            </w:r>
          </w:p>
        </w:tc>
      </w:tr>
      <w:tr>
        <w:tblPrEx>
          <w:tblCellMar>
            <w:top w:w="0" w:type="dxa"/>
            <w:left w:w="108" w:type="dxa"/>
            <w:bottom w:w="0" w:type="dxa"/>
            <w:right w:w="108" w:type="dxa"/>
          </w:tblCellMar>
        </w:tblPrEx>
        <w:trPr>
          <w:trHeight w:val="3060" w:hRule="atLeast"/>
        </w:trPr>
        <w:tc>
          <w:tcPr>
            <w:tcW w:w="3160" w:type="dxa"/>
            <w:gridSpan w:val="2"/>
            <w:tcBorders>
              <w:top w:val="nil"/>
              <w:left w:val="single" w:color="auto" w:sz="4" w:space="0"/>
              <w:bottom w:val="single" w:color="000000"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投标人（公司）</w:t>
            </w:r>
          </w:p>
        </w:tc>
        <w:tc>
          <w:tcPr>
            <w:tcW w:w="5440" w:type="dxa"/>
            <w:tcBorders>
              <w:top w:val="nil"/>
              <w:left w:val="single" w:color="auto" w:sz="4" w:space="0"/>
              <w:bottom w:val="single" w:color="000000"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（盖章）</w:t>
            </w:r>
          </w:p>
        </w:tc>
      </w:tr>
    </w:tbl>
    <w:p>
      <w:pPr>
        <w:rPr>
          <w:rFonts w:ascii="宋体" w:hAnsi="宋体"/>
          <w:color w:val="auto"/>
          <w:sz w:val="24"/>
          <w:highlight w:val="none"/>
        </w:rPr>
      </w:pPr>
      <w:r>
        <w:rPr>
          <w:rFonts w:hint="eastAsia" w:ascii="宋体" w:hAnsi="宋体"/>
          <w:color w:val="auto"/>
          <w:sz w:val="24"/>
          <w:highlight w:val="none"/>
        </w:rPr>
        <w:t>注：</w:t>
      </w:r>
      <w:r>
        <w:rPr>
          <w:rFonts w:ascii="宋体" w:hAnsi="宋体"/>
          <w:color w:val="auto"/>
          <w:sz w:val="24"/>
          <w:highlight w:val="none"/>
        </w:rPr>
        <w:t>在获取</w:t>
      </w:r>
      <w:r>
        <w:rPr>
          <w:rFonts w:hint="eastAsia" w:ascii="宋体" w:hAnsi="宋体"/>
          <w:color w:val="auto"/>
          <w:sz w:val="24"/>
          <w:highlight w:val="none"/>
        </w:rPr>
        <w:t>招标</w:t>
      </w:r>
      <w:r>
        <w:rPr>
          <w:rFonts w:ascii="宋体" w:hAnsi="宋体"/>
          <w:color w:val="auto"/>
          <w:sz w:val="24"/>
          <w:highlight w:val="none"/>
        </w:rPr>
        <w:t>文件的规定时间内</w:t>
      </w:r>
      <w:r>
        <w:rPr>
          <w:rFonts w:hint="eastAsia" w:ascii="宋体" w:hAnsi="宋体"/>
          <w:color w:val="auto"/>
          <w:sz w:val="24"/>
          <w:highlight w:val="none"/>
        </w:rPr>
        <w:t>，投标人（公司）将填写完毕并加盖公章的《招标文件领取登记表》</w:t>
      </w:r>
      <w:r>
        <w:rPr>
          <w:rFonts w:ascii="宋体" w:hAnsi="宋体"/>
          <w:color w:val="auto"/>
          <w:sz w:val="24"/>
          <w:highlight w:val="none"/>
        </w:rPr>
        <w:t>扫描件发送至邮箱</w:t>
      </w:r>
      <w:r>
        <w:rPr>
          <w:rFonts w:hint="eastAsia" w:ascii="宋体" w:hAnsi="宋体"/>
          <w:color w:val="auto"/>
          <w:sz w:val="24"/>
          <w:highlight w:val="none"/>
          <w:lang w:eastAsia="zh-CN"/>
        </w:rPr>
        <w:t>lnsswjzfcg@163.com</w:t>
      </w:r>
      <w:r>
        <w:rPr>
          <w:rFonts w:hint="eastAsia" w:ascii="宋体" w:hAnsi="宋体"/>
          <w:color w:val="auto"/>
          <w:sz w:val="24"/>
          <w:highlight w:val="none"/>
        </w:rPr>
        <w:t>，</w:t>
      </w:r>
      <w:r>
        <w:rPr>
          <w:rFonts w:ascii="宋体" w:hAnsi="宋体"/>
          <w:color w:val="auto"/>
          <w:sz w:val="24"/>
          <w:highlight w:val="none"/>
        </w:rPr>
        <w:t>邮件主题和附件名均设置为“</w:t>
      </w:r>
      <w:r>
        <w:rPr>
          <w:rFonts w:hint="eastAsia" w:ascii="宋体" w:hAnsi="宋体"/>
          <w:color w:val="auto"/>
          <w:sz w:val="24"/>
          <w:highlight w:val="none"/>
        </w:rPr>
        <w:t>投标人（</w:t>
      </w:r>
      <w:r>
        <w:rPr>
          <w:rFonts w:ascii="宋体" w:hAnsi="宋体"/>
          <w:color w:val="auto"/>
          <w:sz w:val="24"/>
          <w:highlight w:val="none"/>
        </w:rPr>
        <w:t>公司</w:t>
      </w:r>
      <w:r>
        <w:rPr>
          <w:rFonts w:hint="eastAsia" w:ascii="宋体" w:hAnsi="宋体"/>
          <w:color w:val="auto"/>
          <w:sz w:val="24"/>
          <w:highlight w:val="none"/>
        </w:rPr>
        <w:t>）</w:t>
      </w:r>
      <w:r>
        <w:rPr>
          <w:rFonts w:ascii="宋体" w:hAnsi="宋体"/>
          <w:color w:val="auto"/>
          <w:sz w:val="24"/>
          <w:highlight w:val="none"/>
        </w:rPr>
        <w:t>名称+拟领取招标文件项目名称”。</w:t>
      </w:r>
    </w:p>
    <w:p>
      <w:pPr>
        <w:pStyle w:val="2"/>
        <w:rPr>
          <w:color w:val="auto"/>
          <w:highlight w:val="none"/>
        </w:rPr>
        <w:sectPr>
          <w:pgSz w:w="11906" w:h="16838"/>
          <w:pgMar w:top="1440" w:right="1797" w:bottom="1440" w:left="1797" w:header="851" w:footer="992" w:gutter="0"/>
          <w:pgNumType w:start="1"/>
          <w:cols w:space="720" w:num="1"/>
          <w:docGrid w:type="lines" w:linePitch="312" w:charSpace="0"/>
        </w:sectPr>
      </w:pPr>
    </w:p>
    <w:p>
      <w:pPr>
        <w:pStyle w:val="280"/>
        <w:rPr>
          <w:rFonts w:ascii="宋体" w:hAnsi="宋体"/>
          <w:color w:val="auto"/>
          <w:highlight w:val="none"/>
        </w:rPr>
      </w:pPr>
      <w:bookmarkStart w:id="9" w:name="_Toc1977141569"/>
      <w:bookmarkStart w:id="10" w:name="_Toc124754487"/>
      <w:bookmarkStart w:id="11" w:name="_Toc525052845"/>
      <w:bookmarkStart w:id="12" w:name="_Toc302424507"/>
      <w:bookmarkStart w:id="13" w:name="_Toc1504408516"/>
      <w:bookmarkStart w:id="14" w:name="_Toc974999554"/>
      <w:bookmarkStart w:id="15" w:name="_Toc38030148"/>
      <w:bookmarkStart w:id="16" w:name="_Toc1485034239"/>
      <w:r>
        <w:rPr>
          <w:rFonts w:ascii="宋体" w:hAnsi="宋体"/>
          <w:color w:val="auto"/>
          <w:highlight w:val="none"/>
        </w:rPr>
        <w:t>第二章　投标人须知</w:t>
      </w:r>
      <w:bookmarkEnd w:id="9"/>
      <w:bookmarkEnd w:id="10"/>
      <w:bookmarkEnd w:id="11"/>
      <w:bookmarkEnd w:id="12"/>
      <w:bookmarkEnd w:id="13"/>
      <w:bookmarkEnd w:id="14"/>
      <w:bookmarkEnd w:id="15"/>
      <w:bookmarkEnd w:id="16"/>
    </w:p>
    <w:p>
      <w:pPr>
        <w:topLinePunct/>
        <w:autoSpaceDE w:val="0"/>
        <w:autoSpaceDN w:val="0"/>
        <w:spacing w:line="460" w:lineRule="exact"/>
        <w:jc w:val="center"/>
        <w:rPr>
          <w:rFonts w:ascii="宋体" w:hAnsi="宋体"/>
          <w:color w:val="auto"/>
          <w:sz w:val="28"/>
          <w:szCs w:val="28"/>
          <w:highlight w:val="none"/>
        </w:rPr>
      </w:pPr>
      <w:r>
        <w:rPr>
          <w:rFonts w:ascii="宋体" w:hAnsi="宋体"/>
          <w:color w:val="auto"/>
          <w:sz w:val="28"/>
          <w:szCs w:val="28"/>
          <w:highlight w:val="none"/>
        </w:rPr>
        <w:t>投标人须知前附表</w:t>
      </w:r>
    </w:p>
    <w:tbl>
      <w:tblPr>
        <w:tblStyle w:val="34"/>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781"/>
        <w:gridCol w:w="615"/>
        <w:gridCol w:w="5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pStyle w:val="19"/>
              <w:jc w:val="center"/>
              <w:rPr>
                <w:rFonts w:hint="default" w:hAnsi="宋体"/>
                <w:b/>
                <w:color w:val="auto"/>
                <w:kern w:val="2"/>
                <w:highlight w:val="none"/>
              </w:rPr>
            </w:pPr>
            <w:r>
              <w:rPr>
                <w:rFonts w:hint="default" w:hAnsi="宋体"/>
                <w:b/>
                <w:color w:val="auto"/>
                <w:kern w:val="2"/>
                <w:highlight w:val="none"/>
              </w:rPr>
              <w:t>序号</w:t>
            </w:r>
          </w:p>
        </w:tc>
        <w:tc>
          <w:tcPr>
            <w:tcW w:w="1781" w:type="dxa"/>
            <w:tcBorders>
              <w:top w:val="single" w:color="auto" w:sz="4" w:space="0"/>
              <w:left w:val="single" w:color="auto" w:sz="4" w:space="0"/>
              <w:bottom w:val="single" w:color="auto" w:sz="4" w:space="0"/>
              <w:right w:val="single" w:color="auto" w:sz="4" w:space="0"/>
            </w:tcBorders>
            <w:vAlign w:val="center"/>
          </w:tcPr>
          <w:p>
            <w:pPr>
              <w:pStyle w:val="19"/>
              <w:jc w:val="center"/>
              <w:rPr>
                <w:rFonts w:hint="default" w:hAnsi="宋体"/>
                <w:b/>
                <w:color w:val="auto"/>
                <w:kern w:val="2"/>
                <w:highlight w:val="none"/>
              </w:rPr>
            </w:pPr>
            <w:r>
              <w:rPr>
                <w:rFonts w:hint="default" w:hAnsi="宋体"/>
                <w:b/>
                <w:color w:val="auto"/>
                <w:kern w:val="2"/>
                <w:highlight w:val="none"/>
              </w:rPr>
              <w:t>类  别</w:t>
            </w:r>
          </w:p>
        </w:tc>
        <w:tc>
          <w:tcPr>
            <w:tcW w:w="6437" w:type="dxa"/>
            <w:gridSpan w:val="2"/>
            <w:tcBorders>
              <w:top w:val="single" w:color="auto" w:sz="4" w:space="0"/>
              <w:left w:val="single" w:color="auto" w:sz="4" w:space="0"/>
              <w:bottom w:val="single" w:color="auto" w:sz="4" w:space="0"/>
              <w:right w:val="single" w:color="auto" w:sz="4" w:space="0"/>
            </w:tcBorders>
            <w:vAlign w:val="center"/>
          </w:tcPr>
          <w:p>
            <w:pPr>
              <w:pStyle w:val="19"/>
              <w:jc w:val="center"/>
              <w:rPr>
                <w:rFonts w:hint="default" w:hAnsi="宋体"/>
                <w:b/>
                <w:color w:val="auto"/>
                <w:kern w:val="2"/>
                <w:highlight w:val="none"/>
              </w:rPr>
            </w:pPr>
            <w:r>
              <w:rPr>
                <w:rFonts w:hint="default" w:hAnsi="宋体"/>
                <w:b/>
                <w:color w:val="auto"/>
                <w:kern w:val="2"/>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59" w:type="dxa"/>
            <w:vMerge w:val="restart"/>
            <w:tcBorders>
              <w:top w:val="single" w:color="auto" w:sz="4" w:space="0"/>
              <w:left w:val="single" w:color="auto" w:sz="4" w:space="0"/>
              <w:right w:val="single" w:color="auto" w:sz="4" w:space="0"/>
            </w:tcBorders>
            <w:vAlign w:val="center"/>
          </w:tcPr>
          <w:p>
            <w:pPr>
              <w:pStyle w:val="19"/>
              <w:jc w:val="center"/>
              <w:rPr>
                <w:rFonts w:hint="default" w:hAnsi="宋体"/>
                <w:color w:val="auto"/>
                <w:kern w:val="2"/>
                <w:highlight w:val="none"/>
              </w:rPr>
            </w:pPr>
            <w:r>
              <w:rPr>
                <w:rFonts w:hint="default" w:hAnsi="宋体"/>
                <w:color w:val="auto"/>
                <w:kern w:val="2"/>
                <w:highlight w:val="none"/>
              </w:rPr>
              <w:t>1</w:t>
            </w:r>
          </w:p>
        </w:tc>
        <w:tc>
          <w:tcPr>
            <w:tcW w:w="1781" w:type="dxa"/>
            <w:vMerge w:val="restart"/>
            <w:tcBorders>
              <w:top w:val="single" w:color="auto" w:sz="4" w:space="0"/>
              <w:left w:val="single" w:color="auto" w:sz="4" w:space="0"/>
              <w:right w:val="single" w:color="auto" w:sz="4" w:space="0"/>
            </w:tcBorders>
            <w:vAlign w:val="center"/>
          </w:tcPr>
          <w:p>
            <w:pPr>
              <w:pStyle w:val="19"/>
              <w:jc w:val="center"/>
              <w:rPr>
                <w:rFonts w:hint="default" w:hAnsi="宋体"/>
                <w:b/>
                <w:color w:val="auto"/>
                <w:kern w:val="2"/>
                <w:highlight w:val="none"/>
              </w:rPr>
            </w:pPr>
            <w:r>
              <w:rPr>
                <w:rFonts w:hint="default" w:hAnsi="宋体"/>
                <w:color w:val="auto"/>
                <w:kern w:val="2"/>
                <w:highlight w:val="none"/>
              </w:rPr>
              <w:t>项目名称、编号及预算</w:t>
            </w:r>
          </w:p>
        </w:tc>
        <w:tc>
          <w:tcPr>
            <w:tcW w:w="6437" w:type="dxa"/>
            <w:gridSpan w:val="2"/>
            <w:tcBorders>
              <w:top w:val="single" w:color="auto" w:sz="4" w:space="0"/>
              <w:left w:val="single" w:color="auto" w:sz="4" w:space="0"/>
              <w:bottom w:val="single" w:color="auto" w:sz="4" w:space="0"/>
              <w:right w:val="single" w:color="auto" w:sz="4" w:space="0"/>
            </w:tcBorders>
            <w:vAlign w:val="center"/>
          </w:tcPr>
          <w:p>
            <w:pPr>
              <w:pStyle w:val="19"/>
              <w:jc w:val="left"/>
              <w:rPr>
                <w:rFonts w:hint="default" w:hAnsi="宋体"/>
                <w:b/>
                <w:color w:val="auto"/>
                <w:kern w:val="2"/>
                <w:highlight w:val="none"/>
              </w:rPr>
            </w:pPr>
            <w:r>
              <w:rPr>
                <w:rFonts w:hint="default" w:hAnsi="宋体"/>
                <w:color w:val="auto"/>
                <w:kern w:val="2"/>
                <w:highlight w:val="none"/>
              </w:rPr>
              <w:t>项目名称：</w:t>
            </w:r>
            <w:r>
              <w:rPr>
                <w:rFonts w:hAnsi="宋体"/>
                <w:color w:val="auto"/>
                <w:kern w:val="2"/>
                <w:highlight w:val="none"/>
              </w:rPr>
              <w:t>国家税务总局辽宁省税务局存储设备扩容项目采购项目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9" w:type="dxa"/>
            <w:vMerge w:val="continue"/>
            <w:tcBorders>
              <w:left w:val="single" w:color="auto" w:sz="4" w:space="0"/>
              <w:right w:val="single" w:color="auto" w:sz="4" w:space="0"/>
            </w:tcBorders>
            <w:vAlign w:val="center"/>
          </w:tcPr>
          <w:p>
            <w:pPr>
              <w:pStyle w:val="19"/>
              <w:jc w:val="center"/>
              <w:rPr>
                <w:rFonts w:hint="default" w:hAnsi="宋体"/>
                <w:color w:val="auto"/>
                <w:kern w:val="2"/>
                <w:highlight w:val="none"/>
              </w:rPr>
            </w:pPr>
          </w:p>
        </w:tc>
        <w:tc>
          <w:tcPr>
            <w:tcW w:w="1781" w:type="dxa"/>
            <w:vMerge w:val="continue"/>
            <w:tcBorders>
              <w:left w:val="single" w:color="auto" w:sz="4" w:space="0"/>
              <w:right w:val="single" w:color="auto" w:sz="4" w:space="0"/>
            </w:tcBorders>
            <w:vAlign w:val="center"/>
          </w:tcPr>
          <w:p>
            <w:pPr>
              <w:pStyle w:val="19"/>
              <w:jc w:val="center"/>
              <w:rPr>
                <w:rFonts w:hint="default" w:hAnsi="宋体"/>
                <w:color w:val="auto"/>
                <w:kern w:val="2"/>
                <w:highlight w:val="none"/>
              </w:rPr>
            </w:pPr>
          </w:p>
        </w:tc>
        <w:tc>
          <w:tcPr>
            <w:tcW w:w="6437" w:type="dxa"/>
            <w:gridSpan w:val="2"/>
            <w:tcBorders>
              <w:top w:val="single" w:color="auto" w:sz="4" w:space="0"/>
              <w:left w:val="single" w:color="auto" w:sz="4" w:space="0"/>
              <w:bottom w:val="single" w:color="auto" w:sz="4" w:space="0"/>
              <w:right w:val="single" w:color="auto" w:sz="4" w:space="0"/>
            </w:tcBorders>
            <w:vAlign w:val="center"/>
          </w:tcPr>
          <w:p>
            <w:pPr>
              <w:pStyle w:val="19"/>
              <w:jc w:val="left"/>
              <w:rPr>
                <w:rFonts w:hint="default" w:hAnsi="宋体"/>
                <w:color w:val="auto"/>
                <w:kern w:val="2"/>
                <w:highlight w:val="none"/>
              </w:rPr>
            </w:pPr>
            <w:r>
              <w:rPr>
                <w:rFonts w:hint="default" w:hAnsi="宋体"/>
                <w:color w:val="auto"/>
                <w:kern w:val="2"/>
                <w:highlight w:val="none"/>
              </w:rPr>
              <w:t>项目编号：</w:t>
            </w:r>
            <w:r>
              <w:rPr>
                <w:rFonts w:hAnsi="宋体"/>
                <w:color w:val="auto"/>
                <w:kern w:val="2"/>
                <w:highlight w:val="none"/>
              </w:rPr>
              <w:t>2022CG022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59" w:type="dxa"/>
            <w:vMerge w:val="continue"/>
            <w:tcBorders>
              <w:left w:val="single" w:color="auto" w:sz="4" w:space="0"/>
              <w:right w:val="single" w:color="auto" w:sz="4" w:space="0"/>
            </w:tcBorders>
            <w:vAlign w:val="center"/>
          </w:tcPr>
          <w:p>
            <w:pPr>
              <w:pStyle w:val="19"/>
              <w:jc w:val="center"/>
              <w:rPr>
                <w:rFonts w:hint="default" w:hAnsi="宋体"/>
                <w:color w:val="auto"/>
                <w:kern w:val="2"/>
                <w:highlight w:val="none"/>
              </w:rPr>
            </w:pPr>
          </w:p>
        </w:tc>
        <w:tc>
          <w:tcPr>
            <w:tcW w:w="1781" w:type="dxa"/>
            <w:vMerge w:val="continue"/>
            <w:tcBorders>
              <w:left w:val="single" w:color="auto" w:sz="4" w:space="0"/>
              <w:right w:val="single" w:color="auto" w:sz="4" w:space="0"/>
            </w:tcBorders>
            <w:vAlign w:val="center"/>
          </w:tcPr>
          <w:p>
            <w:pPr>
              <w:pStyle w:val="19"/>
              <w:jc w:val="center"/>
              <w:rPr>
                <w:rFonts w:hint="default" w:hAnsi="宋体"/>
                <w:color w:val="auto"/>
                <w:kern w:val="2"/>
                <w:highlight w:val="none"/>
              </w:rPr>
            </w:pPr>
          </w:p>
        </w:tc>
        <w:tc>
          <w:tcPr>
            <w:tcW w:w="6437" w:type="dxa"/>
            <w:gridSpan w:val="2"/>
            <w:tcBorders>
              <w:top w:val="single" w:color="auto" w:sz="4" w:space="0"/>
              <w:left w:val="single" w:color="auto" w:sz="4" w:space="0"/>
              <w:bottom w:val="single" w:color="auto" w:sz="4" w:space="0"/>
              <w:right w:val="single" w:color="auto" w:sz="4" w:space="0"/>
            </w:tcBorders>
            <w:vAlign w:val="center"/>
          </w:tcPr>
          <w:p>
            <w:pPr>
              <w:pStyle w:val="19"/>
              <w:jc w:val="left"/>
              <w:rPr>
                <w:rFonts w:hint="default" w:hAnsi="宋体"/>
                <w:color w:val="auto"/>
                <w:kern w:val="2"/>
                <w:highlight w:val="none"/>
              </w:rPr>
            </w:pPr>
            <w:r>
              <w:rPr>
                <w:rFonts w:hint="default" w:hAnsi="宋体"/>
                <w:color w:val="auto"/>
                <w:kern w:val="2"/>
                <w:highlight w:val="none"/>
              </w:rPr>
              <w:t>采购预算：</w:t>
            </w:r>
            <w:r>
              <w:rPr>
                <w:rFonts w:hAnsi="宋体"/>
                <w:color w:val="auto"/>
                <w:kern w:val="2"/>
                <w:highlight w:val="none"/>
              </w:rPr>
              <w:t>306</w:t>
            </w:r>
            <w:r>
              <w:rPr>
                <w:rFonts w:hint="default" w:hAnsi="宋体"/>
                <w:color w:val="auto"/>
                <w:kern w:val="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759" w:type="dxa"/>
            <w:tcBorders>
              <w:left w:val="single" w:color="auto" w:sz="4" w:space="0"/>
              <w:bottom w:val="single" w:color="auto" w:sz="4" w:space="0"/>
              <w:right w:val="single" w:color="auto" w:sz="4" w:space="0"/>
            </w:tcBorders>
            <w:vAlign w:val="center"/>
          </w:tcPr>
          <w:p>
            <w:pPr>
              <w:pStyle w:val="19"/>
              <w:jc w:val="center"/>
              <w:rPr>
                <w:rFonts w:hint="default" w:hAnsi="宋体"/>
                <w:color w:val="auto"/>
                <w:kern w:val="2"/>
                <w:highlight w:val="none"/>
              </w:rPr>
            </w:pPr>
            <w:r>
              <w:rPr>
                <w:rFonts w:hAnsi="宋体"/>
                <w:color w:val="auto"/>
                <w:kern w:val="2"/>
                <w:highlight w:val="none"/>
              </w:rPr>
              <w:t>2</w:t>
            </w:r>
          </w:p>
        </w:tc>
        <w:tc>
          <w:tcPr>
            <w:tcW w:w="1781" w:type="dxa"/>
            <w:tcBorders>
              <w:left w:val="single" w:color="auto" w:sz="4" w:space="0"/>
              <w:bottom w:val="single" w:color="auto" w:sz="4" w:space="0"/>
              <w:right w:val="single" w:color="auto" w:sz="4" w:space="0"/>
            </w:tcBorders>
            <w:vAlign w:val="center"/>
          </w:tcPr>
          <w:p>
            <w:pPr>
              <w:pStyle w:val="19"/>
              <w:jc w:val="center"/>
              <w:rPr>
                <w:rFonts w:hint="default" w:hAnsi="宋体"/>
                <w:color w:val="auto"/>
                <w:kern w:val="2"/>
                <w:highlight w:val="none"/>
              </w:rPr>
            </w:pPr>
            <w:r>
              <w:rPr>
                <w:rFonts w:hint="default" w:hAnsi="宋体"/>
                <w:color w:val="auto"/>
                <w:kern w:val="2"/>
                <w:highlight w:val="none"/>
              </w:rPr>
              <w:t>采购</w:t>
            </w:r>
            <w:r>
              <w:rPr>
                <w:rFonts w:hAnsi="宋体"/>
                <w:color w:val="auto"/>
                <w:kern w:val="2"/>
                <w:highlight w:val="none"/>
              </w:rPr>
              <w:t>人</w:t>
            </w:r>
          </w:p>
        </w:tc>
        <w:tc>
          <w:tcPr>
            <w:tcW w:w="6437" w:type="dxa"/>
            <w:gridSpan w:val="2"/>
            <w:tcBorders>
              <w:top w:val="single" w:color="auto" w:sz="4" w:space="0"/>
              <w:left w:val="single" w:color="auto" w:sz="4" w:space="0"/>
              <w:bottom w:val="single" w:color="auto" w:sz="4" w:space="0"/>
              <w:right w:val="single" w:color="auto" w:sz="4" w:space="0"/>
            </w:tcBorders>
            <w:vAlign w:val="center"/>
          </w:tcPr>
          <w:p>
            <w:pPr>
              <w:pStyle w:val="19"/>
              <w:jc w:val="left"/>
              <w:rPr>
                <w:rFonts w:hint="default" w:hAnsi="宋体"/>
                <w:color w:val="auto"/>
                <w:kern w:val="2"/>
                <w:highlight w:val="none"/>
              </w:rPr>
            </w:pPr>
            <w:r>
              <w:rPr>
                <w:rFonts w:hint="default" w:hAnsi="宋体"/>
                <w:color w:val="auto"/>
                <w:kern w:val="2"/>
                <w:highlight w:val="none"/>
              </w:rPr>
              <w:t>名称：国家税务总局辽宁省税务局</w:t>
            </w:r>
          </w:p>
          <w:p>
            <w:pPr>
              <w:pStyle w:val="19"/>
              <w:jc w:val="left"/>
              <w:rPr>
                <w:rFonts w:hint="default" w:hAnsi="宋体"/>
                <w:color w:val="auto"/>
                <w:kern w:val="2"/>
                <w:highlight w:val="none"/>
              </w:rPr>
            </w:pPr>
            <w:r>
              <w:rPr>
                <w:rFonts w:hint="default" w:hAnsi="宋体"/>
                <w:color w:val="auto"/>
                <w:kern w:val="2"/>
                <w:highlight w:val="none"/>
              </w:rPr>
              <w:t>地址：沈阳市沈河区青年大街256号</w:t>
            </w:r>
          </w:p>
          <w:p>
            <w:pPr>
              <w:pStyle w:val="19"/>
              <w:jc w:val="left"/>
              <w:rPr>
                <w:rFonts w:hint="default" w:ascii="Arial" w:hAnsi="Arial" w:cs="Arial"/>
                <w:color w:val="auto"/>
                <w:kern w:val="2"/>
                <w:highlight w:val="none"/>
              </w:rPr>
            </w:pPr>
            <w:r>
              <w:rPr>
                <w:rFonts w:hint="default" w:hAnsi="宋体"/>
                <w:color w:val="auto"/>
                <w:kern w:val="2"/>
                <w:highlight w:val="none"/>
              </w:rPr>
              <w:t>电话：024-</w:t>
            </w:r>
            <w:r>
              <w:rPr>
                <w:rFonts w:hAnsi="宋体"/>
                <w:color w:val="auto"/>
                <w:kern w:val="2"/>
                <w:highlight w:val="none"/>
              </w:rPr>
              <w:t>81180258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jc w:val="center"/>
        </w:trPr>
        <w:tc>
          <w:tcPr>
            <w:tcW w:w="759" w:type="dxa"/>
            <w:tcBorders>
              <w:left w:val="single" w:color="auto" w:sz="4" w:space="0"/>
              <w:bottom w:val="single" w:color="auto" w:sz="4" w:space="0"/>
              <w:right w:val="single" w:color="auto" w:sz="4" w:space="0"/>
            </w:tcBorders>
            <w:vAlign w:val="center"/>
          </w:tcPr>
          <w:p>
            <w:pPr>
              <w:pStyle w:val="19"/>
              <w:jc w:val="center"/>
              <w:rPr>
                <w:rFonts w:hint="default" w:hAnsi="宋体"/>
                <w:color w:val="auto"/>
                <w:kern w:val="2"/>
                <w:highlight w:val="none"/>
              </w:rPr>
            </w:pPr>
            <w:r>
              <w:rPr>
                <w:rFonts w:hAnsi="宋体"/>
                <w:color w:val="auto"/>
                <w:kern w:val="2"/>
                <w:highlight w:val="none"/>
              </w:rPr>
              <w:t>3</w:t>
            </w:r>
          </w:p>
        </w:tc>
        <w:tc>
          <w:tcPr>
            <w:tcW w:w="1781" w:type="dxa"/>
            <w:tcBorders>
              <w:left w:val="single" w:color="auto" w:sz="4" w:space="0"/>
              <w:bottom w:val="single" w:color="auto" w:sz="4" w:space="0"/>
              <w:right w:val="single" w:color="auto" w:sz="4" w:space="0"/>
            </w:tcBorders>
            <w:vAlign w:val="center"/>
          </w:tcPr>
          <w:p>
            <w:pPr>
              <w:pStyle w:val="19"/>
              <w:jc w:val="center"/>
              <w:rPr>
                <w:rFonts w:hint="default" w:hAnsi="宋体"/>
                <w:color w:val="auto"/>
                <w:kern w:val="2"/>
                <w:highlight w:val="none"/>
              </w:rPr>
            </w:pPr>
            <w:r>
              <w:rPr>
                <w:rFonts w:hint="default" w:hAnsi="宋体"/>
                <w:color w:val="auto"/>
                <w:kern w:val="2"/>
                <w:highlight w:val="none"/>
              </w:rPr>
              <w:t>采购需求</w:t>
            </w:r>
          </w:p>
        </w:tc>
        <w:tc>
          <w:tcPr>
            <w:tcW w:w="6437" w:type="dxa"/>
            <w:gridSpan w:val="2"/>
            <w:tcBorders>
              <w:top w:val="single" w:color="auto" w:sz="4" w:space="0"/>
              <w:left w:val="single" w:color="auto" w:sz="4" w:space="0"/>
              <w:bottom w:val="single" w:color="auto" w:sz="4" w:space="0"/>
              <w:right w:val="single" w:color="auto" w:sz="4" w:space="0"/>
            </w:tcBorders>
            <w:vAlign w:val="center"/>
          </w:tcPr>
          <w:p>
            <w:pPr>
              <w:pStyle w:val="19"/>
              <w:jc w:val="left"/>
              <w:rPr>
                <w:rFonts w:hint="default" w:hAnsi="宋体"/>
                <w:color w:val="auto"/>
                <w:kern w:val="2"/>
                <w:highlight w:val="none"/>
              </w:rPr>
            </w:pPr>
            <w:r>
              <w:rPr>
                <w:rFonts w:hAnsi="宋体"/>
                <w:color w:val="auto"/>
                <w:kern w:val="2"/>
                <w:highlight w:val="none"/>
              </w:rPr>
              <w:t>为现有的华为OceanStor 18800 V5存储和华三HPE 3PAR StoreServ 20840存储扩容，其中华为OceanStor 18800 V5存储扩容数量≥150块硬盘（2.4T 10K SAS，含硬盘框），华三HPE 3PAR StoreServ 20840存储扩容数量≥200块硬盘（1.8T 10K SAS，含硬盘框），并包含以上所有扩容部分自试运行验收合格起3年维保和现场技术支持服务。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pStyle w:val="19"/>
              <w:jc w:val="center"/>
              <w:rPr>
                <w:rFonts w:hint="default" w:hAnsi="宋体"/>
                <w:color w:val="auto"/>
                <w:kern w:val="2"/>
                <w:highlight w:val="none"/>
              </w:rPr>
            </w:pPr>
            <w:r>
              <w:rPr>
                <w:rFonts w:hAnsi="宋体"/>
                <w:color w:val="auto"/>
                <w:kern w:val="2"/>
                <w:highlight w:val="none"/>
              </w:rPr>
              <w:t>4</w:t>
            </w:r>
          </w:p>
        </w:tc>
        <w:tc>
          <w:tcPr>
            <w:tcW w:w="1781"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jc w:val="center"/>
              <w:rPr>
                <w:rFonts w:ascii="宋体" w:hAnsi="宋体"/>
                <w:color w:val="auto"/>
                <w:szCs w:val="21"/>
                <w:highlight w:val="none"/>
              </w:rPr>
            </w:pPr>
            <w:r>
              <w:rPr>
                <w:rFonts w:ascii="宋体" w:hAnsi="宋体"/>
                <w:color w:val="auto"/>
                <w:szCs w:val="21"/>
                <w:highlight w:val="none"/>
              </w:rPr>
              <w:t>投标人</w:t>
            </w:r>
          </w:p>
          <w:p>
            <w:pPr>
              <w:topLinePunct/>
              <w:autoSpaceDE w:val="0"/>
              <w:autoSpaceDN w:val="0"/>
              <w:jc w:val="center"/>
              <w:rPr>
                <w:rFonts w:ascii="宋体" w:hAnsi="宋体"/>
                <w:color w:val="auto"/>
                <w:highlight w:val="none"/>
              </w:rPr>
            </w:pPr>
            <w:r>
              <w:rPr>
                <w:rFonts w:ascii="宋体" w:hAnsi="宋体"/>
                <w:color w:val="auto"/>
                <w:szCs w:val="21"/>
                <w:highlight w:val="none"/>
              </w:rPr>
              <w:t>资格要求</w:t>
            </w:r>
          </w:p>
        </w:tc>
        <w:tc>
          <w:tcPr>
            <w:tcW w:w="6437" w:type="dxa"/>
            <w:gridSpan w:val="2"/>
            <w:tcBorders>
              <w:top w:val="single" w:color="auto" w:sz="4" w:space="0"/>
              <w:left w:val="single" w:color="auto" w:sz="4" w:space="0"/>
              <w:bottom w:val="single" w:color="auto" w:sz="4" w:space="0"/>
              <w:right w:val="single" w:color="auto" w:sz="4" w:space="0"/>
            </w:tcBorders>
            <w:vAlign w:val="center"/>
          </w:tcPr>
          <w:p>
            <w:pPr>
              <w:pStyle w:val="19"/>
              <w:jc w:val="left"/>
              <w:rPr>
                <w:rFonts w:hint="default" w:hAnsi="宋体"/>
                <w:color w:val="auto"/>
                <w:kern w:val="2"/>
                <w:highlight w:val="none"/>
                <w:lang w:val="zh-CN"/>
              </w:rPr>
            </w:pPr>
            <w:r>
              <w:rPr>
                <w:rFonts w:hint="default" w:hAnsi="宋体"/>
                <w:color w:val="auto"/>
                <w:kern w:val="2"/>
                <w:highlight w:val="none"/>
                <w:lang w:val="zh-CN"/>
              </w:rPr>
              <w:t>（一）本项目由符合国家有关法律法规规定的供应商参与，供应商应满足《中华人民共和国政府采购法》第二十二条规定</w:t>
            </w:r>
          </w:p>
          <w:p>
            <w:pPr>
              <w:pStyle w:val="19"/>
              <w:jc w:val="left"/>
              <w:rPr>
                <w:rFonts w:hint="default" w:hAnsi="宋体"/>
                <w:color w:val="auto"/>
                <w:kern w:val="2"/>
                <w:highlight w:val="none"/>
                <w:lang w:val="zh-CN"/>
              </w:rPr>
            </w:pPr>
            <w:r>
              <w:rPr>
                <w:rFonts w:hint="default" w:hAnsi="宋体"/>
                <w:color w:val="auto"/>
                <w:kern w:val="2"/>
                <w:highlight w:val="none"/>
                <w:lang w:val="zh-CN"/>
              </w:rPr>
              <w:t>（</w:t>
            </w:r>
            <w:r>
              <w:rPr>
                <w:rFonts w:hAnsi="宋体"/>
                <w:color w:val="auto"/>
                <w:kern w:val="2"/>
                <w:highlight w:val="none"/>
              </w:rPr>
              <w:t>二</w:t>
            </w:r>
            <w:r>
              <w:rPr>
                <w:rFonts w:hint="default" w:hAnsi="宋体"/>
                <w:color w:val="auto"/>
                <w:kern w:val="2"/>
                <w:highlight w:val="none"/>
                <w:lang w:val="zh-CN"/>
              </w:rPr>
              <w:t>）落实政府采购政策需满足的资格要求：</w:t>
            </w:r>
            <w:r>
              <w:rPr>
                <w:rFonts w:hint="default" w:hAnsi="宋体"/>
                <w:color w:val="auto"/>
                <w:kern w:val="2"/>
                <w:highlight w:val="none"/>
              </w:rPr>
              <w:t>无</w:t>
            </w:r>
            <w:r>
              <w:rPr>
                <w:rFonts w:hint="default" w:hAnsi="宋体"/>
                <w:color w:val="auto"/>
                <w:kern w:val="2"/>
                <w:highlight w:val="none"/>
                <w:lang w:val="zh-CN"/>
              </w:rPr>
              <w:t>。</w:t>
            </w:r>
          </w:p>
          <w:p>
            <w:pPr>
              <w:pStyle w:val="19"/>
              <w:jc w:val="left"/>
              <w:rPr>
                <w:rFonts w:hint="default" w:hAnsi="宋体"/>
                <w:color w:val="auto"/>
                <w:kern w:val="2"/>
                <w:highlight w:val="none"/>
              </w:rPr>
            </w:pPr>
            <w:r>
              <w:rPr>
                <w:rFonts w:hint="default" w:hAnsi="宋体"/>
                <w:color w:val="auto"/>
                <w:kern w:val="2"/>
                <w:highlight w:val="none"/>
                <w:lang w:val="zh-CN"/>
              </w:rPr>
              <w:t>（</w:t>
            </w:r>
            <w:r>
              <w:rPr>
                <w:rFonts w:hAnsi="宋体"/>
                <w:color w:val="auto"/>
                <w:kern w:val="2"/>
                <w:highlight w:val="none"/>
              </w:rPr>
              <w:t>三</w:t>
            </w:r>
            <w:r>
              <w:rPr>
                <w:rFonts w:hint="default" w:hAnsi="宋体"/>
                <w:color w:val="auto"/>
                <w:kern w:val="2"/>
                <w:highlight w:val="none"/>
                <w:lang w:val="zh-CN"/>
              </w:rPr>
              <w:t>）本项目的特定资格要求</w:t>
            </w:r>
            <w:r>
              <w:rPr>
                <w:rFonts w:hint="default" w:hAnsi="宋体"/>
                <w:color w:val="auto"/>
                <w:kern w:val="2"/>
                <w:highlight w:val="none"/>
              </w:rPr>
              <w:t>:无</w:t>
            </w:r>
            <w:r>
              <w:rPr>
                <w:rFonts w:hAnsi="宋体"/>
                <w:color w:val="auto"/>
                <w:kern w:val="2"/>
                <w:highlight w:val="none"/>
              </w:rPr>
              <w:t>。</w:t>
            </w:r>
          </w:p>
          <w:p>
            <w:pPr>
              <w:pStyle w:val="19"/>
              <w:jc w:val="left"/>
              <w:rPr>
                <w:rFonts w:hint="default" w:hAnsi="宋体"/>
                <w:color w:val="auto"/>
                <w:kern w:val="2"/>
                <w:highlight w:val="none"/>
                <w:lang w:val="zh-CN"/>
              </w:rPr>
            </w:pPr>
            <w:r>
              <w:rPr>
                <w:rFonts w:hint="default" w:hAnsi="宋体"/>
                <w:color w:val="auto"/>
                <w:kern w:val="2"/>
                <w:highlight w:val="none"/>
              </w:rPr>
              <w:t xml:space="preserve">是否属于特定行业项目 </w:t>
            </w:r>
            <w:r>
              <w:rPr>
                <w:rFonts w:ascii="MS Mincho" w:hAnsi="MS Mincho" w:cs="MS Mincho"/>
                <w:color w:val="auto"/>
                <w:kern w:val="2"/>
                <w:highlight w:val="none"/>
              </w:rPr>
              <w:t>□</w:t>
            </w:r>
            <w:r>
              <w:rPr>
                <w:rFonts w:hint="default" w:hAnsi="宋体"/>
                <w:color w:val="auto"/>
                <w:kern w:val="2"/>
                <w:highlight w:val="none"/>
              </w:rPr>
              <w:t xml:space="preserve">是  </w:t>
            </w:r>
            <w:r>
              <w:rPr>
                <w:rFonts w:ascii="MS Mincho" w:hAnsi="MS Mincho" w:cs="MS Mincho"/>
                <w:color w:val="auto"/>
                <w:kern w:val="2"/>
                <w:highlight w:val="none"/>
              </w:rPr>
              <w:t>☑</w:t>
            </w:r>
            <w:r>
              <w:rPr>
                <w:rFonts w:hint="default" w:hAnsi="宋体"/>
                <w:color w:val="auto"/>
                <w:kern w:val="2"/>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pStyle w:val="19"/>
              <w:jc w:val="center"/>
              <w:rPr>
                <w:rFonts w:hint="default" w:hAnsi="宋体"/>
                <w:color w:val="auto"/>
                <w:kern w:val="2"/>
                <w:highlight w:val="none"/>
              </w:rPr>
            </w:pPr>
            <w:r>
              <w:rPr>
                <w:rFonts w:hAnsi="宋体"/>
                <w:color w:val="auto"/>
                <w:kern w:val="2"/>
                <w:highlight w:val="none"/>
              </w:rPr>
              <w:t>5</w:t>
            </w:r>
          </w:p>
        </w:tc>
        <w:tc>
          <w:tcPr>
            <w:tcW w:w="1781"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jc w:val="center"/>
              <w:rPr>
                <w:rFonts w:ascii="宋体" w:hAnsi="宋体"/>
                <w:color w:val="auto"/>
                <w:szCs w:val="21"/>
                <w:highlight w:val="none"/>
              </w:rPr>
            </w:pPr>
            <w:r>
              <w:rPr>
                <w:rFonts w:ascii="宋体" w:hAnsi="宋体"/>
                <w:color w:val="auto"/>
                <w:szCs w:val="21"/>
                <w:highlight w:val="none"/>
              </w:rPr>
              <w:t>联合体投标</w:t>
            </w:r>
          </w:p>
        </w:tc>
        <w:tc>
          <w:tcPr>
            <w:tcW w:w="6437" w:type="dxa"/>
            <w:gridSpan w:val="2"/>
            <w:tcBorders>
              <w:top w:val="single" w:color="auto" w:sz="4" w:space="0"/>
              <w:left w:val="single" w:color="auto" w:sz="4" w:space="0"/>
              <w:bottom w:val="single" w:color="auto" w:sz="4" w:space="0"/>
              <w:right w:val="single" w:color="auto" w:sz="4" w:space="0"/>
            </w:tcBorders>
            <w:vAlign w:val="center"/>
          </w:tcPr>
          <w:p>
            <w:pPr>
              <w:topLinePunct/>
              <w:autoSpaceDE w:val="0"/>
              <w:autoSpaceDN w:val="0"/>
              <w:rPr>
                <w:rFonts w:ascii="Calibri" w:hAnsi="宋体"/>
                <w:color w:val="auto"/>
                <w:highlight w:val="none"/>
                <w:lang w:val="zh-CN"/>
              </w:rPr>
            </w:pPr>
            <w:r>
              <w:rPr>
                <w:rFonts w:hint="eastAsia" w:ascii="MS Mincho" w:hAnsi="MS Mincho" w:cs="MS Mincho"/>
                <w:color w:val="auto"/>
                <w:highlight w:val="none"/>
              </w:rPr>
              <w:t>□</w:t>
            </w:r>
            <w:r>
              <w:rPr>
                <w:rFonts w:ascii="宋体" w:hAnsi="宋体"/>
                <w:color w:val="auto"/>
                <w:szCs w:val="21"/>
                <w:highlight w:val="none"/>
              </w:rPr>
              <w:t xml:space="preserve">接受  </w:t>
            </w:r>
            <w:r>
              <w:rPr>
                <w:rFonts w:hint="eastAsia" w:ascii="MS Mincho" w:hAnsi="MS Mincho" w:eastAsia="MS Mincho" w:cs="MS Mincho"/>
                <w:color w:val="auto"/>
                <w:highlight w:val="none"/>
              </w:rPr>
              <w:t>☑</w:t>
            </w:r>
            <w:r>
              <w:rPr>
                <w:rFonts w:ascii="宋体" w:hAnsi="宋体"/>
                <w:color w:val="auto"/>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pStyle w:val="19"/>
              <w:jc w:val="center"/>
              <w:rPr>
                <w:rFonts w:hint="default" w:hAnsi="宋体"/>
                <w:color w:val="auto"/>
                <w:kern w:val="2"/>
                <w:highlight w:val="none"/>
              </w:rPr>
            </w:pPr>
            <w:r>
              <w:rPr>
                <w:rFonts w:hAnsi="宋体"/>
                <w:color w:val="auto"/>
                <w:kern w:val="2"/>
                <w:highlight w:val="none"/>
              </w:rPr>
              <w:t>6</w:t>
            </w:r>
          </w:p>
        </w:tc>
        <w:tc>
          <w:tcPr>
            <w:tcW w:w="1781" w:type="dxa"/>
            <w:tcBorders>
              <w:top w:val="single" w:color="auto" w:sz="4" w:space="0"/>
              <w:left w:val="single" w:color="auto" w:sz="4" w:space="0"/>
              <w:bottom w:val="single" w:color="auto" w:sz="4" w:space="0"/>
              <w:right w:val="single" w:color="auto" w:sz="4" w:space="0"/>
            </w:tcBorders>
            <w:vAlign w:val="center"/>
          </w:tcPr>
          <w:p>
            <w:pPr>
              <w:pStyle w:val="19"/>
              <w:jc w:val="center"/>
              <w:rPr>
                <w:rFonts w:hint="default" w:hAnsi="宋体"/>
                <w:b/>
                <w:color w:val="auto"/>
                <w:kern w:val="2"/>
                <w:highlight w:val="none"/>
              </w:rPr>
            </w:pPr>
            <w:r>
              <w:rPr>
                <w:rFonts w:hint="default" w:hAnsi="宋体"/>
                <w:color w:val="auto"/>
                <w:kern w:val="2"/>
                <w:highlight w:val="none"/>
              </w:rPr>
              <w:t>信息发布媒体</w:t>
            </w:r>
          </w:p>
        </w:tc>
        <w:tc>
          <w:tcPr>
            <w:tcW w:w="6437" w:type="dxa"/>
            <w:gridSpan w:val="2"/>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line="240" w:lineRule="exact"/>
              <w:rPr>
                <w:rFonts w:ascii="宋体" w:hAnsi="宋体"/>
                <w:color w:val="auto"/>
                <w:szCs w:val="21"/>
                <w:highlight w:val="none"/>
              </w:rPr>
            </w:pPr>
            <w:r>
              <w:rPr>
                <w:rFonts w:ascii="宋体" w:hAnsi="宋体"/>
                <w:color w:val="auto"/>
                <w:szCs w:val="21"/>
                <w:highlight w:val="none"/>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ascii="宋体" w:hAnsi="宋体"/>
                <w:color w:val="auto"/>
                <w:szCs w:val="21"/>
                <w:highlight w:val="none"/>
              </w:rPr>
              <w:t>www.ccgp.gov.cn</w:t>
            </w:r>
            <w:r>
              <w:rPr>
                <w:rFonts w:ascii="宋体" w:hAnsi="宋体"/>
                <w:color w:val="auto"/>
                <w:szCs w:val="21"/>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59" w:type="dxa"/>
            <w:vAlign w:val="center"/>
          </w:tcPr>
          <w:p>
            <w:pPr>
              <w:pStyle w:val="19"/>
              <w:jc w:val="center"/>
              <w:rPr>
                <w:rFonts w:hint="default" w:hAnsi="宋体"/>
                <w:color w:val="auto"/>
                <w:kern w:val="2"/>
                <w:highlight w:val="none"/>
              </w:rPr>
            </w:pPr>
            <w:r>
              <w:rPr>
                <w:rFonts w:hAnsi="宋体"/>
                <w:color w:val="auto"/>
                <w:kern w:val="2"/>
                <w:highlight w:val="none"/>
              </w:rPr>
              <w:t>7</w:t>
            </w:r>
          </w:p>
        </w:tc>
        <w:tc>
          <w:tcPr>
            <w:tcW w:w="1781" w:type="dxa"/>
            <w:vAlign w:val="center"/>
          </w:tcPr>
          <w:p>
            <w:pPr>
              <w:topLinePunct/>
              <w:autoSpaceDE w:val="0"/>
              <w:autoSpaceDN w:val="0"/>
              <w:snapToGrid w:val="0"/>
              <w:spacing w:line="320" w:lineRule="exact"/>
              <w:jc w:val="center"/>
              <w:rPr>
                <w:rFonts w:ascii="宋体" w:hAnsi="宋体"/>
                <w:color w:val="auto"/>
                <w:szCs w:val="21"/>
                <w:highlight w:val="none"/>
              </w:rPr>
            </w:pPr>
            <w:r>
              <w:rPr>
                <w:rFonts w:ascii="宋体" w:hAnsi="宋体"/>
                <w:color w:val="auto"/>
                <w:szCs w:val="21"/>
                <w:highlight w:val="none"/>
              </w:rPr>
              <w:t>获取招标文件</w:t>
            </w:r>
          </w:p>
          <w:p>
            <w:pPr>
              <w:pStyle w:val="19"/>
              <w:jc w:val="center"/>
              <w:rPr>
                <w:rFonts w:hint="default" w:hAnsi="宋体"/>
                <w:color w:val="auto"/>
                <w:kern w:val="2"/>
                <w:highlight w:val="none"/>
              </w:rPr>
            </w:pPr>
            <w:r>
              <w:rPr>
                <w:rFonts w:hint="default" w:hAnsi="宋体"/>
                <w:color w:val="auto"/>
                <w:kern w:val="2"/>
                <w:highlight w:val="none"/>
              </w:rPr>
              <w:t>时间、地点和</w:t>
            </w:r>
          </w:p>
          <w:p>
            <w:pPr>
              <w:pStyle w:val="19"/>
              <w:jc w:val="center"/>
              <w:rPr>
                <w:rFonts w:hint="default" w:hAnsi="宋体"/>
                <w:color w:val="auto"/>
                <w:kern w:val="2"/>
                <w:highlight w:val="none"/>
              </w:rPr>
            </w:pPr>
            <w:r>
              <w:rPr>
                <w:rFonts w:hint="default" w:hAnsi="宋体"/>
                <w:color w:val="auto"/>
                <w:kern w:val="2"/>
                <w:highlight w:val="none"/>
              </w:rPr>
              <w:t>方式等</w:t>
            </w:r>
          </w:p>
        </w:tc>
        <w:tc>
          <w:tcPr>
            <w:tcW w:w="6437" w:type="dxa"/>
            <w:gridSpan w:val="2"/>
            <w:vAlign w:val="center"/>
          </w:tcPr>
          <w:p>
            <w:pPr>
              <w:topLinePunct/>
              <w:autoSpaceDE w:val="0"/>
              <w:autoSpaceDN w:val="0"/>
              <w:rPr>
                <w:rFonts w:ascii="宋体" w:hAnsi="宋体"/>
                <w:bCs/>
                <w:color w:val="auto"/>
                <w:szCs w:val="21"/>
                <w:highlight w:val="none"/>
              </w:rPr>
            </w:pPr>
            <w:r>
              <w:rPr>
                <w:rFonts w:ascii="宋体" w:hAnsi="宋体"/>
                <w:color w:val="auto"/>
                <w:szCs w:val="21"/>
                <w:highlight w:val="none"/>
              </w:rPr>
              <w:t>时间：</w:t>
            </w:r>
            <w:r>
              <w:rPr>
                <w:rFonts w:hint="eastAsia" w:ascii="宋体" w:hAnsi="宋体"/>
                <w:color w:val="auto"/>
                <w:szCs w:val="21"/>
                <w:highlight w:val="none"/>
              </w:rPr>
              <w:t>2023年1</w:t>
            </w:r>
            <w:r>
              <w:rPr>
                <w:rFonts w:ascii="宋体" w:hAnsi="宋体"/>
                <w:color w:val="auto"/>
                <w:szCs w:val="21"/>
                <w:highlight w:val="none"/>
              </w:rPr>
              <w:t>月</w:t>
            </w:r>
            <w:r>
              <w:rPr>
                <w:rFonts w:hint="eastAsia" w:ascii="宋体" w:hAnsi="宋体"/>
                <w:color w:val="auto"/>
                <w:szCs w:val="21"/>
                <w:highlight w:val="none"/>
              </w:rPr>
              <w:t>16</w:t>
            </w:r>
            <w:r>
              <w:rPr>
                <w:rFonts w:ascii="宋体" w:hAnsi="宋体"/>
                <w:color w:val="auto"/>
                <w:szCs w:val="21"/>
                <w:highlight w:val="none"/>
              </w:rPr>
              <w:t>日至202</w:t>
            </w:r>
            <w:r>
              <w:rPr>
                <w:rFonts w:hint="eastAsia" w:ascii="宋体" w:hAnsi="宋体"/>
                <w:color w:val="auto"/>
                <w:szCs w:val="21"/>
                <w:highlight w:val="none"/>
              </w:rPr>
              <w:t>3</w:t>
            </w:r>
            <w:r>
              <w:rPr>
                <w:rFonts w:ascii="宋体" w:hAnsi="宋体"/>
                <w:color w:val="auto"/>
                <w:szCs w:val="21"/>
                <w:highlight w:val="none"/>
              </w:rPr>
              <w:t>年</w:t>
            </w:r>
            <w:r>
              <w:rPr>
                <w:rFonts w:hint="eastAsia" w:ascii="宋体" w:hAnsi="宋体"/>
                <w:color w:val="auto"/>
                <w:szCs w:val="21"/>
                <w:highlight w:val="none"/>
              </w:rPr>
              <w:t>1</w:t>
            </w:r>
            <w:r>
              <w:rPr>
                <w:rFonts w:ascii="宋体" w:hAnsi="宋体"/>
                <w:color w:val="auto"/>
                <w:szCs w:val="21"/>
                <w:highlight w:val="none"/>
              </w:rPr>
              <w:t>月</w:t>
            </w:r>
            <w:r>
              <w:rPr>
                <w:rFonts w:hint="eastAsia" w:ascii="宋体" w:hAnsi="宋体"/>
                <w:color w:val="auto"/>
                <w:szCs w:val="21"/>
                <w:highlight w:val="none"/>
              </w:rPr>
              <w:t>28</w:t>
            </w:r>
            <w:r>
              <w:rPr>
                <w:rFonts w:ascii="宋体" w:hAnsi="宋体"/>
                <w:color w:val="auto"/>
                <w:szCs w:val="21"/>
                <w:highlight w:val="none"/>
              </w:rPr>
              <w:t>日，</w:t>
            </w:r>
            <w:r>
              <w:rPr>
                <w:rFonts w:ascii="宋体" w:hAnsi="宋体"/>
                <w:bCs/>
                <w:color w:val="auto"/>
                <w:szCs w:val="21"/>
                <w:highlight w:val="none"/>
              </w:rPr>
              <w:t>每天上午8:30至11:30，下午1</w:t>
            </w:r>
            <w:r>
              <w:rPr>
                <w:rFonts w:hint="eastAsia" w:ascii="宋体" w:hAnsi="宋体"/>
                <w:bCs/>
                <w:color w:val="auto"/>
                <w:szCs w:val="21"/>
                <w:highlight w:val="none"/>
              </w:rPr>
              <w:t>3</w:t>
            </w:r>
            <w:r>
              <w:rPr>
                <w:rFonts w:ascii="宋体" w:hAnsi="宋体"/>
                <w:bCs/>
                <w:color w:val="auto"/>
                <w:szCs w:val="21"/>
                <w:highlight w:val="none"/>
              </w:rPr>
              <w:t>:</w:t>
            </w:r>
            <w:r>
              <w:rPr>
                <w:rFonts w:hint="eastAsia" w:ascii="宋体" w:hAnsi="宋体"/>
                <w:bCs/>
                <w:color w:val="auto"/>
                <w:szCs w:val="21"/>
                <w:highlight w:val="none"/>
              </w:rPr>
              <w:t>0</w:t>
            </w:r>
            <w:r>
              <w:rPr>
                <w:rFonts w:ascii="宋体" w:hAnsi="宋体"/>
                <w:bCs/>
                <w:color w:val="auto"/>
                <w:szCs w:val="21"/>
                <w:highlight w:val="none"/>
              </w:rPr>
              <w:t>0至16:</w:t>
            </w:r>
            <w:r>
              <w:rPr>
                <w:rFonts w:hint="eastAsia" w:ascii="宋体" w:hAnsi="宋体"/>
                <w:bCs/>
                <w:color w:val="auto"/>
                <w:szCs w:val="21"/>
                <w:highlight w:val="none"/>
              </w:rPr>
              <w:t>30</w:t>
            </w:r>
            <w:r>
              <w:rPr>
                <w:rFonts w:ascii="宋体" w:hAnsi="宋体"/>
                <w:bCs/>
                <w:color w:val="auto"/>
                <w:szCs w:val="21"/>
                <w:highlight w:val="none"/>
              </w:rPr>
              <w:t>（北京时间，法定节假日除外）。</w:t>
            </w:r>
          </w:p>
          <w:p>
            <w:pPr>
              <w:topLinePunct/>
              <w:autoSpaceDE w:val="0"/>
              <w:autoSpaceDN w:val="0"/>
              <w:rPr>
                <w:rFonts w:ascii="宋体" w:hAnsi="宋体"/>
                <w:color w:val="auto"/>
                <w:szCs w:val="21"/>
                <w:highlight w:val="none"/>
              </w:rPr>
            </w:pPr>
            <w:r>
              <w:rPr>
                <w:rFonts w:hint="eastAsia" w:ascii="宋体" w:hAnsi="宋体"/>
                <w:bCs/>
                <w:color w:val="auto"/>
                <w:szCs w:val="21"/>
                <w:highlight w:val="none"/>
              </w:rPr>
              <w:t>地点：线上（</w:t>
            </w:r>
            <w:r>
              <w:rPr>
                <w:rFonts w:hint="eastAsia" w:ascii="宋体" w:hAnsi="宋体"/>
                <w:color w:val="auto"/>
                <w:szCs w:val="21"/>
                <w:highlight w:val="none"/>
              </w:rPr>
              <w:t>电子邮箱）。</w:t>
            </w:r>
          </w:p>
          <w:p>
            <w:pPr>
              <w:topLinePunct/>
              <w:autoSpaceDE w:val="0"/>
              <w:autoSpaceDN w:val="0"/>
              <w:rPr>
                <w:rFonts w:ascii="宋体" w:hAnsi="宋体"/>
                <w:color w:val="auto"/>
                <w:szCs w:val="21"/>
                <w:highlight w:val="none"/>
              </w:rPr>
            </w:pPr>
            <w:r>
              <w:rPr>
                <w:rFonts w:hint="eastAsia" w:ascii="宋体" w:hAnsi="宋体"/>
                <w:color w:val="auto"/>
                <w:szCs w:val="21"/>
                <w:highlight w:val="none"/>
              </w:rPr>
              <w:t>方式：潜在投标人下载本公告附件《招标文件领取登记表》，按要求填写登记表加盖公章后，将扫描件在上述获取招标文件的规定时间内发送至邮箱</w:t>
            </w:r>
            <w:r>
              <w:rPr>
                <w:rFonts w:hint="eastAsia" w:ascii="宋体" w:hAnsi="宋体"/>
                <w:color w:val="auto"/>
                <w:szCs w:val="21"/>
                <w:highlight w:val="none"/>
                <w:lang w:eastAsia="zh-CN"/>
              </w:rPr>
              <w:t>lnsswjzfcg@163.com</w:t>
            </w:r>
            <w:r>
              <w:rPr>
                <w:rFonts w:hint="eastAsia" w:ascii="宋体" w:hAnsi="宋体"/>
                <w:color w:val="auto"/>
                <w:szCs w:val="21"/>
                <w:highlight w:val="none"/>
              </w:rPr>
              <w:t>，邮件主题和附件名均设置为“投标人（公司）名称+拟领取招标文件项目名称”。经审核无误后，采购人通过电子邮件方式将招标文件电子版发送至潜在投标</w:t>
            </w:r>
            <w:r>
              <w:rPr>
                <w:rFonts w:hint="eastAsia" w:ascii="宋体" w:hAnsi="宋体"/>
                <w:bCs/>
                <w:color w:val="auto"/>
                <w:szCs w:val="21"/>
                <w:highlight w:val="none"/>
              </w:rPr>
              <w:t>人在《招标文件领取登记表》中所填报的邮箱，潜在投标人收到招标文件电子版后请进行确认并以回复邮件的方式向采购人反馈。潜在投标人没有领取招标文件的，该投标人不能参加本项目投标等政府采购活动。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9" w:type="dxa"/>
            <w:vAlign w:val="center"/>
          </w:tcPr>
          <w:p>
            <w:pPr>
              <w:pStyle w:val="19"/>
              <w:jc w:val="center"/>
              <w:rPr>
                <w:rFonts w:hint="default" w:hAnsi="宋体"/>
                <w:color w:val="auto"/>
                <w:kern w:val="2"/>
                <w:highlight w:val="none"/>
              </w:rPr>
            </w:pPr>
            <w:r>
              <w:rPr>
                <w:rFonts w:hAnsi="宋体"/>
                <w:color w:val="auto"/>
                <w:kern w:val="2"/>
                <w:highlight w:val="none"/>
              </w:rPr>
              <w:t>8</w:t>
            </w:r>
          </w:p>
        </w:tc>
        <w:tc>
          <w:tcPr>
            <w:tcW w:w="1781" w:type="dxa"/>
            <w:vAlign w:val="center"/>
          </w:tcPr>
          <w:p>
            <w:pPr>
              <w:topLinePunct/>
              <w:autoSpaceDE w:val="0"/>
              <w:autoSpaceDN w:val="0"/>
              <w:jc w:val="center"/>
              <w:rPr>
                <w:rFonts w:ascii="Calibri" w:hAnsi="宋体"/>
                <w:color w:val="auto"/>
                <w:highlight w:val="none"/>
              </w:rPr>
            </w:pPr>
            <w:r>
              <w:rPr>
                <w:rFonts w:hint="eastAsia" w:ascii="宋体" w:hAnsi="宋体" w:cs="宋体"/>
                <w:color w:val="auto"/>
                <w:szCs w:val="21"/>
                <w:highlight w:val="none"/>
                <w:lang w:val="zh-CN"/>
              </w:rPr>
              <w:t>投标原则</w:t>
            </w:r>
          </w:p>
        </w:tc>
        <w:tc>
          <w:tcPr>
            <w:tcW w:w="6437" w:type="dxa"/>
            <w:gridSpan w:val="2"/>
            <w:vAlign w:val="center"/>
          </w:tcPr>
          <w:p>
            <w:pPr>
              <w:topLinePunct/>
              <w:autoSpaceDE w:val="0"/>
              <w:autoSpaceDN w:val="0"/>
              <w:rPr>
                <w:rFonts w:ascii="宋体" w:hAnsi="宋体"/>
                <w:b/>
                <w:bCs/>
                <w:color w:val="auto"/>
                <w:szCs w:val="21"/>
                <w:highlight w:val="none"/>
              </w:rPr>
            </w:pPr>
            <w:r>
              <w:rPr>
                <w:rFonts w:hint="eastAsia" w:ascii="宋体" w:hAnsi="宋体"/>
                <w:color w:val="auto"/>
                <w:szCs w:val="21"/>
                <w:highlight w:val="none"/>
              </w:rPr>
              <w:t>本项目不分包。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759" w:type="dxa"/>
            <w:vAlign w:val="center"/>
          </w:tcPr>
          <w:p>
            <w:pPr>
              <w:pStyle w:val="19"/>
              <w:jc w:val="center"/>
              <w:rPr>
                <w:rFonts w:hint="default" w:hAnsi="宋体"/>
                <w:color w:val="auto"/>
                <w:kern w:val="2"/>
                <w:highlight w:val="none"/>
              </w:rPr>
            </w:pPr>
            <w:r>
              <w:rPr>
                <w:rFonts w:hAnsi="宋体"/>
                <w:color w:val="auto"/>
                <w:kern w:val="2"/>
                <w:highlight w:val="none"/>
              </w:rPr>
              <w:t>9</w:t>
            </w:r>
          </w:p>
        </w:tc>
        <w:tc>
          <w:tcPr>
            <w:tcW w:w="1781" w:type="dxa"/>
            <w:vAlign w:val="center"/>
          </w:tcPr>
          <w:p>
            <w:pPr>
              <w:topLinePunct/>
              <w:autoSpaceDE w:val="0"/>
              <w:autoSpaceDN w:val="0"/>
              <w:jc w:val="center"/>
              <w:rPr>
                <w:rFonts w:ascii="宋体" w:hAnsi="宋体"/>
                <w:color w:val="auto"/>
                <w:szCs w:val="21"/>
                <w:highlight w:val="none"/>
              </w:rPr>
            </w:pPr>
            <w:r>
              <w:rPr>
                <w:rFonts w:ascii="宋体" w:hAnsi="宋体"/>
                <w:color w:val="auto"/>
                <w:szCs w:val="21"/>
                <w:highlight w:val="none"/>
              </w:rPr>
              <w:t>询    问</w:t>
            </w:r>
          </w:p>
        </w:tc>
        <w:tc>
          <w:tcPr>
            <w:tcW w:w="6437" w:type="dxa"/>
            <w:gridSpan w:val="2"/>
            <w:vAlign w:val="center"/>
          </w:tcPr>
          <w:p>
            <w:pPr>
              <w:topLinePunct/>
              <w:autoSpaceDE w:val="0"/>
              <w:autoSpaceDN w:val="0"/>
              <w:rPr>
                <w:rFonts w:ascii="宋体" w:hAnsi="宋体"/>
                <w:bCs/>
                <w:color w:val="auto"/>
                <w:szCs w:val="21"/>
                <w:highlight w:val="none"/>
              </w:rPr>
            </w:pPr>
            <w:r>
              <w:rPr>
                <w:rFonts w:hint="eastAsia" w:ascii="宋体" w:hAnsi="宋体"/>
                <w:bCs/>
                <w:color w:val="auto"/>
                <w:szCs w:val="21"/>
                <w:highlight w:val="none"/>
              </w:rPr>
              <w:t>投标</w:t>
            </w:r>
            <w:r>
              <w:rPr>
                <w:rFonts w:ascii="宋体" w:hAnsi="宋体"/>
                <w:bCs/>
                <w:color w:val="auto"/>
                <w:szCs w:val="21"/>
                <w:highlight w:val="none"/>
              </w:rPr>
              <w:t>人对政府采购活动事项有疑问的，可以向</w:t>
            </w:r>
            <w:r>
              <w:rPr>
                <w:rFonts w:hint="eastAsia" w:ascii="宋体" w:hAnsi="宋体"/>
                <w:bCs/>
                <w:color w:val="auto"/>
                <w:szCs w:val="21"/>
                <w:highlight w:val="none"/>
              </w:rPr>
              <w:t>采购人</w:t>
            </w:r>
            <w:r>
              <w:rPr>
                <w:rFonts w:ascii="宋体" w:hAnsi="宋体"/>
                <w:bCs/>
                <w:color w:val="auto"/>
                <w:szCs w:val="21"/>
                <w:highlight w:val="none"/>
              </w:rPr>
              <w:t>提出询问，采购</w:t>
            </w:r>
            <w:r>
              <w:rPr>
                <w:rFonts w:hint="eastAsia" w:ascii="宋体" w:hAnsi="宋体"/>
                <w:bCs/>
                <w:color w:val="auto"/>
                <w:szCs w:val="21"/>
                <w:highlight w:val="none"/>
              </w:rPr>
              <w:t>人</w:t>
            </w:r>
            <w:r>
              <w:rPr>
                <w:rFonts w:ascii="宋体" w:hAnsi="宋体"/>
                <w:bCs/>
                <w:color w:val="auto"/>
                <w:szCs w:val="21"/>
                <w:highlight w:val="none"/>
              </w:rPr>
              <w:t>应当及时作出答复，但答复的内容不得涉及商业秘密。</w:t>
            </w:r>
          </w:p>
          <w:p>
            <w:pPr>
              <w:topLinePunct/>
              <w:autoSpaceDE w:val="0"/>
              <w:autoSpaceDN w:val="0"/>
              <w:rPr>
                <w:rFonts w:ascii="宋体" w:hAnsi="宋体"/>
                <w:color w:val="auto"/>
                <w:szCs w:val="21"/>
                <w:highlight w:val="none"/>
              </w:rPr>
            </w:pPr>
            <w:r>
              <w:rPr>
                <w:rFonts w:hint="eastAsia" w:ascii="宋体" w:hAnsi="宋体"/>
                <w:color w:val="auto"/>
                <w:szCs w:val="21"/>
                <w:highlight w:val="none"/>
              </w:rPr>
              <w:t>如对招标文件有疑问的，可以在获取招标文件截止之日起5个工作日内向采购人提出询问，采购人应当及时作出答复。逾期提交的，采购人有权不予受理。</w:t>
            </w:r>
          </w:p>
          <w:p>
            <w:pPr>
              <w:topLinePunct/>
              <w:autoSpaceDE w:val="0"/>
              <w:autoSpaceDN w:val="0"/>
              <w:rPr>
                <w:rFonts w:ascii="宋体" w:hAnsi="宋体"/>
                <w:color w:val="auto"/>
                <w:szCs w:val="21"/>
                <w:highlight w:val="none"/>
              </w:rPr>
            </w:pPr>
            <w:r>
              <w:rPr>
                <w:rFonts w:hint="eastAsia" w:ascii="宋体" w:hAnsi="宋体"/>
                <w:color w:val="auto"/>
                <w:szCs w:val="21"/>
                <w:highlight w:val="none"/>
              </w:rPr>
              <w:t>1.采购管理部门联系人：李先生</w:t>
            </w:r>
          </w:p>
          <w:p>
            <w:pPr>
              <w:topLinePunct/>
              <w:autoSpaceDE w:val="0"/>
              <w:autoSpaceDN w:val="0"/>
              <w:rPr>
                <w:rFonts w:ascii="宋体" w:hAnsi="宋体"/>
                <w:color w:val="auto"/>
                <w:szCs w:val="21"/>
                <w:highlight w:val="none"/>
              </w:rPr>
            </w:pPr>
            <w:r>
              <w:rPr>
                <w:rFonts w:hint="eastAsia" w:ascii="宋体" w:hAnsi="宋体"/>
                <w:color w:val="auto"/>
                <w:szCs w:val="21"/>
                <w:highlight w:val="none"/>
              </w:rPr>
              <w:t>电　话：024-81180258</w:t>
            </w:r>
          </w:p>
          <w:p>
            <w:pPr>
              <w:topLinePunct/>
              <w:autoSpaceDE w:val="0"/>
              <w:autoSpaceDN w:val="0"/>
              <w:rPr>
                <w:rFonts w:ascii="宋体" w:hAnsi="宋体"/>
                <w:color w:val="auto"/>
                <w:szCs w:val="21"/>
                <w:highlight w:val="none"/>
              </w:rPr>
            </w:pPr>
            <w:r>
              <w:rPr>
                <w:rFonts w:hint="eastAsia" w:ascii="宋体" w:hAnsi="宋体"/>
                <w:color w:val="auto"/>
                <w:szCs w:val="21"/>
                <w:highlight w:val="none"/>
              </w:rPr>
              <w:t>2.项目需求部门联系人：罗先生</w:t>
            </w:r>
          </w:p>
          <w:p>
            <w:pPr>
              <w:topLinePunct/>
              <w:autoSpaceDE w:val="0"/>
              <w:autoSpaceDN w:val="0"/>
              <w:rPr>
                <w:rFonts w:ascii="宋体" w:hAnsi="宋体"/>
                <w:color w:val="auto"/>
                <w:szCs w:val="21"/>
                <w:highlight w:val="none"/>
              </w:rPr>
            </w:pPr>
            <w:r>
              <w:rPr>
                <w:rFonts w:hint="eastAsia" w:ascii="宋体" w:hAnsi="宋体"/>
                <w:color w:val="auto"/>
                <w:szCs w:val="21"/>
                <w:highlight w:val="none"/>
              </w:rPr>
              <w:t>电　话：024-81180932</w:t>
            </w:r>
          </w:p>
          <w:p>
            <w:pPr>
              <w:topLinePunct/>
              <w:autoSpaceDE w:val="0"/>
              <w:autoSpaceDN w:val="0"/>
              <w:rPr>
                <w:rFonts w:ascii="宋体" w:hAnsi="宋体"/>
                <w:color w:val="auto"/>
                <w:szCs w:val="21"/>
                <w:highlight w:val="none"/>
              </w:rPr>
            </w:pPr>
            <w:r>
              <w:rPr>
                <w:rFonts w:hint="eastAsia" w:ascii="宋体" w:hAnsi="宋体"/>
                <w:color w:val="auto"/>
                <w:szCs w:val="21"/>
                <w:highlight w:val="none"/>
              </w:rPr>
              <w:t>地址：沈阳市沈河区青年大街256号 国家税务总局辽宁省税务局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59" w:type="dxa"/>
            <w:vMerge w:val="restart"/>
            <w:vAlign w:val="center"/>
          </w:tcPr>
          <w:p>
            <w:pPr>
              <w:pStyle w:val="19"/>
              <w:jc w:val="center"/>
              <w:rPr>
                <w:rFonts w:hint="default" w:hAnsi="宋体"/>
                <w:color w:val="auto"/>
                <w:kern w:val="2"/>
                <w:highlight w:val="none"/>
              </w:rPr>
            </w:pPr>
            <w:r>
              <w:rPr>
                <w:rFonts w:hAnsi="宋体"/>
                <w:color w:val="auto"/>
                <w:kern w:val="2"/>
                <w:highlight w:val="none"/>
              </w:rPr>
              <w:t>10</w:t>
            </w:r>
          </w:p>
        </w:tc>
        <w:tc>
          <w:tcPr>
            <w:tcW w:w="1781" w:type="dxa"/>
            <w:vMerge w:val="restart"/>
            <w:vAlign w:val="center"/>
          </w:tcPr>
          <w:p>
            <w:pPr>
              <w:topLinePunct/>
              <w:autoSpaceDE w:val="0"/>
              <w:autoSpaceDN w:val="0"/>
              <w:jc w:val="center"/>
              <w:rPr>
                <w:rFonts w:ascii="宋体" w:hAnsi="宋体"/>
                <w:color w:val="auto"/>
                <w:szCs w:val="21"/>
                <w:highlight w:val="none"/>
              </w:rPr>
            </w:pPr>
            <w:r>
              <w:rPr>
                <w:rFonts w:ascii="宋体" w:hAnsi="宋体"/>
                <w:color w:val="auto"/>
                <w:szCs w:val="21"/>
                <w:highlight w:val="none"/>
              </w:rPr>
              <w:t>投标文件组成</w:t>
            </w:r>
          </w:p>
        </w:tc>
        <w:tc>
          <w:tcPr>
            <w:tcW w:w="615" w:type="dxa"/>
            <w:vMerge w:val="restart"/>
            <w:vAlign w:val="center"/>
          </w:tcPr>
          <w:p>
            <w:pPr>
              <w:topLinePunct/>
              <w:autoSpaceDE w:val="0"/>
              <w:autoSpaceDN w:val="0"/>
              <w:jc w:val="center"/>
              <w:rPr>
                <w:rFonts w:ascii="宋体" w:hAnsi="宋体"/>
                <w:bCs/>
                <w:color w:val="auto"/>
                <w:szCs w:val="21"/>
                <w:highlight w:val="none"/>
              </w:rPr>
            </w:pPr>
            <w:r>
              <w:rPr>
                <w:rFonts w:ascii="宋体" w:hAnsi="宋体"/>
                <w:bCs/>
                <w:color w:val="auto"/>
                <w:szCs w:val="21"/>
                <w:highlight w:val="none"/>
              </w:rPr>
              <w:t>商</w:t>
            </w:r>
          </w:p>
          <w:p>
            <w:pPr>
              <w:topLinePunct/>
              <w:autoSpaceDE w:val="0"/>
              <w:autoSpaceDN w:val="0"/>
              <w:jc w:val="center"/>
              <w:rPr>
                <w:rFonts w:ascii="宋体" w:hAnsi="宋体"/>
                <w:bCs/>
                <w:color w:val="auto"/>
                <w:szCs w:val="21"/>
                <w:highlight w:val="none"/>
              </w:rPr>
            </w:pPr>
            <w:r>
              <w:rPr>
                <w:rFonts w:ascii="宋体" w:hAnsi="宋体"/>
                <w:bCs/>
                <w:color w:val="auto"/>
                <w:szCs w:val="21"/>
                <w:highlight w:val="none"/>
              </w:rPr>
              <w:t>务</w:t>
            </w:r>
          </w:p>
          <w:p>
            <w:pPr>
              <w:topLinePunct/>
              <w:autoSpaceDE w:val="0"/>
              <w:autoSpaceDN w:val="0"/>
              <w:jc w:val="center"/>
              <w:rPr>
                <w:rFonts w:ascii="宋体" w:hAnsi="宋体"/>
                <w:bCs/>
                <w:color w:val="auto"/>
                <w:szCs w:val="21"/>
                <w:highlight w:val="none"/>
              </w:rPr>
            </w:pPr>
            <w:r>
              <w:rPr>
                <w:rFonts w:ascii="宋体" w:hAnsi="宋体"/>
                <w:bCs/>
                <w:color w:val="auto"/>
                <w:szCs w:val="21"/>
                <w:highlight w:val="none"/>
              </w:rPr>
              <w:t>部</w:t>
            </w:r>
          </w:p>
          <w:p>
            <w:pPr>
              <w:topLinePunct/>
              <w:autoSpaceDE w:val="0"/>
              <w:autoSpaceDN w:val="0"/>
              <w:jc w:val="center"/>
              <w:rPr>
                <w:rFonts w:ascii="宋体" w:hAnsi="宋体"/>
                <w:bCs/>
                <w:color w:val="auto"/>
                <w:szCs w:val="21"/>
                <w:highlight w:val="none"/>
              </w:rPr>
            </w:pPr>
            <w:r>
              <w:rPr>
                <w:rFonts w:ascii="宋体" w:hAnsi="宋体"/>
                <w:bCs/>
                <w:color w:val="auto"/>
                <w:szCs w:val="21"/>
                <w:highlight w:val="none"/>
              </w:rPr>
              <w:t>分</w:t>
            </w:r>
          </w:p>
        </w:tc>
        <w:tc>
          <w:tcPr>
            <w:tcW w:w="5822" w:type="dxa"/>
            <w:vAlign w:val="center"/>
          </w:tcPr>
          <w:p>
            <w:pPr>
              <w:widowControl/>
              <w:shd w:val="clear" w:color="auto" w:fill="FFFFFF"/>
              <w:jc w:val="left"/>
              <w:rPr>
                <w:rFonts w:ascii="Calibri" w:hAnsi="Calibri"/>
                <w:color w:val="auto"/>
                <w:highlight w:val="none"/>
              </w:rPr>
            </w:pPr>
            <w:r>
              <w:rPr>
                <w:rFonts w:ascii="Calibri" w:hAnsi="Calibri"/>
                <w:color w:val="auto"/>
                <w:highlight w:val="none"/>
              </w:rPr>
              <w:t>一、资格证明文件：</w:t>
            </w:r>
          </w:p>
          <w:p>
            <w:pPr>
              <w:widowControl/>
              <w:shd w:val="clear" w:color="auto" w:fill="FFFFFF"/>
              <w:jc w:val="left"/>
              <w:rPr>
                <w:rFonts w:ascii="Calibri" w:hAnsi="Calibri"/>
                <w:color w:val="auto"/>
                <w:highlight w:val="none"/>
              </w:rPr>
            </w:pPr>
            <w:r>
              <w:rPr>
                <w:rFonts w:ascii="Calibri" w:hAnsi="Calibri"/>
                <w:color w:val="auto"/>
                <w:highlight w:val="none"/>
              </w:rPr>
              <w:t>（1）</w:t>
            </w:r>
            <w:r>
              <w:rPr>
                <w:rFonts w:ascii="宋体" w:hAnsi="宋体"/>
                <w:bCs/>
                <w:color w:val="auto"/>
                <w:szCs w:val="21"/>
                <w:highlight w:val="none"/>
              </w:rPr>
              <w:t>★</w:t>
            </w:r>
            <w:r>
              <w:rPr>
                <w:rFonts w:ascii="Calibri" w:hAnsi="Calibri"/>
                <w:color w:val="auto"/>
                <w:highlight w:val="none"/>
              </w:rPr>
              <w:t>法人或者其他组织的营业执照等证明文件（复印件）；</w:t>
            </w:r>
          </w:p>
          <w:p>
            <w:pPr>
              <w:widowControl/>
              <w:shd w:val="clear" w:color="auto" w:fill="FFFFFF"/>
              <w:jc w:val="left"/>
              <w:rPr>
                <w:rFonts w:ascii="Calibri" w:hAnsi="Calibri"/>
                <w:color w:val="auto"/>
                <w:highlight w:val="none"/>
              </w:rPr>
            </w:pPr>
            <w:r>
              <w:rPr>
                <w:rFonts w:ascii="Calibri" w:hAnsi="Calibri"/>
                <w:color w:val="auto"/>
                <w:highlight w:val="none"/>
              </w:rPr>
              <w:t>（2）</w:t>
            </w:r>
            <w:r>
              <w:rPr>
                <w:rFonts w:ascii="宋体" w:hAnsi="宋体"/>
                <w:bCs/>
                <w:color w:val="auto"/>
                <w:szCs w:val="21"/>
                <w:highlight w:val="none"/>
              </w:rPr>
              <w:t>★</w:t>
            </w:r>
            <w:r>
              <w:rPr>
                <w:rFonts w:ascii="Calibri" w:hAnsi="Calibri"/>
                <w:color w:val="auto"/>
                <w:highlight w:val="none"/>
              </w:rPr>
              <w:t>具有良好的商业信誉和健全的财务会计制度的承诺函（原件）；</w:t>
            </w:r>
          </w:p>
          <w:p>
            <w:pPr>
              <w:widowControl/>
              <w:shd w:val="clear" w:color="auto" w:fill="FFFFFF"/>
              <w:jc w:val="left"/>
              <w:rPr>
                <w:rFonts w:ascii="Calibri" w:hAnsi="Calibri"/>
                <w:color w:val="auto"/>
                <w:highlight w:val="none"/>
              </w:rPr>
            </w:pPr>
            <w:r>
              <w:rPr>
                <w:rFonts w:ascii="Calibri" w:hAnsi="Calibri"/>
                <w:color w:val="auto"/>
                <w:highlight w:val="none"/>
              </w:rPr>
              <w:t>（3）</w:t>
            </w:r>
            <w:r>
              <w:rPr>
                <w:rFonts w:ascii="宋体" w:hAnsi="宋体"/>
                <w:bCs/>
                <w:color w:val="auto"/>
                <w:szCs w:val="21"/>
                <w:highlight w:val="none"/>
              </w:rPr>
              <w:t>★</w:t>
            </w:r>
            <w:r>
              <w:rPr>
                <w:rFonts w:hint="eastAsia" w:ascii="Calibri" w:hAnsi="Calibri"/>
                <w:color w:val="auto"/>
                <w:highlight w:val="none"/>
                <w:lang w:val="zh-CN"/>
              </w:rPr>
              <w:t>开标时间前六个月内任一个月</w:t>
            </w:r>
            <w:r>
              <w:rPr>
                <w:rFonts w:hint="eastAsia" w:ascii="Calibri" w:hAnsi="Calibri"/>
                <w:color w:val="auto"/>
                <w:highlight w:val="none"/>
              </w:rPr>
              <w:t>的</w:t>
            </w:r>
            <w:r>
              <w:rPr>
                <w:rFonts w:ascii="Calibri" w:hAnsi="Calibri"/>
                <w:color w:val="auto"/>
                <w:highlight w:val="none"/>
              </w:rPr>
              <w:t>依法缴纳税收的相关材料，如依法免税或不需要纳税的，则应提供相应证明材料（复印件）；</w:t>
            </w:r>
          </w:p>
          <w:p>
            <w:pPr>
              <w:widowControl/>
              <w:shd w:val="clear" w:color="auto" w:fill="FFFFFF"/>
              <w:jc w:val="left"/>
              <w:rPr>
                <w:rFonts w:ascii="Calibri" w:hAnsi="Calibri"/>
                <w:color w:val="auto"/>
                <w:highlight w:val="none"/>
              </w:rPr>
            </w:pPr>
            <w:r>
              <w:rPr>
                <w:rFonts w:ascii="Calibri" w:hAnsi="Calibri"/>
                <w:color w:val="auto"/>
                <w:highlight w:val="none"/>
              </w:rPr>
              <w:t>（4）</w:t>
            </w:r>
            <w:r>
              <w:rPr>
                <w:rFonts w:ascii="宋体" w:hAnsi="宋体"/>
                <w:bCs/>
                <w:color w:val="auto"/>
                <w:szCs w:val="21"/>
                <w:highlight w:val="none"/>
              </w:rPr>
              <w:t>★</w:t>
            </w:r>
            <w:r>
              <w:rPr>
                <w:rFonts w:hint="eastAsia" w:ascii="Calibri" w:hAnsi="Calibri"/>
                <w:color w:val="auto"/>
                <w:highlight w:val="none"/>
                <w:lang w:val="zh-CN"/>
              </w:rPr>
              <w:t>开标时间前六个月内任一个月</w:t>
            </w:r>
            <w:r>
              <w:rPr>
                <w:rFonts w:hint="eastAsia" w:ascii="Calibri" w:hAnsi="Calibri"/>
                <w:color w:val="auto"/>
                <w:highlight w:val="none"/>
              </w:rPr>
              <w:t>的</w:t>
            </w:r>
            <w:r>
              <w:rPr>
                <w:rFonts w:ascii="Calibri" w:hAnsi="Calibri"/>
                <w:color w:val="auto"/>
                <w:highlight w:val="none"/>
              </w:rPr>
              <w:t>依法缴纳社会保障资金的相关材料，如依法不需要缴纳社会保障资金的，则应提供相应证明材料（复印件）；</w:t>
            </w:r>
          </w:p>
          <w:p>
            <w:pPr>
              <w:widowControl/>
              <w:shd w:val="clear" w:color="auto" w:fill="FFFFFF"/>
              <w:jc w:val="left"/>
              <w:rPr>
                <w:rFonts w:ascii="Calibri" w:hAnsi="Calibri"/>
                <w:color w:val="auto"/>
                <w:highlight w:val="none"/>
              </w:rPr>
            </w:pPr>
            <w:r>
              <w:rPr>
                <w:rFonts w:ascii="Calibri" w:hAnsi="Calibri"/>
                <w:color w:val="auto"/>
                <w:highlight w:val="none"/>
              </w:rPr>
              <w:t>（5）</w:t>
            </w:r>
            <w:r>
              <w:rPr>
                <w:rFonts w:ascii="宋体" w:hAnsi="宋体"/>
                <w:bCs/>
                <w:color w:val="auto"/>
                <w:szCs w:val="21"/>
                <w:highlight w:val="none"/>
              </w:rPr>
              <w:t>★</w:t>
            </w:r>
            <w:r>
              <w:rPr>
                <w:rFonts w:ascii="Calibri" w:hAnsi="Calibri"/>
                <w:color w:val="auto"/>
                <w:highlight w:val="none"/>
              </w:rPr>
              <w:t>参加本项目投标前三年内，在经营活动中没有重大违法记录（指供应商因违法经营受到刑事处罚或者责令停产停业、吊销许可证或者执照、较大数额罚款等行政处罚）的书面声明（原件）；</w:t>
            </w:r>
          </w:p>
          <w:p>
            <w:pPr>
              <w:widowControl/>
              <w:shd w:val="clear" w:color="auto" w:fill="FFFFFF"/>
              <w:jc w:val="left"/>
              <w:rPr>
                <w:rFonts w:ascii="Calibri" w:hAnsi="Calibri"/>
                <w:color w:val="auto"/>
                <w:highlight w:val="none"/>
              </w:rPr>
            </w:pPr>
            <w:r>
              <w:rPr>
                <w:rFonts w:ascii="Calibri" w:hAnsi="Calibri"/>
                <w:color w:val="auto"/>
                <w:highlight w:val="none"/>
              </w:rPr>
              <w:t>（6）</w:t>
            </w:r>
            <w:r>
              <w:rPr>
                <w:rFonts w:ascii="宋体" w:hAnsi="宋体"/>
                <w:bCs/>
                <w:color w:val="auto"/>
                <w:szCs w:val="21"/>
                <w:highlight w:val="none"/>
              </w:rPr>
              <w:t>★</w:t>
            </w:r>
            <w:r>
              <w:rPr>
                <w:rFonts w:ascii="Calibri" w:hAnsi="Calibri"/>
                <w:color w:val="auto"/>
                <w:highlight w:val="none"/>
              </w:rPr>
              <w:t>提供具备履行合同所必需的设备和专业技术能力声明函（原件）。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759" w:type="dxa"/>
            <w:vMerge w:val="continue"/>
            <w:vAlign w:val="center"/>
          </w:tcPr>
          <w:p>
            <w:pPr>
              <w:pStyle w:val="19"/>
              <w:jc w:val="center"/>
              <w:rPr>
                <w:rFonts w:hint="default" w:hAnsi="宋体"/>
                <w:color w:val="auto"/>
                <w:kern w:val="2"/>
                <w:highlight w:val="none"/>
              </w:rPr>
            </w:pPr>
          </w:p>
        </w:tc>
        <w:tc>
          <w:tcPr>
            <w:tcW w:w="1781" w:type="dxa"/>
            <w:vMerge w:val="continue"/>
            <w:vAlign w:val="center"/>
          </w:tcPr>
          <w:p>
            <w:pPr>
              <w:topLinePunct/>
              <w:autoSpaceDE w:val="0"/>
              <w:autoSpaceDN w:val="0"/>
              <w:jc w:val="center"/>
              <w:rPr>
                <w:rFonts w:ascii="宋体" w:hAnsi="宋体"/>
                <w:color w:val="auto"/>
                <w:szCs w:val="21"/>
                <w:highlight w:val="none"/>
              </w:rPr>
            </w:pPr>
          </w:p>
        </w:tc>
        <w:tc>
          <w:tcPr>
            <w:tcW w:w="615" w:type="dxa"/>
            <w:vMerge w:val="continue"/>
            <w:vAlign w:val="center"/>
          </w:tcPr>
          <w:p>
            <w:pPr>
              <w:topLinePunct/>
              <w:autoSpaceDE w:val="0"/>
              <w:autoSpaceDN w:val="0"/>
              <w:rPr>
                <w:rFonts w:ascii="宋体" w:hAnsi="宋体"/>
                <w:bCs/>
                <w:color w:val="auto"/>
                <w:szCs w:val="21"/>
                <w:highlight w:val="none"/>
              </w:rPr>
            </w:pPr>
          </w:p>
        </w:tc>
        <w:tc>
          <w:tcPr>
            <w:tcW w:w="5822" w:type="dxa"/>
            <w:vAlign w:val="center"/>
          </w:tcPr>
          <w:p>
            <w:pPr>
              <w:widowControl/>
              <w:shd w:val="clear" w:color="auto" w:fill="FFFFFF"/>
              <w:jc w:val="left"/>
              <w:rPr>
                <w:rFonts w:ascii="宋体" w:hAnsi="宋体"/>
                <w:b/>
                <w:bCs/>
                <w:color w:val="auto"/>
                <w:szCs w:val="21"/>
                <w:highlight w:val="none"/>
              </w:rPr>
            </w:pPr>
            <w:r>
              <w:rPr>
                <w:rFonts w:ascii="宋体" w:hAnsi="宋体"/>
                <w:b/>
                <w:bCs/>
                <w:color w:val="auto"/>
                <w:szCs w:val="21"/>
                <w:highlight w:val="none"/>
              </w:rPr>
              <w:t>二、其他文件及资料：</w:t>
            </w:r>
          </w:p>
          <w:p>
            <w:pPr>
              <w:widowControl/>
              <w:shd w:val="clear" w:color="auto" w:fill="FFFFFF"/>
              <w:jc w:val="left"/>
              <w:rPr>
                <w:rFonts w:ascii="宋体" w:hAnsi="宋体"/>
                <w:bCs/>
                <w:color w:val="auto"/>
                <w:szCs w:val="21"/>
                <w:highlight w:val="none"/>
              </w:rPr>
            </w:pPr>
            <w:r>
              <w:rPr>
                <w:rFonts w:ascii="宋体" w:hAnsi="宋体"/>
                <w:bCs/>
                <w:color w:val="auto"/>
                <w:szCs w:val="21"/>
                <w:highlight w:val="none"/>
              </w:rPr>
              <w:t>（1）★投标函[原件，包括投标函的附件：法定代表人身份证明复印件(法定代表人参加投标)或法定代表人授权书(</w:t>
            </w:r>
            <w:r>
              <w:rPr>
                <w:rFonts w:ascii="宋体" w:hAnsi="宋体"/>
                <w:color w:val="auto"/>
                <w:szCs w:val="21"/>
                <w:highlight w:val="none"/>
              </w:rPr>
              <w:t>被</w:t>
            </w:r>
            <w:r>
              <w:rPr>
                <w:rFonts w:ascii="宋体" w:hAnsi="宋体"/>
                <w:bCs/>
                <w:color w:val="auto"/>
                <w:szCs w:val="21"/>
                <w:highlight w:val="none"/>
              </w:rPr>
              <w:t>授权投标代表参加投标)]；</w:t>
            </w:r>
          </w:p>
          <w:p>
            <w:pPr>
              <w:widowControl/>
              <w:shd w:val="clear" w:color="auto" w:fill="FFFFFF"/>
              <w:jc w:val="left"/>
              <w:rPr>
                <w:rFonts w:ascii="宋体" w:hAnsi="宋体"/>
                <w:bCs/>
                <w:color w:val="auto"/>
                <w:szCs w:val="21"/>
                <w:highlight w:val="none"/>
              </w:rPr>
            </w:pPr>
            <w:r>
              <w:rPr>
                <w:rFonts w:ascii="宋体" w:hAnsi="宋体"/>
                <w:bCs/>
                <w:color w:val="auto"/>
                <w:szCs w:val="21"/>
                <w:highlight w:val="none"/>
              </w:rPr>
              <w:t>（2）★投标报价表（即开标一览表，含总报价表及分项报价表，原件）；</w:t>
            </w:r>
          </w:p>
          <w:p>
            <w:pPr>
              <w:widowControl/>
              <w:shd w:val="clear" w:color="auto" w:fill="FFFFFF"/>
              <w:jc w:val="left"/>
              <w:rPr>
                <w:rFonts w:ascii="宋体" w:hAnsi="宋体"/>
                <w:bCs/>
                <w:color w:val="auto"/>
                <w:szCs w:val="21"/>
                <w:highlight w:val="none"/>
              </w:rPr>
            </w:pPr>
            <w:r>
              <w:rPr>
                <w:rFonts w:ascii="宋体" w:hAnsi="宋体"/>
                <w:bCs/>
                <w:color w:val="auto"/>
                <w:szCs w:val="21"/>
                <w:highlight w:val="none"/>
              </w:rPr>
              <w:t>（3）★商务条款偏离表；</w:t>
            </w:r>
          </w:p>
          <w:p>
            <w:pPr>
              <w:widowControl/>
              <w:shd w:val="clear" w:color="auto" w:fill="FFFFFF"/>
              <w:jc w:val="left"/>
              <w:rPr>
                <w:rFonts w:ascii="宋体" w:hAnsi="宋体"/>
                <w:bCs/>
                <w:color w:val="auto"/>
                <w:szCs w:val="21"/>
                <w:highlight w:val="none"/>
              </w:rPr>
            </w:pPr>
            <w:r>
              <w:rPr>
                <w:rFonts w:ascii="宋体" w:hAnsi="宋体"/>
                <w:bCs/>
                <w:color w:val="auto"/>
                <w:szCs w:val="21"/>
                <w:highlight w:val="none"/>
              </w:rPr>
              <w:t>（4）中小企业声明函（中小企业投标时，应按照《关于印发中小企业划型标准规定的通知》 （工信部联企业〔2011〕300号）如实填写并提交，原件）；</w:t>
            </w:r>
          </w:p>
          <w:p>
            <w:pPr>
              <w:widowControl/>
              <w:shd w:val="clear" w:color="auto" w:fill="FFFFFF"/>
              <w:jc w:val="left"/>
              <w:rPr>
                <w:rFonts w:ascii="宋体" w:hAnsi="宋体"/>
                <w:bCs/>
                <w:color w:val="auto"/>
                <w:szCs w:val="21"/>
                <w:highlight w:val="none"/>
              </w:rPr>
            </w:pPr>
            <w:r>
              <w:rPr>
                <w:rFonts w:ascii="宋体" w:hAnsi="宋体"/>
                <w:bCs/>
                <w:color w:val="auto"/>
                <w:szCs w:val="21"/>
                <w:highlight w:val="none"/>
              </w:rPr>
              <w:t>（5）监狱企业证明文件[监狱企业参与投标应提交省级以上监狱管理局、戒毒管理局（含新疆生产建设兵团）出具的证明文件，格式自拟，原件]；</w:t>
            </w:r>
          </w:p>
          <w:p>
            <w:pPr>
              <w:widowControl/>
              <w:shd w:val="clear" w:color="auto" w:fill="FFFFFF"/>
              <w:jc w:val="left"/>
              <w:rPr>
                <w:rFonts w:ascii="宋体" w:hAnsi="宋体"/>
                <w:bCs/>
                <w:color w:val="auto"/>
                <w:szCs w:val="21"/>
                <w:highlight w:val="none"/>
              </w:rPr>
            </w:pPr>
            <w:r>
              <w:rPr>
                <w:rFonts w:ascii="宋体" w:hAnsi="宋体"/>
                <w:bCs/>
                <w:color w:val="auto"/>
                <w:szCs w:val="21"/>
                <w:highlight w:val="none"/>
              </w:rPr>
              <w:t>（6）残疾人福利性单位声明函（残疾人福利性单位参与投标应提交此函，原件）；</w:t>
            </w:r>
          </w:p>
          <w:p>
            <w:pPr>
              <w:widowControl/>
              <w:shd w:val="clear" w:color="auto" w:fill="FFFFFF"/>
              <w:jc w:val="left"/>
              <w:rPr>
                <w:rFonts w:ascii="宋体" w:hAnsi="宋体"/>
                <w:bCs/>
                <w:color w:val="auto"/>
                <w:szCs w:val="21"/>
                <w:highlight w:val="none"/>
              </w:rPr>
            </w:pPr>
            <w:r>
              <w:rPr>
                <w:rFonts w:ascii="宋体" w:hAnsi="宋体"/>
                <w:bCs/>
                <w:color w:val="auto"/>
                <w:szCs w:val="21"/>
                <w:highlight w:val="none"/>
              </w:rPr>
              <w:t>（7）提供20</w:t>
            </w:r>
            <w:r>
              <w:rPr>
                <w:rFonts w:hint="eastAsia" w:ascii="宋体" w:hAnsi="宋体"/>
                <w:bCs/>
                <w:color w:val="auto"/>
                <w:szCs w:val="21"/>
                <w:highlight w:val="none"/>
              </w:rPr>
              <w:t>20</w:t>
            </w:r>
            <w:r>
              <w:rPr>
                <w:rFonts w:ascii="宋体" w:hAnsi="宋体"/>
                <w:bCs/>
                <w:color w:val="auto"/>
                <w:szCs w:val="21"/>
                <w:highlight w:val="none"/>
              </w:rPr>
              <w:t>年1月1日以来（以合同签订日期为准）承担的</w:t>
            </w:r>
            <w:r>
              <w:rPr>
                <w:rFonts w:hint="eastAsia" w:ascii="宋体" w:hAnsi="宋体"/>
                <w:bCs/>
                <w:color w:val="auto"/>
                <w:szCs w:val="21"/>
                <w:highlight w:val="none"/>
              </w:rPr>
              <w:t>类似</w:t>
            </w:r>
            <w:r>
              <w:rPr>
                <w:rFonts w:ascii="宋体" w:hAnsi="宋体"/>
                <w:bCs/>
                <w:color w:val="auto"/>
                <w:szCs w:val="21"/>
                <w:highlight w:val="none"/>
              </w:rPr>
              <w:t>案例。</w:t>
            </w:r>
            <w:r>
              <w:rPr>
                <w:rFonts w:ascii="宋体" w:hAnsi="宋体"/>
                <w:b/>
                <w:color w:val="auto"/>
                <w:szCs w:val="21"/>
                <w:highlight w:val="none"/>
              </w:rPr>
              <w:t>案例应提供合同相关部分复印件，</w:t>
            </w:r>
            <w:r>
              <w:rPr>
                <w:rFonts w:ascii="宋体" w:hAnsi="宋体"/>
                <w:b/>
                <w:color w:val="auto"/>
                <w:szCs w:val="21"/>
                <w:highlight w:val="none"/>
                <w:lang w:val="zh-CN"/>
              </w:rPr>
              <w:t>合同复印件应能清晰体现合同甲乙双方、合同时间、合同金额、合同主要内容等，并提供对方联系人及联系方式</w:t>
            </w:r>
            <w:r>
              <w:rPr>
                <w:rFonts w:ascii="宋体" w:hAnsi="宋体"/>
                <w:b/>
                <w:color w:val="auto"/>
                <w:szCs w:val="21"/>
                <w:highlight w:val="none"/>
              </w:rPr>
              <w:t>。</w:t>
            </w:r>
          </w:p>
          <w:p>
            <w:pPr>
              <w:widowControl/>
              <w:shd w:val="clear" w:color="auto" w:fill="FFFFFF"/>
              <w:jc w:val="left"/>
              <w:rPr>
                <w:rFonts w:ascii="宋体" w:hAnsi="宋体"/>
                <w:bCs/>
                <w:color w:val="auto"/>
                <w:szCs w:val="21"/>
                <w:highlight w:val="none"/>
              </w:rPr>
            </w:pPr>
            <w:r>
              <w:rPr>
                <w:rFonts w:ascii="宋体" w:hAnsi="宋体"/>
                <w:bCs/>
                <w:color w:val="auto"/>
                <w:szCs w:val="21"/>
                <w:highlight w:val="none"/>
              </w:rPr>
              <w:t>（8）投标人认为需要提供的其它说明和资料。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9" w:type="dxa"/>
            <w:vMerge w:val="continue"/>
            <w:vAlign w:val="center"/>
          </w:tcPr>
          <w:p>
            <w:pPr>
              <w:pStyle w:val="19"/>
              <w:jc w:val="center"/>
              <w:rPr>
                <w:rFonts w:hint="default" w:hAnsi="宋体"/>
                <w:color w:val="auto"/>
                <w:kern w:val="2"/>
                <w:highlight w:val="none"/>
              </w:rPr>
            </w:pPr>
          </w:p>
        </w:tc>
        <w:tc>
          <w:tcPr>
            <w:tcW w:w="1781" w:type="dxa"/>
            <w:vMerge w:val="continue"/>
            <w:vAlign w:val="center"/>
          </w:tcPr>
          <w:p>
            <w:pPr>
              <w:topLinePunct/>
              <w:autoSpaceDE w:val="0"/>
              <w:autoSpaceDN w:val="0"/>
              <w:jc w:val="center"/>
              <w:rPr>
                <w:rFonts w:ascii="宋体" w:hAnsi="宋体"/>
                <w:color w:val="auto"/>
                <w:szCs w:val="21"/>
                <w:highlight w:val="none"/>
              </w:rPr>
            </w:pPr>
          </w:p>
        </w:tc>
        <w:tc>
          <w:tcPr>
            <w:tcW w:w="615" w:type="dxa"/>
            <w:vAlign w:val="center"/>
          </w:tcPr>
          <w:p>
            <w:pPr>
              <w:topLinePunct/>
              <w:autoSpaceDE w:val="0"/>
              <w:autoSpaceDN w:val="0"/>
              <w:jc w:val="center"/>
              <w:rPr>
                <w:rFonts w:ascii="宋体" w:hAnsi="宋体"/>
                <w:color w:val="auto"/>
                <w:szCs w:val="21"/>
                <w:highlight w:val="none"/>
              </w:rPr>
            </w:pPr>
            <w:r>
              <w:rPr>
                <w:rFonts w:ascii="宋体" w:hAnsi="宋体"/>
                <w:color w:val="auto"/>
                <w:szCs w:val="21"/>
                <w:highlight w:val="none"/>
              </w:rPr>
              <w:t>技术</w:t>
            </w:r>
          </w:p>
          <w:p>
            <w:pPr>
              <w:topLinePunct/>
              <w:autoSpaceDE w:val="0"/>
              <w:autoSpaceDN w:val="0"/>
              <w:jc w:val="center"/>
              <w:rPr>
                <w:rFonts w:ascii="宋体" w:hAnsi="宋体"/>
                <w:bCs/>
                <w:color w:val="auto"/>
                <w:szCs w:val="21"/>
                <w:highlight w:val="none"/>
              </w:rPr>
            </w:pPr>
            <w:r>
              <w:rPr>
                <w:rFonts w:ascii="宋体" w:hAnsi="宋体"/>
                <w:color w:val="auto"/>
                <w:szCs w:val="21"/>
                <w:highlight w:val="none"/>
              </w:rPr>
              <w:t>部分</w:t>
            </w:r>
          </w:p>
        </w:tc>
        <w:tc>
          <w:tcPr>
            <w:tcW w:w="5822" w:type="dxa"/>
            <w:vAlign w:val="center"/>
          </w:tcPr>
          <w:p>
            <w:pPr>
              <w:widowControl/>
              <w:numPr>
                <w:ilvl w:val="0"/>
                <w:numId w:val="2"/>
              </w:numPr>
              <w:shd w:val="clear" w:color="auto" w:fill="FFFFFF"/>
              <w:jc w:val="left"/>
              <w:rPr>
                <w:rFonts w:ascii="宋体" w:hAnsi="宋体"/>
                <w:color w:val="auto"/>
                <w:highlight w:val="none"/>
              </w:rPr>
            </w:pPr>
            <w:r>
              <w:rPr>
                <w:rFonts w:ascii="宋体" w:hAnsi="宋体"/>
                <w:color w:val="auto"/>
                <w:highlight w:val="none"/>
              </w:rPr>
              <w:t>★技术条款偏离表；</w:t>
            </w:r>
          </w:p>
          <w:p>
            <w:pPr>
              <w:widowControl/>
              <w:numPr>
                <w:ilvl w:val="0"/>
                <w:numId w:val="2"/>
              </w:numPr>
              <w:shd w:val="clear" w:color="auto" w:fill="FFFFFF"/>
              <w:jc w:val="left"/>
              <w:rPr>
                <w:rFonts w:ascii="宋体" w:hAnsi="宋体"/>
                <w:color w:val="auto"/>
                <w:highlight w:val="none"/>
                <w:lang w:val="zh-CN"/>
              </w:rPr>
            </w:pPr>
            <w:r>
              <w:rPr>
                <w:rFonts w:ascii="宋体" w:hAnsi="宋体"/>
                <w:color w:val="auto"/>
                <w:highlight w:val="none"/>
                <w:lang w:val="zh-CN"/>
              </w:rPr>
              <w:t>项目团队组织结构</w:t>
            </w:r>
            <w:r>
              <w:rPr>
                <w:rFonts w:hint="eastAsia" w:ascii="宋体" w:hAnsi="宋体"/>
                <w:color w:val="auto"/>
                <w:highlight w:val="none"/>
                <w:lang w:val="zh-CN"/>
              </w:rPr>
              <w:t>；</w:t>
            </w:r>
          </w:p>
          <w:p>
            <w:pPr>
              <w:widowControl/>
              <w:numPr>
                <w:ilvl w:val="0"/>
                <w:numId w:val="2"/>
              </w:numPr>
              <w:shd w:val="clear" w:color="auto" w:fill="FFFFFF"/>
              <w:jc w:val="left"/>
              <w:rPr>
                <w:rFonts w:ascii="宋体" w:hAnsi="宋体"/>
                <w:color w:val="auto"/>
                <w:highlight w:val="none"/>
              </w:rPr>
            </w:pPr>
            <w:r>
              <w:rPr>
                <w:rFonts w:hint="eastAsia" w:ascii="宋体" w:hAnsi="宋体"/>
                <w:color w:val="auto"/>
                <w:highlight w:val="none"/>
                <w:lang w:val="zh-CN"/>
              </w:rPr>
              <w:t>供应商基本信息；</w:t>
            </w:r>
          </w:p>
          <w:p>
            <w:pPr>
              <w:widowControl/>
              <w:numPr>
                <w:ilvl w:val="0"/>
                <w:numId w:val="2"/>
              </w:numPr>
              <w:shd w:val="clear" w:color="auto" w:fill="FFFFFF"/>
              <w:jc w:val="left"/>
              <w:rPr>
                <w:rFonts w:ascii="宋体" w:hAnsi="宋体"/>
                <w:color w:val="auto"/>
                <w:highlight w:val="none"/>
              </w:rPr>
            </w:pPr>
            <w:r>
              <w:rPr>
                <w:rFonts w:ascii="宋体" w:hAnsi="宋体"/>
                <w:color w:val="auto"/>
                <w:highlight w:val="none"/>
              </w:rPr>
              <w:t>履约能力--投标人相关证书</w:t>
            </w:r>
            <w:r>
              <w:rPr>
                <w:rFonts w:hint="eastAsia" w:ascii="宋体" w:hAnsi="宋体"/>
                <w:color w:val="auto"/>
                <w:highlight w:val="none"/>
              </w:rPr>
              <w:t>；</w:t>
            </w:r>
          </w:p>
          <w:p>
            <w:pPr>
              <w:widowControl/>
              <w:numPr>
                <w:ilvl w:val="0"/>
                <w:numId w:val="2"/>
              </w:numPr>
              <w:shd w:val="clear" w:color="auto" w:fill="FFFFFF"/>
              <w:jc w:val="left"/>
              <w:rPr>
                <w:rFonts w:ascii="宋体" w:hAnsi="宋体"/>
                <w:color w:val="auto"/>
                <w:highlight w:val="none"/>
              </w:rPr>
            </w:pPr>
            <w:r>
              <w:rPr>
                <w:rFonts w:ascii="宋体" w:hAnsi="宋体"/>
                <w:color w:val="auto"/>
                <w:highlight w:val="none"/>
              </w:rPr>
              <w:t>项目需求理解</w:t>
            </w:r>
            <w:r>
              <w:rPr>
                <w:rFonts w:hint="eastAsia" w:ascii="宋体" w:hAnsi="宋体"/>
                <w:color w:val="auto"/>
                <w:highlight w:val="none"/>
              </w:rPr>
              <w:t>；</w:t>
            </w:r>
          </w:p>
          <w:p>
            <w:pPr>
              <w:widowControl/>
              <w:numPr>
                <w:ilvl w:val="0"/>
                <w:numId w:val="2"/>
              </w:numPr>
              <w:shd w:val="clear" w:color="auto" w:fill="FFFFFF"/>
              <w:jc w:val="left"/>
              <w:rPr>
                <w:rFonts w:ascii="宋体" w:hAnsi="宋体"/>
                <w:color w:val="auto"/>
                <w:highlight w:val="none"/>
                <w:lang w:val="zh-CN"/>
              </w:rPr>
            </w:pPr>
            <w:r>
              <w:rPr>
                <w:rFonts w:ascii="宋体" w:hAnsi="宋体"/>
                <w:color w:val="auto"/>
                <w:highlight w:val="none"/>
              </w:rPr>
              <w:t>技术指标</w:t>
            </w:r>
            <w:r>
              <w:rPr>
                <w:rFonts w:hint="eastAsia" w:ascii="宋体" w:hAnsi="宋体"/>
                <w:color w:val="auto"/>
                <w:highlight w:val="none"/>
              </w:rPr>
              <w:t>；</w:t>
            </w:r>
          </w:p>
          <w:p>
            <w:pPr>
              <w:widowControl/>
              <w:numPr>
                <w:ilvl w:val="0"/>
                <w:numId w:val="2"/>
              </w:numPr>
              <w:shd w:val="clear" w:color="auto" w:fill="FFFFFF"/>
              <w:jc w:val="left"/>
              <w:rPr>
                <w:rFonts w:ascii="宋体" w:hAnsi="宋体"/>
                <w:color w:val="auto"/>
                <w:highlight w:val="none"/>
              </w:rPr>
            </w:pPr>
            <w:r>
              <w:rPr>
                <w:rFonts w:ascii="宋体" w:hAnsi="宋体"/>
                <w:color w:val="auto"/>
                <w:highlight w:val="none"/>
              </w:rPr>
              <w:t>项目实施方案</w:t>
            </w:r>
            <w:r>
              <w:rPr>
                <w:rFonts w:hint="eastAsia" w:ascii="宋体" w:hAnsi="宋体"/>
                <w:color w:val="auto"/>
                <w:highlight w:val="none"/>
              </w:rPr>
              <w:t>；</w:t>
            </w:r>
          </w:p>
          <w:p>
            <w:pPr>
              <w:widowControl/>
              <w:numPr>
                <w:ilvl w:val="0"/>
                <w:numId w:val="2"/>
              </w:numPr>
              <w:shd w:val="clear" w:color="auto" w:fill="FFFFFF"/>
              <w:jc w:val="left"/>
              <w:rPr>
                <w:rFonts w:ascii="宋体" w:hAnsi="宋体"/>
                <w:color w:val="auto"/>
                <w:highlight w:val="none"/>
                <w:lang w:val="zh-CN"/>
              </w:rPr>
            </w:pPr>
            <w:r>
              <w:rPr>
                <w:rFonts w:ascii="宋体" w:hAnsi="宋体"/>
                <w:color w:val="auto"/>
                <w:highlight w:val="none"/>
              </w:rPr>
              <w:t>双活设计方案</w:t>
            </w:r>
            <w:r>
              <w:rPr>
                <w:rFonts w:hint="eastAsia" w:ascii="宋体" w:hAnsi="宋体"/>
                <w:color w:val="auto"/>
                <w:highlight w:val="none"/>
              </w:rPr>
              <w:t>；</w:t>
            </w:r>
          </w:p>
          <w:p>
            <w:pPr>
              <w:widowControl/>
              <w:numPr>
                <w:ilvl w:val="0"/>
                <w:numId w:val="2"/>
              </w:numPr>
              <w:shd w:val="clear" w:color="auto" w:fill="FFFFFF"/>
              <w:jc w:val="left"/>
              <w:rPr>
                <w:rFonts w:ascii="宋体" w:hAnsi="宋体"/>
                <w:color w:val="auto"/>
                <w:highlight w:val="none"/>
                <w:lang w:val="zh-CN"/>
              </w:rPr>
            </w:pPr>
            <w:r>
              <w:rPr>
                <w:rFonts w:ascii="宋体" w:hAnsi="宋体"/>
                <w:color w:val="auto"/>
                <w:highlight w:val="none"/>
              </w:rPr>
              <w:t>数据迁移方案</w:t>
            </w:r>
            <w:r>
              <w:rPr>
                <w:rFonts w:hint="eastAsia" w:ascii="宋体" w:hAnsi="宋体"/>
                <w:color w:val="auto"/>
                <w:highlight w:val="none"/>
              </w:rPr>
              <w:t>；</w:t>
            </w:r>
          </w:p>
          <w:p>
            <w:pPr>
              <w:widowControl/>
              <w:numPr>
                <w:ilvl w:val="0"/>
                <w:numId w:val="2"/>
              </w:numPr>
              <w:shd w:val="clear" w:color="auto" w:fill="FFFFFF"/>
              <w:jc w:val="left"/>
              <w:rPr>
                <w:rFonts w:ascii="宋体" w:hAnsi="宋体"/>
                <w:color w:val="auto"/>
                <w:highlight w:val="none"/>
                <w:lang w:val="zh-CN"/>
              </w:rPr>
            </w:pPr>
            <w:r>
              <w:rPr>
                <w:rFonts w:ascii="宋体" w:hAnsi="宋体"/>
                <w:color w:val="auto"/>
                <w:highlight w:val="none"/>
              </w:rPr>
              <w:t>安全保密措施</w:t>
            </w:r>
            <w:r>
              <w:rPr>
                <w:rFonts w:hint="eastAsia" w:ascii="宋体" w:hAnsi="宋体"/>
                <w:color w:val="auto"/>
                <w:highlight w:val="none"/>
              </w:rPr>
              <w:t>；</w:t>
            </w:r>
          </w:p>
          <w:p>
            <w:pPr>
              <w:widowControl/>
              <w:numPr>
                <w:ilvl w:val="0"/>
                <w:numId w:val="2"/>
              </w:numPr>
              <w:shd w:val="clear" w:color="auto" w:fill="FFFFFF"/>
              <w:jc w:val="left"/>
              <w:rPr>
                <w:rFonts w:ascii="宋体" w:hAnsi="宋体"/>
                <w:color w:val="auto"/>
                <w:highlight w:val="none"/>
              </w:rPr>
            </w:pPr>
            <w:r>
              <w:rPr>
                <w:rFonts w:ascii="宋体" w:hAnsi="宋体"/>
                <w:color w:val="auto"/>
                <w:highlight w:val="none"/>
              </w:rPr>
              <w:t>验收方案</w:t>
            </w:r>
            <w:r>
              <w:rPr>
                <w:rFonts w:hint="eastAsia" w:ascii="宋体" w:hAnsi="宋体"/>
                <w:color w:val="auto"/>
                <w:highlight w:val="none"/>
              </w:rPr>
              <w:t>；</w:t>
            </w:r>
          </w:p>
          <w:p>
            <w:pPr>
              <w:widowControl/>
              <w:numPr>
                <w:ilvl w:val="0"/>
                <w:numId w:val="2"/>
              </w:numPr>
              <w:shd w:val="clear" w:color="auto" w:fill="FFFFFF"/>
              <w:jc w:val="left"/>
              <w:rPr>
                <w:rFonts w:ascii="宋体" w:hAnsi="宋体"/>
                <w:color w:val="auto"/>
                <w:highlight w:val="none"/>
              </w:rPr>
            </w:pPr>
            <w:r>
              <w:rPr>
                <w:rFonts w:ascii="宋体" w:hAnsi="宋体"/>
                <w:color w:val="auto"/>
                <w:highlight w:val="none"/>
              </w:rPr>
              <w:t>售后和巡检方案</w:t>
            </w:r>
            <w:r>
              <w:rPr>
                <w:rFonts w:hint="eastAsia" w:ascii="宋体" w:hAnsi="宋体"/>
                <w:color w:val="auto"/>
                <w:highlight w:val="none"/>
              </w:rPr>
              <w:t>；</w:t>
            </w:r>
          </w:p>
          <w:p>
            <w:pPr>
              <w:widowControl/>
              <w:numPr>
                <w:ilvl w:val="0"/>
                <w:numId w:val="2"/>
              </w:numPr>
              <w:shd w:val="clear" w:color="auto" w:fill="FFFFFF"/>
              <w:jc w:val="left"/>
              <w:rPr>
                <w:rFonts w:ascii="宋体" w:hAnsi="宋体"/>
                <w:color w:val="auto"/>
                <w:highlight w:val="none"/>
              </w:rPr>
            </w:pPr>
            <w:r>
              <w:rPr>
                <w:rFonts w:ascii="宋体" w:hAnsi="宋体"/>
                <w:color w:val="auto"/>
                <w:highlight w:val="none"/>
                <w:lang w:val="zh-CN"/>
              </w:rPr>
              <w:t>投标人认为需要提供的其它说明和资料</w:t>
            </w:r>
            <w:r>
              <w:rPr>
                <w:rFonts w:hint="eastAsia" w:ascii="宋体" w:hAnsi="宋体"/>
                <w:color w:val="auto"/>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59" w:type="dxa"/>
            <w:vMerge w:val="continue"/>
            <w:vAlign w:val="center"/>
          </w:tcPr>
          <w:p>
            <w:pPr>
              <w:pStyle w:val="19"/>
              <w:jc w:val="center"/>
              <w:rPr>
                <w:rFonts w:hint="default" w:hAnsi="宋体"/>
                <w:color w:val="auto"/>
                <w:kern w:val="2"/>
                <w:highlight w:val="none"/>
              </w:rPr>
            </w:pPr>
          </w:p>
        </w:tc>
        <w:tc>
          <w:tcPr>
            <w:tcW w:w="1781" w:type="dxa"/>
            <w:vMerge w:val="continue"/>
            <w:vAlign w:val="center"/>
          </w:tcPr>
          <w:p>
            <w:pPr>
              <w:topLinePunct/>
              <w:autoSpaceDE w:val="0"/>
              <w:autoSpaceDN w:val="0"/>
              <w:jc w:val="center"/>
              <w:rPr>
                <w:rFonts w:ascii="宋体" w:hAnsi="宋体"/>
                <w:color w:val="auto"/>
                <w:szCs w:val="21"/>
                <w:highlight w:val="none"/>
              </w:rPr>
            </w:pPr>
          </w:p>
        </w:tc>
        <w:tc>
          <w:tcPr>
            <w:tcW w:w="6437" w:type="dxa"/>
            <w:gridSpan w:val="2"/>
            <w:vAlign w:val="center"/>
          </w:tcPr>
          <w:p>
            <w:pPr>
              <w:topLinePunct/>
              <w:autoSpaceDE w:val="0"/>
              <w:autoSpaceDN w:val="0"/>
              <w:rPr>
                <w:rFonts w:ascii="宋体" w:hAnsi="宋体"/>
                <w:b/>
                <w:color w:val="auto"/>
                <w:szCs w:val="21"/>
                <w:highlight w:val="none"/>
              </w:rPr>
            </w:pPr>
            <w:r>
              <w:rPr>
                <w:rFonts w:ascii="宋体" w:hAnsi="宋体"/>
                <w:b/>
                <w:color w:val="auto"/>
                <w:szCs w:val="21"/>
                <w:highlight w:val="none"/>
              </w:rPr>
              <w:t>以上★条款为不允许偏离的实质性要求和条件，若相关的文件及资料未提供或提供的无效，则投标无效。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59" w:type="dxa"/>
            <w:vAlign w:val="center"/>
          </w:tcPr>
          <w:p>
            <w:pPr>
              <w:pStyle w:val="19"/>
              <w:jc w:val="center"/>
              <w:rPr>
                <w:rFonts w:hint="default" w:hAnsi="宋体"/>
                <w:color w:val="auto"/>
                <w:kern w:val="2"/>
                <w:highlight w:val="none"/>
              </w:rPr>
            </w:pPr>
            <w:r>
              <w:rPr>
                <w:rFonts w:hAnsi="宋体"/>
                <w:color w:val="auto"/>
                <w:kern w:val="2"/>
                <w:highlight w:val="none"/>
              </w:rPr>
              <w:t>11</w:t>
            </w:r>
          </w:p>
        </w:tc>
        <w:tc>
          <w:tcPr>
            <w:tcW w:w="1781" w:type="dxa"/>
            <w:vAlign w:val="center"/>
          </w:tcPr>
          <w:p>
            <w:pPr>
              <w:pStyle w:val="19"/>
              <w:jc w:val="center"/>
              <w:rPr>
                <w:rFonts w:hint="default" w:hAnsi="宋体"/>
                <w:b/>
                <w:color w:val="auto"/>
                <w:kern w:val="2"/>
                <w:highlight w:val="none"/>
              </w:rPr>
            </w:pPr>
            <w:r>
              <w:rPr>
                <w:rFonts w:hint="default" w:hAnsi="宋体"/>
                <w:color w:val="auto"/>
                <w:kern w:val="2"/>
                <w:highlight w:val="none"/>
              </w:rPr>
              <w:t>投标文件份数</w:t>
            </w:r>
          </w:p>
        </w:tc>
        <w:tc>
          <w:tcPr>
            <w:tcW w:w="6437" w:type="dxa"/>
            <w:gridSpan w:val="2"/>
            <w:vAlign w:val="center"/>
          </w:tcPr>
          <w:p>
            <w:pPr>
              <w:pStyle w:val="19"/>
              <w:jc w:val="left"/>
              <w:rPr>
                <w:rFonts w:hint="default" w:hAnsi="宋体"/>
                <w:color w:val="auto"/>
                <w:kern w:val="2"/>
                <w:highlight w:val="none"/>
              </w:rPr>
            </w:pPr>
            <w:r>
              <w:rPr>
                <w:rFonts w:hint="default" w:hAnsi="宋体"/>
                <w:color w:val="auto"/>
                <w:kern w:val="2"/>
                <w:highlight w:val="none"/>
              </w:rPr>
              <w:t>正本</w:t>
            </w:r>
            <w:r>
              <w:rPr>
                <w:rFonts w:hint="default" w:hAnsi="宋体"/>
                <w:color w:val="auto"/>
                <w:kern w:val="2"/>
                <w:highlight w:val="none"/>
                <w:u w:val="single"/>
              </w:rPr>
              <w:t>1</w:t>
            </w:r>
            <w:r>
              <w:rPr>
                <w:rFonts w:hint="default" w:hAnsi="宋体"/>
                <w:color w:val="auto"/>
                <w:kern w:val="2"/>
                <w:highlight w:val="none"/>
              </w:rPr>
              <w:t>份，副本</w:t>
            </w:r>
            <w:r>
              <w:rPr>
                <w:rFonts w:hAnsi="宋体"/>
                <w:color w:val="auto"/>
                <w:kern w:val="2"/>
                <w:highlight w:val="none"/>
                <w:u w:val="single"/>
              </w:rPr>
              <w:t>4</w:t>
            </w:r>
            <w:r>
              <w:rPr>
                <w:rFonts w:hint="default" w:hAnsi="宋体"/>
                <w:color w:val="auto"/>
                <w:kern w:val="2"/>
                <w:highlight w:val="none"/>
              </w:rPr>
              <w:t>份，推荐装订形式：胶装。</w:t>
            </w:r>
          </w:p>
          <w:p>
            <w:pPr>
              <w:pStyle w:val="19"/>
              <w:jc w:val="left"/>
              <w:rPr>
                <w:rFonts w:hint="default" w:hAnsi="宋体"/>
                <w:color w:val="auto"/>
                <w:kern w:val="2"/>
                <w:highlight w:val="none"/>
              </w:rPr>
            </w:pPr>
            <w:r>
              <w:rPr>
                <w:rFonts w:hint="default" w:hAnsi="宋体"/>
                <w:color w:val="auto"/>
                <w:kern w:val="2"/>
                <w:highlight w:val="none"/>
              </w:rPr>
              <w:t>电子文</w:t>
            </w:r>
            <w:r>
              <w:rPr>
                <w:rFonts w:hAnsi="宋体"/>
                <w:color w:val="auto"/>
                <w:kern w:val="2"/>
                <w:highlight w:val="none"/>
              </w:rPr>
              <w:t>档</w:t>
            </w:r>
            <w:r>
              <w:rPr>
                <w:rFonts w:hint="default" w:hAnsi="宋体"/>
                <w:color w:val="auto"/>
                <w:kern w:val="2"/>
                <w:highlight w:val="none"/>
                <w:u w:val="single"/>
              </w:rPr>
              <w:t>1</w:t>
            </w:r>
            <w:r>
              <w:rPr>
                <w:rFonts w:hint="default" w:hAnsi="宋体"/>
                <w:color w:val="auto"/>
                <w:kern w:val="2"/>
                <w:highlight w:val="none"/>
              </w:rPr>
              <w:t>份【提交Word文件和扫描件（PDF格式）两种形式】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59" w:type="dxa"/>
            <w:vAlign w:val="center"/>
          </w:tcPr>
          <w:p>
            <w:pPr>
              <w:pStyle w:val="19"/>
              <w:jc w:val="center"/>
              <w:rPr>
                <w:rFonts w:hint="default" w:hAnsi="宋体"/>
                <w:color w:val="auto"/>
                <w:kern w:val="2"/>
                <w:highlight w:val="none"/>
              </w:rPr>
            </w:pPr>
            <w:r>
              <w:rPr>
                <w:rFonts w:hAnsi="宋体"/>
                <w:color w:val="auto"/>
                <w:kern w:val="2"/>
                <w:highlight w:val="none"/>
              </w:rPr>
              <w:t>12</w:t>
            </w:r>
          </w:p>
        </w:tc>
        <w:tc>
          <w:tcPr>
            <w:tcW w:w="1781" w:type="dxa"/>
            <w:vAlign w:val="center"/>
          </w:tcPr>
          <w:p>
            <w:pPr>
              <w:topLinePunct/>
              <w:autoSpaceDE w:val="0"/>
              <w:autoSpaceDN w:val="0"/>
              <w:jc w:val="center"/>
              <w:rPr>
                <w:rFonts w:ascii="宋体" w:hAnsi="宋体"/>
                <w:color w:val="auto"/>
                <w:szCs w:val="21"/>
                <w:highlight w:val="none"/>
              </w:rPr>
            </w:pPr>
            <w:r>
              <w:rPr>
                <w:rFonts w:ascii="宋体" w:hAnsi="宋体"/>
                <w:color w:val="auto"/>
                <w:szCs w:val="21"/>
                <w:highlight w:val="none"/>
              </w:rPr>
              <w:t>投标有效期</w:t>
            </w:r>
          </w:p>
        </w:tc>
        <w:tc>
          <w:tcPr>
            <w:tcW w:w="6437" w:type="dxa"/>
            <w:gridSpan w:val="2"/>
            <w:vAlign w:val="center"/>
          </w:tcPr>
          <w:p>
            <w:pPr>
              <w:topLinePunct/>
              <w:autoSpaceDE w:val="0"/>
              <w:autoSpaceDN w:val="0"/>
              <w:rPr>
                <w:rFonts w:ascii="宋体" w:hAnsi="宋体"/>
                <w:color w:val="auto"/>
                <w:szCs w:val="21"/>
                <w:highlight w:val="none"/>
              </w:rPr>
            </w:pPr>
            <w:r>
              <w:rPr>
                <w:rFonts w:ascii="宋体" w:hAnsi="宋体"/>
                <w:color w:val="auto"/>
                <w:szCs w:val="21"/>
                <w:highlight w:val="none"/>
              </w:rPr>
              <w:t>120天（从提交投标文件的截止之日起计算）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59" w:type="dxa"/>
            <w:vAlign w:val="center"/>
          </w:tcPr>
          <w:p>
            <w:pPr>
              <w:pStyle w:val="19"/>
              <w:jc w:val="center"/>
              <w:rPr>
                <w:rFonts w:hint="default" w:hAnsi="宋体"/>
                <w:color w:val="auto"/>
                <w:kern w:val="2"/>
                <w:highlight w:val="none"/>
              </w:rPr>
            </w:pPr>
            <w:r>
              <w:rPr>
                <w:rFonts w:hint="default" w:hAnsi="宋体"/>
                <w:color w:val="auto"/>
                <w:kern w:val="2"/>
                <w:highlight w:val="none"/>
              </w:rPr>
              <w:t>1</w:t>
            </w:r>
            <w:r>
              <w:rPr>
                <w:rFonts w:hAnsi="宋体"/>
                <w:color w:val="auto"/>
                <w:kern w:val="2"/>
                <w:highlight w:val="none"/>
              </w:rPr>
              <w:t>3</w:t>
            </w:r>
          </w:p>
        </w:tc>
        <w:tc>
          <w:tcPr>
            <w:tcW w:w="1781" w:type="dxa"/>
            <w:vAlign w:val="center"/>
          </w:tcPr>
          <w:p>
            <w:pPr>
              <w:topLinePunct/>
              <w:autoSpaceDE w:val="0"/>
              <w:autoSpaceDN w:val="0"/>
              <w:jc w:val="center"/>
              <w:rPr>
                <w:rFonts w:ascii="宋体" w:hAnsi="宋体"/>
                <w:color w:val="auto"/>
                <w:szCs w:val="21"/>
                <w:highlight w:val="none"/>
              </w:rPr>
            </w:pPr>
            <w:r>
              <w:rPr>
                <w:rFonts w:ascii="宋体" w:hAnsi="宋体"/>
                <w:color w:val="auto"/>
                <w:szCs w:val="21"/>
                <w:highlight w:val="none"/>
              </w:rPr>
              <w:t>提交投标文件截止时间、开标时间和地点</w:t>
            </w:r>
          </w:p>
        </w:tc>
        <w:tc>
          <w:tcPr>
            <w:tcW w:w="6437" w:type="dxa"/>
            <w:gridSpan w:val="2"/>
            <w:vAlign w:val="center"/>
          </w:tcPr>
          <w:p>
            <w:pPr>
              <w:topLinePunct/>
              <w:autoSpaceDE w:val="0"/>
              <w:autoSpaceDN w:val="0"/>
              <w:rPr>
                <w:rFonts w:ascii="宋体" w:hAnsi="宋体"/>
                <w:color w:val="auto"/>
                <w:szCs w:val="21"/>
                <w:highlight w:val="none"/>
              </w:rPr>
            </w:pPr>
            <w:r>
              <w:rPr>
                <w:rFonts w:ascii="宋体" w:hAnsi="宋体"/>
                <w:b/>
                <w:bCs/>
                <w:color w:val="auto"/>
                <w:szCs w:val="21"/>
                <w:highlight w:val="none"/>
              </w:rPr>
              <w:t>投标截止时间和开标时间：</w:t>
            </w:r>
            <w:r>
              <w:rPr>
                <w:rFonts w:ascii="宋体" w:hAnsi="宋体"/>
                <w:color w:val="auto"/>
                <w:szCs w:val="21"/>
                <w:highlight w:val="none"/>
              </w:rPr>
              <w:t>202</w:t>
            </w:r>
            <w:r>
              <w:rPr>
                <w:rFonts w:hint="eastAsia" w:ascii="宋体" w:hAnsi="宋体"/>
                <w:color w:val="auto"/>
                <w:szCs w:val="21"/>
                <w:highlight w:val="none"/>
              </w:rPr>
              <w:t>3</w:t>
            </w:r>
            <w:r>
              <w:rPr>
                <w:rFonts w:ascii="宋体" w:hAnsi="宋体"/>
                <w:color w:val="auto"/>
                <w:szCs w:val="21"/>
                <w:highlight w:val="none"/>
              </w:rPr>
              <w:t>年</w:t>
            </w:r>
            <w:r>
              <w:rPr>
                <w:rFonts w:hint="eastAsia" w:ascii="宋体" w:hAnsi="宋体"/>
                <w:color w:val="auto"/>
                <w:szCs w:val="21"/>
                <w:highlight w:val="none"/>
              </w:rPr>
              <w:t>2</w:t>
            </w:r>
            <w:r>
              <w:rPr>
                <w:rFonts w:ascii="宋体" w:hAnsi="宋体"/>
                <w:color w:val="auto"/>
                <w:szCs w:val="21"/>
                <w:highlight w:val="none"/>
              </w:rPr>
              <w:t>月</w:t>
            </w:r>
            <w:r>
              <w:rPr>
                <w:rFonts w:hint="eastAsia" w:ascii="宋体" w:hAnsi="宋体"/>
                <w:color w:val="auto"/>
                <w:szCs w:val="21"/>
                <w:highlight w:val="none"/>
              </w:rPr>
              <w:t>6</w:t>
            </w:r>
            <w:r>
              <w:rPr>
                <w:rFonts w:ascii="宋体" w:hAnsi="宋体"/>
                <w:color w:val="auto"/>
                <w:szCs w:val="21"/>
                <w:highlight w:val="none"/>
              </w:rPr>
              <w:t>日</w:t>
            </w:r>
            <w:r>
              <w:rPr>
                <w:rFonts w:hint="eastAsia" w:ascii="宋体" w:hAnsi="宋体"/>
                <w:color w:val="auto"/>
                <w:szCs w:val="21"/>
                <w:highlight w:val="none"/>
              </w:rPr>
              <w:t>13时30</w:t>
            </w:r>
            <w:r>
              <w:rPr>
                <w:rFonts w:ascii="宋体" w:hAnsi="宋体"/>
                <w:color w:val="auto"/>
                <w:szCs w:val="21"/>
                <w:highlight w:val="none"/>
              </w:rPr>
              <w:t>分（北京时间）</w:t>
            </w:r>
          </w:p>
          <w:p>
            <w:pPr>
              <w:topLinePunct/>
              <w:autoSpaceDE w:val="0"/>
              <w:autoSpaceDN w:val="0"/>
              <w:rPr>
                <w:rFonts w:ascii="宋体" w:hAnsi="宋体"/>
                <w:color w:val="auto"/>
                <w:szCs w:val="21"/>
                <w:highlight w:val="none"/>
              </w:rPr>
            </w:pPr>
            <w:r>
              <w:rPr>
                <w:rFonts w:ascii="宋体" w:hAnsi="宋体"/>
                <w:b/>
                <w:bCs/>
                <w:color w:val="auto"/>
                <w:szCs w:val="21"/>
                <w:highlight w:val="none"/>
              </w:rPr>
              <w:t>提交投标文件及开标地点</w:t>
            </w:r>
            <w:r>
              <w:rPr>
                <w:rFonts w:hint="eastAsia" w:ascii="宋体" w:hAnsi="宋体"/>
                <w:b/>
                <w:bCs/>
                <w:color w:val="auto"/>
                <w:szCs w:val="21"/>
                <w:highlight w:val="none"/>
              </w:rPr>
              <w:t>（临时租用场地）</w:t>
            </w:r>
            <w:r>
              <w:rPr>
                <w:rFonts w:ascii="宋体" w:hAnsi="宋体"/>
                <w:b/>
                <w:bCs/>
                <w:color w:val="auto"/>
                <w:szCs w:val="21"/>
                <w:highlight w:val="none"/>
              </w:rPr>
              <w:t>：</w:t>
            </w:r>
            <w:r>
              <w:rPr>
                <w:rFonts w:ascii="宋体" w:hAnsi="宋体"/>
                <w:color w:val="auto"/>
                <w:szCs w:val="21"/>
                <w:highlight w:val="none"/>
              </w:rPr>
              <w:t>沈阳市和平区南京北街65号民生银行大厦10层</w:t>
            </w:r>
            <w:r>
              <w:rPr>
                <w:rFonts w:hint="eastAsia" w:ascii="宋体" w:hAnsi="宋体"/>
                <w:color w:val="auto"/>
                <w:szCs w:val="21"/>
                <w:highlight w:val="none"/>
              </w:rPr>
              <w:t>会议室</w:t>
            </w:r>
          </w:p>
          <w:p>
            <w:pPr>
              <w:topLinePunct/>
              <w:autoSpaceDE w:val="0"/>
              <w:autoSpaceDN w:val="0"/>
              <w:rPr>
                <w:rFonts w:ascii="宋体" w:hAnsi="宋体"/>
                <w:color w:val="auto"/>
                <w:szCs w:val="21"/>
                <w:highlight w:val="none"/>
              </w:rPr>
            </w:pPr>
            <w:r>
              <w:rPr>
                <w:rFonts w:ascii="宋体" w:hAnsi="宋体"/>
                <w:b/>
                <w:bCs/>
                <w:color w:val="auto"/>
                <w:szCs w:val="21"/>
                <w:highlight w:val="none"/>
              </w:rPr>
              <w:t>联系电话：</w:t>
            </w:r>
            <w:r>
              <w:rPr>
                <w:rFonts w:ascii="宋体" w:hAnsi="宋体"/>
                <w:color w:val="auto"/>
                <w:szCs w:val="21"/>
                <w:highlight w:val="none"/>
              </w:rPr>
              <w:t>024-31905999</w:t>
            </w:r>
            <w:r>
              <w:rPr>
                <w:rFonts w:hint="eastAsia" w:ascii="宋体" w:hAnsi="宋体"/>
                <w:color w:val="auto"/>
                <w:szCs w:val="21"/>
                <w:highlight w:val="none"/>
              </w:rPr>
              <w:t>转</w:t>
            </w:r>
            <w:r>
              <w:rPr>
                <w:rFonts w:ascii="宋体" w:hAnsi="宋体"/>
                <w:color w:val="auto"/>
                <w:szCs w:val="21"/>
                <w:highlight w:val="none"/>
              </w:rPr>
              <w:t>8525</w:t>
            </w:r>
            <w:r>
              <w:rPr>
                <w:rFonts w:hint="eastAsia" w:ascii="宋体" w:hAnsi="宋体"/>
                <w:color w:val="auto"/>
                <w:szCs w:val="21"/>
                <w:highlight w:val="none"/>
              </w:rPr>
              <w:t>、8510；024-62151152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759" w:type="dxa"/>
            <w:vAlign w:val="center"/>
          </w:tcPr>
          <w:p>
            <w:pPr>
              <w:pStyle w:val="19"/>
              <w:jc w:val="center"/>
              <w:rPr>
                <w:rFonts w:hint="default" w:hAnsi="宋体"/>
                <w:color w:val="auto"/>
                <w:kern w:val="2"/>
                <w:highlight w:val="none"/>
              </w:rPr>
            </w:pPr>
            <w:r>
              <w:rPr>
                <w:rFonts w:hint="default" w:hAnsi="宋体"/>
                <w:color w:val="auto"/>
                <w:kern w:val="2"/>
                <w:highlight w:val="none"/>
              </w:rPr>
              <w:t>1</w:t>
            </w:r>
            <w:r>
              <w:rPr>
                <w:rFonts w:hAnsi="宋体"/>
                <w:color w:val="auto"/>
                <w:kern w:val="2"/>
                <w:highlight w:val="none"/>
              </w:rPr>
              <w:t>4</w:t>
            </w:r>
          </w:p>
        </w:tc>
        <w:tc>
          <w:tcPr>
            <w:tcW w:w="1781" w:type="dxa"/>
            <w:vAlign w:val="center"/>
          </w:tcPr>
          <w:p>
            <w:pPr>
              <w:pStyle w:val="209"/>
              <w:spacing w:before="120" w:after="120"/>
              <w:ind w:left="-2" w:leftChars="-1" w:firstLine="0"/>
              <w:jc w:val="center"/>
              <w:rPr>
                <w:b/>
                <w:color w:val="auto"/>
                <w:szCs w:val="21"/>
                <w:highlight w:val="none"/>
              </w:rPr>
            </w:pPr>
            <w:r>
              <w:rPr>
                <w:color w:val="auto"/>
                <w:szCs w:val="21"/>
                <w:highlight w:val="none"/>
              </w:rPr>
              <w:t>投标保证金</w:t>
            </w:r>
          </w:p>
        </w:tc>
        <w:tc>
          <w:tcPr>
            <w:tcW w:w="6437" w:type="dxa"/>
            <w:gridSpan w:val="2"/>
            <w:vAlign w:val="center"/>
          </w:tcPr>
          <w:p>
            <w:pPr>
              <w:topLinePunct/>
              <w:autoSpaceDE w:val="0"/>
              <w:autoSpaceDN w:val="0"/>
              <w:rPr>
                <w:rFonts w:ascii="宋体" w:hAnsi="宋体"/>
                <w:color w:val="auto"/>
                <w:szCs w:val="21"/>
                <w:highlight w:val="none"/>
              </w:rPr>
            </w:pPr>
            <w:r>
              <w:rPr>
                <w:rFonts w:hint="eastAsia" w:ascii="MS Mincho" w:hAnsi="MS Mincho" w:eastAsia="MS Mincho" w:cs="MS Mincho"/>
                <w:color w:val="auto"/>
                <w:highlight w:val="none"/>
              </w:rPr>
              <w:t>☑</w:t>
            </w:r>
            <w:r>
              <w:rPr>
                <w:rFonts w:ascii="宋体" w:hAnsi="宋体"/>
                <w:color w:val="auto"/>
                <w:szCs w:val="21"/>
                <w:highlight w:val="none"/>
              </w:rPr>
              <w:t>不要求提供</w:t>
            </w:r>
          </w:p>
          <w:p>
            <w:pPr>
              <w:pStyle w:val="19"/>
              <w:jc w:val="left"/>
              <w:rPr>
                <w:rFonts w:hint="default" w:hAnsi="宋体"/>
                <w:b/>
                <w:color w:val="auto"/>
                <w:kern w:val="2"/>
                <w:highlight w:val="none"/>
              </w:rPr>
            </w:pPr>
            <w:r>
              <w:rPr>
                <w:rFonts w:hint="default" w:hAnsi="宋体"/>
                <w:color w:val="auto"/>
                <w:kern w:val="2"/>
                <w:highlight w:val="none"/>
              </w:rPr>
              <w:t>□要求提供，数额不得超过采购项目预算金额的%，本项目的投标保证金为人民币，提交方式为银行电汇、金融机构或担保机构出具的保函。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59" w:type="dxa"/>
            <w:vAlign w:val="center"/>
          </w:tcPr>
          <w:p>
            <w:pPr>
              <w:pStyle w:val="19"/>
              <w:jc w:val="center"/>
              <w:rPr>
                <w:rFonts w:hint="default" w:hAnsi="宋体"/>
                <w:color w:val="auto"/>
                <w:kern w:val="2"/>
                <w:highlight w:val="none"/>
              </w:rPr>
            </w:pPr>
            <w:r>
              <w:rPr>
                <w:rFonts w:hint="default" w:hAnsi="宋体"/>
                <w:color w:val="auto"/>
                <w:kern w:val="2"/>
                <w:highlight w:val="none"/>
              </w:rPr>
              <w:t>1</w:t>
            </w:r>
            <w:r>
              <w:rPr>
                <w:rFonts w:hAnsi="宋体"/>
                <w:color w:val="auto"/>
                <w:kern w:val="2"/>
                <w:highlight w:val="none"/>
              </w:rPr>
              <w:t>5</w:t>
            </w:r>
          </w:p>
        </w:tc>
        <w:tc>
          <w:tcPr>
            <w:tcW w:w="1781" w:type="dxa"/>
            <w:vAlign w:val="center"/>
          </w:tcPr>
          <w:p>
            <w:pPr>
              <w:pStyle w:val="19"/>
              <w:jc w:val="center"/>
              <w:rPr>
                <w:rFonts w:hint="default" w:hAnsi="宋体"/>
                <w:b/>
                <w:color w:val="auto"/>
                <w:kern w:val="2"/>
                <w:highlight w:val="none"/>
              </w:rPr>
            </w:pPr>
            <w:r>
              <w:rPr>
                <w:rFonts w:hint="default" w:hAnsi="宋体"/>
                <w:color w:val="auto"/>
                <w:kern w:val="2"/>
                <w:highlight w:val="none"/>
              </w:rPr>
              <w:t>信用记录审查</w:t>
            </w:r>
          </w:p>
        </w:tc>
        <w:tc>
          <w:tcPr>
            <w:tcW w:w="6437" w:type="dxa"/>
            <w:gridSpan w:val="2"/>
            <w:vAlign w:val="center"/>
          </w:tcPr>
          <w:p>
            <w:pPr>
              <w:topLinePunct/>
              <w:autoSpaceDE w:val="0"/>
              <w:autoSpaceDN w:val="0"/>
              <w:rPr>
                <w:rFonts w:ascii="宋体" w:hAnsi="宋体"/>
                <w:color w:val="auto"/>
                <w:szCs w:val="21"/>
                <w:highlight w:val="none"/>
              </w:rPr>
            </w:pPr>
            <w:r>
              <w:rPr>
                <w:rFonts w:ascii="宋体" w:hAnsi="宋体"/>
                <w:color w:val="auto"/>
                <w:szCs w:val="21"/>
                <w:highlight w:val="none"/>
              </w:rPr>
              <w:t>根据《财政部关于在政府采购活动中查询及使用信用记录有关问题的通知》（财库〔2016〕125号）规定，开标结束后，采购人将通过“信用中国”网站（www.creditchina.gov.cn）、中国政府采购网（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ascii="宋体" w:hAnsi="宋体"/>
                <w:color w:val="auto"/>
                <w:szCs w:val="21"/>
                <w:highlight w:val="none"/>
              </w:rPr>
              <w:t>www.ccgp.gov.cn</w:t>
            </w:r>
            <w:r>
              <w:rPr>
                <w:rFonts w:ascii="宋体" w:hAnsi="宋体"/>
                <w:color w:val="auto"/>
                <w:szCs w:val="21"/>
                <w:highlight w:val="none"/>
              </w:rPr>
              <w:fldChar w:fldCharType="end"/>
            </w:r>
            <w:r>
              <w:rPr>
                <w:rFonts w:ascii="宋体" w:hAnsi="宋体"/>
                <w:color w:val="auto"/>
                <w:szCs w:val="21"/>
                <w:highlight w:val="none"/>
              </w:rPr>
              <w:t>），对投标人截止到投标截止时间的信用记录进行审查，对列入失信被执行人、重大税收违法失信主体、政府采购严重违法失信行为记录名单的投标人，其投标将被拒绝。</w:t>
            </w:r>
          </w:p>
          <w:p>
            <w:pPr>
              <w:topLinePunct/>
              <w:autoSpaceDE w:val="0"/>
              <w:autoSpaceDN w:val="0"/>
              <w:rPr>
                <w:rFonts w:ascii="宋体" w:hAnsi="宋体"/>
                <w:color w:val="auto"/>
                <w:szCs w:val="21"/>
                <w:highlight w:val="none"/>
              </w:rPr>
            </w:pPr>
            <w:r>
              <w:rPr>
                <w:rFonts w:ascii="宋体" w:hAnsi="宋体"/>
                <w:color w:val="auto"/>
                <w:szCs w:val="21"/>
                <w:highlight w:val="none"/>
              </w:rPr>
              <w:t>本次查询的信用记录仅限于本项目使用，打印的网页版将留存在采购档案中。</w:t>
            </w:r>
          </w:p>
          <w:p>
            <w:pPr>
              <w:topLinePunct/>
              <w:autoSpaceDE w:val="0"/>
              <w:autoSpaceDN w:val="0"/>
              <w:rPr>
                <w:rFonts w:ascii="宋体" w:hAnsi="宋体"/>
                <w:b/>
                <w:bCs/>
                <w:color w:val="auto"/>
                <w:highlight w:val="none"/>
              </w:rPr>
            </w:pPr>
            <w:r>
              <w:rPr>
                <w:rFonts w:ascii="宋体" w:hAnsi="宋体"/>
                <w:b/>
                <w:bCs/>
                <w:color w:val="auto"/>
                <w:szCs w:val="21"/>
                <w:highlight w:val="none"/>
              </w:rPr>
              <w:t>在上述指定网站不能查询信用信息的投标人，应提供相关证明材料（原件加盖公章）。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59" w:type="dxa"/>
            <w:vAlign w:val="center"/>
          </w:tcPr>
          <w:p>
            <w:pPr>
              <w:pStyle w:val="19"/>
              <w:jc w:val="center"/>
              <w:rPr>
                <w:rFonts w:hint="default" w:hAnsi="宋体"/>
                <w:color w:val="auto"/>
                <w:kern w:val="2"/>
                <w:highlight w:val="none"/>
              </w:rPr>
            </w:pPr>
            <w:r>
              <w:rPr>
                <w:rFonts w:hint="default" w:hAnsi="宋体"/>
                <w:color w:val="auto"/>
                <w:kern w:val="2"/>
                <w:highlight w:val="none"/>
              </w:rPr>
              <w:t>1</w:t>
            </w:r>
            <w:r>
              <w:rPr>
                <w:rFonts w:hAnsi="宋体"/>
                <w:color w:val="auto"/>
                <w:kern w:val="2"/>
                <w:highlight w:val="none"/>
              </w:rPr>
              <w:t>6</w:t>
            </w:r>
          </w:p>
        </w:tc>
        <w:tc>
          <w:tcPr>
            <w:tcW w:w="1781" w:type="dxa"/>
            <w:vAlign w:val="center"/>
          </w:tcPr>
          <w:p>
            <w:pPr>
              <w:topLinePunct/>
              <w:autoSpaceDE w:val="0"/>
              <w:autoSpaceDN w:val="0"/>
              <w:jc w:val="center"/>
              <w:rPr>
                <w:rFonts w:ascii="宋体" w:hAnsi="宋体"/>
                <w:color w:val="auto"/>
                <w:szCs w:val="21"/>
                <w:highlight w:val="none"/>
              </w:rPr>
            </w:pPr>
            <w:r>
              <w:rPr>
                <w:rFonts w:ascii="宋体" w:hAnsi="宋体"/>
                <w:color w:val="auto"/>
                <w:szCs w:val="21"/>
                <w:highlight w:val="none"/>
              </w:rPr>
              <w:t>支持中小型</w:t>
            </w:r>
          </w:p>
          <w:p>
            <w:pPr>
              <w:topLinePunct/>
              <w:autoSpaceDE w:val="0"/>
              <w:autoSpaceDN w:val="0"/>
              <w:jc w:val="center"/>
              <w:rPr>
                <w:rFonts w:ascii="宋体" w:hAnsi="宋体"/>
                <w:b/>
                <w:color w:val="auto"/>
                <w:highlight w:val="none"/>
              </w:rPr>
            </w:pPr>
            <w:r>
              <w:rPr>
                <w:rFonts w:ascii="宋体" w:hAnsi="宋体"/>
                <w:color w:val="auto"/>
                <w:szCs w:val="21"/>
                <w:highlight w:val="none"/>
              </w:rPr>
              <w:t>企业发展</w:t>
            </w:r>
          </w:p>
        </w:tc>
        <w:tc>
          <w:tcPr>
            <w:tcW w:w="6437" w:type="dxa"/>
            <w:gridSpan w:val="2"/>
            <w:vAlign w:val="center"/>
          </w:tcPr>
          <w:p>
            <w:pPr>
              <w:topLinePunct/>
              <w:autoSpaceDE w:val="0"/>
              <w:autoSpaceDN w:val="0"/>
              <w:rPr>
                <w:rFonts w:ascii="Arial" w:hAnsi="Arial" w:cs="Arial"/>
                <w:color w:val="auto"/>
                <w:highlight w:val="none"/>
              </w:rPr>
            </w:pPr>
            <w:r>
              <w:rPr>
                <w:rFonts w:ascii="Arial" w:hAnsi="Arial" w:cs="Arial"/>
                <w:color w:val="auto"/>
                <w:highlight w:val="none"/>
              </w:rPr>
              <w:t>根据《政府采购促进中小型企业发展管理办法》（财库〔2020〕46号），鼓励中小型企业参加本项目采购活动。</w:t>
            </w:r>
          </w:p>
          <w:p>
            <w:pPr>
              <w:topLinePunct/>
              <w:autoSpaceDE w:val="0"/>
              <w:autoSpaceDN w:val="0"/>
              <w:rPr>
                <w:rFonts w:ascii="Arial" w:hAnsi="Arial" w:cs="Arial"/>
                <w:color w:val="auto"/>
                <w:highlight w:val="none"/>
              </w:rPr>
            </w:pPr>
            <w:r>
              <w:rPr>
                <w:rFonts w:ascii="Arial" w:hAnsi="Arial" w:cs="Arial"/>
                <w:color w:val="auto"/>
                <w:highlight w:val="none"/>
              </w:rPr>
              <w:t>按照《关于印发中小企业划型标准规定的通知》（工信部联企业〔2011〕300号）规定，</w:t>
            </w:r>
            <w:r>
              <w:rPr>
                <w:rFonts w:hint="eastAsia" w:ascii="Arial" w:hAnsi="Arial" w:cs="Arial"/>
                <w:color w:val="auto"/>
                <w:highlight w:val="none"/>
              </w:rPr>
              <w:t>采购标的对应的《中小企业划型标准规定》，</w:t>
            </w:r>
            <w:r>
              <w:rPr>
                <w:rFonts w:ascii="Arial" w:hAnsi="Arial" w:cs="Arial"/>
                <w:color w:val="auto"/>
                <w:highlight w:val="none"/>
              </w:rPr>
              <w:t>采购标的及对应的中小企业划分标准所属行业</w:t>
            </w:r>
            <w:r>
              <w:rPr>
                <w:rFonts w:hint="eastAsia" w:ascii="Arial" w:hAnsi="Arial" w:cs="Arial"/>
                <w:color w:val="auto"/>
                <w:highlight w:val="none"/>
              </w:rPr>
              <w:t>：采购混合型存储设备；工业。</w:t>
            </w:r>
          </w:p>
          <w:p>
            <w:pPr>
              <w:topLinePunct/>
              <w:autoSpaceDE w:val="0"/>
              <w:autoSpaceDN w:val="0"/>
              <w:rPr>
                <w:rFonts w:ascii="Arial" w:hAnsi="Arial" w:cs="Arial"/>
                <w:color w:val="auto"/>
                <w:highlight w:val="none"/>
              </w:rPr>
            </w:pPr>
            <w:r>
              <w:rPr>
                <w:rFonts w:hint="eastAsia" w:ascii="Arial" w:hAnsi="Arial" w:cs="Arial"/>
                <w:color w:val="auto"/>
                <w:highlight w:val="none"/>
              </w:rPr>
              <w:t>□</w:t>
            </w:r>
            <w:r>
              <w:rPr>
                <w:rFonts w:ascii="Arial" w:hAnsi="Arial" w:cs="Arial"/>
                <w:color w:val="auto"/>
                <w:highlight w:val="none"/>
              </w:rPr>
              <w:t>专门面向中小企业采购项目。</w:t>
            </w:r>
          </w:p>
          <w:p>
            <w:pPr>
              <w:pStyle w:val="203"/>
              <w:tabs>
                <w:tab w:val="left" w:pos="424"/>
              </w:tabs>
              <w:jc w:val="left"/>
              <w:rPr>
                <w:rFonts w:ascii="Arial" w:hAnsi="Arial" w:cs="Arial"/>
                <w:color w:val="auto"/>
                <w:highlight w:val="none"/>
                <w:lang w:val="en-US" w:bidi="ar-SA"/>
              </w:rPr>
            </w:pPr>
            <w:r>
              <w:rPr>
                <w:rFonts w:hint="eastAsia" w:ascii="Arial" w:hAnsi="Arial" w:cs="Arial"/>
                <w:color w:val="auto"/>
                <w:highlight w:val="none"/>
                <w:lang w:val="en-US" w:bidi="ar-SA"/>
              </w:rPr>
              <w:t>□</w:t>
            </w:r>
            <w:r>
              <w:rPr>
                <w:rFonts w:ascii="Arial" w:hAnsi="Arial" w:cs="Arial"/>
                <w:color w:val="auto"/>
                <w:highlight w:val="none"/>
                <w:lang w:val="en-US" w:bidi="ar-SA"/>
              </w:rPr>
              <w:t>预留份额面向中小企业采购项目。</w:t>
            </w:r>
          </w:p>
          <w:p>
            <w:pPr>
              <w:pStyle w:val="203"/>
              <w:tabs>
                <w:tab w:val="left" w:pos="424"/>
              </w:tabs>
              <w:jc w:val="left"/>
              <w:rPr>
                <w:rFonts w:ascii="Arial" w:hAnsi="Arial" w:cs="Arial"/>
                <w:color w:val="auto"/>
                <w:highlight w:val="none"/>
                <w:lang w:val="en-US" w:bidi="ar-SA"/>
              </w:rPr>
            </w:pPr>
            <w:r>
              <w:rPr>
                <w:rFonts w:hint="eastAsia" w:ascii="Arial" w:hAnsi="Arial" w:cs="Arial"/>
                <w:color w:val="auto"/>
                <w:highlight w:val="none"/>
                <w:lang w:val="en-US" w:bidi="ar-SA"/>
              </w:rPr>
              <w:t>☑</w:t>
            </w:r>
            <w:r>
              <w:rPr>
                <w:rFonts w:ascii="Arial" w:hAnsi="Arial" w:cs="Arial"/>
                <w:color w:val="auto"/>
                <w:highlight w:val="none"/>
                <w:lang w:val="en-US" w:bidi="ar-SA"/>
              </w:rPr>
              <w:t>非专门面向中小企业采购项目。</w:t>
            </w:r>
          </w:p>
          <w:p>
            <w:pPr>
              <w:pStyle w:val="203"/>
              <w:tabs>
                <w:tab w:val="left" w:pos="424"/>
              </w:tabs>
              <w:ind w:left="105"/>
              <w:jc w:val="left"/>
              <w:rPr>
                <w:color w:val="auto"/>
                <w:highlight w:val="none"/>
                <w:lang w:val="en-US"/>
              </w:rPr>
            </w:pPr>
            <w:r>
              <w:rPr>
                <w:color w:val="auto"/>
                <w:highlight w:val="none"/>
                <w:lang w:val="en-US"/>
              </w:rPr>
              <w:t>对小型和微型企业的投标价格给予</w:t>
            </w:r>
            <w:r>
              <w:rPr>
                <w:rFonts w:hint="eastAsia"/>
                <w:color w:val="auto"/>
                <w:highlight w:val="none"/>
                <w:u w:val="single"/>
                <w:lang w:val="en-US"/>
              </w:rPr>
              <w:t>10%</w:t>
            </w:r>
            <w:r>
              <w:rPr>
                <w:color w:val="auto"/>
                <w:highlight w:val="none"/>
                <w:lang w:val="en-US"/>
              </w:rPr>
              <w:t>的扣除，用扣除后的价格参与评审。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759" w:type="dxa"/>
            <w:vAlign w:val="center"/>
          </w:tcPr>
          <w:p>
            <w:pPr>
              <w:pStyle w:val="19"/>
              <w:jc w:val="center"/>
              <w:rPr>
                <w:rFonts w:hint="default" w:hAnsi="宋体"/>
                <w:color w:val="auto"/>
                <w:kern w:val="2"/>
                <w:highlight w:val="none"/>
              </w:rPr>
            </w:pPr>
            <w:r>
              <w:rPr>
                <w:rFonts w:hAnsi="宋体"/>
                <w:color w:val="auto"/>
                <w:kern w:val="2"/>
                <w:highlight w:val="none"/>
              </w:rPr>
              <w:t>17</w:t>
            </w:r>
          </w:p>
        </w:tc>
        <w:tc>
          <w:tcPr>
            <w:tcW w:w="1781" w:type="dxa"/>
            <w:vAlign w:val="center"/>
          </w:tcPr>
          <w:p>
            <w:pPr>
              <w:topLinePunct/>
              <w:autoSpaceDE w:val="0"/>
              <w:autoSpaceDN w:val="0"/>
              <w:jc w:val="center"/>
              <w:rPr>
                <w:rFonts w:ascii="宋体" w:hAnsi="宋体"/>
                <w:b/>
                <w:color w:val="auto"/>
                <w:highlight w:val="none"/>
              </w:rPr>
            </w:pPr>
            <w:r>
              <w:rPr>
                <w:rFonts w:ascii="宋体" w:hAnsi="宋体"/>
                <w:color w:val="auto"/>
                <w:szCs w:val="21"/>
                <w:highlight w:val="none"/>
              </w:rPr>
              <w:t>支持监狱企业发展</w:t>
            </w:r>
          </w:p>
        </w:tc>
        <w:tc>
          <w:tcPr>
            <w:tcW w:w="6437" w:type="dxa"/>
            <w:gridSpan w:val="2"/>
            <w:vAlign w:val="center"/>
          </w:tcPr>
          <w:p>
            <w:pPr>
              <w:pStyle w:val="203"/>
              <w:adjustRightInd w:val="0"/>
              <w:snapToGrid w:val="0"/>
              <w:rPr>
                <w:color w:val="auto"/>
                <w:highlight w:val="none"/>
              </w:rPr>
            </w:pPr>
            <w:r>
              <w:rPr>
                <w:color w:val="auto"/>
                <w:highlight w:val="none"/>
              </w:rPr>
              <w:t>根据《关于政府采购支持监狱企业发展有关问题的通知》（财库〔2014〕68号），监狱企业对其投标价格给予</w:t>
            </w:r>
            <w:r>
              <w:rPr>
                <w:rFonts w:hint="eastAsia"/>
                <w:bCs/>
                <w:color w:val="auto"/>
                <w:highlight w:val="none"/>
                <w:u w:val="single"/>
                <w:lang w:val="en-US"/>
              </w:rPr>
              <w:t>10</w:t>
            </w:r>
            <w:r>
              <w:rPr>
                <w:bCs/>
                <w:color w:val="auto"/>
                <w:highlight w:val="none"/>
                <w:u w:val="single"/>
              </w:rPr>
              <w:t>%</w:t>
            </w:r>
            <w:r>
              <w:rPr>
                <w:color w:val="auto"/>
                <w:highlight w:val="none"/>
              </w:rPr>
              <w:t>的扣除，用扣除后的价格参与评审。</w:t>
            </w:r>
          </w:p>
          <w:p>
            <w:pPr>
              <w:widowControl/>
              <w:jc w:val="left"/>
              <w:rPr>
                <w:rFonts w:ascii="Calibri" w:hAnsi="宋体"/>
                <w:color w:val="auto"/>
                <w:highlight w:val="none"/>
              </w:rPr>
            </w:pPr>
            <w:r>
              <w:rPr>
                <w:rFonts w:hint="eastAsia" w:ascii="宋体" w:hAnsi="宋体" w:cs="宋体"/>
                <w:color w:val="auto"/>
                <w:kern w:val="0"/>
                <w:szCs w:val="21"/>
                <w:highlight w:val="none"/>
              </w:rPr>
              <w:t xml:space="preserve">注：监狱企业属于小型、微型企业的，不重复享受政策。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9" w:type="dxa"/>
            <w:vAlign w:val="center"/>
          </w:tcPr>
          <w:p>
            <w:pPr>
              <w:pStyle w:val="19"/>
              <w:jc w:val="center"/>
              <w:rPr>
                <w:rFonts w:hint="default" w:hAnsi="宋体"/>
                <w:color w:val="auto"/>
                <w:kern w:val="2"/>
                <w:highlight w:val="none"/>
              </w:rPr>
            </w:pPr>
            <w:r>
              <w:rPr>
                <w:rFonts w:hAnsi="宋体"/>
                <w:color w:val="auto"/>
                <w:kern w:val="2"/>
                <w:highlight w:val="none"/>
              </w:rPr>
              <w:t>18</w:t>
            </w:r>
          </w:p>
        </w:tc>
        <w:tc>
          <w:tcPr>
            <w:tcW w:w="1781" w:type="dxa"/>
            <w:vAlign w:val="center"/>
          </w:tcPr>
          <w:p>
            <w:pPr>
              <w:topLinePunct/>
              <w:autoSpaceDE w:val="0"/>
              <w:autoSpaceDN w:val="0"/>
              <w:jc w:val="center"/>
              <w:rPr>
                <w:rFonts w:ascii="宋体" w:hAnsi="宋体"/>
                <w:color w:val="auto"/>
                <w:szCs w:val="21"/>
                <w:highlight w:val="none"/>
              </w:rPr>
            </w:pPr>
            <w:r>
              <w:rPr>
                <w:rFonts w:ascii="宋体" w:hAnsi="宋体"/>
                <w:color w:val="auto"/>
                <w:szCs w:val="21"/>
                <w:highlight w:val="none"/>
              </w:rPr>
              <w:t>促进残疾人</w:t>
            </w:r>
          </w:p>
          <w:p>
            <w:pPr>
              <w:topLinePunct/>
              <w:autoSpaceDE w:val="0"/>
              <w:autoSpaceDN w:val="0"/>
              <w:jc w:val="center"/>
              <w:rPr>
                <w:rFonts w:ascii="宋体" w:hAnsi="宋体"/>
                <w:color w:val="auto"/>
                <w:highlight w:val="none"/>
              </w:rPr>
            </w:pPr>
            <w:r>
              <w:rPr>
                <w:rFonts w:ascii="宋体" w:hAnsi="宋体"/>
                <w:color w:val="auto"/>
                <w:szCs w:val="21"/>
                <w:highlight w:val="none"/>
              </w:rPr>
              <w:t>就业</w:t>
            </w:r>
          </w:p>
        </w:tc>
        <w:tc>
          <w:tcPr>
            <w:tcW w:w="6437" w:type="dxa"/>
            <w:gridSpan w:val="2"/>
            <w:vAlign w:val="center"/>
          </w:tcPr>
          <w:p>
            <w:pPr>
              <w:pStyle w:val="19"/>
              <w:jc w:val="left"/>
              <w:rPr>
                <w:rFonts w:hint="default" w:hAnsi="宋体"/>
                <w:color w:val="auto"/>
                <w:kern w:val="2"/>
                <w:highlight w:val="none"/>
              </w:rPr>
            </w:pPr>
            <w:r>
              <w:rPr>
                <w:rFonts w:hint="default" w:hAnsi="宋体"/>
                <w:color w:val="auto"/>
                <w:kern w:val="2"/>
                <w:highlight w:val="none"/>
              </w:rPr>
              <w:t>根据《关于促进残疾人就业政府采购政策的通知》（财库〔2017〕141号），残疾人福利性单位对其投标价格给予</w:t>
            </w:r>
            <w:r>
              <w:rPr>
                <w:rFonts w:hAnsi="宋体"/>
                <w:bCs/>
                <w:color w:val="auto"/>
                <w:kern w:val="2"/>
                <w:highlight w:val="none"/>
                <w:u w:val="single"/>
              </w:rPr>
              <w:t>10</w:t>
            </w:r>
            <w:r>
              <w:rPr>
                <w:rFonts w:hint="default" w:hAnsi="宋体"/>
                <w:bCs/>
                <w:color w:val="auto"/>
                <w:kern w:val="2"/>
                <w:highlight w:val="none"/>
                <w:u w:val="single"/>
              </w:rPr>
              <w:t>%</w:t>
            </w:r>
            <w:r>
              <w:rPr>
                <w:rFonts w:hint="default" w:hAnsi="宋体"/>
                <w:color w:val="auto"/>
                <w:kern w:val="2"/>
                <w:highlight w:val="none"/>
              </w:rPr>
              <w:t>的扣除，用扣除后的价格参与评审。</w:t>
            </w:r>
          </w:p>
          <w:p>
            <w:pPr>
              <w:pStyle w:val="203"/>
              <w:adjustRightInd w:val="0"/>
              <w:snapToGrid w:val="0"/>
              <w:rPr>
                <w:color w:val="auto"/>
                <w:highlight w:val="none"/>
              </w:rPr>
            </w:pPr>
            <w:r>
              <w:rPr>
                <w:rFonts w:hint="eastAsia"/>
                <w:color w:val="auto"/>
                <w:kern w:val="0"/>
                <w:szCs w:val="21"/>
                <w:highlight w:val="none"/>
                <w:lang w:val="en-US"/>
              </w:rPr>
              <w:t>注：</w:t>
            </w:r>
            <w:r>
              <w:rPr>
                <w:color w:val="auto"/>
                <w:highlight w:val="none"/>
              </w:rPr>
              <w:t>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759" w:type="dxa"/>
            <w:vAlign w:val="center"/>
          </w:tcPr>
          <w:p>
            <w:pPr>
              <w:pStyle w:val="19"/>
              <w:jc w:val="center"/>
              <w:rPr>
                <w:rFonts w:hint="default" w:hAnsi="宋体"/>
                <w:color w:val="auto"/>
                <w:kern w:val="2"/>
                <w:highlight w:val="none"/>
              </w:rPr>
            </w:pPr>
            <w:r>
              <w:rPr>
                <w:rFonts w:hAnsi="宋体"/>
                <w:color w:val="auto"/>
                <w:kern w:val="2"/>
                <w:highlight w:val="none"/>
              </w:rPr>
              <w:t>19</w:t>
            </w:r>
          </w:p>
        </w:tc>
        <w:tc>
          <w:tcPr>
            <w:tcW w:w="1781" w:type="dxa"/>
            <w:vAlign w:val="center"/>
          </w:tcPr>
          <w:p>
            <w:pPr>
              <w:topLinePunct/>
              <w:autoSpaceDE w:val="0"/>
              <w:autoSpaceDN w:val="0"/>
              <w:jc w:val="center"/>
              <w:rPr>
                <w:rFonts w:ascii="宋体" w:hAnsi="宋体"/>
                <w:b/>
                <w:color w:val="auto"/>
                <w:highlight w:val="none"/>
              </w:rPr>
            </w:pPr>
            <w:r>
              <w:rPr>
                <w:rFonts w:ascii="宋体" w:hAnsi="宋体"/>
                <w:color w:val="auto"/>
                <w:szCs w:val="21"/>
                <w:highlight w:val="none"/>
              </w:rPr>
              <w:t>其他法律法规强制性规定或扶持政策</w:t>
            </w:r>
          </w:p>
        </w:tc>
        <w:tc>
          <w:tcPr>
            <w:tcW w:w="6437" w:type="dxa"/>
            <w:gridSpan w:val="2"/>
            <w:vAlign w:val="center"/>
          </w:tcPr>
          <w:p>
            <w:pPr>
              <w:topLinePunct/>
              <w:autoSpaceDE w:val="0"/>
              <w:autoSpaceDN w:val="0"/>
              <w:rPr>
                <w:rFonts w:ascii="宋体" w:hAnsi="宋体"/>
                <w:b/>
                <w:color w:val="auto"/>
                <w:highlight w:val="none"/>
              </w:rPr>
            </w:pPr>
            <w:r>
              <w:rPr>
                <w:rFonts w:ascii="宋体" w:hAnsi="宋体"/>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59" w:type="dxa"/>
            <w:vAlign w:val="center"/>
          </w:tcPr>
          <w:p>
            <w:pPr>
              <w:topLinePunct/>
              <w:autoSpaceDE w:val="0"/>
              <w:autoSpaceDN w:val="0"/>
              <w:jc w:val="center"/>
              <w:rPr>
                <w:rFonts w:ascii="宋体" w:hAnsi="宋体"/>
                <w:color w:val="auto"/>
                <w:highlight w:val="none"/>
              </w:rPr>
            </w:pPr>
            <w:r>
              <w:rPr>
                <w:rFonts w:hint="eastAsia" w:ascii="宋体" w:hAnsi="宋体"/>
                <w:color w:val="auto"/>
                <w:szCs w:val="21"/>
                <w:highlight w:val="none"/>
              </w:rPr>
              <w:t>20</w:t>
            </w:r>
          </w:p>
        </w:tc>
        <w:tc>
          <w:tcPr>
            <w:tcW w:w="1781" w:type="dxa"/>
            <w:vAlign w:val="center"/>
          </w:tcPr>
          <w:p>
            <w:pPr>
              <w:pStyle w:val="209"/>
              <w:spacing w:before="0" w:line="360" w:lineRule="exact"/>
              <w:ind w:left="0" w:firstLine="0"/>
              <w:jc w:val="center"/>
              <w:rPr>
                <w:color w:val="auto"/>
                <w:kern w:val="2"/>
                <w:szCs w:val="21"/>
                <w:highlight w:val="none"/>
              </w:rPr>
            </w:pPr>
            <w:r>
              <w:rPr>
                <w:color w:val="auto"/>
                <w:kern w:val="2"/>
                <w:szCs w:val="21"/>
                <w:highlight w:val="none"/>
              </w:rPr>
              <w:t>评标方法</w:t>
            </w:r>
          </w:p>
          <w:p>
            <w:pPr>
              <w:pStyle w:val="209"/>
              <w:spacing w:before="0" w:line="360" w:lineRule="exact"/>
              <w:ind w:left="0" w:firstLine="0"/>
              <w:jc w:val="center"/>
              <w:rPr>
                <w:b/>
                <w:color w:val="auto"/>
                <w:szCs w:val="21"/>
                <w:highlight w:val="none"/>
              </w:rPr>
            </w:pPr>
            <w:r>
              <w:rPr>
                <w:color w:val="auto"/>
                <w:kern w:val="2"/>
                <w:szCs w:val="21"/>
                <w:highlight w:val="none"/>
              </w:rPr>
              <w:t>及分值</w:t>
            </w:r>
          </w:p>
        </w:tc>
        <w:tc>
          <w:tcPr>
            <w:tcW w:w="6437" w:type="dxa"/>
            <w:gridSpan w:val="2"/>
            <w:vAlign w:val="center"/>
          </w:tcPr>
          <w:p>
            <w:pPr>
              <w:pStyle w:val="19"/>
              <w:jc w:val="left"/>
              <w:rPr>
                <w:rFonts w:hint="default" w:hAnsi="宋体"/>
                <w:color w:val="auto"/>
                <w:kern w:val="2"/>
                <w:highlight w:val="none"/>
              </w:rPr>
            </w:pPr>
            <w:r>
              <w:rPr>
                <w:rFonts w:hint="default" w:hAnsi="宋体"/>
                <w:color w:val="auto"/>
                <w:kern w:val="2"/>
                <w:highlight w:val="none"/>
              </w:rPr>
              <w:t>采用综合评分法，其中价格分值为</w:t>
            </w:r>
            <w:r>
              <w:rPr>
                <w:rFonts w:hAnsi="宋体"/>
                <w:color w:val="auto"/>
                <w:kern w:val="2"/>
                <w:highlight w:val="none"/>
                <w:u w:val="single"/>
              </w:rPr>
              <w:t>3</w:t>
            </w:r>
            <w:r>
              <w:rPr>
                <w:rFonts w:hint="default" w:hAnsi="宋体"/>
                <w:color w:val="auto"/>
                <w:kern w:val="2"/>
                <w:highlight w:val="none"/>
                <w:u w:val="single"/>
              </w:rPr>
              <w:t xml:space="preserve">0 </w:t>
            </w:r>
            <w:r>
              <w:rPr>
                <w:rFonts w:hint="default" w:hAnsi="宋体"/>
                <w:color w:val="auto"/>
                <w:kern w:val="2"/>
                <w:highlight w:val="none"/>
              </w:rPr>
              <w:t>分，其他因素分值为</w:t>
            </w:r>
            <w:r>
              <w:rPr>
                <w:rFonts w:hAnsi="宋体"/>
                <w:color w:val="auto"/>
                <w:kern w:val="2"/>
                <w:highlight w:val="none"/>
                <w:u w:val="single"/>
              </w:rPr>
              <w:t>7</w:t>
            </w:r>
            <w:r>
              <w:rPr>
                <w:rFonts w:hint="default" w:hAnsi="宋体"/>
                <w:color w:val="auto"/>
                <w:kern w:val="2"/>
                <w:highlight w:val="none"/>
                <w:u w:val="single"/>
              </w:rPr>
              <w:t>0</w:t>
            </w:r>
            <w:r>
              <w:rPr>
                <w:rFonts w:hint="default" w:hAnsi="宋体"/>
                <w:color w:val="auto"/>
                <w:kern w:val="2"/>
                <w:highlight w:val="none"/>
              </w:rPr>
              <w:t>分，详见招标文件商务部分第三章。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59" w:type="dxa"/>
            <w:vAlign w:val="center"/>
          </w:tcPr>
          <w:p>
            <w:pPr>
              <w:pStyle w:val="19"/>
              <w:jc w:val="center"/>
              <w:rPr>
                <w:rFonts w:hint="default" w:hAnsi="宋体"/>
                <w:color w:val="auto"/>
                <w:kern w:val="2"/>
                <w:highlight w:val="none"/>
              </w:rPr>
            </w:pPr>
            <w:r>
              <w:rPr>
                <w:rFonts w:hAnsi="宋体"/>
                <w:color w:val="auto"/>
                <w:kern w:val="2"/>
                <w:highlight w:val="none"/>
              </w:rPr>
              <w:t>21</w:t>
            </w:r>
          </w:p>
        </w:tc>
        <w:tc>
          <w:tcPr>
            <w:tcW w:w="1781" w:type="dxa"/>
            <w:vAlign w:val="center"/>
          </w:tcPr>
          <w:p>
            <w:pPr>
              <w:topLinePunct/>
              <w:autoSpaceDE w:val="0"/>
              <w:autoSpaceDN w:val="0"/>
              <w:jc w:val="center"/>
              <w:rPr>
                <w:rFonts w:ascii="宋体" w:hAnsi="宋体"/>
                <w:color w:val="auto"/>
                <w:szCs w:val="21"/>
                <w:highlight w:val="none"/>
              </w:rPr>
            </w:pPr>
            <w:r>
              <w:rPr>
                <w:rFonts w:ascii="宋体" w:hAnsi="宋体"/>
                <w:color w:val="auto"/>
                <w:szCs w:val="21"/>
                <w:highlight w:val="none"/>
              </w:rPr>
              <w:t>履约保证金</w:t>
            </w:r>
          </w:p>
        </w:tc>
        <w:tc>
          <w:tcPr>
            <w:tcW w:w="6437" w:type="dxa"/>
            <w:gridSpan w:val="2"/>
            <w:vAlign w:val="center"/>
          </w:tcPr>
          <w:p>
            <w:pPr>
              <w:pStyle w:val="19"/>
              <w:jc w:val="left"/>
              <w:rPr>
                <w:rFonts w:hint="default" w:hAnsi="宋体"/>
                <w:color w:val="auto"/>
                <w:kern w:val="2"/>
                <w:highlight w:val="none"/>
              </w:rPr>
            </w:pPr>
            <w:r>
              <w:rPr>
                <w:rFonts w:ascii="MS Mincho" w:hAnsi="MS Mincho" w:cs="MS Mincho"/>
                <w:color w:val="auto"/>
                <w:kern w:val="2"/>
                <w:highlight w:val="none"/>
              </w:rPr>
              <w:t>□</w:t>
            </w:r>
            <w:r>
              <w:rPr>
                <w:rFonts w:hint="default" w:hAnsi="宋体"/>
                <w:color w:val="auto"/>
                <w:kern w:val="2"/>
                <w:highlight w:val="none"/>
              </w:rPr>
              <w:t>不要求提供</w:t>
            </w:r>
          </w:p>
          <w:p>
            <w:pPr>
              <w:topLinePunct/>
              <w:autoSpaceDE w:val="0"/>
              <w:autoSpaceDN w:val="0"/>
              <w:rPr>
                <w:rFonts w:ascii="宋体" w:hAnsi="宋体"/>
                <w:color w:val="auto"/>
                <w:highlight w:val="none"/>
              </w:rPr>
            </w:pPr>
            <w:r>
              <w:rPr>
                <w:rFonts w:hint="eastAsia" w:ascii="MS Mincho" w:hAnsi="MS Mincho" w:cs="MS Mincho"/>
                <w:color w:val="auto"/>
                <w:highlight w:val="none"/>
              </w:rPr>
              <w:t>☑</w:t>
            </w:r>
            <w:r>
              <w:rPr>
                <w:rFonts w:ascii="宋体" w:hAnsi="宋体"/>
                <w:color w:val="auto"/>
                <w:highlight w:val="none"/>
              </w:rPr>
              <w:t>要求提供，履约保证金的数额不得超过政府采购合同金额的10%，</w:t>
            </w:r>
            <w:r>
              <w:rPr>
                <w:rFonts w:ascii="宋体" w:hAnsi="宋体"/>
                <w:bCs/>
                <w:color w:val="auto"/>
                <w:highlight w:val="none"/>
              </w:rPr>
              <w:t>本采购项目履约保证金为合同金额的</w:t>
            </w:r>
            <w:r>
              <w:rPr>
                <w:rFonts w:hint="eastAsia" w:ascii="宋体" w:hAnsi="宋体"/>
                <w:bCs/>
                <w:color w:val="auto"/>
                <w:highlight w:val="none"/>
                <w:u w:val="single"/>
              </w:rPr>
              <w:t xml:space="preserve">5 </w:t>
            </w:r>
            <w:r>
              <w:rPr>
                <w:rFonts w:ascii="宋体" w:hAnsi="宋体"/>
                <w:bCs/>
                <w:color w:val="auto"/>
                <w:highlight w:val="none"/>
              </w:rPr>
              <w:t>%，提交方式为金融机构、担保机构出具的保函</w:t>
            </w:r>
            <w:r>
              <w:rPr>
                <w:rFonts w:hint="eastAsia" w:ascii="宋体" w:hAnsi="宋体"/>
                <w:bCs/>
                <w:color w:val="auto"/>
                <w:highlight w:val="none"/>
              </w:rPr>
              <w:t>，</w:t>
            </w:r>
            <w:r>
              <w:rPr>
                <w:rFonts w:ascii="宋体" w:hAnsi="宋体"/>
                <w:bCs/>
                <w:color w:val="auto"/>
                <w:highlight w:val="none"/>
              </w:rPr>
              <w:t>支票、汇票、本票等非现金形式</w:t>
            </w:r>
            <w:r>
              <w:rPr>
                <w:rFonts w:ascii="宋体" w:hAnsi="宋体"/>
                <w:bCs/>
                <w:color w:val="auto"/>
                <w:szCs w:val="21"/>
                <w:highlight w:val="none"/>
              </w:rPr>
              <w:t>。</w:t>
            </w:r>
          </w:p>
          <w:p>
            <w:pPr>
              <w:pStyle w:val="19"/>
              <w:jc w:val="left"/>
              <w:rPr>
                <w:rFonts w:hint="default" w:hAnsi="宋体"/>
                <w:color w:val="auto"/>
                <w:kern w:val="2"/>
                <w:szCs w:val="22"/>
                <w:highlight w:val="none"/>
              </w:rPr>
            </w:pPr>
            <w:r>
              <w:rPr>
                <w:rFonts w:hint="default" w:hAnsi="宋体"/>
                <w:color w:val="auto"/>
                <w:kern w:val="2"/>
                <w:szCs w:val="22"/>
                <w:highlight w:val="none"/>
              </w:rPr>
              <w:t>收款人户名：</w:t>
            </w:r>
            <w:r>
              <w:rPr>
                <w:rFonts w:hint="default" w:hAnsi="宋体"/>
                <w:color w:val="auto"/>
                <w:kern w:val="2"/>
                <w:highlight w:val="none"/>
              </w:rPr>
              <w:t xml:space="preserve">国家税务总局辽宁省税务局 </w:t>
            </w:r>
          </w:p>
          <w:p>
            <w:pPr>
              <w:pStyle w:val="19"/>
              <w:jc w:val="left"/>
              <w:rPr>
                <w:rFonts w:hint="default" w:hAnsi="宋体"/>
                <w:color w:val="auto"/>
                <w:kern w:val="2"/>
                <w:szCs w:val="22"/>
                <w:highlight w:val="none"/>
              </w:rPr>
            </w:pPr>
            <w:r>
              <w:rPr>
                <w:rFonts w:hint="default" w:hAnsi="宋体"/>
                <w:color w:val="auto"/>
                <w:kern w:val="2"/>
                <w:szCs w:val="22"/>
                <w:highlight w:val="none"/>
              </w:rPr>
              <w:t>开户银行：</w:t>
            </w:r>
            <w:r>
              <w:rPr>
                <w:rFonts w:hint="default" w:hAnsi="宋体"/>
                <w:color w:val="auto"/>
                <w:kern w:val="2"/>
                <w:highlight w:val="none"/>
              </w:rPr>
              <w:t xml:space="preserve">工行沈阳浑南支行 </w:t>
            </w:r>
          </w:p>
          <w:p>
            <w:pPr>
              <w:pStyle w:val="19"/>
              <w:jc w:val="left"/>
              <w:rPr>
                <w:rFonts w:hint="default" w:hAnsi="宋体"/>
                <w:color w:val="auto"/>
                <w:kern w:val="2"/>
                <w:szCs w:val="22"/>
                <w:highlight w:val="none"/>
              </w:rPr>
            </w:pPr>
            <w:r>
              <w:rPr>
                <w:rFonts w:hint="default" w:hAnsi="宋体"/>
                <w:color w:val="auto"/>
                <w:kern w:val="2"/>
                <w:szCs w:val="22"/>
                <w:highlight w:val="none"/>
              </w:rPr>
              <w:t>银行账号：</w:t>
            </w:r>
            <w:r>
              <w:rPr>
                <w:rFonts w:hint="default" w:hAnsi="宋体"/>
                <w:color w:val="auto"/>
                <w:kern w:val="2"/>
                <w:highlight w:val="none"/>
              </w:rPr>
              <w:t xml:space="preserve">3301002509264010015 </w:t>
            </w:r>
          </w:p>
          <w:p>
            <w:pPr>
              <w:topLinePunct/>
              <w:autoSpaceDE w:val="0"/>
              <w:autoSpaceDN w:val="0"/>
              <w:rPr>
                <w:rFonts w:ascii="宋体" w:hAnsi="宋体"/>
                <w:color w:val="auto"/>
                <w:highlight w:val="none"/>
              </w:rPr>
            </w:pPr>
            <w:r>
              <w:rPr>
                <w:rFonts w:ascii="宋体" w:hAnsi="宋体"/>
                <w:color w:val="auto"/>
                <w:szCs w:val="22"/>
                <w:highlight w:val="none"/>
              </w:rPr>
              <w:t>注：以电汇方式递交履约保证金须在电汇凭据附言栏中写明</w:t>
            </w:r>
            <w:r>
              <w:rPr>
                <w:rFonts w:hint="eastAsia" w:ascii="宋体" w:hAnsi="宋体"/>
                <w:color w:val="auto"/>
                <w:szCs w:val="22"/>
                <w:highlight w:val="none"/>
              </w:rPr>
              <w:t>项目</w:t>
            </w:r>
            <w:r>
              <w:rPr>
                <w:rFonts w:ascii="宋体" w:hAnsi="宋体"/>
                <w:color w:val="auto"/>
                <w:szCs w:val="22"/>
                <w:highlight w:val="none"/>
              </w:rPr>
              <w:t>编号及用途（履约保证金）。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jc w:val="center"/>
        </w:trPr>
        <w:tc>
          <w:tcPr>
            <w:tcW w:w="759" w:type="dxa"/>
            <w:vAlign w:val="center"/>
          </w:tcPr>
          <w:p>
            <w:pPr>
              <w:pStyle w:val="19"/>
              <w:jc w:val="center"/>
              <w:rPr>
                <w:rFonts w:hint="default" w:hAnsi="宋体"/>
                <w:color w:val="auto"/>
                <w:kern w:val="2"/>
                <w:highlight w:val="none"/>
              </w:rPr>
            </w:pPr>
            <w:r>
              <w:rPr>
                <w:rFonts w:hAnsi="宋体"/>
                <w:color w:val="auto"/>
                <w:kern w:val="2"/>
                <w:highlight w:val="none"/>
              </w:rPr>
              <w:t>22</w:t>
            </w:r>
          </w:p>
        </w:tc>
        <w:tc>
          <w:tcPr>
            <w:tcW w:w="1781" w:type="dxa"/>
            <w:vAlign w:val="center"/>
          </w:tcPr>
          <w:p>
            <w:pPr>
              <w:topLinePunct/>
              <w:autoSpaceDE w:val="0"/>
              <w:autoSpaceDN w:val="0"/>
              <w:jc w:val="center"/>
              <w:rPr>
                <w:rFonts w:ascii="宋体" w:hAnsi="宋体"/>
                <w:b/>
                <w:color w:val="auto"/>
                <w:highlight w:val="none"/>
              </w:rPr>
            </w:pPr>
            <w:r>
              <w:rPr>
                <w:rFonts w:ascii="宋体" w:hAnsi="宋体"/>
                <w:color w:val="auto"/>
                <w:szCs w:val="21"/>
                <w:highlight w:val="none"/>
              </w:rPr>
              <w:t>接收质疑的方式、部门、电话和通讯地址</w:t>
            </w:r>
          </w:p>
        </w:tc>
        <w:tc>
          <w:tcPr>
            <w:tcW w:w="6437" w:type="dxa"/>
            <w:gridSpan w:val="2"/>
            <w:vAlign w:val="center"/>
          </w:tcPr>
          <w:p>
            <w:pPr>
              <w:topLinePunct/>
              <w:autoSpaceDE w:val="0"/>
              <w:autoSpaceDN w:val="0"/>
              <w:rPr>
                <w:rFonts w:ascii="宋体" w:hAnsi="宋体"/>
                <w:color w:val="auto"/>
                <w:szCs w:val="21"/>
                <w:highlight w:val="none"/>
              </w:rPr>
            </w:pPr>
            <w:r>
              <w:rPr>
                <w:rFonts w:ascii="宋体" w:hAnsi="宋体"/>
                <w:color w:val="auto"/>
                <w:szCs w:val="21"/>
                <w:highlight w:val="none"/>
              </w:rPr>
              <w:t>参与本项目采购活动的供应商如有质疑的，请按照《政府采购质疑和投诉办法》第十条有关规定以书面形式将质疑函提交采购</w:t>
            </w:r>
            <w:r>
              <w:rPr>
                <w:rFonts w:hint="eastAsia" w:ascii="宋体" w:hAnsi="宋体"/>
                <w:color w:val="auto"/>
                <w:szCs w:val="21"/>
                <w:highlight w:val="none"/>
              </w:rPr>
              <w:t>人</w:t>
            </w:r>
            <w:r>
              <w:rPr>
                <w:rFonts w:ascii="宋体" w:hAnsi="宋体"/>
                <w:color w:val="auto"/>
                <w:szCs w:val="21"/>
                <w:highlight w:val="none"/>
              </w:rPr>
              <w:t>。</w:t>
            </w:r>
          </w:p>
          <w:p>
            <w:pPr>
              <w:topLinePunct/>
              <w:autoSpaceDE w:val="0"/>
              <w:autoSpaceDN w:val="0"/>
              <w:rPr>
                <w:rFonts w:ascii="宋体" w:hAnsi="宋体"/>
                <w:color w:val="auto"/>
                <w:szCs w:val="21"/>
                <w:highlight w:val="none"/>
              </w:rPr>
            </w:pPr>
            <w:r>
              <w:rPr>
                <w:rFonts w:ascii="宋体" w:hAnsi="宋体"/>
                <w:color w:val="auto"/>
                <w:szCs w:val="21"/>
                <w:highlight w:val="none"/>
              </w:rPr>
              <w:t>逾期提交的，</w:t>
            </w:r>
            <w:r>
              <w:rPr>
                <w:rFonts w:hint="eastAsia" w:ascii="宋体" w:hAnsi="宋体"/>
                <w:color w:val="auto"/>
                <w:szCs w:val="21"/>
                <w:highlight w:val="none"/>
              </w:rPr>
              <w:t>采购人</w:t>
            </w:r>
            <w:r>
              <w:rPr>
                <w:rFonts w:ascii="宋体" w:hAnsi="宋体"/>
                <w:color w:val="auto"/>
                <w:szCs w:val="21"/>
                <w:highlight w:val="none"/>
              </w:rPr>
              <w:t>有权不予受理。</w:t>
            </w:r>
          </w:p>
          <w:p>
            <w:pPr>
              <w:topLinePunct/>
              <w:autoSpaceDE w:val="0"/>
              <w:autoSpaceDN w:val="0"/>
              <w:rPr>
                <w:rFonts w:ascii="宋体" w:hAnsi="宋体"/>
                <w:color w:val="auto"/>
                <w:szCs w:val="21"/>
                <w:highlight w:val="none"/>
              </w:rPr>
            </w:pPr>
            <w:r>
              <w:rPr>
                <w:rFonts w:hint="eastAsia" w:ascii="宋体" w:hAnsi="宋体"/>
                <w:color w:val="auto"/>
                <w:szCs w:val="21"/>
                <w:highlight w:val="none"/>
              </w:rPr>
              <w:t>1.采购管理部门联系人：李先生</w:t>
            </w:r>
          </w:p>
          <w:p>
            <w:pPr>
              <w:topLinePunct/>
              <w:autoSpaceDE w:val="0"/>
              <w:autoSpaceDN w:val="0"/>
              <w:rPr>
                <w:rFonts w:ascii="宋体" w:hAnsi="宋体"/>
                <w:color w:val="auto"/>
                <w:szCs w:val="21"/>
                <w:highlight w:val="none"/>
              </w:rPr>
            </w:pPr>
            <w:r>
              <w:rPr>
                <w:rFonts w:hint="eastAsia" w:ascii="宋体" w:hAnsi="宋体"/>
                <w:color w:val="auto"/>
                <w:szCs w:val="21"/>
                <w:highlight w:val="none"/>
              </w:rPr>
              <w:t>电　话：</w:t>
            </w:r>
            <w:r>
              <w:rPr>
                <w:rFonts w:ascii="宋体" w:hAnsi="宋体"/>
                <w:color w:val="auto"/>
                <w:szCs w:val="21"/>
                <w:highlight w:val="none"/>
              </w:rPr>
              <w:t>024-</w:t>
            </w:r>
            <w:r>
              <w:rPr>
                <w:rFonts w:hint="eastAsia" w:ascii="宋体" w:hAnsi="宋体"/>
                <w:color w:val="auto"/>
                <w:szCs w:val="21"/>
                <w:highlight w:val="none"/>
              </w:rPr>
              <w:t>81180258</w:t>
            </w:r>
          </w:p>
          <w:p>
            <w:pPr>
              <w:topLinePunct/>
              <w:autoSpaceDE w:val="0"/>
              <w:autoSpaceDN w:val="0"/>
              <w:rPr>
                <w:rFonts w:ascii="宋体" w:hAnsi="宋体"/>
                <w:color w:val="auto"/>
                <w:szCs w:val="21"/>
                <w:highlight w:val="none"/>
              </w:rPr>
            </w:pPr>
            <w:r>
              <w:rPr>
                <w:rFonts w:hint="eastAsia" w:ascii="宋体" w:hAnsi="宋体"/>
                <w:color w:val="auto"/>
                <w:szCs w:val="21"/>
                <w:highlight w:val="none"/>
              </w:rPr>
              <w:t>2.项目需求部门联系人：罗先生</w:t>
            </w:r>
          </w:p>
          <w:p>
            <w:pPr>
              <w:topLinePunct/>
              <w:autoSpaceDE w:val="0"/>
              <w:autoSpaceDN w:val="0"/>
              <w:rPr>
                <w:rFonts w:ascii="宋体" w:hAnsi="宋体"/>
                <w:color w:val="auto"/>
                <w:szCs w:val="21"/>
                <w:highlight w:val="none"/>
              </w:rPr>
            </w:pPr>
            <w:r>
              <w:rPr>
                <w:rFonts w:hint="eastAsia" w:ascii="宋体" w:hAnsi="宋体"/>
                <w:color w:val="auto"/>
                <w:szCs w:val="21"/>
                <w:highlight w:val="none"/>
              </w:rPr>
              <w:t>电　话：024-81180932</w:t>
            </w:r>
          </w:p>
          <w:p>
            <w:pPr>
              <w:topLinePunct/>
              <w:autoSpaceDE w:val="0"/>
              <w:autoSpaceDN w:val="0"/>
              <w:rPr>
                <w:rFonts w:ascii="宋体" w:hAnsi="宋体"/>
                <w:b/>
                <w:color w:val="auto"/>
                <w:highlight w:val="none"/>
              </w:rPr>
            </w:pPr>
            <w:r>
              <w:rPr>
                <w:rFonts w:hint="eastAsia" w:ascii="宋体" w:hAnsi="宋体"/>
                <w:color w:val="auto"/>
                <w:szCs w:val="21"/>
                <w:highlight w:val="none"/>
              </w:rPr>
              <w:t>地址：沈阳市沈河区青年大街256号 国家税务总局辽宁省税务局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759" w:type="dxa"/>
            <w:vAlign w:val="center"/>
          </w:tcPr>
          <w:p>
            <w:pPr>
              <w:pStyle w:val="19"/>
              <w:jc w:val="center"/>
              <w:rPr>
                <w:rFonts w:hint="default" w:hAnsi="宋体"/>
                <w:color w:val="auto"/>
                <w:kern w:val="2"/>
                <w:sz w:val="18"/>
                <w:szCs w:val="18"/>
                <w:highlight w:val="none"/>
              </w:rPr>
            </w:pPr>
            <w:r>
              <w:rPr>
                <w:rFonts w:hAnsi="宋体"/>
                <w:color w:val="auto"/>
                <w:kern w:val="2"/>
                <w:highlight w:val="none"/>
              </w:rPr>
              <w:t>23</w:t>
            </w:r>
          </w:p>
        </w:tc>
        <w:tc>
          <w:tcPr>
            <w:tcW w:w="1781" w:type="dxa"/>
            <w:vAlign w:val="center"/>
          </w:tcPr>
          <w:p>
            <w:pPr>
              <w:pStyle w:val="19"/>
              <w:jc w:val="left"/>
              <w:rPr>
                <w:rFonts w:hint="default" w:hAnsi="宋体"/>
                <w:color w:val="auto"/>
                <w:kern w:val="2"/>
                <w:highlight w:val="none"/>
              </w:rPr>
            </w:pPr>
            <w:r>
              <w:rPr>
                <w:rFonts w:hAnsi="宋体"/>
                <w:color w:val="auto"/>
                <w:kern w:val="2"/>
                <w:highlight w:val="none"/>
              </w:rPr>
              <w:t>定标原则</w:t>
            </w:r>
          </w:p>
        </w:tc>
        <w:tc>
          <w:tcPr>
            <w:tcW w:w="6437" w:type="dxa"/>
            <w:gridSpan w:val="2"/>
            <w:vAlign w:val="center"/>
          </w:tcPr>
          <w:p>
            <w:pPr>
              <w:pStyle w:val="19"/>
              <w:adjustRightInd w:val="0"/>
              <w:snapToGrid w:val="0"/>
              <w:rPr>
                <w:rFonts w:hint="default" w:hAnsi="宋体"/>
                <w:color w:val="auto"/>
                <w:kern w:val="2"/>
                <w:highlight w:val="none"/>
              </w:rPr>
            </w:pPr>
            <w:r>
              <w:rPr>
                <w:rFonts w:hAnsi="宋体"/>
                <w:color w:val="auto"/>
                <w:kern w:val="2"/>
                <w:highlight w:val="none"/>
              </w:rPr>
              <w:t>1.采购人在评标报告确定的中标候选人名单中按顺序确定中标人。</w:t>
            </w:r>
          </w:p>
          <w:p>
            <w:pPr>
              <w:pStyle w:val="19"/>
              <w:adjustRightInd w:val="0"/>
              <w:snapToGrid w:val="0"/>
              <w:rPr>
                <w:rFonts w:hint="default" w:hAnsi="宋体"/>
                <w:color w:val="auto"/>
                <w:kern w:val="2"/>
                <w:highlight w:val="none"/>
              </w:rPr>
            </w:pPr>
            <w:r>
              <w:rPr>
                <w:rFonts w:hAnsi="宋体"/>
                <w:color w:val="auto"/>
                <w:kern w:val="2"/>
                <w:highlight w:val="none"/>
              </w:rPr>
              <w:t>2.中标候选人并列的，按照以下方式确定中标人。</w:t>
            </w:r>
          </w:p>
          <w:p>
            <w:pPr>
              <w:pStyle w:val="19"/>
              <w:adjustRightInd w:val="0"/>
              <w:snapToGrid w:val="0"/>
              <w:rPr>
                <w:rFonts w:hint="default" w:hAnsi="宋体"/>
                <w:color w:val="auto"/>
                <w:kern w:val="2"/>
                <w:highlight w:val="none"/>
              </w:rPr>
            </w:pPr>
            <w:r>
              <w:rPr>
                <w:rFonts w:hAnsi="宋体"/>
                <w:color w:val="auto"/>
                <w:kern w:val="2"/>
                <w:highlight w:val="none"/>
              </w:rPr>
              <w:t>□随机抽取</w:t>
            </w:r>
          </w:p>
          <w:p>
            <w:pPr>
              <w:pStyle w:val="19"/>
              <w:jc w:val="left"/>
              <w:rPr>
                <w:rFonts w:hint="default" w:hAnsi="宋体"/>
                <w:color w:val="auto"/>
                <w:kern w:val="2"/>
                <w:highlight w:val="none"/>
              </w:rPr>
            </w:pPr>
            <w:r>
              <w:rPr>
                <w:rFonts w:hAnsi="宋体"/>
                <w:color w:val="auto"/>
                <w:kern w:val="2"/>
                <w:highlight w:val="none"/>
              </w:rPr>
              <w:t>☑其他：由采购人或者采购人委托评标委员会按照招标文件规定的方式确定中标人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759" w:type="dxa"/>
            <w:vAlign w:val="center"/>
          </w:tcPr>
          <w:p>
            <w:pPr>
              <w:pStyle w:val="19"/>
              <w:jc w:val="center"/>
              <w:rPr>
                <w:rFonts w:hint="default" w:hAnsi="宋体"/>
                <w:color w:val="auto"/>
                <w:kern w:val="2"/>
                <w:sz w:val="18"/>
                <w:szCs w:val="18"/>
                <w:highlight w:val="none"/>
              </w:rPr>
            </w:pPr>
            <w:r>
              <w:rPr>
                <w:rFonts w:hAnsi="宋体"/>
                <w:color w:val="auto"/>
                <w:kern w:val="2"/>
                <w:highlight w:val="none"/>
              </w:rPr>
              <w:t>24</w:t>
            </w:r>
          </w:p>
        </w:tc>
        <w:tc>
          <w:tcPr>
            <w:tcW w:w="1781" w:type="dxa"/>
            <w:vAlign w:val="center"/>
          </w:tcPr>
          <w:p>
            <w:pPr>
              <w:pStyle w:val="19"/>
              <w:jc w:val="left"/>
              <w:rPr>
                <w:rFonts w:hint="default" w:hAnsi="宋体"/>
                <w:color w:val="auto"/>
                <w:kern w:val="2"/>
                <w:highlight w:val="none"/>
              </w:rPr>
            </w:pPr>
            <w:r>
              <w:rPr>
                <w:rFonts w:hAnsi="宋体"/>
                <w:color w:val="auto"/>
                <w:kern w:val="2"/>
                <w:highlight w:val="none"/>
              </w:rPr>
              <w:t>评标委员会组成</w:t>
            </w:r>
          </w:p>
        </w:tc>
        <w:tc>
          <w:tcPr>
            <w:tcW w:w="6437" w:type="dxa"/>
            <w:gridSpan w:val="2"/>
            <w:vAlign w:val="center"/>
          </w:tcPr>
          <w:p>
            <w:pPr>
              <w:jc w:val="left"/>
              <w:rPr>
                <w:rFonts w:ascii="宋体" w:hAnsi="宋体"/>
                <w:color w:val="auto"/>
                <w:szCs w:val="21"/>
                <w:highlight w:val="none"/>
              </w:rPr>
            </w:pPr>
            <w:r>
              <w:rPr>
                <w:rFonts w:ascii="Arial" w:hAnsi="Arial" w:cs="Arial"/>
                <w:color w:val="auto"/>
                <w:szCs w:val="21"/>
                <w:highlight w:val="none"/>
              </w:rPr>
              <w:t>本项目评标委员会由</w:t>
            </w:r>
            <w:r>
              <w:rPr>
                <w:rFonts w:hint="eastAsia" w:ascii="Arial" w:hAnsi="Arial" w:cs="Arial"/>
                <w:color w:val="auto"/>
                <w:szCs w:val="21"/>
                <w:highlight w:val="none"/>
                <w:u w:val="single"/>
              </w:rPr>
              <w:t>1</w:t>
            </w:r>
            <w:r>
              <w:rPr>
                <w:rFonts w:ascii="Arial" w:hAnsi="Arial" w:cs="Arial"/>
                <w:color w:val="auto"/>
                <w:szCs w:val="21"/>
                <w:highlight w:val="none"/>
              </w:rPr>
              <w:t>名采购人代表和</w:t>
            </w:r>
            <w:r>
              <w:rPr>
                <w:rFonts w:hint="eastAsia" w:ascii="Arial" w:hAnsi="Arial" w:cs="Arial"/>
                <w:color w:val="auto"/>
                <w:szCs w:val="21"/>
                <w:highlight w:val="none"/>
                <w:u w:val="single"/>
              </w:rPr>
              <w:t>4</w:t>
            </w:r>
            <w:r>
              <w:rPr>
                <w:rFonts w:ascii="Arial" w:hAnsi="Arial" w:cs="Arial"/>
                <w:color w:val="auto"/>
                <w:szCs w:val="21"/>
                <w:highlight w:val="none"/>
              </w:rPr>
              <w:t>名评审专家</w:t>
            </w:r>
            <w:r>
              <w:rPr>
                <w:rFonts w:hint="eastAsia" w:ascii="Arial" w:hAnsi="Arial" w:cs="Arial"/>
                <w:color w:val="auto"/>
                <w:szCs w:val="21"/>
                <w:highlight w:val="none"/>
              </w:rPr>
              <w:t>组成，评审专家</w:t>
            </w:r>
            <w:r>
              <w:rPr>
                <w:rFonts w:ascii="Arial" w:hAnsi="Arial" w:cs="Arial"/>
                <w:color w:val="auto"/>
                <w:szCs w:val="21"/>
                <w:highlight w:val="none"/>
              </w:rPr>
              <w:t>从中国政府采购网评审专家库中抽取产生</w:t>
            </w:r>
            <w:r>
              <w:rPr>
                <w:rFonts w:ascii="Arial" w:hAnsi="Arial" w:cs="Arial"/>
                <w:b/>
                <w:bCs/>
                <w:color w:val="auto"/>
                <w:szCs w:val="21"/>
                <w:highlight w:val="none"/>
              </w:rPr>
              <w:t>。</w:t>
            </w:r>
          </w:p>
        </w:tc>
      </w:tr>
    </w:tbl>
    <w:p>
      <w:pPr>
        <w:topLinePunct/>
        <w:autoSpaceDE w:val="0"/>
        <w:autoSpaceDN w:val="0"/>
        <w:spacing w:line="460" w:lineRule="exact"/>
        <w:jc w:val="center"/>
        <w:rPr>
          <w:rFonts w:ascii="宋体" w:hAnsi="宋体"/>
          <w:b/>
          <w:color w:val="auto"/>
          <w:sz w:val="32"/>
          <w:szCs w:val="32"/>
          <w:highlight w:val="none"/>
        </w:rPr>
      </w:pPr>
      <w:r>
        <w:rPr>
          <w:rFonts w:ascii="宋体" w:hAnsi="宋体"/>
          <w:color w:val="auto"/>
          <w:sz w:val="32"/>
          <w:szCs w:val="32"/>
          <w:highlight w:val="none"/>
        </w:rPr>
        <w:br w:type="page"/>
      </w:r>
      <w:r>
        <w:rPr>
          <w:rFonts w:ascii="宋体" w:hAnsi="宋体"/>
          <w:b/>
          <w:color w:val="auto"/>
          <w:sz w:val="32"/>
          <w:szCs w:val="32"/>
          <w:highlight w:val="none"/>
        </w:rPr>
        <w:t>一、 总    则</w:t>
      </w:r>
    </w:p>
    <w:p>
      <w:pPr>
        <w:topLinePunct/>
        <w:autoSpaceDE w:val="0"/>
        <w:autoSpaceDN w:val="0"/>
        <w:spacing w:line="460" w:lineRule="exact"/>
        <w:ind w:firstLine="472" w:firstLineChars="196"/>
        <w:rPr>
          <w:rFonts w:ascii="宋体" w:hAnsi="宋体"/>
          <w:b/>
          <w:color w:val="auto"/>
          <w:sz w:val="24"/>
          <w:highlight w:val="none"/>
        </w:rPr>
      </w:pPr>
      <w:r>
        <w:rPr>
          <w:rFonts w:ascii="宋体" w:hAnsi="宋体"/>
          <w:b/>
          <w:color w:val="auto"/>
          <w:sz w:val="24"/>
          <w:highlight w:val="none"/>
        </w:rPr>
        <w:t>1. 预算资金及来源</w:t>
      </w:r>
    </w:p>
    <w:p>
      <w:pPr>
        <w:topLinePunct/>
        <w:autoSpaceDE w:val="0"/>
        <w:autoSpaceDN w:val="0"/>
        <w:spacing w:line="480" w:lineRule="exact"/>
        <w:ind w:left="432"/>
        <w:rPr>
          <w:rFonts w:ascii="宋体" w:hAnsi="宋体"/>
          <w:color w:val="auto"/>
          <w:sz w:val="24"/>
          <w:highlight w:val="none"/>
        </w:rPr>
      </w:pPr>
      <w:r>
        <w:rPr>
          <w:rFonts w:ascii="宋体" w:hAnsi="宋体"/>
          <w:color w:val="auto"/>
          <w:sz w:val="24"/>
          <w:highlight w:val="none"/>
        </w:rPr>
        <w:t>1.1 本项目已经国家税务总局辽宁省税务局批准立项。</w:t>
      </w:r>
    </w:p>
    <w:p>
      <w:pPr>
        <w:topLinePunct/>
        <w:autoSpaceDE w:val="0"/>
        <w:autoSpaceDN w:val="0"/>
        <w:spacing w:line="480" w:lineRule="exact"/>
        <w:ind w:firstLine="432" w:firstLineChars="180"/>
        <w:rPr>
          <w:rFonts w:ascii="宋体" w:hAnsi="宋体"/>
          <w:color w:val="auto"/>
          <w:sz w:val="24"/>
          <w:highlight w:val="none"/>
        </w:rPr>
      </w:pPr>
      <w:r>
        <w:rPr>
          <w:rFonts w:ascii="宋体" w:hAnsi="宋体"/>
          <w:color w:val="auto"/>
          <w:sz w:val="24"/>
          <w:highlight w:val="none"/>
        </w:rPr>
        <w:t>1.2 本项目预算资金见</w:t>
      </w:r>
      <w:r>
        <w:rPr>
          <w:rFonts w:ascii="宋体" w:hAnsi="宋体"/>
          <w:b/>
          <w:bCs/>
          <w:color w:val="auto"/>
          <w:sz w:val="24"/>
          <w:highlight w:val="none"/>
        </w:rPr>
        <w:t>投标人须知前附表</w:t>
      </w:r>
      <w:r>
        <w:rPr>
          <w:rFonts w:ascii="宋体" w:hAnsi="宋体"/>
          <w:color w:val="auto"/>
          <w:sz w:val="24"/>
          <w:highlight w:val="none"/>
        </w:rPr>
        <w:t>，已列入国家税务总局辽宁省税务局预算。</w:t>
      </w:r>
    </w:p>
    <w:p>
      <w:pPr>
        <w:topLinePunct/>
        <w:autoSpaceDE w:val="0"/>
        <w:autoSpaceDN w:val="0"/>
        <w:spacing w:line="480" w:lineRule="exact"/>
        <w:rPr>
          <w:rFonts w:ascii="宋体" w:hAnsi="宋体"/>
          <w:color w:val="auto"/>
          <w:sz w:val="24"/>
          <w:highlight w:val="none"/>
        </w:rPr>
      </w:pPr>
    </w:p>
    <w:p>
      <w:pPr>
        <w:numPr>
          <w:ilvl w:val="0"/>
          <w:numId w:val="3"/>
        </w:numPr>
        <w:topLinePunct/>
        <w:autoSpaceDE w:val="0"/>
        <w:autoSpaceDN w:val="0"/>
        <w:spacing w:line="460" w:lineRule="exact"/>
        <w:ind w:firstLine="472" w:firstLineChars="196"/>
        <w:rPr>
          <w:rFonts w:ascii="宋体" w:hAnsi="宋体"/>
          <w:b/>
          <w:color w:val="auto"/>
          <w:sz w:val="24"/>
          <w:highlight w:val="none"/>
        </w:rPr>
      </w:pPr>
      <w:r>
        <w:rPr>
          <w:rFonts w:ascii="宋体" w:hAnsi="宋体"/>
          <w:b/>
          <w:color w:val="auto"/>
          <w:sz w:val="24"/>
          <w:highlight w:val="none"/>
        </w:rPr>
        <w:t>合格的</w:t>
      </w:r>
      <w:r>
        <w:rPr>
          <w:rFonts w:hint="eastAsia" w:ascii="宋体" w:hAnsi="宋体"/>
          <w:b/>
          <w:color w:val="auto"/>
          <w:sz w:val="24"/>
          <w:highlight w:val="none"/>
        </w:rPr>
        <w:t>货物和</w:t>
      </w:r>
      <w:r>
        <w:rPr>
          <w:rFonts w:ascii="宋体" w:hAnsi="宋体"/>
          <w:b/>
          <w:color w:val="auto"/>
          <w:sz w:val="24"/>
          <w:highlight w:val="none"/>
        </w:rPr>
        <w:t>服务</w:t>
      </w:r>
    </w:p>
    <w:p>
      <w:pPr>
        <w:spacing w:line="460" w:lineRule="exact"/>
        <w:ind w:firstLine="470" w:firstLineChars="196"/>
        <w:rPr>
          <w:rFonts w:ascii="宋体" w:hAnsi="宋体"/>
          <w:color w:val="auto"/>
          <w:sz w:val="24"/>
          <w:highlight w:val="none"/>
        </w:rPr>
      </w:pPr>
      <w:r>
        <w:rPr>
          <w:rFonts w:ascii="宋体" w:hAnsi="宋体"/>
          <w:color w:val="auto"/>
          <w:sz w:val="24"/>
          <w:highlight w:val="none"/>
        </w:rPr>
        <w:t>2.1 本项目所涉及的有关</w:t>
      </w:r>
      <w:r>
        <w:rPr>
          <w:rFonts w:hint="eastAsia" w:ascii="宋体" w:hAnsi="宋体"/>
          <w:color w:val="auto"/>
          <w:sz w:val="24"/>
          <w:highlight w:val="none"/>
        </w:rPr>
        <w:t>货物和</w:t>
      </w:r>
      <w:r>
        <w:rPr>
          <w:rFonts w:ascii="宋体" w:hAnsi="宋体"/>
          <w:color w:val="auto"/>
          <w:sz w:val="24"/>
          <w:highlight w:val="none"/>
        </w:rPr>
        <w:t>服务均应来自中国境内（指关境内），合同金额的支付也仅限于这些</w:t>
      </w:r>
      <w:r>
        <w:rPr>
          <w:rFonts w:hint="eastAsia" w:ascii="宋体" w:hAnsi="宋体"/>
          <w:color w:val="auto"/>
          <w:sz w:val="24"/>
          <w:highlight w:val="none"/>
        </w:rPr>
        <w:t>货物和</w:t>
      </w:r>
      <w:r>
        <w:rPr>
          <w:rFonts w:ascii="宋体" w:hAnsi="宋体"/>
          <w:color w:val="auto"/>
          <w:sz w:val="24"/>
          <w:highlight w:val="none"/>
        </w:rPr>
        <w:t>服务。</w:t>
      </w:r>
    </w:p>
    <w:p>
      <w:pPr>
        <w:spacing w:line="460" w:lineRule="exact"/>
        <w:ind w:firstLine="470" w:firstLineChars="196"/>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2</w:t>
      </w:r>
      <w:r>
        <w:rPr>
          <w:rFonts w:ascii="宋体" w:hAnsi="宋体"/>
          <w:color w:val="auto"/>
          <w:sz w:val="24"/>
          <w:highlight w:val="none"/>
        </w:rPr>
        <w:t xml:space="preserve"> 合格的</w:t>
      </w:r>
      <w:r>
        <w:rPr>
          <w:rFonts w:hint="eastAsia" w:ascii="宋体" w:hAnsi="宋体"/>
          <w:color w:val="auto"/>
          <w:sz w:val="24"/>
          <w:highlight w:val="none"/>
        </w:rPr>
        <w:t>货物和</w:t>
      </w:r>
      <w:r>
        <w:rPr>
          <w:rFonts w:ascii="宋体" w:hAnsi="宋体"/>
          <w:color w:val="auto"/>
          <w:sz w:val="24"/>
          <w:highlight w:val="none"/>
        </w:rPr>
        <w:t>服务是指投标人按照采购需求（详见招标文件第二部分技术部分），向采购人提供符合要求的</w:t>
      </w:r>
      <w:r>
        <w:rPr>
          <w:rFonts w:hint="eastAsia" w:ascii="宋体" w:hAnsi="宋体"/>
          <w:color w:val="auto"/>
          <w:sz w:val="24"/>
          <w:highlight w:val="none"/>
        </w:rPr>
        <w:t>货物</w:t>
      </w:r>
      <w:r>
        <w:rPr>
          <w:rFonts w:ascii="宋体" w:hAnsi="宋体"/>
          <w:color w:val="auto"/>
          <w:sz w:val="24"/>
          <w:highlight w:val="none"/>
        </w:rPr>
        <w:t xml:space="preserve">服务。 </w:t>
      </w:r>
    </w:p>
    <w:p>
      <w:pPr>
        <w:spacing w:line="460" w:lineRule="exact"/>
        <w:ind w:firstLine="470" w:firstLineChars="196"/>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3投标人应保证所提供的产品及服务免受第三方提出侵犯其知识产权（专利权、商标权、工业设计权及使用权）的请求及起诉。</w:t>
      </w:r>
    </w:p>
    <w:p>
      <w:pPr>
        <w:spacing w:line="460" w:lineRule="exact"/>
        <w:ind w:firstLine="472" w:firstLineChars="196"/>
        <w:rPr>
          <w:rFonts w:ascii="宋体" w:hAnsi="宋体"/>
          <w:b/>
          <w:color w:val="auto"/>
          <w:sz w:val="24"/>
          <w:highlight w:val="none"/>
        </w:rPr>
      </w:pPr>
    </w:p>
    <w:p>
      <w:pPr>
        <w:numPr>
          <w:ilvl w:val="0"/>
          <w:numId w:val="3"/>
        </w:numPr>
        <w:topLinePunct/>
        <w:autoSpaceDE w:val="0"/>
        <w:autoSpaceDN w:val="0"/>
        <w:spacing w:line="460" w:lineRule="exact"/>
        <w:ind w:firstLine="472" w:firstLineChars="196"/>
        <w:rPr>
          <w:rFonts w:ascii="宋体" w:hAnsi="宋体"/>
          <w:b/>
          <w:color w:val="auto"/>
          <w:sz w:val="24"/>
          <w:highlight w:val="none"/>
        </w:rPr>
      </w:pPr>
      <w:r>
        <w:rPr>
          <w:rFonts w:ascii="宋体" w:hAnsi="宋体"/>
          <w:b/>
          <w:color w:val="auto"/>
          <w:sz w:val="24"/>
          <w:highlight w:val="none"/>
        </w:rPr>
        <w:t>合格的投标人</w:t>
      </w:r>
    </w:p>
    <w:p>
      <w:pPr>
        <w:topLinePunct/>
        <w:autoSpaceDE w:val="0"/>
        <w:autoSpaceDN w:val="0"/>
        <w:spacing w:line="480" w:lineRule="exact"/>
        <w:ind w:firstLine="432" w:firstLineChars="180"/>
        <w:rPr>
          <w:rFonts w:ascii="宋体" w:hAnsi="宋体"/>
          <w:b/>
          <w:color w:val="auto"/>
          <w:sz w:val="24"/>
          <w:highlight w:val="none"/>
        </w:rPr>
      </w:pPr>
      <w:r>
        <w:rPr>
          <w:rFonts w:ascii="宋体" w:hAnsi="宋体"/>
          <w:color w:val="auto"/>
          <w:sz w:val="24"/>
          <w:highlight w:val="none"/>
        </w:rPr>
        <w:t>3.1 投标人的资格要求及本项目的特定资格要求见</w:t>
      </w:r>
      <w:r>
        <w:rPr>
          <w:rFonts w:ascii="宋体" w:hAnsi="宋体"/>
          <w:b/>
          <w:color w:val="auto"/>
          <w:sz w:val="24"/>
          <w:highlight w:val="none"/>
        </w:rPr>
        <w:t>投标人须知前附表。</w:t>
      </w:r>
    </w:p>
    <w:p>
      <w:pPr>
        <w:topLinePunct/>
        <w:autoSpaceDE w:val="0"/>
        <w:autoSpaceDN w:val="0"/>
        <w:spacing w:line="480" w:lineRule="exact"/>
        <w:ind w:firstLine="432" w:firstLineChars="180"/>
        <w:rPr>
          <w:rFonts w:ascii="宋体" w:hAnsi="宋体"/>
          <w:color w:val="auto"/>
          <w:sz w:val="24"/>
          <w:highlight w:val="none"/>
        </w:rPr>
      </w:pPr>
      <w:r>
        <w:rPr>
          <w:rFonts w:ascii="宋体" w:hAnsi="宋体"/>
          <w:color w:val="auto"/>
          <w:sz w:val="24"/>
          <w:highlight w:val="none"/>
        </w:rPr>
        <w:t>3.2 投标人相关要求</w:t>
      </w:r>
    </w:p>
    <w:p>
      <w:pPr>
        <w:widowControl/>
        <w:topLinePunct/>
        <w:autoSpaceDE w:val="0"/>
        <w:autoSpaceDN w:val="0"/>
        <w:spacing w:line="480" w:lineRule="exact"/>
        <w:ind w:firstLine="432" w:firstLineChars="180"/>
        <w:jc w:val="left"/>
        <w:rPr>
          <w:rFonts w:ascii="宋体" w:hAnsi="宋体"/>
          <w:color w:val="auto"/>
          <w:sz w:val="24"/>
          <w:highlight w:val="none"/>
        </w:rPr>
      </w:pPr>
      <w:r>
        <w:rPr>
          <w:rFonts w:ascii="宋体" w:hAnsi="宋体"/>
          <w:color w:val="auto"/>
          <w:sz w:val="24"/>
          <w:highlight w:val="none"/>
        </w:rPr>
        <w:t>3.2.1 单位负责人为同一人或者存在直接控股、管理关系的不同供应商，不得参加同一合同项下的政府采购活动。</w:t>
      </w:r>
    </w:p>
    <w:p>
      <w:pPr>
        <w:widowControl/>
        <w:topLinePunct/>
        <w:autoSpaceDE w:val="0"/>
        <w:autoSpaceDN w:val="0"/>
        <w:spacing w:line="480" w:lineRule="exact"/>
        <w:ind w:firstLine="432" w:firstLineChars="180"/>
        <w:jc w:val="left"/>
        <w:rPr>
          <w:rFonts w:ascii="宋体" w:hAnsi="宋体"/>
          <w:color w:val="auto"/>
          <w:sz w:val="24"/>
          <w:highlight w:val="none"/>
        </w:rPr>
      </w:pPr>
      <w:r>
        <w:rPr>
          <w:rFonts w:ascii="宋体" w:hAnsi="宋体"/>
          <w:color w:val="auto"/>
          <w:sz w:val="24"/>
          <w:highlight w:val="none"/>
        </w:rPr>
        <w:t>3.2.2 为采购项目提供整体设计、规范编制或者项目管理、监理、检测等服务的供应商，不得再参加该采购项目的其他采购活动。</w:t>
      </w:r>
    </w:p>
    <w:p>
      <w:pPr>
        <w:numPr>
          <w:ilvl w:val="0"/>
          <w:numId w:val="3"/>
        </w:numPr>
        <w:topLinePunct/>
        <w:autoSpaceDE w:val="0"/>
        <w:autoSpaceDN w:val="0"/>
        <w:spacing w:line="460" w:lineRule="exact"/>
        <w:ind w:firstLine="472" w:firstLineChars="196"/>
        <w:rPr>
          <w:rFonts w:ascii="宋体" w:hAnsi="宋体"/>
          <w:b/>
          <w:color w:val="auto"/>
          <w:sz w:val="24"/>
          <w:highlight w:val="none"/>
        </w:rPr>
      </w:pPr>
      <w:r>
        <w:rPr>
          <w:rFonts w:ascii="宋体" w:hAnsi="宋体"/>
          <w:b/>
          <w:color w:val="auto"/>
          <w:sz w:val="24"/>
          <w:highlight w:val="none"/>
        </w:rPr>
        <w:t>投标费用</w:t>
      </w:r>
    </w:p>
    <w:p>
      <w:pPr>
        <w:widowControl/>
        <w:topLinePunct/>
        <w:autoSpaceDE w:val="0"/>
        <w:autoSpaceDN w:val="0"/>
        <w:spacing w:line="480" w:lineRule="exact"/>
        <w:ind w:firstLine="432" w:firstLineChars="180"/>
        <w:jc w:val="left"/>
        <w:rPr>
          <w:rFonts w:ascii="宋体" w:hAnsi="宋体"/>
          <w:color w:val="auto"/>
          <w:sz w:val="24"/>
          <w:highlight w:val="none"/>
        </w:rPr>
      </w:pPr>
      <w:r>
        <w:rPr>
          <w:rFonts w:hint="eastAsia" w:ascii="宋体" w:hAnsi="宋体"/>
          <w:color w:val="auto"/>
          <w:sz w:val="24"/>
          <w:highlight w:val="none"/>
        </w:rPr>
        <w:t>4.1</w:t>
      </w:r>
      <w:r>
        <w:rPr>
          <w:rFonts w:ascii="宋体" w:hAnsi="宋体"/>
          <w:color w:val="auto"/>
          <w:sz w:val="24"/>
          <w:highlight w:val="none"/>
        </w:rPr>
        <w:t>投标人应承担所有与编写、提交投标文件有关的费用，不论招标的结果如何，采购人在任何情况下均无义务和责任承担这些费用。</w:t>
      </w:r>
    </w:p>
    <w:p>
      <w:pPr>
        <w:numPr>
          <w:ilvl w:val="0"/>
          <w:numId w:val="3"/>
        </w:numPr>
        <w:topLinePunct/>
        <w:autoSpaceDE w:val="0"/>
        <w:autoSpaceDN w:val="0"/>
        <w:spacing w:line="460" w:lineRule="exact"/>
        <w:ind w:firstLine="472" w:firstLineChars="196"/>
        <w:rPr>
          <w:rFonts w:ascii="宋体" w:hAnsi="宋体"/>
          <w:b/>
          <w:color w:val="auto"/>
          <w:sz w:val="24"/>
          <w:highlight w:val="none"/>
        </w:rPr>
      </w:pPr>
      <w:r>
        <w:rPr>
          <w:rFonts w:hint="eastAsia" w:ascii="宋体" w:hAnsi="宋体"/>
          <w:b/>
          <w:color w:val="auto"/>
          <w:sz w:val="24"/>
          <w:highlight w:val="none"/>
        </w:rPr>
        <w:t>适用法律</w:t>
      </w:r>
    </w:p>
    <w:p>
      <w:pPr>
        <w:topLinePunct/>
        <w:autoSpaceDE w:val="0"/>
        <w:autoSpaceDN w:val="0"/>
        <w:spacing w:line="460" w:lineRule="exact"/>
        <w:ind w:firstLine="480" w:firstLineChars="200"/>
        <w:rPr>
          <w:rFonts w:ascii="宋体" w:hAnsi="宋体"/>
          <w:color w:val="auto"/>
          <w:sz w:val="24"/>
          <w:highlight w:val="none"/>
        </w:rPr>
      </w:pPr>
      <w:r>
        <w:rPr>
          <w:rFonts w:hint="eastAsia" w:ascii="宋体" w:hAnsi="宋体"/>
          <w:color w:val="auto"/>
          <w:sz w:val="24"/>
          <w:highlight w:val="none"/>
        </w:rPr>
        <w:t>5.1本项目的采购人、投标人、评标委员会的相关行为均受《中华人民共和国政府采购法》、《中华人民共和国政府采购法实施条例》及本项目本级和上级财政部门政府采购有关规定的约束，其权利受到上述法律法规的保护。</w:t>
      </w:r>
    </w:p>
    <w:p>
      <w:pPr>
        <w:pStyle w:val="2"/>
        <w:ind w:firstLine="0"/>
        <w:rPr>
          <w:color w:val="auto"/>
          <w:highlight w:val="none"/>
        </w:rPr>
      </w:pPr>
    </w:p>
    <w:p>
      <w:pPr>
        <w:topLinePunct/>
        <w:autoSpaceDE w:val="0"/>
        <w:autoSpaceDN w:val="0"/>
        <w:spacing w:line="460" w:lineRule="exact"/>
        <w:ind w:firstLine="480" w:firstLineChars="200"/>
        <w:rPr>
          <w:rFonts w:ascii="宋体" w:hAnsi="宋体"/>
          <w:color w:val="auto"/>
          <w:sz w:val="24"/>
          <w:highlight w:val="none"/>
        </w:rPr>
      </w:pPr>
    </w:p>
    <w:p>
      <w:pPr>
        <w:topLinePunct/>
        <w:autoSpaceDE w:val="0"/>
        <w:autoSpaceDN w:val="0"/>
        <w:spacing w:line="460" w:lineRule="exact"/>
        <w:jc w:val="center"/>
        <w:rPr>
          <w:rFonts w:ascii="宋体" w:hAnsi="宋体"/>
          <w:b/>
          <w:bCs/>
          <w:color w:val="auto"/>
          <w:sz w:val="32"/>
          <w:szCs w:val="32"/>
          <w:highlight w:val="none"/>
        </w:rPr>
      </w:pPr>
      <w:r>
        <w:rPr>
          <w:rFonts w:ascii="宋体" w:hAnsi="宋体"/>
          <w:b/>
          <w:bCs/>
          <w:color w:val="auto"/>
          <w:sz w:val="32"/>
          <w:szCs w:val="32"/>
          <w:highlight w:val="none"/>
        </w:rPr>
        <w:t>二、 招标文件</w:t>
      </w:r>
    </w:p>
    <w:p>
      <w:pPr>
        <w:topLinePunct/>
        <w:autoSpaceDE w:val="0"/>
        <w:autoSpaceDN w:val="0"/>
        <w:spacing w:line="460" w:lineRule="exact"/>
        <w:ind w:firstLine="472" w:firstLineChars="196"/>
        <w:rPr>
          <w:rFonts w:ascii="宋体" w:hAnsi="宋体"/>
          <w:b/>
          <w:color w:val="auto"/>
          <w:sz w:val="24"/>
          <w:highlight w:val="none"/>
        </w:rPr>
      </w:pPr>
      <w:r>
        <w:rPr>
          <w:rFonts w:ascii="宋体" w:hAnsi="宋体"/>
          <w:b/>
          <w:color w:val="auto"/>
          <w:sz w:val="24"/>
          <w:highlight w:val="none"/>
        </w:rPr>
        <w:t>招标文件构成</w:t>
      </w:r>
    </w:p>
    <w:p>
      <w:pPr>
        <w:topLinePunct/>
        <w:autoSpaceDE w:val="0"/>
        <w:autoSpaceDN w:val="0"/>
        <w:spacing w:line="460" w:lineRule="exact"/>
        <w:ind w:left="359" w:leftChars="171" w:firstLine="120" w:firstLineChars="50"/>
        <w:rPr>
          <w:rFonts w:ascii="宋体" w:hAnsi="宋体"/>
          <w:color w:val="auto"/>
          <w:sz w:val="24"/>
          <w:highlight w:val="none"/>
        </w:rPr>
      </w:pPr>
      <w:r>
        <w:rPr>
          <w:rFonts w:ascii="宋体" w:hAnsi="宋体"/>
          <w:color w:val="auto"/>
          <w:sz w:val="24"/>
          <w:highlight w:val="none"/>
        </w:rPr>
        <w:t>第一部分 商务部分</w:t>
      </w:r>
    </w:p>
    <w:p>
      <w:pPr>
        <w:topLinePunct/>
        <w:autoSpaceDE w:val="0"/>
        <w:autoSpaceDN w:val="0"/>
        <w:spacing w:line="400" w:lineRule="exact"/>
        <w:ind w:left="359" w:leftChars="171" w:firstLine="120" w:firstLineChars="50"/>
        <w:rPr>
          <w:rFonts w:ascii="宋体" w:hAnsi="宋体"/>
          <w:color w:val="auto"/>
          <w:sz w:val="24"/>
          <w:highlight w:val="none"/>
        </w:rPr>
      </w:pPr>
      <w:r>
        <w:rPr>
          <w:rFonts w:ascii="宋体" w:hAnsi="宋体"/>
          <w:color w:val="auto"/>
          <w:sz w:val="24"/>
          <w:highlight w:val="none"/>
        </w:rPr>
        <w:t>（1）招标公告</w:t>
      </w:r>
    </w:p>
    <w:p>
      <w:pPr>
        <w:topLinePunct/>
        <w:autoSpaceDE w:val="0"/>
        <w:autoSpaceDN w:val="0"/>
        <w:spacing w:line="400" w:lineRule="exact"/>
        <w:ind w:left="359" w:leftChars="171" w:firstLine="120" w:firstLineChars="50"/>
        <w:rPr>
          <w:rFonts w:ascii="宋体" w:hAnsi="宋体"/>
          <w:color w:val="auto"/>
          <w:sz w:val="24"/>
          <w:highlight w:val="none"/>
        </w:rPr>
      </w:pPr>
      <w:r>
        <w:rPr>
          <w:rFonts w:ascii="宋体" w:hAnsi="宋体"/>
          <w:color w:val="auto"/>
          <w:sz w:val="24"/>
          <w:highlight w:val="none"/>
        </w:rPr>
        <w:t>（2）投标人须知</w:t>
      </w:r>
    </w:p>
    <w:p>
      <w:pPr>
        <w:topLinePunct/>
        <w:autoSpaceDE w:val="0"/>
        <w:autoSpaceDN w:val="0"/>
        <w:spacing w:line="400" w:lineRule="exact"/>
        <w:ind w:left="359" w:leftChars="171" w:firstLine="120" w:firstLineChars="50"/>
        <w:rPr>
          <w:rFonts w:ascii="宋体" w:hAnsi="宋体"/>
          <w:color w:val="auto"/>
          <w:sz w:val="24"/>
          <w:highlight w:val="none"/>
        </w:rPr>
      </w:pPr>
      <w:r>
        <w:rPr>
          <w:rFonts w:ascii="宋体" w:hAnsi="宋体"/>
          <w:color w:val="auto"/>
          <w:sz w:val="24"/>
          <w:highlight w:val="none"/>
        </w:rPr>
        <w:t>（3）评标方法及标准</w:t>
      </w:r>
    </w:p>
    <w:p>
      <w:pPr>
        <w:topLinePunct/>
        <w:autoSpaceDE w:val="0"/>
        <w:autoSpaceDN w:val="0"/>
        <w:spacing w:line="400" w:lineRule="exact"/>
        <w:ind w:left="359" w:leftChars="171" w:firstLine="120" w:firstLineChars="50"/>
        <w:rPr>
          <w:rFonts w:ascii="宋体" w:hAnsi="宋体"/>
          <w:color w:val="auto"/>
          <w:sz w:val="24"/>
          <w:highlight w:val="none"/>
        </w:rPr>
      </w:pPr>
      <w:r>
        <w:rPr>
          <w:rFonts w:ascii="宋体" w:hAnsi="宋体"/>
          <w:color w:val="auto"/>
          <w:sz w:val="24"/>
          <w:highlight w:val="none"/>
        </w:rPr>
        <w:t>（4）政府采购合同</w:t>
      </w:r>
      <w:r>
        <w:rPr>
          <w:rFonts w:hint="eastAsia" w:ascii="宋体" w:hAnsi="宋体"/>
          <w:color w:val="auto"/>
          <w:sz w:val="24"/>
          <w:highlight w:val="none"/>
        </w:rPr>
        <w:t>样</w:t>
      </w:r>
      <w:r>
        <w:rPr>
          <w:rFonts w:ascii="宋体" w:hAnsi="宋体"/>
          <w:color w:val="auto"/>
          <w:sz w:val="24"/>
          <w:highlight w:val="none"/>
        </w:rPr>
        <w:t>本</w:t>
      </w:r>
    </w:p>
    <w:p>
      <w:pPr>
        <w:topLinePunct/>
        <w:autoSpaceDE w:val="0"/>
        <w:autoSpaceDN w:val="0"/>
        <w:spacing w:line="400" w:lineRule="exact"/>
        <w:ind w:left="359" w:leftChars="171" w:firstLine="120" w:firstLineChars="50"/>
        <w:rPr>
          <w:rFonts w:ascii="宋体" w:hAnsi="宋体"/>
          <w:color w:val="auto"/>
          <w:sz w:val="24"/>
          <w:highlight w:val="none"/>
        </w:rPr>
      </w:pPr>
      <w:r>
        <w:rPr>
          <w:rFonts w:ascii="宋体" w:hAnsi="宋体"/>
          <w:color w:val="auto"/>
          <w:sz w:val="24"/>
          <w:highlight w:val="none"/>
        </w:rPr>
        <w:t>（5）投标文件格式</w:t>
      </w:r>
    </w:p>
    <w:p>
      <w:pPr>
        <w:topLinePunct/>
        <w:autoSpaceDE w:val="0"/>
        <w:autoSpaceDN w:val="0"/>
        <w:spacing w:line="460" w:lineRule="exact"/>
        <w:ind w:firstLine="480" w:firstLineChars="200"/>
        <w:rPr>
          <w:rFonts w:ascii="宋体" w:hAnsi="宋体"/>
          <w:color w:val="auto"/>
          <w:sz w:val="24"/>
          <w:highlight w:val="none"/>
        </w:rPr>
      </w:pPr>
      <w:r>
        <w:rPr>
          <w:rFonts w:ascii="宋体" w:hAnsi="宋体"/>
          <w:color w:val="auto"/>
          <w:sz w:val="24"/>
          <w:highlight w:val="none"/>
        </w:rPr>
        <w:t>第二部分 技术部分</w:t>
      </w:r>
    </w:p>
    <w:p>
      <w:pPr>
        <w:topLinePunct/>
        <w:autoSpaceDE w:val="0"/>
        <w:autoSpaceDN w:val="0"/>
        <w:spacing w:line="460" w:lineRule="exact"/>
        <w:ind w:firstLine="480" w:firstLineChars="200"/>
        <w:rPr>
          <w:rFonts w:ascii="宋体" w:hAnsi="宋体"/>
          <w:color w:val="auto"/>
          <w:sz w:val="24"/>
          <w:highlight w:val="none"/>
        </w:rPr>
      </w:pPr>
      <w:r>
        <w:rPr>
          <w:rFonts w:ascii="宋体" w:hAnsi="宋体"/>
          <w:color w:val="auto"/>
          <w:sz w:val="24"/>
          <w:highlight w:val="none"/>
        </w:rPr>
        <w:t>（6）项目业务需求</w:t>
      </w:r>
    </w:p>
    <w:p>
      <w:pPr>
        <w:topLinePunct/>
        <w:autoSpaceDE w:val="0"/>
        <w:autoSpaceDN w:val="0"/>
        <w:spacing w:line="460" w:lineRule="exact"/>
        <w:ind w:firstLine="480" w:firstLineChars="200"/>
        <w:rPr>
          <w:rFonts w:ascii="宋体" w:hAnsi="宋体"/>
          <w:color w:val="auto"/>
          <w:sz w:val="24"/>
          <w:highlight w:val="none"/>
        </w:rPr>
      </w:pPr>
    </w:p>
    <w:p>
      <w:pPr>
        <w:topLinePunct/>
        <w:autoSpaceDE w:val="0"/>
        <w:autoSpaceDN w:val="0"/>
        <w:spacing w:line="460" w:lineRule="exact"/>
        <w:ind w:firstLine="482" w:firstLineChars="200"/>
        <w:rPr>
          <w:rFonts w:ascii="宋体" w:hAnsi="宋体"/>
          <w:b/>
          <w:color w:val="auto"/>
          <w:sz w:val="24"/>
          <w:highlight w:val="none"/>
        </w:rPr>
      </w:pPr>
      <w:r>
        <w:rPr>
          <w:rFonts w:hint="eastAsia" w:ascii="宋体" w:hAnsi="宋体"/>
          <w:b/>
          <w:color w:val="auto"/>
          <w:sz w:val="24"/>
          <w:highlight w:val="none"/>
        </w:rPr>
        <w:t>6</w:t>
      </w:r>
      <w:r>
        <w:rPr>
          <w:rFonts w:ascii="宋体" w:hAnsi="宋体"/>
          <w:b/>
          <w:color w:val="auto"/>
          <w:sz w:val="24"/>
          <w:highlight w:val="none"/>
        </w:rPr>
        <w:t>. 招标文件询问、澄清或修改</w:t>
      </w:r>
    </w:p>
    <w:p>
      <w:pPr>
        <w:widowControl/>
        <w:topLinePunct/>
        <w:autoSpaceDE w:val="0"/>
        <w:autoSpaceDN w:val="0"/>
        <w:spacing w:line="460" w:lineRule="exact"/>
        <w:ind w:firstLine="480" w:firstLineChars="200"/>
        <w:jc w:val="left"/>
        <w:rPr>
          <w:rFonts w:ascii="宋体" w:hAnsi="宋体"/>
          <w:b/>
          <w:color w:val="auto"/>
          <w:sz w:val="24"/>
          <w:highlight w:val="none"/>
        </w:rPr>
      </w:pPr>
      <w:r>
        <w:rPr>
          <w:rFonts w:hint="eastAsia" w:ascii="宋体" w:hAnsi="宋体"/>
          <w:color w:val="auto"/>
          <w:sz w:val="24"/>
          <w:highlight w:val="none"/>
        </w:rPr>
        <w:t>6</w:t>
      </w:r>
      <w:r>
        <w:rPr>
          <w:rFonts w:ascii="宋体" w:hAnsi="宋体"/>
          <w:color w:val="auto"/>
          <w:sz w:val="24"/>
          <w:highlight w:val="none"/>
        </w:rPr>
        <w:t>.1 投标人对招标文件如有疑问的，可以向采购</w:t>
      </w:r>
      <w:r>
        <w:rPr>
          <w:rFonts w:hint="eastAsia" w:ascii="宋体" w:hAnsi="宋体"/>
          <w:color w:val="auto"/>
          <w:sz w:val="24"/>
          <w:highlight w:val="none"/>
        </w:rPr>
        <w:t>人</w:t>
      </w:r>
      <w:r>
        <w:rPr>
          <w:rFonts w:ascii="宋体" w:hAnsi="宋体"/>
          <w:color w:val="auto"/>
          <w:sz w:val="24"/>
          <w:highlight w:val="none"/>
        </w:rPr>
        <w:t>进行询问，见</w:t>
      </w:r>
      <w:r>
        <w:rPr>
          <w:rFonts w:ascii="宋体" w:hAnsi="宋体"/>
          <w:b/>
          <w:bCs/>
          <w:color w:val="auto"/>
          <w:sz w:val="24"/>
          <w:highlight w:val="none"/>
        </w:rPr>
        <w:t>投标人须知前附表</w:t>
      </w:r>
      <w:r>
        <w:rPr>
          <w:rFonts w:ascii="宋体" w:hAnsi="宋体"/>
          <w:color w:val="auto"/>
          <w:sz w:val="24"/>
          <w:highlight w:val="none"/>
        </w:rPr>
        <w:t>。对于投标人依法提出的询问，采购</w:t>
      </w:r>
      <w:r>
        <w:rPr>
          <w:rFonts w:hint="eastAsia" w:ascii="宋体" w:hAnsi="宋体"/>
          <w:color w:val="auto"/>
          <w:sz w:val="24"/>
          <w:highlight w:val="none"/>
        </w:rPr>
        <w:t>人</w:t>
      </w:r>
      <w:r>
        <w:rPr>
          <w:rFonts w:ascii="宋体" w:hAnsi="宋体"/>
          <w:color w:val="auto"/>
          <w:sz w:val="24"/>
          <w:highlight w:val="none"/>
        </w:rPr>
        <w:t>应当在3个工作日内作出答复。如有必要</w:t>
      </w:r>
      <w:r>
        <w:rPr>
          <w:rFonts w:hint="eastAsia" w:ascii="宋体" w:hAnsi="宋体"/>
          <w:color w:val="auto"/>
          <w:sz w:val="24"/>
          <w:highlight w:val="none"/>
        </w:rPr>
        <w:t>，采购人</w:t>
      </w:r>
      <w:r>
        <w:rPr>
          <w:rFonts w:ascii="宋体" w:hAnsi="宋体"/>
          <w:color w:val="auto"/>
          <w:sz w:val="24"/>
          <w:highlight w:val="none"/>
        </w:rPr>
        <w:t>可对招标文件进行澄清或者修改。</w:t>
      </w:r>
    </w:p>
    <w:p>
      <w:pPr>
        <w:topLinePunct/>
        <w:autoSpaceDE w:val="0"/>
        <w:autoSpaceDN w:val="0"/>
        <w:spacing w:line="460" w:lineRule="exact"/>
        <w:ind w:firstLine="480" w:firstLineChars="200"/>
        <w:rPr>
          <w:rFonts w:ascii="宋体" w:hAnsi="宋体"/>
          <w:color w:val="auto"/>
          <w:sz w:val="24"/>
          <w:highlight w:val="none"/>
        </w:rPr>
      </w:pPr>
      <w:r>
        <w:rPr>
          <w:rFonts w:ascii="宋体" w:hAnsi="宋体"/>
          <w:color w:val="auto"/>
          <w:sz w:val="24"/>
          <w:highlight w:val="none"/>
        </w:rPr>
        <w:t>6.2 采购人可主动对招标文件进行必要的澄清或者修改，但不得改变采购标的和资格条件。</w:t>
      </w:r>
    </w:p>
    <w:p>
      <w:pPr>
        <w:topLinePunct/>
        <w:autoSpaceDE w:val="0"/>
        <w:autoSpaceDN w:val="0"/>
        <w:spacing w:line="460" w:lineRule="exact"/>
        <w:ind w:firstLine="480" w:firstLineChars="200"/>
        <w:rPr>
          <w:rFonts w:ascii="宋体" w:hAnsi="宋体"/>
          <w:color w:val="auto"/>
          <w:sz w:val="24"/>
          <w:highlight w:val="none"/>
        </w:rPr>
      </w:pPr>
      <w:r>
        <w:rPr>
          <w:rFonts w:ascii="宋体" w:hAnsi="宋体"/>
          <w:color w:val="auto"/>
          <w:sz w:val="24"/>
          <w:highlight w:val="none"/>
        </w:rPr>
        <w:t>6.3 澄清或者修改应当在原公告发布媒体上发布更正公告，并以纸质文件、传真、电子邮件等书面形式通知所有获取招标文件的潜在投标人。</w:t>
      </w:r>
    </w:p>
    <w:p>
      <w:pPr>
        <w:topLinePunct/>
        <w:autoSpaceDE w:val="0"/>
        <w:autoSpaceDN w:val="0"/>
        <w:spacing w:line="460" w:lineRule="exact"/>
        <w:ind w:firstLine="480" w:firstLineChars="200"/>
        <w:rPr>
          <w:rFonts w:ascii="宋体" w:hAnsi="宋体"/>
          <w:color w:val="auto"/>
          <w:sz w:val="24"/>
          <w:highlight w:val="none"/>
        </w:rPr>
      </w:pPr>
      <w:r>
        <w:rPr>
          <w:rFonts w:ascii="宋体" w:hAnsi="宋体"/>
          <w:color w:val="auto"/>
          <w:sz w:val="24"/>
          <w:highlight w:val="none"/>
        </w:rPr>
        <w:t>6.4 澄清或者修改的内容可能影响投标文件编制的，</w:t>
      </w:r>
      <w:r>
        <w:rPr>
          <w:rFonts w:hint="eastAsia" w:ascii="宋体" w:hAnsi="宋体"/>
          <w:color w:val="auto"/>
          <w:sz w:val="24"/>
          <w:highlight w:val="none"/>
        </w:rPr>
        <w:t>采购人</w:t>
      </w:r>
      <w:r>
        <w:rPr>
          <w:rFonts w:ascii="宋体" w:hAnsi="宋体"/>
          <w:color w:val="auto"/>
          <w:sz w:val="24"/>
          <w:highlight w:val="none"/>
        </w:rPr>
        <w:t>应当在投标截止时间至少15日前，以纸质文件、传真、电子邮件等书面形式通知所有获取招标文件的潜在投标人；不足15日的，</w:t>
      </w:r>
      <w:r>
        <w:rPr>
          <w:rFonts w:hint="eastAsia" w:ascii="宋体" w:hAnsi="宋体"/>
          <w:color w:val="auto"/>
          <w:sz w:val="24"/>
          <w:highlight w:val="none"/>
        </w:rPr>
        <w:t>采购人</w:t>
      </w:r>
      <w:r>
        <w:rPr>
          <w:rFonts w:ascii="宋体" w:hAnsi="宋体"/>
          <w:color w:val="auto"/>
          <w:sz w:val="24"/>
          <w:highlight w:val="none"/>
        </w:rPr>
        <w:t>应当顺延提交投标文件的截止时间。</w:t>
      </w:r>
    </w:p>
    <w:p>
      <w:pPr>
        <w:topLinePunct/>
        <w:autoSpaceDE w:val="0"/>
        <w:autoSpaceDN w:val="0"/>
        <w:spacing w:line="460" w:lineRule="exact"/>
        <w:ind w:firstLine="480" w:firstLineChars="200"/>
        <w:rPr>
          <w:rFonts w:ascii="宋体" w:hAnsi="宋体"/>
          <w:color w:val="auto"/>
          <w:sz w:val="24"/>
          <w:highlight w:val="none"/>
        </w:rPr>
      </w:pPr>
      <w:r>
        <w:rPr>
          <w:rFonts w:ascii="宋体" w:hAnsi="宋体"/>
          <w:color w:val="auto"/>
          <w:sz w:val="24"/>
          <w:highlight w:val="none"/>
        </w:rPr>
        <w:t>6.5 澄清或者修改的内容为招标文件的组成部分。</w:t>
      </w:r>
    </w:p>
    <w:p>
      <w:pPr>
        <w:topLinePunct/>
        <w:autoSpaceDE w:val="0"/>
        <w:autoSpaceDN w:val="0"/>
        <w:spacing w:line="460" w:lineRule="exact"/>
        <w:rPr>
          <w:rFonts w:ascii="宋体" w:hAnsi="宋体"/>
          <w:b/>
          <w:color w:val="auto"/>
          <w:sz w:val="24"/>
          <w:highlight w:val="none"/>
        </w:rPr>
      </w:pPr>
    </w:p>
    <w:p>
      <w:pPr>
        <w:topLinePunct/>
        <w:autoSpaceDE w:val="0"/>
        <w:autoSpaceDN w:val="0"/>
        <w:spacing w:line="460" w:lineRule="exact"/>
        <w:jc w:val="center"/>
        <w:rPr>
          <w:rFonts w:ascii="宋体" w:hAnsi="宋体"/>
          <w:b/>
          <w:bCs/>
          <w:color w:val="auto"/>
          <w:sz w:val="32"/>
          <w:szCs w:val="32"/>
          <w:highlight w:val="none"/>
        </w:rPr>
      </w:pPr>
      <w:r>
        <w:rPr>
          <w:rFonts w:ascii="宋体" w:hAnsi="宋体"/>
          <w:b/>
          <w:bCs/>
          <w:color w:val="auto"/>
          <w:sz w:val="32"/>
          <w:szCs w:val="32"/>
          <w:highlight w:val="none"/>
        </w:rPr>
        <w:t>三、 投标文件</w:t>
      </w:r>
    </w:p>
    <w:p>
      <w:pPr>
        <w:topLinePunct/>
        <w:autoSpaceDE w:val="0"/>
        <w:autoSpaceDN w:val="0"/>
        <w:spacing w:line="460" w:lineRule="exact"/>
        <w:rPr>
          <w:rFonts w:ascii="宋体" w:hAnsi="宋体"/>
          <w:color w:val="auto"/>
          <w:sz w:val="24"/>
          <w:highlight w:val="none"/>
        </w:rPr>
      </w:pPr>
    </w:p>
    <w:p>
      <w:pPr>
        <w:topLinePunct/>
        <w:autoSpaceDE w:val="0"/>
        <w:autoSpaceDN w:val="0"/>
        <w:spacing w:line="460" w:lineRule="exact"/>
        <w:ind w:firstLine="482" w:firstLineChars="200"/>
        <w:rPr>
          <w:rFonts w:ascii="宋体" w:hAnsi="宋体"/>
          <w:b/>
          <w:color w:val="auto"/>
          <w:sz w:val="24"/>
          <w:highlight w:val="none"/>
        </w:rPr>
      </w:pPr>
      <w:r>
        <w:rPr>
          <w:rFonts w:ascii="宋体" w:hAnsi="宋体"/>
          <w:b/>
          <w:color w:val="auto"/>
          <w:sz w:val="24"/>
          <w:highlight w:val="none"/>
        </w:rPr>
        <w:t>7.投标文件编制</w:t>
      </w:r>
    </w:p>
    <w:p>
      <w:pPr>
        <w:topLinePunct/>
        <w:autoSpaceDE w:val="0"/>
        <w:autoSpaceDN w:val="0"/>
        <w:spacing w:line="460" w:lineRule="exact"/>
        <w:ind w:firstLine="480" w:firstLineChars="200"/>
        <w:rPr>
          <w:rFonts w:ascii="宋体" w:hAnsi="宋体"/>
          <w:color w:val="auto"/>
          <w:sz w:val="24"/>
          <w:highlight w:val="none"/>
        </w:rPr>
      </w:pPr>
      <w:r>
        <w:rPr>
          <w:rFonts w:ascii="宋体" w:hAnsi="宋体"/>
          <w:color w:val="auto"/>
          <w:sz w:val="24"/>
          <w:highlight w:val="none"/>
        </w:rPr>
        <w:t xml:space="preserve">7.1 </w:t>
      </w:r>
      <w:r>
        <w:rPr>
          <w:rFonts w:hint="eastAsia" w:ascii="宋体" w:hAnsi="宋体"/>
          <w:color w:val="auto"/>
          <w:sz w:val="24"/>
          <w:highlight w:val="none"/>
        </w:rPr>
        <w:t>投标人应当按照招标文件的要求编制投标文件。投标文件应当对招标文件提出的要求和条件作出明确响应。</w:t>
      </w:r>
    </w:p>
    <w:p>
      <w:pPr>
        <w:topLinePunct/>
        <w:autoSpaceDE w:val="0"/>
        <w:autoSpaceDN w:val="0"/>
        <w:spacing w:line="460" w:lineRule="exact"/>
        <w:ind w:firstLine="480" w:firstLineChars="200"/>
        <w:rPr>
          <w:rFonts w:ascii="宋体" w:hAnsi="宋体"/>
          <w:color w:val="auto"/>
          <w:sz w:val="24"/>
          <w:highlight w:val="none"/>
        </w:rPr>
      </w:pPr>
      <w:r>
        <w:rPr>
          <w:rFonts w:ascii="宋体" w:hAnsi="宋体"/>
          <w:color w:val="auto"/>
          <w:sz w:val="24"/>
          <w:highlight w:val="none"/>
        </w:rPr>
        <w:t>7.2 投标文件应使用中文简化字，采用打印或用不褪色墨水书写，并统一编目编码装订成册。从节约环保考虑，鼓励双面打印。</w:t>
      </w:r>
    </w:p>
    <w:p>
      <w:pPr>
        <w:topLinePunct/>
        <w:autoSpaceDE w:val="0"/>
        <w:autoSpaceDN w:val="0"/>
        <w:spacing w:line="460" w:lineRule="exact"/>
        <w:ind w:firstLine="480" w:firstLineChars="200"/>
        <w:rPr>
          <w:rFonts w:ascii="宋体" w:hAnsi="宋体"/>
          <w:color w:val="auto"/>
          <w:sz w:val="24"/>
          <w:highlight w:val="none"/>
        </w:rPr>
      </w:pPr>
      <w:r>
        <w:rPr>
          <w:rFonts w:ascii="宋体" w:hAnsi="宋体"/>
          <w:color w:val="auto"/>
          <w:sz w:val="24"/>
          <w:highlight w:val="none"/>
        </w:rPr>
        <w:t>7.3 每套投标文件须清楚地标明“正本”、“副本”和“电子版本”的字样。正本和副本不一致的以正本为准，纸质文档与电子文档不一致的，以纸质文档为准。</w:t>
      </w:r>
    </w:p>
    <w:p>
      <w:pPr>
        <w:topLinePunct/>
        <w:autoSpaceDE w:val="0"/>
        <w:autoSpaceDN w:val="0"/>
        <w:spacing w:line="460" w:lineRule="exact"/>
        <w:ind w:firstLine="480" w:firstLineChars="200"/>
        <w:rPr>
          <w:rFonts w:ascii="宋体" w:hAnsi="宋体"/>
          <w:color w:val="auto"/>
          <w:sz w:val="24"/>
          <w:highlight w:val="none"/>
        </w:rPr>
      </w:pPr>
      <w:r>
        <w:rPr>
          <w:rFonts w:ascii="宋体" w:hAnsi="宋体"/>
          <w:color w:val="auto"/>
          <w:sz w:val="24"/>
          <w:highlight w:val="none"/>
        </w:rPr>
        <w:t>7.4 除在招标文件的要求中另有规定外，投标文件计量单位应使用中华人民共和国法定计量单位。</w:t>
      </w:r>
    </w:p>
    <w:p>
      <w:pPr>
        <w:topLinePunct/>
        <w:autoSpaceDE w:val="0"/>
        <w:autoSpaceDN w:val="0"/>
        <w:spacing w:line="460" w:lineRule="exact"/>
        <w:ind w:firstLine="480" w:firstLineChars="200"/>
        <w:rPr>
          <w:rFonts w:ascii="宋体" w:hAnsi="宋体"/>
          <w:color w:val="auto"/>
          <w:sz w:val="24"/>
          <w:highlight w:val="none"/>
        </w:rPr>
      </w:pPr>
    </w:p>
    <w:p>
      <w:pPr>
        <w:topLinePunct/>
        <w:autoSpaceDE w:val="0"/>
        <w:autoSpaceDN w:val="0"/>
        <w:spacing w:line="460" w:lineRule="exact"/>
        <w:ind w:firstLine="482" w:firstLineChars="200"/>
        <w:rPr>
          <w:rFonts w:ascii="宋体" w:hAnsi="宋体"/>
          <w:b/>
          <w:color w:val="auto"/>
          <w:sz w:val="24"/>
          <w:highlight w:val="none"/>
        </w:rPr>
      </w:pPr>
      <w:r>
        <w:rPr>
          <w:rFonts w:ascii="宋体" w:hAnsi="宋体"/>
          <w:b/>
          <w:color w:val="auto"/>
          <w:sz w:val="24"/>
          <w:highlight w:val="none"/>
        </w:rPr>
        <w:t>8</w:t>
      </w:r>
      <w:r>
        <w:rPr>
          <w:rFonts w:ascii="宋体" w:hAnsi="宋体"/>
          <w:color w:val="auto"/>
          <w:szCs w:val="21"/>
          <w:highlight w:val="none"/>
        </w:rPr>
        <w:t>．</w:t>
      </w:r>
      <w:r>
        <w:rPr>
          <w:rFonts w:ascii="宋体" w:hAnsi="宋体"/>
          <w:b/>
          <w:color w:val="auto"/>
          <w:sz w:val="24"/>
          <w:highlight w:val="none"/>
        </w:rPr>
        <w:t>投标文件的组成</w:t>
      </w:r>
    </w:p>
    <w:p>
      <w:pPr>
        <w:topLinePunct/>
        <w:autoSpaceDE w:val="0"/>
        <w:autoSpaceDN w:val="0"/>
        <w:spacing w:line="460" w:lineRule="exact"/>
        <w:ind w:firstLine="480" w:firstLineChars="200"/>
        <w:rPr>
          <w:rFonts w:ascii="宋体" w:hAnsi="宋体"/>
          <w:color w:val="auto"/>
          <w:sz w:val="24"/>
          <w:highlight w:val="none"/>
        </w:rPr>
      </w:pPr>
      <w:r>
        <w:rPr>
          <w:rFonts w:ascii="宋体" w:hAnsi="宋体"/>
          <w:color w:val="auto"/>
          <w:sz w:val="24"/>
          <w:highlight w:val="none"/>
        </w:rPr>
        <w:t>8.1 投标文件包括商务部分和技术部分</w:t>
      </w:r>
      <w:r>
        <w:rPr>
          <w:rFonts w:hint="eastAsia" w:ascii="宋体" w:hAnsi="宋体"/>
          <w:color w:val="auto"/>
          <w:sz w:val="24"/>
          <w:highlight w:val="none"/>
        </w:rPr>
        <w:t>，建议装订成册</w:t>
      </w:r>
      <w:r>
        <w:rPr>
          <w:color w:val="auto"/>
          <w:sz w:val="24"/>
          <w:highlight w:val="none"/>
        </w:rPr>
        <w:t>。</w:t>
      </w:r>
    </w:p>
    <w:p>
      <w:pPr>
        <w:topLinePunct/>
        <w:autoSpaceDE w:val="0"/>
        <w:autoSpaceDN w:val="0"/>
        <w:spacing w:line="460" w:lineRule="exact"/>
        <w:ind w:firstLine="489" w:firstLineChars="204"/>
        <w:rPr>
          <w:rFonts w:ascii="宋体" w:hAnsi="宋体"/>
          <w:color w:val="auto"/>
          <w:sz w:val="24"/>
          <w:highlight w:val="none"/>
        </w:rPr>
      </w:pPr>
      <w:r>
        <w:rPr>
          <w:rFonts w:ascii="宋体" w:hAnsi="宋体"/>
          <w:color w:val="auto"/>
          <w:sz w:val="24"/>
          <w:highlight w:val="none"/>
        </w:rPr>
        <w:t>8.2 投标文件</w:t>
      </w:r>
      <w:r>
        <w:rPr>
          <w:rFonts w:ascii="宋体" w:hAnsi="宋体"/>
          <w:b/>
          <w:bCs/>
          <w:color w:val="auto"/>
          <w:sz w:val="24"/>
          <w:highlight w:val="none"/>
        </w:rPr>
        <w:t>商务部分</w:t>
      </w:r>
      <w:r>
        <w:rPr>
          <w:rFonts w:ascii="宋体" w:hAnsi="宋体"/>
          <w:color w:val="auto"/>
          <w:sz w:val="24"/>
          <w:highlight w:val="none"/>
        </w:rPr>
        <w:t>主要包括的文件和资料：</w:t>
      </w:r>
    </w:p>
    <w:p>
      <w:pPr>
        <w:topLinePunct/>
        <w:autoSpaceDE w:val="0"/>
        <w:autoSpaceDN w:val="0"/>
        <w:spacing w:line="460" w:lineRule="exact"/>
        <w:ind w:firstLine="489" w:firstLineChars="204"/>
        <w:rPr>
          <w:rFonts w:ascii="宋体" w:hAnsi="宋体"/>
          <w:color w:val="auto"/>
          <w:sz w:val="24"/>
          <w:highlight w:val="none"/>
        </w:rPr>
      </w:pPr>
      <w:r>
        <w:rPr>
          <w:rFonts w:ascii="宋体" w:hAnsi="宋体"/>
          <w:color w:val="auto"/>
          <w:sz w:val="24"/>
          <w:highlight w:val="none"/>
        </w:rPr>
        <w:t>8.2.1 资格证明文件，见</w:t>
      </w:r>
      <w:r>
        <w:rPr>
          <w:rFonts w:ascii="宋体" w:hAnsi="宋体"/>
          <w:b/>
          <w:color w:val="auto"/>
          <w:sz w:val="24"/>
          <w:highlight w:val="none"/>
        </w:rPr>
        <w:t>投标人须知前附表。</w:t>
      </w:r>
    </w:p>
    <w:p>
      <w:pPr>
        <w:overflowPunct w:val="0"/>
        <w:autoSpaceDE w:val="0"/>
        <w:autoSpaceDN w:val="0"/>
        <w:spacing w:line="440" w:lineRule="exact"/>
        <w:ind w:firstLine="487" w:firstLineChars="203"/>
        <w:rPr>
          <w:rFonts w:ascii="宋体" w:hAnsi="宋体"/>
          <w:color w:val="auto"/>
          <w:sz w:val="24"/>
          <w:highlight w:val="none"/>
        </w:rPr>
      </w:pPr>
      <w:r>
        <w:rPr>
          <w:rFonts w:ascii="宋体" w:hAnsi="宋体"/>
          <w:color w:val="auto"/>
          <w:sz w:val="24"/>
          <w:highlight w:val="none"/>
        </w:rPr>
        <w:t>8.2.2 其他文件及资料，见</w:t>
      </w:r>
      <w:r>
        <w:rPr>
          <w:rFonts w:ascii="宋体" w:hAnsi="宋体"/>
          <w:b/>
          <w:color w:val="auto"/>
          <w:sz w:val="24"/>
          <w:highlight w:val="none"/>
        </w:rPr>
        <w:t>投标人须知前附表。</w:t>
      </w:r>
    </w:p>
    <w:p>
      <w:pPr>
        <w:overflowPunct w:val="0"/>
        <w:autoSpaceDE w:val="0"/>
        <w:autoSpaceDN w:val="0"/>
        <w:spacing w:line="440" w:lineRule="exact"/>
        <w:ind w:firstLine="487" w:firstLineChars="203"/>
        <w:rPr>
          <w:rFonts w:ascii="宋体" w:hAnsi="宋体"/>
          <w:color w:val="auto"/>
          <w:sz w:val="24"/>
          <w:highlight w:val="none"/>
        </w:rPr>
      </w:pPr>
      <w:r>
        <w:rPr>
          <w:rFonts w:ascii="宋体" w:hAnsi="宋体"/>
          <w:color w:val="auto"/>
          <w:sz w:val="24"/>
          <w:highlight w:val="none"/>
        </w:rPr>
        <w:t>8.3 投标文件</w:t>
      </w:r>
      <w:r>
        <w:rPr>
          <w:rFonts w:ascii="宋体" w:hAnsi="宋体"/>
          <w:b/>
          <w:bCs/>
          <w:color w:val="auto"/>
          <w:sz w:val="24"/>
          <w:highlight w:val="none"/>
        </w:rPr>
        <w:t>技术部分</w:t>
      </w:r>
      <w:r>
        <w:rPr>
          <w:rFonts w:ascii="宋体" w:hAnsi="宋体"/>
          <w:color w:val="auto"/>
          <w:sz w:val="24"/>
          <w:highlight w:val="none"/>
        </w:rPr>
        <w:t>主要包括的文件及资料，见</w:t>
      </w:r>
      <w:r>
        <w:rPr>
          <w:rFonts w:ascii="宋体" w:hAnsi="宋体"/>
          <w:b/>
          <w:color w:val="auto"/>
          <w:sz w:val="24"/>
          <w:highlight w:val="none"/>
        </w:rPr>
        <w:t>投标人须知前附表。</w:t>
      </w:r>
    </w:p>
    <w:p>
      <w:pPr>
        <w:overflowPunct w:val="0"/>
        <w:autoSpaceDE w:val="0"/>
        <w:autoSpaceDN w:val="0"/>
        <w:spacing w:line="440" w:lineRule="exact"/>
        <w:ind w:firstLine="487" w:firstLineChars="203"/>
        <w:rPr>
          <w:rFonts w:ascii="宋体" w:hAnsi="宋体"/>
          <w:color w:val="auto"/>
          <w:sz w:val="24"/>
          <w:highlight w:val="none"/>
        </w:rPr>
      </w:pPr>
      <w:r>
        <w:rPr>
          <w:rFonts w:ascii="宋体" w:hAnsi="宋体"/>
          <w:color w:val="auto"/>
          <w:sz w:val="24"/>
          <w:highlight w:val="none"/>
        </w:rPr>
        <w:t>8.4 证明资料如标明有效期的，必须在有效期内。</w:t>
      </w:r>
    </w:p>
    <w:p>
      <w:pPr>
        <w:overflowPunct w:val="0"/>
        <w:autoSpaceDE w:val="0"/>
        <w:autoSpaceDN w:val="0"/>
        <w:spacing w:line="440" w:lineRule="exact"/>
        <w:ind w:firstLine="489" w:firstLineChars="203"/>
        <w:rPr>
          <w:rFonts w:ascii="宋体" w:hAnsi="宋体"/>
          <w:b/>
          <w:color w:val="auto"/>
          <w:sz w:val="24"/>
          <w:highlight w:val="none"/>
        </w:rPr>
      </w:pPr>
    </w:p>
    <w:p>
      <w:pPr>
        <w:topLinePunct/>
        <w:autoSpaceDE w:val="0"/>
        <w:autoSpaceDN w:val="0"/>
        <w:spacing w:line="440" w:lineRule="exact"/>
        <w:ind w:firstLine="482" w:firstLineChars="200"/>
        <w:rPr>
          <w:rFonts w:ascii="宋体" w:hAnsi="宋体"/>
          <w:b/>
          <w:color w:val="auto"/>
          <w:sz w:val="24"/>
          <w:highlight w:val="none"/>
        </w:rPr>
      </w:pPr>
      <w:r>
        <w:rPr>
          <w:rFonts w:ascii="宋体" w:hAnsi="宋体"/>
          <w:b/>
          <w:color w:val="auto"/>
          <w:sz w:val="24"/>
          <w:highlight w:val="none"/>
        </w:rPr>
        <w:t>9</w:t>
      </w:r>
      <w:r>
        <w:rPr>
          <w:rFonts w:ascii="宋体" w:hAnsi="宋体"/>
          <w:color w:val="auto"/>
          <w:szCs w:val="21"/>
          <w:highlight w:val="none"/>
        </w:rPr>
        <w:t>．</w:t>
      </w:r>
      <w:r>
        <w:rPr>
          <w:rFonts w:ascii="宋体" w:hAnsi="宋体"/>
          <w:b/>
          <w:color w:val="auto"/>
          <w:sz w:val="24"/>
          <w:highlight w:val="none"/>
        </w:rPr>
        <w:t>报价要求</w:t>
      </w:r>
    </w:p>
    <w:p>
      <w:pPr>
        <w:topLinePunct/>
        <w:autoSpaceDE w:val="0"/>
        <w:autoSpaceDN w:val="0"/>
        <w:spacing w:line="460" w:lineRule="exact"/>
        <w:ind w:firstLine="480" w:firstLineChars="200"/>
        <w:rPr>
          <w:rFonts w:ascii="宋体" w:hAnsi="宋体"/>
          <w:color w:val="auto"/>
          <w:sz w:val="24"/>
          <w:highlight w:val="none"/>
        </w:rPr>
      </w:pPr>
      <w:r>
        <w:rPr>
          <w:rFonts w:ascii="宋体" w:hAnsi="宋体"/>
          <w:color w:val="auto"/>
          <w:sz w:val="24"/>
          <w:highlight w:val="none"/>
        </w:rPr>
        <w:t>9.1 投标应以人民币报价，且必须按照招标文件给定的报价表格式进行报价。</w:t>
      </w:r>
    </w:p>
    <w:p>
      <w:pPr>
        <w:topLinePunct/>
        <w:autoSpaceDE w:val="0"/>
        <w:autoSpaceDN w:val="0"/>
        <w:spacing w:line="460" w:lineRule="exact"/>
        <w:ind w:firstLine="480" w:firstLineChars="200"/>
        <w:rPr>
          <w:rFonts w:ascii="宋体" w:hAnsi="宋体"/>
          <w:color w:val="auto"/>
          <w:sz w:val="24"/>
          <w:highlight w:val="none"/>
        </w:rPr>
      </w:pPr>
      <w:r>
        <w:rPr>
          <w:rFonts w:ascii="宋体" w:hAnsi="宋体"/>
          <w:color w:val="auto"/>
          <w:sz w:val="24"/>
          <w:highlight w:val="none"/>
        </w:rPr>
        <w:t>9.2 本项目不接受任何形式的赠送、“零”报价和折扣报价。</w:t>
      </w:r>
    </w:p>
    <w:p>
      <w:pPr>
        <w:topLinePunct/>
        <w:autoSpaceDE w:val="0"/>
        <w:autoSpaceDN w:val="0"/>
        <w:spacing w:line="460" w:lineRule="exact"/>
        <w:ind w:firstLine="480" w:firstLineChars="200"/>
        <w:rPr>
          <w:rFonts w:ascii="宋体" w:hAnsi="宋体"/>
          <w:color w:val="auto"/>
          <w:sz w:val="24"/>
          <w:highlight w:val="none"/>
        </w:rPr>
      </w:pPr>
      <w:r>
        <w:rPr>
          <w:rFonts w:ascii="宋体" w:hAnsi="宋体"/>
          <w:color w:val="auto"/>
          <w:sz w:val="24"/>
          <w:highlight w:val="none"/>
        </w:rPr>
        <w:t>9.3 本项目以投标报价为依据计算价格分。投标报价须包括招标文件中规定的投标人应承担的其他责任和义务等所需的全部费用。</w:t>
      </w:r>
    </w:p>
    <w:p>
      <w:pPr>
        <w:topLinePunct/>
        <w:autoSpaceDE w:val="0"/>
        <w:autoSpaceDN w:val="0"/>
        <w:spacing w:line="460" w:lineRule="exact"/>
        <w:ind w:firstLine="480" w:firstLineChars="200"/>
        <w:rPr>
          <w:rFonts w:ascii="宋体" w:hAnsi="宋体"/>
          <w:color w:val="auto"/>
          <w:sz w:val="24"/>
          <w:highlight w:val="none"/>
        </w:rPr>
      </w:pPr>
      <w:r>
        <w:rPr>
          <w:rFonts w:ascii="宋体" w:hAnsi="宋体"/>
          <w:color w:val="auto"/>
          <w:sz w:val="24"/>
          <w:highlight w:val="none"/>
        </w:rPr>
        <w:t>9.</w:t>
      </w:r>
      <w:r>
        <w:rPr>
          <w:rFonts w:hint="eastAsia" w:ascii="宋体" w:hAnsi="宋体"/>
          <w:color w:val="auto"/>
          <w:sz w:val="24"/>
          <w:highlight w:val="none"/>
        </w:rPr>
        <w:t>4</w:t>
      </w:r>
      <w:r>
        <w:rPr>
          <w:rFonts w:ascii="宋体" w:hAnsi="宋体"/>
          <w:color w:val="auto"/>
          <w:sz w:val="24"/>
          <w:highlight w:val="none"/>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opLinePunct/>
        <w:autoSpaceDE w:val="0"/>
        <w:autoSpaceDN w:val="0"/>
        <w:spacing w:line="460" w:lineRule="exact"/>
        <w:ind w:firstLine="480" w:firstLineChars="200"/>
        <w:rPr>
          <w:rFonts w:ascii="宋体" w:hAnsi="宋体"/>
          <w:color w:val="auto"/>
          <w:sz w:val="24"/>
          <w:highlight w:val="none"/>
        </w:rPr>
      </w:pPr>
      <w:r>
        <w:rPr>
          <w:rFonts w:ascii="宋体" w:hAnsi="宋体"/>
          <w:color w:val="auto"/>
          <w:sz w:val="24"/>
          <w:highlight w:val="none"/>
        </w:rPr>
        <w:t>9.</w:t>
      </w:r>
      <w:r>
        <w:rPr>
          <w:rFonts w:hint="eastAsia" w:ascii="宋体" w:hAnsi="宋体"/>
          <w:color w:val="auto"/>
          <w:sz w:val="24"/>
          <w:highlight w:val="none"/>
        </w:rPr>
        <w:t>5</w:t>
      </w:r>
      <w:r>
        <w:rPr>
          <w:rFonts w:ascii="宋体" w:hAnsi="宋体"/>
          <w:color w:val="auto"/>
          <w:sz w:val="24"/>
          <w:highlight w:val="none"/>
        </w:rPr>
        <w:t xml:space="preserve"> 最低报价不能作为中标的保证。</w:t>
      </w:r>
    </w:p>
    <w:p>
      <w:pPr>
        <w:topLinePunct/>
        <w:autoSpaceDE w:val="0"/>
        <w:autoSpaceDN w:val="0"/>
        <w:spacing w:line="460" w:lineRule="exact"/>
        <w:ind w:firstLine="480" w:firstLineChars="200"/>
        <w:rPr>
          <w:rFonts w:ascii="宋体" w:hAnsi="宋体"/>
          <w:color w:val="auto"/>
          <w:sz w:val="24"/>
          <w:highlight w:val="none"/>
        </w:rPr>
      </w:pPr>
    </w:p>
    <w:p>
      <w:pPr>
        <w:numPr>
          <w:ilvl w:val="0"/>
          <w:numId w:val="4"/>
        </w:numPr>
        <w:topLinePunct/>
        <w:autoSpaceDE w:val="0"/>
        <w:autoSpaceDN w:val="0"/>
        <w:spacing w:line="460" w:lineRule="exact"/>
        <w:ind w:firstLine="482" w:firstLineChars="200"/>
        <w:rPr>
          <w:rFonts w:ascii="宋体" w:hAnsi="宋体"/>
          <w:b/>
          <w:color w:val="auto"/>
          <w:sz w:val="24"/>
          <w:highlight w:val="none"/>
        </w:rPr>
      </w:pPr>
      <w:r>
        <w:rPr>
          <w:rFonts w:ascii="宋体" w:hAnsi="宋体"/>
          <w:b/>
          <w:color w:val="auto"/>
          <w:sz w:val="24"/>
          <w:highlight w:val="none"/>
        </w:rPr>
        <w:t>投标文件的签署、盖章</w:t>
      </w:r>
    </w:p>
    <w:p>
      <w:pPr>
        <w:topLinePunct/>
        <w:autoSpaceDE w:val="0"/>
        <w:autoSpaceDN w:val="0"/>
        <w:spacing w:line="440" w:lineRule="exact"/>
        <w:ind w:firstLine="489" w:firstLineChars="204"/>
        <w:rPr>
          <w:rFonts w:ascii="宋体" w:hAnsi="宋体"/>
          <w:color w:val="auto"/>
          <w:sz w:val="24"/>
          <w:highlight w:val="none"/>
        </w:rPr>
      </w:pPr>
      <w:r>
        <w:rPr>
          <w:rFonts w:ascii="宋体" w:hAnsi="宋体"/>
          <w:color w:val="auto"/>
          <w:sz w:val="24"/>
          <w:highlight w:val="none"/>
        </w:rPr>
        <w:t>10.1 按招标文件第五章“投标文件格式”提交的文件，必须按照文件格式要求进行签署（包括：投标人盖章；法定代表人签字或签章；被授权投标代表签字）。</w:t>
      </w:r>
    </w:p>
    <w:p>
      <w:pPr>
        <w:topLinePunct/>
        <w:autoSpaceDE w:val="0"/>
        <w:autoSpaceDN w:val="0"/>
        <w:spacing w:line="440" w:lineRule="exact"/>
        <w:ind w:firstLine="489" w:firstLineChars="204"/>
        <w:rPr>
          <w:rFonts w:ascii="宋体" w:hAnsi="宋体"/>
          <w:color w:val="auto"/>
          <w:sz w:val="24"/>
          <w:highlight w:val="none"/>
        </w:rPr>
      </w:pPr>
      <w:r>
        <w:rPr>
          <w:rFonts w:ascii="宋体" w:hAnsi="宋体"/>
          <w:color w:val="auto"/>
          <w:sz w:val="24"/>
          <w:highlight w:val="none"/>
        </w:rPr>
        <w:t>10.2 投标人如对投标文件进行修改，必须由投标人盖章，或由法定代表人签字或签章，或由被授权投标代表签字。</w:t>
      </w:r>
    </w:p>
    <w:p>
      <w:pPr>
        <w:topLinePunct/>
        <w:autoSpaceDE w:val="0"/>
        <w:autoSpaceDN w:val="0"/>
        <w:spacing w:line="440" w:lineRule="exact"/>
        <w:ind w:firstLine="489" w:firstLineChars="204"/>
        <w:rPr>
          <w:rFonts w:ascii="宋体" w:hAnsi="宋体"/>
          <w:color w:val="auto"/>
          <w:sz w:val="24"/>
          <w:highlight w:val="none"/>
        </w:rPr>
      </w:pPr>
      <w:r>
        <w:rPr>
          <w:rFonts w:ascii="宋体" w:hAnsi="宋体"/>
          <w:color w:val="auto"/>
          <w:sz w:val="24"/>
          <w:highlight w:val="none"/>
        </w:rPr>
        <w:t>10.3 投标文件中的“盖章”指加盖投标人的“公章”，而非“合同专用章”、“投标专用章”等其他非公章。</w:t>
      </w:r>
    </w:p>
    <w:p>
      <w:pPr>
        <w:topLinePunct/>
        <w:autoSpaceDE w:val="0"/>
        <w:autoSpaceDN w:val="0"/>
        <w:spacing w:line="440" w:lineRule="exact"/>
        <w:ind w:firstLine="489" w:firstLineChars="204"/>
        <w:rPr>
          <w:rFonts w:ascii="宋体" w:hAnsi="宋体"/>
          <w:color w:val="auto"/>
          <w:sz w:val="24"/>
          <w:highlight w:val="none"/>
        </w:rPr>
      </w:pPr>
    </w:p>
    <w:p>
      <w:pPr>
        <w:topLinePunct/>
        <w:autoSpaceDE w:val="0"/>
        <w:autoSpaceDN w:val="0"/>
        <w:spacing w:line="460" w:lineRule="exact"/>
        <w:ind w:firstLine="482" w:firstLineChars="200"/>
        <w:rPr>
          <w:rFonts w:ascii="宋体" w:hAnsi="宋体"/>
          <w:b/>
          <w:color w:val="auto"/>
          <w:sz w:val="24"/>
          <w:highlight w:val="none"/>
        </w:rPr>
      </w:pPr>
      <w:r>
        <w:rPr>
          <w:rFonts w:ascii="宋体" w:hAnsi="宋体"/>
          <w:b/>
          <w:color w:val="auto"/>
          <w:sz w:val="24"/>
          <w:highlight w:val="none"/>
        </w:rPr>
        <w:t>11</w:t>
      </w:r>
      <w:r>
        <w:rPr>
          <w:rFonts w:ascii="宋体" w:hAnsi="宋体"/>
          <w:color w:val="auto"/>
          <w:szCs w:val="21"/>
          <w:highlight w:val="none"/>
        </w:rPr>
        <w:t>．</w:t>
      </w:r>
      <w:r>
        <w:rPr>
          <w:rFonts w:ascii="宋体" w:hAnsi="宋体"/>
          <w:b/>
          <w:color w:val="auto"/>
          <w:sz w:val="24"/>
          <w:highlight w:val="none"/>
        </w:rPr>
        <w:t>投标文件的份数及密封</w:t>
      </w:r>
    </w:p>
    <w:p>
      <w:pPr>
        <w:topLinePunct/>
        <w:autoSpaceDE w:val="0"/>
        <w:autoSpaceDN w:val="0"/>
        <w:spacing w:line="460" w:lineRule="exact"/>
        <w:ind w:firstLine="480" w:firstLineChars="200"/>
        <w:rPr>
          <w:rFonts w:ascii="宋体" w:hAnsi="宋体"/>
          <w:color w:val="auto"/>
          <w:sz w:val="24"/>
          <w:highlight w:val="none"/>
        </w:rPr>
      </w:pPr>
      <w:r>
        <w:rPr>
          <w:rFonts w:ascii="宋体" w:hAnsi="宋体"/>
          <w:color w:val="auto"/>
          <w:sz w:val="24"/>
          <w:highlight w:val="none"/>
        </w:rPr>
        <w:t>11.1 投标人应按照</w:t>
      </w:r>
      <w:r>
        <w:rPr>
          <w:rFonts w:ascii="宋体" w:hAnsi="宋体"/>
          <w:b/>
          <w:color w:val="auto"/>
          <w:sz w:val="24"/>
          <w:highlight w:val="none"/>
        </w:rPr>
        <w:t>投标人须知前附表</w:t>
      </w:r>
      <w:r>
        <w:rPr>
          <w:rFonts w:ascii="宋体" w:hAnsi="宋体"/>
          <w:color w:val="auto"/>
          <w:sz w:val="24"/>
          <w:highlight w:val="none"/>
        </w:rPr>
        <w:t>要求的份数提交，并对提交的投标文件进行密封。</w:t>
      </w:r>
    </w:p>
    <w:p>
      <w:pPr>
        <w:topLinePunct/>
        <w:autoSpaceDE w:val="0"/>
        <w:autoSpaceDN w:val="0"/>
        <w:spacing w:line="460" w:lineRule="exact"/>
        <w:ind w:firstLine="480" w:firstLineChars="200"/>
        <w:rPr>
          <w:rFonts w:ascii="宋体" w:hAnsi="宋体"/>
          <w:color w:val="auto"/>
          <w:sz w:val="24"/>
          <w:highlight w:val="none"/>
        </w:rPr>
      </w:pPr>
      <w:r>
        <w:rPr>
          <w:rFonts w:ascii="宋体" w:hAnsi="宋体"/>
          <w:color w:val="auto"/>
          <w:sz w:val="24"/>
          <w:highlight w:val="none"/>
        </w:rPr>
        <w:t>11.2 投标文件的正本、副本和电子文档均应单独密封包装。</w:t>
      </w:r>
    </w:p>
    <w:p>
      <w:pPr>
        <w:topLinePunct/>
        <w:autoSpaceDE w:val="0"/>
        <w:autoSpaceDN w:val="0"/>
        <w:spacing w:line="460" w:lineRule="exact"/>
        <w:ind w:firstLine="480" w:firstLineChars="200"/>
        <w:rPr>
          <w:rFonts w:ascii="宋体" w:hAnsi="宋体"/>
          <w:color w:val="auto"/>
          <w:sz w:val="24"/>
          <w:highlight w:val="none"/>
        </w:rPr>
      </w:pPr>
      <w:r>
        <w:rPr>
          <w:rFonts w:ascii="宋体" w:hAnsi="宋体"/>
          <w:color w:val="auto"/>
          <w:sz w:val="24"/>
          <w:highlight w:val="none"/>
        </w:rPr>
        <w:t>11.3 密封包装上应标注项目名称、项目编号、投标人</w:t>
      </w:r>
      <w:r>
        <w:rPr>
          <w:rFonts w:ascii="宋体" w:hAnsi="宋体"/>
          <w:bCs/>
          <w:color w:val="auto"/>
          <w:sz w:val="24"/>
          <w:highlight w:val="none"/>
        </w:rPr>
        <w:t>名称</w:t>
      </w:r>
      <w:r>
        <w:rPr>
          <w:rFonts w:ascii="宋体" w:hAnsi="宋体"/>
          <w:color w:val="auto"/>
          <w:sz w:val="24"/>
          <w:highlight w:val="none"/>
        </w:rPr>
        <w:t>等，并根据密封内容标明正本、副本、电子文档、开标一览表。</w:t>
      </w:r>
    </w:p>
    <w:p>
      <w:pPr>
        <w:topLinePunct/>
        <w:autoSpaceDE w:val="0"/>
        <w:autoSpaceDN w:val="0"/>
        <w:spacing w:line="460" w:lineRule="exact"/>
        <w:rPr>
          <w:rFonts w:ascii="宋体" w:hAnsi="宋体"/>
          <w:b/>
          <w:color w:val="auto"/>
          <w:sz w:val="24"/>
          <w:highlight w:val="none"/>
        </w:rPr>
      </w:pPr>
    </w:p>
    <w:p>
      <w:pPr>
        <w:topLinePunct/>
        <w:autoSpaceDE w:val="0"/>
        <w:autoSpaceDN w:val="0"/>
        <w:spacing w:line="460" w:lineRule="exact"/>
        <w:ind w:firstLine="482" w:firstLineChars="200"/>
        <w:rPr>
          <w:rFonts w:ascii="宋体" w:hAnsi="宋体"/>
          <w:b/>
          <w:color w:val="auto"/>
          <w:sz w:val="24"/>
          <w:highlight w:val="none"/>
        </w:rPr>
      </w:pPr>
      <w:r>
        <w:rPr>
          <w:rFonts w:ascii="宋体" w:hAnsi="宋体"/>
          <w:b/>
          <w:color w:val="auto"/>
          <w:sz w:val="24"/>
          <w:highlight w:val="none"/>
        </w:rPr>
        <w:t>12</w:t>
      </w:r>
      <w:r>
        <w:rPr>
          <w:rFonts w:ascii="宋体" w:hAnsi="宋体"/>
          <w:color w:val="auto"/>
          <w:szCs w:val="21"/>
          <w:highlight w:val="none"/>
        </w:rPr>
        <w:t>．</w:t>
      </w:r>
      <w:r>
        <w:rPr>
          <w:rFonts w:ascii="宋体" w:hAnsi="宋体"/>
          <w:b/>
          <w:color w:val="auto"/>
          <w:sz w:val="24"/>
          <w:highlight w:val="none"/>
        </w:rPr>
        <w:t>投标有效期</w:t>
      </w:r>
    </w:p>
    <w:p>
      <w:pPr>
        <w:topLinePunct/>
        <w:autoSpaceDE w:val="0"/>
        <w:autoSpaceDN w:val="0"/>
        <w:spacing w:line="460" w:lineRule="exact"/>
        <w:ind w:firstLine="480" w:firstLineChars="200"/>
        <w:rPr>
          <w:rFonts w:ascii="宋体" w:hAnsi="宋体"/>
          <w:color w:val="auto"/>
          <w:sz w:val="24"/>
          <w:highlight w:val="none"/>
        </w:rPr>
      </w:pPr>
      <w:r>
        <w:rPr>
          <w:rFonts w:ascii="宋体" w:hAnsi="宋体"/>
          <w:color w:val="auto"/>
          <w:sz w:val="24"/>
          <w:highlight w:val="none"/>
        </w:rPr>
        <w:t>12.1 投标有效期见</w:t>
      </w:r>
      <w:r>
        <w:rPr>
          <w:rFonts w:ascii="宋体" w:hAnsi="宋体"/>
          <w:b/>
          <w:color w:val="auto"/>
          <w:sz w:val="24"/>
          <w:highlight w:val="none"/>
        </w:rPr>
        <w:t>投标人须知前附表</w:t>
      </w:r>
      <w:r>
        <w:rPr>
          <w:rFonts w:ascii="宋体" w:hAnsi="宋体"/>
          <w:color w:val="auto"/>
          <w:sz w:val="24"/>
          <w:highlight w:val="none"/>
        </w:rPr>
        <w:t>，在此期间，投标文件对投标人具有法律约束力，以保证采购人有足够的时间完成评标、定标以及签订合同。投标文件中承诺的投标有效期应当不少于招标文件中载明的投标有效期，否则作为无效投标处理。</w:t>
      </w:r>
    </w:p>
    <w:p>
      <w:pPr>
        <w:topLinePunct/>
        <w:autoSpaceDE w:val="0"/>
        <w:autoSpaceDN w:val="0"/>
        <w:spacing w:line="460" w:lineRule="exact"/>
        <w:ind w:firstLine="480" w:firstLineChars="200"/>
        <w:rPr>
          <w:rFonts w:ascii="宋体" w:hAnsi="宋体"/>
          <w:color w:val="auto"/>
          <w:sz w:val="24"/>
          <w:highlight w:val="none"/>
        </w:rPr>
      </w:pPr>
      <w:r>
        <w:rPr>
          <w:rFonts w:ascii="宋体" w:hAnsi="宋体"/>
          <w:color w:val="auto"/>
          <w:sz w:val="24"/>
          <w:highlight w:val="none"/>
        </w:rPr>
        <w:t>12.2 特殊情况下，在原投标有效期期满之前，采购人可征得投标人同意延长投标有效期。</w:t>
      </w:r>
    </w:p>
    <w:p>
      <w:pPr>
        <w:topLinePunct/>
        <w:autoSpaceDE w:val="0"/>
        <w:autoSpaceDN w:val="0"/>
        <w:spacing w:line="460" w:lineRule="exact"/>
        <w:rPr>
          <w:rFonts w:ascii="宋体" w:hAnsi="宋体"/>
          <w:b/>
          <w:bCs/>
          <w:color w:val="auto"/>
          <w:sz w:val="32"/>
          <w:szCs w:val="32"/>
          <w:highlight w:val="none"/>
        </w:rPr>
      </w:pPr>
    </w:p>
    <w:p>
      <w:pPr>
        <w:topLinePunct/>
        <w:autoSpaceDE w:val="0"/>
        <w:autoSpaceDN w:val="0"/>
        <w:spacing w:line="460" w:lineRule="exact"/>
        <w:jc w:val="center"/>
        <w:rPr>
          <w:rFonts w:ascii="宋体" w:hAnsi="宋体"/>
          <w:b/>
          <w:bCs/>
          <w:color w:val="auto"/>
          <w:sz w:val="32"/>
          <w:szCs w:val="32"/>
          <w:highlight w:val="none"/>
        </w:rPr>
      </w:pPr>
      <w:r>
        <w:rPr>
          <w:rFonts w:ascii="宋体" w:hAnsi="宋体"/>
          <w:b/>
          <w:bCs/>
          <w:color w:val="auto"/>
          <w:sz w:val="32"/>
          <w:szCs w:val="32"/>
          <w:highlight w:val="none"/>
        </w:rPr>
        <w:t>四、 投标文件提交</w:t>
      </w:r>
    </w:p>
    <w:p>
      <w:pPr>
        <w:topLinePunct/>
        <w:autoSpaceDE w:val="0"/>
        <w:autoSpaceDN w:val="0"/>
        <w:spacing w:line="460" w:lineRule="exact"/>
        <w:ind w:firstLine="480" w:firstLineChars="200"/>
        <w:rPr>
          <w:rFonts w:ascii="宋体" w:hAnsi="宋体"/>
          <w:color w:val="auto"/>
          <w:sz w:val="24"/>
          <w:highlight w:val="none"/>
        </w:rPr>
      </w:pPr>
    </w:p>
    <w:p>
      <w:pPr>
        <w:topLinePunct/>
        <w:autoSpaceDE w:val="0"/>
        <w:autoSpaceDN w:val="0"/>
        <w:spacing w:line="460" w:lineRule="exact"/>
        <w:ind w:firstLine="482" w:firstLineChars="200"/>
        <w:rPr>
          <w:rFonts w:ascii="宋体" w:hAnsi="宋体"/>
          <w:b/>
          <w:color w:val="auto"/>
          <w:sz w:val="24"/>
          <w:highlight w:val="none"/>
        </w:rPr>
      </w:pPr>
      <w:r>
        <w:rPr>
          <w:rFonts w:ascii="宋体" w:hAnsi="宋体"/>
          <w:b/>
          <w:color w:val="auto"/>
          <w:sz w:val="24"/>
          <w:highlight w:val="none"/>
        </w:rPr>
        <w:t>13</w:t>
      </w:r>
      <w:r>
        <w:rPr>
          <w:rFonts w:ascii="宋体" w:hAnsi="宋体"/>
          <w:color w:val="auto"/>
          <w:szCs w:val="21"/>
          <w:highlight w:val="none"/>
        </w:rPr>
        <w:t>．</w:t>
      </w:r>
      <w:r>
        <w:rPr>
          <w:rFonts w:ascii="宋体" w:hAnsi="宋体"/>
          <w:b/>
          <w:color w:val="auto"/>
          <w:sz w:val="24"/>
          <w:highlight w:val="none"/>
        </w:rPr>
        <w:t>投标文件送达、签收</w:t>
      </w:r>
    </w:p>
    <w:p>
      <w:pPr>
        <w:topLinePunct/>
        <w:autoSpaceDE w:val="0"/>
        <w:autoSpaceDN w:val="0"/>
        <w:spacing w:line="460" w:lineRule="exact"/>
        <w:ind w:firstLine="480" w:firstLineChars="200"/>
        <w:rPr>
          <w:rFonts w:ascii="宋体" w:hAnsi="宋体"/>
          <w:color w:val="auto"/>
          <w:sz w:val="24"/>
          <w:highlight w:val="none"/>
        </w:rPr>
      </w:pPr>
      <w:r>
        <w:rPr>
          <w:rFonts w:ascii="宋体" w:hAnsi="宋体"/>
          <w:color w:val="auto"/>
          <w:sz w:val="24"/>
          <w:highlight w:val="none"/>
        </w:rPr>
        <w:t>13.1 投标人应当在</w:t>
      </w:r>
      <w:r>
        <w:rPr>
          <w:rFonts w:ascii="宋体" w:hAnsi="宋体"/>
          <w:b/>
          <w:color w:val="auto"/>
          <w:sz w:val="24"/>
          <w:highlight w:val="none"/>
        </w:rPr>
        <w:t>投标人须知前附表</w:t>
      </w:r>
      <w:r>
        <w:rPr>
          <w:rFonts w:ascii="宋体" w:hAnsi="宋体"/>
          <w:color w:val="auto"/>
          <w:sz w:val="24"/>
          <w:highlight w:val="none"/>
        </w:rPr>
        <w:t>要求提交投标文件的截止时间前，将投标文件密封送达投标地点。</w:t>
      </w:r>
    </w:p>
    <w:p>
      <w:pPr>
        <w:topLinePunct/>
        <w:autoSpaceDE w:val="0"/>
        <w:autoSpaceDN w:val="0"/>
        <w:spacing w:line="460" w:lineRule="exact"/>
        <w:ind w:firstLine="480" w:firstLineChars="200"/>
        <w:rPr>
          <w:rFonts w:ascii="宋体" w:hAnsi="宋体"/>
          <w:color w:val="auto"/>
          <w:sz w:val="24"/>
          <w:highlight w:val="none"/>
        </w:rPr>
      </w:pPr>
      <w:r>
        <w:rPr>
          <w:rFonts w:ascii="宋体" w:hAnsi="宋体"/>
          <w:color w:val="auto"/>
          <w:sz w:val="24"/>
          <w:highlight w:val="none"/>
        </w:rPr>
        <w:t>13.2 采购</w:t>
      </w:r>
      <w:r>
        <w:rPr>
          <w:rFonts w:hint="eastAsia" w:ascii="宋体" w:hAnsi="宋体"/>
          <w:color w:val="auto"/>
          <w:sz w:val="24"/>
          <w:highlight w:val="none"/>
        </w:rPr>
        <w:t>人</w:t>
      </w:r>
      <w:r>
        <w:rPr>
          <w:rFonts w:ascii="宋体" w:hAnsi="宋体"/>
          <w:color w:val="auto"/>
          <w:sz w:val="24"/>
          <w:highlight w:val="none"/>
        </w:rPr>
        <w:t>收到投标文件后，应当如实记载投标文件的送达时间和密封情况，签收保存，并向投标人出具签收回执。任何单位和个人不得在开标前开启投标文件。</w:t>
      </w:r>
    </w:p>
    <w:p>
      <w:pPr>
        <w:topLinePunct/>
        <w:autoSpaceDE w:val="0"/>
        <w:autoSpaceDN w:val="0"/>
        <w:spacing w:line="460" w:lineRule="exact"/>
        <w:ind w:firstLine="480" w:firstLineChars="200"/>
        <w:rPr>
          <w:rFonts w:ascii="宋体" w:hAnsi="宋体"/>
          <w:color w:val="auto"/>
          <w:sz w:val="24"/>
          <w:highlight w:val="none"/>
        </w:rPr>
      </w:pPr>
      <w:r>
        <w:rPr>
          <w:rFonts w:ascii="宋体" w:hAnsi="宋体"/>
          <w:color w:val="auto"/>
          <w:sz w:val="24"/>
          <w:highlight w:val="none"/>
        </w:rPr>
        <w:t>13.3 逾期送达或者未按照招标文件要求密封的投标文件，采购</w:t>
      </w:r>
      <w:r>
        <w:rPr>
          <w:rFonts w:hint="eastAsia" w:ascii="宋体" w:hAnsi="宋体"/>
          <w:color w:val="auto"/>
          <w:sz w:val="24"/>
          <w:highlight w:val="none"/>
        </w:rPr>
        <w:t>人</w:t>
      </w:r>
      <w:r>
        <w:rPr>
          <w:rFonts w:ascii="宋体" w:hAnsi="宋体"/>
          <w:color w:val="auto"/>
          <w:sz w:val="24"/>
          <w:highlight w:val="none"/>
        </w:rPr>
        <w:t>应当拒收。</w:t>
      </w:r>
    </w:p>
    <w:p>
      <w:pPr>
        <w:topLinePunct/>
        <w:autoSpaceDE w:val="0"/>
        <w:autoSpaceDN w:val="0"/>
        <w:spacing w:line="460" w:lineRule="exact"/>
        <w:ind w:firstLine="482" w:firstLineChars="200"/>
        <w:rPr>
          <w:rFonts w:ascii="宋体" w:hAnsi="宋体"/>
          <w:b/>
          <w:color w:val="auto"/>
          <w:sz w:val="24"/>
          <w:highlight w:val="none"/>
        </w:rPr>
      </w:pPr>
      <w:r>
        <w:rPr>
          <w:rFonts w:ascii="宋体" w:hAnsi="宋体"/>
          <w:b/>
          <w:color w:val="auto"/>
          <w:sz w:val="24"/>
          <w:highlight w:val="none"/>
        </w:rPr>
        <w:t>14</w:t>
      </w:r>
      <w:r>
        <w:rPr>
          <w:rFonts w:ascii="宋体" w:hAnsi="宋体"/>
          <w:color w:val="auto"/>
          <w:szCs w:val="21"/>
          <w:highlight w:val="none"/>
        </w:rPr>
        <w:t>．</w:t>
      </w:r>
      <w:r>
        <w:rPr>
          <w:rFonts w:ascii="宋体" w:hAnsi="宋体"/>
          <w:b/>
          <w:color w:val="auto"/>
          <w:sz w:val="24"/>
          <w:highlight w:val="none"/>
        </w:rPr>
        <w:t>投标文件补充、修改或撤回</w:t>
      </w:r>
    </w:p>
    <w:p>
      <w:pPr>
        <w:topLinePunct/>
        <w:autoSpaceDE w:val="0"/>
        <w:autoSpaceDN w:val="0"/>
        <w:spacing w:line="460" w:lineRule="exact"/>
        <w:ind w:firstLine="480" w:firstLineChars="200"/>
        <w:rPr>
          <w:rFonts w:ascii="宋体" w:hAnsi="宋体"/>
          <w:color w:val="auto"/>
          <w:sz w:val="24"/>
          <w:highlight w:val="none"/>
        </w:rPr>
      </w:pPr>
      <w:r>
        <w:rPr>
          <w:rFonts w:ascii="宋体" w:hAnsi="宋体"/>
          <w:color w:val="auto"/>
          <w:sz w:val="24"/>
          <w:highlight w:val="none"/>
        </w:rPr>
        <w:t>14.1 投标人在投标截止时间前，可以对所提交的投标文件进行补充、修改或者撤回，并书面通知采购</w:t>
      </w:r>
      <w:r>
        <w:rPr>
          <w:rFonts w:hint="eastAsia" w:ascii="宋体" w:hAnsi="宋体"/>
          <w:color w:val="auto"/>
          <w:sz w:val="24"/>
          <w:highlight w:val="none"/>
        </w:rPr>
        <w:t>人</w:t>
      </w:r>
      <w:r>
        <w:rPr>
          <w:rFonts w:ascii="宋体" w:hAnsi="宋体"/>
          <w:color w:val="auto"/>
          <w:sz w:val="24"/>
          <w:highlight w:val="none"/>
        </w:rPr>
        <w:t>。补充、修改的内容应当按照招标文件要求签署、盖章、密封后，作为投标文件的组成部分。</w:t>
      </w:r>
    </w:p>
    <w:p>
      <w:pPr>
        <w:widowControl/>
        <w:topLinePunct/>
        <w:autoSpaceDE w:val="0"/>
        <w:autoSpaceDN w:val="0"/>
        <w:spacing w:line="460" w:lineRule="exact"/>
        <w:ind w:firstLine="480" w:firstLineChars="200"/>
        <w:jc w:val="left"/>
        <w:rPr>
          <w:rFonts w:ascii="宋体" w:hAnsi="宋体"/>
          <w:color w:val="auto"/>
          <w:sz w:val="24"/>
          <w:highlight w:val="none"/>
        </w:rPr>
      </w:pPr>
      <w:r>
        <w:rPr>
          <w:rFonts w:ascii="宋体" w:hAnsi="宋体"/>
          <w:color w:val="auto"/>
          <w:sz w:val="24"/>
          <w:highlight w:val="none"/>
        </w:rPr>
        <w:t>14.2 投标人在投标截止时间之后，不得对其投标文件作任何补充、修改或者撤回。</w:t>
      </w:r>
    </w:p>
    <w:p>
      <w:pPr>
        <w:topLinePunct/>
        <w:autoSpaceDE w:val="0"/>
        <w:autoSpaceDN w:val="0"/>
        <w:spacing w:line="460" w:lineRule="exact"/>
        <w:ind w:firstLine="480" w:firstLineChars="200"/>
        <w:rPr>
          <w:rFonts w:ascii="宋体" w:hAnsi="宋体"/>
          <w:color w:val="auto"/>
          <w:sz w:val="24"/>
          <w:highlight w:val="none"/>
        </w:rPr>
      </w:pPr>
    </w:p>
    <w:p>
      <w:pPr>
        <w:topLinePunct/>
        <w:autoSpaceDE w:val="0"/>
        <w:autoSpaceDN w:val="0"/>
        <w:spacing w:line="460" w:lineRule="exact"/>
        <w:jc w:val="center"/>
        <w:rPr>
          <w:rFonts w:ascii="宋体" w:hAnsi="宋体"/>
          <w:b/>
          <w:bCs/>
          <w:color w:val="auto"/>
          <w:sz w:val="32"/>
          <w:szCs w:val="32"/>
          <w:highlight w:val="none"/>
        </w:rPr>
      </w:pPr>
      <w:r>
        <w:rPr>
          <w:rFonts w:ascii="宋体" w:hAnsi="宋体"/>
          <w:b/>
          <w:bCs/>
          <w:color w:val="auto"/>
          <w:sz w:val="32"/>
          <w:szCs w:val="32"/>
          <w:highlight w:val="none"/>
        </w:rPr>
        <w:t>五、  开标与评标</w:t>
      </w:r>
    </w:p>
    <w:p>
      <w:pPr>
        <w:topLinePunct/>
        <w:autoSpaceDE w:val="0"/>
        <w:autoSpaceDN w:val="0"/>
        <w:spacing w:line="460" w:lineRule="exact"/>
        <w:ind w:firstLine="482" w:firstLineChars="200"/>
        <w:rPr>
          <w:rFonts w:ascii="宋体" w:hAnsi="宋体"/>
          <w:color w:val="auto"/>
          <w:sz w:val="24"/>
          <w:highlight w:val="none"/>
        </w:rPr>
      </w:pPr>
      <w:r>
        <w:rPr>
          <w:rFonts w:ascii="宋体" w:hAnsi="宋体"/>
          <w:b/>
          <w:color w:val="auto"/>
          <w:sz w:val="24"/>
          <w:highlight w:val="none"/>
        </w:rPr>
        <w:t>15</w:t>
      </w:r>
      <w:r>
        <w:rPr>
          <w:rFonts w:ascii="宋体" w:hAnsi="宋体"/>
          <w:color w:val="auto"/>
          <w:szCs w:val="21"/>
          <w:highlight w:val="none"/>
        </w:rPr>
        <w:t>．</w:t>
      </w:r>
      <w:r>
        <w:rPr>
          <w:rFonts w:ascii="宋体" w:hAnsi="宋体"/>
          <w:b/>
          <w:color w:val="auto"/>
          <w:sz w:val="24"/>
          <w:highlight w:val="none"/>
        </w:rPr>
        <w:t>开标</w:t>
      </w:r>
    </w:p>
    <w:p>
      <w:pPr>
        <w:topLinePunct/>
        <w:autoSpaceDE w:val="0"/>
        <w:autoSpaceDN w:val="0"/>
        <w:spacing w:line="460" w:lineRule="exact"/>
        <w:ind w:firstLine="480" w:firstLineChars="200"/>
        <w:rPr>
          <w:rFonts w:ascii="宋体" w:hAnsi="宋体"/>
          <w:color w:val="auto"/>
          <w:sz w:val="24"/>
          <w:highlight w:val="none"/>
        </w:rPr>
      </w:pPr>
      <w:r>
        <w:rPr>
          <w:rFonts w:ascii="宋体" w:hAnsi="宋体"/>
          <w:color w:val="auto"/>
          <w:sz w:val="24"/>
          <w:highlight w:val="none"/>
        </w:rPr>
        <w:t>15.1 采购</w:t>
      </w:r>
      <w:r>
        <w:rPr>
          <w:rFonts w:hint="eastAsia" w:ascii="宋体" w:hAnsi="宋体"/>
          <w:color w:val="auto"/>
          <w:sz w:val="24"/>
          <w:highlight w:val="none"/>
        </w:rPr>
        <w:t>人</w:t>
      </w:r>
      <w:r>
        <w:rPr>
          <w:rFonts w:ascii="宋体" w:hAnsi="宋体"/>
          <w:color w:val="auto"/>
          <w:sz w:val="24"/>
          <w:highlight w:val="none"/>
        </w:rPr>
        <w:t>将在</w:t>
      </w:r>
      <w:r>
        <w:rPr>
          <w:rFonts w:ascii="宋体" w:hAnsi="宋体"/>
          <w:b/>
          <w:color w:val="auto"/>
          <w:sz w:val="24"/>
          <w:highlight w:val="none"/>
        </w:rPr>
        <w:t>投标人须知前附表</w:t>
      </w:r>
      <w:r>
        <w:rPr>
          <w:rFonts w:ascii="宋体" w:hAnsi="宋体"/>
          <w:color w:val="auto"/>
          <w:sz w:val="24"/>
          <w:highlight w:val="none"/>
        </w:rPr>
        <w:t>规定的时间和地点开标，采购</w:t>
      </w:r>
      <w:r>
        <w:rPr>
          <w:rFonts w:hint="eastAsia" w:ascii="宋体" w:hAnsi="宋体"/>
          <w:color w:val="auto"/>
          <w:sz w:val="24"/>
          <w:highlight w:val="none"/>
        </w:rPr>
        <w:t>人</w:t>
      </w:r>
      <w:r>
        <w:rPr>
          <w:rFonts w:ascii="宋体" w:hAnsi="宋体"/>
          <w:color w:val="auto"/>
          <w:sz w:val="24"/>
          <w:highlight w:val="none"/>
        </w:rPr>
        <w:t>将对开标、评标现场活动进行全程录音录像，音像资料作为采购文件一并存档。开标由采购</w:t>
      </w:r>
      <w:r>
        <w:rPr>
          <w:rFonts w:hint="eastAsia" w:ascii="宋体" w:hAnsi="宋体"/>
          <w:color w:val="auto"/>
          <w:sz w:val="24"/>
          <w:highlight w:val="none"/>
        </w:rPr>
        <w:t>人</w:t>
      </w:r>
      <w:r>
        <w:rPr>
          <w:rFonts w:ascii="宋体" w:hAnsi="宋体"/>
          <w:color w:val="auto"/>
          <w:sz w:val="24"/>
          <w:highlight w:val="none"/>
        </w:rPr>
        <w:t>主持，邀请投标人参加。</w:t>
      </w:r>
    </w:p>
    <w:p>
      <w:pPr>
        <w:topLinePunct/>
        <w:autoSpaceDE w:val="0"/>
        <w:autoSpaceDN w:val="0"/>
        <w:spacing w:line="460" w:lineRule="exact"/>
        <w:ind w:firstLine="480" w:firstLineChars="200"/>
        <w:rPr>
          <w:rFonts w:ascii="宋体" w:hAnsi="宋体"/>
          <w:color w:val="auto"/>
          <w:sz w:val="24"/>
          <w:highlight w:val="none"/>
        </w:rPr>
      </w:pPr>
      <w:r>
        <w:rPr>
          <w:rFonts w:ascii="宋体" w:hAnsi="宋体"/>
          <w:color w:val="auto"/>
          <w:sz w:val="24"/>
          <w:highlight w:val="none"/>
        </w:rPr>
        <w:t>15.2 开标时，应当由投标人或者其推选的代表检查投标文件密封情况；经确认无误后，由采购</w:t>
      </w:r>
      <w:r>
        <w:rPr>
          <w:rFonts w:hint="eastAsia" w:ascii="宋体" w:hAnsi="宋体"/>
          <w:color w:val="auto"/>
          <w:sz w:val="24"/>
          <w:highlight w:val="none"/>
        </w:rPr>
        <w:t>人</w:t>
      </w:r>
      <w:r>
        <w:rPr>
          <w:rFonts w:ascii="宋体" w:hAnsi="宋体"/>
          <w:color w:val="auto"/>
          <w:sz w:val="24"/>
          <w:highlight w:val="none"/>
        </w:rPr>
        <w:t>工作人员当众拆封，宣布投标人名称及开标一览表总报价表中的报价。</w:t>
      </w:r>
    </w:p>
    <w:p>
      <w:pPr>
        <w:topLinePunct/>
        <w:autoSpaceDE w:val="0"/>
        <w:autoSpaceDN w:val="0"/>
        <w:spacing w:line="460" w:lineRule="exact"/>
        <w:ind w:firstLine="480" w:firstLineChars="200"/>
        <w:rPr>
          <w:rFonts w:ascii="宋体" w:hAnsi="宋体"/>
          <w:color w:val="auto"/>
          <w:sz w:val="24"/>
          <w:highlight w:val="none"/>
        </w:rPr>
      </w:pPr>
      <w:r>
        <w:rPr>
          <w:rFonts w:ascii="宋体" w:hAnsi="宋体"/>
          <w:color w:val="auto"/>
          <w:sz w:val="24"/>
          <w:highlight w:val="none"/>
        </w:rPr>
        <w:t>15.3 开标过程由采购</w:t>
      </w:r>
      <w:r>
        <w:rPr>
          <w:rFonts w:hint="eastAsia" w:ascii="宋体" w:hAnsi="宋体"/>
          <w:color w:val="auto"/>
          <w:sz w:val="24"/>
          <w:highlight w:val="none"/>
        </w:rPr>
        <w:t>人</w:t>
      </w:r>
      <w:r>
        <w:rPr>
          <w:rFonts w:ascii="宋体" w:hAnsi="宋体"/>
          <w:color w:val="auto"/>
          <w:sz w:val="24"/>
          <w:highlight w:val="none"/>
        </w:rPr>
        <w:t>工作人员负责记录，由参加开标的各投标人代表和相关工作人员签字确认后随采购文件一并存档。投标人未参加开标的，视同认可开标结果。</w:t>
      </w:r>
    </w:p>
    <w:p>
      <w:pPr>
        <w:topLinePunct/>
        <w:autoSpaceDE w:val="0"/>
        <w:autoSpaceDN w:val="0"/>
        <w:spacing w:line="460" w:lineRule="exact"/>
        <w:ind w:firstLine="480" w:firstLineChars="200"/>
        <w:rPr>
          <w:rFonts w:ascii="宋体" w:hAnsi="宋体"/>
          <w:color w:val="auto"/>
          <w:sz w:val="24"/>
          <w:highlight w:val="none"/>
        </w:rPr>
      </w:pPr>
      <w:r>
        <w:rPr>
          <w:rFonts w:ascii="宋体" w:hAnsi="宋体"/>
          <w:color w:val="auto"/>
          <w:sz w:val="24"/>
          <w:highlight w:val="none"/>
        </w:rPr>
        <w:t>15.4 被授权投标代表对开标过程和开标记录有疑义，以及认为采购人相关工作人员有需要回避情形的，应当场提出询问或者回避申请。采购人对被授权投标代表提出的询问或者回避申请应当及时处理。</w:t>
      </w:r>
    </w:p>
    <w:p>
      <w:pPr>
        <w:topLinePunct/>
        <w:autoSpaceDE w:val="0"/>
        <w:autoSpaceDN w:val="0"/>
        <w:spacing w:line="460" w:lineRule="exact"/>
        <w:ind w:firstLine="480" w:firstLineChars="200"/>
        <w:rPr>
          <w:rFonts w:ascii="宋体" w:hAnsi="宋体"/>
          <w:color w:val="auto"/>
          <w:sz w:val="24"/>
          <w:highlight w:val="none"/>
        </w:rPr>
      </w:pPr>
      <w:r>
        <w:rPr>
          <w:rFonts w:ascii="宋体" w:hAnsi="宋体"/>
          <w:color w:val="auto"/>
          <w:sz w:val="24"/>
          <w:highlight w:val="none"/>
        </w:rPr>
        <w:t>15.5 投标人不足3家的，不得开标。</w:t>
      </w:r>
    </w:p>
    <w:p>
      <w:pPr>
        <w:topLinePunct/>
        <w:autoSpaceDE w:val="0"/>
        <w:autoSpaceDN w:val="0"/>
        <w:spacing w:line="460" w:lineRule="exact"/>
        <w:ind w:firstLine="480" w:firstLineChars="200"/>
        <w:rPr>
          <w:rFonts w:ascii="宋体" w:hAnsi="宋体"/>
          <w:color w:val="auto"/>
          <w:sz w:val="24"/>
          <w:highlight w:val="none"/>
        </w:rPr>
      </w:pPr>
    </w:p>
    <w:p>
      <w:pPr>
        <w:topLinePunct/>
        <w:autoSpaceDE w:val="0"/>
        <w:autoSpaceDN w:val="0"/>
        <w:spacing w:line="460" w:lineRule="exact"/>
        <w:ind w:firstLine="482" w:firstLineChars="200"/>
        <w:rPr>
          <w:rFonts w:ascii="宋体" w:hAnsi="宋体"/>
          <w:b/>
          <w:color w:val="auto"/>
          <w:sz w:val="24"/>
          <w:highlight w:val="none"/>
        </w:rPr>
      </w:pPr>
      <w:r>
        <w:rPr>
          <w:rFonts w:ascii="宋体" w:hAnsi="宋体"/>
          <w:b/>
          <w:color w:val="auto"/>
          <w:sz w:val="24"/>
          <w:highlight w:val="none"/>
        </w:rPr>
        <w:t>16</w:t>
      </w:r>
      <w:r>
        <w:rPr>
          <w:rFonts w:ascii="宋体" w:hAnsi="宋体"/>
          <w:color w:val="auto"/>
          <w:szCs w:val="21"/>
          <w:highlight w:val="none"/>
        </w:rPr>
        <w:t>．</w:t>
      </w:r>
      <w:r>
        <w:rPr>
          <w:rFonts w:ascii="宋体" w:hAnsi="宋体"/>
          <w:b/>
          <w:color w:val="auto"/>
          <w:sz w:val="24"/>
          <w:highlight w:val="none"/>
        </w:rPr>
        <w:t>投标资格审查</w:t>
      </w:r>
    </w:p>
    <w:p>
      <w:pPr>
        <w:topLinePunct/>
        <w:autoSpaceDE w:val="0"/>
        <w:autoSpaceDN w:val="0"/>
        <w:spacing w:line="460" w:lineRule="exact"/>
        <w:ind w:firstLine="480" w:firstLineChars="200"/>
        <w:rPr>
          <w:rFonts w:ascii="宋体" w:hAnsi="宋体"/>
          <w:color w:val="auto"/>
          <w:sz w:val="24"/>
          <w:highlight w:val="none"/>
        </w:rPr>
      </w:pPr>
      <w:r>
        <w:rPr>
          <w:rFonts w:ascii="宋体" w:hAnsi="宋体"/>
          <w:color w:val="auto"/>
          <w:sz w:val="24"/>
          <w:highlight w:val="none"/>
        </w:rPr>
        <w:t>16.1 采购</w:t>
      </w:r>
      <w:r>
        <w:rPr>
          <w:rFonts w:hint="eastAsia" w:ascii="宋体" w:hAnsi="宋体"/>
          <w:color w:val="auto"/>
          <w:sz w:val="24"/>
          <w:highlight w:val="none"/>
        </w:rPr>
        <w:t>人</w:t>
      </w:r>
      <w:r>
        <w:rPr>
          <w:rFonts w:ascii="宋体" w:hAnsi="宋体"/>
          <w:color w:val="auto"/>
          <w:sz w:val="24"/>
          <w:highlight w:val="none"/>
        </w:rPr>
        <w:t>依法对投标人的资格进行审查，以确定投标人是否具备投标资格。</w:t>
      </w:r>
    </w:p>
    <w:p>
      <w:pPr>
        <w:topLinePunct/>
        <w:autoSpaceDE w:val="0"/>
        <w:autoSpaceDN w:val="0"/>
        <w:spacing w:line="460" w:lineRule="exact"/>
        <w:ind w:firstLine="480" w:firstLineChars="200"/>
        <w:rPr>
          <w:rFonts w:ascii="宋体" w:hAnsi="宋体"/>
          <w:color w:val="auto"/>
          <w:sz w:val="24"/>
          <w:highlight w:val="none"/>
        </w:rPr>
      </w:pPr>
      <w:r>
        <w:rPr>
          <w:rFonts w:ascii="宋体" w:hAnsi="宋体"/>
          <w:color w:val="auto"/>
          <w:sz w:val="24"/>
          <w:highlight w:val="none"/>
        </w:rPr>
        <w:t>16.1.1 审查投标人按照</w:t>
      </w:r>
      <w:r>
        <w:rPr>
          <w:rFonts w:hint="eastAsia" w:ascii="宋体" w:hAnsi="宋体"/>
          <w:color w:val="auto"/>
          <w:sz w:val="24"/>
          <w:highlight w:val="none"/>
        </w:rPr>
        <w:t>8.2.1提交的</w:t>
      </w:r>
      <w:r>
        <w:rPr>
          <w:rFonts w:ascii="宋体" w:hAnsi="宋体"/>
          <w:b/>
          <w:color w:val="auto"/>
          <w:sz w:val="24"/>
          <w:highlight w:val="none"/>
        </w:rPr>
        <w:t>“资格证明文件”</w:t>
      </w:r>
      <w:r>
        <w:rPr>
          <w:rFonts w:ascii="宋体" w:hAnsi="宋体"/>
          <w:color w:val="auto"/>
          <w:sz w:val="24"/>
          <w:highlight w:val="none"/>
        </w:rPr>
        <w:t>。</w:t>
      </w:r>
    </w:p>
    <w:p>
      <w:pPr>
        <w:topLinePunct/>
        <w:autoSpaceDE w:val="0"/>
        <w:autoSpaceDN w:val="0"/>
        <w:spacing w:line="460" w:lineRule="exact"/>
        <w:ind w:firstLine="480" w:firstLineChars="200"/>
        <w:rPr>
          <w:rFonts w:ascii="宋体" w:hAnsi="宋体"/>
          <w:b/>
          <w:bCs/>
          <w:color w:val="auto"/>
          <w:sz w:val="24"/>
          <w:highlight w:val="none"/>
        </w:rPr>
      </w:pPr>
      <w:r>
        <w:rPr>
          <w:rFonts w:ascii="宋体" w:hAnsi="宋体"/>
          <w:color w:val="auto"/>
          <w:sz w:val="24"/>
          <w:highlight w:val="none"/>
        </w:rPr>
        <w:t>16.1.2 信用记录审查。</w:t>
      </w:r>
      <w:r>
        <w:rPr>
          <w:rFonts w:ascii="宋体" w:hAnsi="宋体"/>
          <w:b/>
          <w:bCs/>
          <w:color w:val="auto"/>
          <w:sz w:val="24"/>
          <w:highlight w:val="none"/>
        </w:rPr>
        <w:t>见投标人须知前附表。</w:t>
      </w:r>
    </w:p>
    <w:p>
      <w:pPr>
        <w:topLinePunct/>
        <w:autoSpaceDE w:val="0"/>
        <w:autoSpaceDN w:val="0"/>
        <w:spacing w:line="460" w:lineRule="exact"/>
        <w:ind w:firstLine="480" w:firstLineChars="200"/>
        <w:rPr>
          <w:rFonts w:ascii="宋体" w:hAnsi="宋体"/>
          <w:color w:val="auto"/>
          <w:sz w:val="24"/>
          <w:highlight w:val="none"/>
        </w:rPr>
      </w:pPr>
      <w:r>
        <w:rPr>
          <w:rFonts w:ascii="宋体" w:hAnsi="宋体"/>
          <w:color w:val="auto"/>
          <w:sz w:val="24"/>
          <w:highlight w:val="none"/>
        </w:rPr>
        <w:t>16.2 未通过资格审查的投标人，其投标无效。</w:t>
      </w:r>
    </w:p>
    <w:p>
      <w:pPr>
        <w:topLinePunct/>
        <w:autoSpaceDE w:val="0"/>
        <w:autoSpaceDN w:val="0"/>
        <w:spacing w:line="460" w:lineRule="exact"/>
        <w:ind w:firstLine="480" w:firstLineChars="200"/>
        <w:rPr>
          <w:rFonts w:ascii="宋体" w:hAnsi="宋体"/>
          <w:color w:val="auto"/>
          <w:sz w:val="24"/>
          <w:highlight w:val="none"/>
        </w:rPr>
      </w:pPr>
      <w:r>
        <w:rPr>
          <w:rFonts w:ascii="宋体" w:hAnsi="宋体"/>
          <w:color w:val="auto"/>
          <w:sz w:val="24"/>
          <w:highlight w:val="none"/>
        </w:rPr>
        <w:t>16.3 合格投标人不足3家的，不得评标。</w:t>
      </w:r>
    </w:p>
    <w:p>
      <w:pPr>
        <w:topLinePunct/>
        <w:autoSpaceDE w:val="0"/>
        <w:autoSpaceDN w:val="0"/>
        <w:spacing w:line="460" w:lineRule="exact"/>
        <w:ind w:firstLine="482" w:firstLineChars="200"/>
        <w:rPr>
          <w:rFonts w:ascii="宋体" w:hAnsi="宋体"/>
          <w:b/>
          <w:color w:val="auto"/>
          <w:sz w:val="24"/>
          <w:highlight w:val="none"/>
        </w:rPr>
      </w:pPr>
    </w:p>
    <w:p>
      <w:pPr>
        <w:topLinePunct/>
        <w:autoSpaceDE w:val="0"/>
        <w:autoSpaceDN w:val="0"/>
        <w:spacing w:line="460" w:lineRule="exact"/>
        <w:ind w:firstLine="482" w:firstLineChars="200"/>
        <w:rPr>
          <w:rFonts w:ascii="宋体" w:hAnsi="宋体"/>
          <w:b/>
          <w:color w:val="auto"/>
          <w:sz w:val="24"/>
          <w:highlight w:val="none"/>
        </w:rPr>
      </w:pPr>
      <w:r>
        <w:rPr>
          <w:rFonts w:ascii="宋体" w:hAnsi="宋体"/>
          <w:b/>
          <w:color w:val="auto"/>
          <w:sz w:val="24"/>
          <w:highlight w:val="none"/>
        </w:rPr>
        <w:t>17</w:t>
      </w:r>
      <w:r>
        <w:rPr>
          <w:rFonts w:ascii="宋体" w:hAnsi="宋体"/>
          <w:color w:val="auto"/>
          <w:szCs w:val="21"/>
          <w:highlight w:val="none"/>
        </w:rPr>
        <w:t>．</w:t>
      </w:r>
      <w:r>
        <w:rPr>
          <w:rFonts w:ascii="宋体" w:hAnsi="宋体"/>
          <w:b/>
          <w:color w:val="auto"/>
          <w:sz w:val="24"/>
          <w:highlight w:val="none"/>
        </w:rPr>
        <w:t>评标委员会的组成</w:t>
      </w:r>
    </w:p>
    <w:p>
      <w:pPr>
        <w:topLinePunct/>
        <w:autoSpaceDE w:val="0"/>
        <w:autoSpaceDN w:val="0"/>
        <w:spacing w:line="460" w:lineRule="exact"/>
        <w:ind w:firstLine="480" w:firstLineChars="200"/>
        <w:rPr>
          <w:rFonts w:ascii="宋体" w:hAnsi="宋体"/>
          <w:color w:val="auto"/>
          <w:sz w:val="24"/>
          <w:highlight w:val="none"/>
        </w:rPr>
      </w:pPr>
      <w:r>
        <w:rPr>
          <w:rFonts w:ascii="宋体" w:hAnsi="宋体"/>
          <w:color w:val="auto"/>
          <w:sz w:val="24"/>
          <w:highlight w:val="none"/>
        </w:rPr>
        <w:t>17.1 根据有关法律法规规定组建评标委员会，评标委员会由采购人代表和评审专家组成。</w:t>
      </w:r>
    </w:p>
    <w:p>
      <w:pPr>
        <w:topLinePunct/>
        <w:autoSpaceDE w:val="0"/>
        <w:autoSpaceDN w:val="0"/>
        <w:spacing w:line="460" w:lineRule="exact"/>
        <w:ind w:firstLine="480"/>
        <w:rPr>
          <w:rFonts w:ascii="宋体" w:hAnsi="宋体"/>
          <w:b/>
          <w:color w:val="auto"/>
          <w:sz w:val="24"/>
          <w:highlight w:val="none"/>
        </w:rPr>
      </w:pPr>
    </w:p>
    <w:p>
      <w:pPr>
        <w:topLinePunct/>
        <w:autoSpaceDE w:val="0"/>
        <w:autoSpaceDN w:val="0"/>
        <w:spacing w:line="460" w:lineRule="exact"/>
        <w:ind w:firstLine="482" w:firstLineChars="200"/>
        <w:rPr>
          <w:rFonts w:ascii="宋体" w:hAnsi="宋体"/>
          <w:b/>
          <w:color w:val="auto"/>
          <w:sz w:val="24"/>
          <w:highlight w:val="none"/>
        </w:rPr>
      </w:pPr>
      <w:r>
        <w:rPr>
          <w:rFonts w:ascii="宋体" w:hAnsi="宋体"/>
          <w:b/>
          <w:color w:val="auto"/>
          <w:sz w:val="24"/>
          <w:highlight w:val="none"/>
        </w:rPr>
        <w:t>18</w:t>
      </w:r>
      <w:r>
        <w:rPr>
          <w:rFonts w:ascii="宋体" w:hAnsi="宋体"/>
          <w:color w:val="auto"/>
          <w:szCs w:val="21"/>
          <w:highlight w:val="none"/>
        </w:rPr>
        <w:t>．</w:t>
      </w:r>
      <w:r>
        <w:rPr>
          <w:rFonts w:ascii="宋体" w:hAnsi="宋体"/>
          <w:b/>
          <w:color w:val="auto"/>
          <w:sz w:val="24"/>
          <w:highlight w:val="none"/>
        </w:rPr>
        <w:t>投标符合性审查</w:t>
      </w:r>
    </w:p>
    <w:p>
      <w:pPr>
        <w:topLinePunct/>
        <w:autoSpaceDE w:val="0"/>
        <w:autoSpaceDN w:val="0"/>
        <w:spacing w:line="460" w:lineRule="exact"/>
        <w:ind w:firstLine="480" w:firstLineChars="200"/>
        <w:rPr>
          <w:rFonts w:ascii="宋体" w:hAnsi="宋体"/>
          <w:color w:val="auto"/>
          <w:sz w:val="24"/>
          <w:highlight w:val="none"/>
        </w:rPr>
      </w:pPr>
      <w:r>
        <w:rPr>
          <w:rFonts w:ascii="宋体" w:hAnsi="宋体"/>
          <w:color w:val="auto"/>
          <w:sz w:val="24"/>
          <w:highlight w:val="none"/>
        </w:rPr>
        <w:t>18.1 评标委员会对符合资格的投标人的投标文件进行符合性审查，以确定其是否符合招标文件的商务、技术等实质性要求。</w:t>
      </w:r>
    </w:p>
    <w:p>
      <w:pPr>
        <w:topLinePunct/>
        <w:autoSpaceDE w:val="0"/>
        <w:autoSpaceDN w:val="0"/>
        <w:spacing w:line="460" w:lineRule="exact"/>
        <w:ind w:firstLine="480" w:firstLineChars="200"/>
        <w:rPr>
          <w:rFonts w:ascii="宋体" w:hAnsi="宋体"/>
          <w:color w:val="auto"/>
          <w:sz w:val="24"/>
          <w:highlight w:val="none"/>
        </w:rPr>
      </w:pPr>
      <w:r>
        <w:rPr>
          <w:rFonts w:ascii="宋体" w:hAnsi="宋体"/>
          <w:color w:val="auto"/>
          <w:sz w:val="24"/>
          <w:highlight w:val="none"/>
        </w:rPr>
        <w:t>18.2 未通过符合性审查的投标人，其投标无效。</w:t>
      </w:r>
    </w:p>
    <w:p>
      <w:pPr>
        <w:topLinePunct/>
        <w:autoSpaceDE w:val="0"/>
        <w:autoSpaceDN w:val="0"/>
        <w:spacing w:line="460" w:lineRule="exact"/>
        <w:ind w:firstLine="480" w:firstLineChars="200"/>
        <w:rPr>
          <w:rFonts w:ascii="宋体" w:hAnsi="宋体"/>
          <w:color w:val="auto"/>
          <w:sz w:val="24"/>
          <w:highlight w:val="none"/>
        </w:rPr>
      </w:pPr>
      <w:r>
        <w:rPr>
          <w:rFonts w:ascii="宋体" w:hAnsi="宋体"/>
          <w:color w:val="auto"/>
          <w:sz w:val="24"/>
          <w:highlight w:val="none"/>
        </w:rPr>
        <w:t>18.3 通过符合性审查的投标人不足3家的，应予以废标。</w:t>
      </w:r>
    </w:p>
    <w:p>
      <w:pPr>
        <w:topLinePunct/>
        <w:autoSpaceDE w:val="0"/>
        <w:autoSpaceDN w:val="0"/>
        <w:spacing w:line="460" w:lineRule="exact"/>
        <w:rPr>
          <w:rFonts w:ascii="宋体" w:hAnsi="宋体"/>
          <w:b/>
          <w:color w:val="auto"/>
          <w:sz w:val="24"/>
          <w:highlight w:val="none"/>
        </w:rPr>
      </w:pPr>
    </w:p>
    <w:p>
      <w:pPr>
        <w:topLinePunct/>
        <w:autoSpaceDE w:val="0"/>
        <w:autoSpaceDN w:val="0"/>
        <w:spacing w:line="460" w:lineRule="exact"/>
        <w:ind w:firstLine="482" w:firstLineChars="200"/>
        <w:rPr>
          <w:rFonts w:ascii="宋体" w:hAnsi="宋体"/>
          <w:b/>
          <w:color w:val="auto"/>
          <w:sz w:val="24"/>
          <w:highlight w:val="none"/>
        </w:rPr>
      </w:pPr>
      <w:r>
        <w:rPr>
          <w:rFonts w:ascii="宋体" w:hAnsi="宋体"/>
          <w:b/>
          <w:color w:val="auto"/>
          <w:sz w:val="24"/>
          <w:highlight w:val="none"/>
        </w:rPr>
        <w:t>19</w:t>
      </w:r>
      <w:r>
        <w:rPr>
          <w:rFonts w:ascii="宋体" w:hAnsi="宋体"/>
          <w:color w:val="auto"/>
          <w:szCs w:val="21"/>
          <w:highlight w:val="none"/>
        </w:rPr>
        <w:t>．</w:t>
      </w:r>
      <w:r>
        <w:rPr>
          <w:rFonts w:ascii="宋体" w:hAnsi="宋体"/>
          <w:b/>
          <w:color w:val="auto"/>
          <w:sz w:val="24"/>
          <w:highlight w:val="none"/>
        </w:rPr>
        <w:t>投标文件的澄清</w:t>
      </w:r>
    </w:p>
    <w:p>
      <w:pPr>
        <w:topLinePunct/>
        <w:autoSpaceDE w:val="0"/>
        <w:autoSpaceDN w:val="0"/>
        <w:spacing w:line="460" w:lineRule="exact"/>
        <w:ind w:firstLine="480" w:firstLineChars="200"/>
        <w:rPr>
          <w:rFonts w:ascii="宋体" w:hAnsi="宋体"/>
          <w:color w:val="auto"/>
          <w:sz w:val="24"/>
          <w:highlight w:val="none"/>
        </w:rPr>
      </w:pPr>
      <w:r>
        <w:rPr>
          <w:rFonts w:ascii="宋体" w:hAnsi="宋体"/>
          <w:color w:val="auto"/>
          <w:sz w:val="24"/>
          <w:highlight w:val="none"/>
        </w:rPr>
        <w:t>19.1 对于投标文件中含义不明确、同类问题表述不一致或者有明显文字和计算错误的内容，评标委员会可以书面形式要求投标人作出必要的澄清、说明或者补正。</w:t>
      </w:r>
    </w:p>
    <w:p>
      <w:pPr>
        <w:topLinePunct/>
        <w:autoSpaceDE w:val="0"/>
        <w:autoSpaceDN w:val="0"/>
        <w:spacing w:line="460" w:lineRule="exact"/>
        <w:ind w:firstLine="480" w:firstLineChars="200"/>
        <w:rPr>
          <w:rFonts w:ascii="宋体" w:hAnsi="宋体"/>
          <w:color w:val="auto"/>
          <w:sz w:val="24"/>
          <w:highlight w:val="none"/>
        </w:rPr>
      </w:pPr>
      <w:r>
        <w:rPr>
          <w:rFonts w:ascii="宋体" w:hAnsi="宋体"/>
          <w:color w:val="auto"/>
          <w:sz w:val="24"/>
          <w:highlight w:val="none"/>
        </w:rPr>
        <w:t>19.2 投标人的澄清、说明或者补正应当采用书面形式，并加盖公章，或者由法定代表人或其授权的代表签字。投标人的澄清、说明或者补正不得超出投标文件的范围或者改变投标文件的实质性内容。</w:t>
      </w:r>
    </w:p>
    <w:p>
      <w:pPr>
        <w:topLinePunct/>
        <w:autoSpaceDE w:val="0"/>
        <w:autoSpaceDN w:val="0"/>
        <w:spacing w:line="460" w:lineRule="exact"/>
        <w:ind w:firstLine="480" w:firstLineChars="200"/>
        <w:rPr>
          <w:rFonts w:ascii="宋体" w:hAnsi="宋体"/>
          <w:color w:val="auto"/>
          <w:sz w:val="24"/>
          <w:highlight w:val="none"/>
        </w:rPr>
      </w:pPr>
      <w:r>
        <w:rPr>
          <w:rFonts w:ascii="宋体" w:hAnsi="宋体"/>
          <w:color w:val="auto"/>
          <w:sz w:val="24"/>
          <w:highlight w:val="none"/>
        </w:rPr>
        <w:t>19.3 除评标委员会要求投标人做出的澄清、说明或者补正以外，评标委员会不接受投标人的任何询问、说明、更改及文件。</w:t>
      </w:r>
    </w:p>
    <w:p>
      <w:pPr>
        <w:topLinePunct/>
        <w:autoSpaceDE w:val="0"/>
        <w:autoSpaceDN w:val="0"/>
        <w:spacing w:line="460" w:lineRule="exact"/>
        <w:ind w:firstLine="480" w:firstLineChars="200"/>
        <w:rPr>
          <w:rFonts w:ascii="宋体" w:hAnsi="宋体"/>
          <w:color w:val="auto"/>
          <w:sz w:val="24"/>
          <w:highlight w:val="none"/>
        </w:rPr>
      </w:pPr>
      <w:r>
        <w:rPr>
          <w:rFonts w:ascii="宋体" w:hAnsi="宋体"/>
          <w:color w:val="auto"/>
          <w:sz w:val="24"/>
          <w:highlight w:val="none"/>
        </w:rPr>
        <w:t>19.4 投标人的澄清必须在规定的时间内提交。</w:t>
      </w:r>
    </w:p>
    <w:p>
      <w:pPr>
        <w:topLinePunct/>
        <w:autoSpaceDE w:val="0"/>
        <w:autoSpaceDN w:val="0"/>
        <w:spacing w:line="460" w:lineRule="exact"/>
        <w:ind w:firstLine="480" w:firstLineChars="200"/>
        <w:rPr>
          <w:rFonts w:ascii="宋体" w:hAnsi="宋体"/>
          <w:color w:val="auto"/>
          <w:sz w:val="24"/>
          <w:highlight w:val="none"/>
        </w:rPr>
      </w:pPr>
    </w:p>
    <w:p>
      <w:pPr>
        <w:topLinePunct/>
        <w:autoSpaceDE w:val="0"/>
        <w:autoSpaceDN w:val="0"/>
        <w:spacing w:line="460" w:lineRule="exact"/>
        <w:ind w:firstLine="482" w:firstLineChars="200"/>
        <w:rPr>
          <w:rFonts w:ascii="宋体" w:hAnsi="宋体"/>
          <w:b/>
          <w:color w:val="auto"/>
          <w:sz w:val="24"/>
          <w:highlight w:val="none"/>
        </w:rPr>
      </w:pPr>
      <w:r>
        <w:rPr>
          <w:rFonts w:ascii="宋体" w:hAnsi="宋体"/>
          <w:b/>
          <w:color w:val="auto"/>
          <w:sz w:val="24"/>
          <w:highlight w:val="none"/>
        </w:rPr>
        <w:t>20</w:t>
      </w:r>
      <w:r>
        <w:rPr>
          <w:rFonts w:ascii="宋体" w:hAnsi="宋体"/>
          <w:color w:val="auto"/>
          <w:szCs w:val="21"/>
          <w:highlight w:val="none"/>
        </w:rPr>
        <w:t>．</w:t>
      </w:r>
      <w:r>
        <w:rPr>
          <w:rFonts w:ascii="宋体" w:hAnsi="宋体"/>
          <w:b/>
          <w:color w:val="auto"/>
          <w:sz w:val="24"/>
          <w:highlight w:val="none"/>
        </w:rPr>
        <w:t>核价原则</w:t>
      </w:r>
    </w:p>
    <w:p>
      <w:pPr>
        <w:topLinePunct/>
        <w:autoSpaceDE w:val="0"/>
        <w:autoSpaceDN w:val="0"/>
        <w:spacing w:line="460" w:lineRule="exact"/>
        <w:ind w:firstLine="480" w:firstLineChars="200"/>
        <w:rPr>
          <w:rFonts w:ascii="宋体" w:hAnsi="宋体"/>
          <w:color w:val="auto"/>
          <w:sz w:val="24"/>
          <w:highlight w:val="none"/>
        </w:rPr>
      </w:pPr>
      <w:r>
        <w:rPr>
          <w:rFonts w:ascii="宋体" w:hAnsi="宋体"/>
          <w:bCs/>
          <w:color w:val="auto"/>
          <w:sz w:val="24"/>
          <w:highlight w:val="none"/>
        </w:rPr>
        <w:t xml:space="preserve">20.1 </w:t>
      </w:r>
      <w:r>
        <w:rPr>
          <w:rFonts w:ascii="宋体" w:hAnsi="宋体"/>
          <w:color w:val="auto"/>
          <w:sz w:val="24"/>
          <w:highlight w:val="none"/>
        </w:rPr>
        <w:t>投标文件报价出现前后不一致的，除招标文件另有规定外，按照下列规定修正：</w:t>
      </w:r>
    </w:p>
    <w:p>
      <w:pPr>
        <w:overflowPunct w:val="0"/>
        <w:autoSpaceDE w:val="0"/>
        <w:autoSpaceDN w:val="0"/>
        <w:spacing w:line="460" w:lineRule="exact"/>
        <w:ind w:firstLine="480" w:firstLineChars="200"/>
        <w:rPr>
          <w:rFonts w:ascii="宋体" w:hAnsi="宋体"/>
          <w:color w:val="auto"/>
          <w:sz w:val="24"/>
          <w:highlight w:val="none"/>
        </w:rPr>
      </w:pPr>
      <w:r>
        <w:rPr>
          <w:rFonts w:ascii="宋体" w:hAnsi="宋体"/>
          <w:color w:val="auto"/>
          <w:sz w:val="24"/>
          <w:highlight w:val="none"/>
        </w:rPr>
        <w:t>（1）投标文件中开标一览表内容与投标文件中相应内容不一致的，以开标一览表为准；</w:t>
      </w:r>
    </w:p>
    <w:p>
      <w:pPr>
        <w:overflowPunct w:val="0"/>
        <w:autoSpaceDE w:val="0"/>
        <w:autoSpaceDN w:val="0"/>
        <w:spacing w:line="460" w:lineRule="exact"/>
        <w:ind w:firstLine="480" w:firstLineChars="200"/>
        <w:rPr>
          <w:rFonts w:ascii="宋体" w:hAnsi="宋体"/>
          <w:color w:val="auto"/>
          <w:sz w:val="24"/>
          <w:highlight w:val="none"/>
        </w:rPr>
      </w:pPr>
      <w:r>
        <w:rPr>
          <w:rFonts w:ascii="宋体" w:hAnsi="宋体"/>
          <w:color w:val="auto"/>
          <w:sz w:val="24"/>
          <w:highlight w:val="none"/>
        </w:rPr>
        <w:t>（2）大写金额和小写金额不一致的，以大写金额为准；</w:t>
      </w:r>
    </w:p>
    <w:p>
      <w:pPr>
        <w:overflowPunct w:val="0"/>
        <w:autoSpaceDE w:val="0"/>
        <w:autoSpaceDN w:val="0"/>
        <w:spacing w:line="460" w:lineRule="exact"/>
        <w:ind w:firstLine="480" w:firstLineChars="200"/>
        <w:rPr>
          <w:rFonts w:ascii="宋体" w:hAnsi="宋体"/>
          <w:color w:val="auto"/>
          <w:sz w:val="24"/>
          <w:highlight w:val="none"/>
        </w:rPr>
      </w:pPr>
      <w:r>
        <w:rPr>
          <w:rFonts w:ascii="宋体" w:hAnsi="宋体"/>
          <w:color w:val="auto"/>
          <w:sz w:val="24"/>
          <w:highlight w:val="none"/>
        </w:rPr>
        <w:t>（3）单价金额小数点或者百分比有明显错位的，以开标一览表的总价为准，并修改单价；</w:t>
      </w:r>
    </w:p>
    <w:p>
      <w:pPr>
        <w:overflowPunct w:val="0"/>
        <w:autoSpaceDE w:val="0"/>
        <w:autoSpaceDN w:val="0"/>
        <w:spacing w:line="460" w:lineRule="exact"/>
        <w:ind w:firstLine="480" w:firstLineChars="200"/>
        <w:rPr>
          <w:rFonts w:ascii="宋体" w:hAnsi="宋体"/>
          <w:color w:val="auto"/>
          <w:sz w:val="24"/>
          <w:highlight w:val="none"/>
        </w:rPr>
      </w:pPr>
      <w:r>
        <w:rPr>
          <w:rFonts w:ascii="宋体" w:hAnsi="宋体"/>
          <w:color w:val="auto"/>
          <w:sz w:val="24"/>
          <w:highlight w:val="none"/>
        </w:rPr>
        <w:t>（4）总价金额与按单价汇总金额不一致的，以单价金额计算结果为准。</w:t>
      </w:r>
    </w:p>
    <w:p>
      <w:pPr>
        <w:overflowPunct w:val="0"/>
        <w:autoSpaceDE w:val="0"/>
        <w:autoSpaceDN w:val="0"/>
        <w:spacing w:line="460" w:lineRule="exact"/>
        <w:ind w:firstLine="480" w:firstLineChars="200"/>
        <w:rPr>
          <w:rFonts w:ascii="宋体" w:hAnsi="宋体"/>
          <w:color w:val="auto"/>
          <w:sz w:val="24"/>
          <w:highlight w:val="none"/>
        </w:rPr>
      </w:pPr>
      <w:r>
        <w:rPr>
          <w:rFonts w:ascii="宋体" w:hAnsi="宋体"/>
          <w:color w:val="auto"/>
          <w:sz w:val="24"/>
          <w:highlight w:val="none"/>
        </w:rPr>
        <w:t>（5）同时出现两种以上不一致的，按照前款规定的顺序修正。修正后的报价经投标人确认后产生约束力，投标人不确认的，其投标无效。</w:t>
      </w:r>
    </w:p>
    <w:p>
      <w:pPr>
        <w:topLinePunct/>
        <w:autoSpaceDE w:val="0"/>
        <w:autoSpaceDN w:val="0"/>
        <w:spacing w:line="460" w:lineRule="exact"/>
        <w:rPr>
          <w:rFonts w:ascii="宋体" w:hAnsi="宋体"/>
          <w:color w:val="auto"/>
          <w:sz w:val="24"/>
          <w:highlight w:val="none"/>
        </w:rPr>
      </w:pPr>
    </w:p>
    <w:p>
      <w:pPr>
        <w:topLinePunct/>
        <w:autoSpaceDE w:val="0"/>
        <w:autoSpaceDN w:val="0"/>
        <w:spacing w:line="460" w:lineRule="exact"/>
        <w:ind w:firstLine="482" w:firstLineChars="200"/>
        <w:rPr>
          <w:rFonts w:ascii="宋体" w:hAnsi="宋体"/>
          <w:b/>
          <w:color w:val="auto"/>
          <w:sz w:val="24"/>
          <w:highlight w:val="none"/>
        </w:rPr>
      </w:pPr>
      <w:r>
        <w:rPr>
          <w:rFonts w:ascii="宋体" w:hAnsi="宋体"/>
          <w:b/>
          <w:color w:val="auto"/>
          <w:sz w:val="24"/>
          <w:highlight w:val="none"/>
        </w:rPr>
        <w:t>21</w:t>
      </w:r>
      <w:r>
        <w:rPr>
          <w:rFonts w:ascii="宋体" w:hAnsi="宋体"/>
          <w:color w:val="auto"/>
          <w:szCs w:val="21"/>
          <w:highlight w:val="none"/>
        </w:rPr>
        <w:t>．</w:t>
      </w:r>
      <w:r>
        <w:rPr>
          <w:rFonts w:ascii="宋体" w:hAnsi="宋体"/>
          <w:b/>
          <w:color w:val="auto"/>
          <w:sz w:val="24"/>
          <w:highlight w:val="none"/>
        </w:rPr>
        <w:t>投标无效</w:t>
      </w:r>
    </w:p>
    <w:p>
      <w:pPr>
        <w:topLinePunct/>
        <w:autoSpaceDE w:val="0"/>
        <w:autoSpaceDN w:val="0"/>
        <w:spacing w:line="460" w:lineRule="exact"/>
        <w:ind w:firstLine="480" w:firstLineChars="200"/>
        <w:rPr>
          <w:rFonts w:ascii="宋体" w:hAnsi="宋体"/>
          <w:color w:val="auto"/>
          <w:sz w:val="24"/>
          <w:highlight w:val="none"/>
        </w:rPr>
      </w:pPr>
      <w:r>
        <w:rPr>
          <w:rFonts w:ascii="宋体" w:hAnsi="宋体"/>
          <w:color w:val="auto"/>
          <w:sz w:val="24"/>
          <w:highlight w:val="none"/>
        </w:rPr>
        <w:t>21.1 投标人及投标文件有下列情况之一的，应当在资格审查时按照投标无效处理：</w:t>
      </w:r>
    </w:p>
    <w:p>
      <w:pPr>
        <w:topLinePunct/>
        <w:autoSpaceDE w:val="0"/>
        <w:autoSpaceDN w:val="0"/>
        <w:spacing w:line="460" w:lineRule="exact"/>
        <w:ind w:firstLine="480" w:firstLineChars="200"/>
        <w:rPr>
          <w:rFonts w:ascii="宋体" w:hAnsi="宋体"/>
          <w:color w:val="auto"/>
          <w:sz w:val="24"/>
          <w:highlight w:val="none"/>
        </w:rPr>
      </w:pPr>
      <w:r>
        <w:rPr>
          <w:rFonts w:ascii="宋体" w:hAnsi="宋体"/>
          <w:color w:val="auto"/>
          <w:sz w:val="24"/>
          <w:highlight w:val="none"/>
        </w:rPr>
        <w:t>（1） 不具备招标文件中规定的资格要求的；</w:t>
      </w:r>
    </w:p>
    <w:p>
      <w:pPr>
        <w:topLinePunct/>
        <w:autoSpaceDE w:val="0"/>
        <w:autoSpaceDN w:val="0"/>
        <w:spacing w:line="460" w:lineRule="exact"/>
        <w:ind w:firstLine="480" w:firstLineChars="200"/>
        <w:rPr>
          <w:rFonts w:ascii="宋体" w:hAnsi="宋体"/>
          <w:color w:val="auto"/>
          <w:sz w:val="24"/>
          <w:highlight w:val="none"/>
        </w:rPr>
      </w:pPr>
      <w:r>
        <w:rPr>
          <w:rFonts w:ascii="宋体" w:hAnsi="宋体"/>
          <w:color w:val="auto"/>
          <w:sz w:val="24"/>
          <w:highlight w:val="none"/>
        </w:rPr>
        <w:t>（2） 投标文件组成中“资格证明文件”未提供或无效的；</w:t>
      </w:r>
    </w:p>
    <w:p>
      <w:pPr>
        <w:topLinePunct/>
        <w:autoSpaceDE w:val="0"/>
        <w:autoSpaceDN w:val="0"/>
        <w:spacing w:line="460" w:lineRule="exact"/>
        <w:ind w:firstLine="480" w:firstLineChars="200"/>
        <w:rPr>
          <w:rFonts w:ascii="宋体" w:hAnsi="宋体"/>
          <w:color w:val="auto"/>
          <w:sz w:val="24"/>
          <w:highlight w:val="none"/>
        </w:rPr>
      </w:pPr>
      <w:r>
        <w:rPr>
          <w:rFonts w:ascii="宋体" w:hAnsi="宋体"/>
          <w:color w:val="auto"/>
          <w:sz w:val="24"/>
          <w:highlight w:val="none"/>
        </w:rPr>
        <w:t>（3） 未通过信用记录审查或未提供相关证明材料的。</w:t>
      </w:r>
    </w:p>
    <w:p>
      <w:pPr>
        <w:topLinePunct/>
        <w:autoSpaceDE w:val="0"/>
        <w:autoSpaceDN w:val="0"/>
        <w:spacing w:line="460" w:lineRule="exact"/>
        <w:ind w:firstLine="480" w:firstLineChars="200"/>
        <w:rPr>
          <w:rFonts w:ascii="宋体" w:hAnsi="宋体"/>
          <w:color w:val="auto"/>
          <w:sz w:val="24"/>
          <w:highlight w:val="none"/>
        </w:rPr>
      </w:pPr>
      <w:r>
        <w:rPr>
          <w:rFonts w:ascii="宋体" w:hAnsi="宋体"/>
          <w:color w:val="auto"/>
          <w:sz w:val="24"/>
          <w:highlight w:val="none"/>
        </w:rPr>
        <w:t>21.2 投标人及投标文件有下列情况之一的，应当在符合性审查时按照投标无效处理：</w:t>
      </w:r>
    </w:p>
    <w:p>
      <w:pPr>
        <w:topLinePunct/>
        <w:autoSpaceDE w:val="0"/>
        <w:autoSpaceDN w:val="0"/>
        <w:spacing w:line="4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snapToGrid w:val="0"/>
          <w:color w:val="auto"/>
          <w:sz w:val="24"/>
          <w:highlight w:val="none"/>
        </w:rPr>
        <w:t>投标文件组成中除“资格证明文件”外，★条款相关文件及资料未提供或提供无效的；</w:t>
      </w:r>
    </w:p>
    <w:p>
      <w:pPr>
        <w:topLinePunct/>
        <w:autoSpaceDE w:val="0"/>
        <w:autoSpaceDN w:val="0"/>
        <w:spacing w:line="460" w:lineRule="exact"/>
        <w:ind w:firstLine="480" w:firstLineChars="200"/>
        <w:rPr>
          <w:rFonts w:ascii="宋体" w:hAnsi="宋体"/>
          <w:color w:val="auto"/>
          <w:sz w:val="24"/>
          <w:highlight w:val="none"/>
        </w:rPr>
      </w:pPr>
      <w:r>
        <w:rPr>
          <w:rFonts w:ascii="宋体" w:hAnsi="宋体"/>
          <w:color w:val="auto"/>
          <w:sz w:val="24"/>
          <w:highlight w:val="none"/>
        </w:rPr>
        <w:t>（2） 投标文件未按招标文件要求签署、盖章的；</w:t>
      </w:r>
    </w:p>
    <w:p>
      <w:pPr>
        <w:topLinePunct/>
        <w:autoSpaceDE w:val="0"/>
        <w:autoSpaceDN w:val="0"/>
        <w:spacing w:line="460" w:lineRule="exact"/>
        <w:ind w:firstLine="480" w:firstLineChars="200"/>
        <w:rPr>
          <w:rFonts w:ascii="宋体" w:hAnsi="宋体"/>
          <w:color w:val="auto"/>
          <w:sz w:val="24"/>
          <w:highlight w:val="none"/>
        </w:rPr>
      </w:pPr>
      <w:r>
        <w:rPr>
          <w:rFonts w:ascii="宋体" w:hAnsi="宋体"/>
          <w:color w:val="auto"/>
          <w:sz w:val="24"/>
          <w:highlight w:val="none"/>
        </w:rPr>
        <w:t>（3） 投标报价超过招标文件中规定的预算金额或者最高限价的；</w:t>
      </w:r>
    </w:p>
    <w:p>
      <w:pPr>
        <w:topLinePunct/>
        <w:autoSpaceDE w:val="0"/>
        <w:autoSpaceDN w:val="0"/>
        <w:spacing w:line="460" w:lineRule="exact"/>
        <w:ind w:firstLine="480" w:firstLineChars="200"/>
        <w:rPr>
          <w:rFonts w:ascii="宋体" w:hAnsi="宋体"/>
          <w:color w:val="auto"/>
          <w:sz w:val="24"/>
          <w:highlight w:val="none"/>
        </w:rPr>
      </w:pPr>
      <w:r>
        <w:rPr>
          <w:rFonts w:ascii="宋体" w:hAnsi="宋体"/>
          <w:color w:val="auto"/>
          <w:sz w:val="24"/>
          <w:highlight w:val="none"/>
        </w:rPr>
        <w:t>（4） 投标有效期不足的；</w:t>
      </w:r>
    </w:p>
    <w:p>
      <w:pPr>
        <w:topLinePunct/>
        <w:autoSpaceDE w:val="0"/>
        <w:autoSpaceDN w:val="0"/>
        <w:spacing w:line="460" w:lineRule="exact"/>
        <w:ind w:firstLine="480" w:firstLineChars="200"/>
        <w:rPr>
          <w:rFonts w:ascii="宋体" w:hAnsi="宋体"/>
          <w:color w:val="auto"/>
          <w:sz w:val="24"/>
          <w:highlight w:val="none"/>
        </w:rPr>
      </w:pPr>
      <w:r>
        <w:rPr>
          <w:rFonts w:ascii="宋体" w:hAnsi="宋体"/>
          <w:color w:val="auto"/>
          <w:sz w:val="24"/>
          <w:highlight w:val="none"/>
        </w:rPr>
        <w:t>（5） 投标文件含有采购人不能接受的附加条件的。</w:t>
      </w:r>
    </w:p>
    <w:p>
      <w:pPr>
        <w:topLinePunct/>
        <w:autoSpaceDE w:val="0"/>
        <w:autoSpaceDN w:val="0"/>
        <w:spacing w:line="460" w:lineRule="exact"/>
        <w:ind w:firstLine="480" w:firstLineChars="200"/>
        <w:rPr>
          <w:rFonts w:ascii="宋体" w:hAnsi="宋体"/>
          <w:color w:val="auto"/>
          <w:sz w:val="24"/>
          <w:highlight w:val="none"/>
        </w:rPr>
      </w:pPr>
      <w:r>
        <w:rPr>
          <w:rFonts w:ascii="宋体" w:hAnsi="宋体"/>
          <w:color w:val="auto"/>
          <w:sz w:val="24"/>
          <w:highlight w:val="none"/>
        </w:rPr>
        <w:t>21.3 除21.1及21.2情形外，投标人及投标文件有下列情况之一的，应当按照投标无效处理：</w:t>
      </w:r>
    </w:p>
    <w:p>
      <w:pPr>
        <w:topLinePunct/>
        <w:autoSpaceDE w:val="0"/>
        <w:autoSpaceDN w:val="0"/>
        <w:spacing w:line="460" w:lineRule="exact"/>
        <w:ind w:firstLine="480" w:firstLineChars="200"/>
        <w:rPr>
          <w:rFonts w:ascii="宋体" w:hAnsi="宋体"/>
          <w:color w:val="auto"/>
          <w:sz w:val="24"/>
          <w:highlight w:val="none"/>
        </w:rPr>
      </w:pPr>
      <w:r>
        <w:rPr>
          <w:rFonts w:ascii="宋体" w:hAnsi="宋体"/>
          <w:color w:val="auto"/>
          <w:sz w:val="24"/>
          <w:highlight w:val="none"/>
        </w:rPr>
        <w:t>（1） 提供虚假投标文件材料的；</w:t>
      </w:r>
    </w:p>
    <w:p>
      <w:pPr>
        <w:topLinePunct/>
        <w:autoSpaceDE w:val="0"/>
        <w:autoSpaceDN w:val="0"/>
        <w:spacing w:line="460" w:lineRule="exact"/>
        <w:ind w:firstLine="480" w:firstLineChars="200"/>
        <w:rPr>
          <w:rFonts w:ascii="宋体" w:hAnsi="宋体"/>
          <w:color w:val="auto"/>
          <w:sz w:val="24"/>
          <w:highlight w:val="none"/>
        </w:rPr>
      </w:pPr>
      <w:r>
        <w:rPr>
          <w:rFonts w:ascii="宋体" w:hAnsi="宋体"/>
          <w:color w:val="auto"/>
          <w:sz w:val="24"/>
          <w:highlight w:val="none"/>
        </w:rPr>
        <w:t>（2） 投标人串通投标的；</w:t>
      </w:r>
    </w:p>
    <w:p>
      <w:pPr>
        <w:topLinePunct/>
        <w:autoSpaceDE w:val="0"/>
        <w:autoSpaceDN w:val="0"/>
        <w:spacing w:line="460" w:lineRule="exact"/>
        <w:ind w:firstLine="480" w:firstLineChars="200"/>
        <w:rPr>
          <w:rFonts w:ascii="宋体" w:hAnsi="宋体"/>
          <w:color w:val="auto"/>
          <w:sz w:val="24"/>
          <w:highlight w:val="none"/>
        </w:rPr>
      </w:pPr>
      <w:r>
        <w:rPr>
          <w:rFonts w:ascii="宋体" w:hAnsi="宋体"/>
          <w:color w:val="auto"/>
          <w:sz w:val="24"/>
          <w:highlight w:val="none"/>
        </w:rPr>
        <w:t>（3） 投标报价明显低于其他通过符合性审查投标人的报价，且不能证明其报价合理性的；</w:t>
      </w:r>
    </w:p>
    <w:p>
      <w:pPr>
        <w:topLinePunct/>
        <w:autoSpaceDE w:val="0"/>
        <w:autoSpaceDN w:val="0"/>
        <w:spacing w:line="460" w:lineRule="exact"/>
        <w:ind w:firstLine="480" w:firstLineChars="200"/>
        <w:rPr>
          <w:rFonts w:ascii="宋体" w:hAnsi="宋体"/>
          <w:color w:val="auto"/>
          <w:sz w:val="24"/>
          <w:highlight w:val="none"/>
        </w:rPr>
      </w:pPr>
      <w:r>
        <w:rPr>
          <w:rFonts w:ascii="宋体" w:hAnsi="宋体"/>
          <w:color w:val="auto"/>
          <w:sz w:val="24"/>
          <w:highlight w:val="none"/>
        </w:rPr>
        <w:t>（4） 法律、法规和招标文件规定的其他无效情形。</w:t>
      </w:r>
    </w:p>
    <w:p>
      <w:pPr>
        <w:topLinePunct/>
        <w:autoSpaceDE w:val="0"/>
        <w:autoSpaceDN w:val="0"/>
        <w:spacing w:line="460" w:lineRule="exact"/>
        <w:ind w:firstLine="720" w:firstLineChars="300"/>
        <w:rPr>
          <w:rFonts w:ascii="宋体" w:hAnsi="宋体"/>
          <w:color w:val="auto"/>
          <w:sz w:val="24"/>
          <w:highlight w:val="none"/>
        </w:rPr>
      </w:pPr>
    </w:p>
    <w:p>
      <w:pPr>
        <w:topLinePunct/>
        <w:autoSpaceDE w:val="0"/>
        <w:autoSpaceDN w:val="0"/>
        <w:spacing w:line="460" w:lineRule="exact"/>
        <w:ind w:firstLine="482" w:firstLineChars="200"/>
        <w:rPr>
          <w:rFonts w:ascii="宋体" w:hAnsi="宋体"/>
          <w:b/>
          <w:color w:val="auto"/>
          <w:sz w:val="24"/>
          <w:highlight w:val="none"/>
        </w:rPr>
      </w:pPr>
      <w:r>
        <w:rPr>
          <w:rFonts w:ascii="宋体" w:hAnsi="宋体"/>
          <w:b/>
          <w:color w:val="auto"/>
          <w:sz w:val="24"/>
          <w:highlight w:val="none"/>
        </w:rPr>
        <w:t>22</w:t>
      </w:r>
      <w:r>
        <w:rPr>
          <w:rFonts w:ascii="宋体" w:hAnsi="宋体"/>
          <w:color w:val="auto"/>
          <w:szCs w:val="21"/>
          <w:highlight w:val="none"/>
        </w:rPr>
        <w:t>．</w:t>
      </w:r>
      <w:r>
        <w:rPr>
          <w:rFonts w:ascii="宋体" w:hAnsi="宋体"/>
          <w:b/>
          <w:color w:val="auto"/>
          <w:sz w:val="24"/>
          <w:highlight w:val="none"/>
        </w:rPr>
        <w:t>比较与评价</w:t>
      </w:r>
    </w:p>
    <w:p>
      <w:pPr>
        <w:topLinePunct/>
        <w:autoSpaceDE w:val="0"/>
        <w:autoSpaceDN w:val="0"/>
        <w:spacing w:line="460" w:lineRule="exact"/>
        <w:ind w:firstLine="480" w:firstLineChars="200"/>
        <w:rPr>
          <w:rFonts w:ascii="宋体" w:hAnsi="宋体"/>
          <w:color w:val="auto"/>
          <w:sz w:val="24"/>
          <w:highlight w:val="none"/>
        </w:rPr>
      </w:pPr>
      <w:r>
        <w:rPr>
          <w:rFonts w:ascii="宋体" w:hAnsi="宋体"/>
          <w:color w:val="auto"/>
          <w:sz w:val="24"/>
          <w:highlight w:val="none"/>
        </w:rPr>
        <w:t>22.1 评标委员会按照招标文件中规定的评标方法和标准，对符合性审查合格的投标文件进行商务和技术评估，综合比较与评价。</w:t>
      </w:r>
    </w:p>
    <w:p>
      <w:pPr>
        <w:topLinePunct/>
        <w:autoSpaceDE w:val="0"/>
        <w:autoSpaceDN w:val="0"/>
        <w:spacing w:line="460" w:lineRule="exact"/>
        <w:ind w:firstLine="480" w:firstLineChars="200"/>
        <w:rPr>
          <w:rFonts w:ascii="宋体" w:hAnsi="宋体"/>
          <w:color w:val="auto"/>
          <w:sz w:val="24"/>
          <w:highlight w:val="none"/>
        </w:rPr>
      </w:pPr>
      <w:r>
        <w:rPr>
          <w:rFonts w:ascii="宋体" w:hAnsi="宋体"/>
          <w:color w:val="auto"/>
          <w:sz w:val="24"/>
          <w:highlight w:val="none"/>
        </w:rPr>
        <w:t>22.2 价格分应当采用低价优先法计算。小型</w:t>
      </w:r>
      <w:r>
        <w:rPr>
          <w:rFonts w:hint="eastAsia" w:ascii="宋体" w:hAnsi="宋体"/>
          <w:color w:val="auto"/>
          <w:sz w:val="24"/>
          <w:highlight w:val="none"/>
        </w:rPr>
        <w:t>、</w:t>
      </w:r>
      <w:r>
        <w:rPr>
          <w:rFonts w:ascii="宋体" w:hAnsi="宋体"/>
          <w:color w:val="auto"/>
          <w:sz w:val="24"/>
          <w:highlight w:val="none"/>
        </w:rPr>
        <w:t>微型微企业和监狱企业、残疾人福利性单位的投标报价按照</w:t>
      </w:r>
      <w:r>
        <w:rPr>
          <w:rFonts w:ascii="宋体" w:hAnsi="宋体"/>
          <w:b/>
          <w:color w:val="auto"/>
          <w:sz w:val="24"/>
          <w:highlight w:val="none"/>
        </w:rPr>
        <w:t>投标人须知前附表</w:t>
      </w:r>
      <w:r>
        <w:rPr>
          <w:rFonts w:ascii="宋体" w:hAnsi="宋体"/>
          <w:color w:val="auto"/>
          <w:sz w:val="24"/>
          <w:highlight w:val="none"/>
        </w:rPr>
        <w:t>规定，分别给予扣除，并以扣除后的报价计算价格分。未提供《中小企业声明函》、《监狱企业证明文件》、《残疾人福利性单位声明函》的，价格不予扣除。同一投标人不得重复享受价格扣除政策。</w:t>
      </w:r>
    </w:p>
    <w:p>
      <w:pPr>
        <w:topLinePunct/>
        <w:autoSpaceDE w:val="0"/>
        <w:autoSpaceDN w:val="0"/>
        <w:spacing w:line="460" w:lineRule="exact"/>
        <w:ind w:firstLine="480" w:firstLineChars="200"/>
        <w:rPr>
          <w:rFonts w:ascii="宋体" w:hAnsi="宋体"/>
          <w:color w:val="auto"/>
          <w:sz w:val="24"/>
          <w:highlight w:val="none"/>
        </w:rPr>
      </w:pPr>
      <w:r>
        <w:rPr>
          <w:rFonts w:ascii="宋体" w:hAnsi="宋体"/>
          <w:color w:val="auto"/>
          <w:sz w:val="24"/>
          <w:highlight w:val="none"/>
        </w:rPr>
        <w:t>22.3 评标委员会各成员独立对每个投标人的投标文件进行评价，并汇总得出每个投标人的评审得分。</w:t>
      </w:r>
    </w:p>
    <w:p>
      <w:pPr>
        <w:topLinePunct/>
        <w:autoSpaceDE w:val="0"/>
        <w:autoSpaceDN w:val="0"/>
        <w:spacing w:line="460" w:lineRule="exact"/>
        <w:ind w:firstLine="480" w:firstLineChars="200"/>
        <w:rPr>
          <w:rFonts w:ascii="宋体" w:hAnsi="宋体"/>
          <w:color w:val="auto"/>
          <w:sz w:val="24"/>
          <w:highlight w:val="none"/>
        </w:rPr>
      </w:pPr>
      <w:r>
        <w:rPr>
          <w:rFonts w:ascii="宋体" w:hAnsi="宋体"/>
          <w:color w:val="auto"/>
          <w:sz w:val="24"/>
          <w:highlight w:val="none"/>
        </w:rPr>
        <w:t>22.4 评标结果按评审得分由高到低顺序排列。得分相同的，按投标报价由低到高顺序排列。得分且投标报价相同的按</w:t>
      </w:r>
      <w:r>
        <w:rPr>
          <w:rFonts w:hint="eastAsia" w:ascii="宋体" w:hAnsi="宋体"/>
          <w:color w:val="auto"/>
          <w:sz w:val="24"/>
          <w:highlight w:val="none"/>
        </w:rPr>
        <w:t>技术指标、项目实施方案、双活设计方案、数据迁移方案得分由高到低顺序排列</w:t>
      </w:r>
      <w:r>
        <w:rPr>
          <w:rFonts w:ascii="宋体" w:hAnsi="宋体"/>
          <w:color w:val="auto"/>
          <w:sz w:val="24"/>
          <w:highlight w:val="none"/>
        </w:rPr>
        <w:t>。投标文件满足招标文件全部实质性要求，且按照评审因素的量化指标评审得分最高的投标人为排名第一的中标候选人。</w:t>
      </w:r>
    </w:p>
    <w:p>
      <w:pPr>
        <w:topLinePunct/>
        <w:autoSpaceDE w:val="0"/>
        <w:autoSpaceDN w:val="0"/>
        <w:spacing w:line="460" w:lineRule="exact"/>
        <w:ind w:firstLine="480" w:firstLineChars="200"/>
        <w:rPr>
          <w:rFonts w:ascii="宋体" w:hAnsi="宋体"/>
          <w:b/>
          <w:color w:val="auto"/>
          <w:sz w:val="24"/>
          <w:highlight w:val="none"/>
        </w:rPr>
      </w:pPr>
      <w:r>
        <w:rPr>
          <w:rFonts w:ascii="宋体" w:hAnsi="宋体"/>
          <w:color w:val="auto"/>
          <w:sz w:val="24"/>
          <w:highlight w:val="none"/>
        </w:rPr>
        <w:t>22.5 评标方法及标准</w:t>
      </w:r>
      <w:r>
        <w:rPr>
          <w:rFonts w:ascii="宋体" w:hAnsi="宋体"/>
          <w:b/>
          <w:color w:val="auto"/>
          <w:sz w:val="24"/>
          <w:highlight w:val="none"/>
        </w:rPr>
        <w:t>详见招标文件商务部分第三章。</w:t>
      </w:r>
    </w:p>
    <w:p>
      <w:pPr>
        <w:topLinePunct/>
        <w:autoSpaceDE w:val="0"/>
        <w:autoSpaceDN w:val="0"/>
        <w:spacing w:line="460" w:lineRule="exact"/>
        <w:ind w:firstLine="480" w:firstLineChars="200"/>
        <w:rPr>
          <w:rFonts w:ascii="宋体" w:hAnsi="宋体"/>
          <w:color w:val="auto"/>
          <w:sz w:val="24"/>
          <w:highlight w:val="none"/>
        </w:rPr>
      </w:pPr>
      <w:r>
        <w:rPr>
          <w:rFonts w:ascii="宋体" w:hAnsi="宋体"/>
          <w:color w:val="auto"/>
          <w:sz w:val="24"/>
          <w:highlight w:val="none"/>
        </w:rPr>
        <w:t>22.6 评标委员会成员应当在评标报告上签字，对自己的评审意见承担法律责任。评标委员会成员对需要共同认定的事项存在争议的，应当按照少数服从多数的原则作出结论。持不同意见的评标委员会成员应当在评标报告上签署不同意见及理由，否则视为同意评标报告。</w:t>
      </w:r>
    </w:p>
    <w:p>
      <w:pPr>
        <w:pStyle w:val="33"/>
        <w:ind w:firstLine="210"/>
        <w:rPr>
          <w:color w:val="auto"/>
          <w:highlight w:val="none"/>
        </w:rPr>
      </w:pPr>
    </w:p>
    <w:p>
      <w:pPr>
        <w:topLinePunct/>
        <w:autoSpaceDE w:val="0"/>
        <w:autoSpaceDN w:val="0"/>
        <w:spacing w:line="460" w:lineRule="exact"/>
        <w:ind w:firstLine="482" w:firstLineChars="200"/>
        <w:rPr>
          <w:rFonts w:ascii="宋体" w:hAnsi="宋体"/>
          <w:b/>
          <w:color w:val="auto"/>
          <w:sz w:val="24"/>
          <w:highlight w:val="none"/>
        </w:rPr>
      </w:pPr>
      <w:r>
        <w:rPr>
          <w:rFonts w:ascii="宋体" w:hAnsi="宋体"/>
          <w:b/>
          <w:color w:val="auto"/>
          <w:sz w:val="24"/>
          <w:highlight w:val="none"/>
        </w:rPr>
        <w:t>23</w:t>
      </w:r>
      <w:r>
        <w:rPr>
          <w:rFonts w:ascii="宋体" w:hAnsi="宋体"/>
          <w:color w:val="auto"/>
          <w:szCs w:val="21"/>
          <w:highlight w:val="none"/>
        </w:rPr>
        <w:t>．</w:t>
      </w:r>
      <w:r>
        <w:rPr>
          <w:rFonts w:ascii="宋体" w:hAnsi="宋体"/>
          <w:b/>
          <w:color w:val="auto"/>
          <w:sz w:val="24"/>
          <w:highlight w:val="none"/>
        </w:rPr>
        <w:t>废标</w:t>
      </w:r>
    </w:p>
    <w:p>
      <w:pPr>
        <w:topLinePunct/>
        <w:autoSpaceDE w:val="0"/>
        <w:autoSpaceDN w:val="0"/>
        <w:spacing w:line="460" w:lineRule="exact"/>
        <w:ind w:firstLine="480" w:firstLineChars="200"/>
        <w:rPr>
          <w:rFonts w:ascii="宋体" w:hAnsi="宋体"/>
          <w:color w:val="auto"/>
          <w:sz w:val="24"/>
          <w:highlight w:val="none"/>
        </w:rPr>
      </w:pPr>
      <w:r>
        <w:rPr>
          <w:rFonts w:ascii="宋体" w:hAnsi="宋体"/>
          <w:color w:val="auto"/>
          <w:sz w:val="24"/>
          <w:highlight w:val="none"/>
        </w:rPr>
        <w:t>23.1 在招标采购中，出现下列情形之一的，应予废标：</w:t>
      </w:r>
    </w:p>
    <w:p>
      <w:pPr>
        <w:topLinePunct/>
        <w:autoSpaceDE w:val="0"/>
        <w:autoSpaceDN w:val="0"/>
        <w:spacing w:line="460" w:lineRule="exact"/>
        <w:ind w:firstLine="480" w:firstLineChars="200"/>
        <w:rPr>
          <w:rFonts w:ascii="宋体" w:hAnsi="宋体"/>
          <w:color w:val="auto"/>
          <w:sz w:val="24"/>
          <w:highlight w:val="none"/>
        </w:rPr>
      </w:pPr>
      <w:r>
        <w:rPr>
          <w:rFonts w:ascii="宋体" w:hAnsi="宋体"/>
          <w:color w:val="auto"/>
          <w:sz w:val="24"/>
          <w:highlight w:val="none"/>
        </w:rPr>
        <w:t>（1）符合专业条件的供应商或者对招标文件作实质响应的供应商不足三家的；</w:t>
      </w:r>
    </w:p>
    <w:p>
      <w:pPr>
        <w:topLinePunct/>
        <w:autoSpaceDE w:val="0"/>
        <w:autoSpaceDN w:val="0"/>
        <w:spacing w:line="460" w:lineRule="exact"/>
        <w:ind w:firstLine="480" w:firstLineChars="200"/>
        <w:rPr>
          <w:rFonts w:ascii="宋体" w:hAnsi="宋体"/>
          <w:color w:val="auto"/>
          <w:sz w:val="24"/>
          <w:highlight w:val="none"/>
        </w:rPr>
      </w:pPr>
      <w:r>
        <w:rPr>
          <w:rFonts w:ascii="宋体" w:hAnsi="宋体"/>
          <w:color w:val="auto"/>
          <w:sz w:val="24"/>
          <w:highlight w:val="none"/>
        </w:rPr>
        <w:t>（2）出现影响采购公正的违法、违规行为的；</w:t>
      </w:r>
    </w:p>
    <w:p>
      <w:pPr>
        <w:topLinePunct/>
        <w:autoSpaceDE w:val="0"/>
        <w:autoSpaceDN w:val="0"/>
        <w:spacing w:line="460" w:lineRule="exact"/>
        <w:ind w:firstLine="480" w:firstLineChars="200"/>
        <w:rPr>
          <w:rFonts w:ascii="宋体" w:hAnsi="宋体"/>
          <w:color w:val="auto"/>
          <w:sz w:val="24"/>
          <w:highlight w:val="none"/>
        </w:rPr>
      </w:pPr>
      <w:r>
        <w:rPr>
          <w:rFonts w:ascii="宋体" w:hAnsi="宋体"/>
          <w:color w:val="auto"/>
          <w:sz w:val="24"/>
          <w:highlight w:val="none"/>
        </w:rPr>
        <w:t>（3）投标人的报价均超过了采购预算，采购人不能支付的；</w:t>
      </w:r>
    </w:p>
    <w:p>
      <w:pPr>
        <w:topLinePunct/>
        <w:autoSpaceDE w:val="0"/>
        <w:autoSpaceDN w:val="0"/>
        <w:spacing w:line="460" w:lineRule="exact"/>
        <w:ind w:firstLine="480" w:firstLineChars="200"/>
        <w:rPr>
          <w:rFonts w:ascii="宋体" w:hAnsi="宋体"/>
          <w:color w:val="auto"/>
          <w:sz w:val="24"/>
          <w:highlight w:val="none"/>
        </w:rPr>
      </w:pPr>
      <w:r>
        <w:rPr>
          <w:rFonts w:ascii="宋体" w:hAnsi="宋体"/>
          <w:color w:val="auto"/>
          <w:sz w:val="24"/>
          <w:highlight w:val="none"/>
        </w:rPr>
        <w:t>（4）因重大变故，采购任务取消的。</w:t>
      </w:r>
    </w:p>
    <w:p>
      <w:pPr>
        <w:topLinePunct/>
        <w:autoSpaceDE w:val="0"/>
        <w:autoSpaceDN w:val="0"/>
        <w:spacing w:line="460" w:lineRule="exact"/>
        <w:ind w:firstLine="480" w:firstLineChars="200"/>
        <w:rPr>
          <w:rFonts w:ascii="宋体" w:hAnsi="宋体"/>
          <w:color w:val="auto"/>
          <w:sz w:val="24"/>
          <w:highlight w:val="none"/>
        </w:rPr>
      </w:pPr>
      <w:r>
        <w:rPr>
          <w:rFonts w:ascii="宋体" w:hAnsi="宋体"/>
          <w:color w:val="auto"/>
          <w:sz w:val="24"/>
          <w:highlight w:val="none"/>
        </w:rPr>
        <w:t>23.2 废标后，</w:t>
      </w:r>
      <w:r>
        <w:rPr>
          <w:rFonts w:hint="eastAsia" w:ascii="宋体" w:hAnsi="宋体"/>
          <w:color w:val="auto"/>
          <w:sz w:val="24"/>
          <w:highlight w:val="none"/>
        </w:rPr>
        <w:t>采购人</w:t>
      </w:r>
      <w:r>
        <w:rPr>
          <w:rFonts w:ascii="宋体" w:hAnsi="宋体"/>
          <w:color w:val="auto"/>
          <w:sz w:val="24"/>
          <w:highlight w:val="none"/>
        </w:rPr>
        <w:t>将废标理由通知所有投标人。</w:t>
      </w:r>
    </w:p>
    <w:p>
      <w:pPr>
        <w:topLinePunct/>
        <w:autoSpaceDE w:val="0"/>
        <w:autoSpaceDN w:val="0"/>
        <w:spacing w:line="460" w:lineRule="exact"/>
        <w:ind w:firstLine="480" w:firstLineChars="200"/>
        <w:rPr>
          <w:rFonts w:ascii="宋体" w:hAnsi="宋体"/>
          <w:color w:val="auto"/>
          <w:sz w:val="24"/>
          <w:highlight w:val="none"/>
        </w:rPr>
      </w:pPr>
    </w:p>
    <w:p>
      <w:pPr>
        <w:topLinePunct/>
        <w:autoSpaceDE w:val="0"/>
        <w:autoSpaceDN w:val="0"/>
        <w:spacing w:line="460" w:lineRule="exact"/>
        <w:jc w:val="center"/>
        <w:rPr>
          <w:rFonts w:ascii="宋体" w:hAnsi="宋体"/>
          <w:b/>
          <w:bCs/>
          <w:color w:val="auto"/>
          <w:sz w:val="32"/>
          <w:szCs w:val="32"/>
          <w:highlight w:val="none"/>
        </w:rPr>
      </w:pPr>
      <w:r>
        <w:rPr>
          <w:rFonts w:ascii="宋体" w:hAnsi="宋体"/>
          <w:b/>
          <w:bCs/>
          <w:color w:val="auto"/>
          <w:sz w:val="32"/>
          <w:szCs w:val="32"/>
          <w:highlight w:val="none"/>
        </w:rPr>
        <w:t>六、中标和合同</w:t>
      </w:r>
    </w:p>
    <w:p>
      <w:pPr>
        <w:topLinePunct/>
        <w:autoSpaceDE w:val="0"/>
        <w:autoSpaceDN w:val="0"/>
        <w:spacing w:line="460" w:lineRule="exact"/>
        <w:ind w:firstLine="482" w:firstLineChars="200"/>
        <w:rPr>
          <w:rFonts w:ascii="宋体" w:hAnsi="宋体"/>
          <w:b/>
          <w:color w:val="auto"/>
          <w:sz w:val="24"/>
          <w:highlight w:val="none"/>
        </w:rPr>
      </w:pPr>
      <w:r>
        <w:rPr>
          <w:rFonts w:ascii="宋体" w:hAnsi="宋体"/>
          <w:b/>
          <w:color w:val="auto"/>
          <w:sz w:val="24"/>
          <w:highlight w:val="none"/>
        </w:rPr>
        <w:t>24</w:t>
      </w:r>
      <w:r>
        <w:rPr>
          <w:rFonts w:ascii="宋体" w:hAnsi="宋体"/>
          <w:color w:val="auto"/>
          <w:szCs w:val="21"/>
          <w:highlight w:val="none"/>
        </w:rPr>
        <w:t>．</w:t>
      </w:r>
      <w:r>
        <w:rPr>
          <w:rFonts w:ascii="宋体" w:hAnsi="宋体"/>
          <w:b/>
          <w:color w:val="auto"/>
          <w:sz w:val="24"/>
          <w:highlight w:val="none"/>
        </w:rPr>
        <w:t>中标</w:t>
      </w:r>
    </w:p>
    <w:p>
      <w:pPr>
        <w:topLinePunct/>
        <w:autoSpaceDE w:val="0"/>
        <w:autoSpaceDN w:val="0"/>
        <w:spacing w:line="460" w:lineRule="exact"/>
        <w:ind w:firstLine="480" w:firstLineChars="200"/>
        <w:rPr>
          <w:rFonts w:ascii="宋体" w:hAnsi="宋体"/>
          <w:color w:val="auto"/>
          <w:sz w:val="24"/>
          <w:highlight w:val="none"/>
        </w:rPr>
      </w:pPr>
      <w:r>
        <w:rPr>
          <w:rFonts w:hint="eastAsia" w:ascii="宋体" w:hAnsi="宋体"/>
          <w:color w:val="auto"/>
          <w:sz w:val="24"/>
          <w:highlight w:val="none"/>
        </w:rPr>
        <w:t xml:space="preserve">24.1 </w:t>
      </w:r>
      <w:r>
        <w:rPr>
          <w:rFonts w:ascii="宋体" w:hAnsi="宋体"/>
          <w:color w:val="auto"/>
          <w:sz w:val="24"/>
          <w:highlight w:val="none"/>
        </w:rPr>
        <w:t>采购人在评标结束后5个工作日内，按评标报告推荐的中标候选人顺序确定中标人。</w:t>
      </w:r>
    </w:p>
    <w:p>
      <w:pPr>
        <w:topLinePunct/>
        <w:autoSpaceDE w:val="0"/>
        <w:autoSpaceDN w:val="0"/>
        <w:spacing w:line="460" w:lineRule="exact"/>
        <w:ind w:firstLine="480" w:firstLineChars="200"/>
        <w:rPr>
          <w:rFonts w:ascii="宋体" w:hAnsi="宋体"/>
          <w:color w:val="auto"/>
          <w:sz w:val="24"/>
          <w:highlight w:val="none"/>
        </w:rPr>
      </w:pPr>
      <w:r>
        <w:rPr>
          <w:rFonts w:ascii="宋体" w:hAnsi="宋体"/>
          <w:color w:val="auto"/>
          <w:sz w:val="24"/>
          <w:highlight w:val="none"/>
        </w:rPr>
        <w:t>24.</w:t>
      </w:r>
      <w:r>
        <w:rPr>
          <w:rFonts w:hint="eastAsia" w:ascii="宋体" w:hAnsi="宋体"/>
          <w:color w:val="auto"/>
          <w:sz w:val="24"/>
          <w:highlight w:val="none"/>
        </w:rPr>
        <w:t>2</w:t>
      </w:r>
      <w:r>
        <w:rPr>
          <w:rFonts w:ascii="宋体" w:hAnsi="宋体"/>
          <w:color w:val="auto"/>
          <w:sz w:val="24"/>
          <w:highlight w:val="none"/>
        </w:rPr>
        <w:t xml:space="preserve"> 采购</w:t>
      </w:r>
      <w:r>
        <w:rPr>
          <w:rFonts w:hint="eastAsia" w:ascii="宋体" w:hAnsi="宋体"/>
          <w:color w:val="auto"/>
          <w:sz w:val="24"/>
          <w:highlight w:val="none"/>
        </w:rPr>
        <w:t>人</w:t>
      </w:r>
      <w:r>
        <w:rPr>
          <w:rFonts w:ascii="宋体" w:hAnsi="宋体"/>
          <w:color w:val="auto"/>
          <w:sz w:val="24"/>
          <w:highlight w:val="none"/>
        </w:rPr>
        <w:t>自中标人确定之日起2个工作日内，在</w:t>
      </w:r>
      <w:r>
        <w:rPr>
          <w:rFonts w:ascii="宋体" w:hAnsi="宋体"/>
          <w:b/>
          <w:color w:val="auto"/>
          <w:sz w:val="24"/>
          <w:highlight w:val="none"/>
        </w:rPr>
        <w:t>投标人须知前附表</w:t>
      </w:r>
      <w:r>
        <w:rPr>
          <w:rFonts w:ascii="宋体" w:hAnsi="宋体"/>
          <w:color w:val="auto"/>
          <w:sz w:val="24"/>
          <w:highlight w:val="none"/>
        </w:rPr>
        <w:t>规定的媒体上公告中标结果，招标文件应随中标结果同时公告。中标公告期限为1个工作日。</w:t>
      </w:r>
    </w:p>
    <w:p>
      <w:pPr>
        <w:topLinePunct/>
        <w:autoSpaceDE w:val="0"/>
        <w:autoSpaceDN w:val="0"/>
        <w:spacing w:line="460" w:lineRule="exact"/>
        <w:ind w:firstLine="480" w:firstLineChars="200"/>
        <w:rPr>
          <w:rFonts w:ascii="宋体" w:hAnsi="宋体"/>
          <w:color w:val="auto"/>
          <w:sz w:val="24"/>
          <w:highlight w:val="none"/>
        </w:rPr>
      </w:pPr>
      <w:r>
        <w:rPr>
          <w:rFonts w:ascii="宋体" w:hAnsi="宋体"/>
          <w:color w:val="auto"/>
          <w:sz w:val="24"/>
          <w:highlight w:val="none"/>
        </w:rPr>
        <w:t>24.</w:t>
      </w:r>
      <w:r>
        <w:rPr>
          <w:rFonts w:hint="eastAsia" w:ascii="宋体" w:hAnsi="宋体"/>
          <w:color w:val="auto"/>
          <w:sz w:val="24"/>
          <w:highlight w:val="none"/>
        </w:rPr>
        <w:t>3</w:t>
      </w:r>
      <w:r>
        <w:rPr>
          <w:rFonts w:ascii="宋体" w:hAnsi="宋体"/>
          <w:color w:val="auto"/>
          <w:sz w:val="24"/>
          <w:highlight w:val="none"/>
        </w:rPr>
        <w:t xml:space="preserve"> 在公告中标结果的同时，采购</w:t>
      </w:r>
      <w:r>
        <w:rPr>
          <w:rFonts w:hint="eastAsia" w:ascii="宋体" w:hAnsi="宋体"/>
          <w:color w:val="auto"/>
          <w:sz w:val="24"/>
          <w:highlight w:val="none"/>
        </w:rPr>
        <w:t>人</w:t>
      </w:r>
      <w:r>
        <w:rPr>
          <w:rFonts w:ascii="宋体" w:hAnsi="宋体"/>
          <w:color w:val="auto"/>
          <w:sz w:val="24"/>
          <w:highlight w:val="none"/>
        </w:rPr>
        <w:t>向中标人发出中标通知书；对未通过资格审查的投标人，告知其未通过的原因；采用综合评分法评审的，同时告知未中标人本人的评审得分与排序。</w:t>
      </w:r>
    </w:p>
    <w:p>
      <w:pPr>
        <w:topLinePunct/>
        <w:autoSpaceDE w:val="0"/>
        <w:autoSpaceDN w:val="0"/>
        <w:spacing w:line="460" w:lineRule="exact"/>
        <w:ind w:firstLine="480" w:firstLineChars="200"/>
        <w:rPr>
          <w:rFonts w:ascii="宋体" w:hAnsi="宋体"/>
          <w:color w:val="auto"/>
          <w:sz w:val="24"/>
          <w:highlight w:val="none"/>
        </w:rPr>
      </w:pPr>
      <w:r>
        <w:rPr>
          <w:rFonts w:ascii="宋体" w:hAnsi="宋体"/>
          <w:color w:val="auto"/>
          <w:sz w:val="24"/>
          <w:highlight w:val="none"/>
        </w:rPr>
        <w:t>24.4 中标通知书发出后，采购人不得违法改变中标结果，中标人无正当理由不得放弃中标。</w:t>
      </w:r>
    </w:p>
    <w:p>
      <w:pPr>
        <w:topLinePunct/>
        <w:autoSpaceDE w:val="0"/>
        <w:autoSpaceDN w:val="0"/>
        <w:spacing w:line="460" w:lineRule="exact"/>
        <w:ind w:firstLine="480" w:firstLineChars="200"/>
        <w:rPr>
          <w:rFonts w:ascii="宋体" w:hAnsi="宋体"/>
          <w:color w:val="auto"/>
          <w:sz w:val="24"/>
          <w:highlight w:val="none"/>
        </w:rPr>
      </w:pPr>
      <w:r>
        <w:rPr>
          <w:rFonts w:ascii="宋体" w:hAnsi="宋体"/>
          <w:color w:val="auto"/>
          <w:sz w:val="24"/>
          <w:highlight w:val="none"/>
        </w:rPr>
        <w:t>24.5 中标通知书对采购人和中标人具有同等法律效力。</w:t>
      </w:r>
    </w:p>
    <w:p>
      <w:pPr>
        <w:pStyle w:val="33"/>
        <w:ind w:firstLine="240"/>
        <w:rPr>
          <w:color w:val="auto"/>
          <w:sz w:val="24"/>
          <w:highlight w:val="none"/>
        </w:rPr>
      </w:pPr>
    </w:p>
    <w:p>
      <w:pPr>
        <w:topLinePunct/>
        <w:autoSpaceDE w:val="0"/>
        <w:autoSpaceDN w:val="0"/>
        <w:spacing w:line="460" w:lineRule="exact"/>
        <w:ind w:firstLine="482" w:firstLineChars="200"/>
        <w:rPr>
          <w:rFonts w:ascii="宋体" w:hAnsi="宋体"/>
          <w:b/>
          <w:color w:val="auto"/>
          <w:sz w:val="24"/>
          <w:highlight w:val="none"/>
        </w:rPr>
      </w:pPr>
      <w:r>
        <w:rPr>
          <w:rFonts w:ascii="宋体" w:hAnsi="宋体"/>
          <w:b/>
          <w:color w:val="auto"/>
          <w:sz w:val="24"/>
          <w:highlight w:val="none"/>
        </w:rPr>
        <w:t>25.履约保证金</w:t>
      </w:r>
    </w:p>
    <w:p>
      <w:pPr>
        <w:topLinePunct/>
        <w:autoSpaceDE w:val="0"/>
        <w:autoSpaceDN w:val="0"/>
        <w:spacing w:line="460" w:lineRule="exact"/>
        <w:ind w:firstLine="480" w:firstLineChars="200"/>
        <w:rPr>
          <w:rFonts w:ascii="宋体" w:hAnsi="宋体"/>
          <w:color w:val="auto"/>
          <w:sz w:val="24"/>
          <w:highlight w:val="none"/>
        </w:rPr>
      </w:pPr>
      <w:r>
        <w:rPr>
          <w:rFonts w:ascii="宋体" w:hAnsi="宋体"/>
          <w:color w:val="auto"/>
          <w:sz w:val="24"/>
          <w:highlight w:val="none"/>
        </w:rPr>
        <w:t>25.1 中标人在签订合同</w:t>
      </w:r>
      <w:r>
        <w:rPr>
          <w:rFonts w:hint="eastAsia" w:ascii="宋体" w:hAnsi="宋体"/>
          <w:color w:val="auto"/>
          <w:sz w:val="24"/>
          <w:highlight w:val="none"/>
        </w:rPr>
        <w:t>前</w:t>
      </w:r>
      <w:r>
        <w:rPr>
          <w:rFonts w:ascii="宋体" w:hAnsi="宋体"/>
          <w:color w:val="auto"/>
          <w:sz w:val="24"/>
          <w:highlight w:val="none"/>
        </w:rPr>
        <w:t>，应按照投标人须知前附表的规定，向采购人提交履约保证金。</w:t>
      </w:r>
    </w:p>
    <w:p>
      <w:pPr>
        <w:pStyle w:val="2"/>
        <w:rPr>
          <w:color w:val="auto"/>
          <w:highlight w:val="none"/>
        </w:rPr>
      </w:pPr>
    </w:p>
    <w:p>
      <w:pPr>
        <w:topLinePunct/>
        <w:autoSpaceDE w:val="0"/>
        <w:autoSpaceDN w:val="0"/>
        <w:spacing w:line="460" w:lineRule="exact"/>
        <w:ind w:firstLine="482" w:firstLineChars="200"/>
        <w:rPr>
          <w:rFonts w:ascii="宋体" w:hAnsi="宋体"/>
          <w:b/>
          <w:color w:val="auto"/>
          <w:sz w:val="24"/>
          <w:highlight w:val="none"/>
        </w:rPr>
      </w:pPr>
      <w:r>
        <w:rPr>
          <w:rFonts w:ascii="宋体" w:hAnsi="宋体"/>
          <w:b/>
          <w:color w:val="auto"/>
          <w:sz w:val="24"/>
          <w:highlight w:val="none"/>
        </w:rPr>
        <w:t>26．签订合同</w:t>
      </w:r>
    </w:p>
    <w:p>
      <w:pPr>
        <w:topLinePunct/>
        <w:autoSpaceDE w:val="0"/>
        <w:autoSpaceDN w:val="0"/>
        <w:spacing w:line="460" w:lineRule="exact"/>
        <w:ind w:firstLine="480" w:firstLineChars="200"/>
        <w:rPr>
          <w:rFonts w:ascii="宋体" w:hAnsi="宋体"/>
          <w:color w:val="auto"/>
          <w:sz w:val="24"/>
          <w:highlight w:val="none"/>
        </w:rPr>
      </w:pPr>
      <w:r>
        <w:rPr>
          <w:rFonts w:ascii="宋体" w:hAnsi="宋体"/>
          <w:color w:val="auto"/>
          <w:sz w:val="24"/>
          <w:highlight w:val="none"/>
        </w:rPr>
        <w:t>26.1 采购人应当自中标通知书发出之日起30日内，按照招标文件和中标人投标文件的规定，与中标人签订书面合同。</w:t>
      </w:r>
    </w:p>
    <w:p>
      <w:pPr>
        <w:topLinePunct/>
        <w:autoSpaceDE w:val="0"/>
        <w:autoSpaceDN w:val="0"/>
        <w:spacing w:line="460" w:lineRule="exact"/>
        <w:ind w:firstLine="480" w:firstLineChars="200"/>
        <w:rPr>
          <w:rFonts w:ascii="宋体" w:hAnsi="宋体"/>
          <w:color w:val="auto"/>
          <w:sz w:val="24"/>
          <w:highlight w:val="none"/>
        </w:rPr>
      </w:pPr>
      <w:r>
        <w:rPr>
          <w:rFonts w:ascii="宋体" w:hAnsi="宋体"/>
          <w:color w:val="auto"/>
          <w:sz w:val="24"/>
          <w:highlight w:val="none"/>
        </w:rPr>
        <w:t>26.2 所签订的合同不得对招标文件确定的事项和中标人投标文件作实质性修改。</w:t>
      </w:r>
    </w:p>
    <w:p>
      <w:pPr>
        <w:topLinePunct/>
        <w:autoSpaceDE w:val="0"/>
        <w:autoSpaceDN w:val="0"/>
        <w:spacing w:line="460" w:lineRule="exact"/>
        <w:ind w:firstLine="480" w:firstLineChars="200"/>
        <w:rPr>
          <w:rFonts w:ascii="宋体" w:hAnsi="宋体"/>
          <w:color w:val="auto"/>
          <w:sz w:val="24"/>
          <w:highlight w:val="none"/>
        </w:rPr>
      </w:pPr>
      <w:r>
        <w:rPr>
          <w:rFonts w:ascii="宋体" w:hAnsi="宋体"/>
          <w:color w:val="auto"/>
          <w:sz w:val="24"/>
          <w:highlight w:val="none"/>
        </w:rPr>
        <w:t>26.3 采购人不得向中标人提出任何不合理的要求作为签订合同的条件。</w:t>
      </w:r>
    </w:p>
    <w:p>
      <w:pPr>
        <w:topLinePunct/>
        <w:autoSpaceDE w:val="0"/>
        <w:autoSpaceDN w:val="0"/>
        <w:spacing w:line="460" w:lineRule="exact"/>
        <w:ind w:firstLine="480" w:firstLineChars="200"/>
        <w:rPr>
          <w:rFonts w:ascii="宋体" w:hAnsi="宋体"/>
          <w:color w:val="auto"/>
          <w:sz w:val="24"/>
          <w:highlight w:val="none"/>
        </w:rPr>
      </w:pPr>
      <w:r>
        <w:rPr>
          <w:rFonts w:ascii="宋体" w:hAnsi="宋体"/>
          <w:color w:val="auto"/>
          <w:sz w:val="24"/>
          <w:highlight w:val="none"/>
        </w:rPr>
        <w:t>26.4 中标人拒绝与采购人签订合同的，采购人可以按照评审报告推荐的中标候选人名单排序，确定下一候选人为中标人，也可以重新开展政府采购活动。</w:t>
      </w:r>
    </w:p>
    <w:p>
      <w:pPr>
        <w:topLinePunct/>
        <w:autoSpaceDE w:val="0"/>
        <w:autoSpaceDN w:val="0"/>
        <w:spacing w:line="460" w:lineRule="exact"/>
        <w:rPr>
          <w:rFonts w:ascii="宋体" w:hAnsi="宋体"/>
          <w:color w:val="auto"/>
          <w:sz w:val="24"/>
          <w:highlight w:val="none"/>
        </w:rPr>
      </w:pPr>
    </w:p>
    <w:p>
      <w:pPr>
        <w:topLinePunct/>
        <w:autoSpaceDE w:val="0"/>
        <w:autoSpaceDN w:val="0"/>
        <w:spacing w:line="460" w:lineRule="exact"/>
        <w:ind w:firstLine="482"/>
        <w:jc w:val="center"/>
        <w:rPr>
          <w:rFonts w:ascii="宋体" w:hAnsi="宋体"/>
          <w:b/>
          <w:bCs/>
          <w:color w:val="auto"/>
          <w:sz w:val="32"/>
          <w:szCs w:val="32"/>
          <w:highlight w:val="none"/>
        </w:rPr>
      </w:pPr>
      <w:r>
        <w:rPr>
          <w:rFonts w:ascii="宋体" w:hAnsi="宋体"/>
          <w:b/>
          <w:bCs/>
          <w:color w:val="auto"/>
          <w:sz w:val="32"/>
          <w:szCs w:val="32"/>
          <w:highlight w:val="none"/>
        </w:rPr>
        <w:t>七、询问和质疑</w:t>
      </w:r>
    </w:p>
    <w:p>
      <w:pPr>
        <w:topLinePunct/>
        <w:autoSpaceDE w:val="0"/>
        <w:autoSpaceDN w:val="0"/>
        <w:spacing w:line="460" w:lineRule="exact"/>
        <w:ind w:firstLine="482" w:firstLineChars="200"/>
        <w:rPr>
          <w:rFonts w:ascii="宋体" w:hAnsi="宋体"/>
          <w:b/>
          <w:color w:val="auto"/>
          <w:sz w:val="24"/>
          <w:highlight w:val="none"/>
        </w:rPr>
      </w:pPr>
      <w:r>
        <w:rPr>
          <w:rFonts w:ascii="宋体" w:hAnsi="宋体"/>
          <w:b/>
          <w:color w:val="auto"/>
          <w:sz w:val="24"/>
          <w:highlight w:val="none"/>
        </w:rPr>
        <w:t>27. 询问</w:t>
      </w:r>
    </w:p>
    <w:p>
      <w:pPr>
        <w:topLinePunct/>
        <w:autoSpaceDE w:val="0"/>
        <w:autoSpaceDN w:val="0"/>
        <w:spacing w:line="460" w:lineRule="exact"/>
        <w:ind w:firstLine="480" w:firstLineChars="200"/>
        <w:jc w:val="left"/>
        <w:rPr>
          <w:rFonts w:ascii="宋体" w:hAnsi="宋体"/>
          <w:color w:val="auto"/>
          <w:sz w:val="24"/>
          <w:highlight w:val="none"/>
        </w:rPr>
      </w:pPr>
      <w:r>
        <w:rPr>
          <w:rFonts w:ascii="宋体" w:hAnsi="宋体"/>
          <w:color w:val="auto"/>
          <w:sz w:val="24"/>
          <w:highlight w:val="none"/>
        </w:rPr>
        <w:t>27.1 供应商对政府采购活动事项有疑问的，可以向采购</w:t>
      </w:r>
      <w:r>
        <w:rPr>
          <w:rFonts w:hint="eastAsia" w:ascii="宋体" w:hAnsi="宋体"/>
          <w:color w:val="auto"/>
          <w:sz w:val="24"/>
          <w:highlight w:val="none"/>
        </w:rPr>
        <w:t>人</w:t>
      </w:r>
      <w:r>
        <w:rPr>
          <w:rFonts w:ascii="宋体" w:hAnsi="宋体"/>
          <w:color w:val="auto"/>
          <w:sz w:val="24"/>
          <w:highlight w:val="none"/>
        </w:rPr>
        <w:t>提出询问，采购</w:t>
      </w:r>
      <w:r>
        <w:rPr>
          <w:rFonts w:hint="eastAsia" w:ascii="宋体" w:hAnsi="宋体"/>
          <w:color w:val="auto"/>
          <w:sz w:val="24"/>
          <w:highlight w:val="none"/>
        </w:rPr>
        <w:t>人</w:t>
      </w:r>
      <w:r>
        <w:rPr>
          <w:rFonts w:ascii="宋体" w:hAnsi="宋体"/>
          <w:color w:val="auto"/>
          <w:sz w:val="24"/>
          <w:highlight w:val="none"/>
        </w:rPr>
        <w:t>应在3个工作日内作出答复，但答复的内容不得涉及商业秘密。</w:t>
      </w:r>
    </w:p>
    <w:p>
      <w:pPr>
        <w:topLinePunct/>
        <w:autoSpaceDE w:val="0"/>
        <w:autoSpaceDN w:val="0"/>
        <w:spacing w:line="460" w:lineRule="exact"/>
        <w:ind w:firstLine="482" w:firstLineChars="200"/>
        <w:rPr>
          <w:rFonts w:ascii="宋体" w:hAnsi="宋体"/>
          <w:b/>
          <w:color w:val="auto"/>
          <w:sz w:val="24"/>
          <w:highlight w:val="none"/>
        </w:rPr>
      </w:pPr>
      <w:r>
        <w:rPr>
          <w:rFonts w:ascii="宋体" w:hAnsi="宋体"/>
          <w:b/>
          <w:color w:val="auto"/>
          <w:sz w:val="24"/>
          <w:highlight w:val="none"/>
        </w:rPr>
        <w:t>28</w:t>
      </w:r>
      <w:r>
        <w:rPr>
          <w:rFonts w:ascii="宋体" w:hAnsi="宋体"/>
          <w:color w:val="auto"/>
          <w:szCs w:val="21"/>
          <w:highlight w:val="none"/>
        </w:rPr>
        <w:t>．</w:t>
      </w:r>
      <w:r>
        <w:rPr>
          <w:rFonts w:ascii="宋体" w:hAnsi="宋体"/>
          <w:b/>
          <w:color w:val="auto"/>
          <w:sz w:val="24"/>
          <w:highlight w:val="none"/>
        </w:rPr>
        <w:t>质疑</w:t>
      </w:r>
    </w:p>
    <w:p>
      <w:pPr>
        <w:topLinePunct/>
        <w:autoSpaceDE w:val="0"/>
        <w:autoSpaceDN w:val="0"/>
        <w:spacing w:line="460" w:lineRule="exact"/>
        <w:ind w:firstLine="480" w:firstLineChars="200"/>
        <w:rPr>
          <w:rFonts w:ascii="宋体" w:hAnsi="宋体"/>
          <w:color w:val="auto"/>
          <w:sz w:val="24"/>
          <w:highlight w:val="none"/>
        </w:rPr>
      </w:pPr>
      <w:r>
        <w:rPr>
          <w:rFonts w:ascii="宋体" w:hAnsi="宋体"/>
          <w:color w:val="auto"/>
          <w:sz w:val="24"/>
          <w:highlight w:val="none"/>
        </w:rPr>
        <w:t>28.1 供应商认为招标文件、招标过程和中标结果使自己的权益受到损害的，可以在知道或者应知其权益受到损害之日起7个工作日内以书面形式向</w:t>
      </w:r>
      <w:r>
        <w:rPr>
          <w:rFonts w:hint="eastAsia" w:ascii="宋体" w:hAnsi="宋体"/>
          <w:color w:val="auto"/>
          <w:sz w:val="24"/>
          <w:highlight w:val="none"/>
        </w:rPr>
        <w:t>采购人</w:t>
      </w:r>
      <w:r>
        <w:rPr>
          <w:rFonts w:ascii="宋体" w:hAnsi="宋体"/>
          <w:color w:val="auto"/>
          <w:sz w:val="24"/>
          <w:highlight w:val="none"/>
        </w:rPr>
        <w:t>提出质疑。联系部门、联系电话、通讯地址</w:t>
      </w:r>
      <w:r>
        <w:rPr>
          <w:rFonts w:ascii="宋体" w:hAnsi="宋体"/>
          <w:b/>
          <w:bCs/>
          <w:color w:val="auto"/>
          <w:sz w:val="24"/>
          <w:highlight w:val="none"/>
        </w:rPr>
        <w:t>见</w:t>
      </w:r>
      <w:r>
        <w:rPr>
          <w:rFonts w:ascii="宋体" w:hAnsi="宋体"/>
          <w:b/>
          <w:color w:val="auto"/>
          <w:sz w:val="24"/>
          <w:highlight w:val="none"/>
        </w:rPr>
        <w:t>投标人须知前附表</w:t>
      </w:r>
      <w:r>
        <w:rPr>
          <w:rFonts w:ascii="宋体" w:hAnsi="宋体"/>
          <w:color w:val="auto"/>
          <w:sz w:val="24"/>
          <w:highlight w:val="none"/>
        </w:rPr>
        <w:t>。在法定质疑期内，针对同一采购程序环节的质疑应一次性提出。</w:t>
      </w:r>
    </w:p>
    <w:p>
      <w:pPr>
        <w:topLinePunct/>
        <w:autoSpaceDE w:val="0"/>
        <w:autoSpaceDN w:val="0"/>
        <w:spacing w:line="460" w:lineRule="exact"/>
        <w:ind w:firstLine="480" w:firstLineChars="200"/>
        <w:rPr>
          <w:rFonts w:ascii="宋体" w:hAnsi="宋体"/>
          <w:color w:val="auto"/>
          <w:sz w:val="24"/>
          <w:highlight w:val="none"/>
        </w:rPr>
      </w:pPr>
      <w:r>
        <w:rPr>
          <w:rFonts w:ascii="宋体" w:hAnsi="宋体"/>
          <w:color w:val="auto"/>
          <w:sz w:val="24"/>
          <w:highlight w:val="none"/>
        </w:rPr>
        <w:t>28.2 供应商提出质疑应当提交质疑函和必要的证明材料。供应商为自然人的，应当由本人签字；供应商为法人或者其他组织的，应当由法定代表人、主要负责人，或者其授权代表签字或者签章，并加盖公章。</w:t>
      </w:r>
    </w:p>
    <w:p>
      <w:pPr>
        <w:topLinePunct/>
        <w:autoSpaceDE w:val="0"/>
        <w:autoSpaceDN w:val="0"/>
        <w:spacing w:line="460" w:lineRule="exact"/>
        <w:ind w:firstLine="480" w:firstLineChars="200"/>
        <w:rPr>
          <w:rFonts w:ascii="宋体" w:hAnsi="宋体"/>
          <w:color w:val="auto"/>
          <w:sz w:val="24"/>
          <w:highlight w:val="none"/>
        </w:rPr>
      </w:pPr>
      <w:r>
        <w:rPr>
          <w:rFonts w:ascii="宋体" w:hAnsi="宋体"/>
          <w:color w:val="auto"/>
          <w:sz w:val="24"/>
          <w:highlight w:val="none"/>
        </w:rPr>
        <w:t xml:space="preserve">28.3 </w:t>
      </w:r>
      <w:r>
        <w:rPr>
          <w:rFonts w:hint="eastAsia" w:ascii="宋体" w:hAnsi="宋体"/>
          <w:color w:val="auto"/>
          <w:sz w:val="24"/>
          <w:highlight w:val="none"/>
        </w:rPr>
        <w:t>采购人</w:t>
      </w:r>
      <w:r>
        <w:rPr>
          <w:rFonts w:ascii="宋体" w:hAnsi="宋体"/>
          <w:color w:val="auto"/>
          <w:sz w:val="24"/>
          <w:highlight w:val="none"/>
        </w:rPr>
        <w:t>应当在收到供应商的书面质疑函后7个工作日内，对质疑内容作出答复，并以书面形式通知质疑供应商和其他有关供应商，但答复内容不得涉及商业秘密。</w:t>
      </w:r>
    </w:p>
    <w:p>
      <w:pPr>
        <w:topLinePunct/>
        <w:autoSpaceDE w:val="0"/>
        <w:autoSpaceDN w:val="0"/>
        <w:spacing w:line="460" w:lineRule="exact"/>
        <w:ind w:firstLine="480" w:firstLineChars="200"/>
        <w:rPr>
          <w:rFonts w:ascii="宋体" w:hAnsi="宋体"/>
          <w:color w:val="auto"/>
          <w:sz w:val="24"/>
          <w:highlight w:val="none"/>
        </w:rPr>
      </w:pPr>
      <w:r>
        <w:rPr>
          <w:rFonts w:ascii="宋体" w:hAnsi="宋体"/>
          <w:color w:val="auto"/>
          <w:sz w:val="24"/>
          <w:highlight w:val="none"/>
        </w:rPr>
        <w:t>28.4 质疑供应商对</w:t>
      </w:r>
      <w:r>
        <w:rPr>
          <w:rFonts w:hint="eastAsia" w:ascii="宋体" w:hAnsi="宋体"/>
          <w:color w:val="auto"/>
          <w:sz w:val="24"/>
          <w:highlight w:val="none"/>
        </w:rPr>
        <w:t>采购人</w:t>
      </w:r>
      <w:r>
        <w:rPr>
          <w:rFonts w:ascii="宋体" w:hAnsi="宋体"/>
          <w:color w:val="auto"/>
          <w:sz w:val="24"/>
          <w:highlight w:val="none"/>
        </w:rPr>
        <w:t>的答复不满意或者</w:t>
      </w:r>
      <w:r>
        <w:rPr>
          <w:rFonts w:hint="eastAsia" w:ascii="宋体" w:hAnsi="宋体"/>
          <w:color w:val="auto"/>
          <w:sz w:val="24"/>
          <w:highlight w:val="none"/>
        </w:rPr>
        <w:t>采购人</w:t>
      </w:r>
      <w:r>
        <w:rPr>
          <w:rFonts w:ascii="宋体" w:hAnsi="宋体"/>
          <w:color w:val="auto"/>
          <w:sz w:val="24"/>
          <w:highlight w:val="none"/>
        </w:rPr>
        <w:t>未在规定时间内作出答复的，可以在答复期满后15个工作日内按有关规定，向同级人民政府财政部门投诉。</w:t>
      </w:r>
    </w:p>
    <w:p>
      <w:pPr>
        <w:topLinePunct/>
        <w:autoSpaceDE w:val="0"/>
        <w:autoSpaceDN w:val="0"/>
        <w:spacing w:line="400" w:lineRule="exact"/>
        <w:rPr>
          <w:rFonts w:ascii="宋体" w:hAnsi="宋体"/>
          <w:b/>
          <w:color w:val="auto"/>
          <w:sz w:val="24"/>
          <w:highlight w:val="none"/>
        </w:rPr>
      </w:pPr>
    </w:p>
    <w:p>
      <w:pPr>
        <w:topLinePunct/>
        <w:autoSpaceDE w:val="0"/>
        <w:autoSpaceDN w:val="0"/>
        <w:spacing w:line="460" w:lineRule="exact"/>
        <w:jc w:val="center"/>
        <w:rPr>
          <w:rFonts w:ascii="宋体" w:hAnsi="宋体"/>
          <w:b/>
          <w:bCs/>
          <w:color w:val="auto"/>
          <w:sz w:val="32"/>
          <w:szCs w:val="32"/>
          <w:highlight w:val="none"/>
        </w:rPr>
      </w:pPr>
      <w:r>
        <w:rPr>
          <w:rFonts w:ascii="宋体" w:hAnsi="宋体"/>
          <w:b/>
          <w:bCs/>
          <w:color w:val="auto"/>
          <w:sz w:val="32"/>
          <w:szCs w:val="32"/>
          <w:highlight w:val="none"/>
        </w:rPr>
        <w:t>八、其他</w:t>
      </w:r>
    </w:p>
    <w:p>
      <w:pPr>
        <w:topLinePunct/>
        <w:autoSpaceDE w:val="0"/>
        <w:autoSpaceDN w:val="0"/>
        <w:spacing w:line="400" w:lineRule="exact"/>
        <w:ind w:firstLine="482" w:firstLineChars="200"/>
        <w:rPr>
          <w:rFonts w:ascii="宋体" w:hAnsi="宋体"/>
          <w:b/>
          <w:color w:val="auto"/>
          <w:sz w:val="24"/>
          <w:highlight w:val="none"/>
        </w:rPr>
      </w:pPr>
      <w:bookmarkStart w:id="17" w:name="_Toc217989361"/>
      <w:bookmarkStart w:id="18" w:name="_Toc262111390"/>
      <w:bookmarkStart w:id="19" w:name="_Toc319519285"/>
      <w:bookmarkStart w:id="20" w:name="_Toc233181902"/>
    </w:p>
    <w:p>
      <w:pPr>
        <w:topLinePunct/>
        <w:autoSpaceDE w:val="0"/>
        <w:autoSpaceDN w:val="0"/>
        <w:spacing w:line="400" w:lineRule="exact"/>
        <w:ind w:firstLine="482" w:firstLineChars="200"/>
        <w:rPr>
          <w:rFonts w:ascii="宋体" w:hAnsi="宋体"/>
          <w:b/>
          <w:color w:val="auto"/>
          <w:sz w:val="24"/>
          <w:highlight w:val="none"/>
        </w:rPr>
      </w:pPr>
      <w:r>
        <w:rPr>
          <w:rFonts w:ascii="宋体" w:hAnsi="宋体"/>
          <w:b/>
          <w:color w:val="auto"/>
          <w:sz w:val="24"/>
          <w:highlight w:val="none"/>
        </w:rPr>
        <w:t>29</w:t>
      </w:r>
      <w:r>
        <w:rPr>
          <w:rFonts w:ascii="宋体" w:hAnsi="宋体"/>
          <w:color w:val="auto"/>
          <w:szCs w:val="21"/>
          <w:highlight w:val="none"/>
        </w:rPr>
        <w:t>．</w:t>
      </w:r>
      <w:r>
        <w:rPr>
          <w:rFonts w:ascii="宋体" w:hAnsi="宋体"/>
          <w:b/>
          <w:color w:val="auto"/>
          <w:sz w:val="24"/>
          <w:highlight w:val="none"/>
        </w:rPr>
        <w:t>保密</w:t>
      </w:r>
    </w:p>
    <w:p>
      <w:pPr>
        <w:widowControl/>
        <w:topLinePunct/>
        <w:autoSpaceDE w:val="0"/>
        <w:autoSpaceDN w:val="0"/>
        <w:spacing w:line="460" w:lineRule="exact"/>
        <w:ind w:firstLine="480" w:firstLineChars="200"/>
        <w:rPr>
          <w:rFonts w:ascii="宋体" w:hAnsi="宋体"/>
          <w:color w:val="auto"/>
          <w:sz w:val="24"/>
          <w:highlight w:val="none"/>
        </w:rPr>
      </w:pPr>
      <w:r>
        <w:rPr>
          <w:rFonts w:ascii="宋体" w:hAnsi="宋体"/>
          <w:color w:val="auto"/>
          <w:sz w:val="24"/>
          <w:highlight w:val="none"/>
        </w:rPr>
        <w:t xml:space="preserve">29.1 </w:t>
      </w:r>
      <w:r>
        <w:rPr>
          <w:rFonts w:hint="eastAsia" w:ascii="宋体" w:hAnsi="宋体"/>
          <w:color w:val="auto"/>
          <w:sz w:val="24"/>
          <w:highlight w:val="none"/>
        </w:rPr>
        <w:t>采购人</w:t>
      </w:r>
      <w:r>
        <w:rPr>
          <w:rFonts w:ascii="宋体" w:hAnsi="宋体"/>
          <w:color w:val="auto"/>
          <w:sz w:val="24"/>
          <w:highlight w:val="none"/>
        </w:rPr>
        <w:t>应当采取必要措施，保证评标在严格保密的情况下进行。除采购人代表、评标现场组织人员外，</w:t>
      </w:r>
      <w:r>
        <w:rPr>
          <w:rFonts w:hint="eastAsia" w:ascii="宋体" w:hAnsi="宋体"/>
          <w:color w:val="auto"/>
          <w:sz w:val="24"/>
          <w:highlight w:val="none"/>
        </w:rPr>
        <w:t>采购人</w:t>
      </w:r>
      <w:r>
        <w:rPr>
          <w:rFonts w:ascii="宋体" w:hAnsi="宋体"/>
          <w:color w:val="auto"/>
          <w:sz w:val="24"/>
          <w:highlight w:val="none"/>
        </w:rPr>
        <w:t>的其他工作人员以及与评标工作无关的人员不得进入评标现场。</w:t>
      </w:r>
    </w:p>
    <w:p>
      <w:pPr>
        <w:topLinePunct/>
        <w:autoSpaceDE w:val="0"/>
        <w:autoSpaceDN w:val="0"/>
        <w:spacing w:line="460" w:lineRule="exact"/>
        <w:ind w:firstLine="480" w:firstLineChars="200"/>
        <w:rPr>
          <w:rFonts w:ascii="宋体" w:hAnsi="宋体"/>
          <w:color w:val="auto"/>
          <w:sz w:val="24"/>
          <w:highlight w:val="none"/>
        </w:rPr>
      </w:pPr>
      <w:r>
        <w:rPr>
          <w:rFonts w:ascii="宋体" w:hAnsi="宋体"/>
          <w:color w:val="auto"/>
          <w:sz w:val="24"/>
          <w:highlight w:val="none"/>
        </w:rPr>
        <w:t>29.2 评标委员会成员和参与评标工作的有关人员对评标情况以及在评标过程中获悉的国家秘密、商业秘密负有保密责任。</w:t>
      </w:r>
    </w:p>
    <w:p>
      <w:pPr>
        <w:topLinePunct/>
        <w:autoSpaceDE w:val="0"/>
        <w:autoSpaceDN w:val="0"/>
        <w:spacing w:line="460" w:lineRule="exact"/>
        <w:ind w:firstLine="482" w:firstLineChars="200"/>
        <w:rPr>
          <w:rFonts w:ascii="宋体" w:hAnsi="宋体"/>
          <w:b/>
          <w:color w:val="auto"/>
          <w:sz w:val="24"/>
          <w:highlight w:val="none"/>
        </w:rPr>
      </w:pPr>
    </w:p>
    <w:p>
      <w:pPr>
        <w:topLinePunct/>
        <w:autoSpaceDE w:val="0"/>
        <w:autoSpaceDN w:val="0"/>
        <w:spacing w:line="460" w:lineRule="exact"/>
        <w:ind w:firstLine="482" w:firstLineChars="200"/>
        <w:rPr>
          <w:rFonts w:ascii="宋体" w:hAnsi="宋体"/>
          <w:b/>
          <w:color w:val="auto"/>
          <w:sz w:val="24"/>
          <w:highlight w:val="none"/>
        </w:rPr>
      </w:pPr>
      <w:r>
        <w:rPr>
          <w:rFonts w:ascii="宋体" w:hAnsi="宋体"/>
          <w:b/>
          <w:color w:val="auto"/>
          <w:sz w:val="24"/>
          <w:highlight w:val="none"/>
        </w:rPr>
        <w:t>30. 知识产权与规避专利、版权纠纷</w:t>
      </w:r>
    </w:p>
    <w:p>
      <w:pPr>
        <w:topLinePunct/>
        <w:autoSpaceDE w:val="0"/>
        <w:autoSpaceDN w:val="0"/>
        <w:spacing w:line="460" w:lineRule="exact"/>
        <w:ind w:firstLine="480" w:firstLineChars="200"/>
        <w:rPr>
          <w:rFonts w:ascii="宋体" w:hAnsi="宋体"/>
          <w:color w:val="auto"/>
          <w:sz w:val="24"/>
          <w:highlight w:val="none"/>
        </w:rPr>
      </w:pPr>
      <w:r>
        <w:rPr>
          <w:rFonts w:hint="eastAsia" w:ascii="宋体" w:hAnsi="宋体"/>
          <w:color w:val="auto"/>
          <w:sz w:val="24"/>
          <w:highlight w:val="none"/>
        </w:rPr>
        <w:t>30.1知识产权</w:t>
      </w:r>
    </w:p>
    <w:p>
      <w:pPr>
        <w:topLinePunct/>
        <w:autoSpaceDE w:val="0"/>
        <w:autoSpaceDN w:val="0"/>
        <w:spacing w:line="460" w:lineRule="exact"/>
        <w:ind w:firstLine="480" w:firstLineChars="200"/>
        <w:rPr>
          <w:rFonts w:ascii="宋体" w:hAnsi="宋体"/>
          <w:color w:val="auto"/>
          <w:sz w:val="24"/>
          <w:highlight w:val="none"/>
        </w:rPr>
      </w:pPr>
      <w:r>
        <w:rPr>
          <w:rFonts w:hint="eastAsia" w:ascii="宋体" w:hAnsi="宋体"/>
          <w:color w:val="auto"/>
          <w:sz w:val="24"/>
          <w:highlight w:val="none"/>
        </w:rPr>
        <w:t>30.1.1 本项目系统的版权属于采购人所有，中标人应向采购人开放并提供涉及本项目软件开发、升级完善、运行维护等工作的全部源代码（含保证期内的后续升级版本）。由本项目系统形成的技术和成果的专利申请权、专利权、技术秘密的所有权、使用权、转让权等知识产权归采购人所有。</w:t>
      </w:r>
    </w:p>
    <w:p>
      <w:pPr>
        <w:topLinePunct/>
        <w:autoSpaceDE w:val="0"/>
        <w:autoSpaceDN w:val="0"/>
        <w:spacing w:line="460" w:lineRule="exact"/>
        <w:ind w:firstLine="480" w:firstLineChars="200"/>
        <w:rPr>
          <w:rFonts w:ascii="宋体" w:hAnsi="宋体"/>
          <w:color w:val="auto"/>
          <w:sz w:val="24"/>
          <w:highlight w:val="none"/>
        </w:rPr>
      </w:pPr>
      <w:r>
        <w:rPr>
          <w:rFonts w:hint="eastAsia" w:ascii="宋体" w:hAnsi="宋体"/>
          <w:color w:val="auto"/>
          <w:sz w:val="24"/>
          <w:highlight w:val="none"/>
        </w:rPr>
        <w:t>30.2规避专利、版权纠纷</w:t>
      </w:r>
    </w:p>
    <w:p>
      <w:pPr>
        <w:topLinePunct/>
        <w:autoSpaceDE w:val="0"/>
        <w:autoSpaceDN w:val="0"/>
        <w:spacing w:line="460" w:lineRule="exact"/>
        <w:ind w:firstLine="480" w:firstLineChars="200"/>
        <w:rPr>
          <w:rFonts w:ascii="宋体" w:hAnsi="宋体"/>
          <w:color w:val="auto"/>
          <w:sz w:val="24"/>
          <w:highlight w:val="none"/>
        </w:rPr>
      </w:pPr>
      <w:r>
        <w:rPr>
          <w:rFonts w:hint="eastAsia" w:ascii="宋体" w:hAnsi="宋体"/>
          <w:color w:val="auto"/>
          <w:sz w:val="24"/>
          <w:highlight w:val="none"/>
        </w:rPr>
        <w:t>30.2.1 投标人应保证其投标方案中的有关软件、文件、图纸等没有违反有关专利和版权等知识产权的规定。</w:t>
      </w:r>
    </w:p>
    <w:p>
      <w:pPr>
        <w:topLinePunct/>
        <w:autoSpaceDE w:val="0"/>
        <w:autoSpaceDN w:val="0"/>
        <w:spacing w:line="460" w:lineRule="exact"/>
        <w:ind w:firstLine="480" w:firstLineChars="200"/>
        <w:rPr>
          <w:rFonts w:ascii="宋体" w:hAnsi="宋体"/>
          <w:color w:val="auto"/>
          <w:sz w:val="24"/>
          <w:highlight w:val="none"/>
        </w:rPr>
      </w:pPr>
      <w:r>
        <w:rPr>
          <w:rFonts w:hint="eastAsia" w:ascii="宋体" w:hAnsi="宋体"/>
          <w:color w:val="auto"/>
          <w:sz w:val="24"/>
          <w:highlight w:val="none"/>
        </w:rPr>
        <w:t>30.2.2 中标人应保证采购人在中华人民共和国使用本项目成果任何一部分、或接受乙方服务时，免受第三方提出的侵犯其专利权、商标权或工业设计权等知识产权的索赔或起诉。</w:t>
      </w:r>
    </w:p>
    <w:p>
      <w:pPr>
        <w:topLinePunct/>
        <w:autoSpaceDE w:val="0"/>
        <w:autoSpaceDN w:val="0"/>
        <w:spacing w:line="460" w:lineRule="exact"/>
        <w:ind w:firstLine="480" w:firstLineChars="200"/>
        <w:rPr>
          <w:rFonts w:ascii="宋体" w:hAnsi="宋体"/>
          <w:color w:val="auto"/>
          <w:sz w:val="24"/>
          <w:highlight w:val="none"/>
        </w:rPr>
      </w:pPr>
      <w:r>
        <w:rPr>
          <w:rFonts w:hint="eastAsia" w:ascii="宋体" w:hAnsi="宋体"/>
          <w:color w:val="auto"/>
          <w:sz w:val="24"/>
          <w:highlight w:val="none"/>
        </w:rPr>
        <w:t>30.2.3 如果采购人在使用本项目任何一部分时被任何第三方诉称侵犯了第三方知识产权或任何其它权利，中标人应负责处理这一指控并应以中标人的名义自负费用向起诉方提出抗辩。由此可能产生的一切法律责任和经济责任均由中标人承担。</w:t>
      </w:r>
    </w:p>
    <w:p>
      <w:pPr>
        <w:topLinePunct/>
        <w:autoSpaceDE w:val="0"/>
        <w:autoSpaceDN w:val="0"/>
        <w:spacing w:line="460" w:lineRule="exact"/>
        <w:ind w:firstLine="480" w:firstLineChars="200"/>
        <w:rPr>
          <w:snapToGrid w:val="0"/>
          <w:color w:val="auto"/>
          <w:sz w:val="24"/>
          <w:highlight w:val="none"/>
        </w:rPr>
      </w:pPr>
      <w:r>
        <w:rPr>
          <w:rFonts w:hint="eastAsia" w:ascii="宋体" w:hAnsi="宋体"/>
          <w:color w:val="auto"/>
          <w:sz w:val="24"/>
          <w:highlight w:val="none"/>
        </w:rPr>
        <w:t>30.2.4 如果采购人发现任何第三方在采购人未被许可的范围内非法使用采购人获得的知识产权</w:t>
      </w:r>
      <w:r>
        <w:rPr>
          <w:rFonts w:hint="eastAsia"/>
          <w:snapToGrid w:val="0"/>
          <w:color w:val="auto"/>
          <w:sz w:val="24"/>
          <w:highlight w:val="none"/>
        </w:rPr>
        <w:t>，采购人应通知中标人。中标人应在收到采购人通知后14天内采取行动制止非法使用行为，否则由中标人承担相应的责任。</w:t>
      </w:r>
    </w:p>
    <w:p>
      <w:pPr>
        <w:pStyle w:val="2"/>
        <w:rPr>
          <w:color w:val="auto"/>
          <w:highlight w:val="none"/>
        </w:rPr>
      </w:pPr>
    </w:p>
    <w:p>
      <w:pPr>
        <w:topLinePunct/>
        <w:autoSpaceDE w:val="0"/>
        <w:autoSpaceDN w:val="0"/>
        <w:spacing w:line="460" w:lineRule="exact"/>
        <w:rPr>
          <w:rFonts w:ascii="宋体" w:hAnsi="宋体"/>
          <w:b/>
          <w:color w:val="auto"/>
          <w:sz w:val="24"/>
          <w:highlight w:val="none"/>
        </w:rPr>
      </w:pPr>
    </w:p>
    <w:bookmarkEnd w:id="17"/>
    <w:bookmarkEnd w:id="18"/>
    <w:bookmarkEnd w:id="19"/>
    <w:bookmarkEnd w:id="20"/>
    <w:p>
      <w:pPr>
        <w:topLinePunct/>
        <w:autoSpaceDE w:val="0"/>
        <w:autoSpaceDN w:val="0"/>
        <w:spacing w:line="460" w:lineRule="exact"/>
        <w:ind w:firstLine="480" w:firstLineChars="200"/>
        <w:rPr>
          <w:rFonts w:ascii="宋体" w:hAnsi="宋体"/>
          <w:color w:val="auto"/>
          <w:sz w:val="24"/>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topLinePunct/>
        <w:autoSpaceDE w:val="0"/>
        <w:autoSpaceDN w:val="0"/>
        <w:spacing w:line="460" w:lineRule="exact"/>
        <w:ind w:firstLine="480" w:firstLineChars="200"/>
        <w:rPr>
          <w:rFonts w:ascii="宋体" w:hAnsi="宋体"/>
          <w:color w:val="auto"/>
          <w:sz w:val="24"/>
          <w:highlight w:val="none"/>
        </w:rPr>
      </w:pPr>
    </w:p>
    <w:p>
      <w:pPr>
        <w:pStyle w:val="33"/>
        <w:ind w:firstLine="210"/>
        <w:rPr>
          <w:color w:val="auto"/>
          <w:highlight w:val="none"/>
        </w:rPr>
      </w:pPr>
    </w:p>
    <w:p>
      <w:pPr>
        <w:pStyle w:val="280"/>
        <w:spacing w:line="240" w:lineRule="auto"/>
        <w:rPr>
          <w:rFonts w:ascii="宋体" w:hAnsi="宋体"/>
          <w:color w:val="auto"/>
          <w:highlight w:val="none"/>
        </w:rPr>
      </w:pPr>
      <w:bookmarkStart w:id="21" w:name="_Toc1481241717"/>
      <w:bookmarkStart w:id="22" w:name="_Toc525052846"/>
      <w:bookmarkStart w:id="23" w:name="_Toc1762322514"/>
      <w:bookmarkStart w:id="24" w:name="_Toc1168671576"/>
      <w:bookmarkStart w:id="25" w:name="_Toc937455070"/>
      <w:bookmarkStart w:id="26" w:name="_Toc1380332034"/>
      <w:bookmarkStart w:id="27" w:name="_Toc38030149"/>
      <w:bookmarkStart w:id="28" w:name="_Toc124754488"/>
      <w:r>
        <w:rPr>
          <w:rFonts w:ascii="宋体" w:hAnsi="宋体"/>
          <w:color w:val="auto"/>
          <w:highlight w:val="none"/>
        </w:rPr>
        <w:t>第三章　评标方法及标准</w:t>
      </w:r>
      <w:bookmarkEnd w:id="21"/>
      <w:bookmarkEnd w:id="22"/>
      <w:bookmarkEnd w:id="23"/>
      <w:bookmarkEnd w:id="24"/>
      <w:bookmarkEnd w:id="25"/>
      <w:bookmarkEnd w:id="26"/>
      <w:bookmarkEnd w:id="27"/>
      <w:bookmarkEnd w:id="28"/>
    </w:p>
    <w:p>
      <w:pPr>
        <w:spacing w:line="440" w:lineRule="exact"/>
        <w:ind w:firstLine="410" w:firstLineChars="171"/>
        <w:rPr>
          <w:rFonts w:ascii="宋体" w:hAnsi="宋体"/>
          <w:color w:val="auto"/>
          <w:kern w:val="0"/>
          <w:sz w:val="24"/>
          <w:highlight w:val="none"/>
        </w:rPr>
      </w:pPr>
      <w:r>
        <w:rPr>
          <w:rFonts w:ascii="宋体" w:hAnsi="宋体"/>
          <w:color w:val="auto"/>
          <w:kern w:val="0"/>
          <w:sz w:val="24"/>
          <w:highlight w:val="none"/>
        </w:rPr>
        <w:t>一、本项目采用综合评分法进行评标。</w:t>
      </w:r>
    </w:p>
    <w:p>
      <w:pPr>
        <w:adjustRightInd w:val="0"/>
        <w:spacing w:line="440" w:lineRule="exact"/>
        <w:ind w:firstLine="888" w:firstLineChars="370"/>
        <w:textAlignment w:val="baseline"/>
        <w:rPr>
          <w:rFonts w:ascii="宋体" w:hAnsi="宋体"/>
          <w:color w:val="auto"/>
          <w:sz w:val="24"/>
          <w:highlight w:val="none"/>
        </w:rPr>
      </w:pPr>
      <w:r>
        <w:rPr>
          <w:rFonts w:ascii="宋体" w:hAnsi="宋体"/>
          <w:color w:val="auto"/>
          <w:sz w:val="24"/>
          <w:highlight w:val="none"/>
        </w:rPr>
        <w:t>评分标准和评分细则见附件</w:t>
      </w:r>
      <w:r>
        <w:rPr>
          <w:rFonts w:hint="eastAsia" w:ascii="宋体" w:hAnsi="宋体"/>
          <w:color w:val="auto"/>
          <w:sz w:val="24"/>
          <w:highlight w:val="none"/>
        </w:rPr>
        <w:t>2</w:t>
      </w:r>
      <w:r>
        <w:rPr>
          <w:rFonts w:ascii="宋体" w:hAnsi="宋体"/>
          <w:color w:val="auto"/>
          <w:sz w:val="24"/>
          <w:highlight w:val="none"/>
        </w:rPr>
        <w:t>。</w:t>
      </w:r>
    </w:p>
    <w:p>
      <w:pPr>
        <w:spacing w:line="440" w:lineRule="exact"/>
        <w:ind w:firstLine="410" w:firstLineChars="171"/>
        <w:rPr>
          <w:rFonts w:ascii="宋体" w:hAnsi="宋体"/>
          <w:color w:val="auto"/>
          <w:kern w:val="0"/>
          <w:sz w:val="24"/>
          <w:highlight w:val="none"/>
        </w:rPr>
      </w:pPr>
      <w:r>
        <w:rPr>
          <w:rFonts w:ascii="宋体" w:hAnsi="宋体"/>
          <w:color w:val="auto"/>
          <w:kern w:val="0"/>
          <w:sz w:val="24"/>
          <w:highlight w:val="none"/>
        </w:rPr>
        <w:t>二、评标原则及程序</w:t>
      </w:r>
    </w:p>
    <w:p>
      <w:pPr>
        <w:spacing w:line="440" w:lineRule="exact"/>
        <w:ind w:firstLine="888" w:firstLineChars="370"/>
        <w:rPr>
          <w:rFonts w:ascii="宋体" w:hAnsi="宋体"/>
          <w:color w:val="auto"/>
          <w:sz w:val="24"/>
          <w:highlight w:val="none"/>
        </w:rPr>
      </w:pPr>
      <w:r>
        <w:rPr>
          <w:rFonts w:ascii="宋体" w:hAnsi="宋体"/>
          <w:color w:val="auto"/>
          <w:kern w:val="0"/>
          <w:sz w:val="24"/>
          <w:highlight w:val="none"/>
        </w:rPr>
        <w:t>详见投标人须知“</w:t>
      </w:r>
      <w:r>
        <w:rPr>
          <w:rFonts w:hint="eastAsia" w:ascii="宋体" w:hAnsi="宋体"/>
          <w:color w:val="auto"/>
          <w:kern w:val="0"/>
          <w:sz w:val="24"/>
          <w:highlight w:val="none"/>
        </w:rPr>
        <w:t>五</w:t>
      </w:r>
      <w:r>
        <w:rPr>
          <w:rFonts w:ascii="宋体" w:hAnsi="宋体"/>
          <w:color w:val="auto"/>
          <w:kern w:val="0"/>
          <w:sz w:val="24"/>
          <w:highlight w:val="none"/>
        </w:rPr>
        <w:t>、开标与评标”。</w:t>
      </w:r>
    </w:p>
    <w:p>
      <w:pPr>
        <w:spacing w:line="440" w:lineRule="exact"/>
        <w:ind w:firstLine="410" w:firstLineChars="171"/>
        <w:rPr>
          <w:rFonts w:ascii="宋体" w:hAnsi="宋体"/>
          <w:color w:val="auto"/>
          <w:kern w:val="0"/>
          <w:sz w:val="24"/>
          <w:highlight w:val="none"/>
        </w:rPr>
      </w:pPr>
      <w:r>
        <w:rPr>
          <w:rFonts w:ascii="宋体" w:hAnsi="宋体"/>
          <w:color w:val="auto"/>
          <w:sz w:val="24"/>
          <w:highlight w:val="none"/>
        </w:rPr>
        <w:t>三、</w:t>
      </w:r>
      <w:r>
        <w:rPr>
          <w:rFonts w:ascii="宋体" w:hAnsi="宋体"/>
          <w:color w:val="auto"/>
          <w:kern w:val="0"/>
          <w:sz w:val="24"/>
          <w:highlight w:val="none"/>
        </w:rPr>
        <w:t>确定中标人</w:t>
      </w:r>
    </w:p>
    <w:p>
      <w:pPr>
        <w:adjustRightInd w:val="0"/>
        <w:spacing w:line="440" w:lineRule="exact"/>
        <w:ind w:left="359" w:leftChars="171" w:firstLine="528" w:firstLineChars="220"/>
        <w:textAlignment w:val="baseline"/>
        <w:rPr>
          <w:rFonts w:ascii="宋体" w:hAnsi="宋体"/>
          <w:color w:val="auto"/>
          <w:sz w:val="24"/>
          <w:highlight w:val="none"/>
        </w:rPr>
      </w:pPr>
      <w:r>
        <w:rPr>
          <w:rFonts w:ascii="宋体" w:hAnsi="宋体"/>
          <w:color w:val="auto"/>
          <w:sz w:val="24"/>
          <w:highlight w:val="none"/>
        </w:rPr>
        <w:t>评标委员会根据全体评标委员会成员签字的原始评标记录和评标结果编写评标报告，并向采购人提交书面评标报告。</w:t>
      </w:r>
    </w:p>
    <w:p>
      <w:pPr>
        <w:adjustRightInd w:val="0"/>
        <w:spacing w:line="440" w:lineRule="exact"/>
        <w:textAlignment w:val="baseline"/>
        <w:rPr>
          <w:rFonts w:ascii="宋体" w:hAnsi="宋体"/>
          <w:color w:val="auto"/>
          <w:highlight w:val="none"/>
        </w:rPr>
      </w:pPr>
      <w:r>
        <w:rPr>
          <w:rFonts w:ascii="宋体" w:hAnsi="宋体"/>
          <w:color w:val="auto"/>
          <w:highlight w:val="none"/>
        </w:rPr>
        <w:br w:type="page"/>
      </w:r>
    </w:p>
    <w:p>
      <w:pPr>
        <w:adjustRightInd w:val="0"/>
        <w:spacing w:line="440" w:lineRule="exact"/>
        <w:textAlignment w:val="baseline"/>
        <w:rPr>
          <w:rFonts w:ascii="宋体" w:hAnsi="宋体"/>
          <w:b/>
          <w:color w:val="auto"/>
          <w:sz w:val="32"/>
          <w:szCs w:val="32"/>
          <w:highlight w:val="none"/>
        </w:rPr>
      </w:pPr>
      <w:r>
        <w:rPr>
          <w:rFonts w:ascii="宋体" w:hAnsi="宋体"/>
          <w:b/>
          <w:color w:val="auto"/>
          <w:sz w:val="32"/>
          <w:szCs w:val="32"/>
          <w:highlight w:val="none"/>
        </w:rPr>
        <w:t>附件1：</w:t>
      </w:r>
    </w:p>
    <w:p>
      <w:pPr>
        <w:jc w:val="center"/>
        <w:rPr>
          <w:rFonts w:ascii="宋体" w:hAnsi="宋体"/>
          <w:color w:val="auto"/>
          <w:sz w:val="28"/>
          <w:szCs w:val="28"/>
          <w:highlight w:val="none"/>
        </w:rPr>
      </w:pPr>
      <w:r>
        <w:rPr>
          <w:rFonts w:ascii="宋体" w:hAnsi="宋体"/>
          <w:b/>
          <w:color w:val="auto"/>
          <w:sz w:val="32"/>
          <w:szCs w:val="32"/>
          <w:highlight w:val="none"/>
        </w:rPr>
        <w:t>资格审查表</w:t>
      </w:r>
    </w:p>
    <w:p>
      <w:pPr>
        <w:widowControl/>
        <w:shd w:val="clear" w:color="auto" w:fill="FFFFFF"/>
        <w:adjustRightInd w:val="0"/>
        <w:snapToGrid w:val="0"/>
        <w:spacing w:line="360" w:lineRule="auto"/>
        <w:jc w:val="left"/>
        <w:rPr>
          <w:color w:val="auto"/>
          <w:highlight w:val="none"/>
        </w:rPr>
      </w:pPr>
      <w:r>
        <w:rPr>
          <w:color w:val="auto"/>
          <w:highlight w:val="none"/>
        </w:rPr>
        <w:t>项目名称：</w:t>
      </w:r>
      <w:r>
        <w:rPr>
          <w:rFonts w:hint="eastAsia" w:hAnsi="宋体"/>
          <w:color w:val="auto"/>
          <w:highlight w:val="none"/>
        </w:rPr>
        <w:t>国家税务总局辽宁省税务局存储设备扩容采购项目</w:t>
      </w:r>
    </w:p>
    <w:p>
      <w:pPr>
        <w:rPr>
          <w:rFonts w:ascii="宋体" w:hAnsi="宋体"/>
          <w:color w:val="auto"/>
          <w:highlight w:val="none"/>
        </w:rPr>
      </w:pPr>
      <w:r>
        <w:rPr>
          <w:color w:val="auto"/>
          <w:highlight w:val="none"/>
        </w:rPr>
        <w:t>项目编号：</w:t>
      </w:r>
      <w:r>
        <w:rPr>
          <w:rFonts w:hint="eastAsia"/>
          <w:color w:val="auto"/>
          <w:highlight w:val="none"/>
        </w:rPr>
        <w:t xml:space="preserve">2022CG022              </w:t>
      </w:r>
      <w:r>
        <w:rPr>
          <w:color w:val="auto"/>
          <w:highlight w:val="none"/>
        </w:rPr>
        <w:t>日期</w:t>
      </w:r>
      <w:r>
        <w:rPr>
          <w:rFonts w:hint="eastAsia"/>
          <w:color w:val="auto"/>
          <w:highlight w:val="none"/>
        </w:rPr>
        <w:t xml:space="preserve">：        年  月  日      </w:t>
      </w:r>
      <w:r>
        <w:rPr>
          <w:color w:val="auto"/>
          <w:highlight w:val="none"/>
        </w:rPr>
        <w:t>地点</w:t>
      </w:r>
      <w:r>
        <w:rPr>
          <w:rFonts w:hint="eastAsia"/>
          <w:color w:val="auto"/>
          <w:highlight w:val="none"/>
        </w:rPr>
        <w:t>：</w:t>
      </w:r>
    </w:p>
    <w:tbl>
      <w:tblPr>
        <w:tblStyle w:val="34"/>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79"/>
        <w:gridCol w:w="4420"/>
        <w:gridCol w:w="1000"/>
        <w:gridCol w:w="1013"/>
        <w:gridCol w:w="1005"/>
        <w:gridCol w:w="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9" w:hRule="exact"/>
          <w:jc w:val="center"/>
        </w:trPr>
        <w:tc>
          <w:tcPr>
            <w:tcW w:w="779" w:type="dxa"/>
            <w:vMerge w:val="restart"/>
            <w:shd w:val="clear" w:color="auto" w:fill="FFFFFF"/>
            <w:vAlign w:val="center"/>
          </w:tcPr>
          <w:p>
            <w:pPr>
              <w:jc w:val="center"/>
              <w:rPr>
                <w:rFonts w:ascii="宋体" w:hAnsi="宋体"/>
                <w:b/>
                <w:color w:val="auto"/>
                <w:highlight w:val="none"/>
              </w:rPr>
            </w:pPr>
            <w:r>
              <w:rPr>
                <w:rFonts w:ascii="宋体" w:hAnsi="宋体"/>
                <w:b/>
                <w:color w:val="auto"/>
                <w:highlight w:val="none"/>
              </w:rPr>
              <w:t>序号</w:t>
            </w:r>
          </w:p>
        </w:tc>
        <w:tc>
          <w:tcPr>
            <w:tcW w:w="4420" w:type="dxa"/>
            <w:vMerge w:val="restart"/>
            <w:shd w:val="clear" w:color="auto" w:fill="FFFFFF"/>
            <w:vAlign w:val="center"/>
          </w:tcPr>
          <w:p>
            <w:pPr>
              <w:jc w:val="center"/>
              <w:rPr>
                <w:rFonts w:ascii="宋体" w:hAnsi="宋体"/>
                <w:b/>
                <w:color w:val="auto"/>
                <w:szCs w:val="21"/>
                <w:highlight w:val="none"/>
              </w:rPr>
            </w:pPr>
            <w:r>
              <w:rPr>
                <w:rFonts w:ascii="宋体" w:hAnsi="宋体"/>
                <w:b/>
                <w:color w:val="auto"/>
                <w:highlight w:val="none"/>
              </w:rPr>
              <w:t>资格审查项目</w:t>
            </w:r>
          </w:p>
        </w:tc>
        <w:tc>
          <w:tcPr>
            <w:tcW w:w="3785" w:type="dxa"/>
            <w:gridSpan w:val="4"/>
            <w:shd w:val="clear" w:color="auto" w:fill="FFFFFF"/>
            <w:vAlign w:val="center"/>
          </w:tcPr>
          <w:p>
            <w:pPr>
              <w:jc w:val="center"/>
              <w:rPr>
                <w:rFonts w:ascii="宋体" w:hAnsi="宋体"/>
                <w:b/>
                <w:color w:val="auto"/>
                <w:szCs w:val="21"/>
                <w:highlight w:val="none"/>
              </w:rPr>
            </w:pPr>
            <w:r>
              <w:rPr>
                <w:rFonts w:ascii="宋体" w:hAnsi="宋体"/>
                <w:b/>
                <w:color w:val="auto"/>
                <w:szCs w:val="21"/>
                <w:highlight w:val="none"/>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1" w:hRule="exact"/>
          <w:jc w:val="center"/>
        </w:trPr>
        <w:tc>
          <w:tcPr>
            <w:tcW w:w="779" w:type="dxa"/>
            <w:vMerge w:val="continue"/>
            <w:shd w:val="clear" w:color="auto" w:fill="FFFFFF"/>
            <w:vAlign w:val="center"/>
          </w:tcPr>
          <w:p>
            <w:pPr>
              <w:jc w:val="center"/>
              <w:rPr>
                <w:rFonts w:ascii="宋体" w:hAnsi="宋体"/>
                <w:b/>
                <w:color w:val="auto"/>
                <w:highlight w:val="none"/>
              </w:rPr>
            </w:pPr>
          </w:p>
        </w:tc>
        <w:tc>
          <w:tcPr>
            <w:tcW w:w="4420" w:type="dxa"/>
            <w:vMerge w:val="continue"/>
            <w:shd w:val="clear" w:color="auto" w:fill="FFFFFF"/>
            <w:vAlign w:val="center"/>
          </w:tcPr>
          <w:p>
            <w:pPr>
              <w:jc w:val="center"/>
              <w:rPr>
                <w:rFonts w:ascii="宋体" w:hAnsi="宋体"/>
                <w:b/>
                <w:color w:val="auto"/>
                <w:highlight w:val="none"/>
              </w:rPr>
            </w:pPr>
          </w:p>
        </w:tc>
        <w:tc>
          <w:tcPr>
            <w:tcW w:w="1000" w:type="dxa"/>
            <w:shd w:val="clear" w:color="auto" w:fill="FFFFFF"/>
            <w:vAlign w:val="center"/>
          </w:tcPr>
          <w:p>
            <w:pPr>
              <w:jc w:val="center"/>
              <w:rPr>
                <w:rFonts w:ascii="宋体" w:hAnsi="宋体"/>
                <w:b/>
                <w:color w:val="auto"/>
                <w:szCs w:val="21"/>
                <w:highlight w:val="none"/>
              </w:rPr>
            </w:pPr>
            <w:r>
              <w:rPr>
                <w:rFonts w:ascii="宋体" w:hAnsi="宋体"/>
                <w:b/>
                <w:color w:val="auto"/>
                <w:highlight w:val="none"/>
              </w:rPr>
              <w:t>投标人1</w:t>
            </w:r>
          </w:p>
        </w:tc>
        <w:tc>
          <w:tcPr>
            <w:tcW w:w="1013" w:type="dxa"/>
            <w:shd w:val="clear" w:color="auto" w:fill="FFFFFF"/>
            <w:vAlign w:val="center"/>
          </w:tcPr>
          <w:p>
            <w:pPr>
              <w:jc w:val="center"/>
              <w:rPr>
                <w:rFonts w:ascii="宋体" w:hAnsi="宋体"/>
                <w:b/>
                <w:color w:val="auto"/>
                <w:szCs w:val="21"/>
                <w:highlight w:val="none"/>
              </w:rPr>
            </w:pPr>
            <w:r>
              <w:rPr>
                <w:rFonts w:ascii="宋体" w:hAnsi="宋体"/>
                <w:b/>
                <w:color w:val="auto"/>
                <w:highlight w:val="none"/>
              </w:rPr>
              <w:t>投标人2</w:t>
            </w:r>
          </w:p>
        </w:tc>
        <w:tc>
          <w:tcPr>
            <w:tcW w:w="1005" w:type="dxa"/>
            <w:shd w:val="clear" w:color="auto" w:fill="FFFFFF"/>
            <w:vAlign w:val="center"/>
          </w:tcPr>
          <w:p>
            <w:pPr>
              <w:jc w:val="center"/>
              <w:rPr>
                <w:rFonts w:ascii="宋体" w:hAnsi="宋体"/>
                <w:b/>
                <w:color w:val="auto"/>
                <w:szCs w:val="21"/>
                <w:highlight w:val="none"/>
              </w:rPr>
            </w:pPr>
            <w:r>
              <w:rPr>
                <w:rFonts w:ascii="宋体" w:hAnsi="宋体"/>
                <w:b/>
                <w:color w:val="auto"/>
                <w:highlight w:val="none"/>
              </w:rPr>
              <w:t>投标人3</w:t>
            </w:r>
          </w:p>
        </w:tc>
        <w:tc>
          <w:tcPr>
            <w:tcW w:w="767" w:type="dxa"/>
            <w:shd w:val="clear" w:color="auto" w:fill="FFFFFF"/>
            <w:vAlign w:val="center"/>
          </w:tcPr>
          <w:p>
            <w:pPr>
              <w:jc w:val="center"/>
              <w:rPr>
                <w:rFonts w:ascii="宋体" w:hAnsi="宋体"/>
                <w:b/>
                <w:color w:val="auto"/>
                <w:szCs w:val="21"/>
                <w:highlight w:val="none"/>
              </w:rPr>
            </w:pPr>
            <w:r>
              <w:rPr>
                <w:rFonts w:ascii="宋体" w:hAnsi="宋体"/>
                <w:b/>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6" w:hRule="atLeast"/>
          <w:jc w:val="center"/>
        </w:trPr>
        <w:tc>
          <w:tcPr>
            <w:tcW w:w="779" w:type="dxa"/>
            <w:shd w:val="clear" w:color="auto" w:fill="FFFFFF"/>
            <w:vAlign w:val="center"/>
          </w:tcPr>
          <w:p>
            <w:pPr>
              <w:jc w:val="center"/>
              <w:rPr>
                <w:rFonts w:ascii="宋体" w:hAnsi="宋体"/>
                <w:color w:val="auto"/>
                <w:szCs w:val="21"/>
                <w:highlight w:val="none"/>
              </w:rPr>
            </w:pPr>
            <w:r>
              <w:rPr>
                <w:rFonts w:ascii="宋体" w:hAnsi="宋体"/>
                <w:color w:val="auto"/>
                <w:highlight w:val="none"/>
              </w:rPr>
              <w:t>1</w:t>
            </w:r>
          </w:p>
        </w:tc>
        <w:tc>
          <w:tcPr>
            <w:tcW w:w="4420" w:type="dxa"/>
            <w:shd w:val="clear" w:color="auto" w:fill="FFFFFF"/>
            <w:vAlign w:val="center"/>
          </w:tcPr>
          <w:p>
            <w:pPr>
              <w:ind w:left="105" w:leftChars="50"/>
              <w:rPr>
                <w:rFonts w:ascii="宋体" w:hAnsi="宋体"/>
                <w:color w:val="auto"/>
                <w:szCs w:val="21"/>
                <w:highlight w:val="none"/>
              </w:rPr>
            </w:pPr>
            <w:r>
              <w:rPr>
                <w:rFonts w:ascii="宋体" w:hAnsi="宋体"/>
                <w:color w:val="auto"/>
                <w:szCs w:val="21"/>
                <w:highlight w:val="none"/>
              </w:rPr>
              <w:t>法人或者其他组织的营业执照等证明文件（复印件）</w:t>
            </w:r>
          </w:p>
        </w:tc>
        <w:tc>
          <w:tcPr>
            <w:tcW w:w="1000" w:type="dxa"/>
            <w:shd w:val="clear" w:color="auto" w:fill="FFFFFF"/>
            <w:vAlign w:val="center"/>
          </w:tcPr>
          <w:p>
            <w:pPr>
              <w:jc w:val="center"/>
              <w:rPr>
                <w:rFonts w:ascii="宋体" w:hAnsi="宋体"/>
                <w:color w:val="auto"/>
                <w:szCs w:val="21"/>
                <w:highlight w:val="none"/>
              </w:rPr>
            </w:pPr>
          </w:p>
        </w:tc>
        <w:tc>
          <w:tcPr>
            <w:tcW w:w="1013" w:type="dxa"/>
            <w:shd w:val="clear" w:color="auto" w:fill="FFFFFF"/>
            <w:vAlign w:val="center"/>
          </w:tcPr>
          <w:p>
            <w:pPr>
              <w:jc w:val="center"/>
              <w:rPr>
                <w:rFonts w:ascii="宋体" w:hAnsi="宋体"/>
                <w:color w:val="auto"/>
                <w:szCs w:val="21"/>
                <w:highlight w:val="none"/>
              </w:rPr>
            </w:pPr>
          </w:p>
        </w:tc>
        <w:tc>
          <w:tcPr>
            <w:tcW w:w="1005" w:type="dxa"/>
            <w:shd w:val="clear" w:color="auto" w:fill="FFFFFF"/>
            <w:vAlign w:val="center"/>
          </w:tcPr>
          <w:p>
            <w:pPr>
              <w:jc w:val="center"/>
              <w:rPr>
                <w:rFonts w:ascii="宋体" w:hAnsi="宋体"/>
                <w:color w:val="auto"/>
                <w:szCs w:val="21"/>
                <w:highlight w:val="none"/>
              </w:rPr>
            </w:pPr>
          </w:p>
        </w:tc>
        <w:tc>
          <w:tcPr>
            <w:tcW w:w="767" w:type="dxa"/>
            <w:shd w:val="clear" w:color="auto" w:fill="FFFFFF"/>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72" w:hRule="atLeast"/>
          <w:jc w:val="center"/>
        </w:trPr>
        <w:tc>
          <w:tcPr>
            <w:tcW w:w="779" w:type="dxa"/>
            <w:shd w:val="clear" w:color="auto" w:fill="FFFFFF"/>
            <w:vAlign w:val="center"/>
          </w:tcPr>
          <w:p>
            <w:pPr>
              <w:jc w:val="center"/>
              <w:rPr>
                <w:rFonts w:ascii="宋体" w:hAnsi="宋体"/>
                <w:color w:val="auto"/>
                <w:highlight w:val="none"/>
              </w:rPr>
            </w:pPr>
            <w:r>
              <w:rPr>
                <w:rFonts w:ascii="宋体" w:hAnsi="宋体"/>
                <w:color w:val="auto"/>
                <w:highlight w:val="none"/>
              </w:rPr>
              <w:t>2</w:t>
            </w:r>
          </w:p>
        </w:tc>
        <w:tc>
          <w:tcPr>
            <w:tcW w:w="4420" w:type="dxa"/>
            <w:shd w:val="clear" w:color="auto" w:fill="FFFFFF"/>
            <w:vAlign w:val="center"/>
          </w:tcPr>
          <w:p>
            <w:pPr>
              <w:ind w:left="105" w:leftChars="50"/>
              <w:rPr>
                <w:rFonts w:ascii="宋体" w:hAnsi="宋体"/>
                <w:color w:val="auto"/>
                <w:szCs w:val="21"/>
                <w:highlight w:val="none"/>
              </w:rPr>
            </w:pPr>
            <w:r>
              <w:rPr>
                <w:rFonts w:ascii="宋体" w:hAnsi="宋体"/>
                <w:color w:val="auto"/>
                <w:szCs w:val="21"/>
                <w:highlight w:val="none"/>
              </w:rPr>
              <w:t>具有良好的商业信誉和健全的财务会计制度的承诺函（原件）</w:t>
            </w:r>
          </w:p>
        </w:tc>
        <w:tc>
          <w:tcPr>
            <w:tcW w:w="1000" w:type="dxa"/>
            <w:shd w:val="clear" w:color="auto" w:fill="FFFFFF"/>
            <w:vAlign w:val="center"/>
          </w:tcPr>
          <w:p>
            <w:pPr>
              <w:jc w:val="center"/>
              <w:rPr>
                <w:rFonts w:ascii="宋体" w:hAnsi="宋体"/>
                <w:color w:val="auto"/>
                <w:szCs w:val="21"/>
                <w:highlight w:val="none"/>
              </w:rPr>
            </w:pPr>
          </w:p>
        </w:tc>
        <w:tc>
          <w:tcPr>
            <w:tcW w:w="1013" w:type="dxa"/>
            <w:shd w:val="clear" w:color="auto" w:fill="FFFFFF"/>
            <w:vAlign w:val="center"/>
          </w:tcPr>
          <w:p>
            <w:pPr>
              <w:jc w:val="center"/>
              <w:rPr>
                <w:rFonts w:ascii="宋体" w:hAnsi="宋体"/>
                <w:color w:val="auto"/>
                <w:szCs w:val="21"/>
                <w:highlight w:val="none"/>
              </w:rPr>
            </w:pPr>
          </w:p>
        </w:tc>
        <w:tc>
          <w:tcPr>
            <w:tcW w:w="1005" w:type="dxa"/>
            <w:shd w:val="clear" w:color="auto" w:fill="FFFFFF"/>
            <w:vAlign w:val="center"/>
          </w:tcPr>
          <w:p>
            <w:pPr>
              <w:jc w:val="center"/>
              <w:rPr>
                <w:rFonts w:ascii="宋体" w:hAnsi="宋体"/>
                <w:color w:val="auto"/>
                <w:szCs w:val="21"/>
                <w:highlight w:val="none"/>
              </w:rPr>
            </w:pPr>
          </w:p>
        </w:tc>
        <w:tc>
          <w:tcPr>
            <w:tcW w:w="767" w:type="dxa"/>
            <w:shd w:val="clear" w:color="auto" w:fill="FFFFFF"/>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71" w:hRule="atLeast"/>
          <w:jc w:val="center"/>
        </w:trPr>
        <w:tc>
          <w:tcPr>
            <w:tcW w:w="779" w:type="dxa"/>
            <w:shd w:val="clear" w:color="auto" w:fill="FFFFFF"/>
            <w:vAlign w:val="center"/>
          </w:tcPr>
          <w:p>
            <w:pPr>
              <w:jc w:val="center"/>
              <w:rPr>
                <w:rFonts w:ascii="宋体" w:hAnsi="宋体"/>
                <w:color w:val="auto"/>
                <w:szCs w:val="21"/>
                <w:highlight w:val="none"/>
              </w:rPr>
            </w:pPr>
            <w:r>
              <w:rPr>
                <w:rFonts w:ascii="宋体" w:hAnsi="宋体"/>
                <w:color w:val="auto"/>
                <w:highlight w:val="none"/>
              </w:rPr>
              <w:t>3</w:t>
            </w:r>
          </w:p>
        </w:tc>
        <w:tc>
          <w:tcPr>
            <w:tcW w:w="4420" w:type="dxa"/>
            <w:shd w:val="clear" w:color="auto" w:fill="FFFFFF"/>
            <w:vAlign w:val="center"/>
          </w:tcPr>
          <w:p>
            <w:pPr>
              <w:ind w:left="105" w:leftChars="50"/>
              <w:rPr>
                <w:rFonts w:ascii="宋体" w:hAnsi="宋体"/>
                <w:color w:val="auto"/>
                <w:szCs w:val="21"/>
                <w:highlight w:val="none"/>
              </w:rPr>
            </w:pPr>
            <w:r>
              <w:rPr>
                <w:rFonts w:hint="eastAsia" w:ascii="宋体" w:hAnsi="宋体"/>
                <w:color w:val="auto"/>
                <w:szCs w:val="21"/>
                <w:highlight w:val="none"/>
              </w:rPr>
              <w:t>开标时间前六个月内任一个月的</w:t>
            </w:r>
            <w:r>
              <w:rPr>
                <w:rFonts w:ascii="宋体" w:hAnsi="宋体"/>
                <w:color w:val="auto"/>
                <w:szCs w:val="21"/>
                <w:highlight w:val="none"/>
              </w:rPr>
              <w:t>依法缴纳税收的相关材料，如依法免税或不需要纳税的，则应提供相应证明材料（复印件）</w:t>
            </w:r>
          </w:p>
        </w:tc>
        <w:tc>
          <w:tcPr>
            <w:tcW w:w="1000" w:type="dxa"/>
            <w:shd w:val="clear" w:color="auto" w:fill="FFFFFF"/>
            <w:vAlign w:val="center"/>
          </w:tcPr>
          <w:p>
            <w:pPr>
              <w:jc w:val="center"/>
              <w:rPr>
                <w:rFonts w:ascii="宋体" w:hAnsi="宋体"/>
                <w:color w:val="auto"/>
                <w:szCs w:val="21"/>
                <w:highlight w:val="none"/>
              </w:rPr>
            </w:pPr>
          </w:p>
        </w:tc>
        <w:tc>
          <w:tcPr>
            <w:tcW w:w="1013" w:type="dxa"/>
            <w:shd w:val="clear" w:color="auto" w:fill="FFFFFF"/>
            <w:vAlign w:val="center"/>
          </w:tcPr>
          <w:p>
            <w:pPr>
              <w:jc w:val="center"/>
              <w:rPr>
                <w:rFonts w:ascii="宋体" w:hAnsi="宋体"/>
                <w:color w:val="auto"/>
                <w:szCs w:val="21"/>
                <w:highlight w:val="none"/>
              </w:rPr>
            </w:pPr>
          </w:p>
        </w:tc>
        <w:tc>
          <w:tcPr>
            <w:tcW w:w="1005" w:type="dxa"/>
            <w:shd w:val="clear" w:color="auto" w:fill="FFFFFF"/>
            <w:vAlign w:val="center"/>
          </w:tcPr>
          <w:p>
            <w:pPr>
              <w:jc w:val="center"/>
              <w:rPr>
                <w:rFonts w:ascii="宋体" w:hAnsi="宋体"/>
                <w:color w:val="auto"/>
                <w:szCs w:val="21"/>
                <w:highlight w:val="none"/>
              </w:rPr>
            </w:pPr>
          </w:p>
        </w:tc>
        <w:tc>
          <w:tcPr>
            <w:tcW w:w="767" w:type="dxa"/>
            <w:shd w:val="clear" w:color="auto" w:fill="FFFFFF"/>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12" w:hRule="atLeast"/>
          <w:jc w:val="center"/>
        </w:trPr>
        <w:tc>
          <w:tcPr>
            <w:tcW w:w="779" w:type="dxa"/>
            <w:shd w:val="clear" w:color="auto" w:fill="FFFFFF"/>
            <w:vAlign w:val="center"/>
          </w:tcPr>
          <w:p>
            <w:pPr>
              <w:jc w:val="center"/>
              <w:rPr>
                <w:rFonts w:ascii="宋体" w:hAnsi="宋体"/>
                <w:color w:val="auto"/>
                <w:szCs w:val="21"/>
                <w:highlight w:val="none"/>
              </w:rPr>
            </w:pPr>
            <w:r>
              <w:rPr>
                <w:rFonts w:ascii="宋体" w:hAnsi="宋体"/>
                <w:color w:val="auto"/>
                <w:highlight w:val="none"/>
              </w:rPr>
              <w:t>4</w:t>
            </w:r>
          </w:p>
        </w:tc>
        <w:tc>
          <w:tcPr>
            <w:tcW w:w="4420" w:type="dxa"/>
            <w:shd w:val="clear" w:color="auto" w:fill="FFFFFF"/>
            <w:vAlign w:val="center"/>
          </w:tcPr>
          <w:p>
            <w:pPr>
              <w:ind w:left="105" w:leftChars="50"/>
              <w:rPr>
                <w:rFonts w:ascii="宋体" w:hAnsi="宋体"/>
                <w:color w:val="auto"/>
                <w:szCs w:val="21"/>
                <w:highlight w:val="none"/>
              </w:rPr>
            </w:pPr>
            <w:r>
              <w:rPr>
                <w:rFonts w:hint="eastAsia" w:ascii="宋体" w:hAnsi="宋体"/>
                <w:color w:val="auto"/>
                <w:szCs w:val="21"/>
                <w:highlight w:val="none"/>
              </w:rPr>
              <w:t>开标时间前六个月内任一个月的</w:t>
            </w:r>
            <w:r>
              <w:rPr>
                <w:rFonts w:ascii="宋体" w:hAnsi="宋体"/>
                <w:color w:val="auto"/>
                <w:szCs w:val="21"/>
                <w:highlight w:val="none"/>
              </w:rPr>
              <w:t>依法缴纳社会保障资金的相关材料，如依法不需要缴纳社会保障资金的，则应提供相应证明材料（复印件）</w:t>
            </w:r>
          </w:p>
        </w:tc>
        <w:tc>
          <w:tcPr>
            <w:tcW w:w="1000" w:type="dxa"/>
            <w:shd w:val="clear" w:color="auto" w:fill="FFFFFF"/>
            <w:vAlign w:val="center"/>
          </w:tcPr>
          <w:p>
            <w:pPr>
              <w:jc w:val="center"/>
              <w:rPr>
                <w:rFonts w:ascii="宋体" w:hAnsi="宋体"/>
                <w:color w:val="auto"/>
                <w:szCs w:val="21"/>
                <w:highlight w:val="none"/>
              </w:rPr>
            </w:pPr>
          </w:p>
        </w:tc>
        <w:tc>
          <w:tcPr>
            <w:tcW w:w="1013" w:type="dxa"/>
            <w:shd w:val="clear" w:color="auto" w:fill="FFFFFF"/>
            <w:vAlign w:val="center"/>
          </w:tcPr>
          <w:p>
            <w:pPr>
              <w:jc w:val="center"/>
              <w:rPr>
                <w:rFonts w:ascii="宋体" w:hAnsi="宋体"/>
                <w:color w:val="auto"/>
                <w:szCs w:val="21"/>
                <w:highlight w:val="none"/>
              </w:rPr>
            </w:pPr>
          </w:p>
        </w:tc>
        <w:tc>
          <w:tcPr>
            <w:tcW w:w="1005" w:type="dxa"/>
            <w:shd w:val="clear" w:color="auto" w:fill="FFFFFF"/>
            <w:vAlign w:val="center"/>
          </w:tcPr>
          <w:p>
            <w:pPr>
              <w:jc w:val="center"/>
              <w:rPr>
                <w:rFonts w:ascii="宋体" w:hAnsi="宋体"/>
                <w:color w:val="auto"/>
                <w:szCs w:val="21"/>
                <w:highlight w:val="none"/>
              </w:rPr>
            </w:pPr>
          </w:p>
        </w:tc>
        <w:tc>
          <w:tcPr>
            <w:tcW w:w="767" w:type="dxa"/>
            <w:shd w:val="clear" w:color="auto" w:fill="FFFFFF"/>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55" w:hRule="atLeast"/>
          <w:jc w:val="center"/>
        </w:trPr>
        <w:tc>
          <w:tcPr>
            <w:tcW w:w="779" w:type="dxa"/>
            <w:shd w:val="clear" w:color="auto" w:fill="FFFFFF"/>
            <w:vAlign w:val="center"/>
          </w:tcPr>
          <w:p>
            <w:pPr>
              <w:jc w:val="center"/>
              <w:rPr>
                <w:rFonts w:ascii="宋体" w:hAnsi="宋体"/>
                <w:color w:val="auto"/>
                <w:szCs w:val="21"/>
                <w:highlight w:val="none"/>
              </w:rPr>
            </w:pPr>
            <w:r>
              <w:rPr>
                <w:rFonts w:ascii="宋体" w:hAnsi="宋体"/>
                <w:color w:val="auto"/>
                <w:highlight w:val="none"/>
              </w:rPr>
              <w:t>5</w:t>
            </w:r>
          </w:p>
        </w:tc>
        <w:tc>
          <w:tcPr>
            <w:tcW w:w="4420" w:type="dxa"/>
            <w:shd w:val="clear" w:color="auto" w:fill="FFFFFF"/>
            <w:vAlign w:val="center"/>
          </w:tcPr>
          <w:p>
            <w:pPr>
              <w:ind w:left="105" w:leftChars="50"/>
              <w:rPr>
                <w:rFonts w:ascii="宋体" w:hAnsi="宋体"/>
                <w:color w:val="auto"/>
                <w:szCs w:val="21"/>
                <w:highlight w:val="none"/>
              </w:rPr>
            </w:pPr>
            <w:r>
              <w:rPr>
                <w:rFonts w:ascii="宋体" w:hAnsi="宋体"/>
                <w:color w:val="auto"/>
                <w:szCs w:val="21"/>
                <w:highlight w:val="none"/>
              </w:rPr>
              <w:t>参加本项目投标前三年内，在经营活动中没有重大违法记录（指供应商因违法经营受到刑事处罚或者责令停产停业、吊销许可证或者执照、较大数额罚款等行政处罚）的书面声明（原件）</w:t>
            </w:r>
          </w:p>
        </w:tc>
        <w:tc>
          <w:tcPr>
            <w:tcW w:w="1000" w:type="dxa"/>
            <w:shd w:val="clear" w:color="auto" w:fill="FFFFFF"/>
            <w:vAlign w:val="center"/>
          </w:tcPr>
          <w:p>
            <w:pPr>
              <w:jc w:val="center"/>
              <w:rPr>
                <w:rFonts w:ascii="宋体" w:hAnsi="宋体"/>
                <w:color w:val="auto"/>
                <w:szCs w:val="21"/>
                <w:highlight w:val="none"/>
              </w:rPr>
            </w:pPr>
          </w:p>
        </w:tc>
        <w:tc>
          <w:tcPr>
            <w:tcW w:w="1013" w:type="dxa"/>
            <w:shd w:val="clear" w:color="auto" w:fill="FFFFFF"/>
            <w:vAlign w:val="center"/>
          </w:tcPr>
          <w:p>
            <w:pPr>
              <w:jc w:val="center"/>
              <w:rPr>
                <w:rFonts w:ascii="宋体" w:hAnsi="宋体"/>
                <w:color w:val="auto"/>
                <w:szCs w:val="21"/>
                <w:highlight w:val="none"/>
              </w:rPr>
            </w:pPr>
          </w:p>
        </w:tc>
        <w:tc>
          <w:tcPr>
            <w:tcW w:w="1005" w:type="dxa"/>
            <w:shd w:val="clear" w:color="auto" w:fill="FFFFFF"/>
            <w:vAlign w:val="center"/>
          </w:tcPr>
          <w:p>
            <w:pPr>
              <w:jc w:val="center"/>
              <w:rPr>
                <w:rFonts w:ascii="宋体" w:hAnsi="宋体"/>
                <w:color w:val="auto"/>
                <w:szCs w:val="21"/>
                <w:highlight w:val="none"/>
              </w:rPr>
            </w:pPr>
          </w:p>
        </w:tc>
        <w:tc>
          <w:tcPr>
            <w:tcW w:w="767" w:type="dxa"/>
            <w:shd w:val="clear" w:color="auto" w:fill="FFFFFF"/>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0" w:hRule="exact"/>
          <w:jc w:val="center"/>
        </w:trPr>
        <w:tc>
          <w:tcPr>
            <w:tcW w:w="779" w:type="dxa"/>
            <w:shd w:val="clear" w:color="auto" w:fill="FFFFFF"/>
            <w:vAlign w:val="center"/>
          </w:tcPr>
          <w:p>
            <w:pPr>
              <w:jc w:val="center"/>
              <w:rPr>
                <w:rFonts w:ascii="宋体" w:hAnsi="宋体"/>
                <w:color w:val="auto"/>
                <w:szCs w:val="21"/>
                <w:highlight w:val="none"/>
              </w:rPr>
            </w:pPr>
            <w:r>
              <w:rPr>
                <w:rFonts w:ascii="宋体" w:hAnsi="宋体"/>
                <w:color w:val="auto"/>
                <w:highlight w:val="none"/>
              </w:rPr>
              <w:t>6</w:t>
            </w:r>
          </w:p>
        </w:tc>
        <w:tc>
          <w:tcPr>
            <w:tcW w:w="4420" w:type="dxa"/>
            <w:shd w:val="clear" w:color="auto" w:fill="FFFFFF"/>
            <w:vAlign w:val="center"/>
          </w:tcPr>
          <w:p>
            <w:pPr>
              <w:ind w:left="105" w:leftChars="50"/>
              <w:rPr>
                <w:rFonts w:ascii="宋体" w:hAnsi="宋体"/>
                <w:color w:val="auto"/>
                <w:szCs w:val="21"/>
                <w:highlight w:val="none"/>
              </w:rPr>
            </w:pPr>
            <w:r>
              <w:rPr>
                <w:rFonts w:ascii="宋体" w:hAnsi="宋体"/>
                <w:color w:val="auto"/>
                <w:szCs w:val="21"/>
                <w:highlight w:val="none"/>
              </w:rPr>
              <w:t>提供具备履行合同所必需的设备和专业技术能力声明函（原件）</w:t>
            </w:r>
          </w:p>
        </w:tc>
        <w:tc>
          <w:tcPr>
            <w:tcW w:w="1000" w:type="dxa"/>
            <w:shd w:val="clear" w:color="auto" w:fill="FFFFFF"/>
            <w:vAlign w:val="center"/>
          </w:tcPr>
          <w:p>
            <w:pPr>
              <w:jc w:val="center"/>
              <w:rPr>
                <w:rFonts w:ascii="宋体" w:hAnsi="宋体"/>
                <w:color w:val="auto"/>
                <w:szCs w:val="21"/>
                <w:highlight w:val="none"/>
              </w:rPr>
            </w:pPr>
          </w:p>
        </w:tc>
        <w:tc>
          <w:tcPr>
            <w:tcW w:w="1013" w:type="dxa"/>
            <w:shd w:val="clear" w:color="auto" w:fill="FFFFFF"/>
            <w:vAlign w:val="center"/>
          </w:tcPr>
          <w:p>
            <w:pPr>
              <w:jc w:val="center"/>
              <w:rPr>
                <w:rFonts w:ascii="宋体" w:hAnsi="宋体"/>
                <w:color w:val="auto"/>
                <w:szCs w:val="21"/>
                <w:highlight w:val="none"/>
              </w:rPr>
            </w:pPr>
          </w:p>
        </w:tc>
        <w:tc>
          <w:tcPr>
            <w:tcW w:w="1005" w:type="dxa"/>
            <w:shd w:val="clear" w:color="auto" w:fill="FFFFFF"/>
            <w:vAlign w:val="center"/>
          </w:tcPr>
          <w:p>
            <w:pPr>
              <w:jc w:val="center"/>
              <w:rPr>
                <w:rFonts w:ascii="宋体" w:hAnsi="宋体"/>
                <w:color w:val="auto"/>
                <w:szCs w:val="21"/>
                <w:highlight w:val="none"/>
              </w:rPr>
            </w:pPr>
          </w:p>
        </w:tc>
        <w:tc>
          <w:tcPr>
            <w:tcW w:w="767" w:type="dxa"/>
            <w:shd w:val="clear" w:color="auto" w:fill="FFFFFF"/>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49" w:hRule="exact"/>
          <w:jc w:val="center"/>
        </w:trPr>
        <w:tc>
          <w:tcPr>
            <w:tcW w:w="779" w:type="dxa"/>
            <w:shd w:val="clear" w:color="auto" w:fill="FFFFFF"/>
            <w:vAlign w:val="center"/>
          </w:tcPr>
          <w:p>
            <w:pPr>
              <w:jc w:val="center"/>
              <w:rPr>
                <w:rFonts w:ascii="宋体" w:hAnsi="宋体"/>
                <w:color w:val="auto"/>
                <w:szCs w:val="21"/>
                <w:highlight w:val="none"/>
              </w:rPr>
            </w:pPr>
            <w:r>
              <w:rPr>
                <w:rFonts w:ascii="宋体" w:hAnsi="宋体"/>
                <w:color w:val="auto"/>
                <w:szCs w:val="21"/>
                <w:highlight w:val="none"/>
              </w:rPr>
              <w:t>7</w:t>
            </w:r>
          </w:p>
        </w:tc>
        <w:tc>
          <w:tcPr>
            <w:tcW w:w="4420" w:type="dxa"/>
            <w:shd w:val="clear" w:color="auto" w:fill="FFFFFF"/>
            <w:vAlign w:val="center"/>
          </w:tcPr>
          <w:p>
            <w:pPr>
              <w:ind w:left="105" w:leftChars="50"/>
              <w:rPr>
                <w:rFonts w:ascii="宋体" w:hAnsi="宋体"/>
                <w:bCs/>
                <w:color w:val="auto"/>
                <w:szCs w:val="21"/>
                <w:highlight w:val="none"/>
              </w:rPr>
            </w:pPr>
            <w:r>
              <w:rPr>
                <w:rFonts w:ascii="宋体" w:hAnsi="宋体"/>
                <w:bCs/>
                <w:color w:val="auto"/>
                <w:szCs w:val="21"/>
                <w:highlight w:val="none"/>
              </w:rPr>
              <w:t>信用记录（采购人将按照招标文件规定的时间进行查询）</w:t>
            </w:r>
          </w:p>
          <w:p>
            <w:pPr>
              <w:ind w:left="105" w:leftChars="50"/>
              <w:rPr>
                <w:rFonts w:ascii="宋体" w:hAnsi="宋体"/>
                <w:b/>
                <w:color w:val="auto"/>
                <w:szCs w:val="21"/>
                <w:highlight w:val="none"/>
              </w:rPr>
            </w:pPr>
            <w:r>
              <w:rPr>
                <w:rFonts w:ascii="宋体" w:hAnsi="宋体"/>
                <w:b/>
                <w:bCs/>
                <w:color w:val="auto"/>
                <w:szCs w:val="21"/>
                <w:highlight w:val="none"/>
              </w:rPr>
              <w:t>在指定网站不能查询信用信息的投标人，应提供相关证明材料（原件加盖公章）</w:t>
            </w:r>
          </w:p>
        </w:tc>
        <w:tc>
          <w:tcPr>
            <w:tcW w:w="1000" w:type="dxa"/>
            <w:shd w:val="clear" w:color="auto" w:fill="FFFFFF"/>
            <w:vAlign w:val="center"/>
          </w:tcPr>
          <w:p>
            <w:pPr>
              <w:jc w:val="center"/>
              <w:rPr>
                <w:rFonts w:ascii="宋体" w:hAnsi="宋体"/>
                <w:color w:val="auto"/>
                <w:szCs w:val="21"/>
                <w:highlight w:val="none"/>
              </w:rPr>
            </w:pPr>
          </w:p>
        </w:tc>
        <w:tc>
          <w:tcPr>
            <w:tcW w:w="1013" w:type="dxa"/>
            <w:shd w:val="clear" w:color="auto" w:fill="FFFFFF"/>
            <w:vAlign w:val="center"/>
          </w:tcPr>
          <w:p>
            <w:pPr>
              <w:jc w:val="center"/>
              <w:rPr>
                <w:rFonts w:ascii="宋体" w:hAnsi="宋体"/>
                <w:color w:val="auto"/>
                <w:szCs w:val="21"/>
                <w:highlight w:val="none"/>
              </w:rPr>
            </w:pPr>
          </w:p>
        </w:tc>
        <w:tc>
          <w:tcPr>
            <w:tcW w:w="1005" w:type="dxa"/>
            <w:shd w:val="clear" w:color="auto" w:fill="FFFFFF"/>
            <w:vAlign w:val="center"/>
          </w:tcPr>
          <w:p>
            <w:pPr>
              <w:jc w:val="center"/>
              <w:rPr>
                <w:rFonts w:ascii="宋体" w:hAnsi="宋体"/>
                <w:color w:val="auto"/>
                <w:szCs w:val="21"/>
                <w:highlight w:val="none"/>
              </w:rPr>
            </w:pPr>
          </w:p>
        </w:tc>
        <w:tc>
          <w:tcPr>
            <w:tcW w:w="767" w:type="dxa"/>
            <w:shd w:val="clear" w:color="auto" w:fill="FFFFFF"/>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4" w:hRule="exact"/>
          <w:jc w:val="center"/>
        </w:trPr>
        <w:tc>
          <w:tcPr>
            <w:tcW w:w="5199" w:type="dxa"/>
            <w:gridSpan w:val="2"/>
            <w:shd w:val="clear" w:color="auto" w:fill="FFFFFF"/>
            <w:vAlign w:val="center"/>
          </w:tcPr>
          <w:p>
            <w:pPr>
              <w:pStyle w:val="203"/>
              <w:ind w:left="33"/>
              <w:jc w:val="center"/>
              <w:rPr>
                <w:bCs/>
                <w:color w:val="auto"/>
                <w:szCs w:val="21"/>
                <w:highlight w:val="none"/>
              </w:rPr>
            </w:pPr>
            <w:r>
              <w:rPr>
                <w:rFonts w:ascii="Arial" w:hAnsi="Arial" w:cs="Arial"/>
                <w:color w:val="auto"/>
                <w:szCs w:val="21"/>
                <w:highlight w:val="none"/>
              </w:rPr>
              <w:t>资格审查结果</w:t>
            </w:r>
          </w:p>
        </w:tc>
        <w:tc>
          <w:tcPr>
            <w:tcW w:w="1000" w:type="dxa"/>
            <w:shd w:val="clear" w:color="auto" w:fill="FFFFFF"/>
            <w:vAlign w:val="center"/>
          </w:tcPr>
          <w:p>
            <w:pPr>
              <w:jc w:val="center"/>
              <w:rPr>
                <w:rFonts w:ascii="宋体" w:hAnsi="宋体"/>
                <w:color w:val="auto"/>
                <w:szCs w:val="21"/>
                <w:highlight w:val="none"/>
              </w:rPr>
            </w:pPr>
          </w:p>
        </w:tc>
        <w:tc>
          <w:tcPr>
            <w:tcW w:w="1013" w:type="dxa"/>
            <w:shd w:val="clear" w:color="auto" w:fill="FFFFFF"/>
            <w:vAlign w:val="center"/>
          </w:tcPr>
          <w:p>
            <w:pPr>
              <w:jc w:val="center"/>
              <w:rPr>
                <w:rFonts w:ascii="宋体" w:hAnsi="宋体"/>
                <w:color w:val="auto"/>
                <w:szCs w:val="21"/>
                <w:highlight w:val="none"/>
              </w:rPr>
            </w:pPr>
          </w:p>
        </w:tc>
        <w:tc>
          <w:tcPr>
            <w:tcW w:w="1005" w:type="dxa"/>
            <w:shd w:val="clear" w:color="auto" w:fill="FFFFFF"/>
            <w:vAlign w:val="center"/>
          </w:tcPr>
          <w:p>
            <w:pPr>
              <w:jc w:val="center"/>
              <w:rPr>
                <w:rFonts w:ascii="宋体" w:hAnsi="宋体"/>
                <w:color w:val="auto"/>
                <w:szCs w:val="21"/>
                <w:highlight w:val="none"/>
              </w:rPr>
            </w:pPr>
          </w:p>
        </w:tc>
        <w:tc>
          <w:tcPr>
            <w:tcW w:w="767" w:type="dxa"/>
            <w:shd w:val="clear" w:color="auto" w:fill="FFFFFF"/>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4" w:hRule="exact"/>
          <w:jc w:val="center"/>
        </w:trPr>
        <w:tc>
          <w:tcPr>
            <w:tcW w:w="5199" w:type="dxa"/>
            <w:gridSpan w:val="2"/>
            <w:shd w:val="clear" w:color="auto" w:fill="FFFFFF"/>
            <w:vAlign w:val="center"/>
          </w:tcPr>
          <w:p>
            <w:pPr>
              <w:pStyle w:val="203"/>
              <w:ind w:left="33"/>
              <w:jc w:val="center"/>
              <w:rPr>
                <w:bCs/>
                <w:color w:val="auto"/>
                <w:szCs w:val="21"/>
                <w:highlight w:val="none"/>
              </w:rPr>
            </w:pPr>
            <w:r>
              <w:rPr>
                <w:rFonts w:ascii="Arial" w:hAnsi="Arial" w:cs="Arial"/>
                <w:color w:val="auto"/>
                <w:szCs w:val="21"/>
                <w:highlight w:val="none"/>
              </w:rPr>
              <w:t>不通过理由说明</w:t>
            </w:r>
          </w:p>
        </w:tc>
        <w:tc>
          <w:tcPr>
            <w:tcW w:w="1000" w:type="dxa"/>
            <w:shd w:val="clear" w:color="auto" w:fill="FFFFFF"/>
            <w:vAlign w:val="center"/>
          </w:tcPr>
          <w:p>
            <w:pPr>
              <w:jc w:val="center"/>
              <w:rPr>
                <w:rFonts w:ascii="宋体" w:hAnsi="宋体"/>
                <w:color w:val="auto"/>
                <w:szCs w:val="21"/>
                <w:highlight w:val="none"/>
              </w:rPr>
            </w:pPr>
          </w:p>
        </w:tc>
        <w:tc>
          <w:tcPr>
            <w:tcW w:w="1013" w:type="dxa"/>
            <w:shd w:val="clear" w:color="auto" w:fill="FFFFFF"/>
            <w:vAlign w:val="center"/>
          </w:tcPr>
          <w:p>
            <w:pPr>
              <w:jc w:val="center"/>
              <w:rPr>
                <w:rFonts w:ascii="宋体" w:hAnsi="宋体"/>
                <w:color w:val="auto"/>
                <w:szCs w:val="21"/>
                <w:highlight w:val="none"/>
              </w:rPr>
            </w:pPr>
          </w:p>
        </w:tc>
        <w:tc>
          <w:tcPr>
            <w:tcW w:w="1005" w:type="dxa"/>
            <w:shd w:val="clear" w:color="auto" w:fill="FFFFFF"/>
            <w:vAlign w:val="center"/>
          </w:tcPr>
          <w:p>
            <w:pPr>
              <w:jc w:val="center"/>
              <w:rPr>
                <w:rFonts w:ascii="宋体" w:hAnsi="宋体"/>
                <w:color w:val="auto"/>
                <w:szCs w:val="21"/>
                <w:highlight w:val="none"/>
              </w:rPr>
            </w:pPr>
          </w:p>
        </w:tc>
        <w:tc>
          <w:tcPr>
            <w:tcW w:w="767" w:type="dxa"/>
            <w:shd w:val="clear" w:color="auto" w:fill="FFFFFF"/>
            <w:vAlign w:val="center"/>
          </w:tcPr>
          <w:p>
            <w:pPr>
              <w:jc w:val="center"/>
              <w:rPr>
                <w:rFonts w:ascii="宋体" w:hAnsi="宋体"/>
                <w:color w:val="auto"/>
                <w:szCs w:val="21"/>
                <w:highlight w:val="none"/>
              </w:rPr>
            </w:pPr>
          </w:p>
        </w:tc>
      </w:tr>
    </w:tbl>
    <w:p>
      <w:pPr>
        <w:spacing w:line="360" w:lineRule="auto"/>
        <w:rPr>
          <w:color w:val="auto"/>
          <w:sz w:val="24"/>
          <w:highlight w:val="none"/>
        </w:rPr>
      </w:pPr>
    </w:p>
    <w:p>
      <w:pPr>
        <w:spacing w:line="360" w:lineRule="auto"/>
        <w:rPr>
          <w:color w:val="auto"/>
          <w:sz w:val="24"/>
          <w:highlight w:val="none"/>
        </w:rPr>
      </w:pPr>
      <w:r>
        <w:rPr>
          <w:color w:val="auto"/>
          <w:sz w:val="24"/>
          <w:highlight w:val="none"/>
        </w:rPr>
        <w:t>审</w:t>
      </w:r>
      <w:r>
        <w:rPr>
          <w:rFonts w:hint="eastAsia"/>
          <w:color w:val="auto"/>
          <w:sz w:val="24"/>
          <w:highlight w:val="none"/>
        </w:rPr>
        <w:t>查</w:t>
      </w:r>
      <w:r>
        <w:rPr>
          <w:color w:val="auto"/>
          <w:sz w:val="24"/>
          <w:highlight w:val="none"/>
        </w:rPr>
        <w:t>人：</w:t>
      </w:r>
    </w:p>
    <w:p>
      <w:pPr>
        <w:spacing w:line="480" w:lineRule="auto"/>
        <w:jc w:val="left"/>
        <w:rPr>
          <w:rFonts w:ascii="宋体" w:hAnsi="宋体"/>
          <w:b/>
          <w:color w:val="auto"/>
          <w:sz w:val="32"/>
          <w:szCs w:val="32"/>
          <w:highlight w:val="none"/>
        </w:rPr>
      </w:pPr>
      <w:r>
        <w:rPr>
          <w:rFonts w:ascii="Arial" w:hAnsi="Arial" w:cs="Arial"/>
          <w:color w:val="auto"/>
          <w:highlight w:val="none"/>
        </w:rPr>
        <w:t>注：合格的打“√”，不合格的打“×”，其中有任何一项不合格，将不能参与下一阶段的评审。</w:t>
      </w:r>
      <w:r>
        <w:rPr>
          <w:rFonts w:hint="eastAsia" w:ascii="Arial" w:hAnsi="Arial" w:cs="Arial"/>
          <w:color w:val="auto"/>
          <w:highlight w:val="none"/>
        </w:rPr>
        <w:t>审查结果填写“通过”或“不通过”。</w:t>
      </w:r>
      <w:r>
        <w:rPr>
          <w:rFonts w:ascii="宋体" w:hAnsi="宋体"/>
          <w:b/>
          <w:color w:val="auto"/>
          <w:sz w:val="32"/>
          <w:szCs w:val="32"/>
          <w:highlight w:val="none"/>
        </w:rPr>
        <w:br w:type="page"/>
      </w:r>
      <w:r>
        <w:rPr>
          <w:rFonts w:ascii="宋体" w:hAnsi="宋体"/>
          <w:b/>
          <w:color w:val="auto"/>
          <w:sz w:val="32"/>
          <w:szCs w:val="32"/>
          <w:highlight w:val="none"/>
        </w:rPr>
        <w:t>符合性审查表</w:t>
      </w:r>
    </w:p>
    <w:p>
      <w:pPr>
        <w:rPr>
          <w:color w:val="auto"/>
          <w:highlight w:val="none"/>
        </w:rPr>
      </w:pPr>
      <w:r>
        <w:rPr>
          <w:color w:val="auto"/>
          <w:highlight w:val="none"/>
        </w:rPr>
        <w:t>项目名称：</w:t>
      </w:r>
      <w:r>
        <w:rPr>
          <w:rFonts w:hint="eastAsia" w:hAnsi="宋体"/>
          <w:color w:val="auto"/>
          <w:highlight w:val="none"/>
        </w:rPr>
        <w:t>国家税务总局辽宁省税务局存储设备扩容采购项目</w:t>
      </w:r>
    </w:p>
    <w:p>
      <w:pPr>
        <w:rPr>
          <w:rFonts w:ascii="宋体" w:hAnsi="宋体"/>
          <w:color w:val="auto"/>
          <w:highlight w:val="none"/>
        </w:rPr>
      </w:pPr>
      <w:r>
        <w:rPr>
          <w:color w:val="auto"/>
          <w:highlight w:val="none"/>
        </w:rPr>
        <w:t>项目编号：</w:t>
      </w:r>
      <w:r>
        <w:rPr>
          <w:rFonts w:hint="eastAsia"/>
          <w:color w:val="auto"/>
          <w:highlight w:val="none"/>
        </w:rPr>
        <w:t xml:space="preserve">2022CG022          </w:t>
      </w:r>
      <w:r>
        <w:rPr>
          <w:color w:val="auto"/>
          <w:highlight w:val="none"/>
        </w:rPr>
        <w:t>日期</w:t>
      </w:r>
      <w:r>
        <w:rPr>
          <w:rFonts w:hint="eastAsia"/>
          <w:color w:val="auto"/>
          <w:highlight w:val="none"/>
        </w:rPr>
        <w:t xml:space="preserve">：        年  月  日        </w:t>
      </w:r>
      <w:r>
        <w:rPr>
          <w:color w:val="auto"/>
          <w:highlight w:val="none"/>
        </w:rPr>
        <w:t>地点</w:t>
      </w:r>
      <w:r>
        <w:rPr>
          <w:rFonts w:hint="eastAsia"/>
          <w:color w:val="auto"/>
          <w:highlight w:val="none"/>
        </w:rPr>
        <w:t>：</w:t>
      </w:r>
    </w:p>
    <w:tbl>
      <w:tblPr>
        <w:tblStyle w:val="34"/>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18"/>
        <w:gridCol w:w="4052"/>
        <w:gridCol w:w="1032"/>
        <w:gridCol w:w="1047"/>
        <w:gridCol w:w="1039"/>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2" w:hRule="exact"/>
          <w:jc w:val="center"/>
        </w:trPr>
        <w:tc>
          <w:tcPr>
            <w:tcW w:w="818" w:type="dxa"/>
            <w:vMerge w:val="restart"/>
            <w:shd w:val="clear" w:color="auto" w:fill="FFFFFF"/>
            <w:vAlign w:val="center"/>
          </w:tcPr>
          <w:p>
            <w:pPr>
              <w:jc w:val="center"/>
              <w:rPr>
                <w:rFonts w:ascii="宋体" w:hAnsi="宋体"/>
                <w:b/>
                <w:color w:val="auto"/>
                <w:szCs w:val="21"/>
                <w:highlight w:val="none"/>
              </w:rPr>
            </w:pPr>
            <w:r>
              <w:rPr>
                <w:rFonts w:ascii="宋体" w:hAnsi="宋体"/>
                <w:b/>
                <w:color w:val="auto"/>
                <w:highlight w:val="none"/>
              </w:rPr>
              <w:t>序号</w:t>
            </w:r>
          </w:p>
        </w:tc>
        <w:tc>
          <w:tcPr>
            <w:tcW w:w="4052" w:type="dxa"/>
            <w:vMerge w:val="restart"/>
            <w:shd w:val="clear" w:color="auto" w:fill="FFFFFF"/>
            <w:vAlign w:val="center"/>
          </w:tcPr>
          <w:p>
            <w:pPr>
              <w:jc w:val="center"/>
              <w:rPr>
                <w:rFonts w:ascii="宋体" w:hAnsi="宋体"/>
                <w:b/>
                <w:color w:val="auto"/>
                <w:szCs w:val="21"/>
                <w:highlight w:val="none"/>
              </w:rPr>
            </w:pPr>
            <w:r>
              <w:rPr>
                <w:rFonts w:ascii="宋体" w:hAnsi="宋体"/>
                <w:b/>
                <w:color w:val="auto"/>
                <w:highlight w:val="none"/>
              </w:rPr>
              <w:t>符合性审查项目</w:t>
            </w:r>
          </w:p>
        </w:tc>
        <w:tc>
          <w:tcPr>
            <w:tcW w:w="3909" w:type="dxa"/>
            <w:gridSpan w:val="4"/>
            <w:shd w:val="clear" w:color="auto" w:fill="FFFFFF"/>
            <w:vAlign w:val="center"/>
          </w:tcPr>
          <w:p>
            <w:pPr>
              <w:jc w:val="center"/>
              <w:rPr>
                <w:rFonts w:ascii="宋体" w:hAnsi="宋体"/>
                <w:b/>
                <w:color w:val="auto"/>
                <w:szCs w:val="21"/>
                <w:highlight w:val="none"/>
              </w:rPr>
            </w:pPr>
            <w:r>
              <w:rPr>
                <w:rFonts w:ascii="宋体" w:hAnsi="宋体"/>
                <w:b/>
                <w:color w:val="auto"/>
                <w:szCs w:val="21"/>
                <w:highlight w:val="none"/>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3" w:hRule="exact"/>
          <w:jc w:val="center"/>
        </w:trPr>
        <w:tc>
          <w:tcPr>
            <w:tcW w:w="818" w:type="dxa"/>
            <w:vMerge w:val="continue"/>
            <w:shd w:val="clear" w:color="auto" w:fill="FFFFFF"/>
            <w:vAlign w:val="center"/>
          </w:tcPr>
          <w:p>
            <w:pPr>
              <w:jc w:val="center"/>
              <w:rPr>
                <w:rFonts w:ascii="宋体" w:hAnsi="宋体"/>
                <w:b/>
                <w:color w:val="auto"/>
                <w:highlight w:val="none"/>
              </w:rPr>
            </w:pPr>
          </w:p>
        </w:tc>
        <w:tc>
          <w:tcPr>
            <w:tcW w:w="4052" w:type="dxa"/>
            <w:vMerge w:val="continue"/>
            <w:shd w:val="clear" w:color="auto" w:fill="FFFFFF"/>
            <w:vAlign w:val="center"/>
          </w:tcPr>
          <w:p>
            <w:pPr>
              <w:jc w:val="center"/>
              <w:rPr>
                <w:rFonts w:ascii="宋体" w:hAnsi="宋体"/>
                <w:b/>
                <w:color w:val="auto"/>
                <w:highlight w:val="none"/>
              </w:rPr>
            </w:pPr>
          </w:p>
        </w:tc>
        <w:tc>
          <w:tcPr>
            <w:tcW w:w="1032" w:type="dxa"/>
            <w:shd w:val="clear" w:color="auto" w:fill="FFFFFF"/>
            <w:vAlign w:val="center"/>
          </w:tcPr>
          <w:p>
            <w:pPr>
              <w:jc w:val="center"/>
              <w:rPr>
                <w:rFonts w:ascii="宋体" w:hAnsi="宋体"/>
                <w:b/>
                <w:color w:val="auto"/>
                <w:szCs w:val="21"/>
                <w:highlight w:val="none"/>
              </w:rPr>
            </w:pPr>
            <w:r>
              <w:rPr>
                <w:rFonts w:ascii="宋体" w:hAnsi="宋体"/>
                <w:b/>
                <w:color w:val="auto"/>
                <w:highlight w:val="none"/>
              </w:rPr>
              <w:t>投标人1</w:t>
            </w:r>
          </w:p>
        </w:tc>
        <w:tc>
          <w:tcPr>
            <w:tcW w:w="1047" w:type="dxa"/>
            <w:shd w:val="clear" w:color="auto" w:fill="FFFFFF"/>
            <w:vAlign w:val="center"/>
          </w:tcPr>
          <w:p>
            <w:pPr>
              <w:jc w:val="center"/>
              <w:rPr>
                <w:rFonts w:ascii="宋体" w:hAnsi="宋体"/>
                <w:b/>
                <w:color w:val="auto"/>
                <w:szCs w:val="21"/>
                <w:highlight w:val="none"/>
              </w:rPr>
            </w:pPr>
            <w:r>
              <w:rPr>
                <w:rFonts w:ascii="宋体" w:hAnsi="宋体"/>
                <w:b/>
                <w:color w:val="auto"/>
                <w:highlight w:val="none"/>
              </w:rPr>
              <w:t>投标人2</w:t>
            </w:r>
          </w:p>
        </w:tc>
        <w:tc>
          <w:tcPr>
            <w:tcW w:w="1039" w:type="dxa"/>
            <w:shd w:val="clear" w:color="auto" w:fill="FFFFFF"/>
            <w:vAlign w:val="center"/>
          </w:tcPr>
          <w:p>
            <w:pPr>
              <w:jc w:val="center"/>
              <w:rPr>
                <w:rFonts w:ascii="宋体" w:hAnsi="宋体"/>
                <w:b/>
                <w:color w:val="auto"/>
                <w:szCs w:val="21"/>
                <w:highlight w:val="none"/>
              </w:rPr>
            </w:pPr>
            <w:r>
              <w:rPr>
                <w:rFonts w:ascii="宋体" w:hAnsi="宋体"/>
                <w:b/>
                <w:color w:val="auto"/>
                <w:highlight w:val="none"/>
              </w:rPr>
              <w:t>投标人3</w:t>
            </w:r>
          </w:p>
        </w:tc>
        <w:tc>
          <w:tcPr>
            <w:tcW w:w="791" w:type="dxa"/>
            <w:shd w:val="clear" w:color="auto" w:fill="FFFFFF"/>
            <w:vAlign w:val="center"/>
          </w:tcPr>
          <w:p>
            <w:pPr>
              <w:jc w:val="center"/>
              <w:rPr>
                <w:rFonts w:ascii="宋体" w:hAnsi="宋体"/>
                <w:b/>
                <w:color w:val="auto"/>
                <w:szCs w:val="21"/>
                <w:highlight w:val="none"/>
              </w:rPr>
            </w:pPr>
            <w:r>
              <w:rPr>
                <w:rFonts w:ascii="宋体" w:hAnsi="宋体"/>
                <w:b/>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38" w:hRule="exact"/>
          <w:jc w:val="center"/>
        </w:trPr>
        <w:tc>
          <w:tcPr>
            <w:tcW w:w="818" w:type="dxa"/>
            <w:shd w:val="clear" w:color="auto" w:fill="FFFFFF"/>
            <w:vAlign w:val="center"/>
          </w:tcPr>
          <w:p>
            <w:pPr>
              <w:jc w:val="center"/>
              <w:rPr>
                <w:rFonts w:ascii="宋体" w:hAnsi="宋体"/>
                <w:color w:val="auto"/>
                <w:szCs w:val="21"/>
                <w:highlight w:val="none"/>
              </w:rPr>
            </w:pPr>
            <w:r>
              <w:rPr>
                <w:rFonts w:ascii="宋体" w:hAnsi="宋体"/>
                <w:color w:val="auto"/>
                <w:highlight w:val="none"/>
              </w:rPr>
              <w:t>1</w:t>
            </w:r>
          </w:p>
        </w:tc>
        <w:tc>
          <w:tcPr>
            <w:tcW w:w="4052" w:type="dxa"/>
            <w:shd w:val="clear" w:color="auto" w:fill="FFFFFF"/>
            <w:tcMar>
              <w:top w:w="0" w:type="dxa"/>
              <w:left w:w="57" w:type="dxa"/>
              <w:bottom w:w="0" w:type="dxa"/>
              <w:right w:w="57" w:type="dxa"/>
            </w:tcMar>
            <w:vAlign w:val="center"/>
          </w:tcPr>
          <w:p>
            <w:pPr>
              <w:jc w:val="left"/>
              <w:rPr>
                <w:rFonts w:ascii="宋体" w:hAnsi="宋体"/>
                <w:color w:val="auto"/>
                <w:highlight w:val="none"/>
              </w:rPr>
            </w:pPr>
            <w:r>
              <w:rPr>
                <w:rFonts w:ascii="宋体" w:hAnsi="宋体"/>
                <w:color w:val="auto"/>
                <w:szCs w:val="21"/>
                <w:highlight w:val="none"/>
              </w:rPr>
              <w:t>投标函[原件，包括投标函的附件：法定代表人身份证明复印件(法定代表人参加投标)或法定代表人授权书(被授权投标代表参加投标)]</w:t>
            </w:r>
          </w:p>
        </w:tc>
        <w:tc>
          <w:tcPr>
            <w:tcW w:w="1032" w:type="dxa"/>
            <w:shd w:val="clear" w:color="auto" w:fill="FFFFFF"/>
            <w:vAlign w:val="center"/>
          </w:tcPr>
          <w:p>
            <w:pPr>
              <w:jc w:val="center"/>
              <w:rPr>
                <w:rFonts w:ascii="宋体" w:hAnsi="宋体"/>
                <w:color w:val="auto"/>
                <w:szCs w:val="21"/>
                <w:highlight w:val="none"/>
              </w:rPr>
            </w:pPr>
          </w:p>
        </w:tc>
        <w:tc>
          <w:tcPr>
            <w:tcW w:w="1047" w:type="dxa"/>
            <w:shd w:val="clear" w:color="auto" w:fill="FFFFFF"/>
            <w:vAlign w:val="center"/>
          </w:tcPr>
          <w:p>
            <w:pPr>
              <w:jc w:val="center"/>
              <w:rPr>
                <w:rFonts w:ascii="宋体" w:hAnsi="宋体"/>
                <w:color w:val="auto"/>
                <w:szCs w:val="21"/>
                <w:highlight w:val="none"/>
              </w:rPr>
            </w:pPr>
          </w:p>
        </w:tc>
        <w:tc>
          <w:tcPr>
            <w:tcW w:w="1039" w:type="dxa"/>
            <w:shd w:val="clear" w:color="auto" w:fill="FFFFFF"/>
            <w:vAlign w:val="center"/>
          </w:tcPr>
          <w:p>
            <w:pPr>
              <w:jc w:val="center"/>
              <w:rPr>
                <w:rFonts w:ascii="宋体" w:hAnsi="宋体"/>
                <w:color w:val="auto"/>
                <w:szCs w:val="21"/>
                <w:highlight w:val="none"/>
              </w:rPr>
            </w:pPr>
          </w:p>
        </w:tc>
        <w:tc>
          <w:tcPr>
            <w:tcW w:w="791" w:type="dxa"/>
            <w:shd w:val="clear" w:color="auto" w:fill="FFFFFF"/>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818" w:type="dxa"/>
            <w:shd w:val="clear" w:color="auto" w:fill="FFFFFF"/>
            <w:vAlign w:val="center"/>
          </w:tcPr>
          <w:p>
            <w:pPr>
              <w:jc w:val="center"/>
              <w:rPr>
                <w:rFonts w:ascii="宋体" w:hAnsi="宋体"/>
                <w:color w:val="auto"/>
                <w:szCs w:val="21"/>
                <w:highlight w:val="none"/>
              </w:rPr>
            </w:pPr>
            <w:r>
              <w:rPr>
                <w:rFonts w:ascii="宋体" w:hAnsi="宋体"/>
                <w:color w:val="auto"/>
                <w:highlight w:val="none"/>
              </w:rPr>
              <w:t>2</w:t>
            </w:r>
          </w:p>
        </w:tc>
        <w:tc>
          <w:tcPr>
            <w:tcW w:w="4052" w:type="dxa"/>
            <w:shd w:val="clear" w:color="auto" w:fill="FFFFFF"/>
            <w:tcMar>
              <w:top w:w="0" w:type="dxa"/>
              <w:left w:w="57" w:type="dxa"/>
              <w:bottom w:w="0" w:type="dxa"/>
              <w:right w:w="57" w:type="dxa"/>
            </w:tcMar>
            <w:vAlign w:val="center"/>
          </w:tcPr>
          <w:p>
            <w:pPr>
              <w:jc w:val="left"/>
              <w:rPr>
                <w:rFonts w:ascii="宋体" w:hAnsi="宋体"/>
                <w:bCs/>
                <w:color w:val="auto"/>
                <w:szCs w:val="21"/>
                <w:highlight w:val="none"/>
              </w:rPr>
            </w:pPr>
            <w:r>
              <w:rPr>
                <w:rFonts w:ascii="宋体" w:hAnsi="宋体"/>
                <w:color w:val="auto"/>
                <w:szCs w:val="21"/>
                <w:highlight w:val="none"/>
              </w:rPr>
              <w:t>投标报价表（即开标一览表，含总报价表及分项报价表，原件）</w:t>
            </w:r>
          </w:p>
        </w:tc>
        <w:tc>
          <w:tcPr>
            <w:tcW w:w="1032" w:type="dxa"/>
            <w:shd w:val="clear" w:color="auto" w:fill="FFFFFF"/>
            <w:vAlign w:val="center"/>
          </w:tcPr>
          <w:p>
            <w:pPr>
              <w:jc w:val="center"/>
              <w:rPr>
                <w:rFonts w:ascii="宋体" w:hAnsi="宋体"/>
                <w:color w:val="auto"/>
                <w:szCs w:val="21"/>
                <w:highlight w:val="none"/>
              </w:rPr>
            </w:pPr>
          </w:p>
        </w:tc>
        <w:tc>
          <w:tcPr>
            <w:tcW w:w="1047" w:type="dxa"/>
            <w:shd w:val="clear" w:color="auto" w:fill="FFFFFF"/>
            <w:vAlign w:val="center"/>
          </w:tcPr>
          <w:p>
            <w:pPr>
              <w:jc w:val="center"/>
              <w:rPr>
                <w:rFonts w:ascii="宋体" w:hAnsi="宋体"/>
                <w:color w:val="auto"/>
                <w:szCs w:val="21"/>
                <w:highlight w:val="none"/>
              </w:rPr>
            </w:pPr>
          </w:p>
        </w:tc>
        <w:tc>
          <w:tcPr>
            <w:tcW w:w="1039" w:type="dxa"/>
            <w:shd w:val="clear" w:color="auto" w:fill="FFFFFF"/>
            <w:vAlign w:val="center"/>
          </w:tcPr>
          <w:p>
            <w:pPr>
              <w:jc w:val="center"/>
              <w:rPr>
                <w:rFonts w:ascii="宋体" w:hAnsi="宋体"/>
                <w:color w:val="auto"/>
                <w:szCs w:val="21"/>
                <w:highlight w:val="none"/>
              </w:rPr>
            </w:pPr>
          </w:p>
        </w:tc>
        <w:tc>
          <w:tcPr>
            <w:tcW w:w="791" w:type="dxa"/>
            <w:shd w:val="clear" w:color="auto" w:fill="FFFFFF"/>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31" w:hRule="exact"/>
          <w:jc w:val="center"/>
        </w:trPr>
        <w:tc>
          <w:tcPr>
            <w:tcW w:w="818" w:type="dxa"/>
            <w:shd w:val="clear" w:color="auto" w:fill="FFFFFF"/>
            <w:vAlign w:val="center"/>
          </w:tcPr>
          <w:p>
            <w:pPr>
              <w:jc w:val="center"/>
              <w:rPr>
                <w:rFonts w:ascii="宋体" w:hAnsi="宋体"/>
                <w:color w:val="auto"/>
                <w:szCs w:val="21"/>
                <w:highlight w:val="none"/>
              </w:rPr>
            </w:pPr>
            <w:r>
              <w:rPr>
                <w:rFonts w:ascii="宋体" w:hAnsi="宋体"/>
                <w:color w:val="auto"/>
                <w:highlight w:val="none"/>
              </w:rPr>
              <w:t>3</w:t>
            </w:r>
          </w:p>
        </w:tc>
        <w:tc>
          <w:tcPr>
            <w:tcW w:w="4052" w:type="dxa"/>
            <w:shd w:val="clear" w:color="auto" w:fill="FFFFFF"/>
            <w:tcMar>
              <w:top w:w="0" w:type="dxa"/>
              <w:left w:w="57" w:type="dxa"/>
              <w:bottom w:w="0" w:type="dxa"/>
              <w:right w:w="57" w:type="dxa"/>
            </w:tcMar>
            <w:vAlign w:val="center"/>
          </w:tcPr>
          <w:p>
            <w:pPr>
              <w:jc w:val="left"/>
              <w:rPr>
                <w:rFonts w:ascii="宋体" w:hAnsi="宋体"/>
                <w:color w:val="auto"/>
                <w:szCs w:val="21"/>
                <w:highlight w:val="none"/>
              </w:rPr>
            </w:pPr>
            <w:r>
              <w:rPr>
                <w:rFonts w:ascii="宋体" w:hAnsi="宋体"/>
                <w:color w:val="auto"/>
                <w:szCs w:val="21"/>
                <w:highlight w:val="none"/>
              </w:rPr>
              <w:t>商务条款偏离表</w:t>
            </w:r>
          </w:p>
        </w:tc>
        <w:tc>
          <w:tcPr>
            <w:tcW w:w="1032" w:type="dxa"/>
            <w:shd w:val="clear" w:color="auto" w:fill="FFFFFF"/>
            <w:vAlign w:val="center"/>
          </w:tcPr>
          <w:p>
            <w:pPr>
              <w:jc w:val="center"/>
              <w:rPr>
                <w:rFonts w:ascii="宋体" w:hAnsi="宋体"/>
                <w:color w:val="auto"/>
                <w:szCs w:val="21"/>
                <w:highlight w:val="none"/>
              </w:rPr>
            </w:pPr>
          </w:p>
        </w:tc>
        <w:tc>
          <w:tcPr>
            <w:tcW w:w="1047" w:type="dxa"/>
            <w:shd w:val="clear" w:color="auto" w:fill="FFFFFF"/>
            <w:vAlign w:val="center"/>
          </w:tcPr>
          <w:p>
            <w:pPr>
              <w:jc w:val="center"/>
              <w:rPr>
                <w:rFonts w:ascii="宋体" w:hAnsi="宋体"/>
                <w:color w:val="auto"/>
                <w:szCs w:val="21"/>
                <w:highlight w:val="none"/>
              </w:rPr>
            </w:pPr>
          </w:p>
        </w:tc>
        <w:tc>
          <w:tcPr>
            <w:tcW w:w="1039" w:type="dxa"/>
            <w:shd w:val="clear" w:color="auto" w:fill="FFFFFF"/>
            <w:vAlign w:val="center"/>
          </w:tcPr>
          <w:p>
            <w:pPr>
              <w:jc w:val="center"/>
              <w:rPr>
                <w:rFonts w:ascii="宋体" w:hAnsi="宋体"/>
                <w:color w:val="auto"/>
                <w:szCs w:val="21"/>
                <w:highlight w:val="none"/>
              </w:rPr>
            </w:pPr>
          </w:p>
        </w:tc>
        <w:tc>
          <w:tcPr>
            <w:tcW w:w="791" w:type="dxa"/>
            <w:shd w:val="clear" w:color="auto" w:fill="FFFFFF"/>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36" w:hRule="atLeast"/>
          <w:jc w:val="center"/>
        </w:trPr>
        <w:tc>
          <w:tcPr>
            <w:tcW w:w="818" w:type="dxa"/>
            <w:shd w:val="clear" w:color="auto" w:fill="FFFFFF"/>
            <w:vAlign w:val="center"/>
          </w:tcPr>
          <w:p>
            <w:pPr>
              <w:jc w:val="center"/>
              <w:rPr>
                <w:rFonts w:ascii="宋体" w:hAnsi="宋体"/>
                <w:color w:val="auto"/>
                <w:szCs w:val="21"/>
                <w:highlight w:val="none"/>
              </w:rPr>
            </w:pPr>
            <w:r>
              <w:rPr>
                <w:rFonts w:ascii="宋体" w:hAnsi="宋体"/>
                <w:color w:val="auto"/>
                <w:highlight w:val="none"/>
              </w:rPr>
              <w:t>4</w:t>
            </w:r>
          </w:p>
        </w:tc>
        <w:tc>
          <w:tcPr>
            <w:tcW w:w="4052" w:type="dxa"/>
            <w:shd w:val="clear" w:color="auto" w:fill="FFFFFF"/>
            <w:tcMar>
              <w:top w:w="0" w:type="dxa"/>
              <w:left w:w="57" w:type="dxa"/>
              <w:bottom w:w="0" w:type="dxa"/>
              <w:right w:w="57" w:type="dxa"/>
            </w:tcMar>
            <w:vAlign w:val="center"/>
          </w:tcPr>
          <w:p>
            <w:pPr>
              <w:jc w:val="left"/>
              <w:rPr>
                <w:rFonts w:ascii="宋体" w:hAnsi="宋体"/>
                <w:color w:val="auto"/>
                <w:szCs w:val="21"/>
                <w:highlight w:val="none"/>
              </w:rPr>
            </w:pPr>
            <w:r>
              <w:rPr>
                <w:rFonts w:ascii="宋体" w:hAnsi="宋体"/>
                <w:bCs/>
                <w:color w:val="auto"/>
                <w:szCs w:val="21"/>
                <w:highlight w:val="none"/>
              </w:rPr>
              <w:t>技术条款偏离表</w:t>
            </w:r>
          </w:p>
        </w:tc>
        <w:tc>
          <w:tcPr>
            <w:tcW w:w="1032" w:type="dxa"/>
            <w:shd w:val="clear" w:color="auto" w:fill="FFFFFF"/>
            <w:vAlign w:val="center"/>
          </w:tcPr>
          <w:p>
            <w:pPr>
              <w:jc w:val="center"/>
              <w:rPr>
                <w:rFonts w:ascii="宋体" w:hAnsi="宋体"/>
                <w:color w:val="auto"/>
                <w:szCs w:val="21"/>
                <w:highlight w:val="none"/>
              </w:rPr>
            </w:pPr>
          </w:p>
        </w:tc>
        <w:tc>
          <w:tcPr>
            <w:tcW w:w="1047" w:type="dxa"/>
            <w:shd w:val="clear" w:color="auto" w:fill="FFFFFF"/>
            <w:vAlign w:val="center"/>
          </w:tcPr>
          <w:p>
            <w:pPr>
              <w:jc w:val="center"/>
              <w:rPr>
                <w:rFonts w:ascii="宋体" w:hAnsi="宋体"/>
                <w:color w:val="auto"/>
                <w:szCs w:val="21"/>
                <w:highlight w:val="none"/>
              </w:rPr>
            </w:pPr>
          </w:p>
        </w:tc>
        <w:tc>
          <w:tcPr>
            <w:tcW w:w="1039" w:type="dxa"/>
            <w:shd w:val="clear" w:color="auto" w:fill="FFFFFF"/>
            <w:vAlign w:val="center"/>
          </w:tcPr>
          <w:p>
            <w:pPr>
              <w:jc w:val="center"/>
              <w:rPr>
                <w:rFonts w:ascii="宋体" w:hAnsi="宋体"/>
                <w:color w:val="auto"/>
                <w:szCs w:val="21"/>
                <w:highlight w:val="none"/>
              </w:rPr>
            </w:pPr>
          </w:p>
        </w:tc>
        <w:tc>
          <w:tcPr>
            <w:tcW w:w="791" w:type="dxa"/>
            <w:shd w:val="clear" w:color="auto" w:fill="FFFFFF"/>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136" w:hRule="exact"/>
          <w:jc w:val="center"/>
        </w:trPr>
        <w:tc>
          <w:tcPr>
            <w:tcW w:w="818" w:type="dxa"/>
            <w:shd w:val="clear" w:color="auto" w:fill="FFFFFF"/>
            <w:vAlign w:val="center"/>
          </w:tcPr>
          <w:p>
            <w:pPr>
              <w:jc w:val="center"/>
              <w:rPr>
                <w:rFonts w:ascii="宋体" w:hAnsi="宋体"/>
                <w:color w:val="auto"/>
                <w:szCs w:val="21"/>
                <w:highlight w:val="none"/>
              </w:rPr>
            </w:pPr>
            <w:r>
              <w:rPr>
                <w:rFonts w:hint="eastAsia" w:ascii="宋体" w:hAnsi="宋体"/>
                <w:color w:val="auto"/>
                <w:highlight w:val="none"/>
              </w:rPr>
              <w:t>5</w:t>
            </w:r>
          </w:p>
        </w:tc>
        <w:tc>
          <w:tcPr>
            <w:tcW w:w="4052" w:type="dxa"/>
            <w:shd w:val="clear" w:color="auto" w:fill="FFFFFF"/>
            <w:tcMar>
              <w:top w:w="0" w:type="dxa"/>
              <w:left w:w="57" w:type="dxa"/>
              <w:bottom w:w="0" w:type="dxa"/>
              <w:right w:w="57" w:type="dxa"/>
            </w:tcMar>
            <w:vAlign w:val="center"/>
          </w:tcPr>
          <w:p>
            <w:pPr>
              <w:jc w:val="left"/>
              <w:rPr>
                <w:rFonts w:ascii="宋体" w:hAnsi="宋体"/>
                <w:color w:val="auto"/>
                <w:highlight w:val="none"/>
              </w:rPr>
            </w:pPr>
            <w:r>
              <w:rPr>
                <w:rFonts w:ascii="宋体" w:hAnsi="宋体"/>
                <w:color w:val="auto"/>
                <w:highlight w:val="none"/>
              </w:rPr>
              <w:t>投标人不存在投标须知第2</w:t>
            </w:r>
            <w:r>
              <w:rPr>
                <w:rFonts w:hint="eastAsia" w:ascii="宋体" w:hAnsi="宋体"/>
                <w:color w:val="auto"/>
                <w:highlight w:val="none"/>
              </w:rPr>
              <w:t>1</w:t>
            </w:r>
            <w:r>
              <w:rPr>
                <w:rFonts w:ascii="宋体" w:hAnsi="宋体"/>
                <w:color w:val="auto"/>
                <w:highlight w:val="none"/>
              </w:rPr>
              <w:t>.2规定的情形</w:t>
            </w:r>
          </w:p>
          <w:p>
            <w:pPr>
              <w:snapToGrid w:val="0"/>
              <w:rPr>
                <w:rFonts w:ascii="宋体" w:hAnsi="宋体"/>
                <w:color w:val="auto"/>
                <w:highlight w:val="none"/>
              </w:rPr>
            </w:pPr>
            <w:r>
              <w:rPr>
                <w:rFonts w:ascii="宋体" w:hAnsi="宋体"/>
                <w:color w:val="auto"/>
                <w:highlight w:val="none"/>
              </w:rPr>
              <w:t>（1）★条款的文件及资料如未提供或提供的无效或未实质性响应，则投标无效；</w:t>
            </w:r>
          </w:p>
          <w:p>
            <w:pPr>
              <w:snapToGrid w:val="0"/>
              <w:rPr>
                <w:rFonts w:ascii="宋体" w:hAnsi="宋体"/>
                <w:color w:val="auto"/>
                <w:highlight w:val="none"/>
              </w:rPr>
            </w:pPr>
            <w:r>
              <w:rPr>
                <w:rFonts w:ascii="宋体" w:hAnsi="宋体"/>
                <w:color w:val="auto"/>
                <w:highlight w:val="none"/>
              </w:rPr>
              <w:t>（2）投标文件未按招标文件要求签署、盖章的；</w:t>
            </w:r>
          </w:p>
          <w:p>
            <w:pPr>
              <w:snapToGrid w:val="0"/>
              <w:rPr>
                <w:rFonts w:ascii="宋体" w:hAnsi="宋体"/>
                <w:color w:val="auto"/>
                <w:highlight w:val="none"/>
              </w:rPr>
            </w:pPr>
            <w:r>
              <w:rPr>
                <w:rFonts w:ascii="宋体" w:hAnsi="宋体"/>
                <w:color w:val="auto"/>
                <w:highlight w:val="none"/>
              </w:rPr>
              <w:t>（3）投标报价超过招标文件中规定的预算金额或者最高限价的；</w:t>
            </w:r>
          </w:p>
          <w:p>
            <w:pPr>
              <w:snapToGrid w:val="0"/>
              <w:rPr>
                <w:rFonts w:ascii="宋体" w:hAnsi="宋体"/>
                <w:color w:val="auto"/>
                <w:highlight w:val="none"/>
              </w:rPr>
            </w:pPr>
            <w:r>
              <w:rPr>
                <w:rFonts w:ascii="宋体" w:hAnsi="宋体"/>
                <w:color w:val="auto"/>
                <w:highlight w:val="none"/>
              </w:rPr>
              <w:t>（4）投标有效期不足的；</w:t>
            </w:r>
          </w:p>
          <w:p>
            <w:pPr>
              <w:snapToGrid w:val="0"/>
              <w:rPr>
                <w:rFonts w:ascii="宋体" w:hAnsi="宋体"/>
                <w:color w:val="auto"/>
                <w:szCs w:val="21"/>
                <w:highlight w:val="none"/>
              </w:rPr>
            </w:pPr>
            <w:r>
              <w:rPr>
                <w:rFonts w:ascii="宋体" w:hAnsi="宋体"/>
                <w:color w:val="auto"/>
                <w:highlight w:val="none"/>
              </w:rPr>
              <w:t>（5）投标文件含有采购人不能接受的附加条件的。</w:t>
            </w:r>
          </w:p>
        </w:tc>
        <w:tc>
          <w:tcPr>
            <w:tcW w:w="1032" w:type="dxa"/>
            <w:shd w:val="clear" w:color="auto" w:fill="FFFFFF"/>
            <w:vAlign w:val="center"/>
          </w:tcPr>
          <w:p>
            <w:pPr>
              <w:jc w:val="center"/>
              <w:rPr>
                <w:rFonts w:ascii="宋体" w:hAnsi="宋体"/>
                <w:color w:val="auto"/>
                <w:szCs w:val="21"/>
                <w:highlight w:val="none"/>
              </w:rPr>
            </w:pPr>
          </w:p>
        </w:tc>
        <w:tc>
          <w:tcPr>
            <w:tcW w:w="1047" w:type="dxa"/>
            <w:shd w:val="clear" w:color="auto" w:fill="FFFFFF"/>
            <w:vAlign w:val="center"/>
          </w:tcPr>
          <w:p>
            <w:pPr>
              <w:jc w:val="center"/>
              <w:rPr>
                <w:rFonts w:ascii="宋体" w:hAnsi="宋体"/>
                <w:color w:val="auto"/>
                <w:szCs w:val="21"/>
                <w:highlight w:val="none"/>
              </w:rPr>
            </w:pPr>
          </w:p>
        </w:tc>
        <w:tc>
          <w:tcPr>
            <w:tcW w:w="1039" w:type="dxa"/>
            <w:shd w:val="clear" w:color="auto" w:fill="FFFFFF"/>
            <w:vAlign w:val="center"/>
          </w:tcPr>
          <w:p>
            <w:pPr>
              <w:jc w:val="center"/>
              <w:rPr>
                <w:rFonts w:ascii="宋体" w:hAnsi="宋体"/>
                <w:color w:val="auto"/>
                <w:szCs w:val="21"/>
                <w:highlight w:val="none"/>
              </w:rPr>
            </w:pPr>
          </w:p>
        </w:tc>
        <w:tc>
          <w:tcPr>
            <w:tcW w:w="791" w:type="dxa"/>
            <w:shd w:val="clear" w:color="auto" w:fill="FFFFFF"/>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14" w:hRule="exact"/>
          <w:jc w:val="center"/>
        </w:trPr>
        <w:tc>
          <w:tcPr>
            <w:tcW w:w="4870" w:type="dxa"/>
            <w:gridSpan w:val="2"/>
            <w:shd w:val="clear" w:color="auto" w:fill="FFFFFF"/>
            <w:vAlign w:val="center"/>
          </w:tcPr>
          <w:p>
            <w:pPr>
              <w:jc w:val="center"/>
              <w:rPr>
                <w:rFonts w:ascii="宋体" w:hAnsi="宋体"/>
                <w:color w:val="auto"/>
                <w:highlight w:val="none"/>
              </w:rPr>
            </w:pPr>
            <w:r>
              <w:rPr>
                <w:rFonts w:ascii="宋体" w:hAnsi="宋体"/>
                <w:color w:val="auto"/>
                <w:highlight w:val="none"/>
              </w:rPr>
              <w:t>结论</w:t>
            </w:r>
          </w:p>
        </w:tc>
        <w:tc>
          <w:tcPr>
            <w:tcW w:w="1032" w:type="dxa"/>
            <w:shd w:val="clear" w:color="auto" w:fill="FFFFFF"/>
            <w:vAlign w:val="center"/>
          </w:tcPr>
          <w:p>
            <w:pPr>
              <w:jc w:val="center"/>
              <w:rPr>
                <w:rFonts w:ascii="宋体" w:hAnsi="宋体"/>
                <w:color w:val="auto"/>
                <w:szCs w:val="21"/>
                <w:highlight w:val="none"/>
              </w:rPr>
            </w:pPr>
          </w:p>
        </w:tc>
        <w:tc>
          <w:tcPr>
            <w:tcW w:w="1047" w:type="dxa"/>
            <w:shd w:val="clear" w:color="auto" w:fill="FFFFFF"/>
            <w:vAlign w:val="center"/>
          </w:tcPr>
          <w:p>
            <w:pPr>
              <w:jc w:val="center"/>
              <w:rPr>
                <w:rFonts w:ascii="宋体" w:hAnsi="宋体"/>
                <w:color w:val="auto"/>
                <w:szCs w:val="21"/>
                <w:highlight w:val="none"/>
              </w:rPr>
            </w:pPr>
          </w:p>
        </w:tc>
        <w:tc>
          <w:tcPr>
            <w:tcW w:w="1039" w:type="dxa"/>
            <w:shd w:val="clear" w:color="auto" w:fill="FFFFFF"/>
            <w:vAlign w:val="center"/>
          </w:tcPr>
          <w:p>
            <w:pPr>
              <w:jc w:val="center"/>
              <w:rPr>
                <w:rFonts w:ascii="宋体" w:hAnsi="宋体"/>
                <w:color w:val="auto"/>
                <w:szCs w:val="21"/>
                <w:highlight w:val="none"/>
              </w:rPr>
            </w:pPr>
          </w:p>
        </w:tc>
        <w:tc>
          <w:tcPr>
            <w:tcW w:w="791" w:type="dxa"/>
            <w:shd w:val="clear" w:color="auto" w:fill="FFFFFF"/>
            <w:vAlign w:val="center"/>
          </w:tcPr>
          <w:p>
            <w:pPr>
              <w:jc w:val="center"/>
              <w:rPr>
                <w:rFonts w:ascii="宋体" w:hAnsi="宋体"/>
                <w:color w:val="auto"/>
                <w:szCs w:val="21"/>
                <w:highlight w:val="none"/>
              </w:rPr>
            </w:pPr>
          </w:p>
        </w:tc>
      </w:tr>
    </w:tbl>
    <w:p>
      <w:pPr>
        <w:spacing w:line="360" w:lineRule="auto"/>
        <w:rPr>
          <w:color w:val="auto"/>
          <w:sz w:val="24"/>
          <w:highlight w:val="none"/>
        </w:rPr>
      </w:pPr>
      <w:r>
        <w:rPr>
          <w:rFonts w:hint="eastAsia"/>
          <w:color w:val="auto"/>
          <w:sz w:val="24"/>
          <w:highlight w:val="none"/>
        </w:rPr>
        <w:t>评标委员会：</w:t>
      </w:r>
    </w:p>
    <w:p>
      <w:pPr>
        <w:spacing w:line="480" w:lineRule="auto"/>
        <w:rPr>
          <w:rFonts w:ascii="Arial" w:hAnsi="Arial" w:cs="Arial"/>
          <w:color w:val="auto"/>
          <w:highlight w:val="none"/>
        </w:rPr>
      </w:pPr>
      <w:r>
        <w:rPr>
          <w:rFonts w:ascii="Arial" w:hAnsi="Arial" w:cs="Arial"/>
          <w:color w:val="auto"/>
          <w:highlight w:val="none"/>
        </w:rPr>
        <w:t>注：合格的打“√”，不合格的打“×”，其中有任何一项不合格，将不</w:t>
      </w:r>
      <w:r>
        <w:rPr>
          <w:rFonts w:hint="eastAsia" w:ascii="Arial" w:hAnsi="Arial" w:cs="Arial"/>
          <w:color w:val="auto"/>
          <w:highlight w:val="none"/>
        </w:rPr>
        <w:t>能</w:t>
      </w:r>
      <w:r>
        <w:rPr>
          <w:rFonts w:ascii="Arial" w:hAnsi="Arial" w:cs="Arial"/>
          <w:color w:val="auto"/>
          <w:highlight w:val="none"/>
        </w:rPr>
        <w:t>参与下</w:t>
      </w:r>
      <w:r>
        <w:rPr>
          <w:rFonts w:hint="eastAsia" w:ascii="Arial" w:hAnsi="Arial" w:cs="Arial"/>
          <w:color w:val="auto"/>
          <w:highlight w:val="none"/>
        </w:rPr>
        <w:t>一</w:t>
      </w:r>
      <w:r>
        <w:rPr>
          <w:rFonts w:ascii="Arial" w:hAnsi="Arial" w:cs="Arial"/>
          <w:color w:val="auto"/>
          <w:highlight w:val="none"/>
        </w:rPr>
        <w:t>阶段的评审。</w:t>
      </w:r>
      <w:r>
        <w:rPr>
          <w:rFonts w:hint="eastAsia" w:ascii="Arial" w:hAnsi="Arial" w:cs="Arial"/>
          <w:color w:val="auto"/>
          <w:highlight w:val="none"/>
        </w:rPr>
        <w:t>结论填写“通过”或“不通过”。</w:t>
      </w:r>
    </w:p>
    <w:p>
      <w:pPr>
        <w:pStyle w:val="263"/>
        <w:shd w:val="clear" w:color="auto" w:fill="auto"/>
        <w:spacing w:line="480" w:lineRule="auto"/>
        <w:jc w:val="left"/>
        <w:rPr>
          <w:b/>
          <w:color w:val="auto"/>
          <w:sz w:val="21"/>
          <w:szCs w:val="21"/>
          <w:highlight w:val="none"/>
        </w:rPr>
      </w:pPr>
    </w:p>
    <w:p>
      <w:pPr>
        <w:jc w:val="left"/>
        <w:rPr>
          <w:rFonts w:ascii="宋体" w:hAnsi="宋体"/>
          <w:b/>
          <w:color w:val="auto"/>
          <w:sz w:val="32"/>
          <w:szCs w:val="32"/>
          <w:highlight w:val="none"/>
        </w:rPr>
      </w:pPr>
      <w:r>
        <w:rPr>
          <w:rFonts w:ascii="宋体" w:hAnsi="宋体"/>
          <w:color w:val="auto"/>
          <w:highlight w:val="none"/>
        </w:rPr>
        <w:br w:type="page"/>
      </w:r>
      <w:r>
        <w:rPr>
          <w:rFonts w:ascii="宋体" w:hAnsi="宋体"/>
          <w:b/>
          <w:color w:val="auto"/>
          <w:sz w:val="32"/>
          <w:szCs w:val="32"/>
          <w:highlight w:val="none"/>
        </w:rPr>
        <w:t xml:space="preserve">附件2：  </w:t>
      </w:r>
    </w:p>
    <w:p>
      <w:pPr>
        <w:jc w:val="center"/>
        <w:rPr>
          <w:rFonts w:ascii="宋体" w:hAnsi="宋体"/>
          <w:b/>
          <w:color w:val="auto"/>
          <w:sz w:val="32"/>
          <w:szCs w:val="32"/>
          <w:highlight w:val="none"/>
        </w:rPr>
      </w:pPr>
      <w:r>
        <w:rPr>
          <w:rFonts w:ascii="宋体" w:hAnsi="宋体"/>
          <w:b/>
          <w:color w:val="auto"/>
          <w:sz w:val="32"/>
          <w:szCs w:val="32"/>
          <w:highlight w:val="none"/>
        </w:rPr>
        <w:t>评分标准和评分细则</w:t>
      </w:r>
    </w:p>
    <w:p>
      <w:pPr>
        <w:topLinePunct/>
        <w:autoSpaceDE w:val="0"/>
        <w:autoSpaceDN w:val="0"/>
        <w:spacing w:line="360" w:lineRule="auto"/>
        <w:ind w:firstLine="480" w:firstLineChars="200"/>
        <w:rPr>
          <w:rFonts w:ascii="宋体" w:hAnsi="宋体"/>
          <w:color w:val="auto"/>
          <w:sz w:val="24"/>
          <w:highlight w:val="none"/>
        </w:rPr>
      </w:pPr>
      <w:r>
        <w:rPr>
          <w:rFonts w:ascii="宋体" w:hAnsi="宋体"/>
          <w:color w:val="auto"/>
          <w:sz w:val="24"/>
          <w:highlight w:val="none"/>
        </w:rPr>
        <w:t>本项目采用综合评分法进行评标，综合评分法是指投标文件满足招标文件全部实质性要求，且按照评审因素的量化指标评审得分最高的投标人为中标候选人的评标方法。评审因素包括投标报价、履约能力、技术</w:t>
      </w:r>
      <w:r>
        <w:rPr>
          <w:rFonts w:hint="eastAsia" w:ascii="宋体" w:hAnsi="宋体"/>
          <w:color w:val="auto"/>
          <w:sz w:val="24"/>
          <w:highlight w:val="none"/>
        </w:rPr>
        <w:t>和</w:t>
      </w:r>
      <w:r>
        <w:rPr>
          <w:rFonts w:ascii="宋体" w:hAnsi="宋体"/>
          <w:color w:val="auto"/>
          <w:sz w:val="24"/>
          <w:highlight w:val="none"/>
        </w:rPr>
        <w:t>服务水平</w:t>
      </w:r>
      <w:r>
        <w:rPr>
          <w:rFonts w:hint="eastAsia" w:ascii="宋体" w:hAnsi="宋体"/>
          <w:color w:val="auto"/>
          <w:sz w:val="24"/>
          <w:highlight w:val="none"/>
        </w:rPr>
        <w:t>、</w:t>
      </w:r>
      <w:r>
        <w:rPr>
          <w:rFonts w:ascii="宋体" w:hAnsi="宋体"/>
          <w:color w:val="auto"/>
          <w:sz w:val="24"/>
          <w:highlight w:val="none"/>
        </w:rPr>
        <w:t>售后服务。</w:t>
      </w:r>
    </w:p>
    <w:p>
      <w:pPr>
        <w:tabs>
          <w:tab w:val="left" w:pos="700"/>
        </w:tabs>
        <w:spacing w:line="360" w:lineRule="auto"/>
        <w:ind w:firstLine="480" w:firstLineChars="200"/>
        <w:rPr>
          <w:rFonts w:ascii="宋体" w:hAnsi="宋体"/>
          <w:color w:val="auto"/>
          <w:sz w:val="24"/>
          <w:highlight w:val="none"/>
        </w:rPr>
      </w:pPr>
      <w:r>
        <w:rPr>
          <w:rFonts w:ascii="宋体" w:hAnsi="宋体"/>
          <w:color w:val="auto"/>
          <w:sz w:val="24"/>
          <w:highlight w:val="none"/>
        </w:rPr>
        <w:t>本项目价格分值为30分，其余评审因素分值为70分。评审标准如下表：</w:t>
      </w:r>
    </w:p>
    <w:tbl>
      <w:tblPr>
        <w:tblStyle w:val="34"/>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1134"/>
        <w:gridCol w:w="1249"/>
        <w:gridCol w:w="6053"/>
        <w:gridCol w:w="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blHeader/>
          <w:jc w:val="center"/>
        </w:trPr>
        <w:tc>
          <w:tcPr>
            <w:tcW w:w="584"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pPr>
              <w:autoSpaceDE w:val="0"/>
              <w:autoSpaceDN w:val="0"/>
              <w:jc w:val="center"/>
              <w:rPr>
                <w:rFonts w:ascii="宋体" w:hAnsi="Calibri"/>
                <w:b/>
                <w:bCs/>
                <w:color w:val="auto"/>
                <w:highlight w:val="none"/>
              </w:rPr>
            </w:pPr>
            <w:bookmarkStart w:id="29" w:name="定位_【分包打分表】_201193142247"/>
            <w:bookmarkEnd w:id="29"/>
            <w:bookmarkStart w:id="30" w:name="定位_【分包打分表】_20119413831"/>
            <w:bookmarkEnd w:id="30"/>
            <w:r>
              <w:rPr>
                <w:rFonts w:hint="eastAsia" w:ascii="宋体" w:hAnsi="宋体" w:cs="宋体"/>
                <w:b/>
                <w:bCs/>
                <w:color w:val="auto"/>
                <w:highlight w:val="none"/>
              </w:rPr>
              <w:t>序号</w:t>
            </w:r>
          </w:p>
        </w:tc>
        <w:tc>
          <w:tcPr>
            <w:tcW w:w="2383" w:type="dxa"/>
            <w:gridSpan w:val="2"/>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rFonts w:ascii="宋体" w:hAnsi="Calibri"/>
                <w:b/>
                <w:bCs/>
                <w:color w:val="auto"/>
                <w:highlight w:val="none"/>
              </w:rPr>
            </w:pPr>
            <w:r>
              <w:rPr>
                <w:rFonts w:hint="eastAsia" w:ascii="宋体" w:hAnsi="宋体" w:cs="宋体"/>
                <w:b/>
                <w:bCs/>
                <w:color w:val="auto"/>
                <w:highlight w:val="none"/>
              </w:rPr>
              <w:t>评审内容</w:t>
            </w:r>
          </w:p>
        </w:tc>
        <w:tc>
          <w:tcPr>
            <w:tcW w:w="6053"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rFonts w:ascii="宋体" w:hAnsi="Calibri"/>
                <w:b/>
                <w:bCs/>
                <w:color w:val="auto"/>
                <w:highlight w:val="none"/>
              </w:rPr>
            </w:pPr>
            <w:r>
              <w:rPr>
                <w:rFonts w:hint="eastAsia" w:ascii="宋体" w:hAnsi="宋体" w:cs="宋体"/>
                <w:b/>
                <w:bCs/>
                <w:color w:val="auto"/>
                <w:highlight w:val="none"/>
              </w:rPr>
              <w:t>评审标准</w:t>
            </w:r>
          </w:p>
        </w:tc>
        <w:tc>
          <w:tcPr>
            <w:tcW w:w="548"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pPr>
              <w:autoSpaceDE w:val="0"/>
              <w:autoSpaceDN w:val="0"/>
              <w:jc w:val="center"/>
              <w:rPr>
                <w:rFonts w:ascii="宋体" w:hAnsi="Calibri"/>
                <w:b/>
                <w:bCs/>
                <w:color w:val="auto"/>
                <w:highlight w:val="none"/>
              </w:rPr>
            </w:pPr>
            <w:r>
              <w:rPr>
                <w:rFonts w:hint="eastAsia" w:ascii="宋体" w:hAnsi="宋体" w:cs="宋体"/>
                <w:b/>
                <w:bCs/>
                <w:color w:val="auto"/>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584" w:type="dxa"/>
            <w:tcBorders>
              <w:top w:val="single" w:color="auto" w:sz="4" w:space="0"/>
              <w:left w:val="single" w:color="auto" w:sz="4" w:space="0"/>
              <w:bottom w:val="single" w:color="auto" w:sz="4" w:space="0"/>
              <w:right w:val="single" w:color="auto" w:sz="4" w:space="0"/>
            </w:tcBorders>
            <w:noWrap/>
            <w:vAlign w:val="center"/>
          </w:tcPr>
          <w:p>
            <w:pPr>
              <w:autoSpaceDE w:val="0"/>
              <w:autoSpaceDN w:val="0"/>
              <w:jc w:val="center"/>
              <w:rPr>
                <w:rFonts w:ascii="宋体" w:hAnsi="宋体" w:cs="宋体"/>
                <w:color w:val="auto"/>
                <w:highlight w:val="none"/>
              </w:rPr>
            </w:pPr>
            <w:r>
              <w:rPr>
                <w:rFonts w:ascii="宋体" w:hAnsi="宋体" w:cs="宋体"/>
                <w:color w:val="auto"/>
                <w:highlight w:val="none"/>
              </w:rPr>
              <w:t>1</w:t>
            </w:r>
          </w:p>
        </w:tc>
        <w:tc>
          <w:tcPr>
            <w:tcW w:w="238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highlight w:val="none"/>
              </w:rPr>
            </w:pPr>
            <w:r>
              <w:rPr>
                <w:rFonts w:hint="eastAsia" w:ascii="宋体" w:hAnsi="宋体" w:cs="宋体"/>
                <w:color w:val="auto"/>
                <w:highlight w:val="none"/>
              </w:rPr>
              <w:t>投标报价</w:t>
            </w:r>
          </w:p>
        </w:tc>
        <w:tc>
          <w:tcPr>
            <w:tcW w:w="6053" w:type="dxa"/>
            <w:tcBorders>
              <w:top w:val="single" w:color="auto" w:sz="4" w:space="0"/>
              <w:left w:val="single" w:color="auto" w:sz="4" w:space="0"/>
              <w:bottom w:val="single" w:color="auto" w:sz="4" w:space="0"/>
              <w:right w:val="single" w:color="auto" w:sz="4" w:space="0"/>
            </w:tcBorders>
            <w:noWrap/>
            <w:vAlign w:val="center"/>
          </w:tcPr>
          <w:p>
            <w:pPr>
              <w:widowControl/>
              <w:rPr>
                <w:rFonts w:ascii="宋体" w:hAnsi="Calibri"/>
                <w:color w:val="auto"/>
                <w:kern w:val="0"/>
                <w:highlight w:val="none"/>
              </w:rPr>
            </w:pPr>
            <w:r>
              <w:rPr>
                <w:rFonts w:hint="eastAsia" w:ascii="宋体" w:hAnsi="宋体" w:cs="宋体"/>
                <w:color w:val="auto"/>
                <w:kern w:val="0"/>
                <w:highlight w:val="none"/>
              </w:rPr>
              <w:t>投标报价得分</w:t>
            </w:r>
            <w:r>
              <w:rPr>
                <w:rFonts w:ascii="宋体" w:hAnsi="宋体" w:cs="宋体"/>
                <w:color w:val="auto"/>
                <w:kern w:val="0"/>
                <w:highlight w:val="none"/>
              </w:rPr>
              <w:t>S1</w:t>
            </w:r>
            <w:r>
              <w:rPr>
                <w:rFonts w:hint="eastAsia" w:ascii="宋体" w:hAnsi="宋体" w:cs="宋体"/>
                <w:color w:val="auto"/>
                <w:kern w:val="0"/>
                <w:highlight w:val="none"/>
              </w:rPr>
              <w:t>＝</w:t>
            </w:r>
            <w:r>
              <w:rPr>
                <w:rFonts w:ascii="宋体" w:hAnsi="宋体" w:cs="宋体"/>
                <w:color w:val="auto"/>
                <w:kern w:val="0"/>
                <w:highlight w:val="none"/>
              </w:rPr>
              <w:t>(Pmin</w:t>
            </w:r>
            <w:r>
              <w:rPr>
                <w:rFonts w:hint="eastAsia" w:ascii="宋体" w:hAnsi="宋体" w:cs="宋体"/>
                <w:color w:val="auto"/>
                <w:kern w:val="0"/>
                <w:highlight w:val="none"/>
              </w:rPr>
              <w:t>／</w:t>
            </w:r>
            <w:r>
              <w:rPr>
                <w:rFonts w:ascii="宋体" w:hAnsi="宋体" w:cs="宋体"/>
                <w:color w:val="auto"/>
                <w:kern w:val="0"/>
                <w:highlight w:val="none"/>
              </w:rPr>
              <w:t>P)</w:t>
            </w:r>
            <w:r>
              <w:rPr>
                <w:rFonts w:hint="eastAsia" w:ascii="宋体" w:hAnsi="宋体" w:cs="宋体"/>
                <w:color w:val="auto"/>
                <w:kern w:val="0"/>
                <w:highlight w:val="none"/>
              </w:rPr>
              <w:t>×30。其中：</w:t>
            </w:r>
            <w:r>
              <w:rPr>
                <w:rFonts w:ascii="宋体" w:hAnsi="宋体" w:cs="宋体"/>
                <w:color w:val="auto"/>
                <w:kern w:val="0"/>
                <w:highlight w:val="none"/>
              </w:rPr>
              <w:t>Pmin</w:t>
            </w:r>
            <w:r>
              <w:rPr>
                <w:rFonts w:hint="eastAsia" w:ascii="宋体" w:hAnsi="宋体" w:cs="宋体"/>
                <w:color w:val="auto"/>
                <w:kern w:val="0"/>
                <w:highlight w:val="none"/>
              </w:rPr>
              <w:t>为所有投标人的最低有效报价，</w:t>
            </w:r>
            <w:r>
              <w:rPr>
                <w:rFonts w:ascii="宋体" w:hAnsi="宋体" w:cs="宋体"/>
                <w:color w:val="auto"/>
                <w:kern w:val="0"/>
                <w:highlight w:val="none"/>
              </w:rPr>
              <w:t>P</w:t>
            </w:r>
            <w:r>
              <w:rPr>
                <w:rFonts w:hint="eastAsia" w:ascii="宋体" w:hAnsi="宋体" w:cs="宋体"/>
                <w:color w:val="auto"/>
                <w:kern w:val="0"/>
                <w:highlight w:val="none"/>
              </w:rPr>
              <w:t>为投标人有效投标报价。</w:t>
            </w:r>
          </w:p>
          <w:p>
            <w:pPr>
              <w:widowControl/>
              <w:rPr>
                <w:rFonts w:ascii="宋体" w:hAnsi="Calibri"/>
                <w:color w:val="auto"/>
                <w:kern w:val="0"/>
                <w:highlight w:val="none"/>
              </w:rPr>
            </w:pPr>
            <w:r>
              <w:rPr>
                <w:rFonts w:hint="eastAsia" w:ascii="Calibri" w:hAnsi="宋体" w:cs="宋体"/>
                <w:color w:val="auto"/>
                <w:highlight w:val="none"/>
              </w:rPr>
              <w:t>注：评审时小型和微型企业产品的价格给予</w:t>
            </w:r>
            <w:r>
              <w:rPr>
                <w:rFonts w:hint="eastAsia" w:ascii="Calibri" w:hAnsi="宋体"/>
                <w:color w:val="auto"/>
                <w:highlight w:val="none"/>
              </w:rPr>
              <w:t>10</w:t>
            </w:r>
            <w:r>
              <w:rPr>
                <w:rFonts w:ascii="Calibri" w:hAnsi="宋体"/>
                <w:color w:val="auto"/>
                <w:highlight w:val="none"/>
              </w:rPr>
              <w:t>%</w:t>
            </w:r>
            <w:r>
              <w:rPr>
                <w:rFonts w:hint="eastAsia" w:ascii="Calibri" w:hAnsi="宋体" w:cs="宋体"/>
                <w:color w:val="auto"/>
                <w:highlight w:val="none"/>
              </w:rPr>
              <w:t>的扣除。监狱企业视同小型和微型企业，其产品在评审时给予相同的价格扣除。残疾人福利性单位视同小型、微型企业，对其投标的价格给予</w:t>
            </w:r>
            <w:r>
              <w:rPr>
                <w:rFonts w:hint="eastAsia" w:ascii="Calibri" w:hAnsi="宋体"/>
                <w:color w:val="auto"/>
                <w:highlight w:val="none"/>
              </w:rPr>
              <w:t>10</w:t>
            </w:r>
            <w:r>
              <w:rPr>
                <w:rFonts w:ascii="Calibri" w:hAnsi="宋体"/>
                <w:color w:val="auto"/>
                <w:highlight w:val="none"/>
              </w:rPr>
              <w:t>%</w:t>
            </w:r>
            <w:r>
              <w:rPr>
                <w:rFonts w:hint="eastAsia" w:ascii="Calibri" w:hAnsi="宋体" w:cs="宋体"/>
                <w:color w:val="auto"/>
                <w:highlight w:val="none"/>
              </w:rPr>
              <w:t>的扣除，用扣除后的价格参与评审</w:t>
            </w:r>
            <w:r>
              <w:rPr>
                <w:rFonts w:hint="eastAsia" w:ascii="Calibri" w:hAnsi="宋体" w:cs="宋体"/>
                <w:bCs/>
                <w:color w:val="auto"/>
                <w:highlight w:val="none"/>
              </w:rPr>
              <w:t>。</w:t>
            </w:r>
            <w:r>
              <w:rPr>
                <w:rFonts w:hint="eastAsia" w:ascii="Calibri" w:hAnsi="宋体" w:cs="宋体"/>
                <w:color w:val="auto"/>
                <w:highlight w:val="none"/>
              </w:rPr>
              <w:t>（以上三类企业资格叠加的，只按</w:t>
            </w:r>
            <w:r>
              <w:rPr>
                <w:rFonts w:hint="eastAsia" w:ascii="Calibri" w:hAnsi="宋体"/>
                <w:color w:val="auto"/>
                <w:highlight w:val="none"/>
              </w:rPr>
              <w:t>10</w:t>
            </w:r>
            <w:r>
              <w:rPr>
                <w:rFonts w:ascii="Calibri" w:hAnsi="宋体"/>
                <w:color w:val="auto"/>
                <w:highlight w:val="none"/>
              </w:rPr>
              <w:t>%</w:t>
            </w:r>
            <w:r>
              <w:rPr>
                <w:rFonts w:hint="eastAsia" w:ascii="Calibri" w:hAnsi="宋体" w:cs="宋体"/>
                <w:color w:val="auto"/>
                <w:highlight w:val="none"/>
              </w:rPr>
              <w:t>扣除一次，不重复享受政策）</w:t>
            </w:r>
          </w:p>
        </w:tc>
        <w:tc>
          <w:tcPr>
            <w:tcW w:w="54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Calibri"/>
                <w:b/>
                <w:bCs/>
                <w:color w:val="auto"/>
                <w:highlight w:val="none"/>
              </w:rPr>
            </w:pPr>
            <w:r>
              <w:rPr>
                <w:rFonts w:hint="eastAsia" w:ascii="宋体" w:hAnsi="Calibri"/>
                <w:b/>
                <w:bCs/>
                <w:color w:val="auto"/>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584" w:type="dxa"/>
            <w:tcBorders>
              <w:left w:val="single" w:color="auto" w:sz="4" w:space="0"/>
              <w:right w:val="single" w:color="auto" w:sz="4" w:space="0"/>
            </w:tcBorders>
            <w:noWrap/>
            <w:vAlign w:val="center"/>
          </w:tcPr>
          <w:p>
            <w:pPr>
              <w:autoSpaceDE w:val="0"/>
              <w:autoSpaceDN w:val="0"/>
              <w:jc w:val="center"/>
              <w:rPr>
                <w:rFonts w:ascii="宋体" w:hAnsi="宋体" w:cs="宋体"/>
                <w:color w:val="auto"/>
                <w:highlight w:val="none"/>
              </w:rPr>
            </w:pPr>
            <w:r>
              <w:rPr>
                <w:rFonts w:hint="eastAsia" w:ascii="宋体" w:hAnsi="宋体" w:cs="宋体"/>
                <w:color w:val="auto"/>
                <w:highlight w:val="none"/>
              </w:rPr>
              <w:t>2</w:t>
            </w:r>
          </w:p>
        </w:tc>
        <w:tc>
          <w:tcPr>
            <w:tcW w:w="1134" w:type="dxa"/>
            <w:vMerge w:val="restart"/>
            <w:tcBorders>
              <w:left w:val="single" w:color="auto" w:sz="4" w:space="0"/>
              <w:right w:val="single" w:color="auto" w:sz="4" w:space="0"/>
            </w:tcBorders>
            <w:noWrap/>
            <w:vAlign w:val="center"/>
          </w:tcPr>
          <w:p>
            <w:pPr>
              <w:widowControl/>
              <w:jc w:val="center"/>
              <w:textAlignment w:val="center"/>
              <w:rPr>
                <w:rFonts w:ascii="宋体" w:hAnsi="宋体" w:cs="宋体"/>
                <w:color w:val="auto"/>
                <w:highlight w:val="none"/>
              </w:rPr>
            </w:pPr>
            <w:r>
              <w:rPr>
                <w:rFonts w:hint="eastAsia" w:ascii="宋体" w:hAnsi="宋体" w:cs="宋体"/>
                <w:color w:val="auto"/>
                <w:kern w:val="0"/>
                <w:szCs w:val="21"/>
                <w:highlight w:val="none"/>
              </w:rPr>
              <w:t>履约能力</w:t>
            </w:r>
          </w:p>
        </w:tc>
        <w:tc>
          <w:tcPr>
            <w:tcW w:w="1249" w:type="dxa"/>
            <w:tcBorders>
              <w:top w:val="single" w:color="auto" w:sz="4" w:space="0"/>
              <w:left w:val="single" w:color="auto" w:sz="4" w:space="0"/>
              <w:right w:val="single" w:color="auto" w:sz="4" w:space="0"/>
            </w:tcBorders>
            <w:noWrap/>
            <w:vAlign w:val="center"/>
          </w:tcPr>
          <w:p>
            <w:pPr>
              <w:widowControl/>
              <w:jc w:val="center"/>
              <w:textAlignment w:val="center"/>
              <w:rPr>
                <w:rFonts w:ascii="宋体" w:hAnsi="宋体" w:cs="宋体"/>
                <w:color w:val="auto"/>
                <w:highlight w:val="none"/>
              </w:rPr>
            </w:pPr>
            <w:r>
              <w:rPr>
                <w:rFonts w:hint="eastAsia" w:ascii="宋体" w:hAnsi="宋体" w:cs="宋体"/>
                <w:color w:val="auto"/>
                <w:kern w:val="0"/>
                <w:szCs w:val="21"/>
                <w:highlight w:val="none"/>
              </w:rPr>
              <w:t>投标人相关证书</w:t>
            </w:r>
          </w:p>
        </w:tc>
        <w:tc>
          <w:tcPr>
            <w:tcW w:w="6053" w:type="dxa"/>
            <w:tcBorders>
              <w:top w:val="single" w:color="auto" w:sz="4" w:space="0"/>
              <w:left w:val="single" w:color="auto" w:sz="4" w:space="0"/>
              <w:right w:val="single" w:color="auto" w:sz="4" w:space="0"/>
            </w:tcBorders>
            <w:noWrap/>
            <w:vAlign w:val="center"/>
          </w:tcPr>
          <w:p>
            <w:pPr>
              <w:widowControl/>
              <w:jc w:val="left"/>
              <w:textAlignment w:val="center"/>
              <w:rPr>
                <w:color w:val="auto"/>
                <w:highlight w:val="none"/>
              </w:rPr>
            </w:pPr>
            <w:r>
              <w:rPr>
                <w:rFonts w:hint="eastAsia"/>
                <w:color w:val="auto"/>
                <w:highlight w:val="none"/>
              </w:rPr>
              <w:t>提供有效的质量管理体系认证证书，得1分，没有不得分；</w:t>
            </w:r>
          </w:p>
          <w:p>
            <w:pPr>
              <w:widowControl/>
              <w:jc w:val="left"/>
              <w:textAlignment w:val="center"/>
              <w:rPr>
                <w:color w:val="auto"/>
                <w:highlight w:val="none"/>
              </w:rPr>
            </w:pPr>
            <w:r>
              <w:rPr>
                <w:rFonts w:hint="eastAsia"/>
                <w:color w:val="auto"/>
                <w:highlight w:val="none"/>
              </w:rPr>
              <w:t>提供有效的信息技术服务管理体系认证证书，得1分，没有不得分。（提供证书复印件）</w:t>
            </w:r>
          </w:p>
        </w:tc>
        <w:tc>
          <w:tcPr>
            <w:tcW w:w="548" w:type="dxa"/>
            <w:tcBorders>
              <w:top w:val="single" w:color="auto" w:sz="4" w:space="0"/>
              <w:left w:val="single" w:color="auto" w:sz="4" w:space="0"/>
              <w:right w:val="single" w:color="auto" w:sz="4" w:space="0"/>
            </w:tcBorders>
            <w:noWrap/>
            <w:vAlign w:val="center"/>
          </w:tcPr>
          <w:p>
            <w:pPr>
              <w:widowControl/>
              <w:jc w:val="center"/>
              <w:textAlignment w:val="center"/>
              <w:rPr>
                <w:rFonts w:ascii="宋体" w:hAnsi="宋体" w:cs="宋体"/>
                <w:b/>
                <w:bCs/>
                <w:color w:val="auto"/>
                <w:highlight w:val="none"/>
              </w:rPr>
            </w:pPr>
            <w:r>
              <w:rPr>
                <w:rFonts w:hint="eastAsia" w:ascii="宋体" w:hAnsi="宋体" w:cs="宋体"/>
                <w:b/>
                <w:bCs/>
                <w:color w:val="auto"/>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584" w:type="dxa"/>
            <w:tcBorders>
              <w:left w:val="single" w:color="auto" w:sz="4" w:space="0"/>
              <w:right w:val="single" w:color="auto" w:sz="4" w:space="0"/>
            </w:tcBorders>
            <w:noWrap/>
            <w:vAlign w:val="center"/>
          </w:tcPr>
          <w:p>
            <w:pPr>
              <w:autoSpaceDE w:val="0"/>
              <w:autoSpaceDN w:val="0"/>
              <w:jc w:val="center"/>
              <w:rPr>
                <w:rFonts w:ascii="宋体" w:hAnsi="宋体" w:cs="宋体"/>
                <w:color w:val="auto"/>
                <w:highlight w:val="none"/>
              </w:rPr>
            </w:pPr>
            <w:r>
              <w:rPr>
                <w:rFonts w:hint="eastAsia" w:ascii="宋体" w:hAnsi="宋体" w:cs="宋体"/>
                <w:color w:val="auto"/>
                <w:highlight w:val="none"/>
              </w:rPr>
              <w:t>3</w:t>
            </w:r>
          </w:p>
        </w:tc>
        <w:tc>
          <w:tcPr>
            <w:tcW w:w="1134" w:type="dxa"/>
            <w:vMerge w:val="continue"/>
            <w:tcBorders>
              <w:left w:val="single" w:color="auto" w:sz="4" w:space="0"/>
              <w:right w:val="single" w:color="auto" w:sz="4" w:space="0"/>
            </w:tcBorders>
            <w:noWrap/>
            <w:vAlign w:val="center"/>
          </w:tcPr>
          <w:p>
            <w:pPr>
              <w:jc w:val="center"/>
              <w:rPr>
                <w:rFonts w:ascii="宋体" w:hAnsi="宋体" w:cs="宋体"/>
                <w:color w:val="auto"/>
                <w:highlight w:val="none"/>
              </w:rPr>
            </w:pPr>
          </w:p>
        </w:tc>
        <w:tc>
          <w:tcPr>
            <w:tcW w:w="1249"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highlight w:val="none"/>
              </w:rPr>
            </w:pPr>
            <w:r>
              <w:rPr>
                <w:rFonts w:hint="eastAsia" w:ascii="宋体" w:hAnsi="宋体" w:cs="宋体"/>
                <w:color w:val="auto"/>
                <w:kern w:val="0"/>
                <w:szCs w:val="21"/>
                <w:highlight w:val="none"/>
              </w:rPr>
              <w:t>企业业绩</w:t>
            </w:r>
          </w:p>
        </w:tc>
        <w:tc>
          <w:tcPr>
            <w:tcW w:w="605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color w:val="auto"/>
                <w:highlight w:val="none"/>
              </w:rPr>
            </w:pPr>
            <w:r>
              <w:rPr>
                <w:rFonts w:hint="eastAsia"/>
                <w:color w:val="auto"/>
                <w:highlight w:val="none"/>
              </w:rPr>
              <w:t>提供由</w:t>
            </w:r>
            <w:r>
              <w:rPr>
                <w:color w:val="auto"/>
                <w:highlight w:val="none"/>
              </w:rPr>
              <w:t>投标人完成的</w:t>
            </w:r>
            <w:r>
              <w:rPr>
                <w:rFonts w:hint="eastAsia"/>
                <w:color w:val="auto"/>
                <w:highlight w:val="none"/>
              </w:rPr>
              <w:t>类似</w:t>
            </w:r>
            <w:r>
              <w:rPr>
                <w:color w:val="auto"/>
                <w:highlight w:val="none"/>
              </w:rPr>
              <w:t>业绩材料，每提供一个得1分，最高得</w:t>
            </w:r>
            <w:r>
              <w:rPr>
                <w:rFonts w:hint="eastAsia"/>
                <w:color w:val="auto"/>
                <w:highlight w:val="none"/>
              </w:rPr>
              <w:t>8</w:t>
            </w:r>
            <w:r>
              <w:rPr>
                <w:color w:val="auto"/>
                <w:highlight w:val="none"/>
              </w:rPr>
              <w:t>分。</w:t>
            </w:r>
            <w:r>
              <w:rPr>
                <w:rFonts w:hint="eastAsia"/>
                <w:color w:val="auto"/>
                <w:highlight w:val="none"/>
              </w:rPr>
              <w:t>未提供或提供的材料不符合本项要求的均不得分。</w:t>
            </w:r>
          </w:p>
          <w:p>
            <w:pPr>
              <w:widowControl/>
              <w:jc w:val="left"/>
              <w:textAlignment w:val="center"/>
              <w:rPr>
                <w:color w:val="auto"/>
                <w:highlight w:val="none"/>
              </w:rPr>
            </w:pPr>
            <w:r>
              <w:rPr>
                <w:rFonts w:hint="eastAsia"/>
                <w:color w:val="auto"/>
                <w:highlight w:val="none"/>
              </w:rPr>
              <w:t>注：提供2020年1月以来投标人独立承担的所投产品与本项目特点和需求类似的成功案例，以合同签订日期为准。</w:t>
            </w:r>
          </w:p>
          <w:p>
            <w:pPr>
              <w:widowControl/>
              <w:jc w:val="left"/>
              <w:textAlignment w:val="center"/>
              <w:rPr>
                <w:color w:val="auto"/>
                <w:highlight w:val="none"/>
              </w:rPr>
            </w:pPr>
            <w:r>
              <w:rPr>
                <w:rFonts w:hint="eastAsia"/>
                <w:color w:val="auto"/>
                <w:highlight w:val="none"/>
              </w:rPr>
              <w:t>（提供合同相关页的复印件）</w:t>
            </w:r>
          </w:p>
        </w:tc>
        <w:tc>
          <w:tcPr>
            <w:tcW w:w="54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
                <w:bCs/>
                <w:color w:val="auto"/>
                <w:highlight w:val="none"/>
              </w:rPr>
            </w:pPr>
            <w:r>
              <w:rPr>
                <w:rFonts w:hint="eastAsia" w:ascii="宋体" w:hAnsi="宋体" w:cs="宋体"/>
                <w:b/>
                <w:bCs/>
                <w:color w:val="auto"/>
                <w:kern w:val="0"/>
                <w:szCs w:val="21"/>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2" w:hRule="atLeast"/>
          <w:jc w:val="center"/>
        </w:trPr>
        <w:tc>
          <w:tcPr>
            <w:tcW w:w="584" w:type="dxa"/>
            <w:tcBorders>
              <w:left w:val="single" w:color="auto" w:sz="4" w:space="0"/>
              <w:right w:val="single" w:color="auto" w:sz="4" w:space="0"/>
            </w:tcBorders>
            <w:noWrap/>
            <w:vAlign w:val="center"/>
          </w:tcPr>
          <w:p>
            <w:pPr>
              <w:autoSpaceDE w:val="0"/>
              <w:autoSpaceDN w:val="0"/>
              <w:jc w:val="center"/>
              <w:rPr>
                <w:rFonts w:ascii="宋体" w:hAnsi="宋体" w:cs="宋体"/>
                <w:color w:val="auto"/>
                <w:highlight w:val="none"/>
              </w:rPr>
            </w:pPr>
            <w:r>
              <w:rPr>
                <w:rFonts w:hint="eastAsia" w:ascii="宋体" w:hAnsi="宋体" w:cs="宋体"/>
                <w:color w:val="auto"/>
                <w:highlight w:val="none"/>
              </w:rPr>
              <w:t>4</w:t>
            </w:r>
          </w:p>
        </w:tc>
        <w:tc>
          <w:tcPr>
            <w:tcW w:w="1134" w:type="dxa"/>
            <w:vMerge w:val="continue"/>
            <w:tcBorders>
              <w:left w:val="single" w:color="auto" w:sz="4" w:space="0"/>
              <w:right w:val="single" w:color="auto" w:sz="4" w:space="0"/>
            </w:tcBorders>
            <w:noWrap/>
            <w:vAlign w:val="center"/>
          </w:tcPr>
          <w:p>
            <w:pPr>
              <w:jc w:val="center"/>
              <w:rPr>
                <w:rFonts w:ascii="宋体" w:hAnsi="宋体" w:cs="宋体"/>
                <w:color w:val="auto"/>
                <w:highlight w:val="none"/>
              </w:rPr>
            </w:pPr>
          </w:p>
        </w:tc>
        <w:tc>
          <w:tcPr>
            <w:tcW w:w="1249"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技术力量</w:t>
            </w:r>
          </w:p>
        </w:tc>
        <w:tc>
          <w:tcPr>
            <w:tcW w:w="6053" w:type="dxa"/>
            <w:tcBorders>
              <w:top w:val="single" w:color="auto" w:sz="4" w:space="0"/>
              <w:left w:val="single" w:color="auto" w:sz="4" w:space="0"/>
              <w:bottom w:val="single" w:color="auto" w:sz="4" w:space="0"/>
              <w:right w:val="single" w:color="auto" w:sz="4" w:space="0"/>
            </w:tcBorders>
            <w:noWrap/>
            <w:vAlign w:val="center"/>
          </w:tcPr>
          <w:p>
            <w:pPr>
              <w:widowControl/>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1.拟派项目经理具有工业和信息化部与人力资源和社会保障部联合颁发的高级信息系统项目管理师证书的，得2分，没有不得分；（提供证书复印件，各证书注明有效期的，须在有效期内）</w:t>
            </w:r>
          </w:p>
          <w:p>
            <w:pPr>
              <w:widowControl/>
              <w:textAlignment w:val="center"/>
              <w:rPr>
                <w:color w:val="auto"/>
                <w:highlight w:val="none"/>
              </w:rPr>
            </w:pPr>
            <w:r>
              <w:rPr>
                <w:rFonts w:hint="eastAsia" w:ascii="宋体" w:hAnsi="宋体" w:cs="宋体"/>
                <w:color w:val="auto"/>
                <w:kern w:val="0"/>
                <w:szCs w:val="21"/>
                <w:highlight w:val="none"/>
              </w:rPr>
              <w:t>2、服务于本项目，具备与本项目规模相适应存储软硬件维护工作经验的工程师数量，不少于4人的得3分；配置不少于2人的得1分；其他的不得分。</w:t>
            </w:r>
          </w:p>
        </w:tc>
        <w:tc>
          <w:tcPr>
            <w:tcW w:w="54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584" w:type="dxa"/>
            <w:tcBorders>
              <w:top w:val="single" w:color="auto" w:sz="4" w:space="0"/>
              <w:left w:val="single" w:color="auto" w:sz="4" w:space="0"/>
              <w:right w:val="single" w:color="auto" w:sz="4" w:space="0"/>
            </w:tcBorders>
            <w:noWrap/>
            <w:vAlign w:val="center"/>
          </w:tcPr>
          <w:p>
            <w:pPr>
              <w:autoSpaceDE w:val="0"/>
              <w:autoSpaceDN w:val="0"/>
              <w:jc w:val="center"/>
              <w:rPr>
                <w:rFonts w:ascii="宋体" w:hAnsi="Calibri"/>
                <w:color w:val="auto"/>
                <w:highlight w:val="none"/>
              </w:rPr>
            </w:pPr>
            <w:r>
              <w:rPr>
                <w:rFonts w:hint="eastAsia" w:ascii="宋体" w:hAnsi="Calibri"/>
                <w:color w:val="auto"/>
                <w:highlight w:val="none"/>
              </w:rPr>
              <w:t>5</w:t>
            </w:r>
          </w:p>
        </w:tc>
        <w:tc>
          <w:tcPr>
            <w:tcW w:w="1134" w:type="dxa"/>
            <w:vMerge w:val="restart"/>
            <w:tcBorders>
              <w:top w:val="single" w:color="auto" w:sz="4" w:space="0"/>
              <w:left w:val="single" w:color="auto" w:sz="4" w:space="0"/>
              <w:right w:val="single" w:color="auto" w:sz="4" w:space="0"/>
            </w:tcBorders>
            <w:noWrap/>
            <w:vAlign w:val="center"/>
          </w:tcPr>
          <w:p>
            <w:pPr>
              <w:widowControl/>
              <w:jc w:val="center"/>
              <w:textAlignment w:val="center"/>
              <w:rPr>
                <w:rFonts w:ascii="宋体" w:hAnsi="Calibri"/>
                <w:color w:val="auto"/>
                <w:highlight w:val="none"/>
              </w:rPr>
            </w:pPr>
            <w:r>
              <w:rPr>
                <w:rFonts w:hint="eastAsia" w:ascii="宋体" w:hAnsi="宋体" w:cs="宋体"/>
                <w:color w:val="auto"/>
                <w:kern w:val="0"/>
                <w:szCs w:val="21"/>
                <w:highlight w:val="none"/>
              </w:rPr>
              <w:t>技术和服务水平</w:t>
            </w:r>
          </w:p>
        </w:tc>
        <w:tc>
          <w:tcPr>
            <w:tcW w:w="1249" w:type="dxa"/>
            <w:tcBorders>
              <w:top w:val="single" w:color="auto" w:sz="4" w:space="0"/>
              <w:left w:val="single" w:color="auto" w:sz="4" w:space="0"/>
              <w:right w:val="single" w:color="auto" w:sz="4" w:space="0"/>
            </w:tcBorders>
            <w:noWrap/>
            <w:vAlign w:val="center"/>
          </w:tcPr>
          <w:p>
            <w:pPr>
              <w:widowControl/>
              <w:jc w:val="center"/>
              <w:textAlignment w:val="center"/>
              <w:rPr>
                <w:rFonts w:ascii="宋体" w:hAnsi="宋体" w:cs="Calibri"/>
                <w:color w:val="auto"/>
                <w:szCs w:val="21"/>
                <w:highlight w:val="none"/>
              </w:rPr>
            </w:pPr>
            <w:r>
              <w:rPr>
                <w:rFonts w:hint="eastAsia" w:ascii="宋体" w:hAnsi="宋体" w:cs="宋体"/>
                <w:color w:val="auto"/>
                <w:kern w:val="0"/>
                <w:szCs w:val="21"/>
                <w:highlight w:val="none"/>
              </w:rPr>
              <w:t>项目需求理解</w:t>
            </w:r>
          </w:p>
        </w:tc>
        <w:tc>
          <w:tcPr>
            <w:tcW w:w="6053" w:type="dxa"/>
            <w:tcBorders>
              <w:top w:val="single" w:color="auto" w:sz="4" w:space="0"/>
              <w:left w:val="single" w:color="auto" w:sz="4" w:space="0"/>
              <w:right w:val="single" w:color="auto" w:sz="4" w:space="0"/>
            </w:tcBorders>
            <w:noWrap/>
          </w:tcPr>
          <w:p>
            <w:pPr>
              <w:widowControl/>
              <w:textAlignment w:val="top"/>
              <w:rPr>
                <w:rFonts w:ascii="宋体" w:hAnsi="宋体" w:cs="宋体"/>
                <w:color w:val="auto"/>
                <w:kern w:val="0"/>
                <w:szCs w:val="21"/>
                <w:highlight w:val="none"/>
              </w:rPr>
            </w:pPr>
            <w:r>
              <w:rPr>
                <w:rFonts w:hint="eastAsia" w:ascii="宋体" w:hAnsi="宋体" w:cs="宋体"/>
                <w:color w:val="auto"/>
                <w:kern w:val="0"/>
                <w:szCs w:val="21"/>
                <w:highlight w:val="none"/>
              </w:rPr>
              <w:t>对项目背景、项目目标实施内容与范围等内容理解全面，描述清晰准确，逻辑性强的得6-9分；</w:t>
            </w:r>
          </w:p>
          <w:p>
            <w:pPr>
              <w:widowControl/>
              <w:textAlignment w:val="top"/>
              <w:rPr>
                <w:rFonts w:ascii="宋体" w:hAnsi="宋体" w:cs="宋体"/>
                <w:color w:val="auto"/>
                <w:szCs w:val="21"/>
                <w:highlight w:val="none"/>
              </w:rPr>
            </w:pPr>
            <w:r>
              <w:rPr>
                <w:rFonts w:hint="eastAsia" w:ascii="宋体" w:hAnsi="宋体" w:cs="宋体"/>
                <w:color w:val="auto"/>
                <w:kern w:val="0"/>
                <w:szCs w:val="21"/>
                <w:highlight w:val="none"/>
              </w:rPr>
              <w:t>对项目背景、项目目标实施内容与范围等内容理解较为全面，描述较为准确，逻辑性较强的得3-6分；</w:t>
            </w:r>
          </w:p>
          <w:p>
            <w:pPr>
              <w:widowControl/>
              <w:textAlignment w:val="top"/>
              <w:rPr>
                <w:rFonts w:ascii="宋体" w:hAnsi="宋体" w:cs="宋体"/>
                <w:color w:val="auto"/>
                <w:szCs w:val="21"/>
                <w:highlight w:val="none"/>
              </w:rPr>
            </w:pPr>
            <w:r>
              <w:rPr>
                <w:rFonts w:hint="eastAsia" w:ascii="宋体" w:hAnsi="宋体" w:cs="宋体"/>
                <w:color w:val="auto"/>
                <w:kern w:val="0"/>
                <w:szCs w:val="21"/>
                <w:highlight w:val="none"/>
              </w:rPr>
              <w:t>对项目背景、项目目标实施内容与范围等内容理解基本全面，描述基本准确，逻辑性一般的得0-3分；</w:t>
            </w:r>
          </w:p>
          <w:p>
            <w:pPr>
              <w:widowControl/>
              <w:textAlignment w:val="top"/>
              <w:rPr>
                <w:rFonts w:ascii="宋体" w:hAnsi="宋体" w:cs="Calibri"/>
                <w:color w:val="auto"/>
                <w:szCs w:val="21"/>
                <w:highlight w:val="none"/>
              </w:rPr>
            </w:pPr>
            <w:r>
              <w:rPr>
                <w:rFonts w:hint="eastAsia" w:ascii="宋体" w:hAnsi="宋体" w:cs="宋体"/>
                <w:color w:val="auto"/>
                <w:kern w:val="0"/>
                <w:szCs w:val="21"/>
                <w:highlight w:val="none"/>
              </w:rPr>
              <w:t>未提供不得分。</w:t>
            </w:r>
          </w:p>
        </w:tc>
        <w:tc>
          <w:tcPr>
            <w:tcW w:w="548" w:type="dxa"/>
            <w:tcBorders>
              <w:top w:val="single" w:color="auto" w:sz="4" w:space="0"/>
              <w:left w:val="single" w:color="auto" w:sz="4" w:space="0"/>
              <w:right w:val="single" w:color="auto" w:sz="4" w:space="0"/>
            </w:tcBorders>
            <w:noWrap/>
            <w:vAlign w:val="center"/>
          </w:tcPr>
          <w:p>
            <w:pPr>
              <w:widowControl/>
              <w:jc w:val="center"/>
              <w:textAlignment w:val="center"/>
              <w:rPr>
                <w:rFonts w:ascii="宋体" w:hAnsi="宋体" w:cs="Calibri"/>
                <w:b/>
                <w:bCs/>
                <w:color w:val="auto"/>
                <w:szCs w:val="21"/>
                <w:highlight w:val="none"/>
              </w:rPr>
            </w:pPr>
            <w:r>
              <w:rPr>
                <w:rFonts w:hint="eastAsia" w:ascii="宋体" w:hAnsi="宋体" w:cs="宋体"/>
                <w:b/>
                <w:bCs/>
                <w:color w:val="auto"/>
                <w:kern w:val="0"/>
                <w:szCs w:val="21"/>
                <w:highlight w:val="none"/>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7" w:hRule="atLeast"/>
          <w:jc w:val="center"/>
        </w:trPr>
        <w:tc>
          <w:tcPr>
            <w:tcW w:w="584" w:type="dxa"/>
            <w:tcBorders>
              <w:top w:val="single" w:color="auto" w:sz="4" w:space="0"/>
              <w:left w:val="single" w:color="auto" w:sz="4" w:space="0"/>
              <w:right w:val="single" w:color="auto" w:sz="4" w:space="0"/>
            </w:tcBorders>
            <w:noWrap/>
            <w:vAlign w:val="center"/>
          </w:tcPr>
          <w:p>
            <w:pPr>
              <w:autoSpaceDE w:val="0"/>
              <w:autoSpaceDN w:val="0"/>
              <w:jc w:val="center"/>
              <w:rPr>
                <w:rFonts w:ascii="宋体" w:hAnsi="Calibri"/>
                <w:color w:val="auto"/>
                <w:highlight w:val="none"/>
              </w:rPr>
            </w:pPr>
            <w:r>
              <w:rPr>
                <w:rFonts w:hint="eastAsia" w:ascii="宋体" w:hAnsi="Calibri"/>
                <w:color w:val="auto"/>
                <w:highlight w:val="none"/>
              </w:rPr>
              <w:t>7</w:t>
            </w:r>
          </w:p>
        </w:tc>
        <w:tc>
          <w:tcPr>
            <w:tcW w:w="1134" w:type="dxa"/>
            <w:vMerge w:val="continue"/>
            <w:tcBorders>
              <w:left w:val="single" w:color="auto" w:sz="4" w:space="0"/>
              <w:right w:val="single" w:color="auto" w:sz="4" w:space="0"/>
            </w:tcBorders>
            <w:noWrap/>
            <w:vAlign w:val="center"/>
          </w:tcPr>
          <w:p>
            <w:pPr>
              <w:jc w:val="center"/>
              <w:rPr>
                <w:rFonts w:ascii="宋体" w:hAnsi="宋体" w:cs="宋体"/>
                <w:color w:val="auto"/>
                <w:highlight w:val="none"/>
              </w:rPr>
            </w:pPr>
          </w:p>
        </w:tc>
        <w:tc>
          <w:tcPr>
            <w:tcW w:w="1249" w:type="dxa"/>
            <w:tcBorders>
              <w:top w:val="single" w:color="auto" w:sz="4" w:space="0"/>
              <w:left w:val="single" w:color="auto" w:sz="4" w:space="0"/>
              <w:right w:val="single" w:color="auto" w:sz="4" w:space="0"/>
            </w:tcBorders>
            <w:noWrap/>
            <w:vAlign w:val="center"/>
          </w:tcPr>
          <w:p>
            <w:pPr>
              <w:widowControl/>
              <w:jc w:val="center"/>
              <w:textAlignment w:val="center"/>
              <w:rPr>
                <w:rFonts w:ascii="宋体"/>
                <w:color w:val="auto"/>
                <w:kern w:val="0"/>
                <w:highlight w:val="none"/>
              </w:rPr>
            </w:pPr>
            <w:r>
              <w:rPr>
                <w:rFonts w:hint="eastAsia" w:ascii="宋体" w:hAnsi="宋体" w:cs="宋体"/>
                <w:color w:val="auto"/>
                <w:kern w:val="0"/>
                <w:szCs w:val="21"/>
                <w:highlight w:val="none"/>
              </w:rPr>
              <w:t>项目实施方案</w:t>
            </w:r>
          </w:p>
        </w:tc>
        <w:tc>
          <w:tcPr>
            <w:tcW w:w="6053" w:type="dxa"/>
            <w:tcBorders>
              <w:top w:val="single" w:color="auto" w:sz="4" w:space="0"/>
              <w:left w:val="single" w:color="auto" w:sz="4" w:space="0"/>
              <w:right w:val="single" w:color="auto" w:sz="4" w:space="0"/>
            </w:tcBorders>
            <w:noWrap/>
          </w:tcPr>
          <w:p>
            <w:pPr>
              <w:widowControl/>
              <w:textAlignment w:val="top"/>
              <w:rPr>
                <w:rFonts w:ascii="宋体" w:hAnsi="宋体" w:cs="宋体"/>
                <w:color w:val="auto"/>
                <w:kern w:val="0"/>
                <w:szCs w:val="21"/>
                <w:highlight w:val="none"/>
              </w:rPr>
            </w:pPr>
            <w:r>
              <w:rPr>
                <w:rFonts w:hint="eastAsia" w:ascii="宋体" w:hAnsi="宋体" w:cs="宋体"/>
                <w:color w:val="auto"/>
                <w:kern w:val="0"/>
                <w:szCs w:val="21"/>
                <w:highlight w:val="none"/>
              </w:rPr>
              <w:t>项目实施方案中所体现的项目组织架构、实施进度计划、项目组织管理等内容详细、合理和可操作强的得6-9分；</w:t>
            </w:r>
          </w:p>
          <w:p>
            <w:pPr>
              <w:widowControl/>
              <w:textAlignment w:val="top"/>
              <w:rPr>
                <w:rFonts w:ascii="宋体" w:hAnsi="宋体" w:cs="宋体"/>
                <w:color w:val="auto"/>
                <w:szCs w:val="21"/>
                <w:highlight w:val="none"/>
              </w:rPr>
            </w:pPr>
            <w:r>
              <w:rPr>
                <w:rFonts w:hint="eastAsia" w:ascii="宋体" w:hAnsi="宋体" w:cs="宋体"/>
                <w:color w:val="auto"/>
                <w:kern w:val="0"/>
                <w:szCs w:val="21"/>
                <w:highlight w:val="none"/>
              </w:rPr>
              <w:t>项目实施方案中所体现的项目组织架构、实施进度计划、项目组织管理等内容较为详细、合理和可操作性较强的得3-6分；</w:t>
            </w:r>
          </w:p>
          <w:p>
            <w:pPr>
              <w:widowControl/>
              <w:textAlignment w:val="top"/>
              <w:rPr>
                <w:rFonts w:ascii="宋体" w:hAnsi="宋体" w:cs="宋体"/>
                <w:color w:val="auto"/>
                <w:szCs w:val="21"/>
                <w:highlight w:val="none"/>
              </w:rPr>
            </w:pPr>
            <w:r>
              <w:rPr>
                <w:rFonts w:hint="eastAsia" w:ascii="宋体" w:hAnsi="宋体" w:cs="宋体"/>
                <w:color w:val="auto"/>
                <w:kern w:val="0"/>
                <w:szCs w:val="21"/>
                <w:highlight w:val="none"/>
              </w:rPr>
              <w:t>项目实施方案中所体现的项目组织架构、实施进度计划、项目组织管理等内容基本详细、合理和可操作性一般的得0-3分；</w:t>
            </w:r>
          </w:p>
          <w:p>
            <w:pPr>
              <w:widowControl/>
              <w:textAlignment w:val="top"/>
              <w:rPr>
                <w:rFonts w:ascii="宋体"/>
                <w:color w:val="auto"/>
                <w:kern w:val="0"/>
                <w:highlight w:val="none"/>
              </w:rPr>
            </w:pPr>
            <w:r>
              <w:rPr>
                <w:rFonts w:hint="eastAsia" w:ascii="宋体" w:hAnsi="宋体" w:cs="宋体"/>
                <w:color w:val="auto"/>
                <w:kern w:val="0"/>
                <w:szCs w:val="21"/>
                <w:highlight w:val="none"/>
              </w:rPr>
              <w:t>未提供不得分。</w:t>
            </w:r>
          </w:p>
        </w:tc>
        <w:tc>
          <w:tcPr>
            <w:tcW w:w="548" w:type="dxa"/>
            <w:tcBorders>
              <w:top w:val="single" w:color="auto" w:sz="4" w:space="0"/>
              <w:left w:val="single" w:color="auto" w:sz="4" w:space="0"/>
              <w:right w:val="single" w:color="auto" w:sz="4" w:space="0"/>
            </w:tcBorders>
            <w:noWrap/>
            <w:vAlign w:val="center"/>
          </w:tcPr>
          <w:p>
            <w:pPr>
              <w:widowControl/>
              <w:jc w:val="center"/>
              <w:textAlignment w:val="center"/>
              <w:rPr>
                <w:rFonts w:ascii="宋体" w:hAnsi="宋体" w:cs="宋体"/>
                <w:b/>
                <w:bCs/>
                <w:color w:val="auto"/>
                <w:kern w:val="0"/>
                <w:highlight w:val="none"/>
              </w:rPr>
            </w:pPr>
            <w:r>
              <w:rPr>
                <w:rFonts w:hint="eastAsia" w:ascii="宋体" w:hAnsi="宋体" w:cs="宋体"/>
                <w:b/>
                <w:bCs/>
                <w:color w:val="auto"/>
                <w:kern w:val="0"/>
                <w:szCs w:val="21"/>
                <w:highlight w:val="none"/>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4" w:type="dxa"/>
            <w:tcBorders>
              <w:left w:val="single" w:color="auto" w:sz="4" w:space="0"/>
              <w:right w:val="single" w:color="auto" w:sz="4" w:space="0"/>
            </w:tcBorders>
            <w:noWrap/>
            <w:vAlign w:val="center"/>
          </w:tcPr>
          <w:p>
            <w:pPr>
              <w:autoSpaceDE w:val="0"/>
              <w:autoSpaceDN w:val="0"/>
              <w:jc w:val="center"/>
              <w:rPr>
                <w:rFonts w:ascii="宋体" w:hAnsi="Calibri"/>
                <w:color w:val="auto"/>
                <w:highlight w:val="none"/>
              </w:rPr>
            </w:pPr>
          </w:p>
        </w:tc>
        <w:tc>
          <w:tcPr>
            <w:tcW w:w="1134" w:type="dxa"/>
            <w:vMerge w:val="continue"/>
            <w:tcBorders>
              <w:left w:val="single" w:color="auto" w:sz="4" w:space="0"/>
              <w:right w:val="single" w:color="auto" w:sz="4" w:space="0"/>
            </w:tcBorders>
            <w:noWrap/>
            <w:vAlign w:val="center"/>
          </w:tcPr>
          <w:p>
            <w:pPr>
              <w:jc w:val="center"/>
              <w:rPr>
                <w:rFonts w:ascii="宋体" w:hAnsi="宋体" w:cs="宋体"/>
                <w:color w:val="auto"/>
                <w:highlight w:val="none"/>
              </w:rPr>
            </w:pPr>
          </w:p>
        </w:tc>
        <w:tc>
          <w:tcPr>
            <w:tcW w:w="1249" w:type="dxa"/>
            <w:tcBorders>
              <w:left w:val="single" w:color="auto" w:sz="4" w:space="0"/>
              <w:right w:val="single" w:color="auto" w:sz="4" w:space="0"/>
            </w:tcBorders>
            <w:noWrap/>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硬盘增配</w:t>
            </w:r>
          </w:p>
        </w:tc>
        <w:tc>
          <w:tcPr>
            <w:tcW w:w="6053" w:type="dxa"/>
            <w:tcBorders>
              <w:top w:val="single" w:color="auto" w:sz="4" w:space="0"/>
              <w:left w:val="single" w:color="auto" w:sz="4" w:space="0"/>
              <w:right w:val="single" w:color="auto" w:sz="4" w:space="0"/>
            </w:tcBorders>
            <w:noWrap/>
            <w:vAlign w:val="center"/>
          </w:tcPr>
          <w:p>
            <w:pPr>
              <w:widowControl/>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投标人可针对本项目所扩容的存储自行选择是否增配SSD硬盘，每30T得2分，最高得4分；不选择增配的此项不得分。（</w:t>
            </w:r>
            <w:r>
              <w:rPr>
                <w:rFonts w:hint="eastAsia" w:ascii="宋体" w:hAnsi="宋体" w:cs="宋体"/>
                <w:b/>
                <w:bCs/>
                <w:color w:val="auto"/>
                <w:kern w:val="0"/>
                <w:szCs w:val="21"/>
                <w:highlight w:val="none"/>
              </w:rPr>
              <w:t>投标人需说明</w:t>
            </w:r>
            <w:r>
              <w:rPr>
                <w:rFonts w:hint="eastAsia" w:ascii="宋体" w:hAnsi="宋体" w:cs="宋体"/>
                <w:color w:val="auto"/>
                <w:kern w:val="0"/>
                <w:szCs w:val="21"/>
                <w:highlight w:val="none"/>
              </w:rPr>
              <w:t>增配部分的硬盘、硬盘框、线材、许可、实施等技术指标及服务，与本项目采购部分的指标和服务应保持一致，否则不得分）</w:t>
            </w:r>
          </w:p>
        </w:tc>
        <w:tc>
          <w:tcPr>
            <w:tcW w:w="548" w:type="dxa"/>
            <w:tcBorders>
              <w:top w:val="single" w:color="auto" w:sz="4" w:space="0"/>
              <w:left w:val="single" w:color="auto" w:sz="4" w:space="0"/>
              <w:right w:val="single" w:color="auto" w:sz="4" w:space="0"/>
            </w:tcBorders>
            <w:noWrap/>
            <w:vAlign w:val="center"/>
          </w:tcPr>
          <w:p>
            <w:pPr>
              <w:widowControl/>
              <w:jc w:val="center"/>
              <w:textAlignment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584" w:type="dxa"/>
            <w:tcBorders>
              <w:left w:val="single" w:color="auto" w:sz="4" w:space="0"/>
              <w:right w:val="single" w:color="auto" w:sz="4" w:space="0"/>
            </w:tcBorders>
            <w:noWrap/>
            <w:vAlign w:val="center"/>
          </w:tcPr>
          <w:p>
            <w:pPr>
              <w:autoSpaceDE w:val="0"/>
              <w:autoSpaceDN w:val="0"/>
              <w:jc w:val="center"/>
              <w:rPr>
                <w:rFonts w:ascii="宋体" w:hAnsi="Calibri"/>
                <w:color w:val="auto"/>
                <w:highlight w:val="none"/>
              </w:rPr>
            </w:pPr>
            <w:r>
              <w:rPr>
                <w:rFonts w:hint="eastAsia" w:ascii="宋体" w:hAnsi="Calibri"/>
                <w:color w:val="auto"/>
                <w:highlight w:val="none"/>
              </w:rPr>
              <w:t>9</w:t>
            </w:r>
          </w:p>
        </w:tc>
        <w:tc>
          <w:tcPr>
            <w:tcW w:w="1134" w:type="dxa"/>
            <w:vMerge w:val="continue"/>
            <w:tcBorders>
              <w:left w:val="single" w:color="auto" w:sz="4" w:space="0"/>
              <w:right w:val="single" w:color="auto" w:sz="4" w:space="0"/>
            </w:tcBorders>
            <w:noWrap/>
            <w:vAlign w:val="center"/>
          </w:tcPr>
          <w:p>
            <w:pPr>
              <w:jc w:val="center"/>
              <w:rPr>
                <w:rFonts w:ascii="宋体" w:hAnsi="宋体" w:cs="宋体"/>
                <w:color w:val="auto"/>
                <w:highlight w:val="none"/>
              </w:rPr>
            </w:pPr>
          </w:p>
        </w:tc>
        <w:tc>
          <w:tcPr>
            <w:tcW w:w="1249" w:type="dxa"/>
            <w:tcBorders>
              <w:left w:val="single" w:color="auto" w:sz="4" w:space="0"/>
              <w:right w:val="single" w:color="auto" w:sz="4" w:space="0"/>
            </w:tcBorders>
            <w:noWrap/>
            <w:vAlign w:val="center"/>
          </w:tcPr>
          <w:p>
            <w:pPr>
              <w:widowControl/>
              <w:jc w:val="center"/>
              <w:textAlignment w:val="center"/>
              <w:rPr>
                <w:rFonts w:ascii="宋体" w:hAnsi="宋体" w:cs="宋体"/>
                <w:color w:val="auto"/>
                <w:highlight w:val="none"/>
              </w:rPr>
            </w:pPr>
            <w:r>
              <w:rPr>
                <w:rFonts w:hint="eastAsia" w:ascii="宋体" w:hAnsi="宋体" w:cs="宋体"/>
                <w:color w:val="auto"/>
                <w:kern w:val="0"/>
                <w:szCs w:val="21"/>
                <w:highlight w:val="none"/>
              </w:rPr>
              <w:t>数据迁移方案</w:t>
            </w:r>
          </w:p>
        </w:tc>
        <w:tc>
          <w:tcPr>
            <w:tcW w:w="6053" w:type="dxa"/>
            <w:tcBorders>
              <w:top w:val="single" w:color="auto" w:sz="4" w:space="0"/>
              <w:left w:val="single" w:color="auto" w:sz="4" w:space="0"/>
              <w:right w:val="single" w:color="auto" w:sz="4" w:space="0"/>
            </w:tcBorders>
            <w:noWrap/>
            <w:vAlign w:val="center"/>
          </w:tcPr>
          <w:p>
            <w:pPr>
              <w:widowControl/>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主要对提供的数据迁移方案是否满足技术需求，在保障业务连续性前提下完成存储级数据迁移，应急预案是否全面等，对方案的先进性、科学性、合理性进行评定：</w:t>
            </w:r>
          </w:p>
          <w:p>
            <w:pPr>
              <w:widowControl/>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方案的先进性、科学性、合理性最优的得8-12分；</w:t>
            </w:r>
          </w:p>
          <w:p>
            <w:pPr>
              <w:widowControl/>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方案的先进性、科学性、合理性较好的得4-8分；</w:t>
            </w:r>
          </w:p>
          <w:p>
            <w:pPr>
              <w:widowControl/>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方案的先进性、科学性、合理性一般的得0-4分；</w:t>
            </w:r>
          </w:p>
          <w:p>
            <w:pPr>
              <w:widowControl/>
              <w:textAlignment w:val="center"/>
              <w:rPr>
                <w:rFonts w:ascii="Calibri" w:hAnsi="宋体" w:cs="宋体"/>
                <w:color w:val="auto"/>
                <w:highlight w:val="none"/>
              </w:rPr>
            </w:pPr>
            <w:r>
              <w:rPr>
                <w:rFonts w:hint="eastAsia" w:ascii="宋体" w:hAnsi="宋体" w:cs="宋体"/>
                <w:color w:val="auto"/>
                <w:kern w:val="0"/>
                <w:szCs w:val="21"/>
                <w:highlight w:val="none"/>
              </w:rPr>
              <w:t>其他的不得分。</w:t>
            </w:r>
          </w:p>
        </w:tc>
        <w:tc>
          <w:tcPr>
            <w:tcW w:w="548" w:type="dxa"/>
            <w:tcBorders>
              <w:top w:val="single" w:color="auto" w:sz="4" w:space="0"/>
              <w:left w:val="single" w:color="auto" w:sz="4" w:space="0"/>
              <w:right w:val="single" w:color="auto" w:sz="4" w:space="0"/>
            </w:tcBorders>
            <w:noWrap/>
            <w:vAlign w:val="center"/>
          </w:tcPr>
          <w:p>
            <w:pPr>
              <w:widowControl/>
              <w:jc w:val="center"/>
              <w:textAlignment w:val="center"/>
              <w:rPr>
                <w:rFonts w:ascii="宋体" w:hAnsi="宋体" w:cs="宋体"/>
                <w:b/>
                <w:bCs/>
                <w:color w:val="auto"/>
                <w:kern w:val="0"/>
                <w:highlight w:val="none"/>
              </w:rPr>
            </w:pPr>
            <w:r>
              <w:rPr>
                <w:rFonts w:hint="eastAsia" w:ascii="宋体" w:hAnsi="宋体" w:cs="宋体"/>
                <w:b/>
                <w:bCs/>
                <w:color w:val="auto"/>
                <w:kern w:val="0"/>
                <w:szCs w:val="21"/>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584" w:type="dxa"/>
            <w:tcBorders>
              <w:left w:val="single" w:color="auto" w:sz="4" w:space="0"/>
              <w:right w:val="single" w:color="auto" w:sz="4" w:space="0"/>
            </w:tcBorders>
            <w:noWrap/>
            <w:vAlign w:val="center"/>
          </w:tcPr>
          <w:p>
            <w:pPr>
              <w:autoSpaceDE w:val="0"/>
              <w:autoSpaceDN w:val="0"/>
              <w:jc w:val="center"/>
              <w:rPr>
                <w:rFonts w:ascii="宋体" w:hAnsi="Calibri"/>
                <w:color w:val="auto"/>
                <w:highlight w:val="none"/>
              </w:rPr>
            </w:pPr>
            <w:r>
              <w:rPr>
                <w:rFonts w:hint="eastAsia" w:ascii="宋体" w:hAnsi="Calibri"/>
                <w:color w:val="auto"/>
                <w:highlight w:val="none"/>
              </w:rPr>
              <w:t>10</w:t>
            </w:r>
          </w:p>
        </w:tc>
        <w:tc>
          <w:tcPr>
            <w:tcW w:w="1134" w:type="dxa"/>
            <w:vMerge w:val="continue"/>
            <w:tcBorders>
              <w:left w:val="single" w:color="auto" w:sz="4" w:space="0"/>
              <w:right w:val="single" w:color="auto" w:sz="4" w:space="0"/>
            </w:tcBorders>
            <w:noWrap/>
            <w:vAlign w:val="center"/>
          </w:tcPr>
          <w:p>
            <w:pPr>
              <w:jc w:val="center"/>
              <w:rPr>
                <w:rFonts w:ascii="宋体" w:hAnsi="Calibri"/>
                <w:color w:val="auto"/>
                <w:kern w:val="0"/>
                <w:highlight w:val="none"/>
              </w:rPr>
            </w:pPr>
          </w:p>
        </w:tc>
        <w:tc>
          <w:tcPr>
            <w:tcW w:w="1249" w:type="dxa"/>
            <w:tcBorders>
              <w:left w:val="single" w:color="auto" w:sz="4" w:space="0"/>
              <w:right w:val="single" w:color="auto" w:sz="4" w:space="0"/>
            </w:tcBorders>
            <w:noWrap/>
            <w:vAlign w:val="center"/>
          </w:tcPr>
          <w:p>
            <w:pPr>
              <w:widowControl/>
              <w:jc w:val="center"/>
              <w:textAlignment w:val="center"/>
              <w:rPr>
                <w:rFonts w:ascii="宋体" w:hAnsi="宋体" w:cs="宋体"/>
                <w:color w:val="auto"/>
                <w:highlight w:val="none"/>
              </w:rPr>
            </w:pPr>
            <w:r>
              <w:rPr>
                <w:rFonts w:hint="eastAsia" w:ascii="宋体" w:hAnsi="宋体" w:cs="宋体"/>
                <w:color w:val="auto"/>
                <w:kern w:val="0"/>
                <w:szCs w:val="21"/>
                <w:highlight w:val="none"/>
              </w:rPr>
              <w:t>安全保密措施</w:t>
            </w:r>
          </w:p>
        </w:tc>
        <w:tc>
          <w:tcPr>
            <w:tcW w:w="6053" w:type="dxa"/>
            <w:tcBorders>
              <w:top w:val="single" w:color="auto" w:sz="4" w:space="0"/>
              <w:left w:val="single" w:color="auto" w:sz="4" w:space="0"/>
              <w:right w:val="single" w:color="auto" w:sz="4" w:space="0"/>
            </w:tcBorders>
            <w:noWrap/>
            <w:vAlign w:val="center"/>
          </w:tcPr>
          <w:p>
            <w:pPr>
              <w:widowControl/>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供应商针对本项目制定了有效的安全保密措施，确保项目安全可行。</w:t>
            </w:r>
          </w:p>
          <w:p>
            <w:pPr>
              <w:widowControl/>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方案中有明确的安全保密措施，并且措施明确合理、结构完善、实用性及可行性强得4-6分；</w:t>
            </w:r>
          </w:p>
          <w:p>
            <w:pPr>
              <w:widowControl/>
              <w:textAlignment w:val="center"/>
              <w:rPr>
                <w:rFonts w:ascii="Calibri" w:hAnsi="Calibri"/>
                <w:color w:val="auto"/>
                <w:highlight w:val="none"/>
              </w:rPr>
            </w:pPr>
            <w:r>
              <w:rPr>
                <w:rFonts w:hint="eastAsia" w:ascii="宋体" w:hAnsi="宋体" w:cs="宋体"/>
                <w:color w:val="auto"/>
                <w:kern w:val="0"/>
                <w:szCs w:val="21"/>
                <w:highlight w:val="none"/>
              </w:rPr>
              <w:t>方案中有明确的安全保密措施，并且措施基本合理、结构比较完善、实用性及可行性较好的得2-4分</w:t>
            </w:r>
          </w:p>
          <w:p>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rPr>
              <w:t>方案中有明确的安全保密措施，并且措施基本合理、结构基本完善、实用性及可行性一般的得0-2分；</w:t>
            </w:r>
          </w:p>
          <w:p>
            <w:pPr>
              <w:widowControl/>
              <w:textAlignment w:val="center"/>
              <w:rPr>
                <w:rFonts w:hAnsi="宋体" w:cs="宋体"/>
                <w:color w:val="auto"/>
                <w:highlight w:val="none"/>
              </w:rPr>
            </w:pPr>
            <w:r>
              <w:rPr>
                <w:rFonts w:hint="eastAsia" w:ascii="宋体" w:hAnsi="宋体" w:cs="宋体"/>
                <w:color w:val="auto"/>
                <w:kern w:val="0"/>
                <w:szCs w:val="21"/>
                <w:highlight w:val="none"/>
              </w:rPr>
              <w:t>未提供不得分。</w:t>
            </w:r>
          </w:p>
        </w:tc>
        <w:tc>
          <w:tcPr>
            <w:tcW w:w="548" w:type="dxa"/>
            <w:tcBorders>
              <w:top w:val="single" w:color="auto" w:sz="4" w:space="0"/>
              <w:left w:val="single" w:color="auto" w:sz="4" w:space="0"/>
              <w:right w:val="single" w:color="auto" w:sz="4" w:space="0"/>
            </w:tcBorders>
            <w:noWrap/>
            <w:vAlign w:val="center"/>
          </w:tcPr>
          <w:p>
            <w:pPr>
              <w:widowControl/>
              <w:jc w:val="center"/>
              <w:textAlignment w:val="center"/>
              <w:rPr>
                <w:rFonts w:ascii="宋体" w:hAnsi="宋体" w:cs="宋体"/>
                <w:b/>
                <w:bCs/>
                <w:color w:val="auto"/>
                <w:kern w:val="0"/>
                <w:highlight w:val="none"/>
              </w:rPr>
            </w:pPr>
            <w:r>
              <w:rPr>
                <w:rFonts w:hint="eastAsia" w:ascii="宋体" w:hAnsi="宋体" w:cs="宋体"/>
                <w:b/>
                <w:bCs/>
                <w:color w:val="auto"/>
                <w:kern w:val="0"/>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4" w:hRule="atLeast"/>
          <w:jc w:val="center"/>
        </w:trPr>
        <w:tc>
          <w:tcPr>
            <w:tcW w:w="584" w:type="dxa"/>
            <w:tcBorders>
              <w:left w:val="single" w:color="auto" w:sz="4" w:space="0"/>
              <w:right w:val="single" w:color="auto" w:sz="4" w:space="0"/>
            </w:tcBorders>
            <w:noWrap/>
            <w:vAlign w:val="center"/>
          </w:tcPr>
          <w:p>
            <w:pPr>
              <w:autoSpaceDE w:val="0"/>
              <w:autoSpaceDN w:val="0"/>
              <w:jc w:val="center"/>
              <w:rPr>
                <w:rFonts w:ascii="宋体" w:hAnsi="Calibri"/>
                <w:color w:val="auto"/>
                <w:highlight w:val="none"/>
              </w:rPr>
            </w:pPr>
            <w:r>
              <w:rPr>
                <w:rFonts w:hint="eastAsia" w:ascii="宋体" w:hAnsi="Calibri"/>
                <w:color w:val="auto"/>
                <w:highlight w:val="none"/>
              </w:rPr>
              <w:t>11</w:t>
            </w:r>
          </w:p>
        </w:tc>
        <w:tc>
          <w:tcPr>
            <w:tcW w:w="1134" w:type="dxa"/>
            <w:vMerge w:val="continue"/>
            <w:tcBorders>
              <w:left w:val="single" w:color="auto" w:sz="4" w:space="0"/>
              <w:right w:val="single" w:color="auto" w:sz="4" w:space="0"/>
            </w:tcBorders>
            <w:noWrap/>
            <w:vAlign w:val="center"/>
          </w:tcPr>
          <w:p>
            <w:pPr>
              <w:widowControl/>
              <w:jc w:val="center"/>
              <w:rPr>
                <w:rFonts w:ascii="宋体" w:hAnsi="宋体" w:cs="宋体"/>
                <w:color w:val="auto"/>
                <w:kern w:val="0"/>
                <w:highlight w:val="none"/>
              </w:rPr>
            </w:pPr>
          </w:p>
        </w:tc>
        <w:tc>
          <w:tcPr>
            <w:tcW w:w="1249" w:type="dxa"/>
            <w:tcBorders>
              <w:left w:val="single" w:color="auto" w:sz="4" w:space="0"/>
              <w:right w:val="single" w:color="auto" w:sz="4" w:space="0"/>
            </w:tcBorders>
            <w:noWrap/>
            <w:vAlign w:val="center"/>
          </w:tcPr>
          <w:p>
            <w:pPr>
              <w:widowControl/>
              <w:jc w:val="center"/>
              <w:textAlignment w:val="center"/>
              <w:rPr>
                <w:rFonts w:ascii="宋体" w:hAnsi="宋体" w:cs="宋体"/>
                <w:color w:val="auto"/>
                <w:kern w:val="0"/>
                <w:highlight w:val="none"/>
              </w:rPr>
            </w:pPr>
            <w:r>
              <w:rPr>
                <w:rFonts w:hint="eastAsia" w:ascii="宋体" w:hAnsi="宋体" w:cs="宋体"/>
                <w:color w:val="auto"/>
                <w:kern w:val="0"/>
                <w:szCs w:val="21"/>
                <w:highlight w:val="none"/>
              </w:rPr>
              <w:t>验收方案</w:t>
            </w:r>
          </w:p>
        </w:tc>
        <w:tc>
          <w:tcPr>
            <w:tcW w:w="6053" w:type="dxa"/>
            <w:tcBorders>
              <w:top w:val="single" w:color="auto" w:sz="4" w:space="0"/>
              <w:left w:val="single" w:color="auto" w:sz="4" w:space="0"/>
              <w:right w:val="single" w:color="auto" w:sz="4" w:space="0"/>
            </w:tcBorders>
            <w:noWrap/>
            <w:vAlign w:val="center"/>
          </w:tcPr>
          <w:p>
            <w:pPr>
              <w:widowControl/>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主要从项目验收计划、验收阶段划分、相关文档移交、与实际生产厂商衔接等方面进行评定：</w:t>
            </w:r>
          </w:p>
          <w:p>
            <w:pPr>
              <w:widowControl/>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方案先进、科学、合理，符合项目需要且最优的得4-6分；</w:t>
            </w:r>
          </w:p>
          <w:p>
            <w:pPr>
              <w:widowControl/>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方案先进、科学、合理，符合项目需要且较好的得2-4分；</w:t>
            </w:r>
          </w:p>
          <w:p>
            <w:pPr>
              <w:widowControl/>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先进、科学、合理程度一般，基本符合项目需要且一般的得0-2分；</w:t>
            </w:r>
          </w:p>
          <w:p>
            <w:pPr>
              <w:widowControl/>
              <w:textAlignment w:val="center"/>
              <w:rPr>
                <w:rFonts w:ascii="宋体" w:hAnsi="宋体"/>
                <w:color w:val="auto"/>
                <w:highlight w:val="none"/>
              </w:rPr>
            </w:pPr>
            <w:r>
              <w:rPr>
                <w:rFonts w:hint="eastAsia" w:ascii="宋体" w:hAnsi="宋体" w:cs="宋体"/>
                <w:color w:val="auto"/>
                <w:kern w:val="0"/>
                <w:szCs w:val="21"/>
                <w:highlight w:val="none"/>
              </w:rPr>
              <w:t>其他的不得分。</w:t>
            </w:r>
          </w:p>
        </w:tc>
        <w:tc>
          <w:tcPr>
            <w:tcW w:w="548" w:type="dxa"/>
            <w:tcBorders>
              <w:top w:val="single" w:color="auto" w:sz="4" w:space="0"/>
              <w:left w:val="single" w:color="auto" w:sz="4" w:space="0"/>
              <w:right w:val="single" w:color="auto" w:sz="4" w:space="0"/>
            </w:tcBorders>
            <w:noWrap/>
            <w:vAlign w:val="center"/>
          </w:tcPr>
          <w:p>
            <w:pPr>
              <w:widowControl/>
              <w:jc w:val="center"/>
              <w:textAlignment w:val="center"/>
              <w:rPr>
                <w:rFonts w:ascii="宋体" w:hAnsi="宋体" w:cs="宋体"/>
                <w:b/>
                <w:bCs/>
                <w:color w:val="auto"/>
                <w:kern w:val="0"/>
                <w:highlight w:val="none"/>
              </w:rPr>
            </w:pPr>
            <w:r>
              <w:rPr>
                <w:rFonts w:hint="eastAsia" w:ascii="宋体" w:hAnsi="宋体" w:cs="宋体"/>
                <w:b/>
                <w:bCs/>
                <w:color w:val="auto"/>
                <w:kern w:val="0"/>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584" w:type="dxa"/>
            <w:tcBorders>
              <w:left w:val="single" w:color="auto" w:sz="4" w:space="0"/>
              <w:right w:val="single" w:color="auto" w:sz="4" w:space="0"/>
            </w:tcBorders>
            <w:noWrap/>
            <w:vAlign w:val="center"/>
          </w:tcPr>
          <w:p>
            <w:pPr>
              <w:autoSpaceDE w:val="0"/>
              <w:autoSpaceDN w:val="0"/>
              <w:jc w:val="center"/>
              <w:rPr>
                <w:rFonts w:ascii="宋体" w:hAnsi="Calibri"/>
                <w:color w:val="auto"/>
                <w:highlight w:val="none"/>
              </w:rPr>
            </w:pPr>
            <w:r>
              <w:rPr>
                <w:rFonts w:hint="eastAsia" w:ascii="宋体" w:hAnsi="Calibri"/>
                <w:color w:val="auto"/>
                <w:highlight w:val="none"/>
              </w:rPr>
              <w:t>12</w:t>
            </w:r>
          </w:p>
        </w:tc>
        <w:tc>
          <w:tcPr>
            <w:tcW w:w="1134" w:type="dxa"/>
            <w:tcBorders>
              <w:left w:val="single" w:color="auto" w:sz="4" w:space="0"/>
              <w:right w:val="single" w:color="auto" w:sz="4" w:space="0"/>
            </w:tcBorders>
            <w:noWrap/>
            <w:vAlign w:val="center"/>
          </w:tcPr>
          <w:p>
            <w:pPr>
              <w:widowControl/>
              <w:jc w:val="center"/>
              <w:rPr>
                <w:rFonts w:ascii="Calibri" w:hAnsi="Calibri"/>
                <w:color w:val="auto"/>
                <w:highlight w:val="none"/>
              </w:rPr>
            </w:pPr>
            <w:r>
              <w:rPr>
                <w:rFonts w:hint="eastAsia" w:ascii="Calibri" w:hAnsi="Calibri"/>
                <w:color w:val="auto"/>
                <w:highlight w:val="none"/>
              </w:rPr>
              <w:t>售后服务</w:t>
            </w:r>
          </w:p>
        </w:tc>
        <w:tc>
          <w:tcPr>
            <w:tcW w:w="1249" w:type="dxa"/>
            <w:tcBorders>
              <w:left w:val="single" w:color="auto" w:sz="4" w:space="0"/>
              <w:right w:val="single" w:color="auto" w:sz="4" w:space="0"/>
            </w:tcBorders>
            <w:noWrap/>
            <w:vAlign w:val="center"/>
          </w:tcPr>
          <w:p>
            <w:pPr>
              <w:widowControl/>
              <w:jc w:val="center"/>
              <w:textAlignment w:val="center"/>
              <w:rPr>
                <w:rFonts w:ascii="Calibri" w:hAnsi="Calibri"/>
                <w:color w:val="auto"/>
                <w:highlight w:val="none"/>
              </w:rPr>
            </w:pPr>
            <w:r>
              <w:rPr>
                <w:rFonts w:hint="eastAsia" w:ascii="宋体" w:hAnsi="宋体" w:cs="宋体"/>
                <w:color w:val="auto"/>
                <w:kern w:val="0"/>
                <w:szCs w:val="21"/>
                <w:highlight w:val="none"/>
              </w:rPr>
              <w:t>售后和巡检方案</w:t>
            </w:r>
          </w:p>
        </w:tc>
        <w:tc>
          <w:tcPr>
            <w:tcW w:w="6053" w:type="dxa"/>
            <w:tcBorders>
              <w:top w:val="single" w:color="auto" w:sz="4" w:space="0"/>
              <w:left w:val="single" w:color="auto" w:sz="4" w:space="0"/>
              <w:right w:val="single" w:color="auto" w:sz="4" w:space="0"/>
            </w:tcBorders>
            <w:noWrap/>
            <w:vAlign w:val="center"/>
          </w:tcPr>
          <w:p>
            <w:pPr>
              <w:widowControl/>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主要从设备保修及备品备件情况、设备报修规划、维修更换方案、备品备件保障体系、制度、流程、备件控制流程的完整性、合理性、适用性等方面进行评定：</w:t>
            </w:r>
          </w:p>
          <w:p>
            <w:pPr>
              <w:widowControl/>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方案的先进、科学、合理，符合项目需要且最优的得6-9分；</w:t>
            </w:r>
          </w:p>
          <w:p>
            <w:pPr>
              <w:widowControl/>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方案的先进、科学、合理，符合项目需要且比较好的得3-6分；</w:t>
            </w:r>
          </w:p>
          <w:p>
            <w:pPr>
              <w:widowControl/>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方案的先进、科学、合理程度一般，基本符合项目需要且一般的得0-3分；</w:t>
            </w:r>
          </w:p>
          <w:p>
            <w:pPr>
              <w:widowControl/>
              <w:jc w:val="left"/>
              <w:textAlignment w:val="center"/>
              <w:rPr>
                <w:rFonts w:ascii="宋体" w:hAnsi="宋体"/>
                <w:color w:val="auto"/>
                <w:highlight w:val="none"/>
              </w:rPr>
            </w:pPr>
            <w:r>
              <w:rPr>
                <w:rFonts w:hint="eastAsia" w:ascii="宋体" w:hAnsi="宋体" w:cs="宋体"/>
                <w:color w:val="auto"/>
                <w:kern w:val="0"/>
                <w:szCs w:val="21"/>
                <w:highlight w:val="none"/>
              </w:rPr>
              <w:t>其他的不得分。</w:t>
            </w:r>
          </w:p>
        </w:tc>
        <w:tc>
          <w:tcPr>
            <w:tcW w:w="548" w:type="dxa"/>
            <w:tcBorders>
              <w:top w:val="single" w:color="auto" w:sz="4" w:space="0"/>
              <w:left w:val="single" w:color="auto" w:sz="4" w:space="0"/>
              <w:right w:val="single" w:color="auto" w:sz="4" w:space="0"/>
            </w:tcBorders>
            <w:noWrap/>
            <w:vAlign w:val="center"/>
          </w:tcPr>
          <w:p>
            <w:pPr>
              <w:widowControl/>
              <w:jc w:val="center"/>
              <w:textAlignment w:val="center"/>
              <w:rPr>
                <w:rFonts w:ascii="宋体" w:hAnsi="宋体" w:cs="宋体"/>
                <w:b/>
                <w:bCs/>
                <w:color w:val="auto"/>
                <w:kern w:val="0"/>
                <w:highlight w:val="none"/>
              </w:rPr>
            </w:pPr>
            <w:r>
              <w:rPr>
                <w:rFonts w:hint="eastAsia" w:ascii="宋体" w:hAnsi="宋体" w:cs="宋体"/>
                <w:b/>
                <w:bCs/>
                <w:color w:val="auto"/>
                <w:kern w:val="0"/>
                <w:szCs w:val="21"/>
                <w:highlight w:val="none"/>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9020"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kern w:val="0"/>
                <w:highlight w:val="none"/>
              </w:rPr>
            </w:pPr>
            <w:r>
              <w:rPr>
                <w:rFonts w:hint="eastAsia" w:ascii="宋体" w:hAnsi="宋体" w:cs="宋体"/>
                <w:color w:val="auto"/>
                <w:kern w:val="0"/>
                <w:highlight w:val="none"/>
              </w:rPr>
              <w:t>合计</w:t>
            </w:r>
          </w:p>
        </w:tc>
        <w:tc>
          <w:tcPr>
            <w:tcW w:w="54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color w:val="auto"/>
                <w:highlight w:val="none"/>
              </w:rPr>
            </w:pPr>
            <w:r>
              <w:rPr>
                <w:rFonts w:ascii="宋体" w:hAnsi="宋体" w:cs="宋体"/>
                <w:b/>
                <w:bCs/>
                <w:color w:val="auto"/>
                <w:highlight w:val="none"/>
              </w:rPr>
              <w:fldChar w:fldCharType="begin"/>
            </w:r>
            <w:r>
              <w:rPr>
                <w:rFonts w:ascii="宋体" w:hAnsi="宋体" w:cs="宋体"/>
                <w:b/>
                <w:bCs/>
                <w:color w:val="auto"/>
                <w:highlight w:val="none"/>
              </w:rPr>
              <w:instrText xml:space="preserve"> =SUM(above) \* MERGEFORMAT </w:instrText>
            </w:r>
            <w:r>
              <w:rPr>
                <w:rFonts w:ascii="宋体" w:hAnsi="宋体" w:cs="宋体"/>
                <w:b/>
                <w:bCs/>
                <w:color w:val="auto"/>
                <w:highlight w:val="none"/>
              </w:rPr>
              <w:fldChar w:fldCharType="separate"/>
            </w:r>
            <w:r>
              <w:rPr>
                <w:rFonts w:ascii="宋体" w:hAnsi="宋体" w:cs="宋体"/>
                <w:b/>
                <w:bCs/>
                <w:color w:val="auto"/>
                <w:highlight w:val="none"/>
              </w:rPr>
              <w:t>100</w:t>
            </w:r>
            <w:r>
              <w:rPr>
                <w:rFonts w:ascii="宋体" w:hAnsi="宋体" w:cs="宋体"/>
                <w:b/>
                <w:bCs/>
                <w:color w:val="auto"/>
                <w:highlight w:val="none"/>
              </w:rPr>
              <w:fldChar w:fldCharType="end"/>
            </w:r>
          </w:p>
        </w:tc>
      </w:tr>
    </w:tbl>
    <w:p>
      <w:pPr>
        <w:rPr>
          <w:rFonts w:ascii="宋体" w:hAnsi="宋体"/>
          <w:color w:val="auto"/>
          <w:szCs w:val="21"/>
          <w:highlight w:val="none"/>
        </w:rPr>
      </w:pPr>
    </w:p>
    <w:p>
      <w:pPr>
        <w:pStyle w:val="2"/>
        <w:rPr>
          <w:rFonts w:ascii="宋体" w:hAnsi="宋体"/>
          <w:color w:val="auto"/>
          <w:szCs w:val="21"/>
          <w:highlight w:val="none"/>
        </w:rPr>
      </w:pPr>
    </w:p>
    <w:p>
      <w:pPr>
        <w:pStyle w:val="2"/>
        <w:rPr>
          <w:rFonts w:ascii="宋体" w:hAnsi="宋体"/>
          <w:color w:val="auto"/>
          <w:szCs w:val="21"/>
          <w:highlight w:val="none"/>
        </w:rPr>
      </w:pPr>
    </w:p>
    <w:p>
      <w:pPr>
        <w:pStyle w:val="2"/>
        <w:rPr>
          <w:rFonts w:ascii="宋体" w:hAnsi="宋体"/>
          <w:color w:val="auto"/>
          <w:szCs w:val="21"/>
          <w:highlight w:val="none"/>
        </w:rPr>
      </w:pPr>
    </w:p>
    <w:p>
      <w:pPr>
        <w:pStyle w:val="2"/>
        <w:rPr>
          <w:rFonts w:ascii="宋体" w:hAnsi="宋体"/>
          <w:color w:val="auto"/>
          <w:szCs w:val="21"/>
          <w:highlight w:val="none"/>
        </w:rPr>
      </w:pPr>
    </w:p>
    <w:p>
      <w:pPr>
        <w:pStyle w:val="2"/>
        <w:rPr>
          <w:rFonts w:ascii="宋体" w:hAnsi="宋体"/>
          <w:color w:val="auto"/>
          <w:szCs w:val="21"/>
          <w:highlight w:val="none"/>
        </w:rPr>
      </w:pPr>
    </w:p>
    <w:p>
      <w:pPr>
        <w:pStyle w:val="280"/>
        <w:numPr>
          <w:ilvl w:val="0"/>
          <w:numId w:val="5"/>
        </w:numPr>
        <w:rPr>
          <w:rFonts w:ascii="宋体" w:hAnsi="宋体"/>
          <w:color w:val="auto"/>
          <w:highlight w:val="none"/>
        </w:rPr>
      </w:pPr>
      <w:bookmarkStart w:id="31" w:name="_Toc353483817"/>
      <w:bookmarkStart w:id="32" w:name="_Toc1406510925"/>
      <w:bookmarkStart w:id="33" w:name="_Toc1484421284"/>
      <w:bookmarkStart w:id="34" w:name="_Toc614538032"/>
      <w:bookmarkStart w:id="35" w:name="_Toc525052847"/>
      <w:bookmarkStart w:id="36" w:name="_Toc38030150"/>
      <w:bookmarkStart w:id="37" w:name="_Toc1505390621"/>
      <w:bookmarkStart w:id="38" w:name="_Toc124754489"/>
      <w:r>
        <w:rPr>
          <w:rFonts w:ascii="宋体" w:hAnsi="宋体"/>
          <w:color w:val="auto"/>
          <w:highlight w:val="none"/>
        </w:rPr>
        <w:t>政府采购合同</w:t>
      </w:r>
      <w:r>
        <w:rPr>
          <w:rFonts w:hint="eastAsia" w:ascii="宋体" w:hAnsi="宋体"/>
          <w:color w:val="auto"/>
          <w:highlight w:val="none"/>
        </w:rPr>
        <w:t>样</w:t>
      </w:r>
      <w:r>
        <w:rPr>
          <w:rFonts w:ascii="宋体" w:hAnsi="宋体"/>
          <w:color w:val="auto"/>
          <w:highlight w:val="none"/>
        </w:rPr>
        <w:t>本</w:t>
      </w:r>
      <w:bookmarkEnd w:id="31"/>
      <w:bookmarkEnd w:id="32"/>
      <w:bookmarkEnd w:id="33"/>
      <w:bookmarkEnd w:id="34"/>
      <w:bookmarkEnd w:id="35"/>
      <w:bookmarkEnd w:id="36"/>
      <w:bookmarkEnd w:id="37"/>
      <w:bookmarkEnd w:id="38"/>
    </w:p>
    <w:p>
      <w:pPr>
        <w:tabs>
          <w:tab w:val="left" w:pos="700"/>
        </w:tabs>
        <w:topLinePunct/>
        <w:autoSpaceDE w:val="0"/>
        <w:autoSpaceDN w:val="0"/>
        <w:spacing w:line="460" w:lineRule="exact"/>
        <w:rPr>
          <w:rFonts w:ascii="宋体" w:hAnsi="宋体"/>
          <w:color w:val="auto"/>
          <w:sz w:val="24"/>
          <w:highlight w:val="none"/>
        </w:rPr>
      </w:pPr>
    </w:p>
    <w:p>
      <w:pPr>
        <w:tabs>
          <w:tab w:val="left" w:pos="700"/>
        </w:tabs>
        <w:topLinePunct/>
        <w:autoSpaceDE w:val="0"/>
        <w:autoSpaceDN w:val="0"/>
        <w:spacing w:line="460" w:lineRule="exact"/>
        <w:rPr>
          <w:rFonts w:ascii="宋体" w:hAnsi="宋体"/>
          <w:color w:val="auto"/>
          <w:sz w:val="24"/>
          <w:highlight w:val="none"/>
        </w:rPr>
      </w:pPr>
    </w:p>
    <w:p>
      <w:pPr>
        <w:tabs>
          <w:tab w:val="left" w:pos="700"/>
        </w:tabs>
        <w:topLinePunct/>
        <w:autoSpaceDE w:val="0"/>
        <w:autoSpaceDN w:val="0"/>
        <w:spacing w:line="460" w:lineRule="exact"/>
        <w:rPr>
          <w:rFonts w:ascii="宋体" w:hAnsi="宋体"/>
          <w:b/>
          <w:color w:val="auto"/>
          <w:sz w:val="24"/>
          <w:highlight w:val="none"/>
        </w:rPr>
      </w:pPr>
    </w:p>
    <w:p>
      <w:pPr>
        <w:tabs>
          <w:tab w:val="left" w:pos="700"/>
        </w:tabs>
        <w:topLinePunct/>
        <w:autoSpaceDE w:val="0"/>
        <w:autoSpaceDN w:val="0"/>
        <w:spacing w:line="460" w:lineRule="exact"/>
        <w:rPr>
          <w:rFonts w:ascii="宋体" w:hAnsi="宋体"/>
          <w:b/>
          <w:color w:val="auto"/>
          <w:sz w:val="24"/>
          <w:highlight w:val="none"/>
        </w:rPr>
      </w:pPr>
    </w:p>
    <w:p>
      <w:pPr>
        <w:tabs>
          <w:tab w:val="left" w:pos="700"/>
        </w:tabs>
        <w:topLinePunct/>
        <w:autoSpaceDE w:val="0"/>
        <w:autoSpaceDN w:val="0"/>
        <w:spacing w:line="460" w:lineRule="exact"/>
        <w:rPr>
          <w:rFonts w:ascii="宋体" w:hAnsi="宋体"/>
          <w:b/>
          <w:color w:val="auto"/>
          <w:sz w:val="24"/>
          <w:highlight w:val="none"/>
        </w:rPr>
      </w:pPr>
    </w:p>
    <w:p>
      <w:pPr>
        <w:tabs>
          <w:tab w:val="left" w:pos="700"/>
        </w:tabs>
        <w:topLinePunct/>
        <w:autoSpaceDE w:val="0"/>
        <w:autoSpaceDN w:val="0"/>
        <w:spacing w:line="460" w:lineRule="exact"/>
        <w:rPr>
          <w:rFonts w:ascii="宋体" w:hAnsi="宋体"/>
          <w:b/>
          <w:color w:val="auto"/>
          <w:sz w:val="24"/>
          <w:highlight w:val="none"/>
        </w:rPr>
      </w:pPr>
    </w:p>
    <w:p>
      <w:pPr>
        <w:tabs>
          <w:tab w:val="left" w:pos="700"/>
        </w:tabs>
        <w:topLinePunct/>
        <w:autoSpaceDE w:val="0"/>
        <w:autoSpaceDN w:val="0"/>
        <w:spacing w:line="460" w:lineRule="exact"/>
        <w:rPr>
          <w:rFonts w:ascii="宋体" w:hAnsi="宋体"/>
          <w:b/>
          <w:color w:val="auto"/>
          <w:sz w:val="24"/>
          <w:highlight w:val="none"/>
        </w:rPr>
      </w:pPr>
    </w:p>
    <w:p>
      <w:pPr>
        <w:topLinePunct/>
        <w:autoSpaceDE w:val="0"/>
        <w:autoSpaceDN w:val="0"/>
        <w:spacing w:line="460" w:lineRule="exact"/>
        <w:jc w:val="center"/>
        <w:rPr>
          <w:rFonts w:ascii="宋体" w:hAnsi="宋体"/>
          <w:color w:val="auto"/>
          <w:w w:val="150"/>
          <w:sz w:val="28"/>
          <w:szCs w:val="28"/>
          <w:highlight w:val="none"/>
        </w:rPr>
      </w:pPr>
      <w:r>
        <w:rPr>
          <w:rFonts w:ascii="宋体" w:hAnsi="宋体"/>
          <w:color w:val="auto"/>
          <w:w w:val="150"/>
          <w:sz w:val="28"/>
          <w:szCs w:val="28"/>
          <w:highlight w:val="none"/>
        </w:rPr>
        <w:br w:type="page"/>
      </w:r>
    </w:p>
    <w:p>
      <w:pPr>
        <w:pStyle w:val="19"/>
        <w:jc w:val="center"/>
        <w:rPr>
          <w:rFonts w:hint="default" w:hAnsi="宋体"/>
          <w:b/>
          <w:color w:val="auto"/>
          <w:sz w:val="96"/>
          <w:szCs w:val="96"/>
          <w:highlight w:val="none"/>
        </w:rPr>
      </w:pPr>
    </w:p>
    <w:p>
      <w:pPr>
        <w:tabs>
          <w:tab w:val="left" w:pos="540"/>
          <w:tab w:val="left" w:pos="1080"/>
          <w:tab w:val="left" w:pos="1440"/>
        </w:tabs>
        <w:snapToGrid w:val="0"/>
        <w:jc w:val="center"/>
        <w:rPr>
          <w:rFonts w:ascii="宋体" w:hAnsi="宋体"/>
          <w:b/>
          <w:color w:val="auto"/>
          <w:sz w:val="96"/>
          <w:szCs w:val="96"/>
          <w:highlight w:val="none"/>
        </w:rPr>
      </w:pPr>
      <w:r>
        <w:rPr>
          <w:rFonts w:ascii="宋体" w:hAnsi="宋体"/>
          <w:b/>
          <w:color w:val="auto"/>
          <w:sz w:val="96"/>
          <w:szCs w:val="96"/>
          <w:highlight w:val="none"/>
        </w:rPr>
        <w:t>合 同</w:t>
      </w:r>
      <w:r>
        <w:rPr>
          <w:rFonts w:hint="eastAsia" w:ascii="宋体" w:hAnsi="宋体"/>
          <w:b/>
          <w:color w:val="auto"/>
          <w:sz w:val="96"/>
          <w:szCs w:val="96"/>
          <w:highlight w:val="none"/>
        </w:rPr>
        <w:t xml:space="preserve"> 书</w:t>
      </w:r>
    </w:p>
    <w:p>
      <w:pPr>
        <w:pStyle w:val="19"/>
        <w:spacing w:line="560" w:lineRule="exact"/>
        <w:ind w:left="1606" w:hanging="1606" w:hangingChars="500"/>
        <w:jc w:val="center"/>
        <w:rPr>
          <w:rFonts w:hint="default" w:hAnsi="宋体"/>
          <w:b/>
          <w:color w:val="auto"/>
          <w:sz w:val="32"/>
          <w:szCs w:val="32"/>
          <w:highlight w:val="none"/>
        </w:rPr>
      </w:pPr>
      <w:r>
        <w:rPr>
          <w:rFonts w:hAnsi="宋体"/>
          <w:b/>
          <w:color w:val="auto"/>
          <w:sz w:val="32"/>
          <w:szCs w:val="32"/>
          <w:highlight w:val="none"/>
        </w:rPr>
        <w:t>（以实际签订为准）</w:t>
      </w:r>
    </w:p>
    <w:p>
      <w:pPr>
        <w:pStyle w:val="19"/>
        <w:spacing w:line="560" w:lineRule="exact"/>
        <w:jc w:val="center"/>
        <w:rPr>
          <w:rFonts w:hint="default" w:hAnsi="宋体"/>
          <w:b/>
          <w:color w:val="auto"/>
          <w:sz w:val="30"/>
          <w:szCs w:val="30"/>
          <w:highlight w:val="none"/>
        </w:rPr>
      </w:pPr>
    </w:p>
    <w:p>
      <w:pPr>
        <w:pStyle w:val="19"/>
        <w:spacing w:line="560" w:lineRule="exact"/>
        <w:ind w:left="1606" w:hanging="1606" w:hangingChars="500"/>
        <w:jc w:val="left"/>
        <w:rPr>
          <w:rFonts w:hint="default" w:hAnsi="宋体"/>
          <w:b/>
          <w:color w:val="auto"/>
          <w:sz w:val="32"/>
          <w:szCs w:val="32"/>
          <w:highlight w:val="none"/>
        </w:rPr>
      </w:pPr>
      <w:r>
        <w:rPr>
          <w:rFonts w:hint="default" w:hAnsi="宋体"/>
          <w:b/>
          <w:color w:val="auto"/>
          <w:sz w:val="32"/>
          <w:szCs w:val="32"/>
          <w:highlight w:val="none"/>
        </w:rPr>
        <w:t>项目名称:</w:t>
      </w:r>
      <w:r>
        <w:rPr>
          <w:rFonts w:hAnsi="宋体"/>
          <w:color w:val="auto"/>
          <w:sz w:val="32"/>
          <w:szCs w:val="32"/>
          <w:highlight w:val="none"/>
        </w:rPr>
        <w:t>国家税务总局辽宁省税务局存储设备扩容采购项目</w:t>
      </w:r>
    </w:p>
    <w:p>
      <w:pPr>
        <w:tabs>
          <w:tab w:val="left" w:pos="540"/>
          <w:tab w:val="left" w:pos="1080"/>
          <w:tab w:val="left" w:pos="1440"/>
        </w:tabs>
        <w:snapToGrid w:val="0"/>
        <w:spacing w:line="500" w:lineRule="exact"/>
        <w:rPr>
          <w:rFonts w:ascii="宋体" w:hAnsi="宋体"/>
          <w:color w:val="auto"/>
          <w:sz w:val="32"/>
          <w:szCs w:val="32"/>
          <w:highlight w:val="none"/>
        </w:rPr>
      </w:pPr>
      <w:r>
        <w:rPr>
          <w:rFonts w:ascii="宋体" w:hAnsi="宋体"/>
          <w:b/>
          <w:color w:val="auto"/>
          <w:sz w:val="32"/>
          <w:szCs w:val="32"/>
          <w:highlight w:val="none"/>
        </w:rPr>
        <w:t>合同编号：</w:t>
      </w:r>
      <w:r>
        <w:rPr>
          <w:rFonts w:hint="eastAsia" w:ascii="宋体" w:hAnsi="宋体"/>
          <w:b/>
          <w:color w:val="auto"/>
          <w:sz w:val="32"/>
          <w:szCs w:val="32"/>
          <w:highlight w:val="none"/>
        </w:rPr>
        <w:t>2022CG022</w:t>
      </w:r>
      <w:r>
        <w:rPr>
          <w:rFonts w:ascii="宋体" w:hAnsi="宋体"/>
          <w:b/>
          <w:color w:val="auto"/>
          <w:sz w:val="32"/>
          <w:szCs w:val="32"/>
          <w:highlight w:val="none"/>
        </w:rPr>
        <w:t>（</w:t>
      </w:r>
      <w:r>
        <w:rPr>
          <w:rFonts w:hint="eastAsia" w:ascii="宋体" w:hAnsi="宋体"/>
          <w:b/>
          <w:color w:val="auto"/>
          <w:sz w:val="32"/>
          <w:szCs w:val="32"/>
          <w:highlight w:val="none"/>
        </w:rPr>
        <w:t>1-1</w:t>
      </w:r>
      <w:r>
        <w:rPr>
          <w:rFonts w:ascii="宋体" w:hAnsi="宋体"/>
          <w:b/>
          <w:color w:val="auto"/>
          <w:sz w:val="32"/>
          <w:szCs w:val="32"/>
          <w:highlight w:val="none"/>
        </w:rPr>
        <w:t>）</w:t>
      </w:r>
    </w:p>
    <w:p>
      <w:pPr>
        <w:spacing w:line="600" w:lineRule="exact"/>
        <w:jc w:val="center"/>
        <w:rPr>
          <w:rFonts w:ascii="宋体" w:hAnsi="宋体"/>
          <w:color w:val="auto"/>
          <w:sz w:val="32"/>
          <w:szCs w:val="32"/>
          <w:highlight w:val="none"/>
        </w:rPr>
      </w:pPr>
    </w:p>
    <w:p>
      <w:pPr>
        <w:pStyle w:val="19"/>
        <w:spacing w:line="460" w:lineRule="exact"/>
        <w:jc w:val="center"/>
        <w:rPr>
          <w:rFonts w:hint="default" w:hAnsi="宋体"/>
          <w:b/>
          <w:color w:val="auto"/>
          <w:sz w:val="52"/>
          <w:highlight w:val="none"/>
        </w:rPr>
      </w:pPr>
    </w:p>
    <w:p>
      <w:pPr>
        <w:pStyle w:val="19"/>
        <w:tabs>
          <w:tab w:val="left" w:pos="3045"/>
        </w:tabs>
        <w:spacing w:line="460" w:lineRule="exact"/>
        <w:rPr>
          <w:rFonts w:hint="default" w:hAnsi="宋体"/>
          <w:b/>
          <w:color w:val="auto"/>
          <w:sz w:val="52"/>
          <w:highlight w:val="none"/>
        </w:rPr>
      </w:pPr>
      <w:r>
        <w:rPr>
          <w:rFonts w:hint="default" w:hAnsi="宋体"/>
          <w:b/>
          <w:color w:val="auto"/>
          <w:sz w:val="32"/>
          <w:highlight w:val="none"/>
        </w:rPr>
        <w:tab/>
      </w:r>
    </w:p>
    <w:p>
      <w:pPr>
        <w:pStyle w:val="19"/>
        <w:spacing w:line="460" w:lineRule="exact"/>
        <w:jc w:val="center"/>
        <w:rPr>
          <w:rFonts w:hint="default" w:hAnsi="宋体"/>
          <w:b/>
          <w:color w:val="auto"/>
          <w:sz w:val="52"/>
          <w:highlight w:val="none"/>
        </w:rPr>
      </w:pPr>
    </w:p>
    <w:p>
      <w:pPr>
        <w:pStyle w:val="19"/>
        <w:spacing w:line="460" w:lineRule="exact"/>
        <w:jc w:val="center"/>
        <w:rPr>
          <w:rFonts w:hint="default" w:hAnsi="宋体"/>
          <w:b/>
          <w:color w:val="auto"/>
          <w:sz w:val="52"/>
          <w:highlight w:val="none"/>
        </w:rPr>
      </w:pPr>
    </w:p>
    <w:p>
      <w:pPr>
        <w:pStyle w:val="19"/>
        <w:spacing w:line="460" w:lineRule="exact"/>
        <w:jc w:val="center"/>
        <w:rPr>
          <w:rFonts w:hint="default" w:hAnsi="宋体"/>
          <w:b/>
          <w:color w:val="auto"/>
          <w:sz w:val="52"/>
          <w:highlight w:val="none"/>
        </w:rPr>
      </w:pPr>
    </w:p>
    <w:p>
      <w:pPr>
        <w:pStyle w:val="19"/>
        <w:spacing w:line="460" w:lineRule="exact"/>
        <w:jc w:val="center"/>
        <w:rPr>
          <w:rFonts w:hint="default" w:hAnsi="宋体"/>
          <w:b/>
          <w:color w:val="auto"/>
          <w:sz w:val="52"/>
          <w:highlight w:val="none"/>
        </w:rPr>
      </w:pPr>
    </w:p>
    <w:p>
      <w:pPr>
        <w:pStyle w:val="19"/>
        <w:spacing w:line="460" w:lineRule="exact"/>
        <w:jc w:val="center"/>
        <w:rPr>
          <w:rFonts w:hint="default" w:hAnsi="宋体"/>
          <w:b/>
          <w:color w:val="auto"/>
          <w:sz w:val="52"/>
          <w:highlight w:val="none"/>
        </w:rPr>
      </w:pPr>
    </w:p>
    <w:p>
      <w:pPr>
        <w:pStyle w:val="19"/>
        <w:spacing w:line="460" w:lineRule="exact"/>
        <w:jc w:val="center"/>
        <w:rPr>
          <w:rFonts w:hint="default" w:hAnsi="宋体"/>
          <w:b/>
          <w:color w:val="auto"/>
          <w:sz w:val="52"/>
          <w:highlight w:val="none"/>
        </w:rPr>
      </w:pPr>
    </w:p>
    <w:p>
      <w:pPr>
        <w:spacing w:line="300" w:lineRule="auto"/>
        <w:rPr>
          <w:rFonts w:ascii="宋体" w:hAnsi="宋体"/>
          <w:b/>
          <w:bCs/>
          <w:color w:val="auto"/>
          <w:sz w:val="32"/>
          <w:szCs w:val="32"/>
          <w:highlight w:val="none"/>
        </w:rPr>
      </w:pPr>
      <w:r>
        <w:rPr>
          <w:rFonts w:ascii="宋体" w:hAnsi="宋体"/>
          <w:b/>
          <w:bCs/>
          <w:color w:val="auto"/>
          <w:sz w:val="32"/>
          <w:szCs w:val="32"/>
          <w:highlight w:val="none"/>
        </w:rPr>
        <w:t>甲  方： 国家税务总局辽宁省税务局</w:t>
      </w:r>
    </w:p>
    <w:p>
      <w:pPr>
        <w:spacing w:line="300" w:lineRule="auto"/>
        <w:rPr>
          <w:rFonts w:ascii="宋体" w:hAnsi="宋体"/>
          <w:b/>
          <w:bCs/>
          <w:color w:val="auto"/>
          <w:sz w:val="32"/>
          <w:szCs w:val="32"/>
          <w:highlight w:val="none"/>
        </w:rPr>
      </w:pPr>
      <w:r>
        <w:rPr>
          <w:rFonts w:ascii="宋体" w:hAnsi="宋体"/>
          <w:b/>
          <w:bCs/>
          <w:color w:val="auto"/>
          <w:sz w:val="32"/>
          <w:szCs w:val="32"/>
          <w:highlight w:val="none"/>
        </w:rPr>
        <w:t xml:space="preserve">乙  方： </w:t>
      </w:r>
    </w:p>
    <w:p>
      <w:pPr>
        <w:spacing w:line="300" w:lineRule="auto"/>
        <w:rPr>
          <w:rFonts w:ascii="宋体" w:hAnsi="宋体"/>
          <w:b/>
          <w:bCs/>
          <w:color w:val="auto"/>
          <w:sz w:val="32"/>
          <w:szCs w:val="32"/>
          <w:highlight w:val="none"/>
        </w:rPr>
      </w:pPr>
      <w:r>
        <w:rPr>
          <w:rFonts w:ascii="宋体" w:hAnsi="宋体"/>
          <w:b/>
          <w:bCs/>
          <w:color w:val="auto"/>
          <w:sz w:val="32"/>
          <w:szCs w:val="32"/>
          <w:highlight w:val="none"/>
        </w:rPr>
        <w:t>时  间：年  月</w:t>
      </w:r>
    </w:p>
    <w:p>
      <w:pPr>
        <w:tabs>
          <w:tab w:val="left" w:pos="700"/>
        </w:tabs>
        <w:topLinePunct/>
        <w:autoSpaceDE w:val="0"/>
        <w:autoSpaceDN w:val="0"/>
        <w:spacing w:line="460" w:lineRule="exact"/>
        <w:rPr>
          <w:rFonts w:ascii="宋体" w:hAnsi="宋体"/>
          <w:b/>
          <w:color w:val="auto"/>
          <w:sz w:val="24"/>
          <w:highlight w:val="none"/>
        </w:rPr>
      </w:pPr>
    </w:p>
    <w:p>
      <w:pPr>
        <w:tabs>
          <w:tab w:val="left" w:pos="700"/>
        </w:tabs>
        <w:topLinePunct/>
        <w:autoSpaceDE w:val="0"/>
        <w:autoSpaceDN w:val="0"/>
        <w:spacing w:line="460" w:lineRule="exact"/>
        <w:rPr>
          <w:rFonts w:ascii="宋体" w:hAnsi="宋体"/>
          <w:b/>
          <w:color w:val="auto"/>
          <w:sz w:val="24"/>
          <w:highlight w:val="none"/>
        </w:rPr>
      </w:pPr>
    </w:p>
    <w:p>
      <w:pPr>
        <w:pStyle w:val="19"/>
        <w:snapToGrid w:val="0"/>
        <w:ind w:firstLine="482" w:firstLineChars="200"/>
        <w:rPr>
          <w:rFonts w:hint="default" w:hAnsi="宋体"/>
          <w:b/>
          <w:color w:val="auto"/>
          <w:sz w:val="24"/>
          <w:highlight w:val="none"/>
        </w:rPr>
      </w:pPr>
    </w:p>
    <w:p>
      <w:pPr>
        <w:pStyle w:val="19"/>
        <w:snapToGrid w:val="0"/>
        <w:ind w:firstLine="482" w:firstLineChars="200"/>
        <w:rPr>
          <w:rFonts w:hint="default" w:hAnsi="宋体"/>
          <w:b/>
          <w:color w:val="auto"/>
          <w:sz w:val="24"/>
          <w:highlight w:val="none"/>
        </w:rPr>
      </w:pPr>
    </w:p>
    <w:p>
      <w:pPr>
        <w:pStyle w:val="19"/>
        <w:snapToGrid w:val="0"/>
        <w:ind w:firstLine="482" w:firstLineChars="200"/>
        <w:rPr>
          <w:rFonts w:hint="default" w:hAnsi="宋体"/>
          <w:b/>
          <w:color w:val="auto"/>
          <w:sz w:val="24"/>
          <w:highlight w:val="none"/>
        </w:rPr>
      </w:pPr>
    </w:p>
    <w:p>
      <w:pPr>
        <w:pStyle w:val="19"/>
        <w:snapToGrid w:val="0"/>
        <w:ind w:firstLine="482" w:firstLineChars="200"/>
        <w:rPr>
          <w:rFonts w:hint="default" w:hAnsi="宋体"/>
          <w:b/>
          <w:color w:val="auto"/>
          <w:sz w:val="24"/>
          <w:highlight w:val="none"/>
        </w:rPr>
      </w:pPr>
    </w:p>
    <w:p>
      <w:pPr>
        <w:spacing w:line="300" w:lineRule="auto"/>
        <w:jc w:val="center"/>
        <w:rPr>
          <w:rFonts w:ascii="宋体" w:hAnsi="宋体"/>
          <w:b/>
          <w:color w:val="auto"/>
          <w:sz w:val="28"/>
          <w:highlight w:val="none"/>
        </w:rPr>
      </w:pPr>
      <w:r>
        <w:rPr>
          <w:rFonts w:ascii="宋体" w:hAnsi="宋体"/>
          <w:b/>
          <w:color w:val="auto"/>
          <w:sz w:val="28"/>
          <w:highlight w:val="none"/>
        </w:rPr>
        <w:t>合同条款前附表</w:t>
      </w:r>
    </w:p>
    <w:tbl>
      <w:tblPr>
        <w:tblStyle w:val="34"/>
        <w:tblW w:w="879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709"/>
        <w:gridCol w:w="1491"/>
        <w:gridCol w:w="5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blHeader/>
        </w:trPr>
        <w:tc>
          <w:tcPr>
            <w:tcW w:w="710" w:type="dxa"/>
            <w:tcBorders>
              <w:top w:val="single" w:color="auto" w:sz="4" w:space="0"/>
              <w:left w:val="single" w:color="auto" w:sz="4" w:space="0"/>
              <w:bottom w:val="single" w:color="auto" w:sz="4" w:space="0"/>
              <w:right w:val="single" w:color="auto" w:sz="4" w:space="0"/>
            </w:tcBorders>
            <w:vAlign w:val="center"/>
          </w:tcPr>
          <w:p>
            <w:pPr>
              <w:tabs>
                <w:tab w:val="left" w:pos="700"/>
              </w:tabs>
              <w:spacing w:line="460" w:lineRule="exact"/>
              <w:jc w:val="center"/>
              <w:rPr>
                <w:rFonts w:ascii="宋体" w:hAnsi="宋体"/>
                <w:b/>
                <w:color w:val="auto"/>
                <w:szCs w:val="21"/>
                <w:highlight w:val="none"/>
              </w:rPr>
            </w:pPr>
            <w:r>
              <w:rPr>
                <w:rFonts w:ascii="宋体" w:hAnsi="宋体"/>
                <w:b/>
                <w:color w:val="auto"/>
                <w:szCs w:val="21"/>
                <w:highlight w:val="none"/>
              </w:rPr>
              <w:t>序号</w:t>
            </w:r>
          </w:p>
        </w:tc>
        <w:tc>
          <w:tcPr>
            <w:tcW w:w="8080" w:type="dxa"/>
            <w:gridSpan w:val="3"/>
            <w:tcBorders>
              <w:top w:val="single" w:color="auto" w:sz="4" w:space="0"/>
              <w:left w:val="single" w:color="auto" w:sz="4" w:space="0"/>
              <w:bottom w:val="single" w:color="auto" w:sz="4" w:space="0"/>
              <w:right w:val="single" w:color="auto" w:sz="4" w:space="0"/>
            </w:tcBorders>
            <w:vAlign w:val="center"/>
          </w:tcPr>
          <w:p>
            <w:pPr>
              <w:tabs>
                <w:tab w:val="left" w:pos="700"/>
              </w:tabs>
              <w:spacing w:line="320" w:lineRule="exact"/>
              <w:jc w:val="center"/>
              <w:rPr>
                <w:rFonts w:ascii="宋体" w:hAnsi="宋体"/>
                <w:b/>
                <w:color w:val="auto"/>
                <w:szCs w:val="21"/>
                <w:highlight w:val="none"/>
              </w:rPr>
            </w:pPr>
            <w:r>
              <w:rPr>
                <w:rFonts w:ascii="宋体" w:hAnsi="宋体"/>
                <w:b/>
                <w:color w:val="auto"/>
                <w:szCs w:val="21"/>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exact"/>
        </w:trPr>
        <w:tc>
          <w:tcPr>
            <w:tcW w:w="710" w:type="dxa"/>
            <w:tcBorders>
              <w:top w:val="single" w:color="auto" w:sz="4" w:space="0"/>
              <w:left w:val="single" w:color="auto" w:sz="4" w:space="0"/>
              <w:bottom w:val="single" w:color="auto" w:sz="4" w:space="0"/>
              <w:right w:val="single" w:color="auto" w:sz="4" w:space="0"/>
            </w:tcBorders>
            <w:vAlign w:val="center"/>
          </w:tcPr>
          <w:p>
            <w:pPr>
              <w:tabs>
                <w:tab w:val="left" w:pos="700"/>
              </w:tabs>
              <w:spacing w:line="460" w:lineRule="exact"/>
              <w:jc w:val="center"/>
              <w:rPr>
                <w:rFonts w:ascii="宋体" w:hAnsi="宋体"/>
                <w:color w:val="auto"/>
                <w:szCs w:val="21"/>
                <w:highlight w:val="none"/>
              </w:rPr>
            </w:pPr>
            <w:r>
              <w:rPr>
                <w:rFonts w:ascii="宋体" w:hAnsi="宋体"/>
                <w:color w:val="auto"/>
                <w:szCs w:val="21"/>
                <w:highlight w:val="none"/>
              </w:rPr>
              <w:t>1</w:t>
            </w:r>
          </w:p>
        </w:tc>
        <w:tc>
          <w:tcPr>
            <w:tcW w:w="2200"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spacing w:line="320" w:lineRule="exact"/>
              <w:jc w:val="center"/>
              <w:rPr>
                <w:rFonts w:ascii="宋体" w:hAnsi="宋体"/>
                <w:color w:val="auto"/>
                <w:szCs w:val="21"/>
                <w:highlight w:val="none"/>
              </w:rPr>
            </w:pPr>
            <w:r>
              <w:rPr>
                <w:rFonts w:ascii="宋体" w:hAnsi="宋体"/>
                <w:color w:val="auto"/>
                <w:szCs w:val="21"/>
                <w:highlight w:val="none"/>
              </w:rPr>
              <w:t>合同名称</w:t>
            </w:r>
          </w:p>
        </w:tc>
        <w:tc>
          <w:tcPr>
            <w:tcW w:w="5880" w:type="dxa"/>
            <w:tcBorders>
              <w:top w:val="single" w:color="auto" w:sz="4" w:space="0"/>
              <w:left w:val="single" w:color="auto" w:sz="4" w:space="0"/>
              <w:bottom w:val="single" w:color="auto" w:sz="4" w:space="0"/>
              <w:right w:val="single" w:color="auto" w:sz="4" w:space="0"/>
            </w:tcBorders>
            <w:vAlign w:val="center"/>
          </w:tcPr>
          <w:p>
            <w:pPr>
              <w:tabs>
                <w:tab w:val="left" w:pos="700"/>
              </w:tabs>
              <w:spacing w:line="320" w:lineRule="exact"/>
              <w:rPr>
                <w:rFonts w:ascii="宋体" w:hAnsi="宋体"/>
                <w:bCs/>
                <w:color w:val="auto"/>
                <w:szCs w:val="21"/>
                <w:highlight w:val="none"/>
              </w:rPr>
            </w:pPr>
            <w:r>
              <w:rPr>
                <w:rFonts w:hint="eastAsia" w:ascii="Calibri" w:hAnsi="宋体"/>
                <w:color w:val="auto"/>
                <w:highlight w:val="none"/>
              </w:rPr>
              <w:t>国家税务总局辽宁省</w:t>
            </w:r>
            <w:r>
              <w:rPr>
                <w:rFonts w:hint="eastAsia" w:hAnsi="宋体"/>
                <w:color w:val="auto"/>
                <w:highlight w:val="none"/>
              </w:rPr>
              <w:t>税务局存储设备扩容</w:t>
            </w:r>
            <w:r>
              <w:rPr>
                <w:rFonts w:hint="eastAsia" w:ascii="Calibri" w:hAnsi="宋体"/>
                <w:color w:val="auto"/>
                <w:highlight w:val="none"/>
              </w:rPr>
              <w:t>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710" w:type="dxa"/>
            <w:tcBorders>
              <w:top w:val="single" w:color="auto" w:sz="4" w:space="0"/>
              <w:left w:val="single" w:color="auto" w:sz="4" w:space="0"/>
              <w:bottom w:val="single" w:color="auto" w:sz="4" w:space="0"/>
              <w:right w:val="single" w:color="auto" w:sz="4" w:space="0"/>
            </w:tcBorders>
            <w:vAlign w:val="center"/>
          </w:tcPr>
          <w:p>
            <w:pPr>
              <w:tabs>
                <w:tab w:val="left" w:pos="700"/>
              </w:tabs>
              <w:spacing w:line="460" w:lineRule="exact"/>
              <w:jc w:val="center"/>
              <w:rPr>
                <w:rFonts w:ascii="宋体" w:hAnsi="宋体"/>
                <w:color w:val="auto"/>
                <w:szCs w:val="21"/>
                <w:highlight w:val="none"/>
              </w:rPr>
            </w:pPr>
            <w:r>
              <w:rPr>
                <w:rFonts w:ascii="宋体" w:hAnsi="宋体"/>
                <w:color w:val="auto"/>
                <w:szCs w:val="21"/>
                <w:highlight w:val="none"/>
              </w:rPr>
              <w:t>2</w:t>
            </w:r>
          </w:p>
        </w:tc>
        <w:tc>
          <w:tcPr>
            <w:tcW w:w="2200"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spacing w:line="320" w:lineRule="exact"/>
              <w:jc w:val="center"/>
              <w:rPr>
                <w:rFonts w:ascii="宋体" w:hAnsi="宋体"/>
                <w:color w:val="auto"/>
                <w:szCs w:val="21"/>
                <w:highlight w:val="none"/>
              </w:rPr>
            </w:pPr>
            <w:r>
              <w:rPr>
                <w:rFonts w:ascii="宋体" w:hAnsi="宋体"/>
                <w:color w:val="auto"/>
                <w:szCs w:val="21"/>
                <w:highlight w:val="none"/>
              </w:rPr>
              <w:t>合同编号</w:t>
            </w:r>
          </w:p>
        </w:tc>
        <w:tc>
          <w:tcPr>
            <w:tcW w:w="5880" w:type="dxa"/>
            <w:tcBorders>
              <w:top w:val="single" w:color="auto" w:sz="4" w:space="0"/>
              <w:left w:val="single" w:color="auto" w:sz="4" w:space="0"/>
              <w:bottom w:val="single" w:color="auto" w:sz="4" w:space="0"/>
              <w:right w:val="single" w:color="auto" w:sz="4" w:space="0"/>
            </w:tcBorders>
            <w:vAlign w:val="center"/>
          </w:tcPr>
          <w:p>
            <w:pPr>
              <w:tabs>
                <w:tab w:val="left" w:pos="700"/>
              </w:tabs>
              <w:spacing w:line="320" w:lineRule="exact"/>
              <w:rPr>
                <w:rFonts w:ascii="宋体" w:hAnsi="宋体"/>
                <w:bCs/>
                <w:color w:val="auto"/>
                <w:szCs w:val="21"/>
                <w:highlight w:val="none"/>
              </w:rPr>
            </w:pPr>
            <w:r>
              <w:rPr>
                <w:rFonts w:hint="eastAsia" w:ascii="宋体" w:hAnsi="宋体"/>
                <w:bCs/>
                <w:color w:val="auto"/>
                <w:szCs w:val="21"/>
                <w:highlight w:val="none"/>
              </w:rPr>
              <w:t xml:space="preserve"> 2022CG022</w:t>
            </w:r>
            <w:r>
              <w:rPr>
                <w:rFonts w:ascii="宋体" w:hAnsi="宋体"/>
                <w:bCs/>
                <w:color w:val="auto"/>
                <w:szCs w:val="21"/>
                <w:highlight w:val="none"/>
              </w:rPr>
              <w:t>（</w:t>
            </w:r>
            <w:r>
              <w:rPr>
                <w:rFonts w:hint="eastAsia" w:ascii="宋体" w:hAnsi="宋体"/>
                <w:bCs/>
                <w:color w:val="auto"/>
                <w:szCs w:val="21"/>
                <w:highlight w:val="none"/>
              </w:rPr>
              <w:t>1-1</w:t>
            </w:r>
            <w:r>
              <w:rPr>
                <w:rFonts w:ascii="宋体" w:hAnsi="宋体"/>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710" w:type="dxa"/>
            <w:tcBorders>
              <w:top w:val="single" w:color="auto" w:sz="4" w:space="0"/>
              <w:left w:val="single" w:color="auto" w:sz="4" w:space="0"/>
              <w:bottom w:val="single" w:color="auto" w:sz="4" w:space="0"/>
              <w:right w:val="single" w:color="auto" w:sz="4" w:space="0"/>
            </w:tcBorders>
            <w:vAlign w:val="center"/>
          </w:tcPr>
          <w:p>
            <w:pPr>
              <w:tabs>
                <w:tab w:val="left" w:pos="700"/>
              </w:tabs>
              <w:spacing w:line="460" w:lineRule="exact"/>
              <w:jc w:val="center"/>
              <w:rPr>
                <w:rFonts w:ascii="宋体" w:hAnsi="宋体"/>
                <w:color w:val="auto"/>
                <w:szCs w:val="21"/>
                <w:highlight w:val="none"/>
              </w:rPr>
            </w:pPr>
            <w:r>
              <w:rPr>
                <w:rFonts w:ascii="宋体" w:hAnsi="宋体"/>
                <w:color w:val="auto"/>
                <w:szCs w:val="21"/>
                <w:highlight w:val="none"/>
              </w:rPr>
              <w:t>3</w:t>
            </w:r>
          </w:p>
        </w:tc>
        <w:tc>
          <w:tcPr>
            <w:tcW w:w="2200"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spacing w:line="320" w:lineRule="exact"/>
              <w:jc w:val="center"/>
              <w:rPr>
                <w:rFonts w:ascii="宋体" w:hAnsi="宋体"/>
                <w:color w:val="auto"/>
                <w:szCs w:val="21"/>
                <w:highlight w:val="none"/>
              </w:rPr>
            </w:pPr>
            <w:r>
              <w:rPr>
                <w:rFonts w:ascii="宋体" w:hAnsi="宋体"/>
                <w:color w:val="auto"/>
                <w:szCs w:val="21"/>
                <w:highlight w:val="none"/>
              </w:rPr>
              <w:t>合同类型</w:t>
            </w:r>
          </w:p>
        </w:tc>
        <w:tc>
          <w:tcPr>
            <w:tcW w:w="5880" w:type="dxa"/>
            <w:tcBorders>
              <w:top w:val="single" w:color="auto" w:sz="4" w:space="0"/>
              <w:left w:val="single" w:color="auto" w:sz="4" w:space="0"/>
              <w:bottom w:val="single" w:color="auto" w:sz="4" w:space="0"/>
              <w:right w:val="single" w:color="auto" w:sz="4" w:space="0"/>
            </w:tcBorders>
            <w:vAlign w:val="center"/>
          </w:tcPr>
          <w:p>
            <w:pPr>
              <w:tabs>
                <w:tab w:val="left" w:pos="700"/>
              </w:tabs>
              <w:spacing w:line="320" w:lineRule="exact"/>
              <w:rPr>
                <w:rFonts w:ascii="宋体" w:hAnsi="宋体"/>
                <w:bCs/>
                <w:color w:val="auto"/>
                <w:szCs w:val="21"/>
                <w:highlight w:val="none"/>
              </w:rPr>
            </w:pPr>
            <w:r>
              <w:rPr>
                <w:rFonts w:hint="eastAsia" w:ascii="宋体" w:hAnsi="宋体"/>
                <w:color w:val="auto"/>
                <w:szCs w:val="21"/>
                <w:highlight w:val="none"/>
              </w:rPr>
              <w:t>货物</w:t>
            </w:r>
            <w:r>
              <w:rPr>
                <w:rFonts w:ascii="宋体" w:hAnsi="宋体"/>
                <w:color w:val="auto"/>
                <w:szCs w:val="21"/>
                <w:highlight w:val="none"/>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710" w:type="dxa"/>
            <w:tcBorders>
              <w:top w:val="single" w:color="auto" w:sz="4" w:space="0"/>
              <w:left w:val="single" w:color="auto" w:sz="4" w:space="0"/>
              <w:bottom w:val="single" w:color="auto" w:sz="4" w:space="0"/>
              <w:right w:val="single" w:color="auto" w:sz="4" w:space="0"/>
            </w:tcBorders>
            <w:vAlign w:val="center"/>
          </w:tcPr>
          <w:p>
            <w:pPr>
              <w:tabs>
                <w:tab w:val="left" w:pos="700"/>
              </w:tabs>
              <w:spacing w:line="460" w:lineRule="exact"/>
              <w:jc w:val="center"/>
              <w:rPr>
                <w:rFonts w:ascii="宋体" w:hAnsi="宋体"/>
                <w:color w:val="auto"/>
                <w:szCs w:val="21"/>
                <w:highlight w:val="none"/>
              </w:rPr>
            </w:pPr>
            <w:r>
              <w:rPr>
                <w:rFonts w:ascii="宋体" w:hAnsi="宋体"/>
                <w:color w:val="auto"/>
                <w:szCs w:val="21"/>
                <w:highlight w:val="none"/>
              </w:rPr>
              <w:t>4</w:t>
            </w:r>
          </w:p>
        </w:tc>
        <w:tc>
          <w:tcPr>
            <w:tcW w:w="2200"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ascii="宋体" w:hAnsi="宋体"/>
                <w:color w:val="auto"/>
                <w:szCs w:val="21"/>
                <w:highlight w:val="none"/>
              </w:rPr>
            </w:pPr>
            <w:r>
              <w:rPr>
                <w:rFonts w:ascii="宋体" w:hAnsi="宋体"/>
                <w:color w:val="auto"/>
                <w:szCs w:val="21"/>
                <w:highlight w:val="none"/>
              </w:rPr>
              <w:t>定价方式</w:t>
            </w:r>
          </w:p>
        </w:tc>
        <w:tc>
          <w:tcPr>
            <w:tcW w:w="5880" w:type="dxa"/>
            <w:tcBorders>
              <w:top w:val="single" w:color="auto" w:sz="4" w:space="0"/>
              <w:left w:val="single" w:color="auto" w:sz="4" w:space="0"/>
              <w:bottom w:val="single" w:color="auto" w:sz="4" w:space="0"/>
              <w:right w:val="single" w:color="auto" w:sz="4" w:space="0"/>
            </w:tcBorders>
            <w:vAlign w:val="center"/>
          </w:tcPr>
          <w:p>
            <w:pPr>
              <w:tabs>
                <w:tab w:val="left" w:pos="2160"/>
              </w:tabs>
              <w:topLinePunct/>
              <w:autoSpaceDE w:val="0"/>
              <w:autoSpaceDN w:val="0"/>
              <w:adjustRightInd w:val="0"/>
              <w:snapToGrid w:val="0"/>
              <w:rPr>
                <w:rFonts w:ascii="宋体" w:hAnsi="宋体"/>
                <w:color w:val="auto"/>
                <w:szCs w:val="21"/>
                <w:highlight w:val="none"/>
              </w:rPr>
            </w:pPr>
            <w:r>
              <w:rPr>
                <w:rFonts w:ascii="宋体" w:hAnsi="宋体"/>
                <w:color w:val="auto"/>
                <w:szCs w:val="21"/>
                <w:highlight w:val="none"/>
              </w:rPr>
              <w:t>固定总价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710" w:type="dxa"/>
            <w:vMerge w:val="restart"/>
            <w:tcBorders>
              <w:top w:val="single" w:color="auto" w:sz="4" w:space="0"/>
              <w:left w:val="single" w:color="auto" w:sz="4" w:space="0"/>
              <w:right w:val="single" w:color="auto" w:sz="4" w:space="0"/>
            </w:tcBorders>
            <w:vAlign w:val="center"/>
          </w:tcPr>
          <w:p>
            <w:pPr>
              <w:tabs>
                <w:tab w:val="left" w:pos="700"/>
              </w:tabs>
              <w:spacing w:line="460" w:lineRule="exact"/>
              <w:jc w:val="center"/>
              <w:rPr>
                <w:rFonts w:ascii="宋体" w:hAnsi="宋体"/>
                <w:color w:val="auto"/>
                <w:szCs w:val="21"/>
                <w:highlight w:val="none"/>
              </w:rPr>
            </w:pPr>
            <w:r>
              <w:rPr>
                <w:rFonts w:ascii="宋体" w:hAnsi="宋体"/>
                <w:color w:val="auto"/>
                <w:szCs w:val="21"/>
                <w:highlight w:val="none"/>
              </w:rPr>
              <w:t>5</w:t>
            </w:r>
          </w:p>
        </w:tc>
        <w:tc>
          <w:tcPr>
            <w:tcW w:w="2200" w:type="dxa"/>
            <w:gridSpan w:val="2"/>
            <w:tcBorders>
              <w:top w:val="single" w:color="auto" w:sz="4" w:space="0"/>
              <w:left w:val="single" w:color="auto" w:sz="4" w:space="0"/>
              <w:bottom w:val="single" w:color="auto" w:sz="6" w:space="0"/>
              <w:right w:val="single" w:color="auto" w:sz="6" w:space="0"/>
            </w:tcBorders>
            <w:vAlign w:val="center"/>
          </w:tcPr>
          <w:p>
            <w:pPr>
              <w:tabs>
                <w:tab w:val="left" w:pos="700"/>
              </w:tabs>
              <w:spacing w:line="320" w:lineRule="exact"/>
              <w:jc w:val="center"/>
              <w:rPr>
                <w:rFonts w:ascii="宋体" w:hAnsi="宋体"/>
                <w:color w:val="auto"/>
                <w:szCs w:val="21"/>
                <w:highlight w:val="none"/>
              </w:rPr>
            </w:pPr>
            <w:r>
              <w:rPr>
                <w:rFonts w:ascii="宋体" w:hAnsi="宋体"/>
                <w:color w:val="auto"/>
                <w:szCs w:val="21"/>
                <w:highlight w:val="none"/>
              </w:rPr>
              <w:t>甲方名称</w:t>
            </w:r>
          </w:p>
        </w:tc>
        <w:tc>
          <w:tcPr>
            <w:tcW w:w="5880" w:type="dxa"/>
            <w:tcBorders>
              <w:top w:val="single" w:color="auto" w:sz="4" w:space="0"/>
              <w:left w:val="single" w:color="auto" w:sz="6" w:space="0"/>
              <w:bottom w:val="single" w:color="auto" w:sz="6" w:space="0"/>
              <w:right w:val="single" w:color="auto" w:sz="4" w:space="0"/>
            </w:tcBorders>
            <w:vAlign w:val="center"/>
          </w:tcPr>
          <w:p>
            <w:pPr>
              <w:tabs>
                <w:tab w:val="left" w:pos="700"/>
              </w:tabs>
              <w:spacing w:line="320" w:lineRule="exact"/>
              <w:rPr>
                <w:rFonts w:ascii="宋体" w:hAnsi="宋体"/>
                <w:color w:val="auto"/>
                <w:szCs w:val="21"/>
                <w:highlight w:val="none"/>
              </w:rPr>
            </w:pPr>
            <w:r>
              <w:rPr>
                <w:rFonts w:ascii="宋体" w:hAnsi="宋体"/>
                <w:color w:val="auto"/>
                <w:szCs w:val="21"/>
                <w:highlight w:val="none"/>
              </w:rPr>
              <w:t>国家税务总局辽宁省税务局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710" w:type="dxa"/>
            <w:vMerge w:val="continue"/>
            <w:tcBorders>
              <w:left w:val="single" w:color="auto" w:sz="4" w:space="0"/>
              <w:right w:val="single" w:color="auto" w:sz="4" w:space="0"/>
            </w:tcBorders>
            <w:vAlign w:val="center"/>
          </w:tcPr>
          <w:p>
            <w:pPr>
              <w:widowControl/>
              <w:rPr>
                <w:rFonts w:ascii="宋体" w:hAnsi="宋体"/>
                <w:color w:val="auto"/>
                <w:szCs w:val="21"/>
                <w:highlight w:val="none"/>
              </w:rPr>
            </w:pPr>
          </w:p>
        </w:tc>
        <w:tc>
          <w:tcPr>
            <w:tcW w:w="2200" w:type="dxa"/>
            <w:gridSpan w:val="2"/>
            <w:tcBorders>
              <w:top w:val="single" w:color="auto" w:sz="6" w:space="0"/>
              <w:left w:val="single" w:color="auto" w:sz="4" w:space="0"/>
              <w:bottom w:val="single" w:color="auto" w:sz="6" w:space="0"/>
              <w:right w:val="single" w:color="auto" w:sz="6" w:space="0"/>
            </w:tcBorders>
            <w:vAlign w:val="center"/>
          </w:tcPr>
          <w:p>
            <w:pPr>
              <w:tabs>
                <w:tab w:val="left" w:pos="700"/>
              </w:tabs>
              <w:spacing w:line="320" w:lineRule="exact"/>
              <w:jc w:val="center"/>
              <w:rPr>
                <w:rFonts w:ascii="宋体" w:hAnsi="宋体"/>
                <w:color w:val="auto"/>
                <w:szCs w:val="21"/>
                <w:highlight w:val="none"/>
              </w:rPr>
            </w:pPr>
            <w:r>
              <w:rPr>
                <w:rFonts w:ascii="宋体" w:hAnsi="宋体"/>
                <w:color w:val="auto"/>
                <w:szCs w:val="21"/>
                <w:highlight w:val="none"/>
              </w:rPr>
              <w:t>甲方地址</w:t>
            </w:r>
          </w:p>
        </w:tc>
        <w:tc>
          <w:tcPr>
            <w:tcW w:w="5880" w:type="dxa"/>
            <w:tcBorders>
              <w:top w:val="single" w:color="auto" w:sz="6" w:space="0"/>
              <w:left w:val="single" w:color="auto" w:sz="6" w:space="0"/>
              <w:bottom w:val="single" w:color="auto" w:sz="6" w:space="0"/>
              <w:right w:val="single" w:color="auto" w:sz="4" w:space="0"/>
            </w:tcBorders>
            <w:vAlign w:val="center"/>
          </w:tcPr>
          <w:p>
            <w:pPr>
              <w:tabs>
                <w:tab w:val="left" w:pos="700"/>
              </w:tabs>
              <w:spacing w:line="320" w:lineRule="exact"/>
              <w:rPr>
                <w:rFonts w:ascii="宋体" w:hAnsi="宋体"/>
                <w:color w:val="auto"/>
                <w:szCs w:val="21"/>
                <w:highlight w:val="none"/>
              </w:rPr>
            </w:pPr>
            <w:r>
              <w:rPr>
                <w:rFonts w:hint="eastAsia"/>
                <w:color w:val="auto"/>
                <w:highlight w:val="none"/>
              </w:rPr>
              <w:t>辽宁省沈阳市沈河区青年大街256号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710" w:type="dxa"/>
            <w:vMerge w:val="continue"/>
            <w:tcBorders>
              <w:left w:val="single" w:color="auto" w:sz="4" w:space="0"/>
              <w:right w:val="single" w:color="auto" w:sz="4" w:space="0"/>
            </w:tcBorders>
            <w:vAlign w:val="center"/>
          </w:tcPr>
          <w:p>
            <w:pPr>
              <w:widowControl/>
              <w:rPr>
                <w:rFonts w:ascii="宋体" w:hAnsi="宋体"/>
                <w:color w:val="auto"/>
                <w:szCs w:val="21"/>
                <w:highlight w:val="none"/>
              </w:rPr>
            </w:pPr>
          </w:p>
        </w:tc>
        <w:tc>
          <w:tcPr>
            <w:tcW w:w="709" w:type="dxa"/>
            <w:vMerge w:val="restart"/>
            <w:tcBorders>
              <w:top w:val="single" w:color="auto" w:sz="6" w:space="0"/>
              <w:left w:val="single" w:color="auto" w:sz="4" w:space="0"/>
              <w:right w:val="single" w:color="auto" w:sz="4" w:space="0"/>
            </w:tcBorders>
            <w:vAlign w:val="center"/>
          </w:tcPr>
          <w:p>
            <w:pPr>
              <w:tabs>
                <w:tab w:val="left" w:pos="700"/>
              </w:tabs>
              <w:spacing w:line="320" w:lineRule="exact"/>
              <w:jc w:val="center"/>
              <w:rPr>
                <w:rFonts w:ascii="宋体" w:hAnsi="宋体"/>
                <w:color w:val="auto"/>
                <w:szCs w:val="21"/>
                <w:highlight w:val="none"/>
              </w:rPr>
            </w:pPr>
            <w:r>
              <w:rPr>
                <w:rFonts w:ascii="宋体" w:hAnsi="宋体"/>
                <w:color w:val="auto"/>
                <w:szCs w:val="21"/>
                <w:highlight w:val="none"/>
              </w:rPr>
              <w:t>甲方相关部门</w:t>
            </w:r>
          </w:p>
        </w:tc>
        <w:tc>
          <w:tcPr>
            <w:tcW w:w="1491" w:type="dxa"/>
            <w:tcBorders>
              <w:top w:val="single" w:color="auto" w:sz="6" w:space="0"/>
              <w:left w:val="single" w:color="auto" w:sz="4" w:space="0"/>
              <w:bottom w:val="single" w:color="auto" w:sz="6" w:space="0"/>
              <w:right w:val="single" w:color="auto" w:sz="6" w:space="0"/>
            </w:tcBorders>
            <w:vAlign w:val="center"/>
          </w:tcPr>
          <w:p>
            <w:pPr>
              <w:tabs>
                <w:tab w:val="left" w:pos="700"/>
              </w:tabs>
              <w:spacing w:line="320" w:lineRule="exact"/>
              <w:jc w:val="center"/>
              <w:rPr>
                <w:rFonts w:ascii="宋体" w:hAnsi="宋体"/>
                <w:color w:val="auto"/>
                <w:szCs w:val="21"/>
                <w:highlight w:val="none"/>
              </w:rPr>
            </w:pPr>
            <w:r>
              <w:rPr>
                <w:rFonts w:ascii="宋体" w:hAnsi="宋体"/>
                <w:color w:val="auto"/>
                <w:szCs w:val="21"/>
                <w:highlight w:val="none"/>
              </w:rPr>
              <w:t>甲方采购部门</w:t>
            </w:r>
          </w:p>
        </w:tc>
        <w:tc>
          <w:tcPr>
            <w:tcW w:w="5880" w:type="dxa"/>
            <w:tcBorders>
              <w:top w:val="single" w:color="auto" w:sz="6" w:space="0"/>
              <w:left w:val="single" w:color="auto" w:sz="6" w:space="0"/>
              <w:bottom w:val="single" w:color="auto" w:sz="6" w:space="0"/>
              <w:right w:val="single" w:color="auto" w:sz="4" w:space="0"/>
            </w:tcBorders>
            <w:vAlign w:val="center"/>
          </w:tcPr>
          <w:p>
            <w:pPr>
              <w:tabs>
                <w:tab w:val="left" w:pos="700"/>
              </w:tabs>
              <w:spacing w:line="320" w:lineRule="exact"/>
              <w:rPr>
                <w:rFonts w:ascii="宋体" w:hAnsi="宋体"/>
                <w:color w:val="auto"/>
                <w:szCs w:val="21"/>
                <w:highlight w:val="none"/>
              </w:rPr>
            </w:pPr>
            <w:r>
              <w:rPr>
                <w:rFonts w:ascii="宋体" w:hAnsi="宋体"/>
                <w:color w:val="auto"/>
                <w:szCs w:val="21"/>
                <w:highlight w:val="none"/>
              </w:rPr>
              <w:t>财务管理处（装备和采购处）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710" w:type="dxa"/>
            <w:vMerge w:val="continue"/>
            <w:tcBorders>
              <w:left w:val="single" w:color="auto" w:sz="4" w:space="0"/>
              <w:right w:val="single" w:color="auto" w:sz="4" w:space="0"/>
            </w:tcBorders>
            <w:vAlign w:val="center"/>
          </w:tcPr>
          <w:p>
            <w:pPr>
              <w:widowControl/>
              <w:rPr>
                <w:rFonts w:ascii="宋体" w:hAnsi="宋体"/>
                <w:color w:val="auto"/>
                <w:szCs w:val="21"/>
                <w:highlight w:val="none"/>
              </w:rPr>
            </w:pPr>
          </w:p>
        </w:tc>
        <w:tc>
          <w:tcPr>
            <w:tcW w:w="709" w:type="dxa"/>
            <w:vMerge w:val="continue"/>
            <w:tcBorders>
              <w:left w:val="single" w:color="auto" w:sz="4" w:space="0"/>
              <w:right w:val="single" w:color="auto" w:sz="4" w:space="0"/>
            </w:tcBorders>
            <w:vAlign w:val="center"/>
          </w:tcPr>
          <w:p>
            <w:pPr>
              <w:tabs>
                <w:tab w:val="left" w:pos="700"/>
              </w:tabs>
              <w:spacing w:line="320" w:lineRule="exact"/>
              <w:jc w:val="center"/>
              <w:rPr>
                <w:rFonts w:ascii="宋体" w:hAnsi="宋体"/>
                <w:color w:val="auto"/>
                <w:szCs w:val="21"/>
                <w:highlight w:val="none"/>
              </w:rPr>
            </w:pPr>
          </w:p>
        </w:tc>
        <w:tc>
          <w:tcPr>
            <w:tcW w:w="1491" w:type="dxa"/>
            <w:tcBorders>
              <w:top w:val="single" w:color="auto" w:sz="6" w:space="0"/>
              <w:left w:val="single" w:color="auto" w:sz="4" w:space="0"/>
              <w:bottom w:val="single" w:color="auto" w:sz="6" w:space="0"/>
              <w:right w:val="single" w:color="auto" w:sz="6" w:space="0"/>
            </w:tcBorders>
            <w:vAlign w:val="center"/>
          </w:tcPr>
          <w:p>
            <w:pPr>
              <w:tabs>
                <w:tab w:val="left" w:pos="700"/>
              </w:tabs>
              <w:spacing w:line="320" w:lineRule="exact"/>
              <w:jc w:val="center"/>
              <w:rPr>
                <w:rFonts w:ascii="宋体" w:hAnsi="宋体"/>
                <w:color w:val="auto"/>
                <w:szCs w:val="21"/>
                <w:highlight w:val="none"/>
              </w:rPr>
            </w:pPr>
            <w:r>
              <w:rPr>
                <w:rFonts w:ascii="宋体" w:hAnsi="宋体"/>
                <w:color w:val="auto"/>
                <w:szCs w:val="21"/>
                <w:highlight w:val="none"/>
              </w:rPr>
              <w:t>联系人</w:t>
            </w:r>
          </w:p>
        </w:tc>
        <w:tc>
          <w:tcPr>
            <w:tcW w:w="5880" w:type="dxa"/>
            <w:tcBorders>
              <w:top w:val="single" w:color="auto" w:sz="6" w:space="0"/>
              <w:left w:val="single" w:color="auto" w:sz="6" w:space="0"/>
              <w:bottom w:val="single" w:color="auto" w:sz="6" w:space="0"/>
              <w:right w:val="single" w:color="auto" w:sz="4" w:space="0"/>
            </w:tcBorders>
            <w:vAlign w:val="center"/>
          </w:tcPr>
          <w:p>
            <w:pPr>
              <w:tabs>
                <w:tab w:val="left" w:pos="700"/>
              </w:tabs>
              <w:spacing w:line="320" w:lineRule="exact"/>
              <w:rPr>
                <w:rFonts w:hint="eastAsia" w:ascii="宋体" w:hAnsi="宋体" w:eastAsia="宋体"/>
                <w:color w:val="auto"/>
                <w:szCs w:val="21"/>
                <w:highlight w:val="none"/>
                <w:lang w:eastAsia="zh-CN"/>
              </w:rPr>
            </w:pPr>
            <w:r>
              <w:rPr>
                <w:rFonts w:hint="eastAsia" w:ascii="宋体" w:hAnsi="宋体"/>
                <w:color w:val="auto"/>
                <w:szCs w:val="21"/>
                <w:highlight w:val="none"/>
              </w:rPr>
              <w:t>李</w:t>
            </w:r>
            <w:r>
              <w:rPr>
                <w:rFonts w:hint="eastAsia" w:ascii="宋体" w:hAnsi="宋体"/>
                <w:color w:val="auto"/>
                <w:szCs w:val="21"/>
                <w:highlight w:val="none"/>
                <w:lang w:eastAsia="zh-CN"/>
              </w:rPr>
              <w:t>应宏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710" w:type="dxa"/>
            <w:vMerge w:val="continue"/>
            <w:tcBorders>
              <w:left w:val="single" w:color="auto" w:sz="4" w:space="0"/>
              <w:right w:val="single" w:color="auto" w:sz="4" w:space="0"/>
            </w:tcBorders>
            <w:vAlign w:val="center"/>
          </w:tcPr>
          <w:p>
            <w:pPr>
              <w:widowControl/>
              <w:rPr>
                <w:rFonts w:ascii="宋体" w:hAnsi="宋体"/>
                <w:color w:val="auto"/>
                <w:szCs w:val="21"/>
                <w:highlight w:val="none"/>
              </w:rPr>
            </w:pPr>
          </w:p>
        </w:tc>
        <w:tc>
          <w:tcPr>
            <w:tcW w:w="709" w:type="dxa"/>
            <w:vMerge w:val="continue"/>
            <w:tcBorders>
              <w:left w:val="single" w:color="auto" w:sz="4" w:space="0"/>
              <w:right w:val="single" w:color="auto" w:sz="4" w:space="0"/>
            </w:tcBorders>
            <w:vAlign w:val="center"/>
          </w:tcPr>
          <w:p>
            <w:pPr>
              <w:tabs>
                <w:tab w:val="left" w:pos="700"/>
              </w:tabs>
              <w:spacing w:line="320" w:lineRule="exact"/>
              <w:jc w:val="center"/>
              <w:rPr>
                <w:rFonts w:ascii="宋体" w:hAnsi="宋体"/>
                <w:color w:val="auto"/>
                <w:szCs w:val="21"/>
                <w:highlight w:val="none"/>
              </w:rPr>
            </w:pPr>
          </w:p>
        </w:tc>
        <w:tc>
          <w:tcPr>
            <w:tcW w:w="1491" w:type="dxa"/>
            <w:tcBorders>
              <w:top w:val="single" w:color="auto" w:sz="6" w:space="0"/>
              <w:left w:val="single" w:color="auto" w:sz="4" w:space="0"/>
              <w:bottom w:val="single" w:color="auto" w:sz="4" w:space="0"/>
              <w:right w:val="single" w:color="auto" w:sz="6" w:space="0"/>
            </w:tcBorders>
            <w:vAlign w:val="center"/>
          </w:tcPr>
          <w:p>
            <w:pPr>
              <w:tabs>
                <w:tab w:val="left" w:pos="700"/>
              </w:tabs>
              <w:spacing w:line="320" w:lineRule="exact"/>
              <w:jc w:val="center"/>
              <w:rPr>
                <w:rFonts w:ascii="宋体" w:hAnsi="宋体"/>
                <w:color w:val="auto"/>
                <w:szCs w:val="21"/>
                <w:highlight w:val="none"/>
              </w:rPr>
            </w:pPr>
            <w:r>
              <w:rPr>
                <w:rFonts w:ascii="宋体" w:hAnsi="宋体"/>
                <w:color w:val="auto"/>
                <w:szCs w:val="21"/>
                <w:highlight w:val="none"/>
              </w:rPr>
              <w:t>联系电话</w:t>
            </w:r>
          </w:p>
        </w:tc>
        <w:tc>
          <w:tcPr>
            <w:tcW w:w="5880" w:type="dxa"/>
            <w:tcBorders>
              <w:top w:val="single" w:color="auto" w:sz="6" w:space="0"/>
              <w:left w:val="single" w:color="auto" w:sz="6" w:space="0"/>
              <w:bottom w:val="single" w:color="auto" w:sz="4" w:space="0"/>
              <w:right w:val="single" w:color="auto" w:sz="4" w:space="0"/>
            </w:tcBorders>
            <w:vAlign w:val="center"/>
          </w:tcPr>
          <w:p>
            <w:pPr>
              <w:tabs>
                <w:tab w:val="left" w:pos="700"/>
              </w:tabs>
              <w:spacing w:line="320" w:lineRule="exact"/>
              <w:rPr>
                <w:rFonts w:ascii="宋体" w:hAnsi="宋体"/>
                <w:color w:val="auto"/>
                <w:szCs w:val="21"/>
                <w:highlight w:val="none"/>
              </w:rPr>
            </w:pPr>
            <w:r>
              <w:rPr>
                <w:rFonts w:ascii="宋体" w:hAnsi="宋体"/>
                <w:color w:val="auto"/>
                <w:szCs w:val="21"/>
                <w:highlight w:val="none"/>
              </w:rPr>
              <w:t>024-</w:t>
            </w:r>
            <w:r>
              <w:rPr>
                <w:rFonts w:hint="eastAsia" w:ascii="宋体" w:hAnsi="宋体"/>
                <w:color w:val="auto"/>
                <w:szCs w:val="21"/>
                <w:highlight w:val="none"/>
              </w:rPr>
              <w:t>81180258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710" w:type="dxa"/>
            <w:vMerge w:val="continue"/>
            <w:tcBorders>
              <w:left w:val="single" w:color="auto" w:sz="4" w:space="0"/>
              <w:right w:val="single" w:color="auto" w:sz="4" w:space="0"/>
            </w:tcBorders>
            <w:vAlign w:val="center"/>
          </w:tcPr>
          <w:p>
            <w:pPr>
              <w:widowControl/>
              <w:rPr>
                <w:rFonts w:ascii="宋体" w:hAnsi="宋体"/>
                <w:color w:val="auto"/>
                <w:szCs w:val="21"/>
                <w:highlight w:val="none"/>
              </w:rPr>
            </w:pPr>
          </w:p>
        </w:tc>
        <w:tc>
          <w:tcPr>
            <w:tcW w:w="709" w:type="dxa"/>
            <w:vMerge w:val="continue"/>
            <w:tcBorders>
              <w:left w:val="single" w:color="auto" w:sz="4" w:space="0"/>
              <w:right w:val="single" w:color="auto" w:sz="4" w:space="0"/>
            </w:tcBorders>
            <w:vAlign w:val="center"/>
          </w:tcPr>
          <w:p>
            <w:pPr>
              <w:tabs>
                <w:tab w:val="left" w:pos="700"/>
              </w:tabs>
              <w:spacing w:line="320" w:lineRule="exact"/>
              <w:jc w:val="center"/>
              <w:rPr>
                <w:rFonts w:ascii="宋体" w:hAnsi="宋体"/>
                <w:color w:val="auto"/>
                <w:szCs w:val="21"/>
                <w:highlight w:val="none"/>
              </w:rPr>
            </w:pPr>
          </w:p>
        </w:tc>
        <w:tc>
          <w:tcPr>
            <w:tcW w:w="1491" w:type="dxa"/>
            <w:tcBorders>
              <w:top w:val="single" w:color="auto" w:sz="6" w:space="0"/>
              <w:left w:val="single" w:color="auto" w:sz="4" w:space="0"/>
              <w:bottom w:val="single" w:color="auto" w:sz="4" w:space="0"/>
              <w:right w:val="single" w:color="auto" w:sz="6" w:space="0"/>
            </w:tcBorders>
            <w:vAlign w:val="center"/>
          </w:tcPr>
          <w:p>
            <w:pPr>
              <w:tabs>
                <w:tab w:val="left" w:pos="700"/>
              </w:tabs>
              <w:spacing w:line="320" w:lineRule="exact"/>
              <w:jc w:val="center"/>
              <w:rPr>
                <w:rFonts w:ascii="宋体" w:hAnsi="宋体"/>
                <w:color w:val="auto"/>
                <w:szCs w:val="21"/>
                <w:highlight w:val="none"/>
              </w:rPr>
            </w:pPr>
            <w:r>
              <w:rPr>
                <w:rFonts w:ascii="宋体" w:hAnsi="宋体"/>
                <w:color w:val="auto"/>
                <w:szCs w:val="21"/>
                <w:highlight w:val="none"/>
              </w:rPr>
              <w:t>甲方业务部门</w:t>
            </w:r>
          </w:p>
        </w:tc>
        <w:tc>
          <w:tcPr>
            <w:tcW w:w="5880" w:type="dxa"/>
            <w:tcBorders>
              <w:top w:val="single" w:color="auto" w:sz="6" w:space="0"/>
              <w:left w:val="single" w:color="auto" w:sz="6" w:space="0"/>
              <w:bottom w:val="single" w:color="auto" w:sz="4" w:space="0"/>
              <w:right w:val="single" w:color="auto" w:sz="4" w:space="0"/>
            </w:tcBorders>
            <w:vAlign w:val="center"/>
          </w:tcPr>
          <w:p>
            <w:pPr>
              <w:tabs>
                <w:tab w:val="left" w:pos="700"/>
              </w:tabs>
              <w:spacing w:line="320" w:lineRule="exact"/>
              <w:rPr>
                <w:rFonts w:ascii="宋体" w:hAnsi="宋体"/>
                <w:color w:val="auto"/>
                <w:szCs w:val="21"/>
                <w:highlight w:val="none"/>
              </w:rPr>
            </w:pPr>
            <w:r>
              <w:rPr>
                <w:rFonts w:ascii="宋体" w:hAnsi="宋体"/>
                <w:color w:val="auto"/>
                <w:szCs w:val="21"/>
                <w:highlight w:val="none"/>
              </w:rPr>
              <w:t>信息中心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710" w:type="dxa"/>
            <w:vMerge w:val="continue"/>
            <w:tcBorders>
              <w:left w:val="single" w:color="auto" w:sz="4" w:space="0"/>
              <w:right w:val="single" w:color="auto" w:sz="4" w:space="0"/>
            </w:tcBorders>
            <w:vAlign w:val="center"/>
          </w:tcPr>
          <w:p>
            <w:pPr>
              <w:widowControl/>
              <w:rPr>
                <w:rFonts w:ascii="宋体" w:hAnsi="宋体"/>
                <w:color w:val="auto"/>
                <w:szCs w:val="21"/>
                <w:highlight w:val="none"/>
              </w:rPr>
            </w:pPr>
          </w:p>
        </w:tc>
        <w:tc>
          <w:tcPr>
            <w:tcW w:w="709" w:type="dxa"/>
            <w:vMerge w:val="continue"/>
            <w:tcBorders>
              <w:left w:val="single" w:color="auto" w:sz="4" w:space="0"/>
              <w:right w:val="single" w:color="auto" w:sz="4" w:space="0"/>
            </w:tcBorders>
            <w:vAlign w:val="center"/>
          </w:tcPr>
          <w:p>
            <w:pPr>
              <w:tabs>
                <w:tab w:val="left" w:pos="700"/>
              </w:tabs>
              <w:spacing w:line="320" w:lineRule="exact"/>
              <w:jc w:val="center"/>
              <w:rPr>
                <w:rFonts w:ascii="宋体" w:hAnsi="宋体"/>
                <w:color w:val="auto"/>
                <w:szCs w:val="21"/>
                <w:highlight w:val="none"/>
              </w:rPr>
            </w:pPr>
          </w:p>
        </w:tc>
        <w:tc>
          <w:tcPr>
            <w:tcW w:w="1491" w:type="dxa"/>
            <w:tcBorders>
              <w:top w:val="single" w:color="auto" w:sz="6" w:space="0"/>
              <w:left w:val="single" w:color="auto" w:sz="4" w:space="0"/>
              <w:bottom w:val="single" w:color="auto" w:sz="4" w:space="0"/>
              <w:right w:val="single" w:color="auto" w:sz="6" w:space="0"/>
            </w:tcBorders>
            <w:vAlign w:val="center"/>
          </w:tcPr>
          <w:p>
            <w:pPr>
              <w:tabs>
                <w:tab w:val="left" w:pos="700"/>
              </w:tabs>
              <w:spacing w:line="320" w:lineRule="exact"/>
              <w:jc w:val="center"/>
              <w:rPr>
                <w:rFonts w:ascii="宋体" w:hAnsi="宋体"/>
                <w:color w:val="auto"/>
                <w:szCs w:val="21"/>
                <w:highlight w:val="none"/>
              </w:rPr>
            </w:pPr>
            <w:r>
              <w:rPr>
                <w:rFonts w:ascii="宋体" w:hAnsi="宋体"/>
                <w:color w:val="auto"/>
                <w:szCs w:val="21"/>
                <w:highlight w:val="none"/>
              </w:rPr>
              <w:t>联系人</w:t>
            </w:r>
          </w:p>
        </w:tc>
        <w:tc>
          <w:tcPr>
            <w:tcW w:w="5880" w:type="dxa"/>
            <w:tcBorders>
              <w:top w:val="single" w:color="auto" w:sz="6" w:space="0"/>
              <w:left w:val="single" w:color="auto" w:sz="6" w:space="0"/>
              <w:bottom w:val="single" w:color="auto" w:sz="4" w:space="0"/>
              <w:right w:val="single" w:color="auto" w:sz="4" w:space="0"/>
            </w:tcBorders>
            <w:vAlign w:val="center"/>
          </w:tcPr>
          <w:p>
            <w:pPr>
              <w:tabs>
                <w:tab w:val="left" w:pos="700"/>
              </w:tabs>
              <w:spacing w:line="320" w:lineRule="exact"/>
              <w:rPr>
                <w:rFonts w:hint="eastAsia" w:ascii="宋体" w:hAnsi="宋体" w:eastAsia="宋体"/>
                <w:color w:val="auto"/>
                <w:szCs w:val="21"/>
                <w:highlight w:val="none"/>
                <w:lang w:eastAsia="zh-CN"/>
              </w:rPr>
            </w:pPr>
            <w:r>
              <w:rPr>
                <w:rFonts w:hint="eastAsia" w:ascii="宋体" w:hAnsi="宋体"/>
                <w:color w:val="auto"/>
                <w:szCs w:val="21"/>
                <w:highlight w:val="none"/>
              </w:rPr>
              <w:t>罗</w:t>
            </w:r>
            <w:r>
              <w:rPr>
                <w:rFonts w:hint="eastAsia" w:ascii="宋体" w:hAnsi="宋体"/>
                <w:color w:val="auto"/>
                <w:szCs w:val="21"/>
                <w:highlight w:val="none"/>
                <w:lang w:eastAsia="zh-CN"/>
              </w:rPr>
              <w:t>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710" w:type="dxa"/>
            <w:vMerge w:val="continue"/>
            <w:tcBorders>
              <w:left w:val="single" w:color="auto" w:sz="4" w:space="0"/>
              <w:bottom w:val="single" w:color="auto" w:sz="4" w:space="0"/>
              <w:right w:val="single" w:color="auto" w:sz="4" w:space="0"/>
            </w:tcBorders>
            <w:vAlign w:val="center"/>
          </w:tcPr>
          <w:p>
            <w:pPr>
              <w:widowControl/>
              <w:rPr>
                <w:rFonts w:ascii="宋体" w:hAnsi="宋体"/>
                <w:color w:val="auto"/>
                <w:szCs w:val="21"/>
                <w:highlight w:val="none"/>
              </w:rPr>
            </w:pPr>
          </w:p>
        </w:tc>
        <w:tc>
          <w:tcPr>
            <w:tcW w:w="709" w:type="dxa"/>
            <w:vMerge w:val="continue"/>
            <w:tcBorders>
              <w:left w:val="single" w:color="auto" w:sz="4" w:space="0"/>
              <w:bottom w:val="single" w:color="auto" w:sz="4" w:space="0"/>
              <w:right w:val="single" w:color="auto" w:sz="4" w:space="0"/>
            </w:tcBorders>
            <w:vAlign w:val="center"/>
          </w:tcPr>
          <w:p>
            <w:pPr>
              <w:tabs>
                <w:tab w:val="left" w:pos="700"/>
              </w:tabs>
              <w:spacing w:line="320" w:lineRule="exact"/>
              <w:jc w:val="center"/>
              <w:rPr>
                <w:rFonts w:ascii="宋体" w:hAnsi="宋体"/>
                <w:color w:val="auto"/>
                <w:szCs w:val="21"/>
                <w:highlight w:val="none"/>
              </w:rPr>
            </w:pPr>
          </w:p>
        </w:tc>
        <w:tc>
          <w:tcPr>
            <w:tcW w:w="1491" w:type="dxa"/>
            <w:tcBorders>
              <w:top w:val="single" w:color="auto" w:sz="6" w:space="0"/>
              <w:left w:val="single" w:color="auto" w:sz="4" w:space="0"/>
              <w:bottom w:val="single" w:color="auto" w:sz="4" w:space="0"/>
              <w:right w:val="single" w:color="auto" w:sz="6" w:space="0"/>
            </w:tcBorders>
            <w:vAlign w:val="center"/>
          </w:tcPr>
          <w:p>
            <w:pPr>
              <w:tabs>
                <w:tab w:val="left" w:pos="700"/>
              </w:tabs>
              <w:spacing w:line="320" w:lineRule="exact"/>
              <w:jc w:val="center"/>
              <w:rPr>
                <w:rFonts w:ascii="宋体" w:hAnsi="宋体"/>
                <w:color w:val="auto"/>
                <w:szCs w:val="21"/>
                <w:highlight w:val="none"/>
              </w:rPr>
            </w:pPr>
            <w:r>
              <w:rPr>
                <w:rFonts w:ascii="宋体" w:hAnsi="宋体"/>
                <w:color w:val="auto"/>
                <w:szCs w:val="21"/>
                <w:highlight w:val="none"/>
              </w:rPr>
              <w:t>联系电话</w:t>
            </w:r>
          </w:p>
        </w:tc>
        <w:tc>
          <w:tcPr>
            <w:tcW w:w="5880" w:type="dxa"/>
            <w:tcBorders>
              <w:top w:val="single" w:color="auto" w:sz="6" w:space="0"/>
              <w:left w:val="single" w:color="auto" w:sz="6" w:space="0"/>
              <w:bottom w:val="single" w:color="auto" w:sz="4" w:space="0"/>
              <w:right w:val="single" w:color="auto" w:sz="4" w:space="0"/>
            </w:tcBorders>
            <w:vAlign w:val="center"/>
          </w:tcPr>
          <w:p>
            <w:pPr>
              <w:tabs>
                <w:tab w:val="left" w:pos="700"/>
              </w:tabs>
              <w:spacing w:line="320" w:lineRule="exact"/>
              <w:rPr>
                <w:rFonts w:ascii="宋体" w:hAnsi="宋体"/>
                <w:color w:val="auto"/>
                <w:szCs w:val="21"/>
                <w:highlight w:val="none"/>
              </w:rPr>
            </w:pPr>
            <w:r>
              <w:rPr>
                <w:rFonts w:hint="eastAsia" w:ascii="宋体" w:hAnsi="宋体"/>
                <w:color w:val="auto"/>
                <w:szCs w:val="21"/>
                <w:highlight w:val="none"/>
              </w:rPr>
              <w:t>024-81180932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exact"/>
        </w:trPr>
        <w:tc>
          <w:tcPr>
            <w:tcW w:w="710" w:type="dxa"/>
            <w:vMerge w:val="restart"/>
            <w:tcBorders>
              <w:top w:val="single" w:color="auto" w:sz="4" w:space="0"/>
              <w:left w:val="single" w:color="auto" w:sz="4" w:space="0"/>
              <w:bottom w:val="single" w:color="auto" w:sz="4" w:space="0"/>
              <w:right w:val="single" w:color="auto" w:sz="4" w:space="0"/>
            </w:tcBorders>
            <w:vAlign w:val="center"/>
          </w:tcPr>
          <w:p>
            <w:pPr>
              <w:tabs>
                <w:tab w:val="left" w:pos="700"/>
              </w:tabs>
              <w:spacing w:line="460" w:lineRule="exact"/>
              <w:jc w:val="center"/>
              <w:rPr>
                <w:rFonts w:ascii="宋体" w:hAnsi="宋体"/>
                <w:color w:val="auto"/>
                <w:szCs w:val="21"/>
                <w:highlight w:val="none"/>
              </w:rPr>
            </w:pPr>
            <w:r>
              <w:rPr>
                <w:rFonts w:ascii="宋体" w:hAnsi="宋体"/>
                <w:color w:val="auto"/>
                <w:szCs w:val="21"/>
                <w:highlight w:val="none"/>
              </w:rPr>
              <w:t>6</w:t>
            </w:r>
          </w:p>
        </w:tc>
        <w:tc>
          <w:tcPr>
            <w:tcW w:w="2200"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ascii="宋体" w:hAnsi="宋体"/>
                <w:color w:val="auto"/>
                <w:szCs w:val="21"/>
                <w:highlight w:val="none"/>
              </w:rPr>
            </w:pPr>
            <w:r>
              <w:rPr>
                <w:rFonts w:ascii="宋体" w:hAnsi="宋体"/>
                <w:color w:val="auto"/>
                <w:szCs w:val="21"/>
                <w:highlight w:val="none"/>
              </w:rPr>
              <w:t>乙方名称</w:t>
            </w:r>
          </w:p>
        </w:tc>
        <w:tc>
          <w:tcPr>
            <w:tcW w:w="5880" w:type="dxa"/>
            <w:tcBorders>
              <w:top w:val="single" w:color="auto" w:sz="4" w:space="0"/>
              <w:left w:val="single" w:color="auto" w:sz="4" w:space="0"/>
              <w:bottom w:val="single" w:color="auto" w:sz="4" w:space="0"/>
              <w:right w:val="single" w:color="auto" w:sz="4" w:space="0"/>
            </w:tcBorders>
            <w:vAlign w:val="center"/>
          </w:tcPr>
          <w:p>
            <w:pPr>
              <w:tabs>
                <w:tab w:val="left" w:pos="700"/>
              </w:tabs>
              <w:spacing w:line="32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auto"/>
                <w:szCs w:val="21"/>
                <w:highlight w:val="none"/>
              </w:rPr>
            </w:pPr>
          </w:p>
        </w:tc>
        <w:tc>
          <w:tcPr>
            <w:tcW w:w="2200"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spacing w:line="320" w:lineRule="exact"/>
              <w:jc w:val="center"/>
              <w:rPr>
                <w:rFonts w:ascii="宋体" w:hAnsi="宋体"/>
                <w:color w:val="auto"/>
                <w:szCs w:val="21"/>
                <w:highlight w:val="none"/>
              </w:rPr>
            </w:pPr>
            <w:r>
              <w:rPr>
                <w:rFonts w:ascii="宋体" w:hAnsi="宋体"/>
                <w:color w:val="auto"/>
                <w:szCs w:val="21"/>
                <w:highlight w:val="none"/>
              </w:rPr>
              <w:t>乙方企业性质</w:t>
            </w:r>
          </w:p>
        </w:tc>
        <w:tc>
          <w:tcPr>
            <w:tcW w:w="5880"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rPr>
                <w:rFonts w:ascii="宋体" w:hAnsi="宋体"/>
                <w:color w:val="auto"/>
                <w:highlight w:val="none"/>
              </w:rPr>
            </w:pPr>
            <w:r>
              <w:rPr>
                <w:rFonts w:ascii="宋体" w:hAnsi="宋体"/>
                <w:color w:val="auto"/>
                <w:highlight w:val="none"/>
              </w:rPr>
              <w:t xml:space="preserve">□ 中型企业     □ 小型企业            □ 微型企业    </w:t>
            </w:r>
          </w:p>
          <w:p>
            <w:pPr>
              <w:tabs>
                <w:tab w:val="left" w:pos="700"/>
              </w:tabs>
              <w:adjustRightInd w:val="0"/>
              <w:snapToGrid w:val="0"/>
              <w:rPr>
                <w:rFonts w:ascii="宋体" w:hAnsi="宋体"/>
                <w:color w:val="auto"/>
                <w:highlight w:val="none"/>
              </w:rPr>
            </w:pPr>
            <w:r>
              <w:rPr>
                <w:rFonts w:ascii="宋体" w:hAnsi="宋体"/>
                <w:color w:val="auto"/>
                <w:highlight w:val="none"/>
              </w:rPr>
              <w:t>□ 监狱企业     □ 残疾人福利性单位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auto"/>
                <w:szCs w:val="21"/>
                <w:highlight w:val="none"/>
              </w:rPr>
            </w:pPr>
          </w:p>
        </w:tc>
        <w:tc>
          <w:tcPr>
            <w:tcW w:w="2200"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spacing w:line="320" w:lineRule="exact"/>
              <w:jc w:val="center"/>
              <w:rPr>
                <w:rFonts w:ascii="宋体" w:hAnsi="宋体"/>
                <w:color w:val="auto"/>
                <w:szCs w:val="21"/>
                <w:highlight w:val="none"/>
              </w:rPr>
            </w:pPr>
            <w:r>
              <w:rPr>
                <w:rFonts w:ascii="宋体" w:hAnsi="宋体"/>
                <w:color w:val="auto"/>
                <w:szCs w:val="21"/>
                <w:highlight w:val="none"/>
              </w:rPr>
              <w:t>乙方地址</w:t>
            </w:r>
          </w:p>
        </w:tc>
        <w:tc>
          <w:tcPr>
            <w:tcW w:w="5880" w:type="dxa"/>
            <w:tcBorders>
              <w:top w:val="single" w:color="auto" w:sz="4" w:space="0"/>
              <w:left w:val="single" w:color="auto" w:sz="4" w:space="0"/>
              <w:bottom w:val="single" w:color="auto" w:sz="4" w:space="0"/>
              <w:right w:val="single" w:color="auto" w:sz="4" w:space="0"/>
            </w:tcBorders>
            <w:vAlign w:val="center"/>
          </w:tcPr>
          <w:p>
            <w:pPr>
              <w:tabs>
                <w:tab w:val="left" w:pos="700"/>
              </w:tabs>
              <w:spacing w:line="32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auto"/>
                <w:szCs w:val="21"/>
                <w:highlight w:val="none"/>
              </w:rPr>
            </w:pPr>
          </w:p>
        </w:tc>
        <w:tc>
          <w:tcPr>
            <w:tcW w:w="2200"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spacing w:line="320" w:lineRule="exact"/>
              <w:jc w:val="center"/>
              <w:rPr>
                <w:rFonts w:ascii="宋体" w:hAnsi="宋体"/>
                <w:color w:val="auto"/>
                <w:szCs w:val="21"/>
                <w:highlight w:val="none"/>
              </w:rPr>
            </w:pPr>
            <w:r>
              <w:rPr>
                <w:rFonts w:ascii="宋体" w:hAnsi="宋体"/>
                <w:color w:val="auto"/>
                <w:szCs w:val="21"/>
                <w:highlight w:val="none"/>
              </w:rPr>
              <w:t>乙方联系人</w:t>
            </w:r>
          </w:p>
        </w:tc>
        <w:tc>
          <w:tcPr>
            <w:tcW w:w="5880" w:type="dxa"/>
            <w:tcBorders>
              <w:top w:val="single" w:color="auto" w:sz="4" w:space="0"/>
              <w:left w:val="single" w:color="auto" w:sz="4" w:space="0"/>
              <w:bottom w:val="single" w:color="auto" w:sz="4" w:space="0"/>
              <w:right w:val="single" w:color="auto" w:sz="4" w:space="0"/>
            </w:tcBorders>
            <w:vAlign w:val="center"/>
          </w:tcPr>
          <w:p>
            <w:pPr>
              <w:tabs>
                <w:tab w:val="left" w:pos="700"/>
              </w:tabs>
              <w:spacing w:line="32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exac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auto"/>
                <w:szCs w:val="21"/>
                <w:highlight w:val="none"/>
              </w:rPr>
            </w:pPr>
          </w:p>
        </w:tc>
        <w:tc>
          <w:tcPr>
            <w:tcW w:w="2200"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spacing w:line="320" w:lineRule="exact"/>
              <w:jc w:val="center"/>
              <w:rPr>
                <w:rFonts w:ascii="宋体" w:hAnsi="宋体"/>
                <w:color w:val="auto"/>
                <w:szCs w:val="21"/>
                <w:highlight w:val="none"/>
              </w:rPr>
            </w:pPr>
            <w:r>
              <w:rPr>
                <w:rFonts w:ascii="宋体" w:hAnsi="宋体"/>
                <w:color w:val="auto"/>
                <w:szCs w:val="21"/>
                <w:highlight w:val="none"/>
              </w:rPr>
              <w:t>联系电话</w:t>
            </w:r>
          </w:p>
        </w:tc>
        <w:tc>
          <w:tcPr>
            <w:tcW w:w="5880" w:type="dxa"/>
            <w:tcBorders>
              <w:top w:val="single" w:color="auto" w:sz="4" w:space="0"/>
              <w:left w:val="single" w:color="auto" w:sz="4" w:space="0"/>
              <w:bottom w:val="single" w:color="auto" w:sz="4" w:space="0"/>
              <w:right w:val="single" w:color="auto" w:sz="4" w:space="0"/>
            </w:tcBorders>
            <w:vAlign w:val="center"/>
          </w:tcPr>
          <w:p>
            <w:pPr>
              <w:tabs>
                <w:tab w:val="left" w:pos="700"/>
              </w:tabs>
              <w:spacing w:line="32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exac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auto"/>
                <w:szCs w:val="21"/>
                <w:highlight w:val="none"/>
              </w:rPr>
            </w:pPr>
          </w:p>
        </w:tc>
        <w:tc>
          <w:tcPr>
            <w:tcW w:w="2200"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spacing w:line="320" w:lineRule="exact"/>
              <w:jc w:val="center"/>
              <w:rPr>
                <w:rFonts w:ascii="宋体" w:hAnsi="宋体"/>
                <w:color w:val="auto"/>
                <w:szCs w:val="21"/>
                <w:highlight w:val="none"/>
              </w:rPr>
            </w:pPr>
            <w:r>
              <w:rPr>
                <w:rFonts w:ascii="宋体" w:hAnsi="宋体"/>
                <w:color w:val="auto"/>
                <w:szCs w:val="21"/>
                <w:highlight w:val="none"/>
              </w:rPr>
              <w:t>传真</w:t>
            </w:r>
          </w:p>
        </w:tc>
        <w:tc>
          <w:tcPr>
            <w:tcW w:w="5880" w:type="dxa"/>
            <w:tcBorders>
              <w:top w:val="single" w:color="auto" w:sz="4" w:space="0"/>
              <w:left w:val="single" w:color="auto" w:sz="4" w:space="0"/>
              <w:bottom w:val="single" w:color="auto" w:sz="4" w:space="0"/>
              <w:right w:val="single" w:color="auto" w:sz="4" w:space="0"/>
            </w:tcBorders>
            <w:vAlign w:val="center"/>
          </w:tcPr>
          <w:p>
            <w:pPr>
              <w:tabs>
                <w:tab w:val="left" w:pos="700"/>
              </w:tabs>
              <w:spacing w:line="32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exact"/>
        </w:trPr>
        <w:tc>
          <w:tcPr>
            <w:tcW w:w="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r>
              <w:rPr>
                <w:rFonts w:ascii="宋体" w:hAnsi="宋体"/>
                <w:color w:val="auto"/>
                <w:szCs w:val="21"/>
                <w:highlight w:val="none"/>
              </w:rPr>
              <w:t>7</w:t>
            </w:r>
          </w:p>
        </w:tc>
        <w:tc>
          <w:tcPr>
            <w:tcW w:w="2200"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ascii="宋体" w:hAnsi="宋体"/>
                <w:color w:val="auto"/>
                <w:szCs w:val="21"/>
                <w:highlight w:val="none"/>
              </w:rPr>
            </w:pPr>
            <w:r>
              <w:rPr>
                <w:rFonts w:ascii="宋体" w:hAnsi="宋体"/>
                <w:color w:val="auto"/>
                <w:szCs w:val="21"/>
                <w:highlight w:val="none"/>
              </w:rPr>
              <w:t>合同金额</w:t>
            </w:r>
          </w:p>
        </w:tc>
        <w:tc>
          <w:tcPr>
            <w:tcW w:w="5880"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rPr>
                <w:rFonts w:ascii="宋体" w:hAnsi="宋体"/>
                <w:color w:val="auto"/>
                <w:szCs w:val="21"/>
                <w:highlight w:val="none"/>
              </w:rPr>
            </w:pPr>
            <w:r>
              <w:rPr>
                <w:rFonts w:ascii="宋体" w:hAnsi="宋体"/>
                <w:color w:val="auto"/>
                <w:szCs w:val="21"/>
                <w:highlight w:val="none"/>
              </w:rPr>
              <w:t>人民币</w:t>
            </w:r>
            <w:r>
              <w:rPr>
                <w:rFonts w:hint="eastAsia" w:ascii="宋体" w:hAnsi="宋体"/>
                <w:color w:val="auto"/>
                <w:szCs w:val="21"/>
                <w:highlight w:val="none"/>
                <w:lang w:val="en-US" w:eastAsia="zh-CN"/>
              </w:rPr>
              <w:t xml:space="preserve">        </w:t>
            </w:r>
            <w:r>
              <w:rPr>
                <w:rFonts w:ascii="宋体" w:hAnsi="宋体"/>
                <w:color w:val="auto"/>
                <w:szCs w:val="21"/>
                <w:highlight w:val="none"/>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exact"/>
        </w:trPr>
        <w:tc>
          <w:tcPr>
            <w:tcW w:w="710" w:type="dxa"/>
            <w:tcBorders>
              <w:top w:val="single" w:color="auto" w:sz="4" w:space="0"/>
              <w:left w:val="single" w:color="auto" w:sz="4" w:space="0"/>
              <w:bottom w:val="single" w:color="auto" w:sz="4" w:space="0"/>
              <w:right w:val="single" w:color="auto" w:sz="4" w:space="0"/>
            </w:tcBorders>
            <w:vAlign w:val="center"/>
          </w:tcPr>
          <w:p>
            <w:pPr>
              <w:tabs>
                <w:tab w:val="left" w:pos="700"/>
              </w:tabs>
              <w:spacing w:line="460" w:lineRule="exact"/>
              <w:jc w:val="center"/>
              <w:rPr>
                <w:rFonts w:ascii="宋体" w:hAnsi="宋体"/>
                <w:color w:val="auto"/>
                <w:szCs w:val="21"/>
                <w:highlight w:val="none"/>
              </w:rPr>
            </w:pPr>
            <w:r>
              <w:rPr>
                <w:rFonts w:ascii="宋体" w:hAnsi="宋体"/>
                <w:color w:val="auto"/>
                <w:szCs w:val="21"/>
                <w:highlight w:val="none"/>
              </w:rPr>
              <w:t>8</w:t>
            </w:r>
          </w:p>
        </w:tc>
        <w:tc>
          <w:tcPr>
            <w:tcW w:w="2200"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spacing w:line="320" w:lineRule="exact"/>
              <w:jc w:val="center"/>
              <w:rPr>
                <w:rFonts w:ascii="宋体" w:hAnsi="宋体"/>
                <w:color w:val="auto"/>
                <w:szCs w:val="21"/>
                <w:highlight w:val="none"/>
              </w:rPr>
            </w:pPr>
            <w:r>
              <w:rPr>
                <w:rFonts w:ascii="宋体" w:hAnsi="宋体"/>
                <w:color w:val="auto"/>
                <w:szCs w:val="21"/>
                <w:highlight w:val="none"/>
              </w:rPr>
              <w:t>服务内容</w:t>
            </w:r>
          </w:p>
        </w:tc>
        <w:tc>
          <w:tcPr>
            <w:tcW w:w="5880" w:type="dxa"/>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rPr>
                <w:rFonts w:ascii="宋体" w:hAnsi="宋体"/>
                <w:color w:val="auto"/>
                <w:szCs w:val="21"/>
                <w:highlight w:val="none"/>
              </w:rPr>
            </w:pPr>
            <w:r>
              <w:rPr>
                <w:rFonts w:hint="eastAsia" w:ascii="宋体" w:hAnsi="宋体"/>
                <w:color w:val="auto"/>
                <w:szCs w:val="21"/>
                <w:highlight w:val="none"/>
              </w:rPr>
              <w:t>为现有的华为OceanStor 18800 V5存储和华三HPE 3PAR StoreServ 20840存储扩容，其中华为OceanStor 18800 V5存储扩容数量≥150块硬盘（2.4T 10K SAS，含硬盘框），华三HPE 3PAR StoreServ 20840存储扩容数量≥200块硬盘（1.8T 10K SAS，含硬盘框），并包含以上所有扩容部分自试运行验收合格起3年维保和现场技术支持服务。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exact"/>
        </w:trPr>
        <w:tc>
          <w:tcPr>
            <w:tcW w:w="710" w:type="dxa"/>
            <w:tcBorders>
              <w:top w:val="single" w:color="auto" w:sz="4" w:space="0"/>
              <w:left w:val="single" w:color="auto" w:sz="4" w:space="0"/>
              <w:bottom w:val="single" w:color="auto" w:sz="4" w:space="0"/>
              <w:right w:val="single" w:color="auto" w:sz="4" w:space="0"/>
            </w:tcBorders>
            <w:vAlign w:val="center"/>
          </w:tcPr>
          <w:p>
            <w:pPr>
              <w:tabs>
                <w:tab w:val="left" w:pos="700"/>
              </w:tabs>
              <w:spacing w:line="460" w:lineRule="exact"/>
              <w:jc w:val="center"/>
              <w:rPr>
                <w:rFonts w:ascii="宋体" w:hAnsi="宋体"/>
                <w:color w:val="auto"/>
                <w:szCs w:val="21"/>
                <w:highlight w:val="none"/>
              </w:rPr>
            </w:pPr>
            <w:r>
              <w:rPr>
                <w:rFonts w:ascii="宋体" w:hAnsi="宋体"/>
                <w:color w:val="auto"/>
                <w:szCs w:val="21"/>
                <w:highlight w:val="none"/>
              </w:rPr>
              <w:t>9</w:t>
            </w:r>
          </w:p>
        </w:tc>
        <w:tc>
          <w:tcPr>
            <w:tcW w:w="2200"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spacing w:line="320" w:lineRule="exact"/>
              <w:jc w:val="center"/>
              <w:rPr>
                <w:rFonts w:ascii="宋体" w:hAnsi="宋体"/>
                <w:color w:val="auto"/>
                <w:highlight w:val="none"/>
              </w:rPr>
            </w:pPr>
            <w:r>
              <w:rPr>
                <w:rFonts w:hint="eastAsia" w:ascii="宋体" w:hAnsi="宋体"/>
                <w:color w:val="auto"/>
                <w:highlight w:val="none"/>
              </w:rPr>
              <w:t>合同</w:t>
            </w:r>
            <w:r>
              <w:rPr>
                <w:rFonts w:ascii="宋体" w:hAnsi="宋体"/>
                <w:color w:val="auto"/>
                <w:highlight w:val="none"/>
              </w:rPr>
              <w:t>付款</w:t>
            </w:r>
          </w:p>
        </w:tc>
        <w:tc>
          <w:tcPr>
            <w:tcW w:w="5880" w:type="dxa"/>
            <w:tcBorders>
              <w:top w:val="single" w:color="auto" w:sz="4" w:space="0"/>
              <w:left w:val="single" w:color="auto" w:sz="4" w:space="0"/>
              <w:bottom w:val="single" w:color="auto" w:sz="4" w:space="0"/>
              <w:right w:val="single" w:color="auto" w:sz="4" w:space="0"/>
            </w:tcBorders>
            <w:vAlign w:val="center"/>
          </w:tcPr>
          <w:p>
            <w:pPr>
              <w:widowControl/>
              <w:rPr>
                <w:color w:val="auto"/>
                <w:szCs w:val="21"/>
                <w:highlight w:val="none"/>
              </w:rPr>
            </w:pPr>
            <w:r>
              <w:rPr>
                <w:color w:val="auto"/>
                <w:szCs w:val="21"/>
                <w:highlight w:val="none"/>
              </w:rPr>
              <w:t>合同以人民币结算</w:t>
            </w:r>
            <w:r>
              <w:rPr>
                <w:rFonts w:hint="eastAsia"/>
                <w:color w:val="auto"/>
                <w:szCs w:val="21"/>
                <w:highlight w:val="none"/>
              </w:rPr>
              <w:t>。</w:t>
            </w:r>
          </w:p>
          <w:p>
            <w:pPr>
              <w:widowControl/>
              <w:rPr>
                <w:color w:val="auto"/>
                <w:szCs w:val="21"/>
                <w:highlight w:val="none"/>
              </w:rPr>
            </w:pPr>
            <w:r>
              <w:rPr>
                <w:color w:val="auto"/>
                <w:szCs w:val="21"/>
                <w:highlight w:val="none"/>
              </w:rPr>
              <w:t>付款方式：</w:t>
            </w:r>
            <w:r>
              <w:rPr>
                <w:rFonts w:hint="eastAsia"/>
                <w:color w:val="auto"/>
                <w:szCs w:val="21"/>
                <w:highlight w:val="none"/>
              </w:rPr>
              <w:t>设备试运行验收合格后，支付合同价款的100%。</w:t>
            </w:r>
          </w:p>
          <w:p>
            <w:pPr>
              <w:pStyle w:val="203"/>
              <w:spacing w:line="242" w:lineRule="auto"/>
              <w:ind w:right="-15"/>
              <w:rPr>
                <w:color w:val="auto"/>
                <w:szCs w:val="21"/>
                <w:highlight w:val="none"/>
              </w:rPr>
            </w:pPr>
            <w:r>
              <w:rPr>
                <w:rFonts w:hint="eastAsia"/>
                <w:color w:val="auto"/>
                <w:spacing w:val="-3"/>
                <w:szCs w:val="21"/>
                <w:highlight w:val="none"/>
                <w:lang w:val="en-US"/>
              </w:rPr>
              <w:t>支付手续：由</w:t>
            </w:r>
            <w:r>
              <w:rPr>
                <w:color w:val="auto"/>
                <w:spacing w:val="-3"/>
                <w:szCs w:val="21"/>
                <w:highlight w:val="none"/>
              </w:rPr>
              <w:t>乙方</w:t>
            </w:r>
            <w:r>
              <w:rPr>
                <w:rFonts w:hint="eastAsia"/>
                <w:color w:val="auto"/>
                <w:spacing w:val="-3"/>
                <w:szCs w:val="21"/>
                <w:highlight w:val="none"/>
                <w:lang w:val="en-US"/>
              </w:rPr>
              <w:t>提出付款申请，并</w:t>
            </w:r>
            <w:r>
              <w:rPr>
                <w:color w:val="auto"/>
                <w:spacing w:val="-3"/>
                <w:szCs w:val="21"/>
                <w:highlight w:val="none"/>
              </w:rPr>
              <w:t>提供发票</w:t>
            </w:r>
            <w:r>
              <w:rPr>
                <w:rFonts w:hint="eastAsia"/>
                <w:color w:val="auto"/>
                <w:spacing w:val="-3"/>
                <w:szCs w:val="21"/>
                <w:highlight w:val="none"/>
                <w:lang w:val="en-US"/>
              </w:rPr>
              <w:t>等合同约定的其他资料</w:t>
            </w:r>
            <w:r>
              <w:rPr>
                <w:color w:val="auto"/>
                <w:spacing w:val="-3"/>
                <w:szCs w:val="21"/>
                <w:highlight w:val="none"/>
              </w:rPr>
              <w:t>。</w:t>
            </w:r>
            <w:r>
              <w:rPr>
                <w:color w:val="auto"/>
                <w:spacing w:val="-16"/>
                <w:szCs w:val="21"/>
                <w:highlight w:val="none"/>
              </w:rPr>
              <w:t>甲方在收到</w:t>
            </w:r>
            <w:r>
              <w:rPr>
                <w:rFonts w:hint="eastAsia"/>
                <w:color w:val="auto"/>
                <w:spacing w:val="-16"/>
                <w:szCs w:val="21"/>
                <w:highlight w:val="none"/>
                <w:lang w:val="en-US"/>
              </w:rPr>
              <w:t>乙方提供的上述</w:t>
            </w:r>
            <w:r>
              <w:rPr>
                <w:color w:val="auto"/>
                <w:spacing w:val="-16"/>
                <w:szCs w:val="21"/>
                <w:highlight w:val="none"/>
              </w:rPr>
              <w:t>资料后，进行核实。满足合同约定支付</w:t>
            </w:r>
            <w:r>
              <w:rPr>
                <w:color w:val="auto"/>
                <w:spacing w:val="-7"/>
                <w:szCs w:val="21"/>
                <w:highlight w:val="none"/>
              </w:rPr>
              <w:t>条件的，</w:t>
            </w:r>
            <w:r>
              <w:rPr>
                <w:rFonts w:hint="eastAsia"/>
                <w:color w:val="auto"/>
                <w:spacing w:val="-7"/>
                <w:szCs w:val="21"/>
                <w:highlight w:val="none"/>
                <w:lang w:val="en-US"/>
              </w:rPr>
              <w:t>予以支付</w:t>
            </w:r>
            <w:r>
              <w:rPr>
                <w:rFonts w:hint="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7" w:hRule="exact"/>
        </w:trPr>
        <w:tc>
          <w:tcPr>
            <w:tcW w:w="710" w:type="dxa"/>
            <w:tcBorders>
              <w:top w:val="single" w:color="auto" w:sz="4" w:space="0"/>
              <w:left w:val="single" w:color="auto" w:sz="4" w:space="0"/>
              <w:bottom w:val="single" w:color="auto" w:sz="4" w:space="0"/>
              <w:right w:val="single" w:color="auto" w:sz="4" w:space="0"/>
            </w:tcBorders>
            <w:vAlign w:val="center"/>
          </w:tcPr>
          <w:p>
            <w:pPr>
              <w:tabs>
                <w:tab w:val="left" w:pos="700"/>
              </w:tabs>
              <w:spacing w:line="460" w:lineRule="exact"/>
              <w:jc w:val="center"/>
              <w:rPr>
                <w:rFonts w:ascii="宋体" w:hAnsi="宋体"/>
                <w:color w:val="auto"/>
                <w:szCs w:val="21"/>
                <w:highlight w:val="none"/>
              </w:rPr>
            </w:pPr>
            <w:r>
              <w:rPr>
                <w:rFonts w:ascii="宋体" w:hAnsi="宋体"/>
                <w:color w:val="auto"/>
                <w:szCs w:val="21"/>
                <w:highlight w:val="none"/>
              </w:rPr>
              <w:t>10</w:t>
            </w:r>
          </w:p>
        </w:tc>
        <w:tc>
          <w:tcPr>
            <w:tcW w:w="2200"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spacing w:line="320" w:lineRule="exact"/>
              <w:jc w:val="center"/>
              <w:rPr>
                <w:rFonts w:ascii="宋体" w:hAnsi="宋体"/>
                <w:color w:val="auto"/>
                <w:highlight w:val="none"/>
              </w:rPr>
            </w:pPr>
            <w:r>
              <w:rPr>
                <w:rFonts w:ascii="宋体" w:hAnsi="宋体"/>
                <w:color w:val="auto"/>
                <w:highlight w:val="none"/>
              </w:rPr>
              <w:t>履约保证金及其返还</w:t>
            </w:r>
          </w:p>
        </w:tc>
        <w:tc>
          <w:tcPr>
            <w:tcW w:w="5880" w:type="dxa"/>
            <w:tcBorders>
              <w:top w:val="single" w:color="auto" w:sz="4" w:space="0"/>
              <w:left w:val="single" w:color="auto" w:sz="4" w:space="0"/>
              <w:bottom w:val="single" w:color="auto" w:sz="4" w:space="0"/>
              <w:right w:val="single" w:color="auto" w:sz="4" w:space="0"/>
            </w:tcBorders>
            <w:vAlign w:val="center"/>
          </w:tcPr>
          <w:p>
            <w:pPr>
              <w:widowControl/>
              <w:rPr>
                <w:color w:val="auto"/>
                <w:highlight w:val="none"/>
              </w:rPr>
            </w:pPr>
            <w:r>
              <w:rPr>
                <w:color w:val="auto"/>
                <w:highlight w:val="none"/>
              </w:rPr>
              <w:t>在招标文件规定的时限内，供应商应提交保证金，履约保证金为合同总金额</w:t>
            </w:r>
            <w:r>
              <w:rPr>
                <w:rFonts w:hint="eastAsia"/>
                <w:color w:val="auto"/>
                <w:highlight w:val="none"/>
                <w:u w:val="single"/>
              </w:rPr>
              <w:t>5</w:t>
            </w:r>
            <w:r>
              <w:rPr>
                <w:color w:val="auto"/>
                <w:highlight w:val="none"/>
              </w:rPr>
              <w:t xml:space="preserve">%，即人民币 </w:t>
            </w:r>
            <w:r>
              <w:rPr>
                <w:color w:val="auto"/>
                <w:highlight w:val="none"/>
                <w:u w:val="single"/>
              </w:rPr>
              <w:tab/>
            </w:r>
            <w:r>
              <w:rPr>
                <w:color w:val="auto"/>
                <w:highlight w:val="none"/>
              </w:rPr>
              <w:t xml:space="preserve">元整（¥ </w:t>
            </w:r>
            <w:r>
              <w:rPr>
                <w:color w:val="auto"/>
                <w:highlight w:val="none"/>
              </w:rPr>
              <w:tab/>
            </w:r>
            <w:r>
              <w:rPr>
                <w:color w:val="auto"/>
                <w:highlight w:val="none"/>
              </w:rPr>
              <w:t>）。在</w:t>
            </w:r>
            <w:r>
              <w:rPr>
                <w:rFonts w:hint="eastAsia" w:ascii="宋体" w:hAnsi="宋体"/>
                <w:color w:val="auto"/>
                <w:highlight w:val="none"/>
              </w:rPr>
              <w:t>项目质量保障期</w:t>
            </w:r>
            <w:r>
              <w:rPr>
                <w:color w:val="auto"/>
                <w:highlight w:val="none"/>
              </w:rPr>
              <w:t>满后，扣除应扣除的款项（如有）且双方无争议后，无息返还。</w:t>
            </w:r>
          </w:p>
          <w:p>
            <w:pPr>
              <w:widowControl/>
              <w:rPr>
                <w:rFonts w:ascii="宋体" w:hAnsi="宋体"/>
                <w:color w:val="auto"/>
                <w:szCs w:val="21"/>
                <w:highlight w:val="none"/>
              </w:rPr>
            </w:pPr>
            <w:r>
              <w:rPr>
                <w:color w:val="auto"/>
                <w:highlight w:val="none"/>
              </w:rPr>
              <w:t>办理返还履约保证金时，乙方应提供履约保证金返还申请（格式另附）、合同关键页复印件、合同约定的其他资料。涉及验收的，应同时提交甲方实施部门出具的项目终验意见或质保期（服务期）满验收意见。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trPr>
        <w:tc>
          <w:tcPr>
            <w:tcW w:w="710" w:type="dxa"/>
            <w:tcBorders>
              <w:top w:val="single" w:color="auto" w:sz="4" w:space="0"/>
              <w:left w:val="single" w:color="auto" w:sz="4" w:space="0"/>
              <w:bottom w:val="single" w:color="auto" w:sz="4" w:space="0"/>
              <w:right w:val="single" w:color="auto" w:sz="4" w:space="0"/>
            </w:tcBorders>
            <w:vAlign w:val="center"/>
          </w:tcPr>
          <w:p>
            <w:pPr>
              <w:tabs>
                <w:tab w:val="left" w:pos="700"/>
              </w:tabs>
              <w:spacing w:line="460" w:lineRule="exact"/>
              <w:jc w:val="center"/>
              <w:rPr>
                <w:rFonts w:ascii="宋体" w:hAnsi="宋体"/>
                <w:color w:val="auto"/>
                <w:szCs w:val="21"/>
                <w:highlight w:val="none"/>
              </w:rPr>
            </w:pPr>
            <w:r>
              <w:rPr>
                <w:rFonts w:ascii="宋体" w:hAnsi="宋体"/>
                <w:color w:val="auto"/>
                <w:szCs w:val="21"/>
                <w:highlight w:val="none"/>
              </w:rPr>
              <w:t>11</w:t>
            </w:r>
          </w:p>
        </w:tc>
        <w:tc>
          <w:tcPr>
            <w:tcW w:w="2200"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spacing w:line="320" w:lineRule="exact"/>
              <w:jc w:val="center"/>
              <w:rPr>
                <w:rFonts w:ascii="宋体" w:hAnsi="宋体"/>
                <w:color w:val="auto"/>
                <w:szCs w:val="21"/>
                <w:highlight w:val="none"/>
              </w:rPr>
            </w:pPr>
            <w:r>
              <w:rPr>
                <w:rFonts w:ascii="宋体" w:hAnsi="宋体"/>
                <w:color w:val="auto"/>
                <w:highlight w:val="none"/>
              </w:rPr>
              <w:t>合同履约期限</w:t>
            </w:r>
          </w:p>
        </w:tc>
        <w:tc>
          <w:tcPr>
            <w:tcW w:w="5880" w:type="dxa"/>
            <w:tcBorders>
              <w:top w:val="single" w:color="auto" w:sz="4" w:space="0"/>
              <w:left w:val="single" w:color="auto" w:sz="4" w:space="0"/>
              <w:bottom w:val="single" w:color="auto" w:sz="4" w:space="0"/>
              <w:right w:val="single" w:color="auto" w:sz="4" w:space="0"/>
            </w:tcBorders>
            <w:vAlign w:val="center"/>
          </w:tcPr>
          <w:p>
            <w:pPr>
              <w:widowControl/>
              <w:rPr>
                <w:color w:val="auto"/>
                <w:highlight w:val="none"/>
              </w:rPr>
            </w:pPr>
            <w:r>
              <w:rPr>
                <w:rFonts w:hint="eastAsia"/>
                <w:color w:val="auto"/>
                <w:highlight w:val="none"/>
              </w:rPr>
              <w:t>自合同签订之日起35日（自然日）内完成设备到货安装和集成调试等实施工作，试运行验收合格后提供3年售后服务。</w:t>
            </w:r>
          </w:p>
          <w:p>
            <w:pPr>
              <w:widowControl/>
              <w:rPr>
                <w:color w:val="auto"/>
                <w:highlight w:val="none"/>
              </w:rPr>
            </w:pPr>
          </w:p>
          <w:p>
            <w:pPr>
              <w:widowControl/>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trPr>
        <w:tc>
          <w:tcPr>
            <w:tcW w:w="710" w:type="dxa"/>
            <w:tcBorders>
              <w:top w:val="single" w:color="auto" w:sz="4" w:space="0"/>
              <w:left w:val="single" w:color="auto" w:sz="4" w:space="0"/>
              <w:bottom w:val="single" w:color="auto" w:sz="4" w:space="0"/>
              <w:right w:val="single" w:color="auto" w:sz="4" w:space="0"/>
            </w:tcBorders>
            <w:vAlign w:val="center"/>
          </w:tcPr>
          <w:p>
            <w:pPr>
              <w:tabs>
                <w:tab w:val="left" w:pos="700"/>
              </w:tabs>
              <w:spacing w:line="460" w:lineRule="exact"/>
              <w:jc w:val="center"/>
              <w:rPr>
                <w:rFonts w:ascii="宋体" w:hAnsi="宋体"/>
                <w:color w:val="auto"/>
                <w:szCs w:val="21"/>
                <w:highlight w:val="none"/>
              </w:rPr>
            </w:pPr>
            <w:r>
              <w:rPr>
                <w:rFonts w:ascii="宋体" w:hAnsi="宋体"/>
                <w:color w:val="auto"/>
                <w:szCs w:val="21"/>
                <w:highlight w:val="none"/>
              </w:rPr>
              <w:t>12</w:t>
            </w:r>
          </w:p>
        </w:tc>
        <w:tc>
          <w:tcPr>
            <w:tcW w:w="2200"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ascii="宋体" w:hAnsi="宋体"/>
                <w:color w:val="auto"/>
                <w:highlight w:val="none"/>
              </w:rPr>
            </w:pPr>
            <w:r>
              <w:rPr>
                <w:rFonts w:hint="eastAsia" w:ascii="宋体" w:hAnsi="宋体"/>
                <w:color w:val="auto"/>
                <w:highlight w:val="none"/>
              </w:rPr>
              <w:t>项目质量保障期</w:t>
            </w:r>
          </w:p>
          <w:p>
            <w:pPr>
              <w:tabs>
                <w:tab w:val="left" w:pos="700"/>
              </w:tabs>
              <w:adjustRightInd w:val="0"/>
              <w:snapToGrid w:val="0"/>
              <w:jc w:val="center"/>
              <w:rPr>
                <w:rFonts w:ascii="宋体" w:hAnsi="宋体"/>
                <w:color w:val="auto"/>
                <w:highlight w:val="none"/>
              </w:rPr>
            </w:pPr>
            <w:r>
              <w:rPr>
                <w:rFonts w:hint="eastAsia" w:ascii="宋体" w:hAnsi="宋体"/>
                <w:color w:val="auto"/>
                <w:highlight w:val="none"/>
              </w:rPr>
              <w:t>（</w:t>
            </w:r>
            <w:r>
              <w:rPr>
                <w:rFonts w:ascii="宋体" w:hAnsi="宋体"/>
                <w:color w:val="auto"/>
                <w:highlight w:val="none"/>
              </w:rPr>
              <w:t>服务期</w:t>
            </w:r>
            <w:r>
              <w:rPr>
                <w:rFonts w:hint="eastAsia" w:ascii="宋体" w:hAnsi="宋体"/>
                <w:color w:val="auto"/>
                <w:highlight w:val="none"/>
              </w:rPr>
              <w:t>）</w:t>
            </w:r>
          </w:p>
        </w:tc>
        <w:tc>
          <w:tcPr>
            <w:tcW w:w="5880" w:type="dxa"/>
            <w:tcBorders>
              <w:top w:val="single" w:color="auto" w:sz="4" w:space="0"/>
              <w:left w:val="single" w:color="auto" w:sz="4" w:space="0"/>
              <w:bottom w:val="single" w:color="auto" w:sz="4" w:space="0"/>
              <w:right w:val="single" w:color="auto" w:sz="4" w:space="0"/>
            </w:tcBorders>
            <w:vAlign w:val="center"/>
          </w:tcPr>
          <w:p>
            <w:pPr>
              <w:widowControl/>
              <w:rPr>
                <w:color w:val="auto"/>
                <w:highlight w:val="none"/>
              </w:rPr>
            </w:pPr>
            <w:r>
              <w:rPr>
                <w:rFonts w:hint="eastAsia"/>
                <w:color w:val="auto"/>
                <w:highlight w:val="none"/>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trPr>
        <w:tc>
          <w:tcPr>
            <w:tcW w:w="710" w:type="dxa"/>
            <w:tcBorders>
              <w:top w:val="single" w:color="auto" w:sz="4" w:space="0"/>
              <w:left w:val="single" w:color="auto" w:sz="4" w:space="0"/>
              <w:bottom w:val="single" w:color="auto" w:sz="4" w:space="0"/>
              <w:right w:val="single" w:color="auto" w:sz="4" w:space="0"/>
            </w:tcBorders>
            <w:vAlign w:val="center"/>
          </w:tcPr>
          <w:p>
            <w:pPr>
              <w:tabs>
                <w:tab w:val="left" w:pos="700"/>
              </w:tabs>
              <w:spacing w:line="460" w:lineRule="exact"/>
              <w:jc w:val="center"/>
              <w:rPr>
                <w:rFonts w:ascii="宋体" w:hAnsi="宋体"/>
                <w:color w:val="auto"/>
                <w:szCs w:val="21"/>
                <w:highlight w:val="none"/>
              </w:rPr>
            </w:pPr>
            <w:r>
              <w:rPr>
                <w:rFonts w:ascii="宋体" w:hAnsi="宋体"/>
                <w:color w:val="auto"/>
                <w:szCs w:val="21"/>
                <w:highlight w:val="none"/>
              </w:rPr>
              <w:t>13</w:t>
            </w:r>
          </w:p>
        </w:tc>
        <w:tc>
          <w:tcPr>
            <w:tcW w:w="2200" w:type="dxa"/>
            <w:gridSpan w:val="2"/>
            <w:tcBorders>
              <w:top w:val="single" w:color="auto" w:sz="4" w:space="0"/>
              <w:left w:val="single" w:color="auto" w:sz="4" w:space="0"/>
              <w:bottom w:val="single" w:color="auto" w:sz="4" w:space="0"/>
              <w:right w:val="single" w:color="auto" w:sz="4" w:space="0"/>
            </w:tcBorders>
            <w:vAlign w:val="center"/>
          </w:tcPr>
          <w:p>
            <w:pPr>
              <w:tabs>
                <w:tab w:val="left" w:pos="700"/>
              </w:tabs>
              <w:adjustRightInd w:val="0"/>
              <w:snapToGrid w:val="0"/>
              <w:jc w:val="center"/>
              <w:rPr>
                <w:rFonts w:ascii="宋体" w:hAnsi="宋体"/>
                <w:color w:val="auto"/>
                <w:highlight w:val="none"/>
              </w:rPr>
            </w:pPr>
            <w:r>
              <w:rPr>
                <w:rFonts w:ascii="宋体" w:hAnsi="宋体"/>
                <w:color w:val="auto"/>
                <w:highlight w:val="none"/>
              </w:rPr>
              <w:t>合同履约地点</w:t>
            </w:r>
          </w:p>
        </w:tc>
        <w:tc>
          <w:tcPr>
            <w:tcW w:w="5880" w:type="dxa"/>
            <w:tcBorders>
              <w:top w:val="single" w:color="auto" w:sz="4" w:space="0"/>
              <w:left w:val="single" w:color="auto" w:sz="4" w:space="0"/>
              <w:bottom w:val="single" w:color="auto" w:sz="4" w:space="0"/>
              <w:right w:val="single" w:color="auto" w:sz="4" w:space="0"/>
            </w:tcBorders>
            <w:vAlign w:val="center"/>
          </w:tcPr>
          <w:p>
            <w:pPr>
              <w:tabs>
                <w:tab w:val="left" w:pos="700"/>
              </w:tabs>
              <w:spacing w:line="320" w:lineRule="exact"/>
              <w:rPr>
                <w:rFonts w:ascii="宋体" w:hAnsi="宋体"/>
                <w:color w:val="auto"/>
                <w:szCs w:val="21"/>
                <w:highlight w:val="none"/>
              </w:rPr>
            </w:pPr>
            <w:r>
              <w:rPr>
                <w:rFonts w:ascii="宋体" w:hAnsi="宋体"/>
                <w:color w:val="auto"/>
                <w:highlight w:val="none"/>
              </w:rPr>
              <w:t>采购人指定地点</w:t>
            </w:r>
            <w:r>
              <w:rPr>
                <w:rFonts w:hint="eastAsia" w:ascii="宋体" w:hAnsi="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9" w:hRule="exact"/>
        </w:trPr>
        <w:tc>
          <w:tcPr>
            <w:tcW w:w="710" w:type="dxa"/>
            <w:tcBorders>
              <w:top w:val="single" w:color="auto" w:sz="4" w:space="0"/>
              <w:left w:val="single" w:color="auto" w:sz="4" w:space="0"/>
              <w:bottom w:val="single" w:color="auto" w:sz="4" w:space="0"/>
              <w:right w:val="single" w:color="auto" w:sz="4" w:space="0"/>
            </w:tcBorders>
            <w:vAlign w:val="center"/>
          </w:tcPr>
          <w:p>
            <w:pPr>
              <w:tabs>
                <w:tab w:val="left" w:pos="700"/>
              </w:tabs>
              <w:spacing w:line="460" w:lineRule="exact"/>
              <w:jc w:val="center"/>
              <w:rPr>
                <w:rFonts w:ascii="宋体" w:hAnsi="宋体"/>
                <w:color w:val="auto"/>
                <w:szCs w:val="21"/>
                <w:highlight w:val="none"/>
              </w:rPr>
            </w:pPr>
            <w:r>
              <w:rPr>
                <w:rFonts w:ascii="宋体" w:hAnsi="宋体"/>
                <w:color w:val="auto"/>
                <w:szCs w:val="21"/>
                <w:highlight w:val="none"/>
              </w:rPr>
              <w:t>14</w:t>
            </w:r>
          </w:p>
        </w:tc>
        <w:tc>
          <w:tcPr>
            <w:tcW w:w="2200" w:type="dxa"/>
            <w:gridSpan w:val="2"/>
            <w:tcBorders>
              <w:top w:val="single" w:color="auto" w:sz="4" w:space="0"/>
              <w:left w:val="single" w:color="auto" w:sz="4" w:space="0"/>
              <w:bottom w:val="single" w:color="auto" w:sz="4" w:space="0"/>
              <w:right w:val="single" w:color="auto" w:sz="4" w:space="0"/>
            </w:tcBorders>
            <w:vAlign w:val="center"/>
          </w:tcPr>
          <w:p>
            <w:pPr>
              <w:pStyle w:val="19"/>
              <w:spacing w:line="276" w:lineRule="auto"/>
              <w:jc w:val="center"/>
              <w:rPr>
                <w:rFonts w:hint="default" w:hAnsi="宋体"/>
                <w:color w:val="auto"/>
                <w:kern w:val="2"/>
                <w:highlight w:val="none"/>
              </w:rPr>
            </w:pPr>
            <w:r>
              <w:rPr>
                <w:rFonts w:hint="default" w:hAnsi="宋体"/>
                <w:color w:val="auto"/>
                <w:kern w:val="2"/>
                <w:highlight w:val="none"/>
              </w:rPr>
              <w:t>合同纠纷的解决方式</w:t>
            </w:r>
          </w:p>
        </w:tc>
        <w:tc>
          <w:tcPr>
            <w:tcW w:w="5880" w:type="dxa"/>
            <w:tcBorders>
              <w:top w:val="single" w:color="auto" w:sz="4" w:space="0"/>
              <w:left w:val="single" w:color="auto" w:sz="4" w:space="0"/>
              <w:bottom w:val="single" w:color="auto" w:sz="4" w:space="0"/>
              <w:right w:val="single" w:color="auto" w:sz="4" w:space="0"/>
            </w:tcBorders>
            <w:vAlign w:val="center"/>
          </w:tcPr>
          <w:p>
            <w:pPr>
              <w:pStyle w:val="19"/>
              <w:spacing w:line="276" w:lineRule="auto"/>
              <w:jc w:val="left"/>
              <w:rPr>
                <w:rFonts w:hint="default" w:hAnsi="宋体"/>
                <w:color w:val="auto"/>
                <w:kern w:val="2"/>
                <w:highlight w:val="none"/>
              </w:rPr>
            </w:pPr>
            <w:r>
              <w:rPr>
                <w:rFonts w:hint="default" w:hAnsi="宋体"/>
                <w:color w:val="auto"/>
                <w:kern w:val="2"/>
                <w:highlight w:val="none"/>
              </w:rPr>
              <w:t>首先通过双方协商解决，协商解决不成，则通过以下途径之一解决纠纷(请在方框内画“√”选择)：</w:t>
            </w:r>
          </w:p>
          <w:p>
            <w:pPr>
              <w:pStyle w:val="19"/>
              <w:spacing w:line="276" w:lineRule="auto"/>
              <w:jc w:val="left"/>
              <w:rPr>
                <w:rFonts w:hint="default" w:hAnsi="宋体"/>
                <w:color w:val="auto"/>
                <w:kern w:val="2"/>
                <w:highlight w:val="none"/>
              </w:rPr>
            </w:pPr>
            <w:r>
              <w:rPr>
                <w:rFonts w:hint="default" w:hAnsi="宋体"/>
                <w:color w:val="auto"/>
                <w:kern w:val="2"/>
                <w:highlight w:val="none"/>
              </w:rPr>
              <w:t>□提请______仲裁委员会按照仲裁程序在______(仲裁地)仲裁</w:t>
            </w:r>
            <w:r>
              <w:rPr>
                <w:rFonts w:hAnsi="宋体"/>
                <w:color w:val="auto"/>
                <w:kern w:val="2"/>
                <w:highlight w:val="none"/>
              </w:rPr>
              <w:t>。</w:t>
            </w:r>
          </w:p>
          <w:p>
            <w:pPr>
              <w:tabs>
                <w:tab w:val="left" w:pos="700"/>
              </w:tabs>
              <w:rPr>
                <w:rFonts w:ascii="宋体" w:hAnsi="宋体"/>
                <w:color w:val="auto"/>
                <w:szCs w:val="21"/>
                <w:highlight w:val="none"/>
              </w:rPr>
            </w:pPr>
            <w:r>
              <w:rPr>
                <w:rFonts w:hint="eastAsia" w:ascii="MS Mincho" w:hAnsi="MS Mincho" w:eastAsia="MS Mincho" w:cs="MS Mincho"/>
                <w:color w:val="auto"/>
                <w:highlight w:val="none"/>
              </w:rPr>
              <w:t>☑</w:t>
            </w:r>
            <w:r>
              <w:rPr>
                <w:rFonts w:ascii="宋体" w:hAnsi="宋体"/>
                <w:color w:val="auto"/>
                <w:highlight w:val="none"/>
              </w:rPr>
              <w:t>向甲方所在地人民法院提起诉讼</w:t>
            </w:r>
            <w:r>
              <w:rPr>
                <w:rFonts w:hint="eastAsia" w:ascii="宋体" w:hAnsi="宋体"/>
                <w:color w:val="auto"/>
                <w:highlight w:val="none"/>
              </w:rPr>
              <w:t>。</w:t>
            </w:r>
          </w:p>
        </w:tc>
      </w:tr>
    </w:tbl>
    <w:p>
      <w:pPr>
        <w:tabs>
          <w:tab w:val="left" w:pos="700"/>
        </w:tabs>
        <w:topLinePunct/>
        <w:autoSpaceDE w:val="0"/>
        <w:autoSpaceDN w:val="0"/>
        <w:spacing w:line="460" w:lineRule="exact"/>
        <w:jc w:val="center"/>
        <w:rPr>
          <w:rFonts w:ascii="宋体" w:hAnsi="宋体"/>
          <w:b/>
          <w:color w:val="auto"/>
          <w:sz w:val="28"/>
          <w:highlight w:val="none"/>
        </w:rPr>
      </w:pPr>
      <w:r>
        <w:rPr>
          <w:rFonts w:ascii="宋体" w:hAnsi="宋体"/>
          <w:b/>
          <w:color w:val="auto"/>
          <w:sz w:val="28"/>
          <w:highlight w:val="none"/>
        </w:rPr>
        <w:br w:type="page"/>
      </w:r>
      <w:r>
        <w:rPr>
          <w:rFonts w:ascii="宋体" w:hAnsi="宋体"/>
          <w:b/>
          <w:color w:val="auto"/>
          <w:sz w:val="28"/>
          <w:highlight w:val="none"/>
        </w:rPr>
        <w:t>一、合同</w:t>
      </w:r>
    </w:p>
    <w:p>
      <w:pPr>
        <w:pStyle w:val="19"/>
        <w:snapToGrid w:val="0"/>
        <w:spacing w:line="460" w:lineRule="atLeast"/>
        <w:ind w:left="120" w:leftChars="57" w:firstLine="360" w:firstLineChars="150"/>
        <w:rPr>
          <w:rFonts w:hint="default" w:hAnsi="宋体"/>
          <w:color w:val="auto"/>
          <w:sz w:val="24"/>
          <w:szCs w:val="24"/>
          <w:highlight w:val="none"/>
        </w:rPr>
      </w:pPr>
      <w:r>
        <w:rPr>
          <w:rFonts w:hint="default" w:hAnsi="宋体"/>
          <w:color w:val="auto"/>
          <w:sz w:val="24"/>
          <w:szCs w:val="24"/>
          <w:highlight w:val="none"/>
        </w:rPr>
        <w:t>国家税务总局辽宁省税务局（以下简称：甲方）通过公开招标采购，确定      ----公司（以下简称：乙方）为《</w:t>
      </w:r>
      <w:r>
        <w:rPr>
          <w:rFonts w:hAnsi="宋体"/>
          <w:color w:val="auto"/>
          <w:sz w:val="24"/>
          <w:szCs w:val="24"/>
          <w:highlight w:val="none"/>
        </w:rPr>
        <w:t>国家税务总局辽宁省税务局存储设备扩容采购项目</w:t>
      </w:r>
      <w:r>
        <w:rPr>
          <w:rFonts w:hint="default" w:hAnsi="宋体"/>
          <w:color w:val="auto"/>
          <w:sz w:val="24"/>
          <w:szCs w:val="24"/>
          <w:highlight w:val="none"/>
        </w:rPr>
        <w:t>》中标供应商。甲乙双方同意按照该项目招标文件约定的内容，签署《</w:t>
      </w:r>
      <w:r>
        <w:rPr>
          <w:rFonts w:hAnsi="宋体"/>
          <w:color w:val="auto"/>
          <w:sz w:val="24"/>
          <w:szCs w:val="24"/>
          <w:highlight w:val="none"/>
        </w:rPr>
        <w:t>国家税务总局辽宁省税务局存储设备扩容采购项目</w:t>
      </w:r>
      <w:r>
        <w:rPr>
          <w:rFonts w:hint="default" w:hAnsi="宋体"/>
          <w:color w:val="auto"/>
          <w:sz w:val="24"/>
          <w:szCs w:val="24"/>
          <w:highlight w:val="none"/>
        </w:rPr>
        <w:t>合同书》（合同编号</w:t>
      </w:r>
      <w:r>
        <w:rPr>
          <w:rFonts w:hAnsi="宋体"/>
          <w:bCs/>
          <w:color w:val="auto"/>
          <w:highlight w:val="none"/>
        </w:rPr>
        <w:t xml:space="preserve"> 2022CG022（1-1）</w:t>
      </w:r>
      <w:r>
        <w:rPr>
          <w:rFonts w:hint="default" w:hAnsi="宋体"/>
          <w:color w:val="auto"/>
          <w:sz w:val="24"/>
          <w:szCs w:val="24"/>
          <w:highlight w:val="none"/>
        </w:rPr>
        <w:t>，以下简称：合同)。</w:t>
      </w:r>
    </w:p>
    <w:p>
      <w:pPr>
        <w:pStyle w:val="19"/>
        <w:snapToGrid w:val="0"/>
        <w:spacing w:line="460" w:lineRule="atLeast"/>
        <w:ind w:left="120" w:leftChars="57" w:firstLine="360" w:firstLineChars="150"/>
        <w:rPr>
          <w:rFonts w:hint="default" w:hAnsi="宋体"/>
          <w:color w:val="auto"/>
          <w:sz w:val="24"/>
          <w:szCs w:val="24"/>
          <w:highlight w:val="none"/>
        </w:rPr>
      </w:pPr>
    </w:p>
    <w:p>
      <w:pPr>
        <w:pStyle w:val="19"/>
        <w:snapToGrid w:val="0"/>
        <w:spacing w:line="460" w:lineRule="atLeast"/>
        <w:ind w:firstLine="419" w:firstLineChars="174"/>
        <w:jc w:val="left"/>
        <w:rPr>
          <w:rFonts w:hint="default" w:hAnsi="宋体"/>
          <w:b/>
          <w:color w:val="auto"/>
          <w:sz w:val="24"/>
          <w:szCs w:val="24"/>
          <w:highlight w:val="none"/>
        </w:rPr>
      </w:pPr>
      <w:r>
        <w:rPr>
          <w:rFonts w:hint="default" w:hAnsi="宋体"/>
          <w:b/>
          <w:color w:val="auto"/>
          <w:sz w:val="24"/>
          <w:szCs w:val="24"/>
          <w:highlight w:val="none"/>
        </w:rPr>
        <w:t>1.合同文件</w:t>
      </w:r>
    </w:p>
    <w:p>
      <w:pPr>
        <w:pStyle w:val="19"/>
        <w:snapToGrid w:val="0"/>
        <w:spacing w:line="460" w:lineRule="atLeast"/>
        <w:ind w:firstLine="417" w:firstLineChars="174"/>
        <w:rPr>
          <w:rFonts w:hint="default" w:hAnsi="宋体"/>
          <w:color w:val="auto"/>
          <w:sz w:val="24"/>
          <w:szCs w:val="24"/>
          <w:highlight w:val="none"/>
        </w:rPr>
      </w:pPr>
      <w:r>
        <w:rPr>
          <w:rFonts w:hint="default" w:hAnsi="宋体"/>
          <w:color w:val="auto"/>
          <w:sz w:val="24"/>
          <w:szCs w:val="24"/>
          <w:highlight w:val="none"/>
        </w:rPr>
        <w:t>本合同所附下列文件是构成本合同不可分割的部分：</w:t>
      </w:r>
    </w:p>
    <w:p>
      <w:pPr>
        <w:pStyle w:val="19"/>
        <w:snapToGrid w:val="0"/>
        <w:spacing w:line="460" w:lineRule="atLeast"/>
        <w:ind w:firstLine="417" w:firstLineChars="174"/>
        <w:rPr>
          <w:rFonts w:hint="default" w:hAnsi="宋体"/>
          <w:color w:val="auto"/>
          <w:sz w:val="24"/>
          <w:szCs w:val="24"/>
          <w:highlight w:val="none"/>
        </w:rPr>
      </w:pPr>
      <w:r>
        <w:rPr>
          <w:rFonts w:hint="default" w:hAnsi="宋体"/>
          <w:color w:val="auto"/>
          <w:sz w:val="24"/>
          <w:szCs w:val="24"/>
          <w:highlight w:val="none"/>
        </w:rPr>
        <w:t>（1）合同通用条款；</w:t>
      </w:r>
    </w:p>
    <w:p>
      <w:pPr>
        <w:autoSpaceDN w:val="0"/>
        <w:spacing w:line="460" w:lineRule="atLeast"/>
        <w:ind w:firstLine="417" w:firstLineChars="174"/>
        <w:rPr>
          <w:rFonts w:ascii="宋体" w:hAnsi="宋体"/>
          <w:color w:val="auto"/>
          <w:sz w:val="24"/>
          <w:highlight w:val="none"/>
        </w:rPr>
      </w:pPr>
      <w:r>
        <w:rPr>
          <w:rFonts w:ascii="宋体" w:hAnsi="宋体"/>
          <w:color w:val="auto"/>
          <w:sz w:val="24"/>
          <w:highlight w:val="none"/>
        </w:rPr>
        <w:t>（2）报价表（总报价表和分项报价表）；</w:t>
      </w:r>
    </w:p>
    <w:p>
      <w:pPr>
        <w:autoSpaceDN w:val="0"/>
        <w:spacing w:line="460" w:lineRule="atLeast"/>
        <w:ind w:firstLine="417" w:firstLineChars="174"/>
        <w:rPr>
          <w:rFonts w:ascii="宋体" w:hAnsi="宋体"/>
          <w:color w:val="auto"/>
          <w:sz w:val="24"/>
          <w:highlight w:val="none"/>
        </w:rPr>
      </w:pPr>
      <w:r>
        <w:rPr>
          <w:rFonts w:ascii="宋体" w:hAnsi="宋体"/>
          <w:color w:val="auto"/>
          <w:sz w:val="24"/>
          <w:highlight w:val="none"/>
        </w:rPr>
        <w:t>（3）招标文件</w:t>
      </w:r>
      <w:r>
        <w:rPr>
          <w:rFonts w:hint="eastAsia" w:ascii="宋体" w:hAnsi="宋体"/>
          <w:color w:val="auto"/>
          <w:sz w:val="24"/>
          <w:highlight w:val="none"/>
        </w:rPr>
        <w:t>（另附）</w:t>
      </w:r>
      <w:r>
        <w:rPr>
          <w:rFonts w:ascii="宋体" w:hAnsi="宋体"/>
          <w:color w:val="auto"/>
          <w:sz w:val="24"/>
          <w:highlight w:val="none"/>
        </w:rPr>
        <w:t>；</w:t>
      </w:r>
    </w:p>
    <w:p>
      <w:pPr>
        <w:autoSpaceDN w:val="0"/>
        <w:spacing w:line="460" w:lineRule="atLeast"/>
        <w:ind w:firstLine="417" w:firstLineChars="174"/>
        <w:rPr>
          <w:rFonts w:ascii="宋体" w:hAnsi="宋体"/>
          <w:color w:val="auto"/>
          <w:sz w:val="24"/>
          <w:highlight w:val="none"/>
        </w:rPr>
      </w:pPr>
      <w:r>
        <w:rPr>
          <w:rFonts w:ascii="宋体" w:hAnsi="宋体"/>
          <w:color w:val="auto"/>
          <w:sz w:val="24"/>
          <w:highlight w:val="none"/>
        </w:rPr>
        <w:t>（4）投标文件</w:t>
      </w:r>
      <w:r>
        <w:rPr>
          <w:rFonts w:hint="eastAsia" w:ascii="宋体" w:hAnsi="宋体"/>
          <w:color w:val="auto"/>
          <w:sz w:val="24"/>
          <w:highlight w:val="none"/>
        </w:rPr>
        <w:t>（另附）</w:t>
      </w:r>
      <w:r>
        <w:rPr>
          <w:rFonts w:ascii="宋体" w:hAnsi="宋体"/>
          <w:color w:val="auto"/>
          <w:sz w:val="24"/>
          <w:highlight w:val="none"/>
        </w:rPr>
        <w:t>。</w:t>
      </w:r>
    </w:p>
    <w:p>
      <w:pPr>
        <w:pStyle w:val="33"/>
        <w:ind w:firstLine="210"/>
        <w:rPr>
          <w:color w:val="auto"/>
          <w:highlight w:val="none"/>
        </w:rPr>
      </w:pPr>
    </w:p>
    <w:p>
      <w:pPr>
        <w:topLinePunct/>
        <w:autoSpaceDE w:val="0"/>
        <w:autoSpaceDN w:val="0"/>
        <w:snapToGrid w:val="0"/>
        <w:spacing w:line="360" w:lineRule="auto"/>
        <w:ind w:left="482"/>
        <w:rPr>
          <w:rFonts w:ascii="宋体" w:hAnsi="宋体"/>
          <w:b/>
          <w:color w:val="auto"/>
          <w:sz w:val="24"/>
          <w:highlight w:val="none"/>
        </w:rPr>
      </w:pPr>
      <w:r>
        <w:rPr>
          <w:rFonts w:ascii="宋体" w:hAnsi="宋体"/>
          <w:b/>
          <w:color w:val="auto"/>
          <w:sz w:val="24"/>
          <w:highlight w:val="none"/>
        </w:rPr>
        <w:t>2. 合同范围和条件</w:t>
      </w:r>
    </w:p>
    <w:p>
      <w:pPr>
        <w:tabs>
          <w:tab w:val="left" w:pos="700"/>
        </w:tabs>
        <w:topLinePunct/>
        <w:autoSpaceDE w:val="0"/>
        <w:autoSpaceDN w:val="0"/>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本合同的范围和条件应与上述合同文件的规定相一致。</w:t>
      </w:r>
    </w:p>
    <w:p>
      <w:pPr>
        <w:tabs>
          <w:tab w:val="left" w:pos="700"/>
        </w:tabs>
        <w:topLinePunct/>
        <w:autoSpaceDE w:val="0"/>
        <w:autoSpaceDN w:val="0"/>
        <w:snapToGrid w:val="0"/>
        <w:spacing w:line="360" w:lineRule="auto"/>
        <w:ind w:firstLine="470" w:firstLineChars="196"/>
        <w:rPr>
          <w:rFonts w:ascii="宋体" w:hAnsi="宋体"/>
          <w:color w:val="auto"/>
          <w:sz w:val="24"/>
          <w:highlight w:val="none"/>
        </w:rPr>
      </w:pPr>
    </w:p>
    <w:p>
      <w:pPr>
        <w:tabs>
          <w:tab w:val="left" w:pos="700"/>
        </w:tabs>
        <w:topLinePunct/>
        <w:autoSpaceDE w:val="0"/>
        <w:autoSpaceDN w:val="0"/>
        <w:snapToGrid w:val="0"/>
        <w:spacing w:line="360" w:lineRule="auto"/>
        <w:ind w:firstLine="472" w:firstLineChars="196"/>
        <w:rPr>
          <w:rFonts w:ascii="宋体" w:hAnsi="宋体"/>
          <w:b/>
          <w:color w:val="auto"/>
          <w:sz w:val="24"/>
          <w:highlight w:val="none"/>
        </w:rPr>
      </w:pPr>
      <w:r>
        <w:rPr>
          <w:rFonts w:ascii="宋体" w:hAnsi="宋体"/>
          <w:b/>
          <w:color w:val="auto"/>
          <w:sz w:val="24"/>
          <w:highlight w:val="none"/>
        </w:rPr>
        <w:t>3. 合同金额</w:t>
      </w:r>
    </w:p>
    <w:p>
      <w:pPr>
        <w:tabs>
          <w:tab w:val="left" w:pos="700"/>
        </w:tabs>
        <w:topLinePunct/>
        <w:autoSpaceDE w:val="0"/>
        <w:autoSpaceDN w:val="0"/>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本合同金额为人民币</w:t>
      </w:r>
      <w:r>
        <w:rPr>
          <w:rFonts w:hint="eastAsia" w:ascii="宋体" w:hAnsi="宋体"/>
          <w:color w:val="auto"/>
          <w:sz w:val="24"/>
          <w:highlight w:val="none"/>
          <w:lang w:val="en-US" w:eastAsia="zh-CN"/>
        </w:rPr>
        <w:t xml:space="preserve">     </w:t>
      </w:r>
      <w:r>
        <w:rPr>
          <w:rFonts w:ascii="宋体" w:hAnsi="宋体"/>
          <w:color w:val="auto"/>
          <w:sz w:val="24"/>
          <w:highlight w:val="none"/>
        </w:rPr>
        <w:t>元整（¥）。本合同项下所有</w:t>
      </w:r>
      <w:r>
        <w:rPr>
          <w:rFonts w:hint="eastAsia" w:ascii="宋体" w:hAnsi="宋体"/>
          <w:color w:val="auto"/>
          <w:sz w:val="24"/>
          <w:highlight w:val="none"/>
        </w:rPr>
        <w:t>货物</w:t>
      </w:r>
      <w:r>
        <w:rPr>
          <w:rFonts w:ascii="宋体" w:hAnsi="宋体"/>
          <w:color w:val="auto"/>
          <w:sz w:val="24"/>
          <w:highlight w:val="none"/>
        </w:rPr>
        <w:t>的全部税费均已包含于合同总金额中，甲方不再另行支付。</w:t>
      </w:r>
    </w:p>
    <w:p>
      <w:pPr>
        <w:pStyle w:val="33"/>
        <w:ind w:firstLine="210"/>
        <w:rPr>
          <w:color w:val="auto"/>
          <w:highlight w:val="none"/>
        </w:rPr>
      </w:pPr>
    </w:p>
    <w:p>
      <w:pPr>
        <w:tabs>
          <w:tab w:val="left" w:pos="700"/>
        </w:tabs>
        <w:topLinePunct/>
        <w:autoSpaceDE w:val="0"/>
        <w:autoSpaceDN w:val="0"/>
        <w:snapToGrid w:val="0"/>
        <w:spacing w:line="360" w:lineRule="auto"/>
        <w:ind w:firstLine="482" w:firstLineChars="200"/>
        <w:rPr>
          <w:rFonts w:ascii="宋体" w:hAnsi="宋体"/>
          <w:b/>
          <w:color w:val="auto"/>
          <w:sz w:val="24"/>
          <w:highlight w:val="none"/>
        </w:rPr>
      </w:pPr>
      <w:r>
        <w:rPr>
          <w:rFonts w:ascii="宋体" w:hAnsi="宋体"/>
          <w:b/>
          <w:color w:val="auto"/>
          <w:sz w:val="24"/>
          <w:highlight w:val="none"/>
        </w:rPr>
        <w:t>4.付款条件</w:t>
      </w:r>
    </w:p>
    <w:p>
      <w:pPr>
        <w:autoSpaceDN w:val="0"/>
        <w:spacing w:line="360" w:lineRule="auto"/>
        <w:ind w:firstLine="480" w:firstLineChars="200"/>
        <w:rPr>
          <w:rFonts w:ascii="宋体" w:hAnsi="宋体"/>
          <w:color w:val="auto"/>
          <w:sz w:val="24"/>
          <w:highlight w:val="none"/>
        </w:rPr>
      </w:pPr>
      <w:r>
        <w:rPr>
          <w:rFonts w:ascii="宋体" w:hAnsi="宋体"/>
          <w:color w:val="auto"/>
          <w:sz w:val="24"/>
          <w:highlight w:val="none"/>
        </w:rPr>
        <w:t>4.1 乙方与采购人签订的采购合同以人民币付款。</w:t>
      </w:r>
    </w:p>
    <w:p>
      <w:pPr>
        <w:autoSpaceDN w:val="0"/>
        <w:spacing w:line="360" w:lineRule="auto"/>
        <w:ind w:firstLine="480" w:firstLineChars="200"/>
        <w:rPr>
          <w:rFonts w:ascii="宋体" w:hAnsi="宋体"/>
          <w:color w:val="auto"/>
          <w:sz w:val="24"/>
          <w:highlight w:val="none"/>
        </w:rPr>
      </w:pPr>
      <w:r>
        <w:rPr>
          <w:rFonts w:ascii="宋体" w:hAnsi="宋体"/>
          <w:color w:val="auto"/>
          <w:sz w:val="24"/>
          <w:highlight w:val="none"/>
        </w:rPr>
        <w:t>4.2 付款方式：</w:t>
      </w:r>
      <w:r>
        <w:rPr>
          <w:rFonts w:hint="eastAsia" w:ascii="宋体" w:hAnsi="宋体"/>
          <w:color w:val="auto"/>
          <w:sz w:val="24"/>
          <w:highlight w:val="none"/>
        </w:rPr>
        <w:t>合同签订后，设备运送至采购人指定地点、场所和位置，安装、调试、运行并试运行验收合格后，由</w:t>
      </w:r>
      <w:r>
        <w:rPr>
          <w:rFonts w:ascii="宋体" w:hAnsi="宋体"/>
          <w:color w:val="auto"/>
          <w:sz w:val="24"/>
          <w:highlight w:val="none"/>
        </w:rPr>
        <w:t>乙方</w:t>
      </w:r>
      <w:r>
        <w:rPr>
          <w:rFonts w:hint="eastAsia" w:ascii="宋体" w:hAnsi="宋体"/>
          <w:color w:val="auto"/>
          <w:sz w:val="24"/>
          <w:highlight w:val="none"/>
        </w:rPr>
        <w:t>提出付款申请，并</w:t>
      </w:r>
      <w:r>
        <w:rPr>
          <w:rFonts w:ascii="宋体" w:hAnsi="宋体"/>
          <w:color w:val="auto"/>
          <w:sz w:val="24"/>
          <w:highlight w:val="none"/>
        </w:rPr>
        <w:t>提供发票</w:t>
      </w:r>
      <w:r>
        <w:rPr>
          <w:rFonts w:hint="eastAsia" w:ascii="宋体" w:hAnsi="宋体"/>
          <w:color w:val="auto"/>
          <w:sz w:val="24"/>
          <w:highlight w:val="none"/>
        </w:rPr>
        <w:t>等合同约定的其他资料</w:t>
      </w:r>
      <w:r>
        <w:rPr>
          <w:rFonts w:ascii="宋体" w:hAnsi="宋体"/>
          <w:color w:val="auto"/>
          <w:sz w:val="24"/>
          <w:highlight w:val="none"/>
        </w:rPr>
        <w:t>。</w:t>
      </w:r>
    </w:p>
    <w:p>
      <w:pPr>
        <w:autoSpaceDN w:val="0"/>
        <w:spacing w:line="360" w:lineRule="auto"/>
        <w:ind w:firstLine="480" w:firstLineChars="200"/>
        <w:rPr>
          <w:rFonts w:ascii="宋体" w:hAnsi="宋体"/>
          <w:color w:val="auto"/>
          <w:sz w:val="24"/>
          <w:highlight w:val="none"/>
        </w:rPr>
      </w:pPr>
      <w:r>
        <w:rPr>
          <w:rFonts w:ascii="宋体" w:hAnsi="宋体"/>
          <w:color w:val="auto"/>
          <w:sz w:val="24"/>
          <w:highlight w:val="none"/>
        </w:rPr>
        <w:t>甲方在收到</w:t>
      </w:r>
      <w:r>
        <w:rPr>
          <w:rFonts w:hint="eastAsia" w:ascii="宋体" w:hAnsi="宋体"/>
          <w:color w:val="auto"/>
          <w:sz w:val="24"/>
          <w:highlight w:val="none"/>
        </w:rPr>
        <w:t>乙方提供的上述</w:t>
      </w:r>
      <w:r>
        <w:rPr>
          <w:rFonts w:ascii="宋体" w:hAnsi="宋体"/>
          <w:color w:val="auto"/>
          <w:sz w:val="24"/>
          <w:highlight w:val="none"/>
        </w:rPr>
        <w:t>资料后，进行核实。满足合同约定支付条件的，自收到发票后30日内</w:t>
      </w:r>
      <w:r>
        <w:rPr>
          <w:rFonts w:hint="eastAsia" w:ascii="宋体" w:hAnsi="宋体"/>
          <w:color w:val="auto"/>
          <w:sz w:val="24"/>
          <w:highlight w:val="none"/>
        </w:rPr>
        <w:t>，支付合同总价款的</w:t>
      </w:r>
      <w:r>
        <w:rPr>
          <w:rFonts w:ascii="宋体" w:hAnsi="宋体"/>
          <w:color w:val="auto"/>
          <w:sz w:val="24"/>
          <w:highlight w:val="none"/>
        </w:rPr>
        <w:t>100%</w:t>
      </w:r>
      <w:r>
        <w:rPr>
          <w:rFonts w:hint="eastAsia" w:ascii="宋体" w:hAnsi="宋体"/>
          <w:color w:val="auto"/>
          <w:sz w:val="24"/>
          <w:highlight w:val="none"/>
        </w:rPr>
        <w:t>。</w:t>
      </w:r>
    </w:p>
    <w:p>
      <w:pPr>
        <w:pStyle w:val="33"/>
        <w:ind w:firstLine="210"/>
        <w:rPr>
          <w:color w:val="auto"/>
          <w:highlight w:val="none"/>
        </w:rPr>
      </w:pPr>
    </w:p>
    <w:p>
      <w:pPr>
        <w:topLinePunct/>
        <w:autoSpaceDE w:val="0"/>
        <w:autoSpaceDN w:val="0"/>
        <w:spacing w:line="360" w:lineRule="auto"/>
        <w:ind w:left="482"/>
        <w:rPr>
          <w:rFonts w:ascii="宋体" w:hAnsi="宋体"/>
          <w:b/>
          <w:color w:val="auto"/>
          <w:sz w:val="24"/>
          <w:highlight w:val="none"/>
        </w:rPr>
      </w:pPr>
      <w:r>
        <w:rPr>
          <w:rFonts w:ascii="宋体" w:hAnsi="宋体"/>
          <w:b/>
          <w:color w:val="auto"/>
          <w:sz w:val="24"/>
          <w:highlight w:val="none"/>
        </w:rPr>
        <w:t>5. 合同签订</w:t>
      </w:r>
    </w:p>
    <w:p>
      <w:pPr>
        <w:pStyle w:val="148"/>
        <w:tabs>
          <w:tab w:val="left" w:pos="709"/>
          <w:tab w:val="left" w:pos="840"/>
          <w:tab w:val="clear" w:pos="360"/>
          <w:tab w:val="clear" w:pos="900"/>
        </w:tabs>
        <w:spacing w:line="360" w:lineRule="auto"/>
        <w:ind w:firstLine="480" w:firstLineChars="200"/>
        <w:rPr>
          <w:color w:val="auto"/>
          <w:sz w:val="24"/>
          <w:szCs w:val="24"/>
          <w:highlight w:val="none"/>
        </w:rPr>
      </w:pPr>
      <w:r>
        <w:rPr>
          <w:color w:val="auto"/>
          <w:sz w:val="24"/>
          <w:szCs w:val="24"/>
          <w:highlight w:val="none"/>
        </w:rPr>
        <w:t>本合同由甲乙双方法定代表人或授权代表签字盖章。</w:t>
      </w:r>
    </w:p>
    <w:p>
      <w:pPr>
        <w:pStyle w:val="148"/>
        <w:tabs>
          <w:tab w:val="left" w:pos="709"/>
          <w:tab w:val="left" w:pos="840"/>
          <w:tab w:val="clear" w:pos="360"/>
          <w:tab w:val="clear" w:pos="900"/>
        </w:tabs>
        <w:spacing w:line="360" w:lineRule="auto"/>
        <w:ind w:firstLine="480" w:firstLineChars="200"/>
        <w:rPr>
          <w:color w:val="auto"/>
          <w:sz w:val="24"/>
          <w:szCs w:val="24"/>
          <w:highlight w:val="none"/>
        </w:rPr>
      </w:pPr>
      <w:r>
        <w:rPr>
          <w:color w:val="auto"/>
          <w:sz w:val="24"/>
          <w:szCs w:val="24"/>
          <w:highlight w:val="none"/>
        </w:rPr>
        <w:t>乙方由法定代表人签订合同的，乙方法定代表人应提供身份证复印件；乙方由授权代表签订合同的，乙方授权代表应提供授权书和身份证复印件。</w:t>
      </w:r>
    </w:p>
    <w:p>
      <w:pPr>
        <w:pStyle w:val="148"/>
        <w:tabs>
          <w:tab w:val="left" w:pos="709"/>
          <w:tab w:val="left" w:pos="840"/>
          <w:tab w:val="clear" w:pos="360"/>
          <w:tab w:val="clear" w:pos="900"/>
        </w:tabs>
        <w:spacing w:line="360" w:lineRule="auto"/>
        <w:ind w:firstLine="480" w:firstLineChars="200"/>
        <w:rPr>
          <w:color w:val="auto"/>
          <w:sz w:val="24"/>
          <w:szCs w:val="24"/>
          <w:highlight w:val="none"/>
        </w:rPr>
      </w:pPr>
    </w:p>
    <w:p>
      <w:pPr>
        <w:topLinePunct/>
        <w:autoSpaceDE w:val="0"/>
        <w:autoSpaceDN w:val="0"/>
        <w:spacing w:line="360" w:lineRule="auto"/>
        <w:ind w:left="482"/>
        <w:rPr>
          <w:rFonts w:ascii="宋体" w:hAnsi="宋体"/>
          <w:b/>
          <w:color w:val="auto"/>
          <w:sz w:val="24"/>
          <w:highlight w:val="none"/>
        </w:rPr>
      </w:pPr>
      <w:r>
        <w:rPr>
          <w:rFonts w:ascii="宋体" w:hAnsi="宋体"/>
          <w:b/>
          <w:color w:val="auto"/>
          <w:sz w:val="24"/>
          <w:highlight w:val="none"/>
        </w:rPr>
        <w:t>6. 合同生效</w:t>
      </w:r>
    </w:p>
    <w:p>
      <w:pPr>
        <w:tabs>
          <w:tab w:val="left" w:pos="700"/>
        </w:tabs>
        <w:topLinePunct/>
        <w:autoSpaceDE w:val="0"/>
        <w:autoSpaceDN w:val="0"/>
        <w:spacing w:line="360" w:lineRule="auto"/>
        <w:ind w:firstLine="480" w:firstLineChars="200"/>
        <w:rPr>
          <w:rFonts w:ascii="宋体" w:hAnsi="宋体"/>
          <w:color w:val="auto"/>
          <w:sz w:val="24"/>
          <w:highlight w:val="none"/>
        </w:rPr>
      </w:pPr>
      <w:r>
        <w:rPr>
          <w:rFonts w:ascii="宋体" w:hAnsi="宋体"/>
          <w:color w:val="auto"/>
          <w:sz w:val="24"/>
          <w:highlight w:val="none"/>
        </w:rPr>
        <w:t>本合同一式份，在甲乙双方盖章、法定代表人或授权代表签字，并在甲方收到乙方提交的履约保证金后生效。甲方执份，乙方执份，具有同等法律效力。</w:t>
      </w:r>
    </w:p>
    <w:p>
      <w:pPr>
        <w:pStyle w:val="19"/>
        <w:snapToGrid w:val="0"/>
        <w:spacing w:line="460" w:lineRule="atLeast"/>
        <w:ind w:firstLine="419" w:firstLineChars="174"/>
        <w:jc w:val="left"/>
        <w:rPr>
          <w:rFonts w:hint="default" w:hAnsi="宋体"/>
          <w:b/>
          <w:color w:val="auto"/>
          <w:sz w:val="24"/>
          <w:szCs w:val="24"/>
          <w:highlight w:val="none"/>
        </w:rPr>
      </w:pPr>
    </w:p>
    <w:p>
      <w:pPr>
        <w:pStyle w:val="19"/>
        <w:snapToGrid w:val="0"/>
        <w:spacing w:line="460" w:lineRule="atLeast"/>
        <w:rPr>
          <w:rFonts w:hint="default" w:hAnsi="宋体"/>
          <w:color w:val="auto"/>
          <w:sz w:val="24"/>
          <w:szCs w:val="24"/>
          <w:highlight w:val="none"/>
        </w:rPr>
      </w:pPr>
    </w:p>
    <w:p>
      <w:pPr>
        <w:pStyle w:val="19"/>
        <w:snapToGrid w:val="0"/>
        <w:spacing w:line="460" w:lineRule="atLeast"/>
        <w:rPr>
          <w:rFonts w:hint="default" w:hAnsi="宋体"/>
          <w:color w:val="auto"/>
          <w:sz w:val="24"/>
          <w:szCs w:val="24"/>
          <w:highlight w:val="none"/>
        </w:rPr>
      </w:pPr>
    </w:p>
    <w:p>
      <w:pPr>
        <w:tabs>
          <w:tab w:val="left" w:pos="700"/>
        </w:tabs>
        <w:topLinePunct/>
        <w:autoSpaceDE w:val="0"/>
        <w:autoSpaceDN w:val="0"/>
        <w:spacing w:line="720" w:lineRule="auto"/>
        <w:ind w:left="360"/>
        <w:rPr>
          <w:rFonts w:ascii="宋体" w:hAnsi="宋体"/>
          <w:color w:val="auto"/>
          <w:sz w:val="24"/>
          <w:highlight w:val="none"/>
        </w:rPr>
      </w:pPr>
      <w:r>
        <w:rPr>
          <w:rFonts w:ascii="宋体" w:hAnsi="宋体"/>
          <w:color w:val="auto"/>
          <w:sz w:val="24"/>
          <w:highlight w:val="none"/>
        </w:rPr>
        <w:t>甲方：国家税务总局辽宁省税务局         乙方：</w:t>
      </w:r>
    </w:p>
    <w:p>
      <w:pPr>
        <w:tabs>
          <w:tab w:val="left" w:pos="700"/>
        </w:tabs>
        <w:topLinePunct/>
        <w:autoSpaceDE w:val="0"/>
        <w:autoSpaceDN w:val="0"/>
        <w:spacing w:line="720" w:lineRule="auto"/>
        <w:ind w:left="360"/>
        <w:rPr>
          <w:rFonts w:ascii="宋体" w:hAnsi="宋体"/>
          <w:color w:val="auto"/>
          <w:sz w:val="24"/>
          <w:highlight w:val="none"/>
        </w:rPr>
      </w:pPr>
      <w:r>
        <w:rPr>
          <w:rFonts w:ascii="宋体" w:hAnsi="宋体"/>
          <w:color w:val="auto"/>
          <w:sz w:val="24"/>
          <w:highlight w:val="none"/>
        </w:rPr>
        <w:t>签字：                                 签字：</w:t>
      </w:r>
    </w:p>
    <w:p>
      <w:pPr>
        <w:tabs>
          <w:tab w:val="left" w:pos="700"/>
        </w:tabs>
        <w:topLinePunct/>
        <w:autoSpaceDE w:val="0"/>
        <w:autoSpaceDN w:val="0"/>
        <w:spacing w:line="720" w:lineRule="auto"/>
        <w:ind w:left="360"/>
        <w:rPr>
          <w:rFonts w:ascii="宋体" w:hAnsi="宋体"/>
          <w:color w:val="auto"/>
          <w:sz w:val="24"/>
          <w:highlight w:val="none"/>
        </w:rPr>
      </w:pPr>
      <w:r>
        <w:rPr>
          <w:rFonts w:ascii="宋体" w:hAnsi="宋体"/>
          <w:color w:val="auto"/>
          <w:sz w:val="24"/>
          <w:highlight w:val="none"/>
        </w:rPr>
        <w:t xml:space="preserve">盖章：                                 盖章： </w:t>
      </w:r>
    </w:p>
    <w:p>
      <w:pPr>
        <w:tabs>
          <w:tab w:val="left" w:pos="700"/>
        </w:tabs>
        <w:topLinePunct/>
        <w:autoSpaceDE w:val="0"/>
        <w:autoSpaceDN w:val="0"/>
        <w:spacing w:line="720" w:lineRule="auto"/>
        <w:ind w:left="360"/>
        <w:rPr>
          <w:rFonts w:ascii="宋体" w:hAnsi="宋体"/>
          <w:b/>
          <w:color w:val="auto"/>
          <w:sz w:val="28"/>
          <w:highlight w:val="none"/>
        </w:rPr>
      </w:pPr>
      <w:r>
        <w:rPr>
          <w:rFonts w:ascii="宋体" w:hAnsi="宋体"/>
          <w:color w:val="auto"/>
          <w:sz w:val="24"/>
          <w:highlight w:val="none"/>
        </w:rPr>
        <w:t>日期：    年    月    日               日期：     年   月   日</w:t>
      </w:r>
      <w:r>
        <w:rPr>
          <w:rFonts w:ascii="宋体" w:hAnsi="宋体"/>
          <w:b/>
          <w:bCs/>
          <w:color w:val="auto"/>
          <w:sz w:val="28"/>
          <w:szCs w:val="28"/>
          <w:highlight w:val="none"/>
        </w:rPr>
        <w:br w:type="page"/>
      </w:r>
      <w:r>
        <w:rPr>
          <w:rFonts w:ascii="宋体" w:hAnsi="宋体"/>
          <w:b/>
          <w:color w:val="auto"/>
          <w:sz w:val="28"/>
          <w:highlight w:val="none"/>
        </w:rPr>
        <w:t>二、合同通用条款</w:t>
      </w:r>
    </w:p>
    <w:p>
      <w:pPr>
        <w:numPr>
          <w:ilvl w:val="0"/>
          <w:numId w:val="6"/>
        </w:numPr>
        <w:autoSpaceDN w:val="0"/>
        <w:spacing w:line="460" w:lineRule="exact"/>
        <w:ind w:firstLine="482" w:firstLineChars="200"/>
        <w:rPr>
          <w:rFonts w:ascii="宋体" w:hAnsi="宋体"/>
          <w:b/>
          <w:color w:val="auto"/>
          <w:sz w:val="24"/>
          <w:highlight w:val="none"/>
        </w:rPr>
      </w:pPr>
      <w:r>
        <w:rPr>
          <w:rFonts w:ascii="宋体" w:hAnsi="宋体"/>
          <w:b/>
          <w:color w:val="auto"/>
          <w:sz w:val="24"/>
          <w:highlight w:val="none"/>
        </w:rPr>
        <w:t>定义</w:t>
      </w:r>
    </w:p>
    <w:p>
      <w:pPr>
        <w:autoSpaceDN w:val="0"/>
        <w:spacing w:line="460" w:lineRule="exact"/>
        <w:ind w:firstLine="480" w:firstLineChars="200"/>
        <w:rPr>
          <w:rFonts w:ascii="宋体" w:hAnsi="宋体"/>
          <w:color w:val="auto"/>
          <w:sz w:val="24"/>
          <w:highlight w:val="none"/>
        </w:rPr>
      </w:pPr>
      <w:r>
        <w:rPr>
          <w:rFonts w:ascii="宋体" w:hAnsi="宋体"/>
          <w:color w:val="auto"/>
          <w:sz w:val="24"/>
          <w:highlight w:val="none"/>
        </w:rPr>
        <w:t>本合同下列术语应解释为：</w:t>
      </w:r>
    </w:p>
    <w:p>
      <w:pPr>
        <w:tabs>
          <w:tab w:val="left" w:pos="700"/>
        </w:tabs>
        <w:spacing w:line="460" w:lineRule="exact"/>
        <w:ind w:firstLine="480" w:firstLineChars="200"/>
        <w:rPr>
          <w:rFonts w:ascii="宋体" w:hAnsi="宋体"/>
          <w:color w:val="auto"/>
          <w:sz w:val="24"/>
          <w:highlight w:val="none"/>
        </w:rPr>
      </w:pPr>
      <w:r>
        <w:rPr>
          <w:rFonts w:ascii="宋体" w:hAnsi="宋体"/>
          <w:color w:val="auto"/>
          <w:sz w:val="24"/>
          <w:highlight w:val="none"/>
        </w:rPr>
        <w:t>1.1 “甲方”是指国家税务总局辽宁省税务局。</w:t>
      </w:r>
    </w:p>
    <w:p>
      <w:pPr>
        <w:tabs>
          <w:tab w:val="left" w:pos="700"/>
        </w:tabs>
        <w:spacing w:line="460" w:lineRule="exact"/>
        <w:ind w:firstLine="480" w:firstLineChars="200"/>
        <w:rPr>
          <w:rFonts w:ascii="宋体" w:hAnsi="宋体"/>
          <w:color w:val="auto"/>
          <w:sz w:val="24"/>
          <w:highlight w:val="none"/>
        </w:rPr>
      </w:pPr>
      <w:r>
        <w:rPr>
          <w:rFonts w:ascii="宋体" w:hAnsi="宋体"/>
          <w:color w:val="auto"/>
          <w:sz w:val="24"/>
          <w:highlight w:val="none"/>
        </w:rPr>
        <w:t>1.1.1 “甲方采购部门”见</w:t>
      </w:r>
      <w:r>
        <w:rPr>
          <w:rFonts w:ascii="宋体" w:hAnsi="宋体"/>
          <w:b/>
          <w:bCs/>
          <w:color w:val="auto"/>
          <w:sz w:val="24"/>
          <w:highlight w:val="none"/>
        </w:rPr>
        <w:t>“合同条款前附表”第</w:t>
      </w:r>
      <w:r>
        <w:rPr>
          <w:rFonts w:hint="eastAsia" w:ascii="宋体" w:hAnsi="宋体"/>
          <w:b/>
          <w:bCs/>
          <w:color w:val="auto"/>
          <w:sz w:val="24"/>
          <w:highlight w:val="none"/>
        </w:rPr>
        <w:t>5</w:t>
      </w:r>
      <w:r>
        <w:rPr>
          <w:rFonts w:ascii="宋体" w:hAnsi="宋体"/>
          <w:b/>
          <w:bCs/>
          <w:color w:val="auto"/>
          <w:sz w:val="24"/>
          <w:highlight w:val="none"/>
        </w:rPr>
        <w:t>项“甲方采购部门”</w:t>
      </w:r>
      <w:r>
        <w:rPr>
          <w:rFonts w:ascii="宋体" w:hAnsi="宋体"/>
          <w:color w:val="auto"/>
          <w:sz w:val="24"/>
          <w:highlight w:val="none"/>
        </w:rPr>
        <w:t>。</w:t>
      </w:r>
    </w:p>
    <w:p>
      <w:pPr>
        <w:tabs>
          <w:tab w:val="left" w:pos="700"/>
        </w:tabs>
        <w:spacing w:line="460" w:lineRule="exact"/>
        <w:ind w:firstLine="480" w:firstLineChars="200"/>
        <w:rPr>
          <w:rFonts w:ascii="宋体" w:hAnsi="宋体"/>
          <w:color w:val="auto"/>
          <w:sz w:val="24"/>
          <w:highlight w:val="none"/>
        </w:rPr>
      </w:pPr>
      <w:r>
        <w:rPr>
          <w:rFonts w:ascii="宋体" w:hAnsi="宋体"/>
          <w:color w:val="auto"/>
          <w:sz w:val="24"/>
          <w:highlight w:val="none"/>
        </w:rPr>
        <w:t>1.1.2 “甲方业务部门”见</w:t>
      </w:r>
      <w:r>
        <w:rPr>
          <w:rFonts w:ascii="宋体" w:hAnsi="宋体"/>
          <w:b/>
          <w:bCs/>
          <w:color w:val="auto"/>
          <w:sz w:val="24"/>
          <w:highlight w:val="none"/>
        </w:rPr>
        <w:t>“合同条款前附表”第</w:t>
      </w:r>
      <w:r>
        <w:rPr>
          <w:rFonts w:hint="eastAsia" w:ascii="宋体" w:hAnsi="宋体"/>
          <w:b/>
          <w:bCs/>
          <w:color w:val="auto"/>
          <w:sz w:val="24"/>
          <w:highlight w:val="none"/>
        </w:rPr>
        <w:t>5</w:t>
      </w:r>
      <w:r>
        <w:rPr>
          <w:rFonts w:ascii="宋体" w:hAnsi="宋体"/>
          <w:b/>
          <w:bCs/>
          <w:color w:val="auto"/>
          <w:sz w:val="24"/>
          <w:highlight w:val="none"/>
        </w:rPr>
        <w:t>项“甲方业务部门”</w:t>
      </w:r>
      <w:r>
        <w:rPr>
          <w:rFonts w:ascii="宋体" w:hAnsi="宋体"/>
          <w:color w:val="auto"/>
          <w:sz w:val="24"/>
          <w:highlight w:val="none"/>
        </w:rPr>
        <w:t>。</w:t>
      </w:r>
    </w:p>
    <w:p>
      <w:pPr>
        <w:tabs>
          <w:tab w:val="left" w:pos="700"/>
        </w:tabs>
        <w:spacing w:line="460" w:lineRule="exact"/>
        <w:ind w:firstLine="480" w:firstLineChars="200"/>
        <w:rPr>
          <w:rFonts w:ascii="宋体" w:hAnsi="宋体"/>
          <w:color w:val="auto"/>
          <w:sz w:val="24"/>
          <w:highlight w:val="none"/>
        </w:rPr>
      </w:pPr>
      <w:r>
        <w:rPr>
          <w:rFonts w:ascii="宋体" w:hAnsi="宋体"/>
          <w:color w:val="auto"/>
          <w:sz w:val="24"/>
          <w:highlight w:val="none"/>
        </w:rPr>
        <w:t>1.2 “乙方”见</w:t>
      </w:r>
      <w:r>
        <w:rPr>
          <w:rFonts w:ascii="宋体" w:hAnsi="宋体"/>
          <w:b/>
          <w:bCs/>
          <w:color w:val="auto"/>
          <w:sz w:val="24"/>
          <w:highlight w:val="none"/>
        </w:rPr>
        <w:t>“合同条款前附表”第</w:t>
      </w:r>
      <w:r>
        <w:rPr>
          <w:rFonts w:hint="eastAsia" w:ascii="宋体" w:hAnsi="宋体"/>
          <w:b/>
          <w:bCs/>
          <w:color w:val="auto"/>
          <w:sz w:val="24"/>
          <w:highlight w:val="none"/>
        </w:rPr>
        <w:t>6</w:t>
      </w:r>
      <w:r>
        <w:rPr>
          <w:rFonts w:ascii="宋体" w:hAnsi="宋体"/>
          <w:b/>
          <w:bCs/>
          <w:color w:val="auto"/>
          <w:sz w:val="24"/>
          <w:highlight w:val="none"/>
        </w:rPr>
        <w:t>项“乙方名称”</w:t>
      </w:r>
      <w:r>
        <w:rPr>
          <w:rFonts w:ascii="宋体" w:hAnsi="宋体"/>
          <w:color w:val="auto"/>
          <w:sz w:val="24"/>
          <w:highlight w:val="none"/>
        </w:rPr>
        <w:t>。</w:t>
      </w:r>
    </w:p>
    <w:p>
      <w:pPr>
        <w:autoSpaceDN w:val="0"/>
        <w:spacing w:line="460" w:lineRule="exact"/>
        <w:ind w:firstLine="480" w:firstLineChars="200"/>
        <w:rPr>
          <w:rFonts w:ascii="宋体" w:hAnsi="宋体"/>
          <w:color w:val="auto"/>
          <w:sz w:val="24"/>
          <w:highlight w:val="none"/>
        </w:rPr>
      </w:pPr>
      <w:r>
        <w:rPr>
          <w:rFonts w:ascii="宋体" w:hAnsi="宋体"/>
          <w:color w:val="auto"/>
          <w:sz w:val="24"/>
          <w:highlight w:val="none"/>
        </w:rPr>
        <w:t>1.3 “合同”指甲、乙双方签订的，合同格式中载明的甲、乙双方所达成的合同,包括所有的附件、附录和上述文件所提到的构成合同的所有文件。</w:t>
      </w:r>
    </w:p>
    <w:p>
      <w:pPr>
        <w:topLinePunct/>
        <w:autoSpaceDE w:val="0"/>
        <w:autoSpaceDN w:val="0"/>
        <w:spacing w:line="460" w:lineRule="exact"/>
        <w:ind w:firstLine="480" w:firstLineChars="200"/>
        <w:rPr>
          <w:rFonts w:ascii="宋体" w:hAnsi="宋体"/>
          <w:color w:val="auto"/>
          <w:sz w:val="24"/>
          <w:highlight w:val="none"/>
        </w:rPr>
      </w:pPr>
      <w:r>
        <w:rPr>
          <w:rFonts w:ascii="宋体" w:hAnsi="宋体"/>
          <w:color w:val="auto"/>
          <w:sz w:val="24"/>
          <w:highlight w:val="none"/>
        </w:rPr>
        <w:t>1.4“天”除非特别指出，“天”均为自然天。</w:t>
      </w:r>
    </w:p>
    <w:p>
      <w:pPr>
        <w:topLinePunct/>
        <w:autoSpaceDE w:val="0"/>
        <w:autoSpaceDN w:val="0"/>
        <w:spacing w:line="440" w:lineRule="exact"/>
        <w:ind w:left="480"/>
        <w:rPr>
          <w:rFonts w:ascii="宋体" w:hAnsi="宋体"/>
          <w:color w:val="auto"/>
          <w:sz w:val="24"/>
          <w:highlight w:val="none"/>
        </w:rPr>
      </w:pPr>
    </w:p>
    <w:p>
      <w:pPr>
        <w:numPr>
          <w:ilvl w:val="0"/>
          <w:numId w:val="6"/>
        </w:numPr>
        <w:autoSpaceDN w:val="0"/>
        <w:spacing w:line="460" w:lineRule="exact"/>
        <w:ind w:firstLine="482" w:firstLineChars="200"/>
        <w:rPr>
          <w:rFonts w:ascii="宋体" w:hAnsi="宋体"/>
          <w:b/>
          <w:color w:val="auto"/>
          <w:sz w:val="24"/>
          <w:highlight w:val="none"/>
        </w:rPr>
      </w:pPr>
      <w:r>
        <w:rPr>
          <w:rFonts w:ascii="宋体" w:hAnsi="宋体"/>
          <w:b/>
          <w:color w:val="auto"/>
          <w:sz w:val="24"/>
          <w:highlight w:val="none"/>
        </w:rPr>
        <w:t>标准</w:t>
      </w:r>
    </w:p>
    <w:p>
      <w:pPr>
        <w:autoSpaceDN w:val="0"/>
        <w:spacing w:line="460" w:lineRule="exact"/>
        <w:ind w:firstLine="480" w:firstLineChars="200"/>
        <w:rPr>
          <w:rFonts w:ascii="宋体" w:hAnsi="宋体"/>
          <w:color w:val="auto"/>
          <w:sz w:val="24"/>
          <w:highlight w:val="none"/>
        </w:rPr>
      </w:pPr>
      <w:r>
        <w:rPr>
          <w:rFonts w:ascii="宋体" w:hAnsi="宋体"/>
          <w:color w:val="auto"/>
          <w:sz w:val="24"/>
          <w:highlight w:val="none"/>
        </w:rPr>
        <w:t>2.1 乙方为甲方交付或提供的服务，应符合招标文件中所述的标准，如果没有提及适用标准，则应符合相应的国家标准。这些标准必须是有关机构发布的最新版本的标准。</w:t>
      </w:r>
    </w:p>
    <w:p>
      <w:pPr>
        <w:autoSpaceDN w:val="0"/>
        <w:spacing w:line="460" w:lineRule="exact"/>
        <w:ind w:firstLine="480" w:firstLineChars="200"/>
        <w:rPr>
          <w:rFonts w:ascii="宋体" w:hAnsi="宋体"/>
          <w:color w:val="auto"/>
          <w:sz w:val="24"/>
          <w:highlight w:val="none"/>
        </w:rPr>
      </w:pPr>
      <w:r>
        <w:rPr>
          <w:rFonts w:ascii="宋体" w:hAnsi="宋体"/>
          <w:color w:val="auto"/>
          <w:sz w:val="24"/>
          <w:highlight w:val="none"/>
        </w:rPr>
        <w:t>2.2 除非技术要求中另有规定，计量单位均采用中华人民共和国法定计量单位。</w:t>
      </w:r>
    </w:p>
    <w:p>
      <w:pPr>
        <w:autoSpaceDN w:val="0"/>
        <w:spacing w:line="460" w:lineRule="exact"/>
        <w:rPr>
          <w:rFonts w:ascii="宋体" w:hAnsi="宋体"/>
          <w:color w:val="auto"/>
          <w:sz w:val="24"/>
          <w:highlight w:val="none"/>
        </w:rPr>
      </w:pPr>
    </w:p>
    <w:p>
      <w:pPr>
        <w:snapToGrid w:val="0"/>
        <w:spacing w:line="360" w:lineRule="auto"/>
        <w:ind w:firstLine="482" w:firstLineChars="200"/>
        <w:rPr>
          <w:rFonts w:ascii="宋体" w:hAnsi="宋体"/>
          <w:b/>
          <w:bCs/>
          <w:color w:val="auto"/>
          <w:sz w:val="24"/>
          <w:highlight w:val="none"/>
        </w:rPr>
      </w:pPr>
      <w:r>
        <w:rPr>
          <w:rFonts w:ascii="宋体" w:hAnsi="宋体"/>
          <w:b/>
          <w:bCs/>
          <w:color w:val="auto"/>
          <w:sz w:val="24"/>
          <w:highlight w:val="none"/>
        </w:rPr>
        <w:t>3. 服务</w:t>
      </w:r>
    </w:p>
    <w:p>
      <w:pPr>
        <w:tabs>
          <w:tab w:val="left" w:pos="700"/>
        </w:tabs>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3.1 本项目的“服务”见“合同条款前附表”第8项“服务内容”。</w:t>
      </w:r>
    </w:p>
    <w:p>
      <w:pPr>
        <w:topLinePunct/>
        <w:autoSpaceDE w:val="0"/>
        <w:autoSpaceDN w:val="0"/>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3.2 乙方应保证所提供的服务符合合同规定的技术要求。如不符时，乙方应负全责并在限期内尽快处理解决，由此造成的损失和相关费用由乙方承担，甲方保留解除合同及索赔的权利。</w:t>
      </w:r>
    </w:p>
    <w:p>
      <w:pPr>
        <w:topLinePunct/>
        <w:autoSpaceDE w:val="0"/>
        <w:autoSpaceDN w:val="0"/>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3.3 乙方应保证通过执行合同中全部方案后，可以取得本合同约定的结果，达到本合同约定的预期目标。对任何情况下出现的问题，应在限期内尽快提出解决方案。</w:t>
      </w:r>
    </w:p>
    <w:p>
      <w:pPr>
        <w:tabs>
          <w:tab w:val="left" w:pos="0"/>
          <w:tab w:val="left" w:pos="540"/>
        </w:tabs>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3.4 如果乙方提供的服务和解决方案不符合甲方要求，或在规定的时间内没有弥补缺陷，甲方有权采取一切必要的补救措施，由此产生的费用和甲方的损失全部由乙方负责。</w:t>
      </w:r>
    </w:p>
    <w:p>
      <w:pPr>
        <w:snapToGrid w:val="0"/>
        <w:spacing w:line="360" w:lineRule="auto"/>
        <w:ind w:firstLine="480" w:firstLineChars="200"/>
        <w:rPr>
          <w:color w:val="auto"/>
          <w:highlight w:val="none"/>
        </w:rPr>
      </w:pPr>
      <w:r>
        <w:rPr>
          <w:rFonts w:ascii="宋体" w:hAnsi="宋体"/>
          <w:color w:val="auto"/>
          <w:sz w:val="24"/>
          <w:highlight w:val="none"/>
        </w:rPr>
        <w:t>3.5 除合同条款另行规定外，伴随服务的费用已全部含在合同总金额中，不单独进行支付。</w:t>
      </w:r>
    </w:p>
    <w:p>
      <w:pPr>
        <w:numPr>
          <w:ilvl w:val="0"/>
          <w:numId w:val="6"/>
        </w:numPr>
        <w:autoSpaceDN w:val="0"/>
        <w:spacing w:line="460" w:lineRule="exact"/>
        <w:ind w:firstLine="482" w:firstLineChars="200"/>
        <w:rPr>
          <w:rFonts w:ascii="宋体" w:hAnsi="宋体"/>
          <w:b/>
          <w:color w:val="auto"/>
          <w:sz w:val="24"/>
          <w:highlight w:val="none"/>
        </w:rPr>
      </w:pPr>
      <w:r>
        <w:rPr>
          <w:rFonts w:ascii="宋体" w:hAnsi="宋体"/>
          <w:b/>
          <w:color w:val="auto"/>
          <w:sz w:val="24"/>
          <w:highlight w:val="none"/>
        </w:rPr>
        <w:t>使用合同文件和资料</w:t>
      </w:r>
    </w:p>
    <w:p>
      <w:pPr>
        <w:autoSpaceDN w:val="0"/>
        <w:spacing w:line="460" w:lineRule="exact"/>
        <w:ind w:firstLine="480" w:firstLineChars="200"/>
        <w:rPr>
          <w:rFonts w:ascii="宋体" w:hAnsi="宋体"/>
          <w:color w:val="auto"/>
          <w:sz w:val="24"/>
          <w:highlight w:val="none"/>
        </w:rPr>
      </w:pPr>
      <w:r>
        <w:rPr>
          <w:rFonts w:ascii="宋体" w:hAnsi="宋体"/>
          <w:color w:val="auto"/>
          <w:sz w:val="24"/>
          <w:highlight w:val="none"/>
        </w:rPr>
        <w:t xml:space="preserve">3.1 未经对方同意，甲、乙双方均不得泄露与本合同有关的任何文件、资料、数据及其它信息。 </w:t>
      </w:r>
    </w:p>
    <w:p>
      <w:pPr>
        <w:autoSpaceDN w:val="0"/>
        <w:spacing w:line="460" w:lineRule="exact"/>
        <w:ind w:left="2119"/>
        <w:rPr>
          <w:rFonts w:ascii="宋体" w:hAnsi="宋体"/>
          <w:color w:val="auto"/>
          <w:sz w:val="24"/>
          <w:highlight w:val="none"/>
        </w:rPr>
      </w:pPr>
    </w:p>
    <w:p>
      <w:pPr>
        <w:tabs>
          <w:tab w:val="left" w:pos="0"/>
          <w:tab w:val="left" w:pos="540"/>
        </w:tabs>
        <w:spacing w:line="460" w:lineRule="exact"/>
        <w:ind w:firstLine="482" w:firstLineChars="200"/>
        <w:rPr>
          <w:rFonts w:ascii="宋体" w:hAnsi="宋体"/>
          <w:b/>
          <w:color w:val="auto"/>
          <w:sz w:val="24"/>
          <w:highlight w:val="none"/>
        </w:rPr>
      </w:pPr>
      <w:r>
        <w:rPr>
          <w:rFonts w:ascii="宋体" w:hAnsi="宋体"/>
          <w:b/>
          <w:color w:val="auto"/>
          <w:sz w:val="24"/>
          <w:highlight w:val="none"/>
        </w:rPr>
        <w:t>4. 知识产权</w:t>
      </w:r>
    </w:p>
    <w:p>
      <w:pPr>
        <w:spacing w:line="460" w:lineRule="exact"/>
        <w:ind w:firstLine="480" w:firstLineChars="200"/>
        <w:rPr>
          <w:rFonts w:ascii="宋体" w:hAnsi="宋体"/>
          <w:color w:val="auto"/>
          <w:sz w:val="24"/>
          <w:highlight w:val="none"/>
        </w:rPr>
      </w:pPr>
      <w:r>
        <w:rPr>
          <w:rFonts w:ascii="宋体" w:hAnsi="宋体"/>
          <w:color w:val="auto"/>
          <w:sz w:val="24"/>
          <w:highlight w:val="none"/>
        </w:rPr>
        <w:t>4.1 乙方应保证所提供的产品和服务免受第三方提出侵犯其知识产权（专利权、商标权、软件著作权、版权等）的起诉。</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4.2甲方对项目实施过程中所产生的所有成果（包括发明、发现、可运行系统、源代码及相关技术资料、文档等）享有永久使用权、复制权和修改权，其专利申请权、专利权、软件著作权、技术秘密的所有权、使用权、转让权等知识产权归甲方所有。</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4.3乙方不得利用本项目实施过程中所产生的成果（包括发明、发现、可运行系统、源代码及相关技术资料、文档等），另行自行开发本合同业务范围内供纳税人缴费人使用的软件或产品，不得利用开发便利变相收费或搭车收费。</w:t>
      </w:r>
    </w:p>
    <w:p>
      <w:pPr>
        <w:tabs>
          <w:tab w:val="left" w:pos="3492"/>
        </w:tabs>
        <w:autoSpaceDN w:val="0"/>
        <w:spacing w:line="460" w:lineRule="exact"/>
        <w:rPr>
          <w:rFonts w:ascii="宋体" w:hAnsi="宋体"/>
          <w:bCs/>
          <w:color w:val="auto"/>
          <w:sz w:val="24"/>
          <w:highlight w:val="none"/>
        </w:rPr>
      </w:pPr>
    </w:p>
    <w:p>
      <w:pPr>
        <w:snapToGrid w:val="0"/>
        <w:spacing w:line="360" w:lineRule="auto"/>
        <w:ind w:firstLine="482" w:firstLineChars="200"/>
        <w:rPr>
          <w:rFonts w:ascii="宋体" w:hAnsi="宋体"/>
          <w:b/>
          <w:color w:val="auto"/>
          <w:sz w:val="24"/>
          <w:highlight w:val="none"/>
        </w:rPr>
      </w:pPr>
      <w:r>
        <w:rPr>
          <w:rFonts w:ascii="宋体" w:hAnsi="宋体"/>
          <w:b/>
          <w:color w:val="auto"/>
          <w:sz w:val="24"/>
          <w:highlight w:val="none"/>
        </w:rPr>
        <w:t>5. 保密条款</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5.1 甲乙双方应对在本合同签订或履行过程中所接触的对方信息，包括但不限于知识产权、技术资料、技术诀窍、内部管理及其他相关信息，负有保密义务。</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5.2 乙方在使用甲方为乙方及其工作人员提供的数据、程序、用户名、口令、资料及甲方相关的业务和技术文档，包括税收政策、方案设计细节、程序文件、数据结构，以及相关业务系统的软硬件、文档、测试和测试产生的数据时，应遵循以下规定：</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 应以审慎态度避免泄漏、公开或传播甲方的信息；</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 在开发过程中对数据的处理方式应事先得到甲方的许可；</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（3） 未经甲方书面许可，不得对有关信息进行修改、补充、复制；</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（4） 未经甲方书面许可，不得将信息以任何方式（如E-mail）携带出甲方场所；</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（5） 未经甲方书面许可，不得将信息透露给任何其他人； </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（6） 严禁在提交的软件产品中设置远程维护接口和后门程序；</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（7） 不得进行系统软硬件设备的远程维护；</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（8） 甲方以书面形式提出的其他保密措施。</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5.3 保密期限不受合同有效期的限制，在合同有效期结束后，信息接受方仍应承担保密义务，直至该等信息成为公开信息。</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5.4 甲乙双方如出现泄密行为，泄密方应承担相关的法律责任，包括但不限于对由此给对方造成的经济损失进行赔偿。</w:t>
      </w:r>
    </w:p>
    <w:p>
      <w:pPr>
        <w:pStyle w:val="33"/>
        <w:ind w:firstLine="210"/>
        <w:rPr>
          <w:color w:val="auto"/>
          <w:highlight w:val="none"/>
        </w:rPr>
      </w:pPr>
    </w:p>
    <w:p>
      <w:pPr>
        <w:topLinePunct/>
        <w:autoSpaceDE w:val="0"/>
        <w:autoSpaceDN w:val="0"/>
        <w:snapToGrid w:val="0"/>
        <w:spacing w:line="360" w:lineRule="auto"/>
        <w:ind w:firstLine="482" w:firstLineChars="200"/>
        <w:rPr>
          <w:rFonts w:ascii="宋体" w:hAnsi="宋体"/>
          <w:b/>
          <w:color w:val="auto"/>
          <w:sz w:val="24"/>
          <w:highlight w:val="none"/>
        </w:rPr>
      </w:pPr>
      <w:r>
        <w:rPr>
          <w:rFonts w:ascii="宋体" w:hAnsi="宋体"/>
          <w:b/>
          <w:color w:val="auto"/>
          <w:sz w:val="24"/>
          <w:highlight w:val="none"/>
        </w:rPr>
        <w:t>6. 履约验收要求</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6.1 甲方业务部门严格按照采购合同开展履约验收。验收时,应当按照本合同约定的技术、服务和安全标准，对乙方各项义务履行情况进行验收确认。未约定相关标准的，应当按照国家强制性规定、政策要求、安全标准和行业有关标准进行验收确认。验收结束后，应当出具验收意见，列明合同事项、验收标准及验收情况，由全体验收人员签字。</w:t>
      </w:r>
    </w:p>
    <w:p>
      <w:pPr>
        <w:pStyle w:val="33"/>
        <w:ind w:firstLine="480" w:firstLineChars="200"/>
        <w:rPr>
          <w:color w:val="auto"/>
          <w:sz w:val="24"/>
          <w:highlight w:val="none"/>
        </w:rPr>
      </w:pPr>
      <w:r>
        <w:rPr>
          <w:color w:val="auto"/>
          <w:sz w:val="24"/>
          <w:highlight w:val="none"/>
        </w:rPr>
        <w:t>6.2具体履约验收要求及验收方案详见招标文件</w:t>
      </w:r>
      <w:r>
        <w:rPr>
          <w:rFonts w:hint="eastAsia"/>
          <w:color w:val="auto"/>
          <w:sz w:val="24"/>
          <w:highlight w:val="none"/>
        </w:rPr>
        <w:t>项目采购需求</w:t>
      </w:r>
      <w:r>
        <w:rPr>
          <w:color w:val="auto"/>
          <w:sz w:val="24"/>
          <w:highlight w:val="none"/>
        </w:rPr>
        <w:t>。</w:t>
      </w:r>
    </w:p>
    <w:p>
      <w:pPr>
        <w:tabs>
          <w:tab w:val="left" w:pos="0"/>
          <w:tab w:val="left" w:pos="540"/>
        </w:tabs>
        <w:spacing w:line="360" w:lineRule="auto"/>
        <w:ind w:firstLine="482" w:firstLineChars="200"/>
        <w:rPr>
          <w:rFonts w:ascii="宋体" w:hAnsi="宋体"/>
          <w:b/>
          <w:color w:val="auto"/>
          <w:sz w:val="24"/>
          <w:highlight w:val="none"/>
        </w:rPr>
      </w:pPr>
      <w:r>
        <w:rPr>
          <w:rFonts w:ascii="宋体" w:hAnsi="宋体"/>
          <w:b/>
          <w:color w:val="auto"/>
          <w:sz w:val="24"/>
          <w:highlight w:val="none"/>
        </w:rPr>
        <w:t>7.履约保证金</w:t>
      </w:r>
    </w:p>
    <w:p>
      <w:pPr>
        <w:tabs>
          <w:tab w:val="left" w:pos="0"/>
          <w:tab w:val="left" w:pos="540"/>
        </w:tabs>
        <w:spacing w:line="360" w:lineRule="auto"/>
        <w:ind w:firstLine="480" w:firstLineChars="200"/>
        <w:rPr>
          <w:color w:val="auto"/>
          <w:sz w:val="24"/>
          <w:highlight w:val="none"/>
        </w:rPr>
      </w:pPr>
      <w:r>
        <w:rPr>
          <w:rFonts w:hint="eastAsia"/>
          <w:color w:val="auto"/>
          <w:sz w:val="24"/>
          <w:highlight w:val="none"/>
        </w:rPr>
        <w:t>7.1乙方在签署合同前，应向甲方提供相当于合同总金额百分之五（5%）的履约保证金。履约保证金可以银行保函或银行电汇形式提交，也可以履约担保函的形式交纳。</w:t>
      </w:r>
    </w:p>
    <w:p>
      <w:pPr>
        <w:tabs>
          <w:tab w:val="left" w:pos="0"/>
          <w:tab w:val="left" w:pos="540"/>
        </w:tabs>
        <w:spacing w:line="360" w:lineRule="auto"/>
        <w:ind w:firstLine="480" w:firstLineChars="200"/>
        <w:rPr>
          <w:color w:val="auto"/>
          <w:sz w:val="24"/>
          <w:highlight w:val="none"/>
        </w:rPr>
      </w:pPr>
      <w:r>
        <w:rPr>
          <w:rFonts w:hint="eastAsia"/>
          <w:color w:val="auto"/>
          <w:sz w:val="24"/>
          <w:highlight w:val="none"/>
        </w:rPr>
        <w:t>7.2履约保证金的金额可用于补偿甲方因乙方不能完成其合同义务而蒙受的损失。</w:t>
      </w:r>
    </w:p>
    <w:p>
      <w:pPr>
        <w:tabs>
          <w:tab w:val="left" w:pos="0"/>
          <w:tab w:val="left" w:pos="540"/>
        </w:tabs>
        <w:spacing w:line="360" w:lineRule="auto"/>
        <w:ind w:firstLine="480" w:firstLineChars="200"/>
        <w:rPr>
          <w:color w:val="auto"/>
          <w:sz w:val="24"/>
          <w:highlight w:val="none"/>
        </w:rPr>
      </w:pPr>
      <w:r>
        <w:rPr>
          <w:rFonts w:hint="eastAsia"/>
          <w:color w:val="auto"/>
          <w:sz w:val="24"/>
          <w:highlight w:val="none"/>
        </w:rPr>
        <w:t>7.3如乙方未能按时支付合同约定的违约金、赔偿金、其他应付款项等的，甲方有权按照本合同的约定从履约保证金中扣除上述款项。乙方应在甲方扣除履约保证金后 15 天内，及时补充扣除部分金额。若逾期补充的，每日应按应补充金额的万分之五（0.05%）支付甲方违约金。</w:t>
      </w:r>
    </w:p>
    <w:p>
      <w:pPr>
        <w:tabs>
          <w:tab w:val="left" w:pos="0"/>
          <w:tab w:val="left" w:pos="540"/>
        </w:tabs>
        <w:spacing w:line="360" w:lineRule="auto"/>
        <w:ind w:firstLine="480" w:firstLineChars="200"/>
        <w:rPr>
          <w:color w:val="auto"/>
          <w:sz w:val="24"/>
          <w:highlight w:val="none"/>
        </w:rPr>
      </w:pPr>
      <w:r>
        <w:rPr>
          <w:rFonts w:hint="eastAsia"/>
          <w:color w:val="auto"/>
          <w:sz w:val="24"/>
          <w:highlight w:val="none"/>
        </w:rPr>
        <w:t>乙方所提供服务，若达不到服务承诺，按每违反一次从履约保证金中扣除合同总价的百分之五（5%），累计满两次，甲方有权终止合同；如乙方未能履行合同规定的任何其他义务，甲方有权按照本合同的约定从履约保证金中进行相应扣除。乙方应在甲方扣除履约保证金后15 天内，及时补充扣除部分金额。</w:t>
      </w:r>
    </w:p>
    <w:p>
      <w:pPr>
        <w:pStyle w:val="33"/>
        <w:spacing w:after="0" w:line="360" w:lineRule="auto"/>
        <w:ind w:firstLine="480" w:firstLineChars="200"/>
        <w:rPr>
          <w:color w:val="auto"/>
          <w:sz w:val="24"/>
          <w:highlight w:val="none"/>
        </w:rPr>
      </w:pPr>
      <w:r>
        <w:rPr>
          <w:rFonts w:hint="eastAsia"/>
          <w:color w:val="auto"/>
          <w:sz w:val="24"/>
          <w:highlight w:val="none"/>
        </w:rPr>
        <w:t>7.4乙方不履行合同、或者履行合同义务不符合约定使得合同目的不能实现，履约保证金不予退还，并应按合同约定支付违约金、赔偿金等。</w:t>
      </w:r>
    </w:p>
    <w:p>
      <w:pPr>
        <w:pStyle w:val="33"/>
        <w:spacing w:after="0" w:line="360" w:lineRule="auto"/>
        <w:ind w:firstLine="480" w:firstLineChars="200"/>
        <w:rPr>
          <w:color w:val="auto"/>
          <w:sz w:val="24"/>
          <w:highlight w:val="none"/>
        </w:rPr>
      </w:pPr>
      <w:r>
        <w:rPr>
          <w:rFonts w:hint="eastAsia"/>
          <w:color w:val="auto"/>
          <w:sz w:val="24"/>
          <w:highlight w:val="none"/>
        </w:rPr>
        <w:t>7.5在项目质量保障期满后，扣除应扣除的款项（如有）且双方无争议后，一次性无息返还，详见“合同条款前附表”第 10 项“履约保证金及返还”。</w:t>
      </w:r>
    </w:p>
    <w:p>
      <w:pPr>
        <w:tabs>
          <w:tab w:val="left" w:pos="0"/>
          <w:tab w:val="left" w:pos="540"/>
        </w:tabs>
        <w:spacing w:line="360" w:lineRule="auto"/>
        <w:ind w:firstLine="482" w:firstLineChars="200"/>
        <w:rPr>
          <w:rFonts w:ascii="宋体" w:hAnsi="宋体"/>
          <w:b/>
          <w:color w:val="auto"/>
          <w:sz w:val="24"/>
          <w:highlight w:val="none"/>
        </w:rPr>
      </w:pPr>
      <w:r>
        <w:rPr>
          <w:b/>
          <w:color w:val="auto"/>
          <w:sz w:val="24"/>
          <w:highlight w:val="none"/>
        </w:rPr>
        <w:t>8.履约延误</w:t>
      </w:r>
    </w:p>
    <w:p>
      <w:pPr>
        <w:pStyle w:val="33"/>
        <w:spacing w:after="0" w:line="360" w:lineRule="auto"/>
        <w:ind w:firstLine="480" w:firstLineChars="200"/>
        <w:rPr>
          <w:color w:val="auto"/>
          <w:sz w:val="24"/>
          <w:highlight w:val="none"/>
        </w:rPr>
      </w:pPr>
      <w:r>
        <w:rPr>
          <w:color w:val="auto"/>
          <w:sz w:val="24"/>
          <w:highlight w:val="none"/>
        </w:rPr>
        <w:t>8.1 乙方应按照本合同的规定提供服务。</w:t>
      </w:r>
    </w:p>
    <w:p>
      <w:pPr>
        <w:topLinePunct/>
        <w:autoSpaceDE w:val="0"/>
        <w:autoSpaceDN w:val="0"/>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8.2 </w:t>
      </w:r>
      <w:r>
        <w:rPr>
          <w:rFonts w:hint="eastAsia" w:ascii="宋体" w:hAnsi="宋体"/>
          <w:color w:val="auto"/>
          <w:sz w:val="24"/>
          <w:highlight w:val="none"/>
        </w:rPr>
        <w:t>如乙方迟延履行合同义务，甲方将从应付合同金额中扣除误期违约金，每延误一天误期违约金按合同总金额的万分之三（0.03%）计收。乙方支付的误期违约金不足以弥补甲方损失的，应继续承担赔偿责任。本合同约定的损失，包括但不限于：直接损失、调查取证费、诉讼费、律师费等。</w:t>
      </w:r>
    </w:p>
    <w:p>
      <w:pPr>
        <w:topLinePunct/>
        <w:autoSpaceDE w:val="0"/>
        <w:autoSpaceDN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如乙方迟延履行合同义务，甲方将从履约保证金中扣除误期赔偿费，每延误一周误期赔偿费按合同金额的0.5%计收，一周按7天计算，不足7天按一周计算。误期赔偿费累计达到合同金额的5%，甲方有权终止合同。</w:t>
      </w:r>
    </w:p>
    <w:p>
      <w:pPr>
        <w:topLinePunct/>
        <w:autoSpaceDE w:val="0"/>
        <w:autoSpaceDN w:val="0"/>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8.3 在履行合同过程中，如果乙方可能遇到妨碍按时提供服务的情况时，应及时以书面形式将拖延的事实、可能拖延的期限和理由通知甲方。甲方在收到乙方通知后，应尽快对情况进行评估，并确定是否酌情延长工期以及是否收取误期违约金。</w:t>
      </w:r>
    </w:p>
    <w:p>
      <w:pPr>
        <w:topLinePunct/>
        <w:autoSpaceDE w:val="0"/>
        <w:autoSpaceDN w:val="0"/>
        <w:snapToGrid w:val="0"/>
        <w:spacing w:line="360" w:lineRule="auto"/>
        <w:ind w:firstLine="480" w:firstLineChars="200"/>
        <w:rPr>
          <w:color w:val="auto"/>
          <w:highlight w:val="none"/>
        </w:rPr>
      </w:pPr>
      <w:r>
        <w:rPr>
          <w:rFonts w:ascii="宋体" w:hAnsi="宋体"/>
          <w:color w:val="auto"/>
          <w:sz w:val="24"/>
          <w:highlight w:val="none"/>
        </w:rPr>
        <w:t>8.4 除不可抗力和根据合同规定延期取得甲方同意而不收取误期违约金之外，乙方延误工期，将按合同规定被收取误期违约金。</w:t>
      </w:r>
    </w:p>
    <w:p>
      <w:pPr>
        <w:tabs>
          <w:tab w:val="left" w:pos="0"/>
          <w:tab w:val="left" w:pos="540"/>
        </w:tabs>
        <w:spacing w:line="360" w:lineRule="auto"/>
        <w:ind w:firstLine="482" w:firstLineChars="200"/>
        <w:rPr>
          <w:rFonts w:ascii="宋体" w:hAnsi="宋体"/>
          <w:b/>
          <w:color w:val="auto"/>
          <w:sz w:val="24"/>
          <w:highlight w:val="none"/>
        </w:rPr>
      </w:pPr>
      <w:r>
        <w:rPr>
          <w:rFonts w:ascii="宋体" w:hAnsi="宋体"/>
          <w:b/>
          <w:color w:val="auto"/>
          <w:sz w:val="24"/>
          <w:highlight w:val="none"/>
        </w:rPr>
        <w:t>9.违约责任</w:t>
      </w:r>
    </w:p>
    <w:p>
      <w:pPr>
        <w:snapToGrid w:val="0"/>
        <w:spacing w:line="360" w:lineRule="auto"/>
        <w:ind w:firstLine="540"/>
        <w:rPr>
          <w:rFonts w:ascii="宋体" w:hAnsi="宋体"/>
          <w:b/>
          <w:bCs/>
          <w:color w:val="auto"/>
          <w:sz w:val="24"/>
          <w:highlight w:val="none"/>
        </w:rPr>
      </w:pPr>
      <w:r>
        <w:rPr>
          <w:rFonts w:ascii="宋体" w:hAnsi="宋体"/>
          <w:bCs/>
          <w:color w:val="auto"/>
          <w:sz w:val="24"/>
          <w:highlight w:val="none"/>
        </w:rPr>
        <w:t xml:space="preserve">9.1 </w:t>
      </w:r>
      <w:r>
        <w:rPr>
          <w:rFonts w:hint="eastAsia" w:ascii="宋体" w:hAnsi="宋体"/>
          <w:b/>
          <w:bCs/>
          <w:color w:val="auto"/>
          <w:sz w:val="24"/>
          <w:highlight w:val="none"/>
        </w:rPr>
        <w:t>乙方在售后服务期内，如未按售后服务要求响应的，视情节轻重给予一次普通警告或严重警告。所有警告行为将体现在验收报告中做为验收依据。</w:t>
      </w:r>
    </w:p>
    <w:p>
      <w:pPr>
        <w:snapToGrid w:val="0"/>
        <w:spacing w:line="360" w:lineRule="auto"/>
        <w:ind w:firstLine="540"/>
        <w:rPr>
          <w:rFonts w:ascii="宋体" w:hAnsi="宋体"/>
          <w:b/>
          <w:bCs/>
          <w:color w:val="auto"/>
          <w:sz w:val="24"/>
          <w:highlight w:val="none"/>
        </w:rPr>
      </w:pPr>
      <w:r>
        <w:rPr>
          <w:rFonts w:hint="eastAsia" w:ascii="宋体" w:hAnsi="宋体"/>
          <w:b/>
          <w:bCs/>
          <w:color w:val="auto"/>
          <w:sz w:val="24"/>
          <w:highlight w:val="none"/>
        </w:rPr>
        <w:t>合同期内累计两次普通警告将给予一次严重警告。每个普通警告扣除履约保证金的5%作为罚款，每个严重警告扣除履约保证金10%作为罚款（不做累加处罚）。</w:t>
      </w:r>
    </w:p>
    <w:p>
      <w:pPr>
        <w:snapToGrid w:val="0"/>
        <w:spacing w:line="360" w:lineRule="auto"/>
        <w:ind w:firstLine="540"/>
        <w:rPr>
          <w:rFonts w:ascii="宋体" w:hAnsi="宋体"/>
          <w:b/>
          <w:bCs/>
          <w:color w:val="auto"/>
          <w:sz w:val="24"/>
          <w:highlight w:val="none"/>
        </w:rPr>
      </w:pPr>
      <w:r>
        <w:rPr>
          <w:rFonts w:hint="eastAsia" w:ascii="宋体" w:hAnsi="宋体"/>
          <w:b/>
          <w:bCs/>
          <w:color w:val="auto"/>
          <w:sz w:val="24"/>
          <w:highlight w:val="none"/>
        </w:rPr>
        <w:t>合同期内累计两次严重警告的，采购人有权终止合同，并可以采取扣除部分或全部履约保证金等惩罚措施，如有失信行为将上报总局失信企业名单。</w:t>
      </w:r>
    </w:p>
    <w:p>
      <w:pPr>
        <w:topLinePunct/>
        <w:autoSpaceDE w:val="0"/>
        <w:autoSpaceDN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9.2 除本合同另有约定外，乙方不履行合同义务或者履行合同义务不符合合同约定的，按每违反一次从应付款项中扣除合同总金额的百分之一（1%）作为违约金；此外，应当承担继续履行、采取补救措施或者赔偿损失等违约责任。</w:t>
      </w:r>
    </w:p>
    <w:p>
      <w:pPr>
        <w:topLinePunct/>
        <w:autoSpaceDE w:val="0"/>
        <w:autoSpaceDN w:val="0"/>
        <w:spacing w:line="360" w:lineRule="auto"/>
        <w:ind w:firstLine="480" w:firstLineChars="200"/>
        <w:rPr>
          <w:rFonts w:ascii="宋体" w:hAnsi="宋体"/>
          <w:color w:val="auto"/>
          <w:sz w:val="24"/>
          <w:highlight w:val="none"/>
        </w:rPr>
      </w:pPr>
      <w:r>
        <w:rPr>
          <w:rFonts w:hint="eastAsia" w:ascii="宋体" w:hAnsi="宋体"/>
          <w:bCs/>
          <w:color w:val="auto"/>
          <w:sz w:val="24"/>
          <w:highlight w:val="none"/>
        </w:rPr>
        <w:t>乙方支付的上述违约金、赔偿金等不足以弥补甲方损失的，应继续承担赔偿责任。本合同约定的损失，包括但不限于：直接损失、调查取证费、诉讼费、律师费等。</w:t>
      </w:r>
    </w:p>
    <w:p>
      <w:pPr>
        <w:topLinePunct/>
        <w:autoSpaceDE w:val="0"/>
        <w:autoSpaceDN w:val="0"/>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9.</w:t>
      </w:r>
      <w:r>
        <w:rPr>
          <w:rFonts w:hint="eastAsia" w:ascii="宋体" w:hAnsi="宋体"/>
          <w:color w:val="auto"/>
          <w:sz w:val="24"/>
          <w:highlight w:val="none"/>
        </w:rPr>
        <w:t>3乙方没有按照时限要求提供服务，且在甲方指定的延长期限内没有采取补救措施，甲方有权自行采取其他方式进行补救，乙方除按合同第8条约定向甲方支付误期违约金外，另外甲方所发生的一切费用和甲方损失，甲方有权从应付的乙方的合同款项中扣除，不足扣除的乙方应另行支付。</w:t>
      </w:r>
    </w:p>
    <w:p>
      <w:pPr>
        <w:topLinePunct/>
        <w:autoSpaceDE w:val="0"/>
        <w:autoSpaceDN w:val="0"/>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9.</w:t>
      </w:r>
      <w:r>
        <w:rPr>
          <w:rFonts w:hint="eastAsia" w:ascii="宋体" w:hAnsi="宋体"/>
          <w:color w:val="auto"/>
          <w:sz w:val="24"/>
          <w:highlight w:val="none"/>
        </w:rPr>
        <w:t>4除应支付甲方违约金等外，甲方有权根据合同或有关部门出具的检验证书向乙方提出索赔。</w:t>
      </w:r>
    </w:p>
    <w:p>
      <w:pPr>
        <w:topLinePunct/>
        <w:autoSpaceDE w:val="0"/>
        <w:autoSpaceDN w:val="0"/>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9.</w:t>
      </w:r>
      <w:r>
        <w:rPr>
          <w:rFonts w:hint="eastAsia" w:ascii="宋体" w:hAnsi="宋体"/>
          <w:color w:val="auto"/>
          <w:sz w:val="24"/>
          <w:highlight w:val="none"/>
        </w:rPr>
        <w:t>5</w:t>
      </w:r>
      <w:r>
        <w:rPr>
          <w:rFonts w:ascii="宋体" w:hAnsi="宋体"/>
          <w:color w:val="auto"/>
          <w:sz w:val="24"/>
          <w:highlight w:val="none"/>
        </w:rPr>
        <w:t xml:space="preserve"> 如果乙方对差异负有责任而甲方提出索赔，乙方同意按照下列方式解决索赔事宜：</w:t>
      </w:r>
    </w:p>
    <w:p>
      <w:pPr>
        <w:topLinePunct/>
        <w:autoSpaceDE w:val="0"/>
        <w:autoSpaceDN w:val="0"/>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如果在甲方发出索赔通知后5个工作日内，乙方未作书面答复，上述索赔应视为已被乙方接受。如乙方未能在甲方发出索赔通知后5个工作日内或甲方同意的延长期限内着手解决索赔事宜，甲方有权从应付乙方的合同款项中扣除索赔金额。</w:t>
      </w:r>
    </w:p>
    <w:p>
      <w:pPr>
        <w:tabs>
          <w:tab w:val="left" w:pos="0"/>
          <w:tab w:val="left" w:pos="540"/>
        </w:tabs>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9.</w:t>
      </w:r>
      <w:r>
        <w:rPr>
          <w:rFonts w:hint="eastAsia" w:ascii="宋体" w:hAnsi="宋体"/>
          <w:color w:val="auto"/>
          <w:sz w:val="24"/>
          <w:highlight w:val="none"/>
        </w:rPr>
        <w:t>6</w:t>
      </w:r>
      <w:r>
        <w:rPr>
          <w:rFonts w:ascii="宋体" w:hAnsi="宋体"/>
          <w:color w:val="auto"/>
          <w:sz w:val="24"/>
          <w:highlight w:val="none"/>
        </w:rPr>
        <w:t xml:space="preserve"> 乙方利用本项目实施过程中所产生的成果（包括发明、发现、可运行系统、源代码及相关技术资料、文档等），另行自行开发本合同业务范围内供纳税人缴费人使用的软件或产品，或利用为税务机关提供信息化服务的便利，向纳税人缴费人搭车收费或变相收费的，或有其他失信行为的，纳入国家税务总局失信名单。</w:t>
      </w:r>
    </w:p>
    <w:p>
      <w:pPr>
        <w:tabs>
          <w:tab w:val="left" w:pos="0"/>
          <w:tab w:val="left" w:pos="540"/>
        </w:tabs>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对于影响恶劣的严重违法失信行为，推送财政部纳入政府采购严重违法失信行为记录名单。</w:t>
      </w:r>
    </w:p>
    <w:p>
      <w:pPr>
        <w:snapToGrid w:val="0"/>
        <w:spacing w:line="360" w:lineRule="auto"/>
        <w:ind w:firstLine="540"/>
        <w:rPr>
          <w:rFonts w:ascii="宋体" w:hAnsi="宋体"/>
          <w:b/>
          <w:bCs/>
          <w:color w:val="auto"/>
          <w:sz w:val="24"/>
          <w:highlight w:val="none"/>
        </w:rPr>
      </w:pPr>
      <w:r>
        <w:rPr>
          <w:rFonts w:ascii="宋体" w:hAnsi="宋体"/>
          <w:b/>
          <w:bCs/>
          <w:color w:val="auto"/>
          <w:sz w:val="24"/>
          <w:highlight w:val="none"/>
        </w:rPr>
        <w:t>9.</w:t>
      </w:r>
      <w:r>
        <w:rPr>
          <w:rFonts w:hint="eastAsia" w:ascii="宋体" w:hAnsi="宋体"/>
          <w:b/>
          <w:bCs/>
          <w:color w:val="auto"/>
          <w:sz w:val="24"/>
          <w:highlight w:val="none"/>
        </w:rPr>
        <w:t>7</w:t>
      </w:r>
      <w:r>
        <w:rPr>
          <w:rFonts w:ascii="宋体" w:hAnsi="宋体"/>
          <w:b/>
          <w:bCs/>
          <w:color w:val="auto"/>
          <w:sz w:val="24"/>
          <w:highlight w:val="none"/>
        </w:rPr>
        <w:t xml:space="preserve"> 乙方在本项目实施过程中发生违反网络安全规定行为，造成数据失窃或丢失、敏感信息泄露、主要业务系统瘫痪等不良后果的，自甲方或甲方主管机关做出认定之日起三年内，税务系统各单位可以拒绝乙方参与税务系统政府采购活动。</w:t>
      </w:r>
    </w:p>
    <w:p>
      <w:pPr>
        <w:snapToGrid w:val="0"/>
        <w:spacing w:line="360" w:lineRule="auto"/>
        <w:ind w:firstLine="540"/>
        <w:rPr>
          <w:rFonts w:ascii="宋体" w:hAnsi="宋体"/>
          <w:b/>
          <w:bCs/>
          <w:color w:val="auto"/>
          <w:sz w:val="24"/>
          <w:highlight w:val="none"/>
        </w:rPr>
      </w:pPr>
      <w:r>
        <w:rPr>
          <w:rFonts w:hint="eastAsia" w:ascii="宋体" w:hAnsi="宋体"/>
          <w:b/>
          <w:bCs/>
          <w:color w:val="auto"/>
          <w:sz w:val="24"/>
          <w:highlight w:val="none"/>
        </w:rPr>
        <w:t>9.8乙方禁止另行开发合同业务需求范围内、供纳税人、缴费人使用的软件;禁止在合同履行期间“围猎”税务人员，对违反以上规定的，将纳入失信名单；对于违反网络安全规定行为造成不良后果的，3年内限制参加税务系统政府采购活动;乙方应建立防止违法违规聘用离职税务人员风险控制制度，如出现违法违规聘用离职税务人员行为，甲方有权对乙方采取以下措施:限期改正、要求支付违约金、解除合同、3年内限制参加所聘人员原单位及下属单位信息化项目政府采购活动等措施。乙方针对以上内容提供承诺函。</w:t>
      </w:r>
    </w:p>
    <w:p>
      <w:pPr>
        <w:topLinePunct/>
        <w:autoSpaceDE w:val="0"/>
        <w:autoSpaceDN w:val="0"/>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 xml:space="preserve">9.9 </w:t>
      </w:r>
      <w:r>
        <w:rPr>
          <w:rFonts w:ascii="宋体" w:hAnsi="宋体"/>
          <w:bCs/>
          <w:color w:val="auto"/>
          <w:sz w:val="24"/>
          <w:highlight w:val="none"/>
        </w:rPr>
        <w:t>对于本协议未约定的、招标文件中约定的违约处理条款，按招标文件相关约定执行；对本协议与招标文件约定不同的违约处理条款，以本协议约定为准。</w:t>
      </w:r>
    </w:p>
    <w:p>
      <w:pPr>
        <w:spacing w:line="460" w:lineRule="exact"/>
        <w:ind w:firstLine="482" w:firstLineChars="200"/>
        <w:rPr>
          <w:rFonts w:ascii="宋体" w:hAnsi="宋体"/>
          <w:b/>
          <w:color w:val="auto"/>
          <w:sz w:val="24"/>
          <w:highlight w:val="none"/>
        </w:rPr>
      </w:pPr>
      <w:r>
        <w:rPr>
          <w:rFonts w:ascii="宋体" w:hAnsi="宋体"/>
          <w:b/>
          <w:color w:val="auto"/>
          <w:sz w:val="24"/>
          <w:highlight w:val="none"/>
        </w:rPr>
        <w:t>10. 不可抗力及其他</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10.1 如果乙方因不可抗力而导致合同实施延误或不能履行合同义务，不应被没收履约保证金，也不应承担误期赔偿或终止合同的责任。</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10.2 本条所述的“不可抗力”系指双方不可预见、不可避免、不可克服的客观情况，但不包括双方的违约或疏忽。这些事件包括但不限于：战争、严重火灾、洪水、台风、地震、疫情等。</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10.3 在不可抗力事件发生后，当事方应及时将不可抗力情况通知合同对方，在不可抗力事件结束后3日内以书面形式将不可抗力的情况和原因通知合同对方，并提供相应的证明文件。合同各方应尽可能继续履行合同义务，并积极寻求采取合理的措施履行不受不可抗力影响的其他事项。合同各方应通过友好协商在合理的时间内达成进一步履行的协议。</w:t>
      </w:r>
    </w:p>
    <w:p>
      <w:pPr>
        <w:snapToGrid w:val="0"/>
        <w:spacing w:line="360" w:lineRule="auto"/>
        <w:ind w:firstLine="480" w:firstLineChars="200"/>
        <w:rPr>
          <w:rFonts w:ascii="宋体" w:hAnsi="宋体"/>
          <w:b/>
          <w:color w:val="auto"/>
          <w:sz w:val="24"/>
          <w:highlight w:val="none"/>
        </w:rPr>
      </w:pPr>
      <w:r>
        <w:rPr>
          <w:rFonts w:ascii="宋体" w:hAnsi="宋体"/>
          <w:bCs/>
          <w:color w:val="auto"/>
          <w:sz w:val="24"/>
          <w:highlight w:val="none"/>
        </w:rPr>
        <w:t>10.4</w:t>
      </w:r>
      <w:r>
        <w:rPr>
          <w:rFonts w:hint="eastAsia" w:ascii="宋体" w:hAnsi="宋体"/>
          <w:bCs/>
          <w:color w:val="auto"/>
          <w:sz w:val="24"/>
          <w:highlight w:val="none"/>
        </w:rPr>
        <w:t>如因国家政策变化、技术实施所需的客观环境发生变化、重大技术变化、国家调减预算、乙方在执行合同的过程中发生对履行合同有直接影响的重大事故或变故、甲方工作计划调整及推广使用新应用系统导致本项目相关服务停止等原因，本合同不能继续全部或部分履行，甲方有权通知乙方解除本合同的全部或部分，双方将按已经实际履行并验收合格的合同内容进行结算。</w:t>
      </w:r>
    </w:p>
    <w:p>
      <w:pPr>
        <w:spacing w:line="460" w:lineRule="exact"/>
        <w:ind w:firstLine="482" w:firstLineChars="200"/>
        <w:rPr>
          <w:rFonts w:ascii="宋体" w:hAnsi="宋体"/>
          <w:b/>
          <w:color w:val="auto"/>
          <w:sz w:val="24"/>
          <w:highlight w:val="none"/>
        </w:rPr>
      </w:pPr>
      <w:r>
        <w:rPr>
          <w:rFonts w:ascii="宋体" w:hAnsi="宋体"/>
          <w:b/>
          <w:color w:val="auto"/>
          <w:sz w:val="24"/>
          <w:highlight w:val="none"/>
        </w:rPr>
        <w:t>11. 争端的解决</w:t>
      </w:r>
    </w:p>
    <w:p>
      <w:pPr>
        <w:spacing w:line="460" w:lineRule="exact"/>
        <w:ind w:firstLine="540"/>
        <w:rPr>
          <w:rFonts w:ascii="宋体" w:hAnsi="宋体"/>
          <w:color w:val="auto"/>
          <w:sz w:val="24"/>
          <w:highlight w:val="none"/>
        </w:rPr>
      </w:pPr>
      <w:r>
        <w:rPr>
          <w:rFonts w:hint="eastAsia" w:ascii="宋体" w:hAnsi="宋体"/>
          <w:color w:val="auto"/>
          <w:sz w:val="24"/>
          <w:highlight w:val="none"/>
        </w:rPr>
        <w:t>11.1合同的履行、违约责任和解决争议的方法等适用《中华人民共和国民法典》。</w:t>
      </w:r>
    </w:p>
    <w:p>
      <w:pPr>
        <w:spacing w:line="460" w:lineRule="exact"/>
        <w:ind w:firstLine="540"/>
        <w:rPr>
          <w:rFonts w:ascii="宋体" w:hAnsi="宋体"/>
          <w:color w:val="auto"/>
          <w:sz w:val="24"/>
          <w:highlight w:val="none"/>
        </w:rPr>
      </w:pPr>
      <w:r>
        <w:rPr>
          <w:rFonts w:hint="eastAsia" w:ascii="宋体" w:hAnsi="宋体"/>
          <w:color w:val="auto"/>
          <w:sz w:val="24"/>
          <w:highlight w:val="none"/>
        </w:rPr>
        <w:t>11.2甲方和乙方应通过友好协商，解决在执行本合同过程中所发生的或与本合同有关的一切争端。</w:t>
      </w:r>
    </w:p>
    <w:p>
      <w:pPr>
        <w:spacing w:line="460" w:lineRule="exact"/>
        <w:ind w:firstLine="540"/>
        <w:rPr>
          <w:rFonts w:ascii="宋体" w:hAnsi="宋体"/>
          <w:color w:val="auto"/>
          <w:sz w:val="24"/>
          <w:highlight w:val="none"/>
        </w:rPr>
      </w:pPr>
      <w:r>
        <w:rPr>
          <w:rFonts w:hint="eastAsia" w:ascii="宋体" w:hAnsi="宋体"/>
          <w:color w:val="auto"/>
          <w:sz w:val="24"/>
          <w:highlight w:val="none"/>
        </w:rPr>
        <w:t>11.3如果协商不成，双方中的任何一方可向甲方所在地的人民法院提起诉讼。</w:t>
      </w:r>
    </w:p>
    <w:p>
      <w:pPr>
        <w:spacing w:line="460" w:lineRule="exact"/>
        <w:ind w:firstLine="540"/>
        <w:rPr>
          <w:rFonts w:ascii="宋体" w:hAnsi="宋体"/>
          <w:color w:val="auto"/>
          <w:sz w:val="24"/>
          <w:highlight w:val="none"/>
        </w:rPr>
      </w:pPr>
      <w:r>
        <w:rPr>
          <w:rFonts w:hint="eastAsia" w:ascii="宋体" w:hAnsi="宋体"/>
          <w:color w:val="auto"/>
          <w:sz w:val="24"/>
          <w:highlight w:val="none"/>
        </w:rPr>
        <w:t>11.4因合同部分履行引发诉讼的，在诉讼期间，除正在进行诉讼的部分外，本合同的其它部分应继续执行。</w:t>
      </w:r>
    </w:p>
    <w:p>
      <w:pPr>
        <w:spacing w:line="460" w:lineRule="exact"/>
        <w:ind w:firstLine="482" w:firstLineChars="200"/>
        <w:rPr>
          <w:rFonts w:ascii="宋体" w:hAnsi="宋体"/>
          <w:b/>
          <w:color w:val="auto"/>
          <w:sz w:val="24"/>
          <w:highlight w:val="none"/>
        </w:rPr>
      </w:pPr>
    </w:p>
    <w:p>
      <w:pPr>
        <w:spacing w:line="460" w:lineRule="exact"/>
        <w:ind w:firstLine="482" w:firstLineChars="200"/>
        <w:rPr>
          <w:rFonts w:ascii="宋体" w:hAnsi="宋体"/>
          <w:b/>
          <w:color w:val="auto"/>
          <w:sz w:val="24"/>
          <w:highlight w:val="none"/>
        </w:rPr>
      </w:pPr>
      <w:r>
        <w:rPr>
          <w:rFonts w:ascii="宋体" w:hAnsi="宋体"/>
          <w:b/>
          <w:color w:val="auto"/>
          <w:sz w:val="24"/>
          <w:highlight w:val="none"/>
        </w:rPr>
        <w:t>12. 违约解除合同</w:t>
      </w:r>
    </w:p>
    <w:p>
      <w:pPr>
        <w:spacing w:line="460" w:lineRule="exact"/>
        <w:ind w:firstLine="540"/>
        <w:rPr>
          <w:rFonts w:ascii="宋体" w:hAnsi="宋体"/>
          <w:color w:val="auto"/>
          <w:sz w:val="24"/>
          <w:highlight w:val="none"/>
        </w:rPr>
      </w:pPr>
      <w:r>
        <w:rPr>
          <w:rFonts w:hint="eastAsia" w:ascii="宋体" w:hAnsi="宋体"/>
          <w:color w:val="auto"/>
          <w:sz w:val="24"/>
          <w:highlight w:val="none"/>
        </w:rPr>
        <w:t>12.1若出现如下情况，在甲方对乙方违约行为而采取的任何补救措施不受影响的情况下，甲方可向乙方发出书面通知书，提出解除部分或全部合同，乙方应支付甲方合同总金额20%的违约金，并自甲方发出书面通知书之日起30日内，返还已收取款项。乙方支付的违约金不足以弥补甲方损失的，应继续承担赔偿责任。本合同约定的损失，包括但不限于：直接损失、调查取证费、诉讼费、律师费等。</w:t>
      </w:r>
    </w:p>
    <w:p>
      <w:pPr>
        <w:spacing w:line="460" w:lineRule="exact"/>
        <w:ind w:firstLine="540"/>
        <w:rPr>
          <w:rFonts w:ascii="宋体" w:hAnsi="宋体"/>
          <w:color w:val="auto"/>
          <w:sz w:val="24"/>
          <w:highlight w:val="none"/>
        </w:rPr>
      </w:pPr>
      <w:r>
        <w:rPr>
          <w:rFonts w:hint="eastAsia" w:ascii="宋体" w:hAnsi="宋体"/>
          <w:color w:val="auto"/>
          <w:sz w:val="24"/>
          <w:highlight w:val="none"/>
        </w:rPr>
        <w:t>12.1.1乙方不履行合同义务或者履行合同义务不符合合同约定，累计达2次的；</w:t>
      </w:r>
    </w:p>
    <w:p>
      <w:pPr>
        <w:spacing w:line="460" w:lineRule="exact"/>
        <w:ind w:firstLine="540"/>
        <w:rPr>
          <w:rFonts w:ascii="宋体" w:hAnsi="宋体"/>
          <w:color w:val="auto"/>
          <w:sz w:val="24"/>
          <w:highlight w:val="none"/>
        </w:rPr>
      </w:pPr>
      <w:r>
        <w:rPr>
          <w:rFonts w:hint="eastAsia" w:ascii="宋体" w:hAnsi="宋体"/>
          <w:color w:val="auto"/>
          <w:sz w:val="24"/>
          <w:highlight w:val="none"/>
        </w:rPr>
        <w:t>12.1.2如果乙方未能在合同规定的期限或甲方同意延长的期限内提供货物或服务，迟延累计达20日的；</w:t>
      </w:r>
    </w:p>
    <w:p>
      <w:pPr>
        <w:spacing w:line="460" w:lineRule="exact"/>
        <w:ind w:firstLine="540"/>
        <w:rPr>
          <w:rFonts w:ascii="宋体" w:hAnsi="宋体"/>
          <w:color w:val="auto"/>
          <w:sz w:val="24"/>
          <w:highlight w:val="none"/>
        </w:rPr>
      </w:pPr>
      <w:r>
        <w:rPr>
          <w:rFonts w:hint="eastAsia" w:ascii="宋体" w:hAnsi="宋体"/>
          <w:color w:val="auto"/>
          <w:sz w:val="24"/>
          <w:highlight w:val="none"/>
        </w:rPr>
        <w:t>12.1.3因乙方人员自身技术能力、经验不足等问题造成甲方发生重大紧急故障，带来重大影响和损失的；</w:t>
      </w:r>
    </w:p>
    <w:p>
      <w:pPr>
        <w:spacing w:line="460" w:lineRule="exact"/>
        <w:ind w:firstLine="540"/>
        <w:rPr>
          <w:rFonts w:ascii="宋体" w:hAnsi="宋体"/>
          <w:color w:val="auto"/>
          <w:sz w:val="24"/>
          <w:highlight w:val="none"/>
        </w:rPr>
      </w:pPr>
      <w:r>
        <w:rPr>
          <w:rFonts w:hint="eastAsia" w:ascii="宋体" w:hAnsi="宋体"/>
          <w:color w:val="auto"/>
          <w:sz w:val="24"/>
          <w:highlight w:val="none"/>
        </w:rPr>
        <w:t>12.1.4乙方对重大紧急故障没有及时响应，或不能在规定时间内解决处理故障、恢复正常运行的；</w:t>
      </w:r>
    </w:p>
    <w:p>
      <w:pPr>
        <w:spacing w:line="460" w:lineRule="exact"/>
        <w:ind w:firstLine="540"/>
        <w:rPr>
          <w:rFonts w:ascii="宋体" w:hAnsi="宋体"/>
          <w:color w:val="auto"/>
          <w:sz w:val="24"/>
          <w:highlight w:val="none"/>
        </w:rPr>
      </w:pPr>
      <w:r>
        <w:rPr>
          <w:rFonts w:hint="eastAsia" w:ascii="宋体" w:hAnsi="宋体"/>
          <w:color w:val="auto"/>
          <w:sz w:val="24"/>
          <w:highlight w:val="none"/>
        </w:rPr>
        <w:t>12.1.5不能满足本项目技术需求的管理要求和规范，且经2次整改无明显改进的；</w:t>
      </w:r>
    </w:p>
    <w:p>
      <w:pPr>
        <w:spacing w:line="460" w:lineRule="exact"/>
        <w:ind w:firstLine="540"/>
        <w:rPr>
          <w:rFonts w:ascii="宋体" w:hAnsi="宋体"/>
          <w:color w:val="auto"/>
          <w:sz w:val="24"/>
          <w:highlight w:val="none"/>
        </w:rPr>
      </w:pPr>
      <w:r>
        <w:rPr>
          <w:rFonts w:hint="eastAsia" w:ascii="宋体" w:hAnsi="宋体"/>
          <w:color w:val="auto"/>
          <w:sz w:val="24"/>
          <w:highlight w:val="none"/>
        </w:rPr>
        <w:t>12.1.6在合同服务期内，同一个应用系统在升级完善、运行维护支持服务过程中，出现5次经甲乙双方确认的用户投诉的；</w:t>
      </w:r>
    </w:p>
    <w:p>
      <w:pPr>
        <w:spacing w:line="460" w:lineRule="exact"/>
        <w:ind w:firstLine="540"/>
        <w:rPr>
          <w:rFonts w:ascii="宋体" w:hAnsi="宋体"/>
          <w:color w:val="auto"/>
          <w:sz w:val="24"/>
          <w:highlight w:val="none"/>
        </w:rPr>
      </w:pPr>
      <w:r>
        <w:rPr>
          <w:rFonts w:hint="eastAsia" w:ascii="宋体" w:hAnsi="宋体"/>
          <w:color w:val="auto"/>
          <w:sz w:val="24"/>
          <w:highlight w:val="none"/>
        </w:rPr>
        <w:t>12.1.7乙方利用本项目实施过程中所产生的成果（包括发明、发现、可运行系统、源代码及相关技术资料、文档等），另行自行开发本合同业务范围内供纳税人缴费人使用的软件或产品的，或利用为税务机关提供信息化服务的便利，向纳税人缴费人搭车收费或变相收费的，或有其他失信行为的；</w:t>
      </w:r>
    </w:p>
    <w:p>
      <w:pPr>
        <w:spacing w:line="460" w:lineRule="exact"/>
        <w:ind w:firstLine="540"/>
        <w:rPr>
          <w:rFonts w:ascii="宋体" w:hAnsi="宋体"/>
          <w:color w:val="auto"/>
          <w:sz w:val="24"/>
          <w:highlight w:val="none"/>
        </w:rPr>
      </w:pPr>
      <w:r>
        <w:rPr>
          <w:rFonts w:hint="eastAsia" w:ascii="宋体" w:hAnsi="宋体"/>
          <w:color w:val="auto"/>
          <w:sz w:val="24"/>
          <w:highlight w:val="none"/>
        </w:rPr>
        <w:t>12.1.8乙方在本项目实施过程中发生违反网络安全规定行为造成不良后果的；</w:t>
      </w:r>
    </w:p>
    <w:p>
      <w:pPr>
        <w:spacing w:line="460" w:lineRule="exact"/>
        <w:ind w:firstLine="540"/>
        <w:rPr>
          <w:rFonts w:ascii="宋体" w:hAnsi="宋体"/>
          <w:color w:val="auto"/>
          <w:sz w:val="24"/>
          <w:highlight w:val="none"/>
        </w:rPr>
      </w:pPr>
      <w:r>
        <w:rPr>
          <w:rFonts w:hint="eastAsia" w:ascii="宋体" w:hAnsi="宋体"/>
          <w:color w:val="auto"/>
          <w:sz w:val="24"/>
          <w:highlight w:val="none"/>
        </w:rPr>
        <w:t>12.1.9乙方提供的服务侵犯甲方、第三方知识产权等合法权益的；</w:t>
      </w:r>
    </w:p>
    <w:p>
      <w:pPr>
        <w:spacing w:line="460" w:lineRule="exact"/>
        <w:ind w:firstLine="540"/>
        <w:rPr>
          <w:rFonts w:ascii="宋体" w:hAnsi="宋体"/>
          <w:color w:val="auto"/>
          <w:sz w:val="24"/>
          <w:highlight w:val="none"/>
        </w:rPr>
      </w:pPr>
      <w:r>
        <w:rPr>
          <w:rFonts w:hint="eastAsia" w:ascii="宋体" w:hAnsi="宋体"/>
          <w:color w:val="auto"/>
          <w:sz w:val="24"/>
          <w:highlight w:val="none"/>
        </w:rPr>
        <w:t>12.1.10乙方或乙方人员造成甲方或第三方经济损失，拒不赔偿的</w:t>
      </w:r>
    </w:p>
    <w:p>
      <w:pPr>
        <w:spacing w:line="460" w:lineRule="exact"/>
        <w:ind w:firstLine="540"/>
        <w:rPr>
          <w:rFonts w:ascii="宋体" w:hAnsi="宋体"/>
          <w:color w:val="auto"/>
          <w:sz w:val="24"/>
          <w:highlight w:val="none"/>
        </w:rPr>
      </w:pPr>
      <w:r>
        <w:rPr>
          <w:rFonts w:hint="eastAsia" w:ascii="宋体" w:hAnsi="宋体"/>
          <w:color w:val="auto"/>
          <w:sz w:val="24"/>
          <w:highlight w:val="none"/>
        </w:rPr>
        <w:t>12.1.11乙方未经甲方同意，擅自转让合同义务或分包的；</w:t>
      </w:r>
    </w:p>
    <w:p>
      <w:pPr>
        <w:spacing w:line="460" w:lineRule="exact"/>
        <w:ind w:firstLine="540"/>
        <w:rPr>
          <w:rFonts w:ascii="宋体" w:hAnsi="宋体"/>
          <w:color w:val="auto"/>
          <w:sz w:val="24"/>
          <w:highlight w:val="none"/>
        </w:rPr>
      </w:pPr>
      <w:r>
        <w:rPr>
          <w:rFonts w:hint="eastAsia" w:ascii="宋体" w:hAnsi="宋体"/>
          <w:color w:val="auto"/>
          <w:sz w:val="24"/>
          <w:highlight w:val="none"/>
        </w:rPr>
        <w:t>12.1.12乙方有其他严重违约行为的。</w:t>
      </w:r>
    </w:p>
    <w:p>
      <w:pPr>
        <w:spacing w:line="460" w:lineRule="exact"/>
        <w:ind w:firstLine="540"/>
        <w:rPr>
          <w:rFonts w:ascii="宋体" w:hAnsi="宋体"/>
          <w:color w:val="auto"/>
          <w:sz w:val="24"/>
          <w:highlight w:val="none"/>
        </w:rPr>
      </w:pPr>
      <w:r>
        <w:rPr>
          <w:rFonts w:hint="eastAsia" w:ascii="宋体" w:hAnsi="宋体"/>
          <w:color w:val="auto"/>
          <w:sz w:val="24"/>
          <w:highlight w:val="none"/>
        </w:rPr>
        <w:t>12.2如果甲方根据上述第 12.1 条的规定，解除了全部或部分合同，甲方可以适当的条件和方法购买乙方未能提供的服务，乙方应对甲方购买类似服务所超出的费用负责。同时，乙方应继续执行合同中未解除的部分。</w:t>
      </w:r>
    </w:p>
    <w:p>
      <w:pPr>
        <w:spacing w:line="460" w:lineRule="exact"/>
        <w:ind w:firstLine="482" w:firstLineChars="200"/>
        <w:rPr>
          <w:rFonts w:ascii="宋体" w:hAnsi="宋体"/>
          <w:b/>
          <w:color w:val="auto"/>
          <w:sz w:val="24"/>
          <w:highlight w:val="none"/>
        </w:rPr>
      </w:pPr>
      <w:r>
        <w:rPr>
          <w:rFonts w:ascii="宋体" w:hAnsi="宋体"/>
          <w:b/>
          <w:color w:val="auto"/>
          <w:sz w:val="24"/>
          <w:highlight w:val="none"/>
        </w:rPr>
        <w:t>13. 破产终止合同</w:t>
      </w:r>
    </w:p>
    <w:p>
      <w:pPr>
        <w:spacing w:line="460" w:lineRule="exact"/>
        <w:ind w:firstLine="480" w:firstLineChars="200"/>
        <w:rPr>
          <w:rFonts w:ascii="宋体" w:hAnsi="宋体"/>
          <w:color w:val="auto"/>
          <w:sz w:val="24"/>
          <w:highlight w:val="none"/>
        </w:rPr>
      </w:pPr>
      <w:r>
        <w:rPr>
          <w:rFonts w:ascii="宋体" w:hAnsi="宋体"/>
          <w:color w:val="auto"/>
          <w:sz w:val="24"/>
          <w:highlight w:val="none"/>
        </w:rPr>
        <w:t>13.1 如果乙方破产或无清偿能力，甲方可在任何时候以书面形式通知乙方终止合同而不给乙方补偿。</w:t>
      </w:r>
    </w:p>
    <w:p>
      <w:pPr>
        <w:spacing w:line="460" w:lineRule="exact"/>
        <w:ind w:firstLine="480" w:firstLineChars="200"/>
        <w:rPr>
          <w:rFonts w:ascii="宋体" w:hAnsi="宋体"/>
          <w:color w:val="auto"/>
          <w:sz w:val="24"/>
          <w:highlight w:val="none"/>
        </w:rPr>
      </w:pPr>
      <w:r>
        <w:rPr>
          <w:rFonts w:ascii="宋体" w:hAnsi="宋体"/>
          <w:color w:val="auto"/>
          <w:sz w:val="24"/>
          <w:highlight w:val="none"/>
        </w:rPr>
        <w:t>13.2该终止合同将不损害或影响甲方已经采取或将要采取的任何行动或补救措施的权利。</w:t>
      </w:r>
    </w:p>
    <w:p>
      <w:pPr>
        <w:topLinePunct/>
        <w:autoSpaceDE w:val="0"/>
        <w:autoSpaceDN w:val="0"/>
        <w:spacing w:line="440" w:lineRule="exact"/>
        <w:ind w:firstLine="482" w:firstLineChars="200"/>
        <w:rPr>
          <w:rFonts w:ascii="宋体" w:hAnsi="宋体"/>
          <w:b/>
          <w:color w:val="auto"/>
          <w:sz w:val="24"/>
          <w:highlight w:val="none"/>
        </w:rPr>
      </w:pPr>
      <w:r>
        <w:rPr>
          <w:rFonts w:ascii="宋体" w:hAnsi="宋体"/>
          <w:b/>
          <w:color w:val="auto"/>
          <w:sz w:val="24"/>
          <w:highlight w:val="none"/>
        </w:rPr>
        <w:t>14. 其他情况的终止合同</w:t>
      </w:r>
    </w:p>
    <w:p>
      <w:pPr>
        <w:topLinePunct/>
        <w:autoSpaceDE w:val="0"/>
        <w:autoSpaceDN w:val="0"/>
        <w:spacing w:line="460" w:lineRule="exact"/>
        <w:ind w:firstLine="480" w:firstLineChars="200"/>
        <w:rPr>
          <w:rFonts w:ascii="宋体" w:hAnsi="宋体"/>
          <w:color w:val="auto"/>
          <w:sz w:val="24"/>
          <w:highlight w:val="none"/>
        </w:rPr>
      </w:pPr>
      <w:r>
        <w:rPr>
          <w:rFonts w:ascii="宋体" w:hAnsi="宋体"/>
          <w:color w:val="auto"/>
          <w:sz w:val="24"/>
          <w:highlight w:val="none"/>
        </w:rPr>
        <w:t>14.1 乙方在执行合同的过程中发生重大事故或变故，对履行合同有直接影响的，甲方可以提出终止合同而不给予乙方任何补偿。</w:t>
      </w:r>
    </w:p>
    <w:p>
      <w:pPr>
        <w:tabs>
          <w:tab w:val="left" w:pos="700"/>
        </w:tabs>
        <w:spacing w:line="460" w:lineRule="exact"/>
        <w:ind w:firstLine="482" w:firstLineChars="200"/>
        <w:rPr>
          <w:rFonts w:ascii="宋体" w:hAnsi="宋体"/>
          <w:b/>
          <w:color w:val="auto"/>
          <w:sz w:val="24"/>
          <w:highlight w:val="none"/>
        </w:rPr>
      </w:pPr>
      <w:r>
        <w:rPr>
          <w:rFonts w:ascii="宋体" w:hAnsi="宋体"/>
          <w:b/>
          <w:color w:val="auto"/>
          <w:sz w:val="24"/>
          <w:highlight w:val="none"/>
        </w:rPr>
        <w:t>15. 合同修改或变更</w:t>
      </w:r>
    </w:p>
    <w:p>
      <w:pPr>
        <w:spacing w:line="460" w:lineRule="exact"/>
        <w:ind w:firstLine="482"/>
        <w:rPr>
          <w:rFonts w:ascii="宋体" w:hAnsi="宋体"/>
          <w:color w:val="auto"/>
          <w:sz w:val="24"/>
          <w:highlight w:val="none"/>
        </w:rPr>
      </w:pPr>
      <w:r>
        <w:rPr>
          <w:rFonts w:ascii="宋体" w:hAnsi="宋体"/>
          <w:color w:val="auto"/>
          <w:sz w:val="24"/>
          <w:highlight w:val="none"/>
        </w:rPr>
        <w:t>15.1 合同如有未尽事宜，须经甲乙双方共同协商，做出补充约定，并签订书面补充合同或变更协议。补充合同或变更协议作为本合同的一部分，与本合同具有同等效力。</w:t>
      </w:r>
    </w:p>
    <w:p>
      <w:pPr>
        <w:topLinePunct/>
        <w:autoSpaceDE w:val="0"/>
        <w:autoSpaceDN w:val="0"/>
        <w:spacing w:line="440" w:lineRule="exact"/>
        <w:ind w:firstLine="480" w:firstLineChars="200"/>
        <w:rPr>
          <w:rFonts w:ascii="宋体" w:hAnsi="宋体"/>
          <w:color w:val="auto"/>
          <w:sz w:val="24"/>
          <w:highlight w:val="none"/>
        </w:rPr>
      </w:pPr>
      <w:r>
        <w:rPr>
          <w:rFonts w:ascii="宋体" w:hAnsi="宋体"/>
          <w:color w:val="auto"/>
          <w:sz w:val="24"/>
          <w:highlight w:val="none"/>
        </w:rPr>
        <w:t>15.2 除了双方签署书面修改或变更协议，并成为本合同不可分割的一部分的情况之外，本合同的条款不得有任何变化或修改。</w:t>
      </w:r>
    </w:p>
    <w:p>
      <w:pPr>
        <w:topLinePunct/>
        <w:autoSpaceDE w:val="0"/>
        <w:autoSpaceDN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15.3 由于甲方项目统一规划等原因导致本项目停止部分服务的，甲方将启动合同变更程序，与乙方协商变更相关合同条款。</w:t>
      </w:r>
    </w:p>
    <w:p>
      <w:pPr>
        <w:spacing w:line="460" w:lineRule="exact"/>
        <w:ind w:firstLine="482" w:firstLineChars="200"/>
        <w:rPr>
          <w:rFonts w:ascii="宋体" w:hAnsi="宋体"/>
          <w:b/>
          <w:color w:val="auto"/>
          <w:sz w:val="24"/>
          <w:highlight w:val="none"/>
        </w:rPr>
      </w:pPr>
      <w:r>
        <w:rPr>
          <w:rFonts w:ascii="宋体" w:hAnsi="宋体"/>
          <w:b/>
          <w:color w:val="auto"/>
          <w:sz w:val="24"/>
          <w:highlight w:val="none"/>
        </w:rPr>
        <w:t>16. 转让和分包</w:t>
      </w:r>
    </w:p>
    <w:p>
      <w:pPr>
        <w:spacing w:line="460" w:lineRule="exact"/>
        <w:ind w:firstLine="480" w:firstLineChars="200"/>
        <w:rPr>
          <w:rFonts w:ascii="宋体" w:hAnsi="宋体"/>
          <w:color w:val="auto"/>
          <w:sz w:val="24"/>
          <w:highlight w:val="none"/>
        </w:rPr>
      </w:pPr>
      <w:r>
        <w:rPr>
          <w:rFonts w:ascii="宋体" w:hAnsi="宋体"/>
          <w:color w:val="auto"/>
          <w:sz w:val="24"/>
          <w:highlight w:val="none"/>
        </w:rPr>
        <w:t>16.1 除甲方事先同意外，乙方不得部分转让或全部转让其应履行的合同义务。</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16.2 未经甲方同意，乙方不得采取分包方式履行合同。经甲方同意分包履行合同的，乙方就采购项目及分包项目向甲方负责，分包供应商就分包项目承担责任。</w:t>
      </w:r>
    </w:p>
    <w:p>
      <w:pPr>
        <w:autoSpaceDN w:val="0"/>
        <w:spacing w:line="460" w:lineRule="exact"/>
        <w:ind w:firstLine="482" w:firstLineChars="200"/>
        <w:rPr>
          <w:rFonts w:ascii="宋体" w:hAnsi="宋体"/>
          <w:b/>
          <w:color w:val="auto"/>
          <w:sz w:val="24"/>
          <w:highlight w:val="none"/>
        </w:rPr>
      </w:pPr>
      <w:r>
        <w:rPr>
          <w:rFonts w:ascii="宋体" w:hAnsi="宋体"/>
          <w:b/>
          <w:color w:val="auto"/>
          <w:sz w:val="24"/>
          <w:highlight w:val="none"/>
        </w:rPr>
        <w:t>17.合同语言</w:t>
      </w:r>
    </w:p>
    <w:p>
      <w:pPr>
        <w:autoSpaceDN w:val="0"/>
        <w:spacing w:line="460" w:lineRule="exact"/>
        <w:ind w:firstLine="480" w:firstLineChars="200"/>
        <w:rPr>
          <w:rFonts w:ascii="宋体" w:hAnsi="宋体"/>
          <w:color w:val="auto"/>
          <w:sz w:val="24"/>
          <w:highlight w:val="none"/>
        </w:rPr>
      </w:pPr>
      <w:r>
        <w:rPr>
          <w:rFonts w:ascii="宋体" w:hAnsi="宋体"/>
          <w:color w:val="auto"/>
          <w:sz w:val="24"/>
          <w:highlight w:val="none"/>
        </w:rPr>
        <w:t>17.1 本合同语言为中文。</w:t>
      </w:r>
    </w:p>
    <w:p>
      <w:pPr>
        <w:autoSpaceDN w:val="0"/>
        <w:spacing w:line="460" w:lineRule="exact"/>
        <w:ind w:firstLine="480" w:firstLineChars="200"/>
        <w:rPr>
          <w:rFonts w:ascii="宋体" w:hAnsi="宋体"/>
          <w:color w:val="auto"/>
          <w:sz w:val="24"/>
          <w:highlight w:val="none"/>
        </w:rPr>
      </w:pPr>
      <w:r>
        <w:rPr>
          <w:rFonts w:ascii="宋体" w:hAnsi="宋体"/>
          <w:color w:val="auto"/>
          <w:sz w:val="24"/>
          <w:highlight w:val="none"/>
        </w:rPr>
        <w:t>17.2 双方交换的与合同有关的信件和其他文件应用合同语言书写。</w:t>
      </w:r>
    </w:p>
    <w:p>
      <w:pPr>
        <w:spacing w:line="460" w:lineRule="exact"/>
        <w:ind w:firstLine="482" w:firstLineChars="200"/>
        <w:rPr>
          <w:rFonts w:ascii="宋体" w:hAnsi="宋体"/>
          <w:b/>
          <w:color w:val="auto"/>
          <w:sz w:val="24"/>
          <w:highlight w:val="none"/>
        </w:rPr>
      </w:pPr>
      <w:r>
        <w:rPr>
          <w:rFonts w:ascii="宋体" w:hAnsi="宋体"/>
          <w:b/>
          <w:color w:val="auto"/>
          <w:sz w:val="24"/>
          <w:highlight w:val="none"/>
        </w:rPr>
        <w:t>18. 适用法律</w:t>
      </w:r>
    </w:p>
    <w:p>
      <w:pPr>
        <w:spacing w:line="460" w:lineRule="exact"/>
        <w:ind w:firstLine="480" w:firstLineChars="200"/>
        <w:rPr>
          <w:rFonts w:ascii="宋体" w:hAnsi="宋体"/>
          <w:color w:val="auto"/>
          <w:sz w:val="24"/>
          <w:highlight w:val="none"/>
        </w:rPr>
      </w:pPr>
      <w:r>
        <w:rPr>
          <w:rFonts w:ascii="宋体" w:hAnsi="宋体"/>
          <w:color w:val="auto"/>
          <w:sz w:val="24"/>
          <w:highlight w:val="none"/>
        </w:rPr>
        <w:t>18.1 本合同按照中华人民共和国现行法律进行解释。</w:t>
      </w:r>
    </w:p>
    <w:p>
      <w:pPr>
        <w:spacing w:line="460" w:lineRule="exact"/>
        <w:ind w:firstLine="480" w:firstLineChars="200"/>
        <w:rPr>
          <w:rFonts w:ascii="宋体" w:hAnsi="宋体"/>
          <w:color w:val="auto"/>
          <w:sz w:val="24"/>
          <w:highlight w:val="none"/>
        </w:rPr>
      </w:pPr>
      <w:r>
        <w:rPr>
          <w:rFonts w:ascii="宋体" w:hAnsi="宋体"/>
          <w:color w:val="auto"/>
          <w:sz w:val="24"/>
          <w:highlight w:val="none"/>
        </w:rPr>
        <w:t>18.2 本合同的履行、违约责任和解决争议的方法等适用《中华人民共和国民法典》。</w:t>
      </w:r>
    </w:p>
    <w:p>
      <w:pPr>
        <w:topLinePunct/>
        <w:autoSpaceDE w:val="0"/>
        <w:autoSpaceDN w:val="0"/>
        <w:spacing w:line="420" w:lineRule="exact"/>
        <w:ind w:firstLine="482" w:firstLineChars="200"/>
        <w:rPr>
          <w:rFonts w:ascii="宋体" w:hAnsi="宋体"/>
          <w:b/>
          <w:color w:val="auto"/>
          <w:sz w:val="24"/>
          <w:highlight w:val="none"/>
        </w:rPr>
      </w:pPr>
      <w:r>
        <w:rPr>
          <w:rFonts w:ascii="宋体" w:hAnsi="宋体"/>
          <w:b/>
          <w:color w:val="auto"/>
          <w:sz w:val="24"/>
          <w:highlight w:val="none"/>
        </w:rPr>
        <w:t>19. 税费</w:t>
      </w:r>
    </w:p>
    <w:p>
      <w:pPr>
        <w:autoSpaceDN w:val="0"/>
        <w:spacing w:line="460" w:lineRule="exact"/>
        <w:ind w:firstLine="480" w:firstLineChars="200"/>
        <w:rPr>
          <w:rFonts w:ascii="宋体" w:hAnsi="宋体"/>
          <w:color w:val="auto"/>
          <w:sz w:val="24"/>
          <w:highlight w:val="none"/>
        </w:rPr>
      </w:pPr>
      <w:r>
        <w:rPr>
          <w:rFonts w:ascii="宋体" w:hAnsi="宋体"/>
          <w:color w:val="auto"/>
          <w:sz w:val="24"/>
          <w:highlight w:val="none"/>
        </w:rPr>
        <w:t>19.1 合同服务的所有税费均已包含于合同总金额中，甲方不再另行支付。</w:t>
      </w:r>
    </w:p>
    <w:p>
      <w:pPr>
        <w:tabs>
          <w:tab w:val="left" w:pos="700"/>
        </w:tabs>
        <w:spacing w:line="360" w:lineRule="auto"/>
        <w:ind w:firstLine="482" w:firstLineChars="200"/>
        <w:rPr>
          <w:rFonts w:ascii="宋体" w:hAnsi="宋体"/>
          <w:b/>
          <w:color w:val="auto"/>
          <w:sz w:val="24"/>
          <w:highlight w:val="none"/>
        </w:rPr>
      </w:pPr>
    </w:p>
    <w:p>
      <w:pPr>
        <w:tabs>
          <w:tab w:val="left" w:pos="700"/>
        </w:tabs>
        <w:spacing w:line="360" w:lineRule="auto"/>
        <w:ind w:firstLine="482" w:firstLineChars="200"/>
        <w:rPr>
          <w:rFonts w:ascii="宋体" w:hAnsi="宋体"/>
          <w:b/>
          <w:color w:val="auto"/>
          <w:sz w:val="24"/>
          <w:highlight w:val="none"/>
        </w:rPr>
      </w:pPr>
      <w:r>
        <w:rPr>
          <w:rFonts w:ascii="宋体" w:hAnsi="宋体"/>
          <w:b/>
          <w:color w:val="auto"/>
          <w:sz w:val="24"/>
          <w:highlight w:val="none"/>
        </w:rPr>
        <w:t>20.合同生效</w:t>
      </w:r>
    </w:p>
    <w:p>
      <w:pPr>
        <w:autoSpaceDN w:val="0"/>
        <w:spacing w:line="46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1</w:t>
      </w:r>
      <w:r>
        <w:rPr>
          <w:rFonts w:ascii="宋体" w:hAnsi="宋体"/>
          <w:color w:val="auto"/>
          <w:sz w:val="24"/>
          <w:highlight w:val="none"/>
        </w:rPr>
        <w:t xml:space="preserve">.1 </w:t>
      </w:r>
      <w:r>
        <w:rPr>
          <w:rFonts w:hint="eastAsia" w:ascii="宋体" w:hAnsi="宋体"/>
          <w:color w:val="auto"/>
          <w:sz w:val="24"/>
          <w:highlight w:val="none"/>
        </w:rPr>
        <w:t>本合同一式    份，在甲乙双方盖章、法定代表人或授权代表签字，并在甲方收到乙方提交的履约保证金后生效。甲方执    份，乙方执   份，具有同等法律效力。</w:t>
      </w:r>
    </w:p>
    <w:p>
      <w:pPr>
        <w:rPr>
          <w:color w:val="auto"/>
          <w:highlight w:val="none"/>
        </w:rPr>
      </w:pPr>
      <w:r>
        <w:rPr>
          <w:color w:val="auto"/>
          <w:highlight w:val="none"/>
        </w:rPr>
        <w:br w:type="page"/>
      </w:r>
      <w:bookmarkStart w:id="39" w:name="_Toc219631499"/>
      <w:bookmarkStart w:id="40" w:name="_Toc960604221"/>
      <w:bookmarkStart w:id="41" w:name="_Toc457214350"/>
      <w:bookmarkStart w:id="42" w:name="_Toc38030151"/>
      <w:bookmarkStart w:id="43" w:name="_Toc525052848"/>
      <w:bookmarkStart w:id="44" w:name="_Toc16607152"/>
      <w:bookmarkStart w:id="45" w:name="_Toc163178877"/>
      <w:bookmarkStart w:id="46" w:name="_Toc81784984"/>
    </w:p>
    <w:p>
      <w:pPr>
        <w:pStyle w:val="280"/>
        <w:spacing w:line="360" w:lineRule="auto"/>
        <w:rPr>
          <w:rFonts w:ascii="宋体" w:hAnsi="宋体"/>
          <w:color w:val="auto"/>
          <w:sz w:val="24"/>
          <w:highlight w:val="none"/>
        </w:rPr>
      </w:pPr>
      <w:bookmarkStart w:id="47" w:name="_Toc124754490"/>
      <w:r>
        <w:rPr>
          <w:rFonts w:ascii="宋体" w:hAnsi="宋体"/>
          <w:color w:val="auto"/>
          <w:highlight w:val="none"/>
        </w:rPr>
        <w:t>第五章　投标文件格式</w:t>
      </w:r>
      <w:bookmarkEnd w:id="39"/>
      <w:bookmarkEnd w:id="40"/>
      <w:bookmarkEnd w:id="41"/>
      <w:bookmarkEnd w:id="42"/>
      <w:bookmarkEnd w:id="43"/>
      <w:bookmarkEnd w:id="44"/>
      <w:bookmarkEnd w:id="45"/>
      <w:bookmarkEnd w:id="46"/>
      <w:bookmarkEnd w:id="47"/>
    </w:p>
    <w:p>
      <w:pPr>
        <w:topLinePunct/>
        <w:autoSpaceDE w:val="0"/>
        <w:autoSpaceDN w:val="0"/>
        <w:spacing w:line="460" w:lineRule="exact"/>
        <w:ind w:firstLine="480" w:firstLineChars="200"/>
        <w:rPr>
          <w:rFonts w:ascii="宋体" w:hAnsi="宋体"/>
          <w:color w:val="auto"/>
          <w:sz w:val="24"/>
          <w:highlight w:val="none"/>
        </w:rPr>
      </w:pPr>
      <w:r>
        <w:rPr>
          <w:rFonts w:ascii="宋体" w:hAnsi="宋体"/>
          <w:color w:val="auto"/>
          <w:sz w:val="24"/>
          <w:highlight w:val="none"/>
        </w:rPr>
        <w:t>投标人必须按下列文本格式，如实提供具有法律效力的资格证明文件原件或复印件，任何不按下列文本格式提供或有实质性变更将由投标人承担风险。</w:t>
      </w:r>
    </w:p>
    <w:p>
      <w:pPr>
        <w:topLinePunct/>
        <w:autoSpaceDE w:val="0"/>
        <w:autoSpaceDN w:val="0"/>
        <w:spacing w:line="460" w:lineRule="exact"/>
        <w:ind w:firstLine="480" w:firstLineChars="200"/>
        <w:rPr>
          <w:rFonts w:ascii="宋体" w:hAnsi="宋体"/>
          <w:color w:val="auto"/>
          <w:sz w:val="24"/>
          <w:highlight w:val="none"/>
        </w:rPr>
      </w:pPr>
      <w:r>
        <w:rPr>
          <w:rFonts w:ascii="宋体" w:hAnsi="宋体"/>
          <w:color w:val="auto"/>
          <w:sz w:val="24"/>
          <w:highlight w:val="none"/>
        </w:rPr>
        <w:t>1.投标人应严格按照本章规定的顺序填写和提交全部格式文件以及其他有关资料，混乱的编排导致响应文件被误读或查找不到，后果由投标人承担。</w:t>
      </w:r>
    </w:p>
    <w:p>
      <w:pPr>
        <w:topLinePunct/>
        <w:autoSpaceDE w:val="0"/>
        <w:autoSpaceDN w:val="0"/>
        <w:spacing w:line="460" w:lineRule="exact"/>
        <w:ind w:firstLine="480" w:firstLineChars="200"/>
        <w:rPr>
          <w:rFonts w:ascii="宋体" w:hAnsi="宋体"/>
          <w:color w:val="auto"/>
          <w:sz w:val="24"/>
          <w:highlight w:val="none"/>
        </w:rPr>
      </w:pPr>
      <w:r>
        <w:rPr>
          <w:rFonts w:ascii="宋体" w:hAnsi="宋体"/>
          <w:color w:val="auto"/>
          <w:sz w:val="24"/>
          <w:highlight w:val="none"/>
        </w:rPr>
        <w:t>2.所附表格中要求回答的全部问题和信息都必须正面回答。</w:t>
      </w:r>
    </w:p>
    <w:p>
      <w:pPr>
        <w:topLinePunct/>
        <w:autoSpaceDE w:val="0"/>
        <w:autoSpaceDN w:val="0"/>
        <w:spacing w:line="460" w:lineRule="exact"/>
        <w:ind w:firstLine="480" w:firstLineChars="200"/>
        <w:rPr>
          <w:rFonts w:ascii="宋体" w:hAnsi="宋体"/>
          <w:color w:val="auto"/>
          <w:sz w:val="24"/>
          <w:highlight w:val="none"/>
        </w:rPr>
      </w:pPr>
      <w:r>
        <w:rPr>
          <w:rFonts w:ascii="宋体" w:hAnsi="宋体"/>
          <w:color w:val="auto"/>
          <w:sz w:val="24"/>
          <w:highlight w:val="none"/>
        </w:rPr>
        <w:t>3.资格声明文件的签字人应保证全部声明和问题的回答是真实的和准确的。</w:t>
      </w:r>
    </w:p>
    <w:p>
      <w:pPr>
        <w:topLinePunct/>
        <w:autoSpaceDE w:val="0"/>
        <w:autoSpaceDN w:val="0"/>
        <w:spacing w:line="460" w:lineRule="exact"/>
        <w:ind w:firstLine="480" w:firstLineChars="200"/>
        <w:rPr>
          <w:rFonts w:ascii="宋体" w:hAnsi="宋体"/>
          <w:color w:val="auto"/>
          <w:sz w:val="24"/>
          <w:highlight w:val="none"/>
        </w:rPr>
      </w:pPr>
      <w:r>
        <w:rPr>
          <w:rFonts w:ascii="宋体" w:hAnsi="宋体"/>
          <w:color w:val="auto"/>
          <w:sz w:val="24"/>
          <w:highlight w:val="none"/>
        </w:rPr>
        <w:t>4.评标委员会将应用投标人提交的资料并根据自己的判断，决定投标人履行合同的合格性及能力。</w:t>
      </w:r>
    </w:p>
    <w:p>
      <w:pPr>
        <w:topLinePunct/>
        <w:autoSpaceDE w:val="0"/>
        <w:autoSpaceDN w:val="0"/>
        <w:spacing w:line="460" w:lineRule="exact"/>
        <w:ind w:firstLine="480" w:firstLineChars="200"/>
        <w:rPr>
          <w:rFonts w:ascii="宋体" w:hAnsi="宋体"/>
          <w:color w:val="auto"/>
          <w:sz w:val="24"/>
          <w:highlight w:val="none"/>
        </w:rPr>
      </w:pPr>
      <w:r>
        <w:rPr>
          <w:rFonts w:ascii="宋体" w:hAnsi="宋体"/>
          <w:color w:val="auto"/>
          <w:sz w:val="24"/>
          <w:highlight w:val="none"/>
        </w:rPr>
        <w:t>5.全部文件应按投标人须知中规定的语言和份数提交。</w:t>
      </w:r>
    </w:p>
    <w:p>
      <w:pPr>
        <w:topLinePunct/>
        <w:autoSpaceDE w:val="0"/>
        <w:autoSpaceDN w:val="0"/>
        <w:spacing w:line="460" w:lineRule="exact"/>
        <w:ind w:firstLine="480" w:firstLineChars="200"/>
        <w:rPr>
          <w:rFonts w:ascii="宋体" w:hAnsi="宋体"/>
          <w:color w:val="auto"/>
          <w:sz w:val="24"/>
          <w:highlight w:val="none"/>
        </w:rPr>
      </w:pPr>
      <w:r>
        <w:rPr>
          <w:rFonts w:ascii="宋体" w:hAnsi="宋体"/>
          <w:color w:val="auto"/>
          <w:sz w:val="24"/>
          <w:highlight w:val="none"/>
        </w:rPr>
        <w:t>6.以下格式文件为要求填写内容的固定格式，投标人不得擅自修改格式，其他未提供格式的文件和资料由供应商自行设计编制格式填写。</w:t>
      </w:r>
    </w:p>
    <w:p>
      <w:pPr>
        <w:pStyle w:val="19"/>
        <w:ind w:firstLine="422" w:firstLineChars="200"/>
        <w:jc w:val="center"/>
        <w:rPr>
          <w:rFonts w:hint="default" w:hAnsi="宋体"/>
          <w:b/>
          <w:bCs/>
          <w:color w:val="auto"/>
          <w:highlight w:val="none"/>
        </w:rPr>
      </w:pPr>
    </w:p>
    <w:p>
      <w:pPr>
        <w:pStyle w:val="19"/>
        <w:ind w:firstLine="422" w:firstLineChars="200"/>
        <w:jc w:val="center"/>
        <w:rPr>
          <w:rFonts w:hint="default" w:hAnsi="宋体"/>
          <w:b/>
          <w:bCs/>
          <w:color w:val="auto"/>
          <w:highlight w:val="none"/>
        </w:rPr>
      </w:pPr>
    </w:p>
    <w:p>
      <w:pPr>
        <w:pStyle w:val="19"/>
        <w:ind w:firstLine="422" w:firstLineChars="200"/>
        <w:jc w:val="center"/>
        <w:rPr>
          <w:rFonts w:hint="default" w:hAnsi="宋体"/>
          <w:b/>
          <w:bCs/>
          <w:color w:val="auto"/>
          <w:highlight w:val="none"/>
        </w:rPr>
      </w:pPr>
    </w:p>
    <w:p>
      <w:pPr>
        <w:pStyle w:val="19"/>
        <w:ind w:firstLine="422" w:firstLineChars="200"/>
        <w:jc w:val="center"/>
        <w:rPr>
          <w:rFonts w:hint="default" w:hAnsi="宋体"/>
          <w:b/>
          <w:bCs/>
          <w:color w:val="auto"/>
          <w:sz w:val="44"/>
          <w:szCs w:val="44"/>
          <w:highlight w:val="none"/>
        </w:rPr>
      </w:pPr>
      <w:r>
        <w:rPr>
          <w:rFonts w:hint="default" w:hAnsi="宋体"/>
          <w:b/>
          <w:bCs/>
          <w:color w:val="auto"/>
          <w:highlight w:val="none"/>
        </w:rPr>
        <w:br w:type="page"/>
      </w:r>
      <w:r>
        <w:rPr>
          <w:rFonts w:hint="default" w:hAnsi="宋体"/>
          <w:b/>
          <w:bCs/>
          <w:color w:val="auto"/>
          <w:sz w:val="44"/>
          <w:szCs w:val="44"/>
          <w:highlight w:val="none"/>
        </w:rPr>
        <w:t>投 标 文 件</w:t>
      </w:r>
    </w:p>
    <w:p>
      <w:pPr>
        <w:pStyle w:val="19"/>
        <w:ind w:firstLine="643" w:firstLineChars="200"/>
        <w:jc w:val="center"/>
        <w:rPr>
          <w:rFonts w:hint="default" w:hAnsi="宋体"/>
          <w:b/>
          <w:bCs/>
          <w:color w:val="auto"/>
          <w:sz w:val="32"/>
          <w:szCs w:val="32"/>
          <w:highlight w:val="none"/>
        </w:rPr>
      </w:pPr>
    </w:p>
    <w:p>
      <w:pPr>
        <w:pStyle w:val="19"/>
        <w:ind w:firstLine="643" w:firstLineChars="200"/>
        <w:jc w:val="center"/>
        <w:rPr>
          <w:rFonts w:hint="default" w:hAnsi="宋体"/>
          <w:color w:val="auto"/>
          <w:sz w:val="32"/>
          <w:szCs w:val="32"/>
          <w:highlight w:val="none"/>
        </w:rPr>
      </w:pPr>
      <w:r>
        <w:rPr>
          <w:rFonts w:hint="default" w:hAnsi="宋体"/>
          <w:b/>
          <w:bCs/>
          <w:color w:val="auto"/>
          <w:sz w:val="32"/>
          <w:szCs w:val="32"/>
          <w:highlight w:val="none"/>
        </w:rPr>
        <w:t>第一部分　商务部分文件格式</w:t>
      </w:r>
    </w:p>
    <w:p>
      <w:pPr>
        <w:pStyle w:val="19"/>
        <w:ind w:firstLine="562" w:firstLineChars="200"/>
        <w:jc w:val="left"/>
        <w:rPr>
          <w:rFonts w:hint="default" w:hAnsi="宋体"/>
          <w:b/>
          <w:bCs/>
          <w:color w:val="auto"/>
          <w:sz w:val="28"/>
          <w:szCs w:val="28"/>
          <w:highlight w:val="none"/>
        </w:rPr>
      </w:pPr>
      <w:r>
        <w:rPr>
          <w:rFonts w:hint="default" w:hAnsi="宋体"/>
          <w:b/>
          <w:bCs/>
          <w:color w:val="auto"/>
          <w:sz w:val="28"/>
          <w:szCs w:val="28"/>
          <w:highlight w:val="none"/>
        </w:rPr>
        <w:t>一、投标函</w:t>
      </w:r>
    </w:p>
    <w:p>
      <w:pPr>
        <w:pStyle w:val="19"/>
        <w:topLinePunct/>
        <w:autoSpaceDE w:val="0"/>
        <w:autoSpaceDN w:val="0"/>
        <w:snapToGrid w:val="0"/>
        <w:spacing w:line="460" w:lineRule="exact"/>
        <w:rPr>
          <w:rFonts w:hint="default" w:hAnsi="宋体"/>
          <w:color w:val="auto"/>
          <w:sz w:val="24"/>
          <w:highlight w:val="none"/>
        </w:rPr>
      </w:pPr>
      <w:r>
        <w:rPr>
          <w:rFonts w:hint="default" w:hAnsi="宋体"/>
          <w:color w:val="auto"/>
          <w:sz w:val="24"/>
          <w:highlight w:val="none"/>
        </w:rPr>
        <w:t>致：国家税务总局辽宁省税务局</w:t>
      </w:r>
    </w:p>
    <w:p>
      <w:pPr>
        <w:pStyle w:val="19"/>
        <w:topLinePunct/>
        <w:autoSpaceDE w:val="0"/>
        <w:autoSpaceDN w:val="0"/>
        <w:snapToGrid w:val="0"/>
        <w:spacing w:line="460" w:lineRule="exact"/>
        <w:ind w:firstLine="489" w:firstLineChars="204"/>
        <w:rPr>
          <w:rFonts w:hint="default" w:hAnsi="宋体"/>
          <w:color w:val="auto"/>
          <w:sz w:val="24"/>
          <w:highlight w:val="none"/>
        </w:rPr>
      </w:pPr>
      <w:r>
        <w:rPr>
          <w:rFonts w:hint="default" w:hAnsi="宋体"/>
          <w:color w:val="auto"/>
          <w:sz w:val="24"/>
          <w:highlight w:val="none"/>
        </w:rPr>
        <w:t>根据(项目名称)(项目编号：)的招标公告，(姓名、职务)代表投标人(投标人名称、地址)参加</w:t>
      </w:r>
      <w:r>
        <w:rPr>
          <w:rFonts w:hAnsi="宋体"/>
          <w:color w:val="auto"/>
          <w:sz w:val="24"/>
          <w:highlight w:val="none"/>
        </w:rPr>
        <w:t>项目</w:t>
      </w:r>
      <w:r>
        <w:rPr>
          <w:rFonts w:hint="default" w:hAnsi="宋体"/>
          <w:color w:val="auto"/>
          <w:sz w:val="24"/>
          <w:highlight w:val="none"/>
        </w:rPr>
        <w:t>招标的有关活动。据此函，作如下承诺：</w:t>
      </w:r>
    </w:p>
    <w:p>
      <w:pPr>
        <w:pStyle w:val="148"/>
        <w:tabs>
          <w:tab w:val="left" w:pos="420"/>
          <w:tab w:val="clear" w:pos="360"/>
        </w:tabs>
        <w:topLinePunct/>
        <w:autoSpaceDE w:val="0"/>
        <w:autoSpaceDN w:val="0"/>
        <w:snapToGrid w:val="0"/>
        <w:spacing w:line="460" w:lineRule="exact"/>
        <w:ind w:firstLine="489" w:firstLineChars="204"/>
        <w:rPr>
          <w:color w:val="auto"/>
          <w:sz w:val="24"/>
          <w:highlight w:val="none"/>
        </w:rPr>
      </w:pPr>
      <w:r>
        <w:rPr>
          <w:color w:val="auto"/>
          <w:sz w:val="24"/>
          <w:highlight w:val="none"/>
        </w:rPr>
        <w:t>1.同意在本项目招标文件中规定的开标日起</w:t>
      </w:r>
      <w:r>
        <w:rPr>
          <w:color w:val="auto"/>
          <w:sz w:val="24"/>
          <w:highlight w:val="none"/>
          <w:u w:val="single"/>
        </w:rPr>
        <w:t xml:space="preserve"> 120 天</w:t>
      </w:r>
      <w:r>
        <w:rPr>
          <w:color w:val="auto"/>
          <w:sz w:val="24"/>
          <w:highlight w:val="none"/>
        </w:rPr>
        <w:t>遵守本投标文件中的承诺，且在期满之前均具有约束力。</w:t>
      </w:r>
    </w:p>
    <w:p>
      <w:pPr>
        <w:pStyle w:val="148"/>
        <w:tabs>
          <w:tab w:val="left" w:pos="420"/>
          <w:tab w:val="clear" w:pos="360"/>
        </w:tabs>
        <w:topLinePunct/>
        <w:autoSpaceDE w:val="0"/>
        <w:autoSpaceDN w:val="0"/>
        <w:snapToGrid w:val="0"/>
        <w:spacing w:line="460" w:lineRule="exact"/>
        <w:ind w:firstLine="489" w:firstLineChars="204"/>
        <w:rPr>
          <w:color w:val="auto"/>
          <w:sz w:val="24"/>
          <w:highlight w:val="none"/>
        </w:rPr>
      </w:pPr>
      <w:r>
        <w:rPr>
          <w:color w:val="auto"/>
          <w:sz w:val="24"/>
          <w:highlight w:val="none"/>
        </w:rPr>
        <w:t>2.具备政府采购相关法律法规规定的参加政府采购活动的供应商应当具备的条件：</w:t>
      </w:r>
    </w:p>
    <w:p>
      <w:pPr>
        <w:tabs>
          <w:tab w:val="left" w:pos="700"/>
        </w:tabs>
        <w:topLinePunct/>
        <w:autoSpaceDE w:val="0"/>
        <w:autoSpaceDN w:val="0"/>
        <w:spacing w:line="460" w:lineRule="exact"/>
        <w:ind w:firstLine="489" w:firstLineChars="204"/>
        <w:rPr>
          <w:rFonts w:ascii="宋体" w:hAnsi="宋体"/>
          <w:color w:val="auto"/>
          <w:sz w:val="24"/>
          <w:highlight w:val="none"/>
        </w:rPr>
      </w:pPr>
      <w:r>
        <w:rPr>
          <w:rFonts w:ascii="宋体" w:hAnsi="宋体"/>
          <w:color w:val="auto"/>
          <w:sz w:val="24"/>
          <w:highlight w:val="none"/>
        </w:rPr>
        <w:t>（1）具有独立承担民事责任的能力；</w:t>
      </w:r>
    </w:p>
    <w:p>
      <w:pPr>
        <w:tabs>
          <w:tab w:val="left" w:pos="700"/>
        </w:tabs>
        <w:topLinePunct/>
        <w:autoSpaceDE w:val="0"/>
        <w:autoSpaceDN w:val="0"/>
        <w:spacing w:line="460" w:lineRule="exact"/>
        <w:ind w:firstLine="489" w:firstLineChars="204"/>
        <w:rPr>
          <w:rFonts w:ascii="宋体" w:hAnsi="宋体"/>
          <w:color w:val="auto"/>
          <w:sz w:val="24"/>
          <w:highlight w:val="none"/>
        </w:rPr>
      </w:pPr>
      <w:r>
        <w:rPr>
          <w:rFonts w:ascii="宋体" w:hAnsi="宋体"/>
          <w:color w:val="auto"/>
          <w:sz w:val="24"/>
          <w:highlight w:val="none"/>
        </w:rPr>
        <w:t>（2）具有良好的商业信誉和健全的财务会计制度；</w:t>
      </w:r>
    </w:p>
    <w:p>
      <w:pPr>
        <w:tabs>
          <w:tab w:val="left" w:pos="700"/>
        </w:tabs>
        <w:topLinePunct/>
        <w:autoSpaceDE w:val="0"/>
        <w:autoSpaceDN w:val="0"/>
        <w:spacing w:line="460" w:lineRule="exact"/>
        <w:ind w:firstLine="489" w:firstLineChars="204"/>
        <w:rPr>
          <w:rFonts w:ascii="宋体" w:hAnsi="宋体"/>
          <w:color w:val="auto"/>
          <w:sz w:val="24"/>
          <w:highlight w:val="none"/>
        </w:rPr>
      </w:pPr>
      <w:r>
        <w:rPr>
          <w:rFonts w:ascii="宋体" w:hAnsi="宋体"/>
          <w:color w:val="auto"/>
          <w:sz w:val="24"/>
          <w:highlight w:val="none"/>
        </w:rPr>
        <w:t>（3）具有履行合同所必需的设备和专业技术能力；</w:t>
      </w:r>
    </w:p>
    <w:p>
      <w:pPr>
        <w:tabs>
          <w:tab w:val="left" w:pos="700"/>
        </w:tabs>
        <w:topLinePunct/>
        <w:autoSpaceDE w:val="0"/>
        <w:autoSpaceDN w:val="0"/>
        <w:spacing w:line="460" w:lineRule="exact"/>
        <w:ind w:firstLine="489" w:firstLineChars="204"/>
        <w:rPr>
          <w:rFonts w:ascii="宋体" w:hAnsi="宋体"/>
          <w:color w:val="auto"/>
          <w:sz w:val="24"/>
          <w:highlight w:val="none"/>
        </w:rPr>
      </w:pPr>
      <w:r>
        <w:rPr>
          <w:rFonts w:ascii="宋体" w:hAnsi="宋体"/>
          <w:color w:val="auto"/>
          <w:sz w:val="24"/>
          <w:highlight w:val="none"/>
        </w:rPr>
        <w:t>（4）有依法缴纳税收和社会保障资金的良好记录；</w:t>
      </w:r>
    </w:p>
    <w:p>
      <w:pPr>
        <w:tabs>
          <w:tab w:val="left" w:pos="700"/>
        </w:tabs>
        <w:topLinePunct/>
        <w:autoSpaceDE w:val="0"/>
        <w:autoSpaceDN w:val="0"/>
        <w:spacing w:line="460" w:lineRule="exact"/>
        <w:ind w:firstLine="489" w:firstLineChars="204"/>
        <w:rPr>
          <w:rFonts w:ascii="宋体" w:hAnsi="宋体"/>
          <w:color w:val="auto"/>
          <w:sz w:val="24"/>
          <w:highlight w:val="none"/>
        </w:rPr>
      </w:pPr>
      <w:r>
        <w:rPr>
          <w:rFonts w:ascii="宋体" w:hAnsi="宋体"/>
          <w:color w:val="auto"/>
          <w:sz w:val="24"/>
          <w:highlight w:val="none"/>
        </w:rPr>
        <w:t>（5）参加此项采购活动前三年内，在经营活动中没有重大违法记录。</w:t>
      </w:r>
    </w:p>
    <w:p>
      <w:pPr>
        <w:pStyle w:val="148"/>
        <w:tabs>
          <w:tab w:val="left" w:pos="420"/>
          <w:tab w:val="clear" w:pos="360"/>
        </w:tabs>
        <w:topLinePunct/>
        <w:autoSpaceDE w:val="0"/>
        <w:autoSpaceDN w:val="0"/>
        <w:snapToGrid w:val="0"/>
        <w:spacing w:line="460" w:lineRule="exact"/>
        <w:ind w:firstLine="489" w:firstLineChars="204"/>
        <w:rPr>
          <w:color w:val="auto"/>
          <w:sz w:val="24"/>
          <w:highlight w:val="none"/>
        </w:rPr>
      </w:pPr>
      <w:r>
        <w:rPr>
          <w:color w:val="auto"/>
          <w:sz w:val="24"/>
          <w:highlight w:val="none"/>
        </w:rPr>
        <w:t>3.具备本项目招标文件中规定的其他资格条件。</w:t>
      </w:r>
    </w:p>
    <w:p>
      <w:pPr>
        <w:pStyle w:val="148"/>
        <w:tabs>
          <w:tab w:val="left" w:pos="420"/>
          <w:tab w:val="clear" w:pos="360"/>
        </w:tabs>
        <w:topLinePunct/>
        <w:autoSpaceDE w:val="0"/>
        <w:autoSpaceDN w:val="0"/>
        <w:snapToGrid w:val="0"/>
        <w:spacing w:line="460" w:lineRule="exact"/>
        <w:ind w:firstLine="489" w:firstLineChars="204"/>
        <w:rPr>
          <w:color w:val="auto"/>
          <w:sz w:val="24"/>
          <w:highlight w:val="none"/>
        </w:rPr>
      </w:pPr>
      <w:r>
        <w:rPr>
          <w:color w:val="auto"/>
          <w:sz w:val="24"/>
          <w:highlight w:val="none"/>
        </w:rPr>
        <w:t>4.提供投标人须知规定的全部投标文件，包括投标文件正本____份，副本____份，电子文档____份。</w:t>
      </w:r>
    </w:p>
    <w:p>
      <w:pPr>
        <w:pStyle w:val="148"/>
        <w:tabs>
          <w:tab w:val="left" w:pos="420"/>
          <w:tab w:val="clear" w:pos="360"/>
        </w:tabs>
        <w:topLinePunct/>
        <w:autoSpaceDE w:val="0"/>
        <w:autoSpaceDN w:val="0"/>
        <w:snapToGrid w:val="0"/>
        <w:spacing w:line="460" w:lineRule="exact"/>
        <w:ind w:firstLine="489" w:firstLineChars="204"/>
        <w:rPr>
          <w:color w:val="auto"/>
          <w:sz w:val="24"/>
          <w:highlight w:val="none"/>
        </w:rPr>
      </w:pPr>
      <w:r>
        <w:rPr>
          <w:color w:val="auto"/>
          <w:sz w:val="24"/>
          <w:highlight w:val="none"/>
        </w:rPr>
        <w:t>5.已详细审阅全部招标文件(包括招标文件澄清函)，理解投标人须知的所有条款。</w:t>
      </w:r>
    </w:p>
    <w:p>
      <w:pPr>
        <w:pStyle w:val="148"/>
        <w:tabs>
          <w:tab w:val="left" w:pos="420"/>
          <w:tab w:val="clear" w:pos="360"/>
        </w:tabs>
        <w:topLinePunct/>
        <w:autoSpaceDE w:val="0"/>
        <w:autoSpaceDN w:val="0"/>
        <w:snapToGrid w:val="0"/>
        <w:spacing w:line="460" w:lineRule="exact"/>
        <w:ind w:firstLine="489" w:firstLineChars="204"/>
        <w:rPr>
          <w:color w:val="auto"/>
          <w:sz w:val="24"/>
          <w:highlight w:val="none"/>
        </w:rPr>
      </w:pPr>
      <w:r>
        <w:rPr>
          <w:color w:val="auto"/>
          <w:sz w:val="24"/>
          <w:highlight w:val="none"/>
        </w:rPr>
        <w:t>6.完全理解贵方“最低报价不能作为中标的保证”的规定。</w:t>
      </w:r>
    </w:p>
    <w:p>
      <w:pPr>
        <w:pStyle w:val="148"/>
        <w:tabs>
          <w:tab w:val="left" w:pos="420"/>
          <w:tab w:val="clear" w:pos="360"/>
        </w:tabs>
        <w:topLinePunct/>
        <w:autoSpaceDE w:val="0"/>
        <w:autoSpaceDN w:val="0"/>
        <w:snapToGrid w:val="0"/>
        <w:spacing w:line="460" w:lineRule="exact"/>
        <w:ind w:firstLine="489" w:firstLineChars="204"/>
        <w:rPr>
          <w:color w:val="auto"/>
          <w:sz w:val="24"/>
          <w:highlight w:val="none"/>
        </w:rPr>
      </w:pPr>
      <w:r>
        <w:rPr>
          <w:color w:val="auto"/>
          <w:sz w:val="24"/>
          <w:highlight w:val="none"/>
        </w:rPr>
        <w:t>7.接受招标文件中全部条款，且无任何异议；保证忠实地执行双方所签订的合同，并承担合同规定的责任和义务。</w:t>
      </w:r>
    </w:p>
    <w:p>
      <w:pPr>
        <w:pStyle w:val="148"/>
        <w:tabs>
          <w:tab w:val="left" w:pos="420"/>
          <w:tab w:val="clear" w:pos="360"/>
        </w:tabs>
        <w:topLinePunct/>
        <w:autoSpaceDE w:val="0"/>
        <w:autoSpaceDN w:val="0"/>
        <w:snapToGrid w:val="0"/>
        <w:spacing w:line="460" w:lineRule="exact"/>
        <w:ind w:firstLine="489" w:firstLineChars="204"/>
        <w:rPr>
          <w:color w:val="auto"/>
          <w:sz w:val="24"/>
          <w:highlight w:val="none"/>
        </w:rPr>
      </w:pPr>
      <w:r>
        <w:rPr>
          <w:color w:val="auto"/>
          <w:sz w:val="24"/>
          <w:highlight w:val="none"/>
        </w:rPr>
        <w:t>8.完全满足和响应招标文件中的各项商务和技术要求，若有偏差，已在投标文件中明确说明。</w:t>
      </w:r>
    </w:p>
    <w:p>
      <w:pPr>
        <w:pStyle w:val="148"/>
        <w:tabs>
          <w:tab w:val="left" w:pos="420"/>
          <w:tab w:val="clear" w:pos="360"/>
          <w:tab w:val="clear" w:pos="900"/>
        </w:tabs>
        <w:topLinePunct/>
        <w:autoSpaceDE w:val="0"/>
        <w:autoSpaceDN w:val="0"/>
        <w:snapToGrid w:val="0"/>
        <w:spacing w:line="460" w:lineRule="exact"/>
        <w:ind w:firstLine="489" w:firstLineChars="204"/>
        <w:rPr>
          <w:color w:val="auto"/>
          <w:sz w:val="24"/>
          <w:highlight w:val="none"/>
        </w:rPr>
      </w:pPr>
      <w:r>
        <w:rPr>
          <w:color w:val="auto"/>
          <w:sz w:val="24"/>
          <w:highlight w:val="none"/>
        </w:rPr>
        <w:t>9.愿意提供任何与投标有关的数据、情况和技术资料等。若贵方需要，愿意提供一切证明材料。</w:t>
      </w:r>
    </w:p>
    <w:p>
      <w:pPr>
        <w:pStyle w:val="148"/>
        <w:tabs>
          <w:tab w:val="left" w:pos="420"/>
          <w:tab w:val="clear" w:pos="360"/>
        </w:tabs>
        <w:topLinePunct/>
        <w:autoSpaceDE w:val="0"/>
        <w:autoSpaceDN w:val="0"/>
        <w:snapToGrid w:val="0"/>
        <w:spacing w:line="460" w:lineRule="exact"/>
        <w:ind w:firstLine="489" w:firstLineChars="204"/>
        <w:rPr>
          <w:color w:val="auto"/>
          <w:sz w:val="24"/>
          <w:highlight w:val="none"/>
        </w:rPr>
      </w:pPr>
      <w:r>
        <w:rPr>
          <w:color w:val="auto"/>
          <w:sz w:val="24"/>
          <w:highlight w:val="none"/>
        </w:rPr>
        <w:t>10.我方已详细审核全部投标文件、参考资料及有关附件，确认无误。</w:t>
      </w:r>
    </w:p>
    <w:p>
      <w:pPr>
        <w:pStyle w:val="148"/>
        <w:tabs>
          <w:tab w:val="left" w:pos="420"/>
          <w:tab w:val="clear" w:pos="360"/>
        </w:tabs>
        <w:topLinePunct/>
        <w:autoSpaceDE w:val="0"/>
        <w:autoSpaceDN w:val="0"/>
        <w:snapToGrid w:val="0"/>
        <w:spacing w:line="460" w:lineRule="exact"/>
        <w:ind w:firstLine="489" w:firstLineChars="204"/>
        <w:rPr>
          <w:color w:val="auto"/>
          <w:sz w:val="24"/>
          <w:highlight w:val="none"/>
        </w:rPr>
      </w:pPr>
      <w:r>
        <w:rPr>
          <w:color w:val="auto"/>
          <w:sz w:val="24"/>
          <w:highlight w:val="none"/>
        </w:rPr>
        <w:t>11.对本次招标内容及与本项目有关的知识产权、技术资料、商业秘密及相关信息保密。</w:t>
      </w:r>
    </w:p>
    <w:p>
      <w:pPr>
        <w:pStyle w:val="148"/>
        <w:tabs>
          <w:tab w:val="left" w:pos="420"/>
          <w:tab w:val="clear" w:pos="360"/>
        </w:tabs>
        <w:topLinePunct/>
        <w:autoSpaceDE w:val="0"/>
        <w:autoSpaceDN w:val="0"/>
        <w:snapToGrid w:val="0"/>
        <w:spacing w:line="460" w:lineRule="exact"/>
        <w:ind w:firstLine="489" w:firstLineChars="204"/>
        <w:rPr>
          <w:color w:val="auto"/>
          <w:sz w:val="24"/>
          <w:highlight w:val="none"/>
        </w:rPr>
      </w:pPr>
    </w:p>
    <w:p>
      <w:pPr>
        <w:pStyle w:val="148"/>
        <w:tabs>
          <w:tab w:val="left" w:pos="420"/>
          <w:tab w:val="clear" w:pos="360"/>
        </w:tabs>
        <w:topLinePunct/>
        <w:autoSpaceDE w:val="0"/>
        <w:autoSpaceDN w:val="0"/>
        <w:snapToGrid w:val="0"/>
        <w:spacing w:line="460" w:lineRule="exact"/>
        <w:ind w:firstLine="489" w:firstLineChars="204"/>
        <w:rPr>
          <w:color w:val="auto"/>
          <w:sz w:val="24"/>
          <w:highlight w:val="none"/>
        </w:rPr>
      </w:pPr>
    </w:p>
    <w:p>
      <w:pPr>
        <w:pStyle w:val="148"/>
        <w:tabs>
          <w:tab w:val="left" w:pos="420"/>
          <w:tab w:val="clear" w:pos="360"/>
          <w:tab w:val="clear" w:pos="900"/>
        </w:tabs>
        <w:topLinePunct/>
        <w:autoSpaceDE w:val="0"/>
        <w:autoSpaceDN w:val="0"/>
        <w:snapToGrid w:val="0"/>
        <w:spacing w:line="480" w:lineRule="auto"/>
        <w:ind w:firstLine="489" w:firstLineChars="204"/>
        <w:rPr>
          <w:color w:val="auto"/>
          <w:sz w:val="24"/>
          <w:szCs w:val="24"/>
          <w:highlight w:val="none"/>
          <w:u w:val="single"/>
        </w:rPr>
      </w:pPr>
      <w:r>
        <w:rPr>
          <w:color w:val="auto"/>
          <w:sz w:val="24"/>
          <w:highlight w:val="none"/>
        </w:rPr>
        <w:t>投标人名称（公章）：</w:t>
      </w:r>
    </w:p>
    <w:p>
      <w:pPr>
        <w:pStyle w:val="148"/>
        <w:tabs>
          <w:tab w:val="left" w:pos="420"/>
          <w:tab w:val="clear" w:pos="360"/>
          <w:tab w:val="clear" w:pos="900"/>
        </w:tabs>
        <w:topLinePunct/>
        <w:autoSpaceDE w:val="0"/>
        <w:autoSpaceDN w:val="0"/>
        <w:snapToGrid w:val="0"/>
        <w:spacing w:line="480" w:lineRule="auto"/>
        <w:ind w:firstLine="489" w:firstLineChars="204"/>
        <w:rPr>
          <w:color w:val="auto"/>
          <w:sz w:val="24"/>
          <w:highlight w:val="none"/>
        </w:rPr>
      </w:pPr>
      <w:r>
        <w:rPr>
          <w:color w:val="auto"/>
          <w:sz w:val="24"/>
          <w:highlight w:val="none"/>
        </w:rPr>
        <w:t>法定代表人或被授权投标代表（签字或盖章）：</w:t>
      </w:r>
    </w:p>
    <w:p>
      <w:pPr>
        <w:pStyle w:val="148"/>
        <w:tabs>
          <w:tab w:val="left" w:pos="420"/>
          <w:tab w:val="clear" w:pos="360"/>
          <w:tab w:val="clear" w:pos="900"/>
        </w:tabs>
        <w:topLinePunct/>
        <w:autoSpaceDE w:val="0"/>
        <w:autoSpaceDN w:val="0"/>
        <w:snapToGrid w:val="0"/>
        <w:spacing w:line="480" w:lineRule="auto"/>
        <w:ind w:firstLine="489" w:firstLineChars="204"/>
        <w:rPr>
          <w:color w:val="auto"/>
          <w:sz w:val="24"/>
          <w:szCs w:val="24"/>
          <w:highlight w:val="none"/>
          <w:u w:val="single"/>
        </w:rPr>
      </w:pPr>
      <w:r>
        <w:rPr>
          <w:color w:val="auto"/>
          <w:sz w:val="24"/>
          <w:highlight w:val="none"/>
        </w:rPr>
        <w:t>投标人地址：</w:t>
      </w:r>
    </w:p>
    <w:p>
      <w:pPr>
        <w:pStyle w:val="148"/>
        <w:tabs>
          <w:tab w:val="left" w:pos="420"/>
          <w:tab w:val="clear" w:pos="360"/>
          <w:tab w:val="clear" w:pos="900"/>
        </w:tabs>
        <w:topLinePunct/>
        <w:autoSpaceDE w:val="0"/>
        <w:autoSpaceDN w:val="0"/>
        <w:snapToGrid w:val="0"/>
        <w:spacing w:line="480" w:lineRule="auto"/>
        <w:ind w:firstLine="489" w:firstLineChars="204"/>
        <w:rPr>
          <w:color w:val="auto"/>
          <w:sz w:val="24"/>
          <w:szCs w:val="24"/>
          <w:highlight w:val="none"/>
          <w:u w:val="single"/>
        </w:rPr>
      </w:pPr>
      <w:r>
        <w:rPr>
          <w:color w:val="auto"/>
          <w:sz w:val="24"/>
          <w:highlight w:val="none"/>
        </w:rPr>
        <w:t>邮编：</w:t>
      </w:r>
    </w:p>
    <w:p>
      <w:pPr>
        <w:pStyle w:val="148"/>
        <w:tabs>
          <w:tab w:val="left" w:pos="420"/>
          <w:tab w:val="clear" w:pos="360"/>
          <w:tab w:val="clear" w:pos="900"/>
        </w:tabs>
        <w:topLinePunct/>
        <w:autoSpaceDE w:val="0"/>
        <w:autoSpaceDN w:val="0"/>
        <w:snapToGrid w:val="0"/>
        <w:spacing w:line="480" w:lineRule="auto"/>
        <w:ind w:firstLine="489" w:firstLineChars="204"/>
        <w:rPr>
          <w:b/>
          <w:bCs/>
          <w:color w:val="auto"/>
          <w:sz w:val="24"/>
          <w:highlight w:val="none"/>
        </w:rPr>
      </w:pPr>
      <w:r>
        <w:rPr>
          <w:color w:val="auto"/>
          <w:sz w:val="24"/>
          <w:highlight w:val="none"/>
        </w:rPr>
        <w:t>电话：</w:t>
      </w:r>
      <w:r>
        <w:rPr>
          <w:b/>
          <w:bCs/>
          <w:color w:val="auto"/>
          <w:sz w:val="24"/>
          <w:highlight w:val="none"/>
        </w:rPr>
        <w:t>____________</w:t>
      </w:r>
    </w:p>
    <w:p>
      <w:pPr>
        <w:pStyle w:val="148"/>
        <w:tabs>
          <w:tab w:val="left" w:pos="420"/>
          <w:tab w:val="clear" w:pos="360"/>
          <w:tab w:val="clear" w:pos="900"/>
        </w:tabs>
        <w:topLinePunct/>
        <w:autoSpaceDE w:val="0"/>
        <w:autoSpaceDN w:val="0"/>
        <w:snapToGrid w:val="0"/>
        <w:spacing w:line="480" w:lineRule="auto"/>
        <w:ind w:firstLine="489" w:firstLineChars="204"/>
        <w:rPr>
          <w:b/>
          <w:bCs/>
          <w:color w:val="auto"/>
          <w:sz w:val="24"/>
          <w:highlight w:val="none"/>
        </w:rPr>
      </w:pPr>
      <w:r>
        <w:rPr>
          <w:color w:val="auto"/>
          <w:sz w:val="24"/>
          <w:highlight w:val="none"/>
        </w:rPr>
        <w:t>传真：</w:t>
      </w:r>
      <w:r>
        <w:rPr>
          <w:b/>
          <w:bCs/>
          <w:color w:val="auto"/>
          <w:sz w:val="24"/>
          <w:highlight w:val="none"/>
        </w:rPr>
        <w:t>____________</w:t>
      </w:r>
    </w:p>
    <w:p>
      <w:pPr>
        <w:pStyle w:val="148"/>
        <w:tabs>
          <w:tab w:val="left" w:pos="420"/>
          <w:tab w:val="clear" w:pos="360"/>
        </w:tabs>
        <w:topLinePunct/>
        <w:autoSpaceDE w:val="0"/>
        <w:autoSpaceDN w:val="0"/>
        <w:snapToGrid w:val="0"/>
        <w:spacing w:line="480" w:lineRule="auto"/>
        <w:ind w:firstLine="489" w:firstLineChars="204"/>
        <w:rPr>
          <w:color w:val="auto"/>
          <w:sz w:val="24"/>
          <w:highlight w:val="none"/>
        </w:rPr>
      </w:pPr>
      <w:r>
        <w:rPr>
          <w:color w:val="auto"/>
          <w:sz w:val="24"/>
          <w:highlight w:val="none"/>
        </w:rPr>
        <w:t>日期：</w:t>
      </w:r>
      <w:r>
        <w:rPr>
          <w:b/>
          <w:bCs/>
          <w:color w:val="auto"/>
          <w:sz w:val="24"/>
          <w:highlight w:val="none"/>
        </w:rPr>
        <w:t xml:space="preserve">____________  </w:t>
      </w:r>
    </w:p>
    <w:p>
      <w:pPr>
        <w:pStyle w:val="19"/>
        <w:ind w:firstLine="420" w:firstLineChars="200"/>
        <w:rPr>
          <w:rFonts w:hint="default" w:hAnsi="宋体"/>
          <w:color w:val="auto"/>
          <w:highlight w:val="none"/>
        </w:rPr>
      </w:pPr>
    </w:p>
    <w:p>
      <w:pPr>
        <w:pStyle w:val="19"/>
        <w:ind w:firstLine="480" w:firstLineChars="200"/>
        <w:rPr>
          <w:rFonts w:hint="default" w:hAnsi="宋体"/>
          <w:color w:val="auto"/>
          <w:sz w:val="24"/>
          <w:szCs w:val="24"/>
          <w:highlight w:val="none"/>
        </w:rPr>
      </w:pPr>
    </w:p>
    <w:p>
      <w:pPr>
        <w:pStyle w:val="19"/>
        <w:ind w:firstLine="480" w:firstLineChars="200"/>
        <w:rPr>
          <w:rFonts w:hint="default" w:hAnsi="宋体"/>
          <w:color w:val="auto"/>
          <w:sz w:val="24"/>
          <w:szCs w:val="24"/>
          <w:highlight w:val="none"/>
        </w:rPr>
      </w:pPr>
    </w:p>
    <w:p>
      <w:pPr>
        <w:pStyle w:val="19"/>
        <w:ind w:firstLine="480" w:firstLineChars="200"/>
        <w:rPr>
          <w:rFonts w:hint="default" w:hAnsi="宋体"/>
          <w:color w:val="auto"/>
          <w:sz w:val="24"/>
          <w:szCs w:val="24"/>
          <w:highlight w:val="none"/>
        </w:rPr>
      </w:pPr>
    </w:p>
    <w:p>
      <w:pPr>
        <w:pStyle w:val="19"/>
        <w:ind w:firstLine="480" w:firstLineChars="200"/>
        <w:rPr>
          <w:rFonts w:hint="default" w:hAnsi="宋体"/>
          <w:color w:val="auto"/>
          <w:sz w:val="24"/>
          <w:szCs w:val="24"/>
          <w:highlight w:val="none"/>
        </w:rPr>
      </w:pPr>
    </w:p>
    <w:p>
      <w:pPr>
        <w:pStyle w:val="19"/>
        <w:ind w:firstLine="480" w:firstLineChars="200"/>
        <w:rPr>
          <w:rFonts w:hint="default" w:hAnsi="宋体"/>
          <w:color w:val="auto"/>
          <w:sz w:val="24"/>
          <w:szCs w:val="24"/>
          <w:highlight w:val="none"/>
        </w:rPr>
      </w:pPr>
    </w:p>
    <w:p>
      <w:pPr>
        <w:pStyle w:val="19"/>
        <w:ind w:firstLine="480" w:firstLineChars="200"/>
        <w:rPr>
          <w:rFonts w:hint="default" w:hAnsi="宋体"/>
          <w:color w:val="auto"/>
          <w:sz w:val="24"/>
          <w:szCs w:val="24"/>
          <w:highlight w:val="none"/>
        </w:rPr>
      </w:pPr>
    </w:p>
    <w:p>
      <w:pPr>
        <w:pStyle w:val="19"/>
        <w:ind w:firstLine="480" w:firstLineChars="200"/>
        <w:rPr>
          <w:rFonts w:hint="default" w:hAnsi="宋体"/>
          <w:color w:val="auto"/>
          <w:sz w:val="24"/>
          <w:szCs w:val="24"/>
          <w:highlight w:val="none"/>
        </w:rPr>
      </w:pPr>
    </w:p>
    <w:p>
      <w:pPr>
        <w:pStyle w:val="19"/>
        <w:ind w:firstLine="480" w:firstLineChars="200"/>
        <w:rPr>
          <w:rFonts w:hint="default" w:hAnsi="宋体"/>
          <w:color w:val="auto"/>
          <w:sz w:val="24"/>
          <w:szCs w:val="24"/>
          <w:highlight w:val="none"/>
        </w:rPr>
      </w:pPr>
    </w:p>
    <w:p>
      <w:pPr>
        <w:pStyle w:val="19"/>
        <w:ind w:firstLine="480" w:firstLineChars="200"/>
        <w:rPr>
          <w:rFonts w:hint="default" w:hAnsi="宋体"/>
          <w:color w:val="auto"/>
          <w:sz w:val="24"/>
          <w:szCs w:val="24"/>
          <w:highlight w:val="none"/>
        </w:rPr>
      </w:pPr>
    </w:p>
    <w:p>
      <w:pPr>
        <w:pStyle w:val="19"/>
        <w:ind w:firstLine="480" w:firstLineChars="200"/>
        <w:rPr>
          <w:rFonts w:hint="default" w:hAnsi="宋体"/>
          <w:color w:val="auto"/>
          <w:sz w:val="24"/>
          <w:szCs w:val="24"/>
          <w:highlight w:val="none"/>
        </w:rPr>
      </w:pPr>
    </w:p>
    <w:p>
      <w:pPr>
        <w:pStyle w:val="19"/>
        <w:ind w:firstLine="480" w:firstLineChars="200"/>
        <w:rPr>
          <w:rFonts w:hint="default" w:hAnsi="宋体"/>
          <w:color w:val="auto"/>
          <w:sz w:val="24"/>
          <w:szCs w:val="24"/>
          <w:highlight w:val="none"/>
        </w:rPr>
      </w:pPr>
    </w:p>
    <w:p>
      <w:pPr>
        <w:pStyle w:val="19"/>
        <w:ind w:firstLine="480" w:firstLineChars="200"/>
        <w:rPr>
          <w:rFonts w:hint="default" w:hAnsi="宋体"/>
          <w:color w:val="auto"/>
          <w:sz w:val="24"/>
          <w:szCs w:val="24"/>
          <w:highlight w:val="none"/>
        </w:rPr>
      </w:pPr>
    </w:p>
    <w:p>
      <w:pPr>
        <w:pStyle w:val="19"/>
        <w:ind w:firstLine="480" w:firstLineChars="200"/>
        <w:rPr>
          <w:rFonts w:hint="default" w:hAnsi="宋体"/>
          <w:color w:val="auto"/>
          <w:sz w:val="24"/>
          <w:szCs w:val="24"/>
          <w:highlight w:val="none"/>
        </w:rPr>
      </w:pPr>
    </w:p>
    <w:p>
      <w:pPr>
        <w:pStyle w:val="19"/>
        <w:ind w:firstLine="480" w:firstLineChars="200"/>
        <w:rPr>
          <w:rFonts w:hint="default" w:hAnsi="宋体"/>
          <w:color w:val="auto"/>
          <w:sz w:val="24"/>
          <w:szCs w:val="24"/>
          <w:highlight w:val="none"/>
        </w:rPr>
      </w:pPr>
    </w:p>
    <w:p>
      <w:pPr>
        <w:pStyle w:val="19"/>
        <w:ind w:firstLine="480" w:firstLineChars="200"/>
        <w:rPr>
          <w:rFonts w:hint="default" w:hAnsi="宋体"/>
          <w:color w:val="auto"/>
          <w:sz w:val="24"/>
          <w:szCs w:val="24"/>
          <w:highlight w:val="none"/>
        </w:rPr>
      </w:pPr>
    </w:p>
    <w:p>
      <w:pPr>
        <w:pStyle w:val="19"/>
        <w:ind w:firstLine="480" w:firstLineChars="200"/>
        <w:rPr>
          <w:rFonts w:hint="default" w:hAnsi="宋体"/>
          <w:color w:val="auto"/>
          <w:sz w:val="24"/>
          <w:szCs w:val="24"/>
          <w:highlight w:val="none"/>
        </w:rPr>
      </w:pPr>
    </w:p>
    <w:p>
      <w:pPr>
        <w:pStyle w:val="19"/>
        <w:ind w:firstLine="480" w:firstLineChars="200"/>
        <w:rPr>
          <w:rFonts w:hint="default" w:hAnsi="宋体"/>
          <w:color w:val="auto"/>
          <w:sz w:val="24"/>
          <w:szCs w:val="24"/>
          <w:highlight w:val="none"/>
        </w:rPr>
      </w:pPr>
    </w:p>
    <w:p>
      <w:pPr>
        <w:pStyle w:val="19"/>
        <w:ind w:firstLine="480" w:firstLineChars="200"/>
        <w:rPr>
          <w:rFonts w:hint="default" w:hAnsi="宋体"/>
          <w:color w:val="auto"/>
          <w:sz w:val="24"/>
          <w:szCs w:val="24"/>
          <w:highlight w:val="none"/>
        </w:rPr>
      </w:pPr>
    </w:p>
    <w:p>
      <w:pPr>
        <w:pStyle w:val="19"/>
        <w:ind w:firstLine="480" w:firstLineChars="200"/>
        <w:rPr>
          <w:rFonts w:hint="default" w:hAnsi="宋体"/>
          <w:color w:val="auto"/>
          <w:sz w:val="24"/>
          <w:szCs w:val="24"/>
          <w:highlight w:val="none"/>
        </w:rPr>
      </w:pPr>
    </w:p>
    <w:p>
      <w:pPr>
        <w:pStyle w:val="19"/>
        <w:ind w:firstLine="480" w:firstLineChars="200"/>
        <w:rPr>
          <w:rFonts w:hint="default" w:hAnsi="宋体"/>
          <w:color w:val="auto"/>
          <w:sz w:val="24"/>
          <w:szCs w:val="24"/>
          <w:highlight w:val="none"/>
        </w:rPr>
      </w:pPr>
    </w:p>
    <w:p>
      <w:pPr>
        <w:pStyle w:val="19"/>
        <w:ind w:firstLine="480" w:firstLineChars="200"/>
        <w:rPr>
          <w:rFonts w:hint="default" w:hAnsi="宋体"/>
          <w:color w:val="auto"/>
          <w:sz w:val="24"/>
          <w:szCs w:val="24"/>
          <w:highlight w:val="none"/>
        </w:rPr>
      </w:pPr>
    </w:p>
    <w:p>
      <w:pPr>
        <w:pStyle w:val="19"/>
        <w:ind w:firstLine="480" w:firstLineChars="200"/>
        <w:rPr>
          <w:rFonts w:hint="default" w:hAnsi="宋体"/>
          <w:color w:val="auto"/>
          <w:sz w:val="24"/>
          <w:szCs w:val="24"/>
          <w:highlight w:val="none"/>
        </w:rPr>
      </w:pPr>
    </w:p>
    <w:p>
      <w:pPr>
        <w:pStyle w:val="19"/>
        <w:ind w:firstLine="480" w:firstLineChars="200"/>
        <w:rPr>
          <w:rFonts w:hint="default" w:hAnsi="宋体"/>
          <w:color w:val="auto"/>
          <w:sz w:val="24"/>
          <w:szCs w:val="24"/>
          <w:highlight w:val="none"/>
        </w:rPr>
      </w:pPr>
      <w:r>
        <w:rPr>
          <w:rFonts w:hint="default" w:hAnsi="宋体"/>
          <w:color w:val="auto"/>
          <w:sz w:val="24"/>
          <w:szCs w:val="24"/>
          <w:highlight w:val="none"/>
        </w:rPr>
        <w:t>附件1－1　法定代表人身份证明复印件(适用于法定代表人参加投标)</w:t>
      </w:r>
    </w:p>
    <w:tbl>
      <w:tblPr>
        <w:tblStyle w:val="3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81" w:hRule="atLeast"/>
          <w:jc w:val="center"/>
        </w:trPr>
        <w:tc>
          <w:tcPr>
            <w:tcW w:w="7440" w:type="dxa"/>
            <w:tcBorders>
              <w:top w:val="single" w:color="auto" w:sz="4" w:space="0"/>
              <w:left w:val="single" w:color="auto" w:sz="4" w:space="0"/>
              <w:bottom w:val="single" w:color="auto" w:sz="4" w:space="0"/>
              <w:right w:val="single" w:color="auto" w:sz="4" w:space="0"/>
            </w:tcBorders>
            <w:vAlign w:val="center"/>
          </w:tcPr>
          <w:p>
            <w:pPr>
              <w:pStyle w:val="19"/>
              <w:jc w:val="center"/>
              <w:rPr>
                <w:rFonts w:hint="default" w:hAnsi="宋体"/>
                <w:color w:val="auto"/>
                <w:kern w:val="2"/>
                <w:highlight w:val="none"/>
              </w:rPr>
            </w:pPr>
            <w:r>
              <w:rPr>
                <w:rFonts w:hint="default" w:hAnsi="宋体"/>
                <w:color w:val="auto"/>
                <w:kern w:val="2"/>
                <w:highlight w:val="none"/>
              </w:rPr>
              <w:t>法定代表人身份证明复印件</w:t>
            </w:r>
          </w:p>
        </w:tc>
      </w:tr>
    </w:tbl>
    <w:p>
      <w:pPr>
        <w:pStyle w:val="19"/>
        <w:ind w:firstLine="480" w:firstLineChars="200"/>
        <w:rPr>
          <w:rFonts w:hint="default" w:hAnsi="宋体"/>
          <w:color w:val="auto"/>
          <w:sz w:val="24"/>
          <w:szCs w:val="24"/>
          <w:highlight w:val="none"/>
        </w:rPr>
      </w:pPr>
    </w:p>
    <w:p>
      <w:pPr>
        <w:pStyle w:val="19"/>
        <w:ind w:firstLine="480" w:firstLineChars="200"/>
        <w:rPr>
          <w:rFonts w:hint="default" w:hAnsi="宋体"/>
          <w:color w:val="auto"/>
          <w:sz w:val="24"/>
          <w:szCs w:val="24"/>
          <w:highlight w:val="none"/>
        </w:rPr>
      </w:pPr>
    </w:p>
    <w:p>
      <w:pPr>
        <w:pStyle w:val="19"/>
        <w:ind w:firstLine="480" w:firstLineChars="200"/>
        <w:rPr>
          <w:rFonts w:hint="default" w:hAnsi="宋体"/>
          <w:color w:val="auto"/>
          <w:sz w:val="24"/>
          <w:szCs w:val="24"/>
          <w:highlight w:val="none"/>
        </w:rPr>
      </w:pPr>
    </w:p>
    <w:p>
      <w:pPr>
        <w:pStyle w:val="19"/>
        <w:ind w:firstLine="480" w:firstLineChars="200"/>
        <w:rPr>
          <w:rFonts w:hint="default" w:hAnsi="宋体"/>
          <w:color w:val="auto"/>
          <w:sz w:val="24"/>
          <w:szCs w:val="24"/>
          <w:highlight w:val="none"/>
        </w:rPr>
      </w:pPr>
      <w:r>
        <w:rPr>
          <w:rFonts w:hint="default" w:hAnsi="宋体"/>
          <w:color w:val="auto"/>
          <w:sz w:val="24"/>
          <w:szCs w:val="24"/>
          <w:highlight w:val="none"/>
        </w:rPr>
        <w:br w:type="page"/>
      </w:r>
      <w:r>
        <w:rPr>
          <w:rFonts w:hint="default" w:hAnsi="宋体"/>
          <w:color w:val="auto"/>
          <w:sz w:val="24"/>
          <w:szCs w:val="24"/>
          <w:highlight w:val="none"/>
        </w:rPr>
        <w:t>附件1－2　法定代表人授权书(适用于被授权投标代表参加投标)</w:t>
      </w:r>
    </w:p>
    <w:p>
      <w:pPr>
        <w:pStyle w:val="19"/>
        <w:ind w:firstLine="480" w:firstLineChars="200"/>
        <w:rPr>
          <w:rFonts w:hint="default" w:hAnsi="宋体"/>
          <w:color w:val="auto"/>
          <w:sz w:val="24"/>
          <w:szCs w:val="24"/>
          <w:highlight w:val="none"/>
        </w:rPr>
      </w:pPr>
    </w:p>
    <w:p>
      <w:pPr>
        <w:pStyle w:val="19"/>
        <w:topLinePunct/>
        <w:autoSpaceDE w:val="0"/>
        <w:autoSpaceDN w:val="0"/>
        <w:snapToGrid w:val="0"/>
        <w:spacing w:line="460" w:lineRule="exact"/>
        <w:jc w:val="center"/>
        <w:rPr>
          <w:rFonts w:hint="default" w:hAnsi="宋体"/>
          <w:color w:val="auto"/>
          <w:highlight w:val="none"/>
        </w:rPr>
      </w:pPr>
      <w:r>
        <w:rPr>
          <w:rFonts w:hint="default" w:hAnsi="宋体"/>
          <w:b/>
          <w:color w:val="auto"/>
          <w:sz w:val="24"/>
          <w:highlight w:val="none"/>
        </w:rPr>
        <w:t>法定代表人授权委托书</w:t>
      </w:r>
    </w:p>
    <w:p>
      <w:pPr>
        <w:topLinePunct/>
        <w:autoSpaceDE w:val="0"/>
        <w:autoSpaceDN w:val="0"/>
        <w:spacing w:line="460" w:lineRule="exact"/>
        <w:jc w:val="center"/>
        <w:rPr>
          <w:rFonts w:ascii="宋体" w:hAnsi="宋体"/>
          <w:color w:val="auto"/>
          <w:sz w:val="24"/>
          <w:highlight w:val="none"/>
        </w:rPr>
      </w:pPr>
    </w:p>
    <w:p>
      <w:pPr>
        <w:topLinePunct/>
        <w:autoSpaceDE w:val="0"/>
        <w:autoSpaceDN w:val="0"/>
        <w:spacing w:line="500" w:lineRule="exact"/>
        <w:ind w:firstLine="480" w:firstLineChars="200"/>
        <w:rPr>
          <w:rFonts w:ascii="宋体" w:hAnsi="宋体"/>
          <w:color w:val="auto"/>
          <w:sz w:val="24"/>
          <w:highlight w:val="none"/>
        </w:rPr>
      </w:pPr>
      <w:r>
        <w:rPr>
          <w:rFonts w:ascii="宋体" w:hAnsi="宋体"/>
          <w:color w:val="auto"/>
          <w:sz w:val="24"/>
          <w:highlight w:val="none"/>
        </w:rPr>
        <w:t>本授权书声明：注册于（投标人地址）的（投标人名称）法定代表人 （姓名、职务）代表本公司授权（被授权投标代表姓名、职务）为本公司的合法投标代表，就贵方组织的《</w:t>
      </w:r>
      <w:r>
        <w:rPr>
          <w:rFonts w:ascii="宋体" w:hAnsi="宋体"/>
          <w:color w:val="auto"/>
          <w:sz w:val="24"/>
          <w:highlight w:val="none"/>
          <w:u w:val="single"/>
        </w:rPr>
        <w:t xml:space="preserve">          项目</w:t>
      </w:r>
      <w:r>
        <w:rPr>
          <w:rFonts w:ascii="宋体" w:hAnsi="宋体"/>
          <w:color w:val="auto"/>
          <w:sz w:val="24"/>
          <w:highlight w:val="none"/>
        </w:rPr>
        <w:t>》（项目编号：）投标及相关事务，以本公司名义处理与之有关的一切事务。</w:t>
      </w:r>
    </w:p>
    <w:p>
      <w:pPr>
        <w:pStyle w:val="19"/>
        <w:spacing w:line="600" w:lineRule="exact"/>
        <w:ind w:firstLine="480" w:firstLineChars="200"/>
        <w:rPr>
          <w:rFonts w:hint="default" w:hAnsi="宋体"/>
          <w:color w:val="auto"/>
          <w:sz w:val="24"/>
          <w:szCs w:val="24"/>
          <w:highlight w:val="none"/>
        </w:rPr>
      </w:pPr>
      <w:r>
        <w:rPr>
          <w:rFonts w:hint="default" w:hAnsi="宋体"/>
          <w:color w:val="auto"/>
          <w:sz w:val="24"/>
          <w:szCs w:val="24"/>
          <w:highlight w:val="none"/>
        </w:rPr>
        <w:t>委托期限：。</w:t>
      </w:r>
    </w:p>
    <w:p>
      <w:pPr>
        <w:pStyle w:val="19"/>
        <w:spacing w:line="600" w:lineRule="exact"/>
        <w:ind w:firstLine="480" w:firstLineChars="200"/>
        <w:rPr>
          <w:rFonts w:hint="default" w:hAnsi="宋体"/>
          <w:color w:val="auto"/>
          <w:sz w:val="24"/>
          <w:szCs w:val="24"/>
          <w:highlight w:val="none"/>
        </w:rPr>
      </w:pPr>
      <w:r>
        <w:rPr>
          <w:rFonts w:hint="default" w:hAnsi="宋体"/>
          <w:color w:val="auto"/>
          <w:sz w:val="24"/>
          <w:szCs w:val="24"/>
          <w:highlight w:val="none"/>
        </w:rPr>
        <w:t>被授权投标代表无转委托权。</w:t>
      </w:r>
    </w:p>
    <w:p>
      <w:pPr>
        <w:pStyle w:val="19"/>
        <w:spacing w:line="600" w:lineRule="exact"/>
        <w:ind w:firstLine="480" w:firstLineChars="200"/>
        <w:rPr>
          <w:rFonts w:hint="default" w:hAnsi="宋体"/>
          <w:color w:val="auto"/>
          <w:sz w:val="24"/>
          <w:highlight w:val="none"/>
        </w:rPr>
      </w:pPr>
      <w:r>
        <w:rPr>
          <w:rFonts w:hint="default" w:hAnsi="宋体"/>
          <w:color w:val="auto"/>
          <w:sz w:val="24"/>
          <w:szCs w:val="24"/>
          <w:highlight w:val="none"/>
        </w:rPr>
        <w:t>本</w:t>
      </w:r>
      <w:r>
        <w:rPr>
          <w:rFonts w:hint="default" w:hAnsi="宋体"/>
          <w:color w:val="auto"/>
          <w:sz w:val="24"/>
          <w:highlight w:val="none"/>
        </w:rPr>
        <w:t>授权书于年月日签字或盖章后生效，特此声明。</w:t>
      </w:r>
    </w:p>
    <w:p>
      <w:pPr>
        <w:pStyle w:val="19"/>
        <w:ind w:firstLine="420" w:firstLineChars="200"/>
        <w:rPr>
          <w:rFonts w:hint="default" w:hAnsi="宋体"/>
          <w:color w:val="auto"/>
          <w:highlight w:val="none"/>
        </w:rPr>
      </w:pPr>
    </w:p>
    <w:tbl>
      <w:tblPr>
        <w:tblStyle w:val="3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0" w:hRule="atLeast"/>
          <w:jc w:val="center"/>
        </w:trPr>
        <w:tc>
          <w:tcPr>
            <w:tcW w:w="5740" w:type="dxa"/>
            <w:vAlign w:val="center"/>
          </w:tcPr>
          <w:p>
            <w:pPr>
              <w:pStyle w:val="19"/>
              <w:jc w:val="center"/>
              <w:rPr>
                <w:rFonts w:hint="default" w:hAnsi="宋体"/>
                <w:color w:val="auto"/>
                <w:kern w:val="2"/>
                <w:highlight w:val="none"/>
              </w:rPr>
            </w:pPr>
          </w:p>
          <w:p>
            <w:pPr>
              <w:pStyle w:val="19"/>
              <w:jc w:val="center"/>
              <w:rPr>
                <w:rFonts w:hint="default" w:hAnsi="宋体"/>
                <w:color w:val="auto"/>
                <w:kern w:val="2"/>
                <w:highlight w:val="none"/>
              </w:rPr>
            </w:pPr>
          </w:p>
          <w:p>
            <w:pPr>
              <w:pStyle w:val="19"/>
              <w:jc w:val="center"/>
              <w:rPr>
                <w:rFonts w:hint="default" w:hAnsi="宋体"/>
                <w:color w:val="auto"/>
                <w:kern w:val="2"/>
                <w:highlight w:val="none"/>
              </w:rPr>
            </w:pPr>
          </w:p>
          <w:p>
            <w:pPr>
              <w:pStyle w:val="19"/>
              <w:jc w:val="center"/>
              <w:rPr>
                <w:rFonts w:hint="default" w:hAnsi="宋体"/>
                <w:color w:val="auto"/>
                <w:kern w:val="2"/>
                <w:highlight w:val="none"/>
              </w:rPr>
            </w:pPr>
          </w:p>
          <w:p>
            <w:pPr>
              <w:pStyle w:val="19"/>
              <w:jc w:val="center"/>
              <w:rPr>
                <w:rFonts w:hint="default" w:hAnsi="宋体"/>
                <w:color w:val="auto"/>
                <w:kern w:val="2"/>
                <w:highlight w:val="none"/>
              </w:rPr>
            </w:pPr>
          </w:p>
          <w:p>
            <w:pPr>
              <w:pStyle w:val="19"/>
              <w:jc w:val="center"/>
              <w:rPr>
                <w:rFonts w:hint="default" w:hAnsi="宋体"/>
                <w:color w:val="auto"/>
                <w:kern w:val="2"/>
                <w:highlight w:val="none"/>
              </w:rPr>
            </w:pPr>
            <w:r>
              <w:rPr>
                <w:rFonts w:hint="default" w:hAnsi="宋体"/>
                <w:color w:val="auto"/>
                <w:kern w:val="2"/>
                <w:highlight w:val="none"/>
              </w:rPr>
              <w:t>被授权投标代表身份证复印件</w:t>
            </w:r>
          </w:p>
          <w:p>
            <w:pPr>
              <w:pStyle w:val="19"/>
              <w:jc w:val="center"/>
              <w:rPr>
                <w:rFonts w:hint="default" w:hAnsi="宋体"/>
                <w:color w:val="auto"/>
                <w:kern w:val="2"/>
                <w:highlight w:val="none"/>
              </w:rPr>
            </w:pPr>
          </w:p>
          <w:p>
            <w:pPr>
              <w:pStyle w:val="19"/>
              <w:jc w:val="center"/>
              <w:rPr>
                <w:rFonts w:hint="default" w:hAnsi="宋体"/>
                <w:color w:val="auto"/>
                <w:kern w:val="2"/>
                <w:highlight w:val="none"/>
              </w:rPr>
            </w:pPr>
          </w:p>
          <w:p>
            <w:pPr>
              <w:pStyle w:val="19"/>
              <w:jc w:val="center"/>
              <w:rPr>
                <w:rFonts w:hint="default" w:hAnsi="宋体"/>
                <w:color w:val="auto"/>
                <w:kern w:val="2"/>
                <w:highlight w:val="none"/>
              </w:rPr>
            </w:pPr>
          </w:p>
          <w:p>
            <w:pPr>
              <w:pStyle w:val="19"/>
              <w:jc w:val="center"/>
              <w:rPr>
                <w:rFonts w:hint="default" w:hAnsi="宋体"/>
                <w:color w:val="auto"/>
                <w:kern w:val="2"/>
                <w:highlight w:val="none"/>
              </w:rPr>
            </w:pPr>
          </w:p>
        </w:tc>
      </w:tr>
    </w:tbl>
    <w:p>
      <w:pPr>
        <w:pStyle w:val="19"/>
        <w:ind w:firstLine="420" w:firstLineChars="200"/>
        <w:rPr>
          <w:rFonts w:hint="default" w:hAnsi="宋体"/>
          <w:color w:val="auto"/>
          <w:highlight w:val="none"/>
        </w:rPr>
      </w:pPr>
    </w:p>
    <w:p>
      <w:pPr>
        <w:pStyle w:val="19"/>
        <w:spacing w:line="360" w:lineRule="auto"/>
        <w:ind w:firstLine="480" w:firstLineChars="200"/>
        <w:rPr>
          <w:rFonts w:hint="default" w:hAnsi="宋体"/>
          <w:color w:val="auto"/>
          <w:sz w:val="24"/>
          <w:szCs w:val="24"/>
          <w:highlight w:val="none"/>
        </w:rPr>
      </w:pPr>
      <w:r>
        <w:rPr>
          <w:rFonts w:hint="default" w:hAnsi="宋体"/>
          <w:color w:val="auto"/>
          <w:sz w:val="24"/>
          <w:szCs w:val="24"/>
          <w:highlight w:val="none"/>
        </w:rPr>
        <w:t>投标人名称(公章)：</w:t>
      </w:r>
    </w:p>
    <w:p>
      <w:pPr>
        <w:pStyle w:val="19"/>
        <w:spacing w:line="360" w:lineRule="auto"/>
        <w:ind w:firstLine="480" w:firstLineChars="200"/>
        <w:rPr>
          <w:rFonts w:hint="default" w:hAnsi="宋体"/>
          <w:color w:val="auto"/>
          <w:sz w:val="24"/>
          <w:szCs w:val="24"/>
          <w:highlight w:val="none"/>
        </w:rPr>
      </w:pPr>
      <w:r>
        <w:rPr>
          <w:rFonts w:hint="default" w:hAnsi="宋体"/>
          <w:color w:val="auto"/>
          <w:sz w:val="24"/>
          <w:szCs w:val="24"/>
          <w:highlight w:val="none"/>
        </w:rPr>
        <w:t>法定代表人(签字或盖章)：</w:t>
      </w:r>
    </w:p>
    <w:p>
      <w:pPr>
        <w:pStyle w:val="19"/>
        <w:spacing w:line="360" w:lineRule="auto"/>
        <w:ind w:firstLine="480" w:firstLineChars="200"/>
        <w:rPr>
          <w:rFonts w:hint="default" w:hAnsi="宋体"/>
          <w:color w:val="auto"/>
          <w:sz w:val="24"/>
          <w:szCs w:val="24"/>
          <w:highlight w:val="none"/>
          <w:u w:val="single"/>
        </w:rPr>
      </w:pPr>
      <w:r>
        <w:rPr>
          <w:rFonts w:hint="default" w:hAnsi="宋体"/>
          <w:color w:val="auto"/>
          <w:sz w:val="24"/>
          <w:szCs w:val="24"/>
          <w:highlight w:val="none"/>
        </w:rPr>
        <w:t>被授权投标代表（签字或盖章）：</w:t>
      </w:r>
    </w:p>
    <w:p>
      <w:pPr>
        <w:pStyle w:val="19"/>
        <w:spacing w:line="360" w:lineRule="auto"/>
        <w:ind w:firstLine="480" w:firstLineChars="200"/>
        <w:rPr>
          <w:rFonts w:hint="default" w:hAnsi="宋体"/>
          <w:color w:val="auto"/>
          <w:sz w:val="24"/>
          <w:szCs w:val="24"/>
          <w:highlight w:val="none"/>
        </w:rPr>
      </w:pPr>
      <w:r>
        <w:rPr>
          <w:rFonts w:hint="default" w:hAnsi="宋体"/>
          <w:color w:val="auto"/>
          <w:sz w:val="24"/>
          <w:szCs w:val="24"/>
          <w:highlight w:val="none"/>
        </w:rPr>
        <w:t>被授权投标代表联系电话：</w:t>
      </w:r>
    </w:p>
    <w:p>
      <w:pPr>
        <w:pStyle w:val="19"/>
        <w:spacing w:line="360" w:lineRule="auto"/>
        <w:ind w:firstLine="480" w:firstLineChars="200"/>
        <w:rPr>
          <w:rFonts w:hint="default" w:hAnsi="宋体"/>
          <w:color w:val="auto"/>
          <w:sz w:val="24"/>
          <w:szCs w:val="24"/>
          <w:highlight w:val="none"/>
        </w:rPr>
      </w:pPr>
      <w:r>
        <w:rPr>
          <w:rFonts w:hint="default" w:hAnsi="宋体"/>
          <w:color w:val="auto"/>
          <w:sz w:val="24"/>
          <w:szCs w:val="24"/>
          <w:highlight w:val="none"/>
        </w:rPr>
        <w:t>日期：</w:t>
      </w:r>
    </w:p>
    <w:p>
      <w:pPr>
        <w:pStyle w:val="19"/>
        <w:ind w:firstLine="722" w:firstLineChars="200"/>
        <w:rPr>
          <w:rFonts w:hint="default" w:hAnsi="宋体"/>
          <w:b/>
          <w:bCs/>
          <w:color w:val="auto"/>
          <w:sz w:val="28"/>
          <w:szCs w:val="28"/>
          <w:highlight w:val="none"/>
        </w:rPr>
      </w:pPr>
      <w:r>
        <w:rPr>
          <w:rFonts w:hint="default" w:hAnsi="宋体"/>
          <w:b/>
          <w:bCs/>
          <w:color w:val="auto"/>
          <w:w w:val="150"/>
          <w:sz w:val="24"/>
          <w:highlight w:val="none"/>
        </w:rPr>
        <w:br w:type="page"/>
      </w:r>
      <w:r>
        <w:rPr>
          <w:rFonts w:hint="default" w:hAnsi="宋体"/>
          <w:b/>
          <w:bCs/>
          <w:color w:val="auto"/>
          <w:sz w:val="28"/>
          <w:szCs w:val="28"/>
          <w:highlight w:val="none"/>
        </w:rPr>
        <w:t>二、投标报价表（开标一览表）</w:t>
      </w:r>
    </w:p>
    <w:p>
      <w:pPr>
        <w:pStyle w:val="19"/>
        <w:jc w:val="center"/>
        <w:rPr>
          <w:rFonts w:hint="default" w:hAnsi="宋体"/>
          <w:b/>
          <w:bCs/>
          <w:color w:val="auto"/>
          <w:sz w:val="28"/>
          <w:szCs w:val="28"/>
          <w:highlight w:val="none"/>
        </w:rPr>
      </w:pPr>
    </w:p>
    <w:p>
      <w:pPr>
        <w:pStyle w:val="19"/>
        <w:jc w:val="center"/>
        <w:rPr>
          <w:rFonts w:hint="default" w:hAnsi="宋体"/>
          <w:b/>
          <w:bCs/>
          <w:color w:val="auto"/>
          <w:sz w:val="28"/>
          <w:szCs w:val="28"/>
          <w:highlight w:val="none"/>
        </w:rPr>
      </w:pPr>
      <w:r>
        <w:rPr>
          <w:rFonts w:hint="default" w:hAnsi="宋体"/>
          <w:b/>
          <w:bCs/>
          <w:color w:val="auto"/>
          <w:sz w:val="28"/>
          <w:szCs w:val="28"/>
          <w:highlight w:val="none"/>
        </w:rPr>
        <w:t>2-1  总报价表</w:t>
      </w:r>
    </w:p>
    <w:p>
      <w:pPr>
        <w:ind w:firstLine="141" w:firstLineChars="50"/>
        <w:jc w:val="left"/>
        <w:rPr>
          <w:rFonts w:ascii="宋体" w:hAnsi="宋体"/>
          <w:b/>
          <w:color w:val="auto"/>
          <w:sz w:val="28"/>
          <w:szCs w:val="28"/>
          <w:highlight w:val="none"/>
        </w:rPr>
      </w:pPr>
      <w:r>
        <w:rPr>
          <w:rFonts w:ascii="宋体" w:hAnsi="宋体"/>
          <w:b/>
          <w:color w:val="auto"/>
          <w:sz w:val="28"/>
          <w:szCs w:val="28"/>
          <w:highlight w:val="none"/>
        </w:rPr>
        <w:t>项目名称：</w:t>
      </w:r>
    </w:p>
    <w:p>
      <w:pPr>
        <w:ind w:firstLine="141" w:firstLineChars="50"/>
        <w:jc w:val="left"/>
        <w:rPr>
          <w:rFonts w:ascii="宋体" w:hAnsi="宋体"/>
          <w:b/>
          <w:color w:val="auto"/>
          <w:sz w:val="28"/>
          <w:szCs w:val="28"/>
          <w:highlight w:val="none"/>
        </w:rPr>
      </w:pPr>
      <w:r>
        <w:rPr>
          <w:rFonts w:ascii="宋体" w:hAnsi="宋体"/>
          <w:b/>
          <w:color w:val="auto"/>
          <w:sz w:val="28"/>
          <w:szCs w:val="28"/>
          <w:highlight w:val="none"/>
        </w:rPr>
        <w:t>项目编号：</w:t>
      </w:r>
    </w:p>
    <w:p>
      <w:pPr>
        <w:ind w:firstLine="141" w:firstLineChars="50"/>
        <w:jc w:val="left"/>
        <w:rPr>
          <w:rFonts w:ascii="宋体" w:hAnsi="宋体"/>
          <w:b/>
          <w:color w:val="auto"/>
          <w:sz w:val="28"/>
          <w:szCs w:val="28"/>
          <w:highlight w:val="none"/>
        </w:rPr>
      </w:pPr>
    </w:p>
    <w:p>
      <w:pPr>
        <w:ind w:firstLine="120" w:firstLineChars="50"/>
        <w:jc w:val="center"/>
        <w:rPr>
          <w:rFonts w:ascii="宋体" w:hAnsi="宋体"/>
          <w:color w:val="auto"/>
          <w:sz w:val="24"/>
          <w:highlight w:val="none"/>
        </w:rPr>
      </w:pPr>
      <w:r>
        <w:rPr>
          <w:rFonts w:ascii="宋体" w:hAnsi="宋体"/>
          <w:color w:val="auto"/>
          <w:sz w:val="24"/>
          <w:highlight w:val="none"/>
        </w:rPr>
        <w:t xml:space="preserve">                                价格单位：人民币元</w:t>
      </w:r>
    </w:p>
    <w:p>
      <w:pPr>
        <w:ind w:firstLine="120" w:firstLineChars="50"/>
        <w:jc w:val="center"/>
        <w:rPr>
          <w:rFonts w:ascii="宋体" w:hAnsi="宋体"/>
          <w:color w:val="auto"/>
          <w:sz w:val="24"/>
          <w:highlight w:val="none"/>
        </w:rPr>
      </w:pP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7579" w:type="dxa"/>
            <w:vAlign w:val="center"/>
          </w:tcPr>
          <w:p>
            <w:pPr>
              <w:snapToGrid w:val="0"/>
              <w:jc w:val="center"/>
              <w:rPr>
                <w:rFonts w:ascii="宋体" w:hAnsi="宋体"/>
                <w:color w:val="auto"/>
                <w:sz w:val="28"/>
                <w:szCs w:val="28"/>
                <w:highlight w:val="none"/>
              </w:rPr>
            </w:pPr>
            <w:r>
              <w:rPr>
                <w:rFonts w:ascii="宋体" w:hAnsi="宋体"/>
                <w:b/>
                <w:bCs/>
                <w:color w:val="auto"/>
                <w:sz w:val="28"/>
                <w:szCs w:val="28"/>
                <w:highlight w:val="none"/>
              </w:rPr>
              <w:t>投 标 报 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579" w:type="dxa"/>
            <w:vAlign w:val="center"/>
          </w:tcPr>
          <w:p>
            <w:pPr>
              <w:snapToGrid w:val="0"/>
              <w:spacing w:line="400" w:lineRule="exact"/>
              <w:rPr>
                <w:rFonts w:ascii="宋体" w:hAnsi="宋体"/>
                <w:color w:val="auto"/>
                <w:sz w:val="28"/>
                <w:szCs w:val="28"/>
                <w:highlight w:val="none"/>
              </w:rPr>
            </w:pPr>
            <w:r>
              <w:rPr>
                <w:rFonts w:ascii="宋体" w:hAnsi="宋体"/>
                <w:color w:val="auto"/>
                <w:sz w:val="28"/>
                <w:szCs w:val="28"/>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579" w:type="dxa"/>
            <w:vAlign w:val="center"/>
          </w:tcPr>
          <w:p>
            <w:pPr>
              <w:snapToGrid w:val="0"/>
              <w:spacing w:line="400" w:lineRule="exact"/>
              <w:rPr>
                <w:rFonts w:ascii="宋体" w:hAnsi="宋体"/>
                <w:color w:val="auto"/>
                <w:sz w:val="28"/>
                <w:szCs w:val="28"/>
                <w:highlight w:val="none"/>
              </w:rPr>
            </w:pPr>
            <w:r>
              <w:rPr>
                <w:rFonts w:ascii="宋体" w:hAnsi="宋体"/>
                <w:color w:val="auto"/>
                <w:sz w:val="28"/>
                <w:szCs w:val="28"/>
                <w:highlight w:val="none"/>
              </w:rPr>
              <w:t>小写：</w:t>
            </w:r>
          </w:p>
        </w:tc>
      </w:tr>
    </w:tbl>
    <w:p>
      <w:pPr>
        <w:topLinePunct/>
        <w:autoSpaceDE w:val="0"/>
        <w:autoSpaceDN w:val="0"/>
        <w:spacing w:line="320" w:lineRule="exact"/>
        <w:jc w:val="left"/>
        <w:rPr>
          <w:rFonts w:ascii="宋体" w:hAnsi="宋体"/>
          <w:color w:val="auto"/>
          <w:highlight w:val="none"/>
        </w:rPr>
      </w:pPr>
    </w:p>
    <w:p>
      <w:pPr>
        <w:topLinePunct/>
        <w:autoSpaceDE w:val="0"/>
        <w:autoSpaceDN w:val="0"/>
        <w:spacing w:line="320" w:lineRule="exact"/>
        <w:ind w:firstLine="525" w:firstLineChars="250"/>
        <w:jc w:val="left"/>
        <w:rPr>
          <w:rFonts w:ascii="宋体" w:hAnsi="宋体"/>
          <w:color w:val="auto"/>
          <w:highlight w:val="none"/>
        </w:rPr>
      </w:pPr>
      <w:r>
        <w:rPr>
          <w:rFonts w:ascii="宋体" w:hAnsi="宋体"/>
          <w:color w:val="auto"/>
          <w:highlight w:val="none"/>
        </w:rPr>
        <w:t>特别说明:</w:t>
      </w:r>
    </w:p>
    <w:p>
      <w:pPr>
        <w:topLinePunct/>
        <w:autoSpaceDE w:val="0"/>
        <w:autoSpaceDN w:val="0"/>
        <w:spacing w:line="320" w:lineRule="exact"/>
        <w:ind w:firstLine="525" w:firstLineChars="250"/>
        <w:jc w:val="left"/>
        <w:rPr>
          <w:rFonts w:ascii="宋体" w:hAnsi="宋体"/>
          <w:color w:val="auto"/>
          <w:highlight w:val="none"/>
        </w:rPr>
      </w:pPr>
      <w:r>
        <w:rPr>
          <w:rFonts w:ascii="宋体" w:hAnsi="宋体"/>
          <w:color w:val="auto"/>
          <w:highlight w:val="none"/>
        </w:rPr>
        <w:t>1.本项目总价及分项报价均不接受任何形式的赠送、“零”报价和折扣报价。</w:t>
      </w:r>
    </w:p>
    <w:p>
      <w:pPr>
        <w:topLinePunct/>
        <w:autoSpaceDE w:val="0"/>
        <w:autoSpaceDN w:val="0"/>
        <w:spacing w:line="320" w:lineRule="exact"/>
        <w:ind w:firstLine="525" w:firstLineChars="250"/>
        <w:jc w:val="left"/>
        <w:rPr>
          <w:rFonts w:ascii="宋体" w:hAnsi="宋体"/>
          <w:color w:val="auto"/>
          <w:highlight w:val="none"/>
        </w:rPr>
      </w:pPr>
      <w:r>
        <w:rPr>
          <w:rFonts w:ascii="宋体" w:hAnsi="宋体"/>
          <w:color w:val="auto"/>
          <w:highlight w:val="none"/>
        </w:rPr>
        <w:t>2.投标报价应包括招标文件中规定的投标人应承担的其他责任和义务等所需的全部费用，采购人不再另行支付其他任何费用。</w:t>
      </w:r>
    </w:p>
    <w:p>
      <w:pPr>
        <w:topLinePunct/>
        <w:autoSpaceDE w:val="0"/>
        <w:autoSpaceDN w:val="0"/>
        <w:spacing w:line="320" w:lineRule="exact"/>
        <w:ind w:firstLine="525" w:firstLineChars="250"/>
        <w:jc w:val="left"/>
        <w:rPr>
          <w:rFonts w:ascii="宋体" w:hAnsi="宋体"/>
          <w:color w:val="auto"/>
          <w:highlight w:val="none"/>
        </w:rPr>
      </w:pPr>
    </w:p>
    <w:p>
      <w:pPr>
        <w:adjustRightInd w:val="0"/>
        <w:snapToGrid w:val="0"/>
        <w:jc w:val="center"/>
        <w:rPr>
          <w:rFonts w:ascii="宋体" w:hAnsi="宋体"/>
          <w:b/>
          <w:bCs/>
          <w:color w:val="auto"/>
          <w:sz w:val="24"/>
          <w:highlight w:val="none"/>
        </w:rPr>
      </w:pPr>
    </w:p>
    <w:p>
      <w:pPr>
        <w:adjustRightInd w:val="0"/>
        <w:snapToGrid w:val="0"/>
        <w:jc w:val="center"/>
        <w:rPr>
          <w:rFonts w:ascii="宋体" w:hAnsi="宋体"/>
          <w:b/>
          <w:bCs/>
          <w:color w:val="auto"/>
          <w:sz w:val="28"/>
          <w:szCs w:val="28"/>
          <w:highlight w:val="none"/>
        </w:rPr>
      </w:pPr>
    </w:p>
    <w:p>
      <w:pPr>
        <w:adjustRightInd w:val="0"/>
        <w:snapToGrid w:val="0"/>
        <w:rPr>
          <w:rFonts w:ascii="宋体" w:hAnsi="宋体"/>
          <w:b/>
          <w:bCs/>
          <w:color w:val="auto"/>
          <w:sz w:val="28"/>
          <w:szCs w:val="28"/>
          <w:highlight w:val="none"/>
        </w:rPr>
      </w:pPr>
    </w:p>
    <w:p>
      <w:pPr>
        <w:adjustRightInd w:val="0"/>
        <w:snapToGrid w:val="0"/>
        <w:rPr>
          <w:rFonts w:ascii="宋体" w:hAnsi="宋体"/>
          <w:b/>
          <w:bCs/>
          <w:color w:val="auto"/>
          <w:sz w:val="28"/>
          <w:szCs w:val="28"/>
          <w:highlight w:val="none"/>
        </w:rPr>
      </w:pPr>
    </w:p>
    <w:p>
      <w:pPr>
        <w:tabs>
          <w:tab w:val="left" w:pos="1230"/>
        </w:tabs>
        <w:topLinePunct/>
        <w:autoSpaceDE w:val="0"/>
        <w:autoSpaceDN w:val="0"/>
        <w:snapToGrid w:val="0"/>
        <w:spacing w:line="480" w:lineRule="auto"/>
        <w:ind w:left="360"/>
        <w:rPr>
          <w:rFonts w:ascii="宋体" w:hAnsi="宋体"/>
          <w:color w:val="auto"/>
          <w:sz w:val="24"/>
          <w:highlight w:val="none"/>
        </w:rPr>
      </w:pPr>
      <w:r>
        <w:rPr>
          <w:rFonts w:ascii="宋体" w:hAnsi="宋体"/>
          <w:color w:val="auto"/>
          <w:sz w:val="24"/>
          <w:highlight w:val="none"/>
        </w:rPr>
        <w:t>投标人名称：</w:t>
      </w:r>
    </w:p>
    <w:p>
      <w:pPr>
        <w:tabs>
          <w:tab w:val="left" w:pos="1230"/>
        </w:tabs>
        <w:topLinePunct/>
        <w:autoSpaceDE w:val="0"/>
        <w:autoSpaceDN w:val="0"/>
        <w:snapToGrid w:val="0"/>
        <w:spacing w:line="480" w:lineRule="auto"/>
        <w:ind w:left="360"/>
        <w:rPr>
          <w:rFonts w:ascii="宋体" w:hAnsi="宋体"/>
          <w:color w:val="auto"/>
          <w:sz w:val="24"/>
          <w:highlight w:val="none"/>
          <w:u w:val="single"/>
        </w:rPr>
      </w:pPr>
      <w:r>
        <w:rPr>
          <w:rFonts w:ascii="宋体" w:hAnsi="宋体"/>
          <w:color w:val="auto"/>
          <w:sz w:val="24"/>
          <w:highlight w:val="none"/>
        </w:rPr>
        <w:t>投标人公章：</w:t>
      </w:r>
    </w:p>
    <w:p>
      <w:pPr>
        <w:tabs>
          <w:tab w:val="left" w:pos="1230"/>
        </w:tabs>
        <w:topLinePunct/>
        <w:autoSpaceDE w:val="0"/>
        <w:autoSpaceDN w:val="0"/>
        <w:snapToGrid w:val="0"/>
        <w:spacing w:line="480" w:lineRule="auto"/>
        <w:ind w:left="360"/>
        <w:rPr>
          <w:rFonts w:ascii="宋体" w:hAnsi="宋体"/>
          <w:color w:val="auto"/>
          <w:sz w:val="24"/>
          <w:highlight w:val="none"/>
          <w:u w:val="single"/>
        </w:rPr>
      </w:pPr>
      <w:r>
        <w:rPr>
          <w:rFonts w:ascii="宋体" w:hAnsi="宋体"/>
          <w:color w:val="auto"/>
          <w:sz w:val="24"/>
          <w:highlight w:val="none"/>
        </w:rPr>
        <w:t>法定代表人或被授权投标代表（签字或盖章）：</w:t>
      </w:r>
    </w:p>
    <w:p>
      <w:pPr>
        <w:pStyle w:val="19"/>
        <w:spacing w:line="480" w:lineRule="auto"/>
        <w:ind w:left="360"/>
        <w:rPr>
          <w:rFonts w:hint="default" w:hAnsi="宋体"/>
          <w:color w:val="auto"/>
          <w:sz w:val="24"/>
          <w:highlight w:val="none"/>
          <w:u w:val="single"/>
        </w:rPr>
      </w:pPr>
      <w:r>
        <w:rPr>
          <w:rFonts w:hint="default" w:hAnsi="宋体"/>
          <w:color w:val="auto"/>
          <w:sz w:val="24"/>
          <w:highlight w:val="none"/>
        </w:rPr>
        <w:t>日期：</w:t>
      </w:r>
    </w:p>
    <w:p>
      <w:pPr>
        <w:adjustRightInd w:val="0"/>
        <w:snapToGrid w:val="0"/>
        <w:jc w:val="center"/>
        <w:rPr>
          <w:rFonts w:ascii="宋体" w:hAnsi="宋体"/>
          <w:b/>
          <w:bCs/>
          <w:color w:val="auto"/>
          <w:sz w:val="28"/>
          <w:szCs w:val="28"/>
          <w:highlight w:val="none"/>
        </w:rPr>
      </w:pPr>
      <w:r>
        <w:rPr>
          <w:rFonts w:ascii="宋体" w:hAnsi="宋体"/>
          <w:b/>
          <w:bCs/>
          <w:color w:val="auto"/>
          <w:sz w:val="28"/>
          <w:szCs w:val="28"/>
          <w:highlight w:val="none"/>
        </w:rPr>
        <w:br w:type="page"/>
      </w:r>
    </w:p>
    <w:p>
      <w:pPr>
        <w:adjustRightInd w:val="0"/>
        <w:snapToGrid w:val="0"/>
        <w:jc w:val="center"/>
        <w:rPr>
          <w:rFonts w:ascii="宋体" w:hAnsi="宋体"/>
          <w:b/>
          <w:bCs/>
          <w:color w:val="auto"/>
          <w:sz w:val="28"/>
          <w:szCs w:val="28"/>
          <w:highlight w:val="none"/>
        </w:rPr>
      </w:pPr>
      <w:r>
        <w:rPr>
          <w:rFonts w:ascii="宋体" w:hAnsi="宋体"/>
          <w:b/>
          <w:bCs/>
          <w:color w:val="auto"/>
          <w:sz w:val="28"/>
          <w:szCs w:val="28"/>
          <w:highlight w:val="none"/>
        </w:rPr>
        <w:t>2-2  分项报价表</w:t>
      </w:r>
    </w:p>
    <w:p>
      <w:pPr>
        <w:pStyle w:val="19"/>
        <w:rPr>
          <w:rFonts w:hint="default" w:ascii="Times New Roman" w:hAnsi="Times New Roman" w:eastAsia="MingLiU_HKSCS"/>
          <w:color w:val="auto"/>
          <w:highlight w:val="none"/>
        </w:rPr>
      </w:pPr>
      <w:r>
        <w:rPr>
          <w:rFonts w:ascii="Times New Roman" w:hAnsi="Times New Roman"/>
          <w:color w:val="auto"/>
          <w:highlight w:val="none"/>
        </w:rPr>
        <w:t>项目名称：____________________</w:t>
      </w:r>
      <w:r>
        <w:rPr>
          <w:rFonts w:ascii="Times New Roman" w:hAnsi="Times New Roman"/>
          <w:color w:val="auto"/>
          <w:highlight w:val="none"/>
        </w:rPr>
        <w:tab/>
      </w:r>
      <w:r>
        <w:rPr>
          <w:rFonts w:ascii="Times New Roman" w:hAnsi="Times New Roman"/>
          <w:color w:val="auto"/>
          <w:highlight w:val="none"/>
        </w:rPr>
        <w:tab/>
      </w:r>
      <w:r>
        <w:rPr>
          <w:rFonts w:ascii="Times New Roman" w:hAnsi="Times New Roman"/>
          <w:color w:val="auto"/>
          <w:highlight w:val="none"/>
        </w:rPr>
        <w:tab/>
      </w:r>
      <w:r>
        <w:rPr>
          <w:rFonts w:ascii="Times New Roman" w:hAnsi="Times New Roman"/>
          <w:color w:val="auto"/>
          <w:highlight w:val="none"/>
        </w:rPr>
        <w:tab/>
      </w:r>
      <w:r>
        <w:rPr>
          <w:rFonts w:ascii="Times New Roman" w:hAnsi="Times New Roman"/>
          <w:color w:val="auto"/>
          <w:highlight w:val="none"/>
        </w:rPr>
        <w:tab/>
      </w:r>
      <w:r>
        <w:rPr>
          <w:rFonts w:ascii="Times New Roman" w:hAnsi="Times New Roman"/>
          <w:color w:val="auto"/>
          <w:highlight w:val="none"/>
        </w:rPr>
        <w:tab/>
      </w:r>
      <w:r>
        <w:rPr>
          <w:rFonts w:ascii="Times New Roman" w:hAnsi="Times New Roman"/>
          <w:color w:val="auto"/>
          <w:highlight w:val="none"/>
        </w:rPr>
        <w:tab/>
      </w:r>
      <w:r>
        <w:rPr>
          <w:rFonts w:ascii="Times New Roman" w:hAnsi="Times New Roman"/>
          <w:color w:val="auto"/>
          <w:highlight w:val="none"/>
        </w:rPr>
        <w:t>项目编号：</w:t>
      </w:r>
    </w:p>
    <w:p>
      <w:pPr>
        <w:pStyle w:val="19"/>
        <w:rPr>
          <w:rFonts w:hint="default" w:ascii="Times New Roman" w:hAnsi="Times New Roman"/>
          <w:color w:val="auto"/>
          <w:highlight w:val="none"/>
        </w:rPr>
      </w:pPr>
      <w:r>
        <w:rPr>
          <w:rFonts w:ascii="Times New Roman" w:hAnsi="Times New Roman"/>
          <w:color w:val="auto"/>
          <w:highlight w:val="none"/>
        </w:rPr>
        <w:t>包号：____________</w:t>
      </w:r>
      <w:r>
        <w:rPr>
          <w:rFonts w:ascii="Times New Roman" w:hAnsi="Times New Roman"/>
          <w:color w:val="auto"/>
          <w:highlight w:val="none"/>
        </w:rPr>
        <w:tab/>
      </w:r>
      <w:r>
        <w:rPr>
          <w:rFonts w:ascii="Times New Roman" w:hAnsi="Times New Roman"/>
          <w:color w:val="auto"/>
          <w:highlight w:val="none"/>
        </w:rPr>
        <w:tab/>
      </w:r>
      <w:r>
        <w:rPr>
          <w:rFonts w:ascii="Times New Roman" w:hAnsi="Times New Roman"/>
          <w:color w:val="auto"/>
          <w:highlight w:val="none"/>
        </w:rPr>
        <w:tab/>
      </w:r>
      <w:r>
        <w:rPr>
          <w:rFonts w:ascii="Times New Roman" w:hAnsi="Times New Roman"/>
          <w:color w:val="auto"/>
          <w:highlight w:val="none"/>
        </w:rPr>
        <w:tab/>
      </w:r>
      <w:r>
        <w:rPr>
          <w:rFonts w:ascii="Times New Roman" w:hAnsi="Times New Roman"/>
          <w:color w:val="auto"/>
          <w:highlight w:val="none"/>
        </w:rPr>
        <w:tab/>
      </w:r>
      <w:r>
        <w:rPr>
          <w:rFonts w:ascii="Times New Roman" w:hAnsi="Times New Roman"/>
          <w:color w:val="auto"/>
          <w:highlight w:val="none"/>
        </w:rPr>
        <w:tab/>
      </w:r>
      <w:r>
        <w:rPr>
          <w:rFonts w:ascii="Times New Roman" w:hAnsi="Times New Roman"/>
          <w:color w:val="auto"/>
          <w:highlight w:val="none"/>
        </w:rPr>
        <w:tab/>
      </w:r>
      <w:r>
        <w:rPr>
          <w:rFonts w:ascii="Times New Roman" w:hAnsi="Times New Roman"/>
          <w:color w:val="auto"/>
          <w:highlight w:val="none"/>
        </w:rPr>
        <w:tab/>
      </w:r>
      <w:r>
        <w:rPr>
          <w:rFonts w:ascii="Times New Roman" w:hAnsi="Times New Roman"/>
          <w:color w:val="auto"/>
          <w:highlight w:val="none"/>
        </w:rPr>
        <w:tab/>
      </w:r>
      <w:r>
        <w:rPr>
          <w:rFonts w:ascii="Times New Roman" w:hAnsi="Times New Roman"/>
          <w:color w:val="auto"/>
          <w:highlight w:val="none"/>
        </w:rPr>
        <w:tab/>
      </w:r>
      <w:r>
        <w:rPr>
          <w:rFonts w:ascii="Times New Roman" w:hAnsi="Times New Roman"/>
          <w:color w:val="auto"/>
          <w:highlight w:val="none"/>
        </w:rPr>
        <w:t>金额单位：元</w:t>
      </w:r>
    </w:p>
    <w:tbl>
      <w:tblPr>
        <w:tblStyle w:val="34"/>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862"/>
        <w:gridCol w:w="861"/>
        <w:gridCol w:w="862"/>
        <w:gridCol w:w="862"/>
        <w:gridCol w:w="478"/>
        <w:gridCol w:w="383"/>
        <w:gridCol w:w="862"/>
        <w:gridCol w:w="740"/>
        <w:gridCol w:w="708"/>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Align w:val="center"/>
          </w:tcPr>
          <w:p>
            <w:pPr>
              <w:pStyle w:val="19"/>
              <w:jc w:val="center"/>
              <w:rPr>
                <w:rFonts w:hint="default" w:ascii="Times New Roman" w:hAnsi="Times New Roman"/>
                <w:color w:val="auto"/>
                <w:kern w:val="2"/>
                <w:highlight w:val="none"/>
              </w:rPr>
            </w:pPr>
            <w:r>
              <w:rPr>
                <w:rFonts w:ascii="Times New Roman" w:hAnsi="Times New Roman"/>
                <w:color w:val="auto"/>
                <w:kern w:val="2"/>
                <w:highlight w:val="none"/>
              </w:rPr>
              <w:t>序号</w:t>
            </w:r>
          </w:p>
        </w:tc>
        <w:tc>
          <w:tcPr>
            <w:tcW w:w="862" w:type="dxa"/>
            <w:vAlign w:val="center"/>
          </w:tcPr>
          <w:p>
            <w:pPr>
              <w:pStyle w:val="19"/>
              <w:jc w:val="center"/>
              <w:rPr>
                <w:rFonts w:hint="default" w:ascii="Times New Roman" w:hAnsi="Times New Roman"/>
                <w:color w:val="auto"/>
                <w:kern w:val="2"/>
                <w:highlight w:val="none"/>
              </w:rPr>
            </w:pPr>
            <w:r>
              <w:rPr>
                <w:rFonts w:ascii="Times New Roman" w:hAnsi="Times New Roman"/>
                <w:color w:val="auto"/>
                <w:kern w:val="2"/>
                <w:highlight w:val="none"/>
              </w:rPr>
              <w:t>货物</w:t>
            </w:r>
          </w:p>
          <w:p>
            <w:pPr>
              <w:pStyle w:val="19"/>
              <w:jc w:val="center"/>
              <w:rPr>
                <w:rFonts w:hint="default" w:ascii="Times New Roman" w:hAnsi="Times New Roman" w:eastAsia="MingLiU_HKSCS"/>
                <w:color w:val="auto"/>
                <w:kern w:val="2"/>
                <w:highlight w:val="none"/>
              </w:rPr>
            </w:pPr>
            <w:r>
              <w:rPr>
                <w:rFonts w:ascii="Times New Roman" w:hAnsi="Times New Roman"/>
                <w:color w:val="auto"/>
                <w:kern w:val="2"/>
                <w:highlight w:val="none"/>
              </w:rPr>
              <w:t>名称</w:t>
            </w:r>
          </w:p>
        </w:tc>
        <w:tc>
          <w:tcPr>
            <w:tcW w:w="861" w:type="dxa"/>
            <w:vAlign w:val="center"/>
          </w:tcPr>
          <w:p>
            <w:pPr>
              <w:pStyle w:val="19"/>
              <w:jc w:val="center"/>
              <w:rPr>
                <w:rFonts w:hint="default" w:ascii="Times New Roman" w:hAnsi="Times New Roman"/>
                <w:color w:val="auto"/>
                <w:kern w:val="2"/>
                <w:highlight w:val="none"/>
              </w:rPr>
            </w:pPr>
            <w:r>
              <w:rPr>
                <w:rFonts w:ascii="Times New Roman" w:hAnsi="Times New Roman"/>
                <w:color w:val="auto"/>
                <w:kern w:val="2"/>
                <w:highlight w:val="none"/>
              </w:rPr>
              <w:t>品牌</w:t>
            </w:r>
          </w:p>
        </w:tc>
        <w:tc>
          <w:tcPr>
            <w:tcW w:w="862" w:type="dxa"/>
            <w:vAlign w:val="center"/>
          </w:tcPr>
          <w:p>
            <w:pPr>
              <w:pStyle w:val="19"/>
              <w:jc w:val="center"/>
              <w:rPr>
                <w:rFonts w:hint="default" w:ascii="Times New Roman" w:hAnsi="Times New Roman"/>
                <w:color w:val="auto"/>
                <w:kern w:val="2"/>
                <w:highlight w:val="none"/>
              </w:rPr>
            </w:pPr>
            <w:r>
              <w:rPr>
                <w:rFonts w:ascii="Times New Roman" w:hAnsi="Times New Roman"/>
                <w:color w:val="auto"/>
                <w:kern w:val="2"/>
                <w:highlight w:val="none"/>
              </w:rPr>
              <w:t>生产</w:t>
            </w:r>
          </w:p>
          <w:p>
            <w:pPr>
              <w:pStyle w:val="19"/>
              <w:jc w:val="center"/>
              <w:rPr>
                <w:rFonts w:hint="default" w:ascii="Times New Roman" w:hAnsi="Times New Roman" w:eastAsia="MingLiU_HKSCS"/>
                <w:color w:val="auto"/>
                <w:kern w:val="2"/>
                <w:highlight w:val="none"/>
              </w:rPr>
            </w:pPr>
            <w:r>
              <w:rPr>
                <w:rFonts w:ascii="Times New Roman" w:hAnsi="Times New Roman"/>
                <w:color w:val="auto"/>
                <w:kern w:val="2"/>
                <w:highlight w:val="none"/>
              </w:rPr>
              <w:t>厂家</w:t>
            </w:r>
          </w:p>
        </w:tc>
        <w:tc>
          <w:tcPr>
            <w:tcW w:w="862" w:type="dxa"/>
            <w:vAlign w:val="center"/>
          </w:tcPr>
          <w:p>
            <w:pPr>
              <w:pStyle w:val="19"/>
              <w:jc w:val="center"/>
              <w:rPr>
                <w:rFonts w:hint="default" w:ascii="Times New Roman" w:hAnsi="Times New Roman"/>
                <w:color w:val="auto"/>
                <w:kern w:val="2"/>
                <w:highlight w:val="none"/>
              </w:rPr>
            </w:pPr>
            <w:r>
              <w:rPr>
                <w:rFonts w:ascii="Times New Roman" w:hAnsi="Times New Roman"/>
                <w:color w:val="auto"/>
                <w:kern w:val="2"/>
                <w:highlight w:val="none"/>
              </w:rPr>
              <w:t>规格</w:t>
            </w:r>
          </w:p>
          <w:p>
            <w:pPr>
              <w:pStyle w:val="19"/>
              <w:jc w:val="center"/>
              <w:rPr>
                <w:rFonts w:hint="default" w:ascii="Times New Roman" w:hAnsi="Times New Roman" w:eastAsia="MingLiU_HKSCS"/>
                <w:color w:val="auto"/>
                <w:kern w:val="2"/>
                <w:highlight w:val="none"/>
              </w:rPr>
            </w:pPr>
            <w:r>
              <w:rPr>
                <w:rFonts w:ascii="Times New Roman" w:hAnsi="Times New Roman"/>
                <w:color w:val="auto"/>
                <w:kern w:val="2"/>
                <w:highlight w:val="none"/>
              </w:rPr>
              <w:t>型号</w:t>
            </w:r>
          </w:p>
        </w:tc>
        <w:tc>
          <w:tcPr>
            <w:tcW w:w="861" w:type="dxa"/>
            <w:gridSpan w:val="2"/>
            <w:vAlign w:val="center"/>
          </w:tcPr>
          <w:p>
            <w:pPr>
              <w:pStyle w:val="19"/>
              <w:jc w:val="center"/>
              <w:rPr>
                <w:rFonts w:hint="default" w:ascii="Times New Roman" w:hAnsi="Times New Roman"/>
                <w:color w:val="auto"/>
                <w:kern w:val="2"/>
                <w:highlight w:val="none"/>
              </w:rPr>
            </w:pPr>
            <w:r>
              <w:rPr>
                <w:rFonts w:ascii="Times New Roman" w:hAnsi="Times New Roman"/>
                <w:color w:val="auto"/>
                <w:kern w:val="2"/>
                <w:highlight w:val="none"/>
              </w:rPr>
              <w:t>单价</w:t>
            </w:r>
          </w:p>
        </w:tc>
        <w:tc>
          <w:tcPr>
            <w:tcW w:w="862" w:type="dxa"/>
            <w:vAlign w:val="center"/>
          </w:tcPr>
          <w:p>
            <w:pPr>
              <w:pStyle w:val="19"/>
              <w:jc w:val="center"/>
              <w:rPr>
                <w:rFonts w:hint="default" w:ascii="Times New Roman" w:hAnsi="Times New Roman"/>
                <w:color w:val="auto"/>
                <w:kern w:val="2"/>
                <w:highlight w:val="none"/>
              </w:rPr>
            </w:pPr>
            <w:r>
              <w:rPr>
                <w:rFonts w:ascii="Times New Roman" w:hAnsi="Times New Roman"/>
                <w:color w:val="auto"/>
                <w:kern w:val="2"/>
                <w:highlight w:val="none"/>
              </w:rPr>
              <w:t>数量</w:t>
            </w:r>
          </w:p>
        </w:tc>
        <w:tc>
          <w:tcPr>
            <w:tcW w:w="740" w:type="dxa"/>
            <w:vAlign w:val="center"/>
          </w:tcPr>
          <w:p>
            <w:pPr>
              <w:pStyle w:val="19"/>
              <w:jc w:val="center"/>
              <w:rPr>
                <w:rFonts w:hint="default" w:ascii="Times New Roman" w:hAnsi="Times New Roman"/>
                <w:color w:val="auto"/>
                <w:kern w:val="2"/>
                <w:highlight w:val="none"/>
              </w:rPr>
            </w:pPr>
            <w:r>
              <w:rPr>
                <w:rFonts w:ascii="Times New Roman" w:hAnsi="Times New Roman"/>
                <w:color w:val="auto"/>
                <w:kern w:val="2"/>
                <w:highlight w:val="none"/>
              </w:rPr>
              <w:t>合计</w:t>
            </w:r>
          </w:p>
        </w:tc>
        <w:tc>
          <w:tcPr>
            <w:tcW w:w="708" w:type="dxa"/>
            <w:vAlign w:val="center"/>
          </w:tcPr>
          <w:p>
            <w:pPr>
              <w:pStyle w:val="19"/>
              <w:jc w:val="center"/>
              <w:rPr>
                <w:rFonts w:hint="default" w:ascii="Times New Roman" w:hAnsi="Times New Roman"/>
                <w:color w:val="auto"/>
                <w:kern w:val="2"/>
                <w:highlight w:val="none"/>
              </w:rPr>
            </w:pPr>
            <w:r>
              <w:rPr>
                <w:rFonts w:ascii="Times New Roman" w:hAnsi="Times New Roman"/>
                <w:color w:val="auto"/>
                <w:kern w:val="2"/>
                <w:highlight w:val="none"/>
              </w:rPr>
              <w:t>中小</w:t>
            </w:r>
          </w:p>
          <w:p>
            <w:pPr>
              <w:pStyle w:val="19"/>
              <w:jc w:val="center"/>
              <w:rPr>
                <w:rFonts w:hint="default" w:ascii="Times New Roman" w:hAnsi="Times New Roman" w:eastAsia="MingLiU_HKSCS"/>
                <w:color w:val="auto"/>
                <w:kern w:val="2"/>
                <w:highlight w:val="none"/>
              </w:rPr>
            </w:pPr>
            <w:r>
              <w:rPr>
                <w:rFonts w:ascii="Times New Roman" w:hAnsi="Times New Roman"/>
                <w:color w:val="auto"/>
                <w:kern w:val="2"/>
                <w:highlight w:val="none"/>
              </w:rPr>
              <w:t>企业</w:t>
            </w:r>
          </w:p>
        </w:tc>
        <w:tc>
          <w:tcPr>
            <w:tcW w:w="1137" w:type="dxa"/>
            <w:vAlign w:val="center"/>
          </w:tcPr>
          <w:p>
            <w:pPr>
              <w:pStyle w:val="19"/>
              <w:jc w:val="center"/>
              <w:rPr>
                <w:rFonts w:hint="default" w:ascii="Times New Roman" w:hAnsi="Times New Roman"/>
                <w:color w:val="auto"/>
                <w:kern w:val="2"/>
                <w:highlight w:val="none"/>
              </w:rPr>
            </w:pPr>
            <w:r>
              <w:rPr>
                <w:rFonts w:ascii="Times New Roman" w:hAnsi="Times New Roman"/>
                <w:color w:val="auto"/>
                <w:kern w:val="2"/>
                <w:highlight w:val="none"/>
              </w:rPr>
              <w:t>政策功能</w:t>
            </w:r>
          </w:p>
          <w:p>
            <w:pPr>
              <w:pStyle w:val="19"/>
              <w:jc w:val="center"/>
              <w:rPr>
                <w:rFonts w:hint="default" w:ascii="Times New Roman" w:hAnsi="Times New Roman" w:eastAsia="MingLiU_HKSCS"/>
                <w:color w:val="auto"/>
                <w:kern w:val="2"/>
                <w:highlight w:val="none"/>
              </w:rPr>
            </w:pPr>
            <w:r>
              <w:rPr>
                <w:rFonts w:ascii="Times New Roman" w:hAnsi="Times New Roman"/>
                <w:color w:val="auto"/>
                <w:kern w:val="2"/>
                <w:highlight w:val="none"/>
              </w:rPr>
              <w:t>类型及编号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861" w:type="dxa"/>
            <w:vAlign w:val="center"/>
          </w:tcPr>
          <w:p>
            <w:pPr>
              <w:pStyle w:val="19"/>
              <w:jc w:val="center"/>
              <w:rPr>
                <w:rFonts w:hint="default" w:ascii="Times New Roman" w:hAnsi="Times New Roman"/>
                <w:color w:val="auto"/>
                <w:kern w:val="2"/>
                <w:highlight w:val="none"/>
              </w:rPr>
            </w:pPr>
            <w:r>
              <w:rPr>
                <w:rFonts w:ascii="Times New Roman" w:hAnsi="Times New Roman"/>
                <w:color w:val="auto"/>
                <w:kern w:val="2"/>
                <w:highlight w:val="none"/>
              </w:rPr>
              <w:t>1</w:t>
            </w:r>
          </w:p>
        </w:tc>
        <w:tc>
          <w:tcPr>
            <w:tcW w:w="862" w:type="dxa"/>
            <w:vAlign w:val="center"/>
          </w:tcPr>
          <w:p>
            <w:pPr>
              <w:pStyle w:val="19"/>
              <w:jc w:val="center"/>
              <w:rPr>
                <w:rFonts w:hint="default" w:ascii="Times New Roman" w:hAnsi="Times New Roman"/>
                <w:color w:val="auto"/>
                <w:kern w:val="2"/>
                <w:highlight w:val="none"/>
              </w:rPr>
            </w:pPr>
          </w:p>
        </w:tc>
        <w:tc>
          <w:tcPr>
            <w:tcW w:w="861" w:type="dxa"/>
            <w:vAlign w:val="center"/>
          </w:tcPr>
          <w:p>
            <w:pPr>
              <w:pStyle w:val="19"/>
              <w:jc w:val="center"/>
              <w:rPr>
                <w:rFonts w:hint="default" w:ascii="Times New Roman" w:hAnsi="Times New Roman"/>
                <w:color w:val="auto"/>
                <w:kern w:val="2"/>
                <w:highlight w:val="none"/>
              </w:rPr>
            </w:pPr>
          </w:p>
        </w:tc>
        <w:tc>
          <w:tcPr>
            <w:tcW w:w="862" w:type="dxa"/>
            <w:vAlign w:val="center"/>
          </w:tcPr>
          <w:p>
            <w:pPr>
              <w:pStyle w:val="19"/>
              <w:jc w:val="center"/>
              <w:rPr>
                <w:rFonts w:hint="default" w:ascii="Times New Roman" w:hAnsi="Times New Roman"/>
                <w:color w:val="auto"/>
                <w:kern w:val="2"/>
                <w:highlight w:val="none"/>
              </w:rPr>
            </w:pPr>
          </w:p>
        </w:tc>
        <w:tc>
          <w:tcPr>
            <w:tcW w:w="862" w:type="dxa"/>
            <w:vAlign w:val="center"/>
          </w:tcPr>
          <w:p>
            <w:pPr>
              <w:pStyle w:val="19"/>
              <w:jc w:val="center"/>
              <w:rPr>
                <w:rFonts w:hint="default" w:ascii="Times New Roman" w:hAnsi="Times New Roman"/>
                <w:color w:val="auto"/>
                <w:kern w:val="2"/>
                <w:highlight w:val="none"/>
              </w:rPr>
            </w:pPr>
          </w:p>
        </w:tc>
        <w:tc>
          <w:tcPr>
            <w:tcW w:w="861" w:type="dxa"/>
            <w:gridSpan w:val="2"/>
            <w:vAlign w:val="center"/>
          </w:tcPr>
          <w:p>
            <w:pPr>
              <w:pStyle w:val="19"/>
              <w:jc w:val="center"/>
              <w:rPr>
                <w:rFonts w:hint="default" w:ascii="Times New Roman" w:hAnsi="Times New Roman"/>
                <w:color w:val="auto"/>
                <w:kern w:val="2"/>
                <w:highlight w:val="none"/>
              </w:rPr>
            </w:pPr>
          </w:p>
        </w:tc>
        <w:tc>
          <w:tcPr>
            <w:tcW w:w="862" w:type="dxa"/>
            <w:vAlign w:val="center"/>
          </w:tcPr>
          <w:p>
            <w:pPr>
              <w:pStyle w:val="19"/>
              <w:jc w:val="center"/>
              <w:rPr>
                <w:rFonts w:hint="default" w:ascii="Times New Roman" w:hAnsi="Times New Roman"/>
                <w:color w:val="auto"/>
                <w:kern w:val="2"/>
                <w:highlight w:val="none"/>
              </w:rPr>
            </w:pPr>
          </w:p>
        </w:tc>
        <w:tc>
          <w:tcPr>
            <w:tcW w:w="740" w:type="dxa"/>
            <w:vAlign w:val="center"/>
          </w:tcPr>
          <w:p>
            <w:pPr>
              <w:pStyle w:val="19"/>
              <w:jc w:val="center"/>
              <w:rPr>
                <w:rFonts w:hint="default" w:ascii="Times New Roman" w:hAnsi="Times New Roman"/>
                <w:color w:val="auto"/>
                <w:kern w:val="2"/>
                <w:highlight w:val="none"/>
              </w:rPr>
            </w:pPr>
          </w:p>
        </w:tc>
        <w:tc>
          <w:tcPr>
            <w:tcW w:w="708" w:type="dxa"/>
            <w:vAlign w:val="center"/>
          </w:tcPr>
          <w:p>
            <w:pPr>
              <w:pStyle w:val="19"/>
              <w:jc w:val="center"/>
              <w:rPr>
                <w:rFonts w:hint="default" w:ascii="Times New Roman" w:hAnsi="Times New Roman"/>
                <w:color w:val="auto"/>
                <w:kern w:val="2"/>
                <w:highlight w:val="none"/>
              </w:rPr>
            </w:pPr>
          </w:p>
        </w:tc>
        <w:tc>
          <w:tcPr>
            <w:tcW w:w="1137" w:type="dxa"/>
            <w:vAlign w:val="center"/>
          </w:tcPr>
          <w:p>
            <w:pPr>
              <w:pStyle w:val="19"/>
              <w:jc w:val="center"/>
              <w:rPr>
                <w:rFonts w:hint="default" w:ascii="Times New Roman" w:hAnsi="Times New Roman" w:eastAsia="MingLiU_HKSCS"/>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3" w:type="dxa"/>
            <w:gridSpan w:val="2"/>
            <w:vAlign w:val="center"/>
          </w:tcPr>
          <w:p>
            <w:pPr>
              <w:pStyle w:val="19"/>
              <w:jc w:val="left"/>
              <w:rPr>
                <w:rFonts w:hint="default" w:ascii="Times New Roman" w:hAnsi="Times New Roman"/>
                <w:color w:val="auto"/>
                <w:kern w:val="2"/>
                <w:highlight w:val="none"/>
              </w:rPr>
            </w:pPr>
            <w:r>
              <w:rPr>
                <w:rFonts w:ascii="Times New Roman" w:hAnsi="Times New Roman"/>
                <w:color w:val="auto"/>
                <w:kern w:val="2"/>
                <w:highlight w:val="none"/>
              </w:rPr>
              <w:t>备品备件(包括专用工具等)</w:t>
            </w:r>
          </w:p>
        </w:tc>
        <w:tc>
          <w:tcPr>
            <w:tcW w:w="861" w:type="dxa"/>
            <w:vAlign w:val="center"/>
          </w:tcPr>
          <w:p>
            <w:pPr>
              <w:pStyle w:val="19"/>
              <w:jc w:val="center"/>
              <w:rPr>
                <w:rFonts w:hint="default" w:ascii="Times New Roman" w:hAnsi="Times New Roman"/>
                <w:color w:val="auto"/>
                <w:kern w:val="2"/>
                <w:highlight w:val="none"/>
              </w:rPr>
            </w:pPr>
          </w:p>
        </w:tc>
        <w:tc>
          <w:tcPr>
            <w:tcW w:w="862" w:type="dxa"/>
            <w:vAlign w:val="center"/>
          </w:tcPr>
          <w:p>
            <w:pPr>
              <w:pStyle w:val="19"/>
              <w:jc w:val="center"/>
              <w:rPr>
                <w:rFonts w:hint="default" w:ascii="Times New Roman" w:hAnsi="Times New Roman"/>
                <w:color w:val="auto"/>
                <w:kern w:val="2"/>
                <w:highlight w:val="none"/>
              </w:rPr>
            </w:pPr>
          </w:p>
        </w:tc>
        <w:tc>
          <w:tcPr>
            <w:tcW w:w="862" w:type="dxa"/>
            <w:vAlign w:val="center"/>
          </w:tcPr>
          <w:p>
            <w:pPr>
              <w:pStyle w:val="19"/>
              <w:jc w:val="center"/>
              <w:rPr>
                <w:rFonts w:hint="default" w:ascii="Times New Roman" w:hAnsi="Times New Roman"/>
                <w:color w:val="auto"/>
                <w:kern w:val="2"/>
                <w:highlight w:val="none"/>
              </w:rPr>
            </w:pPr>
          </w:p>
        </w:tc>
        <w:tc>
          <w:tcPr>
            <w:tcW w:w="861" w:type="dxa"/>
            <w:gridSpan w:val="2"/>
            <w:vAlign w:val="center"/>
          </w:tcPr>
          <w:p>
            <w:pPr>
              <w:pStyle w:val="19"/>
              <w:jc w:val="center"/>
              <w:rPr>
                <w:rFonts w:hint="default" w:ascii="Times New Roman" w:hAnsi="Times New Roman"/>
                <w:color w:val="auto"/>
                <w:kern w:val="2"/>
                <w:highlight w:val="none"/>
              </w:rPr>
            </w:pPr>
          </w:p>
        </w:tc>
        <w:tc>
          <w:tcPr>
            <w:tcW w:w="862" w:type="dxa"/>
            <w:vAlign w:val="center"/>
          </w:tcPr>
          <w:p>
            <w:pPr>
              <w:pStyle w:val="19"/>
              <w:jc w:val="center"/>
              <w:rPr>
                <w:rFonts w:hint="default" w:ascii="Times New Roman" w:hAnsi="Times New Roman"/>
                <w:color w:val="auto"/>
                <w:kern w:val="2"/>
                <w:highlight w:val="none"/>
              </w:rPr>
            </w:pPr>
          </w:p>
        </w:tc>
        <w:tc>
          <w:tcPr>
            <w:tcW w:w="740" w:type="dxa"/>
            <w:vAlign w:val="center"/>
          </w:tcPr>
          <w:p>
            <w:pPr>
              <w:pStyle w:val="19"/>
              <w:jc w:val="center"/>
              <w:rPr>
                <w:rFonts w:hint="default" w:ascii="Times New Roman" w:hAnsi="Times New Roman"/>
                <w:color w:val="auto"/>
                <w:kern w:val="2"/>
                <w:highlight w:val="none"/>
              </w:rPr>
            </w:pPr>
          </w:p>
        </w:tc>
        <w:tc>
          <w:tcPr>
            <w:tcW w:w="708" w:type="dxa"/>
            <w:vAlign w:val="center"/>
          </w:tcPr>
          <w:p>
            <w:pPr>
              <w:pStyle w:val="19"/>
              <w:jc w:val="center"/>
              <w:rPr>
                <w:rFonts w:hint="default" w:ascii="MingLiU_HKSCS" w:hAnsi="MingLiU_HKSCS" w:eastAsia="MingLiU_HKSCS" w:cs="MingLiU_HKSCS"/>
                <w:color w:val="auto"/>
                <w:kern w:val="2"/>
                <w:highlight w:val="none"/>
              </w:rPr>
            </w:pPr>
          </w:p>
        </w:tc>
        <w:tc>
          <w:tcPr>
            <w:tcW w:w="1137" w:type="dxa"/>
            <w:vAlign w:val="center"/>
          </w:tcPr>
          <w:p>
            <w:pPr>
              <w:pStyle w:val="19"/>
              <w:jc w:val="center"/>
              <w:rPr>
                <w:rFonts w:hint="default" w:ascii="MingLiU_HKSCS" w:hAnsi="MingLiU_HKSCS" w:eastAsia="MingLiU_HKSCS" w:cs="MingLiU_HKSCS"/>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3" w:type="dxa"/>
            <w:gridSpan w:val="2"/>
            <w:vAlign w:val="center"/>
          </w:tcPr>
          <w:p>
            <w:pPr>
              <w:pStyle w:val="19"/>
              <w:jc w:val="left"/>
              <w:rPr>
                <w:rFonts w:hint="default" w:ascii="Times New Roman" w:hAnsi="Times New Roman"/>
                <w:color w:val="auto"/>
                <w:kern w:val="2"/>
                <w:highlight w:val="none"/>
              </w:rPr>
            </w:pPr>
            <w:r>
              <w:rPr>
                <w:rFonts w:ascii="Times New Roman" w:hAnsi="Times New Roman"/>
                <w:color w:val="auto"/>
                <w:kern w:val="2"/>
                <w:highlight w:val="none"/>
              </w:rPr>
              <w:t>耗材</w:t>
            </w:r>
          </w:p>
        </w:tc>
        <w:tc>
          <w:tcPr>
            <w:tcW w:w="861" w:type="dxa"/>
            <w:vAlign w:val="center"/>
          </w:tcPr>
          <w:p>
            <w:pPr>
              <w:pStyle w:val="19"/>
              <w:jc w:val="center"/>
              <w:rPr>
                <w:rFonts w:hint="default" w:ascii="Times New Roman" w:hAnsi="Times New Roman"/>
                <w:color w:val="auto"/>
                <w:kern w:val="2"/>
                <w:highlight w:val="none"/>
              </w:rPr>
            </w:pPr>
          </w:p>
        </w:tc>
        <w:tc>
          <w:tcPr>
            <w:tcW w:w="862" w:type="dxa"/>
            <w:vAlign w:val="center"/>
          </w:tcPr>
          <w:p>
            <w:pPr>
              <w:pStyle w:val="19"/>
              <w:jc w:val="center"/>
              <w:rPr>
                <w:rFonts w:hint="default" w:ascii="Times New Roman" w:hAnsi="Times New Roman"/>
                <w:color w:val="auto"/>
                <w:kern w:val="2"/>
                <w:highlight w:val="none"/>
              </w:rPr>
            </w:pPr>
          </w:p>
        </w:tc>
        <w:tc>
          <w:tcPr>
            <w:tcW w:w="862" w:type="dxa"/>
            <w:vAlign w:val="center"/>
          </w:tcPr>
          <w:p>
            <w:pPr>
              <w:pStyle w:val="19"/>
              <w:jc w:val="center"/>
              <w:rPr>
                <w:rFonts w:hint="default" w:ascii="Times New Roman" w:hAnsi="Times New Roman"/>
                <w:color w:val="auto"/>
                <w:kern w:val="2"/>
                <w:highlight w:val="none"/>
              </w:rPr>
            </w:pPr>
          </w:p>
        </w:tc>
        <w:tc>
          <w:tcPr>
            <w:tcW w:w="861" w:type="dxa"/>
            <w:gridSpan w:val="2"/>
            <w:vAlign w:val="center"/>
          </w:tcPr>
          <w:p>
            <w:pPr>
              <w:pStyle w:val="19"/>
              <w:jc w:val="center"/>
              <w:rPr>
                <w:rFonts w:hint="default" w:ascii="Times New Roman" w:hAnsi="Times New Roman"/>
                <w:color w:val="auto"/>
                <w:kern w:val="2"/>
                <w:highlight w:val="none"/>
              </w:rPr>
            </w:pPr>
          </w:p>
        </w:tc>
        <w:tc>
          <w:tcPr>
            <w:tcW w:w="862" w:type="dxa"/>
            <w:vAlign w:val="center"/>
          </w:tcPr>
          <w:p>
            <w:pPr>
              <w:pStyle w:val="19"/>
              <w:jc w:val="center"/>
              <w:rPr>
                <w:rFonts w:hint="default" w:ascii="Times New Roman" w:hAnsi="Times New Roman"/>
                <w:color w:val="auto"/>
                <w:kern w:val="2"/>
                <w:highlight w:val="none"/>
              </w:rPr>
            </w:pPr>
          </w:p>
        </w:tc>
        <w:tc>
          <w:tcPr>
            <w:tcW w:w="740" w:type="dxa"/>
            <w:vAlign w:val="center"/>
          </w:tcPr>
          <w:p>
            <w:pPr>
              <w:pStyle w:val="19"/>
              <w:jc w:val="center"/>
              <w:rPr>
                <w:rFonts w:hint="default" w:ascii="Times New Roman" w:hAnsi="Times New Roman"/>
                <w:color w:val="auto"/>
                <w:kern w:val="2"/>
                <w:highlight w:val="none"/>
              </w:rPr>
            </w:pPr>
          </w:p>
        </w:tc>
        <w:tc>
          <w:tcPr>
            <w:tcW w:w="708" w:type="dxa"/>
            <w:vAlign w:val="center"/>
          </w:tcPr>
          <w:p>
            <w:pPr>
              <w:pStyle w:val="19"/>
              <w:jc w:val="center"/>
              <w:rPr>
                <w:rFonts w:hint="default" w:ascii="MingLiU_HKSCS" w:hAnsi="MingLiU_HKSCS" w:eastAsia="MingLiU_HKSCS" w:cs="MingLiU_HKSCS"/>
                <w:color w:val="auto"/>
                <w:kern w:val="2"/>
                <w:highlight w:val="none"/>
              </w:rPr>
            </w:pPr>
          </w:p>
        </w:tc>
        <w:tc>
          <w:tcPr>
            <w:tcW w:w="1137" w:type="dxa"/>
            <w:vAlign w:val="center"/>
          </w:tcPr>
          <w:p>
            <w:pPr>
              <w:pStyle w:val="19"/>
              <w:jc w:val="center"/>
              <w:rPr>
                <w:rFonts w:hint="default" w:ascii="MingLiU_HKSCS" w:hAnsi="MingLiU_HKSCS" w:eastAsia="MingLiU_HKSCS" w:cs="MingLiU_HKSCS"/>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3" w:type="dxa"/>
            <w:gridSpan w:val="2"/>
            <w:vAlign w:val="center"/>
          </w:tcPr>
          <w:p>
            <w:pPr>
              <w:pStyle w:val="19"/>
              <w:jc w:val="left"/>
              <w:rPr>
                <w:rFonts w:hint="default" w:ascii="MingLiU_HKSCS" w:hAnsi="MingLiU_HKSCS" w:eastAsia="MingLiU_HKSCS" w:cs="MingLiU_HKSCS"/>
                <w:color w:val="auto"/>
                <w:kern w:val="2"/>
                <w:highlight w:val="none"/>
              </w:rPr>
            </w:pPr>
            <w:r>
              <w:rPr>
                <w:rFonts w:ascii="Times New Roman" w:hAnsi="Times New Roman"/>
                <w:color w:val="auto"/>
                <w:kern w:val="2"/>
                <w:highlight w:val="none"/>
              </w:rPr>
              <w:t>货物费合计</w:t>
            </w:r>
          </w:p>
        </w:tc>
        <w:tc>
          <w:tcPr>
            <w:tcW w:w="6893" w:type="dxa"/>
            <w:gridSpan w:val="9"/>
            <w:vAlign w:val="center"/>
          </w:tcPr>
          <w:p>
            <w:pPr>
              <w:pStyle w:val="19"/>
              <w:jc w:val="center"/>
              <w:rPr>
                <w:rFonts w:hint="default" w:ascii="MingLiU_HKSCS" w:hAnsi="MingLiU_HKSCS" w:eastAsia="MingLiU_HKSCS" w:cs="MingLiU_HKSCS"/>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Merge w:val="restart"/>
            <w:vAlign w:val="center"/>
          </w:tcPr>
          <w:p>
            <w:pPr>
              <w:pStyle w:val="19"/>
              <w:jc w:val="center"/>
              <w:rPr>
                <w:rFonts w:hint="default" w:ascii="Times New Roman" w:hAnsi="Times New Roman" w:eastAsia="MingLiU_HKSCS"/>
                <w:color w:val="auto"/>
                <w:kern w:val="2"/>
                <w:highlight w:val="none"/>
              </w:rPr>
            </w:pPr>
            <w:r>
              <w:rPr>
                <w:rFonts w:ascii="Times New Roman" w:hAnsi="Times New Roman"/>
                <w:color w:val="auto"/>
                <w:kern w:val="2"/>
                <w:highlight w:val="none"/>
              </w:rPr>
              <w:t>包装</w:t>
            </w:r>
          </w:p>
          <w:p>
            <w:pPr>
              <w:pStyle w:val="19"/>
              <w:jc w:val="center"/>
              <w:rPr>
                <w:rFonts w:hint="default" w:ascii="Times New Roman" w:hAnsi="Times New Roman" w:eastAsia="MingLiU_HKSCS"/>
                <w:color w:val="auto"/>
                <w:kern w:val="2"/>
                <w:highlight w:val="none"/>
              </w:rPr>
            </w:pPr>
            <w:r>
              <w:rPr>
                <w:rFonts w:ascii="Times New Roman" w:hAnsi="Times New Roman"/>
                <w:color w:val="auto"/>
                <w:kern w:val="2"/>
                <w:highlight w:val="none"/>
              </w:rPr>
              <w:t>运输</w:t>
            </w:r>
          </w:p>
          <w:p>
            <w:pPr>
              <w:pStyle w:val="19"/>
              <w:jc w:val="center"/>
              <w:rPr>
                <w:rFonts w:hint="default" w:ascii="Times New Roman" w:hAnsi="Times New Roman" w:eastAsia="MingLiU_HKSCS"/>
                <w:color w:val="auto"/>
                <w:kern w:val="2"/>
                <w:highlight w:val="none"/>
              </w:rPr>
            </w:pPr>
            <w:r>
              <w:rPr>
                <w:rFonts w:ascii="Times New Roman" w:hAnsi="Times New Roman"/>
                <w:color w:val="auto"/>
                <w:kern w:val="2"/>
                <w:highlight w:val="none"/>
              </w:rPr>
              <w:t>费</w:t>
            </w:r>
          </w:p>
        </w:tc>
        <w:tc>
          <w:tcPr>
            <w:tcW w:w="1723" w:type="dxa"/>
            <w:gridSpan w:val="2"/>
            <w:vAlign w:val="center"/>
          </w:tcPr>
          <w:p>
            <w:pPr>
              <w:pStyle w:val="19"/>
              <w:jc w:val="center"/>
              <w:rPr>
                <w:rFonts w:hint="default" w:ascii="MingLiU_HKSCS" w:hAnsi="MingLiU_HKSCS" w:eastAsia="MingLiU_HKSCS" w:cs="MingLiU_HKSCS"/>
                <w:color w:val="auto"/>
                <w:kern w:val="2"/>
                <w:highlight w:val="none"/>
              </w:rPr>
            </w:pPr>
            <w:r>
              <w:rPr>
                <w:rFonts w:ascii="Times New Roman" w:hAnsi="Times New Roman"/>
                <w:color w:val="auto"/>
                <w:kern w:val="2"/>
                <w:highlight w:val="none"/>
              </w:rPr>
              <w:t>包装费</w:t>
            </w:r>
          </w:p>
        </w:tc>
        <w:tc>
          <w:tcPr>
            <w:tcW w:w="2202" w:type="dxa"/>
            <w:gridSpan w:val="3"/>
            <w:vAlign w:val="center"/>
          </w:tcPr>
          <w:p>
            <w:pPr>
              <w:pStyle w:val="19"/>
              <w:jc w:val="center"/>
              <w:rPr>
                <w:rFonts w:hint="default" w:ascii="MingLiU_HKSCS" w:hAnsi="MingLiU_HKSCS" w:eastAsia="MingLiU_HKSCS" w:cs="MingLiU_HKSCS"/>
                <w:color w:val="auto"/>
                <w:kern w:val="2"/>
                <w:highlight w:val="none"/>
              </w:rPr>
            </w:pPr>
          </w:p>
        </w:tc>
        <w:tc>
          <w:tcPr>
            <w:tcW w:w="1245" w:type="dxa"/>
            <w:gridSpan w:val="2"/>
            <w:vMerge w:val="restart"/>
            <w:vAlign w:val="center"/>
          </w:tcPr>
          <w:p>
            <w:pPr>
              <w:pStyle w:val="19"/>
              <w:jc w:val="center"/>
              <w:rPr>
                <w:rFonts w:hint="default" w:ascii="Times New Roman" w:hAnsi="Times New Roman" w:eastAsia="MingLiU_HKSCS"/>
                <w:color w:val="auto"/>
                <w:kern w:val="2"/>
                <w:highlight w:val="none"/>
              </w:rPr>
            </w:pPr>
            <w:r>
              <w:rPr>
                <w:rFonts w:ascii="Times New Roman" w:hAnsi="Times New Roman"/>
                <w:color w:val="auto"/>
                <w:kern w:val="2"/>
                <w:highlight w:val="none"/>
              </w:rPr>
              <w:t>安装</w:t>
            </w:r>
          </w:p>
          <w:p>
            <w:pPr>
              <w:pStyle w:val="19"/>
              <w:jc w:val="center"/>
              <w:rPr>
                <w:rFonts w:hint="default" w:ascii="Times New Roman" w:hAnsi="Times New Roman" w:eastAsia="MingLiU_HKSCS"/>
                <w:color w:val="auto"/>
                <w:kern w:val="2"/>
                <w:highlight w:val="none"/>
              </w:rPr>
            </w:pPr>
            <w:r>
              <w:rPr>
                <w:rFonts w:ascii="Times New Roman" w:hAnsi="Times New Roman"/>
                <w:color w:val="auto"/>
                <w:kern w:val="2"/>
                <w:highlight w:val="none"/>
              </w:rPr>
              <w:t>调试费</w:t>
            </w:r>
          </w:p>
        </w:tc>
        <w:tc>
          <w:tcPr>
            <w:tcW w:w="1448" w:type="dxa"/>
            <w:gridSpan w:val="2"/>
            <w:vAlign w:val="center"/>
          </w:tcPr>
          <w:p>
            <w:pPr>
              <w:pStyle w:val="19"/>
              <w:jc w:val="center"/>
              <w:rPr>
                <w:rFonts w:hint="default" w:ascii="MingLiU_HKSCS" w:hAnsi="MingLiU_HKSCS" w:eastAsia="MingLiU_HKSCS" w:cs="MingLiU_HKSCS"/>
                <w:color w:val="auto"/>
                <w:kern w:val="2"/>
                <w:highlight w:val="none"/>
              </w:rPr>
            </w:pPr>
            <w:r>
              <w:rPr>
                <w:rFonts w:ascii="Times New Roman" w:hAnsi="Times New Roman"/>
                <w:color w:val="auto"/>
                <w:kern w:val="2"/>
                <w:highlight w:val="none"/>
              </w:rPr>
              <w:t>安装费</w:t>
            </w:r>
          </w:p>
        </w:tc>
        <w:tc>
          <w:tcPr>
            <w:tcW w:w="1137" w:type="dxa"/>
            <w:vAlign w:val="center"/>
          </w:tcPr>
          <w:p>
            <w:pPr>
              <w:pStyle w:val="19"/>
              <w:jc w:val="center"/>
              <w:rPr>
                <w:rFonts w:hint="default" w:ascii="MingLiU_HKSCS" w:hAnsi="MingLiU_HKSCS" w:eastAsia="MingLiU_HKSCS" w:cs="MingLiU_HKSCS"/>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Merge w:val="continue"/>
            <w:vAlign w:val="center"/>
          </w:tcPr>
          <w:p>
            <w:pPr>
              <w:pStyle w:val="19"/>
              <w:jc w:val="center"/>
              <w:rPr>
                <w:rFonts w:hint="default" w:ascii="Times New Roman" w:hAnsi="Times New Roman" w:eastAsia="MingLiU_HKSCS"/>
                <w:color w:val="auto"/>
                <w:kern w:val="2"/>
                <w:highlight w:val="none"/>
              </w:rPr>
            </w:pPr>
          </w:p>
        </w:tc>
        <w:tc>
          <w:tcPr>
            <w:tcW w:w="1723" w:type="dxa"/>
            <w:gridSpan w:val="2"/>
            <w:vAlign w:val="center"/>
          </w:tcPr>
          <w:p>
            <w:pPr>
              <w:pStyle w:val="19"/>
              <w:jc w:val="center"/>
              <w:rPr>
                <w:rFonts w:hint="default" w:ascii="Times New Roman" w:hAnsi="Times New Roman" w:eastAsia="MingLiU_HKSCS"/>
                <w:color w:val="auto"/>
                <w:kern w:val="2"/>
                <w:highlight w:val="none"/>
              </w:rPr>
            </w:pPr>
            <w:r>
              <w:rPr>
                <w:rFonts w:ascii="Times New Roman" w:hAnsi="Times New Roman"/>
                <w:color w:val="auto"/>
                <w:kern w:val="2"/>
                <w:highlight w:val="none"/>
              </w:rPr>
              <w:t>运输费</w:t>
            </w:r>
          </w:p>
        </w:tc>
        <w:tc>
          <w:tcPr>
            <w:tcW w:w="2202" w:type="dxa"/>
            <w:gridSpan w:val="3"/>
            <w:vAlign w:val="center"/>
          </w:tcPr>
          <w:p>
            <w:pPr>
              <w:pStyle w:val="19"/>
              <w:jc w:val="center"/>
              <w:rPr>
                <w:rFonts w:hint="default" w:ascii="Times New Roman" w:hAnsi="Times New Roman" w:eastAsia="MingLiU_HKSCS"/>
                <w:color w:val="auto"/>
                <w:kern w:val="2"/>
                <w:highlight w:val="none"/>
              </w:rPr>
            </w:pPr>
          </w:p>
        </w:tc>
        <w:tc>
          <w:tcPr>
            <w:tcW w:w="1245" w:type="dxa"/>
            <w:gridSpan w:val="2"/>
            <w:vMerge w:val="continue"/>
            <w:vAlign w:val="center"/>
          </w:tcPr>
          <w:p>
            <w:pPr>
              <w:pStyle w:val="19"/>
              <w:jc w:val="center"/>
              <w:rPr>
                <w:rFonts w:hint="default" w:ascii="Times New Roman" w:hAnsi="Times New Roman"/>
                <w:color w:val="auto"/>
                <w:kern w:val="2"/>
                <w:highlight w:val="none"/>
              </w:rPr>
            </w:pPr>
          </w:p>
        </w:tc>
        <w:tc>
          <w:tcPr>
            <w:tcW w:w="1448" w:type="dxa"/>
            <w:gridSpan w:val="2"/>
            <w:vAlign w:val="center"/>
          </w:tcPr>
          <w:p>
            <w:pPr>
              <w:pStyle w:val="19"/>
              <w:jc w:val="center"/>
              <w:rPr>
                <w:rFonts w:hint="default" w:ascii="Times New Roman" w:hAnsi="Times New Roman" w:eastAsia="MingLiU_HKSCS"/>
                <w:color w:val="auto"/>
                <w:kern w:val="2"/>
                <w:highlight w:val="none"/>
              </w:rPr>
            </w:pPr>
            <w:r>
              <w:rPr>
                <w:rFonts w:ascii="Times New Roman" w:hAnsi="Times New Roman"/>
                <w:color w:val="auto"/>
                <w:kern w:val="2"/>
                <w:highlight w:val="none"/>
              </w:rPr>
              <w:t>调试费</w:t>
            </w:r>
          </w:p>
        </w:tc>
        <w:tc>
          <w:tcPr>
            <w:tcW w:w="1137" w:type="dxa"/>
            <w:vAlign w:val="center"/>
          </w:tcPr>
          <w:p>
            <w:pPr>
              <w:pStyle w:val="19"/>
              <w:jc w:val="center"/>
              <w:rPr>
                <w:rFonts w:hint="default" w:ascii="Times New Roman" w:hAnsi="Times New Roman" w:eastAsia="MingLiU_HKSCS"/>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Merge w:val="continue"/>
            <w:vAlign w:val="center"/>
          </w:tcPr>
          <w:p>
            <w:pPr>
              <w:pStyle w:val="19"/>
              <w:jc w:val="center"/>
              <w:rPr>
                <w:rFonts w:hint="default" w:ascii="Times New Roman" w:hAnsi="Times New Roman"/>
                <w:color w:val="auto"/>
                <w:kern w:val="2"/>
                <w:highlight w:val="none"/>
              </w:rPr>
            </w:pPr>
          </w:p>
        </w:tc>
        <w:tc>
          <w:tcPr>
            <w:tcW w:w="1723" w:type="dxa"/>
            <w:gridSpan w:val="2"/>
            <w:vAlign w:val="center"/>
          </w:tcPr>
          <w:p>
            <w:pPr>
              <w:pStyle w:val="19"/>
              <w:jc w:val="center"/>
              <w:rPr>
                <w:rFonts w:hint="default" w:ascii="Times New Roman" w:hAnsi="Times New Roman" w:eastAsia="MingLiU_HKSCS"/>
                <w:color w:val="auto"/>
                <w:kern w:val="2"/>
                <w:highlight w:val="none"/>
              </w:rPr>
            </w:pPr>
            <w:r>
              <w:rPr>
                <w:rFonts w:ascii="Times New Roman" w:hAnsi="Times New Roman"/>
                <w:color w:val="auto"/>
                <w:kern w:val="2"/>
                <w:highlight w:val="none"/>
              </w:rPr>
              <w:t>装卸费</w:t>
            </w:r>
          </w:p>
        </w:tc>
        <w:tc>
          <w:tcPr>
            <w:tcW w:w="2202" w:type="dxa"/>
            <w:gridSpan w:val="3"/>
            <w:vAlign w:val="center"/>
          </w:tcPr>
          <w:p>
            <w:pPr>
              <w:pStyle w:val="19"/>
              <w:jc w:val="center"/>
              <w:rPr>
                <w:rFonts w:hint="default" w:ascii="Times New Roman" w:hAnsi="Times New Roman" w:eastAsia="MingLiU_HKSCS"/>
                <w:color w:val="auto"/>
                <w:kern w:val="2"/>
                <w:highlight w:val="none"/>
              </w:rPr>
            </w:pPr>
          </w:p>
        </w:tc>
        <w:tc>
          <w:tcPr>
            <w:tcW w:w="1245" w:type="dxa"/>
            <w:gridSpan w:val="2"/>
            <w:vMerge w:val="continue"/>
            <w:vAlign w:val="center"/>
          </w:tcPr>
          <w:p>
            <w:pPr>
              <w:pStyle w:val="19"/>
              <w:jc w:val="center"/>
              <w:rPr>
                <w:rFonts w:hint="default" w:ascii="Times New Roman" w:hAnsi="Times New Roman" w:eastAsia="MingLiU_HKSCS"/>
                <w:color w:val="auto"/>
                <w:kern w:val="2"/>
                <w:highlight w:val="none"/>
              </w:rPr>
            </w:pPr>
          </w:p>
        </w:tc>
        <w:tc>
          <w:tcPr>
            <w:tcW w:w="1448" w:type="dxa"/>
            <w:gridSpan w:val="2"/>
            <w:vAlign w:val="center"/>
          </w:tcPr>
          <w:p>
            <w:pPr>
              <w:pStyle w:val="19"/>
              <w:jc w:val="center"/>
              <w:rPr>
                <w:rFonts w:hint="default" w:ascii="Times New Roman" w:hAnsi="Times New Roman" w:eastAsia="MingLiU_HKSCS"/>
                <w:color w:val="auto"/>
                <w:kern w:val="2"/>
                <w:highlight w:val="none"/>
              </w:rPr>
            </w:pPr>
            <w:r>
              <w:rPr>
                <w:rFonts w:hAnsi="宋体"/>
                <w:color w:val="auto"/>
                <w:kern w:val="2"/>
                <w:highlight w:val="none"/>
              </w:rPr>
              <w:t>…</w:t>
            </w:r>
          </w:p>
        </w:tc>
        <w:tc>
          <w:tcPr>
            <w:tcW w:w="1137" w:type="dxa"/>
            <w:vAlign w:val="center"/>
          </w:tcPr>
          <w:p>
            <w:pPr>
              <w:pStyle w:val="19"/>
              <w:jc w:val="center"/>
              <w:rPr>
                <w:rFonts w:hint="default" w:ascii="Times New Roman" w:hAnsi="Times New Roman" w:eastAsia="MingLiU_HKSCS"/>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Merge w:val="continue"/>
            <w:vAlign w:val="center"/>
          </w:tcPr>
          <w:p>
            <w:pPr>
              <w:pStyle w:val="19"/>
              <w:jc w:val="center"/>
              <w:rPr>
                <w:rFonts w:hint="default" w:ascii="Times New Roman" w:hAnsi="Times New Roman"/>
                <w:color w:val="auto"/>
                <w:kern w:val="2"/>
                <w:highlight w:val="none"/>
              </w:rPr>
            </w:pPr>
          </w:p>
        </w:tc>
        <w:tc>
          <w:tcPr>
            <w:tcW w:w="1723" w:type="dxa"/>
            <w:gridSpan w:val="2"/>
            <w:vAlign w:val="center"/>
          </w:tcPr>
          <w:p>
            <w:pPr>
              <w:pStyle w:val="19"/>
              <w:jc w:val="center"/>
              <w:rPr>
                <w:rFonts w:hint="default" w:ascii="MingLiU_HKSCS" w:hAnsi="MingLiU_HKSCS" w:eastAsia="MingLiU_HKSCS" w:cs="MingLiU_HKSCS"/>
                <w:color w:val="auto"/>
                <w:kern w:val="2"/>
                <w:highlight w:val="none"/>
              </w:rPr>
            </w:pPr>
            <w:r>
              <w:rPr>
                <w:rFonts w:ascii="Times New Roman" w:hAnsi="Times New Roman"/>
                <w:color w:val="auto"/>
                <w:kern w:val="2"/>
                <w:highlight w:val="none"/>
              </w:rPr>
              <w:t>保险费</w:t>
            </w:r>
          </w:p>
        </w:tc>
        <w:tc>
          <w:tcPr>
            <w:tcW w:w="2202" w:type="dxa"/>
            <w:gridSpan w:val="3"/>
            <w:vAlign w:val="center"/>
          </w:tcPr>
          <w:p>
            <w:pPr>
              <w:pStyle w:val="19"/>
              <w:jc w:val="center"/>
              <w:rPr>
                <w:rFonts w:hint="default" w:ascii="MingLiU_HKSCS" w:hAnsi="MingLiU_HKSCS" w:eastAsia="MingLiU_HKSCS" w:cs="MingLiU_HKSCS"/>
                <w:color w:val="auto"/>
                <w:kern w:val="2"/>
                <w:highlight w:val="none"/>
              </w:rPr>
            </w:pPr>
          </w:p>
        </w:tc>
        <w:tc>
          <w:tcPr>
            <w:tcW w:w="1245" w:type="dxa"/>
            <w:gridSpan w:val="2"/>
            <w:vMerge w:val="continue"/>
            <w:vAlign w:val="center"/>
          </w:tcPr>
          <w:p>
            <w:pPr>
              <w:pStyle w:val="19"/>
              <w:jc w:val="center"/>
              <w:rPr>
                <w:rFonts w:hint="default" w:ascii="MingLiU_HKSCS" w:hAnsi="MingLiU_HKSCS" w:eastAsia="MingLiU_HKSCS" w:cs="MingLiU_HKSCS"/>
                <w:color w:val="auto"/>
                <w:kern w:val="2"/>
                <w:highlight w:val="none"/>
              </w:rPr>
            </w:pPr>
          </w:p>
        </w:tc>
        <w:tc>
          <w:tcPr>
            <w:tcW w:w="1448" w:type="dxa"/>
            <w:gridSpan w:val="2"/>
            <w:vAlign w:val="center"/>
          </w:tcPr>
          <w:p>
            <w:pPr>
              <w:pStyle w:val="19"/>
              <w:jc w:val="center"/>
              <w:rPr>
                <w:rFonts w:hint="default" w:ascii="MingLiU_HKSCS" w:hAnsi="MingLiU_HKSCS" w:eastAsia="MingLiU_HKSCS" w:cs="MingLiU_HKSCS"/>
                <w:color w:val="auto"/>
                <w:kern w:val="2"/>
                <w:highlight w:val="none"/>
              </w:rPr>
            </w:pPr>
            <w:r>
              <w:rPr>
                <w:rFonts w:ascii="Times New Roman" w:hAnsi="Times New Roman"/>
                <w:color w:val="auto"/>
                <w:kern w:val="2"/>
                <w:highlight w:val="none"/>
              </w:rPr>
              <w:t>小计</w:t>
            </w:r>
          </w:p>
        </w:tc>
        <w:tc>
          <w:tcPr>
            <w:tcW w:w="1137" w:type="dxa"/>
            <w:vAlign w:val="center"/>
          </w:tcPr>
          <w:p>
            <w:pPr>
              <w:pStyle w:val="19"/>
              <w:jc w:val="center"/>
              <w:rPr>
                <w:rFonts w:hint="default" w:ascii="MingLiU_HKSCS" w:hAnsi="MingLiU_HKSCS" w:eastAsia="MingLiU_HKSCS" w:cs="MingLiU_HKSCS"/>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Merge w:val="continue"/>
            <w:vAlign w:val="center"/>
          </w:tcPr>
          <w:p>
            <w:pPr>
              <w:pStyle w:val="19"/>
              <w:jc w:val="center"/>
              <w:rPr>
                <w:rFonts w:hint="default" w:ascii="Times New Roman" w:hAnsi="Times New Roman" w:eastAsia="MingLiU_HKSCS"/>
                <w:color w:val="auto"/>
                <w:kern w:val="2"/>
                <w:highlight w:val="none"/>
              </w:rPr>
            </w:pPr>
          </w:p>
        </w:tc>
        <w:tc>
          <w:tcPr>
            <w:tcW w:w="1723" w:type="dxa"/>
            <w:gridSpan w:val="2"/>
            <w:vAlign w:val="center"/>
          </w:tcPr>
          <w:p>
            <w:pPr>
              <w:pStyle w:val="19"/>
              <w:jc w:val="center"/>
              <w:rPr>
                <w:rFonts w:hint="default" w:ascii="Times New Roman" w:hAnsi="Times New Roman" w:eastAsia="MingLiU_HKSCS"/>
                <w:color w:val="auto"/>
                <w:kern w:val="2"/>
                <w:highlight w:val="none"/>
              </w:rPr>
            </w:pPr>
            <w:r>
              <w:rPr>
                <w:rFonts w:hAnsi="宋体"/>
                <w:color w:val="auto"/>
                <w:kern w:val="2"/>
                <w:highlight w:val="none"/>
              </w:rPr>
              <w:t>…</w:t>
            </w:r>
          </w:p>
        </w:tc>
        <w:tc>
          <w:tcPr>
            <w:tcW w:w="2202" w:type="dxa"/>
            <w:gridSpan w:val="3"/>
            <w:vAlign w:val="center"/>
          </w:tcPr>
          <w:p>
            <w:pPr>
              <w:pStyle w:val="19"/>
              <w:jc w:val="center"/>
              <w:rPr>
                <w:rFonts w:hint="default" w:ascii="Times New Roman" w:hAnsi="Times New Roman" w:eastAsia="MingLiU_HKSCS"/>
                <w:color w:val="auto"/>
                <w:kern w:val="2"/>
                <w:highlight w:val="none"/>
              </w:rPr>
            </w:pPr>
          </w:p>
        </w:tc>
        <w:tc>
          <w:tcPr>
            <w:tcW w:w="1245" w:type="dxa"/>
            <w:gridSpan w:val="2"/>
            <w:vMerge w:val="restart"/>
            <w:vAlign w:val="center"/>
          </w:tcPr>
          <w:p>
            <w:pPr>
              <w:pStyle w:val="19"/>
              <w:jc w:val="center"/>
              <w:rPr>
                <w:rFonts w:hint="default" w:ascii="Times New Roman" w:hAnsi="Times New Roman" w:eastAsia="MingLiU_HKSCS"/>
                <w:color w:val="auto"/>
                <w:kern w:val="2"/>
                <w:highlight w:val="none"/>
              </w:rPr>
            </w:pPr>
            <w:r>
              <w:rPr>
                <w:rFonts w:ascii="Times New Roman" w:hAnsi="Times New Roman"/>
                <w:color w:val="auto"/>
                <w:kern w:val="2"/>
                <w:highlight w:val="none"/>
              </w:rPr>
              <w:t>售后</w:t>
            </w:r>
          </w:p>
          <w:p>
            <w:pPr>
              <w:pStyle w:val="19"/>
              <w:jc w:val="center"/>
              <w:rPr>
                <w:rFonts w:hint="default" w:ascii="Times New Roman" w:hAnsi="Times New Roman" w:eastAsia="MingLiU_HKSCS"/>
                <w:color w:val="auto"/>
                <w:kern w:val="2"/>
                <w:highlight w:val="none"/>
              </w:rPr>
            </w:pPr>
            <w:r>
              <w:rPr>
                <w:rFonts w:ascii="Times New Roman" w:hAnsi="Times New Roman"/>
                <w:color w:val="auto"/>
                <w:kern w:val="2"/>
                <w:highlight w:val="none"/>
              </w:rPr>
              <w:t>服务费</w:t>
            </w:r>
          </w:p>
        </w:tc>
        <w:tc>
          <w:tcPr>
            <w:tcW w:w="1448" w:type="dxa"/>
            <w:gridSpan w:val="2"/>
            <w:vAlign w:val="center"/>
          </w:tcPr>
          <w:p>
            <w:pPr>
              <w:pStyle w:val="19"/>
              <w:jc w:val="center"/>
              <w:rPr>
                <w:rFonts w:hint="default" w:ascii="Times New Roman" w:hAnsi="Times New Roman" w:eastAsia="MingLiU_HKSCS"/>
                <w:color w:val="auto"/>
                <w:kern w:val="2"/>
                <w:highlight w:val="none"/>
              </w:rPr>
            </w:pPr>
            <w:r>
              <w:rPr>
                <w:rFonts w:ascii="Times New Roman" w:hAnsi="Times New Roman"/>
                <w:color w:val="auto"/>
                <w:kern w:val="2"/>
                <w:highlight w:val="none"/>
              </w:rPr>
              <w:t>培训费</w:t>
            </w:r>
          </w:p>
        </w:tc>
        <w:tc>
          <w:tcPr>
            <w:tcW w:w="1137" w:type="dxa"/>
            <w:vAlign w:val="center"/>
          </w:tcPr>
          <w:p>
            <w:pPr>
              <w:pStyle w:val="19"/>
              <w:jc w:val="center"/>
              <w:rPr>
                <w:rFonts w:hint="default" w:ascii="Times New Roman" w:hAnsi="Times New Roman" w:eastAsia="MingLiU_HKSCS"/>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Merge w:val="continue"/>
            <w:vAlign w:val="center"/>
          </w:tcPr>
          <w:p>
            <w:pPr>
              <w:pStyle w:val="19"/>
              <w:jc w:val="center"/>
              <w:rPr>
                <w:rFonts w:hint="default" w:ascii="Times New Roman" w:hAnsi="Times New Roman" w:eastAsia="MingLiU_HKSCS"/>
                <w:color w:val="auto"/>
                <w:kern w:val="2"/>
                <w:highlight w:val="none"/>
              </w:rPr>
            </w:pPr>
          </w:p>
        </w:tc>
        <w:tc>
          <w:tcPr>
            <w:tcW w:w="1723" w:type="dxa"/>
            <w:gridSpan w:val="2"/>
            <w:vAlign w:val="center"/>
          </w:tcPr>
          <w:p>
            <w:pPr>
              <w:pStyle w:val="19"/>
              <w:jc w:val="center"/>
              <w:rPr>
                <w:rFonts w:hint="default" w:ascii="Times New Roman" w:hAnsi="Times New Roman" w:eastAsia="MingLiU_HKSCS"/>
                <w:color w:val="auto"/>
                <w:kern w:val="2"/>
                <w:highlight w:val="none"/>
              </w:rPr>
            </w:pPr>
            <w:r>
              <w:rPr>
                <w:rFonts w:ascii="Times New Roman" w:hAnsi="Times New Roman"/>
                <w:color w:val="auto"/>
                <w:kern w:val="2"/>
                <w:highlight w:val="none"/>
              </w:rPr>
              <w:t>小计</w:t>
            </w:r>
          </w:p>
        </w:tc>
        <w:tc>
          <w:tcPr>
            <w:tcW w:w="2202" w:type="dxa"/>
            <w:gridSpan w:val="3"/>
            <w:vAlign w:val="center"/>
          </w:tcPr>
          <w:p>
            <w:pPr>
              <w:pStyle w:val="19"/>
              <w:jc w:val="center"/>
              <w:rPr>
                <w:rFonts w:hint="default" w:ascii="Times New Roman" w:hAnsi="Times New Roman" w:eastAsia="MingLiU_HKSCS"/>
                <w:color w:val="auto"/>
                <w:kern w:val="2"/>
                <w:highlight w:val="none"/>
              </w:rPr>
            </w:pPr>
          </w:p>
        </w:tc>
        <w:tc>
          <w:tcPr>
            <w:tcW w:w="1245" w:type="dxa"/>
            <w:gridSpan w:val="2"/>
            <w:vMerge w:val="continue"/>
            <w:vAlign w:val="center"/>
          </w:tcPr>
          <w:p>
            <w:pPr>
              <w:pStyle w:val="19"/>
              <w:jc w:val="center"/>
              <w:rPr>
                <w:rFonts w:hint="default" w:ascii="Times New Roman" w:hAnsi="Times New Roman" w:eastAsia="MingLiU_HKSCS"/>
                <w:color w:val="auto"/>
                <w:kern w:val="2"/>
                <w:highlight w:val="none"/>
              </w:rPr>
            </w:pPr>
          </w:p>
        </w:tc>
        <w:tc>
          <w:tcPr>
            <w:tcW w:w="1448" w:type="dxa"/>
            <w:gridSpan w:val="2"/>
            <w:vAlign w:val="center"/>
          </w:tcPr>
          <w:p>
            <w:pPr>
              <w:pStyle w:val="19"/>
              <w:jc w:val="center"/>
              <w:rPr>
                <w:rFonts w:hint="default" w:ascii="Times New Roman" w:hAnsi="Times New Roman" w:eastAsia="MingLiU_HKSCS"/>
                <w:color w:val="auto"/>
                <w:kern w:val="2"/>
                <w:highlight w:val="none"/>
              </w:rPr>
            </w:pPr>
            <w:r>
              <w:rPr>
                <w:rFonts w:ascii="Times New Roman" w:hAnsi="Times New Roman"/>
                <w:color w:val="auto"/>
                <w:kern w:val="2"/>
                <w:highlight w:val="none"/>
              </w:rPr>
              <w:t>技术服务费</w:t>
            </w:r>
          </w:p>
        </w:tc>
        <w:tc>
          <w:tcPr>
            <w:tcW w:w="1137" w:type="dxa"/>
            <w:vAlign w:val="center"/>
          </w:tcPr>
          <w:p>
            <w:pPr>
              <w:pStyle w:val="19"/>
              <w:jc w:val="center"/>
              <w:rPr>
                <w:rFonts w:hint="default" w:ascii="Times New Roman" w:hAnsi="Times New Roman" w:eastAsia="MingLiU_HKSCS"/>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Merge w:val="restart"/>
            <w:vAlign w:val="center"/>
          </w:tcPr>
          <w:p>
            <w:pPr>
              <w:pStyle w:val="19"/>
              <w:jc w:val="center"/>
              <w:rPr>
                <w:rFonts w:hint="default" w:ascii="Times New Roman" w:hAnsi="Times New Roman" w:eastAsia="MingLiU_HKSCS"/>
                <w:color w:val="auto"/>
                <w:kern w:val="2"/>
                <w:highlight w:val="none"/>
              </w:rPr>
            </w:pPr>
            <w:r>
              <w:rPr>
                <w:rFonts w:ascii="Times New Roman" w:hAnsi="Times New Roman"/>
                <w:color w:val="auto"/>
                <w:kern w:val="2"/>
                <w:highlight w:val="none"/>
              </w:rPr>
              <w:t>其他</w:t>
            </w:r>
          </w:p>
          <w:p>
            <w:pPr>
              <w:pStyle w:val="19"/>
              <w:jc w:val="center"/>
              <w:rPr>
                <w:rFonts w:hint="default" w:ascii="Times New Roman" w:hAnsi="Times New Roman" w:eastAsia="MingLiU_HKSCS"/>
                <w:color w:val="auto"/>
                <w:kern w:val="2"/>
                <w:highlight w:val="none"/>
              </w:rPr>
            </w:pPr>
            <w:r>
              <w:rPr>
                <w:rFonts w:ascii="Times New Roman" w:hAnsi="Times New Roman"/>
                <w:color w:val="auto"/>
                <w:kern w:val="2"/>
                <w:highlight w:val="none"/>
              </w:rPr>
              <w:t>费用</w:t>
            </w:r>
          </w:p>
        </w:tc>
        <w:tc>
          <w:tcPr>
            <w:tcW w:w="1723" w:type="dxa"/>
            <w:gridSpan w:val="2"/>
            <w:vAlign w:val="center"/>
          </w:tcPr>
          <w:p>
            <w:pPr>
              <w:pStyle w:val="19"/>
              <w:jc w:val="center"/>
              <w:rPr>
                <w:rFonts w:hint="default" w:ascii="Times New Roman" w:hAnsi="Times New Roman" w:eastAsia="MingLiU_HKSCS"/>
                <w:color w:val="auto"/>
                <w:kern w:val="2"/>
                <w:highlight w:val="none"/>
              </w:rPr>
            </w:pPr>
          </w:p>
        </w:tc>
        <w:tc>
          <w:tcPr>
            <w:tcW w:w="2202" w:type="dxa"/>
            <w:gridSpan w:val="3"/>
            <w:vAlign w:val="center"/>
          </w:tcPr>
          <w:p>
            <w:pPr>
              <w:pStyle w:val="19"/>
              <w:jc w:val="center"/>
              <w:rPr>
                <w:rFonts w:hint="default" w:ascii="Times New Roman" w:hAnsi="Times New Roman" w:eastAsia="MingLiU_HKSCS"/>
                <w:color w:val="auto"/>
                <w:kern w:val="2"/>
                <w:highlight w:val="none"/>
              </w:rPr>
            </w:pPr>
          </w:p>
        </w:tc>
        <w:tc>
          <w:tcPr>
            <w:tcW w:w="1245" w:type="dxa"/>
            <w:gridSpan w:val="2"/>
            <w:vMerge w:val="continue"/>
            <w:vAlign w:val="center"/>
          </w:tcPr>
          <w:p>
            <w:pPr>
              <w:pStyle w:val="19"/>
              <w:jc w:val="center"/>
              <w:rPr>
                <w:rFonts w:hint="default" w:ascii="Times New Roman" w:hAnsi="Times New Roman" w:eastAsia="MingLiU_HKSCS"/>
                <w:color w:val="auto"/>
                <w:kern w:val="2"/>
                <w:highlight w:val="none"/>
              </w:rPr>
            </w:pPr>
          </w:p>
        </w:tc>
        <w:tc>
          <w:tcPr>
            <w:tcW w:w="1448" w:type="dxa"/>
            <w:gridSpan w:val="2"/>
            <w:vAlign w:val="center"/>
          </w:tcPr>
          <w:p>
            <w:pPr>
              <w:pStyle w:val="19"/>
              <w:jc w:val="center"/>
              <w:rPr>
                <w:rFonts w:hint="default" w:ascii="Times New Roman" w:hAnsi="Times New Roman" w:eastAsia="MingLiU_HKSCS"/>
                <w:color w:val="auto"/>
                <w:kern w:val="2"/>
                <w:highlight w:val="none"/>
              </w:rPr>
            </w:pPr>
            <w:r>
              <w:rPr>
                <w:rFonts w:hAnsi="宋体"/>
                <w:color w:val="auto"/>
                <w:kern w:val="2"/>
                <w:highlight w:val="none"/>
              </w:rPr>
              <w:t>…</w:t>
            </w:r>
          </w:p>
        </w:tc>
        <w:tc>
          <w:tcPr>
            <w:tcW w:w="1137" w:type="dxa"/>
            <w:vAlign w:val="center"/>
          </w:tcPr>
          <w:p>
            <w:pPr>
              <w:pStyle w:val="19"/>
              <w:jc w:val="center"/>
              <w:rPr>
                <w:rFonts w:hint="default" w:ascii="Times New Roman" w:hAnsi="Times New Roman" w:eastAsia="MingLiU_HKSCS"/>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Merge w:val="continue"/>
            <w:vAlign w:val="center"/>
          </w:tcPr>
          <w:p>
            <w:pPr>
              <w:pStyle w:val="19"/>
              <w:jc w:val="center"/>
              <w:rPr>
                <w:rFonts w:hint="default" w:ascii="Times New Roman" w:hAnsi="Times New Roman"/>
                <w:color w:val="auto"/>
                <w:kern w:val="2"/>
                <w:highlight w:val="none"/>
              </w:rPr>
            </w:pPr>
          </w:p>
        </w:tc>
        <w:tc>
          <w:tcPr>
            <w:tcW w:w="1723" w:type="dxa"/>
            <w:gridSpan w:val="2"/>
            <w:vAlign w:val="center"/>
          </w:tcPr>
          <w:p>
            <w:pPr>
              <w:pStyle w:val="19"/>
              <w:jc w:val="center"/>
              <w:rPr>
                <w:rFonts w:hint="default" w:ascii="Times New Roman" w:hAnsi="Times New Roman" w:eastAsia="MingLiU_HKSCS"/>
                <w:color w:val="auto"/>
                <w:kern w:val="2"/>
                <w:highlight w:val="none"/>
              </w:rPr>
            </w:pPr>
            <w:r>
              <w:rPr>
                <w:rFonts w:hAnsi="宋体"/>
                <w:color w:val="auto"/>
                <w:kern w:val="2"/>
                <w:highlight w:val="none"/>
              </w:rPr>
              <w:t>…</w:t>
            </w:r>
          </w:p>
        </w:tc>
        <w:tc>
          <w:tcPr>
            <w:tcW w:w="2202" w:type="dxa"/>
            <w:gridSpan w:val="3"/>
            <w:vAlign w:val="center"/>
          </w:tcPr>
          <w:p>
            <w:pPr>
              <w:pStyle w:val="19"/>
              <w:jc w:val="center"/>
              <w:rPr>
                <w:rFonts w:hint="default" w:ascii="Times New Roman" w:hAnsi="Times New Roman" w:eastAsia="MingLiU_HKSCS"/>
                <w:color w:val="auto"/>
                <w:kern w:val="2"/>
                <w:highlight w:val="none"/>
              </w:rPr>
            </w:pPr>
          </w:p>
        </w:tc>
        <w:tc>
          <w:tcPr>
            <w:tcW w:w="1245" w:type="dxa"/>
            <w:gridSpan w:val="2"/>
            <w:vMerge w:val="continue"/>
            <w:vAlign w:val="center"/>
          </w:tcPr>
          <w:p>
            <w:pPr>
              <w:pStyle w:val="19"/>
              <w:jc w:val="center"/>
              <w:rPr>
                <w:rFonts w:hint="default" w:ascii="Times New Roman" w:hAnsi="Times New Roman" w:eastAsia="MingLiU_HKSCS"/>
                <w:color w:val="auto"/>
                <w:kern w:val="2"/>
                <w:highlight w:val="none"/>
              </w:rPr>
            </w:pPr>
          </w:p>
        </w:tc>
        <w:tc>
          <w:tcPr>
            <w:tcW w:w="1448" w:type="dxa"/>
            <w:gridSpan w:val="2"/>
            <w:vAlign w:val="center"/>
          </w:tcPr>
          <w:p>
            <w:pPr>
              <w:pStyle w:val="19"/>
              <w:jc w:val="center"/>
              <w:rPr>
                <w:rFonts w:hint="default" w:ascii="Times New Roman" w:hAnsi="Times New Roman" w:eastAsia="MingLiU_HKSCS"/>
                <w:color w:val="auto"/>
                <w:kern w:val="2"/>
                <w:highlight w:val="none"/>
              </w:rPr>
            </w:pPr>
          </w:p>
        </w:tc>
        <w:tc>
          <w:tcPr>
            <w:tcW w:w="1137" w:type="dxa"/>
            <w:vAlign w:val="center"/>
          </w:tcPr>
          <w:p>
            <w:pPr>
              <w:pStyle w:val="19"/>
              <w:jc w:val="center"/>
              <w:rPr>
                <w:rFonts w:hint="default" w:ascii="Times New Roman" w:hAnsi="Times New Roman" w:eastAsia="MingLiU_HKSCS"/>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Merge w:val="continue"/>
            <w:vAlign w:val="center"/>
          </w:tcPr>
          <w:p>
            <w:pPr>
              <w:pStyle w:val="19"/>
              <w:jc w:val="center"/>
              <w:rPr>
                <w:rFonts w:hint="default" w:ascii="Times New Roman" w:hAnsi="Times New Roman" w:eastAsia="MingLiU_HKSCS"/>
                <w:color w:val="auto"/>
                <w:kern w:val="2"/>
                <w:highlight w:val="none"/>
              </w:rPr>
            </w:pPr>
          </w:p>
        </w:tc>
        <w:tc>
          <w:tcPr>
            <w:tcW w:w="1723" w:type="dxa"/>
            <w:gridSpan w:val="2"/>
            <w:vAlign w:val="center"/>
          </w:tcPr>
          <w:p>
            <w:pPr>
              <w:pStyle w:val="19"/>
              <w:jc w:val="center"/>
              <w:rPr>
                <w:rFonts w:hint="default" w:ascii="Times New Roman" w:hAnsi="Times New Roman" w:eastAsia="MingLiU_HKSCS"/>
                <w:color w:val="auto"/>
                <w:kern w:val="2"/>
                <w:highlight w:val="none"/>
              </w:rPr>
            </w:pPr>
            <w:r>
              <w:rPr>
                <w:rFonts w:ascii="Times New Roman" w:hAnsi="Times New Roman"/>
                <w:color w:val="auto"/>
                <w:kern w:val="2"/>
                <w:highlight w:val="none"/>
              </w:rPr>
              <w:t>小计</w:t>
            </w:r>
          </w:p>
        </w:tc>
        <w:tc>
          <w:tcPr>
            <w:tcW w:w="2202" w:type="dxa"/>
            <w:gridSpan w:val="3"/>
            <w:vAlign w:val="center"/>
          </w:tcPr>
          <w:p>
            <w:pPr>
              <w:pStyle w:val="19"/>
              <w:jc w:val="center"/>
              <w:rPr>
                <w:rFonts w:hint="default" w:ascii="Times New Roman" w:hAnsi="Times New Roman" w:eastAsia="MingLiU_HKSCS"/>
                <w:color w:val="auto"/>
                <w:kern w:val="2"/>
                <w:highlight w:val="none"/>
              </w:rPr>
            </w:pPr>
          </w:p>
        </w:tc>
        <w:tc>
          <w:tcPr>
            <w:tcW w:w="1245" w:type="dxa"/>
            <w:gridSpan w:val="2"/>
            <w:vMerge w:val="continue"/>
            <w:vAlign w:val="center"/>
          </w:tcPr>
          <w:p>
            <w:pPr>
              <w:pStyle w:val="19"/>
              <w:jc w:val="center"/>
              <w:rPr>
                <w:rFonts w:hint="default" w:ascii="Times New Roman" w:hAnsi="Times New Roman" w:eastAsia="MingLiU_HKSCS"/>
                <w:color w:val="auto"/>
                <w:kern w:val="2"/>
                <w:highlight w:val="none"/>
              </w:rPr>
            </w:pPr>
          </w:p>
        </w:tc>
        <w:tc>
          <w:tcPr>
            <w:tcW w:w="1448" w:type="dxa"/>
            <w:gridSpan w:val="2"/>
            <w:vAlign w:val="center"/>
          </w:tcPr>
          <w:p>
            <w:pPr>
              <w:pStyle w:val="19"/>
              <w:jc w:val="center"/>
              <w:rPr>
                <w:rFonts w:hint="default" w:ascii="Times New Roman" w:hAnsi="Times New Roman" w:eastAsia="MingLiU_HKSCS"/>
                <w:color w:val="auto"/>
                <w:kern w:val="2"/>
                <w:highlight w:val="none"/>
              </w:rPr>
            </w:pPr>
            <w:r>
              <w:rPr>
                <w:rFonts w:ascii="Times New Roman" w:hAnsi="Times New Roman"/>
                <w:color w:val="auto"/>
                <w:kern w:val="2"/>
                <w:highlight w:val="none"/>
              </w:rPr>
              <w:t>小计</w:t>
            </w:r>
          </w:p>
        </w:tc>
        <w:tc>
          <w:tcPr>
            <w:tcW w:w="1137" w:type="dxa"/>
            <w:vAlign w:val="center"/>
          </w:tcPr>
          <w:p>
            <w:pPr>
              <w:pStyle w:val="19"/>
              <w:jc w:val="center"/>
              <w:rPr>
                <w:rFonts w:hint="default" w:ascii="Times New Roman" w:hAnsi="Times New Roman" w:eastAsia="MingLiU_HKSCS"/>
                <w:color w:val="auto"/>
                <w:kern w:val="2"/>
                <w:highlight w:val="none"/>
              </w:rPr>
            </w:pPr>
          </w:p>
        </w:tc>
      </w:tr>
    </w:tbl>
    <w:p>
      <w:pPr>
        <w:pStyle w:val="19"/>
        <w:rPr>
          <w:rFonts w:hint="default" w:hAnsi="宋体"/>
          <w:b/>
          <w:bCs/>
          <w:color w:val="auto"/>
          <w:sz w:val="24"/>
          <w:szCs w:val="24"/>
          <w:highlight w:val="none"/>
        </w:rPr>
      </w:pPr>
    </w:p>
    <w:p>
      <w:pPr>
        <w:topLinePunct/>
        <w:autoSpaceDE w:val="0"/>
        <w:autoSpaceDN w:val="0"/>
        <w:spacing w:line="320" w:lineRule="exact"/>
        <w:jc w:val="left"/>
        <w:rPr>
          <w:rFonts w:ascii="宋体" w:hAnsi="宋体"/>
          <w:color w:val="auto"/>
          <w:highlight w:val="none"/>
        </w:rPr>
      </w:pPr>
      <w:r>
        <w:rPr>
          <w:rFonts w:ascii="宋体" w:hAnsi="宋体"/>
          <w:color w:val="auto"/>
          <w:highlight w:val="none"/>
        </w:rPr>
        <w:t>特别说明:</w:t>
      </w:r>
    </w:p>
    <w:p>
      <w:pPr>
        <w:spacing w:line="300" w:lineRule="exact"/>
        <w:rPr>
          <w:rFonts w:ascii="宋体" w:hAnsi="宋体"/>
          <w:color w:val="auto"/>
          <w:highlight w:val="none"/>
        </w:rPr>
      </w:pPr>
      <w:r>
        <w:rPr>
          <w:rFonts w:ascii="宋体" w:hAnsi="宋体"/>
          <w:color w:val="auto"/>
          <w:highlight w:val="none"/>
        </w:rPr>
        <w:t>1.投标人应根据招标文件技术部分相关要求填报。</w:t>
      </w:r>
    </w:p>
    <w:p>
      <w:pPr>
        <w:spacing w:line="300" w:lineRule="exact"/>
        <w:rPr>
          <w:rFonts w:ascii="宋体" w:hAnsi="宋体"/>
          <w:color w:val="auto"/>
          <w:highlight w:val="none"/>
        </w:rPr>
      </w:pPr>
      <w:r>
        <w:rPr>
          <w:rFonts w:ascii="宋体" w:hAnsi="宋体"/>
          <w:color w:val="auto"/>
          <w:highlight w:val="none"/>
        </w:rPr>
        <w:t>2.如报价不一致，按照投标人须知“20.核价原则”进行修正。</w:t>
      </w:r>
    </w:p>
    <w:p>
      <w:pPr>
        <w:spacing w:line="300" w:lineRule="exact"/>
        <w:rPr>
          <w:rFonts w:ascii="宋体" w:hAnsi="宋体"/>
          <w:color w:val="auto"/>
          <w:highlight w:val="none"/>
        </w:rPr>
      </w:pPr>
      <w:r>
        <w:rPr>
          <w:rFonts w:ascii="宋体" w:hAnsi="宋体"/>
          <w:color w:val="auto"/>
          <w:highlight w:val="none"/>
        </w:rPr>
        <w:t>3.本表“合计”中应等于《开标一览表》中的“投标报价”。</w:t>
      </w:r>
    </w:p>
    <w:p>
      <w:pPr>
        <w:pStyle w:val="19"/>
        <w:topLinePunct/>
        <w:autoSpaceDE w:val="0"/>
        <w:autoSpaceDN w:val="0"/>
        <w:spacing w:line="500" w:lineRule="exact"/>
        <w:ind w:firstLine="480" w:firstLineChars="200"/>
        <w:rPr>
          <w:rFonts w:hint="default" w:hAnsi="宋体"/>
          <w:color w:val="auto"/>
          <w:sz w:val="24"/>
          <w:szCs w:val="24"/>
          <w:highlight w:val="none"/>
        </w:rPr>
      </w:pPr>
    </w:p>
    <w:p>
      <w:pPr>
        <w:tabs>
          <w:tab w:val="left" w:pos="1230"/>
        </w:tabs>
        <w:topLinePunct/>
        <w:autoSpaceDE w:val="0"/>
        <w:autoSpaceDN w:val="0"/>
        <w:snapToGrid w:val="0"/>
        <w:spacing w:line="480" w:lineRule="auto"/>
        <w:ind w:left="360"/>
        <w:rPr>
          <w:rFonts w:ascii="宋体" w:hAnsi="宋体"/>
          <w:color w:val="auto"/>
          <w:sz w:val="24"/>
          <w:highlight w:val="none"/>
        </w:rPr>
      </w:pPr>
      <w:r>
        <w:rPr>
          <w:rFonts w:ascii="宋体" w:hAnsi="宋体"/>
          <w:color w:val="auto"/>
          <w:sz w:val="24"/>
          <w:highlight w:val="none"/>
        </w:rPr>
        <w:t>投标人名称：</w:t>
      </w:r>
    </w:p>
    <w:p>
      <w:pPr>
        <w:tabs>
          <w:tab w:val="left" w:pos="1230"/>
        </w:tabs>
        <w:topLinePunct/>
        <w:autoSpaceDE w:val="0"/>
        <w:autoSpaceDN w:val="0"/>
        <w:snapToGrid w:val="0"/>
        <w:spacing w:line="480" w:lineRule="auto"/>
        <w:ind w:left="360"/>
        <w:rPr>
          <w:rFonts w:ascii="宋体" w:hAnsi="宋体"/>
          <w:color w:val="auto"/>
          <w:sz w:val="24"/>
          <w:highlight w:val="none"/>
          <w:u w:val="single"/>
        </w:rPr>
      </w:pPr>
      <w:r>
        <w:rPr>
          <w:rFonts w:ascii="宋体" w:hAnsi="宋体"/>
          <w:color w:val="auto"/>
          <w:sz w:val="24"/>
          <w:highlight w:val="none"/>
        </w:rPr>
        <w:t>投标人公章：</w:t>
      </w:r>
    </w:p>
    <w:p>
      <w:pPr>
        <w:tabs>
          <w:tab w:val="left" w:pos="1230"/>
        </w:tabs>
        <w:topLinePunct/>
        <w:autoSpaceDE w:val="0"/>
        <w:autoSpaceDN w:val="0"/>
        <w:snapToGrid w:val="0"/>
        <w:spacing w:line="480" w:lineRule="auto"/>
        <w:ind w:left="360"/>
        <w:rPr>
          <w:rFonts w:ascii="宋体" w:hAnsi="宋体"/>
          <w:color w:val="auto"/>
          <w:sz w:val="24"/>
          <w:highlight w:val="none"/>
          <w:u w:val="single"/>
        </w:rPr>
      </w:pPr>
      <w:r>
        <w:rPr>
          <w:rFonts w:ascii="宋体" w:hAnsi="宋体"/>
          <w:color w:val="auto"/>
          <w:sz w:val="24"/>
          <w:highlight w:val="none"/>
        </w:rPr>
        <w:t>法定代表人或被授权投标代表（签字或盖章）：</w:t>
      </w:r>
    </w:p>
    <w:p>
      <w:pPr>
        <w:pStyle w:val="19"/>
        <w:topLinePunct/>
        <w:autoSpaceDE w:val="0"/>
        <w:autoSpaceDN w:val="0"/>
        <w:spacing w:line="480" w:lineRule="auto"/>
        <w:ind w:left="360"/>
        <w:rPr>
          <w:rFonts w:hint="default" w:hAnsi="宋体"/>
          <w:color w:val="auto"/>
          <w:sz w:val="24"/>
          <w:highlight w:val="none"/>
          <w:u w:val="single"/>
        </w:rPr>
      </w:pPr>
      <w:r>
        <w:rPr>
          <w:rFonts w:hint="default" w:hAnsi="宋体"/>
          <w:color w:val="auto"/>
          <w:sz w:val="24"/>
          <w:highlight w:val="none"/>
        </w:rPr>
        <w:t>日期：</w:t>
      </w:r>
    </w:p>
    <w:p>
      <w:pPr>
        <w:pStyle w:val="19"/>
        <w:rPr>
          <w:rFonts w:hint="default" w:hAnsi="宋体"/>
          <w:b/>
          <w:bCs/>
          <w:color w:val="auto"/>
          <w:sz w:val="28"/>
          <w:szCs w:val="28"/>
          <w:highlight w:val="none"/>
        </w:rPr>
      </w:pPr>
      <w:r>
        <w:rPr>
          <w:rFonts w:hint="default" w:hAnsi="宋体"/>
          <w:b/>
          <w:bCs/>
          <w:color w:val="auto"/>
          <w:sz w:val="28"/>
          <w:szCs w:val="28"/>
          <w:highlight w:val="none"/>
        </w:rPr>
        <w:br w:type="page"/>
      </w:r>
    </w:p>
    <w:p>
      <w:pPr>
        <w:pStyle w:val="19"/>
        <w:jc w:val="center"/>
        <w:rPr>
          <w:rFonts w:hint="default" w:hAnsi="宋体"/>
          <w:b/>
          <w:bCs/>
          <w:color w:val="auto"/>
          <w:sz w:val="28"/>
          <w:szCs w:val="28"/>
          <w:highlight w:val="none"/>
        </w:rPr>
      </w:pPr>
      <w:bookmarkStart w:id="48" w:name="_Toc4485622"/>
      <w:bookmarkStart w:id="49" w:name="_Toc533340143"/>
      <w:r>
        <w:rPr>
          <w:rFonts w:hint="default" w:hAnsi="宋体"/>
          <w:b/>
          <w:bCs/>
          <w:color w:val="auto"/>
          <w:sz w:val="28"/>
          <w:szCs w:val="28"/>
          <w:highlight w:val="none"/>
        </w:rPr>
        <w:t>商务条款偏离表</w:t>
      </w:r>
    </w:p>
    <w:tbl>
      <w:tblPr>
        <w:tblStyle w:val="34"/>
        <w:tblW w:w="8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3086"/>
        <w:gridCol w:w="1839"/>
        <w:gridCol w:w="851"/>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ign w:val="center"/>
          </w:tcPr>
          <w:p>
            <w:pPr>
              <w:pStyle w:val="19"/>
              <w:jc w:val="center"/>
              <w:rPr>
                <w:rFonts w:hint="default" w:hAnsi="宋体"/>
                <w:color w:val="auto"/>
                <w:kern w:val="2"/>
                <w:highlight w:val="none"/>
              </w:rPr>
            </w:pPr>
            <w:r>
              <w:rPr>
                <w:rFonts w:hAnsi="宋体" w:cs="宋体"/>
                <w:color w:val="auto"/>
                <w:kern w:val="2"/>
                <w:highlight w:val="none"/>
              </w:rPr>
              <w:t>序号</w:t>
            </w:r>
          </w:p>
        </w:tc>
        <w:tc>
          <w:tcPr>
            <w:tcW w:w="1276" w:type="dxa"/>
            <w:tcBorders>
              <w:top w:val="single" w:color="auto" w:sz="4" w:space="0"/>
              <w:left w:val="single" w:color="auto" w:sz="4" w:space="0"/>
              <w:bottom w:val="single" w:color="auto" w:sz="4" w:space="0"/>
              <w:right w:val="single" w:color="auto" w:sz="4" w:space="0"/>
            </w:tcBorders>
            <w:noWrap/>
            <w:vAlign w:val="center"/>
          </w:tcPr>
          <w:p>
            <w:pPr>
              <w:pStyle w:val="19"/>
              <w:jc w:val="center"/>
              <w:rPr>
                <w:rFonts w:hint="default" w:hAnsi="宋体"/>
                <w:color w:val="auto"/>
                <w:kern w:val="2"/>
                <w:highlight w:val="none"/>
              </w:rPr>
            </w:pPr>
            <w:r>
              <w:rPr>
                <w:rFonts w:hAnsi="宋体" w:cs="宋体"/>
                <w:color w:val="auto"/>
                <w:kern w:val="2"/>
                <w:highlight w:val="none"/>
              </w:rPr>
              <w:t>招标文件</w:t>
            </w:r>
          </w:p>
          <w:p>
            <w:pPr>
              <w:pStyle w:val="19"/>
              <w:jc w:val="center"/>
              <w:rPr>
                <w:rFonts w:hint="default" w:hAnsi="宋体"/>
                <w:color w:val="auto"/>
                <w:kern w:val="2"/>
                <w:highlight w:val="none"/>
              </w:rPr>
            </w:pPr>
            <w:r>
              <w:rPr>
                <w:rFonts w:hAnsi="宋体" w:cs="宋体"/>
                <w:color w:val="auto"/>
                <w:kern w:val="2"/>
                <w:highlight w:val="none"/>
              </w:rPr>
              <w:t>条目号</w:t>
            </w:r>
          </w:p>
        </w:tc>
        <w:tc>
          <w:tcPr>
            <w:tcW w:w="3086" w:type="dxa"/>
            <w:tcBorders>
              <w:top w:val="single" w:color="auto" w:sz="4" w:space="0"/>
              <w:left w:val="single" w:color="auto" w:sz="4" w:space="0"/>
              <w:bottom w:val="single" w:color="auto" w:sz="4" w:space="0"/>
              <w:right w:val="single" w:color="auto" w:sz="4" w:space="0"/>
            </w:tcBorders>
            <w:noWrap/>
            <w:vAlign w:val="center"/>
          </w:tcPr>
          <w:p>
            <w:pPr>
              <w:pStyle w:val="19"/>
              <w:jc w:val="center"/>
              <w:rPr>
                <w:rFonts w:hint="default" w:hAnsi="宋体"/>
                <w:color w:val="auto"/>
                <w:kern w:val="2"/>
                <w:highlight w:val="none"/>
              </w:rPr>
            </w:pPr>
            <w:r>
              <w:rPr>
                <w:rFonts w:hAnsi="宋体" w:cs="宋体"/>
                <w:color w:val="auto"/>
                <w:kern w:val="2"/>
                <w:highlight w:val="none"/>
              </w:rPr>
              <w:t>招标文件的商务条款</w:t>
            </w:r>
          </w:p>
        </w:tc>
        <w:tc>
          <w:tcPr>
            <w:tcW w:w="1839" w:type="dxa"/>
            <w:tcBorders>
              <w:top w:val="single" w:color="auto" w:sz="4" w:space="0"/>
              <w:left w:val="single" w:color="auto" w:sz="4" w:space="0"/>
              <w:bottom w:val="single" w:color="auto" w:sz="4" w:space="0"/>
              <w:right w:val="single" w:color="auto" w:sz="4" w:space="0"/>
            </w:tcBorders>
            <w:noWrap/>
            <w:vAlign w:val="center"/>
          </w:tcPr>
          <w:p>
            <w:pPr>
              <w:pStyle w:val="19"/>
              <w:jc w:val="center"/>
              <w:rPr>
                <w:rFonts w:hint="default" w:hAnsi="宋体"/>
                <w:color w:val="auto"/>
                <w:kern w:val="2"/>
                <w:highlight w:val="none"/>
              </w:rPr>
            </w:pPr>
            <w:r>
              <w:rPr>
                <w:rFonts w:hAnsi="宋体" w:cs="宋体"/>
                <w:color w:val="auto"/>
                <w:kern w:val="2"/>
                <w:highlight w:val="none"/>
              </w:rPr>
              <w:t>投标文件的商务条款</w:t>
            </w:r>
          </w:p>
        </w:tc>
        <w:tc>
          <w:tcPr>
            <w:tcW w:w="851" w:type="dxa"/>
            <w:tcBorders>
              <w:top w:val="single" w:color="auto" w:sz="4" w:space="0"/>
              <w:left w:val="single" w:color="auto" w:sz="4" w:space="0"/>
              <w:bottom w:val="single" w:color="auto" w:sz="4" w:space="0"/>
              <w:right w:val="single" w:color="auto" w:sz="4" w:space="0"/>
            </w:tcBorders>
            <w:noWrap/>
            <w:vAlign w:val="center"/>
          </w:tcPr>
          <w:p>
            <w:pPr>
              <w:pStyle w:val="19"/>
              <w:jc w:val="center"/>
              <w:rPr>
                <w:rFonts w:hint="default" w:hAnsi="宋体"/>
                <w:color w:val="auto"/>
                <w:kern w:val="2"/>
                <w:highlight w:val="none"/>
              </w:rPr>
            </w:pPr>
            <w:r>
              <w:rPr>
                <w:rFonts w:hAnsi="宋体" w:cs="宋体"/>
                <w:color w:val="auto"/>
                <w:kern w:val="2"/>
                <w:highlight w:val="none"/>
              </w:rPr>
              <w:t>偏离</w:t>
            </w:r>
          </w:p>
        </w:tc>
        <w:tc>
          <w:tcPr>
            <w:tcW w:w="816" w:type="dxa"/>
            <w:tcBorders>
              <w:top w:val="single" w:color="auto" w:sz="4" w:space="0"/>
              <w:left w:val="single" w:color="auto" w:sz="4" w:space="0"/>
              <w:bottom w:val="single" w:color="auto" w:sz="4" w:space="0"/>
              <w:right w:val="single" w:color="auto" w:sz="4" w:space="0"/>
            </w:tcBorders>
            <w:noWrap/>
            <w:vAlign w:val="center"/>
          </w:tcPr>
          <w:p>
            <w:pPr>
              <w:pStyle w:val="19"/>
              <w:jc w:val="center"/>
              <w:rPr>
                <w:rFonts w:hint="default" w:hAnsi="宋体"/>
                <w:color w:val="auto"/>
                <w:kern w:val="2"/>
                <w:highlight w:val="none"/>
              </w:rPr>
            </w:pPr>
            <w:r>
              <w:rPr>
                <w:rFonts w:hAnsi="宋体" w:cs="宋体"/>
                <w:color w:val="auto"/>
                <w:kern w:val="2"/>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ign w:val="center"/>
          </w:tcPr>
          <w:p>
            <w:pPr>
              <w:pStyle w:val="19"/>
              <w:jc w:val="center"/>
              <w:rPr>
                <w:rFonts w:hint="default" w:hAnsi="宋体" w:cs="宋体"/>
                <w:color w:val="auto"/>
                <w:kern w:val="2"/>
                <w:highlight w:val="none"/>
              </w:rPr>
            </w:pPr>
            <w:r>
              <w:rPr>
                <w:rFonts w:hAnsi="宋体" w:cs="宋体"/>
                <w:color w:val="auto"/>
                <w:kern w:val="2"/>
                <w:highlight w:val="none"/>
              </w:rPr>
              <w:t>1</w:t>
            </w:r>
          </w:p>
        </w:tc>
        <w:tc>
          <w:tcPr>
            <w:tcW w:w="1276" w:type="dxa"/>
            <w:tcBorders>
              <w:top w:val="single" w:color="auto" w:sz="4" w:space="0"/>
              <w:left w:val="single" w:color="auto" w:sz="4" w:space="0"/>
              <w:bottom w:val="single" w:color="auto" w:sz="4" w:space="0"/>
              <w:right w:val="single" w:color="auto" w:sz="4" w:space="0"/>
            </w:tcBorders>
            <w:noWrap/>
            <w:vAlign w:val="center"/>
          </w:tcPr>
          <w:p>
            <w:pPr>
              <w:pStyle w:val="19"/>
              <w:jc w:val="center"/>
              <w:rPr>
                <w:rFonts w:hint="default" w:hAnsi="宋体"/>
                <w:color w:val="auto"/>
                <w:kern w:val="2"/>
                <w:highlight w:val="none"/>
              </w:rPr>
            </w:pPr>
            <w:r>
              <w:rPr>
                <w:rFonts w:hAnsi="宋体" w:cs="宋体"/>
                <w:color w:val="auto"/>
                <w:kern w:val="2"/>
                <w:highlight w:val="none"/>
              </w:rPr>
              <w:t>交货和提供服务的时间、地点、方式、项目服务期限</w:t>
            </w:r>
          </w:p>
        </w:tc>
        <w:tc>
          <w:tcPr>
            <w:tcW w:w="3086" w:type="dxa"/>
            <w:tcBorders>
              <w:top w:val="single" w:color="auto" w:sz="4" w:space="0"/>
              <w:left w:val="single" w:color="auto" w:sz="4" w:space="0"/>
              <w:bottom w:val="single" w:color="auto" w:sz="4" w:space="0"/>
              <w:right w:val="single" w:color="auto" w:sz="4" w:space="0"/>
            </w:tcBorders>
            <w:noWrap/>
            <w:vAlign w:val="center"/>
          </w:tcPr>
          <w:p>
            <w:pPr>
              <w:pStyle w:val="19"/>
              <w:jc w:val="left"/>
              <w:rPr>
                <w:rFonts w:hint="default" w:hAnsi="宋体" w:cs="宋体"/>
                <w:color w:val="auto"/>
                <w:kern w:val="2"/>
                <w:highlight w:val="none"/>
              </w:rPr>
            </w:pPr>
            <w:r>
              <w:rPr>
                <w:rFonts w:hAnsi="宋体" w:cs="宋体"/>
                <w:color w:val="auto"/>
                <w:kern w:val="2"/>
                <w:highlight w:val="none"/>
              </w:rPr>
              <w:t>交货和提供服务的时间：</w:t>
            </w:r>
          </w:p>
          <w:p>
            <w:pPr>
              <w:pStyle w:val="19"/>
              <w:jc w:val="left"/>
              <w:rPr>
                <w:rFonts w:hint="default" w:hAnsi="宋体" w:cs="宋体"/>
                <w:color w:val="auto"/>
                <w:kern w:val="2"/>
                <w:highlight w:val="none"/>
              </w:rPr>
            </w:pPr>
            <w:r>
              <w:rPr>
                <w:rFonts w:hAnsi="宋体" w:cs="宋体"/>
                <w:color w:val="auto"/>
                <w:kern w:val="2"/>
                <w:highlight w:val="none"/>
              </w:rPr>
              <w:t>1.交货时间：应自合同签订之日起35日（自然日）内完成设备到货安装和集成调试等实施工作。</w:t>
            </w:r>
          </w:p>
          <w:p>
            <w:pPr>
              <w:pStyle w:val="19"/>
              <w:jc w:val="left"/>
              <w:rPr>
                <w:rFonts w:hint="default" w:hAnsi="宋体" w:cs="宋体"/>
                <w:color w:val="auto"/>
                <w:kern w:val="2"/>
                <w:highlight w:val="none"/>
              </w:rPr>
            </w:pPr>
            <w:r>
              <w:rPr>
                <w:rFonts w:hAnsi="宋体" w:cs="宋体"/>
                <w:color w:val="auto"/>
                <w:kern w:val="2"/>
                <w:highlight w:val="none"/>
              </w:rPr>
              <w:t>2.提供服务的时间：自试运行验收合格签署之日起3年。</w:t>
            </w:r>
          </w:p>
          <w:p>
            <w:pPr>
              <w:pStyle w:val="19"/>
              <w:jc w:val="left"/>
              <w:rPr>
                <w:rFonts w:hint="default" w:hAnsi="宋体" w:cs="宋体"/>
                <w:color w:val="auto"/>
                <w:kern w:val="2"/>
                <w:highlight w:val="none"/>
              </w:rPr>
            </w:pPr>
            <w:r>
              <w:rPr>
                <w:rFonts w:hAnsi="宋体" w:cs="宋体"/>
                <w:color w:val="auto"/>
                <w:kern w:val="2"/>
                <w:highlight w:val="none"/>
              </w:rPr>
              <w:t>3.交货和提供服务的地点：国家税务总局辽宁省税务局机房内指定位置。</w:t>
            </w:r>
          </w:p>
          <w:p>
            <w:pPr>
              <w:pStyle w:val="19"/>
              <w:jc w:val="left"/>
              <w:rPr>
                <w:rFonts w:hint="default" w:hAnsi="宋体" w:cs="宋体"/>
                <w:color w:val="auto"/>
                <w:kern w:val="2"/>
                <w:highlight w:val="none"/>
              </w:rPr>
            </w:pPr>
            <w:r>
              <w:rPr>
                <w:rFonts w:hAnsi="宋体" w:cs="宋体"/>
                <w:color w:val="auto"/>
                <w:kern w:val="2"/>
                <w:highlight w:val="none"/>
              </w:rPr>
              <w:t>4.交货和提供服务的方式：</w:t>
            </w:r>
          </w:p>
          <w:p>
            <w:pPr>
              <w:pStyle w:val="19"/>
              <w:jc w:val="left"/>
              <w:rPr>
                <w:rFonts w:hint="default" w:hAnsi="宋体" w:cs="宋体"/>
                <w:color w:val="auto"/>
                <w:kern w:val="2"/>
                <w:highlight w:val="none"/>
              </w:rPr>
            </w:pPr>
            <w:r>
              <w:rPr>
                <w:rFonts w:hAnsi="宋体" w:cs="宋体"/>
                <w:color w:val="auto"/>
                <w:kern w:val="2"/>
                <w:highlight w:val="none"/>
              </w:rPr>
              <w:t>交货方式：设备运送至指定场所，经用户验收合格后方可交货</w:t>
            </w:r>
          </w:p>
          <w:p>
            <w:pPr>
              <w:pStyle w:val="19"/>
              <w:jc w:val="left"/>
              <w:rPr>
                <w:rFonts w:hint="default" w:hAnsi="宋体" w:cs="宋体"/>
                <w:color w:val="auto"/>
                <w:kern w:val="2"/>
                <w:highlight w:val="none"/>
              </w:rPr>
            </w:pPr>
            <w:r>
              <w:rPr>
                <w:rFonts w:hAnsi="宋体" w:cs="宋体"/>
                <w:color w:val="auto"/>
                <w:kern w:val="2"/>
                <w:highlight w:val="none"/>
              </w:rPr>
              <w:t>提供服务方式：上门服务</w:t>
            </w:r>
          </w:p>
          <w:p>
            <w:pPr>
              <w:pStyle w:val="19"/>
              <w:jc w:val="left"/>
              <w:rPr>
                <w:rFonts w:hint="default" w:hAnsi="宋体" w:cs="宋体"/>
                <w:color w:val="auto"/>
                <w:kern w:val="2"/>
                <w:highlight w:val="none"/>
              </w:rPr>
            </w:pPr>
            <w:r>
              <w:rPr>
                <w:rFonts w:hAnsi="宋体" w:cs="宋体"/>
                <w:color w:val="auto"/>
                <w:kern w:val="2"/>
                <w:highlight w:val="none"/>
              </w:rPr>
              <w:t>项目服务期限：3年</w:t>
            </w:r>
          </w:p>
        </w:tc>
        <w:tc>
          <w:tcPr>
            <w:tcW w:w="1839" w:type="dxa"/>
            <w:tcBorders>
              <w:top w:val="single" w:color="auto" w:sz="4" w:space="0"/>
              <w:left w:val="single" w:color="auto" w:sz="4" w:space="0"/>
              <w:bottom w:val="single" w:color="auto" w:sz="4" w:space="0"/>
              <w:right w:val="single" w:color="auto" w:sz="4" w:space="0"/>
            </w:tcBorders>
            <w:noWrap/>
            <w:vAlign w:val="center"/>
          </w:tcPr>
          <w:p>
            <w:pPr>
              <w:pStyle w:val="19"/>
              <w:jc w:val="center"/>
              <w:rPr>
                <w:rFonts w:hint="default" w:hAnsi="宋体"/>
                <w:color w:val="auto"/>
                <w:kern w:val="2"/>
                <w:highlight w:val="none"/>
              </w:rPr>
            </w:pPr>
          </w:p>
        </w:tc>
        <w:tc>
          <w:tcPr>
            <w:tcW w:w="851" w:type="dxa"/>
            <w:tcBorders>
              <w:top w:val="single" w:color="auto" w:sz="4" w:space="0"/>
              <w:left w:val="single" w:color="auto" w:sz="4" w:space="0"/>
              <w:bottom w:val="single" w:color="auto" w:sz="4" w:space="0"/>
              <w:right w:val="single" w:color="auto" w:sz="4" w:space="0"/>
            </w:tcBorders>
            <w:noWrap/>
            <w:vAlign w:val="center"/>
          </w:tcPr>
          <w:p>
            <w:pPr>
              <w:pStyle w:val="19"/>
              <w:jc w:val="center"/>
              <w:rPr>
                <w:rFonts w:hint="default" w:hAnsi="宋体"/>
                <w:color w:val="auto"/>
                <w:kern w:val="2"/>
                <w:highlight w:val="none"/>
              </w:rPr>
            </w:pPr>
          </w:p>
        </w:tc>
        <w:tc>
          <w:tcPr>
            <w:tcW w:w="816" w:type="dxa"/>
            <w:tcBorders>
              <w:top w:val="single" w:color="auto" w:sz="4" w:space="0"/>
              <w:left w:val="single" w:color="auto" w:sz="4" w:space="0"/>
              <w:bottom w:val="single" w:color="auto" w:sz="4" w:space="0"/>
              <w:right w:val="single" w:color="auto" w:sz="4" w:space="0"/>
            </w:tcBorders>
            <w:noWrap/>
            <w:vAlign w:val="center"/>
          </w:tcPr>
          <w:p>
            <w:pPr>
              <w:pStyle w:val="19"/>
              <w:jc w:val="center"/>
              <w:rPr>
                <w:rFonts w:hint="default" w:hAnsi="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ign w:val="center"/>
          </w:tcPr>
          <w:p>
            <w:pPr>
              <w:pStyle w:val="19"/>
              <w:jc w:val="center"/>
              <w:rPr>
                <w:rFonts w:hint="default" w:hAnsi="宋体" w:cs="宋体"/>
                <w:color w:val="auto"/>
                <w:kern w:val="2"/>
                <w:highlight w:val="none"/>
              </w:rPr>
            </w:pPr>
            <w:r>
              <w:rPr>
                <w:rFonts w:hAnsi="宋体" w:cs="宋体"/>
                <w:color w:val="auto"/>
                <w:kern w:val="2"/>
                <w:highlight w:val="none"/>
              </w:rPr>
              <w:t>2</w:t>
            </w:r>
          </w:p>
        </w:tc>
        <w:tc>
          <w:tcPr>
            <w:tcW w:w="1276" w:type="dxa"/>
            <w:tcBorders>
              <w:top w:val="single" w:color="auto" w:sz="4" w:space="0"/>
              <w:left w:val="single" w:color="auto" w:sz="4" w:space="0"/>
              <w:bottom w:val="single" w:color="auto" w:sz="4" w:space="0"/>
              <w:right w:val="single" w:color="auto" w:sz="4" w:space="0"/>
            </w:tcBorders>
            <w:noWrap/>
            <w:vAlign w:val="center"/>
          </w:tcPr>
          <w:p>
            <w:pPr>
              <w:pStyle w:val="19"/>
              <w:jc w:val="center"/>
              <w:rPr>
                <w:rFonts w:hint="default" w:hAnsi="宋体"/>
                <w:color w:val="auto"/>
                <w:kern w:val="2"/>
                <w:highlight w:val="none"/>
              </w:rPr>
            </w:pPr>
            <w:r>
              <w:rPr>
                <w:rFonts w:hAnsi="宋体" w:cs="宋体"/>
                <w:color w:val="auto"/>
                <w:kern w:val="2"/>
                <w:highlight w:val="none"/>
              </w:rPr>
              <w:t>采购资金的支付方式及时间</w:t>
            </w:r>
          </w:p>
        </w:tc>
        <w:tc>
          <w:tcPr>
            <w:tcW w:w="3086" w:type="dxa"/>
            <w:tcBorders>
              <w:top w:val="single" w:color="auto" w:sz="4" w:space="0"/>
              <w:left w:val="single" w:color="auto" w:sz="4" w:space="0"/>
              <w:bottom w:val="single" w:color="auto" w:sz="4" w:space="0"/>
              <w:right w:val="single" w:color="auto" w:sz="4" w:space="0"/>
            </w:tcBorders>
            <w:noWrap/>
            <w:vAlign w:val="center"/>
          </w:tcPr>
          <w:p>
            <w:pPr>
              <w:pStyle w:val="19"/>
              <w:jc w:val="left"/>
              <w:rPr>
                <w:rFonts w:hint="default" w:hAnsi="宋体" w:cs="宋体"/>
                <w:color w:val="auto"/>
                <w:kern w:val="2"/>
                <w:highlight w:val="none"/>
              </w:rPr>
            </w:pPr>
            <w:r>
              <w:rPr>
                <w:rFonts w:hAnsi="宋体" w:cs="宋体"/>
                <w:color w:val="auto"/>
                <w:kern w:val="2"/>
                <w:highlight w:val="none"/>
              </w:rPr>
              <w:t>设备试运行验收合格后，支付合同价款的100%。</w:t>
            </w:r>
          </w:p>
        </w:tc>
        <w:tc>
          <w:tcPr>
            <w:tcW w:w="1839" w:type="dxa"/>
            <w:tcBorders>
              <w:top w:val="single" w:color="auto" w:sz="4" w:space="0"/>
              <w:left w:val="single" w:color="auto" w:sz="4" w:space="0"/>
              <w:bottom w:val="single" w:color="auto" w:sz="4" w:space="0"/>
              <w:right w:val="single" w:color="auto" w:sz="4" w:space="0"/>
            </w:tcBorders>
            <w:noWrap/>
            <w:vAlign w:val="center"/>
          </w:tcPr>
          <w:p>
            <w:pPr>
              <w:pStyle w:val="19"/>
              <w:jc w:val="center"/>
              <w:rPr>
                <w:rFonts w:hint="default" w:hAnsi="宋体"/>
                <w:color w:val="auto"/>
                <w:kern w:val="2"/>
                <w:highlight w:val="none"/>
              </w:rPr>
            </w:pPr>
          </w:p>
        </w:tc>
        <w:tc>
          <w:tcPr>
            <w:tcW w:w="851" w:type="dxa"/>
            <w:tcBorders>
              <w:top w:val="single" w:color="auto" w:sz="4" w:space="0"/>
              <w:left w:val="single" w:color="auto" w:sz="4" w:space="0"/>
              <w:bottom w:val="single" w:color="auto" w:sz="4" w:space="0"/>
              <w:right w:val="single" w:color="auto" w:sz="4" w:space="0"/>
            </w:tcBorders>
            <w:noWrap/>
            <w:vAlign w:val="center"/>
          </w:tcPr>
          <w:p>
            <w:pPr>
              <w:pStyle w:val="19"/>
              <w:jc w:val="center"/>
              <w:rPr>
                <w:rFonts w:hint="default" w:hAnsi="宋体"/>
                <w:color w:val="auto"/>
                <w:kern w:val="2"/>
                <w:highlight w:val="none"/>
              </w:rPr>
            </w:pPr>
          </w:p>
        </w:tc>
        <w:tc>
          <w:tcPr>
            <w:tcW w:w="816" w:type="dxa"/>
            <w:tcBorders>
              <w:top w:val="single" w:color="auto" w:sz="4" w:space="0"/>
              <w:left w:val="single" w:color="auto" w:sz="4" w:space="0"/>
              <w:bottom w:val="single" w:color="auto" w:sz="4" w:space="0"/>
              <w:right w:val="single" w:color="auto" w:sz="4" w:space="0"/>
            </w:tcBorders>
            <w:noWrap/>
            <w:vAlign w:val="center"/>
          </w:tcPr>
          <w:p>
            <w:pPr>
              <w:pStyle w:val="19"/>
              <w:jc w:val="center"/>
              <w:rPr>
                <w:rFonts w:hint="default" w:hAnsi="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ign w:val="center"/>
          </w:tcPr>
          <w:p>
            <w:pPr>
              <w:pStyle w:val="19"/>
              <w:jc w:val="center"/>
              <w:rPr>
                <w:rFonts w:hint="default" w:hAnsi="宋体" w:cs="宋体"/>
                <w:color w:val="auto"/>
                <w:kern w:val="2"/>
                <w:highlight w:val="none"/>
              </w:rPr>
            </w:pPr>
            <w:r>
              <w:rPr>
                <w:rFonts w:hAnsi="宋体" w:cs="宋体"/>
                <w:color w:val="auto"/>
                <w:kern w:val="2"/>
                <w:highlight w:val="none"/>
              </w:rPr>
              <w:t>3</w:t>
            </w:r>
          </w:p>
        </w:tc>
        <w:tc>
          <w:tcPr>
            <w:tcW w:w="1276" w:type="dxa"/>
            <w:tcBorders>
              <w:top w:val="single" w:color="auto" w:sz="4" w:space="0"/>
              <w:left w:val="single" w:color="auto" w:sz="4" w:space="0"/>
              <w:bottom w:val="single" w:color="auto" w:sz="4" w:space="0"/>
              <w:right w:val="single" w:color="auto" w:sz="4" w:space="0"/>
            </w:tcBorders>
            <w:noWrap/>
            <w:vAlign w:val="center"/>
          </w:tcPr>
          <w:p>
            <w:pPr>
              <w:pStyle w:val="19"/>
              <w:jc w:val="center"/>
              <w:rPr>
                <w:rFonts w:hint="default" w:hAnsi="宋体" w:cs="宋体"/>
                <w:color w:val="auto"/>
                <w:kern w:val="2"/>
                <w:highlight w:val="none"/>
              </w:rPr>
            </w:pPr>
            <w:r>
              <w:rPr>
                <w:rFonts w:hAnsi="宋体" w:cs="宋体"/>
                <w:color w:val="auto"/>
                <w:kern w:val="2"/>
                <w:highlight w:val="none"/>
              </w:rPr>
              <w:t>违约责任</w:t>
            </w:r>
          </w:p>
        </w:tc>
        <w:tc>
          <w:tcPr>
            <w:tcW w:w="3086" w:type="dxa"/>
            <w:tcBorders>
              <w:top w:val="single" w:color="auto" w:sz="4" w:space="0"/>
              <w:left w:val="single" w:color="auto" w:sz="4" w:space="0"/>
              <w:bottom w:val="single" w:color="auto" w:sz="4" w:space="0"/>
              <w:right w:val="single" w:color="auto" w:sz="4" w:space="0"/>
            </w:tcBorders>
            <w:noWrap/>
            <w:vAlign w:val="center"/>
          </w:tcPr>
          <w:p>
            <w:pPr>
              <w:pStyle w:val="19"/>
              <w:ind w:firstLine="420" w:firstLineChars="200"/>
              <w:jc w:val="left"/>
              <w:rPr>
                <w:rFonts w:hint="default" w:hAnsi="宋体" w:cs="宋体"/>
                <w:color w:val="auto"/>
                <w:kern w:val="2"/>
                <w:highlight w:val="none"/>
              </w:rPr>
            </w:pPr>
            <w:r>
              <w:rPr>
                <w:rFonts w:hAnsi="宋体" w:cs="宋体"/>
                <w:color w:val="auto"/>
                <w:kern w:val="2"/>
                <w:highlight w:val="none"/>
              </w:rPr>
              <w:t>供应商在售后服务期内，如未按售后服务要求响应的，视情节轻重给予一次普通警告或严重警告。所有警告行为将体现在验收报告中做为验收依据。</w:t>
            </w:r>
          </w:p>
          <w:p>
            <w:pPr>
              <w:pStyle w:val="19"/>
              <w:ind w:firstLine="420" w:firstLineChars="200"/>
              <w:jc w:val="left"/>
              <w:rPr>
                <w:rFonts w:hint="default" w:hAnsi="宋体" w:cs="宋体"/>
                <w:color w:val="auto"/>
                <w:kern w:val="2"/>
                <w:highlight w:val="none"/>
              </w:rPr>
            </w:pPr>
            <w:r>
              <w:rPr>
                <w:rFonts w:hAnsi="宋体" w:cs="宋体"/>
                <w:color w:val="auto"/>
                <w:kern w:val="2"/>
                <w:highlight w:val="none"/>
              </w:rPr>
              <w:t>合同期内累计两次普通警告将给予一次严重警告。每个普通警告扣除履约保证金的5%作为罚款，每个严重警告扣除履约保证金10%作为罚款（不做累加处罚）。</w:t>
            </w:r>
          </w:p>
          <w:p>
            <w:pPr>
              <w:pStyle w:val="19"/>
              <w:ind w:firstLine="420" w:firstLineChars="200"/>
              <w:jc w:val="left"/>
              <w:rPr>
                <w:rFonts w:hint="default" w:hAnsi="宋体" w:cs="宋体"/>
                <w:color w:val="auto"/>
                <w:kern w:val="2"/>
                <w:highlight w:val="none"/>
              </w:rPr>
            </w:pPr>
            <w:r>
              <w:rPr>
                <w:rFonts w:hAnsi="宋体" w:cs="宋体"/>
                <w:color w:val="auto"/>
                <w:kern w:val="2"/>
                <w:highlight w:val="none"/>
              </w:rPr>
              <w:t>合同期内累计两次严重警告的，采购人有权终止合同，并可以采取扣除部分或全部履约保证金等惩罚措施，如有失信行为将上报总局失信企业名单。</w:t>
            </w:r>
          </w:p>
        </w:tc>
        <w:tc>
          <w:tcPr>
            <w:tcW w:w="1839" w:type="dxa"/>
            <w:tcBorders>
              <w:top w:val="single" w:color="auto" w:sz="4" w:space="0"/>
              <w:left w:val="single" w:color="auto" w:sz="4" w:space="0"/>
              <w:bottom w:val="single" w:color="auto" w:sz="4" w:space="0"/>
              <w:right w:val="single" w:color="auto" w:sz="4" w:space="0"/>
            </w:tcBorders>
            <w:noWrap/>
            <w:vAlign w:val="center"/>
          </w:tcPr>
          <w:p>
            <w:pPr>
              <w:pStyle w:val="19"/>
              <w:jc w:val="center"/>
              <w:rPr>
                <w:rFonts w:hint="default" w:hAnsi="宋体"/>
                <w:color w:val="auto"/>
                <w:kern w:val="2"/>
                <w:highlight w:val="none"/>
              </w:rPr>
            </w:pPr>
          </w:p>
        </w:tc>
        <w:tc>
          <w:tcPr>
            <w:tcW w:w="851" w:type="dxa"/>
            <w:tcBorders>
              <w:top w:val="single" w:color="auto" w:sz="4" w:space="0"/>
              <w:left w:val="single" w:color="auto" w:sz="4" w:space="0"/>
              <w:bottom w:val="single" w:color="auto" w:sz="4" w:space="0"/>
              <w:right w:val="single" w:color="auto" w:sz="4" w:space="0"/>
            </w:tcBorders>
            <w:noWrap/>
            <w:vAlign w:val="center"/>
          </w:tcPr>
          <w:p>
            <w:pPr>
              <w:pStyle w:val="19"/>
              <w:jc w:val="center"/>
              <w:rPr>
                <w:rFonts w:hint="default" w:hAnsi="宋体"/>
                <w:color w:val="auto"/>
                <w:kern w:val="2"/>
                <w:highlight w:val="none"/>
              </w:rPr>
            </w:pPr>
          </w:p>
        </w:tc>
        <w:tc>
          <w:tcPr>
            <w:tcW w:w="816" w:type="dxa"/>
            <w:tcBorders>
              <w:top w:val="single" w:color="auto" w:sz="4" w:space="0"/>
              <w:left w:val="single" w:color="auto" w:sz="4" w:space="0"/>
              <w:bottom w:val="single" w:color="auto" w:sz="4" w:space="0"/>
              <w:right w:val="single" w:color="auto" w:sz="4" w:space="0"/>
            </w:tcBorders>
            <w:noWrap/>
            <w:vAlign w:val="center"/>
          </w:tcPr>
          <w:p>
            <w:pPr>
              <w:pStyle w:val="19"/>
              <w:jc w:val="center"/>
              <w:rPr>
                <w:rFonts w:hint="default" w:hAnsi="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ign w:val="center"/>
          </w:tcPr>
          <w:p>
            <w:pPr>
              <w:pStyle w:val="19"/>
              <w:jc w:val="center"/>
              <w:rPr>
                <w:rFonts w:hint="default" w:hAnsi="宋体" w:cs="宋体"/>
                <w:color w:val="auto"/>
                <w:kern w:val="2"/>
                <w:highlight w:val="none"/>
              </w:rPr>
            </w:pPr>
            <w:r>
              <w:rPr>
                <w:rFonts w:hAnsi="宋体" w:cs="宋体"/>
                <w:color w:val="auto"/>
                <w:kern w:val="2"/>
                <w:highlight w:val="none"/>
              </w:rPr>
              <w:t>4</w:t>
            </w:r>
          </w:p>
        </w:tc>
        <w:tc>
          <w:tcPr>
            <w:tcW w:w="1276" w:type="dxa"/>
            <w:tcBorders>
              <w:top w:val="single" w:color="auto" w:sz="4" w:space="0"/>
              <w:left w:val="single" w:color="auto" w:sz="4" w:space="0"/>
              <w:bottom w:val="single" w:color="auto" w:sz="4" w:space="0"/>
              <w:right w:val="single" w:color="auto" w:sz="4" w:space="0"/>
            </w:tcBorders>
            <w:noWrap/>
            <w:vAlign w:val="center"/>
          </w:tcPr>
          <w:p>
            <w:pPr>
              <w:pStyle w:val="19"/>
              <w:jc w:val="left"/>
              <w:rPr>
                <w:rFonts w:hint="default" w:hAnsi="宋体" w:cs="宋体"/>
                <w:color w:val="auto"/>
                <w:kern w:val="2"/>
                <w:highlight w:val="none"/>
              </w:rPr>
            </w:pPr>
            <w:r>
              <w:rPr>
                <w:rFonts w:hAnsi="宋体" w:cs="宋体"/>
                <w:color w:val="auto"/>
                <w:kern w:val="2"/>
                <w:highlight w:val="none"/>
              </w:rPr>
              <w:t>售后服务要求及标准</w:t>
            </w:r>
          </w:p>
        </w:tc>
        <w:tc>
          <w:tcPr>
            <w:tcW w:w="3086" w:type="dxa"/>
            <w:tcBorders>
              <w:top w:val="single" w:color="auto" w:sz="4" w:space="0"/>
              <w:left w:val="single" w:color="auto" w:sz="4" w:space="0"/>
              <w:bottom w:val="single" w:color="auto" w:sz="4" w:space="0"/>
              <w:right w:val="single" w:color="auto" w:sz="4" w:space="0"/>
            </w:tcBorders>
            <w:noWrap/>
            <w:vAlign w:val="center"/>
          </w:tcPr>
          <w:p>
            <w:pPr>
              <w:pStyle w:val="19"/>
              <w:jc w:val="left"/>
              <w:rPr>
                <w:rFonts w:hint="default" w:hAnsi="宋体" w:cs="宋体"/>
                <w:color w:val="auto"/>
                <w:kern w:val="2"/>
                <w:highlight w:val="none"/>
              </w:rPr>
            </w:pPr>
            <w:r>
              <w:rPr>
                <w:rFonts w:hAnsi="宋体" w:cs="宋体"/>
                <w:color w:val="auto"/>
                <w:kern w:val="2"/>
                <w:highlight w:val="none"/>
              </w:rPr>
              <w:t>提供完整、合理、可行性技术方案，提供及时高效的技术支持和售后服务。电话服务请求的响应时间应少于半小时。存储设备的专业技术人员必须在2小时内到达设备现场，并对采购人所提出的服务要求作出实质性响应。存储设备出现硬件故障需要更换的，专业技术人员必须在自报修后4小时内携带备件到达现场。在解决故障时，应保护好数据，做好故障恢复的文档。</w:t>
            </w:r>
          </w:p>
        </w:tc>
        <w:tc>
          <w:tcPr>
            <w:tcW w:w="1839" w:type="dxa"/>
            <w:tcBorders>
              <w:top w:val="single" w:color="auto" w:sz="4" w:space="0"/>
              <w:left w:val="single" w:color="auto" w:sz="4" w:space="0"/>
              <w:bottom w:val="single" w:color="auto" w:sz="4" w:space="0"/>
              <w:right w:val="single" w:color="auto" w:sz="4" w:space="0"/>
            </w:tcBorders>
            <w:noWrap/>
            <w:vAlign w:val="center"/>
          </w:tcPr>
          <w:p>
            <w:pPr>
              <w:pStyle w:val="19"/>
              <w:jc w:val="center"/>
              <w:rPr>
                <w:rFonts w:hint="default" w:hAnsi="宋体"/>
                <w:color w:val="auto"/>
                <w:kern w:val="2"/>
                <w:highlight w:val="none"/>
              </w:rPr>
            </w:pPr>
          </w:p>
        </w:tc>
        <w:tc>
          <w:tcPr>
            <w:tcW w:w="851" w:type="dxa"/>
            <w:tcBorders>
              <w:top w:val="single" w:color="auto" w:sz="4" w:space="0"/>
              <w:left w:val="single" w:color="auto" w:sz="4" w:space="0"/>
              <w:bottom w:val="single" w:color="auto" w:sz="4" w:space="0"/>
              <w:right w:val="single" w:color="auto" w:sz="4" w:space="0"/>
            </w:tcBorders>
            <w:noWrap/>
            <w:vAlign w:val="center"/>
          </w:tcPr>
          <w:p>
            <w:pPr>
              <w:pStyle w:val="19"/>
              <w:jc w:val="center"/>
              <w:rPr>
                <w:rFonts w:hint="default" w:hAnsi="宋体"/>
                <w:color w:val="auto"/>
                <w:kern w:val="2"/>
                <w:highlight w:val="none"/>
              </w:rPr>
            </w:pPr>
          </w:p>
        </w:tc>
        <w:tc>
          <w:tcPr>
            <w:tcW w:w="816" w:type="dxa"/>
            <w:tcBorders>
              <w:top w:val="single" w:color="auto" w:sz="4" w:space="0"/>
              <w:left w:val="single" w:color="auto" w:sz="4" w:space="0"/>
              <w:bottom w:val="single" w:color="auto" w:sz="4" w:space="0"/>
              <w:right w:val="single" w:color="auto" w:sz="4" w:space="0"/>
            </w:tcBorders>
            <w:noWrap/>
            <w:vAlign w:val="center"/>
          </w:tcPr>
          <w:p>
            <w:pPr>
              <w:pStyle w:val="19"/>
              <w:jc w:val="center"/>
              <w:rPr>
                <w:rFonts w:hint="default" w:hAnsi="宋体"/>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ign w:val="center"/>
          </w:tcPr>
          <w:p>
            <w:pPr>
              <w:pStyle w:val="19"/>
              <w:jc w:val="center"/>
              <w:rPr>
                <w:rFonts w:hint="default" w:hAnsi="宋体" w:cs="宋体"/>
                <w:color w:val="auto"/>
                <w:kern w:val="2"/>
                <w:highlight w:val="none"/>
              </w:rPr>
            </w:pPr>
            <w:r>
              <w:rPr>
                <w:rFonts w:hAnsi="宋体" w:cs="宋体"/>
                <w:color w:val="auto"/>
                <w:kern w:val="2"/>
                <w:highlight w:val="none"/>
              </w:rPr>
              <w:t>5</w:t>
            </w:r>
          </w:p>
        </w:tc>
        <w:tc>
          <w:tcPr>
            <w:tcW w:w="1276" w:type="dxa"/>
            <w:tcBorders>
              <w:top w:val="single" w:color="auto" w:sz="4" w:space="0"/>
              <w:left w:val="single" w:color="auto" w:sz="4" w:space="0"/>
              <w:bottom w:val="single" w:color="auto" w:sz="4" w:space="0"/>
              <w:right w:val="single" w:color="auto" w:sz="4" w:space="0"/>
            </w:tcBorders>
            <w:noWrap/>
            <w:vAlign w:val="center"/>
          </w:tcPr>
          <w:p>
            <w:pPr>
              <w:pStyle w:val="19"/>
              <w:jc w:val="center"/>
              <w:rPr>
                <w:rFonts w:hint="default" w:hAnsi="宋体" w:cs="宋体"/>
                <w:color w:val="auto"/>
                <w:kern w:val="2"/>
                <w:highlight w:val="none"/>
              </w:rPr>
            </w:pPr>
            <w:r>
              <w:rPr>
                <w:rFonts w:hAnsi="宋体" w:cs="宋体"/>
                <w:color w:val="auto"/>
                <w:kern w:val="2"/>
                <w:highlight w:val="none"/>
              </w:rPr>
              <w:t>其他要求</w:t>
            </w:r>
          </w:p>
        </w:tc>
        <w:tc>
          <w:tcPr>
            <w:tcW w:w="3086" w:type="dxa"/>
            <w:tcBorders>
              <w:top w:val="single" w:color="auto" w:sz="4" w:space="0"/>
              <w:left w:val="single" w:color="auto" w:sz="4" w:space="0"/>
              <w:bottom w:val="single" w:color="auto" w:sz="4" w:space="0"/>
              <w:right w:val="single" w:color="auto" w:sz="4" w:space="0"/>
            </w:tcBorders>
            <w:noWrap/>
            <w:vAlign w:val="center"/>
          </w:tcPr>
          <w:p>
            <w:pPr>
              <w:pStyle w:val="19"/>
              <w:rPr>
                <w:rFonts w:hint="default" w:hAnsi="宋体" w:cs="宋体"/>
                <w:color w:val="auto"/>
                <w:kern w:val="2"/>
                <w:highlight w:val="none"/>
              </w:rPr>
            </w:pPr>
            <w:r>
              <w:rPr>
                <w:rFonts w:hAnsi="宋体" w:cs="宋体"/>
                <w:color w:val="auto"/>
                <w:kern w:val="2"/>
                <w:highlight w:val="none"/>
              </w:rPr>
              <w:t>无</w:t>
            </w:r>
          </w:p>
        </w:tc>
        <w:tc>
          <w:tcPr>
            <w:tcW w:w="1839" w:type="dxa"/>
            <w:tcBorders>
              <w:top w:val="single" w:color="auto" w:sz="4" w:space="0"/>
              <w:left w:val="single" w:color="auto" w:sz="4" w:space="0"/>
              <w:bottom w:val="single" w:color="auto" w:sz="4" w:space="0"/>
              <w:right w:val="single" w:color="auto" w:sz="4" w:space="0"/>
            </w:tcBorders>
            <w:noWrap/>
            <w:vAlign w:val="center"/>
          </w:tcPr>
          <w:p>
            <w:pPr>
              <w:pStyle w:val="19"/>
              <w:jc w:val="center"/>
              <w:rPr>
                <w:rFonts w:hint="default" w:hAnsi="宋体"/>
                <w:color w:val="auto"/>
                <w:kern w:val="2"/>
                <w:highlight w:val="none"/>
              </w:rPr>
            </w:pPr>
          </w:p>
        </w:tc>
        <w:tc>
          <w:tcPr>
            <w:tcW w:w="851" w:type="dxa"/>
            <w:tcBorders>
              <w:top w:val="single" w:color="auto" w:sz="4" w:space="0"/>
              <w:left w:val="single" w:color="auto" w:sz="4" w:space="0"/>
              <w:bottom w:val="single" w:color="auto" w:sz="4" w:space="0"/>
              <w:right w:val="single" w:color="auto" w:sz="4" w:space="0"/>
            </w:tcBorders>
            <w:noWrap/>
            <w:vAlign w:val="center"/>
          </w:tcPr>
          <w:p>
            <w:pPr>
              <w:pStyle w:val="19"/>
              <w:jc w:val="center"/>
              <w:rPr>
                <w:rFonts w:hint="default" w:hAnsi="宋体"/>
                <w:color w:val="auto"/>
                <w:kern w:val="2"/>
                <w:highlight w:val="none"/>
              </w:rPr>
            </w:pPr>
          </w:p>
        </w:tc>
        <w:tc>
          <w:tcPr>
            <w:tcW w:w="816" w:type="dxa"/>
            <w:tcBorders>
              <w:top w:val="single" w:color="auto" w:sz="4" w:space="0"/>
              <w:left w:val="single" w:color="auto" w:sz="4" w:space="0"/>
              <w:bottom w:val="single" w:color="auto" w:sz="4" w:space="0"/>
              <w:right w:val="single" w:color="auto" w:sz="4" w:space="0"/>
            </w:tcBorders>
            <w:noWrap/>
            <w:vAlign w:val="center"/>
          </w:tcPr>
          <w:p>
            <w:pPr>
              <w:pStyle w:val="19"/>
              <w:jc w:val="center"/>
              <w:rPr>
                <w:rFonts w:hint="default" w:hAnsi="宋体"/>
                <w:color w:val="auto"/>
                <w:kern w:val="2"/>
                <w:highlight w:val="none"/>
              </w:rPr>
            </w:pPr>
          </w:p>
        </w:tc>
      </w:tr>
    </w:tbl>
    <w:p>
      <w:pPr>
        <w:tabs>
          <w:tab w:val="left" w:pos="1230"/>
        </w:tabs>
        <w:topLinePunct/>
        <w:autoSpaceDE w:val="0"/>
        <w:autoSpaceDN w:val="0"/>
        <w:snapToGrid w:val="0"/>
        <w:spacing w:line="460" w:lineRule="exact"/>
        <w:ind w:firstLine="480" w:firstLineChars="200"/>
        <w:rPr>
          <w:rFonts w:ascii="宋体" w:hAnsi="宋体"/>
          <w:color w:val="auto"/>
          <w:sz w:val="24"/>
          <w:highlight w:val="none"/>
        </w:rPr>
      </w:pPr>
      <w:r>
        <w:rPr>
          <w:rFonts w:ascii="宋体" w:hAnsi="宋体"/>
          <w:color w:val="auto"/>
          <w:sz w:val="24"/>
          <w:highlight w:val="none"/>
        </w:rPr>
        <w:t>说明： 商务条款无需条对条应答，如有偏离，请在此表中应答并说明；如没有偏离，请在“偏离情况”栏中填写“无”。</w:t>
      </w:r>
    </w:p>
    <w:p>
      <w:pPr>
        <w:pStyle w:val="19"/>
        <w:topLinePunct/>
        <w:autoSpaceDE w:val="0"/>
        <w:autoSpaceDN w:val="0"/>
        <w:spacing w:line="500" w:lineRule="exact"/>
        <w:ind w:firstLine="480" w:firstLineChars="200"/>
        <w:rPr>
          <w:rFonts w:hint="default" w:hAnsi="宋体"/>
          <w:color w:val="auto"/>
          <w:sz w:val="24"/>
          <w:szCs w:val="24"/>
          <w:highlight w:val="none"/>
        </w:rPr>
      </w:pPr>
    </w:p>
    <w:p>
      <w:pPr>
        <w:tabs>
          <w:tab w:val="left" w:pos="1230"/>
        </w:tabs>
        <w:topLinePunct/>
        <w:autoSpaceDE w:val="0"/>
        <w:autoSpaceDN w:val="0"/>
        <w:snapToGrid w:val="0"/>
        <w:spacing w:line="360" w:lineRule="auto"/>
        <w:ind w:left="357"/>
        <w:rPr>
          <w:rFonts w:ascii="宋体" w:hAnsi="宋体"/>
          <w:color w:val="auto"/>
          <w:sz w:val="24"/>
          <w:highlight w:val="none"/>
          <w:u w:val="single"/>
        </w:rPr>
      </w:pPr>
      <w:r>
        <w:rPr>
          <w:rFonts w:ascii="宋体" w:hAnsi="宋体"/>
          <w:color w:val="auto"/>
          <w:sz w:val="24"/>
          <w:highlight w:val="none"/>
        </w:rPr>
        <w:t>项目名称</w:t>
      </w:r>
      <w:r>
        <w:rPr>
          <w:rFonts w:hint="eastAsia" w:ascii="宋体" w:hAnsi="宋体"/>
          <w:color w:val="auto"/>
          <w:sz w:val="24"/>
          <w:highlight w:val="none"/>
        </w:rPr>
        <w:t>（包号）</w:t>
      </w:r>
      <w:r>
        <w:rPr>
          <w:rFonts w:ascii="宋体" w:hAnsi="宋体"/>
          <w:color w:val="auto"/>
          <w:sz w:val="24"/>
          <w:highlight w:val="none"/>
        </w:rPr>
        <w:t>：</w:t>
      </w:r>
    </w:p>
    <w:p>
      <w:pPr>
        <w:tabs>
          <w:tab w:val="left" w:pos="1230"/>
        </w:tabs>
        <w:topLinePunct/>
        <w:autoSpaceDE w:val="0"/>
        <w:autoSpaceDN w:val="0"/>
        <w:snapToGrid w:val="0"/>
        <w:spacing w:line="360" w:lineRule="auto"/>
        <w:ind w:left="357"/>
        <w:rPr>
          <w:rFonts w:ascii="宋体" w:hAnsi="宋体"/>
          <w:color w:val="auto"/>
          <w:sz w:val="24"/>
          <w:highlight w:val="none"/>
        </w:rPr>
      </w:pPr>
      <w:r>
        <w:rPr>
          <w:rFonts w:ascii="宋体" w:hAnsi="宋体"/>
          <w:color w:val="auto"/>
          <w:sz w:val="24"/>
          <w:highlight w:val="none"/>
        </w:rPr>
        <w:t xml:space="preserve">投标人名称： </w:t>
      </w:r>
    </w:p>
    <w:p>
      <w:pPr>
        <w:tabs>
          <w:tab w:val="left" w:pos="1230"/>
        </w:tabs>
        <w:topLinePunct/>
        <w:autoSpaceDE w:val="0"/>
        <w:autoSpaceDN w:val="0"/>
        <w:snapToGrid w:val="0"/>
        <w:spacing w:line="360" w:lineRule="auto"/>
        <w:ind w:left="357"/>
        <w:rPr>
          <w:rFonts w:ascii="宋体" w:hAnsi="宋体"/>
          <w:color w:val="auto"/>
          <w:sz w:val="24"/>
          <w:highlight w:val="none"/>
          <w:u w:val="single"/>
        </w:rPr>
      </w:pPr>
      <w:r>
        <w:rPr>
          <w:rFonts w:ascii="宋体" w:hAnsi="宋体"/>
          <w:color w:val="auto"/>
          <w:sz w:val="24"/>
          <w:highlight w:val="none"/>
        </w:rPr>
        <w:t>投标人公章：</w:t>
      </w:r>
    </w:p>
    <w:p>
      <w:pPr>
        <w:tabs>
          <w:tab w:val="left" w:pos="1230"/>
        </w:tabs>
        <w:topLinePunct/>
        <w:autoSpaceDE w:val="0"/>
        <w:autoSpaceDN w:val="0"/>
        <w:snapToGrid w:val="0"/>
        <w:spacing w:line="360" w:lineRule="auto"/>
        <w:ind w:left="357"/>
        <w:rPr>
          <w:rFonts w:ascii="宋体" w:hAnsi="宋体"/>
          <w:color w:val="auto"/>
          <w:sz w:val="24"/>
          <w:highlight w:val="none"/>
          <w:u w:val="single"/>
        </w:rPr>
      </w:pPr>
      <w:r>
        <w:rPr>
          <w:rFonts w:ascii="宋体" w:hAnsi="宋体"/>
          <w:color w:val="auto"/>
          <w:sz w:val="24"/>
          <w:highlight w:val="none"/>
        </w:rPr>
        <w:t>法定代表人或被授权投标代表（签字或盖章）：</w:t>
      </w:r>
    </w:p>
    <w:p>
      <w:pPr>
        <w:tabs>
          <w:tab w:val="left" w:pos="1230"/>
        </w:tabs>
        <w:topLinePunct/>
        <w:autoSpaceDE w:val="0"/>
        <w:autoSpaceDN w:val="0"/>
        <w:snapToGrid w:val="0"/>
        <w:spacing w:line="360" w:lineRule="auto"/>
        <w:ind w:left="357"/>
        <w:rPr>
          <w:rFonts w:ascii="宋体" w:hAnsi="宋体"/>
          <w:strike/>
          <w:color w:val="auto"/>
          <w:sz w:val="24"/>
          <w:highlight w:val="none"/>
        </w:rPr>
      </w:pPr>
      <w:r>
        <w:rPr>
          <w:rFonts w:ascii="宋体" w:hAnsi="宋体"/>
          <w:color w:val="auto"/>
          <w:sz w:val="24"/>
          <w:highlight w:val="none"/>
        </w:rPr>
        <w:t>日期：</w:t>
      </w:r>
    </w:p>
    <w:bookmarkEnd w:id="48"/>
    <w:bookmarkEnd w:id="49"/>
    <w:p>
      <w:pPr>
        <w:pStyle w:val="19"/>
        <w:rPr>
          <w:rFonts w:hint="default" w:hAnsi="宋体"/>
          <w:strike/>
          <w:color w:val="auto"/>
          <w:sz w:val="24"/>
          <w:highlight w:val="none"/>
        </w:rPr>
      </w:pPr>
    </w:p>
    <w:p>
      <w:pPr>
        <w:pStyle w:val="19"/>
        <w:numPr>
          <w:ilvl w:val="0"/>
          <w:numId w:val="7"/>
        </w:numPr>
        <w:ind w:firstLine="562" w:firstLineChars="200"/>
        <w:rPr>
          <w:rFonts w:hint="default" w:hAnsi="宋体"/>
          <w:b/>
          <w:bCs/>
          <w:color w:val="auto"/>
          <w:sz w:val="28"/>
          <w:szCs w:val="28"/>
          <w:highlight w:val="none"/>
        </w:rPr>
      </w:pPr>
      <w:r>
        <w:rPr>
          <w:rFonts w:hint="default" w:hAnsi="宋体"/>
          <w:b/>
          <w:bCs/>
          <w:color w:val="auto"/>
          <w:sz w:val="28"/>
          <w:szCs w:val="28"/>
          <w:highlight w:val="none"/>
        </w:rPr>
        <w:br w:type="page"/>
      </w:r>
      <w:r>
        <w:rPr>
          <w:rFonts w:hint="default" w:hAnsi="宋体"/>
          <w:b/>
          <w:bCs/>
          <w:color w:val="auto"/>
          <w:sz w:val="28"/>
          <w:szCs w:val="28"/>
          <w:highlight w:val="none"/>
        </w:rPr>
        <w:t>供应商的资格证明文件</w:t>
      </w:r>
    </w:p>
    <w:p>
      <w:pPr>
        <w:pStyle w:val="19"/>
        <w:ind w:firstLine="480" w:firstLineChars="200"/>
        <w:rPr>
          <w:rFonts w:hint="default" w:hAnsi="宋体"/>
          <w:color w:val="auto"/>
          <w:sz w:val="24"/>
          <w:szCs w:val="24"/>
          <w:highlight w:val="none"/>
        </w:rPr>
      </w:pPr>
    </w:p>
    <w:p>
      <w:pPr>
        <w:pStyle w:val="19"/>
        <w:spacing w:line="360" w:lineRule="auto"/>
        <w:ind w:firstLine="480" w:firstLineChars="200"/>
        <w:rPr>
          <w:rFonts w:hint="default" w:hAnsi="宋体"/>
          <w:color w:val="auto"/>
          <w:sz w:val="24"/>
          <w:szCs w:val="24"/>
          <w:highlight w:val="none"/>
        </w:rPr>
      </w:pPr>
      <w:r>
        <w:rPr>
          <w:rFonts w:hint="default" w:hAnsi="宋体"/>
          <w:color w:val="auto"/>
          <w:sz w:val="24"/>
          <w:szCs w:val="24"/>
          <w:highlight w:val="none"/>
        </w:rPr>
        <w:t>4－1 法人或者其他组织的营业执照等证明文件（</w:t>
      </w:r>
      <w:r>
        <w:rPr>
          <w:rFonts w:hint="default" w:hAnsi="宋体"/>
          <w:color w:val="auto"/>
          <w:sz w:val="24"/>
          <w:highlight w:val="none"/>
        </w:rPr>
        <w:t>复印件</w:t>
      </w:r>
      <w:r>
        <w:rPr>
          <w:rFonts w:hint="default" w:hAnsi="宋体"/>
          <w:color w:val="auto"/>
          <w:sz w:val="24"/>
          <w:szCs w:val="24"/>
          <w:highlight w:val="none"/>
        </w:rPr>
        <w:t>）</w:t>
      </w:r>
    </w:p>
    <w:p>
      <w:pPr>
        <w:pStyle w:val="19"/>
        <w:spacing w:line="360" w:lineRule="auto"/>
        <w:ind w:firstLine="480" w:firstLineChars="200"/>
        <w:rPr>
          <w:rFonts w:hint="default" w:hAnsi="宋体"/>
          <w:color w:val="auto"/>
          <w:sz w:val="24"/>
          <w:szCs w:val="24"/>
          <w:highlight w:val="none"/>
        </w:rPr>
      </w:pPr>
    </w:p>
    <w:p>
      <w:pPr>
        <w:pStyle w:val="19"/>
        <w:spacing w:line="360" w:lineRule="auto"/>
        <w:ind w:firstLine="480" w:firstLineChars="200"/>
        <w:rPr>
          <w:rFonts w:hint="default" w:hAnsi="宋体"/>
          <w:color w:val="auto"/>
          <w:sz w:val="24"/>
          <w:szCs w:val="24"/>
          <w:highlight w:val="none"/>
        </w:rPr>
      </w:pPr>
      <w:r>
        <w:rPr>
          <w:rFonts w:hint="default" w:hAnsi="宋体"/>
          <w:color w:val="auto"/>
          <w:sz w:val="24"/>
          <w:szCs w:val="24"/>
          <w:highlight w:val="none"/>
        </w:rPr>
        <w:t>4－2：具有良好的商业信誉和健全的财务会计制度的承诺函（原件）</w:t>
      </w:r>
    </w:p>
    <w:p>
      <w:pPr>
        <w:pStyle w:val="19"/>
        <w:spacing w:line="360" w:lineRule="auto"/>
        <w:ind w:firstLine="480" w:firstLineChars="200"/>
        <w:rPr>
          <w:rFonts w:hint="default" w:hAnsi="宋体"/>
          <w:color w:val="auto"/>
          <w:sz w:val="24"/>
          <w:szCs w:val="24"/>
          <w:highlight w:val="none"/>
        </w:rPr>
      </w:pPr>
    </w:p>
    <w:p>
      <w:pPr>
        <w:pStyle w:val="19"/>
        <w:spacing w:line="360" w:lineRule="auto"/>
        <w:ind w:firstLine="480" w:firstLineChars="200"/>
        <w:rPr>
          <w:rFonts w:hint="default" w:hAnsi="宋体"/>
          <w:color w:val="auto"/>
          <w:sz w:val="24"/>
          <w:szCs w:val="24"/>
          <w:highlight w:val="none"/>
        </w:rPr>
      </w:pPr>
      <w:r>
        <w:rPr>
          <w:rFonts w:hint="default" w:hAnsi="宋体"/>
          <w:color w:val="auto"/>
          <w:sz w:val="24"/>
          <w:szCs w:val="24"/>
          <w:highlight w:val="none"/>
        </w:rPr>
        <w:t>4－3：开标时间前六个月内任一个月的依法缴纳税收的相关材料，如依法免税或不需要纳税的，则应提供相应证明材料（复印件）</w:t>
      </w:r>
    </w:p>
    <w:p>
      <w:pPr>
        <w:pStyle w:val="19"/>
        <w:spacing w:line="360" w:lineRule="auto"/>
        <w:ind w:firstLine="480" w:firstLineChars="200"/>
        <w:rPr>
          <w:rFonts w:hint="default" w:hAnsi="宋体"/>
          <w:color w:val="auto"/>
          <w:sz w:val="24"/>
          <w:szCs w:val="24"/>
          <w:highlight w:val="none"/>
        </w:rPr>
      </w:pPr>
    </w:p>
    <w:p>
      <w:pPr>
        <w:pStyle w:val="19"/>
        <w:spacing w:line="360" w:lineRule="auto"/>
        <w:ind w:firstLine="480" w:firstLineChars="200"/>
        <w:rPr>
          <w:rFonts w:hint="default" w:hAnsi="宋体"/>
          <w:color w:val="auto"/>
          <w:sz w:val="24"/>
          <w:szCs w:val="24"/>
          <w:highlight w:val="none"/>
        </w:rPr>
      </w:pPr>
      <w:r>
        <w:rPr>
          <w:rFonts w:hint="default" w:hAnsi="宋体"/>
          <w:color w:val="auto"/>
          <w:sz w:val="24"/>
          <w:szCs w:val="24"/>
          <w:highlight w:val="none"/>
        </w:rPr>
        <w:t>4－4：开标时间前六个月内任一个月的依法缴纳社会保障资金的相关材料，如依法不需要缴纳社会保障资金的，则应提供相应证明材料（复印件）</w:t>
      </w:r>
    </w:p>
    <w:p>
      <w:pPr>
        <w:pStyle w:val="19"/>
        <w:ind w:firstLine="480" w:firstLineChars="200"/>
        <w:rPr>
          <w:rFonts w:hint="default" w:hAnsi="宋体"/>
          <w:color w:val="auto"/>
          <w:sz w:val="24"/>
          <w:highlight w:val="none"/>
        </w:rPr>
      </w:pPr>
      <w:r>
        <w:rPr>
          <w:rFonts w:hint="default" w:hAnsi="宋体"/>
          <w:color w:val="auto"/>
          <w:sz w:val="24"/>
          <w:szCs w:val="24"/>
          <w:highlight w:val="none"/>
        </w:rPr>
        <w:br w:type="page"/>
      </w:r>
      <w:r>
        <w:rPr>
          <w:rFonts w:hint="default" w:hAnsi="宋体"/>
          <w:color w:val="auto"/>
          <w:sz w:val="24"/>
          <w:szCs w:val="24"/>
          <w:highlight w:val="none"/>
        </w:rPr>
        <w:t>4－5：参加</w:t>
      </w:r>
      <w:r>
        <w:rPr>
          <w:rFonts w:hint="default" w:hAnsi="宋体"/>
          <w:color w:val="auto"/>
          <w:sz w:val="24"/>
          <w:highlight w:val="none"/>
        </w:rPr>
        <w:t>本项目投标前三年内，在经营活动中没有重大违法记录的书面声明</w:t>
      </w:r>
    </w:p>
    <w:p>
      <w:pPr>
        <w:pStyle w:val="19"/>
        <w:ind w:firstLine="480" w:firstLineChars="200"/>
        <w:rPr>
          <w:rFonts w:hint="default" w:hAnsi="宋体"/>
          <w:color w:val="auto"/>
          <w:sz w:val="24"/>
          <w:szCs w:val="24"/>
          <w:highlight w:val="none"/>
        </w:rPr>
      </w:pPr>
    </w:p>
    <w:p>
      <w:pPr>
        <w:pStyle w:val="19"/>
        <w:topLinePunct/>
        <w:autoSpaceDE w:val="0"/>
        <w:autoSpaceDN w:val="0"/>
        <w:snapToGrid w:val="0"/>
        <w:spacing w:line="460" w:lineRule="exact"/>
        <w:jc w:val="center"/>
        <w:rPr>
          <w:rFonts w:hint="default" w:hAnsi="宋体"/>
          <w:b/>
          <w:color w:val="auto"/>
          <w:sz w:val="24"/>
          <w:highlight w:val="none"/>
        </w:rPr>
      </w:pPr>
      <w:r>
        <w:rPr>
          <w:rFonts w:hint="default" w:hAnsi="宋体"/>
          <w:b/>
          <w:color w:val="auto"/>
          <w:sz w:val="24"/>
          <w:highlight w:val="none"/>
        </w:rPr>
        <w:t>参加政府采购活动前三年内在经营活动中</w:t>
      </w:r>
    </w:p>
    <w:p>
      <w:pPr>
        <w:pStyle w:val="19"/>
        <w:topLinePunct/>
        <w:autoSpaceDE w:val="0"/>
        <w:autoSpaceDN w:val="0"/>
        <w:snapToGrid w:val="0"/>
        <w:spacing w:line="460" w:lineRule="exact"/>
        <w:jc w:val="center"/>
        <w:rPr>
          <w:rFonts w:hint="default" w:hAnsi="宋体"/>
          <w:b/>
          <w:color w:val="auto"/>
          <w:sz w:val="24"/>
          <w:highlight w:val="none"/>
        </w:rPr>
      </w:pPr>
      <w:r>
        <w:rPr>
          <w:rFonts w:hint="default" w:hAnsi="宋体"/>
          <w:b/>
          <w:color w:val="auto"/>
          <w:sz w:val="24"/>
          <w:highlight w:val="none"/>
        </w:rPr>
        <w:t>没有重大违法记录的书面声明</w:t>
      </w:r>
    </w:p>
    <w:p>
      <w:pPr>
        <w:pStyle w:val="19"/>
        <w:topLinePunct/>
        <w:autoSpaceDE w:val="0"/>
        <w:autoSpaceDN w:val="0"/>
        <w:snapToGrid w:val="0"/>
        <w:spacing w:line="460" w:lineRule="exact"/>
        <w:jc w:val="center"/>
        <w:rPr>
          <w:rFonts w:hint="default" w:hAnsi="宋体"/>
          <w:b/>
          <w:color w:val="auto"/>
          <w:w w:val="150"/>
          <w:sz w:val="24"/>
          <w:highlight w:val="none"/>
        </w:rPr>
      </w:pPr>
    </w:p>
    <w:p>
      <w:pPr>
        <w:pStyle w:val="19"/>
        <w:spacing w:line="600" w:lineRule="exact"/>
        <w:rPr>
          <w:rFonts w:hint="default" w:hAnsi="宋体"/>
          <w:color w:val="auto"/>
          <w:sz w:val="24"/>
          <w:szCs w:val="24"/>
          <w:highlight w:val="none"/>
        </w:rPr>
      </w:pPr>
      <w:r>
        <w:rPr>
          <w:rFonts w:hint="default" w:hAnsi="宋体"/>
          <w:color w:val="auto"/>
          <w:sz w:val="24"/>
          <w:szCs w:val="24"/>
          <w:highlight w:val="none"/>
        </w:rPr>
        <w:t>致________(采购人)：</w:t>
      </w:r>
    </w:p>
    <w:p>
      <w:pPr>
        <w:pStyle w:val="19"/>
        <w:spacing w:line="600" w:lineRule="exact"/>
        <w:ind w:firstLine="480" w:firstLineChars="200"/>
        <w:rPr>
          <w:rFonts w:hint="default" w:hAnsi="宋体"/>
          <w:color w:val="auto"/>
          <w:sz w:val="24"/>
          <w:szCs w:val="24"/>
          <w:highlight w:val="none"/>
        </w:rPr>
      </w:pPr>
      <w:r>
        <w:rPr>
          <w:rFonts w:hint="default" w:hAnsi="宋体"/>
          <w:color w:val="auto"/>
          <w:sz w:val="24"/>
          <w:szCs w:val="24"/>
          <w:highlight w:val="none"/>
        </w:rPr>
        <w:t>我单位在参加采购活动前三年内在经营活动中没有《政府采购法》第二十二条第一款第(五)项所称重大违法记录，包括：</w:t>
      </w:r>
    </w:p>
    <w:p>
      <w:pPr>
        <w:pStyle w:val="19"/>
        <w:spacing w:line="600" w:lineRule="exact"/>
        <w:ind w:firstLine="480" w:firstLineChars="200"/>
        <w:rPr>
          <w:rFonts w:hint="default" w:hAnsi="宋体"/>
          <w:color w:val="auto"/>
          <w:sz w:val="24"/>
          <w:szCs w:val="24"/>
          <w:highlight w:val="none"/>
        </w:rPr>
      </w:pPr>
      <w:r>
        <w:rPr>
          <w:rFonts w:hint="default" w:hAnsi="宋体"/>
          <w:color w:val="auto"/>
          <w:sz w:val="24"/>
          <w:szCs w:val="24"/>
          <w:highlight w:val="none"/>
        </w:rPr>
        <w:t>我单位未因经营活动中的违法行为受到刑事处罚或者责令停产停业、吊销许可证或者执照、较大数额罚款等行政处罚。</w:t>
      </w:r>
    </w:p>
    <w:p>
      <w:pPr>
        <w:pStyle w:val="19"/>
        <w:spacing w:line="600" w:lineRule="exact"/>
        <w:ind w:firstLine="480" w:firstLineChars="200"/>
        <w:rPr>
          <w:rFonts w:hint="default" w:hAnsi="宋体"/>
          <w:color w:val="auto"/>
          <w:sz w:val="24"/>
          <w:szCs w:val="24"/>
          <w:highlight w:val="none"/>
        </w:rPr>
      </w:pPr>
      <w:r>
        <w:rPr>
          <w:rFonts w:hint="default" w:hAnsi="宋体"/>
          <w:color w:val="auto"/>
          <w:sz w:val="24"/>
          <w:szCs w:val="24"/>
          <w:highlight w:val="none"/>
        </w:rPr>
        <w:t>特此声明！</w:t>
      </w:r>
    </w:p>
    <w:p>
      <w:pPr>
        <w:pStyle w:val="19"/>
        <w:spacing w:line="600" w:lineRule="exact"/>
        <w:ind w:firstLine="480" w:firstLineChars="200"/>
        <w:rPr>
          <w:rFonts w:hint="default" w:hAnsi="宋体"/>
          <w:color w:val="auto"/>
          <w:sz w:val="24"/>
          <w:szCs w:val="24"/>
          <w:highlight w:val="none"/>
        </w:rPr>
      </w:pPr>
    </w:p>
    <w:p>
      <w:pPr>
        <w:pStyle w:val="19"/>
        <w:spacing w:line="600" w:lineRule="exact"/>
        <w:ind w:firstLine="480" w:firstLineChars="200"/>
        <w:rPr>
          <w:rFonts w:hint="default" w:hAnsi="宋体"/>
          <w:color w:val="auto"/>
          <w:sz w:val="24"/>
          <w:szCs w:val="24"/>
          <w:highlight w:val="none"/>
        </w:rPr>
      </w:pPr>
    </w:p>
    <w:p>
      <w:pPr>
        <w:pStyle w:val="19"/>
        <w:spacing w:line="600" w:lineRule="exact"/>
        <w:ind w:firstLine="480" w:firstLineChars="200"/>
        <w:rPr>
          <w:rFonts w:hint="default" w:hAnsi="宋体"/>
          <w:color w:val="auto"/>
          <w:sz w:val="24"/>
          <w:szCs w:val="24"/>
          <w:highlight w:val="none"/>
        </w:rPr>
      </w:pPr>
    </w:p>
    <w:p>
      <w:pPr>
        <w:pStyle w:val="19"/>
        <w:ind w:firstLine="4560" w:firstLineChars="1900"/>
        <w:rPr>
          <w:rFonts w:hint="default" w:hAnsi="宋体"/>
          <w:color w:val="auto"/>
          <w:sz w:val="24"/>
          <w:szCs w:val="24"/>
          <w:highlight w:val="none"/>
        </w:rPr>
      </w:pPr>
      <w:r>
        <w:rPr>
          <w:rFonts w:hint="default" w:hAnsi="宋体"/>
          <w:color w:val="auto"/>
          <w:sz w:val="24"/>
          <w:szCs w:val="24"/>
          <w:highlight w:val="none"/>
        </w:rPr>
        <w:t xml:space="preserve">单位名称（盖章）：                                            </w:t>
      </w:r>
    </w:p>
    <w:p>
      <w:pPr>
        <w:pStyle w:val="19"/>
        <w:ind w:firstLine="4800" w:firstLineChars="2000"/>
        <w:rPr>
          <w:rFonts w:hint="default" w:hAnsi="宋体"/>
          <w:color w:val="auto"/>
          <w:sz w:val="24"/>
          <w:szCs w:val="24"/>
          <w:highlight w:val="none"/>
        </w:rPr>
      </w:pPr>
    </w:p>
    <w:p>
      <w:pPr>
        <w:pStyle w:val="19"/>
        <w:ind w:firstLine="4800" w:firstLineChars="2000"/>
        <w:rPr>
          <w:rFonts w:hint="default" w:hAnsi="宋体"/>
          <w:color w:val="auto"/>
          <w:sz w:val="24"/>
          <w:szCs w:val="24"/>
          <w:highlight w:val="none"/>
        </w:rPr>
      </w:pPr>
      <w:r>
        <w:rPr>
          <w:rFonts w:hint="default" w:hAnsi="宋体"/>
          <w:color w:val="auto"/>
          <w:sz w:val="24"/>
          <w:szCs w:val="24"/>
          <w:highlight w:val="none"/>
        </w:rPr>
        <w:t>日期：</w:t>
      </w:r>
    </w:p>
    <w:p>
      <w:pPr>
        <w:pStyle w:val="19"/>
        <w:ind w:firstLine="482" w:firstLineChars="200"/>
        <w:rPr>
          <w:rFonts w:hint="default" w:hAnsi="宋体"/>
          <w:b/>
          <w:bCs/>
          <w:color w:val="auto"/>
          <w:sz w:val="24"/>
          <w:szCs w:val="24"/>
          <w:highlight w:val="none"/>
        </w:rPr>
      </w:pPr>
    </w:p>
    <w:p>
      <w:pPr>
        <w:pStyle w:val="19"/>
        <w:ind w:firstLine="482" w:firstLineChars="200"/>
        <w:rPr>
          <w:rFonts w:hint="default" w:hAnsi="宋体"/>
          <w:b/>
          <w:bCs/>
          <w:color w:val="auto"/>
          <w:sz w:val="24"/>
          <w:szCs w:val="24"/>
          <w:highlight w:val="none"/>
        </w:rPr>
      </w:pPr>
    </w:p>
    <w:p>
      <w:pPr>
        <w:pStyle w:val="19"/>
        <w:ind w:firstLine="482" w:firstLineChars="200"/>
        <w:rPr>
          <w:rFonts w:hint="default" w:hAnsi="宋体"/>
          <w:b/>
          <w:bCs/>
          <w:color w:val="auto"/>
          <w:sz w:val="24"/>
          <w:szCs w:val="24"/>
          <w:highlight w:val="none"/>
        </w:rPr>
      </w:pPr>
    </w:p>
    <w:p>
      <w:pPr>
        <w:pStyle w:val="19"/>
        <w:ind w:firstLine="482" w:firstLineChars="200"/>
        <w:rPr>
          <w:rFonts w:hint="default" w:hAnsi="宋体"/>
          <w:b/>
          <w:bCs/>
          <w:color w:val="auto"/>
          <w:sz w:val="24"/>
          <w:szCs w:val="24"/>
          <w:highlight w:val="none"/>
        </w:rPr>
      </w:pPr>
    </w:p>
    <w:p>
      <w:pPr>
        <w:pStyle w:val="19"/>
        <w:ind w:firstLine="482" w:firstLineChars="200"/>
        <w:rPr>
          <w:rFonts w:hint="default" w:hAnsi="宋体"/>
          <w:b/>
          <w:bCs/>
          <w:color w:val="auto"/>
          <w:sz w:val="24"/>
          <w:szCs w:val="24"/>
          <w:highlight w:val="none"/>
        </w:rPr>
      </w:pPr>
    </w:p>
    <w:p>
      <w:pPr>
        <w:pStyle w:val="19"/>
        <w:ind w:firstLine="482" w:firstLineChars="200"/>
        <w:rPr>
          <w:rFonts w:hint="default" w:hAnsi="宋体"/>
          <w:b/>
          <w:bCs/>
          <w:color w:val="auto"/>
          <w:sz w:val="24"/>
          <w:szCs w:val="24"/>
          <w:highlight w:val="none"/>
        </w:rPr>
      </w:pPr>
    </w:p>
    <w:p>
      <w:pPr>
        <w:pStyle w:val="19"/>
        <w:ind w:firstLine="482" w:firstLineChars="200"/>
        <w:rPr>
          <w:rFonts w:hint="default" w:hAnsi="宋体"/>
          <w:b/>
          <w:bCs/>
          <w:color w:val="auto"/>
          <w:sz w:val="24"/>
          <w:szCs w:val="24"/>
          <w:highlight w:val="none"/>
        </w:rPr>
      </w:pPr>
    </w:p>
    <w:p>
      <w:pPr>
        <w:pStyle w:val="19"/>
        <w:ind w:firstLine="482" w:firstLineChars="200"/>
        <w:rPr>
          <w:rFonts w:hint="default" w:hAnsi="宋体"/>
          <w:b/>
          <w:bCs/>
          <w:color w:val="auto"/>
          <w:sz w:val="24"/>
          <w:szCs w:val="24"/>
          <w:highlight w:val="none"/>
        </w:rPr>
      </w:pPr>
    </w:p>
    <w:p>
      <w:pPr>
        <w:pStyle w:val="19"/>
        <w:ind w:firstLine="482" w:firstLineChars="200"/>
        <w:rPr>
          <w:rFonts w:hint="default" w:hAnsi="宋体"/>
          <w:b/>
          <w:bCs/>
          <w:color w:val="auto"/>
          <w:sz w:val="24"/>
          <w:szCs w:val="24"/>
          <w:highlight w:val="none"/>
        </w:rPr>
      </w:pPr>
    </w:p>
    <w:p>
      <w:pPr>
        <w:pStyle w:val="19"/>
        <w:ind w:firstLine="482" w:firstLineChars="200"/>
        <w:rPr>
          <w:rFonts w:hint="default" w:hAnsi="宋体"/>
          <w:b/>
          <w:bCs/>
          <w:color w:val="auto"/>
          <w:sz w:val="24"/>
          <w:szCs w:val="24"/>
          <w:highlight w:val="none"/>
        </w:rPr>
      </w:pPr>
    </w:p>
    <w:p>
      <w:pPr>
        <w:pStyle w:val="19"/>
        <w:ind w:firstLine="482" w:firstLineChars="200"/>
        <w:rPr>
          <w:rFonts w:hint="default" w:hAnsi="宋体"/>
          <w:b/>
          <w:bCs/>
          <w:color w:val="auto"/>
          <w:sz w:val="24"/>
          <w:szCs w:val="24"/>
          <w:highlight w:val="none"/>
        </w:rPr>
      </w:pPr>
    </w:p>
    <w:p>
      <w:pPr>
        <w:pStyle w:val="19"/>
        <w:ind w:firstLine="482" w:firstLineChars="200"/>
        <w:rPr>
          <w:rFonts w:hint="default" w:hAnsi="宋体"/>
          <w:b/>
          <w:bCs/>
          <w:color w:val="auto"/>
          <w:sz w:val="24"/>
          <w:szCs w:val="24"/>
          <w:highlight w:val="none"/>
        </w:rPr>
      </w:pPr>
    </w:p>
    <w:p>
      <w:pPr>
        <w:pStyle w:val="19"/>
        <w:ind w:firstLine="482" w:firstLineChars="200"/>
        <w:rPr>
          <w:rFonts w:hint="default" w:hAnsi="宋体"/>
          <w:b/>
          <w:bCs/>
          <w:color w:val="auto"/>
          <w:sz w:val="24"/>
          <w:szCs w:val="24"/>
          <w:highlight w:val="none"/>
        </w:rPr>
      </w:pPr>
    </w:p>
    <w:p>
      <w:pPr>
        <w:pStyle w:val="19"/>
        <w:ind w:firstLine="482" w:firstLineChars="200"/>
        <w:rPr>
          <w:rFonts w:hint="default" w:hAnsi="宋体"/>
          <w:b/>
          <w:bCs/>
          <w:color w:val="auto"/>
          <w:sz w:val="24"/>
          <w:szCs w:val="24"/>
          <w:highlight w:val="none"/>
        </w:rPr>
      </w:pPr>
    </w:p>
    <w:p>
      <w:pPr>
        <w:pStyle w:val="19"/>
        <w:ind w:firstLine="482" w:firstLineChars="200"/>
        <w:rPr>
          <w:rFonts w:hint="default" w:hAnsi="宋体"/>
          <w:b/>
          <w:bCs/>
          <w:color w:val="auto"/>
          <w:sz w:val="24"/>
          <w:szCs w:val="24"/>
          <w:highlight w:val="none"/>
        </w:rPr>
      </w:pPr>
    </w:p>
    <w:p>
      <w:pPr>
        <w:pStyle w:val="19"/>
        <w:ind w:firstLine="482" w:firstLineChars="200"/>
        <w:rPr>
          <w:rFonts w:hint="default" w:hAnsi="宋体"/>
          <w:b/>
          <w:bCs/>
          <w:color w:val="auto"/>
          <w:sz w:val="24"/>
          <w:szCs w:val="24"/>
          <w:highlight w:val="none"/>
        </w:rPr>
      </w:pPr>
    </w:p>
    <w:p>
      <w:pPr>
        <w:pStyle w:val="19"/>
        <w:ind w:firstLine="482" w:firstLineChars="200"/>
        <w:rPr>
          <w:rFonts w:hint="default" w:hAnsi="宋体"/>
          <w:b/>
          <w:bCs/>
          <w:color w:val="auto"/>
          <w:sz w:val="24"/>
          <w:szCs w:val="24"/>
          <w:highlight w:val="none"/>
        </w:rPr>
      </w:pPr>
    </w:p>
    <w:p>
      <w:pPr>
        <w:pStyle w:val="19"/>
        <w:rPr>
          <w:rFonts w:hint="default" w:hAnsi="宋体"/>
          <w:color w:val="auto"/>
          <w:sz w:val="24"/>
          <w:highlight w:val="none"/>
        </w:rPr>
      </w:pPr>
      <w:r>
        <w:rPr>
          <w:rFonts w:hint="default" w:hAnsi="宋体"/>
          <w:color w:val="auto"/>
          <w:sz w:val="24"/>
          <w:highlight w:val="none"/>
        </w:rPr>
        <w:t>4－6：提供具备履行合同所必需的设备和专业技术能力声明函（原件）</w:t>
      </w:r>
    </w:p>
    <w:p>
      <w:pPr>
        <w:pStyle w:val="19"/>
        <w:jc w:val="center"/>
        <w:rPr>
          <w:rFonts w:hint="default" w:hAnsi="宋体"/>
          <w:color w:val="auto"/>
          <w:sz w:val="24"/>
          <w:highlight w:val="none"/>
        </w:rPr>
      </w:pPr>
      <w:r>
        <w:rPr>
          <w:rFonts w:hint="default" w:hAnsi="宋体"/>
          <w:color w:val="auto"/>
          <w:sz w:val="24"/>
          <w:highlight w:val="none"/>
        </w:rPr>
        <w:t>（格式自拟）</w:t>
      </w:r>
    </w:p>
    <w:p>
      <w:pPr>
        <w:pStyle w:val="19"/>
        <w:rPr>
          <w:rFonts w:hint="default" w:hAnsi="宋体"/>
          <w:color w:val="auto"/>
          <w:sz w:val="24"/>
          <w:highlight w:val="none"/>
        </w:rPr>
      </w:pPr>
    </w:p>
    <w:p>
      <w:pPr>
        <w:pStyle w:val="19"/>
        <w:rPr>
          <w:rFonts w:hint="default" w:hAnsi="宋体"/>
          <w:color w:val="auto"/>
          <w:sz w:val="24"/>
          <w:highlight w:val="none"/>
        </w:rPr>
      </w:pPr>
    </w:p>
    <w:p>
      <w:pPr>
        <w:pStyle w:val="19"/>
        <w:rPr>
          <w:rFonts w:hint="default" w:hAnsi="宋体"/>
          <w:color w:val="auto"/>
          <w:sz w:val="24"/>
          <w:highlight w:val="none"/>
        </w:rPr>
      </w:pPr>
    </w:p>
    <w:p>
      <w:pPr>
        <w:pStyle w:val="19"/>
        <w:rPr>
          <w:rFonts w:hint="default" w:hAnsi="宋体"/>
          <w:color w:val="auto"/>
          <w:sz w:val="24"/>
          <w:highlight w:val="none"/>
        </w:rPr>
      </w:pPr>
    </w:p>
    <w:p>
      <w:pPr>
        <w:pStyle w:val="19"/>
        <w:rPr>
          <w:rFonts w:hint="default" w:hAnsi="宋体"/>
          <w:color w:val="auto"/>
          <w:sz w:val="24"/>
          <w:highlight w:val="none"/>
        </w:rPr>
      </w:pPr>
    </w:p>
    <w:p>
      <w:pPr>
        <w:pStyle w:val="19"/>
        <w:rPr>
          <w:rFonts w:hint="default" w:hAnsi="宋体"/>
          <w:color w:val="auto"/>
          <w:sz w:val="24"/>
          <w:highlight w:val="none"/>
        </w:rPr>
      </w:pPr>
    </w:p>
    <w:p>
      <w:pPr>
        <w:pStyle w:val="19"/>
        <w:rPr>
          <w:rFonts w:hint="default" w:hAnsi="宋体"/>
          <w:color w:val="auto"/>
          <w:sz w:val="24"/>
          <w:highlight w:val="none"/>
        </w:rPr>
      </w:pPr>
    </w:p>
    <w:p>
      <w:pPr>
        <w:pStyle w:val="19"/>
        <w:rPr>
          <w:rFonts w:hint="default" w:hAnsi="宋体"/>
          <w:color w:val="auto"/>
          <w:sz w:val="24"/>
          <w:highlight w:val="none"/>
        </w:rPr>
      </w:pPr>
    </w:p>
    <w:p>
      <w:pPr>
        <w:pStyle w:val="19"/>
        <w:rPr>
          <w:rFonts w:hint="default" w:hAnsi="宋体"/>
          <w:color w:val="auto"/>
          <w:sz w:val="24"/>
          <w:highlight w:val="none"/>
        </w:rPr>
      </w:pPr>
    </w:p>
    <w:p>
      <w:pPr>
        <w:pStyle w:val="19"/>
        <w:rPr>
          <w:rFonts w:hint="default" w:hAnsi="宋体"/>
          <w:color w:val="auto"/>
          <w:sz w:val="24"/>
          <w:highlight w:val="none"/>
        </w:rPr>
      </w:pPr>
    </w:p>
    <w:p>
      <w:pPr>
        <w:pStyle w:val="19"/>
        <w:rPr>
          <w:rFonts w:hint="default" w:hAnsi="宋体"/>
          <w:color w:val="auto"/>
          <w:sz w:val="24"/>
          <w:highlight w:val="none"/>
        </w:rPr>
      </w:pPr>
    </w:p>
    <w:p>
      <w:pPr>
        <w:pStyle w:val="19"/>
        <w:rPr>
          <w:rFonts w:hint="default" w:hAnsi="宋体"/>
          <w:color w:val="auto"/>
          <w:sz w:val="24"/>
          <w:highlight w:val="none"/>
        </w:rPr>
      </w:pPr>
    </w:p>
    <w:p>
      <w:pPr>
        <w:pStyle w:val="19"/>
        <w:rPr>
          <w:rFonts w:hint="default" w:hAnsi="宋体"/>
          <w:color w:val="auto"/>
          <w:sz w:val="24"/>
          <w:highlight w:val="none"/>
        </w:rPr>
      </w:pPr>
    </w:p>
    <w:p>
      <w:pPr>
        <w:pStyle w:val="19"/>
        <w:rPr>
          <w:rFonts w:hint="default" w:hAnsi="宋体"/>
          <w:color w:val="auto"/>
          <w:sz w:val="24"/>
          <w:highlight w:val="none"/>
        </w:rPr>
      </w:pPr>
    </w:p>
    <w:p>
      <w:pPr>
        <w:pStyle w:val="19"/>
        <w:rPr>
          <w:rFonts w:hint="default" w:hAnsi="宋体"/>
          <w:color w:val="auto"/>
          <w:sz w:val="24"/>
          <w:highlight w:val="none"/>
        </w:rPr>
      </w:pPr>
    </w:p>
    <w:p>
      <w:pPr>
        <w:pStyle w:val="19"/>
        <w:rPr>
          <w:rFonts w:hint="default" w:hAnsi="宋体"/>
          <w:color w:val="auto"/>
          <w:sz w:val="24"/>
          <w:highlight w:val="none"/>
        </w:rPr>
      </w:pPr>
    </w:p>
    <w:p>
      <w:pPr>
        <w:pStyle w:val="19"/>
        <w:rPr>
          <w:rFonts w:hint="default" w:hAnsi="宋体"/>
          <w:color w:val="auto"/>
          <w:sz w:val="24"/>
          <w:highlight w:val="none"/>
        </w:rPr>
      </w:pPr>
    </w:p>
    <w:p>
      <w:pPr>
        <w:pStyle w:val="19"/>
        <w:rPr>
          <w:rFonts w:hint="default" w:hAnsi="宋体"/>
          <w:color w:val="auto"/>
          <w:sz w:val="24"/>
          <w:highlight w:val="none"/>
        </w:rPr>
      </w:pPr>
    </w:p>
    <w:p>
      <w:pPr>
        <w:pStyle w:val="19"/>
        <w:rPr>
          <w:rFonts w:hint="default" w:hAnsi="宋体"/>
          <w:color w:val="auto"/>
          <w:sz w:val="24"/>
          <w:highlight w:val="none"/>
        </w:rPr>
      </w:pPr>
    </w:p>
    <w:p>
      <w:pPr>
        <w:pStyle w:val="19"/>
        <w:rPr>
          <w:rFonts w:hint="default" w:hAnsi="宋体"/>
          <w:color w:val="auto"/>
          <w:sz w:val="24"/>
          <w:highlight w:val="none"/>
        </w:rPr>
      </w:pPr>
    </w:p>
    <w:p>
      <w:pPr>
        <w:pStyle w:val="19"/>
        <w:rPr>
          <w:rFonts w:hint="default" w:hAnsi="宋体"/>
          <w:color w:val="auto"/>
          <w:sz w:val="24"/>
          <w:highlight w:val="none"/>
        </w:rPr>
      </w:pPr>
    </w:p>
    <w:p>
      <w:pPr>
        <w:pStyle w:val="19"/>
        <w:rPr>
          <w:rFonts w:hint="default" w:hAnsi="宋体"/>
          <w:color w:val="auto"/>
          <w:sz w:val="24"/>
          <w:highlight w:val="none"/>
        </w:rPr>
      </w:pPr>
    </w:p>
    <w:p>
      <w:pPr>
        <w:pStyle w:val="19"/>
        <w:rPr>
          <w:rFonts w:hint="default" w:hAnsi="宋体"/>
          <w:color w:val="auto"/>
          <w:sz w:val="24"/>
          <w:highlight w:val="none"/>
        </w:rPr>
      </w:pPr>
    </w:p>
    <w:p>
      <w:pPr>
        <w:pStyle w:val="19"/>
        <w:rPr>
          <w:rFonts w:hint="default" w:hAnsi="宋体"/>
          <w:color w:val="auto"/>
          <w:sz w:val="24"/>
          <w:highlight w:val="none"/>
        </w:rPr>
      </w:pPr>
    </w:p>
    <w:p>
      <w:pPr>
        <w:pStyle w:val="19"/>
        <w:rPr>
          <w:rFonts w:hint="default" w:hAnsi="宋体"/>
          <w:color w:val="auto"/>
          <w:sz w:val="24"/>
          <w:highlight w:val="none"/>
        </w:rPr>
      </w:pPr>
    </w:p>
    <w:p>
      <w:pPr>
        <w:pStyle w:val="19"/>
        <w:rPr>
          <w:rFonts w:hint="default" w:hAnsi="宋体"/>
          <w:color w:val="auto"/>
          <w:sz w:val="24"/>
          <w:highlight w:val="none"/>
        </w:rPr>
      </w:pPr>
    </w:p>
    <w:p>
      <w:pPr>
        <w:pStyle w:val="19"/>
        <w:rPr>
          <w:rFonts w:hint="default" w:hAnsi="宋体"/>
          <w:color w:val="auto"/>
          <w:sz w:val="24"/>
          <w:highlight w:val="none"/>
        </w:rPr>
      </w:pPr>
    </w:p>
    <w:p>
      <w:pPr>
        <w:pStyle w:val="19"/>
        <w:rPr>
          <w:rFonts w:hint="default" w:hAnsi="宋体"/>
          <w:color w:val="auto"/>
          <w:sz w:val="24"/>
          <w:highlight w:val="none"/>
        </w:rPr>
      </w:pPr>
    </w:p>
    <w:p>
      <w:pPr>
        <w:pStyle w:val="19"/>
        <w:rPr>
          <w:rFonts w:hint="default" w:hAnsi="宋体"/>
          <w:color w:val="auto"/>
          <w:sz w:val="24"/>
          <w:highlight w:val="none"/>
        </w:rPr>
      </w:pPr>
    </w:p>
    <w:p>
      <w:pPr>
        <w:pStyle w:val="19"/>
        <w:rPr>
          <w:rFonts w:hint="default" w:hAnsi="宋体"/>
          <w:color w:val="auto"/>
          <w:sz w:val="24"/>
          <w:highlight w:val="none"/>
        </w:rPr>
      </w:pPr>
    </w:p>
    <w:p>
      <w:pPr>
        <w:pStyle w:val="19"/>
        <w:rPr>
          <w:rFonts w:hint="default" w:hAnsi="宋体"/>
          <w:color w:val="auto"/>
          <w:sz w:val="24"/>
          <w:highlight w:val="none"/>
        </w:rPr>
      </w:pPr>
    </w:p>
    <w:p>
      <w:pPr>
        <w:pStyle w:val="19"/>
        <w:rPr>
          <w:rFonts w:hint="default" w:hAnsi="宋体"/>
          <w:color w:val="auto"/>
          <w:sz w:val="24"/>
          <w:highlight w:val="none"/>
        </w:rPr>
      </w:pPr>
    </w:p>
    <w:p>
      <w:pPr>
        <w:pStyle w:val="19"/>
        <w:rPr>
          <w:rFonts w:hint="default" w:hAnsi="宋体"/>
          <w:color w:val="auto"/>
          <w:sz w:val="24"/>
          <w:highlight w:val="none"/>
        </w:rPr>
      </w:pPr>
    </w:p>
    <w:p>
      <w:pPr>
        <w:pStyle w:val="19"/>
        <w:rPr>
          <w:rFonts w:hint="default" w:hAnsi="宋体"/>
          <w:color w:val="auto"/>
          <w:sz w:val="24"/>
          <w:highlight w:val="none"/>
        </w:rPr>
      </w:pPr>
    </w:p>
    <w:p>
      <w:pPr>
        <w:pStyle w:val="19"/>
        <w:rPr>
          <w:rFonts w:hint="default" w:hAnsi="宋体"/>
          <w:color w:val="auto"/>
          <w:sz w:val="24"/>
          <w:highlight w:val="none"/>
        </w:rPr>
      </w:pPr>
    </w:p>
    <w:p>
      <w:pPr>
        <w:pStyle w:val="19"/>
        <w:rPr>
          <w:rFonts w:hint="default" w:hAnsi="宋体"/>
          <w:color w:val="auto"/>
          <w:sz w:val="24"/>
          <w:highlight w:val="none"/>
        </w:rPr>
      </w:pPr>
    </w:p>
    <w:p>
      <w:pPr>
        <w:pStyle w:val="19"/>
        <w:rPr>
          <w:rFonts w:hint="default" w:hAnsi="宋体"/>
          <w:color w:val="auto"/>
          <w:sz w:val="24"/>
          <w:highlight w:val="none"/>
        </w:rPr>
      </w:pPr>
    </w:p>
    <w:p>
      <w:pPr>
        <w:pStyle w:val="19"/>
        <w:rPr>
          <w:rFonts w:hint="default" w:hAnsi="宋体"/>
          <w:color w:val="auto"/>
          <w:sz w:val="24"/>
          <w:highlight w:val="none"/>
        </w:rPr>
      </w:pPr>
    </w:p>
    <w:p>
      <w:pPr>
        <w:pStyle w:val="19"/>
        <w:rPr>
          <w:rFonts w:hint="default" w:hAnsi="宋体"/>
          <w:color w:val="auto"/>
          <w:sz w:val="24"/>
          <w:highlight w:val="none"/>
        </w:rPr>
      </w:pPr>
    </w:p>
    <w:p>
      <w:pPr>
        <w:pStyle w:val="19"/>
        <w:rPr>
          <w:rFonts w:hint="default" w:hAnsi="宋体"/>
          <w:color w:val="auto"/>
          <w:sz w:val="24"/>
          <w:highlight w:val="none"/>
        </w:rPr>
      </w:pPr>
    </w:p>
    <w:p>
      <w:pPr>
        <w:pStyle w:val="19"/>
        <w:rPr>
          <w:rFonts w:hint="default" w:hAnsi="宋体"/>
          <w:color w:val="auto"/>
          <w:sz w:val="24"/>
          <w:highlight w:val="none"/>
        </w:rPr>
      </w:pPr>
    </w:p>
    <w:p>
      <w:pPr>
        <w:pStyle w:val="19"/>
        <w:rPr>
          <w:rFonts w:hint="default" w:hAnsi="宋体"/>
          <w:color w:val="auto"/>
          <w:sz w:val="24"/>
          <w:highlight w:val="none"/>
        </w:rPr>
      </w:pPr>
    </w:p>
    <w:p>
      <w:pPr>
        <w:pStyle w:val="19"/>
        <w:ind w:firstLine="480" w:firstLineChars="200"/>
        <w:rPr>
          <w:rFonts w:hint="default" w:hAnsi="宋体"/>
          <w:b/>
          <w:bCs/>
          <w:color w:val="auto"/>
          <w:sz w:val="28"/>
          <w:szCs w:val="28"/>
          <w:highlight w:val="none"/>
        </w:rPr>
      </w:pPr>
      <w:r>
        <w:rPr>
          <w:rFonts w:hint="default" w:hAnsi="宋体"/>
          <w:color w:val="auto"/>
          <w:sz w:val="24"/>
          <w:szCs w:val="24"/>
          <w:highlight w:val="none"/>
        </w:rPr>
        <w:br w:type="page"/>
      </w:r>
      <w:r>
        <w:rPr>
          <w:rFonts w:hint="default" w:hAnsi="宋体"/>
          <w:b/>
          <w:bCs/>
          <w:color w:val="auto"/>
          <w:sz w:val="28"/>
          <w:szCs w:val="28"/>
          <w:highlight w:val="none"/>
        </w:rPr>
        <w:t>五、提供符合政府采购政策的证明材料</w:t>
      </w:r>
    </w:p>
    <w:p>
      <w:pPr>
        <w:pStyle w:val="19"/>
        <w:ind w:firstLine="480" w:firstLineChars="200"/>
        <w:rPr>
          <w:rFonts w:hint="default" w:hAnsi="宋体"/>
          <w:color w:val="auto"/>
          <w:sz w:val="24"/>
          <w:szCs w:val="24"/>
          <w:highlight w:val="none"/>
        </w:rPr>
      </w:pPr>
    </w:p>
    <w:p>
      <w:pPr>
        <w:pStyle w:val="19"/>
        <w:rPr>
          <w:rFonts w:hint="default" w:hAnsi="宋体"/>
          <w:color w:val="auto"/>
          <w:sz w:val="24"/>
          <w:highlight w:val="none"/>
        </w:rPr>
      </w:pPr>
      <w:r>
        <w:rPr>
          <w:rFonts w:hint="default" w:hAnsi="宋体"/>
          <w:color w:val="auto"/>
          <w:sz w:val="24"/>
          <w:highlight w:val="none"/>
        </w:rPr>
        <w:t>5-1：中小型企业声明函</w:t>
      </w:r>
    </w:p>
    <w:p>
      <w:pPr>
        <w:pStyle w:val="17"/>
        <w:spacing w:line="360" w:lineRule="auto"/>
        <w:ind w:right="19" w:firstLine="554" w:firstLineChars="200"/>
        <w:jc w:val="center"/>
        <w:rPr>
          <w:rFonts w:ascii="宋体" w:hAnsi="宋体"/>
          <w:b/>
          <w:bCs/>
          <w:color w:val="auto"/>
          <w:spacing w:val="-2"/>
          <w:kern w:val="2"/>
          <w:sz w:val="28"/>
          <w:szCs w:val="28"/>
          <w:highlight w:val="none"/>
        </w:rPr>
      </w:pPr>
      <w:r>
        <w:rPr>
          <w:rFonts w:ascii="宋体" w:hAnsi="宋体"/>
          <w:b/>
          <w:bCs/>
          <w:color w:val="auto"/>
          <w:spacing w:val="-2"/>
          <w:kern w:val="2"/>
          <w:sz w:val="28"/>
          <w:szCs w:val="28"/>
          <w:highlight w:val="none"/>
        </w:rPr>
        <w:t>中小企业声明函</w:t>
      </w:r>
    </w:p>
    <w:p>
      <w:pPr>
        <w:pStyle w:val="17"/>
        <w:spacing w:line="360" w:lineRule="auto"/>
        <w:ind w:right="19" w:firstLine="472" w:firstLineChars="200"/>
        <w:rPr>
          <w:rFonts w:ascii="宋体" w:hAnsi="宋体"/>
          <w:color w:val="auto"/>
          <w:spacing w:val="-2"/>
          <w:kern w:val="2"/>
          <w:sz w:val="24"/>
          <w:szCs w:val="21"/>
          <w:highlight w:val="none"/>
        </w:rPr>
      </w:pPr>
      <w:r>
        <w:rPr>
          <w:rFonts w:ascii="宋体" w:hAnsi="宋体"/>
          <w:color w:val="auto"/>
          <w:spacing w:val="-2"/>
          <w:kern w:val="2"/>
          <w:sz w:val="24"/>
          <w:szCs w:val="21"/>
          <w:highlight w:val="none"/>
        </w:rPr>
        <w:t>本公司郑重声明</w:t>
      </w:r>
      <w:r>
        <w:rPr>
          <w:rFonts w:hint="eastAsia" w:ascii="宋体" w:hAnsi="宋体"/>
          <w:color w:val="auto"/>
          <w:spacing w:val="-2"/>
          <w:kern w:val="2"/>
          <w:sz w:val="24"/>
          <w:szCs w:val="21"/>
          <w:highlight w:val="none"/>
        </w:rPr>
        <w:t>，</w:t>
      </w:r>
      <w:r>
        <w:rPr>
          <w:rFonts w:ascii="宋体" w:hAnsi="宋体"/>
          <w:color w:val="auto"/>
          <w:spacing w:val="-2"/>
          <w:kern w:val="2"/>
          <w:sz w:val="24"/>
          <w:szCs w:val="21"/>
          <w:highlight w:val="none"/>
        </w:rPr>
        <w:t>根据《政府采购促进中小企业发展管理办法》（财库</w:t>
      </w:r>
      <w:r>
        <w:rPr>
          <w:rFonts w:hint="eastAsia" w:ascii="宋体" w:hAnsi="宋体"/>
          <w:color w:val="auto"/>
          <w:spacing w:val="-2"/>
          <w:kern w:val="2"/>
          <w:sz w:val="24"/>
          <w:szCs w:val="21"/>
          <w:highlight w:val="none"/>
        </w:rPr>
        <w:t>﹝</w:t>
      </w:r>
      <w:r>
        <w:rPr>
          <w:rFonts w:ascii="宋体" w:hAnsi="宋体"/>
          <w:color w:val="auto"/>
          <w:spacing w:val="-2"/>
          <w:kern w:val="2"/>
          <w:sz w:val="24"/>
          <w:szCs w:val="21"/>
          <w:highlight w:val="none"/>
        </w:rPr>
        <w:t>2020</w:t>
      </w:r>
      <w:r>
        <w:rPr>
          <w:rFonts w:hint="eastAsia" w:ascii="宋体" w:hAnsi="宋体"/>
          <w:color w:val="auto"/>
          <w:spacing w:val="-2"/>
          <w:kern w:val="2"/>
          <w:sz w:val="24"/>
          <w:szCs w:val="21"/>
          <w:highlight w:val="none"/>
        </w:rPr>
        <w:t>﹞</w:t>
      </w:r>
      <w:r>
        <w:rPr>
          <w:rFonts w:ascii="宋体" w:hAnsi="宋体"/>
          <w:color w:val="auto"/>
          <w:spacing w:val="-2"/>
          <w:kern w:val="2"/>
          <w:sz w:val="24"/>
          <w:szCs w:val="21"/>
          <w:highlight w:val="none"/>
        </w:rPr>
        <w:t>46号）的规定，本公司参加</w:t>
      </w:r>
      <w:r>
        <w:rPr>
          <w:rFonts w:hint="eastAsia" w:ascii="宋体" w:hAnsi="宋体"/>
          <w:color w:val="auto"/>
          <w:spacing w:val="-2"/>
          <w:kern w:val="2"/>
          <w:sz w:val="24"/>
          <w:szCs w:val="21"/>
          <w:highlight w:val="none"/>
        </w:rPr>
        <w:t xml:space="preserve"> （单位名称） </w:t>
      </w:r>
      <w:r>
        <w:rPr>
          <w:rFonts w:ascii="宋体" w:hAnsi="宋体"/>
          <w:color w:val="auto"/>
          <w:spacing w:val="-2"/>
          <w:kern w:val="2"/>
          <w:sz w:val="24"/>
          <w:szCs w:val="21"/>
          <w:highlight w:val="none"/>
        </w:rPr>
        <w:t>的</w:t>
      </w:r>
      <w:r>
        <w:rPr>
          <w:rFonts w:hint="eastAsia" w:ascii="宋体" w:hAnsi="宋体"/>
          <w:color w:val="auto"/>
          <w:spacing w:val="-2"/>
          <w:kern w:val="2"/>
          <w:sz w:val="24"/>
          <w:szCs w:val="21"/>
          <w:highlight w:val="none"/>
        </w:rPr>
        <w:t xml:space="preserve"> （项目名称）  采购活动，提供的</w:t>
      </w:r>
      <w:r>
        <w:rPr>
          <w:rFonts w:ascii="宋体" w:hAnsi="宋体"/>
          <w:color w:val="auto"/>
          <w:spacing w:val="-2"/>
          <w:kern w:val="2"/>
          <w:sz w:val="24"/>
          <w:szCs w:val="21"/>
          <w:highlight w:val="none"/>
        </w:rPr>
        <w:t>货物全部由符合政策要求的中小企业制造。相关企业的具体情况如下：</w:t>
      </w:r>
    </w:p>
    <w:p>
      <w:pPr>
        <w:pStyle w:val="17"/>
        <w:spacing w:line="360" w:lineRule="auto"/>
        <w:ind w:right="19" w:firstLine="472" w:firstLineChars="200"/>
        <w:rPr>
          <w:rFonts w:ascii="宋体" w:hAnsi="宋体"/>
          <w:color w:val="auto"/>
          <w:spacing w:val="-2"/>
          <w:kern w:val="2"/>
          <w:sz w:val="24"/>
          <w:szCs w:val="21"/>
          <w:highlight w:val="none"/>
        </w:rPr>
      </w:pPr>
      <w:r>
        <w:rPr>
          <w:rFonts w:ascii="宋体" w:hAnsi="宋体"/>
          <w:color w:val="auto"/>
          <w:spacing w:val="-2"/>
          <w:kern w:val="2"/>
          <w:sz w:val="24"/>
          <w:szCs w:val="21"/>
          <w:highlight w:val="none"/>
        </w:rPr>
        <mc:AlternateContent>
          <mc:Choice Requires="wps">
            <w:drawing>
              <wp:anchor distT="0" distB="0" distL="114300" distR="114300" simplePos="0" relativeHeight="251659264" behindDoc="1" locked="0" layoutInCell="1" allowOverlap="1">
                <wp:simplePos x="0" y="0"/>
                <wp:positionH relativeFrom="page">
                  <wp:posOffset>3701415</wp:posOffset>
                </wp:positionH>
                <wp:positionV relativeFrom="paragraph">
                  <wp:posOffset>231140</wp:posOffset>
                </wp:positionV>
                <wp:extent cx="2715895" cy="0"/>
                <wp:effectExtent l="0" t="0" r="0" b="0"/>
                <wp:wrapNone/>
                <wp:docPr id="1" name="1026"/>
                <wp:cNvGraphicFramePr/>
                <a:graphic xmlns:a="http://schemas.openxmlformats.org/drawingml/2006/main">
                  <a:graphicData uri="http://schemas.microsoft.com/office/word/2010/wordprocessingShape">
                    <wps:wsp>
                      <wps:cNvCnPr/>
                      <wps:spPr>
                        <a:xfrm>
                          <a:off x="0" y="0"/>
                          <a:ext cx="2715895" cy="0"/>
                        </a:xfrm>
                        <a:prstGeom prst="line">
                          <a:avLst/>
                        </a:prstGeom>
                        <a:ln w="9144" cap="flat" cmpd="sng">
                          <a:solidFill>
                            <a:srgbClr val="000000"/>
                          </a:solidFill>
                          <a:prstDash val="solid"/>
                          <a:headEnd type="none" w="med" len="med"/>
                          <a:tailEnd type="none" w="med" len="med"/>
                        </a:ln>
                        <a:effectLst/>
                      </wps:spPr>
                      <wps:bodyPr/>
                    </wps:wsp>
                  </a:graphicData>
                </a:graphic>
              </wp:anchor>
            </w:drawing>
          </mc:Choice>
          <mc:Fallback>
            <w:pict>
              <v:line id="1026" o:spid="_x0000_s1026" o:spt="20" style="position:absolute;left:0pt;margin-left:291.45pt;margin-top:18.2pt;height:0pt;width:213.85pt;mso-position-horizontal-relative:page;z-index:-251657216;mso-width-relative:page;mso-height-relative:page;" filled="f" stroked="t" coordsize="21600,21600" o:gfxdata="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ekb+B1gAAAAoBAAAPAAAAAAAAAAEA&#10;IAAAACIAAABkcnMvZG93bnJldi54bWxQSwECFAAUAAAACACHTuJAOjgbsdgBAADZAwAADgAAAAAA&#10;AAABACAAAAAlAQAAZHJzL2Uyb0RvYy54bWxQSwUGAAAAAAYABgBZAQAAbwUAAAAA&#10;">
                <v:fill on="f" focussize="0,0"/>
                <v:stroke weight="0.72pt" color="#000000" joinstyle="round"/>
                <v:imagedata o:title=""/>
                <o:lock v:ext="edit" aspectratio="f"/>
              </v:line>
            </w:pict>
          </mc:Fallback>
        </mc:AlternateContent>
      </w:r>
      <w:r>
        <w:rPr>
          <w:rFonts w:hint="eastAsia" w:ascii="宋体" w:hAnsi="宋体"/>
          <w:color w:val="auto"/>
          <w:spacing w:val="-2"/>
          <w:kern w:val="2"/>
          <w:sz w:val="24"/>
          <w:szCs w:val="21"/>
          <w:highlight w:val="none"/>
        </w:rPr>
        <w:t>1.（标的名称</w:t>
      </w:r>
      <w:r>
        <w:rPr>
          <w:rFonts w:ascii="宋体" w:hAnsi="宋体"/>
          <w:color w:val="auto"/>
          <w:spacing w:val="-2"/>
          <w:kern w:val="2"/>
          <w:sz w:val="24"/>
          <w:szCs w:val="21"/>
          <w:highlight w:val="none"/>
        </w:rPr>
        <w:t>）， 属于（采购文件中明确的所属行业）行业；制造商为（企业名称），从业人员人，营业收入为</w:t>
      </w:r>
      <w:r>
        <w:rPr>
          <w:rFonts w:ascii="宋体" w:hAnsi="宋体"/>
          <w:color w:val="auto"/>
          <w:spacing w:val="-2"/>
          <w:kern w:val="2"/>
          <w:sz w:val="24"/>
          <w:szCs w:val="21"/>
          <w:highlight w:val="none"/>
        </w:rPr>
        <w:tab/>
      </w:r>
      <w:r>
        <w:rPr>
          <w:rFonts w:ascii="宋体" w:hAnsi="宋体"/>
          <w:color w:val="auto"/>
          <w:spacing w:val="-2"/>
          <w:kern w:val="2"/>
          <w:sz w:val="24"/>
          <w:szCs w:val="21"/>
          <w:highlight w:val="none"/>
        </w:rPr>
        <w:t>万元，资产总额为</w:t>
      </w:r>
      <w:r>
        <w:rPr>
          <w:rFonts w:ascii="宋体" w:hAnsi="宋体"/>
          <w:color w:val="auto"/>
          <w:spacing w:val="-2"/>
          <w:kern w:val="2"/>
          <w:sz w:val="24"/>
          <w:szCs w:val="21"/>
          <w:highlight w:val="none"/>
        </w:rPr>
        <w:tab/>
      </w:r>
      <w:r>
        <w:rPr>
          <w:rFonts w:ascii="宋体" w:hAnsi="宋体"/>
          <w:color w:val="auto"/>
          <w:spacing w:val="-2"/>
          <w:kern w:val="2"/>
          <w:sz w:val="24"/>
          <w:szCs w:val="21"/>
          <w:highlight w:val="none"/>
        </w:rPr>
        <w:t>万元，属于（中型企业、小型企业、微型企业）；</w:t>
      </w:r>
    </w:p>
    <w:p>
      <w:pPr>
        <w:pStyle w:val="17"/>
        <w:spacing w:line="360" w:lineRule="auto"/>
        <w:ind w:right="19" w:firstLine="472" w:firstLineChars="200"/>
        <w:rPr>
          <w:rFonts w:ascii="宋体" w:hAnsi="宋体"/>
          <w:color w:val="auto"/>
          <w:spacing w:val="-2"/>
          <w:kern w:val="2"/>
          <w:sz w:val="24"/>
          <w:szCs w:val="21"/>
          <w:highlight w:val="none"/>
        </w:rPr>
      </w:pPr>
      <w:r>
        <w:rPr>
          <w:rFonts w:ascii="宋体" w:hAnsi="宋体"/>
          <w:color w:val="auto"/>
          <w:spacing w:val="-2"/>
          <w:kern w:val="2"/>
          <w:sz w:val="24"/>
          <w:szCs w:val="21"/>
          <w:highlight w:val="none"/>
        </w:rPr>
        <mc:AlternateContent>
          <mc:Choice Requires="wps">
            <w:drawing>
              <wp:anchor distT="0" distB="0" distL="114300" distR="114300" simplePos="0" relativeHeight="251660288" behindDoc="1" locked="0" layoutInCell="1" allowOverlap="1">
                <wp:simplePos x="0" y="0"/>
                <wp:positionH relativeFrom="page">
                  <wp:posOffset>3701415</wp:posOffset>
                </wp:positionH>
                <wp:positionV relativeFrom="paragraph">
                  <wp:posOffset>233045</wp:posOffset>
                </wp:positionV>
                <wp:extent cx="2715895" cy="0"/>
                <wp:effectExtent l="0" t="0" r="0" b="0"/>
                <wp:wrapNone/>
                <wp:docPr id="2" name="1027"/>
                <wp:cNvGraphicFramePr/>
                <a:graphic xmlns:a="http://schemas.openxmlformats.org/drawingml/2006/main">
                  <a:graphicData uri="http://schemas.microsoft.com/office/word/2010/wordprocessingShape">
                    <wps:wsp>
                      <wps:cNvCnPr/>
                      <wps:spPr>
                        <a:xfrm>
                          <a:off x="0" y="0"/>
                          <a:ext cx="2715895" cy="0"/>
                        </a:xfrm>
                        <a:prstGeom prst="line">
                          <a:avLst/>
                        </a:prstGeom>
                        <a:ln w="9144" cap="flat" cmpd="sng">
                          <a:solidFill>
                            <a:srgbClr val="000000"/>
                          </a:solidFill>
                          <a:prstDash val="solid"/>
                          <a:headEnd type="none" w="med" len="med"/>
                          <a:tailEnd type="none" w="med" len="med"/>
                        </a:ln>
                        <a:effectLst/>
                      </wps:spPr>
                      <wps:bodyPr/>
                    </wps:wsp>
                  </a:graphicData>
                </a:graphic>
              </wp:anchor>
            </w:drawing>
          </mc:Choice>
          <mc:Fallback>
            <w:pict>
              <v:line id="1027" o:spid="_x0000_s1026" o:spt="20" style="position:absolute;left:0pt;margin-left:291.45pt;margin-top:18.35pt;height:0pt;width:213.85pt;mso-position-horizontal-relative:page;z-index:-251656192;mso-width-relative:page;mso-height-relative:page;" filled="f" stroked="t" coordsize="21600,21600" o:gfxdata="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XKIh41gAAAAoBAAAPAAAAAAAAAAEA&#10;IAAAACIAAABkcnMvZG93bnJldi54bWxQSwECFAAUAAAACACHTuJA6noaLdgBAADZAwAADgAAAAAA&#10;AAABACAAAAAlAQAAZHJzL2Uyb0RvYy54bWxQSwUGAAAAAAYABgBZAQAAbwUAAAAA&#10;">
                <v:fill on="f" focussize="0,0"/>
                <v:stroke weight="0.72pt" color="#000000" joinstyle="round"/>
                <v:imagedata o:title=""/>
                <o:lock v:ext="edit" aspectratio="f"/>
              </v:line>
            </w:pict>
          </mc:Fallback>
        </mc:AlternateContent>
      </w:r>
      <w:r>
        <w:rPr>
          <w:rFonts w:hint="eastAsia" w:ascii="宋体" w:hAnsi="宋体"/>
          <w:color w:val="auto"/>
          <w:spacing w:val="-2"/>
          <w:kern w:val="2"/>
          <w:sz w:val="24"/>
          <w:szCs w:val="21"/>
          <w:highlight w:val="none"/>
        </w:rPr>
        <w:t>2.</w:t>
      </w:r>
      <w:r>
        <w:rPr>
          <w:rFonts w:ascii="宋体" w:hAnsi="宋体"/>
          <w:color w:val="auto"/>
          <w:spacing w:val="-2"/>
          <w:kern w:val="2"/>
          <w:sz w:val="24"/>
          <w:szCs w:val="21"/>
          <w:highlight w:val="none"/>
        </w:rPr>
        <w:t>（标的名称</w:t>
      </w:r>
      <w:r>
        <w:rPr>
          <w:rFonts w:hint="eastAsia" w:ascii="宋体" w:hAnsi="宋体"/>
          <w:color w:val="auto"/>
          <w:spacing w:val="-2"/>
          <w:kern w:val="2"/>
          <w:sz w:val="24"/>
          <w:szCs w:val="21"/>
          <w:highlight w:val="none"/>
        </w:rPr>
        <w:t>），</w:t>
      </w:r>
      <w:r>
        <w:rPr>
          <w:rFonts w:ascii="宋体" w:hAnsi="宋体"/>
          <w:color w:val="auto"/>
          <w:spacing w:val="-2"/>
          <w:kern w:val="2"/>
          <w:sz w:val="24"/>
          <w:szCs w:val="21"/>
          <w:highlight w:val="none"/>
        </w:rPr>
        <w:t>属于（采购文件中明确的所属行业）行业；制造商为（企业名称），从业人员人，营业收入为</w:t>
      </w:r>
      <w:r>
        <w:rPr>
          <w:rFonts w:ascii="宋体" w:hAnsi="宋体"/>
          <w:color w:val="auto"/>
          <w:spacing w:val="-2"/>
          <w:kern w:val="2"/>
          <w:sz w:val="24"/>
          <w:szCs w:val="21"/>
          <w:highlight w:val="none"/>
        </w:rPr>
        <w:tab/>
      </w:r>
      <w:r>
        <w:rPr>
          <w:rFonts w:ascii="宋体" w:hAnsi="宋体"/>
          <w:color w:val="auto"/>
          <w:spacing w:val="-2"/>
          <w:kern w:val="2"/>
          <w:sz w:val="24"/>
          <w:szCs w:val="21"/>
          <w:highlight w:val="none"/>
        </w:rPr>
        <w:tab/>
      </w:r>
      <w:r>
        <w:rPr>
          <w:rFonts w:ascii="宋体" w:hAnsi="宋体"/>
          <w:color w:val="auto"/>
          <w:spacing w:val="-2"/>
          <w:kern w:val="2"/>
          <w:sz w:val="24"/>
          <w:szCs w:val="21"/>
          <w:highlight w:val="none"/>
        </w:rPr>
        <w:t>万元，资产总额为</w:t>
      </w:r>
      <w:r>
        <w:rPr>
          <w:rFonts w:ascii="宋体" w:hAnsi="宋体"/>
          <w:color w:val="auto"/>
          <w:spacing w:val="-2"/>
          <w:kern w:val="2"/>
          <w:sz w:val="24"/>
          <w:szCs w:val="21"/>
          <w:highlight w:val="none"/>
        </w:rPr>
        <w:tab/>
      </w:r>
      <w:r>
        <w:rPr>
          <w:rFonts w:ascii="宋体" w:hAnsi="宋体"/>
          <w:color w:val="auto"/>
          <w:spacing w:val="-2"/>
          <w:kern w:val="2"/>
          <w:sz w:val="24"/>
          <w:szCs w:val="21"/>
          <w:highlight w:val="none"/>
        </w:rPr>
        <w:t>万元，属于（中型企业、小型企业、微型企业）；</w:t>
      </w:r>
    </w:p>
    <w:p>
      <w:pPr>
        <w:pStyle w:val="17"/>
        <w:spacing w:line="360" w:lineRule="auto"/>
        <w:ind w:right="19" w:firstLine="472" w:firstLineChars="200"/>
        <w:rPr>
          <w:rFonts w:ascii="宋体" w:hAnsi="宋体"/>
          <w:color w:val="auto"/>
          <w:spacing w:val="-2"/>
          <w:kern w:val="2"/>
          <w:sz w:val="24"/>
          <w:szCs w:val="21"/>
          <w:highlight w:val="none"/>
        </w:rPr>
      </w:pPr>
      <w:r>
        <w:rPr>
          <w:rFonts w:ascii="宋体" w:hAnsi="宋体"/>
          <w:color w:val="auto"/>
          <w:spacing w:val="-2"/>
          <w:kern w:val="2"/>
          <w:sz w:val="24"/>
          <w:szCs w:val="21"/>
          <w:highlight w:val="none"/>
        </w:rPr>
        <w:t>……</w:t>
      </w:r>
    </w:p>
    <w:p>
      <w:pPr>
        <w:pStyle w:val="17"/>
        <w:spacing w:line="360" w:lineRule="auto"/>
        <w:ind w:right="19" w:firstLine="472" w:firstLineChars="200"/>
        <w:rPr>
          <w:rFonts w:ascii="宋体" w:hAnsi="宋体"/>
          <w:color w:val="auto"/>
          <w:spacing w:val="-2"/>
          <w:kern w:val="2"/>
          <w:sz w:val="24"/>
          <w:szCs w:val="21"/>
          <w:highlight w:val="none"/>
        </w:rPr>
      </w:pPr>
      <w:r>
        <w:rPr>
          <w:rFonts w:ascii="宋体" w:hAnsi="宋体"/>
          <w:color w:val="auto"/>
          <w:spacing w:val="-2"/>
          <w:kern w:val="2"/>
          <w:sz w:val="24"/>
          <w:szCs w:val="21"/>
          <w:highlight w:val="none"/>
        </w:rPr>
        <w:t>以上企业，不属于大企业的分支机构，不存在控股股东为大企业的情形，也不存在与大企业的负责人为同一人的情形。</w:t>
      </w:r>
    </w:p>
    <w:p>
      <w:pPr>
        <w:pStyle w:val="17"/>
        <w:spacing w:line="360" w:lineRule="auto"/>
        <w:ind w:right="19" w:firstLine="472" w:firstLineChars="200"/>
        <w:rPr>
          <w:rFonts w:ascii="宋体" w:hAnsi="宋体"/>
          <w:color w:val="auto"/>
          <w:spacing w:val="-2"/>
          <w:kern w:val="2"/>
          <w:sz w:val="24"/>
          <w:szCs w:val="21"/>
          <w:highlight w:val="none"/>
        </w:rPr>
      </w:pPr>
      <w:r>
        <w:rPr>
          <w:rFonts w:ascii="宋体" w:hAnsi="宋体"/>
          <w:color w:val="auto"/>
          <w:spacing w:val="-2"/>
          <w:kern w:val="2"/>
          <w:sz w:val="24"/>
          <w:szCs w:val="21"/>
          <w:highlight w:val="none"/>
        </w:rPr>
        <w:t>本企业对上述声明内容的真实性负责。如有虚假，将依法承担相应责任。</w:t>
      </w:r>
    </w:p>
    <w:p>
      <w:pPr>
        <w:pStyle w:val="17"/>
        <w:spacing w:line="360" w:lineRule="auto"/>
        <w:ind w:right="19" w:firstLine="472" w:firstLineChars="200"/>
        <w:rPr>
          <w:rFonts w:ascii="宋体" w:hAnsi="宋体"/>
          <w:color w:val="auto"/>
          <w:spacing w:val="-2"/>
          <w:kern w:val="2"/>
          <w:sz w:val="24"/>
          <w:szCs w:val="21"/>
          <w:highlight w:val="none"/>
        </w:rPr>
      </w:pPr>
    </w:p>
    <w:p>
      <w:pPr>
        <w:pStyle w:val="17"/>
        <w:spacing w:line="360" w:lineRule="auto"/>
        <w:ind w:right="19" w:firstLine="472" w:firstLineChars="200"/>
        <w:rPr>
          <w:rFonts w:ascii="宋体" w:hAnsi="宋体"/>
          <w:color w:val="auto"/>
          <w:spacing w:val="-2"/>
          <w:kern w:val="2"/>
          <w:sz w:val="24"/>
          <w:szCs w:val="21"/>
          <w:highlight w:val="none"/>
        </w:rPr>
      </w:pPr>
      <w:r>
        <w:rPr>
          <w:rFonts w:hint="eastAsia" w:ascii="宋体" w:hAnsi="宋体"/>
          <w:color w:val="auto"/>
          <w:spacing w:val="-2"/>
          <w:kern w:val="2"/>
          <w:sz w:val="24"/>
          <w:szCs w:val="21"/>
          <w:highlight w:val="none"/>
        </w:rPr>
        <w:t xml:space="preserve">投标人名称（加盖单位公章）：              </w:t>
      </w:r>
    </w:p>
    <w:p>
      <w:pPr>
        <w:pStyle w:val="17"/>
        <w:spacing w:line="360" w:lineRule="auto"/>
        <w:ind w:right="19" w:firstLine="472" w:firstLineChars="200"/>
        <w:rPr>
          <w:rFonts w:ascii="宋体" w:hAnsi="宋体"/>
          <w:color w:val="auto"/>
          <w:spacing w:val="-2"/>
          <w:kern w:val="2"/>
          <w:sz w:val="24"/>
          <w:szCs w:val="21"/>
          <w:highlight w:val="none"/>
        </w:rPr>
      </w:pPr>
      <w:r>
        <w:rPr>
          <w:rFonts w:hint="eastAsia" w:ascii="宋体" w:hAnsi="宋体"/>
          <w:color w:val="auto"/>
          <w:spacing w:val="-2"/>
          <w:kern w:val="2"/>
          <w:sz w:val="24"/>
          <w:szCs w:val="21"/>
          <w:highlight w:val="none"/>
        </w:rPr>
        <w:t xml:space="preserve">日 期：              </w:t>
      </w:r>
    </w:p>
    <w:p>
      <w:pPr>
        <w:pStyle w:val="17"/>
        <w:spacing w:line="360" w:lineRule="auto"/>
        <w:ind w:right="19" w:firstLine="472" w:firstLineChars="200"/>
        <w:rPr>
          <w:rFonts w:ascii="宋体" w:hAnsi="宋体"/>
          <w:color w:val="auto"/>
          <w:spacing w:val="-2"/>
          <w:kern w:val="2"/>
          <w:sz w:val="24"/>
          <w:szCs w:val="21"/>
          <w:highlight w:val="none"/>
        </w:rPr>
      </w:pPr>
    </w:p>
    <w:p>
      <w:pPr>
        <w:pStyle w:val="17"/>
        <w:spacing w:before="29" w:line="316" w:lineRule="auto"/>
        <w:ind w:right="19"/>
        <w:rPr>
          <w:rFonts w:ascii="宋体" w:hAnsi="宋体"/>
          <w:color w:val="auto"/>
          <w:szCs w:val="21"/>
          <w:highlight w:val="none"/>
        </w:rPr>
      </w:pPr>
      <w:r>
        <w:rPr>
          <w:rFonts w:hint="eastAsia" w:ascii="宋体" w:hAnsi="宋体"/>
          <w:color w:val="auto"/>
          <w:szCs w:val="21"/>
          <w:highlight w:val="none"/>
        </w:rPr>
        <w:t>注： 1.从业人员、营业收入、资产总额填报上一年度数据，无上一年度数据的新成立企业可不填报。除新成立企业外，上表填写不全的，不享受中小企业扶持政策。</w:t>
      </w:r>
    </w:p>
    <w:p>
      <w:pPr>
        <w:pStyle w:val="17"/>
        <w:spacing w:before="29" w:line="316" w:lineRule="auto"/>
        <w:ind w:right="19" w:firstLine="420" w:firstLineChars="200"/>
        <w:rPr>
          <w:rFonts w:ascii="宋体" w:hAnsi="宋体"/>
          <w:color w:val="auto"/>
          <w:szCs w:val="21"/>
          <w:highlight w:val="none"/>
        </w:rPr>
      </w:pPr>
      <w:r>
        <w:rPr>
          <w:rFonts w:hint="eastAsia" w:ascii="宋体" w:hAnsi="宋体"/>
          <w:color w:val="auto"/>
          <w:szCs w:val="21"/>
          <w:highlight w:val="none"/>
        </w:rPr>
        <w:t>2.非中小企业的，无需填写此声明函。</w:t>
      </w:r>
    </w:p>
    <w:p>
      <w:pPr>
        <w:pStyle w:val="17"/>
        <w:spacing w:before="29" w:line="316" w:lineRule="auto"/>
        <w:ind w:right="19" w:firstLine="420" w:firstLineChars="200"/>
        <w:rPr>
          <w:rFonts w:hAnsi="宋体"/>
          <w:color w:val="auto"/>
          <w:sz w:val="24"/>
          <w:szCs w:val="24"/>
          <w:highlight w:val="none"/>
        </w:rPr>
      </w:pPr>
      <w:r>
        <w:rPr>
          <w:rFonts w:hint="eastAsia" w:ascii="宋体" w:hAnsi="宋体"/>
          <w:color w:val="auto"/>
          <w:szCs w:val="21"/>
          <w:highlight w:val="none"/>
        </w:rPr>
        <w:t>3.按照投标人须知前附表 16“支持中小型发展”中的“采购标的及对应的中小企业划分标准所属行业”进行填报。</w:t>
      </w:r>
      <w:r>
        <w:rPr>
          <w:rFonts w:hint="eastAsia" w:ascii="宋体" w:hAnsi="宋体"/>
          <w:color w:val="auto"/>
          <w:szCs w:val="21"/>
          <w:highlight w:val="none"/>
        </w:rPr>
        <w:br w:type="page"/>
      </w:r>
      <w:r>
        <w:rPr>
          <w:rFonts w:hAnsi="宋体"/>
          <w:color w:val="auto"/>
          <w:sz w:val="24"/>
          <w:szCs w:val="24"/>
          <w:highlight w:val="none"/>
        </w:rPr>
        <w:t>5－2：监狱企业证明文件[监狱企业参与投标的，应提交省级以上监狱管理局、戒毒管理局（含新疆生产建设兵团）出具的证明文件，格式自拟，原件]</w:t>
      </w:r>
    </w:p>
    <w:p>
      <w:pPr>
        <w:pStyle w:val="19"/>
        <w:rPr>
          <w:rFonts w:hint="default" w:hAnsi="宋体"/>
          <w:color w:val="auto"/>
          <w:sz w:val="24"/>
          <w:szCs w:val="24"/>
          <w:highlight w:val="none"/>
        </w:rPr>
      </w:pPr>
    </w:p>
    <w:p>
      <w:pPr>
        <w:pStyle w:val="19"/>
        <w:ind w:firstLine="420" w:firstLineChars="200"/>
        <w:rPr>
          <w:rFonts w:hint="default" w:hAnsi="宋体"/>
          <w:bCs/>
          <w:color w:val="auto"/>
          <w:highlight w:val="none"/>
        </w:rPr>
      </w:pPr>
      <w:r>
        <w:rPr>
          <w:rFonts w:hint="default" w:hAnsi="宋体"/>
          <w:bCs/>
          <w:color w:val="auto"/>
          <w:highlight w:val="none"/>
        </w:rPr>
        <w:t>注：供应商为非监狱企业的，无需填写此证明。</w:t>
      </w:r>
    </w:p>
    <w:p>
      <w:pPr>
        <w:pStyle w:val="19"/>
        <w:ind w:firstLine="480" w:firstLineChars="200"/>
        <w:rPr>
          <w:rFonts w:hint="default" w:hAnsi="宋体"/>
          <w:color w:val="auto"/>
          <w:sz w:val="24"/>
          <w:highlight w:val="none"/>
          <w:lang w:val="zh-CN"/>
        </w:rPr>
      </w:pPr>
      <w:r>
        <w:rPr>
          <w:rFonts w:hint="default" w:hAnsi="宋体"/>
          <w:color w:val="auto"/>
          <w:sz w:val="24"/>
          <w:szCs w:val="24"/>
          <w:highlight w:val="none"/>
        </w:rPr>
        <w:br w:type="page"/>
      </w:r>
      <w:r>
        <w:rPr>
          <w:rFonts w:hint="default" w:hAnsi="宋体"/>
          <w:color w:val="auto"/>
          <w:sz w:val="24"/>
          <w:szCs w:val="24"/>
          <w:highlight w:val="none"/>
        </w:rPr>
        <w:t>5－3：残疾人福利性单位声明函（残疾人福利性单位参与投标的，应提交此函，原件）</w:t>
      </w:r>
    </w:p>
    <w:p>
      <w:pPr>
        <w:pStyle w:val="19"/>
        <w:jc w:val="center"/>
        <w:rPr>
          <w:rFonts w:hint="default" w:hAnsi="宋体"/>
          <w:color w:val="auto"/>
          <w:highlight w:val="none"/>
        </w:rPr>
      </w:pPr>
    </w:p>
    <w:p>
      <w:pPr>
        <w:pStyle w:val="19"/>
        <w:jc w:val="center"/>
        <w:rPr>
          <w:rFonts w:hint="default" w:hAnsi="宋体"/>
          <w:b/>
          <w:color w:val="auto"/>
          <w:sz w:val="24"/>
          <w:szCs w:val="24"/>
          <w:highlight w:val="none"/>
        </w:rPr>
      </w:pPr>
      <w:bookmarkStart w:id="50" w:name="_Toc11921739"/>
      <w:bookmarkStart w:id="51" w:name="_Toc1393415601"/>
      <w:bookmarkStart w:id="52" w:name="_Toc1037277736"/>
      <w:r>
        <w:rPr>
          <w:rFonts w:hint="default" w:hAnsi="宋体"/>
          <w:b/>
          <w:color w:val="auto"/>
          <w:sz w:val="24"/>
          <w:szCs w:val="24"/>
          <w:highlight w:val="none"/>
        </w:rPr>
        <w:t>残疾人福利性单位声明函</w:t>
      </w:r>
      <w:bookmarkEnd w:id="50"/>
      <w:bookmarkEnd w:id="51"/>
      <w:bookmarkEnd w:id="52"/>
    </w:p>
    <w:p>
      <w:pPr>
        <w:spacing w:line="588" w:lineRule="exact"/>
        <w:ind w:firstLine="504" w:firstLineChars="200"/>
        <w:rPr>
          <w:rFonts w:ascii="宋体" w:hAnsi="宋体"/>
          <w:color w:val="auto"/>
          <w:spacing w:val="6"/>
          <w:sz w:val="24"/>
          <w:highlight w:val="none"/>
        </w:rPr>
      </w:pPr>
      <w:r>
        <w:rPr>
          <w:rFonts w:ascii="宋体" w:hAnsi="宋体"/>
          <w:color w:val="auto"/>
          <w:spacing w:val="6"/>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olor w:val="auto"/>
          <w:spacing w:val="6"/>
          <w:sz w:val="24"/>
          <w:highlight w:val="none"/>
        </w:rPr>
      </w:pPr>
      <w:r>
        <w:rPr>
          <w:rFonts w:ascii="宋体" w:hAnsi="宋体"/>
          <w:color w:val="auto"/>
          <w:spacing w:val="6"/>
          <w:sz w:val="24"/>
          <w:highlight w:val="none"/>
        </w:rPr>
        <w:t>本单位对上述声明的真实性负责。如有虚假，将依法承担相应责任。</w:t>
      </w:r>
    </w:p>
    <w:p>
      <w:pPr>
        <w:spacing w:line="588" w:lineRule="exact"/>
        <w:ind w:firstLine="504" w:firstLineChars="200"/>
        <w:rPr>
          <w:rFonts w:ascii="宋体" w:hAnsi="宋体"/>
          <w:color w:val="auto"/>
          <w:spacing w:val="6"/>
          <w:sz w:val="24"/>
          <w:highlight w:val="none"/>
        </w:rPr>
      </w:pPr>
    </w:p>
    <w:p>
      <w:pPr>
        <w:spacing w:line="588" w:lineRule="exact"/>
        <w:ind w:firstLine="504" w:firstLineChars="200"/>
        <w:rPr>
          <w:rFonts w:ascii="宋体" w:hAnsi="宋体"/>
          <w:color w:val="auto"/>
          <w:spacing w:val="6"/>
          <w:sz w:val="24"/>
          <w:highlight w:val="none"/>
        </w:rPr>
      </w:pPr>
    </w:p>
    <w:p>
      <w:pPr>
        <w:spacing w:line="588" w:lineRule="exact"/>
        <w:ind w:firstLine="3654" w:firstLineChars="1450"/>
        <w:rPr>
          <w:rFonts w:ascii="宋体" w:hAnsi="宋体"/>
          <w:color w:val="auto"/>
          <w:spacing w:val="6"/>
          <w:sz w:val="24"/>
          <w:highlight w:val="none"/>
        </w:rPr>
      </w:pPr>
      <w:r>
        <w:rPr>
          <w:rFonts w:ascii="宋体" w:hAnsi="宋体"/>
          <w:color w:val="auto"/>
          <w:spacing w:val="6"/>
          <w:sz w:val="24"/>
          <w:highlight w:val="none"/>
        </w:rPr>
        <w:t>单位名称（盖章）：</w:t>
      </w:r>
    </w:p>
    <w:p>
      <w:pPr>
        <w:spacing w:line="588" w:lineRule="exact"/>
        <w:ind w:firstLine="4032" w:firstLineChars="1600"/>
        <w:rPr>
          <w:rFonts w:ascii="宋体" w:hAnsi="宋体"/>
          <w:color w:val="auto"/>
          <w:spacing w:val="6"/>
          <w:sz w:val="24"/>
          <w:highlight w:val="none"/>
        </w:rPr>
      </w:pPr>
      <w:r>
        <w:rPr>
          <w:rFonts w:ascii="宋体" w:hAnsi="宋体"/>
          <w:color w:val="auto"/>
          <w:spacing w:val="6"/>
          <w:sz w:val="24"/>
          <w:highlight w:val="none"/>
        </w:rPr>
        <w:t>日  期：</w:t>
      </w:r>
    </w:p>
    <w:p>
      <w:pPr>
        <w:pStyle w:val="19"/>
        <w:topLinePunct/>
        <w:autoSpaceDE w:val="0"/>
        <w:autoSpaceDN w:val="0"/>
        <w:spacing w:line="460" w:lineRule="exact"/>
        <w:jc w:val="center"/>
        <w:rPr>
          <w:rFonts w:hint="default" w:hAnsi="宋体"/>
          <w:color w:val="auto"/>
          <w:spacing w:val="6"/>
          <w:sz w:val="24"/>
          <w:szCs w:val="24"/>
          <w:highlight w:val="none"/>
        </w:rPr>
      </w:pPr>
    </w:p>
    <w:p>
      <w:pPr>
        <w:pStyle w:val="19"/>
        <w:rPr>
          <w:rFonts w:hint="default" w:hAnsi="宋体"/>
          <w:b/>
          <w:bCs/>
          <w:color w:val="auto"/>
          <w:sz w:val="28"/>
          <w:szCs w:val="28"/>
          <w:highlight w:val="none"/>
        </w:rPr>
      </w:pPr>
      <w:r>
        <w:rPr>
          <w:rFonts w:hint="default" w:hAnsi="宋体"/>
          <w:bCs/>
          <w:color w:val="auto"/>
          <w:highlight w:val="none"/>
        </w:rPr>
        <w:t>注：供应商为非残疾人福利性单位，无需填写此证明。</w:t>
      </w:r>
      <w:r>
        <w:rPr>
          <w:rFonts w:hint="default" w:hAnsi="宋体"/>
          <w:b/>
          <w:bCs/>
          <w:color w:val="auto"/>
          <w:sz w:val="28"/>
          <w:szCs w:val="28"/>
          <w:highlight w:val="none"/>
        </w:rPr>
        <w:br w:type="page"/>
      </w:r>
      <w:r>
        <w:rPr>
          <w:rFonts w:hint="default" w:hAnsi="宋体"/>
          <w:b/>
          <w:bCs/>
          <w:color w:val="auto"/>
          <w:sz w:val="28"/>
          <w:szCs w:val="28"/>
          <w:highlight w:val="none"/>
          <w:lang w:val="zh-CN"/>
        </w:rPr>
        <w:t>六、成功案例</w:t>
      </w:r>
      <w:r>
        <w:rPr>
          <w:rFonts w:hint="default" w:hAnsi="宋体"/>
          <w:b/>
          <w:bCs/>
          <w:color w:val="auto"/>
          <w:sz w:val="28"/>
          <w:szCs w:val="28"/>
          <w:highlight w:val="none"/>
        </w:rPr>
        <w:t>一览表</w:t>
      </w:r>
    </w:p>
    <w:p>
      <w:pPr>
        <w:topLinePunct/>
        <w:autoSpaceDE w:val="0"/>
        <w:autoSpaceDN w:val="0"/>
        <w:spacing w:line="320" w:lineRule="exact"/>
        <w:rPr>
          <w:rFonts w:ascii="宋体" w:hAnsi="宋体"/>
          <w:bCs/>
          <w:color w:val="auto"/>
          <w:sz w:val="24"/>
          <w:highlight w:val="none"/>
        </w:rPr>
      </w:pPr>
    </w:p>
    <w:p>
      <w:pPr>
        <w:topLinePunct/>
        <w:autoSpaceDE w:val="0"/>
        <w:autoSpaceDN w:val="0"/>
        <w:spacing w:line="320" w:lineRule="exact"/>
        <w:rPr>
          <w:rFonts w:ascii="宋体" w:hAnsi="宋体"/>
          <w:bCs/>
          <w:color w:val="auto"/>
          <w:sz w:val="24"/>
          <w:highlight w:val="none"/>
        </w:rPr>
      </w:pPr>
      <w:r>
        <w:rPr>
          <w:rFonts w:ascii="宋体" w:hAnsi="宋体"/>
          <w:bCs/>
          <w:color w:val="auto"/>
          <w:sz w:val="24"/>
          <w:highlight w:val="none"/>
        </w:rPr>
        <w:t>项目名称：</w:t>
      </w:r>
      <w:r>
        <w:rPr>
          <w:rFonts w:ascii="宋体" w:hAnsi="宋体"/>
          <w:bCs/>
          <w:color w:val="auto"/>
          <w:sz w:val="24"/>
          <w:highlight w:val="none"/>
        </w:rPr>
        <w:tab/>
      </w:r>
      <w:r>
        <w:rPr>
          <w:rFonts w:ascii="宋体" w:hAnsi="宋体"/>
          <w:bCs/>
          <w:color w:val="auto"/>
          <w:sz w:val="24"/>
          <w:highlight w:val="none"/>
        </w:rPr>
        <w:tab/>
      </w:r>
    </w:p>
    <w:p>
      <w:pPr>
        <w:pStyle w:val="19"/>
        <w:rPr>
          <w:rFonts w:hint="default" w:hAnsi="宋体"/>
          <w:bCs/>
          <w:color w:val="auto"/>
          <w:sz w:val="24"/>
          <w:highlight w:val="none"/>
        </w:rPr>
      </w:pPr>
    </w:p>
    <w:p>
      <w:pPr>
        <w:pStyle w:val="19"/>
        <w:rPr>
          <w:rFonts w:hint="default" w:hAnsi="宋体"/>
          <w:b/>
          <w:bCs/>
          <w:color w:val="auto"/>
          <w:sz w:val="28"/>
          <w:szCs w:val="28"/>
          <w:highlight w:val="none"/>
        </w:rPr>
      </w:pPr>
      <w:r>
        <w:rPr>
          <w:rFonts w:hAnsi="宋体"/>
          <w:bCs/>
          <w:color w:val="auto"/>
          <w:sz w:val="24"/>
          <w:highlight w:val="none"/>
        </w:rPr>
        <w:t>投标人名称：</w:t>
      </w:r>
    </w:p>
    <w:p>
      <w:pPr>
        <w:pStyle w:val="19"/>
        <w:topLinePunct/>
        <w:autoSpaceDE w:val="0"/>
        <w:autoSpaceDN w:val="0"/>
        <w:spacing w:line="460" w:lineRule="exact"/>
        <w:jc w:val="center"/>
        <w:rPr>
          <w:rFonts w:hint="default" w:hAnsi="宋体"/>
          <w:b/>
          <w:bCs/>
          <w:color w:val="auto"/>
          <w:w w:val="150"/>
          <w:sz w:val="24"/>
          <w:highlight w:val="none"/>
        </w:rPr>
      </w:pP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819"/>
        <w:gridCol w:w="864"/>
        <w:gridCol w:w="707"/>
        <w:gridCol w:w="744"/>
        <w:gridCol w:w="1221"/>
        <w:gridCol w:w="1161"/>
        <w:gridCol w:w="1065"/>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line="320" w:lineRule="exact"/>
              <w:jc w:val="center"/>
              <w:rPr>
                <w:rFonts w:ascii="宋体" w:hAnsi="宋体"/>
                <w:b/>
                <w:color w:val="auto"/>
                <w:sz w:val="24"/>
                <w:highlight w:val="none"/>
              </w:rPr>
            </w:pPr>
            <w:r>
              <w:rPr>
                <w:rFonts w:ascii="宋体" w:hAnsi="宋体"/>
                <w:b/>
                <w:color w:val="auto"/>
                <w:sz w:val="24"/>
                <w:highlight w:val="none"/>
              </w:rPr>
              <w:t>序号</w:t>
            </w:r>
          </w:p>
        </w:tc>
        <w:tc>
          <w:tcPr>
            <w:tcW w:w="819"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line="320" w:lineRule="exact"/>
              <w:jc w:val="center"/>
              <w:rPr>
                <w:rFonts w:ascii="宋体" w:hAnsi="宋体"/>
                <w:b/>
                <w:color w:val="auto"/>
                <w:sz w:val="24"/>
                <w:highlight w:val="none"/>
              </w:rPr>
            </w:pPr>
            <w:r>
              <w:rPr>
                <w:rFonts w:ascii="宋体" w:hAnsi="宋体"/>
                <w:b/>
                <w:color w:val="auto"/>
                <w:sz w:val="24"/>
                <w:highlight w:val="none"/>
              </w:rPr>
              <w:t>合同</w:t>
            </w:r>
          </w:p>
          <w:p>
            <w:pPr>
              <w:topLinePunct/>
              <w:autoSpaceDE w:val="0"/>
              <w:autoSpaceDN w:val="0"/>
              <w:spacing w:line="320" w:lineRule="exact"/>
              <w:jc w:val="center"/>
              <w:rPr>
                <w:rFonts w:ascii="宋体" w:hAnsi="宋体"/>
                <w:b/>
                <w:color w:val="auto"/>
                <w:sz w:val="24"/>
                <w:highlight w:val="none"/>
              </w:rPr>
            </w:pPr>
            <w:r>
              <w:rPr>
                <w:rFonts w:ascii="宋体" w:hAnsi="宋体"/>
                <w:b/>
                <w:color w:val="auto"/>
                <w:sz w:val="24"/>
                <w:highlight w:val="none"/>
              </w:rPr>
              <w:t>名称</w:t>
            </w:r>
          </w:p>
        </w:tc>
        <w:tc>
          <w:tcPr>
            <w:tcW w:w="864"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line="320" w:lineRule="exact"/>
              <w:jc w:val="center"/>
              <w:rPr>
                <w:rFonts w:ascii="宋体" w:hAnsi="宋体"/>
                <w:b/>
                <w:color w:val="auto"/>
                <w:sz w:val="24"/>
                <w:highlight w:val="none"/>
              </w:rPr>
            </w:pPr>
            <w:r>
              <w:rPr>
                <w:rFonts w:ascii="宋体" w:hAnsi="宋体"/>
                <w:b/>
                <w:color w:val="auto"/>
                <w:sz w:val="24"/>
                <w:highlight w:val="none"/>
              </w:rPr>
              <w:t>合同</w:t>
            </w:r>
          </w:p>
          <w:p>
            <w:pPr>
              <w:topLinePunct/>
              <w:autoSpaceDE w:val="0"/>
              <w:autoSpaceDN w:val="0"/>
              <w:spacing w:line="320" w:lineRule="exact"/>
              <w:jc w:val="center"/>
              <w:rPr>
                <w:rFonts w:ascii="宋体" w:hAnsi="宋体"/>
                <w:b/>
                <w:color w:val="auto"/>
                <w:sz w:val="24"/>
                <w:highlight w:val="none"/>
              </w:rPr>
            </w:pPr>
            <w:r>
              <w:rPr>
                <w:rFonts w:ascii="宋体" w:hAnsi="宋体"/>
                <w:b/>
                <w:color w:val="auto"/>
                <w:sz w:val="24"/>
                <w:highlight w:val="none"/>
              </w:rPr>
              <w:t>单位</w:t>
            </w:r>
          </w:p>
        </w:tc>
        <w:tc>
          <w:tcPr>
            <w:tcW w:w="707"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line="320" w:lineRule="exact"/>
              <w:jc w:val="center"/>
              <w:rPr>
                <w:rFonts w:ascii="宋体" w:hAnsi="宋体"/>
                <w:b/>
                <w:color w:val="auto"/>
                <w:sz w:val="24"/>
                <w:highlight w:val="none"/>
              </w:rPr>
            </w:pPr>
            <w:r>
              <w:rPr>
                <w:rFonts w:ascii="宋体" w:hAnsi="宋体"/>
                <w:b/>
                <w:color w:val="auto"/>
                <w:sz w:val="24"/>
                <w:highlight w:val="none"/>
              </w:rPr>
              <w:t>合同时间</w:t>
            </w:r>
          </w:p>
        </w:tc>
        <w:tc>
          <w:tcPr>
            <w:tcW w:w="744"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line="320" w:lineRule="exact"/>
              <w:jc w:val="center"/>
              <w:rPr>
                <w:rFonts w:ascii="宋体" w:hAnsi="宋体"/>
                <w:b/>
                <w:color w:val="auto"/>
                <w:sz w:val="24"/>
                <w:highlight w:val="none"/>
              </w:rPr>
            </w:pPr>
            <w:r>
              <w:rPr>
                <w:rFonts w:ascii="宋体" w:hAnsi="宋体"/>
                <w:b/>
                <w:color w:val="auto"/>
                <w:sz w:val="24"/>
                <w:highlight w:val="none"/>
              </w:rPr>
              <w:t>合同</w:t>
            </w:r>
          </w:p>
          <w:p>
            <w:pPr>
              <w:topLinePunct/>
              <w:autoSpaceDE w:val="0"/>
              <w:autoSpaceDN w:val="0"/>
              <w:spacing w:line="320" w:lineRule="exact"/>
              <w:jc w:val="center"/>
              <w:rPr>
                <w:rFonts w:ascii="宋体" w:hAnsi="宋体"/>
                <w:b/>
                <w:color w:val="auto"/>
                <w:sz w:val="24"/>
                <w:highlight w:val="none"/>
              </w:rPr>
            </w:pPr>
            <w:r>
              <w:rPr>
                <w:rFonts w:ascii="宋体" w:hAnsi="宋体"/>
                <w:b/>
                <w:color w:val="auto"/>
                <w:sz w:val="24"/>
                <w:highlight w:val="none"/>
              </w:rPr>
              <w:t>金额</w:t>
            </w:r>
          </w:p>
        </w:tc>
        <w:tc>
          <w:tcPr>
            <w:tcW w:w="1221"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line="320" w:lineRule="exact"/>
              <w:jc w:val="center"/>
              <w:rPr>
                <w:rFonts w:ascii="宋体" w:hAnsi="宋体"/>
                <w:b/>
                <w:color w:val="auto"/>
                <w:sz w:val="24"/>
                <w:highlight w:val="none"/>
              </w:rPr>
            </w:pPr>
            <w:r>
              <w:rPr>
                <w:rFonts w:ascii="宋体" w:hAnsi="宋体"/>
                <w:b/>
                <w:color w:val="auto"/>
                <w:sz w:val="24"/>
                <w:highlight w:val="none"/>
              </w:rPr>
              <w:t>合同主要</w:t>
            </w:r>
          </w:p>
          <w:p>
            <w:pPr>
              <w:topLinePunct/>
              <w:autoSpaceDE w:val="0"/>
              <w:autoSpaceDN w:val="0"/>
              <w:spacing w:line="320" w:lineRule="exact"/>
              <w:jc w:val="center"/>
              <w:rPr>
                <w:rFonts w:ascii="宋体" w:hAnsi="宋体"/>
                <w:b/>
                <w:color w:val="auto"/>
                <w:sz w:val="24"/>
                <w:highlight w:val="none"/>
              </w:rPr>
            </w:pPr>
            <w:r>
              <w:rPr>
                <w:rFonts w:ascii="宋体" w:hAnsi="宋体"/>
                <w:b/>
                <w:color w:val="auto"/>
                <w:sz w:val="24"/>
                <w:highlight w:val="none"/>
              </w:rPr>
              <w:t>内容</w:t>
            </w:r>
          </w:p>
        </w:tc>
        <w:tc>
          <w:tcPr>
            <w:tcW w:w="1161"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line="320" w:lineRule="exact"/>
              <w:jc w:val="center"/>
              <w:rPr>
                <w:rFonts w:ascii="宋体" w:hAnsi="宋体"/>
                <w:b/>
                <w:color w:val="auto"/>
                <w:sz w:val="24"/>
                <w:highlight w:val="none"/>
              </w:rPr>
            </w:pPr>
            <w:r>
              <w:rPr>
                <w:rFonts w:ascii="宋体" w:hAnsi="宋体"/>
                <w:b/>
                <w:color w:val="auto"/>
                <w:sz w:val="24"/>
                <w:highlight w:val="none"/>
              </w:rPr>
              <w:t>用户联系人</w:t>
            </w:r>
          </w:p>
        </w:tc>
        <w:tc>
          <w:tcPr>
            <w:tcW w:w="1065"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line="320" w:lineRule="exact"/>
              <w:jc w:val="center"/>
              <w:rPr>
                <w:rFonts w:ascii="宋体" w:hAnsi="宋体"/>
                <w:b/>
                <w:color w:val="auto"/>
                <w:sz w:val="24"/>
                <w:highlight w:val="none"/>
              </w:rPr>
            </w:pPr>
            <w:r>
              <w:rPr>
                <w:rFonts w:ascii="宋体" w:hAnsi="宋体"/>
                <w:b/>
                <w:color w:val="auto"/>
                <w:sz w:val="24"/>
                <w:highlight w:val="none"/>
              </w:rPr>
              <w:t>用户联</w:t>
            </w:r>
          </w:p>
          <w:p>
            <w:pPr>
              <w:topLinePunct/>
              <w:autoSpaceDE w:val="0"/>
              <w:autoSpaceDN w:val="0"/>
              <w:spacing w:line="320" w:lineRule="exact"/>
              <w:jc w:val="center"/>
              <w:rPr>
                <w:rFonts w:ascii="宋体" w:hAnsi="宋体"/>
                <w:b/>
                <w:color w:val="auto"/>
                <w:sz w:val="24"/>
                <w:highlight w:val="none"/>
              </w:rPr>
            </w:pPr>
            <w:r>
              <w:rPr>
                <w:rFonts w:ascii="宋体" w:hAnsi="宋体"/>
                <w:b/>
                <w:color w:val="auto"/>
                <w:sz w:val="24"/>
                <w:highlight w:val="none"/>
              </w:rPr>
              <w:t>系电话</w:t>
            </w:r>
          </w:p>
        </w:tc>
        <w:tc>
          <w:tcPr>
            <w:tcW w:w="968"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line="320" w:lineRule="exact"/>
              <w:jc w:val="center"/>
              <w:rPr>
                <w:rFonts w:ascii="宋体" w:hAnsi="宋体"/>
                <w:b/>
                <w:color w:val="auto"/>
                <w:sz w:val="24"/>
                <w:highlight w:val="none"/>
              </w:rPr>
            </w:pPr>
            <w:r>
              <w:rPr>
                <w:rFonts w:ascii="宋体" w:hAnsi="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line="320" w:lineRule="exact"/>
              <w:jc w:val="center"/>
              <w:rPr>
                <w:rFonts w:ascii="宋体" w:hAnsi="宋体"/>
                <w:color w:val="auto"/>
                <w:sz w:val="24"/>
                <w:highlight w:val="none"/>
              </w:rPr>
            </w:pPr>
            <w:r>
              <w:rPr>
                <w:rFonts w:ascii="宋体" w:hAnsi="宋体"/>
                <w:color w:val="auto"/>
                <w:sz w:val="24"/>
                <w:highlight w:val="none"/>
              </w:rPr>
              <w:t>1</w:t>
            </w:r>
          </w:p>
        </w:tc>
        <w:tc>
          <w:tcPr>
            <w:tcW w:w="819"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line="320" w:lineRule="exact"/>
              <w:jc w:val="center"/>
              <w:rPr>
                <w:rFonts w:ascii="宋体" w:hAnsi="宋体"/>
                <w:color w:val="auto"/>
                <w:sz w:val="24"/>
                <w:highlight w:val="none"/>
              </w:rPr>
            </w:pPr>
          </w:p>
        </w:tc>
        <w:tc>
          <w:tcPr>
            <w:tcW w:w="864"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line="320" w:lineRule="exact"/>
              <w:jc w:val="center"/>
              <w:rPr>
                <w:rFonts w:ascii="宋体" w:hAnsi="宋体"/>
                <w:color w:val="auto"/>
                <w:sz w:val="24"/>
                <w:highlight w:val="none"/>
              </w:rPr>
            </w:pPr>
          </w:p>
        </w:tc>
        <w:tc>
          <w:tcPr>
            <w:tcW w:w="707" w:type="dxa"/>
            <w:tcBorders>
              <w:top w:val="single" w:color="auto" w:sz="4" w:space="0"/>
              <w:left w:val="single" w:color="auto" w:sz="4" w:space="0"/>
              <w:bottom w:val="single" w:color="auto" w:sz="4" w:space="0"/>
              <w:right w:val="single" w:color="auto" w:sz="4" w:space="0"/>
            </w:tcBorders>
          </w:tcPr>
          <w:p>
            <w:pPr>
              <w:topLinePunct/>
              <w:autoSpaceDE w:val="0"/>
              <w:autoSpaceDN w:val="0"/>
              <w:spacing w:line="320" w:lineRule="exact"/>
              <w:jc w:val="center"/>
              <w:rPr>
                <w:rFonts w:ascii="宋体" w:hAnsi="宋体"/>
                <w:color w:val="auto"/>
                <w:sz w:val="24"/>
                <w:highlight w:val="none"/>
              </w:rPr>
            </w:pPr>
          </w:p>
        </w:tc>
        <w:tc>
          <w:tcPr>
            <w:tcW w:w="744"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line="320" w:lineRule="exact"/>
              <w:jc w:val="center"/>
              <w:rPr>
                <w:rFonts w:ascii="宋体" w:hAnsi="宋体"/>
                <w:color w:val="auto"/>
                <w:sz w:val="24"/>
                <w:highlight w:val="none"/>
              </w:rPr>
            </w:pPr>
          </w:p>
        </w:tc>
        <w:tc>
          <w:tcPr>
            <w:tcW w:w="1221"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line="320" w:lineRule="exact"/>
              <w:jc w:val="center"/>
              <w:rPr>
                <w:rFonts w:ascii="宋体" w:hAnsi="宋体"/>
                <w:color w:val="auto"/>
                <w:sz w:val="24"/>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line="320" w:lineRule="exact"/>
              <w:jc w:val="center"/>
              <w:rPr>
                <w:rFonts w:ascii="宋体" w:hAnsi="宋体"/>
                <w:color w:val="auto"/>
                <w:sz w:val="24"/>
                <w:highlight w:val="none"/>
              </w:rPr>
            </w:pPr>
          </w:p>
        </w:tc>
        <w:tc>
          <w:tcPr>
            <w:tcW w:w="1065"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line="320" w:lineRule="exact"/>
              <w:jc w:val="center"/>
              <w:rPr>
                <w:rFonts w:ascii="宋体" w:hAnsi="宋体"/>
                <w:color w:val="auto"/>
                <w:sz w:val="24"/>
                <w:highlight w:val="none"/>
              </w:rPr>
            </w:pPr>
          </w:p>
        </w:tc>
        <w:tc>
          <w:tcPr>
            <w:tcW w:w="968"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line="32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line="320" w:lineRule="exact"/>
              <w:jc w:val="center"/>
              <w:rPr>
                <w:rFonts w:ascii="宋体" w:hAnsi="宋体"/>
                <w:color w:val="auto"/>
                <w:sz w:val="24"/>
                <w:highlight w:val="none"/>
              </w:rPr>
            </w:pPr>
            <w:r>
              <w:rPr>
                <w:rFonts w:ascii="宋体" w:hAnsi="宋体"/>
                <w:color w:val="auto"/>
                <w:sz w:val="24"/>
                <w:highlight w:val="none"/>
              </w:rPr>
              <w:t>2</w:t>
            </w:r>
          </w:p>
        </w:tc>
        <w:tc>
          <w:tcPr>
            <w:tcW w:w="819"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line="320" w:lineRule="exact"/>
              <w:jc w:val="center"/>
              <w:rPr>
                <w:rFonts w:ascii="宋体" w:hAnsi="宋体"/>
                <w:color w:val="auto"/>
                <w:sz w:val="24"/>
                <w:highlight w:val="none"/>
              </w:rPr>
            </w:pPr>
          </w:p>
        </w:tc>
        <w:tc>
          <w:tcPr>
            <w:tcW w:w="864"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line="320" w:lineRule="exact"/>
              <w:jc w:val="center"/>
              <w:rPr>
                <w:rFonts w:ascii="宋体" w:hAnsi="宋体"/>
                <w:color w:val="auto"/>
                <w:sz w:val="24"/>
                <w:highlight w:val="none"/>
              </w:rPr>
            </w:pPr>
          </w:p>
        </w:tc>
        <w:tc>
          <w:tcPr>
            <w:tcW w:w="707" w:type="dxa"/>
            <w:tcBorders>
              <w:top w:val="single" w:color="auto" w:sz="4" w:space="0"/>
              <w:left w:val="single" w:color="auto" w:sz="4" w:space="0"/>
              <w:bottom w:val="single" w:color="auto" w:sz="4" w:space="0"/>
              <w:right w:val="single" w:color="auto" w:sz="4" w:space="0"/>
            </w:tcBorders>
          </w:tcPr>
          <w:p>
            <w:pPr>
              <w:topLinePunct/>
              <w:autoSpaceDE w:val="0"/>
              <w:autoSpaceDN w:val="0"/>
              <w:spacing w:line="320" w:lineRule="exact"/>
              <w:jc w:val="center"/>
              <w:rPr>
                <w:rFonts w:ascii="宋体" w:hAnsi="宋体"/>
                <w:color w:val="auto"/>
                <w:sz w:val="24"/>
                <w:highlight w:val="none"/>
              </w:rPr>
            </w:pPr>
          </w:p>
        </w:tc>
        <w:tc>
          <w:tcPr>
            <w:tcW w:w="744"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line="320" w:lineRule="exact"/>
              <w:jc w:val="center"/>
              <w:rPr>
                <w:rFonts w:ascii="宋体" w:hAnsi="宋体"/>
                <w:color w:val="auto"/>
                <w:sz w:val="24"/>
                <w:highlight w:val="none"/>
              </w:rPr>
            </w:pPr>
          </w:p>
        </w:tc>
        <w:tc>
          <w:tcPr>
            <w:tcW w:w="1221"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line="320" w:lineRule="exact"/>
              <w:jc w:val="center"/>
              <w:rPr>
                <w:rFonts w:ascii="宋体" w:hAnsi="宋体"/>
                <w:color w:val="auto"/>
                <w:sz w:val="24"/>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line="320" w:lineRule="exact"/>
              <w:jc w:val="center"/>
              <w:rPr>
                <w:rFonts w:ascii="宋体" w:hAnsi="宋体"/>
                <w:color w:val="auto"/>
                <w:sz w:val="24"/>
                <w:highlight w:val="none"/>
              </w:rPr>
            </w:pPr>
          </w:p>
        </w:tc>
        <w:tc>
          <w:tcPr>
            <w:tcW w:w="1065"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line="320" w:lineRule="exact"/>
              <w:jc w:val="center"/>
              <w:rPr>
                <w:rFonts w:ascii="宋体" w:hAnsi="宋体"/>
                <w:color w:val="auto"/>
                <w:sz w:val="24"/>
                <w:highlight w:val="none"/>
              </w:rPr>
            </w:pPr>
          </w:p>
        </w:tc>
        <w:tc>
          <w:tcPr>
            <w:tcW w:w="968"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line="32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line="320" w:lineRule="exact"/>
              <w:jc w:val="center"/>
              <w:rPr>
                <w:rFonts w:ascii="宋体" w:hAnsi="宋体"/>
                <w:color w:val="auto"/>
                <w:sz w:val="24"/>
                <w:highlight w:val="none"/>
              </w:rPr>
            </w:pPr>
            <w:r>
              <w:rPr>
                <w:rFonts w:ascii="宋体" w:hAnsi="宋体"/>
                <w:color w:val="auto"/>
                <w:sz w:val="24"/>
                <w:highlight w:val="none"/>
              </w:rPr>
              <w:t>3</w:t>
            </w:r>
          </w:p>
        </w:tc>
        <w:tc>
          <w:tcPr>
            <w:tcW w:w="819"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line="320" w:lineRule="exact"/>
              <w:jc w:val="center"/>
              <w:rPr>
                <w:rFonts w:ascii="宋体" w:hAnsi="宋体"/>
                <w:color w:val="auto"/>
                <w:sz w:val="24"/>
                <w:highlight w:val="none"/>
              </w:rPr>
            </w:pPr>
          </w:p>
        </w:tc>
        <w:tc>
          <w:tcPr>
            <w:tcW w:w="864"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line="320" w:lineRule="exact"/>
              <w:jc w:val="center"/>
              <w:rPr>
                <w:rFonts w:ascii="宋体" w:hAnsi="宋体"/>
                <w:color w:val="auto"/>
                <w:sz w:val="24"/>
                <w:highlight w:val="none"/>
              </w:rPr>
            </w:pPr>
          </w:p>
        </w:tc>
        <w:tc>
          <w:tcPr>
            <w:tcW w:w="707" w:type="dxa"/>
            <w:tcBorders>
              <w:top w:val="single" w:color="auto" w:sz="4" w:space="0"/>
              <w:left w:val="single" w:color="auto" w:sz="4" w:space="0"/>
              <w:bottom w:val="single" w:color="auto" w:sz="4" w:space="0"/>
              <w:right w:val="single" w:color="auto" w:sz="4" w:space="0"/>
            </w:tcBorders>
          </w:tcPr>
          <w:p>
            <w:pPr>
              <w:topLinePunct/>
              <w:autoSpaceDE w:val="0"/>
              <w:autoSpaceDN w:val="0"/>
              <w:spacing w:line="320" w:lineRule="exact"/>
              <w:jc w:val="center"/>
              <w:rPr>
                <w:rFonts w:ascii="宋体" w:hAnsi="宋体"/>
                <w:color w:val="auto"/>
                <w:sz w:val="24"/>
                <w:highlight w:val="none"/>
              </w:rPr>
            </w:pPr>
          </w:p>
        </w:tc>
        <w:tc>
          <w:tcPr>
            <w:tcW w:w="744"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line="320" w:lineRule="exact"/>
              <w:jc w:val="center"/>
              <w:rPr>
                <w:rFonts w:ascii="宋体" w:hAnsi="宋体"/>
                <w:color w:val="auto"/>
                <w:sz w:val="24"/>
                <w:highlight w:val="none"/>
              </w:rPr>
            </w:pPr>
          </w:p>
        </w:tc>
        <w:tc>
          <w:tcPr>
            <w:tcW w:w="1221"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line="320" w:lineRule="exact"/>
              <w:jc w:val="center"/>
              <w:rPr>
                <w:rFonts w:ascii="宋体" w:hAnsi="宋体"/>
                <w:color w:val="auto"/>
                <w:sz w:val="24"/>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line="320" w:lineRule="exact"/>
              <w:jc w:val="center"/>
              <w:rPr>
                <w:rFonts w:ascii="宋体" w:hAnsi="宋体"/>
                <w:color w:val="auto"/>
                <w:sz w:val="24"/>
                <w:highlight w:val="none"/>
              </w:rPr>
            </w:pPr>
          </w:p>
        </w:tc>
        <w:tc>
          <w:tcPr>
            <w:tcW w:w="1065"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line="320" w:lineRule="exact"/>
              <w:jc w:val="center"/>
              <w:rPr>
                <w:rFonts w:ascii="宋体" w:hAnsi="宋体"/>
                <w:color w:val="auto"/>
                <w:sz w:val="24"/>
                <w:highlight w:val="none"/>
              </w:rPr>
            </w:pPr>
          </w:p>
        </w:tc>
        <w:tc>
          <w:tcPr>
            <w:tcW w:w="968"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line="32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line="320" w:lineRule="exact"/>
              <w:jc w:val="center"/>
              <w:rPr>
                <w:rFonts w:ascii="宋体" w:hAnsi="宋体"/>
                <w:color w:val="auto"/>
                <w:sz w:val="24"/>
                <w:highlight w:val="none"/>
              </w:rPr>
            </w:pPr>
            <w:r>
              <w:rPr>
                <w:rFonts w:ascii="宋体" w:hAnsi="宋体"/>
                <w:color w:val="auto"/>
                <w:highlight w:val="none"/>
              </w:rPr>
              <w:t>……</w:t>
            </w:r>
          </w:p>
        </w:tc>
        <w:tc>
          <w:tcPr>
            <w:tcW w:w="819"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line="320" w:lineRule="exact"/>
              <w:jc w:val="center"/>
              <w:rPr>
                <w:rFonts w:ascii="宋体" w:hAnsi="宋体"/>
                <w:color w:val="auto"/>
                <w:sz w:val="24"/>
                <w:highlight w:val="none"/>
              </w:rPr>
            </w:pPr>
          </w:p>
        </w:tc>
        <w:tc>
          <w:tcPr>
            <w:tcW w:w="864"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line="320" w:lineRule="exact"/>
              <w:jc w:val="center"/>
              <w:rPr>
                <w:rFonts w:ascii="宋体" w:hAnsi="宋体"/>
                <w:color w:val="auto"/>
                <w:sz w:val="24"/>
                <w:highlight w:val="none"/>
              </w:rPr>
            </w:pPr>
          </w:p>
        </w:tc>
        <w:tc>
          <w:tcPr>
            <w:tcW w:w="707" w:type="dxa"/>
            <w:tcBorders>
              <w:top w:val="single" w:color="auto" w:sz="4" w:space="0"/>
              <w:left w:val="single" w:color="auto" w:sz="4" w:space="0"/>
              <w:bottom w:val="single" w:color="auto" w:sz="4" w:space="0"/>
              <w:right w:val="single" w:color="auto" w:sz="4" w:space="0"/>
            </w:tcBorders>
          </w:tcPr>
          <w:p>
            <w:pPr>
              <w:topLinePunct/>
              <w:autoSpaceDE w:val="0"/>
              <w:autoSpaceDN w:val="0"/>
              <w:spacing w:line="320" w:lineRule="exact"/>
              <w:jc w:val="center"/>
              <w:rPr>
                <w:rFonts w:ascii="宋体" w:hAnsi="宋体"/>
                <w:color w:val="auto"/>
                <w:sz w:val="24"/>
                <w:highlight w:val="none"/>
              </w:rPr>
            </w:pPr>
          </w:p>
        </w:tc>
        <w:tc>
          <w:tcPr>
            <w:tcW w:w="744"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line="320" w:lineRule="exact"/>
              <w:jc w:val="center"/>
              <w:rPr>
                <w:rFonts w:ascii="宋体" w:hAnsi="宋体"/>
                <w:color w:val="auto"/>
                <w:sz w:val="24"/>
                <w:highlight w:val="none"/>
              </w:rPr>
            </w:pPr>
          </w:p>
        </w:tc>
        <w:tc>
          <w:tcPr>
            <w:tcW w:w="1221"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line="320" w:lineRule="exact"/>
              <w:jc w:val="center"/>
              <w:rPr>
                <w:rFonts w:ascii="宋体" w:hAnsi="宋体"/>
                <w:color w:val="auto"/>
                <w:sz w:val="24"/>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line="320" w:lineRule="exact"/>
              <w:jc w:val="center"/>
              <w:rPr>
                <w:rFonts w:ascii="宋体" w:hAnsi="宋体"/>
                <w:color w:val="auto"/>
                <w:sz w:val="24"/>
                <w:highlight w:val="none"/>
              </w:rPr>
            </w:pPr>
          </w:p>
        </w:tc>
        <w:tc>
          <w:tcPr>
            <w:tcW w:w="1065"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line="320" w:lineRule="exact"/>
              <w:jc w:val="center"/>
              <w:rPr>
                <w:rFonts w:ascii="宋体" w:hAnsi="宋体"/>
                <w:color w:val="auto"/>
                <w:sz w:val="24"/>
                <w:highlight w:val="none"/>
              </w:rPr>
            </w:pPr>
          </w:p>
        </w:tc>
        <w:tc>
          <w:tcPr>
            <w:tcW w:w="968"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spacing w:line="320" w:lineRule="exact"/>
              <w:jc w:val="center"/>
              <w:rPr>
                <w:rFonts w:ascii="宋体" w:hAnsi="宋体"/>
                <w:color w:val="auto"/>
                <w:sz w:val="24"/>
                <w:highlight w:val="none"/>
              </w:rPr>
            </w:pPr>
          </w:p>
        </w:tc>
      </w:tr>
    </w:tbl>
    <w:p>
      <w:pPr>
        <w:pStyle w:val="19"/>
        <w:ind w:firstLine="480" w:firstLineChars="200"/>
        <w:rPr>
          <w:rFonts w:hint="default" w:hAnsi="宋体"/>
          <w:color w:val="auto"/>
          <w:sz w:val="24"/>
          <w:szCs w:val="24"/>
          <w:highlight w:val="none"/>
        </w:rPr>
      </w:pPr>
    </w:p>
    <w:p>
      <w:pPr>
        <w:pStyle w:val="19"/>
        <w:ind w:firstLine="420" w:firstLineChars="200"/>
        <w:rPr>
          <w:rFonts w:hint="default" w:hAnsi="宋体"/>
          <w:color w:val="auto"/>
          <w:highlight w:val="none"/>
        </w:rPr>
      </w:pPr>
      <w:r>
        <w:rPr>
          <w:rFonts w:hint="default" w:hAnsi="宋体"/>
          <w:color w:val="auto"/>
          <w:highlight w:val="none"/>
        </w:rPr>
        <w:t>说明：</w:t>
      </w:r>
      <w:r>
        <w:rPr>
          <w:rFonts w:hAnsi="宋体"/>
          <w:color w:val="auto"/>
          <w:highlight w:val="none"/>
        </w:rPr>
        <w:t>1.</w:t>
      </w:r>
      <w:r>
        <w:rPr>
          <w:rFonts w:hAnsi="宋体" w:cs="宋体"/>
          <w:color w:val="auto"/>
          <w:highlight w:val="none"/>
        </w:rPr>
        <w:t>提供2020年1月以来</w:t>
      </w:r>
      <w:r>
        <w:rPr>
          <w:rFonts w:hint="default" w:hAnsi="宋体"/>
          <w:color w:val="auto"/>
          <w:highlight w:val="none"/>
        </w:rPr>
        <w:t>投标人独立承担的投标人独立承担的</w:t>
      </w:r>
      <w:r>
        <w:rPr>
          <w:rFonts w:hAnsi="宋体" w:cs="宋体"/>
          <w:color w:val="auto"/>
          <w:highlight w:val="none"/>
        </w:rPr>
        <w:t>所投产品与本项目特点和需求</w:t>
      </w:r>
      <w:r>
        <w:rPr>
          <w:rStyle w:val="84"/>
          <w:color w:val="auto"/>
          <w:highlight w:val="none"/>
        </w:rPr>
        <w:t>类似</w:t>
      </w:r>
      <w:r>
        <w:rPr>
          <w:rFonts w:hAnsi="宋体" w:cs="宋体"/>
          <w:color w:val="auto"/>
          <w:highlight w:val="none"/>
        </w:rPr>
        <w:t>的成功案例。以合同签订日期为准，提供合同相关页的复印件。</w:t>
      </w:r>
    </w:p>
    <w:p>
      <w:pPr>
        <w:pStyle w:val="19"/>
        <w:ind w:firstLine="420" w:firstLineChars="200"/>
        <w:rPr>
          <w:rFonts w:hint="default" w:hAnsi="宋体" w:cs="宋体"/>
          <w:color w:val="auto"/>
          <w:highlight w:val="none"/>
        </w:rPr>
      </w:pPr>
      <w:r>
        <w:rPr>
          <w:rFonts w:hAnsi="宋体" w:cs="宋体"/>
          <w:color w:val="auto"/>
          <w:highlight w:val="none"/>
        </w:rPr>
        <w:t>2.</w:t>
      </w:r>
      <w:r>
        <w:rPr>
          <w:rFonts w:hint="default" w:hAnsi="宋体" w:cs="宋体"/>
          <w:color w:val="auto"/>
          <w:highlight w:val="none"/>
          <w:lang w:val="zh-CN"/>
        </w:rPr>
        <w:t>案例必须提供合同相关部分复印件，合同复印件应能清晰体现合同甲乙双方、合同时间、合同金额、合同主要内容等，并提供对方联系人及联系方式，</w:t>
      </w:r>
      <w:r>
        <w:rPr>
          <w:rFonts w:hint="default" w:hAnsi="宋体" w:cs="宋体"/>
          <w:color w:val="auto"/>
          <w:highlight w:val="none"/>
        </w:rPr>
        <w:t>否则不能获得相应分值。</w:t>
      </w:r>
    </w:p>
    <w:p>
      <w:pPr>
        <w:pStyle w:val="19"/>
        <w:ind w:firstLine="562" w:firstLineChars="200"/>
        <w:rPr>
          <w:rFonts w:hint="default" w:hAnsi="宋体"/>
          <w:b/>
          <w:bCs/>
          <w:color w:val="auto"/>
          <w:sz w:val="28"/>
          <w:szCs w:val="28"/>
          <w:highlight w:val="none"/>
        </w:rPr>
      </w:pPr>
    </w:p>
    <w:p>
      <w:pPr>
        <w:pStyle w:val="19"/>
        <w:numPr>
          <w:ilvl w:val="0"/>
          <w:numId w:val="8"/>
        </w:numPr>
        <w:ind w:firstLine="562" w:firstLineChars="200"/>
        <w:rPr>
          <w:rFonts w:hint="default" w:hAnsi="宋体"/>
          <w:b/>
          <w:bCs/>
          <w:color w:val="auto"/>
          <w:sz w:val="28"/>
          <w:szCs w:val="28"/>
          <w:highlight w:val="none"/>
          <w:lang w:val="zh-CN"/>
        </w:rPr>
      </w:pPr>
      <w:r>
        <w:rPr>
          <w:rFonts w:hint="default" w:hAnsi="宋体"/>
          <w:b/>
          <w:bCs/>
          <w:color w:val="auto"/>
          <w:sz w:val="28"/>
          <w:szCs w:val="28"/>
          <w:highlight w:val="none"/>
          <w:lang w:val="zh-CN"/>
        </w:rPr>
        <w:t>投标人认为需要提供的其</w:t>
      </w:r>
      <w:r>
        <w:rPr>
          <w:rFonts w:hAnsi="宋体"/>
          <w:b/>
          <w:bCs/>
          <w:color w:val="auto"/>
          <w:sz w:val="28"/>
          <w:szCs w:val="28"/>
          <w:highlight w:val="none"/>
          <w:lang w:val="zh-CN"/>
        </w:rPr>
        <w:t>他</w:t>
      </w:r>
      <w:r>
        <w:rPr>
          <w:rFonts w:hint="default" w:hAnsi="宋体"/>
          <w:b/>
          <w:bCs/>
          <w:color w:val="auto"/>
          <w:sz w:val="28"/>
          <w:szCs w:val="28"/>
          <w:highlight w:val="none"/>
          <w:lang w:val="zh-CN"/>
        </w:rPr>
        <w:t>说明和资料</w:t>
      </w:r>
    </w:p>
    <w:p>
      <w:pPr>
        <w:pStyle w:val="19"/>
        <w:rPr>
          <w:rFonts w:hint="default" w:hAnsi="宋体"/>
          <w:b/>
          <w:bCs/>
          <w:color w:val="auto"/>
          <w:sz w:val="28"/>
          <w:szCs w:val="28"/>
          <w:highlight w:val="none"/>
          <w:lang w:val="zh-CN"/>
        </w:rPr>
        <w:sectPr>
          <w:pgSz w:w="11906" w:h="16838"/>
          <w:pgMar w:top="1440" w:right="1797" w:bottom="1440" w:left="1797" w:header="851" w:footer="992" w:gutter="0"/>
          <w:cols w:space="720" w:num="1"/>
          <w:docGrid w:type="lines" w:linePitch="312" w:charSpace="0"/>
        </w:sectPr>
      </w:pPr>
    </w:p>
    <w:p>
      <w:pPr>
        <w:pStyle w:val="19"/>
        <w:rPr>
          <w:rFonts w:hint="default" w:hAnsi="宋体"/>
          <w:b/>
          <w:bCs/>
          <w:color w:val="auto"/>
          <w:sz w:val="28"/>
          <w:szCs w:val="28"/>
          <w:highlight w:val="none"/>
          <w:lang w:val="zh-CN"/>
        </w:rPr>
        <w:sectPr>
          <w:type w:val="continuous"/>
          <w:pgSz w:w="11906" w:h="16838"/>
          <w:pgMar w:top="1440" w:right="1797" w:bottom="1440" w:left="1797" w:header="851" w:footer="992" w:gutter="0"/>
          <w:cols w:space="720" w:num="1"/>
          <w:docGrid w:type="lines" w:linePitch="312" w:charSpace="0"/>
        </w:sectPr>
      </w:pPr>
    </w:p>
    <w:p>
      <w:pPr>
        <w:pStyle w:val="19"/>
        <w:numPr>
          <w:ilvl w:val="0"/>
          <w:numId w:val="9"/>
        </w:numPr>
        <w:ind w:firstLine="643" w:firstLineChars="200"/>
        <w:jc w:val="center"/>
        <w:rPr>
          <w:rFonts w:hint="default" w:hAnsi="宋体"/>
          <w:b/>
          <w:bCs/>
          <w:color w:val="auto"/>
          <w:sz w:val="32"/>
          <w:szCs w:val="32"/>
          <w:highlight w:val="none"/>
        </w:rPr>
      </w:pPr>
      <w:r>
        <w:rPr>
          <w:rFonts w:hAnsi="宋体"/>
          <w:b/>
          <w:bCs/>
          <w:color w:val="auto"/>
          <w:sz w:val="32"/>
          <w:szCs w:val="32"/>
          <w:highlight w:val="none"/>
        </w:rPr>
        <w:t>技术部分文件格式</w:t>
      </w:r>
    </w:p>
    <w:p>
      <w:pPr>
        <w:pStyle w:val="19"/>
        <w:jc w:val="center"/>
        <w:rPr>
          <w:rFonts w:hint="default" w:hAnsi="宋体"/>
          <w:b/>
          <w:bCs/>
          <w:color w:val="auto"/>
          <w:sz w:val="32"/>
          <w:szCs w:val="32"/>
          <w:highlight w:val="none"/>
        </w:rPr>
      </w:pPr>
      <w:r>
        <w:rPr>
          <w:rFonts w:hint="default" w:hAnsi="宋体"/>
          <w:b/>
          <w:bCs/>
          <w:color w:val="auto"/>
          <w:sz w:val="28"/>
          <w:szCs w:val="28"/>
          <w:highlight w:val="none"/>
          <w:lang w:val="zh-CN"/>
        </w:rPr>
        <w:t>一、技术条款偏离表</w:t>
      </w:r>
    </w:p>
    <w:tbl>
      <w:tblPr>
        <w:tblStyle w:val="34"/>
        <w:tblW w:w="13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065"/>
        <w:gridCol w:w="2057"/>
        <w:gridCol w:w="5964"/>
        <w:gridCol w:w="1984"/>
        <w:gridCol w:w="993"/>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blHeader/>
        </w:trPr>
        <w:tc>
          <w:tcPr>
            <w:tcW w:w="945" w:type="dxa"/>
            <w:tcBorders>
              <w:top w:val="single" w:color="auto" w:sz="4" w:space="0"/>
              <w:left w:val="single" w:color="auto" w:sz="4" w:space="0"/>
              <w:bottom w:val="single" w:color="auto" w:sz="4" w:space="0"/>
              <w:right w:val="single" w:color="auto" w:sz="4" w:space="0"/>
            </w:tcBorders>
            <w:noWrap/>
            <w:vAlign w:val="center"/>
          </w:tcPr>
          <w:p>
            <w:pPr>
              <w:pStyle w:val="19"/>
              <w:jc w:val="center"/>
              <w:rPr>
                <w:rFonts w:hint="default" w:hAnsi="宋体"/>
                <w:color w:val="auto"/>
                <w:highlight w:val="none"/>
              </w:rPr>
            </w:pPr>
            <w:r>
              <w:rPr>
                <w:rFonts w:hAnsi="宋体"/>
                <w:color w:val="auto"/>
                <w:highlight w:val="none"/>
              </w:rPr>
              <w:t>品目号</w:t>
            </w:r>
          </w:p>
        </w:tc>
        <w:tc>
          <w:tcPr>
            <w:tcW w:w="1065" w:type="dxa"/>
            <w:tcBorders>
              <w:top w:val="single" w:color="auto" w:sz="4" w:space="0"/>
              <w:left w:val="single" w:color="auto" w:sz="4" w:space="0"/>
              <w:bottom w:val="single" w:color="auto" w:sz="4" w:space="0"/>
              <w:right w:val="single" w:color="auto" w:sz="4" w:space="0"/>
            </w:tcBorders>
            <w:noWrap/>
            <w:vAlign w:val="center"/>
          </w:tcPr>
          <w:p>
            <w:pPr>
              <w:pStyle w:val="19"/>
              <w:jc w:val="center"/>
              <w:rPr>
                <w:rFonts w:hint="default" w:hAnsi="宋体"/>
                <w:color w:val="auto"/>
                <w:highlight w:val="none"/>
              </w:rPr>
            </w:pPr>
            <w:r>
              <w:rPr>
                <w:rStyle w:val="42"/>
                <w:rFonts w:hAnsi="宋体"/>
                <w:color w:val="auto"/>
                <w:highlight w:val="none"/>
              </w:rPr>
              <w:t>项目名称</w:t>
            </w:r>
          </w:p>
        </w:tc>
        <w:tc>
          <w:tcPr>
            <w:tcW w:w="8021" w:type="dxa"/>
            <w:gridSpan w:val="2"/>
            <w:tcBorders>
              <w:top w:val="single" w:color="auto" w:sz="4" w:space="0"/>
              <w:left w:val="single" w:color="auto" w:sz="4" w:space="0"/>
              <w:bottom w:val="single" w:color="auto" w:sz="4" w:space="0"/>
              <w:right w:val="single" w:color="auto" w:sz="4" w:space="0"/>
            </w:tcBorders>
            <w:noWrap/>
            <w:vAlign w:val="center"/>
          </w:tcPr>
          <w:p>
            <w:pPr>
              <w:pStyle w:val="19"/>
              <w:jc w:val="center"/>
              <w:rPr>
                <w:rFonts w:hint="default" w:hAnsi="宋体"/>
                <w:color w:val="auto"/>
                <w:highlight w:val="none"/>
              </w:rPr>
            </w:pPr>
            <w:r>
              <w:rPr>
                <w:rFonts w:hAnsi="宋体"/>
                <w:color w:val="auto"/>
                <w:highlight w:val="none"/>
              </w:rPr>
              <w:t>招标要求</w:t>
            </w:r>
          </w:p>
        </w:tc>
        <w:tc>
          <w:tcPr>
            <w:tcW w:w="1984" w:type="dxa"/>
            <w:tcBorders>
              <w:top w:val="single" w:color="auto" w:sz="4" w:space="0"/>
              <w:left w:val="single" w:color="auto" w:sz="4" w:space="0"/>
              <w:bottom w:val="single" w:color="auto" w:sz="4" w:space="0"/>
              <w:right w:val="single" w:color="auto" w:sz="4" w:space="0"/>
            </w:tcBorders>
            <w:noWrap/>
            <w:vAlign w:val="center"/>
          </w:tcPr>
          <w:p>
            <w:pPr>
              <w:pStyle w:val="19"/>
              <w:jc w:val="center"/>
              <w:rPr>
                <w:rFonts w:hint="default" w:hAnsi="宋体"/>
                <w:color w:val="auto"/>
                <w:highlight w:val="none"/>
              </w:rPr>
            </w:pPr>
            <w:r>
              <w:rPr>
                <w:rFonts w:hAnsi="宋体"/>
                <w:color w:val="auto"/>
                <w:highlight w:val="none"/>
              </w:rPr>
              <w:t>投标响应情况</w:t>
            </w:r>
          </w:p>
        </w:tc>
        <w:tc>
          <w:tcPr>
            <w:tcW w:w="993" w:type="dxa"/>
            <w:tcBorders>
              <w:top w:val="single" w:color="auto" w:sz="4" w:space="0"/>
              <w:left w:val="single" w:color="auto" w:sz="4" w:space="0"/>
              <w:bottom w:val="single" w:color="auto" w:sz="4" w:space="0"/>
              <w:right w:val="single" w:color="auto" w:sz="4" w:space="0"/>
            </w:tcBorders>
            <w:noWrap/>
            <w:vAlign w:val="center"/>
          </w:tcPr>
          <w:p>
            <w:pPr>
              <w:pStyle w:val="19"/>
              <w:jc w:val="center"/>
              <w:rPr>
                <w:rFonts w:hint="default" w:hAnsi="宋体"/>
                <w:color w:val="auto"/>
                <w:highlight w:val="none"/>
              </w:rPr>
            </w:pPr>
            <w:r>
              <w:rPr>
                <w:rFonts w:hAnsi="宋体"/>
                <w:color w:val="auto"/>
                <w:highlight w:val="none"/>
              </w:rPr>
              <w:t>偏离</w:t>
            </w:r>
          </w:p>
        </w:tc>
        <w:tc>
          <w:tcPr>
            <w:tcW w:w="850" w:type="dxa"/>
            <w:tcBorders>
              <w:top w:val="single" w:color="auto" w:sz="4" w:space="0"/>
              <w:left w:val="single" w:color="auto" w:sz="4" w:space="0"/>
              <w:bottom w:val="single" w:color="auto" w:sz="4" w:space="0"/>
              <w:right w:val="single" w:color="auto" w:sz="4" w:space="0"/>
            </w:tcBorders>
            <w:noWrap/>
            <w:vAlign w:val="center"/>
          </w:tcPr>
          <w:p>
            <w:pPr>
              <w:pStyle w:val="19"/>
              <w:jc w:val="center"/>
              <w:rPr>
                <w:rFonts w:hint="default" w:hAnsi="宋体"/>
                <w:color w:val="auto"/>
                <w:highlight w:val="none"/>
              </w:rPr>
            </w:pPr>
            <w:r>
              <w:rPr>
                <w:rFonts w:hAnsi="宋体"/>
                <w:color w:val="auto"/>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45" w:type="dxa"/>
            <w:vMerge w:val="restart"/>
            <w:tcBorders>
              <w:left w:val="single" w:color="auto" w:sz="4" w:space="0"/>
              <w:right w:val="single" w:color="auto" w:sz="4" w:space="0"/>
            </w:tcBorders>
            <w:noWrap/>
            <w:vAlign w:val="center"/>
          </w:tcPr>
          <w:p>
            <w:pPr>
              <w:pStyle w:val="19"/>
              <w:jc w:val="center"/>
              <w:rPr>
                <w:rFonts w:hint="default" w:hAnsi="宋体"/>
                <w:color w:val="auto"/>
                <w:highlight w:val="none"/>
              </w:rPr>
            </w:pPr>
            <w:r>
              <w:rPr>
                <w:rFonts w:hAnsi="宋体"/>
                <w:color w:val="auto"/>
                <w:highlight w:val="none"/>
              </w:rPr>
              <w:t>1</w:t>
            </w:r>
          </w:p>
        </w:tc>
        <w:tc>
          <w:tcPr>
            <w:tcW w:w="1065" w:type="dxa"/>
            <w:vMerge w:val="restart"/>
            <w:tcBorders>
              <w:left w:val="single" w:color="auto" w:sz="4" w:space="0"/>
              <w:right w:val="single" w:color="auto" w:sz="4" w:space="0"/>
            </w:tcBorders>
            <w:noWrap/>
            <w:vAlign w:val="center"/>
          </w:tcPr>
          <w:p>
            <w:pPr>
              <w:pStyle w:val="19"/>
              <w:jc w:val="center"/>
              <w:rPr>
                <w:rFonts w:hint="default" w:hAnsi="宋体"/>
                <w:color w:val="auto"/>
                <w:highlight w:val="none"/>
              </w:rPr>
            </w:pPr>
            <w:r>
              <w:rPr>
                <w:rFonts w:hAnsi="宋体"/>
                <w:color w:val="auto"/>
                <w:highlight w:val="none"/>
              </w:rPr>
              <w:t>国家税务总局辽宁省税务局核心存储扩容项目</w:t>
            </w:r>
          </w:p>
        </w:tc>
        <w:tc>
          <w:tcPr>
            <w:tcW w:w="2057" w:type="dxa"/>
            <w:tcBorders>
              <w:top w:val="nil"/>
              <w:left w:val="single" w:color="auto" w:sz="4" w:space="0"/>
              <w:bottom w:val="single" w:color="auto" w:sz="4" w:space="0"/>
              <w:right w:val="single" w:color="auto" w:sz="4" w:space="0"/>
            </w:tcBorders>
            <w:noWrap/>
            <w:vAlign w:val="center"/>
          </w:tcPr>
          <w:p>
            <w:pPr>
              <w:widowControl/>
              <w:spacing w:line="276" w:lineRule="auto"/>
              <w:jc w:val="center"/>
              <w:rPr>
                <w:rFonts w:ascii="宋体" w:hAnsi="宋体"/>
                <w:color w:val="auto"/>
                <w:highlight w:val="none"/>
              </w:rPr>
            </w:pPr>
            <w:r>
              <w:rPr>
                <w:rFonts w:hint="eastAsia" w:ascii="宋体" w:hAnsi="宋体" w:cs="宋体"/>
                <w:color w:val="auto"/>
                <w:kern w:val="0"/>
                <w:highlight w:val="none"/>
              </w:rPr>
              <w:t>技术指标</w:t>
            </w:r>
          </w:p>
        </w:tc>
        <w:tc>
          <w:tcPr>
            <w:tcW w:w="5964" w:type="dxa"/>
            <w:tcBorders>
              <w:top w:val="nil"/>
              <w:left w:val="single" w:color="auto" w:sz="4" w:space="0"/>
              <w:bottom w:val="single" w:color="auto" w:sz="4" w:space="0"/>
              <w:right w:val="single" w:color="auto" w:sz="4" w:space="0"/>
            </w:tcBorders>
            <w:noWrap/>
            <w:vAlign w:val="center"/>
          </w:tcPr>
          <w:p>
            <w:pPr>
              <w:widowControl/>
              <w:spacing w:line="276" w:lineRule="auto"/>
              <w:jc w:val="center"/>
              <w:rPr>
                <w:rFonts w:ascii="宋体" w:hAnsi="宋体" w:cs="宋体"/>
                <w:color w:val="auto"/>
                <w:kern w:val="0"/>
                <w:highlight w:val="none"/>
              </w:rPr>
            </w:pPr>
            <w:r>
              <w:rPr>
                <w:rFonts w:hint="eastAsia" w:ascii="宋体" w:hAnsi="宋体" w:cs="宋体"/>
                <w:color w:val="auto"/>
                <w:kern w:val="0"/>
                <w:highlight w:val="none"/>
              </w:rPr>
              <w:t>指标要求</w:t>
            </w:r>
          </w:p>
          <w:p>
            <w:pPr>
              <w:widowControl/>
              <w:spacing w:line="276" w:lineRule="auto"/>
              <w:jc w:val="left"/>
              <w:rPr>
                <w:rFonts w:ascii="宋体" w:hAnsi="宋体"/>
                <w:color w:val="auto"/>
                <w:highlight w:val="none"/>
              </w:rPr>
            </w:pPr>
            <w:r>
              <w:rPr>
                <w:rFonts w:hint="eastAsia" w:ascii="宋体" w:hAnsi="宋体" w:cs="宋体"/>
                <w:color w:val="auto"/>
                <w:kern w:val="0"/>
                <w:highlight w:val="none"/>
              </w:rPr>
              <w:t>（投标产品相应的技术指标应满足加</w:t>
            </w:r>
            <w:r>
              <w:rPr>
                <w:rFonts w:hint="eastAsia" w:ascii="宋体" w:hAnsi="宋体" w:cs="宋体"/>
                <w:color w:val="auto"/>
                <w:sz w:val="24"/>
                <w:highlight w:val="none"/>
              </w:rPr>
              <w:t>★</w:t>
            </w:r>
            <w:r>
              <w:rPr>
                <w:rFonts w:hint="eastAsia" w:ascii="宋体" w:hAnsi="宋体" w:cs="宋体"/>
                <w:color w:val="auto"/>
                <w:kern w:val="0"/>
                <w:highlight w:val="none"/>
              </w:rPr>
              <w:t>指标项的要求，否则可能视为无效投标）</w:t>
            </w:r>
          </w:p>
        </w:tc>
        <w:tc>
          <w:tcPr>
            <w:tcW w:w="1984" w:type="dxa"/>
            <w:tcBorders>
              <w:left w:val="single" w:color="auto" w:sz="4" w:space="0"/>
              <w:right w:val="single" w:color="auto" w:sz="4" w:space="0"/>
            </w:tcBorders>
            <w:noWrap/>
            <w:vAlign w:val="center"/>
          </w:tcPr>
          <w:p>
            <w:pPr>
              <w:pStyle w:val="19"/>
              <w:jc w:val="center"/>
              <w:rPr>
                <w:rFonts w:hint="default" w:hAnsi="宋体"/>
                <w:color w:val="auto"/>
                <w:highlight w:val="none"/>
              </w:rPr>
            </w:pPr>
          </w:p>
        </w:tc>
        <w:tc>
          <w:tcPr>
            <w:tcW w:w="993" w:type="dxa"/>
            <w:tcBorders>
              <w:left w:val="single" w:color="auto" w:sz="4" w:space="0"/>
              <w:right w:val="single" w:color="auto" w:sz="4" w:space="0"/>
            </w:tcBorders>
            <w:noWrap/>
            <w:vAlign w:val="center"/>
          </w:tcPr>
          <w:p>
            <w:pPr>
              <w:pStyle w:val="19"/>
              <w:jc w:val="center"/>
              <w:rPr>
                <w:rFonts w:hint="default" w:hAnsi="宋体"/>
                <w:color w:val="auto"/>
                <w:highlight w:val="none"/>
              </w:rPr>
            </w:pPr>
          </w:p>
        </w:tc>
        <w:tc>
          <w:tcPr>
            <w:tcW w:w="850" w:type="dxa"/>
            <w:tcBorders>
              <w:left w:val="single" w:color="auto" w:sz="4" w:space="0"/>
              <w:right w:val="single" w:color="auto" w:sz="4" w:space="0"/>
            </w:tcBorders>
            <w:noWrap/>
            <w:vAlign w:val="center"/>
          </w:tcPr>
          <w:p>
            <w:pPr>
              <w:pStyle w:val="19"/>
              <w:jc w:val="center"/>
              <w:rPr>
                <w:rFonts w:hint="default"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945" w:type="dxa"/>
            <w:vMerge w:val="continue"/>
            <w:tcBorders>
              <w:left w:val="single" w:color="auto" w:sz="4" w:space="0"/>
              <w:right w:val="single" w:color="auto" w:sz="4" w:space="0"/>
            </w:tcBorders>
            <w:noWrap/>
            <w:vAlign w:val="center"/>
          </w:tcPr>
          <w:p>
            <w:pPr>
              <w:pStyle w:val="19"/>
              <w:jc w:val="center"/>
              <w:rPr>
                <w:rFonts w:hint="default" w:hAnsi="宋体"/>
                <w:color w:val="auto"/>
                <w:highlight w:val="none"/>
              </w:rPr>
            </w:pPr>
          </w:p>
        </w:tc>
        <w:tc>
          <w:tcPr>
            <w:tcW w:w="1065" w:type="dxa"/>
            <w:vMerge w:val="continue"/>
            <w:tcBorders>
              <w:left w:val="single" w:color="auto" w:sz="4" w:space="0"/>
              <w:right w:val="single" w:color="auto" w:sz="4" w:space="0"/>
            </w:tcBorders>
            <w:noWrap/>
            <w:vAlign w:val="center"/>
          </w:tcPr>
          <w:p>
            <w:pPr>
              <w:pStyle w:val="19"/>
              <w:jc w:val="center"/>
              <w:rPr>
                <w:rFonts w:hint="default" w:hAnsi="宋体"/>
                <w:color w:val="auto"/>
                <w:highlight w:val="none"/>
              </w:rPr>
            </w:pPr>
          </w:p>
        </w:tc>
        <w:tc>
          <w:tcPr>
            <w:tcW w:w="205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cs="宋体" w:asciiTheme="minorEastAsia" w:hAnsiTheme="minorEastAsia" w:eastAsiaTheme="minorEastAsia"/>
                <w:color w:val="auto"/>
                <w:kern w:val="0"/>
                <w:highlight w:val="none"/>
              </w:rPr>
            </w:pPr>
            <w:r>
              <w:rPr>
                <w:rFonts w:hint="eastAsia" w:asciiTheme="minorEastAsia" w:hAnsiTheme="minorEastAsia" w:eastAsiaTheme="minorEastAsia"/>
                <w:color w:val="auto"/>
                <w:sz w:val="24"/>
                <w:highlight w:val="none"/>
              </w:rPr>
              <w:t>★扩容数量要求</w:t>
            </w:r>
          </w:p>
        </w:tc>
        <w:tc>
          <w:tcPr>
            <w:tcW w:w="596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华为</w:t>
            </w:r>
            <w:r>
              <w:rPr>
                <w:rFonts w:hint="eastAsia" w:asciiTheme="minorEastAsia" w:hAnsiTheme="minorEastAsia" w:eastAsiaTheme="minorEastAsia"/>
                <w:color w:val="auto"/>
                <w:sz w:val="24"/>
                <w:highlight w:val="none"/>
              </w:rPr>
              <w:t>OceanStor 18800 V5</w:t>
            </w:r>
            <w:r>
              <w:rPr>
                <w:rFonts w:hint="eastAsia" w:cs="宋体" w:asciiTheme="minorEastAsia" w:hAnsiTheme="minorEastAsia" w:eastAsiaTheme="minorEastAsia"/>
                <w:color w:val="auto"/>
                <w:kern w:val="0"/>
                <w:sz w:val="24"/>
                <w:highlight w:val="none"/>
              </w:rPr>
              <w:t>存储扩容数量≥150块硬盘，</w:t>
            </w:r>
            <w:r>
              <w:rPr>
                <w:rFonts w:hint="eastAsia" w:asciiTheme="minorEastAsia" w:hAnsiTheme="minorEastAsia" w:eastAsiaTheme="minorEastAsia"/>
                <w:color w:val="auto"/>
                <w:sz w:val="24"/>
                <w:highlight w:val="none"/>
                <w:lang w:val="zh-CN"/>
              </w:rPr>
              <w:t>SAS盘</w:t>
            </w:r>
            <w:r>
              <w:rPr>
                <w:rFonts w:hint="eastAsia" w:asciiTheme="minorEastAsia" w:hAnsiTheme="minorEastAsia" w:eastAsiaTheme="minorEastAsia"/>
                <w:color w:val="auto"/>
                <w:sz w:val="24"/>
                <w:highlight w:val="none"/>
              </w:rPr>
              <w:t>,单盘2.4T，10K RPM，包含硬盘框及其他必备配件和线缆；</w:t>
            </w:r>
          </w:p>
          <w:p>
            <w:pPr>
              <w:spacing w:line="400" w:lineRule="exact"/>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sz w:val="24"/>
                <w:highlight w:val="none"/>
              </w:rPr>
              <w:t>华三HPE 3PAR StoreServ 20840存储扩容数量≥200块硬盘，</w:t>
            </w:r>
            <w:r>
              <w:rPr>
                <w:rFonts w:hint="eastAsia" w:asciiTheme="minorEastAsia" w:hAnsiTheme="minorEastAsia" w:eastAsiaTheme="minorEastAsia"/>
                <w:color w:val="auto"/>
                <w:sz w:val="24"/>
                <w:highlight w:val="none"/>
              </w:rPr>
              <w:t>SAS</w:t>
            </w:r>
            <w:r>
              <w:rPr>
                <w:rFonts w:hint="eastAsia" w:asciiTheme="minorEastAsia" w:hAnsiTheme="minorEastAsia" w:eastAsiaTheme="minorEastAsia"/>
                <w:color w:val="auto"/>
                <w:sz w:val="24"/>
                <w:highlight w:val="none"/>
                <w:lang w:val="zh-CN"/>
              </w:rPr>
              <w:t>盘</w:t>
            </w:r>
            <w:r>
              <w:rPr>
                <w:rFonts w:hint="eastAsia" w:asciiTheme="minorEastAsia" w:hAnsiTheme="minorEastAsia" w:eastAsiaTheme="minorEastAsia"/>
                <w:color w:val="auto"/>
                <w:sz w:val="24"/>
                <w:highlight w:val="none"/>
              </w:rPr>
              <w:t>,单盘1.8T，10K RPM，包含硬盘框及其他必备配件和线缆。</w:t>
            </w:r>
          </w:p>
        </w:tc>
        <w:tc>
          <w:tcPr>
            <w:tcW w:w="1984" w:type="dxa"/>
            <w:tcBorders>
              <w:left w:val="single" w:color="auto" w:sz="4" w:space="0"/>
              <w:right w:val="single" w:color="auto" w:sz="4" w:space="0"/>
            </w:tcBorders>
            <w:noWrap/>
            <w:vAlign w:val="center"/>
          </w:tcPr>
          <w:p>
            <w:pPr>
              <w:pStyle w:val="19"/>
              <w:jc w:val="center"/>
              <w:rPr>
                <w:rFonts w:hint="default" w:hAnsi="宋体"/>
                <w:color w:val="auto"/>
                <w:highlight w:val="none"/>
              </w:rPr>
            </w:pPr>
          </w:p>
        </w:tc>
        <w:tc>
          <w:tcPr>
            <w:tcW w:w="993" w:type="dxa"/>
            <w:tcBorders>
              <w:left w:val="single" w:color="auto" w:sz="4" w:space="0"/>
              <w:right w:val="single" w:color="auto" w:sz="4" w:space="0"/>
            </w:tcBorders>
            <w:noWrap/>
            <w:vAlign w:val="center"/>
          </w:tcPr>
          <w:p>
            <w:pPr>
              <w:pStyle w:val="19"/>
              <w:jc w:val="center"/>
              <w:rPr>
                <w:rFonts w:hint="default" w:hAnsi="宋体"/>
                <w:color w:val="auto"/>
                <w:highlight w:val="none"/>
              </w:rPr>
            </w:pPr>
          </w:p>
        </w:tc>
        <w:tc>
          <w:tcPr>
            <w:tcW w:w="850" w:type="dxa"/>
            <w:tcBorders>
              <w:left w:val="single" w:color="auto" w:sz="4" w:space="0"/>
              <w:right w:val="single" w:color="auto" w:sz="4" w:space="0"/>
            </w:tcBorders>
            <w:noWrap/>
            <w:vAlign w:val="center"/>
          </w:tcPr>
          <w:p>
            <w:pPr>
              <w:pStyle w:val="19"/>
              <w:jc w:val="center"/>
              <w:rPr>
                <w:rFonts w:hint="default"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trPr>
        <w:tc>
          <w:tcPr>
            <w:tcW w:w="945" w:type="dxa"/>
            <w:vMerge w:val="continue"/>
            <w:tcBorders>
              <w:left w:val="single" w:color="auto" w:sz="4" w:space="0"/>
              <w:right w:val="single" w:color="auto" w:sz="4" w:space="0"/>
            </w:tcBorders>
            <w:noWrap/>
            <w:vAlign w:val="center"/>
          </w:tcPr>
          <w:p>
            <w:pPr>
              <w:pStyle w:val="19"/>
              <w:jc w:val="center"/>
              <w:rPr>
                <w:rFonts w:hint="default" w:hAnsi="宋体"/>
                <w:color w:val="auto"/>
                <w:highlight w:val="none"/>
              </w:rPr>
            </w:pPr>
          </w:p>
        </w:tc>
        <w:tc>
          <w:tcPr>
            <w:tcW w:w="1065" w:type="dxa"/>
            <w:vMerge w:val="continue"/>
            <w:tcBorders>
              <w:left w:val="single" w:color="auto" w:sz="4" w:space="0"/>
              <w:right w:val="single" w:color="auto" w:sz="4" w:space="0"/>
            </w:tcBorders>
            <w:noWrap/>
            <w:vAlign w:val="center"/>
          </w:tcPr>
          <w:p>
            <w:pPr>
              <w:pStyle w:val="19"/>
              <w:jc w:val="center"/>
              <w:rPr>
                <w:rFonts w:hint="default" w:hAnsi="宋体"/>
                <w:color w:val="auto"/>
                <w:highlight w:val="none"/>
              </w:rPr>
            </w:pPr>
          </w:p>
        </w:tc>
        <w:tc>
          <w:tcPr>
            <w:tcW w:w="205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cs="宋体" w:asciiTheme="minorEastAsia" w:hAnsiTheme="minorEastAsia" w:eastAsiaTheme="minorEastAsia"/>
                <w:color w:val="auto"/>
                <w:kern w:val="0"/>
                <w:highlight w:val="none"/>
              </w:rPr>
            </w:pPr>
            <w:r>
              <w:rPr>
                <w:rFonts w:hint="eastAsia" w:asciiTheme="minorEastAsia" w:hAnsiTheme="minorEastAsia" w:eastAsiaTheme="minorEastAsia"/>
                <w:color w:val="auto"/>
                <w:sz w:val="24"/>
                <w:highlight w:val="none"/>
              </w:rPr>
              <w:t>★硬件要求及服务</w:t>
            </w:r>
          </w:p>
        </w:tc>
        <w:tc>
          <w:tcPr>
            <w:tcW w:w="5964" w:type="dxa"/>
            <w:tcBorders>
              <w:top w:val="single" w:color="auto" w:sz="4" w:space="0"/>
              <w:left w:val="single" w:color="auto" w:sz="4" w:space="0"/>
              <w:right w:val="single" w:color="auto" w:sz="4" w:space="0"/>
            </w:tcBorders>
            <w:noWrap/>
            <w:vAlign w:val="center"/>
          </w:tcPr>
          <w:p>
            <w:pPr>
              <w:spacing w:line="400" w:lineRule="exact"/>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1.所有产品必须是原厂全新产品，</w:t>
            </w:r>
            <w:r>
              <w:rPr>
                <w:rFonts w:hint="eastAsia" w:cs="宋体" w:asciiTheme="minorEastAsia" w:hAnsiTheme="minorEastAsia" w:eastAsiaTheme="minorEastAsia"/>
                <w:b/>
                <w:color w:val="auto"/>
                <w:kern w:val="0"/>
                <w:sz w:val="24"/>
                <w:highlight w:val="none"/>
              </w:rPr>
              <w:t>并</w:t>
            </w:r>
            <w:r>
              <w:rPr>
                <w:rFonts w:hint="eastAsia" w:asciiTheme="minorEastAsia" w:hAnsiTheme="minorEastAsia" w:eastAsiaTheme="minorEastAsia"/>
                <w:b/>
                <w:color w:val="auto"/>
                <w:sz w:val="24"/>
                <w:highlight w:val="none"/>
              </w:rPr>
              <w:t>提供本项目相关的配套使用的硬盘框</w:t>
            </w:r>
            <w:r>
              <w:rPr>
                <w:rFonts w:hint="eastAsia" w:asciiTheme="minorEastAsia" w:hAnsiTheme="minorEastAsia" w:eastAsiaTheme="minorEastAsia"/>
                <w:color w:val="auto"/>
                <w:sz w:val="24"/>
                <w:highlight w:val="none"/>
              </w:rPr>
              <w:t>、容量许可、集成服务、后续相关配置服务等。</w:t>
            </w:r>
          </w:p>
          <w:p>
            <w:pPr>
              <w:pStyle w:val="13"/>
              <w:ind w:firstLine="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sz w:val="24"/>
                <w:szCs w:val="24"/>
                <w:highlight w:val="none"/>
              </w:rPr>
              <w:t>2.根据采购人需求提供与本次采购设备相关的在线数据迁移服务合计不少于3次。</w:t>
            </w:r>
          </w:p>
        </w:tc>
        <w:tc>
          <w:tcPr>
            <w:tcW w:w="1984" w:type="dxa"/>
            <w:tcBorders>
              <w:left w:val="single" w:color="auto" w:sz="4" w:space="0"/>
              <w:right w:val="single" w:color="auto" w:sz="4" w:space="0"/>
            </w:tcBorders>
            <w:noWrap/>
            <w:vAlign w:val="center"/>
          </w:tcPr>
          <w:p>
            <w:pPr>
              <w:pStyle w:val="19"/>
              <w:jc w:val="center"/>
              <w:rPr>
                <w:rFonts w:hint="default" w:hAnsi="宋体"/>
                <w:color w:val="auto"/>
                <w:highlight w:val="none"/>
              </w:rPr>
            </w:pPr>
          </w:p>
        </w:tc>
        <w:tc>
          <w:tcPr>
            <w:tcW w:w="993" w:type="dxa"/>
            <w:tcBorders>
              <w:left w:val="single" w:color="auto" w:sz="4" w:space="0"/>
              <w:right w:val="single" w:color="auto" w:sz="4" w:space="0"/>
            </w:tcBorders>
            <w:noWrap/>
            <w:vAlign w:val="center"/>
          </w:tcPr>
          <w:p>
            <w:pPr>
              <w:pStyle w:val="19"/>
              <w:jc w:val="center"/>
              <w:rPr>
                <w:rFonts w:hint="default" w:hAnsi="宋体"/>
                <w:color w:val="auto"/>
                <w:highlight w:val="none"/>
              </w:rPr>
            </w:pPr>
          </w:p>
        </w:tc>
        <w:tc>
          <w:tcPr>
            <w:tcW w:w="850" w:type="dxa"/>
            <w:tcBorders>
              <w:left w:val="single" w:color="auto" w:sz="4" w:space="0"/>
              <w:right w:val="single" w:color="auto" w:sz="4" w:space="0"/>
            </w:tcBorders>
            <w:noWrap/>
            <w:vAlign w:val="center"/>
          </w:tcPr>
          <w:p>
            <w:pPr>
              <w:pStyle w:val="19"/>
              <w:jc w:val="center"/>
              <w:rPr>
                <w:rFonts w:hint="default"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945" w:type="dxa"/>
            <w:vMerge w:val="continue"/>
            <w:tcBorders>
              <w:left w:val="single" w:color="auto" w:sz="4" w:space="0"/>
              <w:right w:val="single" w:color="auto" w:sz="4" w:space="0"/>
            </w:tcBorders>
            <w:noWrap/>
            <w:vAlign w:val="center"/>
          </w:tcPr>
          <w:p>
            <w:pPr>
              <w:pStyle w:val="19"/>
              <w:jc w:val="center"/>
              <w:rPr>
                <w:rFonts w:hint="default" w:hAnsi="宋体"/>
                <w:color w:val="auto"/>
                <w:highlight w:val="none"/>
              </w:rPr>
            </w:pPr>
          </w:p>
        </w:tc>
        <w:tc>
          <w:tcPr>
            <w:tcW w:w="1065" w:type="dxa"/>
            <w:vMerge w:val="continue"/>
            <w:tcBorders>
              <w:left w:val="single" w:color="auto" w:sz="4" w:space="0"/>
              <w:right w:val="single" w:color="auto" w:sz="4" w:space="0"/>
            </w:tcBorders>
            <w:noWrap/>
            <w:vAlign w:val="center"/>
          </w:tcPr>
          <w:p>
            <w:pPr>
              <w:pStyle w:val="19"/>
              <w:jc w:val="center"/>
              <w:rPr>
                <w:rFonts w:hint="default" w:hAnsi="宋体"/>
                <w:color w:val="auto"/>
                <w:highlight w:val="none"/>
              </w:rPr>
            </w:pPr>
          </w:p>
        </w:tc>
        <w:tc>
          <w:tcPr>
            <w:tcW w:w="205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cs="宋体" w:asciiTheme="minorEastAsia" w:hAnsiTheme="minorEastAsia" w:eastAsiaTheme="minorEastAsia"/>
                <w:color w:val="auto"/>
                <w:kern w:val="0"/>
                <w:highlight w:val="none"/>
              </w:rPr>
            </w:pPr>
            <w:r>
              <w:rPr>
                <w:rFonts w:hint="eastAsia" w:asciiTheme="minorEastAsia" w:hAnsiTheme="minorEastAsia" w:eastAsiaTheme="minorEastAsia"/>
                <w:color w:val="auto"/>
                <w:sz w:val="24"/>
                <w:highlight w:val="none"/>
              </w:rPr>
              <w:t>★保修要求</w:t>
            </w:r>
          </w:p>
        </w:tc>
        <w:tc>
          <w:tcPr>
            <w:tcW w:w="596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1.每台存储的扩容部分保修期为自试运行验收合格起3年。</w:t>
            </w:r>
          </w:p>
          <w:p>
            <w:pPr>
              <w:spacing w:line="4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2.所有产品硬件故障提供自试运行验收合格起3年的7*24*4小时</w:t>
            </w:r>
            <w:r>
              <w:rPr>
                <w:rFonts w:hint="eastAsia" w:cs="宋体" w:asciiTheme="minorEastAsia" w:hAnsiTheme="minorEastAsia" w:eastAsiaTheme="minorEastAsia"/>
                <w:color w:val="auto"/>
                <w:sz w:val="24"/>
                <w:highlight w:val="none"/>
              </w:rPr>
              <w:t>设备</w:t>
            </w:r>
            <w:r>
              <w:rPr>
                <w:rFonts w:hint="eastAsia" w:cs="宋体" w:asciiTheme="minorEastAsia" w:hAnsiTheme="minorEastAsia" w:eastAsiaTheme="minorEastAsia"/>
                <w:color w:val="auto"/>
                <w:kern w:val="0"/>
                <w:sz w:val="24"/>
                <w:highlight w:val="none"/>
              </w:rPr>
              <w:t>现场服务，</w:t>
            </w:r>
            <w:r>
              <w:rPr>
                <w:rFonts w:hint="eastAsia" w:cs="宋体" w:asciiTheme="minorEastAsia" w:hAnsiTheme="minorEastAsia" w:eastAsiaTheme="minorEastAsia"/>
                <w:color w:val="auto"/>
                <w:sz w:val="24"/>
                <w:highlight w:val="none"/>
              </w:rPr>
              <w:t>设备原厂商</w:t>
            </w:r>
            <w:r>
              <w:rPr>
                <w:rFonts w:hint="eastAsia" w:cs="宋体" w:asciiTheme="minorEastAsia" w:hAnsiTheme="minorEastAsia" w:eastAsiaTheme="minorEastAsia"/>
                <w:color w:val="auto"/>
                <w:kern w:val="0"/>
                <w:sz w:val="24"/>
                <w:highlight w:val="none"/>
              </w:rPr>
              <w:t>需在国内设有800/400技术服务热线</w:t>
            </w:r>
            <w:r>
              <w:rPr>
                <w:rFonts w:hint="eastAsia" w:asciiTheme="minorEastAsia" w:hAnsiTheme="minorEastAsia" w:eastAsiaTheme="minorEastAsia"/>
                <w:color w:val="auto"/>
                <w:sz w:val="24"/>
                <w:highlight w:val="none"/>
              </w:rPr>
              <w:t>。</w:t>
            </w:r>
          </w:p>
          <w:p>
            <w:pPr>
              <w:spacing w:line="4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3.故障报修响应时间：0.5小时响应，2小时到现场</w:t>
            </w:r>
            <w:r>
              <w:rPr>
                <w:rFonts w:hint="eastAsia" w:asciiTheme="minorEastAsia" w:hAnsiTheme="minorEastAsia" w:eastAsiaTheme="minorEastAsia"/>
                <w:color w:val="auto"/>
                <w:sz w:val="24"/>
                <w:highlight w:val="none"/>
              </w:rPr>
              <w:t>。</w:t>
            </w:r>
          </w:p>
          <w:p>
            <w:pPr>
              <w:spacing w:line="4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4.提供硬盘不返还服务</w:t>
            </w:r>
            <w:r>
              <w:rPr>
                <w:rFonts w:hint="eastAsia" w:cs="宋体" w:asciiTheme="minorEastAsia" w:hAnsiTheme="minorEastAsia" w:eastAsiaTheme="minorEastAsia"/>
                <w:b/>
                <w:color w:val="auto"/>
                <w:kern w:val="0"/>
                <w:sz w:val="24"/>
                <w:highlight w:val="none"/>
              </w:rPr>
              <w:t>；</w:t>
            </w:r>
          </w:p>
          <w:p>
            <w:pPr>
              <w:spacing w:line="400" w:lineRule="exact"/>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sz w:val="24"/>
                <w:highlight w:val="none"/>
              </w:rPr>
              <w:t>5.每台存储在设备现场至少保持3块以上备盘，合计至少6块。</w:t>
            </w:r>
          </w:p>
        </w:tc>
        <w:tc>
          <w:tcPr>
            <w:tcW w:w="1984" w:type="dxa"/>
            <w:tcBorders>
              <w:left w:val="single" w:color="auto" w:sz="4" w:space="0"/>
              <w:right w:val="single" w:color="auto" w:sz="4" w:space="0"/>
            </w:tcBorders>
            <w:noWrap/>
            <w:vAlign w:val="center"/>
          </w:tcPr>
          <w:p>
            <w:pPr>
              <w:pStyle w:val="19"/>
              <w:jc w:val="center"/>
              <w:rPr>
                <w:rFonts w:hint="default" w:hAnsi="宋体"/>
                <w:color w:val="auto"/>
                <w:highlight w:val="none"/>
              </w:rPr>
            </w:pPr>
          </w:p>
        </w:tc>
        <w:tc>
          <w:tcPr>
            <w:tcW w:w="993" w:type="dxa"/>
            <w:tcBorders>
              <w:left w:val="single" w:color="auto" w:sz="4" w:space="0"/>
              <w:right w:val="single" w:color="auto" w:sz="4" w:space="0"/>
            </w:tcBorders>
            <w:noWrap/>
            <w:vAlign w:val="center"/>
          </w:tcPr>
          <w:p>
            <w:pPr>
              <w:pStyle w:val="19"/>
              <w:jc w:val="center"/>
              <w:rPr>
                <w:rFonts w:hint="default" w:hAnsi="宋体"/>
                <w:color w:val="auto"/>
                <w:highlight w:val="none"/>
              </w:rPr>
            </w:pPr>
          </w:p>
        </w:tc>
        <w:tc>
          <w:tcPr>
            <w:tcW w:w="850" w:type="dxa"/>
            <w:tcBorders>
              <w:left w:val="single" w:color="auto" w:sz="4" w:space="0"/>
              <w:right w:val="single" w:color="auto" w:sz="4" w:space="0"/>
            </w:tcBorders>
            <w:noWrap/>
            <w:vAlign w:val="center"/>
          </w:tcPr>
          <w:p>
            <w:pPr>
              <w:pStyle w:val="19"/>
              <w:jc w:val="center"/>
              <w:rPr>
                <w:rFonts w:hint="default" w:hAnsi="宋体"/>
                <w:color w:val="auto"/>
                <w:highlight w:val="none"/>
              </w:rPr>
            </w:pPr>
          </w:p>
        </w:tc>
      </w:tr>
    </w:tbl>
    <w:p>
      <w:pPr>
        <w:pStyle w:val="19"/>
        <w:rPr>
          <w:rFonts w:hint="default" w:hAnsi="宋体"/>
          <w:color w:val="auto"/>
          <w:highlight w:val="none"/>
        </w:rPr>
      </w:pPr>
    </w:p>
    <w:p>
      <w:pPr>
        <w:rPr>
          <w:rFonts w:ascii="宋体" w:hAnsi="宋体"/>
          <w:color w:val="auto"/>
          <w:highlight w:val="none"/>
        </w:rPr>
      </w:pPr>
      <w:r>
        <w:rPr>
          <w:rFonts w:ascii="宋体" w:hAnsi="宋体"/>
          <w:color w:val="auto"/>
          <w:highlight w:val="none"/>
        </w:rPr>
        <w:t>说明：1.填写此表应做到用文字一一对应的描述招标文件技术要求与投标文件技术要求序号、技术要求的响应与偏离</w:t>
      </w:r>
      <w:r>
        <w:rPr>
          <w:rFonts w:hint="eastAsia" w:ascii="宋体" w:hAnsi="宋体"/>
          <w:color w:val="auto"/>
          <w:highlight w:val="none"/>
        </w:rPr>
        <w:t>。未进行描述的，视为无偏差</w:t>
      </w:r>
      <w:r>
        <w:rPr>
          <w:rFonts w:ascii="宋体" w:hAnsi="宋体"/>
          <w:color w:val="auto"/>
          <w:highlight w:val="none"/>
        </w:rPr>
        <w:t>。</w:t>
      </w:r>
    </w:p>
    <w:p>
      <w:pPr>
        <w:pStyle w:val="19"/>
        <w:ind w:firstLine="420" w:firstLineChars="200"/>
        <w:rPr>
          <w:rFonts w:hint="default" w:hAnsi="宋体"/>
          <w:color w:val="auto"/>
          <w:highlight w:val="none"/>
        </w:rPr>
      </w:pPr>
      <w:r>
        <w:rPr>
          <w:rFonts w:hint="default" w:hAnsi="宋体"/>
          <w:color w:val="auto"/>
          <w:highlight w:val="none"/>
        </w:rPr>
        <w:t>2.在偏差项必须注明正偏差、负偏差或无偏差，否则视为无效应答。</w:t>
      </w:r>
    </w:p>
    <w:p>
      <w:pPr>
        <w:tabs>
          <w:tab w:val="left" w:pos="1230"/>
        </w:tabs>
        <w:topLinePunct/>
        <w:autoSpaceDE w:val="0"/>
        <w:autoSpaceDN w:val="0"/>
        <w:snapToGrid w:val="0"/>
        <w:spacing w:line="480" w:lineRule="auto"/>
        <w:ind w:left="360"/>
        <w:rPr>
          <w:rFonts w:ascii="宋体" w:hAnsi="宋体"/>
          <w:color w:val="auto"/>
          <w:sz w:val="24"/>
          <w:highlight w:val="none"/>
        </w:rPr>
      </w:pPr>
    </w:p>
    <w:p>
      <w:pPr>
        <w:tabs>
          <w:tab w:val="left" w:pos="1230"/>
        </w:tabs>
        <w:topLinePunct/>
        <w:autoSpaceDE w:val="0"/>
        <w:autoSpaceDN w:val="0"/>
        <w:snapToGrid w:val="0"/>
        <w:spacing w:line="480" w:lineRule="auto"/>
        <w:ind w:left="360"/>
        <w:rPr>
          <w:rFonts w:ascii="宋体" w:hAnsi="宋体"/>
          <w:color w:val="auto"/>
          <w:sz w:val="24"/>
          <w:highlight w:val="none"/>
          <w:u w:val="single"/>
        </w:rPr>
      </w:pPr>
      <w:r>
        <w:rPr>
          <w:rFonts w:ascii="宋体" w:hAnsi="宋体"/>
          <w:color w:val="auto"/>
          <w:sz w:val="24"/>
          <w:highlight w:val="none"/>
        </w:rPr>
        <w:t>项目名称：</w:t>
      </w:r>
    </w:p>
    <w:p>
      <w:pPr>
        <w:tabs>
          <w:tab w:val="left" w:pos="1230"/>
        </w:tabs>
        <w:topLinePunct/>
        <w:autoSpaceDE w:val="0"/>
        <w:autoSpaceDN w:val="0"/>
        <w:snapToGrid w:val="0"/>
        <w:spacing w:line="480" w:lineRule="auto"/>
        <w:ind w:left="360"/>
        <w:rPr>
          <w:rFonts w:ascii="宋体" w:hAnsi="宋体"/>
          <w:color w:val="auto"/>
          <w:sz w:val="24"/>
          <w:highlight w:val="none"/>
        </w:rPr>
      </w:pPr>
      <w:r>
        <w:rPr>
          <w:rFonts w:ascii="宋体" w:hAnsi="宋体"/>
          <w:color w:val="auto"/>
          <w:sz w:val="24"/>
          <w:highlight w:val="none"/>
        </w:rPr>
        <w:t>投标人名称：</w:t>
      </w:r>
    </w:p>
    <w:p>
      <w:pPr>
        <w:tabs>
          <w:tab w:val="left" w:pos="1230"/>
        </w:tabs>
        <w:topLinePunct/>
        <w:autoSpaceDE w:val="0"/>
        <w:autoSpaceDN w:val="0"/>
        <w:snapToGrid w:val="0"/>
        <w:spacing w:line="480" w:lineRule="auto"/>
        <w:ind w:left="360"/>
        <w:rPr>
          <w:rFonts w:ascii="宋体" w:hAnsi="宋体"/>
          <w:color w:val="auto"/>
          <w:sz w:val="24"/>
          <w:highlight w:val="none"/>
          <w:u w:val="single"/>
        </w:rPr>
      </w:pPr>
      <w:r>
        <w:rPr>
          <w:rFonts w:ascii="宋体" w:hAnsi="宋体"/>
          <w:color w:val="auto"/>
          <w:sz w:val="24"/>
          <w:highlight w:val="none"/>
        </w:rPr>
        <w:t>投标人公章：</w:t>
      </w:r>
    </w:p>
    <w:p>
      <w:pPr>
        <w:tabs>
          <w:tab w:val="left" w:pos="1230"/>
        </w:tabs>
        <w:topLinePunct/>
        <w:autoSpaceDE w:val="0"/>
        <w:autoSpaceDN w:val="0"/>
        <w:snapToGrid w:val="0"/>
        <w:spacing w:line="480" w:lineRule="auto"/>
        <w:ind w:left="360"/>
        <w:rPr>
          <w:rFonts w:ascii="宋体" w:hAnsi="宋体"/>
          <w:color w:val="auto"/>
          <w:sz w:val="24"/>
          <w:highlight w:val="none"/>
          <w:u w:val="single"/>
        </w:rPr>
      </w:pPr>
      <w:r>
        <w:rPr>
          <w:rFonts w:ascii="宋体" w:hAnsi="宋体"/>
          <w:color w:val="auto"/>
          <w:sz w:val="24"/>
          <w:highlight w:val="none"/>
        </w:rPr>
        <w:t>法定代表人或被授权投标代表（签字或盖章）：</w:t>
      </w:r>
    </w:p>
    <w:p>
      <w:pPr>
        <w:pStyle w:val="19"/>
        <w:topLinePunct/>
        <w:autoSpaceDE w:val="0"/>
        <w:autoSpaceDN w:val="0"/>
        <w:spacing w:line="480" w:lineRule="auto"/>
        <w:ind w:left="360"/>
        <w:rPr>
          <w:rFonts w:hint="default" w:hAnsi="宋体"/>
          <w:color w:val="auto"/>
          <w:sz w:val="24"/>
          <w:highlight w:val="none"/>
          <w:u w:val="single"/>
        </w:rPr>
      </w:pPr>
      <w:r>
        <w:rPr>
          <w:rFonts w:hint="default" w:hAnsi="宋体"/>
          <w:color w:val="auto"/>
          <w:sz w:val="24"/>
          <w:highlight w:val="none"/>
        </w:rPr>
        <w:t>日期：</w:t>
      </w:r>
    </w:p>
    <w:p>
      <w:pPr>
        <w:pStyle w:val="19"/>
        <w:rPr>
          <w:rFonts w:hint="default" w:hAnsi="宋体"/>
          <w:b/>
          <w:bCs/>
          <w:color w:val="auto"/>
          <w:sz w:val="28"/>
          <w:szCs w:val="28"/>
          <w:highlight w:val="none"/>
          <w:lang w:val="zh-CN"/>
        </w:rPr>
        <w:sectPr>
          <w:pgSz w:w="16838" w:h="11906" w:orient="landscape"/>
          <w:pgMar w:top="1797" w:right="1440" w:bottom="1797" w:left="1440" w:header="851" w:footer="992" w:gutter="0"/>
          <w:cols w:space="720" w:num="1"/>
          <w:docGrid w:type="lines" w:linePitch="312" w:charSpace="0"/>
        </w:sectPr>
      </w:pPr>
    </w:p>
    <w:p>
      <w:pPr>
        <w:pStyle w:val="19"/>
        <w:rPr>
          <w:rFonts w:hint="default" w:hAnsi="宋体"/>
          <w:b/>
          <w:bCs/>
          <w:color w:val="auto"/>
          <w:sz w:val="28"/>
          <w:szCs w:val="28"/>
          <w:highlight w:val="none"/>
          <w:lang w:val="zh-CN"/>
        </w:rPr>
      </w:pPr>
      <w:r>
        <w:rPr>
          <w:rFonts w:hint="default" w:hAnsi="宋体"/>
          <w:b/>
          <w:bCs/>
          <w:color w:val="auto"/>
          <w:sz w:val="28"/>
          <w:szCs w:val="28"/>
          <w:highlight w:val="none"/>
          <w:lang w:val="zh-CN"/>
        </w:rPr>
        <w:t>二、项目团队组织结构</w:t>
      </w:r>
    </w:p>
    <w:p>
      <w:pPr>
        <w:tabs>
          <w:tab w:val="left" w:pos="1230"/>
        </w:tabs>
        <w:topLinePunct/>
        <w:autoSpaceDE w:val="0"/>
        <w:autoSpaceDN w:val="0"/>
        <w:snapToGrid w:val="0"/>
        <w:spacing w:line="420" w:lineRule="exact"/>
        <w:rPr>
          <w:rFonts w:ascii="宋体" w:hAnsi="宋体"/>
          <w:bCs/>
          <w:color w:val="auto"/>
          <w:sz w:val="24"/>
          <w:highlight w:val="none"/>
        </w:rPr>
      </w:pPr>
      <w:r>
        <w:rPr>
          <w:rFonts w:ascii="宋体" w:hAnsi="宋体"/>
          <w:bCs/>
          <w:color w:val="auto"/>
          <w:sz w:val="24"/>
          <w:highlight w:val="none"/>
        </w:rPr>
        <w:t>除文字描述外，应同时提供以下附表：</w:t>
      </w:r>
    </w:p>
    <w:p>
      <w:pPr>
        <w:tabs>
          <w:tab w:val="left" w:pos="1230"/>
        </w:tabs>
        <w:topLinePunct/>
        <w:autoSpaceDE w:val="0"/>
        <w:autoSpaceDN w:val="0"/>
        <w:snapToGrid w:val="0"/>
        <w:spacing w:line="420" w:lineRule="exact"/>
        <w:jc w:val="center"/>
        <w:rPr>
          <w:rFonts w:ascii="宋体" w:hAnsi="宋体"/>
          <w:b/>
          <w:bCs/>
          <w:color w:val="auto"/>
          <w:sz w:val="24"/>
          <w:highlight w:val="none"/>
        </w:rPr>
      </w:pPr>
    </w:p>
    <w:p>
      <w:pPr>
        <w:tabs>
          <w:tab w:val="left" w:pos="1230"/>
        </w:tabs>
        <w:topLinePunct/>
        <w:autoSpaceDE w:val="0"/>
        <w:autoSpaceDN w:val="0"/>
        <w:snapToGrid w:val="0"/>
        <w:spacing w:line="420" w:lineRule="exact"/>
        <w:jc w:val="center"/>
        <w:rPr>
          <w:rFonts w:ascii="宋体" w:hAnsi="宋体"/>
          <w:b/>
          <w:bCs/>
          <w:color w:val="auto"/>
          <w:sz w:val="24"/>
          <w:highlight w:val="none"/>
        </w:rPr>
      </w:pPr>
      <w:r>
        <w:rPr>
          <w:rFonts w:ascii="宋体" w:hAnsi="宋体"/>
          <w:b/>
          <w:bCs/>
          <w:color w:val="auto"/>
          <w:sz w:val="24"/>
          <w:highlight w:val="none"/>
        </w:rPr>
        <w:t>用于本项目的人员配备情况一览表</w:t>
      </w:r>
    </w:p>
    <w:p>
      <w:pPr>
        <w:pStyle w:val="2"/>
        <w:rPr>
          <w:color w:val="auto"/>
          <w:highlight w:val="none"/>
        </w:rPr>
      </w:pPr>
    </w:p>
    <w:tbl>
      <w:tblPr>
        <w:tblStyle w:val="34"/>
        <w:tblW w:w="8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845"/>
        <w:gridCol w:w="882"/>
        <w:gridCol w:w="926"/>
        <w:gridCol w:w="737"/>
        <w:gridCol w:w="1246"/>
        <w:gridCol w:w="1246"/>
        <w:gridCol w:w="900"/>
        <w:gridCol w:w="705"/>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3" w:type="dxa"/>
            <w:vAlign w:val="center"/>
          </w:tcPr>
          <w:p>
            <w:pPr>
              <w:pStyle w:val="19"/>
              <w:snapToGrid w:val="0"/>
              <w:spacing w:line="280" w:lineRule="exact"/>
              <w:jc w:val="center"/>
              <w:rPr>
                <w:rFonts w:hint="default" w:hAnsi="宋体"/>
                <w:b/>
                <w:color w:val="auto"/>
                <w:kern w:val="2"/>
                <w:sz w:val="24"/>
                <w:highlight w:val="none"/>
              </w:rPr>
            </w:pPr>
            <w:r>
              <w:rPr>
                <w:rFonts w:hint="default" w:hAnsi="宋体"/>
                <w:b/>
                <w:color w:val="auto"/>
                <w:kern w:val="2"/>
                <w:sz w:val="24"/>
                <w:highlight w:val="none"/>
              </w:rPr>
              <w:t>序号</w:t>
            </w:r>
          </w:p>
        </w:tc>
        <w:tc>
          <w:tcPr>
            <w:tcW w:w="845" w:type="dxa"/>
            <w:vAlign w:val="center"/>
          </w:tcPr>
          <w:p>
            <w:pPr>
              <w:pStyle w:val="19"/>
              <w:snapToGrid w:val="0"/>
              <w:spacing w:line="280" w:lineRule="exact"/>
              <w:jc w:val="center"/>
              <w:rPr>
                <w:rFonts w:hint="default" w:hAnsi="宋体"/>
                <w:b/>
                <w:color w:val="auto"/>
                <w:kern w:val="2"/>
                <w:sz w:val="24"/>
                <w:highlight w:val="none"/>
              </w:rPr>
            </w:pPr>
            <w:r>
              <w:rPr>
                <w:rFonts w:hint="default" w:hAnsi="宋体"/>
                <w:b/>
                <w:color w:val="auto"/>
                <w:kern w:val="2"/>
                <w:sz w:val="24"/>
                <w:highlight w:val="none"/>
              </w:rPr>
              <w:t>姓名</w:t>
            </w:r>
          </w:p>
        </w:tc>
        <w:tc>
          <w:tcPr>
            <w:tcW w:w="882" w:type="dxa"/>
            <w:vAlign w:val="center"/>
          </w:tcPr>
          <w:p>
            <w:pPr>
              <w:pStyle w:val="19"/>
              <w:snapToGrid w:val="0"/>
              <w:spacing w:line="280" w:lineRule="exact"/>
              <w:jc w:val="center"/>
              <w:rPr>
                <w:rFonts w:hint="default" w:hAnsi="宋体"/>
                <w:b/>
                <w:color w:val="auto"/>
                <w:kern w:val="2"/>
                <w:sz w:val="24"/>
                <w:highlight w:val="none"/>
              </w:rPr>
            </w:pPr>
            <w:r>
              <w:rPr>
                <w:rFonts w:hint="default" w:hAnsi="宋体"/>
                <w:b/>
                <w:color w:val="auto"/>
                <w:kern w:val="2"/>
                <w:sz w:val="24"/>
                <w:highlight w:val="none"/>
              </w:rPr>
              <w:t>职称</w:t>
            </w:r>
          </w:p>
        </w:tc>
        <w:tc>
          <w:tcPr>
            <w:tcW w:w="926" w:type="dxa"/>
            <w:vAlign w:val="center"/>
          </w:tcPr>
          <w:p>
            <w:pPr>
              <w:pStyle w:val="19"/>
              <w:snapToGrid w:val="0"/>
              <w:spacing w:line="280" w:lineRule="exact"/>
              <w:jc w:val="center"/>
              <w:rPr>
                <w:rFonts w:hint="default" w:hAnsi="宋体"/>
                <w:b/>
                <w:color w:val="auto"/>
                <w:kern w:val="2"/>
                <w:sz w:val="24"/>
                <w:highlight w:val="none"/>
              </w:rPr>
            </w:pPr>
            <w:r>
              <w:rPr>
                <w:rFonts w:hint="default" w:hAnsi="宋体"/>
                <w:b/>
                <w:color w:val="auto"/>
                <w:kern w:val="2"/>
                <w:sz w:val="24"/>
                <w:highlight w:val="none"/>
              </w:rPr>
              <w:t>学历/学 位</w:t>
            </w:r>
          </w:p>
        </w:tc>
        <w:tc>
          <w:tcPr>
            <w:tcW w:w="737" w:type="dxa"/>
            <w:vAlign w:val="center"/>
          </w:tcPr>
          <w:p>
            <w:pPr>
              <w:pStyle w:val="19"/>
              <w:snapToGrid w:val="0"/>
              <w:spacing w:line="280" w:lineRule="exact"/>
              <w:jc w:val="center"/>
              <w:rPr>
                <w:rFonts w:hint="default" w:hAnsi="宋体"/>
                <w:b/>
                <w:color w:val="auto"/>
                <w:kern w:val="2"/>
                <w:sz w:val="24"/>
                <w:highlight w:val="none"/>
              </w:rPr>
            </w:pPr>
            <w:r>
              <w:rPr>
                <w:rFonts w:hint="default" w:hAnsi="宋体"/>
                <w:b/>
                <w:color w:val="auto"/>
                <w:kern w:val="2"/>
                <w:sz w:val="24"/>
                <w:highlight w:val="none"/>
              </w:rPr>
              <w:t>工作</w:t>
            </w:r>
          </w:p>
          <w:p>
            <w:pPr>
              <w:pStyle w:val="19"/>
              <w:snapToGrid w:val="0"/>
              <w:spacing w:line="280" w:lineRule="exact"/>
              <w:jc w:val="center"/>
              <w:rPr>
                <w:rFonts w:hint="default" w:hAnsi="宋体"/>
                <w:b/>
                <w:color w:val="auto"/>
                <w:kern w:val="2"/>
                <w:sz w:val="24"/>
                <w:highlight w:val="none"/>
              </w:rPr>
            </w:pPr>
            <w:r>
              <w:rPr>
                <w:rFonts w:hint="default" w:hAnsi="宋体"/>
                <w:b/>
                <w:color w:val="auto"/>
                <w:kern w:val="2"/>
                <w:sz w:val="24"/>
                <w:highlight w:val="none"/>
              </w:rPr>
              <w:t>年限</w:t>
            </w:r>
          </w:p>
        </w:tc>
        <w:tc>
          <w:tcPr>
            <w:tcW w:w="1246" w:type="dxa"/>
            <w:vAlign w:val="center"/>
          </w:tcPr>
          <w:p>
            <w:pPr>
              <w:pStyle w:val="19"/>
              <w:snapToGrid w:val="0"/>
              <w:spacing w:line="280" w:lineRule="exact"/>
              <w:jc w:val="center"/>
              <w:rPr>
                <w:rFonts w:hint="default" w:hAnsi="宋体"/>
                <w:b/>
                <w:color w:val="auto"/>
                <w:kern w:val="2"/>
                <w:sz w:val="24"/>
                <w:highlight w:val="none"/>
              </w:rPr>
            </w:pPr>
            <w:r>
              <w:rPr>
                <w:rFonts w:hint="default" w:hAnsi="宋体"/>
                <w:b/>
                <w:color w:val="auto"/>
                <w:kern w:val="2"/>
                <w:sz w:val="24"/>
                <w:highlight w:val="none"/>
              </w:rPr>
              <w:t>在投标公司的工作年限</w:t>
            </w:r>
          </w:p>
        </w:tc>
        <w:tc>
          <w:tcPr>
            <w:tcW w:w="1246" w:type="dxa"/>
            <w:vAlign w:val="center"/>
          </w:tcPr>
          <w:p>
            <w:pPr>
              <w:pStyle w:val="19"/>
              <w:snapToGrid w:val="0"/>
              <w:spacing w:line="280" w:lineRule="exact"/>
              <w:jc w:val="center"/>
              <w:rPr>
                <w:rFonts w:hint="default" w:hAnsi="宋体"/>
                <w:b/>
                <w:color w:val="auto"/>
                <w:kern w:val="2"/>
                <w:sz w:val="24"/>
                <w:highlight w:val="none"/>
              </w:rPr>
            </w:pPr>
            <w:r>
              <w:rPr>
                <w:rFonts w:hint="default" w:hAnsi="宋体"/>
                <w:b/>
                <w:color w:val="auto"/>
                <w:kern w:val="2"/>
                <w:sz w:val="24"/>
                <w:highlight w:val="none"/>
              </w:rPr>
              <w:t>服务经验及服务案例</w:t>
            </w:r>
          </w:p>
        </w:tc>
        <w:tc>
          <w:tcPr>
            <w:tcW w:w="900" w:type="dxa"/>
            <w:vAlign w:val="center"/>
          </w:tcPr>
          <w:p>
            <w:pPr>
              <w:pStyle w:val="19"/>
              <w:snapToGrid w:val="0"/>
              <w:spacing w:line="280" w:lineRule="exact"/>
              <w:jc w:val="center"/>
              <w:rPr>
                <w:rFonts w:hint="default" w:hAnsi="宋体"/>
                <w:b/>
                <w:color w:val="auto"/>
                <w:kern w:val="2"/>
                <w:sz w:val="24"/>
                <w:highlight w:val="none"/>
              </w:rPr>
            </w:pPr>
            <w:r>
              <w:rPr>
                <w:rFonts w:hint="default" w:hAnsi="宋体"/>
                <w:b/>
                <w:color w:val="auto"/>
                <w:kern w:val="2"/>
                <w:sz w:val="24"/>
                <w:highlight w:val="none"/>
              </w:rPr>
              <w:t>联系</w:t>
            </w:r>
          </w:p>
          <w:p>
            <w:pPr>
              <w:pStyle w:val="19"/>
              <w:snapToGrid w:val="0"/>
              <w:spacing w:line="280" w:lineRule="exact"/>
              <w:jc w:val="center"/>
              <w:rPr>
                <w:rFonts w:hint="default" w:hAnsi="宋体"/>
                <w:b/>
                <w:color w:val="auto"/>
                <w:kern w:val="2"/>
                <w:sz w:val="24"/>
                <w:highlight w:val="none"/>
              </w:rPr>
            </w:pPr>
            <w:r>
              <w:rPr>
                <w:rFonts w:hint="default" w:hAnsi="宋体"/>
                <w:b/>
                <w:color w:val="auto"/>
                <w:kern w:val="2"/>
                <w:sz w:val="24"/>
                <w:highlight w:val="none"/>
              </w:rPr>
              <w:t>电话</w:t>
            </w:r>
          </w:p>
        </w:tc>
        <w:tc>
          <w:tcPr>
            <w:tcW w:w="705" w:type="dxa"/>
          </w:tcPr>
          <w:p>
            <w:pPr>
              <w:pStyle w:val="19"/>
              <w:snapToGrid w:val="0"/>
              <w:spacing w:line="280" w:lineRule="exact"/>
              <w:jc w:val="center"/>
              <w:rPr>
                <w:rFonts w:hint="default" w:hAnsi="宋体"/>
                <w:b/>
                <w:color w:val="auto"/>
                <w:kern w:val="2"/>
                <w:sz w:val="24"/>
                <w:highlight w:val="none"/>
              </w:rPr>
            </w:pPr>
            <w:r>
              <w:rPr>
                <w:rFonts w:hint="default" w:hAnsi="宋体"/>
                <w:b/>
                <w:color w:val="auto"/>
                <w:kern w:val="2"/>
                <w:sz w:val="24"/>
                <w:highlight w:val="none"/>
              </w:rPr>
              <w:t>本项目职务</w:t>
            </w:r>
          </w:p>
        </w:tc>
        <w:tc>
          <w:tcPr>
            <w:tcW w:w="705" w:type="dxa"/>
            <w:vAlign w:val="center"/>
          </w:tcPr>
          <w:p>
            <w:pPr>
              <w:pStyle w:val="19"/>
              <w:snapToGrid w:val="0"/>
              <w:spacing w:line="280" w:lineRule="exact"/>
              <w:jc w:val="center"/>
              <w:rPr>
                <w:rFonts w:hint="default" w:hAnsi="宋体"/>
                <w:b/>
                <w:color w:val="auto"/>
                <w:kern w:val="2"/>
                <w:sz w:val="24"/>
                <w:highlight w:val="none"/>
              </w:rPr>
            </w:pPr>
            <w:r>
              <w:rPr>
                <w:rFonts w:hint="default" w:hAnsi="宋体"/>
                <w:b/>
                <w:color w:val="auto"/>
                <w:kern w:val="2"/>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3" w:type="dxa"/>
            <w:vAlign w:val="center"/>
          </w:tcPr>
          <w:p>
            <w:pPr>
              <w:pStyle w:val="19"/>
              <w:snapToGrid w:val="0"/>
              <w:spacing w:line="460" w:lineRule="exact"/>
              <w:jc w:val="center"/>
              <w:rPr>
                <w:rFonts w:hint="default" w:hAnsi="宋体"/>
                <w:color w:val="auto"/>
                <w:kern w:val="2"/>
                <w:sz w:val="24"/>
                <w:highlight w:val="none"/>
              </w:rPr>
            </w:pPr>
            <w:r>
              <w:rPr>
                <w:rFonts w:hint="default" w:hAnsi="宋体"/>
                <w:color w:val="auto"/>
                <w:kern w:val="2"/>
                <w:sz w:val="24"/>
                <w:highlight w:val="none"/>
              </w:rPr>
              <w:t>1</w:t>
            </w:r>
          </w:p>
        </w:tc>
        <w:tc>
          <w:tcPr>
            <w:tcW w:w="845" w:type="dxa"/>
            <w:vAlign w:val="center"/>
          </w:tcPr>
          <w:p>
            <w:pPr>
              <w:pStyle w:val="19"/>
              <w:snapToGrid w:val="0"/>
              <w:spacing w:line="460" w:lineRule="exact"/>
              <w:jc w:val="center"/>
              <w:rPr>
                <w:rFonts w:hint="default" w:hAnsi="宋体"/>
                <w:color w:val="auto"/>
                <w:kern w:val="2"/>
                <w:sz w:val="24"/>
                <w:highlight w:val="none"/>
              </w:rPr>
            </w:pPr>
          </w:p>
        </w:tc>
        <w:tc>
          <w:tcPr>
            <w:tcW w:w="882" w:type="dxa"/>
            <w:vAlign w:val="center"/>
          </w:tcPr>
          <w:p>
            <w:pPr>
              <w:pStyle w:val="19"/>
              <w:snapToGrid w:val="0"/>
              <w:spacing w:line="460" w:lineRule="exact"/>
              <w:jc w:val="center"/>
              <w:rPr>
                <w:rFonts w:hint="default" w:hAnsi="宋体"/>
                <w:color w:val="auto"/>
                <w:kern w:val="2"/>
                <w:sz w:val="24"/>
                <w:highlight w:val="none"/>
              </w:rPr>
            </w:pPr>
          </w:p>
        </w:tc>
        <w:tc>
          <w:tcPr>
            <w:tcW w:w="926" w:type="dxa"/>
            <w:vAlign w:val="center"/>
          </w:tcPr>
          <w:p>
            <w:pPr>
              <w:pStyle w:val="19"/>
              <w:snapToGrid w:val="0"/>
              <w:spacing w:line="460" w:lineRule="exact"/>
              <w:jc w:val="center"/>
              <w:rPr>
                <w:rFonts w:hint="default" w:hAnsi="宋体"/>
                <w:color w:val="auto"/>
                <w:kern w:val="2"/>
                <w:sz w:val="24"/>
                <w:highlight w:val="none"/>
              </w:rPr>
            </w:pPr>
          </w:p>
        </w:tc>
        <w:tc>
          <w:tcPr>
            <w:tcW w:w="737" w:type="dxa"/>
            <w:vAlign w:val="center"/>
          </w:tcPr>
          <w:p>
            <w:pPr>
              <w:pStyle w:val="19"/>
              <w:snapToGrid w:val="0"/>
              <w:spacing w:line="460" w:lineRule="exact"/>
              <w:jc w:val="center"/>
              <w:rPr>
                <w:rFonts w:hint="default" w:hAnsi="宋体"/>
                <w:color w:val="auto"/>
                <w:kern w:val="2"/>
                <w:sz w:val="24"/>
                <w:highlight w:val="none"/>
              </w:rPr>
            </w:pPr>
          </w:p>
        </w:tc>
        <w:tc>
          <w:tcPr>
            <w:tcW w:w="1246" w:type="dxa"/>
            <w:vAlign w:val="center"/>
          </w:tcPr>
          <w:p>
            <w:pPr>
              <w:pStyle w:val="19"/>
              <w:snapToGrid w:val="0"/>
              <w:spacing w:line="460" w:lineRule="exact"/>
              <w:jc w:val="center"/>
              <w:rPr>
                <w:rFonts w:hint="default" w:hAnsi="宋体"/>
                <w:color w:val="auto"/>
                <w:kern w:val="2"/>
                <w:sz w:val="24"/>
                <w:highlight w:val="none"/>
              </w:rPr>
            </w:pPr>
          </w:p>
        </w:tc>
        <w:tc>
          <w:tcPr>
            <w:tcW w:w="1246" w:type="dxa"/>
            <w:vAlign w:val="center"/>
          </w:tcPr>
          <w:p>
            <w:pPr>
              <w:pStyle w:val="19"/>
              <w:snapToGrid w:val="0"/>
              <w:spacing w:line="460" w:lineRule="exact"/>
              <w:jc w:val="center"/>
              <w:rPr>
                <w:rFonts w:hint="default" w:hAnsi="宋体"/>
                <w:color w:val="auto"/>
                <w:kern w:val="2"/>
                <w:sz w:val="24"/>
                <w:highlight w:val="none"/>
              </w:rPr>
            </w:pPr>
          </w:p>
        </w:tc>
        <w:tc>
          <w:tcPr>
            <w:tcW w:w="900" w:type="dxa"/>
            <w:vAlign w:val="center"/>
          </w:tcPr>
          <w:p>
            <w:pPr>
              <w:pStyle w:val="19"/>
              <w:snapToGrid w:val="0"/>
              <w:spacing w:line="460" w:lineRule="exact"/>
              <w:jc w:val="center"/>
              <w:rPr>
                <w:rFonts w:hint="default" w:hAnsi="宋体"/>
                <w:color w:val="auto"/>
                <w:kern w:val="2"/>
                <w:sz w:val="24"/>
                <w:highlight w:val="none"/>
              </w:rPr>
            </w:pPr>
          </w:p>
        </w:tc>
        <w:tc>
          <w:tcPr>
            <w:tcW w:w="705" w:type="dxa"/>
          </w:tcPr>
          <w:p>
            <w:pPr>
              <w:pStyle w:val="19"/>
              <w:snapToGrid w:val="0"/>
              <w:spacing w:line="460" w:lineRule="exact"/>
              <w:jc w:val="center"/>
              <w:rPr>
                <w:rFonts w:hint="default" w:hAnsi="宋体"/>
                <w:color w:val="auto"/>
                <w:kern w:val="2"/>
                <w:sz w:val="24"/>
                <w:highlight w:val="none"/>
              </w:rPr>
            </w:pPr>
          </w:p>
        </w:tc>
        <w:tc>
          <w:tcPr>
            <w:tcW w:w="705" w:type="dxa"/>
            <w:vAlign w:val="center"/>
          </w:tcPr>
          <w:p>
            <w:pPr>
              <w:pStyle w:val="19"/>
              <w:snapToGrid w:val="0"/>
              <w:spacing w:line="460" w:lineRule="exact"/>
              <w:jc w:val="center"/>
              <w:rPr>
                <w:rFonts w:hint="default" w:hAnsi="宋体"/>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3" w:type="dxa"/>
            <w:vAlign w:val="center"/>
          </w:tcPr>
          <w:p>
            <w:pPr>
              <w:pStyle w:val="19"/>
              <w:snapToGrid w:val="0"/>
              <w:spacing w:line="460" w:lineRule="exact"/>
              <w:jc w:val="center"/>
              <w:rPr>
                <w:rFonts w:hint="default" w:hAnsi="宋体"/>
                <w:color w:val="auto"/>
                <w:kern w:val="2"/>
                <w:sz w:val="24"/>
                <w:highlight w:val="none"/>
              </w:rPr>
            </w:pPr>
            <w:r>
              <w:rPr>
                <w:rFonts w:hint="default" w:hAnsi="宋体"/>
                <w:color w:val="auto"/>
                <w:kern w:val="2"/>
                <w:sz w:val="24"/>
                <w:highlight w:val="none"/>
              </w:rPr>
              <w:t>2</w:t>
            </w:r>
          </w:p>
        </w:tc>
        <w:tc>
          <w:tcPr>
            <w:tcW w:w="845" w:type="dxa"/>
            <w:vAlign w:val="center"/>
          </w:tcPr>
          <w:p>
            <w:pPr>
              <w:pStyle w:val="19"/>
              <w:snapToGrid w:val="0"/>
              <w:spacing w:line="460" w:lineRule="exact"/>
              <w:jc w:val="center"/>
              <w:rPr>
                <w:rFonts w:hint="default" w:hAnsi="宋体"/>
                <w:color w:val="auto"/>
                <w:kern w:val="2"/>
                <w:sz w:val="24"/>
                <w:highlight w:val="none"/>
              </w:rPr>
            </w:pPr>
          </w:p>
        </w:tc>
        <w:tc>
          <w:tcPr>
            <w:tcW w:w="882" w:type="dxa"/>
            <w:vAlign w:val="center"/>
          </w:tcPr>
          <w:p>
            <w:pPr>
              <w:pStyle w:val="19"/>
              <w:snapToGrid w:val="0"/>
              <w:spacing w:line="460" w:lineRule="exact"/>
              <w:jc w:val="center"/>
              <w:rPr>
                <w:rFonts w:hint="default" w:hAnsi="宋体"/>
                <w:color w:val="auto"/>
                <w:kern w:val="2"/>
                <w:sz w:val="24"/>
                <w:highlight w:val="none"/>
              </w:rPr>
            </w:pPr>
          </w:p>
        </w:tc>
        <w:tc>
          <w:tcPr>
            <w:tcW w:w="926" w:type="dxa"/>
            <w:vAlign w:val="center"/>
          </w:tcPr>
          <w:p>
            <w:pPr>
              <w:pStyle w:val="19"/>
              <w:snapToGrid w:val="0"/>
              <w:spacing w:line="460" w:lineRule="exact"/>
              <w:jc w:val="center"/>
              <w:rPr>
                <w:rFonts w:hint="default" w:hAnsi="宋体"/>
                <w:color w:val="auto"/>
                <w:kern w:val="2"/>
                <w:sz w:val="24"/>
                <w:highlight w:val="none"/>
              </w:rPr>
            </w:pPr>
          </w:p>
        </w:tc>
        <w:tc>
          <w:tcPr>
            <w:tcW w:w="737" w:type="dxa"/>
            <w:vAlign w:val="center"/>
          </w:tcPr>
          <w:p>
            <w:pPr>
              <w:pStyle w:val="19"/>
              <w:snapToGrid w:val="0"/>
              <w:spacing w:line="460" w:lineRule="exact"/>
              <w:jc w:val="center"/>
              <w:rPr>
                <w:rFonts w:hint="default" w:hAnsi="宋体"/>
                <w:color w:val="auto"/>
                <w:kern w:val="2"/>
                <w:sz w:val="24"/>
                <w:highlight w:val="none"/>
              </w:rPr>
            </w:pPr>
          </w:p>
        </w:tc>
        <w:tc>
          <w:tcPr>
            <w:tcW w:w="1246" w:type="dxa"/>
            <w:vAlign w:val="center"/>
          </w:tcPr>
          <w:p>
            <w:pPr>
              <w:pStyle w:val="19"/>
              <w:snapToGrid w:val="0"/>
              <w:spacing w:line="460" w:lineRule="exact"/>
              <w:jc w:val="center"/>
              <w:rPr>
                <w:rFonts w:hint="default" w:hAnsi="宋体"/>
                <w:color w:val="auto"/>
                <w:kern w:val="2"/>
                <w:sz w:val="24"/>
                <w:highlight w:val="none"/>
              </w:rPr>
            </w:pPr>
          </w:p>
        </w:tc>
        <w:tc>
          <w:tcPr>
            <w:tcW w:w="1246" w:type="dxa"/>
            <w:vAlign w:val="center"/>
          </w:tcPr>
          <w:p>
            <w:pPr>
              <w:pStyle w:val="19"/>
              <w:snapToGrid w:val="0"/>
              <w:spacing w:line="460" w:lineRule="exact"/>
              <w:jc w:val="center"/>
              <w:rPr>
                <w:rFonts w:hint="default" w:hAnsi="宋体"/>
                <w:color w:val="auto"/>
                <w:kern w:val="2"/>
                <w:sz w:val="24"/>
                <w:highlight w:val="none"/>
              </w:rPr>
            </w:pPr>
          </w:p>
        </w:tc>
        <w:tc>
          <w:tcPr>
            <w:tcW w:w="900" w:type="dxa"/>
            <w:vAlign w:val="center"/>
          </w:tcPr>
          <w:p>
            <w:pPr>
              <w:pStyle w:val="19"/>
              <w:snapToGrid w:val="0"/>
              <w:spacing w:line="460" w:lineRule="exact"/>
              <w:jc w:val="center"/>
              <w:rPr>
                <w:rFonts w:hint="default" w:hAnsi="宋体"/>
                <w:color w:val="auto"/>
                <w:kern w:val="2"/>
                <w:sz w:val="24"/>
                <w:highlight w:val="none"/>
              </w:rPr>
            </w:pPr>
          </w:p>
        </w:tc>
        <w:tc>
          <w:tcPr>
            <w:tcW w:w="705" w:type="dxa"/>
          </w:tcPr>
          <w:p>
            <w:pPr>
              <w:pStyle w:val="19"/>
              <w:snapToGrid w:val="0"/>
              <w:spacing w:line="460" w:lineRule="exact"/>
              <w:jc w:val="center"/>
              <w:rPr>
                <w:rFonts w:hint="default" w:hAnsi="宋体"/>
                <w:color w:val="auto"/>
                <w:kern w:val="2"/>
                <w:sz w:val="24"/>
                <w:highlight w:val="none"/>
              </w:rPr>
            </w:pPr>
          </w:p>
        </w:tc>
        <w:tc>
          <w:tcPr>
            <w:tcW w:w="705" w:type="dxa"/>
            <w:vAlign w:val="center"/>
          </w:tcPr>
          <w:p>
            <w:pPr>
              <w:pStyle w:val="19"/>
              <w:snapToGrid w:val="0"/>
              <w:spacing w:line="460" w:lineRule="exact"/>
              <w:jc w:val="center"/>
              <w:rPr>
                <w:rFonts w:hint="default" w:hAnsi="宋体"/>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3" w:type="dxa"/>
            <w:vAlign w:val="center"/>
          </w:tcPr>
          <w:p>
            <w:pPr>
              <w:pStyle w:val="19"/>
              <w:snapToGrid w:val="0"/>
              <w:spacing w:line="460" w:lineRule="exact"/>
              <w:jc w:val="center"/>
              <w:rPr>
                <w:rFonts w:hint="default" w:hAnsi="宋体"/>
                <w:color w:val="auto"/>
                <w:kern w:val="2"/>
                <w:sz w:val="24"/>
                <w:highlight w:val="none"/>
              </w:rPr>
            </w:pPr>
            <w:r>
              <w:rPr>
                <w:rFonts w:hint="default" w:hAnsi="宋体"/>
                <w:color w:val="auto"/>
                <w:kern w:val="2"/>
                <w:sz w:val="24"/>
                <w:highlight w:val="none"/>
              </w:rPr>
              <w:t>3</w:t>
            </w:r>
          </w:p>
        </w:tc>
        <w:tc>
          <w:tcPr>
            <w:tcW w:w="845" w:type="dxa"/>
            <w:vAlign w:val="center"/>
          </w:tcPr>
          <w:p>
            <w:pPr>
              <w:pStyle w:val="19"/>
              <w:snapToGrid w:val="0"/>
              <w:spacing w:line="460" w:lineRule="exact"/>
              <w:jc w:val="center"/>
              <w:rPr>
                <w:rFonts w:hint="default" w:hAnsi="宋体"/>
                <w:color w:val="auto"/>
                <w:kern w:val="2"/>
                <w:sz w:val="24"/>
                <w:highlight w:val="none"/>
              </w:rPr>
            </w:pPr>
          </w:p>
        </w:tc>
        <w:tc>
          <w:tcPr>
            <w:tcW w:w="882" w:type="dxa"/>
            <w:vAlign w:val="center"/>
          </w:tcPr>
          <w:p>
            <w:pPr>
              <w:pStyle w:val="19"/>
              <w:snapToGrid w:val="0"/>
              <w:spacing w:line="460" w:lineRule="exact"/>
              <w:jc w:val="center"/>
              <w:rPr>
                <w:rFonts w:hint="default" w:hAnsi="宋体"/>
                <w:color w:val="auto"/>
                <w:kern w:val="2"/>
                <w:sz w:val="24"/>
                <w:highlight w:val="none"/>
              </w:rPr>
            </w:pPr>
          </w:p>
        </w:tc>
        <w:tc>
          <w:tcPr>
            <w:tcW w:w="926" w:type="dxa"/>
            <w:vAlign w:val="center"/>
          </w:tcPr>
          <w:p>
            <w:pPr>
              <w:pStyle w:val="19"/>
              <w:snapToGrid w:val="0"/>
              <w:spacing w:line="460" w:lineRule="exact"/>
              <w:jc w:val="center"/>
              <w:rPr>
                <w:rFonts w:hint="default" w:hAnsi="宋体"/>
                <w:color w:val="auto"/>
                <w:kern w:val="2"/>
                <w:sz w:val="24"/>
                <w:highlight w:val="none"/>
              </w:rPr>
            </w:pPr>
          </w:p>
        </w:tc>
        <w:tc>
          <w:tcPr>
            <w:tcW w:w="737" w:type="dxa"/>
            <w:vAlign w:val="center"/>
          </w:tcPr>
          <w:p>
            <w:pPr>
              <w:pStyle w:val="19"/>
              <w:snapToGrid w:val="0"/>
              <w:spacing w:line="460" w:lineRule="exact"/>
              <w:jc w:val="center"/>
              <w:rPr>
                <w:rFonts w:hint="default" w:hAnsi="宋体"/>
                <w:color w:val="auto"/>
                <w:kern w:val="2"/>
                <w:sz w:val="24"/>
                <w:highlight w:val="none"/>
              </w:rPr>
            </w:pPr>
          </w:p>
        </w:tc>
        <w:tc>
          <w:tcPr>
            <w:tcW w:w="1246" w:type="dxa"/>
            <w:vAlign w:val="center"/>
          </w:tcPr>
          <w:p>
            <w:pPr>
              <w:pStyle w:val="19"/>
              <w:snapToGrid w:val="0"/>
              <w:spacing w:line="460" w:lineRule="exact"/>
              <w:jc w:val="center"/>
              <w:rPr>
                <w:rFonts w:hint="default" w:hAnsi="宋体"/>
                <w:color w:val="auto"/>
                <w:kern w:val="2"/>
                <w:sz w:val="24"/>
                <w:highlight w:val="none"/>
              </w:rPr>
            </w:pPr>
          </w:p>
        </w:tc>
        <w:tc>
          <w:tcPr>
            <w:tcW w:w="1246" w:type="dxa"/>
            <w:vAlign w:val="center"/>
          </w:tcPr>
          <w:p>
            <w:pPr>
              <w:pStyle w:val="19"/>
              <w:snapToGrid w:val="0"/>
              <w:spacing w:line="460" w:lineRule="exact"/>
              <w:jc w:val="center"/>
              <w:rPr>
                <w:rFonts w:hint="default" w:hAnsi="宋体"/>
                <w:color w:val="auto"/>
                <w:kern w:val="2"/>
                <w:sz w:val="24"/>
                <w:highlight w:val="none"/>
              </w:rPr>
            </w:pPr>
          </w:p>
        </w:tc>
        <w:tc>
          <w:tcPr>
            <w:tcW w:w="900" w:type="dxa"/>
            <w:vAlign w:val="center"/>
          </w:tcPr>
          <w:p>
            <w:pPr>
              <w:pStyle w:val="19"/>
              <w:snapToGrid w:val="0"/>
              <w:spacing w:line="460" w:lineRule="exact"/>
              <w:jc w:val="center"/>
              <w:rPr>
                <w:rFonts w:hint="default" w:hAnsi="宋体"/>
                <w:color w:val="auto"/>
                <w:kern w:val="2"/>
                <w:sz w:val="24"/>
                <w:highlight w:val="none"/>
              </w:rPr>
            </w:pPr>
          </w:p>
        </w:tc>
        <w:tc>
          <w:tcPr>
            <w:tcW w:w="705" w:type="dxa"/>
          </w:tcPr>
          <w:p>
            <w:pPr>
              <w:pStyle w:val="19"/>
              <w:snapToGrid w:val="0"/>
              <w:spacing w:line="460" w:lineRule="exact"/>
              <w:jc w:val="center"/>
              <w:rPr>
                <w:rFonts w:hint="default" w:hAnsi="宋体"/>
                <w:color w:val="auto"/>
                <w:kern w:val="2"/>
                <w:sz w:val="24"/>
                <w:highlight w:val="none"/>
              </w:rPr>
            </w:pPr>
          </w:p>
        </w:tc>
        <w:tc>
          <w:tcPr>
            <w:tcW w:w="705" w:type="dxa"/>
            <w:vAlign w:val="center"/>
          </w:tcPr>
          <w:p>
            <w:pPr>
              <w:pStyle w:val="19"/>
              <w:snapToGrid w:val="0"/>
              <w:spacing w:line="460" w:lineRule="exact"/>
              <w:jc w:val="center"/>
              <w:rPr>
                <w:rFonts w:hint="default" w:hAnsi="宋体"/>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3" w:type="dxa"/>
            <w:vAlign w:val="center"/>
          </w:tcPr>
          <w:p>
            <w:pPr>
              <w:pStyle w:val="19"/>
              <w:snapToGrid w:val="0"/>
              <w:spacing w:line="460" w:lineRule="exact"/>
              <w:jc w:val="center"/>
              <w:rPr>
                <w:rFonts w:hint="default" w:hAnsi="宋体"/>
                <w:color w:val="auto"/>
                <w:kern w:val="2"/>
                <w:sz w:val="24"/>
                <w:highlight w:val="none"/>
              </w:rPr>
            </w:pPr>
            <w:r>
              <w:rPr>
                <w:rFonts w:hint="default" w:hAnsi="宋体"/>
                <w:color w:val="auto"/>
                <w:kern w:val="2"/>
                <w:sz w:val="24"/>
                <w:highlight w:val="none"/>
              </w:rPr>
              <w:t>…</w:t>
            </w:r>
          </w:p>
        </w:tc>
        <w:tc>
          <w:tcPr>
            <w:tcW w:w="845" w:type="dxa"/>
            <w:vAlign w:val="center"/>
          </w:tcPr>
          <w:p>
            <w:pPr>
              <w:pStyle w:val="19"/>
              <w:snapToGrid w:val="0"/>
              <w:spacing w:line="460" w:lineRule="exact"/>
              <w:jc w:val="center"/>
              <w:rPr>
                <w:rFonts w:hint="default" w:hAnsi="宋体"/>
                <w:color w:val="auto"/>
                <w:kern w:val="2"/>
                <w:sz w:val="24"/>
                <w:highlight w:val="none"/>
              </w:rPr>
            </w:pPr>
          </w:p>
        </w:tc>
        <w:tc>
          <w:tcPr>
            <w:tcW w:w="882" w:type="dxa"/>
            <w:vAlign w:val="center"/>
          </w:tcPr>
          <w:p>
            <w:pPr>
              <w:pStyle w:val="19"/>
              <w:snapToGrid w:val="0"/>
              <w:spacing w:line="460" w:lineRule="exact"/>
              <w:jc w:val="center"/>
              <w:rPr>
                <w:rFonts w:hint="default" w:hAnsi="宋体"/>
                <w:color w:val="auto"/>
                <w:kern w:val="2"/>
                <w:sz w:val="24"/>
                <w:highlight w:val="none"/>
              </w:rPr>
            </w:pPr>
          </w:p>
        </w:tc>
        <w:tc>
          <w:tcPr>
            <w:tcW w:w="926" w:type="dxa"/>
            <w:vAlign w:val="center"/>
          </w:tcPr>
          <w:p>
            <w:pPr>
              <w:pStyle w:val="19"/>
              <w:snapToGrid w:val="0"/>
              <w:spacing w:line="460" w:lineRule="exact"/>
              <w:jc w:val="center"/>
              <w:rPr>
                <w:rFonts w:hint="default" w:hAnsi="宋体"/>
                <w:color w:val="auto"/>
                <w:kern w:val="2"/>
                <w:sz w:val="24"/>
                <w:highlight w:val="none"/>
              </w:rPr>
            </w:pPr>
          </w:p>
        </w:tc>
        <w:tc>
          <w:tcPr>
            <w:tcW w:w="737" w:type="dxa"/>
            <w:vAlign w:val="center"/>
          </w:tcPr>
          <w:p>
            <w:pPr>
              <w:pStyle w:val="19"/>
              <w:snapToGrid w:val="0"/>
              <w:spacing w:line="460" w:lineRule="exact"/>
              <w:jc w:val="center"/>
              <w:rPr>
                <w:rFonts w:hint="default" w:hAnsi="宋体"/>
                <w:color w:val="auto"/>
                <w:kern w:val="2"/>
                <w:sz w:val="24"/>
                <w:highlight w:val="none"/>
              </w:rPr>
            </w:pPr>
          </w:p>
        </w:tc>
        <w:tc>
          <w:tcPr>
            <w:tcW w:w="1246" w:type="dxa"/>
            <w:vAlign w:val="center"/>
          </w:tcPr>
          <w:p>
            <w:pPr>
              <w:pStyle w:val="19"/>
              <w:snapToGrid w:val="0"/>
              <w:spacing w:line="460" w:lineRule="exact"/>
              <w:jc w:val="center"/>
              <w:rPr>
                <w:rFonts w:hint="default" w:hAnsi="宋体"/>
                <w:color w:val="auto"/>
                <w:kern w:val="2"/>
                <w:sz w:val="24"/>
                <w:highlight w:val="none"/>
              </w:rPr>
            </w:pPr>
          </w:p>
        </w:tc>
        <w:tc>
          <w:tcPr>
            <w:tcW w:w="1246" w:type="dxa"/>
            <w:vAlign w:val="center"/>
          </w:tcPr>
          <w:p>
            <w:pPr>
              <w:pStyle w:val="19"/>
              <w:snapToGrid w:val="0"/>
              <w:spacing w:line="460" w:lineRule="exact"/>
              <w:jc w:val="center"/>
              <w:rPr>
                <w:rFonts w:hint="default" w:hAnsi="宋体"/>
                <w:color w:val="auto"/>
                <w:kern w:val="2"/>
                <w:sz w:val="24"/>
                <w:highlight w:val="none"/>
              </w:rPr>
            </w:pPr>
          </w:p>
        </w:tc>
        <w:tc>
          <w:tcPr>
            <w:tcW w:w="900" w:type="dxa"/>
            <w:vAlign w:val="center"/>
          </w:tcPr>
          <w:p>
            <w:pPr>
              <w:pStyle w:val="19"/>
              <w:snapToGrid w:val="0"/>
              <w:spacing w:line="460" w:lineRule="exact"/>
              <w:jc w:val="center"/>
              <w:rPr>
                <w:rFonts w:hint="default" w:hAnsi="宋体"/>
                <w:color w:val="auto"/>
                <w:kern w:val="2"/>
                <w:sz w:val="24"/>
                <w:highlight w:val="none"/>
              </w:rPr>
            </w:pPr>
          </w:p>
        </w:tc>
        <w:tc>
          <w:tcPr>
            <w:tcW w:w="705" w:type="dxa"/>
          </w:tcPr>
          <w:p>
            <w:pPr>
              <w:pStyle w:val="19"/>
              <w:snapToGrid w:val="0"/>
              <w:spacing w:line="460" w:lineRule="exact"/>
              <w:jc w:val="center"/>
              <w:rPr>
                <w:rFonts w:hint="default" w:hAnsi="宋体"/>
                <w:color w:val="auto"/>
                <w:kern w:val="2"/>
                <w:sz w:val="24"/>
                <w:highlight w:val="none"/>
              </w:rPr>
            </w:pPr>
          </w:p>
        </w:tc>
        <w:tc>
          <w:tcPr>
            <w:tcW w:w="705" w:type="dxa"/>
            <w:vAlign w:val="center"/>
          </w:tcPr>
          <w:p>
            <w:pPr>
              <w:pStyle w:val="19"/>
              <w:snapToGrid w:val="0"/>
              <w:spacing w:line="460" w:lineRule="exact"/>
              <w:jc w:val="center"/>
              <w:rPr>
                <w:rFonts w:hint="default" w:hAnsi="宋体"/>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3" w:type="dxa"/>
            <w:vAlign w:val="center"/>
          </w:tcPr>
          <w:p>
            <w:pPr>
              <w:pStyle w:val="19"/>
              <w:snapToGrid w:val="0"/>
              <w:spacing w:line="460" w:lineRule="exact"/>
              <w:jc w:val="center"/>
              <w:rPr>
                <w:rFonts w:hint="default" w:hAnsi="宋体"/>
                <w:color w:val="auto"/>
                <w:kern w:val="2"/>
                <w:sz w:val="24"/>
                <w:highlight w:val="none"/>
              </w:rPr>
            </w:pPr>
          </w:p>
        </w:tc>
        <w:tc>
          <w:tcPr>
            <w:tcW w:w="845" w:type="dxa"/>
            <w:vAlign w:val="center"/>
          </w:tcPr>
          <w:p>
            <w:pPr>
              <w:pStyle w:val="19"/>
              <w:snapToGrid w:val="0"/>
              <w:spacing w:line="460" w:lineRule="exact"/>
              <w:jc w:val="center"/>
              <w:rPr>
                <w:rFonts w:hint="default" w:hAnsi="宋体"/>
                <w:color w:val="auto"/>
                <w:kern w:val="2"/>
                <w:sz w:val="24"/>
                <w:highlight w:val="none"/>
              </w:rPr>
            </w:pPr>
          </w:p>
        </w:tc>
        <w:tc>
          <w:tcPr>
            <w:tcW w:w="882" w:type="dxa"/>
            <w:vAlign w:val="center"/>
          </w:tcPr>
          <w:p>
            <w:pPr>
              <w:pStyle w:val="19"/>
              <w:snapToGrid w:val="0"/>
              <w:spacing w:line="460" w:lineRule="exact"/>
              <w:jc w:val="center"/>
              <w:rPr>
                <w:rFonts w:hint="default" w:hAnsi="宋体"/>
                <w:color w:val="auto"/>
                <w:kern w:val="2"/>
                <w:sz w:val="24"/>
                <w:highlight w:val="none"/>
              </w:rPr>
            </w:pPr>
          </w:p>
        </w:tc>
        <w:tc>
          <w:tcPr>
            <w:tcW w:w="926" w:type="dxa"/>
            <w:vAlign w:val="center"/>
          </w:tcPr>
          <w:p>
            <w:pPr>
              <w:pStyle w:val="19"/>
              <w:snapToGrid w:val="0"/>
              <w:spacing w:line="460" w:lineRule="exact"/>
              <w:jc w:val="center"/>
              <w:rPr>
                <w:rFonts w:hint="default" w:hAnsi="宋体"/>
                <w:color w:val="auto"/>
                <w:kern w:val="2"/>
                <w:sz w:val="24"/>
                <w:highlight w:val="none"/>
              </w:rPr>
            </w:pPr>
          </w:p>
        </w:tc>
        <w:tc>
          <w:tcPr>
            <w:tcW w:w="737" w:type="dxa"/>
            <w:vAlign w:val="center"/>
          </w:tcPr>
          <w:p>
            <w:pPr>
              <w:pStyle w:val="19"/>
              <w:snapToGrid w:val="0"/>
              <w:spacing w:line="460" w:lineRule="exact"/>
              <w:jc w:val="center"/>
              <w:rPr>
                <w:rFonts w:hint="default" w:hAnsi="宋体"/>
                <w:color w:val="auto"/>
                <w:kern w:val="2"/>
                <w:sz w:val="24"/>
                <w:highlight w:val="none"/>
              </w:rPr>
            </w:pPr>
          </w:p>
        </w:tc>
        <w:tc>
          <w:tcPr>
            <w:tcW w:w="1246" w:type="dxa"/>
            <w:vAlign w:val="center"/>
          </w:tcPr>
          <w:p>
            <w:pPr>
              <w:pStyle w:val="19"/>
              <w:snapToGrid w:val="0"/>
              <w:spacing w:line="460" w:lineRule="exact"/>
              <w:jc w:val="center"/>
              <w:rPr>
                <w:rFonts w:hint="default" w:hAnsi="宋体"/>
                <w:color w:val="auto"/>
                <w:kern w:val="2"/>
                <w:sz w:val="24"/>
                <w:highlight w:val="none"/>
              </w:rPr>
            </w:pPr>
          </w:p>
        </w:tc>
        <w:tc>
          <w:tcPr>
            <w:tcW w:w="1246" w:type="dxa"/>
            <w:vAlign w:val="center"/>
          </w:tcPr>
          <w:p>
            <w:pPr>
              <w:pStyle w:val="19"/>
              <w:snapToGrid w:val="0"/>
              <w:spacing w:line="460" w:lineRule="exact"/>
              <w:jc w:val="center"/>
              <w:rPr>
                <w:rFonts w:hint="default" w:hAnsi="宋体"/>
                <w:color w:val="auto"/>
                <w:kern w:val="2"/>
                <w:sz w:val="24"/>
                <w:highlight w:val="none"/>
              </w:rPr>
            </w:pPr>
          </w:p>
        </w:tc>
        <w:tc>
          <w:tcPr>
            <w:tcW w:w="900" w:type="dxa"/>
            <w:vAlign w:val="center"/>
          </w:tcPr>
          <w:p>
            <w:pPr>
              <w:pStyle w:val="19"/>
              <w:snapToGrid w:val="0"/>
              <w:spacing w:line="460" w:lineRule="exact"/>
              <w:jc w:val="center"/>
              <w:rPr>
                <w:rFonts w:hint="default" w:hAnsi="宋体"/>
                <w:color w:val="auto"/>
                <w:kern w:val="2"/>
                <w:sz w:val="24"/>
                <w:highlight w:val="none"/>
              </w:rPr>
            </w:pPr>
          </w:p>
        </w:tc>
        <w:tc>
          <w:tcPr>
            <w:tcW w:w="705" w:type="dxa"/>
          </w:tcPr>
          <w:p>
            <w:pPr>
              <w:pStyle w:val="19"/>
              <w:snapToGrid w:val="0"/>
              <w:spacing w:line="460" w:lineRule="exact"/>
              <w:jc w:val="center"/>
              <w:rPr>
                <w:rFonts w:hint="default" w:hAnsi="宋体"/>
                <w:color w:val="auto"/>
                <w:kern w:val="2"/>
                <w:sz w:val="24"/>
                <w:highlight w:val="none"/>
              </w:rPr>
            </w:pPr>
          </w:p>
        </w:tc>
        <w:tc>
          <w:tcPr>
            <w:tcW w:w="705" w:type="dxa"/>
            <w:vAlign w:val="center"/>
          </w:tcPr>
          <w:p>
            <w:pPr>
              <w:pStyle w:val="19"/>
              <w:snapToGrid w:val="0"/>
              <w:spacing w:line="460" w:lineRule="exact"/>
              <w:jc w:val="center"/>
              <w:rPr>
                <w:rFonts w:hint="default" w:hAnsi="宋体"/>
                <w:color w:val="auto"/>
                <w:kern w:val="2"/>
                <w:sz w:val="24"/>
                <w:highlight w:val="none"/>
              </w:rPr>
            </w:pPr>
          </w:p>
        </w:tc>
      </w:tr>
    </w:tbl>
    <w:p>
      <w:pPr>
        <w:pStyle w:val="19"/>
        <w:rPr>
          <w:rFonts w:hint="default" w:hAnsi="宋体"/>
          <w:color w:val="auto"/>
          <w:sz w:val="24"/>
          <w:szCs w:val="24"/>
          <w:highlight w:val="none"/>
        </w:rPr>
      </w:pPr>
      <w:r>
        <w:rPr>
          <w:rFonts w:hint="default" w:hAnsi="宋体"/>
          <w:color w:val="auto"/>
          <w:sz w:val="24"/>
          <w:szCs w:val="24"/>
          <w:highlight w:val="none"/>
        </w:rPr>
        <w:t>注：提供上述所有人员投标截止之日前6个月内任意1个月</w:t>
      </w:r>
      <w:r>
        <w:rPr>
          <w:rFonts w:hAnsi="宋体"/>
          <w:color w:val="auto"/>
          <w:sz w:val="24"/>
          <w:szCs w:val="24"/>
          <w:highlight w:val="none"/>
        </w:rPr>
        <w:t>的</w:t>
      </w:r>
      <w:r>
        <w:rPr>
          <w:rFonts w:hint="default" w:hAnsi="宋体"/>
          <w:color w:val="auto"/>
          <w:sz w:val="24"/>
          <w:szCs w:val="24"/>
          <w:highlight w:val="none"/>
        </w:rPr>
        <w:t>在</w:t>
      </w:r>
      <w:r>
        <w:rPr>
          <w:rFonts w:hAnsi="宋体"/>
          <w:color w:val="auto"/>
          <w:sz w:val="24"/>
          <w:szCs w:val="24"/>
          <w:highlight w:val="none"/>
        </w:rPr>
        <w:t>投标</w:t>
      </w:r>
      <w:r>
        <w:rPr>
          <w:rFonts w:hint="default" w:hAnsi="宋体"/>
          <w:color w:val="auto"/>
          <w:sz w:val="24"/>
          <w:szCs w:val="24"/>
          <w:highlight w:val="none"/>
        </w:rPr>
        <w:t>单位缴纳社保证明复印件，如无社保证明，则提供能证明其为</w:t>
      </w:r>
      <w:r>
        <w:rPr>
          <w:rFonts w:hAnsi="宋体"/>
          <w:color w:val="auto"/>
          <w:sz w:val="24"/>
          <w:szCs w:val="24"/>
          <w:highlight w:val="none"/>
        </w:rPr>
        <w:t>投标</w:t>
      </w:r>
      <w:r>
        <w:rPr>
          <w:rFonts w:hint="default" w:hAnsi="宋体"/>
          <w:color w:val="auto"/>
          <w:sz w:val="24"/>
          <w:szCs w:val="24"/>
          <w:highlight w:val="none"/>
        </w:rPr>
        <w:t>单位在职员工的相关证明材料。</w:t>
      </w:r>
    </w:p>
    <w:p>
      <w:pPr>
        <w:pStyle w:val="19"/>
        <w:ind w:firstLine="480" w:firstLineChars="200"/>
        <w:rPr>
          <w:rFonts w:hint="default" w:hAnsi="宋体"/>
          <w:color w:val="auto"/>
          <w:sz w:val="24"/>
          <w:szCs w:val="24"/>
          <w:highlight w:val="none"/>
        </w:rPr>
      </w:pPr>
    </w:p>
    <w:p>
      <w:pPr>
        <w:pStyle w:val="19"/>
        <w:ind w:firstLine="480" w:firstLineChars="200"/>
        <w:rPr>
          <w:rFonts w:hint="default" w:hAnsi="宋体"/>
          <w:color w:val="auto"/>
          <w:sz w:val="24"/>
          <w:szCs w:val="24"/>
          <w:highlight w:val="none"/>
        </w:rPr>
      </w:pPr>
    </w:p>
    <w:p>
      <w:pPr>
        <w:pStyle w:val="19"/>
        <w:ind w:firstLine="480" w:firstLineChars="200"/>
        <w:rPr>
          <w:rFonts w:hint="default" w:hAnsi="宋体"/>
          <w:color w:val="auto"/>
          <w:sz w:val="24"/>
          <w:szCs w:val="24"/>
          <w:highlight w:val="none"/>
        </w:rPr>
        <w:sectPr>
          <w:pgSz w:w="11910" w:h="16840"/>
          <w:pgMar w:top="1474" w:right="1474" w:bottom="1474" w:left="1474" w:header="0" w:footer="885" w:gutter="0"/>
          <w:cols w:space="720" w:num="1"/>
        </w:sectPr>
      </w:pPr>
    </w:p>
    <w:p>
      <w:pPr>
        <w:tabs>
          <w:tab w:val="left" w:pos="1230"/>
        </w:tabs>
        <w:topLinePunct/>
        <w:autoSpaceDE w:val="0"/>
        <w:autoSpaceDN w:val="0"/>
        <w:snapToGrid w:val="0"/>
        <w:spacing w:line="420" w:lineRule="exact"/>
        <w:rPr>
          <w:rFonts w:hAnsi="宋体"/>
          <w:color w:val="auto"/>
          <w:sz w:val="24"/>
          <w:highlight w:val="none"/>
        </w:rPr>
      </w:pPr>
      <w:r>
        <w:rPr>
          <w:rFonts w:hint="eastAsia" w:hAnsi="宋体"/>
          <w:color w:val="auto"/>
          <w:sz w:val="24"/>
          <w:highlight w:val="none"/>
        </w:rPr>
        <w:t>附件：</w:t>
      </w:r>
    </w:p>
    <w:p>
      <w:pPr>
        <w:tabs>
          <w:tab w:val="left" w:pos="1230"/>
        </w:tabs>
        <w:topLinePunct/>
        <w:autoSpaceDE w:val="0"/>
        <w:autoSpaceDN w:val="0"/>
        <w:snapToGrid w:val="0"/>
        <w:spacing w:line="420" w:lineRule="exact"/>
        <w:jc w:val="center"/>
        <w:rPr>
          <w:rFonts w:ascii="宋体" w:hAnsi="宋体"/>
          <w:b/>
          <w:bCs/>
          <w:color w:val="auto"/>
          <w:sz w:val="24"/>
          <w:highlight w:val="none"/>
        </w:rPr>
      </w:pPr>
      <w:r>
        <w:rPr>
          <w:rFonts w:hint="eastAsia" w:ascii="宋体" w:hAnsi="宋体"/>
          <w:b/>
          <w:bCs/>
          <w:color w:val="auto"/>
          <w:sz w:val="24"/>
          <w:highlight w:val="none"/>
        </w:rPr>
        <w:t>项目经理</w:t>
      </w:r>
      <w:r>
        <w:rPr>
          <w:rFonts w:ascii="宋体" w:hAnsi="宋体"/>
          <w:b/>
          <w:bCs/>
          <w:color w:val="auto"/>
          <w:sz w:val="24"/>
          <w:highlight w:val="none"/>
        </w:rPr>
        <w:t>简历表</w:t>
      </w:r>
    </w:p>
    <w:tbl>
      <w:tblPr>
        <w:tblStyle w:val="34"/>
        <w:tblW w:w="92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34"/>
        <w:gridCol w:w="1273"/>
        <w:gridCol w:w="989"/>
        <w:gridCol w:w="1421"/>
        <w:gridCol w:w="709"/>
        <w:gridCol w:w="629"/>
        <w:gridCol w:w="703"/>
        <w:gridCol w:w="992"/>
        <w:gridCol w:w="11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jc w:val="center"/>
        </w:trPr>
        <w:tc>
          <w:tcPr>
            <w:tcW w:w="1434" w:type="dxa"/>
            <w:vAlign w:val="center"/>
          </w:tcPr>
          <w:p>
            <w:pPr>
              <w:pStyle w:val="203"/>
              <w:spacing w:before="82"/>
              <w:ind w:left="108"/>
              <w:rPr>
                <w:b/>
                <w:color w:val="auto"/>
                <w:highlight w:val="none"/>
              </w:rPr>
            </w:pPr>
            <w:r>
              <w:rPr>
                <w:b/>
                <w:color w:val="auto"/>
                <w:highlight w:val="none"/>
              </w:rPr>
              <w:t>姓名</w:t>
            </w:r>
          </w:p>
        </w:tc>
        <w:tc>
          <w:tcPr>
            <w:tcW w:w="1273" w:type="dxa"/>
            <w:vAlign w:val="center"/>
          </w:tcPr>
          <w:p>
            <w:pPr>
              <w:pStyle w:val="203"/>
              <w:rPr>
                <w:rFonts w:ascii="Times New Roman"/>
                <w:color w:val="auto"/>
                <w:sz w:val="20"/>
                <w:highlight w:val="none"/>
              </w:rPr>
            </w:pPr>
          </w:p>
        </w:tc>
        <w:tc>
          <w:tcPr>
            <w:tcW w:w="989" w:type="dxa"/>
            <w:vAlign w:val="center"/>
          </w:tcPr>
          <w:p>
            <w:pPr>
              <w:pStyle w:val="203"/>
              <w:spacing w:before="82"/>
              <w:ind w:left="108"/>
              <w:rPr>
                <w:b/>
                <w:color w:val="auto"/>
                <w:highlight w:val="none"/>
              </w:rPr>
            </w:pPr>
            <w:r>
              <w:rPr>
                <w:b/>
                <w:color w:val="auto"/>
                <w:highlight w:val="none"/>
              </w:rPr>
              <w:t>性别</w:t>
            </w:r>
          </w:p>
        </w:tc>
        <w:tc>
          <w:tcPr>
            <w:tcW w:w="1421" w:type="dxa"/>
            <w:vAlign w:val="center"/>
          </w:tcPr>
          <w:p>
            <w:pPr>
              <w:pStyle w:val="203"/>
              <w:rPr>
                <w:rFonts w:ascii="Times New Roman"/>
                <w:color w:val="auto"/>
                <w:sz w:val="20"/>
                <w:highlight w:val="none"/>
              </w:rPr>
            </w:pPr>
          </w:p>
        </w:tc>
        <w:tc>
          <w:tcPr>
            <w:tcW w:w="709" w:type="dxa"/>
            <w:vAlign w:val="center"/>
          </w:tcPr>
          <w:p>
            <w:pPr>
              <w:pStyle w:val="203"/>
              <w:spacing w:before="82"/>
              <w:ind w:left="107"/>
              <w:rPr>
                <w:b/>
                <w:color w:val="auto"/>
                <w:highlight w:val="none"/>
              </w:rPr>
            </w:pPr>
            <w:r>
              <w:rPr>
                <w:b/>
                <w:color w:val="auto"/>
                <w:highlight w:val="none"/>
              </w:rPr>
              <w:t>年龄</w:t>
            </w:r>
          </w:p>
        </w:tc>
        <w:tc>
          <w:tcPr>
            <w:tcW w:w="629" w:type="dxa"/>
            <w:vAlign w:val="center"/>
          </w:tcPr>
          <w:p>
            <w:pPr>
              <w:pStyle w:val="203"/>
              <w:rPr>
                <w:rFonts w:ascii="Times New Roman"/>
                <w:color w:val="auto"/>
                <w:sz w:val="20"/>
                <w:highlight w:val="none"/>
              </w:rPr>
            </w:pPr>
          </w:p>
        </w:tc>
        <w:tc>
          <w:tcPr>
            <w:tcW w:w="1695" w:type="dxa"/>
            <w:gridSpan w:val="2"/>
            <w:vAlign w:val="center"/>
          </w:tcPr>
          <w:p>
            <w:pPr>
              <w:pStyle w:val="203"/>
              <w:spacing w:before="82"/>
              <w:ind w:left="106"/>
              <w:rPr>
                <w:b/>
                <w:color w:val="auto"/>
                <w:highlight w:val="none"/>
              </w:rPr>
            </w:pPr>
            <w:r>
              <w:rPr>
                <w:b/>
                <w:color w:val="auto"/>
                <w:highlight w:val="none"/>
              </w:rPr>
              <w:t>身份证号</w:t>
            </w:r>
          </w:p>
        </w:tc>
        <w:tc>
          <w:tcPr>
            <w:tcW w:w="1119" w:type="dxa"/>
            <w:vAlign w:val="center"/>
          </w:tcPr>
          <w:p>
            <w:pPr>
              <w:pStyle w:val="203"/>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jc w:val="center"/>
        </w:trPr>
        <w:tc>
          <w:tcPr>
            <w:tcW w:w="1434" w:type="dxa"/>
            <w:vAlign w:val="center"/>
          </w:tcPr>
          <w:p>
            <w:pPr>
              <w:pStyle w:val="203"/>
              <w:spacing w:before="60"/>
              <w:ind w:left="108"/>
              <w:rPr>
                <w:b/>
                <w:color w:val="auto"/>
                <w:highlight w:val="none"/>
              </w:rPr>
            </w:pPr>
            <w:r>
              <w:rPr>
                <w:b/>
                <w:color w:val="auto"/>
                <w:highlight w:val="none"/>
              </w:rPr>
              <w:t>毕业院校</w:t>
            </w:r>
          </w:p>
        </w:tc>
        <w:tc>
          <w:tcPr>
            <w:tcW w:w="5021" w:type="dxa"/>
            <w:gridSpan w:val="5"/>
            <w:vAlign w:val="center"/>
          </w:tcPr>
          <w:p>
            <w:pPr>
              <w:pStyle w:val="203"/>
              <w:rPr>
                <w:rFonts w:ascii="Times New Roman"/>
                <w:color w:val="auto"/>
                <w:sz w:val="20"/>
                <w:highlight w:val="none"/>
              </w:rPr>
            </w:pPr>
          </w:p>
        </w:tc>
        <w:tc>
          <w:tcPr>
            <w:tcW w:w="1695" w:type="dxa"/>
            <w:gridSpan w:val="2"/>
            <w:vAlign w:val="center"/>
          </w:tcPr>
          <w:p>
            <w:pPr>
              <w:pStyle w:val="203"/>
              <w:spacing w:before="60"/>
              <w:ind w:left="106"/>
              <w:rPr>
                <w:b/>
                <w:color w:val="auto"/>
                <w:highlight w:val="none"/>
              </w:rPr>
            </w:pPr>
            <w:r>
              <w:rPr>
                <w:b/>
                <w:color w:val="auto"/>
                <w:highlight w:val="none"/>
              </w:rPr>
              <w:t>专业</w:t>
            </w:r>
          </w:p>
        </w:tc>
        <w:tc>
          <w:tcPr>
            <w:tcW w:w="1119" w:type="dxa"/>
            <w:vAlign w:val="center"/>
          </w:tcPr>
          <w:p>
            <w:pPr>
              <w:pStyle w:val="203"/>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jc w:val="center"/>
        </w:trPr>
        <w:tc>
          <w:tcPr>
            <w:tcW w:w="1434" w:type="dxa"/>
            <w:vAlign w:val="center"/>
          </w:tcPr>
          <w:p>
            <w:pPr>
              <w:pStyle w:val="203"/>
              <w:spacing w:before="163"/>
              <w:ind w:left="108"/>
              <w:rPr>
                <w:b/>
                <w:color w:val="auto"/>
                <w:highlight w:val="none"/>
              </w:rPr>
            </w:pPr>
            <w:r>
              <w:rPr>
                <w:b/>
                <w:color w:val="auto"/>
                <w:highlight w:val="none"/>
              </w:rPr>
              <w:t>学历</w:t>
            </w:r>
          </w:p>
        </w:tc>
        <w:tc>
          <w:tcPr>
            <w:tcW w:w="1273" w:type="dxa"/>
            <w:vAlign w:val="center"/>
          </w:tcPr>
          <w:p>
            <w:pPr>
              <w:pStyle w:val="203"/>
              <w:rPr>
                <w:rFonts w:ascii="Times New Roman"/>
                <w:color w:val="auto"/>
                <w:sz w:val="20"/>
                <w:highlight w:val="none"/>
              </w:rPr>
            </w:pPr>
          </w:p>
        </w:tc>
        <w:tc>
          <w:tcPr>
            <w:tcW w:w="989" w:type="dxa"/>
            <w:vAlign w:val="center"/>
          </w:tcPr>
          <w:p>
            <w:pPr>
              <w:pStyle w:val="203"/>
              <w:ind w:left="108"/>
              <w:rPr>
                <w:b/>
                <w:color w:val="auto"/>
                <w:highlight w:val="none"/>
              </w:rPr>
            </w:pPr>
            <w:r>
              <w:rPr>
                <w:b/>
                <w:color w:val="auto"/>
                <w:w w:val="95"/>
                <w:highlight w:val="none"/>
              </w:rPr>
              <w:t>参加工</w:t>
            </w:r>
          </w:p>
          <w:p>
            <w:pPr>
              <w:pStyle w:val="203"/>
              <w:spacing w:before="57"/>
              <w:ind w:left="108"/>
              <w:rPr>
                <w:b/>
                <w:color w:val="auto"/>
                <w:highlight w:val="none"/>
              </w:rPr>
            </w:pPr>
            <w:r>
              <w:rPr>
                <w:b/>
                <w:color w:val="auto"/>
                <w:w w:val="95"/>
                <w:highlight w:val="none"/>
              </w:rPr>
              <w:t>作时间</w:t>
            </w:r>
          </w:p>
        </w:tc>
        <w:tc>
          <w:tcPr>
            <w:tcW w:w="1421" w:type="dxa"/>
            <w:vAlign w:val="center"/>
          </w:tcPr>
          <w:p>
            <w:pPr>
              <w:pStyle w:val="203"/>
              <w:rPr>
                <w:rFonts w:ascii="Times New Roman"/>
                <w:color w:val="auto"/>
                <w:sz w:val="20"/>
                <w:highlight w:val="none"/>
              </w:rPr>
            </w:pPr>
          </w:p>
        </w:tc>
        <w:tc>
          <w:tcPr>
            <w:tcW w:w="709" w:type="dxa"/>
            <w:vAlign w:val="center"/>
          </w:tcPr>
          <w:p>
            <w:pPr>
              <w:pStyle w:val="203"/>
              <w:spacing w:before="163"/>
              <w:ind w:left="107"/>
              <w:rPr>
                <w:b/>
                <w:color w:val="auto"/>
                <w:highlight w:val="none"/>
              </w:rPr>
            </w:pPr>
            <w:r>
              <w:rPr>
                <w:b/>
                <w:color w:val="auto"/>
                <w:highlight w:val="none"/>
              </w:rPr>
              <w:t>职称</w:t>
            </w:r>
          </w:p>
        </w:tc>
        <w:tc>
          <w:tcPr>
            <w:tcW w:w="3443" w:type="dxa"/>
            <w:gridSpan w:val="4"/>
            <w:vAlign w:val="center"/>
          </w:tcPr>
          <w:p>
            <w:pPr>
              <w:pStyle w:val="203"/>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jc w:val="center"/>
        </w:trPr>
        <w:tc>
          <w:tcPr>
            <w:tcW w:w="1434" w:type="dxa"/>
            <w:vAlign w:val="center"/>
          </w:tcPr>
          <w:p>
            <w:pPr>
              <w:pStyle w:val="203"/>
              <w:spacing w:before="1"/>
              <w:ind w:left="108"/>
              <w:rPr>
                <w:b/>
                <w:color w:val="auto"/>
                <w:highlight w:val="none"/>
              </w:rPr>
            </w:pPr>
            <w:r>
              <w:rPr>
                <w:b/>
                <w:color w:val="auto"/>
                <w:highlight w:val="none"/>
              </w:rPr>
              <w:t>所在公司机</w:t>
            </w:r>
          </w:p>
          <w:p>
            <w:pPr>
              <w:pStyle w:val="203"/>
              <w:spacing w:before="55"/>
              <w:ind w:left="108"/>
              <w:rPr>
                <w:b/>
                <w:color w:val="auto"/>
                <w:highlight w:val="none"/>
              </w:rPr>
            </w:pPr>
            <w:r>
              <w:rPr>
                <w:b/>
                <w:color w:val="auto"/>
                <w:highlight w:val="none"/>
              </w:rPr>
              <w:t>构或部门</w:t>
            </w:r>
          </w:p>
        </w:tc>
        <w:tc>
          <w:tcPr>
            <w:tcW w:w="3683" w:type="dxa"/>
            <w:gridSpan w:val="3"/>
            <w:vAlign w:val="center"/>
          </w:tcPr>
          <w:p>
            <w:pPr>
              <w:pStyle w:val="203"/>
              <w:rPr>
                <w:rFonts w:ascii="Times New Roman"/>
                <w:color w:val="auto"/>
                <w:sz w:val="20"/>
                <w:highlight w:val="none"/>
              </w:rPr>
            </w:pPr>
          </w:p>
        </w:tc>
        <w:tc>
          <w:tcPr>
            <w:tcW w:w="709" w:type="dxa"/>
            <w:vAlign w:val="center"/>
          </w:tcPr>
          <w:p>
            <w:pPr>
              <w:pStyle w:val="203"/>
              <w:spacing w:before="1"/>
              <w:ind w:left="143"/>
              <w:rPr>
                <w:b/>
                <w:color w:val="auto"/>
                <w:highlight w:val="none"/>
              </w:rPr>
            </w:pPr>
            <w:r>
              <w:rPr>
                <w:b/>
                <w:color w:val="auto"/>
                <w:w w:val="95"/>
                <w:highlight w:val="none"/>
              </w:rPr>
              <w:t>服务</w:t>
            </w:r>
          </w:p>
          <w:p>
            <w:pPr>
              <w:pStyle w:val="203"/>
              <w:spacing w:before="55"/>
              <w:ind w:left="143"/>
              <w:rPr>
                <w:b/>
                <w:color w:val="auto"/>
                <w:highlight w:val="none"/>
              </w:rPr>
            </w:pPr>
            <w:r>
              <w:rPr>
                <w:b/>
                <w:color w:val="auto"/>
                <w:w w:val="95"/>
                <w:highlight w:val="none"/>
              </w:rPr>
              <w:t>时间</w:t>
            </w:r>
          </w:p>
        </w:tc>
        <w:tc>
          <w:tcPr>
            <w:tcW w:w="1332" w:type="dxa"/>
            <w:gridSpan w:val="2"/>
            <w:vAlign w:val="center"/>
          </w:tcPr>
          <w:p>
            <w:pPr>
              <w:pStyle w:val="203"/>
              <w:spacing w:before="152"/>
              <w:ind w:left="121"/>
              <w:rPr>
                <w:color w:val="auto"/>
                <w:sz w:val="22"/>
                <w:highlight w:val="none"/>
              </w:rPr>
            </w:pPr>
            <w:r>
              <w:rPr>
                <w:color w:val="auto"/>
                <w:sz w:val="22"/>
                <w:highlight w:val="none"/>
              </w:rPr>
              <w:t>到公司时间</w:t>
            </w:r>
          </w:p>
        </w:tc>
        <w:tc>
          <w:tcPr>
            <w:tcW w:w="992" w:type="dxa"/>
            <w:vAlign w:val="center"/>
          </w:tcPr>
          <w:p>
            <w:pPr>
              <w:pStyle w:val="203"/>
              <w:spacing w:before="1"/>
              <w:ind w:left="231"/>
              <w:rPr>
                <w:b/>
                <w:color w:val="auto"/>
                <w:highlight w:val="none"/>
              </w:rPr>
            </w:pPr>
            <w:r>
              <w:rPr>
                <w:b/>
                <w:color w:val="auto"/>
                <w:highlight w:val="none"/>
              </w:rPr>
              <w:t>职务/</w:t>
            </w:r>
          </w:p>
          <w:p>
            <w:pPr>
              <w:pStyle w:val="203"/>
              <w:spacing w:before="55"/>
              <w:ind w:left="284"/>
              <w:rPr>
                <w:b/>
                <w:color w:val="auto"/>
                <w:highlight w:val="none"/>
              </w:rPr>
            </w:pPr>
            <w:r>
              <w:rPr>
                <w:b/>
                <w:color w:val="auto"/>
                <w:highlight w:val="none"/>
              </w:rPr>
              <w:t>职位</w:t>
            </w:r>
          </w:p>
        </w:tc>
        <w:tc>
          <w:tcPr>
            <w:tcW w:w="1119" w:type="dxa"/>
            <w:vAlign w:val="center"/>
          </w:tcPr>
          <w:p>
            <w:pPr>
              <w:pStyle w:val="203"/>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jc w:val="center"/>
        </w:trPr>
        <w:tc>
          <w:tcPr>
            <w:tcW w:w="1434" w:type="dxa"/>
            <w:vAlign w:val="center"/>
          </w:tcPr>
          <w:p>
            <w:pPr>
              <w:pStyle w:val="203"/>
              <w:spacing w:line="290" w:lineRule="auto"/>
              <w:ind w:left="108" w:right="46"/>
              <w:rPr>
                <w:b/>
                <w:color w:val="auto"/>
                <w:highlight w:val="none"/>
              </w:rPr>
            </w:pPr>
            <w:r>
              <w:rPr>
                <w:b/>
                <w:color w:val="auto"/>
                <w:highlight w:val="none"/>
              </w:rPr>
              <w:t>取得的业务、技术资质认</w:t>
            </w:r>
          </w:p>
          <w:p>
            <w:pPr>
              <w:pStyle w:val="203"/>
              <w:spacing w:before="2"/>
              <w:ind w:left="108"/>
              <w:rPr>
                <w:b/>
                <w:color w:val="auto"/>
                <w:highlight w:val="none"/>
              </w:rPr>
            </w:pPr>
            <w:r>
              <w:rPr>
                <w:b/>
                <w:color w:val="auto"/>
                <w:w w:val="99"/>
                <w:highlight w:val="none"/>
              </w:rPr>
              <w:t>证</w:t>
            </w:r>
          </w:p>
        </w:tc>
        <w:tc>
          <w:tcPr>
            <w:tcW w:w="7835" w:type="dxa"/>
            <w:gridSpan w:val="8"/>
            <w:vAlign w:val="center"/>
          </w:tcPr>
          <w:p>
            <w:pPr>
              <w:pStyle w:val="203"/>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jc w:val="center"/>
        </w:trPr>
        <w:tc>
          <w:tcPr>
            <w:tcW w:w="1434" w:type="dxa"/>
            <w:vAlign w:val="center"/>
          </w:tcPr>
          <w:p>
            <w:pPr>
              <w:pStyle w:val="203"/>
              <w:spacing w:before="1"/>
              <w:ind w:left="108"/>
              <w:rPr>
                <w:b/>
                <w:color w:val="auto"/>
                <w:highlight w:val="none"/>
              </w:rPr>
            </w:pPr>
            <w:r>
              <w:rPr>
                <w:b/>
                <w:color w:val="auto"/>
                <w:highlight w:val="none"/>
              </w:rPr>
              <w:t>学习、工作经</w:t>
            </w:r>
          </w:p>
          <w:p>
            <w:pPr>
              <w:pStyle w:val="203"/>
              <w:spacing w:before="7" w:line="320" w:lineRule="atLeast"/>
              <w:ind w:left="108" w:right="94"/>
              <w:rPr>
                <w:b/>
                <w:color w:val="auto"/>
                <w:highlight w:val="none"/>
              </w:rPr>
            </w:pPr>
            <w:r>
              <w:rPr>
                <w:b/>
                <w:color w:val="auto"/>
                <w:highlight w:val="none"/>
              </w:rPr>
              <w:t>历及项目经验</w:t>
            </w:r>
          </w:p>
        </w:tc>
        <w:tc>
          <w:tcPr>
            <w:tcW w:w="7835" w:type="dxa"/>
            <w:gridSpan w:val="8"/>
            <w:vAlign w:val="center"/>
          </w:tcPr>
          <w:p>
            <w:pPr>
              <w:pStyle w:val="203"/>
              <w:rPr>
                <w:rFonts w:ascii="Times New Roman"/>
                <w:color w:val="auto"/>
                <w:sz w:val="20"/>
                <w:highlight w:val="none"/>
              </w:rPr>
            </w:pPr>
          </w:p>
        </w:tc>
      </w:tr>
    </w:tbl>
    <w:p>
      <w:pPr>
        <w:pStyle w:val="19"/>
        <w:rPr>
          <w:rFonts w:hint="default" w:hAnsi="宋体"/>
          <w:color w:val="auto"/>
          <w:sz w:val="24"/>
          <w:szCs w:val="24"/>
          <w:highlight w:val="none"/>
        </w:rPr>
      </w:pPr>
      <w:r>
        <w:rPr>
          <w:rFonts w:hint="default" w:hAnsi="宋体"/>
          <w:color w:val="auto"/>
          <w:sz w:val="24"/>
          <w:szCs w:val="24"/>
          <w:highlight w:val="none"/>
        </w:rPr>
        <w:t>注：提供上述所有人员投标截止之日前6个月内任意1个月</w:t>
      </w:r>
      <w:r>
        <w:rPr>
          <w:rFonts w:hAnsi="宋体"/>
          <w:color w:val="auto"/>
          <w:sz w:val="24"/>
          <w:szCs w:val="24"/>
          <w:highlight w:val="none"/>
        </w:rPr>
        <w:t>的</w:t>
      </w:r>
      <w:r>
        <w:rPr>
          <w:rFonts w:hint="default" w:hAnsi="宋体"/>
          <w:color w:val="auto"/>
          <w:sz w:val="24"/>
          <w:szCs w:val="24"/>
          <w:highlight w:val="none"/>
        </w:rPr>
        <w:t>在</w:t>
      </w:r>
      <w:r>
        <w:rPr>
          <w:rFonts w:hAnsi="宋体"/>
          <w:color w:val="auto"/>
          <w:sz w:val="24"/>
          <w:szCs w:val="24"/>
          <w:highlight w:val="none"/>
        </w:rPr>
        <w:t>投标</w:t>
      </w:r>
      <w:r>
        <w:rPr>
          <w:rFonts w:hint="default" w:hAnsi="宋体"/>
          <w:color w:val="auto"/>
          <w:sz w:val="24"/>
          <w:szCs w:val="24"/>
          <w:highlight w:val="none"/>
        </w:rPr>
        <w:t>单位缴纳社保证明复印件，如无社保证明，则提供能证明其为</w:t>
      </w:r>
      <w:r>
        <w:rPr>
          <w:rFonts w:hAnsi="宋体"/>
          <w:color w:val="auto"/>
          <w:sz w:val="24"/>
          <w:szCs w:val="24"/>
          <w:highlight w:val="none"/>
        </w:rPr>
        <w:t>投标</w:t>
      </w:r>
      <w:r>
        <w:rPr>
          <w:rFonts w:hint="default" w:hAnsi="宋体"/>
          <w:color w:val="auto"/>
          <w:sz w:val="24"/>
          <w:szCs w:val="24"/>
          <w:highlight w:val="none"/>
        </w:rPr>
        <w:t>单位在职员工的相关证明材料。</w:t>
      </w:r>
    </w:p>
    <w:p>
      <w:pPr>
        <w:pStyle w:val="2"/>
        <w:ind w:firstLine="0"/>
        <w:rPr>
          <w:color w:val="auto"/>
          <w:highlight w:val="none"/>
        </w:rPr>
      </w:pPr>
    </w:p>
    <w:p>
      <w:pPr>
        <w:spacing w:before="157"/>
        <w:jc w:val="left"/>
        <w:rPr>
          <w:color w:val="auto"/>
          <w:highlight w:val="none"/>
        </w:rPr>
      </w:pPr>
      <w:r>
        <w:rPr>
          <w:color w:val="auto"/>
          <w:highlight w:val="none"/>
        </w:rPr>
        <w:t>特别说明：提供</w:t>
      </w:r>
      <w:r>
        <w:rPr>
          <w:rFonts w:hint="eastAsia"/>
          <w:color w:val="auto"/>
          <w:highlight w:val="none"/>
        </w:rPr>
        <w:t>相关</w:t>
      </w:r>
      <w:r>
        <w:rPr>
          <w:color w:val="auto"/>
          <w:highlight w:val="none"/>
        </w:rPr>
        <w:t>职称及认证证书复印件等相关材料。</w:t>
      </w:r>
    </w:p>
    <w:p>
      <w:pPr>
        <w:pStyle w:val="19"/>
        <w:ind w:firstLine="480" w:firstLineChars="200"/>
        <w:rPr>
          <w:rFonts w:hint="default" w:hAnsi="宋体"/>
          <w:color w:val="auto"/>
          <w:sz w:val="24"/>
          <w:szCs w:val="24"/>
          <w:highlight w:val="none"/>
        </w:rPr>
      </w:pPr>
      <w:r>
        <w:rPr>
          <w:rFonts w:hint="default" w:hAnsi="宋体"/>
          <w:color w:val="auto"/>
          <w:sz w:val="24"/>
          <w:szCs w:val="24"/>
          <w:highlight w:val="none"/>
        </w:rPr>
        <w:br w:type="page"/>
      </w:r>
    </w:p>
    <w:p>
      <w:pPr>
        <w:spacing w:before="43"/>
        <w:rPr>
          <w:rFonts w:cs="宋体"/>
          <w:color w:val="auto"/>
          <w:sz w:val="28"/>
          <w:szCs w:val="28"/>
          <w:highlight w:val="none"/>
        </w:rPr>
      </w:pPr>
      <w:r>
        <w:rPr>
          <w:rFonts w:hint="eastAsia"/>
          <w:b/>
          <w:bCs/>
          <w:color w:val="auto"/>
          <w:sz w:val="28"/>
          <w:szCs w:val="28"/>
          <w:highlight w:val="none"/>
        </w:rPr>
        <w:t>三、</w:t>
      </w:r>
      <w:r>
        <w:rPr>
          <w:rFonts w:hint="eastAsia"/>
          <w:b/>
          <w:bCs/>
          <w:color w:val="auto"/>
          <w:sz w:val="28"/>
          <w:szCs w:val="28"/>
          <w:highlight w:val="none"/>
          <w:lang w:val="zh-CN"/>
        </w:rPr>
        <w:t>供应商基本信息</w:t>
      </w:r>
    </w:p>
    <w:p>
      <w:pPr>
        <w:pStyle w:val="17"/>
        <w:spacing w:before="11"/>
        <w:rPr>
          <w:rFonts w:cs="宋体"/>
          <w:color w:val="auto"/>
          <w:sz w:val="33"/>
          <w:highlight w:val="none"/>
        </w:rPr>
      </w:pPr>
    </w:p>
    <w:p>
      <w:pPr>
        <w:pStyle w:val="17"/>
        <w:rPr>
          <w:rFonts w:ascii="宋体" w:hAnsi="宋体" w:cs="宋体"/>
          <w:color w:val="auto"/>
          <w:kern w:val="2"/>
          <w:sz w:val="24"/>
          <w:highlight w:val="none"/>
        </w:rPr>
      </w:pPr>
      <w:r>
        <w:rPr>
          <w:rFonts w:hint="eastAsia" w:ascii="宋体" w:hAnsi="宋体" w:cs="宋体"/>
          <w:color w:val="auto"/>
          <w:kern w:val="2"/>
          <w:sz w:val="24"/>
          <w:highlight w:val="none"/>
        </w:rPr>
        <w:t>供应商名称：</w:t>
      </w:r>
    </w:p>
    <w:p>
      <w:pPr>
        <w:pStyle w:val="17"/>
        <w:rPr>
          <w:rFonts w:ascii="宋体" w:hAnsi="宋体" w:cs="宋体"/>
          <w:color w:val="auto"/>
          <w:kern w:val="2"/>
          <w:sz w:val="24"/>
          <w:highlight w:val="none"/>
        </w:rPr>
      </w:pPr>
    </w:p>
    <w:p>
      <w:pPr>
        <w:pStyle w:val="17"/>
        <w:rPr>
          <w:rFonts w:ascii="宋体" w:hAnsi="宋体" w:cs="宋体"/>
          <w:color w:val="auto"/>
          <w:kern w:val="2"/>
          <w:sz w:val="24"/>
          <w:highlight w:val="none"/>
        </w:rPr>
      </w:pPr>
      <w:r>
        <w:rPr>
          <w:rFonts w:hint="eastAsia" w:ascii="宋体" w:hAnsi="宋体" w:cs="宋体"/>
          <w:color w:val="auto"/>
          <w:kern w:val="2"/>
          <w:sz w:val="24"/>
          <w:highlight w:val="none"/>
        </w:rPr>
        <w:t>供应商企业性质：□ 大型企业 □ 中型企业</w:t>
      </w:r>
      <w:r>
        <w:rPr>
          <w:rFonts w:hint="eastAsia" w:ascii="宋体" w:hAnsi="宋体" w:cs="宋体"/>
          <w:color w:val="auto"/>
          <w:kern w:val="2"/>
          <w:sz w:val="24"/>
          <w:highlight w:val="none"/>
        </w:rPr>
        <w:tab/>
      </w:r>
      <w:r>
        <w:rPr>
          <w:rFonts w:hint="eastAsia" w:ascii="宋体" w:hAnsi="宋体" w:cs="宋体"/>
          <w:color w:val="auto"/>
          <w:kern w:val="2"/>
          <w:sz w:val="24"/>
          <w:highlight w:val="none"/>
        </w:rPr>
        <w:t>□ 小型企业</w:t>
      </w:r>
      <w:r>
        <w:rPr>
          <w:rFonts w:hint="eastAsia" w:ascii="宋体" w:hAnsi="宋体" w:cs="宋体"/>
          <w:color w:val="auto"/>
          <w:kern w:val="2"/>
          <w:sz w:val="24"/>
          <w:highlight w:val="none"/>
        </w:rPr>
        <w:tab/>
      </w:r>
    </w:p>
    <w:p>
      <w:pPr>
        <w:pStyle w:val="17"/>
        <w:ind w:firstLine="1920" w:firstLineChars="800"/>
        <w:rPr>
          <w:rFonts w:ascii="宋体" w:hAnsi="宋体" w:cs="宋体"/>
          <w:color w:val="auto"/>
          <w:kern w:val="2"/>
          <w:sz w:val="24"/>
          <w:highlight w:val="none"/>
        </w:rPr>
      </w:pPr>
    </w:p>
    <w:p>
      <w:pPr>
        <w:pStyle w:val="17"/>
        <w:ind w:firstLine="1920" w:firstLineChars="800"/>
        <w:rPr>
          <w:rFonts w:ascii="宋体" w:hAnsi="宋体" w:cs="宋体"/>
          <w:color w:val="auto"/>
          <w:kern w:val="2"/>
          <w:sz w:val="24"/>
          <w:highlight w:val="none"/>
        </w:rPr>
      </w:pPr>
      <w:r>
        <w:rPr>
          <w:rFonts w:hint="eastAsia" w:ascii="宋体" w:hAnsi="宋体" w:cs="宋体"/>
          <w:color w:val="auto"/>
          <w:kern w:val="2"/>
          <w:sz w:val="24"/>
          <w:highlight w:val="none"/>
        </w:rPr>
        <w:t>□ 微型企业 □ 监狱企业   □ 残疾人福利性单位</w:t>
      </w:r>
      <w:r>
        <w:rPr>
          <w:rFonts w:hint="eastAsia" w:ascii="宋体" w:hAnsi="宋体" w:cs="宋体"/>
          <w:color w:val="auto"/>
          <w:kern w:val="2"/>
          <w:sz w:val="24"/>
          <w:highlight w:val="none"/>
        </w:rPr>
        <w:tab/>
      </w:r>
    </w:p>
    <w:p>
      <w:pPr>
        <w:pStyle w:val="17"/>
        <w:ind w:firstLine="1920" w:firstLineChars="800"/>
        <w:rPr>
          <w:rFonts w:ascii="宋体" w:hAnsi="宋体" w:cs="宋体"/>
          <w:color w:val="auto"/>
          <w:kern w:val="2"/>
          <w:sz w:val="24"/>
          <w:highlight w:val="none"/>
        </w:rPr>
      </w:pPr>
    </w:p>
    <w:p>
      <w:pPr>
        <w:pStyle w:val="17"/>
        <w:ind w:firstLine="1920" w:firstLineChars="800"/>
        <w:rPr>
          <w:rFonts w:ascii="宋体" w:hAnsi="宋体" w:cs="宋体"/>
          <w:color w:val="auto"/>
          <w:kern w:val="2"/>
          <w:sz w:val="24"/>
          <w:highlight w:val="none"/>
        </w:rPr>
      </w:pPr>
      <w:r>
        <w:rPr>
          <w:rFonts w:hint="eastAsia" w:ascii="宋体" w:hAnsi="宋体" w:cs="宋体"/>
          <w:color w:val="auto"/>
          <w:kern w:val="2"/>
          <w:sz w:val="24"/>
          <w:highlight w:val="none"/>
        </w:rPr>
        <w:t xml:space="preserve">□其他 </w:t>
      </w:r>
      <w:r>
        <w:rPr>
          <w:rFonts w:hint="eastAsia" w:ascii="宋体" w:hAnsi="宋体" w:cs="宋体"/>
          <w:color w:val="auto"/>
          <w:kern w:val="2"/>
          <w:sz w:val="24"/>
          <w:highlight w:val="none"/>
        </w:rPr>
        <w:tab/>
      </w:r>
    </w:p>
    <w:p>
      <w:pPr>
        <w:pStyle w:val="17"/>
        <w:rPr>
          <w:rFonts w:ascii="宋体" w:hAnsi="宋体" w:cs="宋体"/>
          <w:color w:val="auto"/>
          <w:kern w:val="2"/>
          <w:sz w:val="24"/>
          <w:highlight w:val="none"/>
        </w:rPr>
      </w:pPr>
    </w:p>
    <w:p>
      <w:pPr>
        <w:pStyle w:val="17"/>
        <w:rPr>
          <w:rFonts w:ascii="宋体" w:hAnsi="宋体" w:cs="宋体"/>
          <w:color w:val="auto"/>
          <w:kern w:val="2"/>
          <w:sz w:val="24"/>
          <w:highlight w:val="none"/>
        </w:rPr>
      </w:pPr>
      <w:r>
        <w:rPr>
          <w:rFonts w:hint="eastAsia" w:ascii="宋体" w:hAnsi="宋体" w:cs="宋体"/>
          <w:color w:val="auto"/>
          <w:kern w:val="2"/>
          <w:sz w:val="24"/>
          <w:highlight w:val="none"/>
        </w:rPr>
        <w:t xml:space="preserve">供应商地址： </w:t>
      </w:r>
    </w:p>
    <w:p>
      <w:pPr>
        <w:pStyle w:val="17"/>
        <w:rPr>
          <w:rFonts w:ascii="宋体" w:hAnsi="宋体" w:cs="宋体"/>
          <w:color w:val="auto"/>
          <w:kern w:val="2"/>
          <w:sz w:val="24"/>
          <w:highlight w:val="none"/>
        </w:rPr>
      </w:pPr>
    </w:p>
    <w:p>
      <w:pPr>
        <w:pStyle w:val="17"/>
        <w:rPr>
          <w:rFonts w:ascii="宋体" w:hAnsi="宋体" w:cs="宋体"/>
          <w:color w:val="auto"/>
          <w:kern w:val="2"/>
          <w:sz w:val="24"/>
          <w:highlight w:val="none"/>
        </w:rPr>
      </w:pPr>
      <w:r>
        <w:rPr>
          <w:rFonts w:hint="eastAsia" w:ascii="宋体" w:hAnsi="宋体" w:cs="宋体"/>
          <w:color w:val="auto"/>
          <w:kern w:val="2"/>
          <w:sz w:val="24"/>
          <w:highlight w:val="none"/>
        </w:rPr>
        <w:t xml:space="preserve">供应商联系人： </w:t>
      </w:r>
    </w:p>
    <w:p>
      <w:pPr>
        <w:pStyle w:val="17"/>
        <w:rPr>
          <w:rFonts w:ascii="宋体" w:hAnsi="宋体" w:cs="宋体"/>
          <w:color w:val="auto"/>
          <w:kern w:val="2"/>
          <w:sz w:val="24"/>
          <w:highlight w:val="none"/>
        </w:rPr>
      </w:pPr>
    </w:p>
    <w:p>
      <w:pPr>
        <w:pStyle w:val="17"/>
        <w:rPr>
          <w:rFonts w:ascii="宋体" w:hAnsi="宋体" w:cs="宋体"/>
          <w:color w:val="auto"/>
          <w:kern w:val="2"/>
          <w:sz w:val="24"/>
          <w:highlight w:val="none"/>
        </w:rPr>
      </w:pPr>
      <w:r>
        <w:rPr>
          <w:rFonts w:hint="eastAsia" w:ascii="宋体" w:hAnsi="宋体" w:cs="宋体"/>
          <w:color w:val="auto"/>
          <w:kern w:val="2"/>
          <w:sz w:val="24"/>
          <w:highlight w:val="none"/>
        </w:rPr>
        <w:t>联系电话：</w:t>
      </w:r>
    </w:p>
    <w:p>
      <w:pPr>
        <w:pStyle w:val="17"/>
        <w:rPr>
          <w:rFonts w:ascii="宋体" w:hAnsi="宋体" w:cs="宋体"/>
          <w:color w:val="auto"/>
          <w:kern w:val="2"/>
          <w:sz w:val="24"/>
          <w:highlight w:val="none"/>
        </w:rPr>
      </w:pPr>
    </w:p>
    <w:p>
      <w:pPr>
        <w:pStyle w:val="17"/>
        <w:rPr>
          <w:rFonts w:ascii="宋体" w:hAnsi="宋体" w:cs="宋体"/>
          <w:color w:val="auto"/>
          <w:kern w:val="2"/>
          <w:sz w:val="24"/>
          <w:highlight w:val="none"/>
        </w:rPr>
      </w:pPr>
      <w:r>
        <w:rPr>
          <w:rFonts w:hint="eastAsia" w:ascii="宋体" w:hAnsi="宋体" w:cs="宋体"/>
          <w:color w:val="auto"/>
          <w:kern w:val="2"/>
          <w:sz w:val="24"/>
          <w:highlight w:val="none"/>
        </w:rPr>
        <w:t>传真：</w:t>
      </w:r>
    </w:p>
    <w:p>
      <w:pPr>
        <w:pStyle w:val="17"/>
        <w:rPr>
          <w:rFonts w:ascii="宋体" w:hAnsi="宋体" w:cs="宋体"/>
          <w:color w:val="auto"/>
          <w:kern w:val="2"/>
          <w:sz w:val="24"/>
          <w:highlight w:val="none"/>
        </w:rPr>
      </w:pPr>
    </w:p>
    <w:p>
      <w:pPr>
        <w:pStyle w:val="17"/>
        <w:rPr>
          <w:rFonts w:ascii="宋体" w:hAnsi="宋体" w:cs="宋体"/>
          <w:color w:val="auto"/>
          <w:kern w:val="2"/>
          <w:sz w:val="24"/>
          <w:highlight w:val="none"/>
        </w:rPr>
      </w:pPr>
      <w:bookmarkStart w:id="53" w:name="特别说明：请供应商如实填写基本信息，并装订到投标/响应文件中一并提交。"/>
      <w:bookmarkEnd w:id="53"/>
      <w:r>
        <w:rPr>
          <w:rFonts w:hint="eastAsia" w:ascii="宋体" w:hAnsi="宋体" w:cs="宋体"/>
          <w:color w:val="auto"/>
          <w:kern w:val="2"/>
          <w:sz w:val="24"/>
          <w:highlight w:val="none"/>
        </w:rPr>
        <w:t>特别说明：请供应商如实填写基本信息，并装订到投标文件中一并提交。</w:t>
      </w:r>
    </w:p>
    <w:p>
      <w:pPr>
        <w:pStyle w:val="17"/>
        <w:rPr>
          <w:rFonts w:ascii="宋体" w:hAnsi="宋体" w:cs="宋体"/>
          <w:color w:val="auto"/>
          <w:kern w:val="2"/>
          <w:sz w:val="24"/>
          <w:highlight w:val="none"/>
        </w:rPr>
        <w:sectPr>
          <w:pgSz w:w="11910" w:h="16840"/>
          <w:pgMar w:top="1474" w:right="1474" w:bottom="1474" w:left="1474" w:header="0" w:footer="885" w:gutter="0"/>
          <w:cols w:space="720" w:num="1"/>
        </w:sectPr>
      </w:pPr>
    </w:p>
    <w:p>
      <w:pPr>
        <w:pStyle w:val="19"/>
        <w:ind w:firstLine="480" w:firstLineChars="200"/>
        <w:rPr>
          <w:rFonts w:hint="default" w:hAnsi="宋体"/>
          <w:color w:val="auto"/>
          <w:sz w:val="24"/>
          <w:szCs w:val="24"/>
          <w:highlight w:val="none"/>
        </w:rPr>
      </w:pPr>
    </w:p>
    <w:p>
      <w:pPr>
        <w:pStyle w:val="19"/>
        <w:spacing w:line="560" w:lineRule="exact"/>
        <w:rPr>
          <w:rFonts w:hint="default" w:hAnsi="宋体"/>
          <w:b/>
          <w:bCs/>
          <w:color w:val="auto"/>
          <w:sz w:val="28"/>
          <w:szCs w:val="28"/>
          <w:highlight w:val="none"/>
        </w:rPr>
      </w:pPr>
      <w:r>
        <w:rPr>
          <w:rFonts w:hAnsi="宋体"/>
          <w:b/>
          <w:bCs/>
          <w:color w:val="auto"/>
          <w:sz w:val="28"/>
          <w:szCs w:val="28"/>
          <w:highlight w:val="none"/>
        </w:rPr>
        <w:t>四、履约能力--投标人相关证书</w:t>
      </w:r>
    </w:p>
    <w:p>
      <w:pPr>
        <w:pStyle w:val="19"/>
        <w:spacing w:line="560" w:lineRule="exact"/>
        <w:rPr>
          <w:rFonts w:hint="default" w:hAnsi="宋体"/>
          <w:b/>
          <w:bCs/>
          <w:color w:val="auto"/>
          <w:sz w:val="28"/>
          <w:szCs w:val="28"/>
          <w:highlight w:val="none"/>
        </w:rPr>
      </w:pPr>
      <w:r>
        <w:rPr>
          <w:rFonts w:hAnsi="宋体"/>
          <w:b/>
          <w:bCs/>
          <w:color w:val="auto"/>
          <w:sz w:val="28"/>
          <w:szCs w:val="28"/>
          <w:highlight w:val="none"/>
        </w:rPr>
        <w:t>五、项目需求理解</w:t>
      </w:r>
    </w:p>
    <w:p>
      <w:pPr>
        <w:pStyle w:val="19"/>
        <w:spacing w:line="560" w:lineRule="exact"/>
        <w:rPr>
          <w:rFonts w:hint="default" w:hAnsi="宋体"/>
          <w:b/>
          <w:bCs/>
          <w:color w:val="auto"/>
          <w:sz w:val="28"/>
          <w:szCs w:val="28"/>
          <w:highlight w:val="none"/>
          <w:lang w:val="zh-CN"/>
        </w:rPr>
      </w:pPr>
      <w:r>
        <w:rPr>
          <w:rFonts w:hAnsi="宋体"/>
          <w:b/>
          <w:bCs/>
          <w:color w:val="auto"/>
          <w:sz w:val="28"/>
          <w:szCs w:val="28"/>
          <w:highlight w:val="none"/>
        </w:rPr>
        <w:t>六、技术指标</w:t>
      </w:r>
    </w:p>
    <w:p>
      <w:pPr>
        <w:pStyle w:val="19"/>
        <w:spacing w:line="560" w:lineRule="exact"/>
        <w:rPr>
          <w:rFonts w:hint="default" w:hAnsi="宋体"/>
          <w:b/>
          <w:bCs/>
          <w:color w:val="auto"/>
          <w:sz w:val="28"/>
          <w:szCs w:val="28"/>
          <w:highlight w:val="none"/>
        </w:rPr>
      </w:pPr>
      <w:r>
        <w:rPr>
          <w:rFonts w:hAnsi="宋体"/>
          <w:b/>
          <w:bCs/>
          <w:color w:val="auto"/>
          <w:sz w:val="28"/>
          <w:szCs w:val="28"/>
          <w:highlight w:val="none"/>
        </w:rPr>
        <w:t>七、项目实施方案</w:t>
      </w:r>
    </w:p>
    <w:p>
      <w:pPr>
        <w:pStyle w:val="19"/>
        <w:spacing w:line="560" w:lineRule="exact"/>
        <w:rPr>
          <w:rFonts w:hint="default" w:hAnsi="宋体"/>
          <w:b/>
          <w:bCs/>
          <w:color w:val="auto"/>
          <w:sz w:val="28"/>
          <w:szCs w:val="28"/>
          <w:highlight w:val="none"/>
          <w:lang w:val="zh-CN"/>
        </w:rPr>
      </w:pPr>
      <w:r>
        <w:rPr>
          <w:rFonts w:hAnsi="宋体"/>
          <w:b/>
          <w:bCs/>
          <w:color w:val="auto"/>
          <w:sz w:val="28"/>
          <w:szCs w:val="28"/>
          <w:highlight w:val="none"/>
        </w:rPr>
        <w:t>八、双活设计方案</w:t>
      </w:r>
    </w:p>
    <w:p>
      <w:pPr>
        <w:pStyle w:val="19"/>
        <w:spacing w:line="560" w:lineRule="exact"/>
        <w:rPr>
          <w:rFonts w:hint="default" w:hAnsi="宋体"/>
          <w:b/>
          <w:bCs/>
          <w:color w:val="auto"/>
          <w:sz w:val="28"/>
          <w:szCs w:val="28"/>
          <w:highlight w:val="none"/>
          <w:lang w:val="zh-CN"/>
        </w:rPr>
      </w:pPr>
      <w:r>
        <w:rPr>
          <w:rFonts w:hAnsi="宋体"/>
          <w:b/>
          <w:bCs/>
          <w:color w:val="auto"/>
          <w:sz w:val="28"/>
          <w:szCs w:val="28"/>
          <w:highlight w:val="none"/>
        </w:rPr>
        <w:t>九、数据迁移方案</w:t>
      </w:r>
    </w:p>
    <w:p>
      <w:pPr>
        <w:pStyle w:val="19"/>
        <w:spacing w:line="560" w:lineRule="exact"/>
        <w:rPr>
          <w:rFonts w:hint="default" w:hAnsi="宋体"/>
          <w:b/>
          <w:bCs/>
          <w:color w:val="auto"/>
          <w:sz w:val="28"/>
          <w:szCs w:val="28"/>
          <w:highlight w:val="none"/>
          <w:lang w:val="zh-CN"/>
        </w:rPr>
      </w:pPr>
      <w:r>
        <w:rPr>
          <w:rFonts w:hAnsi="宋体"/>
          <w:b/>
          <w:bCs/>
          <w:color w:val="auto"/>
          <w:sz w:val="28"/>
          <w:szCs w:val="28"/>
          <w:highlight w:val="none"/>
        </w:rPr>
        <w:t>十、安全保密措施</w:t>
      </w:r>
    </w:p>
    <w:p>
      <w:pPr>
        <w:pStyle w:val="19"/>
        <w:spacing w:line="560" w:lineRule="exact"/>
        <w:rPr>
          <w:rFonts w:hint="default" w:hAnsi="宋体"/>
          <w:b/>
          <w:bCs/>
          <w:color w:val="auto"/>
          <w:sz w:val="28"/>
          <w:szCs w:val="28"/>
          <w:highlight w:val="none"/>
        </w:rPr>
      </w:pPr>
      <w:r>
        <w:rPr>
          <w:rFonts w:hAnsi="宋体"/>
          <w:b/>
          <w:bCs/>
          <w:color w:val="auto"/>
          <w:sz w:val="28"/>
          <w:szCs w:val="28"/>
          <w:highlight w:val="none"/>
        </w:rPr>
        <w:t>十一、验收方案</w:t>
      </w:r>
    </w:p>
    <w:p>
      <w:pPr>
        <w:pStyle w:val="19"/>
        <w:spacing w:line="560" w:lineRule="exact"/>
        <w:rPr>
          <w:rFonts w:hint="default" w:hAnsi="宋体"/>
          <w:b/>
          <w:bCs/>
          <w:color w:val="auto"/>
          <w:sz w:val="28"/>
          <w:szCs w:val="28"/>
          <w:highlight w:val="none"/>
        </w:rPr>
      </w:pPr>
      <w:r>
        <w:rPr>
          <w:rFonts w:hAnsi="宋体"/>
          <w:b/>
          <w:bCs/>
          <w:color w:val="auto"/>
          <w:sz w:val="28"/>
          <w:szCs w:val="28"/>
          <w:highlight w:val="none"/>
        </w:rPr>
        <w:t>十二、售后和巡检方案</w:t>
      </w:r>
    </w:p>
    <w:p>
      <w:pPr>
        <w:pStyle w:val="19"/>
        <w:spacing w:line="560" w:lineRule="exact"/>
        <w:rPr>
          <w:rFonts w:hint="default" w:hAnsi="宋体"/>
          <w:b/>
          <w:bCs/>
          <w:color w:val="auto"/>
          <w:sz w:val="28"/>
          <w:szCs w:val="28"/>
          <w:highlight w:val="none"/>
          <w:lang w:val="zh-CN"/>
        </w:rPr>
      </w:pPr>
      <w:r>
        <w:rPr>
          <w:rFonts w:hAnsi="宋体"/>
          <w:b/>
          <w:bCs/>
          <w:color w:val="auto"/>
          <w:sz w:val="28"/>
          <w:szCs w:val="28"/>
          <w:highlight w:val="none"/>
        </w:rPr>
        <w:t>十三、</w:t>
      </w:r>
      <w:r>
        <w:rPr>
          <w:rFonts w:hint="default" w:hAnsi="宋体"/>
          <w:b/>
          <w:bCs/>
          <w:color w:val="auto"/>
          <w:sz w:val="28"/>
          <w:szCs w:val="28"/>
          <w:highlight w:val="none"/>
          <w:lang w:val="zh-CN"/>
        </w:rPr>
        <w:t>投标人认为需要提供的其它说明和资料</w:t>
      </w:r>
    </w:p>
    <w:p>
      <w:pPr>
        <w:pStyle w:val="19"/>
        <w:jc w:val="center"/>
        <w:rPr>
          <w:rFonts w:hint="default" w:hAnsi="宋体"/>
          <w:b/>
          <w:color w:val="auto"/>
          <w:sz w:val="44"/>
          <w:szCs w:val="44"/>
          <w:highlight w:val="none"/>
        </w:rPr>
      </w:pPr>
    </w:p>
    <w:p>
      <w:pPr>
        <w:pStyle w:val="19"/>
        <w:rPr>
          <w:rFonts w:hint="default" w:hAnsi="宋体"/>
          <w:b/>
          <w:color w:val="auto"/>
          <w:sz w:val="44"/>
          <w:szCs w:val="44"/>
          <w:highlight w:val="none"/>
        </w:rPr>
      </w:pPr>
      <w:r>
        <w:rPr>
          <w:rFonts w:hint="default" w:hAnsi="宋体"/>
          <w:b/>
          <w:color w:val="auto"/>
          <w:sz w:val="44"/>
          <w:szCs w:val="44"/>
          <w:highlight w:val="none"/>
        </w:rPr>
        <w:br w:type="page"/>
      </w:r>
    </w:p>
    <w:p>
      <w:pPr>
        <w:pStyle w:val="19"/>
        <w:jc w:val="center"/>
        <w:rPr>
          <w:rFonts w:hint="default" w:hAnsi="宋体"/>
          <w:b/>
          <w:color w:val="auto"/>
          <w:sz w:val="44"/>
          <w:szCs w:val="44"/>
          <w:highlight w:val="none"/>
        </w:rPr>
      </w:pPr>
      <w:r>
        <w:rPr>
          <w:rFonts w:hint="default" w:hAnsi="宋体"/>
          <w:b/>
          <w:color w:val="auto"/>
          <w:sz w:val="44"/>
          <w:szCs w:val="44"/>
          <w:highlight w:val="none"/>
        </w:rPr>
        <w:t>第二部分  技术部分</w:t>
      </w:r>
    </w:p>
    <w:p>
      <w:pPr>
        <w:topLinePunct/>
        <w:autoSpaceDE w:val="0"/>
        <w:autoSpaceDN w:val="0"/>
        <w:jc w:val="center"/>
        <w:rPr>
          <w:rFonts w:ascii="宋体" w:hAnsi="宋体"/>
          <w:color w:val="auto"/>
          <w:sz w:val="24"/>
          <w:highlight w:val="none"/>
        </w:rPr>
      </w:pPr>
    </w:p>
    <w:p>
      <w:pPr>
        <w:pStyle w:val="280"/>
        <w:rPr>
          <w:rFonts w:ascii="宋体" w:hAnsi="宋体"/>
          <w:color w:val="auto"/>
          <w:highlight w:val="none"/>
        </w:rPr>
      </w:pPr>
      <w:bookmarkStart w:id="54" w:name="_Toc117001266"/>
      <w:bookmarkStart w:id="55" w:name="_Toc80630943"/>
      <w:bookmarkStart w:id="56" w:name="_Toc118017603"/>
      <w:bookmarkStart w:id="57" w:name="_Toc15632"/>
      <w:bookmarkStart w:id="58" w:name="_Toc80273584"/>
      <w:bookmarkStart w:id="59" w:name="_Toc80304290"/>
      <w:bookmarkStart w:id="60" w:name="_Toc118012472"/>
      <w:bookmarkStart w:id="61" w:name="_Toc124754491"/>
      <w:r>
        <w:rPr>
          <w:rFonts w:hint="eastAsia" w:ascii="宋体" w:hAnsi="宋体"/>
          <w:color w:val="auto"/>
          <w:highlight w:val="none"/>
        </w:rPr>
        <w:t xml:space="preserve">第六章 </w:t>
      </w:r>
      <w:r>
        <w:rPr>
          <w:rFonts w:ascii="宋体" w:hAnsi="宋体"/>
          <w:color w:val="auto"/>
          <w:highlight w:val="none"/>
        </w:rPr>
        <w:t>项目业务需求</w:t>
      </w:r>
      <w:bookmarkEnd w:id="54"/>
      <w:bookmarkEnd w:id="55"/>
      <w:bookmarkEnd w:id="56"/>
      <w:bookmarkEnd w:id="57"/>
      <w:bookmarkEnd w:id="58"/>
      <w:bookmarkEnd w:id="59"/>
      <w:bookmarkEnd w:id="60"/>
      <w:bookmarkEnd w:id="61"/>
    </w:p>
    <w:p>
      <w:pPr>
        <w:widowControl/>
        <w:adjustRightInd w:val="0"/>
        <w:snapToGrid w:val="0"/>
        <w:spacing w:line="560" w:lineRule="exact"/>
        <w:jc w:val="center"/>
        <w:outlineLvl w:val="0"/>
        <w:rPr>
          <w:rFonts w:ascii="仿宋_GB2312" w:hAnsi="宋体" w:eastAsia="仿宋_GB2312" w:cs="宋体"/>
          <w:b/>
          <w:bCs/>
          <w:color w:val="auto"/>
          <w:kern w:val="0"/>
          <w:sz w:val="32"/>
          <w:szCs w:val="32"/>
          <w:highlight w:val="none"/>
          <w:lang w:val="zh-CN"/>
        </w:rPr>
      </w:pPr>
      <w:bookmarkStart w:id="62" w:name="_Toc124754492"/>
      <w:r>
        <w:rPr>
          <w:rFonts w:hint="eastAsia" w:ascii="仿宋_GB2312" w:hAnsi="宋体" w:eastAsia="仿宋_GB2312" w:cs="宋体"/>
          <w:b/>
          <w:bCs/>
          <w:color w:val="auto"/>
          <w:kern w:val="0"/>
          <w:sz w:val="32"/>
          <w:szCs w:val="32"/>
          <w:highlight w:val="none"/>
          <w:lang w:val="zh-CN"/>
        </w:rPr>
        <w:t>国家税务总局辽宁省税务局</w:t>
      </w:r>
      <w:r>
        <w:rPr>
          <w:rFonts w:hint="eastAsia" w:ascii="仿宋_GB2312" w:hAnsi="宋体" w:eastAsia="仿宋_GB2312" w:cs="宋体"/>
          <w:b/>
          <w:bCs/>
          <w:color w:val="auto"/>
          <w:kern w:val="0"/>
          <w:sz w:val="32"/>
          <w:szCs w:val="32"/>
          <w:highlight w:val="none"/>
        </w:rPr>
        <w:t>核心</w:t>
      </w:r>
      <w:r>
        <w:rPr>
          <w:rFonts w:hint="eastAsia" w:ascii="仿宋_GB2312" w:hAnsi="宋体" w:eastAsia="仿宋_GB2312" w:cs="宋体"/>
          <w:b/>
          <w:bCs/>
          <w:color w:val="auto"/>
          <w:kern w:val="0"/>
          <w:sz w:val="32"/>
          <w:szCs w:val="32"/>
          <w:highlight w:val="none"/>
          <w:lang w:val="zh-CN"/>
        </w:rPr>
        <w:t>存储扩容项目技术需求</w:t>
      </w:r>
      <w:bookmarkEnd w:id="62"/>
    </w:p>
    <w:p>
      <w:pPr>
        <w:spacing w:line="400" w:lineRule="exact"/>
        <w:ind w:firstLine="480" w:firstLineChars="200"/>
        <w:rPr>
          <w:rFonts w:ascii="仿宋_GB2312" w:hAnsi="黑体" w:eastAsia="仿宋_GB2312" w:cs="宋体"/>
          <w:color w:val="auto"/>
          <w:kern w:val="0"/>
          <w:sz w:val="24"/>
          <w:highlight w:val="none"/>
        </w:rPr>
      </w:pPr>
    </w:p>
    <w:p>
      <w:pPr>
        <w:snapToGrid w:val="0"/>
        <w:spacing w:line="640" w:lineRule="exact"/>
        <w:jc w:val="left"/>
        <w:outlineLvl w:val="0"/>
        <w:rPr>
          <w:rFonts w:ascii="黑体" w:hAnsi="黑体" w:eastAsia="黑体" w:cs="黑体"/>
          <w:color w:val="auto"/>
          <w:sz w:val="32"/>
          <w:szCs w:val="32"/>
          <w:highlight w:val="none"/>
        </w:rPr>
      </w:pPr>
      <w:bookmarkStart w:id="63" w:name="_Toc124754493"/>
      <w:r>
        <w:rPr>
          <w:rFonts w:hint="eastAsia" w:ascii="黑体" w:hAnsi="黑体" w:eastAsia="黑体" w:cs="黑体"/>
          <w:color w:val="auto"/>
          <w:sz w:val="32"/>
          <w:szCs w:val="32"/>
          <w:highlight w:val="none"/>
        </w:rPr>
        <w:t>一、项目概述</w:t>
      </w:r>
      <w:bookmarkEnd w:id="63"/>
    </w:p>
    <w:p>
      <w:pPr>
        <w:spacing w:line="500" w:lineRule="exact"/>
        <w:ind w:firstLine="480" w:firstLineChars="200"/>
        <w:outlineLvl w:val="1"/>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1.项目背景</w:t>
      </w:r>
    </w:p>
    <w:p>
      <w:pPr>
        <w:spacing w:line="500" w:lineRule="exact"/>
        <w:ind w:firstLine="480" w:firstLineChars="200"/>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随着我省税务系统信息化建设工作的稳步推进，现有存储资源逐渐紧张。为满足信息化建设对存储资源的需求，保障业务系统稳定运行，拟将现有的华为</w:t>
      </w:r>
      <w:r>
        <w:rPr>
          <w:rFonts w:hint="eastAsia" w:ascii="仿宋_GB2312" w:hAnsi="宋体" w:eastAsia="仿宋_GB2312"/>
          <w:color w:val="auto"/>
          <w:sz w:val="24"/>
          <w:highlight w:val="none"/>
        </w:rPr>
        <w:t>OceanStor 18800 V5</w:t>
      </w:r>
      <w:r>
        <w:rPr>
          <w:rFonts w:hint="eastAsia" w:ascii="仿宋_GB2312" w:hAnsi="宋体" w:eastAsia="仿宋_GB2312" w:cs="宋体"/>
          <w:color w:val="auto"/>
          <w:kern w:val="0"/>
          <w:sz w:val="24"/>
          <w:highlight w:val="none"/>
        </w:rPr>
        <w:t>存储和华三HPE 3PAR StoreServ 20840存储扩容，上述两存储目前主要配置为：</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05"/>
        <w:gridCol w:w="4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7" w:type="dxa"/>
            <w:shd w:val="clear" w:color="auto" w:fill="auto"/>
          </w:tcPr>
          <w:p>
            <w:pPr>
              <w:pStyle w:val="2"/>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存储</w:t>
            </w:r>
          </w:p>
        </w:tc>
        <w:tc>
          <w:tcPr>
            <w:tcW w:w="4779" w:type="dxa"/>
            <w:shd w:val="clear" w:color="auto" w:fill="auto"/>
          </w:tcPr>
          <w:p>
            <w:pPr>
              <w:pStyle w:val="2"/>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主要配置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7" w:type="dxa"/>
            <w:shd w:val="clear" w:color="auto" w:fill="auto"/>
            <w:vAlign w:val="center"/>
          </w:tcPr>
          <w:p>
            <w:pPr>
              <w:pStyle w:val="2"/>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华为OceanStor18800 V5存储</w:t>
            </w:r>
          </w:p>
        </w:tc>
        <w:tc>
          <w:tcPr>
            <w:tcW w:w="4779" w:type="dxa"/>
            <w:shd w:val="clear" w:color="auto" w:fill="auto"/>
          </w:tcPr>
          <w:p>
            <w:pPr>
              <w:pStyle w:val="2"/>
              <w:ind w:firstLine="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1个42U标准机柜，4控制器，总缓存2048G，2.4T SAS 55块，3.84T SSD 34块，磁盘框4个。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7" w:type="dxa"/>
            <w:shd w:val="clear" w:color="auto" w:fill="auto"/>
            <w:vAlign w:val="center"/>
          </w:tcPr>
          <w:p>
            <w:pPr>
              <w:pStyle w:val="2"/>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华三HPE 3PAR StoreServ 20840</w:t>
            </w:r>
          </w:p>
        </w:tc>
        <w:tc>
          <w:tcPr>
            <w:tcW w:w="4779" w:type="dxa"/>
            <w:shd w:val="clear" w:color="auto" w:fill="auto"/>
          </w:tcPr>
          <w:p>
            <w:pPr>
              <w:pStyle w:val="2"/>
              <w:ind w:firstLine="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2个42U标准机柜，4控制器，总缓存1792G，1.8T SAS 160块，3.84T SSD 60块，磁盘框12个。</w:t>
            </w:r>
          </w:p>
        </w:tc>
      </w:tr>
    </w:tbl>
    <w:p>
      <w:pPr>
        <w:spacing w:line="500" w:lineRule="exact"/>
        <w:ind w:firstLine="480" w:firstLineChars="200"/>
        <w:outlineLvl w:val="1"/>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2.项目内容</w:t>
      </w:r>
    </w:p>
    <w:p>
      <w:pPr>
        <w:pStyle w:val="2"/>
        <w:ind w:firstLine="42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本项目采购目的：为缓解现有核心存储空间紧张，满足业务系统对存储空间的需要。</w:t>
      </w:r>
    </w:p>
    <w:p>
      <w:pPr>
        <w:pStyle w:val="2"/>
        <w:ind w:firstLine="420"/>
        <w:rPr>
          <w:rFonts w:ascii="仿宋_GB2312" w:hAnsi="宋体" w:eastAsia="仿宋_GB2312" w:cs="Tahoma"/>
          <w:color w:val="auto"/>
          <w:kern w:val="0"/>
          <w:sz w:val="24"/>
          <w:szCs w:val="24"/>
          <w:highlight w:val="none"/>
        </w:rPr>
      </w:pPr>
      <w:r>
        <w:rPr>
          <w:rFonts w:hint="eastAsia" w:ascii="仿宋_GB2312" w:hAnsi="宋体" w:eastAsia="仿宋_GB2312" w:cs="宋体"/>
          <w:color w:val="auto"/>
          <w:kern w:val="0"/>
          <w:sz w:val="24"/>
          <w:szCs w:val="24"/>
          <w:highlight w:val="none"/>
        </w:rPr>
        <w:t>为现有的华为</w:t>
      </w:r>
      <w:r>
        <w:rPr>
          <w:rFonts w:hint="eastAsia" w:ascii="仿宋_GB2312" w:hAnsi="宋体" w:eastAsia="仿宋_GB2312"/>
          <w:color w:val="auto"/>
          <w:sz w:val="24"/>
          <w:szCs w:val="24"/>
          <w:highlight w:val="none"/>
        </w:rPr>
        <w:t>OceanStor 18800 V5</w:t>
      </w:r>
      <w:r>
        <w:rPr>
          <w:rFonts w:hint="eastAsia" w:ascii="仿宋_GB2312" w:hAnsi="宋体" w:eastAsia="仿宋_GB2312" w:cs="宋体"/>
          <w:color w:val="auto"/>
          <w:kern w:val="0"/>
          <w:sz w:val="24"/>
          <w:szCs w:val="24"/>
          <w:highlight w:val="none"/>
        </w:rPr>
        <w:t>存储和华三HPE 3PAR StoreServ 20840存储扩容，其中华为</w:t>
      </w:r>
      <w:r>
        <w:rPr>
          <w:rFonts w:hint="eastAsia" w:ascii="仿宋_GB2312" w:hAnsi="宋体" w:eastAsia="仿宋_GB2312"/>
          <w:color w:val="auto"/>
          <w:sz w:val="24"/>
          <w:szCs w:val="24"/>
          <w:highlight w:val="none"/>
        </w:rPr>
        <w:t>OceanStor 18800 V5</w:t>
      </w:r>
      <w:r>
        <w:rPr>
          <w:rFonts w:hint="eastAsia" w:ascii="仿宋_GB2312" w:hAnsi="宋体" w:eastAsia="仿宋_GB2312" w:cs="宋体"/>
          <w:color w:val="auto"/>
          <w:kern w:val="0"/>
          <w:sz w:val="24"/>
          <w:szCs w:val="24"/>
          <w:highlight w:val="none"/>
        </w:rPr>
        <w:t>存储扩容数量≥150块硬盘（2.4T 10K SAS，含硬盘框），华三HPE 3PAR StoreServ 20840存储扩容数量≥200块硬盘（1.8T 10K SAS，含硬盘框），并包含</w:t>
      </w:r>
      <w:r>
        <w:rPr>
          <w:rFonts w:hint="eastAsia" w:ascii="仿宋_GB2312" w:hAnsi="宋体" w:eastAsia="仿宋_GB2312" w:cs="宋体"/>
          <w:b/>
          <w:color w:val="auto"/>
          <w:kern w:val="0"/>
          <w:sz w:val="24"/>
          <w:szCs w:val="24"/>
          <w:highlight w:val="none"/>
        </w:rPr>
        <w:t>以上</w:t>
      </w:r>
      <w:r>
        <w:rPr>
          <w:rFonts w:hint="eastAsia" w:ascii="仿宋_GB2312" w:hAnsi="宋体" w:eastAsia="仿宋_GB2312" w:cs="宋体"/>
          <w:color w:val="auto"/>
          <w:kern w:val="0"/>
          <w:sz w:val="24"/>
          <w:szCs w:val="24"/>
          <w:highlight w:val="none"/>
        </w:rPr>
        <w:t>所有扩容部分自试运行验收合格起</w:t>
      </w:r>
      <w:r>
        <w:rPr>
          <w:rFonts w:hint="eastAsia" w:ascii="仿宋_GB2312" w:hAnsi="宋体" w:eastAsia="仿宋_GB2312" w:cs="宋体"/>
          <w:b/>
          <w:color w:val="auto"/>
          <w:kern w:val="0"/>
          <w:sz w:val="24"/>
          <w:szCs w:val="24"/>
          <w:highlight w:val="none"/>
        </w:rPr>
        <w:t>3年维保和现场技术支持服务</w:t>
      </w:r>
      <w:r>
        <w:rPr>
          <w:rFonts w:hint="eastAsia" w:ascii="仿宋_GB2312" w:hAnsi="宋体" w:eastAsia="仿宋_GB2312" w:cs="宋体"/>
          <w:color w:val="auto"/>
          <w:kern w:val="0"/>
          <w:sz w:val="24"/>
          <w:szCs w:val="24"/>
          <w:highlight w:val="none"/>
        </w:rPr>
        <w:t>。</w:t>
      </w:r>
    </w:p>
    <w:p>
      <w:pPr>
        <w:spacing w:line="500" w:lineRule="exact"/>
        <w:ind w:firstLine="480" w:firstLineChars="200"/>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投标人应将本项目涉及的集成和售后服务期内的工作内容所产生的全部费用均计入投标报价中，采购人不再额外支付任何费用。</w:t>
      </w:r>
    </w:p>
    <w:p>
      <w:pPr>
        <w:snapToGrid w:val="0"/>
        <w:spacing w:line="640" w:lineRule="exact"/>
        <w:jc w:val="left"/>
        <w:outlineLvl w:val="0"/>
        <w:rPr>
          <w:rFonts w:ascii="黑体" w:hAnsi="黑体" w:eastAsia="黑体" w:cs="黑体"/>
          <w:color w:val="auto"/>
          <w:sz w:val="32"/>
          <w:szCs w:val="32"/>
          <w:highlight w:val="none"/>
        </w:rPr>
      </w:pPr>
      <w:bookmarkStart w:id="64" w:name="_Toc124754494"/>
      <w:r>
        <w:rPr>
          <w:rFonts w:hint="eastAsia" w:ascii="黑体" w:hAnsi="黑体" w:eastAsia="黑体" w:cs="黑体"/>
          <w:color w:val="auto"/>
          <w:sz w:val="32"/>
          <w:szCs w:val="32"/>
          <w:highlight w:val="none"/>
        </w:rPr>
        <w:t>二、投标/响应要求</w:t>
      </w:r>
      <w:bookmarkEnd w:id="64"/>
    </w:p>
    <w:p>
      <w:pPr>
        <w:spacing w:line="500" w:lineRule="exact"/>
        <w:ind w:firstLine="480" w:firstLineChars="200"/>
        <w:outlineLvl w:val="1"/>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(一)对投标人的要求</w:t>
      </w:r>
    </w:p>
    <w:p>
      <w:pPr>
        <w:spacing w:line="500" w:lineRule="exact"/>
        <w:ind w:firstLine="480" w:firstLineChars="200"/>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1.投标人必须承诺所提供产品能满足采购人相关业务系统对存储设备的使用需求。</w:t>
      </w:r>
    </w:p>
    <w:p>
      <w:pPr>
        <w:spacing w:line="500" w:lineRule="exact"/>
        <w:ind w:firstLine="480" w:firstLineChars="200"/>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2.投标人必须承诺对工程技术文件以及由采购人提供的所有内部资料、技术文档和信息予以保密；未经采购人书面许可，不得以任何形式向第三方透露本采购项目的任何内容；供应商必须与采购人签订保密协议。</w:t>
      </w:r>
    </w:p>
    <w:p>
      <w:pPr>
        <w:spacing w:line="500" w:lineRule="exact"/>
        <w:ind w:firstLine="480" w:firstLineChars="200"/>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3.为保护采购人权益，投标人宜提供证明其履约能力的相关材料，如质量管理体系认证证书、服务管理体系认证证书等相关资质证书的复印件、官网链接等资料，以及与本项目特点和需要相适应的成功案例。</w:t>
      </w:r>
    </w:p>
    <w:p>
      <w:pPr>
        <w:spacing w:line="500" w:lineRule="exact"/>
        <w:ind w:firstLine="480" w:firstLineChars="200"/>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4.投标人必须对技术需求文件中的各项要求给予明确的逐项应答。</w:t>
      </w:r>
    </w:p>
    <w:p>
      <w:pPr>
        <w:spacing w:line="500" w:lineRule="exact"/>
        <w:ind w:firstLine="480" w:firstLineChars="200"/>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5.本项目不接受联合体投标。</w:t>
      </w:r>
    </w:p>
    <w:p>
      <w:pPr>
        <w:spacing w:line="500" w:lineRule="exact"/>
        <w:ind w:firstLine="480" w:firstLineChars="200"/>
        <w:outlineLvl w:val="1"/>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（二）对投标设备的强制性要求</w:t>
      </w:r>
    </w:p>
    <w:p>
      <w:pPr>
        <w:spacing w:line="500" w:lineRule="exact"/>
        <w:ind w:firstLine="480" w:firstLineChars="200"/>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1.投标人所提供的各类设备其性能必须达到或超过设备技术指标项要求。采购人有权对中标设备的所有指标进行测试，测试费用由供应商自行承担，投标响应中不得有虚假应答行为。</w:t>
      </w:r>
    </w:p>
    <w:p>
      <w:pPr>
        <w:spacing w:line="500" w:lineRule="exact"/>
        <w:ind w:firstLine="480" w:firstLineChars="200"/>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2.投标人必须提供投标设备的详细配置清单及分项细项报价，性能应答必须与报价中的详细配置一致。</w:t>
      </w:r>
    </w:p>
    <w:p>
      <w:pPr>
        <w:spacing w:line="500" w:lineRule="exact"/>
        <w:ind w:firstLine="480" w:firstLineChars="200"/>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3投标人必须根据本项目建设和运行的实际需求，提供合理和必需的设备配置建议，明确说明每个设备的类型和用途。</w:t>
      </w:r>
    </w:p>
    <w:p>
      <w:pPr>
        <w:spacing w:line="500" w:lineRule="exact"/>
        <w:ind w:firstLine="480" w:firstLineChars="200"/>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4投标人所提供的软、硬件包括但不限于各类接口设备、模块、线缆（包括与光纤交换机连接线缆）、软件、控制器、I/O槽等，包括招标文件中未列出而系统实施又必需的软件、硬件和许可等，需配齐以构成一套可用系统。如果投标人在中标并签署合同后，在供货或系统集成时出现软、硬件的任何遗漏，必须由供应商免费提供，采购人将不再支付任何费用。</w:t>
      </w:r>
    </w:p>
    <w:p>
      <w:pPr>
        <w:spacing w:line="500" w:lineRule="exact"/>
        <w:ind w:firstLine="480" w:firstLineChars="200"/>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5.投标人必须提供所有投标设备的工作环境说明，包括机房要求、供电功率、空间要求、承重要求等。</w:t>
      </w:r>
    </w:p>
    <w:p>
      <w:pPr>
        <w:snapToGrid w:val="0"/>
        <w:spacing w:line="640" w:lineRule="exact"/>
        <w:jc w:val="left"/>
        <w:outlineLvl w:val="0"/>
        <w:rPr>
          <w:rFonts w:ascii="黑体" w:hAnsi="黑体" w:eastAsia="黑体" w:cs="黑体"/>
          <w:color w:val="auto"/>
          <w:sz w:val="32"/>
          <w:szCs w:val="32"/>
          <w:highlight w:val="none"/>
        </w:rPr>
      </w:pPr>
      <w:bookmarkStart w:id="65" w:name="_Toc124754495"/>
      <w:r>
        <w:rPr>
          <w:rFonts w:hint="eastAsia" w:ascii="黑体" w:hAnsi="黑体" w:eastAsia="黑体" w:cs="黑体"/>
          <w:color w:val="auto"/>
          <w:sz w:val="32"/>
          <w:szCs w:val="32"/>
          <w:highlight w:val="none"/>
        </w:rPr>
        <w:t>三、项目需求</w:t>
      </w:r>
      <w:bookmarkEnd w:id="65"/>
    </w:p>
    <w:p>
      <w:pPr>
        <w:spacing w:line="500" w:lineRule="exact"/>
        <w:ind w:firstLine="480" w:firstLineChars="200"/>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本次采购的硬件产品应当满足以下要求：</w:t>
      </w:r>
    </w:p>
    <w:p>
      <w:pPr>
        <w:spacing w:line="500" w:lineRule="exact"/>
        <w:ind w:firstLine="480" w:firstLineChars="200"/>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1.所投产品的各部分硬件应支持在线更换和热插拔；硬盘应提供高可靠的硬盘保护和容错机制，确保数据安全。</w:t>
      </w:r>
    </w:p>
    <w:p>
      <w:pPr>
        <w:spacing w:line="500" w:lineRule="exact"/>
        <w:ind w:firstLine="480" w:firstLineChars="200"/>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2.本次采购的硬件产品应集成在采购人</w:t>
      </w:r>
      <w:r>
        <w:rPr>
          <w:rFonts w:hint="eastAsia" w:ascii="仿宋_GB2312" w:hAnsi="宋体" w:eastAsia="仿宋_GB2312" w:cs="宋体"/>
          <w:b/>
          <w:color w:val="auto"/>
          <w:kern w:val="0"/>
          <w:sz w:val="24"/>
          <w:highlight w:val="none"/>
        </w:rPr>
        <w:t>原有</w:t>
      </w:r>
      <w:r>
        <w:rPr>
          <w:rFonts w:hint="eastAsia" w:ascii="仿宋_GB2312" w:hAnsi="宋体" w:eastAsia="仿宋_GB2312" w:cs="宋体"/>
          <w:color w:val="auto"/>
          <w:kern w:val="0"/>
          <w:sz w:val="24"/>
          <w:highlight w:val="none"/>
        </w:rPr>
        <w:t>标准机柜中。</w:t>
      </w:r>
    </w:p>
    <w:p>
      <w:pPr>
        <w:spacing w:line="500" w:lineRule="exact"/>
        <w:ind w:firstLine="480" w:firstLineChars="200"/>
        <w:rPr>
          <w:rFonts w:ascii="仿宋_GB2312" w:hAnsi="宋体" w:eastAsia="仿宋_GB2312" w:cs="宋体"/>
          <w:color w:val="auto"/>
          <w:kern w:val="0"/>
          <w:sz w:val="24"/>
          <w:highlight w:val="none"/>
        </w:rPr>
      </w:pPr>
      <w:r>
        <w:rPr>
          <w:rFonts w:hint="eastAsia" w:ascii="仿宋_GB2312" w:hAnsi="宋体" w:eastAsia="仿宋_GB2312"/>
          <w:color w:val="auto"/>
          <w:sz w:val="24"/>
          <w:highlight w:val="none"/>
        </w:rPr>
        <w:t>3.</w:t>
      </w:r>
      <w:r>
        <w:rPr>
          <w:rFonts w:hint="eastAsia" w:ascii="仿宋_GB2312" w:hAnsi="宋体" w:eastAsia="仿宋_GB2312" w:cs="宋体"/>
          <w:color w:val="auto"/>
          <w:kern w:val="0"/>
          <w:sz w:val="24"/>
          <w:highlight w:val="none"/>
        </w:rPr>
        <w:t>投标产品的技术指标要求:</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6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61" w:type="dxa"/>
            <w:vAlign w:val="center"/>
          </w:tcPr>
          <w:p>
            <w:pPr>
              <w:spacing w:line="400" w:lineRule="exact"/>
              <w:jc w:val="center"/>
              <w:rPr>
                <w:rFonts w:ascii="仿宋_GB2312" w:hAnsi="宋体" w:eastAsia="仿宋_GB2312"/>
                <w:b/>
                <w:color w:val="auto"/>
                <w:sz w:val="24"/>
                <w:highlight w:val="none"/>
              </w:rPr>
            </w:pPr>
            <w:r>
              <w:rPr>
                <w:rFonts w:hint="eastAsia" w:ascii="仿宋_GB2312" w:hAnsi="宋体" w:eastAsia="仿宋_GB2312"/>
                <w:b/>
                <w:color w:val="auto"/>
                <w:sz w:val="24"/>
                <w:highlight w:val="none"/>
              </w:rPr>
              <w:t>项目</w:t>
            </w:r>
          </w:p>
        </w:tc>
        <w:tc>
          <w:tcPr>
            <w:tcW w:w="6361" w:type="dxa"/>
            <w:vAlign w:val="center"/>
          </w:tcPr>
          <w:p>
            <w:pPr>
              <w:spacing w:line="400" w:lineRule="exact"/>
              <w:ind w:firstLine="24" w:firstLineChars="10"/>
              <w:jc w:val="center"/>
              <w:rPr>
                <w:rFonts w:ascii="仿宋_GB2312" w:hAnsi="宋体" w:eastAsia="仿宋_GB2312"/>
                <w:b/>
                <w:color w:val="auto"/>
                <w:sz w:val="24"/>
                <w:highlight w:val="none"/>
              </w:rPr>
            </w:pPr>
            <w:r>
              <w:rPr>
                <w:rFonts w:hint="eastAsia" w:ascii="仿宋_GB2312" w:hAnsi="宋体" w:eastAsia="仿宋_GB2312"/>
                <w:b/>
                <w:color w:val="auto"/>
                <w:sz w:val="24"/>
                <w:highlight w:val="none"/>
              </w:rPr>
              <w:t>技术参数或要求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2161" w:type="dxa"/>
            <w:vAlign w:val="center"/>
          </w:tcPr>
          <w:p>
            <w:pPr>
              <w:spacing w:line="400" w:lineRule="exac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项目要求</w:t>
            </w:r>
          </w:p>
        </w:tc>
        <w:tc>
          <w:tcPr>
            <w:tcW w:w="6361" w:type="dxa"/>
            <w:vAlign w:val="center"/>
          </w:tcPr>
          <w:p>
            <w:pPr>
              <w:spacing w:line="400" w:lineRule="exact"/>
              <w:rPr>
                <w:rFonts w:ascii="仿宋_GB2312" w:hAnsi="宋体" w:eastAsia="仿宋_GB2312"/>
                <w:color w:val="auto"/>
                <w:sz w:val="24"/>
                <w:highlight w:val="none"/>
              </w:rPr>
            </w:pPr>
            <w:r>
              <w:rPr>
                <w:rFonts w:hint="eastAsia" w:ascii="仿宋_GB2312" w:hAnsi="宋体" w:eastAsia="仿宋_GB2312"/>
                <w:color w:val="auto"/>
                <w:sz w:val="24"/>
                <w:highlight w:val="none"/>
              </w:rPr>
              <w:t>为现有的华为OceanStor 18800 V5存储和</w:t>
            </w:r>
            <w:r>
              <w:rPr>
                <w:rFonts w:hint="eastAsia" w:ascii="仿宋_GB2312" w:hAnsi="宋体" w:eastAsia="仿宋_GB2312" w:cs="宋体"/>
                <w:color w:val="auto"/>
                <w:kern w:val="0"/>
                <w:sz w:val="24"/>
                <w:highlight w:val="none"/>
              </w:rPr>
              <w:t>华三HPE 3PAR StoreServ 20840</w:t>
            </w:r>
            <w:r>
              <w:rPr>
                <w:rFonts w:hint="eastAsia" w:ascii="仿宋_GB2312" w:hAnsi="宋体" w:eastAsia="仿宋_GB2312"/>
                <w:color w:val="auto"/>
                <w:sz w:val="24"/>
                <w:highlight w:val="none"/>
              </w:rPr>
              <w:t>扩容，投标产品应与原设备构成完整的整体，符合原设备的各项要求，并满足采购人使用需求。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trPr>
        <w:tc>
          <w:tcPr>
            <w:tcW w:w="2161" w:type="dxa"/>
            <w:vAlign w:val="center"/>
          </w:tcPr>
          <w:p>
            <w:pPr>
              <w:spacing w:line="400" w:lineRule="exact"/>
              <w:jc w:val="center"/>
              <w:rPr>
                <w:rFonts w:ascii="仿宋_GB2312" w:hAnsi="宋体" w:eastAsia="仿宋_GB2312"/>
                <w:color w:val="auto"/>
                <w:sz w:val="24"/>
                <w:highlight w:val="none"/>
              </w:rPr>
            </w:pPr>
            <w:r>
              <w:rPr>
                <w:rFonts w:hint="eastAsia" w:ascii="Calibri" w:hAnsi="宋体"/>
                <w:color w:val="auto"/>
                <w:sz w:val="24"/>
                <w:highlight w:val="none"/>
              </w:rPr>
              <w:t>★</w:t>
            </w:r>
            <w:r>
              <w:rPr>
                <w:rFonts w:hint="eastAsia" w:ascii="仿宋_GB2312" w:hAnsi="宋体" w:eastAsia="仿宋_GB2312"/>
                <w:color w:val="auto"/>
                <w:sz w:val="24"/>
                <w:highlight w:val="none"/>
              </w:rPr>
              <w:t>扩容数量要求</w:t>
            </w:r>
          </w:p>
        </w:tc>
        <w:tc>
          <w:tcPr>
            <w:tcW w:w="6361" w:type="dxa"/>
            <w:vAlign w:val="center"/>
          </w:tcPr>
          <w:p>
            <w:pPr>
              <w:spacing w:line="400" w:lineRule="exac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华为</w:t>
            </w:r>
            <w:r>
              <w:rPr>
                <w:rFonts w:hint="eastAsia" w:ascii="仿宋_GB2312" w:hAnsi="宋体" w:eastAsia="仿宋_GB2312"/>
                <w:color w:val="auto"/>
                <w:sz w:val="24"/>
                <w:highlight w:val="none"/>
              </w:rPr>
              <w:t>OceanStor 18800 V5</w:t>
            </w:r>
            <w:r>
              <w:rPr>
                <w:rFonts w:hint="eastAsia" w:ascii="仿宋_GB2312" w:hAnsi="宋体" w:eastAsia="仿宋_GB2312" w:cs="宋体"/>
                <w:color w:val="auto"/>
                <w:kern w:val="0"/>
                <w:sz w:val="24"/>
                <w:highlight w:val="none"/>
              </w:rPr>
              <w:t>存储扩容数量≥150块硬盘，</w:t>
            </w:r>
            <w:r>
              <w:rPr>
                <w:rFonts w:hint="eastAsia" w:ascii="仿宋_GB2312" w:hAnsi="宋体" w:eastAsia="仿宋_GB2312"/>
                <w:color w:val="auto"/>
                <w:sz w:val="24"/>
                <w:highlight w:val="none"/>
                <w:lang w:val="zh-CN"/>
              </w:rPr>
              <w:t>SAS盘</w:t>
            </w:r>
            <w:r>
              <w:rPr>
                <w:rFonts w:hint="eastAsia" w:ascii="仿宋_GB2312" w:hAnsi="宋体" w:eastAsia="仿宋_GB2312"/>
                <w:color w:val="auto"/>
                <w:sz w:val="24"/>
                <w:highlight w:val="none"/>
              </w:rPr>
              <w:t>,单盘2.4T，10K RPM，包含硬盘框及其他必备配件和线缆；</w:t>
            </w:r>
          </w:p>
          <w:p>
            <w:pPr>
              <w:spacing w:line="400" w:lineRule="exac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华三HPE 3PAR StoreServ 20840存储扩容数量≥200块硬盘，</w:t>
            </w:r>
            <w:r>
              <w:rPr>
                <w:rFonts w:hint="eastAsia" w:ascii="仿宋_GB2312" w:hAnsi="宋体" w:eastAsia="仿宋_GB2312"/>
                <w:color w:val="auto"/>
                <w:sz w:val="24"/>
                <w:highlight w:val="none"/>
              </w:rPr>
              <w:t>SAS</w:t>
            </w:r>
            <w:r>
              <w:rPr>
                <w:rFonts w:hint="eastAsia" w:ascii="仿宋_GB2312" w:hAnsi="宋体" w:eastAsia="仿宋_GB2312"/>
                <w:color w:val="auto"/>
                <w:sz w:val="24"/>
                <w:highlight w:val="none"/>
                <w:lang w:val="zh-CN"/>
              </w:rPr>
              <w:t>盘</w:t>
            </w:r>
            <w:r>
              <w:rPr>
                <w:rFonts w:hint="eastAsia" w:ascii="仿宋_GB2312" w:hAnsi="宋体" w:eastAsia="仿宋_GB2312"/>
                <w:color w:val="auto"/>
                <w:sz w:val="24"/>
                <w:highlight w:val="none"/>
              </w:rPr>
              <w:t>,单盘1.8T，10K RPM，包含硬盘框及其他必备配件和线缆。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2" w:hRule="atLeast"/>
        </w:trPr>
        <w:tc>
          <w:tcPr>
            <w:tcW w:w="2161" w:type="dxa"/>
            <w:vAlign w:val="center"/>
          </w:tcPr>
          <w:p>
            <w:pPr>
              <w:spacing w:line="400" w:lineRule="exact"/>
              <w:jc w:val="center"/>
              <w:rPr>
                <w:rFonts w:ascii="仿宋_GB2312" w:hAnsi="宋体" w:eastAsia="仿宋_GB2312"/>
                <w:color w:val="auto"/>
                <w:sz w:val="24"/>
                <w:highlight w:val="none"/>
              </w:rPr>
            </w:pPr>
            <w:r>
              <w:rPr>
                <w:rFonts w:hint="eastAsia" w:ascii="Calibri" w:hAnsi="宋体"/>
                <w:color w:val="auto"/>
                <w:sz w:val="24"/>
                <w:highlight w:val="none"/>
              </w:rPr>
              <w:t>★</w:t>
            </w:r>
            <w:r>
              <w:rPr>
                <w:rFonts w:hint="eastAsia" w:ascii="仿宋_GB2312" w:hAnsi="宋体" w:eastAsia="仿宋_GB2312"/>
                <w:color w:val="auto"/>
                <w:sz w:val="24"/>
                <w:highlight w:val="none"/>
              </w:rPr>
              <w:t>硬件要求及服务</w:t>
            </w:r>
          </w:p>
        </w:tc>
        <w:tc>
          <w:tcPr>
            <w:tcW w:w="6361" w:type="dxa"/>
            <w:vAlign w:val="center"/>
          </w:tcPr>
          <w:p>
            <w:pPr>
              <w:spacing w:line="400" w:lineRule="exact"/>
              <w:rPr>
                <w:rFonts w:ascii="仿宋_GB2312" w:hAnsi="宋体" w:eastAsia="仿宋_GB2312"/>
                <w:color w:val="auto"/>
                <w:sz w:val="24"/>
                <w:highlight w:val="none"/>
              </w:rPr>
            </w:pPr>
            <w:r>
              <w:rPr>
                <w:rFonts w:hint="eastAsia" w:ascii="仿宋_GB2312" w:hAnsi="宋体" w:eastAsia="仿宋_GB2312" w:cs="宋体"/>
                <w:color w:val="auto"/>
                <w:kern w:val="0"/>
                <w:sz w:val="24"/>
                <w:highlight w:val="none"/>
              </w:rPr>
              <w:t>1.所有产品必须是原厂全新产品，</w:t>
            </w:r>
            <w:r>
              <w:rPr>
                <w:rFonts w:hint="eastAsia" w:ascii="仿宋_GB2312" w:hAnsi="宋体" w:eastAsia="仿宋_GB2312" w:cs="宋体"/>
                <w:b/>
                <w:color w:val="auto"/>
                <w:kern w:val="0"/>
                <w:sz w:val="24"/>
                <w:highlight w:val="none"/>
              </w:rPr>
              <w:t>并</w:t>
            </w:r>
            <w:r>
              <w:rPr>
                <w:rFonts w:hint="eastAsia" w:ascii="仿宋_GB2312" w:hAnsi="宋体" w:eastAsia="仿宋_GB2312"/>
                <w:b/>
                <w:color w:val="auto"/>
                <w:sz w:val="24"/>
                <w:highlight w:val="none"/>
              </w:rPr>
              <w:t>提供本项目相关的配套使用的硬盘框</w:t>
            </w:r>
            <w:r>
              <w:rPr>
                <w:rFonts w:hint="eastAsia" w:ascii="仿宋_GB2312" w:hAnsi="宋体" w:eastAsia="仿宋_GB2312"/>
                <w:color w:val="auto"/>
                <w:sz w:val="24"/>
                <w:highlight w:val="none"/>
              </w:rPr>
              <w:t>、容量许可、集成服务、后续相关配置服务等。</w:t>
            </w:r>
          </w:p>
          <w:p>
            <w:pPr>
              <w:pStyle w:val="13"/>
              <w:ind w:firstLine="0"/>
              <w:rPr>
                <w:rFonts w:ascii="仿宋_GB2312" w:hAnsi="宋体" w:eastAsia="仿宋_GB2312"/>
                <w:color w:val="auto"/>
                <w:sz w:val="24"/>
                <w:szCs w:val="24"/>
                <w:highlight w:val="none"/>
              </w:rPr>
            </w:pPr>
            <w:r>
              <w:rPr>
                <w:rFonts w:hint="eastAsia" w:ascii="仿宋_GB2312" w:hAnsi="宋体" w:eastAsia="仿宋_GB2312" w:cs="宋体"/>
                <w:color w:val="auto"/>
                <w:kern w:val="0"/>
                <w:sz w:val="24"/>
                <w:szCs w:val="24"/>
                <w:highlight w:val="none"/>
              </w:rPr>
              <w:t>2.根据采购人需求提供与本次采购设备相关的在线数据迁移服务合计不少于3次。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61" w:type="dxa"/>
            <w:vAlign w:val="center"/>
          </w:tcPr>
          <w:p>
            <w:pPr>
              <w:spacing w:line="400" w:lineRule="exact"/>
              <w:jc w:val="center"/>
              <w:rPr>
                <w:rFonts w:ascii="仿宋_GB2312" w:hAnsi="宋体" w:eastAsia="仿宋_GB2312"/>
                <w:color w:val="auto"/>
                <w:sz w:val="24"/>
                <w:highlight w:val="none"/>
              </w:rPr>
            </w:pPr>
            <w:r>
              <w:rPr>
                <w:rFonts w:hint="eastAsia" w:ascii="Calibri" w:hAnsi="宋体"/>
                <w:color w:val="auto"/>
                <w:sz w:val="24"/>
                <w:highlight w:val="none"/>
              </w:rPr>
              <w:t>★</w:t>
            </w:r>
            <w:r>
              <w:rPr>
                <w:rFonts w:hint="eastAsia" w:ascii="仿宋_GB2312" w:hAnsi="宋体" w:eastAsia="仿宋_GB2312"/>
                <w:color w:val="auto"/>
                <w:sz w:val="24"/>
                <w:highlight w:val="none"/>
              </w:rPr>
              <w:t>保修要求</w:t>
            </w:r>
          </w:p>
        </w:tc>
        <w:tc>
          <w:tcPr>
            <w:tcW w:w="6361" w:type="dxa"/>
            <w:vAlign w:val="center"/>
          </w:tcPr>
          <w:p>
            <w:pPr>
              <w:spacing w:line="400" w:lineRule="exac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1.每台存储的扩容部分保修期为自试运行验收合格起3年。</w:t>
            </w:r>
          </w:p>
          <w:p>
            <w:pPr>
              <w:spacing w:line="400" w:lineRule="exac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2.所有产品硬件故障提供自试运行验收合格起3年的7*24*4小时</w:t>
            </w:r>
            <w:r>
              <w:rPr>
                <w:rFonts w:hint="eastAsia" w:ascii="仿宋_GB2312" w:hAnsi="Calibri" w:eastAsia="仿宋_GB2312" w:cs="宋体"/>
                <w:color w:val="auto"/>
                <w:sz w:val="24"/>
                <w:highlight w:val="none"/>
              </w:rPr>
              <w:t>设备</w:t>
            </w:r>
            <w:r>
              <w:rPr>
                <w:rFonts w:hint="eastAsia" w:ascii="仿宋_GB2312" w:hAnsi="宋体" w:eastAsia="仿宋_GB2312" w:cs="宋体"/>
                <w:color w:val="auto"/>
                <w:kern w:val="0"/>
                <w:sz w:val="24"/>
                <w:highlight w:val="none"/>
              </w:rPr>
              <w:t>现场服务，</w:t>
            </w:r>
            <w:r>
              <w:rPr>
                <w:rFonts w:hint="eastAsia" w:ascii="仿宋_GB2312" w:hAnsi="Calibri" w:eastAsia="仿宋_GB2312" w:cs="宋体"/>
                <w:color w:val="auto"/>
                <w:sz w:val="24"/>
                <w:highlight w:val="none"/>
              </w:rPr>
              <w:t>设备原厂商</w:t>
            </w:r>
            <w:r>
              <w:rPr>
                <w:rFonts w:hint="eastAsia" w:ascii="仿宋_GB2312" w:hAnsi="宋体" w:eastAsia="仿宋_GB2312" w:cs="宋体"/>
                <w:color w:val="auto"/>
                <w:kern w:val="0"/>
                <w:sz w:val="24"/>
                <w:highlight w:val="none"/>
              </w:rPr>
              <w:t>需在国内设有800/400技术服务热线</w:t>
            </w:r>
            <w:r>
              <w:rPr>
                <w:rFonts w:hint="eastAsia" w:ascii="仿宋_GB2312" w:hAnsi="宋体" w:eastAsia="仿宋_GB2312"/>
                <w:color w:val="auto"/>
                <w:sz w:val="24"/>
                <w:highlight w:val="none"/>
              </w:rPr>
              <w:t>。</w:t>
            </w:r>
          </w:p>
          <w:p>
            <w:pPr>
              <w:spacing w:line="400" w:lineRule="exac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3.故障报修响应时间：0.5小时响应，2小时到现场</w:t>
            </w:r>
            <w:r>
              <w:rPr>
                <w:rFonts w:hint="eastAsia" w:ascii="仿宋_GB2312" w:hAnsi="宋体" w:eastAsia="仿宋_GB2312"/>
                <w:color w:val="auto"/>
                <w:sz w:val="24"/>
                <w:highlight w:val="none"/>
              </w:rPr>
              <w:t>。</w:t>
            </w:r>
          </w:p>
          <w:p>
            <w:pPr>
              <w:spacing w:line="400" w:lineRule="exac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4.提供硬盘不返还服务</w:t>
            </w:r>
            <w:r>
              <w:rPr>
                <w:rFonts w:hint="eastAsia" w:ascii="仿宋_GB2312" w:hAnsi="宋体" w:eastAsia="仿宋_GB2312" w:cs="宋体"/>
                <w:b/>
                <w:color w:val="auto"/>
                <w:kern w:val="0"/>
                <w:sz w:val="24"/>
                <w:highlight w:val="none"/>
              </w:rPr>
              <w:t>。</w:t>
            </w:r>
          </w:p>
          <w:p>
            <w:pPr>
              <w:spacing w:line="400" w:lineRule="exac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5.每台存储在设备现场至少保持3块以上备盘，合计至少6块。</w:t>
            </w:r>
          </w:p>
        </w:tc>
      </w:tr>
    </w:tbl>
    <w:p>
      <w:pPr>
        <w:snapToGrid w:val="0"/>
        <w:spacing w:line="640" w:lineRule="exact"/>
        <w:jc w:val="left"/>
        <w:outlineLvl w:val="0"/>
        <w:rPr>
          <w:rFonts w:ascii="黑体" w:hAnsi="黑体" w:eastAsia="黑体" w:cs="黑体"/>
          <w:color w:val="auto"/>
          <w:sz w:val="32"/>
          <w:szCs w:val="32"/>
          <w:highlight w:val="none"/>
        </w:rPr>
      </w:pPr>
      <w:bookmarkStart w:id="66" w:name="_Toc124754496"/>
      <w:r>
        <w:rPr>
          <w:rFonts w:hint="eastAsia" w:ascii="黑体" w:hAnsi="黑体" w:eastAsia="黑体" w:cs="黑体"/>
          <w:color w:val="auto"/>
          <w:sz w:val="32"/>
          <w:szCs w:val="32"/>
          <w:highlight w:val="none"/>
        </w:rPr>
        <w:t>四、项目实施要求</w:t>
      </w:r>
      <w:bookmarkEnd w:id="66"/>
    </w:p>
    <w:p>
      <w:pPr>
        <w:widowControl/>
        <w:adjustRightInd w:val="0"/>
        <w:snapToGrid w:val="0"/>
        <w:spacing w:line="560" w:lineRule="exact"/>
        <w:ind w:firstLine="480" w:firstLineChars="200"/>
        <w:outlineLvl w:val="1"/>
        <w:rPr>
          <w:rFonts w:ascii="仿宋_GB2312" w:hAnsi="宋体" w:eastAsia="仿宋_GB2312" w:cs="Tahoma"/>
          <w:color w:val="auto"/>
          <w:kern w:val="0"/>
          <w:sz w:val="24"/>
          <w:highlight w:val="none"/>
        </w:rPr>
      </w:pPr>
      <w:r>
        <w:rPr>
          <w:rFonts w:hint="eastAsia" w:ascii="仿宋_GB2312" w:hAnsi="宋体" w:eastAsia="仿宋_GB2312" w:cs="宋体"/>
          <w:color w:val="auto"/>
          <w:kern w:val="0"/>
          <w:sz w:val="24"/>
          <w:highlight w:val="none"/>
        </w:rPr>
        <w:t>(一)集成实施</w:t>
      </w:r>
    </w:p>
    <w:p>
      <w:pPr>
        <w:widowControl/>
        <w:adjustRightInd w:val="0"/>
        <w:snapToGrid w:val="0"/>
        <w:spacing w:line="560" w:lineRule="exact"/>
        <w:ind w:firstLine="480" w:firstLineChars="200"/>
        <w:rPr>
          <w:rFonts w:ascii="仿宋_GB2312" w:hAnsi="宋体" w:eastAsia="仿宋_GB2312" w:cs="Tahoma"/>
          <w:color w:val="auto"/>
          <w:kern w:val="0"/>
          <w:sz w:val="24"/>
          <w:highlight w:val="none"/>
        </w:rPr>
      </w:pPr>
      <w:r>
        <w:rPr>
          <w:rFonts w:hint="eastAsia" w:ascii="仿宋_GB2312" w:hAnsi="宋体" w:eastAsia="仿宋_GB2312" w:cs="宋体"/>
          <w:color w:val="auto"/>
          <w:kern w:val="0"/>
          <w:sz w:val="24"/>
          <w:highlight w:val="none"/>
        </w:rPr>
        <w:t>存储设备的集成实施包括但不限于所有软硬件的安装、部署、联调、迁移等集成实施工作；负责软件在硬件上的部署；负责相应的光纤交换机ZONE划分及ZONE变更操作；负责根据需要完成部分业务从现有存储至新存储的在线数据热迁移；配合业务系统厂商对业务系统进行加载、测试、试运行、性能调优；根据采购人要求完成现有监控系统采集存储设备性能数据等联调测试工作；确保设备与用户现有环境无缝整合并满足相关工作需要。</w:t>
      </w:r>
    </w:p>
    <w:p>
      <w:pPr>
        <w:widowControl/>
        <w:adjustRightInd w:val="0"/>
        <w:snapToGrid w:val="0"/>
        <w:spacing w:line="560" w:lineRule="exact"/>
        <w:ind w:firstLine="480" w:firstLineChars="200"/>
        <w:rPr>
          <w:rFonts w:ascii="仿宋_GB2312" w:hAnsi="宋体" w:eastAsia="仿宋_GB2312" w:cs="Tahoma"/>
          <w:color w:val="auto"/>
          <w:kern w:val="0"/>
          <w:sz w:val="24"/>
          <w:highlight w:val="none"/>
        </w:rPr>
      </w:pPr>
      <w:r>
        <w:rPr>
          <w:rFonts w:hint="eastAsia" w:ascii="仿宋_GB2312" w:hAnsi="宋体" w:eastAsia="仿宋_GB2312" w:cs="宋体"/>
          <w:color w:val="auto"/>
          <w:kern w:val="0"/>
          <w:sz w:val="24"/>
          <w:highlight w:val="none"/>
        </w:rPr>
        <w:t>在实施方案中分别描述系统集成、数据迁移和设备搬迁的具体工作内容及各项具体方案，项目的组织和管理、投入人员、人员简介、工作日程等内容，日程应涵盖到货、现场安装、系统联调、系统试运行。</w:t>
      </w:r>
    </w:p>
    <w:p>
      <w:pPr>
        <w:widowControl/>
        <w:adjustRightInd w:val="0"/>
        <w:snapToGrid w:val="0"/>
        <w:spacing w:line="560" w:lineRule="exact"/>
        <w:ind w:firstLine="480" w:firstLineChars="200"/>
        <w:outlineLvl w:val="1"/>
        <w:rPr>
          <w:rFonts w:ascii="仿宋_GB2312" w:hAnsi="宋体" w:eastAsia="仿宋_GB2312" w:cs="Tahoma"/>
          <w:color w:val="auto"/>
          <w:kern w:val="0"/>
          <w:sz w:val="24"/>
          <w:highlight w:val="none"/>
        </w:rPr>
      </w:pPr>
      <w:r>
        <w:rPr>
          <w:rFonts w:hint="eastAsia" w:ascii="仿宋_GB2312" w:hAnsi="宋体" w:eastAsia="仿宋_GB2312" w:cs="宋体"/>
          <w:color w:val="auto"/>
          <w:kern w:val="0"/>
          <w:sz w:val="24"/>
          <w:highlight w:val="none"/>
        </w:rPr>
        <w:t xml:space="preserve"> (二)技术培训</w:t>
      </w:r>
    </w:p>
    <w:p>
      <w:pPr>
        <w:widowControl/>
        <w:adjustRightInd w:val="0"/>
        <w:snapToGrid w:val="0"/>
        <w:spacing w:line="560" w:lineRule="exact"/>
        <w:ind w:firstLine="480" w:firstLineChars="200"/>
        <w:rPr>
          <w:rFonts w:ascii="仿宋_GB2312" w:hAnsi="宋体" w:eastAsia="仿宋_GB2312" w:cs="Tahoma"/>
          <w:color w:val="auto"/>
          <w:kern w:val="0"/>
          <w:sz w:val="24"/>
          <w:highlight w:val="none"/>
        </w:rPr>
      </w:pPr>
      <w:r>
        <w:rPr>
          <w:rFonts w:hint="eastAsia" w:ascii="仿宋_GB2312" w:hAnsi="宋体" w:eastAsia="仿宋_GB2312" w:cs="宋体"/>
          <w:color w:val="auto"/>
          <w:kern w:val="0"/>
          <w:sz w:val="24"/>
          <w:highlight w:val="none"/>
        </w:rPr>
        <w:t>技术培训应由供应商组织实施，从存储基础知识、技术介绍、系统初始化、运行状态监控、性能调优、故障解决等多个方面开展培训，受训人员经过培训后，应能熟练掌握和使用所培训的技术内容，能够独立承担和完成相应的系统维护和管理工作。投标人应制定详细的培训方案。</w:t>
      </w:r>
    </w:p>
    <w:p>
      <w:pPr>
        <w:widowControl/>
        <w:adjustRightInd w:val="0"/>
        <w:snapToGrid w:val="0"/>
        <w:spacing w:line="560" w:lineRule="exact"/>
        <w:ind w:firstLine="480" w:firstLineChars="200"/>
        <w:outlineLvl w:val="1"/>
        <w:rPr>
          <w:rFonts w:ascii="仿宋_GB2312" w:hAnsi="宋体" w:eastAsia="仿宋_GB2312" w:cs="Tahoma"/>
          <w:color w:val="auto"/>
          <w:kern w:val="0"/>
          <w:sz w:val="24"/>
          <w:highlight w:val="none"/>
        </w:rPr>
      </w:pPr>
      <w:r>
        <w:rPr>
          <w:rFonts w:hint="eastAsia" w:ascii="仿宋_GB2312" w:hAnsi="宋体" w:eastAsia="仿宋_GB2312" w:cs="宋体"/>
          <w:color w:val="auto"/>
          <w:kern w:val="0"/>
          <w:sz w:val="24"/>
          <w:highlight w:val="none"/>
        </w:rPr>
        <w:t>(三)技术支持</w:t>
      </w:r>
    </w:p>
    <w:p>
      <w:pPr>
        <w:widowControl/>
        <w:adjustRightInd w:val="0"/>
        <w:snapToGrid w:val="0"/>
        <w:spacing w:line="560" w:lineRule="exact"/>
        <w:ind w:firstLine="480" w:firstLineChars="200"/>
        <w:rPr>
          <w:rFonts w:ascii="仿宋_GB2312" w:hAnsi="宋体" w:eastAsia="仿宋_GB2312" w:cs="宋体"/>
          <w:color w:val="auto"/>
          <w:sz w:val="24"/>
          <w:highlight w:val="none"/>
        </w:rPr>
      </w:pPr>
      <w:r>
        <w:rPr>
          <w:rFonts w:hint="eastAsia" w:ascii="仿宋_GB2312" w:hAnsi="宋体" w:eastAsia="仿宋_GB2312" w:cs="宋体"/>
          <w:color w:val="auto"/>
          <w:kern w:val="0"/>
          <w:sz w:val="24"/>
          <w:highlight w:val="none"/>
        </w:rPr>
        <w:t>所提供软、硬件设备的日常支持服务和现场支持服务，使系统运行稳定，资源利用合理，性能保持最优。</w:t>
      </w:r>
      <w:r>
        <w:rPr>
          <w:rFonts w:hint="eastAsia" w:ascii="仿宋_GB2312" w:hAnsi="宋体" w:eastAsia="仿宋_GB2312" w:cs="宋体"/>
          <w:color w:val="auto"/>
          <w:sz w:val="24"/>
          <w:highlight w:val="none"/>
        </w:rPr>
        <w:t>主要内容包括但不限于光纤交换机ZONE划分及ZONE变更操作，存储资源调整及LUN划分，日常监控与维护，制定性能分析方法，制定资源调配策略，对存储设备进行调优，定期进行资源能力预判和风险评估；在业务系统测试、升级、迁移、试点上线、设备或机房搬迁、国家重大活动期间等及其它特殊时期，根据采购人的需求提供现场支持、实施现场值守，提供应急设备和备件。</w:t>
      </w:r>
    </w:p>
    <w:p>
      <w:pPr>
        <w:widowControl/>
        <w:adjustRightInd w:val="0"/>
        <w:snapToGrid w:val="0"/>
        <w:spacing w:line="560" w:lineRule="exact"/>
        <w:ind w:firstLine="480" w:firstLineChars="200"/>
        <w:outlineLvl w:val="1"/>
        <w:rPr>
          <w:rFonts w:ascii="仿宋_GB2312" w:hAnsi="宋体" w:eastAsia="仿宋_GB2312" w:cs="Tahoma"/>
          <w:color w:val="auto"/>
          <w:kern w:val="0"/>
          <w:sz w:val="24"/>
          <w:highlight w:val="none"/>
        </w:rPr>
      </w:pPr>
      <w:r>
        <w:rPr>
          <w:rFonts w:hint="eastAsia" w:ascii="仿宋_GB2312" w:hAnsi="宋体" w:eastAsia="仿宋_GB2312" w:cs="宋体"/>
          <w:color w:val="auto"/>
          <w:kern w:val="0"/>
          <w:sz w:val="24"/>
          <w:highlight w:val="none"/>
        </w:rPr>
        <w:t>(四)集成实施方案</w:t>
      </w:r>
    </w:p>
    <w:p>
      <w:pPr>
        <w:widowControl/>
        <w:adjustRightInd w:val="0"/>
        <w:snapToGrid w:val="0"/>
        <w:spacing w:line="560" w:lineRule="exact"/>
        <w:ind w:firstLine="480" w:firstLineChars="200"/>
        <w:rPr>
          <w:rFonts w:ascii="仿宋_GB2312" w:hAnsi="宋体" w:eastAsia="仿宋_GB2312" w:cs="Tahoma"/>
          <w:color w:val="auto"/>
          <w:kern w:val="0"/>
          <w:sz w:val="24"/>
          <w:highlight w:val="none"/>
        </w:rPr>
      </w:pPr>
      <w:r>
        <w:rPr>
          <w:rFonts w:hint="eastAsia" w:ascii="仿宋_GB2312" w:hAnsi="宋体" w:eastAsia="仿宋_GB2312" w:cs="宋体"/>
          <w:color w:val="auto"/>
          <w:kern w:val="0"/>
          <w:sz w:val="24"/>
          <w:highlight w:val="none"/>
        </w:rPr>
        <w:t>成交供应商在进行项目实施前，根据采购人的技术要求，进一步制定详细的实施方案，并报经采购人同意。实施方案应包括实施进度计划、项目人员组织计划、配置方案、设备配置参数表、实施规划、数据迁移方案、调优方案等；实施过程中方案如有变更，应经采购人同意后实施。</w:t>
      </w:r>
    </w:p>
    <w:p>
      <w:pPr>
        <w:snapToGrid w:val="0"/>
        <w:spacing w:line="640" w:lineRule="exact"/>
        <w:jc w:val="left"/>
        <w:outlineLvl w:val="0"/>
        <w:rPr>
          <w:rFonts w:ascii="黑体" w:hAnsi="黑体" w:eastAsia="黑体" w:cs="黑体"/>
          <w:color w:val="auto"/>
          <w:sz w:val="32"/>
          <w:szCs w:val="32"/>
          <w:highlight w:val="none"/>
        </w:rPr>
      </w:pPr>
      <w:bookmarkStart w:id="67" w:name="_Toc124754497"/>
      <w:r>
        <w:rPr>
          <w:rFonts w:hint="eastAsia" w:ascii="黑体" w:hAnsi="黑体" w:eastAsia="黑体" w:cs="黑体"/>
          <w:color w:val="auto"/>
          <w:sz w:val="32"/>
          <w:szCs w:val="32"/>
          <w:highlight w:val="none"/>
        </w:rPr>
        <w:t>五、项目验收要求</w:t>
      </w:r>
      <w:bookmarkEnd w:id="67"/>
    </w:p>
    <w:p>
      <w:pPr>
        <w:widowControl/>
        <w:adjustRightInd w:val="0"/>
        <w:snapToGrid w:val="0"/>
        <w:spacing w:line="560" w:lineRule="exact"/>
        <w:ind w:firstLine="480" w:firstLineChars="200"/>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项目验收包括设备到货验收、设备试运行验收和最终验收三个阶段，各阶段验收工作将由采购人和供应商共同完成。按照规定，项目验收应包括招标文件、投标文件及合同中的所有技术指标，如与非实质性要求条款不一致且采购人要求中供应商限期整改的，供应商应按期整改，未按要求整改的，采购人有权解除合同，履约保证金不予退还；如与实质性要求条款偏离，采购人有权直接解除合同，履约保证金不予退还。采购人有权对中标设备的所有强制性指标进行测试，测试费用由供应商自行承担。</w:t>
      </w:r>
    </w:p>
    <w:p>
      <w:pPr>
        <w:widowControl/>
        <w:adjustRightInd w:val="0"/>
        <w:snapToGrid w:val="0"/>
        <w:spacing w:line="560" w:lineRule="exact"/>
        <w:ind w:firstLine="480" w:firstLineChars="200"/>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到货验收：由采购人和供应商共同完成，按项目实施计划进行设备到货、点验、开机加电、安装、调试、测试等，运行正常后进行验收。采购人对验收材料汇总后，签署项目到货初始验收报告。</w:t>
      </w:r>
    </w:p>
    <w:p>
      <w:pPr>
        <w:widowControl/>
        <w:adjustRightInd w:val="0"/>
        <w:snapToGrid w:val="0"/>
        <w:spacing w:line="560" w:lineRule="exact"/>
        <w:ind w:firstLine="480" w:firstLineChars="200"/>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设备试运行验收：到货验收后，转入3个月试运行期。试运行期间发现的问题供应商应有效解决，否则将影响项目验收结果。试运行结束后，由采购人统一组织试运行验收；供应商应保质保量、按计划如期完成全部工作，实现相关应用系统对存储的正常使用；供应商应按照要求，移交实施过程中的各类文档，并经验收签字；供应商应就存储设备管理工作，采取文档讲解、会议研讨、培训、在日常工作中进行传帮带等方式，完成对采购人的知识转移。</w:t>
      </w:r>
    </w:p>
    <w:p>
      <w:pPr>
        <w:widowControl/>
        <w:adjustRightInd w:val="0"/>
        <w:snapToGrid w:val="0"/>
        <w:spacing w:line="560" w:lineRule="exact"/>
        <w:ind w:firstLine="480" w:firstLineChars="200"/>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最终验收：自试运行验收合格后，进入设备现场维保和现场技术支持服务阶段，服务期结束后由供应商提出最终验收申请，采购人组织开展最终验收，主要对供应商的售后服务质量进行验收。最终验收是否合格，作为退还履约保证金的重要依据。</w:t>
      </w:r>
    </w:p>
    <w:p>
      <w:pPr>
        <w:widowControl/>
        <w:adjustRightInd w:val="0"/>
        <w:snapToGrid w:val="0"/>
        <w:spacing w:line="560" w:lineRule="exact"/>
        <w:ind w:firstLine="480" w:firstLineChars="200"/>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货物应为原厂商未启封全新包装，具备出厂合格证，序列号、包装箱号与出厂批号一致，并可追索查阅。所有随设备的附件必须齐全。供应商应将设备的用户手册、保修手册、有关单证资料及配备件、随机工具等交付给采购人，使用操作及安全须知等重要资料应附有中文说明。</w:t>
      </w:r>
    </w:p>
    <w:p>
      <w:pPr>
        <w:widowControl/>
        <w:adjustRightInd w:val="0"/>
        <w:snapToGrid w:val="0"/>
        <w:spacing w:line="560" w:lineRule="exact"/>
        <w:ind w:firstLine="480" w:firstLineChars="200"/>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采购人组成验收小组按国家有关规定、规范进行验收，必要时邀请相关的专业人员或机构参与验收，需由第三方参与的，费用由供应商承担。因货物质量问题发生争议时，由本地质量技术监督部门鉴定，鉴定费由供应商承担。</w:t>
      </w:r>
    </w:p>
    <w:p>
      <w:pPr>
        <w:widowControl/>
        <w:adjustRightInd w:val="0"/>
        <w:snapToGrid w:val="0"/>
        <w:spacing w:line="560" w:lineRule="exact"/>
        <w:ind w:firstLine="480" w:firstLineChars="200"/>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中标人应于半年服务期完成后15日内提供以下服务单，进行阶段验收，验收时将执行《政务信息系统政府采购管理暂行办法》、《税务系统政府采购履约验收管理办法（试行）》等有关规定，并应提交以下验收文档：</w:t>
      </w:r>
    </w:p>
    <w:p>
      <w:pPr>
        <w:pStyle w:val="307"/>
        <w:numPr>
          <w:ilvl w:val="0"/>
          <w:numId w:val="10"/>
        </w:numPr>
        <w:spacing w:line="560" w:lineRule="exact"/>
        <w:ind w:firstLine="480" w:firstLineChars="200"/>
        <w:jc w:val="both"/>
        <w:outlineLvl w:val="0"/>
        <w:rPr>
          <w:rFonts w:ascii="仿宋_GB2312" w:hAnsi="宋体" w:eastAsia="仿宋_GB2312" w:cs="宋体"/>
          <w:color w:val="auto"/>
          <w:highlight w:val="none"/>
        </w:rPr>
      </w:pPr>
      <w:bookmarkStart w:id="68" w:name="_Toc124754498"/>
      <w:r>
        <w:rPr>
          <w:rFonts w:hint="eastAsia" w:ascii="仿宋_GB2312" w:hAnsi="宋体" w:eastAsia="仿宋_GB2312" w:cs="宋体"/>
          <w:color w:val="auto"/>
          <w:highlight w:val="none"/>
        </w:rPr>
        <w:t>巡检报告；</w:t>
      </w:r>
      <w:bookmarkEnd w:id="68"/>
    </w:p>
    <w:p>
      <w:pPr>
        <w:pStyle w:val="307"/>
        <w:numPr>
          <w:ilvl w:val="0"/>
          <w:numId w:val="10"/>
        </w:numPr>
        <w:spacing w:line="560" w:lineRule="exact"/>
        <w:ind w:firstLine="480" w:firstLineChars="200"/>
        <w:jc w:val="both"/>
        <w:outlineLvl w:val="0"/>
        <w:rPr>
          <w:rFonts w:ascii="仿宋_GB2312" w:hAnsi="宋体" w:eastAsia="仿宋_GB2312" w:cs="宋体"/>
          <w:color w:val="auto"/>
          <w:highlight w:val="none"/>
        </w:rPr>
      </w:pPr>
      <w:bookmarkStart w:id="69" w:name="_Toc124754499"/>
      <w:r>
        <w:rPr>
          <w:rFonts w:hint="eastAsia" w:ascii="仿宋_GB2312" w:hAnsi="宋体" w:eastAsia="仿宋_GB2312" w:cs="宋体"/>
          <w:color w:val="auto"/>
          <w:highlight w:val="none"/>
        </w:rPr>
        <w:t>故障处理报告；</w:t>
      </w:r>
      <w:bookmarkEnd w:id="69"/>
    </w:p>
    <w:p>
      <w:pPr>
        <w:pStyle w:val="307"/>
        <w:numPr>
          <w:ilvl w:val="0"/>
          <w:numId w:val="10"/>
        </w:numPr>
        <w:spacing w:line="560" w:lineRule="exact"/>
        <w:ind w:firstLine="480" w:firstLineChars="200"/>
        <w:jc w:val="both"/>
        <w:outlineLvl w:val="0"/>
        <w:rPr>
          <w:rFonts w:ascii="仿宋_GB2312" w:hAnsi="宋体" w:eastAsia="仿宋_GB2312" w:cs="宋体"/>
          <w:color w:val="auto"/>
          <w:highlight w:val="none"/>
        </w:rPr>
      </w:pPr>
      <w:bookmarkStart w:id="70" w:name="_Toc124754500"/>
      <w:r>
        <w:rPr>
          <w:rFonts w:hint="eastAsia" w:ascii="仿宋_GB2312" w:hAnsi="宋体" w:eastAsia="仿宋_GB2312" w:cs="宋体"/>
          <w:color w:val="auto"/>
          <w:highlight w:val="none"/>
        </w:rPr>
        <w:t>技术支持服务报告；</w:t>
      </w:r>
      <w:bookmarkEnd w:id="70"/>
    </w:p>
    <w:p>
      <w:pPr>
        <w:pStyle w:val="307"/>
        <w:numPr>
          <w:ilvl w:val="0"/>
          <w:numId w:val="10"/>
        </w:numPr>
        <w:spacing w:line="560" w:lineRule="exact"/>
        <w:ind w:firstLine="480" w:firstLineChars="200"/>
        <w:jc w:val="both"/>
        <w:outlineLvl w:val="0"/>
        <w:rPr>
          <w:rFonts w:ascii="仿宋_GB2312" w:hAnsi="宋体" w:eastAsia="仿宋_GB2312" w:cs="宋体"/>
          <w:color w:val="auto"/>
          <w:highlight w:val="none"/>
        </w:rPr>
      </w:pPr>
      <w:bookmarkStart w:id="71" w:name="_Toc124754501"/>
      <w:r>
        <w:rPr>
          <w:rFonts w:hint="eastAsia" w:ascii="仿宋_GB2312" w:hAnsi="宋体" w:eastAsia="仿宋_GB2312" w:cs="宋体"/>
          <w:color w:val="auto"/>
          <w:highlight w:val="none"/>
        </w:rPr>
        <w:t>项目验收书；</w:t>
      </w:r>
      <w:bookmarkEnd w:id="71"/>
    </w:p>
    <w:p>
      <w:pPr>
        <w:pStyle w:val="307"/>
        <w:numPr>
          <w:ilvl w:val="0"/>
          <w:numId w:val="10"/>
        </w:numPr>
        <w:spacing w:line="560" w:lineRule="exact"/>
        <w:ind w:firstLine="480" w:firstLineChars="200"/>
        <w:jc w:val="both"/>
        <w:outlineLvl w:val="0"/>
        <w:rPr>
          <w:rFonts w:ascii="仿宋_GB2312" w:hAnsi="宋体" w:eastAsia="仿宋_GB2312" w:cs="宋体"/>
          <w:color w:val="auto"/>
          <w:highlight w:val="none"/>
        </w:rPr>
      </w:pPr>
      <w:bookmarkStart w:id="72" w:name="_Toc124754502"/>
      <w:r>
        <w:rPr>
          <w:rFonts w:hint="eastAsia" w:ascii="仿宋_GB2312" w:hAnsi="宋体" w:eastAsia="仿宋_GB2312" w:cs="宋体"/>
          <w:color w:val="auto"/>
          <w:highlight w:val="none"/>
        </w:rPr>
        <w:t>项目验收方案。</w:t>
      </w:r>
      <w:bookmarkEnd w:id="72"/>
    </w:p>
    <w:p>
      <w:pPr>
        <w:snapToGrid w:val="0"/>
        <w:spacing w:line="640" w:lineRule="exact"/>
        <w:jc w:val="left"/>
        <w:outlineLvl w:val="0"/>
        <w:rPr>
          <w:rFonts w:ascii="黑体" w:hAnsi="黑体" w:eastAsia="黑体" w:cs="黑体"/>
          <w:color w:val="auto"/>
          <w:sz w:val="32"/>
          <w:szCs w:val="32"/>
          <w:highlight w:val="none"/>
        </w:rPr>
      </w:pPr>
      <w:bookmarkStart w:id="73" w:name="_Toc124754503"/>
      <w:r>
        <w:rPr>
          <w:rFonts w:hint="eastAsia" w:ascii="黑体" w:hAnsi="黑体" w:eastAsia="黑体" w:cs="黑体"/>
          <w:color w:val="auto"/>
          <w:sz w:val="32"/>
          <w:szCs w:val="32"/>
          <w:highlight w:val="none"/>
        </w:rPr>
        <w:t>六、项目技术支持服务要求</w:t>
      </w:r>
      <w:bookmarkEnd w:id="73"/>
    </w:p>
    <w:p>
      <w:pPr>
        <w:widowControl/>
        <w:adjustRightInd w:val="0"/>
        <w:snapToGrid w:val="0"/>
        <w:spacing w:line="560" w:lineRule="exact"/>
        <w:ind w:firstLine="480" w:firstLineChars="200"/>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售后服务的范围包括本项目所涉及的所有软硬件（含固件、系统微码）产品。售后服务时间为自试运行验收合格起3年，并提供每年至少一次的技术培训（免费提供师资）。</w:t>
      </w:r>
    </w:p>
    <w:p>
      <w:pPr>
        <w:widowControl/>
        <w:adjustRightInd w:val="0"/>
        <w:snapToGrid w:val="0"/>
        <w:spacing w:line="560" w:lineRule="exact"/>
        <w:ind w:firstLine="480" w:firstLineChars="200"/>
        <w:outlineLvl w:val="1"/>
        <w:rPr>
          <w:rFonts w:ascii="仿宋_GB2312" w:hAnsi="宋体" w:eastAsia="仿宋_GB2312" w:cs="Tahoma"/>
          <w:color w:val="auto"/>
          <w:kern w:val="0"/>
          <w:sz w:val="24"/>
          <w:highlight w:val="none"/>
        </w:rPr>
      </w:pPr>
      <w:r>
        <w:rPr>
          <w:rFonts w:hint="eastAsia" w:ascii="仿宋_GB2312" w:hAnsi="宋体" w:eastAsia="仿宋_GB2312" w:cs="宋体"/>
          <w:color w:val="auto"/>
          <w:kern w:val="0"/>
          <w:sz w:val="24"/>
          <w:highlight w:val="none"/>
        </w:rPr>
        <w:t>(一)服务基本要求</w:t>
      </w:r>
    </w:p>
    <w:p>
      <w:pPr>
        <w:widowControl/>
        <w:adjustRightInd w:val="0"/>
        <w:snapToGrid w:val="0"/>
        <w:spacing w:line="560" w:lineRule="exact"/>
        <w:ind w:firstLine="480" w:firstLineChars="200"/>
        <w:outlineLvl w:val="2"/>
        <w:rPr>
          <w:rFonts w:ascii="仿宋_GB2312" w:hAnsi="宋体" w:eastAsia="仿宋_GB2312" w:cs="Tahoma"/>
          <w:color w:val="auto"/>
          <w:kern w:val="0"/>
          <w:sz w:val="24"/>
          <w:highlight w:val="none"/>
        </w:rPr>
      </w:pPr>
      <w:r>
        <w:rPr>
          <w:rFonts w:hint="eastAsia" w:ascii="仿宋_GB2312" w:hAnsi="宋体" w:eastAsia="仿宋_GB2312" w:cs="宋体"/>
          <w:color w:val="auto"/>
          <w:kern w:val="0"/>
          <w:sz w:val="24"/>
          <w:highlight w:val="none"/>
        </w:rPr>
        <w:t>1.对供应商的服务要求</w:t>
      </w:r>
    </w:p>
    <w:p>
      <w:pPr>
        <w:widowControl/>
        <w:adjustRightInd w:val="0"/>
        <w:snapToGrid w:val="0"/>
        <w:spacing w:line="560" w:lineRule="exact"/>
        <w:ind w:firstLine="480" w:firstLineChars="200"/>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供应商必须有完善的技术支持服务体系，能够提供统一快捷的服务。供应商应配置不少于2人的由专业技术支持人员组成的技术支持队伍负责本项目的日常维护；现场实施人员应具备同品牌同档次存储软硬件维护工作经验。</w:t>
      </w:r>
    </w:p>
    <w:p>
      <w:pPr>
        <w:widowControl/>
        <w:adjustRightInd w:val="0"/>
        <w:snapToGrid w:val="0"/>
        <w:spacing w:line="560" w:lineRule="exact"/>
        <w:ind w:firstLine="480" w:firstLineChars="200"/>
        <w:rPr>
          <w:rFonts w:ascii="仿宋_GB2312" w:hAnsi="宋体" w:eastAsia="仿宋_GB2312" w:cs="Tahoma"/>
          <w:color w:val="auto"/>
          <w:kern w:val="0"/>
          <w:sz w:val="24"/>
          <w:highlight w:val="none"/>
        </w:rPr>
      </w:pPr>
      <w:r>
        <w:rPr>
          <w:rFonts w:hint="eastAsia" w:ascii="仿宋_GB2312" w:hAnsi="宋体" w:eastAsia="仿宋_GB2312" w:cs="宋体"/>
          <w:color w:val="auto"/>
          <w:kern w:val="0"/>
          <w:sz w:val="24"/>
          <w:highlight w:val="none"/>
        </w:rPr>
        <w:t>在服务期内，供应商应指定专人作为统一提供服务的接口人，负责响应、协调、处理用户的具体服务需求，协助进行管理等。</w:t>
      </w:r>
    </w:p>
    <w:p>
      <w:pPr>
        <w:widowControl/>
        <w:adjustRightInd w:val="0"/>
        <w:snapToGrid w:val="0"/>
        <w:spacing w:line="560" w:lineRule="exact"/>
        <w:ind w:firstLine="480" w:firstLineChars="200"/>
        <w:rPr>
          <w:rFonts w:ascii="仿宋_GB2312" w:hAnsi="宋体" w:eastAsia="仿宋_GB2312" w:cs="Tahoma"/>
          <w:color w:val="auto"/>
          <w:kern w:val="0"/>
          <w:sz w:val="24"/>
          <w:highlight w:val="none"/>
        </w:rPr>
      </w:pPr>
      <w:r>
        <w:rPr>
          <w:rFonts w:hint="eastAsia" w:ascii="仿宋_GB2312" w:hAnsi="宋体" w:eastAsia="仿宋_GB2312" w:cs="宋体"/>
          <w:color w:val="auto"/>
          <w:kern w:val="0"/>
          <w:sz w:val="24"/>
          <w:highlight w:val="none"/>
        </w:rPr>
        <w:t>在服务期内供应商必须每季度提供至少1次设备巡检并于事后提交巡检报告，对软硬件产品（含固件、系统微码）提供3年全免费技术支持与售后服务。</w:t>
      </w:r>
    </w:p>
    <w:p>
      <w:pPr>
        <w:widowControl/>
        <w:adjustRightInd w:val="0"/>
        <w:snapToGrid w:val="0"/>
        <w:spacing w:line="560" w:lineRule="exact"/>
        <w:ind w:firstLine="480" w:firstLineChars="200"/>
        <w:outlineLvl w:val="2"/>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2.服务期内数据迁移</w:t>
      </w:r>
    </w:p>
    <w:p>
      <w:pPr>
        <w:widowControl/>
        <w:adjustRightInd w:val="0"/>
        <w:snapToGrid w:val="0"/>
        <w:spacing w:line="560" w:lineRule="exact"/>
        <w:ind w:firstLine="480" w:firstLineChars="200"/>
        <w:rPr>
          <w:rFonts w:ascii="仿宋_GB2312" w:hAnsi="宋体" w:eastAsia="仿宋_GB2312" w:cs="Tahoma"/>
          <w:color w:val="auto"/>
          <w:kern w:val="0"/>
          <w:sz w:val="24"/>
          <w:highlight w:val="none"/>
        </w:rPr>
      </w:pPr>
      <w:r>
        <w:rPr>
          <w:rFonts w:hint="eastAsia" w:ascii="仿宋_GB2312" w:hAnsi="宋体" w:eastAsia="仿宋_GB2312" w:cs="宋体"/>
          <w:color w:val="auto"/>
          <w:kern w:val="0"/>
          <w:sz w:val="24"/>
          <w:highlight w:val="none"/>
        </w:rPr>
        <w:t>包括但不限于所有软硬件的安装、部署、联调、迁移等集成实施工作；负责软件在硬件上的部署；负责光纤交换机的ZONE划分和ZONE变更；根据采购人要求完成部分业务从其他存储至新存储的在线数据热迁移和存储设备整机搬迁服务，且不限于现有机房内；配合业务系统厂商对业务系统进行加载、测试、试运行、性能调优；根据采购人要求完成监控系统采集存储设备性能数据等联调测试工作；确保设备与采购人现有环境无缝整合并满足相关工作需要。</w:t>
      </w:r>
    </w:p>
    <w:p>
      <w:pPr>
        <w:widowControl/>
        <w:adjustRightInd w:val="0"/>
        <w:snapToGrid w:val="0"/>
        <w:spacing w:line="560" w:lineRule="exact"/>
        <w:ind w:firstLine="480" w:firstLineChars="200"/>
        <w:rPr>
          <w:rFonts w:ascii="仿宋_GB2312" w:hAnsi="宋体" w:eastAsia="仿宋_GB2312" w:cs="Tahoma"/>
          <w:color w:val="auto"/>
          <w:kern w:val="0"/>
          <w:sz w:val="24"/>
          <w:highlight w:val="none"/>
        </w:rPr>
      </w:pPr>
      <w:r>
        <w:rPr>
          <w:rFonts w:hint="eastAsia" w:ascii="仿宋_GB2312" w:hAnsi="宋体" w:eastAsia="仿宋_GB2312" w:cs="宋体"/>
          <w:color w:val="auto"/>
          <w:kern w:val="0"/>
          <w:sz w:val="24"/>
          <w:highlight w:val="none"/>
        </w:rPr>
        <w:t>在服务方案中应分别描述系统集成、数据迁移等相关工作的具体工作内容和各项具体方案，以及项目的组织和管理、投入人员、人员简介、工作日程等内容，日程应涵盖到货、现场安装、系统联调、系统试运行。</w:t>
      </w:r>
    </w:p>
    <w:p>
      <w:pPr>
        <w:widowControl/>
        <w:adjustRightInd w:val="0"/>
        <w:snapToGrid w:val="0"/>
        <w:spacing w:line="560" w:lineRule="exact"/>
        <w:ind w:firstLine="480" w:firstLineChars="200"/>
        <w:outlineLvl w:val="2"/>
        <w:rPr>
          <w:rFonts w:ascii="仿宋_GB2312" w:hAnsi="宋体" w:eastAsia="仿宋_GB2312" w:cs="Tahoma"/>
          <w:color w:val="auto"/>
          <w:kern w:val="0"/>
          <w:sz w:val="24"/>
          <w:highlight w:val="none"/>
        </w:rPr>
      </w:pPr>
      <w:r>
        <w:rPr>
          <w:rFonts w:hint="eastAsia" w:ascii="仿宋_GB2312" w:hAnsi="宋体" w:eastAsia="仿宋_GB2312" w:cs="宋体"/>
          <w:color w:val="auto"/>
          <w:kern w:val="0"/>
          <w:sz w:val="24"/>
          <w:highlight w:val="none"/>
        </w:rPr>
        <w:t>3.现场服务</w:t>
      </w:r>
    </w:p>
    <w:p>
      <w:pPr>
        <w:widowControl/>
        <w:adjustRightInd w:val="0"/>
        <w:snapToGrid w:val="0"/>
        <w:spacing w:line="560" w:lineRule="exact"/>
        <w:ind w:firstLine="480" w:firstLineChars="200"/>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xml:space="preserve">根据用户需求每年提供不限次数的以下现场人工服务： </w:t>
      </w:r>
    </w:p>
    <w:p>
      <w:pPr>
        <w:widowControl/>
        <w:adjustRightInd w:val="0"/>
        <w:snapToGrid w:val="0"/>
        <w:spacing w:line="560" w:lineRule="exact"/>
        <w:ind w:firstLine="480" w:firstLineChars="200"/>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1）提供在业务系统或系统平台（包括计算、存储、网络和系统软件等方面）上线、变更、运行、灾备、故障时，所涉及的与本次采购存储设备相关的故障解决或配置变更、系统优化调整等技术支持服务和值守服务；</w:t>
      </w:r>
    </w:p>
    <w:p>
      <w:pPr>
        <w:widowControl/>
        <w:adjustRightInd w:val="0"/>
        <w:snapToGrid w:val="0"/>
        <w:spacing w:line="560" w:lineRule="exact"/>
        <w:ind w:firstLine="480" w:firstLineChars="200"/>
        <w:rPr>
          <w:rFonts w:ascii="仿宋_GB2312" w:hAnsi="宋体" w:eastAsia="仿宋_GB2312" w:cs="Tahoma"/>
          <w:color w:val="auto"/>
          <w:kern w:val="0"/>
          <w:sz w:val="24"/>
          <w:highlight w:val="none"/>
        </w:rPr>
      </w:pPr>
      <w:r>
        <w:rPr>
          <w:rFonts w:hint="eastAsia" w:ascii="仿宋_GB2312" w:hAnsi="宋体" w:eastAsia="仿宋_GB2312" w:cs="宋体"/>
          <w:color w:val="auto"/>
          <w:kern w:val="0"/>
          <w:sz w:val="24"/>
          <w:highlight w:val="none"/>
        </w:rPr>
        <w:t>（2）在服务期内提供与本项目相关的技术咨询服务。</w:t>
      </w:r>
    </w:p>
    <w:p>
      <w:pPr>
        <w:widowControl/>
        <w:adjustRightInd w:val="0"/>
        <w:snapToGrid w:val="0"/>
        <w:spacing w:line="560" w:lineRule="exact"/>
        <w:ind w:firstLine="480" w:firstLineChars="200"/>
        <w:outlineLvl w:val="1"/>
        <w:rPr>
          <w:rFonts w:ascii="仿宋_GB2312" w:hAnsi="宋体" w:eastAsia="仿宋_GB2312" w:cs="Tahoma"/>
          <w:color w:val="auto"/>
          <w:kern w:val="0"/>
          <w:sz w:val="24"/>
          <w:highlight w:val="none"/>
        </w:rPr>
      </w:pPr>
      <w:r>
        <w:rPr>
          <w:rFonts w:hint="eastAsia" w:ascii="仿宋_GB2312" w:hAnsi="宋体" w:eastAsia="仿宋_GB2312" w:cs="宋体"/>
          <w:color w:val="auto"/>
          <w:kern w:val="0"/>
          <w:sz w:val="24"/>
          <w:highlight w:val="none"/>
        </w:rPr>
        <w:t>(二)服务质量要求</w:t>
      </w:r>
    </w:p>
    <w:p>
      <w:pPr>
        <w:widowControl/>
        <w:adjustRightInd w:val="0"/>
        <w:snapToGrid w:val="0"/>
        <w:spacing w:line="560" w:lineRule="exact"/>
        <w:ind w:firstLine="480" w:firstLineChars="200"/>
        <w:outlineLvl w:val="2"/>
        <w:rPr>
          <w:rFonts w:ascii="仿宋_GB2312" w:hAnsi="宋体" w:eastAsia="仿宋_GB2312" w:cs="Tahoma"/>
          <w:color w:val="auto"/>
          <w:kern w:val="0"/>
          <w:sz w:val="24"/>
          <w:highlight w:val="none"/>
        </w:rPr>
      </w:pPr>
      <w:r>
        <w:rPr>
          <w:rFonts w:hint="eastAsia" w:ascii="仿宋_GB2312" w:hAnsi="宋体" w:eastAsia="仿宋_GB2312" w:cs="宋体"/>
          <w:color w:val="auto"/>
          <w:kern w:val="0"/>
          <w:sz w:val="24"/>
          <w:highlight w:val="none"/>
        </w:rPr>
        <w:t>1.服务方式</w:t>
      </w:r>
    </w:p>
    <w:p>
      <w:pPr>
        <w:widowControl/>
        <w:adjustRightInd w:val="0"/>
        <w:snapToGrid w:val="0"/>
        <w:spacing w:line="560" w:lineRule="exact"/>
        <w:ind w:firstLine="480" w:firstLineChars="200"/>
        <w:rPr>
          <w:rFonts w:ascii="仿宋_GB2312" w:hAnsi="宋体" w:eastAsia="仿宋_GB2312" w:cs="Tahoma"/>
          <w:color w:val="auto"/>
          <w:kern w:val="0"/>
          <w:sz w:val="24"/>
          <w:highlight w:val="none"/>
        </w:rPr>
      </w:pPr>
      <w:r>
        <w:rPr>
          <w:rFonts w:hint="eastAsia" w:ascii="仿宋_GB2312" w:hAnsi="宋体" w:eastAsia="仿宋_GB2312" w:cs="宋体"/>
          <w:color w:val="auto"/>
          <w:kern w:val="0"/>
          <w:sz w:val="24"/>
          <w:highlight w:val="none"/>
        </w:rPr>
        <w:t>设备原厂商需在国内设有800/400技术服务热线、E-Mail和Internet网站等技术支持方式，并应建立提供专门的服务号码和账户，存储设备供应商须提供7×24小时专业技术支持人员电话响应服务。能够在互联网站上查询、下载技术资料、提交问题并获得支持。需要时必须免费提供现场服务。</w:t>
      </w:r>
    </w:p>
    <w:p>
      <w:pPr>
        <w:widowControl/>
        <w:adjustRightInd w:val="0"/>
        <w:snapToGrid w:val="0"/>
        <w:spacing w:line="560" w:lineRule="exact"/>
        <w:ind w:firstLine="480" w:firstLineChars="200"/>
        <w:outlineLvl w:val="2"/>
        <w:rPr>
          <w:rFonts w:ascii="仿宋_GB2312" w:hAnsi="宋体" w:eastAsia="仿宋_GB2312" w:cs="Tahoma"/>
          <w:color w:val="auto"/>
          <w:kern w:val="0"/>
          <w:sz w:val="24"/>
          <w:highlight w:val="none"/>
        </w:rPr>
      </w:pPr>
      <w:r>
        <w:rPr>
          <w:rFonts w:hint="eastAsia" w:ascii="仿宋_GB2312" w:hAnsi="宋体" w:eastAsia="仿宋_GB2312" w:cs="宋体"/>
          <w:color w:val="auto"/>
          <w:kern w:val="0"/>
          <w:sz w:val="24"/>
          <w:highlight w:val="none"/>
        </w:rPr>
        <w:t>2.响应时间</w:t>
      </w:r>
    </w:p>
    <w:p>
      <w:pPr>
        <w:widowControl/>
        <w:adjustRightInd w:val="0"/>
        <w:snapToGrid w:val="0"/>
        <w:spacing w:line="560" w:lineRule="exact"/>
        <w:ind w:firstLine="480" w:firstLineChars="200"/>
        <w:rPr>
          <w:rFonts w:ascii="仿宋_GB2312" w:hAnsi="宋体" w:eastAsia="仿宋_GB2312" w:cs="Tahoma"/>
          <w:color w:val="auto"/>
          <w:kern w:val="0"/>
          <w:sz w:val="24"/>
          <w:highlight w:val="none"/>
        </w:rPr>
      </w:pPr>
      <w:r>
        <w:rPr>
          <w:rFonts w:hint="eastAsia" w:ascii="仿宋_GB2312" w:hAnsi="宋体" w:eastAsia="仿宋_GB2312" w:cs="宋体"/>
          <w:color w:val="auto"/>
          <w:kern w:val="0"/>
          <w:sz w:val="24"/>
          <w:highlight w:val="none"/>
        </w:rPr>
        <w:t>（1）电话服务请求的响应时间应少于半小时，实行“一站式”服务，即一点受理后负责全程跟踪服务；</w:t>
      </w:r>
    </w:p>
    <w:p>
      <w:pPr>
        <w:widowControl/>
        <w:adjustRightInd w:val="0"/>
        <w:snapToGrid w:val="0"/>
        <w:spacing w:afterLines="100" w:line="560" w:lineRule="exact"/>
        <w:ind w:firstLine="480" w:firstLineChars="200"/>
        <w:rPr>
          <w:rFonts w:ascii="仿宋_GB2312" w:hAnsi="宋体" w:eastAsia="仿宋_GB2312" w:cs="Tahoma"/>
          <w:color w:val="auto"/>
          <w:kern w:val="0"/>
          <w:sz w:val="24"/>
          <w:highlight w:val="none"/>
        </w:rPr>
      </w:pPr>
      <w:r>
        <w:rPr>
          <w:rFonts w:hint="eastAsia" w:ascii="仿宋_GB2312" w:hAnsi="宋体" w:eastAsia="仿宋_GB2312" w:cs="宋体"/>
          <w:color w:val="auto"/>
          <w:kern w:val="0"/>
          <w:sz w:val="24"/>
          <w:highlight w:val="none"/>
        </w:rPr>
        <w:t>（2）专业技术人员必须在2小时内到达设备现场，并对采购人所提出的服务要求作出实质性响应，应按照下表要求对采购人的故障报修进行响应：</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3428"/>
        <w:gridCol w:w="1575"/>
        <w:gridCol w:w="141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pPr>
              <w:widowControl/>
              <w:tabs>
                <w:tab w:val="left" w:pos="0"/>
              </w:tabs>
              <w:adjustRightInd w:val="0"/>
              <w:snapToGrid w:val="0"/>
              <w:spacing w:after="200" w:line="300" w:lineRule="auto"/>
              <w:jc w:val="center"/>
              <w:rPr>
                <w:rFonts w:ascii="仿宋_GB2312" w:hAnsi="宋体" w:eastAsia="仿宋_GB2312" w:cs="Tahoma"/>
                <w:color w:val="auto"/>
                <w:kern w:val="0"/>
                <w:sz w:val="24"/>
                <w:highlight w:val="none"/>
              </w:rPr>
            </w:pPr>
            <w:r>
              <w:rPr>
                <w:rFonts w:hint="eastAsia" w:ascii="仿宋_GB2312" w:hAnsi="宋体" w:eastAsia="仿宋_GB2312" w:cs="宋体"/>
                <w:color w:val="auto"/>
                <w:kern w:val="0"/>
                <w:sz w:val="24"/>
                <w:highlight w:val="none"/>
              </w:rPr>
              <w:t>序号</w:t>
            </w:r>
          </w:p>
        </w:tc>
        <w:tc>
          <w:tcPr>
            <w:tcW w:w="3428" w:type="dxa"/>
            <w:vAlign w:val="center"/>
          </w:tcPr>
          <w:p>
            <w:pPr>
              <w:widowControl/>
              <w:tabs>
                <w:tab w:val="left" w:pos="0"/>
              </w:tabs>
              <w:adjustRightInd w:val="0"/>
              <w:snapToGrid w:val="0"/>
              <w:spacing w:after="200" w:line="300" w:lineRule="auto"/>
              <w:jc w:val="center"/>
              <w:rPr>
                <w:rFonts w:ascii="仿宋_GB2312" w:hAnsi="宋体" w:eastAsia="仿宋_GB2312" w:cs="Tahoma"/>
                <w:color w:val="auto"/>
                <w:kern w:val="0"/>
                <w:sz w:val="24"/>
                <w:highlight w:val="none"/>
              </w:rPr>
            </w:pPr>
            <w:r>
              <w:rPr>
                <w:rFonts w:hint="eastAsia" w:ascii="仿宋_GB2312" w:hAnsi="宋体" w:eastAsia="仿宋_GB2312" w:cs="宋体"/>
                <w:color w:val="auto"/>
                <w:kern w:val="0"/>
                <w:sz w:val="24"/>
                <w:highlight w:val="none"/>
              </w:rPr>
              <w:t>故障级别（严重程度）</w:t>
            </w:r>
          </w:p>
        </w:tc>
        <w:tc>
          <w:tcPr>
            <w:tcW w:w="1575" w:type="dxa"/>
            <w:vAlign w:val="center"/>
          </w:tcPr>
          <w:p>
            <w:pPr>
              <w:widowControl/>
              <w:tabs>
                <w:tab w:val="left" w:pos="0"/>
              </w:tabs>
              <w:adjustRightInd w:val="0"/>
              <w:snapToGrid w:val="0"/>
              <w:spacing w:after="200" w:line="300" w:lineRule="auto"/>
              <w:jc w:val="center"/>
              <w:rPr>
                <w:rFonts w:ascii="仿宋_GB2312" w:hAnsi="宋体" w:eastAsia="仿宋_GB2312" w:cs="Tahoma"/>
                <w:color w:val="auto"/>
                <w:kern w:val="0"/>
                <w:sz w:val="24"/>
                <w:highlight w:val="none"/>
              </w:rPr>
            </w:pPr>
            <w:r>
              <w:rPr>
                <w:rFonts w:hint="eastAsia" w:ascii="仿宋_GB2312" w:hAnsi="宋体" w:eastAsia="仿宋_GB2312" w:cs="宋体"/>
                <w:color w:val="auto"/>
                <w:kern w:val="0"/>
                <w:sz w:val="24"/>
                <w:highlight w:val="none"/>
              </w:rPr>
              <w:t>响应时间</w:t>
            </w:r>
          </w:p>
        </w:tc>
        <w:tc>
          <w:tcPr>
            <w:tcW w:w="1418" w:type="dxa"/>
            <w:vAlign w:val="center"/>
          </w:tcPr>
          <w:p>
            <w:pPr>
              <w:widowControl/>
              <w:tabs>
                <w:tab w:val="left" w:pos="0"/>
              </w:tabs>
              <w:adjustRightInd w:val="0"/>
              <w:snapToGrid w:val="0"/>
              <w:spacing w:after="200" w:line="300" w:lineRule="auto"/>
              <w:jc w:val="center"/>
              <w:rPr>
                <w:rFonts w:ascii="仿宋_GB2312" w:hAnsi="宋体" w:eastAsia="仿宋_GB2312" w:cs="Tahoma"/>
                <w:color w:val="auto"/>
                <w:kern w:val="0"/>
                <w:sz w:val="24"/>
                <w:highlight w:val="none"/>
              </w:rPr>
            </w:pPr>
            <w:r>
              <w:rPr>
                <w:rFonts w:hint="eastAsia" w:ascii="仿宋_GB2312" w:hAnsi="宋体" w:eastAsia="仿宋_GB2312" w:cs="宋体"/>
                <w:color w:val="auto"/>
                <w:kern w:val="0"/>
                <w:sz w:val="24"/>
                <w:highlight w:val="none"/>
              </w:rPr>
              <w:t>到达现场时间</w:t>
            </w:r>
          </w:p>
        </w:tc>
        <w:tc>
          <w:tcPr>
            <w:tcW w:w="1417" w:type="dxa"/>
            <w:vAlign w:val="center"/>
          </w:tcPr>
          <w:p>
            <w:pPr>
              <w:widowControl/>
              <w:tabs>
                <w:tab w:val="left" w:pos="0"/>
              </w:tabs>
              <w:adjustRightInd w:val="0"/>
              <w:snapToGrid w:val="0"/>
              <w:spacing w:after="200" w:line="300" w:lineRule="auto"/>
              <w:jc w:val="center"/>
              <w:rPr>
                <w:rFonts w:ascii="仿宋_GB2312" w:hAnsi="宋体" w:eastAsia="仿宋_GB2312" w:cs="Tahoma"/>
                <w:color w:val="auto"/>
                <w:kern w:val="0"/>
                <w:sz w:val="24"/>
                <w:highlight w:val="none"/>
              </w:rPr>
            </w:pPr>
            <w:r>
              <w:rPr>
                <w:rFonts w:hint="eastAsia" w:ascii="仿宋_GB2312" w:hAnsi="宋体" w:eastAsia="仿宋_GB2312" w:cs="宋体"/>
                <w:color w:val="auto"/>
                <w:kern w:val="0"/>
                <w:sz w:val="24"/>
                <w:highlight w:val="none"/>
              </w:rPr>
              <w:t>故障解决时间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pPr>
              <w:widowControl/>
              <w:tabs>
                <w:tab w:val="left" w:pos="0"/>
              </w:tabs>
              <w:adjustRightInd w:val="0"/>
              <w:snapToGrid w:val="0"/>
              <w:spacing w:after="200" w:line="300" w:lineRule="auto"/>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1</w:t>
            </w:r>
          </w:p>
        </w:tc>
        <w:tc>
          <w:tcPr>
            <w:tcW w:w="3428" w:type="dxa"/>
            <w:vAlign w:val="center"/>
          </w:tcPr>
          <w:p>
            <w:pPr>
              <w:widowControl/>
              <w:tabs>
                <w:tab w:val="left" w:pos="0"/>
              </w:tabs>
              <w:adjustRightInd w:val="0"/>
              <w:snapToGrid w:val="0"/>
              <w:spacing w:after="200" w:line="300" w:lineRule="auto"/>
              <w:jc w:val="left"/>
              <w:rPr>
                <w:rFonts w:ascii="仿宋_GB2312" w:hAnsi="宋体" w:eastAsia="仿宋_GB2312" w:cs="Tahoma"/>
                <w:color w:val="auto"/>
                <w:kern w:val="0"/>
                <w:sz w:val="24"/>
                <w:highlight w:val="none"/>
              </w:rPr>
            </w:pPr>
            <w:r>
              <w:rPr>
                <w:rFonts w:hint="eastAsia" w:ascii="仿宋_GB2312" w:hAnsi="宋体" w:eastAsia="仿宋_GB2312" w:cs="宋体"/>
                <w:color w:val="auto"/>
                <w:kern w:val="0"/>
                <w:sz w:val="24"/>
                <w:highlight w:val="none"/>
              </w:rPr>
              <w:t>系统瘫痪，业务系统不能运转的</w:t>
            </w:r>
          </w:p>
        </w:tc>
        <w:tc>
          <w:tcPr>
            <w:tcW w:w="1575" w:type="dxa"/>
            <w:vAlign w:val="center"/>
          </w:tcPr>
          <w:p>
            <w:pPr>
              <w:widowControl/>
              <w:tabs>
                <w:tab w:val="left" w:pos="0"/>
              </w:tabs>
              <w:adjustRightInd w:val="0"/>
              <w:snapToGrid w:val="0"/>
              <w:spacing w:after="200" w:line="300" w:lineRule="auto"/>
              <w:jc w:val="center"/>
              <w:rPr>
                <w:rFonts w:ascii="仿宋_GB2312" w:hAnsi="宋体" w:eastAsia="仿宋_GB2312" w:cs="Tahoma"/>
                <w:color w:val="auto"/>
                <w:kern w:val="0"/>
                <w:sz w:val="24"/>
                <w:highlight w:val="none"/>
              </w:rPr>
            </w:pPr>
            <w:r>
              <w:rPr>
                <w:rFonts w:hint="eastAsia" w:ascii="仿宋_GB2312" w:hAnsi="宋体" w:eastAsia="仿宋_GB2312" w:cs="宋体"/>
                <w:color w:val="auto"/>
                <w:kern w:val="0"/>
                <w:sz w:val="24"/>
                <w:highlight w:val="none"/>
              </w:rPr>
              <w:t>报修后半小时内</w:t>
            </w:r>
          </w:p>
        </w:tc>
        <w:tc>
          <w:tcPr>
            <w:tcW w:w="1418" w:type="dxa"/>
            <w:vAlign w:val="center"/>
          </w:tcPr>
          <w:p>
            <w:pPr>
              <w:widowControl/>
              <w:tabs>
                <w:tab w:val="left" w:pos="0"/>
              </w:tabs>
              <w:adjustRightInd w:val="0"/>
              <w:snapToGrid w:val="0"/>
              <w:spacing w:after="200" w:line="300" w:lineRule="auto"/>
              <w:jc w:val="center"/>
              <w:rPr>
                <w:rFonts w:ascii="仿宋_GB2312" w:hAnsi="宋体" w:eastAsia="仿宋_GB2312" w:cs="Tahoma"/>
                <w:color w:val="auto"/>
                <w:kern w:val="0"/>
                <w:sz w:val="24"/>
                <w:highlight w:val="none"/>
              </w:rPr>
            </w:pPr>
            <w:r>
              <w:rPr>
                <w:rFonts w:hint="eastAsia" w:ascii="仿宋_GB2312" w:hAnsi="宋体" w:eastAsia="仿宋_GB2312" w:cs="宋体"/>
                <w:color w:val="auto"/>
                <w:kern w:val="0"/>
                <w:sz w:val="24"/>
                <w:highlight w:val="none"/>
              </w:rPr>
              <w:t>报修后2小时内</w:t>
            </w:r>
          </w:p>
        </w:tc>
        <w:tc>
          <w:tcPr>
            <w:tcW w:w="1417" w:type="dxa"/>
            <w:vAlign w:val="center"/>
          </w:tcPr>
          <w:p>
            <w:pPr>
              <w:widowControl/>
              <w:tabs>
                <w:tab w:val="left" w:pos="0"/>
              </w:tabs>
              <w:adjustRightInd w:val="0"/>
              <w:snapToGrid w:val="0"/>
              <w:spacing w:after="200" w:line="300" w:lineRule="auto"/>
              <w:jc w:val="center"/>
              <w:rPr>
                <w:rFonts w:ascii="仿宋_GB2312" w:hAnsi="宋体" w:eastAsia="仿宋_GB2312" w:cs="Tahoma"/>
                <w:color w:val="auto"/>
                <w:kern w:val="0"/>
                <w:sz w:val="24"/>
                <w:highlight w:val="none"/>
              </w:rPr>
            </w:pPr>
            <w:r>
              <w:rPr>
                <w:rFonts w:hint="eastAsia" w:ascii="仿宋_GB2312" w:hAnsi="宋体" w:eastAsia="仿宋_GB2312" w:cs="宋体"/>
                <w:color w:val="auto"/>
                <w:kern w:val="0"/>
                <w:sz w:val="24"/>
                <w:highlight w:val="none"/>
              </w:rPr>
              <w:t>报修后4小时内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pPr>
              <w:widowControl/>
              <w:tabs>
                <w:tab w:val="left" w:pos="0"/>
              </w:tabs>
              <w:adjustRightInd w:val="0"/>
              <w:snapToGrid w:val="0"/>
              <w:spacing w:after="200" w:line="300" w:lineRule="auto"/>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2</w:t>
            </w:r>
          </w:p>
        </w:tc>
        <w:tc>
          <w:tcPr>
            <w:tcW w:w="3428" w:type="dxa"/>
            <w:vAlign w:val="center"/>
          </w:tcPr>
          <w:p>
            <w:pPr>
              <w:widowControl/>
              <w:tabs>
                <w:tab w:val="left" w:pos="0"/>
              </w:tabs>
              <w:adjustRightInd w:val="0"/>
              <w:snapToGrid w:val="0"/>
              <w:spacing w:after="200" w:line="300" w:lineRule="auto"/>
              <w:jc w:val="left"/>
              <w:rPr>
                <w:rFonts w:ascii="仿宋_GB2312" w:hAnsi="宋体" w:eastAsia="仿宋_GB2312" w:cs="Tahoma"/>
                <w:color w:val="auto"/>
                <w:kern w:val="0"/>
                <w:sz w:val="24"/>
                <w:highlight w:val="none"/>
              </w:rPr>
            </w:pPr>
            <w:r>
              <w:rPr>
                <w:rFonts w:hint="eastAsia" w:ascii="仿宋_GB2312" w:hAnsi="宋体" w:eastAsia="仿宋_GB2312" w:cs="宋体"/>
                <w:color w:val="auto"/>
                <w:kern w:val="0"/>
                <w:sz w:val="24"/>
                <w:highlight w:val="none"/>
              </w:rPr>
              <w:t>系统部分出现故障，业务系统仍能运转</w:t>
            </w:r>
          </w:p>
        </w:tc>
        <w:tc>
          <w:tcPr>
            <w:tcW w:w="1575" w:type="dxa"/>
            <w:vAlign w:val="center"/>
          </w:tcPr>
          <w:p>
            <w:pPr>
              <w:widowControl/>
              <w:tabs>
                <w:tab w:val="left" w:pos="0"/>
              </w:tabs>
              <w:adjustRightInd w:val="0"/>
              <w:snapToGrid w:val="0"/>
              <w:spacing w:after="200" w:line="300" w:lineRule="auto"/>
              <w:jc w:val="center"/>
              <w:rPr>
                <w:rFonts w:ascii="仿宋_GB2312" w:hAnsi="宋体" w:eastAsia="仿宋_GB2312" w:cs="Tahoma"/>
                <w:color w:val="auto"/>
                <w:kern w:val="0"/>
                <w:sz w:val="24"/>
                <w:highlight w:val="none"/>
              </w:rPr>
            </w:pPr>
            <w:r>
              <w:rPr>
                <w:rFonts w:hint="eastAsia" w:ascii="仿宋_GB2312" w:hAnsi="宋体" w:eastAsia="仿宋_GB2312" w:cs="宋体"/>
                <w:color w:val="auto"/>
                <w:kern w:val="0"/>
                <w:sz w:val="24"/>
                <w:highlight w:val="none"/>
              </w:rPr>
              <w:t>报修后半小时内</w:t>
            </w:r>
          </w:p>
        </w:tc>
        <w:tc>
          <w:tcPr>
            <w:tcW w:w="1418" w:type="dxa"/>
            <w:vAlign w:val="center"/>
          </w:tcPr>
          <w:p>
            <w:pPr>
              <w:widowControl/>
              <w:tabs>
                <w:tab w:val="left" w:pos="0"/>
              </w:tabs>
              <w:adjustRightInd w:val="0"/>
              <w:snapToGrid w:val="0"/>
              <w:spacing w:after="200" w:line="300" w:lineRule="auto"/>
              <w:jc w:val="center"/>
              <w:rPr>
                <w:rFonts w:ascii="仿宋_GB2312" w:hAnsi="宋体" w:eastAsia="仿宋_GB2312" w:cs="Tahoma"/>
                <w:color w:val="auto"/>
                <w:kern w:val="0"/>
                <w:sz w:val="24"/>
                <w:highlight w:val="none"/>
              </w:rPr>
            </w:pPr>
            <w:r>
              <w:rPr>
                <w:rFonts w:hint="eastAsia" w:ascii="仿宋_GB2312" w:hAnsi="宋体" w:eastAsia="仿宋_GB2312" w:cs="宋体"/>
                <w:color w:val="auto"/>
                <w:kern w:val="0"/>
                <w:sz w:val="24"/>
                <w:highlight w:val="none"/>
              </w:rPr>
              <w:t>报修后2小时内</w:t>
            </w:r>
          </w:p>
        </w:tc>
        <w:tc>
          <w:tcPr>
            <w:tcW w:w="1417" w:type="dxa"/>
            <w:vAlign w:val="center"/>
          </w:tcPr>
          <w:p>
            <w:pPr>
              <w:widowControl/>
              <w:tabs>
                <w:tab w:val="left" w:pos="0"/>
              </w:tabs>
              <w:adjustRightInd w:val="0"/>
              <w:snapToGrid w:val="0"/>
              <w:spacing w:after="200" w:line="300" w:lineRule="auto"/>
              <w:jc w:val="center"/>
              <w:rPr>
                <w:rFonts w:ascii="仿宋_GB2312" w:hAnsi="宋体" w:eastAsia="仿宋_GB2312" w:cs="Tahoma"/>
                <w:color w:val="auto"/>
                <w:kern w:val="0"/>
                <w:sz w:val="24"/>
                <w:highlight w:val="none"/>
              </w:rPr>
            </w:pPr>
            <w:r>
              <w:rPr>
                <w:rFonts w:hint="eastAsia" w:ascii="仿宋_GB2312" w:hAnsi="宋体" w:eastAsia="仿宋_GB2312" w:cs="宋体"/>
                <w:color w:val="auto"/>
                <w:kern w:val="0"/>
                <w:sz w:val="24"/>
                <w:highlight w:val="none"/>
              </w:rPr>
              <w:t>报修后8小时内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pPr>
              <w:widowControl/>
              <w:tabs>
                <w:tab w:val="left" w:pos="0"/>
              </w:tabs>
              <w:adjustRightInd w:val="0"/>
              <w:snapToGrid w:val="0"/>
              <w:spacing w:after="200" w:line="300" w:lineRule="auto"/>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3</w:t>
            </w:r>
          </w:p>
        </w:tc>
        <w:tc>
          <w:tcPr>
            <w:tcW w:w="3428" w:type="dxa"/>
            <w:vAlign w:val="center"/>
          </w:tcPr>
          <w:p>
            <w:pPr>
              <w:widowControl/>
              <w:tabs>
                <w:tab w:val="left" w:pos="0"/>
              </w:tabs>
              <w:adjustRightInd w:val="0"/>
              <w:snapToGrid w:val="0"/>
              <w:spacing w:after="200" w:line="300" w:lineRule="auto"/>
              <w:jc w:val="left"/>
              <w:rPr>
                <w:rFonts w:ascii="仿宋_GB2312" w:hAnsi="宋体" w:eastAsia="仿宋_GB2312" w:cs="Tahoma"/>
                <w:color w:val="auto"/>
                <w:kern w:val="0"/>
                <w:sz w:val="24"/>
                <w:highlight w:val="none"/>
              </w:rPr>
            </w:pPr>
            <w:r>
              <w:rPr>
                <w:rFonts w:hint="eastAsia" w:ascii="仿宋_GB2312" w:hAnsi="宋体" w:eastAsia="仿宋_GB2312" w:cs="宋体"/>
                <w:color w:val="auto"/>
                <w:kern w:val="0"/>
                <w:sz w:val="24"/>
                <w:highlight w:val="none"/>
              </w:rPr>
              <w:t>初步诊断为系统问题，只造成业务系统性能下降</w:t>
            </w:r>
          </w:p>
        </w:tc>
        <w:tc>
          <w:tcPr>
            <w:tcW w:w="1575" w:type="dxa"/>
            <w:vAlign w:val="center"/>
          </w:tcPr>
          <w:p>
            <w:pPr>
              <w:widowControl/>
              <w:tabs>
                <w:tab w:val="left" w:pos="0"/>
              </w:tabs>
              <w:adjustRightInd w:val="0"/>
              <w:snapToGrid w:val="0"/>
              <w:spacing w:after="200" w:line="300" w:lineRule="auto"/>
              <w:jc w:val="center"/>
              <w:rPr>
                <w:rFonts w:ascii="仿宋_GB2312" w:hAnsi="宋体" w:eastAsia="仿宋_GB2312" w:cs="Tahoma"/>
                <w:color w:val="auto"/>
                <w:kern w:val="0"/>
                <w:sz w:val="24"/>
                <w:highlight w:val="none"/>
              </w:rPr>
            </w:pPr>
            <w:r>
              <w:rPr>
                <w:rFonts w:hint="eastAsia" w:ascii="仿宋_GB2312" w:hAnsi="宋体" w:eastAsia="仿宋_GB2312" w:cs="宋体"/>
                <w:color w:val="auto"/>
                <w:kern w:val="0"/>
                <w:sz w:val="24"/>
                <w:highlight w:val="none"/>
              </w:rPr>
              <w:t>报修后半小时内</w:t>
            </w:r>
          </w:p>
        </w:tc>
        <w:tc>
          <w:tcPr>
            <w:tcW w:w="1418" w:type="dxa"/>
            <w:vAlign w:val="center"/>
          </w:tcPr>
          <w:p>
            <w:pPr>
              <w:widowControl/>
              <w:tabs>
                <w:tab w:val="left" w:pos="0"/>
              </w:tabs>
              <w:adjustRightInd w:val="0"/>
              <w:snapToGrid w:val="0"/>
              <w:spacing w:after="200" w:line="300" w:lineRule="auto"/>
              <w:jc w:val="center"/>
              <w:rPr>
                <w:rFonts w:ascii="仿宋_GB2312" w:hAnsi="宋体" w:eastAsia="仿宋_GB2312" w:cs="Tahoma"/>
                <w:color w:val="auto"/>
                <w:kern w:val="0"/>
                <w:sz w:val="24"/>
                <w:highlight w:val="none"/>
              </w:rPr>
            </w:pPr>
            <w:r>
              <w:rPr>
                <w:rFonts w:hint="eastAsia" w:ascii="仿宋_GB2312" w:hAnsi="宋体" w:eastAsia="仿宋_GB2312" w:cs="宋体"/>
                <w:color w:val="auto"/>
                <w:kern w:val="0"/>
                <w:sz w:val="24"/>
                <w:highlight w:val="none"/>
              </w:rPr>
              <w:t>报修后2小时内</w:t>
            </w:r>
          </w:p>
        </w:tc>
        <w:tc>
          <w:tcPr>
            <w:tcW w:w="1417" w:type="dxa"/>
            <w:vAlign w:val="center"/>
          </w:tcPr>
          <w:p>
            <w:pPr>
              <w:widowControl/>
              <w:tabs>
                <w:tab w:val="left" w:pos="0"/>
              </w:tabs>
              <w:adjustRightInd w:val="0"/>
              <w:snapToGrid w:val="0"/>
              <w:spacing w:after="200" w:line="300" w:lineRule="auto"/>
              <w:jc w:val="center"/>
              <w:rPr>
                <w:rFonts w:ascii="仿宋_GB2312" w:hAnsi="宋体" w:eastAsia="仿宋_GB2312" w:cs="Tahoma"/>
                <w:color w:val="auto"/>
                <w:kern w:val="0"/>
                <w:sz w:val="24"/>
                <w:highlight w:val="none"/>
              </w:rPr>
            </w:pPr>
            <w:r>
              <w:rPr>
                <w:rFonts w:hint="eastAsia" w:ascii="仿宋_GB2312" w:hAnsi="宋体" w:eastAsia="仿宋_GB2312" w:cs="宋体"/>
                <w:color w:val="auto"/>
                <w:kern w:val="0"/>
                <w:sz w:val="24"/>
                <w:highlight w:val="none"/>
              </w:rPr>
              <w:t>报修后24小时内</w:t>
            </w:r>
          </w:p>
        </w:tc>
      </w:tr>
    </w:tbl>
    <w:p>
      <w:pPr>
        <w:widowControl/>
        <w:adjustRightInd w:val="0"/>
        <w:snapToGrid w:val="0"/>
        <w:spacing w:line="560" w:lineRule="exact"/>
        <w:ind w:firstLine="480" w:firstLineChars="200"/>
        <w:rPr>
          <w:rFonts w:ascii="仿宋_GB2312" w:hAnsi="宋体" w:eastAsia="仿宋_GB2312" w:cs="Tahoma"/>
          <w:color w:val="auto"/>
          <w:kern w:val="0"/>
          <w:sz w:val="24"/>
          <w:highlight w:val="none"/>
        </w:rPr>
      </w:pPr>
      <w:r>
        <w:rPr>
          <w:rFonts w:hint="eastAsia" w:ascii="仿宋_GB2312" w:hAnsi="宋体" w:eastAsia="仿宋_GB2312" w:cs="宋体"/>
          <w:color w:val="auto"/>
          <w:kern w:val="0"/>
          <w:sz w:val="24"/>
          <w:highlight w:val="none"/>
        </w:rPr>
        <w:t>（3）设备出现硬件故障需要更换的，专业技术人员必须在自报修后4小时内携带备件到达现场；</w:t>
      </w:r>
    </w:p>
    <w:p>
      <w:pPr>
        <w:widowControl/>
        <w:adjustRightInd w:val="0"/>
        <w:snapToGrid w:val="0"/>
        <w:spacing w:line="560" w:lineRule="exact"/>
        <w:ind w:firstLine="480" w:firstLineChars="200"/>
        <w:rPr>
          <w:rFonts w:ascii="仿宋_GB2312" w:hAnsi="宋体" w:eastAsia="仿宋_GB2312" w:cs="Tahoma"/>
          <w:color w:val="auto"/>
          <w:kern w:val="0"/>
          <w:sz w:val="24"/>
          <w:highlight w:val="none"/>
        </w:rPr>
      </w:pPr>
      <w:r>
        <w:rPr>
          <w:rFonts w:hint="eastAsia" w:ascii="仿宋_GB2312" w:hAnsi="宋体" w:eastAsia="仿宋_GB2312" w:cs="宋体"/>
          <w:color w:val="auto"/>
          <w:kern w:val="0"/>
          <w:sz w:val="24"/>
          <w:highlight w:val="none"/>
        </w:rPr>
        <w:t>（4）在解决故障时，应保护好数据，做好故障恢复的文档。</w:t>
      </w:r>
    </w:p>
    <w:p>
      <w:pPr>
        <w:widowControl/>
        <w:adjustRightInd w:val="0"/>
        <w:snapToGrid w:val="0"/>
        <w:spacing w:line="560" w:lineRule="exact"/>
        <w:ind w:firstLine="480" w:firstLineChars="200"/>
        <w:outlineLvl w:val="2"/>
        <w:rPr>
          <w:rFonts w:ascii="仿宋_GB2312" w:hAnsi="宋体" w:eastAsia="仿宋_GB2312" w:cs="Tahoma"/>
          <w:color w:val="auto"/>
          <w:kern w:val="0"/>
          <w:sz w:val="24"/>
          <w:highlight w:val="none"/>
        </w:rPr>
      </w:pPr>
      <w:r>
        <w:rPr>
          <w:rFonts w:hint="eastAsia" w:ascii="仿宋_GB2312" w:hAnsi="宋体" w:eastAsia="仿宋_GB2312" w:cs="宋体"/>
          <w:color w:val="auto"/>
          <w:kern w:val="0"/>
          <w:sz w:val="24"/>
          <w:highlight w:val="none"/>
        </w:rPr>
        <w:t>3.设备保修</w:t>
      </w:r>
    </w:p>
    <w:p>
      <w:pPr>
        <w:widowControl/>
        <w:adjustRightInd w:val="0"/>
        <w:snapToGrid w:val="0"/>
        <w:spacing w:line="560" w:lineRule="exact"/>
        <w:ind w:firstLine="480" w:firstLineChars="200"/>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服务期内，专业技术人员负责对设备免费进行现场维修更换，更换的设备或部件必须是来自实际生产厂商的全新同型设备或备件，不得以其它方式替代。</w:t>
      </w:r>
    </w:p>
    <w:p>
      <w:pPr>
        <w:widowControl/>
        <w:adjustRightInd w:val="0"/>
        <w:snapToGrid w:val="0"/>
        <w:spacing w:line="560" w:lineRule="exact"/>
        <w:ind w:firstLine="480" w:firstLineChars="200"/>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在巡检过程中发现硬盘存在坏道或者写超时的现象须进行更换。现场维修时硬盘等存储类零配件不得带出机房，维修更换下来的此类部件所有权归采购人所有。</w:t>
      </w:r>
    </w:p>
    <w:p>
      <w:pPr>
        <w:widowControl/>
        <w:adjustRightInd w:val="0"/>
        <w:snapToGrid w:val="0"/>
        <w:spacing w:line="560" w:lineRule="exact"/>
        <w:ind w:firstLine="480" w:firstLineChars="200"/>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为确保存储设备能够正常、稳定运行，自接到采购人报修后4小时内仍未能解决故障的，中标人应提供原厂商现场技术支持。</w:t>
      </w:r>
    </w:p>
    <w:p>
      <w:pPr>
        <w:widowControl/>
        <w:adjustRightInd w:val="0"/>
        <w:snapToGrid w:val="0"/>
        <w:spacing w:line="560" w:lineRule="exact"/>
        <w:ind w:firstLine="480" w:firstLineChars="200"/>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为降低多硬盘故障风险，每台存储在设备现场至少保持3块以上备盘，合计至少6块。</w:t>
      </w:r>
    </w:p>
    <w:p>
      <w:pPr>
        <w:widowControl/>
        <w:adjustRightInd w:val="0"/>
        <w:snapToGrid w:val="0"/>
        <w:spacing w:line="560" w:lineRule="exact"/>
        <w:ind w:firstLine="480" w:firstLineChars="200"/>
        <w:outlineLvl w:val="2"/>
        <w:rPr>
          <w:rFonts w:ascii="仿宋_GB2312" w:hAnsi="宋体" w:eastAsia="仿宋_GB2312" w:cs="Tahoma"/>
          <w:color w:val="auto"/>
          <w:kern w:val="0"/>
          <w:sz w:val="24"/>
          <w:highlight w:val="none"/>
        </w:rPr>
      </w:pPr>
      <w:r>
        <w:rPr>
          <w:rFonts w:hint="eastAsia" w:ascii="仿宋_GB2312" w:hAnsi="宋体" w:eastAsia="仿宋_GB2312" w:cs="宋体"/>
          <w:color w:val="auto"/>
          <w:kern w:val="0"/>
          <w:sz w:val="24"/>
          <w:highlight w:val="none"/>
        </w:rPr>
        <w:t>4.故障处理报告</w:t>
      </w:r>
    </w:p>
    <w:p>
      <w:pPr>
        <w:widowControl/>
        <w:adjustRightInd w:val="0"/>
        <w:snapToGrid w:val="0"/>
        <w:spacing w:line="560" w:lineRule="exact"/>
        <w:ind w:firstLine="480" w:firstLineChars="200"/>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故障解决后12小时内，应向采购人提交故障处理报告。说明故障种类、故障原因、故障解决中使用的方法及故障损失等情况。</w:t>
      </w:r>
    </w:p>
    <w:p>
      <w:pPr>
        <w:snapToGrid w:val="0"/>
        <w:spacing w:line="640" w:lineRule="exact"/>
        <w:jc w:val="left"/>
        <w:outlineLvl w:val="0"/>
        <w:rPr>
          <w:rFonts w:ascii="黑体" w:hAnsi="黑体" w:eastAsia="黑体" w:cs="黑体"/>
          <w:color w:val="auto"/>
          <w:sz w:val="32"/>
          <w:szCs w:val="32"/>
          <w:highlight w:val="none"/>
        </w:rPr>
      </w:pPr>
      <w:bookmarkStart w:id="74" w:name="_Toc124754504"/>
      <w:r>
        <w:rPr>
          <w:rFonts w:hint="eastAsia" w:ascii="黑体" w:hAnsi="黑体" w:eastAsia="黑体" w:cs="黑体"/>
          <w:color w:val="auto"/>
          <w:sz w:val="32"/>
          <w:szCs w:val="32"/>
          <w:highlight w:val="none"/>
        </w:rPr>
        <w:t>七、其他要求</w:t>
      </w:r>
      <w:bookmarkEnd w:id="74"/>
    </w:p>
    <w:p>
      <w:pPr>
        <w:widowControl/>
        <w:adjustRightInd w:val="0"/>
        <w:snapToGrid w:val="0"/>
        <w:spacing w:line="560" w:lineRule="exact"/>
        <w:ind w:firstLine="480" w:firstLineChars="200"/>
        <w:rPr>
          <w:rFonts w:ascii="仿宋_GB2312" w:hAnsi="宋体" w:eastAsia="仿宋_GB2312" w:cs="Tahoma"/>
          <w:color w:val="auto"/>
          <w:kern w:val="0"/>
          <w:sz w:val="24"/>
          <w:highlight w:val="none"/>
        </w:rPr>
      </w:pPr>
      <w:r>
        <w:rPr>
          <w:rFonts w:hint="eastAsia" w:ascii="仿宋_GB2312" w:hAnsi="宋体" w:eastAsia="仿宋_GB2312" w:cs="宋体"/>
          <w:color w:val="auto"/>
          <w:kern w:val="0"/>
          <w:sz w:val="24"/>
          <w:highlight w:val="none"/>
        </w:rPr>
        <w:t>采购人负责监督和管理整个项目的实施。</w:t>
      </w:r>
    </w:p>
    <w:p>
      <w:pPr>
        <w:widowControl/>
        <w:adjustRightInd w:val="0"/>
        <w:snapToGrid w:val="0"/>
        <w:spacing w:line="560" w:lineRule="exact"/>
        <w:ind w:firstLine="480" w:firstLineChars="200"/>
        <w:rPr>
          <w:rFonts w:ascii="仿宋_GB2312" w:hAnsi="宋体" w:eastAsia="仿宋_GB2312" w:cs="Tahoma"/>
          <w:color w:val="auto"/>
          <w:kern w:val="0"/>
          <w:sz w:val="24"/>
          <w:highlight w:val="none"/>
        </w:rPr>
      </w:pPr>
      <w:r>
        <w:rPr>
          <w:rFonts w:hint="eastAsia" w:ascii="仿宋_GB2312" w:hAnsi="宋体" w:eastAsia="仿宋_GB2312" w:cs="宋体"/>
          <w:color w:val="auto"/>
          <w:kern w:val="0"/>
          <w:sz w:val="24"/>
          <w:highlight w:val="none"/>
        </w:rPr>
        <w:t>投标人应充分理解本项目的技术及实施复杂度，组建相应的专职技术和项目团队，参与本项目的各类人员应具备相应的技术和工程管理能力。</w:t>
      </w:r>
    </w:p>
    <w:p>
      <w:pPr>
        <w:widowControl/>
        <w:adjustRightInd w:val="0"/>
        <w:snapToGrid w:val="0"/>
        <w:spacing w:line="560" w:lineRule="exact"/>
        <w:ind w:firstLine="480" w:firstLineChars="200"/>
        <w:rPr>
          <w:rFonts w:ascii="仿宋_GB2312" w:hAnsi="宋体" w:eastAsia="仿宋_GB2312" w:cs="Tahoma"/>
          <w:color w:val="auto"/>
          <w:kern w:val="0"/>
          <w:sz w:val="24"/>
          <w:highlight w:val="none"/>
        </w:rPr>
      </w:pPr>
      <w:r>
        <w:rPr>
          <w:rFonts w:hint="eastAsia" w:ascii="仿宋_GB2312" w:hAnsi="宋体" w:eastAsia="仿宋_GB2312" w:cs="宋体"/>
          <w:color w:val="auto"/>
          <w:kern w:val="0"/>
          <w:sz w:val="24"/>
          <w:highlight w:val="none"/>
        </w:rPr>
        <w:t>项目经理要求具备同等规模项目的管理经验，成功实施过相关领域类似项目的实际经验，熟悉行业情况。一般应持有系统集成项目管理工程师或以上级别证书（级别为中级以上）。</w:t>
      </w:r>
    </w:p>
    <w:p>
      <w:pPr>
        <w:widowControl/>
        <w:adjustRightInd w:val="0"/>
        <w:snapToGrid w:val="0"/>
        <w:spacing w:line="560" w:lineRule="exact"/>
        <w:ind w:firstLine="480" w:firstLineChars="200"/>
        <w:rPr>
          <w:rFonts w:hint="eastAsia"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投标文件中应详细列出所有参与人员的基本信息（附</w:t>
      </w:r>
      <w:r>
        <w:rPr>
          <w:rFonts w:hint="default" w:ascii="仿宋_GB2312" w:hAnsi="宋体" w:eastAsia="仿宋_GB2312" w:cs="宋体"/>
          <w:color w:val="auto"/>
          <w:kern w:val="0"/>
          <w:sz w:val="24"/>
          <w:highlight w:val="none"/>
        </w:rPr>
        <w:t>所有人员投标截止之日前6个月内任意1个月</w:t>
      </w:r>
      <w:r>
        <w:rPr>
          <w:rFonts w:hint="eastAsia" w:ascii="仿宋_GB2312" w:hAnsi="宋体" w:eastAsia="仿宋_GB2312" w:cs="宋体"/>
          <w:color w:val="auto"/>
          <w:kern w:val="0"/>
          <w:sz w:val="24"/>
          <w:highlight w:val="none"/>
        </w:rPr>
        <w:t>的</w:t>
      </w:r>
      <w:r>
        <w:rPr>
          <w:rFonts w:hint="default" w:ascii="仿宋_GB2312" w:hAnsi="宋体" w:eastAsia="仿宋_GB2312" w:cs="宋体"/>
          <w:color w:val="auto"/>
          <w:kern w:val="0"/>
          <w:sz w:val="24"/>
          <w:highlight w:val="none"/>
        </w:rPr>
        <w:t>在</w:t>
      </w:r>
      <w:r>
        <w:rPr>
          <w:rFonts w:hint="eastAsia" w:ascii="仿宋_GB2312" w:hAnsi="宋体" w:eastAsia="仿宋_GB2312" w:cs="宋体"/>
          <w:color w:val="auto"/>
          <w:kern w:val="0"/>
          <w:sz w:val="24"/>
          <w:highlight w:val="none"/>
        </w:rPr>
        <w:t>投标</w:t>
      </w:r>
      <w:r>
        <w:rPr>
          <w:rFonts w:hint="default" w:ascii="仿宋_GB2312" w:hAnsi="宋体" w:eastAsia="仿宋_GB2312" w:cs="宋体"/>
          <w:color w:val="auto"/>
          <w:kern w:val="0"/>
          <w:sz w:val="24"/>
          <w:highlight w:val="none"/>
        </w:rPr>
        <w:t>单位缴纳社保证明复印件，如无社保证明，则提供能证明其为</w:t>
      </w:r>
      <w:r>
        <w:rPr>
          <w:rFonts w:hint="eastAsia" w:ascii="仿宋_GB2312" w:hAnsi="宋体" w:eastAsia="仿宋_GB2312" w:cs="宋体"/>
          <w:color w:val="auto"/>
          <w:kern w:val="0"/>
          <w:sz w:val="24"/>
          <w:highlight w:val="none"/>
        </w:rPr>
        <w:t>投标</w:t>
      </w:r>
      <w:r>
        <w:rPr>
          <w:rFonts w:hint="default" w:ascii="仿宋_GB2312" w:hAnsi="宋体" w:eastAsia="仿宋_GB2312" w:cs="宋体"/>
          <w:color w:val="auto"/>
          <w:kern w:val="0"/>
          <w:sz w:val="24"/>
          <w:highlight w:val="none"/>
        </w:rPr>
        <w:t>单位在职员工的相关证明材料</w:t>
      </w:r>
      <w:r>
        <w:rPr>
          <w:rFonts w:hint="eastAsia" w:ascii="仿宋_GB2312" w:hAnsi="宋体" w:eastAsia="仿宋_GB2312" w:cs="宋体"/>
          <w:color w:val="auto"/>
          <w:kern w:val="0"/>
          <w:sz w:val="24"/>
          <w:highlight w:val="none"/>
        </w:rPr>
        <w:t>）和能力证明（附相关人员的资质证明材料或证书等）。 </w:t>
      </w:r>
    </w:p>
    <w:p>
      <w:pPr>
        <w:widowControl/>
        <w:adjustRightInd w:val="0"/>
        <w:snapToGrid w:val="0"/>
        <w:spacing w:line="560" w:lineRule="exact"/>
        <w:ind w:firstLine="480" w:firstLineChars="200"/>
        <w:rPr>
          <w:rFonts w:ascii="仿宋_GB2312" w:hAnsi="宋体" w:eastAsia="仿宋_GB2312" w:cs="Tahoma"/>
          <w:color w:val="auto"/>
          <w:kern w:val="0"/>
          <w:sz w:val="24"/>
          <w:highlight w:val="none"/>
        </w:rPr>
      </w:pPr>
      <w:r>
        <w:rPr>
          <w:rFonts w:hint="eastAsia" w:ascii="仿宋_GB2312" w:hAnsi="宋体" w:eastAsia="仿宋_GB2312" w:cs="宋体"/>
          <w:color w:val="auto"/>
          <w:kern w:val="0"/>
          <w:sz w:val="24"/>
          <w:highlight w:val="none"/>
        </w:rPr>
        <w:t>项目实施人员应与投标文件中所提供的人员名单相符，未经采购人许可不得随意变更。供应商在项目实施过程中，需进行规范化管理，应有项目管理组织、项目沟通计划、项目进度计划、项目验收计划等方案，确保实施质量。 </w:t>
      </w:r>
    </w:p>
    <w:p>
      <w:pPr>
        <w:widowControl/>
        <w:adjustRightInd w:val="0"/>
        <w:snapToGrid w:val="0"/>
        <w:spacing w:line="560" w:lineRule="exact"/>
        <w:ind w:firstLine="480" w:firstLineChars="200"/>
        <w:rPr>
          <w:rFonts w:ascii="仿宋_GB2312" w:hAnsi="宋体" w:eastAsia="仿宋_GB2312" w:cs="Tahoma"/>
          <w:color w:val="auto"/>
          <w:kern w:val="0"/>
          <w:sz w:val="24"/>
          <w:highlight w:val="none"/>
        </w:rPr>
      </w:pPr>
      <w:r>
        <w:rPr>
          <w:rFonts w:hint="eastAsia" w:ascii="仿宋_GB2312" w:hAnsi="宋体" w:eastAsia="仿宋_GB2312" w:cs="宋体"/>
          <w:color w:val="auto"/>
          <w:kern w:val="0"/>
          <w:sz w:val="24"/>
          <w:highlight w:val="none"/>
        </w:rPr>
        <w:t>投标人必须在实施方案中制定详细的任务分解，明确每个任务的交付物等。</w:t>
      </w:r>
    </w:p>
    <w:p>
      <w:pPr>
        <w:widowControl/>
        <w:adjustRightInd w:val="0"/>
        <w:snapToGrid w:val="0"/>
        <w:spacing w:line="560" w:lineRule="exact"/>
        <w:ind w:firstLine="480" w:firstLineChars="200"/>
        <w:rPr>
          <w:rFonts w:ascii="仿宋_GB2312" w:hAnsi="宋体" w:eastAsia="仿宋_GB2312" w:cs="Tahoma"/>
          <w:color w:val="auto"/>
          <w:kern w:val="0"/>
          <w:sz w:val="24"/>
          <w:highlight w:val="none"/>
        </w:rPr>
      </w:pPr>
      <w:r>
        <w:rPr>
          <w:rFonts w:hint="eastAsia" w:ascii="仿宋_GB2312" w:hAnsi="宋体" w:eastAsia="仿宋_GB2312" w:cs="宋体"/>
          <w:color w:val="auto"/>
          <w:kern w:val="0"/>
          <w:sz w:val="24"/>
          <w:highlight w:val="none"/>
        </w:rPr>
        <w:t>供应商须制定本项目管理实施所需的相关文档，负责相关文档的汇总整理，按阶段提交进度报告。</w:t>
      </w:r>
    </w:p>
    <w:p>
      <w:pPr>
        <w:snapToGrid w:val="0"/>
        <w:spacing w:line="640" w:lineRule="exact"/>
        <w:jc w:val="left"/>
        <w:outlineLvl w:val="0"/>
        <w:rPr>
          <w:rFonts w:ascii="黑体" w:hAnsi="黑体" w:eastAsia="黑体" w:cs="黑体"/>
          <w:color w:val="auto"/>
          <w:sz w:val="32"/>
          <w:szCs w:val="32"/>
          <w:highlight w:val="none"/>
        </w:rPr>
      </w:pPr>
      <w:bookmarkStart w:id="75" w:name="_Toc124754505"/>
      <w:r>
        <w:rPr>
          <w:rFonts w:hint="eastAsia" w:ascii="黑体" w:hAnsi="黑体" w:eastAsia="黑体" w:cs="黑体"/>
          <w:color w:val="auto"/>
          <w:sz w:val="32"/>
          <w:szCs w:val="32"/>
          <w:highlight w:val="none"/>
        </w:rPr>
        <w:t>八、交付物</w:t>
      </w:r>
      <w:bookmarkEnd w:id="75"/>
    </w:p>
    <w:p>
      <w:pPr>
        <w:widowControl/>
        <w:adjustRightInd w:val="0"/>
        <w:snapToGrid w:val="0"/>
        <w:spacing w:line="560" w:lineRule="exact"/>
        <w:ind w:firstLine="480" w:firstLineChars="200"/>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供应商应于项目终验时，提交招标文件要求的相关文档资料；应于每次巡检和故障处理后10日内提交相关报告。上述交付物将作为退还履约保证金的依据之一。</w:t>
      </w:r>
    </w:p>
    <w:p>
      <w:pPr>
        <w:snapToGrid w:val="0"/>
        <w:spacing w:line="640" w:lineRule="exact"/>
        <w:jc w:val="left"/>
        <w:outlineLvl w:val="0"/>
        <w:rPr>
          <w:rFonts w:ascii="黑体" w:hAnsi="黑体" w:eastAsia="黑体" w:cs="黑体"/>
          <w:color w:val="auto"/>
          <w:sz w:val="32"/>
          <w:szCs w:val="32"/>
          <w:highlight w:val="none"/>
        </w:rPr>
      </w:pPr>
      <w:bookmarkStart w:id="76" w:name="_Toc124754506"/>
      <w:r>
        <w:rPr>
          <w:rFonts w:hint="eastAsia" w:ascii="黑体" w:hAnsi="黑体" w:eastAsia="黑体" w:cs="黑体"/>
          <w:color w:val="auto"/>
          <w:sz w:val="32"/>
          <w:szCs w:val="32"/>
          <w:highlight w:val="none"/>
        </w:rPr>
        <w:t>九、项目保密管理</w:t>
      </w:r>
      <w:bookmarkEnd w:id="76"/>
    </w:p>
    <w:p>
      <w:pPr>
        <w:widowControl/>
        <w:adjustRightInd w:val="0"/>
        <w:snapToGrid w:val="0"/>
        <w:spacing w:line="560" w:lineRule="exact"/>
        <w:ind w:firstLine="480" w:firstLineChars="200"/>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1.投标人必须承诺对本项目技术文件以及由采购人提供的所有内部资料、技术文档和信息予以保密，未经许可不得对外透露。投标人必须按照采购人的要求签订相关的保密协议。</w:t>
      </w:r>
    </w:p>
    <w:p>
      <w:pPr>
        <w:snapToGrid w:val="0"/>
        <w:spacing w:line="396"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投标人应加强本项目资料的保密管控，必须针对本项目建立项目纸质影像、图像、电子等各种形态资料及其载体的保密管控措施，记录资料包括整个生命周期内的使用日志，并根据实际工作情况及时对制度进行调整，资料保密管理制度的建立和修订需得到采购人的同意后方可实行。</w:t>
      </w:r>
    </w:p>
    <w:p>
      <w:pPr>
        <w:snapToGrid w:val="0"/>
        <w:spacing w:line="396"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投标人应加强本项目在采购人的工作场所使用设备，特别是笔记本电脑、移动介质等便携设备使用的保密管理。接入税务系统网络内使用的设备，必须遵守税务系统网络安全规范。便携式设备保密使用管理规定的建立和修订需得到采购人同意方可实行。</w:t>
      </w:r>
    </w:p>
    <w:p>
      <w:pPr>
        <w:snapToGrid w:val="0"/>
        <w:spacing w:line="640" w:lineRule="exact"/>
        <w:jc w:val="left"/>
        <w:outlineLvl w:val="0"/>
        <w:rPr>
          <w:rFonts w:ascii="黑体" w:hAnsi="黑体" w:eastAsia="黑体" w:cs="黑体"/>
          <w:color w:val="auto"/>
          <w:sz w:val="32"/>
          <w:szCs w:val="32"/>
          <w:highlight w:val="none"/>
        </w:rPr>
      </w:pPr>
      <w:bookmarkStart w:id="77" w:name="_Toc124754507"/>
      <w:r>
        <w:rPr>
          <w:rFonts w:hint="eastAsia" w:ascii="黑体" w:hAnsi="黑体" w:eastAsia="黑体" w:cs="黑体"/>
          <w:color w:val="auto"/>
          <w:sz w:val="32"/>
          <w:szCs w:val="32"/>
          <w:highlight w:val="none"/>
        </w:rPr>
        <w:t>十、信息化服务商失信行为管理</w:t>
      </w:r>
      <w:bookmarkEnd w:id="77"/>
    </w:p>
    <w:p>
      <w:pPr>
        <w:widowControl/>
        <w:adjustRightInd w:val="0"/>
        <w:snapToGrid w:val="0"/>
        <w:spacing w:afterLines="50" w:line="560" w:lineRule="exact"/>
        <w:ind w:firstLine="480" w:firstLineChars="200"/>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经国家税务总局认定，存在以下失信行为的供应商，三年内限制参加税收信息化项目政府采购活动。对于存在影响恶劣的严重违法失信行为的供应商，将推送财政部纳入政府采购严重违法失信行为记录名单。</w:t>
      </w:r>
    </w:p>
    <w:p>
      <w:pPr>
        <w:snapToGrid w:val="0"/>
        <w:spacing w:line="396" w:lineRule="auto"/>
        <w:ind w:firstLine="480" w:firstLineChars="200"/>
        <w:outlineLvl w:val="1"/>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（一）一般失信行为包括：</w:t>
      </w:r>
    </w:p>
    <w:p>
      <w:pPr>
        <w:snapToGrid w:val="0"/>
        <w:spacing w:line="396"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1.违反网络安全管理规定，但未造成不良后果的；</w:t>
      </w:r>
    </w:p>
    <w:p>
      <w:pPr>
        <w:snapToGrid w:val="0"/>
        <w:spacing w:line="396"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2.运维服务质量评价上季度得分被扣减较多，且未按承诺服务到位的；</w:t>
      </w:r>
    </w:p>
    <w:p>
      <w:pPr>
        <w:snapToGrid w:val="0"/>
        <w:spacing w:line="396"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3.违反合同约定内容，但未造成不良后果的；</w:t>
      </w:r>
    </w:p>
    <w:p>
      <w:pPr>
        <w:snapToGrid w:val="0"/>
        <w:spacing w:line="396"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4.不配合监理工作或对监理指出问题整改不到位的；</w:t>
      </w:r>
    </w:p>
    <w:p>
      <w:pPr>
        <w:snapToGrid w:val="0"/>
        <w:spacing w:line="396"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5.其他违反规定但未造成不良后果的行为。</w:t>
      </w:r>
    </w:p>
    <w:p>
      <w:pPr>
        <w:snapToGrid w:val="0"/>
        <w:spacing w:line="396" w:lineRule="auto"/>
        <w:ind w:firstLine="480" w:firstLineChars="200"/>
        <w:outlineLvl w:val="1"/>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（二）严重失信行为包括：</w:t>
      </w:r>
    </w:p>
    <w:p>
      <w:pPr>
        <w:snapToGrid w:val="0"/>
        <w:spacing w:line="396"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1.攻击或侵入税务信息系统（包括CA等）；</w:t>
      </w:r>
    </w:p>
    <w:p>
      <w:pPr>
        <w:snapToGrid w:val="0"/>
        <w:spacing w:line="396"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2.违反网络安全管理规定，造成不良后果的；</w:t>
      </w:r>
    </w:p>
    <w:p>
      <w:pPr>
        <w:snapToGrid w:val="0"/>
        <w:spacing w:line="396"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3.违反合同约定内容，造成不良后果的；</w:t>
      </w:r>
    </w:p>
    <w:p>
      <w:pPr>
        <w:snapToGrid w:val="0"/>
        <w:spacing w:line="396"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4.利用为税务机关提供信息化服务的便利，向纳税人、人搭车收费或变相收费；</w:t>
      </w:r>
    </w:p>
    <w:p>
      <w:pPr>
        <w:snapToGrid w:val="0"/>
        <w:spacing w:line="396"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5.另行开发销售合同业务需求范围内，供纳税人、缴费用的软件;</w:t>
      </w:r>
    </w:p>
    <w:p>
      <w:pPr>
        <w:snapToGrid w:val="0"/>
        <w:spacing w:line="396"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6.以明显低于成本的报价恶意竞标；</w:t>
      </w:r>
    </w:p>
    <w:p>
      <w:pPr>
        <w:snapToGrid w:val="0"/>
        <w:spacing w:line="396"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7.存在“围猎”税务人员行为的；</w:t>
      </w:r>
    </w:p>
    <w:p>
      <w:pPr>
        <w:snapToGrid w:val="0"/>
        <w:spacing w:line="396"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8.违规聘用离职税务人员；</w:t>
      </w:r>
    </w:p>
    <w:p>
      <w:pPr>
        <w:snapToGrid w:val="0"/>
        <w:spacing w:line="396"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9.一年内发生2次以上（含2次）一般失信行为的；</w:t>
      </w:r>
    </w:p>
    <w:p>
      <w:pPr>
        <w:snapToGrid w:val="0"/>
        <w:spacing w:line="396"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10.其他违反规定造成不良后果的行为。</w:t>
      </w:r>
    </w:p>
    <w:p>
      <w:pPr>
        <w:snapToGrid w:val="0"/>
        <w:spacing w:line="640" w:lineRule="exact"/>
        <w:jc w:val="left"/>
        <w:outlineLvl w:val="0"/>
        <w:rPr>
          <w:rFonts w:ascii="黑体" w:hAnsi="黑体" w:eastAsia="黑体" w:cs="黑体"/>
          <w:color w:val="auto"/>
          <w:sz w:val="32"/>
          <w:szCs w:val="32"/>
          <w:highlight w:val="none"/>
        </w:rPr>
      </w:pPr>
      <w:bookmarkStart w:id="78" w:name="_Toc124754508"/>
      <w:r>
        <w:rPr>
          <w:rFonts w:hint="eastAsia" w:ascii="黑体" w:hAnsi="黑体" w:eastAsia="黑体" w:cs="黑体"/>
          <w:color w:val="auto"/>
          <w:sz w:val="32"/>
          <w:szCs w:val="32"/>
          <w:highlight w:val="none"/>
        </w:rPr>
        <w:t>十一、商务要求</w:t>
      </w:r>
      <w:bookmarkEnd w:id="78"/>
    </w:p>
    <w:p>
      <w:pPr>
        <w:widowControl/>
        <w:adjustRightInd w:val="0"/>
        <w:snapToGrid w:val="0"/>
        <w:spacing w:line="560" w:lineRule="exact"/>
        <w:ind w:firstLine="480" w:firstLineChars="200"/>
        <w:outlineLvl w:val="1"/>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(一)供货 </w:t>
      </w:r>
    </w:p>
    <w:p>
      <w:pPr>
        <w:widowControl/>
        <w:adjustRightInd w:val="0"/>
        <w:snapToGrid w:val="0"/>
        <w:spacing w:line="560" w:lineRule="exact"/>
        <w:ind w:firstLine="480" w:firstLineChars="200"/>
        <w:rPr>
          <w:rFonts w:ascii="仿宋_GB2312" w:hAnsi="宋体" w:eastAsia="仿宋_GB2312" w:cs="Tahoma"/>
          <w:color w:val="auto"/>
          <w:kern w:val="0"/>
          <w:sz w:val="24"/>
          <w:highlight w:val="none"/>
        </w:rPr>
      </w:pPr>
      <w:r>
        <w:rPr>
          <w:rFonts w:hint="eastAsia" w:ascii="仿宋_GB2312" w:hAnsi="宋体" w:eastAsia="仿宋_GB2312" w:cs="宋体"/>
          <w:color w:val="auto"/>
          <w:kern w:val="0"/>
          <w:sz w:val="24"/>
          <w:highlight w:val="none"/>
        </w:rPr>
        <w:t>投标人须响应并承诺下列供货时间、到货地点的要求。</w:t>
      </w:r>
    </w:p>
    <w:p>
      <w:pPr>
        <w:widowControl/>
        <w:adjustRightInd w:val="0"/>
        <w:snapToGrid w:val="0"/>
        <w:spacing w:line="560" w:lineRule="exact"/>
        <w:ind w:firstLine="480" w:firstLineChars="200"/>
        <w:rPr>
          <w:rFonts w:ascii="仿宋_GB2312" w:hAnsi="宋体" w:eastAsia="仿宋_GB2312" w:cs="Tahoma"/>
          <w:color w:val="auto"/>
          <w:kern w:val="0"/>
          <w:sz w:val="24"/>
          <w:highlight w:val="none"/>
        </w:rPr>
      </w:pPr>
      <w:r>
        <w:rPr>
          <w:rFonts w:hint="eastAsia" w:ascii="仿宋_GB2312" w:hAnsi="宋体" w:eastAsia="仿宋_GB2312" w:cs="宋体"/>
          <w:color w:val="auto"/>
          <w:kern w:val="0"/>
          <w:sz w:val="24"/>
          <w:highlight w:val="none"/>
        </w:rPr>
        <w:t>应自合同签订之日起35日（自然日）内完成设备到货安装和集成调试等实施工作。</w:t>
      </w:r>
    </w:p>
    <w:p>
      <w:pPr>
        <w:widowControl/>
        <w:adjustRightInd w:val="0"/>
        <w:snapToGrid w:val="0"/>
        <w:spacing w:line="560" w:lineRule="exact"/>
        <w:ind w:firstLine="480" w:firstLineChars="200"/>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到货地点：国家税务总局辽宁省税务局机房内指定位置，所发生全部费用由供应商承担。</w:t>
      </w:r>
    </w:p>
    <w:p>
      <w:pPr>
        <w:widowControl/>
        <w:adjustRightInd w:val="0"/>
        <w:snapToGrid w:val="0"/>
        <w:spacing w:line="560" w:lineRule="exact"/>
        <w:ind w:firstLine="480" w:firstLineChars="200"/>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在供货或系统集成时出现软、硬件的任何遗漏，必须由供应商免费提供，采购人将不再支付任何费用。</w:t>
      </w:r>
    </w:p>
    <w:p>
      <w:pPr>
        <w:pStyle w:val="2"/>
        <w:numPr>
          <w:ilvl w:val="0"/>
          <w:numId w:val="11"/>
        </w:numPr>
        <w:outlineLvl w:val="1"/>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付款</w:t>
      </w:r>
    </w:p>
    <w:p>
      <w:pPr>
        <w:pStyle w:val="2"/>
        <w:ind w:firstLine="420"/>
        <w:rPr>
          <w:rFonts w:ascii="仿宋_GB2312" w:hAnsi="宋体" w:eastAsia="仿宋_GB2312" w:cs="宋体"/>
          <w:b/>
          <w:bCs/>
          <w:color w:val="auto"/>
          <w:kern w:val="0"/>
          <w:sz w:val="24"/>
          <w:szCs w:val="24"/>
          <w:highlight w:val="none"/>
        </w:rPr>
      </w:pPr>
      <w:r>
        <w:rPr>
          <w:rFonts w:hint="eastAsia" w:ascii="仿宋_GB2312" w:hAnsi="宋体" w:eastAsia="仿宋_GB2312" w:cs="宋体"/>
          <w:b/>
          <w:bCs/>
          <w:color w:val="auto"/>
          <w:kern w:val="0"/>
          <w:sz w:val="24"/>
          <w:szCs w:val="24"/>
          <w:highlight w:val="none"/>
        </w:rPr>
        <w:t>设备试运行结束验收合格后，支付合同价款的100%。</w:t>
      </w:r>
    </w:p>
    <w:p>
      <w:pPr>
        <w:pStyle w:val="2"/>
        <w:ind w:left="210" w:firstLine="0"/>
        <w:outlineLvl w:val="1"/>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（三）违约责任</w:t>
      </w:r>
    </w:p>
    <w:p>
      <w:pPr>
        <w:widowControl/>
        <w:adjustRightInd w:val="0"/>
        <w:snapToGrid w:val="0"/>
        <w:spacing w:line="560" w:lineRule="exact"/>
        <w:ind w:firstLine="480" w:firstLineChars="200"/>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如未按技术需求的要求响应的，给予一次普通警告。</w:t>
      </w:r>
    </w:p>
    <w:p>
      <w:pPr>
        <w:widowControl/>
        <w:adjustRightInd w:val="0"/>
        <w:snapToGrid w:val="0"/>
        <w:spacing w:line="560" w:lineRule="exact"/>
        <w:ind w:firstLine="480" w:firstLineChars="200"/>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如未按要求完成合同要求的其他服务内容，视情节轻重给予一次普通警告或严重警告。</w:t>
      </w:r>
    </w:p>
    <w:p>
      <w:pPr>
        <w:widowControl/>
        <w:adjustRightInd w:val="0"/>
        <w:snapToGrid w:val="0"/>
        <w:spacing w:line="560" w:lineRule="exact"/>
        <w:ind w:firstLine="480" w:firstLineChars="200"/>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所有警告行为将体现在验收报告中作为验收依据。</w:t>
      </w:r>
    </w:p>
    <w:p>
      <w:pPr>
        <w:widowControl/>
        <w:adjustRightInd w:val="0"/>
        <w:snapToGrid w:val="0"/>
        <w:spacing w:line="560" w:lineRule="exact"/>
        <w:ind w:firstLine="480" w:firstLineChars="200"/>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合同期内累计两次普通警告将给予一次严重警告。每个普通警告扣除履约保证金的5%作为罚款，每个严重警告扣除履约保证金10%作为罚款（不做累加处罚）。</w:t>
      </w:r>
    </w:p>
    <w:p>
      <w:pPr>
        <w:widowControl/>
        <w:adjustRightInd w:val="0"/>
        <w:snapToGrid w:val="0"/>
        <w:spacing w:line="560" w:lineRule="exact"/>
        <w:ind w:firstLine="480" w:firstLineChars="200"/>
        <w:rPr>
          <w:rFonts w:ascii="仿宋_GB2312" w:hAnsi="仿宋_GB2312" w:eastAsia="仿宋_GB2312" w:cs="仿宋_GB2312"/>
          <w:color w:val="auto"/>
          <w:sz w:val="24"/>
          <w:highlight w:val="none"/>
        </w:rPr>
      </w:pPr>
      <w:r>
        <w:rPr>
          <w:rFonts w:hint="eastAsia" w:ascii="仿宋_GB2312" w:hAnsi="宋体" w:eastAsia="仿宋_GB2312" w:cs="宋体"/>
          <w:color w:val="auto"/>
          <w:kern w:val="0"/>
          <w:sz w:val="24"/>
          <w:highlight w:val="none"/>
        </w:rPr>
        <w:t>合同期内累计两次严重警告的，采购人有权终止合同，并可以采取扣除部分或全部履约保证金等惩罚措施，如有失信行为将上报总局失信企业名单。</w:t>
      </w:r>
    </w:p>
    <w:p>
      <w:pPr>
        <w:widowControl/>
        <w:adjustRightInd w:val="0"/>
        <w:snapToGrid w:val="0"/>
        <w:spacing w:line="360" w:lineRule="auto"/>
        <w:jc w:val="center"/>
        <w:outlineLvl w:val="0"/>
        <w:rPr>
          <w:rStyle w:val="116"/>
          <w:rFonts w:ascii="宋体" w:hAnsi="宋体"/>
          <w:b/>
          <w:bCs/>
          <w:color w:val="auto"/>
          <w:sz w:val="32"/>
          <w:szCs w:val="32"/>
          <w:highlight w:val="none"/>
        </w:rPr>
      </w:pPr>
      <w:r>
        <w:rPr>
          <w:rFonts w:hint="eastAsia" w:ascii="宋体" w:hAnsi="宋体" w:cs="宋体"/>
          <w:color w:val="auto"/>
          <w:kern w:val="0"/>
          <w:sz w:val="24"/>
          <w:highlight w:val="none"/>
        </w:rPr>
        <w:br w:type="page"/>
      </w:r>
      <w:bookmarkStart w:id="79" w:name="_Toc124754509"/>
      <w:r>
        <w:rPr>
          <w:rStyle w:val="116"/>
          <w:rFonts w:ascii="宋体" w:hAnsi="宋体"/>
          <w:b/>
          <w:color w:val="auto"/>
          <w:sz w:val="32"/>
          <w:szCs w:val="32"/>
          <w:highlight w:val="none"/>
        </w:rPr>
        <w:t>投标人承诺书</w:t>
      </w:r>
      <w:bookmarkEnd w:id="79"/>
    </w:p>
    <w:p>
      <w:pPr>
        <w:spacing w:line="360" w:lineRule="auto"/>
        <w:jc w:val="center"/>
        <w:textAlignment w:val="baseline"/>
        <w:outlineLvl w:val="0"/>
        <w:rPr>
          <w:rStyle w:val="116"/>
          <w:rFonts w:ascii="宋体" w:hAnsi="宋体"/>
          <w:b/>
          <w:color w:val="auto"/>
          <w:sz w:val="24"/>
          <w:highlight w:val="none"/>
        </w:rPr>
      </w:pPr>
      <w:bookmarkStart w:id="80" w:name="_Toc124754510"/>
      <w:r>
        <w:rPr>
          <w:rStyle w:val="116"/>
          <w:rFonts w:ascii="宋体" w:hAnsi="宋体"/>
          <w:b/>
          <w:color w:val="auto"/>
          <w:sz w:val="24"/>
          <w:highlight w:val="none"/>
        </w:rPr>
        <w:t>（递交投标文件时单独提交）</w:t>
      </w:r>
      <w:bookmarkEnd w:id="80"/>
    </w:p>
    <w:p>
      <w:pPr>
        <w:spacing w:line="360" w:lineRule="auto"/>
        <w:ind w:firstLine="480" w:firstLineChars="200"/>
        <w:jc w:val="left"/>
        <w:textAlignment w:val="baseline"/>
        <w:rPr>
          <w:rStyle w:val="116"/>
          <w:rFonts w:ascii="宋体" w:hAnsi="宋体"/>
          <w:color w:val="auto"/>
          <w:sz w:val="24"/>
          <w:highlight w:val="none"/>
        </w:rPr>
      </w:pPr>
    </w:p>
    <w:p>
      <w:pPr>
        <w:spacing w:line="360" w:lineRule="auto"/>
        <w:ind w:firstLine="480" w:firstLineChars="200"/>
        <w:jc w:val="left"/>
        <w:textAlignment w:val="baseline"/>
        <w:rPr>
          <w:rFonts w:ascii="宋体" w:hAnsi="宋体"/>
          <w:color w:val="auto"/>
          <w:sz w:val="24"/>
          <w:highlight w:val="none"/>
        </w:rPr>
      </w:pPr>
      <w:r>
        <w:rPr>
          <w:rStyle w:val="116"/>
          <w:rFonts w:hint="eastAsia" w:ascii="宋体" w:hAnsi="宋体"/>
          <w:color w:val="auto"/>
          <w:sz w:val="24"/>
          <w:highlight w:val="none"/>
        </w:rPr>
        <w:t>本单位</w:t>
      </w:r>
      <w:r>
        <w:rPr>
          <w:rFonts w:hint="eastAsia" w:ascii="宋体" w:hAnsi="宋体"/>
          <w:color w:val="auto"/>
          <w:sz w:val="24"/>
          <w:highlight w:val="none"/>
        </w:rPr>
        <w:t>承诺：于2023年  月 日，派（姓名：  ，身份证号码：     ，联系方式：    ）递交           项目（项目编号：   ）的投标文件并参加开标活动。</w:t>
      </w:r>
    </w:p>
    <w:p>
      <w:pPr>
        <w:spacing w:line="360" w:lineRule="auto"/>
        <w:ind w:firstLine="480" w:firstLineChars="200"/>
        <w:textAlignment w:val="baseline"/>
        <w:rPr>
          <w:rStyle w:val="116"/>
          <w:rFonts w:ascii="宋体" w:hAnsi="宋体"/>
          <w:color w:val="auto"/>
          <w:sz w:val="24"/>
          <w:highlight w:val="none"/>
        </w:rPr>
      </w:pPr>
      <w:r>
        <w:rPr>
          <w:rStyle w:val="116"/>
          <w:rFonts w:hint="eastAsia" w:ascii="宋体" w:hAnsi="宋体"/>
          <w:color w:val="auto"/>
          <w:sz w:val="24"/>
          <w:highlight w:val="none"/>
        </w:rPr>
        <w:t>本单位承诺在递交投标文件、开标过程中做到以下几点：</w:t>
      </w:r>
    </w:p>
    <w:p>
      <w:pPr>
        <w:spacing w:line="360" w:lineRule="auto"/>
        <w:ind w:firstLine="480" w:firstLineChars="200"/>
        <w:textAlignment w:val="baseline"/>
        <w:rPr>
          <w:rFonts w:ascii="宋体" w:hAnsi="宋体"/>
          <w:color w:val="auto"/>
          <w:sz w:val="24"/>
          <w:highlight w:val="none"/>
        </w:rPr>
      </w:pPr>
      <w:r>
        <w:rPr>
          <w:rStyle w:val="116"/>
          <w:rFonts w:hint="eastAsia" w:ascii="宋体" w:hAnsi="宋体"/>
          <w:color w:val="auto"/>
          <w:sz w:val="24"/>
          <w:highlight w:val="none"/>
        </w:rPr>
        <w:t>1、</w:t>
      </w:r>
      <w:r>
        <w:rPr>
          <w:rFonts w:hint="eastAsia" w:ascii="宋体" w:hAnsi="宋体"/>
          <w:color w:val="auto"/>
          <w:sz w:val="24"/>
          <w:highlight w:val="none"/>
        </w:rPr>
        <w:t>参与投标人员近1周内身体状况良好，未有咽痛、干咳、发热、乏力、嗅（味）觉减退等不适症状。</w:t>
      </w:r>
    </w:p>
    <w:p>
      <w:pPr>
        <w:spacing w:line="360" w:lineRule="auto"/>
        <w:ind w:firstLine="480" w:firstLineChars="200"/>
        <w:textAlignment w:val="baseline"/>
        <w:rPr>
          <w:rFonts w:ascii="宋体" w:hAnsi="宋体"/>
          <w:color w:val="auto"/>
          <w:sz w:val="24"/>
          <w:highlight w:val="none"/>
        </w:rPr>
      </w:pPr>
      <w:r>
        <w:rPr>
          <w:rStyle w:val="116"/>
          <w:rFonts w:hint="eastAsia" w:ascii="宋体" w:hAnsi="宋体"/>
          <w:color w:val="auto"/>
          <w:sz w:val="24"/>
          <w:highlight w:val="none"/>
        </w:rPr>
        <w:t>2、参与投标人员</w:t>
      </w:r>
      <w:r>
        <w:rPr>
          <w:rFonts w:hint="eastAsia" w:ascii="宋体" w:hAnsi="宋体"/>
          <w:color w:val="auto"/>
          <w:sz w:val="24"/>
          <w:highlight w:val="none"/>
        </w:rPr>
        <w:t>近1周内未与确诊或疑似病例有过接触史。</w:t>
      </w:r>
    </w:p>
    <w:p>
      <w:pPr>
        <w:spacing w:line="360" w:lineRule="auto"/>
        <w:ind w:firstLine="480" w:firstLineChars="200"/>
        <w:textAlignment w:val="baseline"/>
        <w:rPr>
          <w:rStyle w:val="116"/>
          <w:rFonts w:ascii="宋体" w:hAnsi="宋体"/>
          <w:color w:val="auto"/>
          <w:sz w:val="24"/>
          <w:highlight w:val="none"/>
        </w:rPr>
      </w:pPr>
      <w:r>
        <w:rPr>
          <w:rFonts w:hint="eastAsia" w:ascii="宋体" w:hAnsi="宋体"/>
          <w:color w:val="auto"/>
          <w:sz w:val="24"/>
          <w:highlight w:val="none"/>
        </w:rPr>
        <w:t>3、</w:t>
      </w:r>
      <w:r>
        <w:rPr>
          <w:rStyle w:val="116"/>
          <w:rFonts w:hint="eastAsia" w:ascii="宋体" w:hAnsi="宋体"/>
          <w:color w:val="auto"/>
          <w:sz w:val="24"/>
          <w:highlight w:val="none"/>
        </w:rPr>
        <w:t>参与投标人员</w:t>
      </w:r>
      <w:r>
        <w:rPr>
          <w:rFonts w:hint="eastAsia" w:ascii="宋体" w:hAnsi="宋体"/>
          <w:color w:val="auto"/>
          <w:sz w:val="24"/>
          <w:highlight w:val="none"/>
        </w:rPr>
        <w:t>自觉遵守疫情防控相关规定和开标现场管理规定，</w:t>
      </w:r>
      <w:r>
        <w:rPr>
          <w:rStyle w:val="116"/>
          <w:rFonts w:hint="eastAsia" w:ascii="宋体" w:hAnsi="宋体"/>
          <w:color w:val="auto"/>
          <w:sz w:val="24"/>
          <w:highlight w:val="none"/>
        </w:rPr>
        <w:t>积极配合现场工作人员进行信息登记和体温监测</w:t>
      </w:r>
      <w:r>
        <w:rPr>
          <w:rFonts w:hint="eastAsia" w:ascii="宋体" w:hAnsi="宋体" w:cs="宋体"/>
          <w:bCs/>
          <w:color w:val="auto"/>
          <w:sz w:val="24"/>
          <w:highlight w:val="none"/>
        </w:rPr>
        <w:t>。</w:t>
      </w:r>
    </w:p>
    <w:p>
      <w:pPr>
        <w:spacing w:line="360" w:lineRule="auto"/>
        <w:ind w:firstLine="480" w:firstLineChars="200"/>
        <w:textAlignment w:val="baseline"/>
        <w:rPr>
          <w:rStyle w:val="116"/>
          <w:rFonts w:ascii="宋体" w:hAnsi="宋体"/>
          <w:color w:val="auto"/>
          <w:sz w:val="24"/>
          <w:highlight w:val="none"/>
        </w:rPr>
      </w:pPr>
      <w:r>
        <w:rPr>
          <w:rStyle w:val="116"/>
          <w:rFonts w:hint="eastAsia" w:ascii="宋体" w:hAnsi="宋体"/>
          <w:color w:val="auto"/>
          <w:sz w:val="24"/>
          <w:highlight w:val="none"/>
        </w:rPr>
        <w:t>4、</w:t>
      </w:r>
      <w:r>
        <w:rPr>
          <w:rFonts w:hint="eastAsia" w:ascii="宋体" w:hAnsi="宋体"/>
          <w:color w:val="auto"/>
          <w:sz w:val="24"/>
          <w:highlight w:val="none"/>
        </w:rPr>
        <w:t>参与投标人员提前到达开标现场，</w:t>
      </w:r>
      <w:r>
        <w:rPr>
          <w:rStyle w:val="116"/>
          <w:rFonts w:hint="eastAsia" w:ascii="宋体" w:hAnsi="宋体"/>
          <w:color w:val="auto"/>
          <w:sz w:val="24"/>
          <w:highlight w:val="none"/>
        </w:rPr>
        <w:t>自觉做好个人防护，佩戴口罩，听从</w:t>
      </w:r>
      <w:r>
        <w:rPr>
          <w:rFonts w:hint="eastAsia" w:ascii="宋体" w:hAnsi="宋体"/>
          <w:color w:val="auto"/>
          <w:sz w:val="24"/>
          <w:highlight w:val="none"/>
        </w:rPr>
        <w:t>开标现场工作人员</w:t>
      </w:r>
      <w:r>
        <w:rPr>
          <w:rStyle w:val="116"/>
          <w:rFonts w:hint="eastAsia" w:ascii="宋体" w:hAnsi="宋体"/>
          <w:color w:val="auto"/>
          <w:sz w:val="24"/>
          <w:highlight w:val="none"/>
        </w:rPr>
        <w:t>的引导。</w:t>
      </w:r>
    </w:p>
    <w:p>
      <w:pPr>
        <w:spacing w:line="360" w:lineRule="auto"/>
        <w:ind w:firstLine="480" w:firstLineChars="200"/>
        <w:textAlignment w:val="baseline"/>
        <w:rPr>
          <w:rStyle w:val="116"/>
          <w:rFonts w:ascii="宋体" w:hAnsi="宋体"/>
          <w:color w:val="auto"/>
          <w:sz w:val="24"/>
          <w:highlight w:val="none"/>
        </w:rPr>
      </w:pPr>
      <w:r>
        <w:rPr>
          <w:rStyle w:val="116"/>
          <w:rFonts w:hint="eastAsia" w:ascii="宋体" w:hAnsi="宋体"/>
          <w:color w:val="auto"/>
          <w:sz w:val="24"/>
          <w:highlight w:val="none"/>
        </w:rPr>
        <w:t>5、项目结束后，本单位人员迅速离场，不在公共区域内停留。</w:t>
      </w:r>
    </w:p>
    <w:p>
      <w:pPr>
        <w:spacing w:line="360" w:lineRule="auto"/>
        <w:ind w:firstLine="480" w:firstLineChars="200"/>
        <w:textAlignment w:val="baseline"/>
        <w:rPr>
          <w:rStyle w:val="116"/>
          <w:rFonts w:ascii="宋体" w:hAnsi="宋体"/>
          <w:color w:val="auto"/>
          <w:sz w:val="24"/>
          <w:highlight w:val="none"/>
        </w:rPr>
      </w:pPr>
      <w:r>
        <w:rPr>
          <w:rStyle w:val="116"/>
          <w:rFonts w:hint="eastAsia" w:ascii="宋体" w:hAnsi="宋体"/>
          <w:color w:val="auto"/>
          <w:sz w:val="24"/>
          <w:highlight w:val="none"/>
        </w:rPr>
        <w:t>7、未按或违反代理机构要求所引起的一切后果由本单位自行负责。</w:t>
      </w:r>
    </w:p>
    <w:p>
      <w:pPr>
        <w:spacing w:line="360" w:lineRule="auto"/>
        <w:jc w:val="center"/>
        <w:textAlignment w:val="baseline"/>
        <w:rPr>
          <w:rStyle w:val="116"/>
          <w:rFonts w:hint="eastAsia" w:ascii="宋体" w:hAnsi="宋体"/>
          <w:color w:val="auto"/>
          <w:sz w:val="24"/>
          <w:highlight w:val="none"/>
        </w:rPr>
      </w:pPr>
    </w:p>
    <w:p>
      <w:pPr>
        <w:pStyle w:val="2"/>
        <w:rPr>
          <w:color w:val="auto"/>
          <w:highlight w:val="none"/>
        </w:rPr>
      </w:pPr>
    </w:p>
    <w:p>
      <w:pPr>
        <w:spacing w:line="360" w:lineRule="auto"/>
        <w:jc w:val="center"/>
        <w:textAlignment w:val="baseline"/>
        <w:outlineLvl w:val="0"/>
        <w:rPr>
          <w:rStyle w:val="116"/>
          <w:rFonts w:ascii="宋体" w:hAnsi="宋体"/>
          <w:color w:val="auto"/>
          <w:sz w:val="24"/>
          <w:highlight w:val="none"/>
        </w:rPr>
      </w:pPr>
      <w:r>
        <w:rPr>
          <w:rStyle w:val="116"/>
          <w:rFonts w:hint="eastAsia" w:ascii="宋体" w:hAnsi="宋体"/>
          <w:color w:val="auto"/>
          <w:sz w:val="24"/>
          <w:highlight w:val="none"/>
        </w:rPr>
        <w:t xml:space="preserve">                     </w:t>
      </w:r>
      <w:bookmarkStart w:id="81" w:name="_Toc124754511"/>
      <w:r>
        <w:rPr>
          <w:rStyle w:val="116"/>
          <w:rFonts w:hint="eastAsia" w:ascii="宋体" w:hAnsi="宋体"/>
          <w:color w:val="auto"/>
          <w:sz w:val="24"/>
          <w:highlight w:val="none"/>
        </w:rPr>
        <w:t>承诺单位（公章）：</w:t>
      </w:r>
      <w:bookmarkEnd w:id="81"/>
    </w:p>
    <w:p>
      <w:pPr>
        <w:spacing w:line="360" w:lineRule="auto"/>
        <w:ind w:firstLine="4560" w:firstLineChars="1900"/>
        <w:textAlignment w:val="baseline"/>
        <w:rPr>
          <w:rStyle w:val="116"/>
          <w:rFonts w:ascii="宋体" w:hAnsi="宋体"/>
          <w:color w:val="auto"/>
          <w:sz w:val="24"/>
          <w:highlight w:val="none"/>
        </w:rPr>
      </w:pPr>
      <w:r>
        <w:rPr>
          <w:rStyle w:val="116"/>
          <w:rFonts w:hint="eastAsia" w:ascii="宋体" w:hAnsi="宋体"/>
          <w:color w:val="auto"/>
          <w:sz w:val="24"/>
          <w:highlight w:val="none"/>
        </w:rPr>
        <w:t>承诺人签字：</w:t>
      </w:r>
    </w:p>
    <w:p>
      <w:pPr>
        <w:spacing w:line="360" w:lineRule="auto"/>
        <w:ind w:firstLine="4680" w:firstLineChars="1950"/>
        <w:textAlignment w:val="baseline"/>
        <w:rPr>
          <w:rFonts w:ascii="宋体" w:hAnsi="宋体"/>
          <w:strike/>
          <w:color w:val="auto"/>
          <w:sz w:val="24"/>
          <w:highlight w:val="none"/>
        </w:rPr>
      </w:pPr>
      <w:r>
        <w:rPr>
          <w:rStyle w:val="116"/>
          <w:rFonts w:hint="eastAsia" w:ascii="宋体" w:hAnsi="宋体"/>
          <w:color w:val="auto"/>
          <w:sz w:val="24"/>
          <w:highlight w:val="none"/>
        </w:rPr>
        <w:t>年   月   日</w:t>
      </w:r>
    </w:p>
    <w:sectPr>
      <w:pgSz w:w="11906" w:h="16838"/>
      <w:pgMar w:top="1440" w:right="1800" w:bottom="1440" w:left="1800" w:header="850"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Consolas">
    <w:panose1 w:val="020B0609020204030204"/>
    <w:charset w:val="00"/>
    <w:family w:val="modern"/>
    <w:pitch w:val="default"/>
    <w:sig w:usb0="E10002FF" w:usb1="4000FCFF" w:usb2="00000009" w:usb3="00000000" w:csb0="6000019F" w:csb1="DFD70000"/>
  </w:font>
  <w:font w:name="仿宋">
    <w:panose1 w:val="02010609060101010101"/>
    <w:charset w:val="86"/>
    <w:family w:val="modern"/>
    <w:pitch w:val="default"/>
    <w:sig w:usb0="800002BF" w:usb1="38CF7CFA" w:usb2="00000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长城仿宋">
    <w:altName w:val="黑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Futura Bk">
    <w:altName w:val="Segoe Print"/>
    <w:panose1 w:val="00000000000000000000"/>
    <w:charset w:val="00"/>
    <w:family w:val="swiss"/>
    <w:pitch w:val="default"/>
    <w:sig w:usb0="00000000" w:usb1="00000000" w:usb2="00000000" w:usb3="00000000" w:csb0="000001FB" w:csb1="00000000"/>
  </w:font>
  <w:font w:name="文鼎粗黑">
    <w:altName w:val="微软雅黑"/>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全真簡粗明">
    <w:altName w:val="MingLiU-ExtB"/>
    <w:panose1 w:val="00000000000000000000"/>
    <w:charset w:val="88"/>
    <w:family w:val="modern"/>
    <w:pitch w:val="default"/>
    <w:sig w:usb0="00000000" w:usb1="00000000" w:usb2="00000010" w:usb3="00000000" w:csb0="00100000" w:csb1="00000000"/>
  </w:font>
  <w:font w:name="幼圆">
    <w:altName w:val="宋体"/>
    <w:panose1 w:val="02010509060101010101"/>
    <w:charset w:val="86"/>
    <w:family w:val="modern"/>
    <w:pitch w:val="default"/>
    <w:sig w:usb0="00000000" w:usb1="00000000" w:usb2="00000010" w:usb3="00000000" w:csb0="00040000" w:csb1="00000000"/>
  </w:font>
  <w:font w:name="Century">
    <w:altName w:val="Nyala"/>
    <w:panose1 w:val="02040604050505020304"/>
    <w:charset w:val="00"/>
    <w:family w:val="roman"/>
    <w:pitch w:val="default"/>
    <w:sig w:usb0="00000000" w:usb1="00000000" w:usb2="00000000" w:usb3="00000000" w:csb0="0000009F" w:csb1="00000000"/>
  </w:font>
  <w:font w:name="MS Mincho">
    <w:panose1 w:val="02020609040205080304"/>
    <w:charset w:val="80"/>
    <w:family w:val="modern"/>
    <w:pitch w:val="default"/>
    <w:sig w:usb0="E00002FF" w:usb1="6AC7FDFB" w:usb2="00000012" w:usb3="00000000" w:csb0="4002009F" w:csb1="DFD70000"/>
  </w:font>
  <w:font w:name="MingLiU_HKSCS">
    <w:panose1 w:val="02020500000000000000"/>
    <w:charset w:val="88"/>
    <w:family w:val="roman"/>
    <w:pitch w:val="default"/>
    <w:sig w:usb0="A00002FF" w:usb1="3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MingLiU-ExtB">
    <w:panose1 w:val="02020500000000000000"/>
    <w:charset w:val="88"/>
    <w:family w:val="auto"/>
    <w:pitch w:val="default"/>
    <w:sig w:usb0="8000002F" w:usb1="02000008" w:usb2="00000000" w:usb3="00000000" w:csb0="00100001" w:csb1="00000000"/>
  </w:font>
  <w:font w:name="Nyala">
    <w:panose1 w:val="02000504070300020003"/>
    <w:charset w:val="00"/>
    <w:family w:val="auto"/>
    <w:pitch w:val="default"/>
    <w:sig w:usb0="A000006F"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8"/>
      </w:rPr>
    </w:pPr>
    <w:r>
      <w:fldChar w:fldCharType="begin"/>
    </w:r>
    <w:r>
      <w:rPr>
        <w:rStyle w:val="38"/>
      </w:rPr>
      <w:instrText xml:space="preserve"> PAGE </w:instrText>
    </w:r>
    <w:r>
      <w:fldChar w:fldCharType="end"/>
    </w:r>
  </w:p>
  <w:p>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8"/>
      </w:rPr>
    </w:pPr>
    <w:r>
      <w:fldChar w:fldCharType="begin"/>
    </w:r>
    <w:r>
      <w:rPr>
        <w:rStyle w:val="38"/>
      </w:rPr>
      <w:instrText xml:space="preserve"> PAGE </w:instrText>
    </w:r>
    <w:r>
      <w:fldChar w:fldCharType="separate"/>
    </w:r>
    <w:r>
      <w:rPr>
        <w:rStyle w:val="38"/>
      </w:rPr>
      <w:t>54</w:t>
    </w:r>
    <w:r>
      <w:fldChar w:fldCharType="end"/>
    </w:r>
  </w:p>
  <w:p>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3"/>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FprPsscBAACbAwAADgAAAAAAAAABACAAAAAeAQAAZHJzL2Uyb0RvYy54&#10;bWxQSwUGAAAAAAYABgBZAQAAVwUAAAAA&#10;">
              <v:fill on="f" focussize="0,0"/>
              <v:stroke on="f"/>
              <v:imagedata o:title=""/>
              <o:lock v:ext="edit" aspectratio="f"/>
              <v:textbox inset="0mm,0mm,0mm,0mm" style="mso-fit-shape-to-text:t;">
                <w:txbxContent>
                  <w:p>
                    <w:pPr>
                      <w:pStyle w:val="23"/>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
  <w:p/>
  <w:p/>
  <w:p/>
  <w:p/>
  <w:p/>
  <w:p/>
  <w:p/>
  <w:p/>
  <w:p/>
  <w:p/>
  <w:p/>
  <w:p/>
  <w:p/>
  <w:p/>
  <w:p/>
  <w:p/>
  <w:p/>
  <w:p/>
  <w:p/>
  <w:p/>
  <w:p/>
  <w:p/>
  <w:p/>
  <w:p/>
  <w:p/>
  <w:p/>
  <w:p/>
  <w:p/>
  <w:p/>
  <w:p/>
  <w:p/>
  <w:p/>
  <w:p/>
  <w:p/>
  <w:p/>
  <w:p/>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97C188"/>
    <w:multiLevelType w:val="singleLevel"/>
    <w:tmpl w:val="A197C188"/>
    <w:lvl w:ilvl="0" w:tentative="0">
      <w:start w:val="7"/>
      <w:numFmt w:val="chineseCounting"/>
      <w:suff w:val="nothing"/>
      <w:lvlText w:val="%1、"/>
      <w:lvlJc w:val="left"/>
      <w:rPr>
        <w:rFonts w:hint="eastAsia"/>
      </w:rPr>
    </w:lvl>
  </w:abstractNum>
  <w:abstractNum w:abstractNumId="1">
    <w:nsid w:val="A3FD44BE"/>
    <w:multiLevelType w:val="singleLevel"/>
    <w:tmpl w:val="A3FD44BE"/>
    <w:lvl w:ilvl="0" w:tentative="0">
      <w:start w:val="3"/>
      <w:numFmt w:val="chineseCounting"/>
      <w:suff w:val="nothing"/>
      <w:lvlText w:val="%1、"/>
      <w:lvlJc w:val="left"/>
      <w:rPr>
        <w:rFonts w:hint="eastAsia"/>
      </w:rPr>
    </w:lvl>
  </w:abstractNum>
  <w:abstractNum w:abstractNumId="2">
    <w:nsid w:val="BFFC2A7C"/>
    <w:multiLevelType w:val="singleLevel"/>
    <w:tmpl w:val="BFFC2A7C"/>
    <w:lvl w:ilvl="0" w:tentative="0">
      <w:start w:val="1"/>
      <w:numFmt w:val="decimal"/>
      <w:suff w:val="nothing"/>
      <w:lvlText w:val="（%1）"/>
      <w:lvlJc w:val="left"/>
    </w:lvl>
  </w:abstractNum>
  <w:abstractNum w:abstractNumId="3">
    <w:nsid w:val="E185D3E7"/>
    <w:multiLevelType w:val="singleLevel"/>
    <w:tmpl w:val="E185D3E7"/>
    <w:lvl w:ilvl="0" w:tentative="0">
      <w:start w:val="2"/>
      <w:numFmt w:val="chineseCounting"/>
      <w:suff w:val="nothing"/>
      <w:lvlText w:val="（%1）"/>
      <w:lvlJc w:val="left"/>
      <w:rPr>
        <w:rFonts w:hint="eastAsia"/>
      </w:rPr>
    </w:lvl>
  </w:abstractNum>
  <w:abstractNum w:abstractNumId="4">
    <w:nsid w:val="F20B4A5C"/>
    <w:multiLevelType w:val="singleLevel"/>
    <w:tmpl w:val="F20B4A5C"/>
    <w:lvl w:ilvl="0" w:tentative="0">
      <w:start w:val="2"/>
      <w:numFmt w:val="chineseCounting"/>
      <w:suff w:val="nothing"/>
      <w:lvlText w:val="第%1部分　"/>
      <w:lvlJc w:val="left"/>
      <w:rPr>
        <w:rFonts w:hint="eastAsia"/>
      </w:rPr>
    </w:lvl>
  </w:abstractNum>
  <w:abstractNum w:abstractNumId="5">
    <w:nsid w:val="00000006"/>
    <w:multiLevelType w:val="singleLevel"/>
    <w:tmpl w:val="00000006"/>
    <w:lvl w:ilvl="0" w:tentative="0">
      <w:start w:val="1"/>
      <w:numFmt w:val="decimal"/>
      <w:suff w:val="space"/>
      <w:lvlText w:val="%1."/>
      <w:lvlJc w:val="left"/>
    </w:lvl>
  </w:abstractNum>
  <w:abstractNum w:abstractNumId="6">
    <w:nsid w:val="3C7BF5F9"/>
    <w:multiLevelType w:val="singleLevel"/>
    <w:tmpl w:val="3C7BF5F9"/>
    <w:lvl w:ilvl="0" w:tentative="0">
      <w:start w:val="4"/>
      <w:numFmt w:val="chineseCounting"/>
      <w:suff w:val="nothing"/>
      <w:lvlText w:val="第%1章　"/>
      <w:lvlJc w:val="left"/>
      <w:rPr>
        <w:rFonts w:hint="eastAsia"/>
      </w:rPr>
    </w:lvl>
  </w:abstractNum>
  <w:abstractNum w:abstractNumId="7">
    <w:nsid w:val="46027836"/>
    <w:multiLevelType w:val="singleLevel"/>
    <w:tmpl w:val="46027836"/>
    <w:lvl w:ilvl="0" w:tentative="0">
      <w:start w:val="10"/>
      <w:numFmt w:val="decimal"/>
      <w:suff w:val="nothing"/>
      <w:lvlText w:val="%1．"/>
      <w:lvlJc w:val="left"/>
    </w:lvl>
  </w:abstractNum>
  <w:abstractNum w:abstractNumId="8">
    <w:nsid w:val="75F2D127"/>
    <w:multiLevelType w:val="multilevel"/>
    <w:tmpl w:val="75F2D127"/>
    <w:lvl w:ilvl="0" w:tentative="0">
      <w:start w:val="2"/>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9">
    <w:nsid w:val="75FFD6F8"/>
    <w:multiLevelType w:val="singleLevel"/>
    <w:tmpl w:val="75FFD6F8"/>
    <w:lvl w:ilvl="0" w:tentative="0">
      <w:start w:val="1"/>
      <w:numFmt w:val="decimal"/>
      <w:suff w:val="space"/>
      <w:lvlText w:val="%1."/>
      <w:lvlJc w:val="left"/>
    </w:lvl>
  </w:abstractNum>
  <w:abstractNum w:abstractNumId="10">
    <w:nsid w:val="7768CD8F"/>
    <w:multiLevelType w:val="singleLevel"/>
    <w:tmpl w:val="7768CD8F"/>
    <w:lvl w:ilvl="0" w:tentative="0">
      <w:start w:val="4"/>
      <w:numFmt w:val="chineseCounting"/>
      <w:suff w:val="nothing"/>
      <w:lvlText w:val="%1、"/>
      <w:lvlJc w:val="left"/>
      <w:rPr>
        <w:rFonts w:hint="eastAsia"/>
      </w:rPr>
    </w:lvl>
  </w:abstractNum>
  <w:num w:numId="1">
    <w:abstractNumId w:val="10"/>
  </w:num>
  <w:num w:numId="2">
    <w:abstractNumId w:val="2"/>
  </w:num>
  <w:num w:numId="3">
    <w:abstractNumId w:val="8"/>
  </w:num>
  <w:num w:numId="4">
    <w:abstractNumId w:val="7"/>
  </w:num>
  <w:num w:numId="5">
    <w:abstractNumId w:val="6"/>
  </w:num>
  <w:num w:numId="6">
    <w:abstractNumId w:val="9"/>
  </w:num>
  <w:num w:numId="7">
    <w:abstractNumId w:val="1"/>
  </w:num>
  <w:num w:numId="8">
    <w:abstractNumId w:val="0"/>
  </w:num>
  <w:num w:numId="9">
    <w:abstractNumId w:val="4"/>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2YjVjZmRiNzNkMDlkMzMzMzVlYTIyMjQ2ZTE3MjYifQ=="/>
  </w:docVars>
  <w:rsids>
    <w:rsidRoot w:val="00A2773E"/>
    <w:rsid w:val="0000004C"/>
    <w:rsid w:val="00003055"/>
    <w:rsid w:val="00004FA0"/>
    <w:rsid w:val="000116C0"/>
    <w:rsid w:val="00015A29"/>
    <w:rsid w:val="000240EB"/>
    <w:rsid w:val="0002555E"/>
    <w:rsid w:val="00032992"/>
    <w:rsid w:val="000329F4"/>
    <w:rsid w:val="000356F3"/>
    <w:rsid w:val="00042335"/>
    <w:rsid w:val="00045A1A"/>
    <w:rsid w:val="00052263"/>
    <w:rsid w:val="00052D5A"/>
    <w:rsid w:val="000547EA"/>
    <w:rsid w:val="00054A18"/>
    <w:rsid w:val="000676B2"/>
    <w:rsid w:val="00073E2F"/>
    <w:rsid w:val="00075D68"/>
    <w:rsid w:val="000768B1"/>
    <w:rsid w:val="000777AF"/>
    <w:rsid w:val="0008480B"/>
    <w:rsid w:val="00087742"/>
    <w:rsid w:val="00091191"/>
    <w:rsid w:val="000922CA"/>
    <w:rsid w:val="00092938"/>
    <w:rsid w:val="000936A7"/>
    <w:rsid w:val="000B0531"/>
    <w:rsid w:val="000B3EF7"/>
    <w:rsid w:val="000B6BC4"/>
    <w:rsid w:val="000B73DB"/>
    <w:rsid w:val="000C208A"/>
    <w:rsid w:val="000C3A60"/>
    <w:rsid w:val="000C669A"/>
    <w:rsid w:val="000C71A3"/>
    <w:rsid w:val="000C7358"/>
    <w:rsid w:val="000D4C8A"/>
    <w:rsid w:val="000D5375"/>
    <w:rsid w:val="000E365E"/>
    <w:rsid w:val="000F248E"/>
    <w:rsid w:val="000F3B7A"/>
    <w:rsid w:val="000F3E48"/>
    <w:rsid w:val="000F40C9"/>
    <w:rsid w:val="00100363"/>
    <w:rsid w:val="00114F93"/>
    <w:rsid w:val="00133EDB"/>
    <w:rsid w:val="00134509"/>
    <w:rsid w:val="00146805"/>
    <w:rsid w:val="00152B6C"/>
    <w:rsid w:val="00154A39"/>
    <w:rsid w:val="001557BA"/>
    <w:rsid w:val="00163D23"/>
    <w:rsid w:val="00164219"/>
    <w:rsid w:val="00164A3A"/>
    <w:rsid w:val="00165067"/>
    <w:rsid w:val="00172A1E"/>
    <w:rsid w:val="00174E95"/>
    <w:rsid w:val="001800C4"/>
    <w:rsid w:val="00182556"/>
    <w:rsid w:val="0018264A"/>
    <w:rsid w:val="0018709C"/>
    <w:rsid w:val="0018743F"/>
    <w:rsid w:val="00187728"/>
    <w:rsid w:val="001923E4"/>
    <w:rsid w:val="001944AD"/>
    <w:rsid w:val="00195A22"/>
    <w:rsid w:val="001A1CDC"/>
    <w:rsid w:val="001A244C"/>
    <w:rsid w:val="001B0443"/>
    <w:rsid w:val="001C3163"/>
    <w:rsid w:val="001C3395"/>
    <w:rsid w:val="001C477E"/>
    <w:rsid w:val="001D04A7"/>
    <w:rsid w:val="001D0725"/>
    <w:rsid w:val="001D7D97"/>
    <w:rsid w:val="001E0171"/>
    <w:rsid w:val="001E0C75"/>
    <w:rsid w:val="001E2421"/>
    <w:rsid w:val="001E3E64"/>
    <w:rsid w:val="001F2785"/>
    <w:rsid w:val="001F4D84"/>
    <w:rsid w:val="001F5505"/>
    <w:rsid w:val="00200209"/>
    <w:rsid w:val="00202F51"/>
    <w:rsid w:val="0020428A"/>
    <w:rsid w:val="00220E4C"/>
    <w:rsid w:val="00224166"/>
    <w:rsid w:val="00224C41"/>
    <w:rsid w:val="00225387"/>
    <w:rsid w:val="00225C0C"/>
    <w:rsid w:val="0023105C"/>
    <w:rsid w:val="00234BF5"/>
    <w:rsid w:val="002362C0"/>
    <w:rsid w:val="002371A2"/>
    <w:rsid w:val="002564BD"/>
    <w:rsid w:val="0025662B"/>
    <w:rsid w:val="00262203"/>
    <w:rsid w:val="0027354A"/>
    <w:rsid w:val="00274713"/>
    <w:rsid w:val="00291E6D"/>
    <w:rsid w:val="00293455"/>
    <w:rsid w:val="00294200"/>
    <w:rsid w:val="002966FA"/>
    <w:rsid w:val="002A1094"/>
    <w:rsid w:val="002A6AEC"/>
    <w:rsid w:val="002B6D0B"/>
    <w:rsid w:val="002B769F"/>
    <w:rsid w:val="002C2844"/>
    <w:rsid w:val="002C557B"/>
    <w:rsid w:val="002C6F18"/>
    <w:rsid w:val="002D6268"/>
    <w:rsid w:val="002D782E"/>
    <w:rsid w:val="002E1475"/>
    <w:rsid w:val="002E24E0"/>
    <w:rsid w:val="002E6241"/>
    <w:rsid w:val="002F220A"/>
    <w:rsid w:val="002F39A9"/>
    <w:rsid w:val="0030114A"/>
    <w:rsid w:val="00301FE4"/>
    <w:rsid w:val="00304796"/>
    <w:rsid w:val="00306086"/>
    <w:rsid w:val="003068E1"/>
    <w:rsid w:val="00310B7D"/>
    <w:rsid w:val="00311EA2"/>
    <w:rsid w:val="00314488"/>
    <w:rsid w:val="003179DA"/>
    <w:rsid w:val="003219EC"/>
    <w:rsid w:val="003239CE"/>
    <w:rsid w:val="00325973"/>
    <w:rsid w:val="00325CD0"/>
    <w:rsid w:val="00325DE2"/>
    <w:rsid w:val="00332CE7"/>
    <w:rsid w:val="00332DC0"/>
    <w:rsid w:val="003336DA"/>
    <w:rsid w:val="00334531"/>
    <w:rsid w:val="00335D7C"/>
    <w:rsid w:val="00335F5B"/>
    <w:rsid w:val="00341AB1"/>
    <w:rsid w:val="00342D21"/>
    <w:rsid w:val="00342D6A"/>
    <w:rsid w:val="00344A8D"/>
    <w:rsid w:val="00347C93"/>
    <w:rsid w:val="0035165A"/>
    <w:rsid w:val="00353C7F"/>
    <w:rsid w:val="00361551"/>
    <w:rsid w:val="00361BBE"/>
    <w:rsid w:val="003654E1"/>
    <w:rsid w:val="00374BB9"/>
    <w:rsid w:val="003848F9"/>
    <w:rsid w:val="00387C56"/>
    <w:rsid w:val="00390515"/>
    <w:rsid w:val="00394CC9"/>
    <w:rsid w:val="003952D8"/>
    <w:rsid w:val="00396813"/>
    <w:rsid w:val="003A0040"/>
    <w:rsid w:val="003A596F"/>
    <w:rsid w:val="003A62BF"/>
    <w:rsid w:val="003B7C2E"/>
    <w:rsid w:val="003C2618"/>
    <w:rsid w:val="003C68AB"/>
    <w:rsid w:val="003D1AA5"/>
    <w:rsid w:val="003D6EED"/>
    <w:rsid w:val="003E0DDC"/>
    <w:rsid w:val="003E587B"/>
    <w:rsid w:val="003E704A"/>
    <w:rsid w:val="003F22CD"/>
    <w:rsid w:val="003F4183"/>
    <w:rsid w:val="003F73F8"/>
    <w:rsid w:val="003F7B46"/>
    <w:rsid w:val="00405D9B"/>
    <w:rsid w:val="00411237"/>
    <w:rsid w:val="00416FD3"/>
    <w:rsid w:val="00420E09"/>
    <w:rsid w:val="00421635"/>
    <w:rsid w:val="004216A5"/>
    <w:rsid w:val="0042387E"/>
    <w:rsid w:val="00431777"/>
    <w:rsid w:val="0043623F"/>
    <w:rsid w:val="00441574"/>
    <w:rsid w:val="0044447F"/>
    <w:rsid w:val="00446933"/>
    <w:rsid w:val="00470EB3"/>
    <w:rsid w:val="004808D3"/>
    <w:rsid w:val="00481E36"/>
    <w:rsid w:val="00482200"/>
    <w:rsid w:val="00483804"/>
    <w:rsid w:val="0048613C"/>
    <w:rsid w:val="004926CF"/>
    <w:rsid w:val="00493B34"/>
    <w:rsid w:val="00494793"/>
    <w:rsid w:val="004A4853"/>
    <w:rsid w:val="004C1FFA"/>
    <w:rsid w:val="004C617B"/>
    <w:rsid w:val="004F4609"/>
    <w:rsid w:val="004F6027"/>
    <w:rsid w:val="004F75F4"/>
    <w:rsid w:val="00500E7B"/>
    <w:rsid w:val="0051029A"/>
    <w:rsid w:val="00510D34"/>
    <w:rsid w:val="00511EED"/>
    <w:rsid w:val="00512478"/>
    <w:rsid w:val="00514117"/>
    <w:rsid w:val="00514A4F"/>
    <w:rsid w:val="00514B47"/>
    <w:rsid w:val="005159F2"/>
    <w:rsid w:val="00527ED9"/>
    <w:rsid w:val="0053145B"/>
    <w:rsid w:val="0053509E"/>
    <w:rsid w:val="00535820"/>
    <w:rsid w:val="005360DE"/>
    <w:rsid w:val="00536351"/>
    <w:rsid w:val="00540B10"/>
    <w:rsid w:val="005457BE"/>
    <w:rsid w:val="00546AB5"/>
    <w:rsid w:val="00552145"/>
    <w:rsid w:val="00555EF8"/>
    <w:rsid w:val="0056248B"/>
    <w:rsid w:val="005708D6"/>
    <w:rsid w:val="00572FD3"/>
    <w:rsid w:val="005746D5"/>
    <w:rsid w:val="00574A08"/>
    <w:rsid w:val="00580080"/>
    <w:rsid w:val="005824EE"/>
    <w:rsid w:val="0058325B"/>
    <w:rsid w:val="00584454"/>
    <w:rsid w:val="00585B45"/>
    <w:rsid w:val="00590D9E"/>
    <w:rsid w:val="00592D3B"/>
    <w:rsid w:val="00593C17"/>
    <w:rsid w:val="0059451C"/>
    <w:rsid w:val="00596D03"/>
    <w:rsid w:val="00596FA3"/>
    <w:rsid w:val="005A0652"/>
    <w:rsid w:val="005A40EF"/>
    <w:rsid w:val="005A563B"/>
    <w:rsid w:val="005A75CC"/>
    <w:rsid w:val="005B0998"/>
    <w:rsid w:val="005B3672"/>
    <w:rsid w:val="005B75B6"/>
    <w:rsid w:val="005B7AEC"/>
    <w:rsid w:val="005D0F48"/>
    <w:rsid w:val="005D417B"/>
    <w:rsid w:val="005F37D7"/>
    <w:rsid w:val="005F6DD0"/>
    <w:rsid w:val="00606F34"/>
    <w:rsid w:val="006105DE"/>
    <w:rsid w:val="006119B2"/>
    <w:rsid w:val="006131C7"/>
    <w:rsid w:val="00620CCD"/>
    <w:rsid w:val="00634C27"/>
    <w:rsid w:val="00637624"/>
    <w:rsid w:val="006426FE"/>
    <w:rsid w:val="00643CC5"/>
    <w:rsid w:val="0064437A"/>
    <w:rsid w:val="006452F1"/>
    <w:rsid w:val="006508BA"/>
    <w:rsid w:val="0065195E"/>
    <w:rsid w:val="00651964"/>
    <w:rsid w:val="00654180"/>
    <w:rsid w:val="00654648"/>
    <w:rsid w:val="00656C6B"/>
    <w:rsid w:val="00675004"/>
    <w:rsid w:val="0068372F"/>
    <w:rsid w:val="00691AB4"/>
    <w:rsid w:val="00695E31"/>
    <w:rsid w:val="00696B14"/>
    <w:rsid w:val="006A0BB1"/>
    <w:rsid w:val="006A377A"/>
    <w:rsid w:val="006C0615"/>
    <w:rsid w:val="006C0BC5"/>
    <w:rsid w:val="006C24F8"/>
    <w:rsid w:val="006C6225"/>
    <w:rsid w:val="006D02DC"/>
    <w:rsid w:val="006D09AA"/>
    <w:rsid w:val="006D33A1"/>
    <w:rsid w:val="006D5D0D"/>
    <w:rsid w:val="006E4859"/>
    <w:rsid w:val="006E51D7"/>
    <w:rsid w:val="006E5B67"/>
    <w:rsid w:val="006F2421"/>
    <w:rsid w:val="006F4021"/>
    <w:rsid w:val="007010D7"/>
    <w:rsid w:val="00712030"/>
    <w:rsid w:val="00713031"/>
    <w:rsid w:val="00715953"/>
    <w:rsid w:val="007162B9"/>
    <w:rsid w:val="007207D2"/>
    <w:rsid w:val="00721BC1"/>
    <w:rsid w:val="007255BB"/>
    <w:rsid w:val="0073189F"/>
    <w:rsid w:val="0073587C"/>
    <w:rsid w:val="00735AD5"/>
    <w:rsid w:val="007437E3"/>
    <w:rsid w:val="00747DA1"/>
    <w:rsid w:val="00747F70"/>
    <w:rsid w:val="007572A6"/>
    <w:rsid w:val="00761E38"/>
    <w:rsid w:val="007656F8"/>
    <w:rsid w:val="00770FDB"/>
    <w:rsid w:val="007724B6"/>
    <w:rsid w:val="00775206"/>
    <w:rsid w:val="007766F5"/>
    <w:rsid w:val="007878C7"/>
    <w:rsid w:val="00787D43"/>
    <w:rsid w:val="007900FD"/>
    <w:rsid w:val="00790C54"/>
    <w:rsid w:val="00791034"/>
    <w:rsid w:val="00792F78"/>
    <w:rsid w:val="007A0C6C"/>
    <w:rsid w:val="007A136A"/>
    <w:rsid w:val="007B55F0"/>
    <w:rsid w:val="007C6635"/>
    <w:rsid w:val="007D51B0"/>
    <w:rsid w:val="007D529F"/>
    <w:rsid w:val="007E3C10"/>
    <w:rsid w:val="007E742B"/>
    <w:rsid w:val="007F1371"/>
    <w:rsid w:val="007F4467"/>
    <w:rsid w:val="007F5786"/>
    <w:rsid w:val="007F72CF"/>
    <w:rsid w:val="008047C1"/>
    <w:rsid w:val="008134EB"/>
    <w:rsid w:val="0082287F"/>
    <w:rsid w:val="0082454B"/>
    <w:rsid w:val="00845014"/>
    <w:rsid w:val="00846486"/>
    <w:rsid w:val="0085367D"/>
    <w:rsid w:val="00853A1D"/>
    <w:rsid w:val="00862949"/>
    <w:rsid w:val="0086335E"/>
    <w:rsid w:val="0086602E"/>
    <w:rsid w:val="0086615F"/>
    <w:rsid w:val="008678FA"/>
    <w:rsid w:val="00873E78"/>
    <w:rsid w:val="00873F5F"/>
    <w:rsid w:val="00876AF4"/>
    <w:rsid w:val="008813AF"/>
    <w:rsid w:val="00883188"/>
    <w:rsid w:val="008869DE"/>
    <w:rsid w:val="00887052"/>
    <w:rsid w:val="00892619"/>
    <w:rsid w:val="00892B8D"/>
    <w:rsid w:val="00897FE7"/>
    <w:rsid w:val="008A2743"/>
    <w:rsid w:val="008B0F10"/>
    <w:rsid w:val="008B34C1"/>
    <w:rsid w:val="008C2CE6"/>
    <w:rsid w:val="008C39D1"/>
    <w:rsid w:val="008C7CBE"/>
    <w:rsid w:val="008D75F8"/>
    <w:rsid w:val="008D7636"/>
    <w:rsid w:val="008E06BA"/>
    <w:rsid w:val="008E2F59"/>
    <w:rsid w:val="008E56EF"/>
    <w:rsid w:val="008F7F75"/>
    <w:rsid w:val="009005AE"/>
    <w:rsid w:val="00902B04"/>
    <w:rsid w:val="00903C1B"/>
    <w:rsid w:val="00914098"/>
    <w:rsid w:val="00920045"/>
    <w:rsid w:val="0092100F"/>
    <w:rsid w:val="00934B21"/>
    <w:rsid w:val="00937FA2"/>
    <w:rsid w:val="00942BAF"/>
    <w:rsid w:val="0094397D"/>
    <w:rsid w:val="0094526F"/>
    <w:rsid w:val="009462C1"/>
    <w:rsid w:val="00947160"/>
    <w:rsid w:val="009527B6"/>
    <w:rsid w:val="009543B9"/>
    <w:rsid w:val="009573C6"/>
    <w:rsid w:val="00963C45"/>
    <w:rsid w:val="00967158"/>
    <w:rsid w:val="00981DB6"/>
    <w:rsid w:val="009844E8"/>
    <w:rsid w:val="00984749"/>
    <w:rsid w:val="00992690"/>
    <w:rsid w:val="00995722"/>
    <w:rsid w:val="009A37FB"/>
    <w:rsid w:val="009A4FF4"/>
    <w:rsid w:val="009A7B8E"/>
    <w:rsid w:val="009B1446"/>
    <w:rsid w:val="009B331D"/>
    <w:rsid w:val="009B5941"/>
    <w:rsid w:val="009C138E"/>
    <w:rsid w:val="009D1AE2"/>
    <w:rsid w:val="009D4B2C"/>
    <w:rsid w:val="009D5604"/>
    <w:rsid w:val="009D75A7"/>
    <w:rsid w:val="009E351C"/>
    <w:rsid w:val="009E3B84"/>
    <w:rsid w:val="009E41F3"/>
    <w:rsid w:val="009E5241"/>
    <w:rsid w:val="009E6B6C"/>
    <w:rsid w:val="009E786A"/>
    <w:rsid w:val="009F2F1D"/>
    <w:rsid w:val="009F5FD4"/>
    <w:rsid w:val="009F6B67"/>
    <w:rsid w:val="009F7103"/>
    <w:rsid w:val="00A04D88"/>
    <w:rsid w:val="00A161F1"/>
    <w:rsid w:val="00A1797C"/>
    <w:rsid w:val="00A17DA5"/>
    <w:rsid w:val="00A226A1"/>
    <w:rsid w:val="00A251AE"/>
    <w:rsid w:val="00A25DCE"/>
    <w:rsid w:val="00A26B82"/>
    <w:rsid w:val="00A2773E"/>
    <w:rsid w:val="00A33152"/>
    <w:rsid w:val="00A335C5"/>
    <w:rsid w:val="00A35F85"/>
    <w:rsid w:val="00A44230"/>
    <w:rsid w:val="00A4578C"/>
    <w:rsid w:val="00A46EB7"/>
    <w:rsid w:val="00A51620"/>
    <w:rsid w:val="00A51DB9"/>
    <w:rsid w:val="00A53B0D"/>
    <w:rsid w:val="00A61956"/>
    <w:rsid w:val="00A64E81"/>
    <w:rsid w:val="00A66764"/>
    <w:rsid w:val="00A70F99"/>
    <w:rsid w:val="00A71778"/>
    <w:rsid w:val="00A80771"/>
    <w:rsid w:val="00A82C33"/>
    <w:rsid w:val="00A86CA2"/>
    <w:rsid w:val="00A87B03"/>
    <w:rsid w:val="00A91012"/>
    <w:rsid w:val="00A935A5"/>
    <w:rsid w:val="00AA05F0"/>
    <w:rsid w:val="00AA05F4"/>
    <w:rsid w:val="00AA36CD"/>
    <w:rsid w:val="00AB0A76"/>
    <w:rsid w:val="00AB2114"/>
    <w:rsid w:val="00AB4069"/>
    <w:rsid w:val="00AB6729"/>
    <w:rsid w:val="00AB6D02"/>
    <w:rsid w:val="00AB7EB3"/>
    <w:rsid w:val="00AC165C"/>
    <w:rsid w:val="00AC4901"/>
    <w:rsid w:val="00AD5CD4"/>
    <w:rsid w:val="00AE1DB8"/>
    <w:rsid w:val="00AE1FBD"/>
    <w:rsid w:val="00AE2F95"/>
    <w:rsid w:val="00AE33CA"/>
    <w:rsid w:val="00AF321D"/>
    <w:rsid w:val="00AF65EE"/>
    <w:rsid w:val="00B01DB7"/>
    <w:rsid w:val="00B022F1"/>
    <w:rsid w:val="00B06351"/>
    <w:rsid w:val="00B107AC"/>
    <w:rsid w:val="00B123EB"/>
    <w:rsid w:val="00B14D44"/>
    <w:rsid w:val="00B227CB"/>
    <w:rsid w:val="00B368C8"/>
    <w:rsid w:val="00B41E75"/>
    <w:rsid w:val="00B420EF"/>
    <w:rsid w:val="00B42AFB"/>
    <w:rsid w:val="00B4320F"/>
    <w:rsid w:val="00B518CC"/>
    <w:rsid w:val="00B52F52"/>
    <w:rsid w:val="00B575A7"/>
    <w:rsid w:val="00B57642"/>
    <w:rsid w:val="00B602AD"/>
    <w:rsid w:val="00B665D7"/>
    <w:rsid w:val="00B6754A"/>
    <w:rsid w:val="00B709CF"/>
    <w:rsid w:val="00B719A7"/>
    <w:rsid w:val="00B76E08"/>
    <w:rsid w:val="00B825D3"/>
    <w:rsid w:val="00B867E6"/>
    <w:rsid w:val="00BA409B"/>
    <w:rsid w:val="00BA44D7"/>
    <w:rsid w:val="00BA4E73"/>
    <w:rsid w:val="00BA5D0F"/>
    <w:rsid w:val="00BA6205"/>
    <w:rsid w:val="00BA6517"/>
    <w:rsid w:val="00BA6A25"/>
    <w:rsid w:val="00BA6AC1"/>
    <w:rsid w:val="00BB1107"/>
    <w:rsid w:val="00BB34DF"/>
    <w:rsid w:val="00BB4215"/>
    <w:rsid w:val="00BB7D7C"/>
    <w:rsid w:val="00BC199C"/>
    <w:rsid w:val="00BD096B"/>
    <w:rsid w:val="00BD5788"/>
    <w:rsid w:val="00BD77D9"/>
    <w:rsid w:val="00BD79D7"/>
    <w:rsid w:val="00BD7ACF"/>
    <w:rsid w:val="00BF4651"/>
    <w:rsid w:val="00BF4F29"/>
    <w:rsid w:val="00C00E4F"/>
    <w:rsid w:val="00C01EC0"/>
    <w:rsid w:val="00C059E9"/>
    <w:rsid w:val="00C07DF7"/>
    <w:rsid w:val="00C102F3"/>
    <w:rsid w:val="00C10591"/>
    <w:rsid w:val="00C164B0"/>
    <w:rsid w:val="00C168DE"/>
    <w:rsid w:val="00C16CE0"/>
    <w:rsid w:val="00C22DB9"/>
    <w:rsid w:val="00C27220"/>
    <w:rsid w:val="00C43B55"/>
    <w:rsid w:val="00C44F6E"/>
    <w:rsid w:val="00C45FA2"/>
    <w:rsid w:val="00C47261"/>
    <w:rsid w:val="00C5256B"/>
    <w:rsid w:val="00C52B57"/>
    <w:rsid w:val="00C569D8"/>
    <w:rsid w:val="00C61786"/>
    <w:rsid w:val="00C65115"/>
    <w:rsid w:val="00C65389"/>
    <w:rsid w:val="00C702F0"/>
    <w:rsid w:val="00C80946"/>
    <w:rsid w:val="00C8233C"/>
    <w:rsid w:val="00C8668E"/>
    <w:rsid w:val="00C92211"/>
    <w:rsid w:val="00C927BF"/>
    <w:rsid w:val="00C92AE1"/>
    <w:rsid w:val="00CA0EAE"/>
    <w:rsid w:val="00CA1A37"/>
    <w:rsid w:val="00CB09C9"/>
    <w:rsid w:val="00CB1791"/>
    <w:rsid w:val="00CB269E"/>
    <w:rsid w:val="00CB510D"/>
    <w:rsid w:val="00CB794F"/>
    <w:rsid w:val="00CC433A"/>
    <w:rsid w:val="00CD67D9"/>
    <w:rsid w:val="00CE6173"/>
    <w:rsid w:val="00CF00EC"/>
    <w:rsid w:val="00CF5E39"/>
    <w:rsid w:val="00CF7530"/>
    <w:rsid w:val="00D00623"/>
    <w:rsid w:val="00D00706"/>
    <w:rsid w:val="00D0128B"/>
    <w:rsid w:val="00D06236"/>
    <w:rsid w:val="00D1119E"/>
    <w:rsid w:val="00D13557"/>
    <w:rsid w:val="00D139D4"/>
    <w:rsid w:val="00D17215"/>
    <w:rsid w:val="00D17DBC"/>
    <w:rsid w:val="00D24B7A"/>
    <w:rsid w:val="00D32376"/>
    <w:rsid w:val="00D33E90"/>
    <w:rsid w:val="00D41DFE"/>
    <w:rsid w:val="00D42504"/>
    <w:rsid w:val="00D4410A"/>
    <w:rsid w:val="00D4416E"/>
    <w:rsid w:val="00D46575"/>
    <w:rsid w:val="00D52996"/>
    <w:rsid w:val="00D62022"/>
    <w:rsid w:val="00D63426"/>
    <w:rsid w:val="00D66D26"/>
    <w:rsid w:val="00D70CCA"/>
    <w:rsid w:val="00D73211"/>
    <w:rsid w:val="00D765A8"/>
    <w:rsid w:val="00D76941"/>
    <w:rsid w:val="00D82739"/>
    <w:rsid w:val="00D877C5"/>
    <w:rsid w:val="00D90D02"/>
    <w:rsid w:val="00D954F9"/>
    <w:rsid w:val="00DB1343"/>
    <w:rsid w:val="00DB5590"/>
    <w:rsid w:val="00DB57E3"/>
    <w:rsid w:val="00DC12E6"/>
    <w:rsid w:val="00DC2C48"/>
    <w:rsid w:val="00DC4A26"/>
    <w:rsid w:val="00DD138B"/>
    <w:rsid w:val="00DD204D"/>
    <w:rsid w:val="00DD2051"/>
    <w:rsid w:val="00DD2B73"/>
    <w:rsid w:val="00DE1585"/>
    <w:rsid w:val="00DE1834"/>
    <w:rsid w:val="00DE28B7"/>
    <w:rsid w:val="00DE317E"/>
    <w:rsid w:val="00DE369B"/>
    <w:rsid w:val="00DF4BB6"/>
    <w:rsid w:val="00E007B2"/>
    <w:rsid w:val="00E11A97"/>
    <w:rsid w:val="00E159E3"/>
    <w:rsid w:val="00E17B44"/>
    <w:rsid w:val="00E27439"/>
    <w:rsid w:val="00E301D2"/>
    <w:rsid w:val="00E3451B"/>
    <w:rsid w:val="00E458FA"/>
    <w:rsid w:val="00E46DBD"/>
    <w:rsid w:val="00E52D0F"/>
    <w:rsid w:val="00E6211E"/>
    <w:rsid w:val="00E71EA8"/>
    <w:rsid w:val="00EB0A8C"/>
    <w:rsid w:val="00EC293C"/>
    <w:rsid w:val="00EC4E69"/>
    <w:rsid w:val="00ED06A6"/>
    <w:rsid w:val="00ED4E21"/>
    <w:rsid w:val="00ED7987"/>
    <w:rsid w:val="00EE2C3B"/>
    <w:rsid w:val="00EE4CCE"/>
    <w:rsid w:val="00EF157B"/>
    <w:rsid w:val="00EF4874"/>
    <w:rsid w:val="00EF48B2"/>
    <w:rsid w:val="00EF68C6"/>
    <w:rsid w:val="00EF69FD"/>
    <w:rsid w:val="00F03EA2"/>
    <w:rsid w:val="00F03F4A"/>
    <w:rsid w:val="00F05D32"/>
    <w:rsid w:val="00F062DB"/>
    <w:rsid w:val="00F06F9B"/>
    <w:rsid w:val="00F10BDD"/>
    <w:rsid w:val="00F113CB"/>
    <w:rsid w:val="00F126F5"/>
    <w:rsid w:val="00F12CE9"/>
    <w:rsid w:val="00F21724"/>
    <w:rsid w:val="00F33500"/>
    <w:rsid w:val="00F36009"/>
    <w:rsid w:val="00F44BD3"/>
    <w:rsid w:val="00F50D21"/>
    <w:rsid w:val="00F55EB5"/>
    <w:rsid w:val="00F55F50"/>
    <w:rsid w:val="00F56A01"/>
    <w:rsid w:val="00F63260"/>
    <w:rsid w:val="00F65C66"/>
    <w:rsid w:val="00F65C9D"/>
    <w:rsid w:val="00F65D20"/>
    <w:rsid w:val="00F67DD9"/>
    <w:rsid w:val="00F704CA"/>
    <w:rsid w:val="00F71F72"/>
    <w:rsid w:val="00F72BB1"/>
    <w:rsid w:val="00F73C8E"/>
    <w:rsid w:val="00F73ECB"/>
    <w:rsid w:val="00F7526F"/>
    <w:rsid w:val="00F77044"/>
    <w:rsid w:val="00F77569"/>
    <w:rsid w:val="00F86DE1"/>
    <w:rsid w:val="00F9579A"/>
    <w:rsid w:val="00F95E12"/>
    <w:rsid w:val="00FA03E6"/>
    <w:rsid w:val="00FA05C9"/>
    <w:rsid w:val="00FA21CD"/>
    <w:rsid w:val="00FB0A73"/>
    <w:rsid w:val="00FB4FE7"/>
    <w:rsid w:val="00FC21C3"/>
    <w:rsid w:val="00FD5B8E"/>
    <w:rsid w:val="00FD6F43"/>
    <w:rsid w:val="00FD7DD6"/>
    <w:rsid w:val="00FE40E0"/>
    <w:rsid w:val="00FE7AAE"/>
    <w:rsid w:val="00FF0208"/>
    <w:rsid w:val="00FF0E96"/>
    <w:rsid w:val="00FF159A"/>
    <w:rsid w:val="00FF28F6"/>
    <w:rsid w:val="00FF57B7"/>
    <w:rsid w:val="00FF7F2C"/>
    <w:rsid w:val="010C592D"/>
    <w:rsid w:val="017F671E"/>
    <w:rsid w:val="01BE02C8"/>
    <w:rsid w:val="01FA1C55"/>
    <w:rsid w:val="01FC3965"/>
    <w:rsid w:val="02475818"/>
    <w:rsid w:val="02920011"/>
    <w:rsid w:val="02B16416"/>
    <w:rsid w:val="02E45983"/>
    <w:rsid w:val="031510CC"/>
    <w:rsid w:val="0350044F"/>
    <w:rsid w:val="03A013D6"/>
    <w:rsid w:val="04010408"/>
    <w:rsid w:val="04121067"/>
    <w:rsid w:val="04734924"/>
    <w:rsid w:val="04750A54"/>
    <w:rsid w:val="0482288A"/>
    <w:rsid w:val="04926113"/>
    <w:rsid w:val="051814E5"/>
    <w:rsid w:val="05286DF6"/>
    <w:rsid w:val="05755E5D"/>
    <w:rsid w:val="059240F1"/>
    <w:rsid w:val="05991F60"/>
    <w:rsid w:val="05B31DD1"/>
    <w:rsid w:val="05FE0EAF"/>
    <w:rsid w:val="060348EC"/>
    <w:rsid w:val="060D7C05"/>
    <w:rsid w:val="06606919"/>
    <w:rsid w:val="066B65F3"/>
    <w:rsid w:val="068834EA"/>
    <w:rsid w:val="06AD639E"/>
    <w:rsid w:val="06B700AA"/>
    <w:rsid w:val="071D1956"/>
    <w:rsid w:val="080A0112"/>
    <w:rsid w:val="08426DCD"/>
    <w:rsid w:val="0897517E"/>
    <w:rsid w:val="08B02111"/>
    <w:rsid w:val="08BE31EC"/>
    <w:rsid w:val="091272E4"/>
    <w:rsid w:val="09497E1A"/>
    <w:rsid w:val="09746A48"/>
    <w:rsid w:val="0978425B"/>
    <w:rsid w:val="09992B4F"/>
    <w:rsid w:val="09BB69CD"/>
    <w:rsid w:val="09C66CF0"/>
    <w:rsid w:val="09EF7AED"/>
    <w:rsid w:val="0A8E0EBA"/>
    <w:rsid w:val="0A904662"/>
    <w:rsid w:val="0AB14D63"/>
    <w:rsid w:val="0B143E70"/>
    <w:rsid w:val="0B7F60D2"/>
    <w:rsid w:val="0BDF3F0B"/>
    <w:rsid w:val="0BE41802"/>
    <w:rsid w:val="0C313B83"/>
    <w:rsid w:val="0C8A3FA4"/>
    <w:rsid w:val="0CE75A6F"/>
    <w:rsid w:val="0D102E24"/>
    <w:rsid w:val="0D6377D4"/>
    <w:rsid w:val="0D8C2C9E"/>
    <w:rsid w:val="0D964007"/>
    <w:rsid w:val="0DE973F4"/>
    <w:rsid w:val="0DEC7FA0"/>
    <w:rsid w:val="0DF236F9"/>
    <w:rsid w:val="0E1A2BAB"/>
    <w:rsid w:val="0E1F0E19"/>
    <w:rsid w:val="0E6B1369"/>
    <w:rsid w:val="0E9A1E47"/>
    <w:rsid w:val="0E9F0171"/>
    <w:rsid w:val="0ED32660"/>
    <w:rsid w:val="0F174819"/>
    <w:rsid w:val="0F3D5535"/>
    <w:rsid w:val="0F591699"/>
    <w:rsid w:val="0F657632"/>
    <w:rsid w:val="0FD41BA2"/>
    <w:rsid w:val="0FEC6691"/>
    <w:rsid w:val="0FF79EC8"/>
    <w:rsid w:val="0FFF2732"/>
    <w:rsid w:val="100438C0"/>
    <w:rsid w:val="100553FC"/>
    <w:rsid w:val="106F63B8"/>
    <w:rsid w:val="10A958EE"/>
    <w:rsid w:val="10AC175A"/>
    <w:rsid w:val="10AF2CF5"/>
    <w:rsid w:val="10CC51CC"/>
    <w:rsid w:val="110C4534"/>
    <w:rsid w:val="11215DA5"/>
    <w:rsid w:val="118C4D48"/>
    <w:rsid w:val="11A958FA"/>
    <w:rsid w:val="11AD363C"/>
    <w:rsid w:val="11D6679F"/>
    <w:rsid w:val="11F350C3"/>
    <w:rsid w:val="12382972"/>
    <w:rsid w:val="1243004C"/>
    <w:rsid w:val="124D717F"/>
    <w:rsid w:val="12C450EE"/>
    <w:rsid w:val="13010D7D"/>
    <w:rsid w:val="13231DD0"/>
    <w:rsid w:val="132F270C"/>
    <w:rsid w:val="133B4FD3"/>
    <w:rsid w:val="147C72F5"/>
    <w:rsid w:val="148368D6"/>
    <w:rsid w:val="14DB0949"/>
    <w:rsid w:val="15261159"/>
    <w:rsid w:val="1533154B"/>
    <w:rsid w:val="15611198"/>
    <w:rsid w:val="15D785E3"/>
    <w:rsid w:val="15EE5FD1"/>
    <w:rsid w:val="15F3149C"/>
    <w:rsid w:val="16391F8B"/>
    <w:rsid w:val="16604009"/>
    <w:rsid w:val="166220C5"/>
    <w:rsid w:val="16677614"/>
    <w:rsid w:val="16B460A4"/>
    <w:rsid w:val="170233E1"/>
    <w:rsid w:val="17456B99"/>
    <w:rsid w:val="1790558E"/>
    <w:rsid w:val="17A54112"/>
    <w:rsid w:val="17BC5F42"/>
    <w:rsid w:val="17FE0704"/>
    <w:rsid w:val="183E54A2"/>
    <w:rsid w:val="18982224"/>
    <w:rsid w:val="18AC1583"/>
    <w:rsid w:val="18CD56A4"/>
    <w:rsid w:val="18EE1038"/>
    <w:rsid w:val="191A5E41"/>
    <w:rsid w:val="196E4D81"/>
    <w:rsid w:val="197772D6"/>
    <w:rsid w:val="19A678A0"/>
    <w:rsid w:val="19AE23E6"/>
    <w:rsid w:val="19BA4605"/>
    <w:rsid w:val="1A312930"/>
    <w:rsid w:val="1A7F6B96"/>
    <w:rsid w:val="1A807AA9"/>
    <w:rsid w:val="1AD87E10"/>
    <w:rsid w:val="1B1B427A"/>
    <w:rsid w:val="1B263AFD"/>
    <w:rsid w:val="1B93A38E"/>
    <w:rsid w:val="1BD94130"/>
    <w:rsid w:val="1BE27D5E"/>
    <w:rsid w:val="1C5317FD"/>
    <w:rsid w:val="1C55398C"/>
    <w:rsid w:val="1C5A4B3B"/>
    <w:rsid w:val="1CAE67CA"/>
    <w:rsid w:val="1CE83FC7"/>
    <w:rsid w:val="1CE87FD2"/>
    <w:rsid w:val="1D006A83"/>
    <w:rsid w:val="1D1E6D09"/>
    <w:rsid w:val="1D322C47"/>
    <w:rsid w:val="1D4410D7"/>
    <w:rsid w:val="1DDF0689"/>
    <w:rsid w:val="1DE34AED"/>
    <w:rsid w:val="1DED12D8"/>
    <w:rsid w:val="1DFEB3F8"/>
    <w:rsid w:val="1E0821AB"/>
    <w:rsid w:val="1E9B68D2"/>
    <w:rsid w:val="1EAB76E1"/>
    <w:rsid w:val="1EAE7F57"/>
    <w:rsid w:val="1EB41100"/>
    <w:rsid w:val="1EDE545D"/>
    <w:rsid w:val="1F0265C4"/>
    <w:rsid w:val="1F244811"/>
    <w:rsid w:val="1F2E9078"/>
    <w:rsid w:val="1F375F64"/>
    <w:rsid w:val="1FDE74E7"/>
    <w:rsid w:val="1FDF41CF"/>
    <w:rsid w:val="1FF32104"/>
    <w:rsid w:val="1FF5D3E5"/>
    <w:rsid w:val="1FFBE59F"/>
    <w:rsid w:val="2012200B"/>
    <w:rsid w:val="20162141"/>
    <w:rsid w:val="206B340F"/>
    <w:rsid w:val="20715D44"/>
    <w:rsid w:val="20BA775E"/>
    <w:rsid w:val="20F54F70"/>
    <w:rsid w:val="211F0C2A"/>
    <w:rsid w:val="211F3ADE"/>
    <w:rsid w:val="21B239F4"/>
    <w:rsid w:val="21D06ED2"/>
    <w:rsid w:val="21EE2FA2"/>
    <w:rsid w:val="22284DF0"/>
    <w:rsid w:val="229400FE"/>
    <w:rsid w:val="22A628F1"/>
    <w:rsid w:val="232C01D7"/>
    <w:rsid w:val="23B1682C"/>
    <w:rsid w:val="23B429AD"/>
    <w:rsid w:val="23B43BE1"/>
    <w:rsid w:val="23D76403"/>
    <w:rsid w:val="2406143B"/>
    <w:rsid w:val="24547947"/>
    <w:rsid w:val="249C0BB2"/>
    <w:rsid w:val="24FA6FA5"/>
    <w:rsid w:val="24FF5CB7"/>
    <w:rsid w:val="254F010E"/>
    <w:rsid w:val="25CC50FC"/>
    <w:rsid w:val="25D06762"/>
    <w:rsid w:val="26670576"/>
    <w:rsid w:val="268A6753"/>
    <w:rsid w:val="26BF58E5"/>
    <w:rsid w:val="26F84B2A"/>
    <w:rsid w:val="2737A6BE"/>
    <w:rsid w:val="27565C11"/>
    <w:rsid w:val="279E025B"/>
    <w:rsid w:val="27A1287E"/>
    <w:rsid w:val="27FE6171"/>
    <w:rsid w:val="281F7DFA"/>
    <w:rsid w:val="282B143F"/>
    <w:rsid w:val="285A4C0D"/>
    <w:rsid w:val="285F4B0C"/>
    <w:rsid w:val="2898077D"/>
    <w:rsid w:val="28BF7E9A"/>
    <w:rsid w:val="28CC7242"/>
    <w:rsid w:val="29032BAF"/>
    <w:rsid w:val="29424212"/>
    <w:rsid w:val="294E1DEC"/>
    <w:rsid w:val="294F634B"/>
    <w:rsid w:val="296F7FD3"/>
    <w:rsid w:val="298A75B3"/>
    <w:rsid w:val="299C1FB2"/>
    <w:rsid w:val="29F90B38"/>
    <w:rsid w:val="29FC5A64"/>
    <w:rsid w:val="2A0646A0"/>
    <w:rsid w:val="2A0A7EDE"/>
    <w:rsid w:val="2A2277D9"/>
    <w:rsid w:val="2A315F88"/>
    <w:rsid w:val="2A3C459E"/>
    <w:rsid w:val="2AA44A58"/>
    <w:rsid w:val="2AAD61AD"/>
    <w:rsid w:val="2AAE3281"/>
    <w:rsid w:val="2BAFD5F9"/>
    <w:rsid w:val="2BC35ECA"/>
    <w:rsid w:val="2BDC6A8C"/>
    <w:rsid w:val="2BDD37B3"/>
    <w:rsid w:val="2BFD93F7"/>
    <w:rsid w:val="2C106C64"/>
    <w:rsid w:val="2C8E3C12"/>
    <w:rsid w:val="2CAD5311"/>
    <w:rsid w:val="2CAE359A"/>
    <w:rsid w:val="2CC00E05"/>
    <w:rsid w:val="2CF94F11"/>
    <w:rsid w:val="2D540E4F"/>
    <w:rsid w:val="2DA035ED"/>
    <w:rsid w:val="2DD7FAF0"/>
    <w:rsid w:val="2DDC02A5"/>
    <w:rsid w:val="2E051760"/>
    <w:rsid w:val="2E372A1E"/>
    <w:rsid w:val="2E497DF1"/>
    <w:rsid w:val="2E5F0311"/>
    <w:rsid w:val="2E924713"/>
    <w:rsid w:val="2E9D427D"/>
    <w:rsid w:val="2EAF443D"/>
    <w:rsid w:val="2F7B0496"/>
    <w:rsid w:val="2F7D6404"/>
    <w:rsid w:val="2F7EDA5A"/>
    <w:rsid w:val="2F83505D"/>
    <w:rsid w:val="2FB52215"/>
    <w:rsid w:val="2FC7B835"/>
    <w:rsid w:val="2FFF0AD5"/>
    <w:rsid w:val="30000D3E"/>
    <w:rsid w:val="300F7329"/>
    <w:rsid w:val="30F26248"/>
    <w:rsid w:val="30F5677A"/>
    <w:rsid w:val="314A2801"/>
    <w:rsid w:val="31823E0E"/>
    <w:rsid w:val="318E2ED3"/>
    <w:rsid w:val="31E6179D"/>
    <w:rsid w:val="31F821B8"/>
    <w:rsid w:val="32715B68"/>
    <w:rsid w:val="32A806AA"/>
    <w:rsid w:val="32A970B0"/>
    <w:rsid w:val="33016683"/>
    <w:rsid w:val="330653FF"/>
    <w:rsid w:val="332C336D"/>
    <w:rsid w:val="33446ECD"/>
    <w:rsid w:val="336DE75A"/>
    <w:rsid w:val="33DFEA4D"/>
    <w:rsid w:val="33F348B5"/>
    <w:rsid w:val="3402565A"/>
    <w:rsid w:val="34614FB9"/>
    <w:rsid w:val="34FC24AA"/>
    <w:rsid w:val="34FD9CFF"/>
    <w:rsid w:val="35074E90"/>
    <w:rsid w:val="352B46F4"/>
    <w:rsid w:val="356832FF"/>
    <w:rsid w:val="356BB9E5"/>
    <w:rsid w:val="35934863"/>
    <w:rsid w:val="35D997C4"/>
    <w:rsid w:val="35FB0ABF"/>
    <w:rsid w:val="35FF01E1"/>
    <w:rsid w:val="360FD45E"/>
    <w:rsid w:val="362C0F6B"/>
    <w:rsid w:val="36714D50"/>
    <w:rsid w:val="36A73FC4"/>
    <w:rsid w:val="36AC544D"/>
    <w:rsid w:val="36C87B76"/>
    <w:rsid w:val="373F18D2"/>
    <w:rsid w:val="377E6BBE"/>
    <w:rsid w:val="37C54209"/>
    <w:rsid w:val="37D79818"/>
    <w:rsid w:val="37DB5CBD"/>
    <w:rsid w:val="37E84530"/>
    <w:rsid w:val="37F3660F"/>
    <w:rsid w:val="37F81E4F"/>
    <w:rsid w:val="37F99880"/>
    <w:rsid w:val="387250C5"/>
    <w:rsid w:val="388F3991"/>
    <w:rsid w:val="38AE21FF"/>
    <w:rsid w:val="38CA4224"/>
    <w:rsid w:val="38F74B3A"/>
    <w:rsid w:val="38FA7FA9"/>
    <w:rsid w:val="394C73B0"/>
    <w:rsid w:val="397A79F8"/>
    <w:rsid w:val="397B39D2"/>
    <w:rsid w:val="39E35107"/>
    <w:rsid w:val="39EDC9D9"/>
    <w:rsid w:val="3A250D60"/>
    <w:rsid w:val="3A540249"/>
    <w:rsid w:val="3ADD1680"/>
    <w:rsid w:val="3AE113B1"/>
    <w:rsid w:val="3AE35D57"/>
    <w:rsid w:val="3AFC544C"/>
    <w:rsid w:val="3AFCE5A6"/>
    <w:rsid w:val="3B7F5A99"/>
    <w:rsid w:val="3BC72E00"/>
    <w:rsid w:val="3BCF8322"/>
    <w:rsid w:val="3BDA74DC"/>
    <w:rsid w:val="3BDD044E"/>
    <w:rsid w:val="3BDFBD85"/>
    <w:rsid w:val="3BE9E0EC"/>
    <w:rsid w:val="3BEC7390"/>
    <w:rsid w:val="3BF75F18"/>
    <w:rsid w:val="3C01691E"/>
    <w:rsid w:val="3C030FDA"/>
    <w:rsid w:val="3C855B3C"/>
    <w:rsid w:val="3C8F20F8"/>
    <w:rsid w:val="3C923EBB"/>
    <w:rsid w:val="3CB13731"/>
    <w:rsid w:val="3CB54E85"/>
    <w:rsid w:val="3CFE5834"/>
    <w:rsid w:val="3D197A4A"/>
    <w:rsid w:val="3D6ED70C"/>
    <w:rsid w:val="3D7E738B"/>
    <w:rsid w:val="3D9EC5A4"/>
    <w:rsid w:val="3DF07A9F"/>
    <w:rsid w:val="3DFD3AF6"/>
    <w:rsid w:val="3DFD3FA5"/>
    <w:rsid w:val="3DFE3206"/>
    <w:rsid w:val="3E110902"/>
    <w:rsid w:val="3E5F8827"/>
    <w:rsid w:val="3E8DE80E"/>
    <w:rsid w:val="3E9F8B04"/>
    <w:rsid w:val="3EA93D0D"/>
    <w:rsid w:val="3EEFC2AB"/>
    <w:rsid w:val="3EFB1DFA"/>
    <w:rsid w:val="3F1C6E5B"/>
    <w:rsid w:val="3F1C73B2"/>
    <w:rsid w:val="3F255819"/>
    <w:rsid w:val="3F31713B"/>
    <w:rsid w:val="3F3B363B"/>
    <w:rsid w:val="3F3F267F"/>
    <w:rsid w:val="3F629E6D"/>
    <w:rsid w:val="3F6C7404"/>
    <w:rsid w:val="3F73CDCC"/>
    <w:rsid w:val="3F7F01F7"/>
    <w:rsid w:val="3F7F7DC9"/>
    <w:rsid w:val="3F996945"/>
    <w:rsid w:val="3FAC4DDD"/>
    <w:rsid w:val="3FAEDFE1"/>
    <w:rsid w:val="3FBF2292"/>
    <w:rsid w:val="3FC86AE9"/>
    <w:rsid w:val="3FD11C44"/>
    <w:rsid w:val="3FD76209"/>
    <w:rsid w:val="3FEBF166"/>
    <w:rsid w:val="3FF23678"/>
    <w:rsid w:val="3FF76546"/>
    <w:rsid w:val="3FF78A4B"/>
    <w:rsid w:val="3FFA7DA6"/>
    <w:rsid w:val="3FFD18BE"/>
    <w:rsid w:val="3FFDF54F"/>
    <w:rsid w:val="3FFE95B7"/>
    <w:rsid w:val="3FFFAC84"/>
    <w:rsid w:val="3FFFD467"/>
    <w:rsid w:val="40104C12"/>
    <w:rsid w:val="406E6388"/>
    <w:rsid w:val="40A56E38"/>
    <w:rsid w:val="40AE4A62"/>
    <w:rsid w:val="40B27A77"/>
    <w:rsid w:val="40CE4A91"/>
    <w:rsid w:val="410556D5"/>
    <w:rsid w:val="41546D80"/>
    <w:rsid w:val="41B56850"/>
    <w:rsid w:val="421F53DB"/>
    <w:rsid w:val="423C35AF"/>
    <w:rsid w:val="428B14D8"/>
    <w:rsid w:val="42BB01B9"/>
    <w:rsid w:val="42E36D8D"/>
    <w:rsid w:val="43CC0D2D"/>
    <w:rsid w:val="43EC0773"/>
    <w:rsid w:val="440920A4"/>
    <w:rsid w:val="44155EBB"/>
    <w:rsid w:val="44286AEA"/>
    <w:rsid w:val="449000D0"/>
    <w:rsid w:val="44917C94"/>
    <w:rsid w:val="449D31D0"/>
    <w:rsid w:val="44A12A35"/>
    <w:rsid w:val="44A4349E"/>
    <w:rsid w:val="45137C18"/>
    <w:rsid w:val="45761003"/>
    <w:rsid w:val="45C27DED"/>
    <w:rsid w:val="45D468F5"/>
    <w:rsid w:val="45ED3D2B"/>
    <w:rsid w:val="46871FFF"/>
    <w:rsid w:val="4696099C"/>
    <w:rsid w:val="46CB085A"/>
    <w:rsid w:val="46D1436F"/>
    <w:rsid w:val="46F75622"/>
    <w:rsid w:val="46FF01B2"/>
    <w:rsid w:val="47096635"/>
    <w:rsid w:val="473E1FEB"/>
    <w:rsid w:val="47590C4D"/>
    <w:rsid w:val="4759594F"/>
    <w:rsid w:val="476D082F"/>
    <w:rsid w:val="483F258D"/>
    <w:rsid w:val="48605695"/>
    <w:rsid w:val="486733EA"/>
    <w:rsid w:val="48779416"/>
    <w:rsid w:val="48A05E4C"/>
    <w:rsid w:val="48A40770"/>
    <w:rsid w:val="48D07443"/>
    <w:rsid w:val="48F401E6"/>
    <w:rsid w:val="48FFADC7"/>
    <w:rsid w:val="491269E5"/>
    <w:rsid w:val="4943554D"/>
    <w:rsid w:val="49444977"/>
    <w:rsid w:val="494D8321"/>
    <w:rsid w:val="494F21B1"/>
    <w:rsid w:val="49671E58"/>
    <w:rsid w:val="49E36EF3"/>
    <w:rsid w:val="49FC7DD6"/>
    <w:rsid w:val="49FFE99B"/>
    <w:rsid w:val="4A0A2132"/>
    <w:rsid w:val="4A2F6276"/>
    <w:rsid w:val="4A3540D9"/>
    <w:rsid w:val="4A723798"/>
    <w:rsid w:val="4A7A520C"/>
    <w:rsid w:val="4AE312CB"/>
    <w:rsid w:val="4B2A73DC"/>
    <w:rsid w:val="4B845C7F"/>
    <w:rsid w:val="4BA83D98"/>
    <w:rsid w:val="4BC73A0D"/>
    <w:rsid w:val="4BD27220"/>
    <w:rsid w:val="4BD31596"/>
    <w:rsid w:val="4BFBB096"/>
    <w:rsid w:val="4C6B747A"/>
    <w:rsid w:val="4C7F118A"/>
    <w:rsid w:val="4CC84B02"/>
    <w:rsid w:val="4D850765"/>
    <w:rsid w:val="4DCB40B7"/>
    <w:rsid w:val="4E33590C"/>
    <w:rsid w:val="4E822C3B"/>
    <w:rsid w:val="4EED5A27"/>
    <w:rsid w:val="4EEE71DE"/>
    <w:rsid w:val="4EEFB995"/>
    <w:rsid w:val="4EF4072C"/>
    <w:rsid w:val="4EFF1497"/>
    <w:rsid w:val="4F292C8D"/>
    <w:rsid w:val="4F9D52A6"/>
    <w:rsid w:val="4FA86AF0"/>
    <w:rsid w:val="4FAF20EC"/>
    <w:rsid w:val="4FFB16B2"/>
    <w:rsid w:val="4FFB33EA"/>
    <w:rsid w:val="502B6EAF"/>
    <w:rsid w:val="507C7168"/>
    <w:rsid w:val="50CE568B"/>
    <w:rsid w:val="50F6575E"/>
    <w:rsid w:val="517B55AA"/>
    <w:rsid w:val="518235F7"/>
    <w:rsid w:val="51875DD0"/>
    <w:rsid w:val="51BC6739"/>
    <w:rsid w:val="51BD0827"/>
    <w:rsid w:val="51F64440"/>
    <w:rsid w:val="52062CA4"/>
    <w:rsid w:val="523636A7"/>
    <w:rsid w:val="52546BE0"/>
    <w:rsid w:val="525B625A"/>
    <w:rsid w:val="527FEBD4"/>
    <w:rsid w:val="529F20DD"/>
    <w:rsid w:val="52E64FDF"/>
    <w:rsid w:val="532D6271"/>
    <w:rsid w:val="534D637C"/>
    <w:rsid w:val="53BD07B5"/>
    <w:rsid w:val="53DB6E8D"/>
    <w:rsid w:val="53F78D0D"/>
    <w:rsid w:val="53FBFF50"/>
    <w:rsid w:val="53FD668B"/>
    <w:rsid w:val="540B7B86"/>
    <w:rsid w:val="54355C9D"/>
    <w:rsid w:val="54660731"/>
    <w:rsid w:val="55005E70"/>
    <w:rsid w:val="553F008D"/>
    <w:rsid w:val="556A0965"/>
    <w:rsid w:val="557F82E6"/>
    <w:rsid w:val="55D55D03"/>
    <w:rsid w:val="55F5D6CB"/>
    <w:rsid w:val="56214DF2"/>
    <w:rsid w:val="56503970"/>
    <w:rsid w:val="5691462E"/>
    <w:rsid w:val="569E4FBF"/>
    <w:rsid w:val="56F1456D"/>
    <w:rsid w:val="573BCF25"/>
    <w:rsid w:val="57597E07"/>
    <w:rsid w:val="576176C9"/>
    <w:rsid w:val="5775AEEF"/>
    <w:rsid w:val="577B07A6"/>
    <w:rsid w:val="578D8833"/>
    <w:rsid w:val="57C736FA"/>
    <w:rsid w:val="57EE140C"/>
    <w:rsid w:val="57F3CD0B"/>
    <w:rsid w:val="57FD99C2"/>
    <w:rsid w:val="586D4BB3"/>
    <w:rsid w:val="587C2FB7"/>
    <w:rsid w:val="58A41EF4"/>
    <w:rsid w:val="58E96FC5"/>
    <w:rsid w:val="592503E7"/>
    <w:rsid w:val="593B1EE8"/>
    <w:rsid w:val="597BF701"/>
    <w:rsid w:val="59941FB8"/>
    <w:rsid w:val="59CC3500"/>
    <w:rsid w:val="59CF05F7"/>
    <w:rsid w:val="59F7E2DD"/>
    <w:rsid w:val="5A14198B"/>
    <w:rsid w:val="5A2F679F"/>
    <w:rsid w:val="5A3CD42F"/>
    <w:rsid w:val="5AC30CBD"/>
    <w:rsid w:val="5ADC1F75"/>
    <w:rsid w:val="5AEDD4E6"/>
    <w:rsid w:val="5B04796A"/>
    <w:rsid w:val="5B0B2399"/>
    <w:rsid w:val="5B199D8B"/>
    <w:rsid w:val="5B1F6CCE"/>
    <w:rsid w:val="5B3F0928"/>
    <w:rsid w:val="5B733F0B"/>
    <w:rsid w:val="5B7BA4FD"/>
    <w:rsid w:val="5BE2552A"/>
    <w:rsid w:val="5BEE3171"/>
    <w:rsid w:val="5BFDC7C7"/>
    <w:rsid w:val="5C0B75E1"/>
    <w:rsid w:val="5C0C6506"/>
    <w:rsid w:val="5C555CD9"/>
    <w:rsid w:val="5C78C20F"/>
    <w:rsid w:val="5C9608B3"/>
    <w:rsid w:val="5CE94415"/>
    <w:rsid w:val="5D12545B"/>
    <w:rsid w:val="5D7954F4"/>
    <w:rsid w:val="5D7A162A"/>
    <w:rsid w:val="5D7FA799"/>
    <w:rsid w:val="5D975404"/>
    <w:rsid w:val="5D9FD95F"/>
    <w:rsid w:val="5DADA5F3"/>
    <w:rsid w:val="5DB72823"/>
    <w:rsid w:val="5DBD21E3"/>
    <w:rsid w:val="5DDE7A84"/>
    <w:rsid w:val="5DE132F2"/>
    <w:rsid w:val="5DFB6405"/>
    <w:rsid w:val="5DFD4828"/>
    <w:rsid w:val="5DFEE25A"/>
    <w:rsid w:val="5DFF1F6B"/>
    <w:rsid w:val="5DFF3175"/>
    <w:rsid w:val="5DFFE163"/>
    <w:rsid w:val="5E0318C0"/>
    <w:rsid w:val="5E2A0E7D"/>
    <w:rsid w:val="5E3AB905"/>
    <w:rsid w:val="5E4511C8"/>
    <w:rsid w:val="5E47F0B3"/>
    <w:rsid w:val="5E7750C1"/>
    <w:rsid w:val="5E9FB852"/>
    <w:rsid w:val="5EB76DD6"/>
    <w:rsid w:val="5EBBCCB4"/>
    <w:rsid w:val="5ECFD42E"/>
    <w:rsid w:val="5EDB5199"/>
    <w:rsid w:val="5F1C6438"/>
    <w:rsid w:val="5F477D60"/>
    <w:rsid w:val="5F5BD4F0"/>
    <w:rsid w:val="5F5C7662"/>
    <w:rsid w:val="5F867291"/>
    <w:rsid w:val="5F8EC617"/>
    <w:rsid w:val="5F921D12"/>
    <w:rsid w:val="5F9EB80E"/>
    <w:rsid w:val="5FAC1AAF"/>
    <w:rsid w:val="5FBFEC19"/>
    <w:rsid w:val="5FC03B07"/>
    <w:rsid w:val="5FC5F708"/>
    <w:rsid w:val="5FD3B7E4"/>
    <w:rsid w:val="5FDA49FE"/>
    <w:rsid w:val="5FED3F43"/>
    <w:rsid w:val="5FF7E7E9"/>
    <w:rsid w:val="5FFB1C40"/>
    <w:rsid w:val="5FFCBB5B"/>
    <w:rsid w:val="5FFF3131"/>
    <w:rsid w:val="5FFFB9C4"/>
    <w:rsid w:val="600D093F"/>
    <w:rsid w:val="604062B7"/>
    <w:rsid w:val="60745F3B"/>
    <w:rsid w:val="60824370"/>
    <w:rsid w:val="60CA0C10"/>
    <w:rsid w:val="60EC2DB9"/>
    <w:rsid w:val="613F702F"/>
    <w:rsid w:val="6256572E"/>
    <w:rsid w:val="62ABF056"/>
    <w:rsid w:val="62E63BA3"/>
    <w:rsid w:val="631E95B1"/>
    <w:rsid w:val="63215B86"/>
    <w:rsid w:val="63BE0A0D"/>
    <w:rsid w:val="63F37863"/>
    <w:rsid w:val="64013DD8"/>
    <w:rsid w:val="640B6C1E"/>
    <w:rsid w:val="64412086"/>
    <w:rsid w:val="644A6589"/>
    <w:rsid w:val="644F567A"/>
    <w:rsid w:val="646243BC"/>
    <w:rsid w:val="64630A14"/>
    <w:rsid w:val="64C2170E"/>
    <w:rsid w:val="64C85C62"/>
    <w:rsid w:val="64F44E68"/>
    <w:rsid w:val="650C6EA7"/>
    <w:rsid w:val="656F770D"/>
    <w:rsid w:val="659D87DC"/>
    <w:rsid w:val="65AB479F"/>
    <w:rsid w:val="65B64C2B"/>
    <w:rsid w:val="65F8831B"/>
    <w:rsid w:val="65FD140A"/>
    <w:rsid w:val="660679D4"/>
    <w:rsid w:val="663012BB"/>
    <w:rsid w:val="66590AC1"/>
    <w:rsid w:val="6683269C"/>
    <w:rsid w:val="66A7238B"/>
    <w:rsid w:val="66AB0D67"/>
    <w:rsid w:val="66B2650C"/>
    <w:rsid w:val="672F33EA"/>
    <w:rsid w:val="674F4766"/>
    <w:rsid w:val="676745E1"/>
    <w:rsid w:val="677130A1"/>
    <w:rsid w:val="678DE9C0"/>
    <w:rsid w:val="67BE62A7"/>
    <w:rsid w:val="67BF2EE8"/>
    <w:rsid w:val="67F943B6"/>
    <w:rsid w:val="68016B36"/>
    <w:rsid w:val="685E5C6B"/>
    <w:rsid w:val="688F36FF"/>
    <w:rsid w:val="68CA32FD"/>
    <w:rsid w:val="68D5230C"/>
    <w:rsid w:val="68F71C1F"/>
    <w:rsid w:val="69700980"/>
    <w:rsid w:val="699646BB"/>
    <w:rsid w:val="69A717AC"/>
    <w:rsid w:val="69FCC292"/>
    <w:rsid w:val="6A3B25FC"/>
    <w:rsid w:val="6A6F571A"/>
    <w:rsid w:val="6A7D9DAF"/>
    <w:rsid w:val="6AF37D97"/>
    <w:rsid w:val="6AFB897D"/>
    <w:rsid w:val="6B0F6BBA"/>
    <w:rsid w:val="6B3977E2"/>
    <w:rsid w:val="6B3FF774"/>
    <w:rsid w:val="6B4A3604"/>
    <w:rsid w:val="6B510CEA"/>
    <w:rsid w:val="6B6BF650"/>
    <w:rsid w:val="6B73572D"/>
    <w:rsid w:val="6BAF056B"/>
    <w:rsid w:val="6BAF114F"/>
    <w:rsid w:val="6BBB0EF5"/>
    <w:rsid w:val="6BEB47B4"/>
    <w:rsid w:val="6BEF46D1"/>
    <w:rsid w:val="6BF8ED7C"/>
    <w:rsid w:val="6BFC25AE"/>
    <w:rsid w:val="6BFD4944"/>
    <w:rsid w:val="6BFD7D97"/>
    <w:rsid w:val="6BFF1373"/>
    <w:rsid w:val="6BFF8A03"/>
    <w:rsid w:val="6C321504"/>
    <w:rsid w:val="6CBC03F4"/>
    <w:rsid w:val="6CD7448A"/>
    <w:rsid w:val="6CE92419"/>
    <w:rsid w:val="6CEF4177"/>
    <w:rsid w:val="6D372AFA"/>
    <w:rsid w:val="6D6A65E5"/>
    <w:rsid w:val="6D6DE0B9"/>
    <w:rsid w:val="6D79CF2F"/>
    <w:rsid w:val="6D9DFA1F"/>
    <w:rsid w:val="6DB738E8"/>
    <w:rsid w:val="6DBD0CA2"/>
    <w:rsid w:val="6DD62F77"/>
    <w:rsid w:val="6DD955B7"/>
    <w:rsid w:val="6DF832B2"/>
    <w:rsid w:val="6DF86F46"/>
    <w:rsid w:val="6DFDC4FE"/>
    <w:rsid w:val="6E774F79"/>
    <w:rsid w:val="6E7846AC"/>
    <w:rsid w:val="6EAEEBF9"/>
    <w:rsid w:val="6EBE3BDA"/>
    <w:rsid w:val="6EE7A7E2"/>
    <w:rsid w:val="6EFC8F8C"/>
    <w:rsid w:val="6EFD09E9"/>
    <w:rsid w:val="6EFD6B64"/>
    <w:rsid w:val="6F37354C"/>
    <w:rsid w:val="6F43540D"/>
    <w:rsid w:val="6F51F675"/>
    <w:rsid w:val="6F5F2679"/>
    <w:rsid w:val="6F5F3B03"/>
    <w:rsid w:val="6F6CD301"/>
    <w:rsid w:val="6F977C55"/>
    <w:rsid w:val="6FAC0084"/>
    <w:rsid w:val="6FAD86D4"/>
    <w:rsid w:val="6FAFD408"/>
    <w:rsid w:val="6FB54159"/>
    <w:rsid w:val="6FBADFE6"/>
    <w:rsid w:val="6FBDC558"/>
    <w:rsid w:val="6FDEEB0F"/>
    <w:rsid w:val="6FE5805F"/>
    <w:rsid w:val="6FE6846A"/>
    <w:rsid w:val="6FEBF839"/>
    <w:rsid w:val="6FED38FB"/>
    <w:rsid w:val="6FEE0F69"/>
    <w:rsid w:val="6FEE87FF"/>
    <w:rsid w:val="6FEF6793"/>
    <w:rsid w:val="6FF15BC1"/>
    <w:rsid w:val="6FF31496"/>
    <w:rsid w:val="6FF69A14"/>
    <w:rsid w:val="6FFB75E4"/>
    <w:rsid w:val="6FFD7946"/>
    <w:rsid w:val="6FFE8665"/>
    <w:rsid w:val="6FFF1351"/>
    <w:rsid w:val="702C5E5A"/>
    <w:rsid w:val="703C7720"/>
    <w:rsid w:val="70783BE2"/>
    <w:rsid w:val="70953A32"/>
    <w:rsid w:val="70997BC5"/>
    <w:rsid w:val="70AD5F69"/>
    <w:rsid w:val="70B9752C"/>
    <w:rsid w:val="70C8732A"/>
    <w:rsid w:val="712D1CE0"/>
    <w:rsid w:val="71390144"/>
    <w:rsid w:val="71521302"/>
    <w:rsid w:val="718D6C90"/>
    <w:rsid w:val="718D7267"/>
    <w:rsid w:val="71CA4EB4"/>
    <w:rsid w:val="71CB59DD"/>
    <w:rsid w:val="71CF6AA7"/>
    <w:rsid w:val="7215326B"/>
    <w:rsid w:val="721C6DDD"/>
    <w:rsid w:val="721E7EB7"/>
    <w:rsid w:val="724F507C"/>
    <w:rsid w:val="725162FB"/>
    <w:rsid w:val="726241D7"/>
    <w:rsid w:val="72740236"/>
    <w:rsid w:val="727F061E"/>
    <w:rsid w:val="72998974"/>
    <w:rsid w:val="72A367A0"/>
    <w:rsid w:val="72B33BA5"/>
    <w:rsid w:val="72C1629E"/>
    <w:rsid w:val="73274034"/>
    <w:rsid w:val="738930F9"/>
    <w:rsid w:val="739F82B3"/>
    <w:rsid w:val="73BE359B"/>
    <w:rsid w:val="73C35911"/>
    <w:rsid w:val="73CF48C2"/>
    <w:rsid w:val="73DB8C51"/>
    <w:rsid w:val="73E54E90"/>
    <w:rsid w:val="73EF063B"/>
    <w:rsid w:val="73EFF055"/>
    <w:rsid w:val="73FF627D"/>
    <w:rsid w:val="743E66FD"/>
    <w:rsid w:val="74494406"/>
    <w:rsid w:val="745574FA"/>
    <w:rsid w:val="74596F67"/>
    <w:rsid w:val="7495322A"/>
    <w:rsid w:val="749D09BC"/>
    <w:rsid w:val="74C64FD8"/>
    <w:rsid w:val="74DE6AA9"/>
    <w:rsid w:val="74EF0033"/>
    <w:rsid w:val="754E1A3B"/>
    <w:rsid w:val="757D2CD0"/>
    <w:rsid w:val="75D74266"/>
    <w:rsid w:val="75DC4E4B"/>
    <w:rsid w:val="75E3C096"/>
    <w:rsid w:val="75FD8F7E"/>
    <w:rsid w:val="75FF408A"/>
    <w:rsid w:val="76085533"/>
    <w:rsid w:val="762C46C4"/>
    <w:rsid w:val="763F6E00"/>
    <w:rsid w:val="767E0A6D"/>
    <w:rsid w:val="769416D6"/>
    <w:rsid w:val="76B25D27"/>
    <w:rsid w:val="76C24A9E"/>
    <w:rsid w:val="76EB43EF"/>
    <w:rsid w:val="76EB8656"/>
    <w:rsid w:val="76EE62B4"/>
    <w:rsid w:val="77291364"/>
    <w:rsid w:val="773B7DDF"/>
    <w:rsid w:val="775527B2"/>
    <w:rsid w:val="7768E70E"/>
    <w:rsid w:val="77790BA7"/>
    <w:rsid w:val="777A3115"/>
    <w:rsid w:val="777CBB9A"/>
    <w:rsid w:val="777FA45B"/>
    <w:rsid w:val="77867ED8"/>
    <w:rsid w:val="778D1AEA"/>
    <w:rsid w:val="779153E5"/>
    <w:rsid w:val="77AF85B8"/>
    <w:rsid w:val="77B91565"/>
    <w:rsid w:val="77CA235B"/>
    <w:rsid w:val="77CD283E"/>
    <w:rsid w:val="77D36ECB"/>
    <w:rsid w:val="77DDBCE8"/>
    <w:rsid w:val="77F6558F"/>
    <w:rsid w:val="77F76F35"/>
    <w:rsid w:val="77F9A84D"/>
    <w:rsid w:val="77FE7C00"/>
    <w:rsid w:val="77FEA729"/>
    <w:rsid w:val="77FFDE21"/>
    <w:rsid w:val="78036EBB"/>
    <w:rsid w:val="787A21DC"/>
    <w:rsid w:val="78D028CC"/>
    <w:rsid w:val="78D51E2A"/>
    <w:rsid w:val="78D72C68"/>
    <w:rsid w:val="79554288"/>
    <w:rsid w:val="795B64AF"/>
    <w:rsid w:val="79B20362"/>
    <w:rsid w:val="79B74998"/>
    <w:rsid w:val="79BA9E5D"/>
    <w:rsid w:val="79DEB30E"/>
    <w:rsid w:val="79F160BD"/>
    <w:rsid w:val="7A3C3E75"/>
    <w:rsid w:val="7A647488"/>
    <w:rsid w:val="7A7EF983"/>
    <w:rsid w:val="7A7F539F"/>
    <w:rsid w:val="7AB66C51"/>
    <w:rsid w:val="7ABE4E74"/>
    <w:rsid w:val="7ADF110A"/>
    <w:rsid w:val="7ADF3141"/>
    <w:rsid w:val="7AF5D9F4"/>
    <w:rsid w:val="7AF678A0"/>
    <w:rsid w:val="7AFB7D40"/>
    <w:rsid w:val="7AFBECAD"/>
    <w:rsid w:val="7AFF59DF"/>
    <w:rsid w:val="7B6B386D"/>
    <w:rsid w:val="7B792812"/>
    <w:rsid w:val="7B873996"/>
    <w:rsid w:val="7BB332A5"/>
    <w:rsid w:val="7BCC2AB3"/>
    <w:rsid w:val="7BDD0422"/>
    <w:rsid w:val="7BDE1DDB"/>
    <w:rsid w:val="7BEF92F3"/>
    <w:rsid w:val="7BF60886"/>
    <w:rsid w:val="7BF89F4F"/>
    <w:rsid w:val="7BFF760B"/>
    <w:rsid w:val="7BFFC1D4"/>
    <w:rsid w:val="7BFFDC23"/>
    <w:rsid w:val="7C0473F0"/>
    <w:rsid w:val="7C3BE524"/>
    <w:rsid w:val="7C5B6C86"/>
    <w:rsid w:val="7C7DBE1C"/>
    <w:rsid w:val="7C970480"/>
    <w:rsid w:val="7CB4FF66"/>
    <w:rsid w:val="7CBA58F2"/>
    <w:rsid w:val="7CC869E7"/>
    <w:rsid w:val="7CDD1F9A"/>
    <w:rsid w:val="7CF9D7B0"/>
    <w:rsid w:val="7CFFF3FB"/>
    <w:rsid w:val="7D0369DE"/>
    <w:rsid w:val="7D6633BE"/>
    <w:rsid w:val="7D713C15"/>
    <w:rsid w:val="7D78439C"/>
    <w:rsid w:val="7D8B9D77"/>
    <w:rsid w:val="7D9FB4A0"/>
    <w:rsid w:val="7DB92672"/>
    <w:rsid w:val="7DD75FF8"/>
    <w:rsid w:val="7DDF1D21"/>
    <w:rsid w:val="7DDF4AC1"/>
    <w:rsid w:val="7DED5706"/>
    <w:rsid w:val="7DEE3E6B"/>
    <w:rsid w:val="7DFDCB91"/>
    <w:rsid w:val="7DFEA243"/>
    <w:rsid w:val="7DFF667C"/>
    <w:rsid w:val="7E143F0A"/>
    <w:rsid w:val="7E365F5A"/>
    <w:rsid w:val="7E3FFDA2"/>
    <w:rsid w:val="7E5356EF"/>
    <w:rsid w:val="7E6708DB"/>
    <w:rsid w:val="7E699EA9"/>
    <w:rsid w:val="7E7E8550"/>
    <w:rsid w:val="7E7FE2CF"/>
    <w:rsid w:val="7E973AD3"/>
    <w:rsid w:val="7E974F2B"/>
    <w:rsid w:val="7EBA0F1B"/>
    <w:rsid w:val="7EC62364"/>
    <w:rsid w:val="7ED38266"/>
    <w:rsid w:val="7ED74B48"/>
    <w:rsid w:val="7EDBF8FF"/>
    <w:rsid w:val="7EDED4AF"/>
    <w:rsid w:val="7EF58859"/>
    <w:rsid w:val="7EF5E916"/>
    <w:rsid w:val="7EF983D4"/>
    <w:rsid w:val="7EFBB695"/>
    <w:rsid w:val="7EFF4473"/>
    <w:rsid w:val="7F077D6A"/>
    <w:rsid w:val="7F167121"/>
    <w:rsid w:val="7F3B7E5B"/>
    <w:rsid w:val="7F3EA114"/>
    <w:rsid w:val="7F5B4003"/>
    <w:rsid w:val="7F5D5BE5"/>
    <w:rsid w:val="7F5FA14C"/>
    <w:rsid w:val="7F66BF90"/>
    <w:rsid w:val="7F6F5C0E"/>
    <w:rsid w:val="7F6F9995"/>
    <w:rsid w:val="7F743EDF"/>
    <w:rsid w:val="7F7998B0"/>
    <w:rsid w:val="7F7A2D2E"/>
    <w:rsid w:val="7F7BAA6D"/>
    <w:rsid w:val="7F7BBC58"/>
    <w:rsid w:val="7F7D5E24"/>
    <w:rsid w:val="7F7E84AF"/>
    <w:rsid w:val="7F8A134C"/>
    <w:rsid w:val="7F8C2C66"/>
    <w:rsid w:val="7F9795FC"/>
    <w:rsid w:val="7FB412A8"/>
    <w:rsid w:val="7FBE895E"/>
    <w:rsid w:val="7FC697D8"/>
    <w:rsid w:val="7FCB8FB2"/>
    <w:rsid w:val="7FCBEE3A"/>
    <w:rsid w:val="7FD12A61"/>
    <w:rsid w:val="7FD67887"/>
    <w:rsid w:val="7FD6AAD2"/>
    <w:rsid w:val="7FDB4797"/>
    <w:rsid w:val="7FDD1698"/>
    <w:rsid w:val="7FDD9D23"/>
    <w:rsid w:val="7FDF2E78"/>
    <w:rsid w:val="7FDFF7AE"/>
    <w:rsid w:val="7FE15A3E"/>
    <w:rsid w:val="7FEB9976"/>
    <w:rsid w:val="7FED50B0"/>
    <w:rsid w:val="7FEDD3FC"/>
    <w:rsid w:val="7FEF07D3"/>
    <w:rsid w:val="7FEF33A6"/>
    <w:rsid w:val="7FEF82B9"/>
    <w:rsid w:val="7FF354DC"/>
    <w:rsid w:val="7FF4001E"/>
    <w:rsid w:val="7FF535A6"/>
    <w:rsid w:val="7FF70104"/>
    <w:rsid w:val="7FF7FF6C"/>
    <w:rsid w:val="7FF84E79"/>
    <w:rsid w:val="7FF93ADB"/>
    <w:rsid w:val="7FF9C8BC"/>
    <w:rsid w:val="7FFB26DA"/>
    <w:rsid w:val="7FFBAE1A"/>
    <w:rsid w:val="7FFBCE8C"/>
    <w:rsid w:val="7FFBDA24"/>
    <w:rsid w:val="7FFD052F"/>
    <w:rsid w:val="7FFE3D60"/>
    <w:rsid w:val="7FFED1A9"/>
    <w:rsid w:val="7FFF21EA"/>
    <w:rsid w:val="7FFF3502"/>
    <w:rsid w:val="7FFF4CDC"/>
    <w:rsid w:val="7FFF62A9"/>
    <w:rsid w:val="7FFF84DB"/>
    <w:rsid w:val="7FFFBE4C"/>
    <w:rsid w:val="7FFFC2CB"/>
    <w:rsid w:val="7FFFD6EA"/>
    <w:rsid w:val="7FFFD7A4"/>
    <w:rsid w:val="83FB17A6"/>
    <w:rsid w:val="8FF2BC31"/>
    <w:rsid w:val="90B40AB9"/>
    <w:rsid w:val="917B900A"/>
    <w:rsid w:val="91BD7C26"/>
    <w:rsid w:val="95FBDF86"/>
    <w:rsid w:val="97DFA4D2"/>
    <w:rsid w:val="97FE73FD"/>
    <w:rsid w:val="99FE1BA0"/>
    <w:rsid w:val="9B9FED98"/>
    <w:rsid w:val="9BACEE9A"/>
    <w:rsid w:val="9D3CF558"/>
    <w:rsid w:val="9DFF04D6"/>
    <w:rsid w:val="9EFBB9C4"/>
    <w:rsid w:val="9F5D1AE9"/>
    <w:rsid w:val="9F9AEB89"/>
    <w:rsid w:val="9F9B29C9"/>
    <w:rsid w:val="9FAE7E86"/>
    <w:rsid w:val="9FDB2197"/>
    <w:rsid w:val="9FDE3B87"/>
    <w:rsid w:val="9FE7477F"/>
    <w:rsid w:val="9FEB8560"/>
    <w:rsid w:val="9FFB4713"/>
    <w:rsid w:val="A16F25D6"/>
    <w:rsid w:val="A56A1A38"/>
    <w:rsid w:val="A57EF754"/>
    <w:rsid w:val="A6F69C78"/>
    <w:rsid w:val="A6FB6F58"/>
    <w:rsid w:val="A73C417A"/>
    <w:rsid w:val="A77FEDEF"/>
    <w:rsid w:val="A7B79959"/>
    <w:rsid w:val="AAFFF181"/>
    <w:rsid w:val="AB3F9C31"/>
    <w:rsid w:val="AB8FA97A"/>
    <w:rsid w:val="ABF7B040"/>
    <w:rsid w:val="ACF5ADF6"/>
    <w:rsid w:val="ADEF5A3C"/>
    <w:rsid w:val="AE5FB61C"/>
    <w:rsid w:val="AED61185"/>
    <w:rsid w:val="AFBB91AD"/>
    <w:rsid w:val="AFDDAF07"/>
    <w:rsid w:val="AFDE35E8"/>
    <w:rsid w:val="AFEF52C5"/>
    <w:rsid w:val="B1FF87A1"/>
    <w:rsid w:val="B3F5734A"/>
    <w:rsid w:val="B43F8112"/>
    <w:rsid w:val="B4BAE564"/>
    <w:rsid w:val="B5FF0C98"/>
    <w:rsid w:val="B6F76553"/>
    <w:rsid w:val="B6FE7D5A"/>
    <w:rsid w:val="B74F924D"/>
    <w:rsid w:val="B77EF051"/>
    <w:rsid w:val="B7ADA540"/>
    <w:rsid w:val="B7BF985A"/>
    <w:rsid w:val="B7F3BA97"/>
    <w:rsid w:val="B7FF5DA7"/>
    <w:rsid w:val="B9FF58D5"/>
    <w:rsid w:val="BA4F477A"/>
    <w:rsid w:val="BACD85F5"/>
    <w:rsid w:val="BADE50CB"/>
    <w:rsid w:val="BAFD6B30"/>
    <w:rsid w:val="BAFFCADC"/>
    <w:rsid w:val="BB7FF3A2"/>
    <w:rsid w:val="BBB7FF34"/>
    <w:rsid w:val="BBCF8A1F"/>
    <w:rsid w:val="BBF383C8"/>
    <w:rsid w:val="BBF72810"/>
    <w:rsid w:val="BBFE1563"/>
    <w:rsid w:val="BBFFB4BF"/>
    <w:rsid w:val="BCEE822B"/>
    <w:rsid w:val="BCF2118B"/>
    <w:rsid w:val="BD25FAC8"/>
    <w:rsid w:val="BDB5116F"/>
    <w:rsid w:val="BDDFAE75"/>
    <w:rsid w:val="BDDFF4E0"/>
    <w:rsid w:val="BDE58AF3"/>
    <w:rsid w:val="BEAD829F"/>
    <w:rsid w:val="BEBFC907"/>
    <w:rsid w:val="BEDB089B"/>
    <w:rsid w:val="BEEBF1B9"/>
    <w:rsid w:val="BEF72050"/>
    <w:rsid w:val="BEFDD838"/>
    <w:rsid w:val="BF1FB4FC"/>
    <w:rsid w:val="BF779FB9"/>
    <w:rsid w:val="BF7B0770"/>
    <w:rsid w:val="BFBFC306"/>
    <w:rsid w:val="BFC301B3"/>
    <w:rsid w:val="BFC6137F"/>
    <w:rsid w:val="BFCDAAA6"/>
    <w:rsid w:val="BFDBDAC7"/>
    <w:rsid w:val="BFDF7F86"/>
    <w:rsid w:val="BFDFE844"/>
    <w:rsid w:val="BFE0D5BE"/>
    <w:rsid w:val="BFEF341A"/>
    <w:rsid w:val="BFF7D946"/>
    <w:rsid w:val="BFFE85BF"/>
    <w:rsid w:val="BFFECED1"/>
    <w:rsid w:val="C1DFC700"/>
    <w:rsid w:val="C4D374E1"/>
    <w:rsid w:val="C5F531DA"/>
    <w:rsid w:val="C6DE7110"/>
    <w:rsid w:val="C77F5ED5"/>
    <w:rsid w:val="C7F7394B"/>
    <w:rsid w:val="C9771A29"/>
    <w:rsid w:val="CAFD4891"/>
    <w:rsid w:val="CEDB0BD3"/>
    <w:rsid w:val="CEDC4EA8"/>
    <w:rsid w:val="CEE3987C"/>
    <w:rsid w:val="CEFFA40B"/>
    <w:rsid w:val="CF0F01A5"/>
    <w:rsid w:val="CF6DEE98"/>
    <w:rsid w:val="CF7B4963"/>
    <w:rsid w:val="CF7F21A3"/>
    <w:rsid w:val="CFB73A8F"/>
    <w:rsid w:val="CFF630DB"/>
    <w:rsid w:val="CFF71640"/>
    <w:rsid w:val="CFFF95D6"/>
    <w:rsid w:val="D0FE783D"/>
    <w:rsid w:val="D3EF9571"/>
    <w:rsid w:val="D3FD6744"/>
    <w:rsid w:val="D5BA65F8"/>
    <w:rsid w:val="D6D3824D"/>
    <w:rsid w:val="D7B36A27"/>
    <w:rsid w:val="D7FF43F0"/>
    <w:rsid w:val="DADEC009"/>
    <w:rsid w:val="DB75D79E"/>
    <w:rsid w:val="DBF3F1B9"/>
    <w:rsid w:val="DBF6236C"/>
    <w:rsid w:val="DBF7D51B"/>
    <w:rsid w:val="DBFF6407"/>
    <w:rsid w:val="DD79F391"/>
    <w:rsid w:val="DDFE8610"/>
    <w:rsid w:val="DE6A0BDA"/>
    <w:rsid w:val="DE7ED3AC"/>
    <w:rsid w:val="DEDFF420"/>
    <w:rsid w:val="DEE6FC58"/>
    <w:rsid w:val="DEEFC145"/>
    <w:rsid w:val="DEFE18FF"/>
    <w:rsid w:val="DEFECC5E"/>
    <w:rsid w:val="DF1BFC72"/>
    <w:rsid w:val="DF2DCAFB"/>
    <w:rsid w:val="DF5A4A8E"/>
    <w:rsid w:val="DF9A0955"/>
    <w:rsid w:val="DF9F59F7"/>
    <w:rsid w:val="DFBFEF5B"/>
    <w:rsid w:val="DFCDCEA0"/>
    <w:rsid w:val="DFDD2A9B"/>
    <w:rsid w:val="DFDF0B30"/>
    <w:rsid w:val="DFDF8F5A"/>
    <w:rsid w:val="DFEE626C"/>
    <w:rsid w:val="DFEF65AB"/>
    <w:rsid w:val="DFF2474D"/>
    <w:rsid w:val="DFF6FC07"/>
    <w:rsid w:val="DFF76498"/>
    <w:rsid w:val="DFFF1CE3"/>
    <w:rsid w:val="DFFF7F20"/>
    <w:rsid w:val="E1D7DD41"/>
    <w:rsid w:val="E457CE6D"/>
    <w:rsid w:val="E4EF9EE7"/>
    <w:rsid w:val="E5EF7F50"/>
    <w:rsid w:val="E65FD2CF"/>
    <w:rsid w:val="E6EA84F0"/>
    <w:rsid w:val="E73F3A3F"/>
    <w:rsid w:val="E7673AB5"/>
    <w:rsid w:val="E7B575F1"/>
    <w:rsid w:val="E7FBF0E1"/>
    <w:rsid w:val="E99B44EC"/>
    <w:rsid w:val="E9BE9322"/>
    <w:rsid w:val="EB3EA5C2"/>
    <w:rsid w:val="EB7EF7C6"/>
    <w:rsid w:val="EBBDFE4F"/>
    <w:rsid w:val="EBF4EF1A"/>
    <w:rsid w:val="EBF72C75"/>
    <w:rsid w:val="ECD7E4DF"/>
    <w:rsid w:val="ED7EE7D2"/>
    <w:rsid w:val="ED7F4834"/>
    <w:rsid w:val="EDBFC72B"/>
    <w:rsid w:val="EDCE9DFB"/>
    <w:rsid w:val="EDFE137E"/>
    <w:rsid w:val="EDFED44D"/>
    <w:rsid w:val="EEB618E8"/>
    <w:rsid w:val="EEBE5C26"/>
    <w:rsid w:val="EEE5672A"/>
    <w:rsid w:val="EEF74D87"/>
    <w:rsid w:val="EEFF33B0"/>
    <w:rsid w:val="EF1152B7"/>
    <w:rsid w:val="EF3D56E7"/>
    <w:rsid w:val="EF4FF030"/>
    <w:rsid w:val="EF778D02"/>
    <w:rsid w:val="EF7E285E"/>
    <w:rsid w:val="EF7FF919"/>
    <w:rsid w:val="EF7FFB0C"/>
    <w:rsid w:val="EFBDF011"/>
    <w:rsid w:val="EFC587C2"/>
    <w:rsid w:val="EFCB4DF3"/>
    <w:rsid w:val="EFCD07BA"/>
    <w:rsid w:val="EFD79B0F"/>
    <w:rsid w:val="EFDE5791"/>
    <w:rsid w:val="EFDF4AAC"/>
    <w:rsid w:val="EFE7D502"/>
    <w:rsid w:val="EFEA76CC"/>
    <w:rsid w:val="EFEA791D"/>
    <w:rsid w:val="EFEF6ED7"/>
    <w:rsid w:val="EFF65154"/>
    <w:rsid w:val="EFF9903F"/>
    <w:rsid w:val="EFFF0BAB"/>
    <w:rsid w:val="F07CB571"/>
    <w:rsid w:val="F1FEE42F"/>
    <w:rsid w:val="F2FF20B4"/>
    <w:rsid w:val="F31B8463"/>
    <w:rsid w:val="F3BB8025"/>
    <w:rsid w:val="F3BF227A"/>
    <w:rsid w:val="F3DF0F97"/>
    <w:rsid w:val="F3F7BCBF"/>
    <w:rsid w:val="F3FBF7F5"/>
    <w:rsid w:val="F3FFBA37"/>
    <w:rsid w:val="F4BFD4C5"/>
    <w:rsid w:val="F5366054"/>
    <w:rsid w:val="F57F1107"/>
    <w:rsid w:val="F5B7D0F1"/>
    <w:rsid w:val="F5D7A2B2"/>
    <w:rsid w:val="F5F79494"/>
    <w:rsid w:val="F65B88D0"/>
    <w:rsid w:val="F67F1FCF"/>
    <w:rsid w:val="F6CDEB64"/>
    <w:rsid w:val="F6FFD278"/>
    <w:rsid w:val="F76C99B6"/>
    <w:rsid w:val="F77B546F"/>
    <w:rsid w:val="F77E3A6A"/>
    <w:rsid w:val="F7B5DA57"/>
    <w:rsid w:val="F7BE6C24"/>
    <w:rsid w:val="F7DC7D47"/>
    <w:rsid w:val="F7DF17B9"/>
    <w:rsid w:val="F7EE344F"/>
    <w:rsid w:val="F7EF9BBD"/>
    <w:rsid w:val="F7F34592"/>
    <w:rsid w:val="F7FF2344"/>
    <w:rsid w:val="F7FFBD35"/>
    <w:rsid w:val="F7FFD97D"/>
    <w:rsid w:val="F8BFA087"/>
    <w:rsid w:val="F8ED918E"/>
    <w:rsid w:val="F96B7346"/>
    <w:rsid w:val="F99D35CA"/>
    <w:rsid w:val="F9BB4F87"/>
    <w:rsid w:val="F9DE2365"/>
    <w:rsid w:val="F9EF0D68"/>
    <w:rsid w:val="F9F707D7"/>
    <w:rsid w:val="F9F753B7"/>
    <w:rsid w:val="F9F7DAD2"/>
    <w:rsid w:val="F9FB8BB7"/>
    <w:rsid w:val="FA6698BD"/>
    <w:rsid w:val="FA765FA0"/>
    <w:rsid w:val="FA7F0371"/>
    <w:rsid w:val="FA99614B"/>
    <w:rsid w:val="FABFB15F"/>
    <w:rsid w:val="FAD7BAD9"/>
    <w:rsid w:val="FAF7028B"/>
    <w:rsid w:val="FB03D61A"/>
    <w:rsid w:val="FB7B2824"/>
    <w:rsid w:val="FB7B51E0"/>
    <w:rsid w:val="FB7EF6EB"/>
    <w:rsid w:val="FB9B8DBE"/>
    <w:rsid w:val="FB9DE5BE"/>
    <w:rsid w:val="FBB5F407"/>
    <w:rsid w:val="FBC7D64A"/>
    <w:rsid w:val="FBCDC53C"/>
    <w:rsid w:val="FBDC190D"/>
    <w:rsid w:val="FBDF74D0"/>
    <w:rsid w:val="FBF1346A"/>
    <w:rsid w:val="FBF5B25B"/>
    <w:rsid w:val="FBFB2903"/>
    <w:rsid w:val="FBFD643D"/>
    <w:rsid w:val="FBFDBE23"/>
    <w:rsid w:val="FBFF02DE"/>
    <w:rsid w:val="FCBEE938"/>
    <w:rsid w:val="FCC6864E"/>
    <w:rsid w:val="FCD51506"/>
    <w:rsid w:val="FCDF439C"/>
    <w:rsid w:val="FCF3E356"/>
    <w:rsid w:val="FCF74CA6"/>
    <w:rsid w:val="FCFF6C06"/>
    <w:rsid w:val="FCFF7E85"/>
    <w:rsid w:val="FD432744"/>
    <w:rsid w:val="FD7918CA"/>
    <w:rsid w:val="FD7D8CE2"/>
    <w:rsid w:val="FD95AC33"/>
    <w:rsid w:val="FDB32FC7"/>
    <w:rsid w:val="FDBE24DD"/>
    <w:rsid w:val="FDCD8A04"/>
    <w:rsid w:val="FDD7CB3D"/>
    <w:rsid w:val="FDDFB65E"/>
    <w:rsid w:val="FDDFDD8A"/>
    <w:rsid w:val="FDED12F0"/>
    <w:rsid w:val="FDF7AA15"/>
    <w:rsid w:val="FDFF58C4"/>
    <w:rsid w:val="FDFFA663"/>
    <w:rsid w:val="FE27D236"/>
    <w:rsid w:val="FE3F6235"/>
    <w:rsid w:val="FE7C45A5"/>
    <w:rsid w:val="FE7E07EB"/>
    <w:rsid w:val="FEB4351A"/>
    <w:rsid w:val="FEBFAF15"/>
    <w:rsid w:val="FEDC82E5"/>
    <w:rsid w:val="FEDF4AC1"/>
    <w:rsid w:val="FEEBD41F"/>
    <w:rsid w:val="FEF742EB"/>
    <w:rsid w:val="FEF9F55E"/>
    <w:rsid w:val="FEFB5351"/>
    <w:rsid w:val="FEFBE6FC"/>
    <w:rsid w:val="FEFC8863"/>
    <w:rsid w:val="FEFD18BB"/>
    <w:rsid w:val="FEFFACF7"/>
    <w:rsid w:val="FEFFDEA3"/>
    <w:rsid w:val="FEFFEA4B"/>
    <w:rsid w:val="FF08B154"/>
    <w:rsid w:val="FF1122DB"/>
    <w:rsid w:val="FF1BAB7F"/>
    <w:rsid w:val="FF1BCAF6"/>
    <w:rsid w:val="FF1E3F69"/>
    <w:rsid w:val="FF1E5D73"/>
    <w:rsid w:val="FF503DDD"/>
    <w:rsid w:val="FF5790A5"/>
    <w:rsid w:val="FF5BC6C5"/>
    <w:rsid w:val="FF5F7B80"/>
    <w:rsid w:val="FF6D6566"/>
    <w:rsid w:val="FF6D75FF"/>
    <w:rsid w:val="FF774D54"/>
    <w:rsid w:val="FF7C2ECD"/>
    <w:rsid w:val="FF7E061D"/>
    <w:rsid w:val="FF7F0858"/>
    <w:rsid w:val="FF7FD4B5"/>
    <w:rsid w:val="FF9CBE4A"/>
    <w:rsid w:val="FF9EE6D1"/>
    <w:rsid w:val="FF9F18EB"/>
    <w:rsid w:val="FFA329E5"/>
    <w:rsid w:val="FFB3B67C"/>
    <w:rsid w:val="FFB508BE"/>
    <w:rsid w:val="FFB73386"/>
    <w:rsid w:val="FFB83715"/>
    <w:rsid w:val="FFB95B03"/>
    <w:rsid w:val="FFBA033D"/>
    <w:rsid w:val="FFBE32CD"/>
    <w:rsid w:val="FFBEA581"/>
    <w:rsid w:val="FFBF6C4B"/>
    <w:rsid w:val="FFBF6CCF"/>
    <w:rsid w:val="FFBFA95B"/>
    <w:rsid w:val="FFC99ABB"/>
    <w:rsid w:val="FFCA9D5D"/>
    <w:rsid w:val="FFCB7F56"/>
    <w:rsid w:val="FFCFCE00"/>
    <w:rsid w:val="FFD9636B"/>
    <w:rsid w:val="FFD9B8CB"/>
    <w:rsid w:val="FFDBC0D8"/>
    <w:rsid w:val="FFDD68E8"/>
    <w:rsid w:val="FFE185B7"/>
    <w:rsid w:val="FFE7CBEA"/>
    <w:rsid w:val="FFE95934"/>
    <w:rsid w:val="FFEFCFC2"/>
    <w:rsid w:val="FFF2837B"/>
    <w:rsid w:val="FFF35442"/>
    <w:rsid w:val="FFF37002"/>
    <w:rsid w:val="FFF39441"/>
    <w:rsid w:val="FFF566AD"/>
    <w:rsid w:val="FFF756C5"/>
    <w:rsid w:val="FFF77023"/>
    <w:rsid w:val="FFF7ADD8"/>
    <w:rsid w:val="FFF999DD"/>
    <w:rsid w:val="FFFA642B"/>
    <w:rsid w:val="FFFB413D"/>
    <w:rsid w:val="FFFBB98D"/>
    <w:rsid w:val="FFFD84E3"/>
    <w:rsid w:val="FFFDDCEE"/>
    <w:rsid w:val="FFFE342A"/>
    <w:rsid w:val="FFFE6374"/>
    <w:rsid w:val="FFFF0BC4"/>
    <w:rsid w:val="FFFFBF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4"/>
    <w:qFormat/>
    <w:uiPriority w:val="0"/>
    <w:pPr>
      <w:keepNext/>
      <w:keepLines/>
      <w:spacing w:before="340" w:after="330" w:line="576" w:lineRule="auto"/>
      <w:outlineLvl w:val="0"/>
    </w:pPr>
    <w:rPr>
      <w:b/>
      <w:bCs/>
      <w:kern w:val="44"/>
      <w:sz w:val="44"/>
      <w:szCs w:val="44"/>
    </w:rPr>
  </w:style>
  <w:style w:type="paragraph" w:styleId="5">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link w:val="45"/>
    <w:qFormat/>
    <w:uiPriority w:val="0"/>
    <w:pPr>
      <w:keepNext/>
      <w:keepLines/>
      <w:spacing w:before="260" w:after="260" w:line="415" w:lineRule="auto"/>
      <w:outlineLvl w:val="2"/>
    </w:pPr>
    <w:rPr>
      <w:rFonts w:hint="eastAsia" w:ascii="黑体" w:hAnsi="宋体" w:eastAsia="黑体"/>
      <w:bCs/>
      <w:kern w:val="0"/>
      <w:sz w:val="32"/>
      <w:szCs w:val="32"/>
    </w:rPr>
  </w:style>
  <w:style w:type="paragraph" w:styleId="7">
    <w:name w:val="heading 4"/>
    <w:basedOn w:val="1"/>
    <w:next w:val="1"/>
    <w:link w:val="46"/>
    <w:qFormat/>
    <w:uiPriority w:val="0"/>
    <w:pPr>
      <w:keepNext/>
      <w:autoSpaceDE w:val="0"/>
      <w:autoSpaceDN w:val="0"/>
      <w:adjustRightInd w:val="0"/>
      <w:jc w:val="left"/>
      <w:outlineLvl w:val="3"/>
    </w:pPr>
    <w:rPr>
      <w:rFonts w:ascii="宋体" w:hAnsi="宋体"/>
      <w:color w:val="0000FF"/>
      <w:kern w:val="0"/>
      <w:sz w:val="28"/>
      <w:szCs w:val="20"/>
    </w:rPr>
  </w:style>
  <w:style w:type="paragraph" w:styleId="8">
    <w:name w:val="heading 5"/>
    <w:basedOn w:val="1"/>
    <w:next w:val="1"/>
    <w:link w:val="47"/>
    <w:qFormat/>
    <w:uiPriority w:val="0"/>
    <w:pPr>
      <w:keepNext/>
      <w:keepLines/>
      <w:tabs>
        <w:tab w:val="left" w:pos="1008"/>
      </w:tabs>
      <w:spacing w:before="280" w:after="290" w:line="374" w:lineRule="auto"/>
      <w:ind w:left="1008" w:hanging="1008"/>
      <w:outlineLvl w:val="4"/>
    </w:pPr>
    <w:rPr>
      <w:rFonts w:ascii="Verdana" w:hAnsi="Verdana"/>
      <w:b/>
      <w:bCs/>
      <w:sz w:val="28"/>
      <w:szCs w:val="28"/>
    </w:rPr>
  </w:style>
  <w:style w:type="paragraph" w:styleId="9">
    <w:name w:val="heading 6"/>
    <w:basedOn w:val="1"/>
    <w:next w:val="1"/>
    <w:link w:val="48"/>
    <w:qFormat/>
    <w:uiPriority w:val="0"/>
    <w:pPr>
      <w:keepNext/>
      <w:keepLines/>
      <w:tabs>
        <w:tab w:val="left" w:pos="1152"/>
      </w:tabs>
      <w:spacing w:before="240" w:after="64" w:line="319" w:lineRule="auto"/>
      <w:ind w:left="1152" w:hanging="1152"/>
      <w:outlineLvl w:val="5"/>
    </w:pPr>
    <w:rPr>
      <w:rFonts w:ascii="Arial" w:hAnsi="Arial" w:eastAsia="黑体"/>
      <w:b/>
      <w:bCs/>
      <w:sz w:val="24"/>
    </w:rPr>
  </w:style>
  <w:style w:type="paragraph" w:styleId="10">
    <w:name w:val="heading 7"/>
    <w:basedOn w:val="1"/>
    <w:next w:val="1"/>
    <w:link w:val="49"/>
    <w:qFormat/>
    <w:uiPriority w:val="0"/>
    <w:pPr>
      <w:keepNext/>
      <w:keepLines/>
      <w:tabs>
        <w:tab w:val="left" w:pos="1296"/>
      </w:tabs>
      <w:spacing w:before="240" w:after="64" w:line="319" w:lineRule="auto"/>
      <w:ind w:left="1296" w:hanging="1296"/>
      <w:outlineLvl w:val="6"/>
    </w:pPr>
    <w:rPr>
      <w:b/>
      <w:bCs/>
      <w:sz w:val="24"/>
    </w:rPr>
  </w:style>
  <w:style w:type="paragraph" w:styleId="11">
    <w:name w:val="heading 8"/>
    <w:basedOn w:val="1"/>
    <w:next w:val="1"/>
    <w:link w:val="50"/>
    <w:qFormat/>
    <w:uiPriority w:val="0"/>
    <w:pPr>
      <w:keepNext/>
      <w:keepLines/>
      <w:tabs>
        <w:tab w:val="left" w:pos="1440"/>
      </w:tabs>
      <w:spacing w:before="240" w:after="64" w:line="319" w:lineRule="auto"/>
      <w:ind w:left="1440" w:hanging="1440"/>
      <w:outlineLvl w:val="7"/>
    </w:pPr>
    <w:rPr>
      <w:rFonts w:ascii="Arial" w:hAnsi="Arial" w:eastAsia="黑体"/>
      <w:sz w:val="24"/>
    </w:rPr>
  </w:style>
  <w:style w:type="paragraph" w:styleId="12">
    <w:name w:val="heading 9"/>
    <w:basedOn w:val="1"/>
    <w:next w:val="1"/>
    <w:link w:val="51"/>
    <w:qFormat/>
    <w:uiPriority w:val="0"/>
    <w:pPr>
      <w:keepNext/>
      <w:keepLines/>
      <w:tabs>
        <w:tab w:val="left" w:pos="1584"/>
      </w:tabs>
      <w:spacing w:before="240" w:after="64" w:line="319" w:lineRule="auto"/>
      <w:ind w:left="1584" w:hanging="1584"/>
      <w:outlineLvl w:val="8"/>
    </w:pPr>
    <w:rPr>
      <w:rFonts w:ascii="Arial" w:hAnsi="Arial" w:eastAsia="黑体"/>
      <w:szCs w:val="21"/>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adjustRightInd w:val="0"/>
      <w:spacing w:after="120" w:line="520" w:lineRule="exact"/>
      <w:ind w:firstLine="210"/>
      <w:textAlignment w:val="baseline"/>
    </w:pPr>
    <w:rPr>
      <w:rFonts w:ascii="黑体" w:hAnsi="Arial" w:eastAsia="黑体"/>
    </w:rPr>
  </w:style>
  <w:style w:type="paragraph" w:styleId="3">
    <w:name w:val="Body Text Indent"/>
    <w:basedOn w:val="1"/>
    <w:link w:val="43"/>
    <w:qFormat/>
    <w:uiPriority w:val="0"/>
    <w:pPr>
      <w:ind w:firstLine="360"/>
    </w:pPr>
    <w:rPr>
      <w:szCs w:val="20"/>
    </w:rPr>
  </w:style>
  <w:style w:type="paragraph" w:styleId="13">
    <w:name w:val="Normal Indent"/>
    <w:basedOn w:val="1"/>
    <w:qFormat/>
    <w:uiPriority w:val="0"/>
    <w:pPr>
      <w:adjustRightInd w:val="0"/>
      <w:ind w:firstLine="420"/>
    </w:pPr>
    <w:rPr>
      <w:szCs w:val="20"/>
    </w:rPr>
  </w:style>
  <w:style w:type="paragraph" w:styleId="14">
    <w:name w:val="Document Map"/>
    <w:basedOn w:val="1"/>
    <w:link w:val="52"/>
    <w:semiHidden/>
    <w:qFormat/>
    <w:uiPriority w:val="0"/>
    <w:pPr>
      <w:shd w:val="clear" w:color="auto" w:fill="000080"/>
    </w:pPr>
  </w:style>
  <w:style w:type="paragraph" w:styleId="15">
    <w:name w:val="annotation text"/>
    <w:basedOn w:val="1"/>
    <w:link w:val="53"/>
    <w:qFormat/>
    <w:uiPriority w:val="0"/>
    <w:pPr>
      <w:jc w:val="left"/>
    </w:pPr>
  </w:style>
  <w:style w:type="paragraph" w:styleId="16">
    <w:name w:val="Body Text 3"/>
    <w:basedOn w:val="1"/>
    <w:unhideWhenUsed/>
    <w:qFormat/>
    <w:uiPriority w:val="99"/>
    <w:pPr>
      <w:widowControl/>
      <w:spacing w:after="120"/>
    </w:pPr>
    <w:rPr>
      <w:rFonts w:ascii="Cambria" w:hAnsi="Cambria" w:eastAsia="微软雅黑"/>
      <w:color w:val="595959"/>
      <w:kern w:val="20"/>
      <w:sz w:val="16"/>
      <w:szCs w:val="20"/>
      <w:lang w:val="zh-CN"/>
    </w:rPr>
  </w:style>
  <w:style w:type="paragraph" w:styleId="17">
    <w:name w:val="Body Text"/>
    <w:basedOn w:val="1"/>
    <w:next w:val="18"/>
    <w:link w:val="54"/>
    <w:qFormat/>
    <w:uiPriority w:val="0"/>
    <w:rPr>
      <w:kern w:val="0"/>
      <w:szCs w:val="20"/>
    </w:rPr>
  </w:style>
  <w:style w:type="paragraph" w:styleId="18">
    <w:name w:val="index 9"/>
    <w:basedOn w:val="1"/>
    <w:next w:val="1"/>
    <w:qFormat/>
    <w:uiPriority w:val="0"/>
    <w:pPr>
      <w:ind w:left="3360"/>
    </w:pPr>
  </w:style>
  <w:style w:type="paragraph" w:styleId="19">
    <w:name w:val="Plain Text"/>
    <w:basedOn w:val="1"/>
    <w:link w:val="55"/>
    <w:qFormat/>
    <w:uiPriority w:val="0"/>
    <w:rPr>
      <w:rFonts w:hint="eastAsia" w:ascii="宋体" w:hAnsi="Courier New"/>
      <w:kern w:val="0"/>
      <w:szCs w:val="21"/>
    </w:rPr>
  </w:style>
  <w:style w:type="paragraph" w:styleId="20">
    <w:name w:val="Date"/>
    <w:basedOn w:val="1"/>
    <w:next w:val="1"/>
    <w:link w:val="56"/>
    <w:qFormat/>
    <w:uiPriority w:val="0"/>
    <w:pPr>
      <w:ind w:left="100" w:leftChars="2500"/>
    </w:pPr>
  </w:style>
  <w:style w:type="paragraph" w:styleId="21">
    <w:name w:val="Body Text Indent 2"/>
    <w:basedOn w:val="1"/>
    <w:link w:val="57"/>
    <w:qFormat/>
    <w:uiPriority w:val="0"/>
    <w:pPr>
      <w:ind w:firstLine="630"/>
    </w:pPr>
    <w:rPr>
      <w:rFonts w:ascii="宋体"/>
      <w:sz w:val="28"/>
      <w:szCs w:val="20"/>
    </w:rPr>
  </w:style>
  <w:style w:type="paragraph" w:styleId="22">
    <w:name w:val="Balloon Text"/>
    <w:basedOn w:val="1"/>
    <w:link w:val="58"/>
    <w:semiHidden/>
    <w:qFormat/>
    <w:uiPriority w:val="0"/>
    <w:rPr>
      <w:sz w:val="18"/>
      <w:szCs w:val="18"/>
    </w:rPr>
  </w:style>
  <w:style w:type="paragraph" w:styleId="23">
    <w:name w:val="footer"/>
    <w:basedOn w:val="1"/>
    <w:link w:val="59"/>
    <w:qFormat/>
    <w:uiPriority w:val="0"/>
    <w:pPr>
      <w:tabs>
        <w:tab w:val="center" w:pos="4153"/>
        <w:tab w:val="right" w:pos="8306"/>
      </w:tabs>
      <w:snapToGrid w:val="0"/>
      <w:jc w:val="left"/>
    </w:pPr>
    <w:rPr>
      <w:sz w:val="18"/>
    </w:rPr>
  </w:style>
  <w:style w:type="paragraph" w:styleId="24">
    <w:name w:val="header"/>
    <w:basedOn w:val="1"/>
    <w:link w:val="60"/>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tabs>
        <w:tab w:val="right" w:leader="dot" w:pos="8302"/>
      </w:tabs>
      <w:spacing w:line="360" w:lineRule="auto"/>
      <w:jc w:val="center"/>
    </w:pPr>
    <w:rPr>
      <w:rFonts w:ascii="宋体" w:hAnsi="宋体"/>
      <w:sz w:val="24"/>
    </w:rPr>
  </w:style>
  <w:style w:type="paragraph" w:styleId="26">
    <w:name w:val="Body Text Indent 3"/>
    <w:basedOn w:val="1"/>
    <w:link w:val="61"/>
    <w:qFormat/>
    <w:uiPriority w:val="0"/>
    <w:pPr>
      <w:spacing w:line="360" w:lineRule="auto"/>
      <w:ind w:firstLine="480" w:firstLineChars="200"/>
      <w:jc w:val="left"/>
    </w:pPr>
    <w:rPr>
      <w:sz w:val="24"/>
      <w:szCs w:val="20"/>
    </w:rPr>
  </w:style>
  <w:style w:type="paragraph" w:styleId="27">
    <w:name w:val="table of figures"/>
    <w:basedOn w:val="1"/>
    <w:next w:val="1"/>
    <w:qFormat/>
    <w:uiPriority w:val="0"/>
    <w:pPr>
      <w:widowControl/>
      <w:overflowPunct w:val="0"/>
      <w:autoSpaceDE w:val="0"/>
      <w:autoSpaceDN w:val="0"/>
      <w:adjustRightInd w:val="0"/>
      <w:ind w:left="200" w:leftChars="200" w:hanging="200" w:hangingChars="200"/>
    </w:pPr>
    <w:rPr>
      <w:kern w:val="0"/>
      <w:szCs w:val="20"/>
    </w:rPr>
  </w:style>
  <w:style w:type="paragraph" w:styleId="28">
    <w:name w:val="Body Text 2"/>
    <w:basedOn w:val="1"/>
    <w:link w:val="62"/>
    <w:qFormat/>
    <w:uiPriority w:val="0"/>
    <w:rPr>
      <w:rFonts w:ascii="仿宋_GB2312" w:eastAsia="仿宋_GB2312"/>
      <w:sz w:val="28"/>
      <w:szCs w:val="20"/>
    </w:rPr>
  </w:style>
  <w:style w:type="paragraph" w:styleId="2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30">
    <w:name w:val="Normal (Web)"/>
    <w:basedOn w:val="1"/>
    <w:qFormat/>
    <w:uiPriority w:val="0"/>
    <w:pPr>
      <w:spacing w:before="100" w:beforeAutospacing="1" w:after="100" w:afterAutospacing="1"/>
      <w:jc w:val="left"/>
    </w:pPr>
    <w:rPr>
      <w:kern w:val="0"/>
      <w:sz w:val="24"/>
    </w:rPr>
  </w:style>
  <w:style w:type="paragraph" w:styleId="31">
    <w:name w:val="Title"/>
    <w:basedOn w:val="1"/>
    <w:link w:val="63"/>
    <w:qFormat/>
    <w:uiPriority w:val="0"/>
    <w:pPr>
      <w:spacing w:before="240" w:after="60"/>
      <w:jc w:val="center"/>
      <w:outlineLvl w:val="0"/>
    </w:pPr>
    <w:rPr>
      <w:rFonts w:ascii="Arial" w:hAnsi="Arial" w:eastAsia="隶书" w:cs="Arial"/>
      <w:b/>
      <w:bCs/>
      <w:sz w:val="32"/>
      <w:szCs w:val="32"/>
    </w:rPr>
  </w:style>
  <w:style w:type="paragraph" w:styleId="32">
    <w:name w:val="annotation subject"/>
    <w:basedOn w:val="15"/>
    <w:next w:val="15"/>
    <w:link w:val="64"/>
    <w:qFormat/>
    <w:uiPriority w:val="0"/>
    <w:rPr>
      <w:b/>
      <w:bCs/>
    </w:rPr>
  </w:style>
  <w:style w:type="paragraph" w:styleId="33">
    <w:name w:val="Body Text First Indent"/>
    <w:basedOn w:val="17"/>
    <w:link w:val="65"/>
    <w:qFormat/>
    <w:uiPriority w:val="0"/>
    <w:pPr>
      <w:spacing w:after="120"/>
      <w:ind w:firstLine="420" w:firstLineChars="100"/>
    </w:pPr>
    <w:rPr>
      <w:rFonts w:ascii="宋体" w:hAnsi="宋体"/>
      <w:kern w:val="2"/>
      <w:szCs w:val="24"/>
    </w:r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qFormat/>
    <w:uiPriority w:val="0"/>
    <w:rPr>
      <w:b/>
      <w:bCs/>
    </w:rPr>
  </w:style>
  <w:style w:type="character" w:styleId="38">
    <w:name w:val="page number"/>
    <w:qFormat/>
    <w:uiPriority w:val="0"/>
  </w:style>
  <w:style w:type="character" w:styleId="39">
    <w:name w:val="FollowedHyperlink"/>
    <w:qFormat/>
    <w:uiPriority w:val="0"/>
    <w:rPr>
      <w:rFonts w:hint="eastAsia" w:ascii="微软雅黑" w:hAnsi="微软雅黑" w:eastAsia="微软雅黑" w:cs="微软雅黑"/>
      <w:color w:val="02396F"/>
      <w:u w:val="single"/>
    </w:rPr>
  </w:style>
  <w:style w:type="character" w:styleId="40">
    <w:name w:val="Hyperlink"/>
    <w:qFormat/>
    <w:uiPriority w:val="99"/>
    <w:rPr>
      <w:rFonts w:hint="eastAsia" w:ascii="微软雅黑" w:hAnsi="微软雅黑" w:eastAsia="微软雅黑" w:cs="微软雅黑"/>
      <w:color w:val="02396F"/>
      <w:u w:val="single"/>
    </w:rPr>
  </w:style>
  <w:style w:type="character" w:styleId="41">
    <w:name w:val="HTML Code"/>
    <w:qFormat/>
    <w:uiPriority w:val="0"/>
    <w:rPr>
      <w:rFonts w:hint="default" w:ascii="Consolas" w:hAnsi="Consolas" w:eastAsia="Consolas" w:cs="Consolas"/>
      <w:color w:val="C7254E"/>
      <w:sz w:val="21"/>
      <w:szCs w:val="21"/>
      <w:shd w:val="clear" w:color="auto" w:fill="F9F2F4"/>
    </w:rPr>
  </w:style>
  <w:style w:type="character" w:styleId="42">
    <w:name w:val="annotation reference"/>
    <w:qFormat/>
    <w:uiPriority w:val="0"/>
    <w:rPr>
      <w:sz w:val="21"/>
      <w:szCs w:val="21"/>
    </w:rPr>
  </w:style>
  <w:style w:type="character" w:customStyle="1" w:styleId="43">
    <w:name w:val="正文文本缩进 Char"/>
    <w:link w:val="3"/>
    <w:qFormat/>
    <w:uiPriority w:val="0"/>
    <w:rPr>
      <w:rFonts w:eastAsia="宋体"/>
      <w:kern w:val="2"/>
      <w:sz w:val="21"/>
      <w:lang w:val="en-US" w:eastAsia="zh-CN" w:bidi="ar-SA"/>
    </w:rPr>
  </w:style>
  <w:style w:type="character" w:customStyle="1" w:styleId="44">
    <w:name w:val="标题 1 Char1"/>
    <w:link w:val="4"/>
    <w:qFormat/>
    <w:locked/>
    <w:uiPriority w:val="0"/>
    <w:rPr>
      <w:rFonts w:eastAsia="宋体"/>
      <w:b/>
      <w:bCs/>
      <w:kern w:val="44"/>
      <w:sz w:val="44"/>
      <w:szCs w:val="44"/>
      <w:lang w:val="en-US" w:eastAsia="zh-CN" w:bidi="ar-SA"/>
    </w:rPr>
  </w:style>
  <w:style w:type="character" w:customStyle="1" w:styleId="45">
    <w:name w:val="标题 3 Char1"/>
    <w:link w:val="6"/>
    <w:qFormat/>
    <w:uiPriority w:val="0"/>
    <w:rPr>
      <w:rFonts w:hint="eastAsia" w:ascii="黑体" w:hAnsi="宋体" w:eastAsia="黑体" w:cs="黑体"/>
      <w:bCs/>
      <w:sz w:val="32"/>
      <w:szCs w:val="32"/>
    </w:rPr>
  </w:style>
  <w:style w:type="character" w:customStyle="1" w:styleId="46">
    <w:name w:val="标题 4 Char"/>
    <w:link w:val="7"/>
    <w:qFormat/>
    <w:uiPriority w:val="0"/>
    <w:rPr>
      <w:rFonts w:ascii="宋体" w:hAnsi="宋体" w:eastAsia="宋体"/>
      <w:color w:val="0000FF"/>
      <w:sz w:val="28"/>
      <w:lang w:val="en-US" w:eastAsia="zh-CN" w:bidi="ar-SA"/>
    </w:rPr>
  </w:style>
  <w:style w:type="character" w:customStyle="1" w:styleId="47">
    <w:name w:val="标题 5 Char"/>
    <w:link w:val="8"/>
    <w:qFormat/>
    <w:uiPriority w:val="0"/>
    <w:rPr>
      <w:rFonts w:ascii="Verdana" w:hAnsi="Verdana" w:eastAsia="宋体"/>
      <w:b/>
      <w:bCs/>
      <w:kern w:val="2"/>
      <w:sz w:val="28"/>
      <w:szCs w:val="28"/>
      <w:lang w:val="en-US" w:eastAsia="zh-CN" w:bidi="ar-SA"/>
    </w:rPr>
  </w:style>
  <w:style w:type="character" w:customStyle="1" w:styleId="48">
    <w:name w:val="标题 6 Char"/>
    <w:link w:val="9"/>
    <w:qFormat/>
    <w:uiPriority w:val="0"/>
    <w:rPr>
      <w:rFonts w:ascii="Arial" w:hAnsi="Arial" w:eastAsia="黑体"/>
      <w:b/>
      <w:bCs/>
      <w:kern w:val="2"/>
      <w:sz w:val="24"/>
      <w:szCs w:val="24"/>
      <w:lang w:val="en-US" w:eastAsia="zh-CN" w:bidi="ar-SA"/>
    </w:rPr>
  </w:style>
  <w:style w:type="character" w:customStyle="1" w:styleId="49">
    <w:name w:val="标题 7 Char"/>
    <w:link w:val="10"/>
    <w:qFormat/>
    <w:uiPriority w:val="0"/>
    <w:rPr>
      <w:rFonts w:eastAsia="宋体"/>
      <w:b/>
      <w:bCs/>
      <w:kern w:val="2"/>
      <w:sz w:val="24"/>
      <w:szCs w:val="24"/>
      <w:lang w:val="en-US" w:eastAsia="zh-CN" w:bidi="ar-SA"/>
    </w:rPr>
  </w:style>
  <w:style w:type="character" w:customStyle="1" w:styleId="50">
    <w:name w:val="标题 8 Char"/>
    <w:link w:val="11"/>
    <w:qFormat/>
    <w:uiPriority w:val="0"/>
    <w:rPr>
      <w:rFonts w:ascii="Arial" w:hAnsi="Arial" w:eastAsia="黑体"/>
      <w:kern w:val="2"/>
      <w:sz w:val="24"/>
      <w:szCs w:val="24"/>
      <w:lang w:val="en-US" w:eastAsia="zh-CN" w:bidi="ar-SA"/>
    </w:rPr>
  </w:style>
  <w:style w:type="character" w:customStyle="1" w:styleId="51">
    <w:name w:val="标题 9 Char"/>
    <w:link w:val="12"/>
    <w:qFormat/>
    <w:uiPriority w:val="0"/>
    <w:rPr>
      <w:rFonts w:ascii="Arial" w:hAnsi="Arial" w:eastAsia="黑体"/>
      <w:kern w:val="2"/>
      <w:sz w:val="21"/>
      <w:szCs w:val="21"/>
      <w:lang w:val="en-US" w:eastAsia="zh-CN" w:bidi="ar-SA"/>
    </w:rPr>
  </w:style>
  <w:style w:type="character" w:customStyle="1" w:styleId="52">
    <w:name w:val="文档结构图 Char"/>
    <w:link w:val="14"/>
    <w:semiHidden/>
    <w:qFormat/>
    <w:uiPriority w:val="0"/>
    <w:rPr>
      <w:rFonts w:eastAsia="宋体"/>
      <w:kern w:val="2"/>
      <w:sz w:val="21"/>
      <w:szCs w:val="24"/>
      <w:lang w:val="en-US" w:eastAsia="zh-CN" w:bidi="ar-SA"/>
    </w:rPr>
  </w:style>
  <w:style w:type="character" w:customStyle="1" w:styleId="53">
    <w:name w:val="批注文字 Char"/>
    <w:link w:val="15"/>
    <w:qFormat/>
    <w:uiPriority w:val="0"/>
    <w:rPr>
      <w:kern w:val="2"/>
      <w:sz w:val="21"/>
      <w:szCs w:val="24"/>
    </w:rPr>
  </w:style>
  <w:style w:type="character" w:customStyle="1" w:styleId="54">
    <w:name w:val="正文文本 Char2"/>
    <w:link w:val="17"/>
    <w:qFormat/>
    <w:uiPriority w:val="0"/>
    <w:rPr>
      <w:sz w:val="21"/>
    </w:rPr>
  </w:style>
  <w:style w:type="character" w:customStyle="1" w:styleId="55">
    <w:name w:val="纯文本 Char3"/>
    <w:link w:val="19"/>
    <w:qFormat/>
    <w:uiPriority w:val="0"/>
    <w:rPr>
      <w:rFonts w:hint="eastAsia" w:ascii="宋体" w:hAnsi="Courier New" w:eastAsia="宋体" w:cs="宋体"/>
      <w:sz w:val="21"/>
      <w:szCs w:val="21"/>
    </w:rPr>
  </w:style>
  <w:style w:type="character" w:customStyle="1" w:styleId="56">
    <w:name w:val="日期 Char"/>
    <w:link w:val="20"/>
    <w:qFormat/>
    <w:uiPriority w:val="0"/>
    <w:rPr>
      <w:rFonts w:eastAsia="宋体"/>
      <w:kern w:val="2"/>
      <w:sz w:val="21"/>
      <w:szCs w:val="24"/>
      <w:lang w:val="en-US" w:eastAsia="zh-CN" w:bidi="ar-SA"/>
    </w:rPr>
  </w:style>
  <w:style w:type="character" w:customStyle="1" w:styleId="57">
    <w:name w:val="正文文本缩进 2 Char"/>
    <w:link w:val="21"/>
    <w:qFormat/>
    <w:uiPriority w:val="0"/>
    <w:rPr>
      <w:rFonts w:ascii="宋体" w:eastAsia="宋体"/>
      <w:kern w:val="2"/>
      <w:sz w:val="28"/>
      <w:lang w:bidi="ar-SA"/>
    </w:rPr>
  </w:style>
  <w:style w:type="character" w:customStyle="1" w:styleId="58">
    <w:name w:val="批注框文本 Char"/>
    <w:link w:val="22"/>
    <w:semiHidden/>
    <w:qFormat/>
    <w:uiPriority w:val="0"/>
    <w:rPr>
      <w:rFonts w:eastAsia="宋体"/>
      <w:kern w:val="2"/>
      <w:sz w:val="18"/>
      <w:szCs w:val="18"/>
      <w:lang w:val="en-US" w:eastAsia="zh-CN" w:bidi="ar-SA"/>
    </w:rPr>
  </w:style>
  <w:style w:type="character" w:customStyle="1" w:styleId="59">
    <w:name w:val="页脚 Char"/>
    <w:link w:val="23"/>
    <w:qFormat/>
    <w:uiPriority w:val="0"/>
    <w:rPr>
      <w:rFonts w:eastAsia="宋体"/>
      <w:kern w:val="2"/>
      <w:sz w:val="18"/>
      <w:szCs w:val="24"/>
      <w:lang w:val="en-US" w:eastAsia="zh-CN" w:bidi="ar-SA"/>
    </w:rPr>
  </w:style>
  <w:style w:type="character" w:customStyle="1" w:styleId="60">
    <w:name w:val="页眉 Char"/>
    <w:link w:val="24"/>
    <w:qFormat/>
    <w:uiPriority w:val="0"/>
    <w:rPr>
      <w:rFonts w:eastAsia="宋体"/>
      <w:kern w:val="2"/>
      <w:sz w:val="18"/>
      <w:szCs w:val="18"/>
      <w:lang w:val="en-US" w:eastAsia="zh-CN" w:bidi="ar-SA"/>
    </w:rPr>
  </w:style>
  <w:style w:type="character" w:customStyle="1" w:styleId="61">
    <w:name w:val="正文文本缩进 3 Char"/>
    <w:link w:val="26"/>
    <w:qFormat/>
    <w:uiPriority w:val="0"/>
    <w:rPr>
      <w:rFonts w:eastAsia="宋体"/>
      <w:kern w:val="2"/>
      <w:sz w:val="24"/>
      <w:lang w:bidi="ar-SA"/>
    </w:rPr>
  </w:style>
  <w:style w:type="character" w:customStyle="1" w:styleId="62">
    <w:name w:val="正文文本 2 Char"/>
    <w:link w:val="28"/>
    <w:qFormat/>
    <w:uiPriority w:val="0"/>
    <w:rPr>
      <w:rFonts w:ascii="仿宋_GB2312" w:eastAsia="仿宋_GB2312"/>
      <w:kern w:val="2"/>
      <w:sz w:val="28"/>
      <w:lang w:bidi="ar-SA"/>
    </w:rPr>
  </w:style>
  <w:style w:type="character" w:customStyle="1" w:styleId="63">
    <w:name w:val="标题 Char"/>
    <w:link w:val="31"/>
    <w:qFormat/>
    <w:locked/>
    <w:uiPriority w:val="0"/>
    <w:rPr>
      <w:rFonts w:ascii="Arial" w:hAnsi="Arial" w:eastAsia="隶书" w:cs="Arial"/>
      <w:b/>
      <w:bCs/>
      <w:kern w:val="2"/>
      <w:sz w:val="32"/>
      <w:szCs w:val="32"/>
      <w:lang w:val="en-US" w:eastAsia="zh-CN" w:bidi="ar-SA"/>
    </w:rPr>
  </w:style>
  <w:style w:type="character" w:customStyle="1" w:styleId="64">
    <w:name w:val="批注主题 Char"/>
    <w:link w:val="32"/>
    <w:qFormat/>
    <w:uiPriority w:val="0"/>
    <w:rPr>
      <w:b/>
      <w:bCs/>
      <w:kern w:val="2"/>
      <w:sz w:val="21"/>
      <w:szCs w:val="24"/>
    </w:rPr>
  </w:style>
  <w:style w:type="character" w:customStyle="1" w:styleId="65">
    <w:name w:val="正文首行缩进 Char"/>
    <w:link w:val="33"/>
    <w:qFormat/>
    <w:locked/>
    <w:uiPriority w:val="0"/>
    <w:rPr>
      <w:rFonts w:ascii="宋体" w:hAnsi="宋体" w:eastAsia="宋体"/>
      <w:kern w:val="2"/>
      <w:sz w:val="21"/>
      <w:szCs w:val="24"/>
      <w:lang w:val="en-US" w:eastAsia="zh-CN" w:bidi="ar-SA"/>
    </w:rPr>
  </w:style>
  <w:style w:type="character" w:customStyle="1" w:styleId="66">
    <w:name w:val="纯文本 Char1"/>
    <w:qFormat/>
    <w:uiPriority w:val="0"/>
    <w:rPr>
      <w:rFonts w:hint="eastAsia" w:ascii="宋体" w:hAnsi="Courier New" w:eastAsia="宋体" w:cs="Courier New"/>
      <w:kern w:val="2"/>
      <w:sz w:val="21"/>
      <w:szCs w:val="21"/>
    </w:rPr>
  </w:style>
  <w:style w:type="character" w:customStyle="1" w:styleId="67">
    <w:name w:val="普通文字1 Char1"/>
    <w:qFormat/>
    <w:locked/>
    <w:uiPriority w:val="0"/>
    <w:rPr>
      <w:rFonts w:ascii="宋体" w:hAnsi="Courier New" w:eastAsia="宋体" w:cs="Courier New"/>
      <w:kern w:val="2"/>
      <w:sz w:val="21"/>
      <w:szCs w:val="21"/>
      <w:lang w:val="en-US" w:eastAsia="zh-CN" w:bidi="ar-SA"/>
    </w:rPr>
  </w:style>
  <w:style w:type="character" w:customStyle="1" w:styleId="68">
    <w:name w:val="NICMAN Body Text Char Char1"/>
    <w:qFormat/>
    <w:uiPriority w:val="0"/>
    <w:rPr>
      <w:rFonts w:hint="eastAsia" w:ascii="宋体" w:hAnsi="宋体" w:eastAsia="宋体"/>
      <w:kern w:val="2"/>
      <w:sz w:val="24"/>
      <w:lang w:val="en-US" w:eastAsia="zh-CN" w:bidi="ar-SA"/>
    </w:rPr>
  </w:style>
  <w:style w:type="character" w:customStyle="1" w:styleId="69">
    <w:name w:val="纯文本 字符1"/>
    <w:qFormat/>
    <w:uiPriority w:val="0"/>
    <w:rPr>
      <w:rFonts w:hint="eastAsia" w:ascii="宋体" w:hAnsi="Courier New" w:eastAsia="宋体" w:cs="Courier New"/>
      <w:szCs w:val="21"/>
    </w:rPr>
  </w:style>
  <w:style w:type="character" w:customStyle="1" w:styleId="70">
    <w:name w:val="p31"/>
    <w:qFormat/>
    <w:uiPriority w:val="0"/>
    <w:rPr>
      <w:sz w:val="18"/>
      <w:szCs w:val="18"/>
    </w:rPr>
  </w:style>
  <w:style w:type="character" w:customStyle="1" w:styleId="71">
    <w:name w:val="fontstyle01"/>
    <w:qFormat/>
    <w:uiPriority w:val="0"/>
    <w:rPr>
      <w:rFonts w:hint="default" w:ascii="仿宋" w:hAnsi="仿宋"/>
      <w:color w:val="000000"/>
      <w:sz w:val="22"/>
      <w:szCs w:val="22"/>
    </w:rPr>
  </w:style>
  <w:style w:type="character" w:customStyle="1" w:styleId="72">
    <w:name w:val="标题 1 Char"/>
    <w:qFormat/>
    <w:uiPriority w:val="0"/>
    <w:rPr>
      <w:rFonts w:hint="eastAsia" w:ascii="宋体" w:hAnsi="宋体" w:eastAsia="宋体"/>
      <w:b/>
      <w:bCs/>
      <w:kern w:val="44"/>
      <w:sz w:val="44"/>
      <w:szCs w:val="44"/>
      <w:lang w:val="en-US" w:eastAsia="zh-CN" w:bidi="ar-SA"/>
    </w:rPr>
  </w:style>
  <w:style w:type="character" w:customStyle="1" w:styleId="73">
    <w:name w:val="p1051"/>
    <w:qFormat/>
    <w:uiPriority w:val="0"/>
    <w:rPr>
      <w:sz w:val="21"/>
      <w:szCs w:val="21"/>
    </w:rPr>
  </w:style>
  <w:style w:type="character" w:customStyle="1" w:styleId="74">
    <w:name w:val="bl Ch"/>
    <w:qFormat/>
    <w:uiPriority w:val="0"/>
    <w:rPr>
      <w:rFonts w:hint="eastAsia" w:ascii="宋体" w:hAnsi="宋体" w:eastAsia="宋体"/>
      <w:b/>
      <w:bCs/>
      <w:kern w:val="2"/>
      <w:sz w:val="28"/>
      <w:szCs w:val="28"/>
      <w:lang w:val="en-US" w:eastAsia="zh-CN" w:bidi="ar-SA"/>
    </w:rPr>
  </w:style>
  <w:style w:type="character" w:customStyle="1" w:styleId="75">
    <w:name w:val="font61"/>
    <w:qFormat/>
    <w:uiPriority w:val="0"/>
    <w:rPr>
      <w:rFonts w:hint="eastAsia" w:ascii="宋体" w:hAnsi="宋体" w:eastAsia="宋体" w:cs="宋体"/>
      <w:color w:val="FF0000"/>
      <w:sz w:val="21"/>
      <w:szCs w:val="21"/>
      <w:u w:val="none"/>
    </w:rPr>
  </w:style>
  <w:style w:type="character" w:customStyle="1" w:styleId="76">
    <w:name w:val="正文文本首行缩进 字符"/>
    <w:qFormat/>
    <w:uiPriority w:val="0"/>
    <w:rPr>
      <w:sz w:val="21"/>
    </w:rPr>
  </w:style>
  <w:style w:type="character" w:customStyle="1" w:styleId="77">
    <w:name w:val="apple-style-span"/>
    <w:qFormat/>
    <w:uiPriority w:val="0"/>
  </w:style>
  <w:style w:type="character" w:customStyle="1" w:styleId="78">
    <w:name w:val="样式1 Char"/>
    <w:qFormat/>
    <w:uiPriority w:val="0"/>
    <w:rPr>
      <w:rFonts w:hint="eastAsia" w:ascii="宋体" w:hAnsi="宋体" w:eastAsia="宋体"/>
      <w:kern w:val="2"/>
      <w:sz w:val="24"/>
      <w:szCs w:val="24"/>
      <w:lang w:val="en-US" w:eastAsia="zh-CN" w:bidi="ar-SA"/>
    </w:rPr>
  </w:style>
  <w:style w:type="character" w:customStyle="1" w:styleId="79">
    <w:name w:val="font01"/>
    <w:qFormat/>
    <w:uiPriority w:val="0"/>
    <w:rPr>
      <w:rFonts w:hint="default" w:ascii="Arial" w:hAnsi="Arial" w:cs="Arial"/>
      <w:color w:val="000000"/>
      <w:sz w:val="20"/>
      <w:szCs w:val="20"/>
      <w:u w:val="none"/>
    </w:rPr>
  </w:style>
  <w:style w:type="character" w:customStyle="1" w:styleId="80">
    <w:name w:val="纯文本 Char"/>
    <w:qFormat/>
    <w:locked/>
    <w:uiPriority w:val="0"/>
    <w:rPr>
      <w:rFonts w:ascii="宋体" w:hAnsi="Courier New" w:eastAsia="宋体" w:cs="Courier New"/>
      <w:kern w:val="2"/>
      <w:sz w:val="21"/>
      <w:szCs w:val="21"/>
      <w:lang w:val="en-US" w:eastAsia="zh-CN" w:bidi="ar-SA"/>
    </w:rPr>
  </w:style>
  <w:style w:type="character" w:customStyle="1" w:styleId="81">
    <w:name w:val="normalsmalltitle1"/>
    <w:qFormat/>
    <w:uiPriority w:val="0"/>
    <w:rPr>
      <w:b/>
      <w:bCs/>
      <w:color w:val="FFFFFF"/>
      <w:sz w:val="17"/>
      <w:szCs w:val="17"/>
    </w:rPr>
  </w:style>
  <w:style w:type="character" w:customStyle="1" w:styleId="82">
    <w:name w:val="Heading 3 Char Char1 Char"/>
    <w:qFormat/>
    <w:uiPriority w:val="0"/>
    <w:rPr>
      <w:rFonts w:hint="eastAsia" w:ascii="宋体" w:hAnsi="宋体" w:eastAsia="宋体"/>
      <w:b/>
      <w:bCs/>
      <w:kern w:val="2"/>
      <w:sz w:val="32"/>
      <w:szCs w:val="32"/>
      <w:lang w:val="en-US" w:eastAsia="zh-CN" w:bidi="ar-SA"/>
    </w:rPr>
  </w:style>
  <w:style w:type="character" w:customStyle="1" w:styleId="83">
    <w:name w:val="纯文本 Char2"/>
    <w:qFormat/>
    <w:uiPriority w:val="0"/>
    <w:rPr>
      <w:rFonts w:hint="eastAsia" w:ascii="宋体" w:hAnsi="Courier New" w:eastAsia="宋体" w:cs="Courier New"/>
      <w:szCs w:val="21"/>
    </w:rPr>
  </w:style>
  <w:style w:type="character" w:customStyle="1" w:styleId="84">
    <w:name w:val="font21"/>
    <w:qFormat/>
    <w:uiPriority w:val="0"/>
    <w:rPr>
      <w:rFonts w:hint="eastAsia" w:ascii="宋体" w:hAnsi="宋体" w:eastAsia="宋体" w:cs="宋体"/>
      <w:color w:val="1F497D"/>
      <w:sz w:val="21"/>
      <w:szCs w:val="21"/>
      <w:u w:val="none"/>
    </w:rPr>
  </w:style>
  <w:style w:type="character" w:customStyle="1" w:styleId="85">
    <w:name w:val="text"/>
    <w:qFormat/>
    <w:uiPriority w:val="0"/>
    <w:rPr>
      <w:rFonts w:hint="default" w:ascii="ˎ̥" w:hAnsi="ˎ̥"/>
      <w:sz w:val="23"/>
      <w:szCs w:val="23"/>
    </w:rPr>
  </w:style>
  <w:style w:type="character" w:customStyle="1" w:styleId="86">
    <w:name w:val="列出段落 Char"/>
    <w:link w:val="87"/>
    <w:unhideWhenUsed/>
    <w:qFormat/>
    <w:locked/>
    <w:uiPriority w:val="34"/>
    <w:rPr>
      <w:rFonts w:ascii="Times New Roman" w:hAnsi="Times New Roman"/>
      <w:sz w:val="24"/>
    </w:rPr>
  </w:style>
  <w:style w:type="paragraph" w:customStyle="1" w:styleId="87">
    <w:name w:val="列出段落1"/>
    <w:basedOn w:val="1"/>
    <w:link w:val="86"/>
    <w:qFormat/>
    <w:uiPriority w:val="34"/>
    <w:pPr>
      <w:widowControl/>
      <w:overflowPunct w:val="0"/>
      <w:autoSpaceDE w:val="0"/>
      <w:autoSpaceDN w:val="0"/>
      <w:adjustRightInd w:val="0"/>
      <w:spacing w:line="360" w:lineRule="auto"/>
      <w:ind w:firstLine="420" w:firstLineChars="200"/>
    </w:pPr>
    <w:rPr>
      <w:kern w:val="0"/>
      <w:sz w:val="24"/>
      <w:szCs w:val="20"/>
    </w:rPr>
  </w:style>
  <w:style w:type="character" w:customStyle="1" w:styleId="88">
    <w:name w:val="txt1"/>
    <w:qFormat/>
    <w:uiPriority w:val="0"/>
    <w:rPr>
      <w:rFonts w:hint="eastAsia" w:ascii="宋体" w:hAnsi="宋体" w:eastAsia="宋体"/>
      <w:spacing w:val="360"/>
      <w:sz w:val="22"/>
      <w:szCs w:val="22"/>
      <w:u w:val="none"/>
    </w:rPr>
  </w:style>
  <w:style w:type="character" w:customStyle="1" w:styleId="89">
    <w:name w:val="ll2 Char Char"/>
    <w:link w:val="90"/>
    <w:qFormat/>
    <w:locked/>
    <w:uiPriority w:val="0"/>
    <w:rPr>
      <w:rFonts w:ascii="宋体" w:hAnsi="宋体"/>
      <w:bCs/>
      <w:color w:val="000000"/>
      <w:kern w:val="2"/>
      <w:sz w:val="24"/>
      <w:szCs w:val="32"/>
      <w:lang w:val="en-US" w:eastAsia="zh-CN" w:bidi="ar-SA"/>
    </w:rPr>
  </w:style>
  <w:style w:type="paragraph" w:customStyle="1" w:styleId="90">
    <w:name w:val="ll2"/>
    <w:link w:val="89"/>
    <w:qFormat/>
    <w:uiPriority w:val="0"/>
    <w:pPr>
      <w:tabs>
        <w:tab w:val="left" w:pos="0"/>
        <w:tab w:val="left" w:pos="420"/>
      </w:tabs>
      <w:snapToGrid w:val="0"/>
      <w:spacing w:line="240" w:lineRule="atLeast"/>
    </w:pPr>
    <w:rPr>
      <w:rFonts w:ascii="宋体" w:hAnsi="宋体" w:eastAsia="宋体" w:cs="Times New Roman"/>
      <w:bCs/>
      <w:color w:val="000000"/>
      <w:kern w:val="2"/>
      <w:sz w:val="24"/>
      <w:szCs w:val="32"/>
      <w:lang w:val="en-US" w:eastAsia="zh-CN" w:bidi="ar-SA"/>
    </w:rPr>
  </w:style>
  <w:style w:type="character" w:customStyle="1" w:styleId="91">
    <w:name w:val="arti-neirong3-11"/>
    <w:qFormat/>
    <w:uiPriority w:val="0"/>
    <w:rPr>
      <w:rFonts w:hint="default" w:ascii="ˎ̥" w:hAnsi="ˎ̥"/>
      <w:color w:val="000000"/>
      <w:sz w:val="24"/>
      <w:szCs w:val="24"/>
      <w:u w:val="none"/>
    </w:rPr>
  </w:style>
  <w:style w:type="character" w:customStyle="1" w:styleId="92">
    <w:name w:val="font31"/>
    <w:qFormat/>
    <w:uiPriority w:val="0"/>
    <w:rPr>
      <w:rFonts w:hint="eastAsia" w:ascii="宋体" w:hAnsi="宋体" w:eastAsia="宋体" w:cs="宋体"/>
      <w:b/>
      <w:bCs/>
      <w:color w:val="1F497D"/>
      <w:sz w:val="21"/>
      <w:szCs w:val="21"/>
      <w:u w:val="none"/>
    </w:rPr>
  </w:style>
  <w:style w:type="character" w:customStyle="1" w:styleId="93">
    <w:name w:val="样式 样式 样式 标题 3 Char Char + 宋体 + 三号 加粗 +"/>
    <w:qFormat/>
    <w:uiPriority w:val="0"/>
    <w:rPr>
      <w:sz w:val="32"/>
    </w:rPr>
  </w:style>
  <w:style w:type="character" w:customStyle="1" w:styleId="94">
    <w:name w:val="标题 2 Char"/>
    <w:qFormat/>
    <w:uiPriority w:val="0"/>
    <w:rPr>
      <w:rFonts w:hint="default" w:ascii="Arial" w:hAnsi="Arial" w:eastAsia="黑体" w:cs="Arial"/>
      <w:b/>
      <w:bCs/>
      <w:kern w:val="2"/>
      <w:sz w:val="32"/>
      <w:szCs w:val="32"/>
      <w:lang w:val="en-US" w:eastAsia="zh-CN" w:bidi="ar-SA"/>
    </w:rPr>
  </w:style>
  <w:style w:type="character" w:customStyle="1" w:styleId="95">
    <w:name w:val="font71"/>
    <w:qFormat/>
    <w:uiPriority w:val="0"/>
    <w:rPr>
      <w:rFonts w:hint="default" w:ascii="Times New Roman" w:hAnsi="Times New Roman" w:cs="Times New Roman"/>
      <w:color w:val="1F497D"/>
      <w:sz w:val="21"/>
      <w:szCs w:val="21"/>
      <w:u w:val="none"/>
    </w:rPr>
  </w:style>
  <w:style w:type="character" w:customStyle="1" w:styleId="96">
    <w:name w:val="font51"/>
    <w:qFormat/>
    <w:uiPriority w:val="0"/>
    <w:rPr>
      <w:rFonts w:hint="eastAsia" w:ascii="宋体" w:hAnsi="宋体" w:eastAsia="宋体" w:cs="宋体"/>
      <w:color w:val="000000"/>
      <w:sz w:val="20"/>
      <w:szCs w:val="20"/>
      <w:u w:val="none"/>
    </w:rPr>
  </w:style>
  <w:style w:type="character" w:customStyle="1" w:styleId="97">
    <w:name w:val="标题0 Char Char"/>
    <w:qFormat/>
    <w:locked/>
    <w:uiPriority w:val="0"/>
    <w:rPr>
      <w:rFonts w:ascii="Arial" w:hAnsi="Arial" w:eastAsia="隶书" w:cs="Arial"/>
      <w:b/>
      <w:bCs/>
      <w:kern w:val="2"/>
      <w:sz w:val="32"/>
      <w:szCs w:val="32"/>
    </w:rPr>
  </w:style>
  <w:style w:type="character" w:customStyle="1" w:styleId="98">
    <w:name w:val="正文文本 Char1"/>
    <w:qFormat/>
    <w:locked/>
    <w:uiPriority w:val="0"/>
    <w:rPr>
      <w:rFonts w:ascii="宋体" w:hAnsi="宋体" w:eastAsia="宋体"/>
      <w:kern w:val="2"/>
      <w:sz w:val="24"/>
      <w:lang w:val="en-US" w:eastAsia="zh-CN" w:bidi="ar-SA"/>
    </w:rPr>
  </w:style>
  <w:style w:type="character" w:customStyle="1" w:styleId="99">
    <w:name w:val="Style .. + 宋体 五号 Black Char"/>
    <w:link w:val="100"/>
    <w:qFormat/>
    <w:locked/>
    <w:uiPriority w:val="0"/>
    <w:rPr>
      <w:rFonts w:ascii="宋体" w:hAnsi="宋体" w:eastAsia="宋体"/>
      <w:color w:val="000000"/>
      <w:sz w:val="24"/>
      <w:lang w:val="en-US" w:eastAsia="zh-CN" w:bidi="ar-SA"/>
    </w:rPr>
  </w:style>
  <w:style w:type="paragraph" w:customStyle="1" w:styleId="100">
    <w:name w:val="Style .. + 宋体 五号 Black"/>
    <w:basedOn w:val="1"/>
    <w:link w:val="99"/>
    <w:qFormat/>
    <w:uiPriority w:val="0"/>
    <w:pPr>
      <w:autoSpaceDE w:val="0"/>
      <w:autoSpaceDN w:val="0"/>
      <w:adjustRightInd w:val="0"/>
      <w:spacing w:line="360" w:lineRule="auto"/>
      <w:jc w:val="left"/>
    </w:pPr>
    <w:rPr>
      <w:rFonts w:ascii="宋体" w:hAnsi="宋体"/>
      <w:color w:val="000000"/>
      <w:kern w:val="0"/>
      <w:sz w:val="24"/>
      <w:szCs w:val="20"/>
    </w:rPr>
  </w:style>
  <w:style w:type="character" w:customStyle="1" w:styleId="101">
    <w:name w:val="unnamed11"/>
    <w:qFormat/>
    <w:uiPriority w:val="0"/>
    <w:rPr>
      <w:sz w:val="14"/>
      <w:szCs w:val="14"/>
    </w:rPr>
  </w:style>
  <w:style w:type="character" w:customStyle="1" w:styleId="102">
    <w:name w:val="main1"/>
    <w:qFormat/>
    <w:uiPriority w:val="0"/>
    <w:rPr>
      <w:rFonts w:hint="default" w:ascii="ˎ̥" w:hAnsi="ˎ̥"/>
      <w:sz w:val="18"/>
      <w:szCs w:val="18"/>
      <w:u w:val="none"/>
    </w:rPr>
  </w:style>
  <w:style w:type="character" w:customStyle="1" w:styleId="103">
    <w:name w:val="标题 3 Char"/>
    <w:qFormat/>
    <w:uiPriority w:val="0"/>
    <w:rPr>
      <w:rFonts w:eastAsia="宋体"/>
      <w:b/>
      <w:bCs/>
      <w:kern w:val="2"/>
      <w:sz w:val="32"/>
      <w:szCs w:val="32"/>
      <w:lang w:val="en-US" w:eastAsia="zh-CN" w:bidi="ar-SA"/>
    </w:rPr>
  </w:style>
  <w:style w:type="character" w:customStyle="1" w:styleId="104">
    <w:name w:val="列表段落 字符"/>
    <w:link w:val="105"/>
    <w:qFormat/>
    <w:uiPriority w:val="0"/>
    <w:rPr>
      <w:rFonts w:ascii="Cambria" w:hAnsi="Cambria"/>
      <w:kern w:val="2"/>
      <w:sz w:val="24"/>
      <w:szCs w:val="24"/>
    </w:rPr>
  </w:style>
  <w:style w:type="paragraph" w:customStyle="1" w:styleId="105">
    <w:name w:val="列表段落"/>
    <w:basedOn w:val="1"/>
    <w:link w:val="104"/>
    <w:qFormat/>
    <w:uiPriority w:val="0"/>
    <w:pPr>
      <w:ind w:firstLine="420" w:firstLineChars="200"/>
    </w:pPr>
    <w:rPr>
      <w:rFonts w:ascii="Cambria" w:hAnsi="Cambria"/>
      <w:sz w:val="24"/>
    </w:rPr>
  </w:style>
  <w:style w:type="character" w:customStyle="1" w:styleId="106">
    <w:name w:val="表正文 Char"/>
    <w:qFormat/>
    <w:uiPriority w:val="0"/>
    <w:rPr>
      <w:rFonts w:hint="eastAsia" w:ascii="宋体" w:hAnsi="宋体" w:eastAsia="宋体"/>
      <w:kern w:val="2"/>
      <w:sz w:val="21"/>
      <w:szCs w:val="24"/>
      <w:lang w:val="en-US" w:eastAsia="zh-CN" w:bidi="ar-SA"/>
    </w:rPr>
  </w:style>
  <w:style w:type="character" w:customStyle="1" w:styleId="107">
    <w:name w:val="正文文字 Char"/>
    <w:link w:val="108"/>
    <w:qFormat/>
    <w:uiPriority w:val="0"/>
    <w:rPr>
      <w:rFonts w:eastAsia="宋体"/>
      <w:kern w:val="2"/>
      <w:sz w:val="24"/>
      <w:szCs w:val="24"/>
      <w:lang w:val="en-US" w:eastAsia="zh-CN" w:bidi="ar-SA"/>
    </w:rPr>
  </w:style>
  <w:style w:type="paragraph" w:customStyle="1" w:styleId="108">
    <w:name w:val="正文文字"/>
    <w:basedOn w:val="1"/>
    <w:link w:val="107"/>
    <w:qFormat/>
    <w:uiPriority w:val="0"/>
    <w:pPr>
      <w:spacing w:before="60" w:after="60" w:line="360" w:lineRule="auto"/>
      <w:ind w:firstLine="200" w:firstLineChars="200"/>
      <w:jc w:val="left"/>
    </w:pPr>
    <w:rPr>
      <w:sz w:val="24"/>
    </w:rPr>
  </w:style>
  <w:style w:type="character" w:customStyle="1" w:styleId="109">
    <w:name w:val="正文文本 Char"/>
    <w:qFormat/>
    <w:locked/>
    <w:uiPriority w:val="0"/>
    <w:rPr>
      <w:rFonts w:ascii="宋体" w:hAnsi="宋体"/>
      <w:kern w:val="2"/>
      <w:sz w:val="24"/>
    </w:rPr>
  </w:style>
  <w:style w:type="character" w:customStyle="1" w:styleId="110">
    <w:name w:val="标题 5 Char Char"/>
    <w:qFormat/>
    <w:uiPriority w:val="0"/>
    <w:rPr>
      <w:rFonts w:hint="eastAsia" w:ascii="宋体" w:hAnsi="宋体" w:eastAsia="宋体" w:cs="宋体"/>
      <w:b/>
      <w:bCs/>
      <w:color w:val="000000"/>
      <w:sz w:val="28"/>
      <w:szCs w:val="28"/>
      <w:lang w:val="en-US" w:eastAsia="zh-CN" w:bidi="ar-SA"/>
    </w:rPr>
  </w:style>
  <w:style w:type="character" w:customStyle="1" w:styleId="111">
    <w:name w:val="正文首行缩进 Char1"/>
    <w:qFormat/>
    <w:uiPriority w:val="0"/>
    <w:rPr>
      <w:kern w:val="2"/>
      <w:sz w:val="21"/>
    </w:rPr>
  </w:style>
  <w:style w:type="character" w:customStyle="1" w:styleId="112">
    <w:name w:val="文档正文 Char"/>
    <w:link w:val="113"/>
    <w:qFormat/>
    <w:locked/>
    <w:uiPriority w:val="0"/>
    <w:rPr>
      <w:rFonts w:ascii="长城仿宋" w:eastAsia="宋体"/>
      <w:sz w:val="24"/>
      <w:lang w:val="en-US" w:eastAsia="zh-CN" w:bidi="ar-SA"/>
    </w:rPr>
  </w:style>
  <w:style w:type="paragraph" w:customStyle="1" w:styleId="113">
    <w:name w:val="文档正文"/>
    <w:basedOn w:val="1"/>
    <w:link w:val="112"/>
    <w:qFormat/>
    <w:uiPriority w:val="0"/>
    <w:pPr>
      <w:adjustRightInd w:val="0"/>
      <w:spacing w:line="480" w:lineRule="atLeast"/>
      <w:ind w:firstLine="567"/>
    </w:pPr>
    <w:rPr>
      <w:rFonts w:ascii="长城仿宋"/>
      <w:kern w:val="0"/>
      <w:sz w:val="24"/>
      <w:szCs w:val="20"/>
    </w:rPr>
  </w:style>
  <w:style w:type="character" w:customStyle="1" w:styleId="114">
    <w:name w:val="NICMAN Body Text Char Char"/>
    <w:qFormat/>
    <w:uiPriority w:val="0"/>
    <w:rPr>
      <w:rFonts w:hint="eastAsia" w:ascii="宋体" w:hAnsi="宋体" w:eastAsia="宋体"/>
      <w:kern w:val="2"/>
      <w:sz w:val="21"/>
      <w:szCs w:val="24"/>
      <w:lang w:val="en-US" w:eastAsia="zh-CN" w:bidi="ar-SA"/>
    </w:rPr>
  </w:style>
  <w:style w:type="character" w:customStyle="1" w:styleId="115">
    <w:name w:val="heading3charchar1char"/>
    <w:qFormat/>
    <w:uiPriority w:val="0"/>
  </w:style>
  <w:style w:type="character" w:customStyle="1" w:styleId="116">
    <w:name w:val="NormalCharacter"/>
    <w:qFormat/>
    <w:uiPriority w:val="0"/>
  </w:style>
  <w:style w:type="character" w:customStyle="1" w:styleId="117">
    <w:name w:val="inf1"/>
    <w:qFormat/>
    <w:uiPriority w:val="0"/>
    <w:rPr>
      <w:rFonts w:hint="eastAsia" w:ascii="宋体" w:hAnsi="宋体" w:eastAsia="宋体"/>
      <w:color w:val="000000"/>
      <w:sz w:val="20"/>
    </w:rPr>
  </w:style>
  <w:style w:type="paragraph" w:customStyle="1" w:styleId="118">
    <w:name w:val="font10"/>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119">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0">
    <w:name w:val="Char2"/>
    <w:basedOn w:val="1"/>
    <w:qFormat/>
    <w:uiPriority w:val="0"/>
    <w:rPr>
      <w:rFonts w:ascii="Tahoma" w:hAnsi="Tahoma"/>
      <w:sz w:val="24"/>
      <w:szCs w:val="20"/>
    </w:rPr>
  </w:style>
  <w:style w:type="paragraph" w:customStyle="1" w:styleId="121">
    <w:name w:val="xl5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22">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FF0000"/>
      <w:kern w:val="0"/>
      <w:sz w:val="20"/>
      <w:szCs w:val="20"/>
    </w:rPr>
  </w:style>
  <w:style w:type="paragraph" w:customStyle="1" w:styleId="123">
    <w:name w:val="Char1 Char Char Char Char Char Char"/>
    <w:basedOn w:val="1"/>
    <w:qFormat/>
    <w:uiPriority w:val="0"/>
    <w:rPr>
      <w:rFonts w:ascii="Tahoma" w:hAnsi="Tahoma"/>
      <w:sz w:val="24"/>
      <w:szCs w:val="20"/>
    </w:rPr>
  </w:style>
  <w:style w:type="paragraph" w:customStyle="1" w:styleId="124">
    <w:name w:val="Char Char Char1 Char Char Char Char Char Char Char"/>
    <w:basedOn w:val="1"/>
    <w:qFormat/>
    <w:uiPriority w:val="0"/>
    <w:rPr>
      <w:rFonts w:ascii="Tahoma" w:hAnsi="Tahoma"/>
      <w:sz w:val="24"/>
      <w:szCs w:val="20"/>
    </w:rPr>
  </w:style>
  <w:style w:type="paragraph" w:customStyle="1" w:styleId="125">
    <w:name w:val="xl63"/>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26">
    <w:name w:val="Char Char"/>
    <w:basedOn w:val="1"/>
    <w:qFormat/>
    <w:uiPriority w:val="0"/>
    <w:pPr>
      <w:widowControl/>
      <w:spacing w:beforeLines="100" w:after="160" w:line="240" w:lineRule="exact"/>
      <w:jc w:val="left"/>
    </w:pPr>
    <w:rPr>
      <w:rFonts w:ascii="Verdana" w:hAnsi="Verdana"/>
      <w:kern w:val="0"/>
      <w:sz w:val="20"/>
      <w:szCs w:val="20"/>
      <w:lang w:eastAsia="en-US"/>
    </w:rPr>
  </w:style>
  <w:style w:type="paragraph" w:customStyle="1" w:styleId="127">
    <w:name w:val="font9"/>
    <w:basedOn w:val="1"/>
    <w:qFormat/>
    <w:uiPriority w:val="0"/>
    <w:pPr>
      <w:widowControl/>
      <w:spacing w:before="100" w:beforeAutospacing="1" w:after="100" w:afterAutospacing="1"/>
      <w:jc w:val="left"/>
    </w:pPr>
    <w:rPr>
      <w:rFonts w:ascii="宋体" w:hAnsi="宋体" w:cs="Arial Unicode MS"/>
      <w:b/>
      <w:bCs/>
      <w:kern w:val="0"/>
      <w:sz w:val="40"/>
      <w:szCs w:val="40"/>
    </w:rPr>
  </w:style>
  <w:style w:type="paragraph" w:customStyle="1" w:styleId="128">
    <w:name w:val="font11"/>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29">
    <w:name w:val="普通(Web)1"/>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130">
    <w:name w:val="xl74"/>
    <w:basedOn w:val="1"/>
    <w:qFormat/>
    <w:uiPriority w:val="0"/>
    <w:pPr>
      <w:widowControl/>
      <w:pBdr>
        <w:top w:val="single" w:color="auto" w:sz="4" w:space="0"/>
        <w:left w:val="double" w:color="auto" w:sz="6" w:space="0"/>
        <w:bottom w:val="double" w:color="auto" w:sz="6" w:space="0"/>
        <w:right w:val="single" w:color="auto" w:sz="4" w:space="0"/>
      </w:pBdr>
      <w:spacing w:before="100" w:beforeAutospacing="1" w:after="100" w:afterAutospacing="1"/>
      <w:jc w:val="center"/>
    </w:pPr>
    <w:rPr>
      <w:kern w:val="0"/>
      <w:sz w:val="24"/>
    </w:rPr>
  </w:style>
  <w:style w:type="paragraph" w:customStyle="1" w:styleId="131">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32">
    <w:name w:val="xl4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kern w:val="0"/>
      <w:sz w:val="20"/>
      <w:szCs w:val="20"/>
    </w:rPr>
  </w:style>
  <w:style w:type="paragraph" w:customStyle="1" w:styleId="133">
    <w:name w:val="Char Char Char Char Char Char Char Char Char Char1"/>
    <w:basedOn w:val="1"/>
    <w:qFormat/>
    <w:uiPriority w:val="0"/>
    <w:pPr>
      <w:tabs>
        <w:tab w:val="left" w:pos="425"/>
      </w:tabs>
      <w:ind w:left="425" w:hanging="425"/>
    </w:pPr>
    <w:rPr>
      <w:rFonts w:ascii="Arial" w:hAnsi="Arial" w:eastAsia="黑体" w:cs="宋体"/>
      <w:b/>
      <w:bCs/>
      <w:sz w:val="32"/>
      <w:szCs w:val="32"/>
    </w:rPr>
  </w:style>
  <w:style w:type="paragraph" w:customStyle="1" w:styleId="134">
    <w:name w:val="ll1"/>
    <w:basedOn w:val="4"/>
    <w:qFormat/>
    <w:uiPriority w:val="0"/>
    <w:pPr>
      <w:tabs>
        <w:tab w:val="left" w:pos="900"/>
      </w:tabs>
      <w:adjustRightInd w:val="0"/>
      <w:snapToGrid w:val="0"/>
      <w:spacing w:before="0" w:after="0" w:line="240" w:lineRule="atLeast"/>
      <w:ind w:left="900" w:hanging="420"/>
      <w:jc w:val="left"/>
    </w:pPr>
    <w:rPr>
      <w:rFonts w:ascii="宋体" w:hAnsi="宋体"/>
      <w:b w:val="0"/>
      <w:bCs w:val="0"/>
      <w:color w:val="000000"/>
      <w:sz w:val="24"/>
      <w:szCs w:val="20"/>
    </w:rPr>
  </w:style>
  <w:style w:type="paragraph" w:customStyle="1" w:styleId="135">
    <w:name w:val="xl43"/>
    <w:basedOn w:val="1"/>
    <w:qFormat/>
    <w:uiPriority w:val="0"/>
    <w:pPr>
      <w:widowControl/>
      <w:spacing w:before="100" w:beforeAutospacing="1" w:after="100" w:afterAutospacing="1"/>
      <w:jc w:val="center"/>
    </w:pPr>
    <w:rPr>
      <w:rFonts w:eastAsia="Arial Unicode MS"/>
      <w:kern w:val="0"/>
      <w:sz w:val="22"/>
      <w:szCs w:val="22"/>
    </w:rPr>
  </w:style>
  <w:style w:type="paragraph" w:customStyle="1" w:styleId="136">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37">
    <w:name w:val="xl38"/>
    <w:basedOn w:val="1"/>
    <w:qFormat/>
    <w:uiPriority w:val="0"/>
    <w:pPr>
      <w:widowControl/>
      <w:spacing w:before="100" w:beforeAutospacing="1" w:after="100" w:afterAutospacing="1"/>
      <w:jc w:val="center"/>
    </w:pPr>
    <w:rPr>
      <w:rFonts w:ascii="Arial Unicode MS" w:hAnsi="Arial Unicode MS" w:eastAsia="Arial Unicode MS" w:cs="Arial Unicode MS"/>
      <w:b/>
      <w:bCs/>
      <w:kern w:val="0"/>
      <w:sz w:val="20"/>
      <w:szCs w:val="20"/>
    </w:rPr>
  </w:style>
  <w:style w:type="paragraph" w:customStyle="1" w:styleId="138">
    <w:name w:val="Char3"/>
    <w:basedOn w:val="1"/>
    <w:qFormat/>
    <w:uiPriority w:val="0"/>
    <w:pPr>
      <w:widowControl/>
      <w:spacing w:beforeLines="100" w:after="160" w:line="240" w:lineRule="exact"/>
      <w:jc w:val="left"/>
    </w:pPr>
    <w:rPr>
      <w:rFonts w:ascii="Verdana" w:hAnsi="Verdana"/>
      <w:kern w:val="0"/>
      <w:sz w:val="20"/>
      <w:szCs w:val="20"/>
      <w:lang w:eastAsia="en-US"/>
    </w:rPr>
  </w:style>
  <w:style w:type="paragraph" w:customStyle="1" w:styleId="139">
    <w:name w:val="arial122"/>
    <w:basedOn w:val="1"/>
    <w:qFormat/>
    <w:uiPriority w:val="0"/>
    <w:pPr>
      <w:widowControl/>
      <w:spacing w:line="300" w:lineRule="atLeast"/>
      <w:jc w:val="left"/>
    </w:pPr>
    <w:rPr>
      <w:rFonts w:ascii="宋体" w:hAnsi="宋体" w:cs="宋体"/>
      <w:kern w:val="0"/>
      <w:sz w:val="18"/>
      <w:szCs w:val="18"/>
    </w:rPr>
  </w:style>
  <w:style w:type="paragraph" w:customStyle="1" w:styleId="140">
    <w:name w:val="xl45"/>
    <w:basedOn w:val="1"/>
    <w:qFormat/>
    <w:uiPriority w:val="0"/>
    <w:pPr>
      <w:widowControl/>
      <w:spacing w:before="100" w:beforeAutospacing="1" w:after="100" w:afterAutospacing="1"/>
      <w:jc w:val="center"/>
    </w:pPr>
    <w:rPr>
      <w:rFonts w:eastAsia="Arial Unicode MS"/>
      <w:kern w:val="0"/>
      <w:sz w:val="22"/>
      <w:szCs w:val="22"/>
    </w:rPr>
  </w:style>
  <w:style w:type="paragraph" w:customStyle="1" w:styleId="141">
    <w:name w:val="xl79"/>
    <w:basedOn w:val="1"/>
    <w:qFormat/>
    <w:uiPriority w:val="0"/>
    <w:pPr>
      <w:widowControl/>
      <w:pBdr>
        <w:top w:val="single" w:color="auto" w:sz="8" w:space="0"/>
        <w:bottom w:val="single" w:color="auto" w:sz="4" w:space="0"/>
        <w:right w:val="single" w:color="auto" w:sz="8" w:space="0"/>
      </w:pBdr>
      <w:spacing w:before="100" w:beforeAutospacing="1" w:after="100" w:afterAutospacing="1"/>
      <w:jc w:val="center"/>
    </w:pPr>
    <w:rPr>
      <w:rFonts w:ascii="Arial Unicode MS" w:hAnsi="Arial Unicode MS"/>
      <w:b/>
      <w:bCs/>
      <w:kern w:val="0"/>
      <w:sz w:val="36"/>
      <w:szCs w:val="36"/>
    </w:rPr>
  </w:style>
  <w:style w:type="paragraph" w:customStyle="1" w:styleId="142">
    <w:name w:val="样式 样式 标题 2 + 左侧:  0.32 厘米 悬挂缩进: 5.4 字符 + 宋体"/>
    <w:basedOn w:val="1"/>
    <w:qFormat/>
    <w:uiPriority w:val="0"/>
    <w:pPr>
      <w:tabs>
        <w:tab w:val="left" w:pos="840"/>
      </w:tabs>
      <w:ind w:left="840" w:hanging="420"/>
    </w:pPr>
  </w:style>
  <w:style w:type="paragraph" w:customStyle="1" w:styleId="143">
    <w:name w:val="素材9"/>
    <w:basedOn w:val="1"/>
    <w:qFormat/>
    <w:uiPriority w:val="0"/>
    <w:pPr>
      <w:snapToGrid w:val="0"/>
      <w:spacing w:line="460" w:lineRule="atLeast"/>
      <w:ind w:left="2155"/>
    </w:pPr>
    <w:rPr>
      <w:rFonts w:ascii="宋体" w:hAnsi="Courier New"/>
      <w:sz w:val="26"/>
      <w:szCs w:val="20"/>
    </w:rPr>
  </w:style>
  <w:style w:type="paragraph" w:customStyle="1" w:styleId="144">
    <w:name w:val="Table_Medium"/>
    <w:basedOn w:val="1"/>
    <w:qFormat/>
    <w:uiPriority w:val="0"/>
    <w:pPr>
      <w:widowControl/>
      <w:spacing w:before="40" w:after="40"/>
      <w:jc w:val="left"/>
    </w:pPr>
    <w:rPr>
      <w:rFonts w:ascii="Futura Bk" w:hAnsi="Futura Bk"/>
      <w:kern w:val="0"/>
      <w:sz w:val="18"/>
      <w:szCs w:val="20"/>
      <w:lang w:val="en-GB" w:eastAsia="en-US"/>
    </w:rPr>
  </w:style>
  <w:style w:type="paragraph" w:customStyle="1" w:styleId="145">
    <w:name w:val="Char2 Char Char Char"/>
    <w:basedOn w:val="1"/>
    <w:qFormat/>
    <w:uiPriority w:val="0"/>
    <w:pPr>
      <w:widowControl/>
      <w:spacing w:beforeLines="100" w:after="160" w:line="240" w:lineRule="exact"/>
      <w:jc w:val="left"/>
    </w:pPr>
    <w:rPr>
      <w:rFonts w:ascii="Verdana" w:hAnsi="Verdana"/>
      <w:kern w:val="0"/>
      <w:sz w:val="20"/>
      <w:szCs w:val="20"/>
      <w:lang w:eastAsia="en-US"/>
    </w:rPr>
  </w:style>
  <w:style w:type="paragraph" w:customStyle="1" w:styleId="146">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147">
    <w:name w:val="正文标号1"/>
    <w:basedOn w:val="1"/>
    <w:qFormat/>
    <w:uiPriority w:val="0"/>
    <w:pPr>
      <w:tabs>
        <w:tab w:val="left" w:pos="2160"/>
      </w:tabs>
      <w:spacing w:line="360" w:lineRule="auto"/>
      <w:ind w:left="720" w:hanging="240"/>
    </w:pPr>
    <w:rPr>
      <w:rFonts w:ascii="宋体"/>
      <w:sz w:val="24"/>
      <w:lang w:val="en-GB"/>
    </w:rPr>
  </w:style>
  <w:style w:type="paragraph" w:customStyle="1" w:styleId="148">
    <w:name w:val="样式1"/>
    <w:basedOn w:val="1"/>
    <w:qFormat/>
    <w:uiPriority w:val="0"/>
    <w:pPr>
      <w:tabs>
        <w:tab w:val="left" w:pos="360"/>
        <w:tab w:val="left" w:pos="900"/>
      </w:tabs>
      <w:adjustRightInd w:val="0"/>
    </w:pPr>
    <w:rPr>
      <w:rFonts w:ascii="宋体" w:hAnsi="宋体"/>
      <w:kern w:val="0"/>
      <w:szCs w:val="20"/>
    </w:rPr>
  </w:style>
  <w:style w:type="paragraph" w:customStyle="1" w:styleId="149">
    <w:name w:val="fon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0">
    <w:name w:val="素材7"/>
    <w:basedOn w:val="1"/>
    <w:qFormat/>
    <w:uiPriority w:val="0"/>
    <w:pPr>
      <w:snapToGrid w:val="0"/>
      <w:spacing w:line="460" w:lineRule="atLeast"/>
      <w:ind w:left="1701"/>
    </w:pPr>
    <w:rPr>
      <w:rFonts w:ascii="宋体"/>
      <w:kern w:val="28"/>
      <w:sz w:val="26"/>
      <w:szCs w:val="20"/>
    </w:rPr>
  </w:style>
  <w:style w:type="paragraph" w:customStyle="1" w:styleId="151">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152">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153">
    <w:name w:val="xl78"/>
    <w:basedOn w:val="1"/>
    <w:qFormat/>
    <w:uiPriority w:val="0"/>
    <w:pPr>
      <w:widowControl/>
      <w:pBdr>
        <w:top w:val="single" w:color="auto" w:sz="8" w:space="0"/>
        <w:bottom w:val="single" w:color="auto" w:sz="4" w:space="0"/>
      </w:pBdr>
      <w:spacing w:before="100" w:beforeAutospacing="1" w:after="100" w:afterAutospacing="1"/>
      <w:jc w:val="center"/>
    </w:pPr>
    <w:rPr>
      <w:rFonts w:ascii="Arial Unicode MS" w:hAnsi="Arial Unicode MS"/>
      <w:b/>
      <w:bCs/>
      <w:kern w:val="0"/>
      <w:sz w:val="36"/>
      <w:szCs w:val="36"/>
    </w:rPr>
  </w:style>
  <w:style w:type="paragraph" w:customStyle="1" w:styleId="154">
    <w:name w:val="标句9"/>
    <w:basedOn w:val="1"/>
    <w:qFormat/>
    <w:uiPriority w:val="0"/>
    <w:pPr>
      <w:snapToGrid w:val="0"/>
      <w:spacing w:line="460" w:lineRule="atLeast"/>
      <w:ind w:left="2126" w:hanging="255"/>
    </w:pPr>
    <w:rPr>
      <w:rFonts w:ascii="宋体" w:hAnsi="Courier New"/>
      <w:sz w:val="26"/>
      <w:szCs w:val="20"/>
    </w:rPr>
  </w:style>
  <w:style w:type="paragraph" w:customStyle="1" w:styleId="155">
    <w:name w:val="素材2"/>
    <w:basedOn w:val="1"/>
    <w:qFormat/>
    <w:uiPriority w:val="0"/>
    <w:pPr>
      <w:snapToGrid w:val="0"/>
      <w:spacing w:line="500" w:lineRule="atLeast"/>
      <w:ind w:firstLine="567"/>
    </w:pPr>
    <w:rPr>
      <w:rFonts w:ascii="宋体"/>
      <w:sz w:val="27"/>
      <w:szCs w:val="20"/>
    </w:rPr>
  </w:style>
  <w:style w:type="paragraph" w:customStyle="1" w:styleId="156">
    <w:name w:val="xl73"/>
    <w:basedOn w:val="1"/>
    <w:qFormat/>
    <w:uiPriority w:val="0"/>
    <w:pPr>
      <w:widowControl/>
      <w:pBdr>
        <w:top w:val="single" w:color="auto" w:sz="4" w:space="0"/>
        <w:left w:val="double" w:color="auto" w:sz="6" w:space="0"/>
        <w:bottom w:val="single" w:color="auto" w:sz="4" w:space="0"/>
        <w:right w:val="single" w:color="auto" w:sz="4" w:space="0"/>
      </w:pBdr>
      <w:tabs>
        <w:tab w:val="left" w:pos="987"/>
      </w:tabs>
      <w:spacing w:before="100" w:beforeAutospacing="1" w:after="100" w:afterAutospacing="1"/>
      <w:jc w:val="center"/>
    </w:pPr>
    <w:rPr>
      <w:kern w:val="0"/>
      <w:sz w:val="24"/>
    </w:rPr>
  </w:style>
  <w:style w:type="paragraph" w:customStyle="1" w:styleId="157">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158">
    <w:name w:val="列出段落11"/>
    <w:basedOn w:val="1"/>
    <w:qFormat/>
    <w:uiPriority w:val="0"/>
    <w:pPr>
      <w:widowControl/>
      <w:overflowPunct w:val="0"/>
      <w:autoSpaceDE w:val="0"/>
      <w:autoSpaceDN w:val="0"/>
      <w:adjustRightInd w:val="0"/>
      <w:ind w:firstLine="420" w:firstLineChars="200"/>
    </w:pPr>
    <w:rPr>
      <w:kern w:val="0"/>
    </w:rPr>
  </w:style>
  <w:style w:type="paragraph" w:customStyle="1" w:styleId="159">
    <w:name w:val="font7"/>
    <w:basedOn w:val="1"/>
    <w:qFormat/>
    <w:uiPriority w:val="0"/>
    <w:pPr>
      <w:widowControl/>
      <w:spacing w:before="100" w:beforeAutospacing="1" w:after="100" w:afterAutospacing="1"/>
      <w:jc w:val="left"/>
    </w:pPr>
    <w:rPr>
      <w:rFonts w:ascii="宋体" w:hAnsi="宋体" w:cs="Arial Unicode MS"/>
      <w:color w:val="000000"/>
      <w:kern w:val="0"/>
      <w:sz w:val="20"/>
      <w:szCs w:val="20"/>
    </w:rPr>
  </w:style>
  <w:style w:type="paragraph" w:customStyle="1" w:styleId="160">
    <w:name w:val="章节题目"/>
    <w:basedOn w:val="161"/>
    <w:next w:val="1"/>
    <w:qFormat/>
    <w:uiPriority w:val="99"/>
    <w:pPr>
      <w:spacing w:before="720" w:after="400" w:line="540" w:lineRule="atLeast"/>
      <w:ind w:right="2160"/>
    </w:pPr>
    <w:rPr>
      <w:rFonts w:ascii="Times New Roman" w:hAnsi="Times New Roman" w:cs="Times New Roman"/>
      <w:spacing w:val="-40"/>
      <w:sz w:val="60"/>
      <w:szCs w:val="60"/>
    </w:rPr>
  </w:style>
  <w:style w:type="paragraph" w:customStyle="1" w:styleId="161">
    <w:name w:val="基准标题"/>
    <w:basedOn w:val="1"/>
    <w:next w:val="17"/>
    <w:qFormat/>
    <w:uiPriority w:val="99"/>
    <w:pPr>
      <w:keepNext/>
      <w:keepLines/>
      <w:spacing w:before="140" w:line="220" w:lineRule="atLeast"/>
    </w:pPr>
    <w:rPr>
      <w:rFonts w:ascii="Arial" w:hAnsi="Arial" w:cs="Arial"/>
      <w:spacing w:val="-4"/>
      <w:kern w:val="28"/>
      <w:sz w:val="22"/>
    </w:rPr>
  </w:style>
  <w:style w:type="paragraph" w:customStyle="1" w:styleId="162">
    <w:name w:val="文字"/>
    <w:basedOn w:val="1"/>
    <w:qFormat/>
    <w:uiPriority w:val="0"/>
    <w:pPr>
      <w:tabs>
        <w:tab w:val="left" w:pos="8520"/>
      </w:tabs>
      <w:spacing w:line="312" w:lineRule="auto"/>
      <w:ind w:right="-210" w:firstLine="556"/>
    </w:pPr>
    <w:rPr>
      <w:rFonts w:ascii="宋体" w:hAnsi="宋体"/>
      <w:color w:val="000000"/>
      <w:sz w:val="28"/>
      <w:szCs w:val="20"/>
    </w:rPr>
  </w:style>
  <w:style w:type="paragraph" w:customStyle="1" w:styleId="163">
    <w:name w:val="素材5"/>
    <w:basedOn w:val="1"/>
    <w:qFormat/>
    <w:uiPriority w:val="0"/>
    <w:pPr>
      <w:snapToGrid w:val="0"/>
      <w:spacing w:line="500" w:lineRule="atLeast"/>
      <w:ind w:left="1111"/>
    </w:pPr>
    <w:rPr>
      <w:rFonts w:ascii="宋体"/>
      <w:kern w:val="28"/>
      <w:sz w:val="27"/>
      <w:szCs w:val="20"/>
    </w:rPr>
  </w:style>
  <w:style w:type="paragraph" w:customStyle="1" w:styleId="164">
    <w:name w:val="xl71"/>
    <w:basedOn w:val="1"/>
    <w:qFormat/>
    <w:uiPriority w:val="0"/>
    <w:pPr>
      <w:widowControl/>
      <w:pBdr>
        <w:top w:val="single" w:color="auto" w:sz="4" w:space="0"/>
        <w:left w:val="single" w:color="auto" w:sz="4" w:space="0"/>
        <w:bottom w:val="double" w:color="auto" w:sz="6" w:space="0"/>
        <w:right w:val="single" w:color="auto" w:sz="4" w:space="0"/>
      </w:pBdr>
      <w:tabs>
        <w:tab w:val="left" w:pos="987"/>
      </w:tabs>
      <w:spacing w:before="100" w:beforeAutospacing="1" w:after="100" w:afterAutospacing="1"/>
      <w:jc w:val="left"/>
    </w:pPr>
    <w:rPr>
      <w:rFonts w:ascii="Arial Unicode MS" w:hAnsi="Arial Unicode MS"/>
      <w:kern w:val="0"/>
      <w:sz w:val="24"/>
    </w:rPr>
  </w:style>
  <w:style w:type="paragraph" w:customStyle="1" w:styleId="165">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b/>
      <w:bCs/>
      <w:color w:val="000000"/>
      <w:kern w:val="0"/>
      <w:sz w:val="20"/>
      <w:szCs w:val="20"/>
    </w:rPr>
  </w:style>
  <w:style w:type="paragraph" w:customStyle="1" w:styleId="166">
    <w:name w:val="Char Char Char"/>
    <w:basedOn w:val="1"/>
    <w:qFormat/>
    <w:uiPriority w:val="0"/>
    <w:rPr>
      <w:rFonts w:ascii="Tahoma" w:hAnsi="Tahoma"/>
      <w:sz w:val="24"/>
      <w:szCs w:val="20"/>
    </w:rPr>
  </w:style>
  <w:style w:type="paragraph" w:customStyle="1" w:styleId="167">
    <w:name w:val="正文字缩1字"/>
    <w:basedOn w:val="1"/>
    <w:qFormat/>
    <w:uiPriority w:val="0"/>
    <w:pPr>
      <w:spacing w:before="60" w:after="60" w:line="360" w:lineRule="auto"/>
      <w:ind w:left="100" w:leftChars="100" w:firstLine="200" w:firstLineChars="200"/>
    </w:pPr>
    <w:rPr>
      <w:sz w:val="24"/>
    </w:rPr>
  </w:style>
  <w:style w:type="paragraph" w:customStyle="1" w:styleId="168">
    <w:name w:val="样式 首行缩进:  2 字符1"/>
    <w:basedOn w:val="1"/>
    <w:qFormat/>
    <w:uiPriority w:val="0"/>
    <w:pPr>
      <w:spacing w:afterLines="50" w:line="360" w:lineRule="auto"/>
      <w:ind w:firstLine="482" w:firstLineChars="200"/>
    </w:pPr>
    <w:rPr>
      <w:b/>
      <w:bCs/>
      <w:sz w:val="24"/>
    </w:rPr>
  </w:style>
  <w:style w:type="paragraph" w:styleId="169">
    <w:name w:val="List Paragraph"/>
    <w:basedOn w:val="1"/>
    <w:qFormat/>
    <w:uiPriority w:val="0"/>
    <w:pPr>
      <w:ind w:firstLine="420" w:firstLineChars="200"/>
    </w:pPr>
    <w:rPr>
      <w:rFonts w:ascii="Calibri" w:hAnsi="Calibri"/>
      <w:szCs w:val="22"/>
    </w:rPr>
  </w:style>
  <w:style w:type="paragraph" w:customStyle="1" w:styleId="170">
    <w:name w:val="xl42"/>
    <w:basedOn w:val="1"/>
    <w:qFormat/>
    <w:uiPriority w:val="0"/>
    <w:pPr>
      <w:widowControl/>
      <w:spacing w:before="100" w:beforeAutospacing="1" w:after="100" w:afterAutospacing="1"/>
      <w:jc w:val="left"/>
    </w:pPr>
    <w:rPr>
      <w:rFonts w:eastAsia="Arial Unicode MS"/>
      <w:kern w:val="0"/>
      <w:sz w:val="22"/>
      <w:szCs w:val="22"/>
    </w:rPr>
  </w:style>
  <w:style w:type="paragraph" w:customStyle="1" w:styleId="171">
    <w:name w:val="xl70"/>
    <w:basedOn w:val="1"/>
    <w:qFormat/>
    <w:uiPriority w:val="0"/>
    <w:pPr>
      <w:widowControl/>
      <w:pBdr>
        <w:top w:val="single" w:color="auto" w:sz="4" w:space="0"/>
        <w:left w:val="single" w:color="auto" w:sz="4" w:space="0"/>
        <w:bottom w:val="single" w:color="auto" w:sz="4" w:space="0"/>
        <w:right w:val="single" w:color="auto" w:sz="4" w:space="0"/>
      </w:pBdr>
      <w:tabs>
        <w:tab w:val="left" w:pos="987"/>
      </w:tabs>
      <w:spacing w:before="100" w:beforeAutospacing="1" w:after="100" w:afterAutospacing="1"/>
      <w:jc w:val="left"/>
    </w:pPr>
    <w:rPr>
      <w:rFonts w:ascii="Arial Unicode MS" w:hAnsi="Arial Unicode MS"/>
      <w:kern w:val="0"/>
      <w:sz w:val="24"/>
    </w:rPr>
  </w:style>
  <w:style w:type="paragraph" w:customStyle="1" w:styleId="172">
    <w:name w:val="附件"/>
    <w:basedOn w:val="1"/>
    <w:qFormat/>
    <w:uiPriority w:val="0"/>
    <w:pPr>
      <w:widowControl/>
      <w:snapToGrid w:val="0"/>
      <w:spacing w:before="360" w:after="480" w:line="240" w:lineRule="atLeast"/>
      <w:jc w:val="center"/>
    </w:pPr>
    <w:rPr>
      <w:rFonts w:eastAsia="黑体"/>
      <w:b/>
      <w:kern w:val="0"/>
      <w:sz w:val="32"/>
      <w:szCs w:val="20"/>
    </w:rPr>
  </w:style>
  <w:style w:type="paragraph" w:customStyle="1" w:styleId="173">
    <w:name w:val="素材1"/>
    <w:basedOn w:val="1"/>
    <w:qFormat/>
    <w:uiPriority w:val="0"/>
    <w:pPr>
      <w:snapToGrid w:val="0"/>
      <w:spacing w:before="120" w:line="540" w:lineRule="atLeast"/>
      <w:ind w:firstLine="567"/>
    </w:pPr>
    <w:rPr>
      <w:rFonts w:ascii="宋体"/>
      <w:kern w:val="52"/>
      <w:sz w:val="28"/>
      <w:szCs w:val="20"/>
    </w:rPr>
  </w:style>
  <w:style w:type="paragraph" w:customStyle="1" w:styleId="174">
    <w:name w:val="表格"/>
    <w:basedOn w:val="1"/>
    <w:qFormat/>
    <w:uiPriority w:val="0"/>
    <w:pPr>
      <w:jc w:val="center"/>
    </w:pPr>
    <w:rPr>
      <w:rFonts w:ascii="宋体" w:hAnsi="宋体"/>
      <w:b/>
      <w:sz w:val="24"/>
    </w:rPr>
  </w:style>
  <w:style w:type="paragraph" w:customStyle="1" w:styleId="175">
    <w:name w:val="xl44"/>
    <w:basedOn w:val="1"/>
    <w:qFormat/>
    <w:uiPriority w:val="0"/>
    <w:pPr>
      <w:widowControl/>
      <w:spacing w:before="100" w:beforeAutospacing="1" w:after="100" w:afterAutospacing="1"/>
      <w:jc w:val="center"/>
    </w:pPr>
    <w:rPr>
      <w:rFonts w:eastAsia="Arial Unicode MS"/>
      <w:b/>
      <w:bCs/>
      <w:kern w:val="0"/>
      <w:sz w:val="40"/>
      <w:szCs w:val="40"/>
    </w:rPr>
  </w:style>
  <w:style w:type="paragraph" w:customStyle="1" w:styleId="176">
    <w:name w:val="contentnoteheader"/>
    <w:basedOn w:val="1"/>
    <w:qFormat/>
    <w:uiPriority w:val="0"/>
    <w:pPr>
      <w:widowControl/>
      <w:spacing w:before="37" w:after="100" w:afterAutospacing="1"/>
      <w:ind w:left="112"/>
      <w:jc w:val="left"/>
    </w:pPr>
    <w:rPr>
      <w:rFonts w:ascii="宋体" w:hAnsi="宋体"/>
      <w:b/>
      <w:bCs/>
      <w:color w:val="990000"/>
      <w:kern w:val="0"/>
      <w:sz w:val="22"/>
      <w:szCs w:val="22"/>
    </w:rPr>
  </w:style>
  <w:style w:type="paragraph" w:customStyle="1" w:styleId="177">
    <w:name w:val="Table Text"/>
    <w:basedOn w:val="1"/>
    <w:qFormat/>
    <w:uiPriority w:val="0"/>
    <w:pPr>
      <w:widowControl/>
      <w:overflowPunct w:val="0"/>
      <w:autoSpaceDE w:val="0"/>
      <w:autoSpaceDN w:val="0"/>
      <w:adjustRightInd w:val="0"/>
      <w:jc w:val="left"/>
      <w:textAlignment w:val="baseline"/>
    </w:pPr>
    <w:rPr>
      <w:kern w:val="0"/>
      <w:sz w:val="24"/>
      <w:szCs w:val="20"/>
      <w:lang w:val="en-GB"/>
    </w:rPr>
  </w:style>
  <w:style w:type="paragraph" w:customStyle="1" w:styleId="178">
    <w:name w:val="标书表格字体格式"/>
    <w:next w:val="179"/>
    <w:qFormat/>
    <w:uiPriority w:val="0"/>
    <w:rPr>
      <w:rFonts w:ascii="Times New Roman" w:hAnsi="Times New Roman" w:eastAsia="宋体" w:cs="Times New Roman"/>
      <w:kern w:val="2"/>
      <w:sz w:val="21"/>
      <w:szCs w:val="24"/>
      <w:lang w:val="en-US" w:eastAsia="zh-CN" w:bidi="ar-SA"/>
    </w:rPr>
  </w:style>
  <w:style w:type="paragraph" w:customStyle="1" w:styleId="17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80">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8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18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kern w:val="0"/>
      <w:sz w:val="20"/>
      <w:szCs w:val="20"/>
    </w:rPr>
  </w:style>
  <w:style w:type="paragraph" w:customStyle="1" w:styleId="183">
    <w:name w:val="Char Char1 Char Char Char"/>
    <w:basedOn w:val="1"/>
    <w:qFormat/>
    <w:uiPriority w:val="0"/>
    <w:pPr>
      <w:spacing w:line="360" w:lineRule="auto"/>
      <w:ind w:firstLine="480" w:firstLineChars="200"/>
    </w:pPr>
    <w:rPr>
      <w:rFonts w:ascii="Arial" w:hAnsi="Arial"/>
      <w:kern w:val="0"/>
      <w:sz w:val="24"/>
    </w:rPr>
  </w:style>
  <w:style w:type="paragraph" w:customStyle="1" w:styleId="18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18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86">
    <w:name w:val="xl4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b/>
      <w:bCs/>
      <w:kern w:val="0"/>
      <w:sz w:val="20"/>
      <w:szCs w:val="20"/>
    </w:rPr>
  </w:style>
  <w:style w:type="paragraph" w:customStyle="1" w:styleId="187">
    <w:name w:val="xl28"/>
    <w:basedOn w:val="1"/>
    <w:qFormat/>
    <w:uiPriority w:val="0"/>
    <w:pPr>
      <w:widowControl/>
      <w:spacing w:before="100" w:beforeAutospacing="1" w:after="100" w:afterAutospacing="1"/>
      <w:jc w:val="left"/>
    </w:pPr>
    <w:rPr>
      <w:rFonts w:eastAsia="Arial Unicode MS"/>
      <w:kern w:val="0"/>
      <w:sz w:val="24"/>
    </w:rPr>
  </w:style>
  <w:style w:type="paragraph" w:customStyle="1" w:styleId="188">
    <w:name w:val="Char Char Char Char Char Char Char Char Char Char Char Char Char Char Char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189">
    <w:name w:val="xl6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90">
    <w:name w:val="素材4"/>
    <w:basedOn w:val="1"/>
    <w:qFormat/>
    <w:uiPriority w:val="0"/>
    <w:pPr>
      <w:snapToGrid w:val="0"/>
      <w:spacing w:line="500" w:lineRule="atLeast"/>
      <w:ind w:left="1135" w:hanging="284"/>
    </w:pPr>
    <w:rPr>
      <w:rFonts w:ascii="宋体"/>
      <w:kern w:val="28"/>
      <w:sz w:val="27"/>
      <w:szCs w:val="20"/>
    </w:rPr>
  </w:style>
  <w:style w:type="paragraph" w:customStyle="1" w:styleId="191">
    <w:name w:val="素材6"/>
    <w:basedOn w:val="1"/>
    <w:qFormat/>
    <w:uiPriority w:val="0"/>
    <w:pPr>
      <w:snapToGrid w:val="0"/>
      <w:spacing w:line="500" w:lineRule="atLeast"/>
      <w:ind w:left="1418"/>
    </w:pPr>
    <w:rPr>
      <w:rFonts w:ascii="宋体"/>
      <w:kern w:val="52"/>
      <w:sz w:val="27"/>
      <w:szCs w:val="20"/>
    </w:rPr>
  </w:style>
  <w:style w:type="paragraph" w:customStyle="1" w:styleId="192">
    <w:name w:val="表文1"/>
    <w:basedOn w:val="1"/>
    <w:qFormat/>
    <w:uiPriority w:val="0"/>
    <w:pPr>
      <w:widowControl/>
      <w:spacing w:line="360" w:lineRule="auto"/>
    </w:pPr>
    <w:rPr>
      <w:rFonts w:ascii="宋体" w:hAnsi="宋体"/>
      <w:bCs/>
      <w:color w:val="000000"/>
      <w:spacing w:val="10"/>
      <w:kern w:val="0"/>
      <w:sz w:val="24"/>
    </w:rPr>
  </w:style>
  <w:style w:type="paragraph" w:customStyle="1" w:styleId="193">
    <w:name w:val="框文"/>
    <w:basedOn w:val="1"/>
    <w:qFormat/>
    <w:uiPriority w:val="0"/>
    <w:pPr>
      <w:snapToGrid w:val="0"/>
      <w:spacing w:line="240" w:lineRule="atLeast"/>
      <w:jc w:val="center"/>
    </w:pPr>
    <w:rPr>
      <w:sz w:val="27"/>
      <w:szCs w:val="20"/>
    </w:rPr>
  </w:style>
  <w:style w:type="paragraph" w:customStyle="1" w:styleId="194">
    <w:name w:val="默认段落字体 Para Char Char Char Char Char Char Char Char Char Char"/>
    <w:basedOn w:val="1"/>
    <w:qFormat/>
    <w:uiPriority w:val="0"/>
    <w:rPr>
      <w:rFonts w:ascii="Tahoma" w:hAnsi="Tahoma"/>
      <w:sz w:val="24"/>
      <w:szCs w:val="20"/>
    </w:rPr>
  </w:style>
  <w:style w:type="paragraph" w:customStyle="1" w:styleId="195">
    <w:name w:val="正文文本缩进 21"/>
    <w:basedOn w:val="1"/>
    <w:qFormat/>
    <w:uiPriority w:val="0"/>
    <w:pPr>
      <w:adjustRightInd w:val="0"/>
      <w:spacing w:line="360" w:lineRule="auto"/>
      <w:ind w:firstLine="720"/>
      <w:jc w:val="left"/>
    </w:pPr>
    <w:rPr>
      <w:rFonts w:eastAsia="仿宋_GB2312"/>
      <w:sz w:val="24"/>
      <w:szCs w:val="20"/>
    </w:rPr>
  </w:style>
  <w:style w:type="paragraph" w:customStyle="1" w:styleId="196">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97">
    <w:name w:val="Char Char Char Char Char Char Char Char Char"/>
    <w:basedOn w:val="1"/>
    <w:qFormat/>
    <w:uiPriority w:val="0"/>
    <w:pPr>
      <w:spacing w:line="360" w:lineRule="auto"/>
      <w:ind w:right="360"/>
    </w:pPr>
    <w:rPr>
      <w:rFonts w:ascii="Tahoma" w:hAnsi="Tahoma"/>
      <w:sz w:val="24"/>
      <w:szCs w:val="20"/>
    </w:rPr>
  </w:style>
  <w:style w:type="paragraph" w:customStyle="1" w:styleId="198">
    <w:name w:val="首行缩进"/>
    <w:basedOn w:val="1"/>
    <w:qFormat/>
    <w:uiPriority w:val="0"/>
    <w:pPr>
      <w:spacing w:line="360" w:lineRule="auto"/>
      <w:ind w:firstLine="480" w:firstLineChars="200"/>
    </w:pPr>
    <w:rPr>
      <w:szCs w:val="20"/>
    </w:rPr>
  </w:style>
  <w:style w:type="paragraph" w:customStyle="1" w:styleId="199">
    <w:name w:val="标句6"/>
    <w:basedOn w:val="1"/>
    <w:qFormat/>
    <w:uiPriority w:val="0"/>
    <w:pPr>
      <w:snapToGrid w:val="0"/>
      <w:spacing w:line="500" w:lineRule="atLeast"/>
      <w:ind w:left="1418" w:hanging="284"/>
    </w:pPr>
    <w:rPr>
      <w:rFonts w:ascii="宋体"/>
      <w:kern w:val="52"/>
      <w:sz w:val="27"/>
      <w:szCs w:val="20"/>
    </w:rPr>
  </w:style>
  <w:style w:type="paragraph" w:customStyle="1" w:styleId="200">
    <w:name w:val="样式 宋体 五号 两端对齐 行距: 单倍行距"/>
    <w:basedOn w:val="1"/>
    <w:qFormat/>
    <w:uiPriority w:val="0"/>
    <w:pPr>
      <w:adjustRightInd w:val="0"/>
    </w:pPr>
    <w:rPr>
      <w:rFonts w:ascii="宋体" w:hAnsi="宋体" w:cs="宋体"/>
      <w:kern w:val="0"/>
      <w:szCs w:val="20"/>
    </w:rPr>
  </w:style>
  <w:style w:type="paragraph" w:customStyle="1" w:styleId="201">
    <w:name w:val="Char Char Char Char Char Char Char Char Char Char Char Char Char Char Char Char Char Char Char Char Char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202">
    <w:name w:val="Bullet"/>
    <w:basedOn w:val="1"/>
    <w:qFormat/>
    <w:uiPriority w:val="0"/>
    <w:pPr>
      <w:autoSpaceDE w:val="0"/>
      <w:autoSpaceDN w:val="0"/>
      <w:adjustRightInd w:val="0"/>
      <w:ind w:left="288" w:hanging="288"/>
      <w:jc w:val="left"/>
    </w:pPr>
    <w:rPr>
      <w:kern w:val="0"/>
      <w:sz w:val="24"/>
    </w:rPr>
  </w:style>
  <w:style w:type="paragraph" w:customStyle="1" w:styleId="203">
    <w:name w:val="Table Paragraph"/>
    <w:basedOn w:val="1"/>
    <w:qFormat/>
    <w:uiPriority w:val="1"/>
    <w:rPr>
      <w:rFonts w:ascii="宋体" w:hAnsi="宋体" w:cs="宋体"/>
      <w:lang w:val="zh-CN" w:bidi="zh-CN"/>
    </w:rPr>
  </w:style>
  <w:style w:type="paragraph" w:customStyle="1" w:styleId="204">
    <w:name w:val="我的正文"/>
    <w:basedOn w:val="1"/>
    <w:link w:val="205"/>
    <w:qFormat/>
    <w:uiPriority w:val="0"/>
    <w:pPr>
      <w:widowControl/>
      <w:spacing w:line="288" w:lineRule="auto"/>
      <w:ind w:firstLine="567"/>
      <w:jc w:val="left"/>
    </w:pPr>
    <w:rPr>
      <w:spacing w:val="6"/>
      <w:kern w:val="0"/>
      <w:sz w:val="24"/>
      <w:szCs w:val="20"/>
    </w:rPr>
  </w:style>
  <w:style w:type="character" w:customStyle="1" w:styleId="205">
    <w:name w:val="我的正文 Char"/>
    <w:link w:val="204"/>
    <w:qFormat/>
    <w:uiPriority w:val="0"/>
    <w:rPr>
      <w:spacing w:val="6"/>
      <w:kern w:val="0"/>
      <w:sz w:val="24"/>
      <w:szCs w:val="20"/>
    </w:rPr>
  </w:style>
  <w:style w:type="paragraph" w:customStyle="1" w:styleId="206">
    <w:name w:val="xl69"/>
    <w:basedOn w:val="1"/>
    <w:qFormat/>
    <w:uiPriority w:val="0"/>
    <w:pPr>
      <w:widowControl/>
      <w:pBdr>
        <w:top w:val="single" w:color="auto" w:sz="4" w:space="0"/>
        <w:left w:val="single" w:color="auto" w:sz="4" w:space="0"/>
        <w:bottom w:val="single" w:color="auto" w:sz="4" w:space="0"/>
        <w:right w:val="double" w:color="auto" w:sz="6" w:space="0"/>
      </w:pBdr>
      <w:tabs>
        <w:tab w:val="left" w:pos="987"/>
      </w:tabs>
      <w:spacing w:before="100" w:beforeAutospacing="1" w:after="100" w:afterAutospacing="1"/>
      <w:jc w:val="center"/>
    </w:pPr>
    <w:rPr>
      <w:rFonts w:ascii="Arial Unicode MS" w:hAnsi="Arial Unicode MS"/>
      <w:kern w:val="0"/>
      <w:sz w:val="24"/>
    </w:rPr>
  </w:style>
  <w:style w:type="paragraph" w:customStyle="1" w:styleId="207">
    <w:name w:val="列表2"/>
    <w:basedOn w:val="1"/>
    <w:qFormat/>
    <w:uiPriority w:val="0"/>
    <w:pPr>
      <w:widowControl/>
      <w:tabs>
        <w:tab w:val="left" w:pos="1005"/>
      </w:tabs>
      <w:spacing w:beforeLines="50" w:afterLines="50"/>
      <w:ind w:left="840" w:hanging="435"/>
      <w:jc w:val="left"/>
    </w:pPr>
    <w:rPr>
      <w:szCs w:val="21"/>
    </w:rPr>
  </w:style>
  <w:style w:type="paragraph" w:customStyle="1" w:styleId="208">
    <w:name w:val="xl26"/>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09">
    <w:name w:val="样式 样式 样式 标题 2 + 宋体 五号 非加粗 黑色 + 段前: 6 磅 段后: 0 磅 行距: 单倍行距 + 段前: 12..."/>
    <w:basedOn w:val="1"/>
    <w:qFormat/>
    <w:uiPriority w:val="0"/>
    <w:pPr>
      <w:keepNext/>
      <w:keepLines/>
      <w:tabs>
        <w:tab w:val="left" w:pos="1875"/>
      </w:tabs>
      <w:adjustRightInd w:val="0"/>
      <w:spacing w:before="240"/>
      <w:ind w:left="1875" w:hanging="435"/>
      <w:jc w:val="left"/>
      <w:outlineLvl w:val="1"/>
    </w:pPr>
    <w:rPr>
      <w:rFonts w:ascii="宋体" w:hAnsi="宋体"/>
      <w:color w:val="000000"/>
      <w:kern w:val="0"/>
      <w:szCs w:val="20"/>
    </w:rPr>
  </w:style>
  <w:style w:type="paragraph" w:customStyle="1" w:styleId="210">
    <w:name w:val="标题2"/>
    <w:basedOn w:val="5"/>
    <w:qFormat/>
    <w:uiPriority w:val="0"/>
    <w:pPr>
      <w:spacing w:beforeLines="100" w:afterLines="100" w:line="440" w:lineRule="exact"/>
      <w:outlineLvl w:val="9"/>
    </w:pPr>
    <w:rPr>
      <w:rFonts w:ascii="宋体" w:hAnsi="宋体" w:eastAsia="宋体"/>
      <w:bCs w:val="0"/>
      <w:sz w:val="30"/>
      <w:szCs w:val="28"/>
    </w:rPr>
  </w:style>
  <w:style w:type="paragraph" w:customStyle="1" w:styleId="21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kern w:val="0"/>
      <w:sz w:val="20"/>
      <w:szCs w:val="20"/>
    </w:rPr>
  </w:style>
  <w:style w:type="paragraph" w:customStyle="1" w:styleId="212">
    <w:name w:val="标句4"/>
    <w:basedOn w:val="1"/>
    <w:qFormat/>
    <w:uiPriority w:val="0"/>
    <w:pPr>
      <w:snapToGrid w:val="0"/>
      <w:spacing w:before="120" w:line="500" w:lineRule="atLeast"/>
      <w:ind w:left="851" w:hanging="284"/>
    </w:pPr>
    <w:rPr>
      <w:rFonts w:ascii="宋体"/>
      <w:b/>
      <w:kern w:val="52"/>
      <w:sz w:val="27"/>
      <w:szCs w:val="20"/>
    </w:rPr>
  </w:style>
  <w:style w:type="paragraph" w:customStyle="1" w:styleId="213">
    <w:name w:val="xl60"/>
    <w:basedOn w:val="1"/>
    <w:qFormat/>
    <w:uiPriority w:val="0"/>
    <w:pPr>
      <w:widowControl/>
      <w:pBdr>
        <w:top w:val="single" w:color="auto" w:sz="4" w:space="0"/>
        <w:bottom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214">
    <w:name w:val="xl51"/>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215">
    <w:name w:val="样式 标题 4二级标题二级标题1二级标题2二级标题3PIM 4H4h4付标题段段2段3段4段5段6..."/>
    <w:basedOn w:val="7"/>
    <w:qFormat/>
    <w:uiPriority w:val="0"/>
    <w:pPr>
      <w:spacing w:beforeLines="50" w:afterLines="50"/>
      <w:ind w:firstLine="200" w:firstLineChars="200"/>
    </w:pPr>
    <w:rPr>
      <w:b/>
      <w:color w:val="auto"/>
    </w:rPr>
  </w:style>
  <w:style w:type="paragraph" w:customStyle="1" w:styleId="216">
    <w:name w:val="正文1"/>
    <w:qFormat/>
    <w:uiPriority w:val="0"/>
    <w:pPr>
      <w:widowControl w:val="0"/>
      <w:adjustRightInd w:val="0"/>
      <w:spacing w:line="360" w:lineRule="atLeast"/>
    </w:pPr>
    <w:rPr>
      <w:rFonts w:ascii="宋体" w:hAnsi="Times New Roman" w:eastAsia="宋体" w:cs="Times New Roman"/>
      <w:sz w:val="24"/>
      <w:lang w:val="en-US" w:eastAsia="zh-CN" w:bidi="ar-SA"/>
    </w:rPr>
  </w:style>
  <w:style w:type="paragraph" w:customStyle="1" w:styleId="217">
    <w:name w:val="xl27"/>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8">
    <w:name w:val="0正文"/>
    <w:basedOn w:val="1"/>
    <w:qFormat/>
    <w:uiPriority w:val="0"/>
    <w:pPr>
      <w:spacing w:line="360" w:lineRule="auto"/>
      <w:ind w:firstLine="720" w:firstLineChars="200"/>
      <w:jc w:val="left"/>
    </w:pPr>
    <w:rPr>
      <w:kern w:val="0"/>
      <w:sz w:val="24"/>
      <w:szCs w:val="22"/>
    </w:rPr>
  </w:style>
  <w:style w:type="paragraph" w:customStyle="1" w:styleId="219">
    <w:name w:val="xl34"/>
    <w:basedOn w:val="1"/>
    <w:qFormat/>
    <w:uiPriority w:val="0"/>
    <w:pPr>
      <w:widowControl/>
      <w:spacing w:before="100" w:beforeAutospacing="1" w:after="100" w:afterAutospacing="1"/>
      <w:jc w:val="center"/>
    </w:pPr>
    <w:rPr>
      <w:rFonts w:eastAsia="Arial Unicode MS"/>
      <w:kern w:val="0"/>
      <w:sz w:val="24"/>
    </w:rPr>
  </w:style>
  <w:style w:type="paragraph" w:customStyle="1" w:styleId="220">
    <w:name w:val="Char Char1 Char"/>
    <w:basedOn w:val="1"/>
    <w:qFormat/>
    <w:uiPriority w:val="0"/>
    <w:pPr>
      <w:tabs>
        <w:tab w:val="left" w:pos="360"/>
      </w:tabs>
      <w:ind w:left="360" w:hanging="360" w:hangingChars="200"/>
    </w:pPr>
    <w:rPr>
      <w:sz w:val="24"/>
    </w:rPr>
  </w:style>
  <w:style w:type="paragraph" w:customStyle="1" w:styleId="221">
    <w:name w:val="Char1"/>
    <w:basedOn w:val="1"/>
    <w:qFormat/>
    <w:uiPriority w:val="0"/>
    <w:pPr>
      <w:adjustRightInd w:val="0"/>
      <w:spacing w:line="360" w:lineRule="auto"/>
    </w:pPr>
    <w:rPr>
      <w:kern w:val="0"/>
      <w:sz w:val="24"/>
      <w:szCs w:val="20"/>
    </w:rPr>
  </w:style>
  <w:style w:type="paragraph" w:customStyle="1" w:styleId="222">
    <w:name w:val="Content"/>
    <w:basedOn w:val="17"/>
    <w:qFormat/>
    <w:uiPriority w:val="0"/>
    <w:pPr>
      <w:snapToGrid w:val="0"/>
      <w:spacing w:line="360" w:lineRule="auto"/>
      <w:ind w:firstLine="480"/>
    </w:pPr>
    <w:rPr>
      <w:rFonts w:eastAsia="全真簡粗明"/>
      <w:lang w:eastAsia="zh-TW"/>
    </w:rPr>
  </w:style>
  <w:style w:type="paragraph" w:customStyle="1" w:styleId="223">
    <w:name w:val="标句8"/>
    <w:basedOn w:val="1"/>
    <w:qFormat/>
    <w:uiPriority w:val="0"/>
    <w:pPr>
      <w:snapToGrid w:val="0"/>
      <w:spacing w:line="460" w:lineRule="atLeast"/>
      <w:ind w:left="1957" w:hanging="369"/>
    </w:pPr>
    <w:rPr>
      <w:rFonts w:ascii="宋体"/>
      <w:kern w:val="28"/>
      <w:sz w:val="26"/>
      <w:szCs w:val="20"/>
    </w:rPr>
  </w:style>
  <w:style w:type="paragraph" w:customStyle="1" w:styleId="224">
    <w:name w:val="contentlabel"/>
    <w:basedOn w:val="1"/>
    <w:qFormat/>
    <w:uiPriority w:val="0"/>
    <w:pPr>
      <w:widowControl/>
      <w:spacing w:before="37" w:after="100" w:afterAutospacing="1"/>
      <w:ind w:left="112"/>
      <w:jc w:val="left"/>
    </w:pPr>
    <w:rPr>
      <w:rFonts w:ascii="宋体" w:hAnsi="宋体"/>
      <w:color w:val="336666"/>
      <w:kern w:val="0"/>
      <w:sz w:val="22"/>
      <w:szCs w:val="22"/>
    </w:rPr>
  </w:style>
  <w:style w:type="paragraph" w:customStyle="1" w:styleId="225">
    <w:name w:val="Char Char1 Char Char Char Char Char1 Char Char Char Char Char"/>
    <w:basedOn w:val="1"/>
    <w:qFormat/>
    <w:uiPriority w:val="0"/>
    <w:pPr>
      <w:spacing w:line="360" w:lineRule="auto"/>
      <w:ind w:firstLine="480" w:firstLineChars="200"/>
    </w:pPr>
    <w:rPr>
      <w:rFonts w:ascii="Arial" w:hAnsi="Arial"/>
      <w:kern w:val="0"/>
      <w:sz w:val="24"/>
    </w:rPr>
  </w:style>
  <w:style w:type="paragraph" w:customStyle="1" w:styleId="226">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27">
    <w:name w:val="Char Char Char Char"/>
    <w:basedOn w:val="1"/>
    <w:qFormat/>
    <w:uiPriority w:val="0"/>
    <w:pPr>
      <w:tabs>
        <w:tab w:val="left" w:pos="360"/>
      </w:tabs>
    </w:pPr>
    <w:rPr>
      <w:sz w:val="24"/>
    </w:rPr>
  </w:style>
  <w:style w:type="paragraph" w:customStyle="1" w:styleId="228">
    <w:name w:val="标句7"/>
    <w:basedOn w:val="1"/>
    <w:qFormat/>
    <w:uiPriority w:val="0"/>
    <w:pPr>
      <w:snapToGrid w:val="0"/>
      <w:spacing w:line="460" w:lineRule="atLeast"/>
      <w:ind w:left="1679" w:hanging="261"/>
    </w:pPr>
    <w:rPr>
      <w:rFonts w:ascii="宋体"/>
      <w:kern w:val="28"/>
      <w:sz w:val="26"/>
      <w:szCs w:val="20"/>
    </w:rPr>
  </w:style>
  <w:style w:type="paragraph" w:customStyle="1" w:styleId="229">
    <w:name w:val="样式 首行缩进:  2 字符"/>
    <w:basedOn w:val="1"/>
    <w:qFormat/>
    <w:uiPriority w:val="0"/>
    <w:pPr>
      <w:tabs>
        <w:tab w:val="left" w:pos="900"/>
      </w:tabs>
      <w:spacing w:line="360" w:lineRule="auto"/>
      <w:ind w:left="900" w:hanging="420"/>
    </w:pPr>
    <w:rPr>
      <w:rFonts w:ascii="宋体"/>
      <w:sz w:val="24"/>
      <w:szCs w:val="20"/>
      <w:lang w:val="en-GB"/>
    </w:rPr>
  </w:style>
  <w:style w:type="paragraph" w:customStyle="1" w:styleId="230">
    <w:name w:val="样式4"/>
    <w:basedOn w:val="6"/>
    <w:qFormat/>
    <w:uiPriority w:val="0"/>
    <w:pPr>
      <w:ind w:left="1080"/>
    </w:pPr>
  </w:style>
  <w:style w:type="paragraph" w:customStyle="1" w:styleId="231">
    <w:name w:val="样式 标题 3Titre3heading 3Heading 3 - oldH3H31H32H33H34H35..."/>
    <w:basedOn w:val="6"/>
    <w:qFormat/>
    <w:uiPriority w:val="0"/>
    <w:pPr>
      <w:ind w:left="1080"/>
    </w:pPr>
    <w:rPr>
      <w:rFonts w:ascii="宋体"/>
    </w:rPr>
  </w:style>
  <w:style w:type="paragraph" w:customStyle="1" w:styleId="232">
    <w:name w:val="xl76"/>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233">
    <w:name w:val="文件正文"/>
    <w:basedOn w:val="1"/>
    <w:qFormat/>
    <w:uiPriority w:val="0"/>
    <w:pPr>
      <w:spacing w:line="360" w:lineRule="auto"/>
      <w:ind w:firstLine="480" w:firstLineChars="200"/>
    </w:pPr>
    <w:rPr>
      <w:rFonts w:eastAsia="仿宋_GB2312" w:cs="仿宋_GB2312"/>
      <w:sz w:val="24"/>
    </w:rPr>
  </w:style>
  <w:style w:type="paragraph" w:customStyle="1" w:styleId="234">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235">
    <w:name w:val="样式2"/>
    <w:basedOn w:val="6"/>
    <w:qFormat/>
    <w:uiPriority w:val="0"/>
    <w:pPr>
      <w:spacing w:before="60" w:after="60" w:line="480" w:lineRule="exact"/>
    </w:pPr>
    <w:rPr>
      <w:rFonts w:ascii="宋体"/>
      <w:bCs w:val="0"/>
      <w:spacing w:val="6"/>
      <w:kern w:val="21"/>
      <w:sz w:val="28"/>
      <w:szCs w:val="28"/>
    </w:rPr>
  </w:style>
  <w:style w:type="paragraph" w:customStyle="1" w:styleId="236">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37">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238">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kern w:val="0"/>
      <w:sz w:val="20"/>
      <w:szCs w:val="20"/>
    </w:rPr>
  </w:style>
  <w:style w:type="paragraph" w:customStyle="1" w:styleId="239">
    <w:name w:val="xl67"/>
    <w:basedOn w:val="1"/>
    <w:qFormat/>
    <w:uiPriority w:val="0"/>
    <w:pPr>
      <w:widowControl/>
      <w:pBdr>
        <w:top w:val="single" w:color="auto" w:sz="4" w:space="0"/>
        <w:bottom w:val="single" w:color="auto" w:sz="4" w:space="0"/>
      </w:pBdr>
      <w:spacing w:before="100" w:beforeAutospacing="1" w:after="100" w:afterAutospacing="1"/>
      <w:jc w:val="left"/>
    </w:pPr>
    <w:rPr>
      <w:rFonts w:eastAsia="Arial Unicode MS"/>
      <w:color w:val="000000"/>
      <w:kern w:val="0"/>
      <w:sz w:val="20"/>
      <w:szCs w:val="20"/>
    </w:rPr>
  </w:style>
  <w:style w:type="paragraph" w:customStyle="1" w:styleId="240">
    <w:name w:val="正文文本 21"/>
    <w:basedOn w:val="1"/>
    <w:qFormat/>
    <w:uiPriority w:val="0"/>
    <w:pPr>
      <w:adjustRightInd w:val="0"/>
      <w:spacing w:line="360" w:lineRule="auto"/>
      <w:jc w:val="left"/>
    </w:pPr>
    <w:rPr>
      <w:rFonts w:eastAsia="仿宋_GB2312"/>
      <w:sz w:val="24"/>
      <w:szCs w:val="20"/>
    </w:rPr>
  </w:style>
  <w:style w:type="paragraph" w:customStyle="1" w:styleId="241">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0"/>
      <w:szCs w:val="20"/>
    </w:rPr>
  </w:style>
  <w:style w:type="paragraph" w:customStyle="1" w:styleId="242">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43">
    <w:name w:val="Char1 Char Char Char Char Char Char Char Char Char"/>
    <w:basedOn w:val="1"/>
    <w:qFormat/>
    <w:uiPriority w:val="0"/>
    <w:pPr>
      <w:widowControl/>
      <w:spacing w:beforeLines="100" w:after="160" w:line="240" w:lineRule="exact"/>
      <w:jc w:val="left"/>
    </w:pPr>
    <w:rPr>
      <w:rFonts w:ascii="Verdana" w:hAnsi="Verdana"/>
      <w:kern w:val="0"/>
      <w:sz w:val="20"/>
      <w:szCs w:val="20"/>
      <w:lang w:eastAsia="en-US"/>
    </w:rPr>
  </w:style>
  <w:style w:type="paragraph" w:customStyle="1" w:styleId="244">
    <w:name w:val="子标题"/>
    <w:basedOn w:val="1"/>
    <w:qFormat/>
    <w:uiPriority w:val="0"/>
    <w:pPr>
      <w:widowControl/>
      <w:snapToGrid w:val="0"/>
      <w:spacing w:before="200" w:after="200"/>
      <w:ind w:left="2156" w:leftChars="740" w:hanging="602" w:hangingChars="250"/>
    </w:pPr>
    <w:rPr>
      <w:rFonts w:hAnsi="宋体" w:eastAsia="仿宋_GB2312"/>
      <w:b/>
      <w:bCs/>
      <w:color w:val="000080"/>
      <w:kern w:val="0"/>
      <w:sz w:val="24"/>
      <w:szCs w:val="20"/>
    </w:rPr>
  </w:style>
  <w:style w:type="paragraph" w:customStyle="1" w:styleId="245">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paragraph" w:customStyle="1" w:styleId="246">
    <w:name w:val="空行"/>
    <w:basedOn w:val="1"/>
    <w:next w:val="1"/>
    <w:qFormat/>
    <w:uiPriority w:val="0"/>
    <w:pPr>
      <w:spacing w:beforeLines="100" w:afterLines="100" w:line="360" w:lineRule="auto"/>
      <w:jc w:val="center"/>
    </w:pPr>
    <w:rPr>
      <w:spacing w:val="20"/>
      <w:sz w:val="24"/>
      <w:szCs w:val="20"/>
    </w:rPr>
  </w:style>
  <w:style w:type="paragraph" w:customStyle="1" w:styleId="247">
    <w:name w:val="图标题"/>
    <w:basedOn w:val="1"/>
    <w:qFormat/>
    <w:uiPriority w:val="0"/>
    <w:pPr>
      <w:spacing w:line="360" w:lineRule="auto"/>
      <w:jc w:val="center"/>
    </w:pPr>
  </w:style>
  <w:style w:type="paragraph" w:customStyle="1" w:styleId="248">
    <w:name w:val="xl77"/>
    <w:basedOn w:val="1"/>
    <w:qFormat/>
    <w:uiPriority w:val="0"/>
    <w:pPr>
      <w:widowControl/>
      <w:pBdr>
        <w:top w:val="single" w:color="auto" w:sz="8" w:space="0"/>
        <w:left w:val="single" w:color="auto" w:sz="8" w:space="0"/>
        <w:bottom w:val="single" w:color="auto" w:sz="4" w:space="0"/>
      </w:pBdr>
      <w:spacing w:before="100" w:beforeAutospacing="1" w:after="100" w:afterAutospacing="1"/>
      <w:jc w:val="center"/>
    </w:pPr>
    <w:rPr>
      <w:rFonts w:ascii="Arial Unicode MS" w:hAnsi="Arial Unicode MS"/>
      <w:b/>
      <w:bCs/>
      <w:kern w:val="0"/>
      <w:sz w:val="36"/>
      <w:szCs w:val="36"/>
    </w:rPr>
  </w:style>
  <w:style w:type="paragraph" w:customStyle="1" w:styleId="249">
    <w:name w:val="font5"/>
    <w:basedOn w:val="1"/>
    <w:qFormat/>
    <w:uiPriority w:val="0"/>
    <w:pPr>
      <w:widowControl/>
      <w:spacing w:before="100" w:beforeAutospacing="1" w:after="100" w:afterAutospacing="1"/>
      <w:jc w:val="left"/>
    </w:pPr>
    <w:rPr>
      <w:rFonts w:ascii="宋体" w:hAnsi="宋体" w:cs="Arial Unicode MS"/>
      <w:kern w:val="0"/>
      <w:sz w:val="18"/>
      <w:szCs w:val="18"/>
    </w:rPr>
  </w:style>
  <w:style w:type="paragraph" w:customStyle="1" w:styleId="250">
    <w:name w:val="4 Char"/>
    <w:basedOn w:val="14"/>
    <w:qFormat/>
    <w:uiPriority w:val="0"/>
    <w:rPr>
      <w:rFonts w:ascii="Tahoma" w:hAnsi="Tahoma"/>
      <w:sz w:val="24"/>
    </w:rPr>
  </w:style>
  <w:style w:type="paragraph" w:customStyle="1" w:styleId="251">
    <w:name w:val="五号正文（标准）"/>
    <w:basedOn w:val="1"/>
    <w:qFormat/>
    <w:uiPriority w:val="0"/>
    <w:pPr>
      <w:spacing w:line="360" w:lineRule="auto"/>
    </w:pPr>
    <w:rPr>
      <w:rFonts w:ascii="宋体" w:hAnsi="宋体"/>
      <w:b/>
      <w:sz w:val="24"/>
    </w:rPr>
  </w:style>
  <w:style w:type="paragraph" w:customStyle="1" w:styleId="252">
    <w:name w:val="Char"/>
    <w:basedOn w:val="1"/>
    <w:qFormat/>
    <w:uiPriority w:val="0"/>
    <w:pPr>
      <w:tabs>
        <w:tab w:val="left" w:pos="360"/>
      </w:tabs>
      <w:spacing w:line="360" w:lineRule="auto"/>
      <w:ind w:firstLine="420"/>
    </w:pPr>
    <w:rPr>
      <w:rFonts w:ascii="Arial" w:hAnsi="Arial" w:cs="Arial"/>
      <w:sz w:val="20"/>
      <w:szCs w:val="20"/>
    </w:rPr>
  </w:style>
  <w:style w:type="paragraph" w:customStyle="1" w:styleId="253">
    <w:name w:val="Char3 Char Char Char Char Char Char"/>
    <w:basedOn w:val="1"/>
    <w:qFormat/>
    <w:uiPriority w:val="0"/>
    <w:pPr>
      <w:widowControl/>
      <w:spacing w:beforeLines="100" w:after="160" w:line="240" w:lineRule="exact"/>
      <w:jc w:val="left"/>
    </w:pPr>
    <w:rPr>
      <w:rFonts w:ascii="Verdana" w:hAnsi="Verdana"/>
      <w:kern w:val="0"/>
      <w:sz w:val="20"/>
      <w:szCs w:val="20"/>
      <w:lang w:eastAsia="en-US"/>
    </w:rPr>
  </w:style>
  <w:style w:type="paragraph" w:customStyle="1" w:styleId="254">
    <w:name w:val="Default Text"/>
    <w:basedOn w:val="1"/>
    <w:qFormat/>
    <w:uiPriority w:val="0"/>
    <w:pPr>
      <w:autoSpaceDE w:val="0"/>
      <w:autoSpaceDN w:val="0"/>
      <w:adjustRightInd w:val="0"/>
      <w:jc w:val="left"/>
    </w:pPr>
    <w:rPr>
      <w:kern w:val="0"/>
      <w:sz w:val="24"/>
    </w:rPr>
  </w:style>
  <w:style w:type="paragraph" w:customStyle="1" w:styleId="255">
    <w:name w:val="xl46"/>
    <w:basedOn w:val="1"/>
    <w:qFormat/>
    <w:uiPriority w:val="0"/>
    <w:pPr>
      <w:widowControl/>
      <w:spacing w:before="100" w:beforeAutospacing="1" w:after="100" w:afterAutospacing="1"/>
      <w:jc w:val="left"/>
    </w:pPr>
    <w:rPr>
      <w:rFonts w:eastAsia="Arial Unicode MS"/>
      <w:kern w:val="0"/>
      <w:sz w:val="22"/>
      <w:szCs w:val="22"/>
    </w:rPr>
  </w:style>
  <w:style w:type="paragraph" w:customStyle="1" w:styleId="256">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eastAsia="Arial Unicode MS"/>
      <w:b/>
      <w:bCs/>
      <w:color w:val="000000"/>
      <w:kern w:val="0"/>
      <w:sz w:val="20"/>
      <w:szCs w:val="20"/>
    </w:rPr>
  </w:style>
  <w:style w:type="paragraph" w:customStyle="1" w:styleId="257">
    <w:name w:val="xl37"/>
    <w:basedOn w:val="1"/>
    <w:qFormat/>
    <w:uiPriority w:val="0"/>
    <w:pPr>
      <w:widowControl/>
      <w:spacing w:before="100" w:beforeAutospacing="1" w:after="100" w:afterAutospacing="1"/>
      <w:jc w:val="center"/>
    </w:pPr>
    <w:rPr>
      <w:rFonts w:eastAsia="Arial Unicode MS"/>
      <w:b/>
      <w:bCs/>
      <w:kern w:val="0"/>
      <w:sz w:val="20"/>
      <w:szCs w:val="20"/>
    </w:rPr>
  </w:style>
  <w:style w:type="paragraph" w:customStyle="1" w:styleId="258">
    <w:name w:val="font8"/>
    <w:basedOn w:val="1"/>
    <w:qFormat/>
    <w:uiPriority w:val="0"/>
    <w:pPr>
      <w:widowControl/>
      <w:spacing w:before="100" w:beforeAutospacing="1" w:after="100" w:afterAutospacing="1"/>
      <w:jc w:val="left"/>
    </w:pPr>
    <w:rPr>
      <w:rFonts w:eastAsia="Arial Unicode MS"/>
      <w:color w:val="000000"/>
      <w:kern w:val="0"/>
      <w:sz w:val="20"/>
      <w:szCs w:val="20"/>
    </w:rPr>
  </w:style>
  <w:style w:type="paragraph" w:customStyle="1" w:styleId="259">
    <w:name w:val="样式 标题 3h3H3sect1.2.3 + 五号 段前: 6 磅 段后: 6 磅 行距: 单倍行距"/>
    <w:basedOn w:val="6"/>
    <w:qFormat/>
    <w:uiPriority w:val="0"/>
    <w:pPr>
      <w:adjustRightInd w:val="0"/>
      <w:spacing w:before="120" w:after="120" w:line="240" w:lineRule="auto"/>
      <w:jc w:val="left"/>
    </w:pPr>
    <w:rPr>
      <w:rFonts w:cs="Century"/>
      <w:sz w:val="21"/>
      <w:szCs w:val="20"/>
    </w:rPr>
  </w:style>
  <w:style w:type="paragraph" w:customStyle="1" w:styleId="260">
    <w:name w:val="正常"/>
    <w:basedOn w:val="1"/>
    <w:qFormat/>
    <w:uiPriority w:val="0"/>
  </w:style>
  <w:style w:type="paragraph" w:customStyle="1" w:styleId="26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62">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eastAsia="Arial Unicode MS"/>
      <w:kern w:val="0"/>
      <w:sz w:val="20"/>
      <w:szCs w:val="20"/>
    </w:rPr>
  </w:style>
  <w:style w:type="paragraph" w:customStyle="1" w:styleId="263">
    <w:name w:val="表格标题 (5)"/>
    <w:basedOn w:val="1"/>
    <w:qFormat/>
    <w:uiPriority w:val="0"/>
    <w:pPr>
      <w:shd w:val="clear" w:color="auto" w:fill="FFFFFF"/>
      <w:spacing w:line="235" w:lineRule="exact"/>
      <w:jc w:val="distribute"/>
    </w:pPr>
    <w:rPr>
      <w:rFonts w:ascii="宋体" w:hAnsi="宋体"/>
      <w:kern w:val="0"/>
      <w:sz w:val="17"/>
      <w:szCs w:val="17"/>
      <w:shd w:val="clear" w:color="auto" w:fill="FFFFFF"/>
    </w:rPr>
  </w:style>
  <w:style w:type="paragraph" w:customStyle="1" w:styleId="264">
    <w:name w:val="Char1 Char Char Char Char Char Char Char Char Char1"/>
    <w:basedOn w:val="1"/>
    <w:qFormat/>
    <w:uiPriority w:val="0"/>
    <w:pPr>
      <w:widowControl/>
      <w:spacing w:beforeLines="100" w:after="160" w:line="240" w:lineRule="exact"/>
      <w:jc w:val="left"/>
    </w:pPr>
    <w:rPr>
      <w:rFonts w:ascii="Verdana" w:hAnsi="Verdana"/>
      <w:kern w:val="0"/>
      <w:sz w:val="20"/>
      <w:szCs w:val="20"/>
      <w:lang w:eastAsia="en-US"/>
    </w:rPr>
  </w:style>
  <w:style w:type="paragraph" w:customStyle="1" w:styleId="265">
    <w:name w:val="Char Char1 Char Char Char Char Char Char Char Char Char Char Char Char Char Char Char"/>
    <w:basedOn w:val="1"/>
    <w:qFormat/>
    <w:uiPriority w:val="0"/>
    <w:pPr>
      <w:widowControl/>
      <w:spacing w:after="160" w:line="360" w:lineRule="auto"/>
      <w:ind w:firstLine="482"/>
      <w:jc w:val="left"/>
    </w:pPr>
    <w:rPr>
      <w:rFonts w:ascii="Verdana" w:hAnsi="Verdana"/>
      <w:kern w:val="0"/>
      <w:sz w:val="24"/>
      <w:szCs w:val="20"/>
      <w:lang w:eastAsia="en-US"/>
    </w:rPr>
  </w:style>
  <w:style w:type="paragraph" w:customStyle="1" w:styleId="266">
    <w:name w:val="正文(首行缩进)"/>
    <w:qFormat/>
    <w:uiPriority w:val="0"/>
    <w:pPr>
      <w:adjustRightInd w:val="0"/>
      <w:snapToGrid w:val="0"/>
      <w:spacing w:line="360" w:lineRule="auto"/>
      <w:ind w:firstLine="428" w:firstLineChars="200"/>
      <w:jc w:val="both"/>
    </w:pPr>
    <w:rPr>
      <w:rFonts w:ascii="Times New Roman" w:hAnsi="Times New Roman" w:eastAsia="宋体" w:cs="Times New Roman"/>
      <w:spacing w:val="2"/>
      <w:kern w:val="24"/>
      <w:sz w:val="21"/>
      <w:szCs w:val="24"/>
      <w:lang w:val="en-US" w:eastAsia="zh-CN" w:bidi="ar-SA"/>
    </w:rPr>
  </w:style>
  <w:style w:type="paragraph" w:customStyle="1" w:styleId="267">
    <w:name w:val="缺省文本"/>
    <w:basedOn w:val="1"/>
    <w:qFormat/>
    <w:uiPriority w:val="0"/>
    <w:pPr>
      <w:autoSpaceDE w:val="0"/>
      <w:autoSpaceDN w:val="0"/>
      <w:adjustRightInd w:val="0"/>
      <w:jc w:val="left"/>
    </w:pPr>
    <w:rPr>
      <w:kern w:val="0"/>
      <w:sz w:val="24"/>
      <w:szCs w:val="20"/>
    </w:rPr>
  </w:style>
  <w:style w:type="paragraph" w:customStyle="1" w:styleId="268">
    <w:name w:val="素材8"/>
    <w:basedOn w:val="1"/>
    <w:qFormat/>
    <w:uiPriority w:val="0"/>
    <w:pPr>
      <w:snapToGrid w:val="0"/>
      <w:spacing w:line="460" w:lineRule="atLeast"/>
      <w:ind w:left="1985"/>
    </w:pPr>
    <w:rPr>
      <w:rFonts w:ascii="宋体"/>
      <w:kern w:val="28"/>
      <w:sz w:val="26"/>
      <w:szCs w:val="20"/>
    </w:rPr>
  </w:style>
  <w:style w:type="paragraph" w:customStyle="1" w:styleId="269">
    <w:name w:val="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270">
    <w:name w:val="xl6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0"/>
      <w:szCs w:val="20"/>
    </w:rPr>
  </w:style>
  <w:style w:type="paragraph" w:customStyle="1" w:styleId="271">
    <w:name w:val="样式 标题 3 + 四号 段前: 15.6 磅 段后: 0 磅 行距: 1.5 倍行距"/>
    <w:basedOn w:val="6"/>
    <w:qFormat/>
    <w:uiPriority w:val="0"/>
    <w:pPr>
      <w:tabs>
        <w:tab w:val="left" w:pos="1875"/>
      </w:tabs>
      <w:spacing w:beforeLines="100" w:after="0" w:line="360" w:lineRule="auto"/>
      <w:ind w:left="3750" w:hanging="435"/>
      <w:jc w:val="left"/>
    </w:pPr>
    <w:rPr>
      <w:rFonts w:ascii="宋体"/>
      <w:sz w:val="24"/>
      <w:szCs w:val="20"/>
      <w:lang w:val="en-GB"/>
    </w:rPr>
  </w:style>
  <w:style w:type="paragraph" w:customStyle="1" w:styleId="272">
    <w:name w:val="Char Char Char1"/>
    <w:basedOn w:val="1"/>
    <w:qFormat/>
    <w:uiPriority w:val="0"/>
    <w:pPr>
      <w:spacing w:afterLines="25" w:line="300" w:lineRule="auto"/>
    </w:pPr>
    <w:rPr>
      <w:rFonts w:ascii="Tahoma" w:hAnsi="Tahoma"/>
      <w:sz w:val="24"/>
    </w:rPr>
  </w:style>
  <w:style w:type="paragraph" w:customStyle="1" w:styleId="273">
    <w:name w:val="纯文本1"/>
    <w:basedOn w:val="1"/>
    <w:next w:val="1"/>
    <w:qFormat/>
    <w:uiPriority w:val="0"/>
    <w:rPr>
      <w:rFonts w:ascii="宋体"/>
      <w:kern w:val="0"/>
      <w:sz w:val="20"/>
      <w:szCs w:val="20"/>
    </w:rPr>
  </w:style>
  <w:style w:type="paragraph" w:customStyle="1" w:styleId="274">
    <w:name w:val="标句3"/>
    <w:basedOn w:val="1"/>
    <w:qFormat/>
    <w:uiPriority w:val="0"/>
    <w:pPr>
      <w:snapToGrid w:val="0"/>
      <w:spacing w:before="120" w:line="500" w:lineRule="atLeast"/>
      <w:ind w:left="568" w:hanging="284"/>
    </w:pPr>
    <w:rPr>
      <w:rFonts w:ascii="宋体"/>
      <w:b/>
      <w:kern w:val="52"/>
      <w:sz w:val="28"/>
      <w:szCs w:val="20"/>
    </w:rPr>
  </w:style>
  <w:style w:type="paragraph" w:customStyle="1" w:styleId="275">
    <w:name w:val="Definition Term"/>
    <w:basedOn w:val="1"/>
    <w:next w:val="1"/>
    <w:qFormat/>
    <w:uiPriority w:val="0"/>
    <w:pPr>
      <w:widowControl/>
      <w:tabs>
        <w:tab w:val="left" w:pos="420"/>
      </w:tabs>
      <w:snapToGrid w:val="0"/>
      <w:spacing w:before="60" w:after="60"/>
      <w:ind w:right="-180" w:firstLine="720" w:firstLineChars="300"/>
    </w:pPr>
    <w:rPr>
      <w:rFonts w:ascii="宋体" w:hAnsi="宋体"/>
      <w:color w:val="000000"/>
      <w:kern w:val="0"/>
      <w:sz w:val="24"/>
      <w:lang w:eastAsia="en-US"/>
    </w:rPr>
  </w:style>
  <w:style w:type="paragraph" w:customStyle="1" w:styleId="276">
    <w:name w:val="Default 123  Text1"/>
    <w:basedOn w:val="1"/>
    <w:qFormat/>
    <w:uiPriority w:val="0"/>
    <w:pPr>
      <w:widowControl/>
      <w:overflowPunct w:val="0"/>
      <w:autoSpaceDE w:val="0"/>
      <w:autoSpaceDN w:val="0"/>
      <w:adjustRightInd w:val="0"/>
      <w:jc w:val="left"/>
    </w:pPr>
    <w:rPr>
      <w:rFonts w:ascii="宋体"/>
      <w:kern w:val="0"/>
      <w:sz w:val="26"/>
      <w:szCs w:val="20"/>
    </w:rPr>
  </w:style>
  <w:style w:type="paragraph" w:customStyle="1" w:styleId="277">
    <w:name w:val="样式3"/>
    <w:basedOn w:val="6"/>
    <w:qFormat/>
    <w:uiPriority w:val="0"/>
    <w:pPr>
      <w:ind w:left="1080"/>
    </w:pPr>
  </w:style>
  <w:style w:type="paragraph" w:customStyle="1" w:styleId="278">
    <w:name w:val="xl59"/>
    <w:basedOn w:val="1"/>
    <w:qFormat/>
    <w:uiPriority w:val="0"/>
    <w:pPr>
      <w:widowControl/>
      <w:pBdr>
        <w:top w:val="single" w:color="auto" w:sz="4" w:space="0"/>
        <w:bottom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279">
    <w:name w:val="标句2"/>
    <w:basedOn w:val="1"/>
    <w:qFormat/>
    <w:uiPriority w:val="0"/>
    <w:pPr>
      <w:snapToGrid w:val="0"/>
      <w:spacing w:before="240" w:after="120" w:line="500" w:lineRule="atLeast"/>
      <w:ind w:left="567" w:hanging="567"/>
    </w:pPr>
    <w:rPr>
      <w:rFonts w:ascii="宋体"/>
      <w:b/>
      <w:sz w:val="30"/>
      <w:szCs w:val="20"/>
    </w:rPr>
  </w:style>
  <w:style w:type="paragraph" w:customStyle="1" w:styleId="280">
    <w:name w:val="lulu标题1"/>
    <w:basedOn w:val="4"/>
    <w:qFormat/>
    <w:uiPriority w:val="0"/>
    <w:pPr>
      <w:adjustRightInd w:val="0"/>
      <w:spacing w:line="480" w:lineRule="auto"/>
      <w:jc w:val="center"/>
    </w:pPr>
    <w:rPr>
      <w:bCs w:val="0"/>
      <w:sz w:val="36"/>
      <w:szCs w:val="36"/>
    </w:rPr>
  </w:style>
  <w:style w:type="paragraph" w:customStyle="1" w:styleId="281">
    <w:name w:val="font6"/>
    <w:basedOn w:val="1"/>
    <w:qFormat/>
    <w:uiPriority w:val="0"/>
    <w:pPr>
      <w:widowControl/>
      <w:spacing w:before="100" w:beforeAutospacing="1" w:after="100" w:afterAutospacing="1"/>
      <w:jc w:val="left"/>
    </w:pPr>
    <w:rPr>
      <w:rFonts w:ascii="宋体" w:hAnsi="宋体" w:cs="Arial Unicode MS"/>
      <w:kern w:val="0"/>
      <w:sz w:val="20"/>
      <w:szCs w:val="20"/>
    </w:rPr>
  </w:style>
  <w:style w:type="paragraph" w:customStyle="1" w:styleId="282">
    <w:name w:val="标句5"/>
    <w:basedOn w:val="1"/>
    <w:qFormat/>
    <w:uiPriority w:val="0"/>
    <w:pPr>
      <w:snapToGrid w:val="0"/>
      <w:spacing w:line="500" w:lineRule="atLeast"/>
      <w:ind w:left="1135" w:hanging="284"/>
    </w:pPr>
    <w:rPr>
      <w:rFonts w:ascii="宋体"/>
      <w:kern w:val="28"/>
      <w:sz w:val="27"/>
      <w:szCs w:val="20"/>
    </w:rPr>
  </w:style>
  <w:style w:type="paragraph" w:customStyle="1" w:styleId="283">
    <w:name w:val="列表3"/>
    <w:basedOn w:val="207"/>
    <w:qFormat/>
    <w:uiPriority w:val="0"/>
    <w:pPr>
      <w:tabs>
        <w:tab w:val="clear" w:pos="1005"/>
      </w:tabs>
      <w:ind w:left="1260" w:firstLine="0"/>
    </w:pPr>
  </w:style>
  <w:style w:type="paragraph" w:customStyle="1" w:styleId="284">
    <w:name w:val="Char Char Char2"/>
    <w:basedOn w:val="1"/>
    <w:qFormat/>
    <w:uiPriority w:val="0"/>
    <w:pPr>
      <w:spacing w:line="360" w:lineRule="auto"/>
      <w:ind w:right="360"/>
    </w:pPr>
    <w:rPr>
      <w:rFonts w:ascii="Tahoma" w:hAnsi="Tahoma"/>
      <w:sz w:val="24"/>
      <w:szCs w:val="20"/>
    </w:rPr>
  </w:style>
  <w:style w:type="paragraph" w:customStyle="1" w:styleId="285">
    <w:name w:val="Default Text:"/>
    <w:basedOn w:val="1"/>
    <w:qFormat/>
    <w:uiPriority w:val="0"/>
    <w:pPr>
      <w:autoSpaceDE w:val="0"/>
      <w:autoSpaceDN w:val="0"/>
      <w:adjustRightInd w:val="0"/>
      <w:spacing w:line="216" w:lineRule="exact"/>
      <w:jc w:val="left"/>
    </w:pPr>
    <w:rPr>
      <w:kern w:val="0"/>
      <w:sz w:val="24"/>
    </w:rPr>
  </w:style>
  <w:style w:type="paragraph" w:customStyle="1" w:styleId="286">
    <w:name w:val="002"/>
    <w:basedOn w:val="4"/>
    <w:qFormat/>
    <w:uiPriority w:val="0"/>
    <w:pPr>
      <w:spacing w:before="0" w:after="0" w:line="240" w:lineRule="auto"/>
      <w:jc w:val="left"/>
    </w:pPr>
    <w:rPr>
      <w:rFonts w:ascii="黑体" w:hAnsi="黑体" w:eastAsia="黑体"/>
      <w:kern w:val="0"/>
      <w:sz w:val="32"/>
      <w:szCs w:val="32"/>
    </w:rPr>
  </w:style>
  <w:style w:type="paragraph" w:customStyle="1" w:styleId="287">
    <w:name w:val="xl72"/>
    <w:basedOn w:val="1"/>
    <w:qFormat/>
    <w:uiPriority w:val="0"/>
    <w:pPr>
      <w:widowControl/>
      <w:pBdr>
        <w:top w:val="single" w:color="auto" w:sz="4" w:space="0"/>
        <w:left w:val="single" w:color="auto" w:sz="4" w:space="0"/>
        <w:bottom w:val="double" w:color="auto" w:sz="6" w:space="0"/>
        <w:right w:val="double" w:color="auto" w:sz="6" w:space="0"/>
      </w:pBdr>
      <w:spacing w:before="100" w:beforeAutospacing="1" w:after="100" w:afterAutospacing="1"/>
      <w:jc w:val="center"/>
    </w:pPr>
    <w:rPr>
      <w:rFonts w:ascii="Arial Unicode MS" w:hAnsi="Arial Unicode MS"/>
      <w:kern w:val="0"/>
      <w:sz w:val="24"/>
    </w:rPr>
  </w:style>
  <w:style w:type="paragraph" w:customStyle="1" w:styleId="288">
    <w:name w:val="表格表头"/>
    <w:basedOn w:val="1"/>
    <w:next w:val="13"/>
    <w:qFormat/>
    <w:uiPriority w:val="0"/>
    <w:pPr>
      <w:tabs>
        <w:tab w:val="left" w:pos="840"/>
      </w:tabs>
      <w:ind w:left="840" w:hanging="420"/>
      <w:jc w:val="center"/>
    </w:pPr>
  </w:style>
  <w:style w:type="paragraph" w:customStyle="1" w:styleId="289">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90">
    <w:name w:val="font12"/>
    <w:basedOn w:val="1"/>
    <w:qFormat/>
    <w:uiPriority w:val="0"/>
    <w:pPr>
      <w:widowControl/>
      <w:spacing w:before="100" w:beforeAutospacing="1" w:after="100" w:afterAutospacing="1"/>
      <w:jc w:val="left"/>
    </w:pPr>
    <w:rPr>
      <w:rFonts w:eastAsia="Arial Unicode MS"/>
      <w:color w:val="000000"/>
      <w:kern w:val="0"/>
      <w:sz w:val="20"/>
      <w:szCs w:val="20"/>
    </w:rPr>
  </w:style>
  <w:style w:type="character" w:customStyle="1" w:styleId="291">
    <w:name w:val="redfilenumber"/>
    <w:qFormat/>
    <w:uiPriority w:val="0"/>
    <w:rPr>
      <w:color w:val="BA2636"/>
      <w:sz w:val="18"/>
      <w:szCs w:val="18"/>
    </w:rPr>
  </w:style>
  <w:style w:type="character" w:customStyle="1" w:styleId="292">
    <w:name w:val="qxdate"/>
    <w:qFormat/>
    <w:uiPriority w:val="0"/>
    <w:rPr>
      <w:color w:val="333333"/>
      <w:sz w:val="18"/>
      <w:szCs w:val="18"/>
    </w:rPr>
  </w:style>
  <w:style w:type="character" w:customStyle="1" w:styleId="293">
    <w:name w:val="next"/>
    <w:qFormat/>
    <w:uiPriority w:val="0"/>
    <w:rPr>
      <w:rFonts w:ascii="微软雅黑" w:hAnsi="微软雅黑" w:eastAsia="微软雅黑" w:cs="微软雅黑"/>
      <w:sz w:val="21"/>
      <w:szCs w:val="21"/>
    </w:rPr>
  </w:style>
  <w:style w:type="character" w:customStyle="1" w:styleId="294">
    <w:name w:val="next1"/>
    <w:qFormat/>
    <w:uiPriority w:val="0"/>
    <w:rPr>
      <w:color w:val="888888"/>
    </w:rPr>
  </w:style>
  <w:style w:type="character" w:customStyle="1" w:styleId="295">
    <w:name w:val="displayarti"/>
    <w:qFormat/>
    <w:uiPriority w:val="0"/>
    <w:rPr>
      <w:color w:val="FFFFFF"/>
      <w:shd w:val="clear" w:color="auto" w:fill="A00000"/>
    </w:rPr>
  </w:style>
  <w:style w:type="character" w:customStyle="1" w:styleId="296">
    <w:name w:val="prev2"/>
    <w:qFormat/>
    <w:uiPriority w:val="0"/>
    <w:rPr>
      <w:rFonts w:hint="eastAsia" w:ascii="微软雅黑" w:hAnsi="微软雅黑" w:eastAsia="微软雅黑" w:cs="微软雅黑"/>
      <w:sz w:val="21"/>
      <w:szCs w:val="21"/>
    </w:rPr>
  </w:style>
  <w:style w:type="character" w:customStyle="1" w:styleId="297">
    <w:name w:val="prev3"/>
    <w:qFormat/>
    <w:uiPriority w:val="0"/>
    <w:rPr>
      <w:color w:val="888888"/>
    </w:rPr>
  </w:style>
  <w:style w:type="character" w:customStyle="1" w:styleId="298">
    <w:name w:val="gjfg"/>
    <w:qFormat/>
    <w:uiPriority w:val="0"/>
  </w:style>
  <w:style w:type="character" w:customStyle="1" w:styleId="299">
    <w:name w:val="redfilefwwh"/>
    <w:qFormat/>
    <w:uiPriority w:val="0"/>
    <w:rPr>
      <w:color w:val="BA2636"/>
      <w:sz w:val="18"/>
      <w:szCs w:val="18"/>
    </w:rPr>
  </w:style>
  <w:style w:type="character" w:customStyle="1" w:styleId="300">
    <w:name w:val="cfdate"/>
    <w:qFormat/>
    <w:uiPriority w:val="0"/>
    <w:rPr>
      <w:color w:val="333333"/>
      <w:sz w:val="18"/>
      <w:szCs w:val="18"/>
    </w:rPr>
  </w:style>
  <w:style w:type="character" w:customStyle="1" w:styleId="301">
    <w:name w:val="prev"/>
    <w:qFormat/>
    <w:uiPriority w:val="0"/>
    <w:rPr>
      <w:rFonts w:hint="eastAsia" w:ascii="微软雅黑" w:hAnsi="微软雅黑" w:eastAsia="微软雅黑" w:cs="微软雅黑"/>
      <w:sz w:val="21"/>
      <w:szCs w:val="21"/>
    </w:rPr>
  </w:style>
  <w:style w:type="character" w:customStyle="1" w:styleId="302">
    <w:name w:val="prev1"/>
    <w:qFormat/>
    <w:uiPriority w:val="0"/>
    <w:rPr>
      <w:color w:val="888888"/>
    </w:rPr>
  </w:style>
  <w:style w:type="paragraph" w:customStyle="1" w:styleId="303">
    <w:name w:val="Heading #2|1"/>
    <w:basedOn w:val="1"/>
    <w:qFormat/>
    <w:uiPriority w:val="0"/>
    <w:pPr>
      <w:spacing w:after="720" w:line="648" w:lineRule="exact"/>
      <w:ind w:firstLine="310"/>
      <w:jc w:val="center"/>
      <w:outlineLvl w:val="1"/>
    </w:pPr>
    <w:rPr>
      <w:rFonts w:ascii="宋体" w:hAnsi="宋体" w:cs="宋体"/>
      <w:kern w:val="0"/>
      <w:sz w:val="42"/>
      <w:szCs w:val="42"/>
      <w:lang w:val="zh-TW" w:eastAsia="zh-TW" w:bidi="zh-TW"/>
    </w:rPr>
  </w:style>
  <w:style w:type="paragraph" w:customStyle="1" w:styleId="304">
    <w:name w:val="Body text|1"/>
    <w:basedOn w:val="1"/>
    <w:qFormat/>
    <w:uiPriority w:val="0"/>
    <w:pPr>
      <w:spacing w:line="401" w:lineRule="auto"/>
      <w:ind w:firstLine="400"/>
      <w:jc w:val="left"/>
    </w:pPr>
    <w:rPr>
      <w:rFonts w:ascii="宋体" w:hAnsi="宋体" w:cs="宋体"/>
      <w:kern w:val="0"/>
      <w:sz w:val="30"/>
      <w:szCs w:val="30"/>
      <w:lang w:val="zh-TW" w:eastAsia="zh-TW" w:bidi="zh-TW"/>
    </w:rPr>
  </w:style>
  <w:style w:type="paragraph" w:customStyle="1" w:styleId="305">
    <w:name w:val="标题 11"/>
    <w:basedOn w:val="1"/>
    <w:qFormat/>
    <w:uiPriority w:val="1"/>
    <w:pPr>
      <w:autoSpaceDE w:val="0"/>
      <w:autoSpaceDN w:val="0"/>
      <w:spacing w:before="38"/>
      <w:ind w:left="1482" w:right="1677"/>
      <w:jc w:val="center"/>
      <w:outlineLvl w:val="1"/>
    </w:pPr>
    <w:rPr>
      <w:rFonts w:ascii="宋体" w:hAnsi="宋体" w:cs="宋体"/>
      <w:b/>
      <w:bCs/>
      <w:kern w:val="0"/>
      <w:sz w:val="36"/>
      <w:szCs w:val="36"/>
    </w:rPr>
  </w:style>
  <w:style w:type="paragraph" w:customStyle="1" w:styleId="306">
    <w:name w:val="章标题"/>
    <w:next w:val="1"/>
    <w:qFormat/>
    <w:uiPriority w:val="99"/>
    <w:pPr>
      <w:spacing w:beforeLines="50" w:afterLines="50" w:line="336" w:lineRule="auto"/>
      <w:jc w:val="both"/>
      <w:outlineLvl w:val="1"/>
    </w:pPr>
    <w:rPr>
      <w:rFonts w:ascii="黑体" w:hAnsi="Times New Roman" w:eastAsia="黑体" w:cs="Times New Roman"/>
      <w:sz w:val="21"/>
      <w:szCs w:val="21"/>
      <w:lang w:val="en-US" w:eastAsia="zh-CN" w:bidi="ar-SA"/>
    </w:rPr>
  </w:style>
  <w:style w:type="paragraph" w:customStyle="1" w:styleId="307">
    <w:name w:val="石墨文档正文"/>
    <w:qFormat/>
    <w:uiPriority w:val="99"/>
    <w:rPr>
      <w:rFonts w:ascii="微软雅黑" w:hAnsi="微软雅黑" w:eastAsia="微软雅黑" w:cs="微软雅黑"/>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76</Pages>
  <Words>33199</Words>
  <Characters>35307</Characters>
  <Lines>274</Lines>
  <Paragraphs>77</Paragraphs>
  <TotalTime>2</TotalTime>
  <ScaleCrop>false</ScaleCrop>
  <LinksUpToDate>false</LinksUpToDate>
  <CharactersWithSpaces>36215</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2021-12-08T14:45:00Z</dcterms:created>
  <dc:creator>undefined</dc:creator>
  <cp:lastModifiedBy>Administrator</cp:lastModifiedBy>
  <cp:lastPrinted>2021-04-27T17:13:00Z</cp:lastPrinted>
  <dcterms:modified xsi:type="dcterms:W3CDTF">2023-01-16T06:53:56Z</dcterms:modified>
  <dc:title>   </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29FBF05C2BD44F7E93468815EC8C7936</vt:lpwstr>
  </property>
</Properties>
</file>