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76" w:lineRule="auto"/>
        <w:jc w:val="right"/>
        <w:rPr>
          <w:rFonts w:hint="eastAsia" w:ascii="宋体" w:hAnsi="宋体" w:eastAsia="宋体" w:cs="宋体"/>
          <w:b/>
          <w:szCs w:val="21"/>
        </w:rPr>
      </w:pPr>
    </w:p>
    <w:p>
      <w:pPr>
        <w:spacing w:line="276" w:lineRule="auto"/>
        <w:jc w:val="right"/>
        <w:rPr>
          <w:rFonts w:hint="eastAsia" w:ascii="宋体" w:hAnsi="宋体" w:eastAsia="宋体" w:cs="宋体"/>
          <w:b/>
          <w:szCs w:val="21"/>
        </w:rPr>
      </w:pPr>
    </w:p>
    <w:p>
      <w:pPr>
        <w:spacing w:line="276" w:lineRule="auto"/>
        <w:jc w:val="right"/>
        <w:rPr>
          <w:rFonts w:hint="eastAsia" w:ascii="宋体" w:hAnsi="宋体" w:eastAsia="宋体" w:cs="宋体"/>
          <w:b/>
          <w:szCs w:val="21"/>
        </w:rPr>
      </w:pPr>
      <w:r>
        <w:rPr>
          <w:rFonts w:hint="eastAsia" w:ascii="宋体" w:hAnsi="宋体" w:eastAsia="宋体" w:cs="宋体"/>
          <w:b/>
          <w:kern w:val="2"/>
          <w:sz w:val="21"/>
          <w:szCs w:val="21"/>
          <w:lang w:val="en-US" w:eastAsia="zh-CN" w:bidi="ar-SA"/>
        </w:rPr>
        <w:pict>
          <v:shape id="Picture 1" o:spid="_x0000_s1026" type="#_x0000_t75" style="height:51.9pt;width:113.8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pacing w:line="276" w:lineRule="auto"/>
        <w:jc w:val="right"/>
        <w:rPr>
          <w:rFonts w:hint="eastAsia" w:ascii="宋体" w:hAnsi="宋体" w:eastAsia="宋体" w:cs="宋体"/>
          <w:szCs w:val="21"/>
        </w:rPr>
      </w:pPr>
    </w:p>
    <w:p>
      <w:pPr>
        <w:spacing w:line="276" w:lineRule="auto"/>
        <w:jc w:val="center"/>
        <w:rPr>
          <w:rFonts w:hint="eastAsia" w:ascii="宋体" w:hAnsi="宋体" w:eastAsia="宋体" w:cs="宋体"/>
          <w:b/>
          <w:szCs w:val="21"/>
        </w:rPr>
      </w:pPr>
    </w:p>
    <w:p>
      <w:pPr>
        <w:spacing w:line="276" w:lineRule="auto"/>
        <w:jc w:val="center"/>
        <w:rPr>
          <w:rFonts w:hint="eastAsia" w:ascii="宋体" w:hAnsi="宋体" w:eastAsia="宋体" w:cs="宋体"/>
          <w:sz w:val="84"/>
          <w:szCs w:val="84"/>
        </w:rPr>
      </w:pPr>
      <w:r>
        <w:rPr>
          <w:rFonts w:hint="eastAsia" w:ascii="宋体" w:hAnsi="宋体" w:eastAsia="宋体" w:cs="宋体"/>
          <w:b/>
          <w:sz w:val="84"/>
          <w:szCs w:val="84"/>
        </w:rPr>
        <w:t>政府采购项目</w:t>
      </w:r>
    </w:p>
    <w:p>
      <w:pPr>
        <w:spacing w:line="276" w:lineRule="auto"/>
        <w:jc w:val="center"/>
        <w:outlineLvl w:val="0"/>
        <w:rPr>
          <w:rFonts w:hint="eastAsia" w:ascii="宋体" w:hAnsi="宋体" w:eastAsia="宋体" w:cs="宋体"/>
          <w:b/>
          <w:bCs/>
          <w:sz w:val="84"/>
          <w:szCs w:val="84"/>
        </w:rPr>
      </w:pPr>
      <w:bookmarkStart w:id="0" w:name="_Toc29295"/>
      <w:r>
        <w:rPr>
          <w:rFonts w:hint="eastAsia" w:ascii="宋体" w:hAnsi="宋体" w:eastAsia="宋体" w:cs="宋体"/>
          <w:b/>
          <w:bCs/>
          <w:sz w:val="84"/>
          <w:szCs w:val="84"/>
        </w:rPr>
        <w:t>招 标 文 件</w:t>
      </w:r>
      <w:bookmarkEnd w:id="0"/>
    </w:p>
    <w:p>
      <w:pPr>
        <w:spacing w:line="276" w:lineRule="auto"/>
        <w:jc w:val="center"/>
        <w:rPr>
          <w:rFonts w:hint="eastAsia" w:ascii="宋体" w:hAnsi="宋体" w:eastAsia="宋体" w:cs="宋体"/>
          <w:b/>
          <w:bCs/>
          <w:sz w:val="30"/>
          <w:szCs w:val="30"/>
        </w:rPr>
      </w:pPr>
    </w:p>
    <w:p>
      <w:pPr>
        <w:spacing w:line="276" w:lineRule="auto"/>
        <w:rPr>
          <w:rFonts w:hint="eastAsia" w:ascii="宋体" w:hAnsi="宋体" w:eastAsia="宋体" w:cs="宋体"/>
          <w:szCs w:val="21"/>
        </w:rPr>
      </w:pPr>
    </w:p>
    <w:p>
      <w:pPr>
        <w:spacing w:line="276" w:lineRule="auto"/>
        <w:rPr>
          <w:rFonts w:hint="eastAsia" w:ascii="宋体" w:hAnsi="宋体" w:eastAsia="宋体" w:cs="宋体"/>
          <w:i/>
          <w:color w:val="FF0000"/>
          <w:szCs w:val="21"/>
        </w:rPr>
      </w:pPr>
    </w:p>
    <w:p>
      <w:pPr>
        <w:spacing w:line="276" w:lineRule="auto"/>
        <w:rPr>
          <w:rFonts w:hint="eastAsia" w:ascii="宋体" w:hAnsi="宋体" w:eastAsia="宋体" w:cs="宋体"/>
          <w:szCs w:val="21"/>
        </w:rPr>
      </w:pPr>
    </w:p>
    <w:p>
      <w:pPr>
        <w:tabs>
          <w:tab w:val="left" w:pos="2127"/>
          <w:tab w:val="left" w:pos="2552"/>
          <w:tab w:val="left" w:pos="3969"/>
        </w:tabs>
        <w:snapToGrid w:val="0"/>
        <w:spacing w:line="276" w:lineRule="auto"/>
        <w:ind w:firstLine="1558" w:firstLineChars="485"/>
        <w:rPr>
          <w:rFonts w:hint="eastAsia" w:ascii="宋体" w:hAnsi="宋体" w:eastAsia="宋体" w:cs="宋体"/>
          <w:b/>
          <w:sz w:val="32"/>
          <w:szCs w:val="32"/>
        </w:rPr>
      </w:pPr>
      <w:r>
        <w:rPr>
          <w:rFonts w:hint="eastAsia" w:ascii="宋体" w:hAnsi="宋体" w:eastAsia="宋体" w:cs="宋体"/>
          <w:b/>
          <w:sz w:val="32"/>
          <w:szCs w:val="32"/>
        </w:rPr>
        <w:t>项目编号：ZB0102-202212-ZCHW0923</w:t>
      </w:r>
    </w:p>
    <w:p>
      <w:pPr>
        <w:tabs>
          <w:tab w:val="left" w:pos="2127"/>
          <w:tab w:val="left" w:pos="2552"/>
          <w:tab w:val="left" w:pos="3969"/>
        </w:tabs>
        <w:snapToGrid w:val="0"/>
        <w:spacing w:line="276" w:lineRule="auto"/>
        <w:ind w:firstLine="1558" w:firstLineChars="485"/>
        <w:rPr>
          <w:rFonts w:hint="eastAsia" w:ascii="宋体" w:hAnsi="宋体" w:eastAsia="宋体" w:cs="宋体"/>
          <w:b/>
          <w:sz w:val="32"/>
          <w:szCs w:val="32"/>
          <w:lang w:eastAsia="zh-CN"/>
        </w:rPr>
      </w:pPr>
      <w:r>
        <w:rPr>
          <w:rFonts w:hint="eastAsia" w:ascii="宋体" w:hAnsi="宋体" w:eastAsia="宋体" w:cs="宋体"/>
          <w:b/>
          <w:sz w:val="32"/>
          <w:szCs w:val="32"/>
        </w:rPr>
        <w:t>项目名称：</w:t>
      </w:r>
      <w:r>
        <w:rPr>
          <w:rFonts w:hint="eastAsia" w:ascii="宋体" w:hAnsi="宋体" w:eastAsia="宋体" w:cs="宋体"/>
          <w:b/>
          <w:sz w:val="32"/>
          <w:szCs w:val="32"/>
          <w:lang w:eastAsia="zh-CN"/>
        </w:rPr>
        <w:t>武汉大学分子精准药学研发平台采购项目</w:t>
      </w:r>
    </w:p>
    <w:p>
      <w:pPr>
        <w:tabs>
          <w:tab w:val="left" w:pos="2127"/>
          <w:tab w:val="left" w:pos="2552"/>
          <w:tab w:val="left" w:pos="3969"/>
        </w:tabs>
        <w:snapToGrid w:val="0"/>
        <w:spacing w:line="276" w:lineRule="auto"/>
        <w:ind w:firstLine="1558" w:firstLineChars="485"/>
        <w:rPr>
          <w:rFonts w:hint="eastAsia" w:ascii="宋体" w:hAnsi="宋体" w:eastAsia="宋体" w:cs="宋体"/>
          <w:b/>
          <w:sz w:val="32"/>
          <w:szCs w:val="32"/>
          <w:lang w:eastAsia="zh-CN"/>
        </w:rPr>
      </w:pPr>
      <w:r>
        <w:rPr>
          <w:rFonts w:hint="eastAsia" w:ascii="宋体" w:hAnsi="宋体" w:eastAsia="宋体" w:cs="宋体"/>
          <w:b/>
          <w:sz w:val="32"/>
          <w:szCs w:val="32"/>
        </w:rPr>
        <w:t>招标内容：</w:t>
      </w:r>
      <w:r>
        <w:rPr>
          <w:rFonts w:hint="eastAsia" w:ascii="宋体" w:hAnsi="宋体" w:eastAsia="宋体" w:cs="宋体"/>
          <w:b/>
          <w:sz w:val="32"/>
          <w:szCs w:val="32"/>
          <w:lang w:eastAsia="zh-CN"/>
        </w:rPr>
        <w:t>分子精准药学研发平台</w:t>
      </w:r>
    </w:p>
    <w:p>
      <w:pPr>
        <w:tabs>
          <w:tab w:val="left" w:pos="2127"/>
          <w:tab w:val="left" w:pos="2552"/>
          <w:tab w:val="left" w:pos="3969"/>
        </w:tabs>
        <w:snapToGrid w:val="0"/>
        <w:spacing w:line="276" w:lineRule="auto"/>
        <w:ind w:firstLine="1558" w:firstLineChars="485"/>
        <w:rPr>
          <w:rFonts w:hint="eastAsia" w:ascii="宋体" w:hAnsi="宋体" w:eastAsia="宋体" w:cs="宋体"/>
          <w:b/>
          <w:sz w:val="32"/>
          <w:szCs w:val="32"/>
          <w:lang w:val="zh-CN"/>
        </w:rPr>
      </w:pPr>
      <w:r>
        <w:rPr>
          <w:rFonts w:hint="eastAsia" w:ascii="宋体" w:hAnsi="宋体" w:eastAsia="宋体" w:cs="宋体"/>
          <w:b/>
          <w:sz w:val="32"/>
          <w:szCs w:val="32"/>
        </w:rPr>
        <w:t>采 购 人</w:t>
      </w:r>
      <w:r>
        <w:rPr>
          <w:rFonts w:hint="eastAsia" w:ascii="宋体" w:hAnsi="宋体" w:eastAsia="宋体" w:cs="宋体"/>
          <w:b/>
          <w:sz w:val="32"/>
          <w:szCs w:val="32"/>
          <w:lang w:val="zh-CN"/>
        </w:rPr>
        <w:t>：</w:t>
      </w: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DOCVARIABLE 招标人名称 </w:instrText>
      </w:r>
      <w:r>
        <w:rPr>
          <w:rFonts w:hint="eastAsia" w:ascii="宋体" w:hAnsi="宋体" w:eastAsia="宋体" w:cs="宋体"/>
          <w:b/>
          <w:sz w:val="32"/>
          <w:szCs w:val="32"/>
        </w:rPr>
        <w:fldChar w:fldCharType="separate"/>
      </w:r>
      <w:r>
        <w:rPr>
          <w:rFonts w:hint="eastAsia" w:ascii="宋体" w:hAnsi="宋体" w:eastAsia="宋体" w:cs="宋体"/>
          <w:b/>
          <w:sz w:val="32"/>
          <w:szCs w:val="32"/>
        </w:rPr>
        <w:t>武汉大学</w:t>
      </w:r>
      <w:r>
        <w:rPr>
          <w:rFonts w:hint="eastAsia" w:ascii="宋体" w:hAnsi="宋体" w:eastAsia="宋体" w:cs="宋体"/>
          <w:b/>
          <w:sz w:val="32"/>
          <w:szCs w:val="32"/>
        </w:rPr>
        <w:fldChar w:fldCharType="end"/>
      </w:r>
    </w:p>
    <w:p>
      <w:pPr>
        <w:snapToGrid w:val="0"/>
        <w:spacing w:line="276" w:lineRule="auto"/>
        <w:rPr>
          <w:rFonts w:hint="eastAsia" w:ascii="宋体" w:hAnsi="宋体" w:eastAsia="宋体" w:cs="宋体"/>
          <w:b/>
          <w:szCs w:val="21"/>
          <w:lang w:val="zh-CN"/>
        </w:rPr>
      </w:pPr>
    </w:p>
    <w:p>
      <w:pPr>
        <w:snapToGrid w:val="0"/>
        <w:spacing w:line="276" w:lineRule="auto"/>
        <w:jc w:val="center"/>
        <w:rPr>
          <w:rFonts w:hint="eastAsia" w:ascii="宋体" w:hAnsi="宋体" w:eastAsia="宋体" w:cs="宋体"/>
          <w:b/>
          <w:szCs w:val="21"/>
          <w:lang w:val="zh-CN"/>
        </w:rPr>
      </w:pPr>
    </w:p>
    <w:p>
      <w:pPr>
        <w:spacing w:line="276" w:lineRule="auto"/>
        <w:rPr>
          <w:rFonts w:hint="eastAsia" w:ascii="宋体" w:hAnsi="宋体" w:eastAsia="宋体" w:cs="宋体"/>
          <w:szCs w:val="21"/>
        </w:rPr>
      </w:pPr>
    </w:p>
    <w:p>
      <w:pPr>
        <w:spacing w:line="276" w:lineRule="auto"/>
        <w:jc w:val="center"/>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DOCVARIABLE 招标机构名称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湖北国华项目管理咨询有限公司</w:t>
      </w:r>
      <w:r>
        <w:rPr>
          <w:rFonts w:hint="eastAsia" w:ascii="宋体" w:hAnsi="宋体" w:eastAsia="宋体" w:cs="宋体"/>
          <w:b/>
          <w:bCs/>
          <w:sz w:val="32"/>
          <w:szCs w:val="32"/>
        </w:rPr>
        <w:fldChar w:fldCharType="end"/>
      </w:r>
    </w:p>
    <w:p>
      <w:pPr>
        <w:spacing w:line="276" w:lineRule="auto"/>
        <w:jc w:val="center"/>
        <w:rPr>
          <w:rFonts w:hint="eastAsia" w:ascii="宋体" w:hAnsi="宋体" w:eastAsia="宋体" w:cs="宋体"/>
          <w:b/>
          <w:bCs/>
          <w:sz w:val="32"/>
          <w:szCs w:val="32"/>
        </w:rPr>
      </w:pPr>
      <w:r>
        <w:rPr>
          <w:rFonts w:hint="eastAsia" w:ascii="宋体" w:hAnsi="宋体" w:eastAsia="宋体" w:cs="宋体"/>
          <w:b/>
          <w:bCs/>
          <w:sz w:val="32"/>
          <w:szCs w:val="32"/>
        </w:rPr>
        <w:t>二○二二年十二月</w:t>
      </w:r>
    </w:p>
    <w:p>
      <w:pPr>
        <w:spacing w:line="276" w:lineRule="auto"/>
        <w:jc w:val="center"/>
        <w:rPr>
          <w:rFonts w:hint="eastAsia" w:ascii="宋体" w:hAnsi="宋体" w:eastAsia="宋体" w:cs="宋体"/>
          <w:b/>
          <w:bCs/>
          <w:sz w:val="32"/>
          <w:szCs w:val="32"/>
        </w:rPr>
        <w:sectPr>
          <w:footerReference r:id="rId4" w:type="default"/>
          <w:pgSz w:w="11906" w:h="16838"/>
          <w:pgMar w:top="1134" w:right="1191" w:bottom="1134" w:left="1191" w:header="851" w:footer="992" w:gutter="0"/>
          <w:cols w:space="720" w:num="1"/>
          <w:docGrid w:type="lines" w:linePitch="312" w:charSpace="0"/>
        </w:sectPr>
      </w:pPr>
    </w:p>
    <w:p>
      <w:pPr>
        <w:spacing w:before="312" w:beforeLines="100" w:line="276" w:lineRule="auto"/>
        <w:jc w:val="center"/>
        <w:rPr>
          <w:rFonts w:hint="eastAsia" w:ascii="宋体" w:hAnsi="宋体" w:eastAsia="宋体" w:cs="宋体"/>
          <w:sz w:val="30"/>
          <w:szCs w:val="30"/>
        </w:rPr>
        <w:sectPr>
          <w:footerReference r:id="rId5" w:type="default"/>
          <w:type w:val="continuous"/>
          <w:pgSz w:w="11906" w:h="16838"/>
          <w:pgMar w:top="1134" w:right="1191" w:bottom="1134" w:left="1191" w:header="851" w:footer="624" w:gutter="0"/>
          <w:pgNumType w:start="0"/>
          <w:cols w:space="720" w:num="1"/>
          <w:titlePg/>
          <w:docGrid w:type="linesAndChars" w:linePitch="312" w:charSpace="0"/>
        </w:sectPr>
      </w:pPr>
    </w:p>
    <w:p>
      <w:pPr>
        <w:spacing w:before="312" w:beforeLines="100" w:line="276" w:lineRule="auto"/>
        <w:jc w:val="center"/>
        <w:rPr>
          <w:rFonts w:hint="eastAsia" w:ascii="宋体" w:hAnsi="宋体" w:eastAsia="宋体" w:cs="宋体"/>
          <w:sz w:val="30"/>
          <w:szCs w:val="30"/>
        </w:rPr>
      </w:pPr>
      <w:r>
        <w:rPr>
          <w:rFonts w:hint="eastAsia" w:ascii="宋体" w:hAnsi="宋体" w:eastAsia="宋体" w:cs="宋体"/>
          <w:sz w:val="30"/>
          <w:szCs w:val="30"/>
        </w:rPr>
        <w:t>目   录</w:t>
      </w:r>
    </w:p>
    <w:p>
      <w:pPr>
        <w:pStyle w:val="14"/>
        <w:tabs>
          <w:tab w:val="right" w:leader="dot" w:pos="9524"/>
          <w:tab w:val="clear" w:pos="9514"/>
        </w:tabs>
        <w:rPr>
          <w:rFonts w:hint="eastAsia" w:ascii="宋体" w:hAnsi="宋体" w:eastAsia="宋体" w:cs="宋体"/>
          <w:kern w:val="2"/>
          <w:szCs w:val="22"/>
          <w:lang w:val="en-US" w:eastAsia="zh-CN" w:bidi="ar-SA"/>
        </w:rPr>
      </w:pPr>
      <w:r>
        <w:rPr>
          <w:rFonts w:hint="eastAsia" w:ascii="宋体" w:hAnsi="宋体" w:eastAsia="宋体" w:cs="宋体"/>
          <w:b w:val="0"/>
          <w:iCs w:val="0"/>
          <w:szCs w:val="21"/>
        </w:rPr>
        <w:fldChar w:fldCharType="begin"/>
      </w:r>
      <w:r>
        <w:rPr>
          <w:rFonts w:hint="eastAsia" w:ascii="宋体" w:hAnsi="宋体" w:eastAsia="宋体" w:cs="宋体"/>
          <w:b w:val="0"/>
          <w:iCs w:val="0"/>
          <w:szCs w:val="21"/>
        </w:rPr>
        <w:instrText xml:space="preserve"> TOC \o "1-2" \h \z \u </w:instrText>
      </w:r>
      <w:r>
        <w:rPr>
          <w:rFonts w:hint="eastAsia" w:ascii="宋体" w:hAnsi="宋体" w:eastAsia="宋体" w:cs="宋体"/>
          <w:b w:val="0"/>
          <w:iCs w:val="0"/>
          <w:szCs w:val="21"/>
        </w:rPr>
        <w:fldChar w:fldCharType="separate"/>
      </w: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_Toc29295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bCs/>
          <w:kern w:val="2"/>
          <w:szCs w:val="84"/>
          <w:lang w:val="en-US" w:eastAsia="zh-CN" w:bidi="ar-SA"/>
        </w:rPr>
        <w:t>招 标 文 件</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_Toc29295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1</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2"/>
          <w:szCs w:val="22"/>
          <w:lang w:val="en-US" w:eastAsia="zh-CN" w:bidi="ar-SA"/>
        </w:rPr>
        <w:fldChar w:fldCharType="end"/>
      </w:r>
    </w:p>
    <w:p>
      <w:pPr>
        <w:pStyle w:val="14"/>
        <w:tabs>
          <w:tab w:val="right" w:leader="dot" w:pos="952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_Toc20425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8"/>
          <w:lang w:val="en-US" w:eastAsia="zh-CN" w:bidi="ar-SA"/>
        </w:rPr>
        <w:t>第一章 招标公告（投标邀请书）</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_Toc20425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1</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2"/>
          <w:szCs w:val="22"/>
          <w:lang w:val="en-US" w:eastAsia="zh-CN" w:bidi="ar-SA"/>
        </w:rPr>
        <w:fldChar w:fldCharType="end"/>
      </w:r>
    </w:p>
    <w:p>
      <w:pPr>
        <w:pStyle w:val="14"/>
        <w:tabs>
          <w:tab w:val="right" w:leader="dot" w:pos="952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_Toc26683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8"/>
          <w:lang w:val="en-US" w:eastAsia="zh-CN" w:bidi="ar-SA"/>
        </w:rPr>
        <w:t>第二章 投标人须知</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_Toc26683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4</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2"/>
          <w:szCs w:val="22"/>
          <w:lang w:val="en-US"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_Toc84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bCs/>
          <w:kern w:val="2"/>
          <w:szCs w:val="21"/>
          <w:lang w:val="zh-CN" w:eastAsia="zh-CN" w:bidi="ar-SA"/>
        </w:rPr>
        <w:t>投标人须知前附表</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_Toc84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4</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2"/>
          <w:szCs w:val="22"/>
          <w:lang w:val="en-US"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_Toc31467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bCs/>
          <w:kern w:val="2"/>
          <w:szCs w:val="21"/>
          <w:lang w:val="zh-CN" w:eastAsia="zh-CN" w:bidi="ar-SA"/>
        </w:rPr>
        <w:t>投标人须知</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_Toc31467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7</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2"/>
          <w:szCs w:val="22"/>
          <w:lang w:val="en-US"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_Toc19701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2"/>
          <w:lang w:val="en-US" w:eastAsia="zh-CN" w:bidi="ar-SA"/>
        </w:rPr>
        <w:t>一</w:t>
      </w:r>
      <w:r>
        <w:rPr>
          <w:rFonts w:hint="eastAsia" w:ascii="宋体" w:hAnsi="宋体" w:eastAsia="宋体" w:cs="宋体"/>
          <w:kern w:val="0"/>
          <w:szCs w:val="21"/>
          <w:lang w:val="zh-CN" w:eastAsia="zh-CN" w:bidi="ar-SA"/>
        </w:rPr>
        <w:t>、 说明</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_Toc19701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7</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0"/>
          <w:szCs w:val="21"/>
          <w:lang w:val="zh-CN"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_Toc12822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2"/>
          <w:lang w:val="en-US" w:eastAsia="zh-CN" w:bidi="ar-SA"/>
        </w:rPr>
        <w:t>二</w:t>
      </w:r>
      <w:r>
        <w:rPr>
          <w:rFonts w:hint="eastAsia" w:ascii="宋体" w:hAnsi="宋体" w:eastAsia="宋体" w:cs="宋体"/>
          <w:kern w:val="0"/>
          <w:szCs w:val="21"/>
          <w:lang w:val="zh-CN" w:eastAsia="zh-CN" w:bidi="ar-SA"/>
        </w:rPr>
        <w:t>、 招标文件</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_Toc12822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8</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0"/>
          <w:szCs w:val="21"/>
          <w:lang w:val="zh-CN"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_Toc20199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2"/>
          <w:lang w:val="en-US" w:eastAsia="zh-CN" w:bidi="ar-SA"/>
        </w:rPr>
        <w:t>三</w:t>
      </w:r>
      <w:r>
        <w:rPr>
          <w:rFonts w:hint="eastAsia" w:ascii="宋体" w:hAnsi="宋体" w:eastAsia="宋体" w:cs="宋体"/>
          <w:kern w:val="0"/>
          <w:szCs w:val="21"/>
          <w:lang w:val="zh-CN" w:eastAsia="zh-CN" w:bidi="ar-SA"/>
        </w:rPr>
        <w:t>、 投标文件</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_Toc20199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9</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0"/>
          <w:szCs w:val="21"/>
          <w:lang w:val="zh-CN"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_Toc14857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2"/>
          <w:lang w:val="en-US" w:eastAsia="zh-CN" w:bidi="ar-SA"/>
        </w:rPr>
        <w:t>四</w:t>
      </w:r>
      <w:r>
        <w:rPr>
          <w:rFonts w:hint="eastAsia" w:ascii="宋体" w:hAnsi="宋体" w:eastAsia="宋体" w:cs="宋体"/>
          <w:kern w:val="0"/>
          <w:szCs w:val="21"/>
          <w:lang w:val="zh-CN" w:eastAsia="zh-CN" w:bidi="ar-SA"/>
        </w:rPr>
        <w:t>、 开标与评标</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_Toc14857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12</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0"/>
          <w:szCs w:val="21"/>
          <w:lang w:val="zh-CN"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_Toc340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2"/>
          <w:lang w:val="en-US" w:eastAsia="zh-CN" w:bidi="ar-SA"/>
        </w:rPr>
        <w:t>五</w:t>
      </w:r>
      <w:r>
        <w:rPr>
          <w:rFonts w:hint="eastAsia" w:ascii="宋体" w:hAnsi="宋体" w:eastAsia="宋体" w:cs="宋体"/>
          <w:kern w:val="0"/>
          <w:szCs w:val="21"/>
          <w:lang w:val="zh-CN" w:eastAsia="zh-CN" w:bidi="ar-SA"/>
        </w:rPr>
        <w:t>、 投标人信用信息及查询</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_Toc340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13</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0"/>
          <w:szCs w:val="21"/>
          <w:lang w:val="zh-CN"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_Toc26892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2"/>
          <w:lang w:val="en-US" w:eastAsia="zh-CN" w:bidi="ar-SA"/>
        </w:rPr>
        <w:t>六</w:t>
      </w:r>
      <w:r>
        <w:rPr>
          <w:rFonts w:hint="eastAsia" w:ascii="宋体" w:hAnsi="宋体" w:eastAsia="宋体" w:cs="宋体"/>
          <w:kern w:val="0"/>
          <w:szCs w:val="21"/>
          <w:lang w:val="zh-CN" w:eastAsia="zh-CN" w:bidi="ar-SA"/>
        </w:rPr>
        <w:t>、 中标与合同</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_Toc26892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13</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0"/>
          <w:szCs w:val="21"/>
          <w:lang w:val="zh-CN"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_Toc12808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2"/>
          <w:lang w:val="en-US" w:eastAsia="zh-CN" w:bidi="ar-SA"/>
        </w:rPr>
        <w:t>七</w:t>
      </w:r>
      <w:r>
        <w:rPr>
          <w:rFonts w:hint="eastAsia" w:ascii="宋体" w:hAnsi="宋体" w:eastAsia="宋体" w:cs="宋体"/>
          <w:kern w:val="0"/>
          <w:szCs w:val="21"/>
          <w:lang w:val="zh-CN" w:eastAsia="zh-CN" w:bidi="ar-SA"/>
        </w:rPr>
        <w:t>、 采购信息公告</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_Toc12808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14</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0"/>
          <w:szCs w:val="21"/>
          <w:lang w:val="zh-CN"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_Toc27609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2"/>
          <w:lang w:val="en-US" w:eastAsia="zh-CN" w:bidi="ar-SA"/>
        </w:rPr>
        <w:t>八</w:t>
      </w:r>
      <w:r>
        <w:rPr>
          <w:rFonts w:hint="eastAsia" w:ascii="宋体" w:hAnsi="宋体" w:eastAsia="宋体" w:cs="宋体"/>
          <w:kern w:val="0"/>
          <w:szCs w:val="21"/>
          <w:lang w:val="zh-CN" w:eastAsia="zh-CN" w:bidi="ar-SA"/>
        </w:rPr>
        <w:t>、 质疑及提交</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_Toc27609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14</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0"/>
          <w:szCs w:val="21"/>
          <w:lang w:val="zh-CN"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_Toc136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2"/>
          <w:lang w:val="en-US" w:eastAsia="zh-CN" w:bidi="ar-SA"/>
        </w:rPr>
        <w:t>九</w:t>
      </w:r>
      <w:r>
        <w:rPr>
          <w:rFonts w:hint="eastAsia" w:ascii="宋体" w:hAnsi="宋体" w:eastAsia="宋体" w:cs="宋体"/>
          <w:kern w:val="0"/>
          <w:szCs w:val="21"/>
          <w:lang w:val="zh-CN" w:eastAsia="zh-CN" w:bidi="ar-SA"/>
        </w:rPr>
        <w:t>、 保密</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_Toc136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15</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0"/>
          <w:szCs w:val="21"/>
          <w:lang w:val="zh-CN"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_Toc15051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2"/>
          <w:lang w:val="en-US" w:eastAsia="zh-CN" w:bidi="ar-SA"/>
        </w:rPr>
        <w:t>十</w:t>
      </w:r>
      <w:r>
        <w:rPr>
          <w:rFonts w:hint="eastAsia" w:ascii="宋体" w:hAnsi="宋体" w:eastAsia="宋体" w:cs="宋体"/>
          <w:kern w:val="0"/>
          <w:szCs w:val="21"/>
          <w:lang w:val="zh-CN" w:eastAsia="zh-CN" w:bidi="ar-SA"/>
        </w:rPr>
        <w:t>、 相关条文解读</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_Toc15051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15</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0"/>
          <w:szCs w:val="21"/>
          <w:lang w:val="zh-CN"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_Toc9984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2"/>
          <w:lang w:val="en-US" w:eastAsia="zh-CN" w:bidi="ar-SA"/>
        </w:rPr>
        <w:t>十</w:t>
      </w:r>
      <w:r>
        <w:rPr>
          <w:rFonts w:hint="eastAsia" w:ascii="宋体" w:hAnsi="宋体" w:eastAsia="宋体" w:cs="宋体"/>
          <w:kern w:val="0"/>
          <w:szCs w:val="21"/>
          <w:lang w:val="zh-CN" w:eastAsia="zh-CN" w:bidi="ar-SA"/>
        </w:rPr>
        <w:t>一、 适用法律、法规、规章及规范性文件</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_Toc9984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15</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0"/>
          <w:szCs w:val="21"/>
          <w:lang w:val="zh-CN"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_Toc17810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2"/>
          <w:lang w:val="en-US" w:eastAsia="zh-CN" w:bidi="ar-SA"/>
        </w:rPr>
        <w:t>十</w:t>
      </w:r>
      <w:r>
        <w:rPr>
          <w:rFonts w:hint="eastAsia" w:ascii="宋体" w:hAnsi="宋体" w:eastAsia="宋体" w:cs="宋体"/>
          <w:kern w:val="0"/>
          <w:szCs w:val="21"/>
          <w:lang w:val="zh-CN" w:eastAsia="zh-CN" w:bidi="ar-SA"/>
        </w:rPr>
        <w:t>二、 招标文件的解释权</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_Toc17810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15</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0"/>
          <w:szCs w:val="21"/>
          <w:lang w:val="zh-CN" w:eastAsia="zh-CN" w:bidi="ar-SA"/>
        </w:rPr>
        <w:fldChar w:fldCharType="end"/>
      </w:r>
    </w:p>
    <w:p>
      <w:pPr>
        <w:pStyle w:val="14"/>
        <w:tabs>
          <w:tab w:val="right" w:leader="dot" w:pos="952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_Toc25527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8"/>
          <w:lang w:val="en-US" w:eastAsia="zh-CN" w:bidi="ar-SA"/>
        </w:rPr>
        <w:t>第三章 技术、服务及商务要求</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_Toc25527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16</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2"/>
          <w:szCs w:val="22"/>
          <w:lang w:val="en-US"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_Toc29034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1"/>
          <w:lang w:val="en-US" w:eastAsia="zh-CN" w:bidi="ar-SA"/>
        </w:rPr>
        <w:t>一、综 述</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_Toc29034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16</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2"/>
          <w:szCs w:val="22"/>
          <w:lang w:val="en-US"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_Toc20184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1"/>
          <w:lang w:val="en-US" w:eastAsia="zh-CN" w:bidi="ar-SA"/>
        </w:rPr>
        <w:t>二、技术、服务要求</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_Toc20184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16</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2"/>
          <w:szCs w:val="22"/>
          <w:lang w:val="en-US"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_Toc9769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1"/>
          <w:lang w:val="en-US" w:eastAsia="zh-CN" w:bidi="ar-SA"/>
        </w:rPr>
        <w:t>三、商务要求</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_Toc9769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34</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2"/>
          <w:szCs w:val="22"/>
          <w:lang w:val="en-US" w:eastAsia="zh-CN" w:bidi="ar-SA"/>
        </w:rPr>
        <w:fldChar w:fldCharType="end"/>
      </w:r>
    </w:p>
    <w:p>
      <w:pPr>
        <w:pStyle w:val="14"/>
        <w:tabs>
          <w:tab w:val="right" w:leader="dot" w:pos="952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_Toc2006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8"/>
          <w:lang w:val="en-US" w:eastAsia="zh-CN" w:bidi="ar-SA"/>
        </w:rPr>
        <w:t>第四章  资格审查方法及标准</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_Toc2006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36</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2"/>
          <w:szCs w:val="22"/>
          <w:lang w:val="en-US"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_Toc18592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2"/>
          <w:lang w:val="en-US" w:eastAsia="zh-CN" w:bidi="ar-SA"/>
        </w:rPr>
        <w:t>一</w:t>
      </w:r>
      <w:r>
        <w:rPr>
          <w:rFonts w:hint="eastAsia" w:ascii="宋体" w:hAnsi="宋体" w:eastAsia="宋体" w:cs="宋体"/>
          <w:kern w:val="0"/>
          <w:szCs w:val="21"/>
          <w:lang w:val="zh-CN" w:eastAsia="zh-CN" w:bidi="ar-SA"/>
        </w:rPr>
        <w:t>、 资格审查方法</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_Toc18592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36</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0"/>
          <w:szCs w:val="21"/>
          <w:lang w:val="zh-CN"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_Toc16062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2"/>
          <w:lang w:val="en-US" w:eastAsia="zh-CN" w:bidi="ar-SA"/>
        </w:rPr>
        <w:t>二</w:t>
      </w:r>
      <w:r>
        <w:rPr>
          <w:rFonts w:hint="eastAsia" w:ascii="宋体" w:hAnsi="宋体" w:eastAsia="宋体" w:cs="宋体"/>
          <w:kern w:val="0"/>
          <w:szCs w:val="21"/>
          <w:lang w:val="zh-CN" w:eastAsia="zh-CN" w:bidi="ar-SA"/>
        </w:rPr>
        <w:t>、 资格审查表</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_Toc16062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36</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0"/>
          <w:szCs w:val="21"/>
          <w:lang w:val="zh-CN"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_Toc13602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2"/>
          <w:lang w:val="en-US" w:eastAsia="zh-CN" w:bidi="ar-SA"/>
        </w:rPr>
        <w:t>三</w:t>
      </w:r>
      <w:r>
        <w:rPr>
          <w:rFonts w:hint="eastAsia" w:ascii="宋体" w:hAnsi="宋体" w:eastAsia="宋体" w:cs="宋体"/>
          <w:kern w:val="0"/>
          <w:szCs w:val="21"/>
          <w:lang w:val="zh-CN" w:eastAsia="zh-CN" w:bidi="ar-SA"/>
        </w:rPr>
        <w:t>、 确定资格审查合格投标人</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_Toc13602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37</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0"/>
          <w:szCs w:val="21"/>
          <w:lang w:val="zh-CN" w:eastAsia="zh-CN" w:bidi="ar-SA"/>
        </w:rPr>
        <w:fldChar w:fldCharType="end"/>
      </w:r>
    </w:p>
    <w:p>
      <w:pPr>
        <w:pStyle w:val="14"/>
        <w:tabs>
          <w:tab w:val="right" w:leader="dot" w:pos="952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_Toc296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8"/>
          <w:lang w:val="en-US" w:eastAsia="zh-CN" w:bidi="ar-SA"/>
        </w:rPr>
        <w:t>第五章  评标方法、程序及标准</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_Toc296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38</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2"/>
          <w:szCs w:val="22"/>
          <w:lang w:val="en-US"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_Toc9012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2"/>
          <w:lang w:val="en-US" w:eastAsia="zh-CN" w:bidi="ar-SA"/>
        </w:rPr>
        <w:t>一</w:t>
      </w:r>
      <w:r>
        <w:rPr>
          <w:rFonts w:hint="eastAsia" w:ascii="宋体" w:hAnsi="宋体" w:eastAsia="宋体" w:cs="宋体"/>
          <w:kern w:val="0"/>
          <w:szCs w:val="21"/>
          <w:lang w:val="zh-CN" w:eastAsia="zh-CN" w:bidi="ar-SA"/>
        </w:rPr>
        <w:t>、 评标方法</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_Toc9012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38</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0"/>
          <w:szCs w:val="21"/>
          <w:lang w:val="zh-CN"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_Toc12203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2"/>
          <w:lang w:val="en-US" w:eastAsia="zh-CN" w:bidi="ar-SA"/>
        </w:rPr>
        <w:t>二</w:t>
      </w:r>
      <w:r>
        <w:rPr>
          <w:rFonts w:hint="eastAsia" w:ascii="宋体" w:hAnsi="宋体" w:eastAsia="宋体" w:cs="宋体"/>
          <w:kern w:val="0"/>
          <w:szCs w:val="21"/>
          <w:lang w:val="zh-CN" w:eastAsia="zh-CN" w:bidi="ar-SA"/>
        </w:rPr>
        <w:t>、 评标程序及标准</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_Toc12203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38</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0"/>
          <w:szCs w:val="21"/>
          <w:lang w:val="zh-CN" w:eastAsia="zh-CN" w:bidi="ar-SA"/>
        </w:rPr>
        <w:fldChar w:fldCharType="end"/>
      </w:r>
    </w:p>
    <w:p>
      <w:pPr>
        <w:pStyle w:val="17"/>
        <w:tabs>
          <w:tab w:val="right" w:leader="dot" w:pos="9524"/>
          <w:tab w:val="clear" w:pos="756"/>
          <w:tab w:val="clear" w:pos="966"/>
          <w:tab w:val="clear" w:pos="120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_Toc25511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2"/>
          <w:lang w:val="en-US" w:eastAsia="zh-CN" w:bidi="ar-SA"/>
        </w:rPr>
        <w:t>三</w:t>
      </w:r>
      <w:r>
        <w:rPr>
          <w:rFonts w:hint="eastAsia" w:ascii="宋体" w:hAnsi="宋体" w:eastAsia="宋体" w:cs="宋体"/>
          <w:kern w:val="0"/>
          <w:szCs w:val="21"/>
          <w:lang w:val="zh-CN" w:eastAsia="zh-CN" w:bidi="ar-SA"/>
        </w:rPr>
        <w:t>、 评审因素及评分标准</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_Toc25511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41</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0"/>
          <w:szCs w:val="21"/>
          <w:lang w:val="zh-CN" w:eastAsia="zh-CN" w:bidi="ar-SA"/>
        </w:rPr>
        <w:fldChar w:fldCharType="end"/>
      </w:r>
    </w:p>
    <w:p>
      <w:pPr>
        <w:pStyle w:val="14"/>
        <w:tabs>
          <w:tab w:val="right" w:leader="dot" w:pos="952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_Toc26625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8"/>
          <w:lang w:val="en-US" w:eastAsia="zh-CN" w:bidi="ar-SA"/>
        </w:rPr>
        <w:t>第六章 合同书格式</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_Toc26625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43</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2"/>
          <w:szCs w:val="22"/>
          <w:lang w:val="en-US" w:eastAsia="zh-CN" w:bidi="ar-SA"/>
        </w:rPr>
        <w:fldChar w:fldCharType="end"/>
      </w:r>
    </w:p>
    <w:p>
      <w:pPr>
        <w:pStyle w:val="14"/>
        <w:tabs>
          <w:tab w:val="right" w:leader="dot" w:pos="9524"/>
          <w:tab w:val="clear" w:pos="9514"/>
        </w:tabs>
        <w:rPr>
          <w:rFonts w:hint="eastAsia" w:ascii="宋体" w:hAnsi="宋体" w:eastAsia="宋体" w:cs="宋体"/>
          <w:kern w:val="2"/>
          <w:szCs w:val="22"/>
          <w:lang w:val="en-US" w:eastAsia="zh-CN" w:bidi="ar-SA"/>
        </w:rPr>
      </w:pPr>
      <w:r>
        <w:rPr>
          <w:rFonts w:hint="eastAsia" w:ascii="宋体" w:hAnsi="宋体" w:eastAsia="宋体" w:cs="宋体"/>
          <w:color w:val="000000"/>
          <w:kern w:val="2"/>
          <w:szCs w:val="22"/>
          <w:lang w:val="en-US" w:eastAsia="zh-CN" w:bidi="ar-SA"/>
        </w:rPr>
        <w:fldChar w:fldCharType="begin"/>
      </w:r>
      <w:r>
        <w:rPr>
          <w:rFonts w:hint="eastAsia" w:ascii="宋体" w:hAnsi="宋体" w:eastAsia="宋体" w:cs="宋体"/>
          <w:color w:val="000000"/>
          <w:kern w:val="2"/>
          <w:szCs w:val="22"/>
          <w:lang w:val="en-US" w:eastAsia="zh-CN" w:bidi="ar-SA"/>
        </w:rPr>
        <w:instrText xml:space="preserve"> HYPERLINK \l _Toc13492 </w:instrText>
      </w:r>
      <w:r>
        <w:rPr>
          <w:rFonts w:hint="eastAsia" w:ascii="宋体" w:hAnsi="宋体" w:eastAsia="宋体" w:cs="宋体"/>
          <w:color w:val="000000"/>
          <w:kern w:val="2"/>
          <w:szCs w:val="22"/>
          <w:lang w:val="en-US" w:eastAsia="zh-CN" w:bidi="ar-SA"/>
        </w:rPr>
        <w:fldChar w:fldCharType="separate"/>
      </w:r>
      <w:r>
        <w:rPr>
          <w:rFonts w:hint="eastAsia" w:ascii="宋体" w:hAnsi="宋体" w:eastAsia="宋体" w:cs="宋体"/>
          <w:kern w:val="2"/>
          <w:szCs w:val="28"/>
          <w:lang w:val="en-US" w:eastAsia="zh-CN" w:bidi="ar-SA"/>
        </w:rPr>
        <w:t>第七章 投标文件格式</w:t>
      </w:r>
      <w:r>
        <w:rPr>
          <w:rFonts w:hint="eastAsia" w:ascii="宋体" w:hAnsi="宋体" w:eastAsia="宋体" w:cs="宋体"/>
          <w:kern w:val="2"/>
          <w:szCs w:val="22"/>
          <w:lang w:val="en-US" w:eastAsia="zh-CN" w:bidi="ar-SA"/>
        </w:rPr>
        <w:tab/>
      </w:r>
      <w:r>
        <w:rPr>
          <w:rFonts w:hint="eastAsia" w:ascii="宋体" w:hAnsi="宋体" w:eastAsia="宋体" w:cs="宋体"/>
          <w:kern w:val="2"/>
          <w:szCs w:val="22"/>
          <w:lang w:val="en-US" w:eastAsia="zh-CN" w:bidi="ar-SA"/>
        </w:rPr>
        <w:fldChar w:fldCharType="begin"/>
      </w:r>
      <w:r>
        <w:rPr>
          <w:rFonts w:hint="eastAsia" w:ascii="宋体" w:hAnsi="宋体" w:eastAsia="宋体" w:cs="宋体"/>
          <w:kern w:val="2"/>
          <w:szCs w:val="22"/>
          <w:lang w:val="en-US" w:eastAsia="zh-CN" w:bidi="ar-SA"/>
        </w:rPr>
        <w:instrText xml:space="preserve"> PAGEREF _Toc13492 </w:instrText>
      </w:r>
      <w:r>
        <w:rPr>
          <w:rFonts w:hint="eastAsia" w:ascii="宋体" w:hAnsi="宋体" w:eastAsia="宋体" w:cs="宋体"/>
          <w:kern w:val="2"/>
          <w:szCs w:val="22"/>
          <w:lang w:val="en-US" w:eastAsia="zh-CN" w:bidi="ar-SA"/>
        </w:rPr>
        <w:fldChar w:fldCharType="separate"/>
      </w:r>
      <w:r>
        <w:rPr>
          <w:rFonts w:hint="eastAsia" w:ascii="宋体" w:hAnsi="宋体" w:eastAsia="宋体" w:cs="宋体"/>
          <w:kern w:val="2"/>
          <w:szCs w:val="22"/>
          <w:lang w:val="en-US" w:eastAsia="zh-CN" w:bidi="ar-SA"/>
        </w:rPr>
        <w:t>51</w:t>
      </w:r>
      <w:r>
        <w:rPr>
          <w:rFonts w:hint="eastAsia" w:ascii="宋体" w:hAnsi="宋体" w:eastAsia="宋体" w:cs="宋体"/>
          <w:kern w:val="2"/>
          <w:szCs w:val="22"/>
          <w:lang w:val="en-US" w:eastAsia="zh-CN" w:bidi="ar-SA"/>
        </w:rPr>
        <w:fldChar w:fldCharType="end"/>
      </w:r>
      <w:r>
        <w:rPr>
          <w:rFonts w:hint="eastAsia" w:ascii="宋体" w:hAnsi="宋体" w:eastAsia="宋体" w:cs="宋体"/>
          <w:color w:val="000000"/>
          <w:kern w:val="2"/>
          <w:szCs w:val="22"/>
          <w:lang w:val="en-US" w:eastAsia="zh-CN" w:bidi="ar-SA"/>
        </w:rPr>
        <w:fldChar w:fldCharType="end"/>
      </w:r>
    </w:p>
    <w:p>
      <w:pPr>
        <w:spacing w:line="300" w:lineRule="auto"/>
        <w:jc w:val="center"/>
        <w:rPr>
          <w:rFonts w:hint="eastAsia" w:ascii="宋体" w:hAnsi="宋体" w:eastAsia="宋体" w:cs="宋体"/>
        </w:rPr>
      </w:pPr>
      <w:r>
        <w:rPr>
          <w:rFonts w:hint="eastAsia" w:ascii="宋体" w:hAnsi="宋体" w:eastAsia="宋体" w:cs="宋体"/>
          <w:color w:val="000000"/>
        </w:rPr>
        <w:fldChar w:fldCharType="end"/>
      </w:r>
    </w:p>
    <w:p>
      <w:pPr>
        <w:widowControl/>
        <w:jc w:val="left"/>
        <w:rPr>
          <w:rFonts w:hint="eastAsia" w:ascii="宋体" w:hAnsi="宋体" w:eastAsia="宋体" w:cs="宋体"/>
        </w:rPr>
      </w:pPr>
      <w:r>
        <w:rPr>
          <w:rFonts w:hint="eastAsia" w:ascii="宋体" w:hAnsi="宋体" w:eastAsia="宋体" w:cs="宋体"/>
          <w:kern w:val="0"/>
        </w:rPr>
        <w:br w:type="page"/>
      </w:r>
    </w:p>
    <w:p>
      <w:pPr>
        <w:tabs>
          <w:tab w:val="left" w:pos="993"/>
        </w:tabs>
        <w:spacing w:line="300" w:lineRule="auto"/>
        <w:jc w:val="center"/>
        <w:outlineLvl w:val="0"/>
        <w:rPr>
          <w:rFonts w:hint="eastAsia" w:ascii="宋体" w:hAnsi="宋体" w:eastAsia="宋体" w:cs="宋体"/>
          <w:sz w:val="28"/>
          <w:szCs w:val="28"/>
        </w:rPr>
      </w:pPr>
      <w:bookmarkStart w:id="1" w:name="_Toc97814994"/>
      <w:r>
        <w:rPr>
          <w:rFonts w:hint="eastAsia" w:ascii="宋体" w:hAnsi="宋体" w:eastAsia="宋体" w:cs="宋体"/>
          <w:sz w:val="28"/>
          <w:szCs w:val="28"/>
        </w:rPr>
        <w:tab/>
      </w:r>
      <w:bookmarkStart w:id="2" w:name="_Toc20425"/>
      <w:r>
        <w:rPr>
          <w:rFonts w:hint="eastAsia" w:ascii="宋体" w:hAnsi="宋体" w:eastAsia="宋体" w:cs="宋体"/>
          <w:sz w:val="28"/>
          <w:szCs w:val="28"/>
        </w:rPr>
        <w:t>第一章 招标公告（投标邀请书）</w:t>
      </w:r>
      <w:bookmarkEnd w:id="1"/>
      <w:bookmarkEnd w:id="2"/>
    </w:p>
    <w:tbl>
      <w:tblPr>
        <w:tblStyle w:val="26"/>
        <w:tblW w:w="97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40" w:type="dxa"/>
            <w:tcBorders>
              <w:top w:val="single" w:color="auto" w:sz="4" w:space="0"/>
              <w:left w:val="single" w:color="auto" w:sz="4" w:space="0"/>
              <w:bottom w:val="single" w:color="auto" w:sz="4" w:space="0"/>
              <w:right w:val="single" w:color="auto" w:sz="4" w:space="0"/>
            </w:tcBorders>
            <w:vAlign w:val="top"/>
          </w:tcPr>
          <w:p>
            <w:pPr>
              <w:spacing w:line="276" w:lineRule="auto"/>
              <w:rPr>
                <w:rFonts w:hint="eastAsia" w:ascii="宋体" w:hAnsi="宋体" w:eastAsia="宋体" w:cs="宋体"/>
                <w:b/>
                <w:szCs w:val="21"/>
              </w:rPr>
            </w:pPr>
            <w:r>
              <w:rPr>
                <w:rFonts w:hint="eastAsia" w:ascii="宋体" w:hAnsi="宋体" w:eastAsia="宋体" w:cs="宋体"/>
                <w:b/>
                <w:szCs w:val="21"/>
              </w:rPr>
              <w:t>项目概况</w:t>
            </w:r>
          </w:p>
          <w:p>
            <w:pPr>
              <w:spacing w:line="276" w:lineRule="auto"/>
              <w:ind w:firstLine="420" w:firstLineChars="200"/>
              <w:rPr>
                <w:rFonts w:hint="eastAsia" w:ascii="宋体" w:hAnsi="宋体" w:eastAsia="宋体" w:cs="宋体"/>
                <w:b/>
                <w:szCs w:val="21"/>
              </w:rPr>
            </w:pPr>
            <w:r>
              <w:rPr>
                <w:rFonts w:hint="eastAsia" w:ascii="宋体" w:hAnsi="宋体" w:eastAsia="宋体" w:cs="宋体"/>
                <w:szCs w:val="21"/>
                <w:u w:val="single"/>
                <w:lang w:eastAsia="zh-CN"/>
              </w:rPr>
              <w:t>武汉大学分子精准药学研发平台采购项目</w:t>
            </w:r>
            <w:r>
              <w:rPr>
                <w:rFonts w:hint="eastAsia" w:ascii="宋体" w:hAnsi="宋体" w:eastAsia="宋体" w:cs="宋体"/>
                <w:szCs w:val="21"/>
              </w:rPr>
              <w:t>的潜在投标人应在</w:t>
            </w:r>
            <w:r>
              <w:rPr>
                <w:rFonts w:hint="eastAsia" w:ascii="宋体" w:hAnsi="宋体" w:eastAsia="宋体" w:cs="宋体"/>
                <w:szCs w:val="21"/>
                <w:u w:val="single"/>
              </w:rPr>
              <w:t>阳光招采电子招标投标交易平台（网址：http://www.yangguangzhaocai.com/）</w:t>
            </w:r>
            <w:r>
              <w:rPr>
                <w:rFonts w:hint="eastAsia" w:ascii="宋体" w:hAnsi="宋体" w:eastAsia="宋体" w:cs="宋体"/>
                <w:szCs w:val="21"/>
              </w:rPr>
              <w:t>获取招标文件，并于</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2022</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12</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rPr>
              <w:t>日</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09</w:t>
            </w:r>
            <w:r>
              <w:rPr>
                <w:rFonts w:hint="eastAsia" w:ascii="宋体" w:hAnsi="宋体" w:eastAsia="宋体" w:cs="宋体"/>
                <w:szCs w:val="21"/>
                <w:u w:val="single"/>
              </w:rPr>
              <w:t xml:space="preserve"> </w:t>
            </w:r>
            <w:r>
              <w:rPr>
                <w:rFonts w:hint="eastAsia" w:ascii="宋体" w:hAnsi="宋体" w:eastAsia="宋体" w:cs="宋体"/>
                <w:szCs w:val="21"/>
              </w:rPr>
              <w:t>点</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30</w:t>
            </w:r>
            <w:r>
              <w:rPr>
                <w:rFonts w:hint="eastAsia" w:ascii="宋体" w:hAnsi="宋体" w:eastAsia="宋体" w:cs="宋体"/>
                <w:szCs w:val="21"/>
              </w:rPr>
              <w:t>分（北京时间）前提交投标文件。</w:t>
            </w:r>
          </w:p>
        </w:tc>
      </w:tr>
    </w:tbl>
    <w:p>
      <w:pPr>
        <w:numPr>
          <w:ilvl w:val="0"/>
          <w:numId w:val="1"/>
        </w:numPr>
        <w:spacing w:line="276" w:lineRule="auto"/>
        <w:ind w:left="490" w:hanging="490"/>
        <w:rPr>
          <w:rFonts w:hint="eastAsia" w:ascii="宋体" w:hAnsi="宋体" w:eastAsia="宋体" w:cs="宋体"/>
          <w:b/>
          <w:szCs w:val="21"/>
        </w:rPr>
      </w:pPr>
      <w:r>
        <w:rPr>
          <w:rFonts w:hint="eastAsia" w:ascii="宋体" w:hAnsi="宋体" w:eastAsia="宋体" w:cs="宋体"/>
          <w:b/>
          <w:szCs w:val="21"/>
        </w:rPr>
        <w:t>项目基本情况：</w:t>
      </w:r>
    </w:p>
    <w:p>
      <w:pPr>
        <w:numPr>
          <w:ilvl w:val="0"/>
          <w:numId w:val="2"/>
        </w:numPr>
        <w:spacing w:line="276" w:lineRule="auto"/>
        <w:rPr>
          <w:rFonts w:hint="eastAsia" w:ascii="宋体" w:hAnsi="宋体" w:eastAsia="宋体" w:cs="宋体"/>
          <w:szCs w:val="21"/>
        </w:rPr>
      </w:pPr>
      <w:r>
        <w:rPr>
          <w:rFonts w:hint="eastAsia" w:ascii="宋体" w:hAnsi="宋体" w:eastAsia="宋体" w:cs="宋体"/>
          <w:szCs w:val="21"/>
        </w:rPr>
        <w:t>项目编号：ZB0102-202212-ZCHW0923</w:t>
      </w:r>
    </w:p>
    <w:p>
      <w:pPr>
        <w:numPr>
          <w:ilvl w:val="0"/>
          <w:numId w:val="2"/>
        </w:numPr>
        <w:spacing w:line="276" w:lineRule="auto"/>
        <w:rPr>
          <w:rFonts w:hint="eastAsia" w:ascii="宋体" w:hAnsi="宋体" w:eastAsia="宋体" w:cs="宋体"/>
          <w:bCs/>
          <w:szCs w:val="21"/>
        </w:rPr>
      </w:pPr>
      <w:r>
        <w:rPr>
          <w:rFonts w:hint="eastAsia" w:ascii="宋体" w:hAnsi="宋体" w:eastAsia="宋体" w:cs="宋体"/>
          <w:szCs w:val="21"/>
        </w:rPr>
        <w:t>项目名称：</w:t>
      </w:r>
      <w:r>
        <w:rPr>
          <w:rFonts w:hint="eastAsia" w:ascii="宋体" w:hAnsi="宋体" w:eastAsia="宋体" w:cs="宋体"/>
          <w:bCs/>
          <w:szCs w:val="21"/>
          <w:lang w:eastAsia="zh-CN"/>
        </w:rPr>
        <w:t>武汉大学分子精准药学研发平台采购项目</w:t>
      </w:r>
    </w:p>
    <w:p>
      <w:pPr>
        <w:numPr>
          <w:ilvl w:val="0"/>
          <w:numId w:val="2"/>
        </w:numPr>
        <w:spacing w:line="276" w:lineRule="auto"/>
        <w:rPr>
          <w:rFonts w:hint="eastAsia" w:ascii="宋体" w:hAnsi="宋体" w:eastAsia="宋体" w:cs="宋体"/>
          <w:bCs/>
          <w:szCs w:val="21"/>
        </w:rPr>
      </w:pPr>
      <w:r>
        <w:rPr>
          <w:rFonts w:hint="eastAsia" w:ascii="宋体" w:hAnsi="宋体" w:eastAsia="宋体" w:cs="宋体"/>
          <w:bCs/>
          <w:szCs w:val="21"/>
        </w:rPr>
        <w:t>采购方式：公开招标</w:t>
      </w:r>
    </w:p>
    <w:p>
      <w:pPr>
        <w:numPr>
          <w:ilvl w:val="0"/>
          <w:numId w:val="2"/>
        </w:numPr>
        <w:spacing w:line="276" w:lineRule="auto"/>
        <w:rPr>
          <w:rFonts w:hint="eastAsia" w:ascii="宋体" w:hAnsi="宋体" w:eastAsia="宋体" w:cs="宋体"/>
          <w:szCs w:val="21"/>
        </w:rPr>
      </w:pPr>
      <w:r>
        <w:rPr>
          <w:rFonts w:hint="eastAsia" w:ascii="宋体" w:hAnsi="宋体" w:eastAsia="宋体" w:cs="宋体"/>
          <w:szCs w:val="21"/>
        </w:rPr>
        <w:t>预算金额：</w:t>
      </w:r>
      <w:r>
        <w:rPr>
          <w:rFonts w:hint="eastAsia" w:ascii="宋体" w:hAnsi="宋体" w:eastAsia="宋体" w:cs="宋体"/>
          <w:szCs w:val="21"/>
          <w:lang w:val="en-US" w:eastAsia="zh-CN"/>
        </w:rPr>
        <w:t>1</w:t>
      </w:r>
      <w:r>
        <w:rPr>
          <w:rFonts w:hint="eastAsia" w:ascii="宋体" w:hAnsi="宋体" w:eastAsia="宋体" w:cs="宋体"/>
          <w:bCs/>
          <w:szCs w:val="21"/>
          <w:u w:val="single"/>
        </w:rPr>
        <w:t>5</w:t>
      </w:r>
      <w:r>
        <w:rPr>
          <w:rFonts w:hint="eastAsia" w:ascii="宋体" w:hAnsi="宋体" w:eastAsia="宋体" w:cs="宋体"/>
          <w:bCs/>
          <w:szCs w:val="21"/>
          <w:u w:val="single"/>
          <w:lang w:val="en-US" w:eastAsia="zh-CN"/>
        </w:rPr>
        <w:t>2</w:t>
      </w:r>
      <w:r>
        <w:rPr>
          <w:rFonts w:hint="eastAsia" w:ascii="宋体" w:hAnsi="宋体" w:eastAsia="宋体" w:cs="宋体"/>
          <w:bCs/>
          <w:szCs w:val="21"/>
          <w:u w:val="single"/>
        </w:rPr>
        <w:t>0</w:t>
      </w:r>
      <w:r>
        <w:rPr>
          <w:rFonts w:hint="eastAsia" w:ascii="宋体" w:hAnsi="宋体" w:eastAsia="宋体" w:cs="宋体"/>
          <w:bCs/>
          <w:szCs w:val="21"/>
        </w:rPr>
        <w:t>万元</w:t>
      </w:r>
    </w:p>
    <w:p>
      <w:pPr>
        <w:numPr>
          <w:ilvl w:val="0"/>
          <w:numId w:val="2"/>
        </w:numPr>
        <w:spacing w:line="276" w:lineRule="auto"/>
        <w:rPr>
          <w:rFonts w:hint="eastAsia" w:ascii="宋体" w:hAnsi="宋体" w:eastAsia="宋体" w:cs="宋体"/>
          <w:szCs w:val="21"/>
        </w:rPr>
      </w:pPr>
      <w:r>
        <w:rPr>
          <w:rFonts w:hint="eastAsia" w:ascii="宋体" w:hAnsi="宋体" w:eastAsia="宋体" w:cs="宋体"/>
          <w:szCs w:val="21"/>
        </w:rPr>
        <w:t>最高限价：</w:t>
      </w:r>
      <w:r>
        <w:rPr>
          <w:rFonts w:hint="eastAsia" w:ascii="宋体" w:hAnsi="宋体" w:eastAsia="宋体" w:cs="宋体"/>
          <w:szCs w:val="21"/>
          <w:lang w:val="en-US" w:eastAsia="zh-CN"/>
        </w:rPr>
        <w:t>1</w:t>
      </w:r>
      <w:r>
        <w:rPr>
          <w:rFonts w:hint="eastAsia" w:ascii="宋体" w:hAnsi="宋体" w:eastAsia="宋体" w:cs="宋体"/>
          <w:bCs/>
          <w:szCs w:val="21"/>
          <w:u w:val="single"/>
        </w:rPr>
        <w:t>5</w:t>
      </w:r>
      <w:r>
        <w:rPr>
          <w:rFonts w:hint="eastAsia" w:ascii="宋体" w:hAnsi="宋体" w:eastAsia="宋体" w:cs="宋体"/>
          <w:bCs/>
          <w:szCs w:val="21"/>
          <w:u w:val="single"/>
          <w:lang w:val="en-US" w:eastAsia="zh-CN"/>
        </w:rPr>
        <w:t>2</w:t>
      </w:r>
      <w:r>
        <w:rPr>
          <w:rFonts w:hint="eastAsia" w:ascii="宋体" w:hAnsi="宋体" w:eastAsia="宋体" w:cs="宋体"/>
          <w:bCs/>
          <w:szCs w:val="21"/>
          <w:u w:val="single"/>
        </w:rPr>
        <w:t>0</w:t>
      </w:r>
      <w:r>
        <w:rPr>
          <w:rFonts w:hint="eastAsia" w:ascii="宋体" w:hAnsi="宋体" w:eastAsia="宋体" w:cs="宋体"/>
          <w:bCs/>
          <w:szCs w:val="21"/>
        </w:rPr>
        <w:t>万元，投标人报价不得超过该项目预算，否则按无效投标处理</w:t>
      </w:r>
    </w:p>
    <w:p>
      <w:pPr>
        <w:numPr>
          <w:ilvl w:val="0"/>
          <w:numId w:val="2"/>
        </w:numPr>
        <w:spacing w:line="276" w:lineRule="auto"/>
        <w:rPr>
          <w:rFonts w:hint="eastAsia" w:ascii="宋体" w:hAnsi="宋体" w:eastAsia="宋体" w:cs="宋体"/>
          <w:b/>
          <w:i/>
          <w:color w:val="00B050"/>
          <w:szCs w:val="21"/>
        </w:rPr>
      </w:pPr>
      <w:r>
        <w:rPr>
          <w:rFonts w:hint="eastAsia" w:ascii="宋体" w:hAnsi="宋体" w:eastAsia="宋体" w:cs="宋体"/>
          <w:szCs w:val="21"/>
        </w:rPr>
        <w:t>采购需求</w:t>
      </w:r>
      <w:r>
        <w:rPr>
          <w:rFonts w:hint="eastAsia" w:ascii="宋体" w:hAnsi="宋体" w:eastAsia="宋体" w:cs="宋体"/>
          <w:bCs/>
          <w:szCs w:val="21"/>
        </w:rPr>
        <w:t>： 1.本次招标共分</w:t>
      </w:r>
      <w:r>
        <w:rPr>
          <w:rFonts w:hint="eastAsia" w:ascii="宋体" w:hAnsi="宋体" w:cs="宋体"/>
          <w:bCs/>
          <w:szCs w:val="21"/>
          <w:lang w:val="en-US" w:eastAsia="zh-CN"/>
        </w:rPr>
        <w:t>9</w:t>
      </w:r>
      <w:r>
        <w:rPr>
          <w:rFonts w:hint="eastAsia" w:ascii="宋体" w:hAnsi="宋体" w:eastAsia="宋体" w:cs="宋体"/>
          <w:bCs/>
          <w:szCs w:val="21"/>
        </w:rPr>
        <w:t>个标包，投标人可同时参与上述</w:t>
      </w:r>
      <w:r>
        <w:rPr>
          <w:rFonts w:hint="eastAsia" w:ascii="宋体" w:hAnsi="宋体" w:cs="宋体"/>
          <w:bCs/>
          <w:szCs w:val="21"/>
          <w:lang w:val="en-US" w:eastAsia="zh-CN"/>
        </w:rPr>
        <w:t>9</w:t>
      </w:r>
      <w:r>
        <w:rPr>
          <w:rFonts w:hint="eastAsia" w:ascii="宋体" w:hAnsi="宋体" w:eastAsia="宋体" w:cs="宋体"/>
          <w:bCs/>
          <w:szCs w:val="21"/>
        </w:rPr>
        <w:t>个标包的投标，但必须单独编制投标文件，并在投标文件封面上标明所投标包号。2.投标人投标价不能超过各分包预算。3.本项目允许兼投兼中。</w:t>
      </w:r>
    </w:p>
    <w:tbl>
      <w:tblPr>
        <w:tblStyle w:val="26"/>
        <w:tblW w:w="8482" w:type="dxa"/>
        <w:jc w:val="center"/>
        <w:tblInd w:w="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373"/>
        <w:gridCol w:w="1323"/>
        <w:gridCol w:w="1448"/>
        <w:gridCol w:w="147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包</w:t>
            </w:r>
            <w:r>
              <w:rPr>
                <w:rFonts w:hint="eastAsia" w:ascii="宋体" w:hAnsi="宋体" w:eastAsia="宋体" w:cs="宋体"/>
                <w:color w:val="000000"/>
                <w:szCs w:val="21"/>
              </w:rPr>
              <w:t>号</w:t>
            </w:r>
          </w:p>
        </w:tc>
        <w:tc>
          <w:tcPr>
            <w:tcW w:w="23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货物名称</w:t>
            </w:r>
          </w:p>
        </w:tc>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数量（套）</w:t>
            </w:r>
          </w:p>
        </w:tc>
        <w:tc>
          <w:tcPr>
            <w:tcW w:w="1448"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Cs w:val="0"/>
                <w:kern w:val="2"/>
                <w:sz w:val="21"/>
                <w:szCs w:val="21"/>
              </w:rPr>
            </w:pPr>
            <w:r>
              <w:rPr>
                <w:rFonts w:hint="eastAsia" w:ascii="宋体" w:hAnsi="宋体" w:eastAsia="宋体" w:cs="宋体"/>
                <w:color w:val="000000"/>
                <w:szCs w:val="21"/>
              </w:rPr>
              <w:t>预算</w:t>
            </w:r>
            <w:r>
              <w:rPr>
                <w:rFonts w:hint="eastAsia" w:ascii="宋体" w:hAnsi="宋体" w:eastAsia="宋体" w:cs="宋体"/>
                <w:color w:val="000000"/>
                <w:szCs w:val="21"/>
                <w:lang w:eastAsia="zh-CN"/>
              </w:rPr>
              <w:t>（</w:t>
            </w:r>
            <w:r>
              <w:rPr>
                <w:rFonts w:hint="eastAsia" w:ascii="宋体" w:hAnsi="宋体" w:eastAsia="宋体" w:cs="宋体"/>
                <w:bCs w:val="0"/>
                <w:kern w:val="2"/>
                <w:sz w:val="21"/>
                <w:szCs w:val="21"/>
              </w:rPr>
              <w:t>万元</w:t>
            </w:r>
            <w:r>
              <w:rPr>
                <w:rFonts w:hint="eastAsia" w:ascii="宋体" w:hAnsi="宋体" w:eastAsia="宋体" w:cs="宋体"/>
                <w:color w:val="000000"/>
                <w:szCs w:val="21"/>
                <w:lang w:eastAsia="zh-CN"/>
              </w:rPr>
              <w:t>）</w:t>
            </w:r>
          </w:p>
        </w:tc>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是否</w:t>
            </w:r>
            <w:r>
              <w:rPr>
                <w:rFonts w:hint="eastAsia" w:ascii="宋体" w:hAnsi="宋体" w:cs="宋体"/>
                <w:color w:val="000000"/>
                <w:szCs w:val="21"/>
                <w:lang w:val="en-US" w:eastAsia="zh-CN"/>
              </w:rPr>
              <w:t>接受</w:t>
            </w:r>
            <w:r>
              <w:rPr>
                <w:rFonts w:hint="eastAsia" w:ascii="宋体" w:hAnsi="宋体" w:eastAsia="宋体" w:cs="宋体"/>
                <w:color w:val="000000"/>
                <w:szCs w:val="21"/>
                <w:lang w:val="en-US" w:eastAsia="zh-CN"/>
              </w:rPr>
              <w:t>进口</w:t>
            </w:r>
          </w:p>
        </w:tc>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lang w:val="en-US" w:eastAsia="zh-CN"/>
              </w:rPr>
              <w:t>0</w:t>
            </w:r>
            <w:r>
              <w:rPr>
                <w:rFonts w:hint="eastAsia" w:ascii="宋体" w:hAnsi="宋体" w:eastAsia="宋体" w:cs="宋体"/>
                <w:color w:val="000000"/>
                <w:kern w:val="0"/>
                <w:sz w:val="22"/>
              </w:rPr>
              <w:t>1</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AI药物计算平台</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szCs w:val="21"/>
                <w:lang w:eastAsia="zh-CN"/>
              </w:rPr>
            </w:pPr>
            <w:r>
              <w:rPr>
                <w:rFonts w:hint="eastAsia" w:ascii="宋体" w:hAnsi="宋体" w:eastAsia="宋体" w:cs="宋体"/>
                <w:color w:val="000000"/>
                <w:kern w:val="0"/>
                <w:sz w:val="22"/>
                <w:lang w:val="en-US" w:eastAsia="zh-CN"/>
              </w:rPr>
              <w:t>1</w:t>
            </w:r>
          </w:p>
        </w:tc>
        <w:tc>
          <w:tcPr>
            <w:tcW w:w="1448" w:type="dxa"/>
            <w:tcBorders>
              <w:left w:val="single" w:color="auto" w:sz="4" w:space="0"/>
              <w:right w:val="single" w:color="auto" w:sz="4" w:space="0"/>
            </w:tcBorders>
            <w:vAlign w:val="center"/>
          </w:tcPr>
          <w:p>
            <w:pPr>
              <w:widowControl/>
              <w:jc w:val="center"/>
              <w:textAlignment w:val="bottom"/>
              <w:rPr>
                <w:rFonts w:hint="eastAsia" w:ascii="宋体" w:hAnsi="宋体" w:eastAsia="宋体" w:cs="宋体"/>
                <w:bCs w:val="0"/>
                <w:kern w:val="2"/>
                <w:sz w:val="21"/>
                <w:szCs w:val="21"/>
              </w:rPr>
            </w:pPr>
            <w:r>
              <w:rPr>
                <w:rFonts w:hint="eastAsia" w:ascii="宋体" w:hAnsi="宋体" w:eastAsia="宋体" w:cs="宋体"/>
                <w:color w:val="000000"/>
                <w:kern w:val="0"/>
                <w:sz w:val="22"/>
                <w:highlight w:val="none"/>
              </w:rPr>
              <w:t>720</w:t>
            </w:r>
          </w:p>
        </w:tc>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是</w:t>
            </w:r>
          </w:p>
        </w:tc>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lang w:val="en-US" w:eastAsia="zh-CN"/>
              </w:rPr>
              <w:t>0</w:t>
            </w:r>
            <w:r>
              <w:rPr>
                <w:rFonts w:hint="eastAsia" w:ascii="宋体" w:hAnsi="宋体" w:eastAsia="宋体" w:cs="宋体"/>
                <w:color w:val="000000"/>
                <w:kern w:val="0"/>
                <w:sz w:val="22"/>
              </w:rPr>
              <w:t>2</w:t>
            </w:r>
          </w:p>
        </w:tc>
        <w:tc>
          <w:tcPr>
            <w:tcW w:w="2373" w:type="dxa"/>
            <w:tcBorders>
              <w:top w:val="single" w:color="auto" w:sz="4" w:space="0"/>
              <w:left w:val="single" w:color="auto" w:sz="4" w:space="0"/>
              <w:bottom w:val="single" w:color="auto" w:sz="4" w:space="0"/>
              <w:right w:val="single" w:color="auto" w:sz="4" w:space="0"/>
            </w:tcBorders>
            <w:vAlign w:val="bottom"/>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纳米颗粒跟踪分析仪</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szCs w:val="21"/>
                <w:lang w:eastAsia="zh-CN"/>
              </w:rPr>
            </w:pPr>
            <w:r>
              <w:rPr>
                <w:rFonts w:hint="eastAsia" w:ascii="宋体" w:hAnsi="宋体" w:eastAsia="宋体" w:cs="宋体"/>
                <w:color w:val="000000"/>
                <w:kern w:val="0"/>
                <w:sz w:val="22"/>
                <w:lang w:val="en-US" w:eastAsia="zh-CN"/>
              </w:rPr>
              <w:t>1</w:t>
            </w:r>
          </w:p>
        </w:tc>
        <w:tc>
          <w:tcPr>
            <w:tcW w:w="1448" w:type="dxa"/>
            <w:tcBorders>
              <w:left w:val="single" w:color="auto" w:sz="4" w:space="0"/>
              <w:right w:val="single" w:color="auto" w:sz="4" w:space="0"/>
            </w:tcBorders>
            <w:vAlign w:val="center"/>
          </w:tcPr>
          <w:p>
            <w:pPr>
              <w:widowControl/>
              <w:jc w:val="center"/>
              <w:textAlignment w:val="bottom"/>
              <w:rPr>
                <w:rFonts w:hint="eastAsia" w:ascii="宋体" w:hAnsi="宋体" w:eastAsia="宋体" w:cs="宋体"/>
                <w:bCs w:val="0"/>
                <w:kern w:val="2"/>
                <w:sz w:val="21"/>
                <w:szCs w:val="21"/>
              </w:rPr>
            </w:pPr>
            <w:r>
              <w:rPr>
                <w:rFonts w:hint="eastAsia" w:ascii="宋体" w:hAnsi="宋体" w:eastAsia="宋体" w:cs="宋体"/>
                <w:color w:val="000000"/>
                <w:kern w:val="0"/>
                <w:sz w:val="22"/>
                <w:highlight w:val="none"/>
              </w:rPr>
              <w:t>125</w:t>
            </w:r>
          </w:p>
        </w:tc>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是</w:t>
            </w:r>
          </w:p>
        </w:tc>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lang w:val="en-US" w:eastAsia="zh-CN"/>
              </w:rPr>
              <w:t>0</w:t>
            </w:r>
            <w:r>
              <w:rPr>
                <w:rFonts w:hint="eastAsia" w:ascii="宋体" w:hAnsi="宋体" w:eastAsia="宋体" w:cs="宋体"/>
                <w:color w:val="000000"/>
                <w:kern w:val="0"/>
                <w:sz w:val="22"/>
              </w:rPr>
              <w:t>3</w:t>
            </w:r>
          </w:p>
        </w:tc>
        <w:tc>
          <w:tcPr>
            <w:tcW w:w="237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高效液相色谱仪</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szCs w:val="21"/>
                <w:lang w:eastAsia="zh-CN"/>
              </w:rPr>
            </w:pPr>
            <w:r>
              <w:rPr>
                <w:rFonts w:hint="eastAsia" w:ascii="宋体" w:hAnsi="宋体" w:eastAsia="宋体" w:cs="宋体"/>
                <w:color w:val="000000"/>
                <w:kern w:val="0"/>
                <w:sz w:val="22"/>
                <w:lang w:val="en-US" w:eastAsia="zh-CN"/>
              </w:rPr>
              <w:t>6</w:t>
            </w:r>
          </w:p>
        </w:tc>
        <w:tc>
          <w:tcPr>
            <w:tcW w:w="1448" w:type="dxa"/>
            <w:tcBorders>
              <w:left w:val="single" w:color="auto" w:sz="4" w:space="0"/>
              <w:right w:val="single" w:color="auto" w:sz="4" w:space="0"/>
            </w:tcBorders>
            <w:vAlign w:val="center"/>
          </w:tcPr>
          <w:p>
            <w:pPr>
              <w:widowControl/>
              <w:jc w:val="center"/>
              <w:textAlignment w:val="bottom"/>
              <w:rPr>
                <w:rFonts w:hint="eastAsia" w:ascii="宋体" w:hAnsi="宋体" w:eastAsia="宋体" w:cs="宋体"/>
                <w:bCs w:val="0"/>
                <w:kern w:val="2"/>
                <w:sz w:val="21"/>
                <w:szCs w:val="21"/>
              </w:rPr>
            </w:pPr>
            <w:r>
              <w:rPr>
                <w:rFonts w:hint="eastAsia" w:ascii="宋体" w:hAnsi="宋体" w:eastAsia="宋体" w:cs="宋体"/>
                <w:color w:val="000000"/>
                <w:kern w:val="0"/>
                <w:sz w:val="22"/>
                <w:highlight w:val="none"/>
              </w:rPr>
              <w:t>240</w:t>
            </w:r>
          </w:p>
        </w:tc>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是</w:t>
            </w:r>
          </w:p>
        </w:tc>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 w:val="22"/>
                <w:lang w:val="en-US" w:eastAsia="zh-CN"/>
              </w:rPr>
              <w:t>0</w:t>
            </w:r>
            <w:r>
              <w:rPr>
                <w:rFonts w:hint="eastAsia" w:ascii="宋体" w:hAnsi="宋体" w:eastAsia="宋体" w:cs="宋体"/>
                <w:color w:val="000000"/>
                <w:kern w:val="0"/>
                <w:sz w:val="22"/>
              </w:rPr>
              <w:t>4</w:t>
            </w:r>
          </w:p>
        </w:tc>
        <w:tc>
          <w:tcPr>
            <w:tcW w:w="2373" w:type="dxa"/>
            <w:tcBorders>
              <w:top w:val="single" w:color="auto" w:sz="4" w:space="0"/>
              <w:left w:val="single" w:color="auto" w:sz="4" w:space="0"/>
              <w:bottom w:val="single" w:color="auto" w:sz="4" w:space="0"/>
              <w:right w:val="single" w:color="auto" w:sz="4" w:space="0"/>
            </w:tcBorders>
            <w:vAlign w:val="bottom"/>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高速大容量离心机</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szCs w:val="21"/>
                <w:lang w:eastAsia="zh-CN"/>
              </w:rPr>
            </w:pPr>
            <w:r>
              <w:rPr>
                <w:rFonts w:hint="eastAsia" w:ascii="宋体" w:hAnsi="宋体" w:eastAsia="宋体" w:cs="宋体"/>
                <w:color w:val="000000"/>
                <w:kern w:val="0"/>
                <w:sz w:val="22"/>
                <w:lang w:val="en-US" w:eastAsia="zh-CN"/>
              </w:rPr>
              <w:t>3</w:t>
            </w:r>
          </w:p>
        </w:tc>
        <w:tc>
          <w:tcPr>
            <w:tcW w:w="1448" w:type="dxa"/>
            <w:tcBorders>
              <w:left w:val="single" w:color="auto" w:sz="4" w:space="0"/>
              <w:right w:val="single" w:color="auto" w:sz="4" w:space="0"/>
            </w:tcBorders>
            <w:vAlign w:val="center"/>
          </w:tcPr>
          <w:p>
            <w:pPr>
              <w:widowControl/>
              <w:jc w:val="center"/>
              <w:textAlignment w:val="bottom"/>
              <w:rPr>
                <w:rFonts w:hint="eastAsia" w:ascii="宋体" w:hAnsi="宋体" w:eastAsia="宋体" w:cs="宋体"/>
                <w:bCs w:val="0"/>
                <w:kern w:val="2"/>
                <w:sz w:val="21"/>
                <w:szCs w:val="21"/>
              </w:rPr>
            </w:pPr>
            <w:r>
              <w:rPr>
                <w:rFonts w:hint="eastAsia" w:ascii="宋体" w:hAnsi="宋体" w:eastAsia="宋体" w:cs="宋体"/>
                <w:color w:val="000000"/>
                <w:kern w:val="0"/>
                <w:sz w:val="22"/>
                <w:highlight w:val="none"/>
              </w:rPr>
              <w:t>120</w:t>
            </w:r>
          </w:p>
        </w:tc>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是</w:t>
            </w:r>
          </w:p>
        </w:tc>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2"/>
                <w:sz w:val="21"/>
                <w:szCs w:val="21"/>
                <w:lang w:val="en-US" w:eastAsia="zh-CN"/>
              </w:rPr>
              <w:t>0</w:t>
            </w:r>
            <w:r>
              <w:rPr>
                <w:rFonts w:hint="eastAsia" w:ascii="宋体" w:hAnsi="宋体" w:eastAsia="宋体" w:cs="宋体"/>
                <w:color w:val="000000"/>
                <w:kern w:val="2"/>
                <w:sz w:val="21"/>
                <w:szCs w:val="21"/>
              </w:rPr>
              <w:t>5</w:t>
            </w:r>
          </w:p>
        </w:tc>
        <w:tc>
          <w:tcPr>
            <w:tcW w:w="2373" w:type="dxa"/>
            <w:tcBorders>
              <w:top w:val="single" w:color="auto" w:sz="4" w:space="0"/>
              <w:left w:val="single" w:color="auto" w:sz="4" w:space="0"/>
              <w:bottom w:val="single" w:color="auto" w:sz="4" w:space="0"/>
              <w:right w:val="single" w:color="auto" w:sz="4" w:space="0"/>
            </w:tcBorders>
            <w:vAlign w:val="bottom"/>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生物安全柜</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szCs w:val="21"/>
                <w:highlight w:val="none"/>
                <w:lang w:eastAsia="zh-CN"/>
              </w:rPr>
            </w:pPr>
            <w:r>
              <w:rPr>
                <w:rFonts w:hint="eastAsia" w:ascii="宋体" w:hAnsi="宋体" w:eastAsia="宋体" w:cs="宋体"/>
                <w:color w:val="000000"/>
                <w:kern w:val="0"/>
                <w:sz w:val="22"/>
                <w:highlight w:val="none"/>
                <w:lang w:val="en-US" w:eastAsia="zh-CN"/>
              </w:rPr>
              <w:t>4</w:t>
            </w:r>
          </w:p>
        </w:tc>
        <w:tc>
          <w:tcPr>
            <w:tcW w:w="1448" w:type="dxa"/>
            <w:tcBorders>
              <w:left w:val="single" w:color="auto" w:sz="4" w:space="0"/>
              <w:right w:val="single" w:color="auto" w:sz="4" w:space="0"/>
            </w:tcBorders>
            <w:vAlign w:val="center"/>
          </w:tcPr>
          <w:p>
            <w:pPr>
              <w:widowControl/>
              <w:jc w:val="center"/>
              <w:textAlignment w:val="bottom"/>
              <w:rPr>
                <w:rFonts w:hint="eastAsia" w:ascii="宋体" w:hAnsi="宋体" w:eastAsia="宋体" w:cs="宋体"/>
                <w:bCs w:val="0"/>
                <w:kern w:val="2"/>
                <w:sz w:val="21"/>
                <w:szCs w:val="21"/>
              </w:rPr>
            </w:pPr>
            <w:r>
              <w:rPr>
                <w:rFonts w:hint="eastAsia" w:ascii="宋体" w:hAnsi="宋体" w:eastAsia="宋体" w:cs="宋体"/>
                <w:color w:val="000000"/>
                <w:kern w:val="0"/>
                <w:sz w:val="22"/>
                <w:highlight w:val="none"/>
              </w:rPr>
              <w:t>30</w:t>
            </w:r>
          </w:p>
        </w:tc>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否</w:t>
            </w:r>
          </w:p>
        </w:tc>
        <w:tc>
          <w:tcPr>
            <w:tcW w:w="863"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2"/>
                <w:sz w:val="21"/>
                <w:szCs w:val="21"/>
                <w:lang w:val="en-US" w:eastAsia="zh-CN"/>
              </w:rPr>
              <w:t>0</w:t>
            </w:r>
            <w:r>
              <w:rPr>
                <w:rFonts w:hint="eastAsia" w:ascii="宋体" w:hAnsi="宋体" w:eastAsia="宋体" w:cs="宋体"/>
                <w:color w:val="000000"/>
                <w:kern w:val="2"/>
                <w:sz w:val="21"/>
                <w:szCs w:val="21"/>
              </w:rPr>
              <w:t>6</w:t>
            </w:r>
          </w:p>
        </w:tc>
        <w:tc>
          <w:tcPr>
            <w:tcW w:w="2373" w:type="dxa"/>
            <w:tcBorders>
              <w:top w:val="single" w:color="auto" w:sz="4" w:space="0"/>
              <w:left w:val="single" w:color="auto" w:sz="4" w:space="0"/>
              <w:bottom w:val="single" w:color="auto" w:sz="4" w:space="0"/>
              <w:right w:val="single" w:color="auto" w:sz="4" w:space="0"/>
            </w:tcBorders>
            <w:vAlign w:val="bottom"/>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蛋白层析系统</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szCs w:val="21"/>
                <w:highlight w:val="none"/>
                <w:lang w:eastAsia="zh-CN"/>
              </w:rPr>
            </w:pPr>
            <w:r>
              <w:rPr>
                <w:rFonts w:hint="eastAsia" w:ascii="宋体" w:hAnsi="宋体" w:eastAsia="宋体" w:cs="宋体"/>
                <w:color w:val="000000"/>
                <w:kern w:val="0"/>
                <w:sz w:val="22"/>
                <w:highlight w:val="none"/>
                <w:lang w:val="en-US" w:eastAsia="zh-CN"/>
              </w:rPr>
              <w:t>3</w:t>
            </w:r>
          </w:p>
        </w:tc>
        <w:tc>
          <w:tcPr>
            <w:tcW w:w="1448" w:type="dxa"/>
            <w:tcBorders>
              <w:left w:val="single" w:color="auto" w:sz="4" w:space="0"/>
              <w:right w:val="single" w:color="auto" w:sz="4" w:space="0"/>
            </w:tcBorders>
            <w:vAlign w:val="center"/>
          </w:tcPr>
          <w:p>
            <w:pPr>
              <w:widowControl/>
              <w:jc w:val="center"/>
              <w:textAlignment w:val="bottom"/>
              <w:rPr>
                <w:rFonts w:hint="eastAsia" w:ascii="宋体" w:hAnsi="宋体" w:eastAsia="宋体" w:cs="宋体"/>
                <w:bCs w:val="0"/>
                <w:kern w:val="2"/>
                <w:sz w:val="21"/>
                <w:szCs w:val="21"/>
              </w:rPr>
            </w:pPr>
            <w:r>
              <w:rPr>
                <w:rFonts w:hint="eastAsia" w:ascii="宋体" w:hAnsi="宋体" w:eastAsia="宋体" w:cs="宋体"/>
                <w:color w:val="000000"/>
                <w:kern w:val="0"/>
                <w:sz w:val="22"/>
                <w:highlight w:val="none"/>
              </w:rPr>
              <w:t>120</w:t>
            </w:r>
          </w:p>
        </w:tc>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是</w:t>
            </w:r>
          </w:p>
        </w:tc>
        <w:tc>
          <w:tcPr>
            <w:tcW w:w="863"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07</w:t>
            </w:r>
          </w:p>
        </w:tc>
        <w:tc>
          <w:tcPr>
            <w:tcW w:w="2373" w:type="dxa"/>
            <w:tcBorders>
              <w:top w:val="single" w:color="auto" w:sz="4" w:space="0"/>
              <w:left w:val="single" w:color="auto" w:sz="4" w:space="0"/>
              <w:bottom w:val="single" w:color="auto" w:sz="4" w:space="0"/>
              <w:right w:val="single" w:color="auto" w:sz="4" w:space="0"/>
            </w:tcBorders>
            <w:vAlign w:val="bottom"/>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实时荧光定量PCR仪</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448" w:type="dxa"/>
            <w:tcBorders>
              <w:left w:val="single" w:color="auto" w:sz="4" w:space="0"/>
              <w:right w:val="single" w:color="auto" w:sz="4" w:space="0"/>
            </w:tcBorders>
            <w:vAlign w:val="center"/>
          </w:tcPr>
          <w:p>
            <w:pPr>
              <w:widowControl/>
              <w:jc w:val="center"/>
              <w:textAlignment w:val="bottom"/>
              <w:rPr>
                <w:rFonts w:hint="eastAsia" w:ascii="宋体" w:hAnsi="宋体" w:eastAsia="宋体" w:cs="宋体"/>
                <w:bCs w:val="0"/>
                <w:kern w:val="2"/>
                <w:sz w:val="21"/>
                <w:szCs w:val="21"/>
              </w:rPr>
            </w:pPr>
            <w:r>
              <w:rPr>
                <w:rFonts w:hint="eastAsia" w:ascii="宋体" w:hAnsi="宋体" w:eastAsia="宋体" w:cs="宋体"/>
                <w:color w:val="000000"/>
                <w:kern w:val="0"/>
                <w:sz w:val="22"/>
                <w:highlight w:val="none"/>
              </w:rPr>
              <w:t>82</w:t>
            </w:r>
          </w:p>
        </w:tc>
        <w:tc>
          <w:tcPr>
            <w:tcW w:w="1479" w:type="dxa"/>
            <w:tcBorders>
              <w:left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是</w:t>
            </w:r>
          </w:p>
        </w:tc>
        <w:tc>
          <w:tcPr>
            <w:tcW w:w="863" w:type="dxa"/>
            <w:tcBorders>
              <w:left w:val="single" w:color="auto" w:sz="4" w:space="0"/>
              <w:right w:val="single" w:color="auto" w:sz="4" w:space="0"/>
            </w:tcBorders>
            <w:vAlign w:val="center"/>
          </w:tcPr>
          <w:p>
            <w:pPr>
              <w:jc w:val="both"/>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08</w:t>
            </w:r>
          </w:p>
        </w:tc>
        <w:tc>
          <w:tcPr>
            <w:tcW w:w="2373" w:type="dxa"/>
            <w:tcBorders>
              <w:top w:val="single" w:color="auto" w:sz="4" w:space="0"/>
              <w:left w:val="single" w:color="auto" w:sz="4" w:space="0"/>
              <w:bottom w:val="single" w:color="auto" w:sz="4" w:space="0"/>
              <w:right w:val="single" w:color="auto" w:sz="4" w:space="0"/>
            </w:tcBorders>
            <w:vAlign w:val="bottom"/>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全自动外泌体提取系统</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448" w:type="dxa"/>
            <w:tcBorders>
              <w:left w:val="single" w:color="auto" w:sz="4" w:space="0"/>
              <w:right w:val="single" w:color="auto" w:sz="4" w:space="0"/>
            </w:tcBorders>
            <w:vAlign w:val="center"/>
          </w:tcPr>
          <w:p>
            <w:pPr>
              <w:widowControl/>
              <w:jc w:val="center"/>
              <w:textAlignment w:val="bottom"/>
              <w:rPr>
                <w:rFonts w:hint="eastAsia" w:ascii="宋体" w:hAnsi="宋体" w:eastAsia="宋体" w:cs="宋体"/>
                <w:bCs w:val="0"/>
                <w:kern w:val="2"/>
                <w:sz w:val="21"/>
                <w:szCs w:val="21"/>
              </w:rPr>
            </w:pPr>
            <w:r>
              <w:rPr>
                <w:rFonts w:hint="eastAsia" w:ascii="宋体" w:hAnsi="宋体" w:eastAsia="宋体" w:cs="宋体"/>
                <w:color w:val="000000"/>
                <w:kern w:val="0"/>
                <w:sz w:val="22"/>
                <w:highlight w:val="none"/>
              </w:rPr>
              <w:t>68</w:t>
            </w:r>
          </w:p>
        </w:tc>
        <w:tc>
          <w:tcPr>
            <w:tcW w:w="1479" w:type="dxa"/>
            <w:tcBorders>
              <w:left w:val="single" w:color="auto" w:sz="4" w:space="0"/>
              <w:right w:val="single" w:color="auto" w:sz="4" w:space="0"/>
            </w:tcBorders>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否</w:t>
            </w:r>
          </w:p>
        </w:tc>
        <w:tc>
          <w:tcPr>
            <w:tcW w:w="863" w:type="dxa"/>
            <w:tcBorders>
              <w:left w:val="single" w:color="auto" w:sz="4" w:space="0"/>
              <w:right w:val="single" w:color="auto" w:sz="4" w:space="0"/>
            </w:tcBorders>
            <w:vAlign w:val="center"/>
          </w:tcPr>
          <w:p>
            <w:pPr>
              <w:jc w:val="both"/>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2"/>
                <w:sz w:val="21"/>
                <w:szCs w:val="21"/>
                <w:lang w:val="en-US" w:eastAsia="zh-CN"/>
              </w:rPr>
            </w:pPr>
            <w:r>
              <w:rPr>
                <w:rFonts w:hint="eastAsia" w:ascii="宋体" w:hAnsi="宋体" w:eastAsia="宋体" w:cs="宋体"/>
                <w:color w:val="000000"/>
                <w:sz w:val="21"/>
                <w:szCs w:val="21"/>
                <w:lang w:val="en-US" w:eastAsia="zh-CN"/>
              </w:rPr>
              <w:t>09</w:t>
            </w:r>
          </w:p>
        </w:tc>
        <w:tc>
          <w:tcPr>
            <w:tcW w:w="2373" w:type="dxa"/>
            <w:tcBorders>
              <w:top w:val="single" w:color="auto" w:sz="4" w:space="0"/>
              <w:left w:val="single" w:color="auto" w:sz="4" w:space="0"/>
              <w:bottom w:val="single" w:color="auto" w:sz="4" w:space="0"/>
              <w:right w:val="single" w:color="auto" w:sz="4" w:space="0"/>
            </w:tcBorders>
            <w:vAlign w:val="bottom"/>
          </w:tcPr>
          <w:p>
            <w:pPr>
              <w:widowControl/>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电穿孔仪</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448" w:type="dxa"/>
            <w:tcBorders>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bCs w:val="0"/>
                <w:kern w:val="2"/>
                <w:sz w:val="21"/>
                <w:szCs w:val="21"/>
              </w:rPr>
            </w:pPr>
            <w:r>
              <w:rPr>
                <w:rFonts w:hint="eastAsia" w:ascii="宋体" w:hAnsi="宋体" w:eastAsia="宋体" w:cs="宋体"/>
                <w:color w:val="000000"/>
                <w:kern w:val="0"/>
                <w:sz w:val="22"/>
                <w:highlight w:val="none"/>
              </w:rPr>
              <w:t>15</w:t>
            </w:r>
          </w:p>
        </w:tc>
        <w:tc>
          <w:tcPr>
            <w:tcW w:w="1479"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是</w:t>
            </w:r>
          </w:p>
        </w:tc>
        <w:tc>
          <w:tcPr>
            <w:tcW w:w="863"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p>
        </w:tc>
      </w:tr>
    </w:tbl>
    <w:p>
      <w:pPr>
        <w:spacing w:line="276" w:lineRule="auto"/>
        <w:ind w:left="910"/>
        <w:rPr>
          <w:rFonts w:hint="eastAsia" w:ascii="宋体" w:hAnsi="宋体" w:eastAsia="宋体" w:cs="宋体"/>
          <w:szCs w:val="21"/>
          <w:lang w:eastAsia="zh-CN"/>
        </w:rPr>
      </w:pPr>
      <w:r>
        <w:rPr>
          <w:rFonts w:hint="eastAsia" w:ascii="宋体" w:hAnsi="宋体" w:eastAsia="宋体" w:cs="宋体"/>
          <w:szCs w:val="21"/>
        </w:rPr>
        <w:t>合同履行期限：交货期</w:t>
      </w:r>
      <w:r>
        <w:rPr>
          <w:rFonts w:hint="eastAsia" w:ascii="宋体" w:hAnsi="宋体" w:eastAsia="宋体" w:cs="宋体"/>
          <w:szCs w:val="21"/>
          <w:lang w:eastAsia="zh-CN"/>
        </w:rPr>
        <w:t>：</w:t>
      </w:r>
      <w:r>
        <w:rPr>
          <w:rFonts w:hint="eastAsia" w:ascii="宋体" w:hAnsi="宋体" w:eastAsia="宋体" w:cs="宋体"/>
          <w:szCs w:val="21"/>
          <w:u w:val="single"/>
        </w:rPr>
        <w:t>01包：合同签订后200日内；02包：合同签订后200日内；03包：合同签订后90日内；04包：合同签订后180日内；05包：合同签订后45 日内；06包：合同签订后180日内；07包：合同签订后180日内；08包：合同签订后90日内；09：合同签订后180日内</w:t>
      </w:r>
      <w:r>
        <w:rPr>
          <w:rFonts w:hint="eastAsia" w:ascii="宋体" w:hAnsi="宋体" w:eastAsia="宋体" w:cs="宋体"/>
          <w:szCs w:val="21"/>
          <w:u w:val="single"/>
          <w:lang w:eastAsia="zh-CN"/>
        </w:rPr>
        <w:t>。01包质保期：硬件验收合格后至少3年，软件验收合格后至少5年（含5年升级，特别说明除外）。02包、03包、04包、05包、06包、07包、08包、09包质保期：验收合格后至少3年。</w:t>
      </w:r>
    </w:p>
    <w:p>
      <w:pPr>
        <w:numPr>
          <w:ilvl w:val="0"/>
          <w:numId w:val="2"/>
        </w:numPr>
        <w:spacing w:line="276" w:lineRule="auto"/>
        <w:rPr>
          <w:rFonts w:hint="eastAsia" w:ascii="宋体" w:hAnsi="宋体" w:eastAsia="宋体" w:cs="宋体"/>
          <w:szCs w:val="21"/>
        </w:rPr>
      </w:pPr>
      <w:r>
        <w:rPr>
          <w:rFonts w:hint="eastAsia" w:ascii="宋体" w:hAnsi="宋体" w:eastAsia="宋体" w:cs="宋体"/>
          <w:szCs w:val="21"/>
        </w:rPr>
        <w:t>本项目是否接受联合体投标：</w:t>
      </w:r>
      <w:r>
        <w:rPr>
          <w:rFonts w:hint="eastAsia" w:ascii="宋体" w:hAnsi="宋体" w:eastAsia="宋体" w:cs="宋体"/>
          <w:szCs w:val="21"/>
          <w:u w:val="single"/>
        </w:rPr>
        <w:t>否</w:t>
      </w:r>
    </w:p>
    <w:p>
      <w:pPr>
        <w:numPr>
          <w:ilvl w:val="0"/>
          <w:numId w:val="2"/>
        </w:numPr>
        <w:spacing w:line="276" w:lineRule="auto"/>
        <w:rPr>
          <w:rFonts w:hint="eastAsia" w:ascii="宋体" w:hAnsi="宋体" w:eastAsia="宋体" w:cs="宋体"/>
          <w:szCs w:val="21"/>
        </w:rPr>
      </w:pPr>
      <w:r>
        <w:rPr>
          <w:rFonts w:hint="eastAsia" w:ascii="宋体" w:hAnsi="宋体" w:eastAsia="宋体" w:cs="宋体"/>
          <w:szCs w:val="21"/>
        </w:rPr>
        <w:t>本项目是否可采购进口产品：</w:t>
      </w:r>
      <w:r>
        <w:rPr>
          <w:rFonts w:hint="eastAsia" w:ascii="宋体" w:hAnsi="宋体" w:eastAsia="宋体" w:cs="宋体"/>
          <w:szCs w:val="21"/>
          <w:u w:val="single"/>
          <w:lang w:val="en-US" w:eastAsia="zh-CN"/>
        </w:rPr>
        <w:t>是</w:t>
      </w:r>
    </w:p>
    <w:p>
      <w:pPr>
        <w:numPr>
          <w:ilvl w:val="0"/>
          <w:numId w:val="2"/>
        </w:numPr>
        <w:spacing w:line="276" w:lineRule="auto"/>
        <w:rPr>
          <w:rFonts w:hint="eastAsia" w:ascii="宋体" w:hAnsi="宋体" w:eastAsia="宋体" w:cs="宋体"/>
          <w:szCs w:val="21"/>
        </w:rPr>
      </w:pPr>
      <w:r>
        <w:rPr>
          <w:rFonts w:hint="eastAsia" w:ascii="宋体" w:hAnsi="宋体" w:eastAsia="宋体" w:cs="宋体"/>
          <w:szCs w:val="21"/>
        </w:rPr>
        <w:t>本项目是否接受合同分包：</w:t>
      </w:r>
      <w:r>
        <w:rPr>
          <w:rFonts w:hint="eastAsia" w:ascii="宋体" w:hAnsi="宋体" w:eastAsia="宋体" w:cs="宋体"/>
          <w:szCs w:val="21"/>
          <w:u w:val="single"/>
        </w:rPr>
        <w:t>否</w:t>
      </w:r>
    </w:p>
    <w:p>
      <w:pPr>
        <w:numPr>
          <w:ilvl w:val="0"/>
          <w:numId w:val="1"/>
        </w:numPr>
        <w:spacing w:line="276" w:lineRule="auto"/>
        <w:ind w:left="490" w:hanging="490"/>
        <w:rPr>
          <w:rFonts w:hint="eastAsia" w:ascii="宋体" w:hAnsi="宋体" w:eastAsia="宋体" w:cs="宋体"/>
          <w:b/>
          <w:szCs w:val="21"/>
        </w:rPr>
      </w:pPr>
      <w:r>
        <w:rPr>
          <w:rFonts w:hint="eastAsia" w:ascii="宋体" w:hAnsi="宋体" w:eastAsia="宋体" w:cs="宋体"/>
          <w:b/>
          <w:szCs w:val="21"/>
        </w:rPr>
        <w:t>投标人的资格要求：</w:t>
      </w:r>
    </w:p>
    <w:p>
      <w:pPr>
        <w:numPr>
          <w:ilvl w:val="0"/>
          <w:numId w:val="3"/>
        </w:numPr>
        <w:tabs>
          <w:tab w:val="left" w:pos="896"/>
        </w:tabs>
        <w:spacing w:line="276" w:lineRule="auto"/>
        <w:rPr>
          <w:rFonts w:hint="eastAsia" w:ascii="宋体" w:hAnsi="宋体" w:eastAsia="宋体" w:cs="宋体"/>
          <w:color w:val="0D0D0D"/>
          <w:szCs w:val="21"/>
        </w:rPr>
      </w:pPr>
      <w:r>
        <w:rPr>
          <w:rFonts w:hint="eastAsia" w:ascii="宋体" w:hAnsi="宋体" w:eastAsia="宋体" w:cs="宋体"/>
          <w:color w:val="0D0D0D"/>
          <w:szCs w:val="21"/>
        </w:rPr>
        <w:t>投标人应具备《中华人民共和国政府采购法》第二十二条规定的条件：</w:t>
      </w:r>
    </w:p>
    <w:p>
      <w:pPr>
        <w:tabs>
          <w:tab w:val="left" w:pos="896"/>
        </w:tabs>
        <w:spacing w:line="276" w:lineRule="auto"/>
        <w:ind w:left="902" w:leftChars="406" w:hanging="50" w:hangingChars="24"/>
        <w:rPr>
          <w:rFonts w:hint="eastAsia" w:ascii="宋体" w:hAnsi="宋体" w:eastAsia="宋体" w:cs="宋体"/>
          <w:color w:val="0D0D0D"/>
          <w:szCs w:val="21"/>
        </w:rPr>
      </w:pPr>
      <w:r>
        <w:rPr>
          <w:rFonts w:hint="eastAsia" w:ascii="宋体" w:hAnsi="宋体" w:eastAsia="宋体" w:cs="宋体"/>
          <w:color w:val="0D0D0D"/>
          <w:szCs w:val="21"/>
        </w:rPr>
        <w:t>1.1具有独立承担民事责任的能力；</w:t>
      </w:r>
    </w:p>
    <w:p>
      <w:pPr>
        <w:tabs>
          <w:tab w:val="left" w:pos="896"/>
        </w:tabs>
        <w:spacing w:line="276" w:lineRule="auto"/>
        <w:ind w:left="902" w:leftChars="406" w:hanging="50" w:hangingChars="24"/>
        <w:rPr>
          <w:rFonts w:hint="eastAsia" w:ascii="宋体" w:hAnsi="宋体" w:eastAsia="宋体" w:cs="宋体"/>
          <w:color w:val="0D0D0D"/>
          <w:szCs w:val="21"/>
        </w:rPr>
      </w:pPr>
      <w:r>
        <w:rPr>
          <w:rFonts w:hint="eastAsia" w:ascii="宋体" w:hAnsi="宋体" w:eastAsia="宋体" w:cs="宋体"/>
          <w:color w:val="0D0D0D"/>
          <w:szCs w:val="21"/>
        </w:rPr>
        <w:t>1.2具有良好的商业信誉和健全的财务会计制度；</w:t>
      </w:r>
    </w:p>
    <w:p>
      <w:pPr>
        <w:tabs>
          <w:tab w:val="left" w:pos="896"/>
        </w:tabs>
        <w:spacing w:line="276" w:lineRule="auto"/>
        <w:ind w:left="902" w:leftChars="406" w:hanging="50" w:hangingChars="24"/>
        <w:rPr>
          <w:rFonts w:hint="eastAsia" w:ascii="宋体" w:hAnsi="宋体" w:eastAsia="宋体" w:cs="宋体"/>
          <w:color w:val="0D0D0D"/>
          <w:szCs w:val="21"/>
        </w:rPr>
      </w:pPr>
      <w:r>
        <w:rPr>
          <w:rFonts w:hint="eastAsia" w:ascii="宋体" w:hAnsi="宋体" w:eastAsia="宋体" w:cs="宋体"/>
          <w:color w:val="0D0D0D"/>
          <w:szCs w:val="21"/>
        </w:rPr>
        <w:t>1.3具有履行合同所必需的设备和专业技术能力；</w:t>
      </w:r>
    </w:p>
    <w:p>
      <w:pPr>
        <w:tabs>
          <w:tab w:val="left" w:pos="896"/>
        </w:tabs>
        <w:spacing w:line="276" w:lineRule="auto"/>
        <w:ind w:left="902" w:leftChars="406" w:hanging="50" w:hangingChars="24"/>
        <w:rPr>
          <w:rFonts w:hint="eastAsia" w:ascii="宋体" w:hAnsi="宋体" w:eastAsia="宋体" w:cs="宋体"/>
          <w:color w:val="0D0D0D"/>
          <w:szCs w:val="21"/>
        </w:rPr>
      </w:pPr>
      <w:r>
        <w:rPr>
          <w:rFonts w:hint="eastAsia" w:ascii="宋体" w:hAnsi="宋体" w:eastAsia="宋体" w:cs="宋体"/>
          <w:color w:val="0D0D0D"/>
          <w:szCs w:val="21"/>
        </w:rPr>
        <w:t>1.4有依法缴纳税收和社会保障资金的良好记录；</w:t>
      </w:r>
    </w:p>
    <w:p>
      <w:pPr>
        <w:tabs>
          <w:tab w:val="left" w:pos="896"/>
        </w:tabs>
        <w:spacing w:line="276" w:lineRule="auto"/>
        <w:ind w:left="902" w:leftChars="406" w:hanging="50" w:hangingChars="24"/>
        <w:rPr>
          <w:rFonts w:hint="eastAsia" w:ascii="宋体" w:hAnsi="宋体" w:eastAsia="宋体" w:cs="宋体"/>
          <w:color w:val="0D0D0D"/>
          <w:szCs w:val="21"/>
        </w:rPr>
      </w:pPr>
      <w:r>
        <w:rPr>
          <w:rFonts w:hint="eastAsia" w:ascii="宋体" w:hAnsi="宋体" w:eastAsia="宋体" w:cs="宋体"/>
          <w:color w:val="0D0D0D"/>
          <w:szCs w:val="21"/>
        </w:rPr>
        <w:t>1.5</w:t>
      </w:r>
      <w:r>
        <w:rPr>
          <w:rFonts w:hint="eastAsia" w:ascii="宋体" w:hAnsi="宋体" w:eastAsia="宋体" w:cs="宋体"/>
          <w:color w:val="000000"/>
          <w:szCs w:val="21"/>
        </w:rPr>
        <w:t>参加政府采购活动前三年内，在经营活动中没有重大违法记录</w:t>
      </w:r>
      <w:r>
        <w:rPr>
          <w:rFonts w:hint="eastAsia" w:ascii="宋体" w:hAnsi="宋体" w:eastAsia="宋体" w:cs="宋体"/>
          <w:color w:val="0D0D0D"/>
          <w:szCs w:val="21"/>
        </w:rPr>
        <w:t>；</w:t>
      </w:r>
    </w:p>
    <w:p>
      <w:pPr>
        <w:tabs>
          <w:tab w:val="left" w:pos="896"/>
        </w:tabs>
        <w:spacing w:line="276" w:lineRule="auto"/>
        <w:ind w:left="902" w:leftChars="406" w:hanging="50" w:hangingChars="24"/>
        <w:rPr>
          <w:rFonts w:hint="eastAsia" w:ascii="宋体" w:hAnsi="宋体" w:eastAsia="宋体" w:cs="宋体"/>
          <w:color w:val="0D0D0D"/>
          <w:szCs w:val="21"/>
        </w:rPr>
      </w:pPr>
      <w:r>
        <w:rPr>
          <w:rFonts w:hint="eastAsia" w:ascii="宋体" w:hAnsi="宋体" w:eastAsia="宋体" w:cs="宋体"/>
          <w:color w:val="0D0D0D"/>
          <w:szCs w:val="21"/>
        </w:rPr>
        <w:t>1.6法律、行政法规规定的其他条件。</w:t>
      </w:r>
    </w:p>
    <w:p>
      <w:pPr>
        <w:numPr>
          <w:ilvl w:val="0"/>
          <w:numId w:val="3"/>
        </w:numPr>
        <w:tabs>
          <w:tab w:val="left" w:pos="896"/>
        </w:tabs>
        <w:spacing w:line="276" w:lineRule="auto"/>
        <w:rPr>
          <w:rFonts w:hint="eastAsia" w:ascii="宋体" w:hAnsi="宋体" w:eastAsia="宋体" w:cs="宋体"/>
          <w:szCs w:val="21"/>
        </w:rPr>
      </w:pPr>
      <w:r>
        <w:rPr>
          <w:rFonts w:hint="eastAsia" w:ascii="宋体" w:hAnsi="宋体" w:eastAsia="宋体" w:cs="宋体"/>
          <w:color w:val="0D0D0D"/>
          <w:szCs w:val="21"/>
        </w:rPr>
        <w:t>投标人未被列入“信用中国”网站(www.creditchina.gov.cn)失信被执行人</w:t>
      </w:r>
      <w:r>
        <w:rPr>
          <w:rFonts w:hint="eastAsia" w:ascii="宋体" w:hAnsi="宋体" w:eastAsia="宋体" w:cs="宋体"/>
          <w:szCs w:val="21"/>
        </w:rPr>
        <w:t>、税收违法黑名单或重大税收违法失信主体、政府采购严重违法失信行为记录名单（以开标当日代理机构查询结果为准）。</w:t>
      </w:r>
    </w:p>
    <w:p>
      <w:pPr>
        <w:numPr>
          <w:ilvl w:val="0"/>
          <w:numId w:val="3"/>
        </w:numPr>
        <w:tabs>
          <w:tab w:val="left" w:pos="896"/>
        </w:tabs>
        <w:spacing w:line="276" w:lineRule="auto"/>
        <w:rPr>
          <w:rFonts w:hint="eastAsia" w:ascii="宋体" w:hAnsi="宋体" w:eastAsia="宋体" w:cs="宋体"/>
          <w:color w:val="0D0D0D"/>
          <w:szCs w:val="21"/>
          <w:highlight w:val="none"/>
        </w:rPr>
      </w:pPr>
      <w:r>
        <w:rPr>
          <w:rFonts w:hint="eastAsia" w:ascii="宋体" w:hAnsi="宋体" w:eastAsia="宋体" w:cs="宋体"/>
          <w:color w:val="0D0D0D"/>
          <w:szCs w:val="21"/>
        </w:rPr>
        <w:t>单位负责人为同一人或者存在直接控股、管理关系的不同投标人，不得参加本项目同一合同项下的政府采购活动。为本采购项目提供整体设计、规范编制或者项目管理、监理、检测等服务的，不得再参加本项目</w:t>
      </w:r>
      <w:r>
        <w:rPr>
          <w:rFonts w:hint="eastAsia" w:ascii="宋体" w:hAnsi="宋体" w:eastAsia="宋体" w:cs="宋体"/>
          <w:color w:val="0D0D0D"/>
          <w:szCs w:val="21"/>
          <w:highlight w:val="none"/>
        </w:rPr>
        <w:t>的其他招标采购活动。</w:t>
      </w:r>
    </w:p>
    <w:p>
      <w:pPr>
        <w:tabs>
          <w:tab w:val="left" w:pos="896"/>
        </w:tabs>
        <w:spacing w:line="276" w:lineRule="auto"/>
        <w:ind w:left="898" w:leftChars="428"/>
        <w:rPr>
          <w:rFonts w:hint="eastAsia" w:ascii="宋体" w:hAnsi="宋体" w:eastAsia="宋体" w:cs="宋体"/>
          <w:color w:val="0D0D0D"/>
          <w:szCs w:val="21"/>
          <w:highlight w:val="none"/>
        </w:rPr>
      </w:pPr>
      <w:r>
        <w:rPr>
          <w:rFonts w:hint="eastAsia" w:ascii="宋体" w:hAnsi="宋体" w:eastAsia="宋体" w:cs="宋体"/>
          <w:szCs w:val="21"/>
          <w:highlight w:val="none"/>
        </w:rPr>
        <w:t>本项目的特定资格要求：</w:t>
      </w:r>
      <w:r>
        <w:rPr>
          <w:rFonts w:hint="eastAsia" w:ascii="宋体" w:hAnsi="宋体" w:eastAsia="宋体" w:cs="宋体"/>
          <w:color w:val="000000"/>
          <w:szCs w:val="21"/>
          <w:highlight w:val="none"/>
          <w:u w:val="single"/>
        </w:rPr>
        <w:t xml:space="preserve">02、03、04、06、07、09包：若投标人提供的产品为进口产品，且不是投标人生产或拥有的，则必须取得制造商或国内总代理提供的唯一正式授权书 </w:t>
      </w:r>
      <w:r>
        <w:rPr>
          <w:rFonts w:hint="eastAsia" w:ascii="宋体" w:hAnsi="宋体" w:eastAsia="宋体" w:cs="宋体"/>
          <w:szCs w:val="21"/>
          <w:highlight w:val="none"/>
        </w:rPr>
        <w:t>。</w:t>
      </w:r>
    </w:p>
    <w:p>
      <w:pPr>
        <w:numPr>
          <w:ilvl w:val="0"/>
          <w:numId w:val="3"/>
        </w:numPr>
        <w:tabs>
          <w:tab w:val="left" w:pos="896"/>
        </w:tabs>
        <w:spacing w:line="276" w:lineRule="auto"/>
        <w:rPr>
          <w:rFonts w:hint="eastAsia" w:ascii="宋体" w:hAnsi="宋体" w:eastAsia="宋体" w:cs="宋体"/>
          <w:color w:val="FF0000"/>
          <w:szCs w:val="21"/>
        </w:rPr>
      </w:pPr>
      <w:r>
        <w:rPr>
          <w:rFonts w:hint="eastAsia" w:ascii="宋体" w:hAnsi="宋体" w:eastAsia="宋体" w:cs="宋体"/>
          <w:color w:val="0D0D0D"/>
          <w:szCs w:val="21"/>
          <w:highlight w:val="none"/>
        </w:rPr>
        <w:t>落实政府采购政策需满足的资格要</w:t>
      </w:r>
      <w:r>
        <w:rPr>
          <w:rFonts w:hint="eastAsia" w:ascii="宋体" w:hAnsi="宋体" w:eastAsia="宋体" w:cs="宋体"/>
          <w:color w:val="0D0D0D"/>
          <w:szCs w:val="21"/>
        </w:rPr>
        <w:t>求：</w:t>
      </w:r>
    </w:p>
    <w:p>
      <w:pPr>
        <w:spacing w:line="276" w:lineRule="auto"/>
        <w:ind w:left="840" w:leftChars="400" w:firstLine="420" w:firstLineChars="200"/>
        <w:rPr>
          <w:rFonts w:hint="eastAsia" w:ascii="宋体" w:hAnsi="宋体" w:eastAsia="宋体" w:cs="宋体"/>
          <w:color w:val="000000"/>
          <w:szCs w:val="21"/>
        </w:rPr>
      </w:pPr>
      <w:r>
        <w:rPr>
          <w:rFonts w:hint="eastAsia" w:ascii="宋体" w:hAnsi="宋体" w:eastAsia="宋体" w:cs="宋体"/>
          <w:szCs w:val="21"/>
        </w:rPr>
        <w:t>本政府采购项目</w:t>
      </w:r>
      <w:r>
        <w:rPr>
          <w:rFonts w:hint="eastAsia" w:ascii="宋体" w:hAnsi="宋体" w:eastAsia="宋体" w:cs="宋体"/>
          <w:b/>
          <w:color w:val="FF0000"/>
          <w:szCs w:val="21"/>
        </w:rPr>
        <w:t>非</w:t>
      </w:r>
      <w:r>
        <w:rPr>
          <w:rFonts w:hint="eastAsia" w:ascii="宋体" w:hAnsi="宋体" w:eastAsia="宋体" w:cs="宋体"/>
          <w:szCs w:val="21"/>
        </w:rPr>
        <w:t>专门面向中小企业，即小微企业参与本项目可享受政府采购中小企业扶持政策，本项目企业划分标准所属行业为“</w:t>
      </w:r>
      <w:r>
        <w:rPr>
          <w:rFonts w:hint="eastAsia" w:ascii="宋体" w:hAnsi="宋体" w:eastAsia="宋体" w:cs="宋体"/>
          <w:szCs w:val="21"/>
          <w:u w:val="single"/>
        </w:rPr>
        <w:t xml:space="preserve"> 工业  </w:t>
      </w:r>
      <w:r>
        <w:rPr>
          <w:rFonts w:hint="eastAsia" w:ascii="宋体" w:hAnsi="宋体" w:eastAsia="宋体" w:cs="宋体"/>
          <w:szCs w:val="21"/>
        </w:rPr>
        <w:t>”（</w:t>
      </w:r>
      <w:r>
        <w:rPr>
          <w:rFonts w:hint="eastAsia" w:ascii="宋体" w:hAnsi="宋体" w:eastAsia="宋体" w:cs="宋体"/>
          <w:b/>
          <w:color w:val="000000"/>
          <w:szCs w:val="21"/>
        </w:rPr>
        <w:t>如投标人提供的货物全部由符合政策要求的小微企业制造，则需提供相应中小企业声明函</w:t>
      </w:r>
      <w:r>
        <w:rPr>
          <w:rFonts w:hint="eastAsia" w:ascii="宋体" w:hAnsi="宋体" w:eastAsia="宋体" w:cs="宋体"/>
          <w:color w:val="000000"/>
          <w:szCs w:val="21"/>
        </w:rPr>
        <w:t>）。</w:t>
      </w:r>
    </w:p>
    <w:p>
      <w:pPr>
        <w:numPr>
          <w:ilvl w:val="0"/>
          <w:numId w:val="1"/>
        </w:numPr>
        <w:spacing w:line="276" w:lineRule="auto"/>
        <w:ind w:left="490" w:hanging="490"/>
        <w:rPr>
          <w:rFonts w:hint="eastAsia" w:ascii="宋体" w:hAnsi="宋体" w:eastAsia="宋体" w:cs="宋体"/>
          <w:b/>
          <w:kern w:val="0"/>
          <w:szCs w:val="21"/>
        </w:rPr>
      </w:pPr>
      <w:r>
        <w:rPr>
          <w:rFonts w:hint="eastAsia" w:ascii="宋体" w:hAnsi="宋体" w:eastAsia="宋体" w:cs="宋体"/>
          <w:b/>
          <w:szCs w:val="21"/>
        </w:rPr>
        <w:t>获取招标文件</w:t>
      </w:r>
      <w:r>
        <w:rPr>
          <w:rFonts w:hint="eastAsia" w:ascii="宋体" w:hAnsi="宋体" w:eastAsia="宋体" w:cs="宋体"/>
          <w:b/>
          <w:kern w:val="0"/>
          <w:szCs w:val="21"/>
        </w:rPr>
        <w:t>：</w:t>
      </w:r>
    </w:p>
    <w:p>
      <w:pPr>
        <w:numPr>
          <w:ilvl w:val="0"/>
          <w:numId w:val="4"/>
        </w:numPr>
        <w:tabs>
          <w:tab w:val="left" w:pos="896"/>
        </w:tabs>
        <w:spacing w:line="276" w:lineRule="auto"/>
        <w:rPr>
          <w:rFonts w:hint="eastAsia" w:ascii="宋体" w:hAnsi="宋体" w:eastAsia="宋体" w:cs="宋体"/>
          <w:szCs w:val="21"/>
        </w:rPr>
      </w:pPr>
      <w:r>
        <w:rPr>
          <w:rFonts w:hint="eastAsia" w:ascii="宋体" w:hAnsi="宋体" w:eastAsia="宋体" w:cs="宋体"/>
          <w:color w:val="000000"/>
          <w:szCs w:val="21"/>
        </w:rPr>
        <w:t>拟参加本项目的投标人须在</w:t>
      </w:r>
      <w:r>
        <w:rPr>
          <w:rFonts w:hint="eastAsia" w:ascii="宋体" w:hAnsi="宋体" w:eastAsia="宋体" w:cs="宋体"/>
          <w:szCs w:val="21"/>
        </w:rPr>
        <w:t>阳光招采电子招标投标交易平台</w:t>
      </w:r>
      <w:r>
        <w:rPr>
          <w:rFonts w:hint="eastAsia" w:ascii="宋体" w:hAnsi="宋体" w:eastAsia="宋体" w:cs="宋体"/>
        </w:rPr>
        <w:t>（以下简称“电子交易平台”，网址：http://www.yangguangzhaocai.com/）点击</w:t>
      </w:r>
      <w:r>
        <w:rPr>
          <w:rFonts w:hint="eastAsia" w:ascii="宋体" w:hAnsi="宋体" w:eastAsia="宋体" w:cs="宋体"/>
          <w:b/>
        </w:rPr>
        <w:t>“进入新平台”——“新用户注册”</w:t>
      </w:r>
      <w:r>
        <w:rPr>
          <w:rFonts w:hint="eastAsia" w:ascii="宋体" w:hAnsi="宋体" w:eastAsia="宋体" w:cs="宋体"/>
        </w:rPr>
        <w:t>免费注册（具体操作详见电子交易平台</w:t>
      </w:r>
      <w:r>
        <w:rPr>
          <w:rFonts w:hint="eastAsia" w:ascii="宋体" w:hAnsi="宋体" w:eastAsia="宋体" w:cs="宋体"/>
          <w:b/>
        </w:rPr>
        <w:t>——</w:t>
      </w:r>
      <w:r>
        <w:rPr>
          <w:rFonts w:hint="eastAsia" w:ascii="宋体" w:hAnsi="宋体" w:eastAsia="宋体" w:cs="宋体"/>
        </w:rPr>
        <w:t>进入新平台</w:t>
      </w:r>
      <w:r>
        <w:rPr>
          <w:rFonts w:hint="eastAsia" w:ascii="宋体" w:hAnsi="宋体" w:eastAsia="宋体" w:cs="宋体"/>
          <w:b/>
        </w:rPr>
        <w:t>——</w:t>
      </w:r>
      <w:r>
        <w:rPr>
          <w:rFonts w:hint="eastAsia" w:ascii="宋体" w:hAnsi="宋体" w:eastAsia="宋体" w:cs="宋体"/>
        </w:rPr>
        <w:t>帮助中心</w:t>
      </w:r>
      <w:r>
        <w:rPr>
          <w:rFonts w:hint="eastAsia" w:ascii="宋体" w:hAnsi="宋体" w:eastAsia="宋体" w:cs="宋体"/>
          <w:b/>
        </w:rPr>
        <w:t>——</w:t>
      </w:r>
      <w:r>
        <w:rPr>
          <w:rFonts w:hint="eastAsia" w:ascii="宋体" w:hAnsi="宋体" w:eastAsia="宋体" w:cs="宋体"/>
        </w:rPr>
        <w:t>投标人注册、投标人线上支付下载文件）；</w:t>
      </w:r>
    </w:p>
    <w:p>
      <w:pPr>
        <w:numPr>
          <w:ilvl w:val="0"/>
          <w:numId w:val="4"/>
        </w:numPr>
        <w:tabs>
          <w:tab w:val="left" w:pos="896"/>
        </w:tabs>
        <w:spacing w:line="276" w:lineRule="auto"/>
        <w:rPr>
          <w:rFonts w:hint="eastAsia" w:ascii="宋体" w:hAnsi="宋体" w:eastAsia="宋体" w:cs="宋体"/>
          <w:szCs w:val="21"/>
        </w:rPr>
      </w:pPr>
      <w:r>
        <w:rPr>
          <w:rFonts w:hint="eastAsia" w:ascii="宋体" w:hAnsi="宋体" w:eastAsia="宋体" w:cs="宋体"/>
          <w:szCs w:val="21"/>
        </w:rPr>
        <w:t>在新平台完成注册后</w:t>
      </w:r>
      <w:r>
        <w:rPr>
          <w:rFonts w:hint="eastAsia" w:ascii="宋体" w:hAnsi="宋体" w:eastAsia="宋体" w:cs="宋体"/>
        </w:rPr>
        <w:t>，</w:t>
      </w:r>
      <w:r>
        <w:rPr>
          <w:rFonts w:hint="eastAsia" w:ascii="宋体" w:hAnsi="宋体" w:eastAsia="宋体" w:cs="宋体"/>
          <w:szCs w:val="21"/>
          <w:lang w:val="zh-CN"/>
        </w:rPr>
        <w:t xml:space="preserve">请于 </w:t>
      </w:r>
      <w:r>
        <w:rPr>
          <w:rFonts w:hint="eastAsia" w:ascii="宋体" w:hAnsi="宋体" w:eastAsia="宋体" w:cs="宋体"/>
          <w:szCs w:val="21"/>
          <w:u w:val="single"/>
          <w:lang w:val="zh-CN"/>
        </w:rPr>
        <w:t xml:space="preserve"> </w:t>
      </w:r>
      <w:r>
        <w:rPr>
          <w:rFonts w:hint="eastAsia" w:ascii="宋体" w:hAnsi="宋体" w:eastAsia="宋体" w:cs="宋体"/>
          <w:szCs w:val="21"/>
          <w:u w:val="single"/>
          <w:lang w:val="en-US" w:eastAsia="zh-CN"/>
        </w:rPr>
        <w:t>2022</w:t>
      </w:r>
      <w:r>
        <w:rPr>
          <w:rFonts w:hint="eastAsia" w:ascii="宋体" w:hAnsi="宋体" w:eastAsia="宋体" w:cs="宋体"/>
          <w:szCs w:val="21"/>
          <w:lang w:val="zh-CN"/>
        </w:rPr>
        <w:t>年</w:t>
      </w:r>
      <w:r>
        <w:rPr>
          <w:rFonts w:hint="eastAsia" w:ascii="宋体" w:hAnsi="宋体" w:eastAsia="宋体" w:cs="宋体"/>
          <w:szCs w:val="21"/>
          <w:u w:val="single"/>
          <w:lang w:val="zh-CN"/>
        </w:rPr>
        <w:t xml:space="preserve"> </w:t>
      </w:r>
      <w:r>
        <w:rPr>
          <w:rFonts w:hint="eastAsia" w:ascii="宋体" w:hAnsi="宋体" w:eastAsia="宋体" w:cs="宋体"/>
          <w:szCs w:val="21"/>
          <w:u w:val="single"/>
          <w:lang w:val="en-US" w:eastAsia="zh-CN"/>
        </w:rPr>
        <w:t>12</w:t>
      </w:r>
      <w:r>
        <w:rPr>
          <w:rFonts w:hint="eastAsia" w:ascii="宋体" w:hAnsi="宋体" w:eastAsia="宋体" w:cs="宋体"/>
          <w:szCs w:val="21"/>
          <w:u w:val="single"/>
          <w:lang w:val="zh-CN"/>
        </w:rPr>
        <w:t xml:space="preserve"> </w:t>
      </w:r>
      <w:r>
        <w:rPr>
          <w:rFonts w:hint="eastAsia" w:ascii="宋体" w:hAnsi="宋体" w:eastAsia="宋体" w:cs="宋体"/>
          <w:szCs w:val="21"/>
          <w:lang w:val="zh-CN"/>
        </w:rPr>
        <w:t>月</w:t>
      </w:r>
      <w:r>
        <w:rPr>
          <w:rFonts w:hint="eastAsia" w:ascii="宋体" w:hAnsi="宋体" w:eastAsia="宋体" w:cs="宋体"/>
          <w:szCs w:val="21"/>
          <w:u w:val="single"/>
          <w:lang w:val="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lang w:val="zh-CN"/>
        </w:rPr>
        <w:t xml:space="preserve">日至 </w:t>
      </w:r>
      <w:r>
        <w:rPr>
          <w:rFonts w:hint="eastAsia" w:ascii="宋体" w:hAnsi="宋体" w:eastAsia="宋体" w:cs="宋体"/>
          <w:szCs w:val="21"/>
          <w:u w:val="single"/>
          <w:lang w:val="zh-CN"/>
        </w:rPr>
        <w:t xml:space="preserve"> </w:t>
      </w:r>
      <w:r>
        <w:rPr>
          <w:rFonts w:hint="eastAsia" w:ascii="宋体" w:hAnsi="宋体" w:eastAsia="宋体" w:cs="宋体"/>
          <w:szCs w:val="21"/>
          <w:u w:val="single"/>
          <w:lang w:val="en-US" w:eastAsia="zh-CN"/>
        </w:rPr>
        <w:t>2022</w:t>
      </w:r>
      <w:r>
        <w:rPr>
          <w:rFonts w:hint="eastAsia" w:ascii="宋体" w:hAnsi="宋体" w:eastAsia="宋体" w:cs="宋体"/>
          <w:szCs w:val="21"/>
          <w:lang w:val="zh-CN"/>
        </w:rPr>
        <w:t>年</w:t>
      </w:r>
      <w:r>
        <w:rPr>
          <w:rFonts w:hint="eastAsia" w:ascii="宋体" w:hAnsi="宋体" w:eastAsia="宋体" w:cs="宋体"/>
          <w:szCs w:val="21"/>
          <w:u w:val="single"/>
          <w:lang w:val="zh-CN"/>
        </w:rPr>
        <w:t xml:space="preserve"> </w:t>
      </w:r>
      <w:r>
        <w:rPr>
          <w:rFonts w:hint="eastAsia" w:ascii="宋体" w:hAnsi="宋体" w:eastAsia="宋体" w:cs="宋体"/>
          <w:szCs w:val="21"/>
          <w:u w:val="single"/>
          <w:lang w:val="en-US" w:eastAsia="zh-CN"/>
        </w:rPr>
        <w:t>12</w:t>
      </w:r>
      <w:r>
        <w:rPr>
          <w:rFonts w:hint="eastAsia" w:ascii="宋体" w:hAnsi="宋体" w:eastAsia="宋体" w:cs="宋体"/>
          <w:szCs w:val="21"/>
          <w:u w:val="single"/>
          <w:lang w:val="zh-CN"/>
        </w:rPr>
        <w:t xml:space="preserve"> </w:t>
      </w:r>
      <w:r>
        <w:rPr>
          <w:rFonts w:hint="eastAsia" w:ascii="宋体" w:hAnsi="宋体" w:eastAsia="宋体" w:cs="宋体"/>
          <w:szCs w:val="21"/>
          <w:lang w:val="zh-CN"/>
        </w:rPr>
        <w:t>月</w:t>
      </w:r>
      <w:r>
        <w:rPr>
          <w:rFonts w:hint="eastAsia" w:ascii="宋体" w:hAnsi="宋体" w:eastAsia="宋体" w:cs="宋体"/>
          <w:szCs w:val="21"/>
          <w:u w:val="single"/>
          <w:lang w:val="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zh-CN"/>
        </w:rPr>
        <w:t>日17:00时止（北京时间），</w:t>
      </w:r>
      <w:r>
        <w:rPr>
          <w:rFonts w:hint="eastAsia" w:ascii="宋体" w:hAnsi="宋体" w:eastAsia="宋体" w:cs="宋体"/>
        </w:rPr>
        <w:t>通过互联网访问电子交易平台，点击</w:t>
      </w:r>
      <w:r>
        <w:rPr>
          <w:rFonts w:hint="eastAsia" w:ascii="宋体" w:hAnsi="宋体" w:eastAsia="宋体" w:cs="宋体"/>
          <w:b/>
        </w:rPr>
        <w:t>“进入新平台”——“投标人”</w:t>
      </w:r>
      <w:r>
        <w:rPr>
          <w:rFonts w:hint="eastAsia" w:ascii="宋体" w:hAnsi="宋体" w:eastAsia="宋体" w:cs="宋体"/>
        </w:rPr>
        <w:t>登录，在“公告信息</w:t>
      </w:r>
      <w:r>
        <w:rPr>
          <w:rFonts w:hint="eastAsia" w:ascii="宋体" w:hAnsi="宋体" w:eastAsia="宋体" w:cs="宋体"/>
          <w:b/>
        </w:rPr>
        <w:t>——</w:t>
      </w:r>
      <w:r>
        <w:rPr>
          <w:rFonts w:hint="eastAsia" w:ascii="宋体" w:hAnsi="宋体" w:eastAsia="宋体" w:cs="宋体"/>
        </w:rPr>
        <w:t>采购公告”菜单付费下载招标文件，</w:t>
      </w:r>
      <w:r>
        <w:rPr>
          <w:rFonts w:hint="eastAsia" w:ascii="宋体" w:hAnsi="宋体" w:eastAsia="宋体" w:cs="宋体"/>
          <w:szCs w:val="21"/>
          <w:u w:val="single"/>
          <w:lang w:val="zh-CN"/>
        </w:rPr>
        <w:fldChar w:fldCharType="begin"/>
      </w:r>
      <w:r>
        <w:rPr>
          <w:rFonts w:hint="eastAsia" w:ascii="宋体" w:hAnsi="宋体" w:eastAsia="宋体" w:cs="宋体"/>
          <w:szCs w:val="21"/>
          <w:u w:val="single"/>
          <w:lang w:val="zh-CN"/>
        </w:rPr>
        <w:instrText xml:space="preserve"> DOCVARIABLE 招标文件标书费用金额（元） </w:instrText>
      </w:r>
      <w:r>
        <w:rPr>
          <w:rFonts w:hint="eastAsia" w:ascii="宋体" w:hAnsi="宋体" w:eastAsia="宋体" w:cs="宋体"/>
          <w:szCs w:val="21"/>
          <w:u w:val="single"/>
          <w:lang w:val="zh-CN"/>
        </w:rPr>
        <w:fldChar w:fldCharType="separate"/>
      </w:r>
      <w:r>
        <w:rPr>
          <w:rFonts w:hint="eastAsia" w:ascii="宋体" w:hAnsi="宋体" w:eastAsia="宋体" w:cs="宋体"/>
          <w:szCs w:val="21"/>
          <w:u w:val="single"/>
        </w:rPr>
        <w:t>300</w:t>
      </w:r>
      <w:r>
        <w:rPr>
          <w:rFonts w:hint="eastAsia" w:ascii="宋体" w:hAnsi="宋体" w:eastAsia="宋体" w:cs="宋体"/>
          <w:szCs w:val="21"/>
          <w:u w:val="single"/>
          <w:lang w:val="zh-CN"/>
        </w:rPr>
        <w:fldChar w:fldCharType="end"/>
      </w:r>
      <w:r>
        <w:rPr>
          <w:rFonts w:hint="eastAsia" w:ascii="宋体" w:hAnsi="宋体" w:eastAsia="宋体" w:cs="宋体"/>
          <w:szCs w:val="21"/>
          <w:lang w:val="zh-CN"/>
        </w:rPr>
        <w:t>元/份（包），售后不退。</w:t>
      </w:r>
      <w:r>
        <w:rPr>
          <w:rFonts w:hint="eastAsia" w:ascii="宋体" w:hAnsi="宋体" w:eastAsia="宋体" w:cs="宋体"/>
          <w:szCs w:val="21"/>
        </w:rPr>
        <w:t>联</w:t>
      </w:r>
      <w:r>
        <w:rPr>
          <w:rFonts w:hint="eastAsia" w:ascii="宋体" w:hAnsi="宋体" w:eastAsia="宋体" w:cs="宋体"/>
          <w:color w:val="000000"/>
          <w:szCs w:val="21"/>
        </w:rPr>
        <w:t>合体投标的，由联合体牵头人下载</w:t>
      </w:r>
      <w:r>
        <w:rPr>
          <w:rFonts w:hint="eastAsia" w:ascii="宋体" w:hAnsi="宋体" w:eastAsia="宋体" w:cs="宋体"/>
        </w:rPr>
        <w:t>招标</w:t>
      </w:r>
      <w:r>
        <w:rPr>
          <w:rFonts w:hint="eastAsia" w:ascii="宋体" w:hAnsi="宋体" w:eastAsia="宋体" w:cs="宋体"/>
          <w:color w:val="000000"/>
          <w:szCs w:val="21"/>
        </w:rPr>
        <w:t>文件。</w:t>
      </w:r>
      <w:r>
        <w:rPr>
          <w:rFonts w:hint="eastAsia" w:ascii="宋体" w:hAnsi="宋体" w:eastAsia="宋体" w:cs="宋体"/>
          <w:szCs w:val="21"/>
          <w:lang w:val="zh-CN"/>
        </w:rPr>
        <w:t>未按规定获取</w:t>
      </w:r>
      <w:r>
        <w:rPr>
          <w:rFonts w:hint="eastAsia" w:ascii="宋体" w:hAnsi="宋体" w:eastAsia="宋体" w:cs="宋体"/>
        </w:rPr>
        <w:t>招标</w:t>
      </w:r>
      <w:r>
        <w:rPr>
          <w:rFonts w:hint="eastAsia" w:ascii="宋体" w:hAnsi="宋体" w:eastAsia="宋体" w:cs="宋体"/>
          <w:szCs w:val="21"/>
          <w:lang w:val="zh-CN"/>
        </w:rPr>
        <w:t>文件的，其投标文件将被否决；</w:t>
      </w:r>
    </w:p>
    <w:p>
      <w:pPr>
        <w:numPr>
          <w:ilvl w:val="0"/>
          <w:numId w:val="4"/>
        </w:numPr>
        <w:tabs>
          <w:tab w:val="left" w:pos="896"/>
        </w:tabs>
        <w:spacing w:line="276" w:lineRule="auto"/>
        <w:rPr>
          <w:rFonts w:hint="eastAsia" w:ascii="宋体" w:hAnsi="宋体" w:eastAsia="宋体" w:cs="宋体"/>
          <w:color w:val="0D0D0D"/>
          <w:szCs w:val="21"/>
        </w:rPr>
      </w:pPr>
      <w:r>
        <w:rPr>
          <w:rFonts w:hint="eastAsia" w:ascii="宋体" w:hAnsi="宋体" w:eastAsia="宋体" w:cs="宋体"/>
          <w:color w:val="000000"/>
          <w:szCs w:val="21"/>
        </w:rPr>
        <w:t>本项目</w:t>
      </w:r>
      <w:r>
        <w:rPr>
          <w:rFonts w:hint="eastAsia" w:ascii="宋体" w:hAnsi="宋体" w:eastAsia="宋体" w:cs="宋体"/>
          <w:color w:val="FF0000"/>
          <w:szCs w:val="21"/>
        </w:rPr>
        <w:t>非</w:t>
      </w:r>
      <w:r>
        <w:rPr>
          <w:rFonts w:hint="eastAsia" w:ascii="宋体" w:hAnsi="宋体" w:eastAsia="宋体" w:cs="宋体"/>
          <w:color w:val="000000"/>
          <w:szCs w:val="21"/>
        </w:rPr>
        <w:t>全流程电子标，投标人无须办理CA数字证书；</w:t>
      </w:r>
    </w:p>
    <w:p>
      <w:pPr>
        <w:numPr>
          <w:ilvl w:val="0"/>
          <w:numId w:val="4"/>
        </w:numPr>
        <w:tabs>
          <w:tab w:val="left" w:pos="896"/>
        </w:tabs>
        <w:spacing w:line="276" w:lineRule="auto"/>
        <w:rPr>
          <w:rFonts w:hint="eastAsia" w:ascii="宋体" w:hAnsi="宋体" w:eastAsia="宋体" w:cs="宋体"/>
          <w:color w:val="0D0D0D"/>
          <w:szCs w:val="21"/>
        </w:rPr>
      </w:pPr>
      <w:r>
        <w:rPr>
          <w:rFonts w:hint="eastAsia" w:ascii="宋体" w:hAnsi="宋体" w:eastAsia="宋体" w:cs="宋体"/>
          <w:color w:val="0D0D0D"/>
          <w:szCs w:val="21"/>
        </w:rPr>
        <w:t>注册进度查询、密码修改问题咨询电话：027-87272708；</w:t>
      </w:r>
    </w:p>
    <w:p>
      <w:pPr>
        <w:numPr>
          <w:ilvl w:val="0"/>
          <w:numId w:val="4"/>
        </w:numPr>
        <w:tabs>
          <w:tab w:val="left" w:pos="896"/>
        </w:tabs>
        <w:spacing w:line="276" w:lineRule="auto"/>
        <w:rPr>
          <w:rFonts w:hint="eastAsia" w:ascii="宋体" w:hAnsi="宋体" w:eastAsia="宋体" w:cs="宋体"/>
          <w:szCs w:val="21"/>
        </w:rPr>
      </w:pPr>
      <w:r>
        <w:rPr>
          <w:rFonts w:hint="eastAsia" w:ascii="宋体" w:hAnsi="宋体" w:eastAsia="宋体" w:cs="宋体"/>
          <w:color w:val="0D0D0D"/>
          <w:szCs w:val="21"/>
        </w:rPr>
        <w:t>对本项目的具体业务问题</w:t>
      </w:r>
      <w:r>
        <w:rPr>
          <w:rFonts w:hint="eastAsia" w:ascii="宋体" w:hAnsi="宋体" w:eastAsia="宋体" w:cs="宋体"/>
          <w:szCs w:val="21"/>
          <w:lang w:val="zh-CN"/>
        </w:rPr>
        <w:t>，请向采购代理机构项目联系人进行咨询（项目经理联系方式详见本公告第七条）。</w:t>
      </w:r>
    </w:p>
    <w:p>
      <w:pPr>
        <w:numPr>
          <w:ilvl w:val="0"/>
          <w:numId w:val="1"/>
        </w:numPr>
        <w:spacing w:line="276" w:lineRule="auto"/>
        <w:ind w:left="490" w:hanging="490"/>
        <w:rPr>
          <w:rFonts w:hint="eastAsia" w:ascii="宋体" w:hAnsi="宋体" w:eastAsia="宋体" w:cs="宋体"/>
          <w:b/>
          <w:kern w:val="0"/>
          <w:szCs w:val="21"/>
          <w:lang w:val="zh-CN"/>
        </w:rPr>
      </w:pPr>
      <w:r>
        <w:rPr>
          <w:rFonts w:hint="eastAsia" w:ascii="宋体" w:hAnsi="宋体" w:eastAsia="宋体" w:cs="宋体"/>
          <w:b/>
          <w:kern w:val="0"/>
          <w:szCs w:val="21"/>
          <w:lang w:val="zh-CN"/>
        </w:rPr>
        <w:t>提交投标文件截止时间、开标时间和地点：</w:t>
      </w:r>
    </w:p>
    <w:p>
      <w:pPr>
        <w:numPr>
          <w:ilvl w:val="0"/>
          <w:numId w:val="5"/>
        </w:numPr>
        <w:tabs>
          <w:tab w:val="left" w:pos="896"/>
        </w:tabs>
        <w:spacing w:line="276" w:lineRule="auto"/>
        <w:rPr>
          <w:rFonts w:hint="eastAsia" w:ascii="宋体" w:hAnsi="宋体" w:eastAsia="宋体" w:cs="宋体"/>
          <w:szCs w:val="21"/>
          <w:lang w:val="zh-CN"/>
        </w:rPr>
      </w:pPr>
      <w:r>
        <w:rPr>
          <w:rFonts w:hint="eastAsia" w:ascii="宋体" w:hAnsi="宋体" w:eastAsia="宋体" w:cs="宋体"/>
          <w:szCs w:val="21"/>
          <w:lang w:val="zh-CN"/>
        </w:rPr>
        <w:t>投标文件递交截止时间及开标时间：</w:t>
      </w:r>
      <w:r>
        <w:rPr>
          <w:rFonts w:hint="eastAsia" w:ascii="宋体" w:hAnsi="宋体" w:eastAsia="宋体" w:cs="宋体"/>
          <w:szCs w:val="21"/>
          <w:u w:val="single"/>
          <w:lang w:val="en-US" w:eastAsia="zh-CN"/>
        </w:rPr>
        <w:t>2022</w:t>
      </w:r>
      <w:r>
        <w:rPr>
          <w:rFonts w:hint="eastAsia" w:ascii="宋体" w:hAnsi="宋体" w:eastAsia="宋体" w:cs="宋体"/>
          <w:szCs w:val="21"/>
          <w:u w:val="single"/>
          <w:lang w:val="zh-CN"/>
        </w:rPr>
        <w:t>_</w:t>
      </w:r>
      <w:r>
        <w:rPr>
          <w:rFonts w:hint="eastAsia" w:ascii="宋体" w:hAnsi="宋体" w:eastAsia="宋体" w:cs="宋体"/>
          <w:szCs w:val="21"/>
          <w:lang w:val="zh-CN"/>
        </w:rPr>
        <w:t>年</w:t>
      </w:r>
      <w:r>
        <w:rPr>
          <w:rFonts w:hint="eastAsia" w:ascii="宋体" w:hAnsi="宋体" w:eastAsia="宋体" w:cs="宋体"/>
          <w:szCs w:val="21"/>
          <w:u w:val="single"/>
        </w:rPr>
        <w:t>_</w:t>
      </w:r>
      <w:r>
        <w:rPr>
          <w:rFonts w:hint="eastAsia" w:ascii="宋体" w:hAnsi="宋体" w:eastAsia="宋体" w:cs="宋体"/>
          <w:szCs w:val="21"/>
          <w:u w:val="single"/>
          <w:lang w:val="en-US" w:eastAsia="zh-CN"/>
        </w:rPr>
        <w:t>12</w:t>
      </w:r>
      <w:r>
        <w:rPr>
          <w:rFonts w:hint="eastAsia" w:ascii="宋体" w:hAnsi="宋体" w:eastAsia="宋体" w:cs="宋体"/>
          <w:szCs w:val="21"/>
          <w:u w:val="single"/>
        </w:rPr>
        <w:t>_</w:t>
      </w:r>
      <w:r>
        <w:rPr>
          <w:rFonts w:hint="eastAsia" w:ascii="宋体" w:hAnsi="宋体" w:eastAsia="宋体" w:cs="宋体"/>
          <w:szCs w:val="21"/>
        </w:rPr>
        <w:t>月</w:t>
      </w:r>
      <w:r>
        <w:rPr>
          <w:rFonts w:hint="eastAsia" w:ascii="宋体" w:hAnsi="宋体" w:eastAsia="宋体" w:cs="宋体"/>
          <w:szCs w:val="21"/>
          <w:u w:val="single"/>
        </w:rPr>
        <w:t>_</w:t>
      </w:r>
      <w:r>
        <w:rPr>
          <w:rFonts w:hint="eastAsia" w:ascii="宋体" w:hAnsi="宋体" w:cs="宋体"/>
          <w:szCs w:val="21"/>
          <w:u w:val="single"/>
          <w:lang w:val="en-US" w:eastAsia="zh-CN"/>
        </w:rPr>
        <w:t xml:space="preserve">  </w:t>
      </w:r>
      <w:r>
        <w:rPr>
          <w:rFonts w:hint="eastAsia" w:ascii="宋体" w:hAnsi="宋体" w:eastAsia="宋体" w:cs="宋体"/>
          <w:szCs w:val="21"/>
          <w:u w:val="single"/>
        </w:rPr>
        <w:t>_</w:t>
      </w:r>
      <w:r>
        <w:rPr>
          <w:rFonts w:hint="eastAsia" w:ascii="宋体" w:hAnsi="宋体" w:eastAsia="宋体" w:cs="宋体"/>
          <w:szCs w:val="21"/>
        </w:rPr>
        <w:t>日</w:t>
      </w:r>
      <w:r>
        <w:rPr>
          <w:rFonts w:hint="eastAsia" w:ascii="宋体" w:hAnsi="宋体" w:eastAsia="宋体" w:cs="宋体"/>
          <w:szCs w:val="21"/>
          <w:u w:val="single"/>
        </w:rPr>
        <w:t>_</w:t>
      </w:r>
      <w:r>
        <w:rPr>
          <w:rFonts w:hint="eastAsia" w:ascii="宋体" w:hAnsi="宋体" w:eastAsia="宋体" w:cs="宋体"/>
          <w:szCs w:val="21"/>
          <w:u w:val="single"/>
          <w:lang w:val="en-US" w:eastAsia="zh-CN"/>
        </w:rPr>
        <w:t>09</w:t>
      </w:r>
      <w:r>
        <w:rPr>
          <w:rFonts w:hint="eastAsia" w:ascii="宋体" w:hAnsi="宋体" w:eastAsia="宋体" w:cs="宋体"/>
          <w:szCs w:val="21"/>
          <w:u w:val="single"/>
        </w:rPr>
        <w:t>_</w:t>
      </w:r>
      <w:r>
        <w:rPr>
          <w:rFonts w:hint="eastAsia" w:ascii="宋体" w:hAnsi="宋体" w:eastAsia="宋体" w:cs="宋体"/>
          <w:szCs w:val="21"/>
        </w:rPr>
        <w:t>时</w:t>
      </w:r>
      <w:r>
        <w:rPr>
          <w:rFonts w:hint="eastAsia" w:ascii="宋体" w:hAnsi="宋体" w:eastAsia="宋体" w:cs="宋体"/>
          <w:szCs w:val="21"/>
          <w:u w:val="single"/>
        </w:rPr>
        <w:t>_</w:t>
      </w:r>
      <w:r>
        <w:rPr>
          <w:rFonts w:hint="eastAsia" w:ascii="宋体" w:hAnsi="宋体" w:eastAsia="宋体" w:cs="宋体"/>
          <w:szCs w:val="21"/>
          <w:u w:val="single"/>
          <w:lang w:val="en-US" w:eastAsia="zh-CN"/>
        </w:rPr>
        <w:t>30</w:t>
      </w:r>
      <w:r>
        <w:rPr>
          <w:rFonts w:hint="eastAsia" w:ascii="宋体" w:hAnsi="宋体" w:eastAsia="宋体" w:cs="宋体"/>
          <w:szCs w:val="21"/>
        </w:rPr>
        <w:t>分</w:t>
      </w:r>
      <w:r>
        <w:rPr>
          <w:rFonts w:hint="eastAsia" w:ascii="宋体" w:hAnsi="宋体" w:eastAsia="宋体" w:cs="宋体"/>
          <w:szCs w:val="21"/>
          <w:lang w:val="zh-CN"/>
        </w:rPr>
        <w:t>（北京时间）；</w:t>
      </w:r>
    </w:p>
    <w:p>
      <w:pPr>
        <w:numPr>
          <w:ilvl w:val="0"/>
          <w:numId w:val="5"/>
        </w:numPr>
        <w:tabs>
          <w:tab w:val="left" w:pos="896"/>
        </w:tabs>
        <w:spacing w:line="276" w:lineRule="auto"/>
        <w:rPr>
          <w:rFonts w:hint="eastAsia" w:ascii="宋体" w:hAnsi="宋体" w:eastAsia="宋体" w:cs="宋体"/>
          <w:color w:val="00B050"/>
          <w:szCs w:val="21"/>
          <w:lang w:val="zh-CN"/>
        </w:rPr>
      </w:pPr>
      <w:r>
        <w:rPr>
          <w:rFonts w:hint="eastAsia" w:ascii="宋体" w:hAnsi="宋体" w:eastAsia="宋体" w:cs="宋体"/>
          <w:szCs w:val="21"/>
          <w:lang w:val="zh-CN"/>
        </w:rPr>
        <w:t>投标人应当在投标截止时间前</w:t>
      </w:r>
      <w:r>
        <w:rPr>
          <w:rFonts w:hint="eastAsia" w:ascii="宋体" w:hAnsi="宋体" w:eastAsia="宋体" w:cs="宋体"/>
          <w:szCs w:val="21"/>
        </w:rPr>
        <w:t>到开标现场</w:t>
      </w:r>
      <w:r>
        <w:rPr>
          <w:rFonts w:hint="eastAsia" w:ascii="宋体" w:hAnsi="宋体" w:eastAsia="宋体" w:cs="宋体"/>
          <w:color w:val="FF0000"/>
          <w:szCs w:val="21"/>
        </w:rPr>
        <w:t>（或邮寄）</w:t>
      </w:r>
      <w:r>
        <w:rPr>
          <w:rFonts w:hint="eastAsia" w:ascii="宋体" w:hAnsi="宋体" w:eastAsia="宋体" w:cs="宋体"/>
          <w:szCs w:val="21"/>
        </w:rPr>
        <w:t>递交密封的投标文件。</w:t>
      </w:r>
      <w:r>
        <w:rPr>
          <w:rFonts w:hint="eastAsia" w:ascii="宋体" w:hAnsi="宋体" w:eastAsia="宋体" w:cs="宋体"/>
          <w:szCs w:val="21"/>
          <w:lang w:val="zh-CN"/>
        </w:rPr>
        <w:t>递交投标文件地址</w:t>
      </w:r>
      <w:r>
        <w:rPr>
          <w:rFonts w:hint="eastAsia" w:ascii="宋体" w:hAnsi="宋体" w:eastAsia="宋体" w:cs="宋体"/>
          <w:szCs w:val="21"/>
        </w:rPr>
        <w:t>：</w:t>
      </w:r>
      <w:r>
        <w:rPr>
          <w:rFonts w:hint="eastAsia" w:ascii="宋体" w:hAnsi="宋体" w:eastAsia="宋体" w:cs="宋体"/>
          <w:szCs w:val="21"/>
        </w:rPr>
        <w:fldChar w:fldCharType="begin"/>
      </w:r>
      <w:r>
        <w:rPr>
          <w:rFonts w:hint="eastAsia" w:ascii="宋体" w:hAnsi="宋体" w:eastAsia="宋体" w:cs="宋体"/>
          <w:szCs w:val="21"/>
        </w:rPr>
        <w:instrText xml:space="preserve"> DOCVARIABLE 招标机构名称 </w:instrText>
      </w:r>
      <w:r>
        <w:rPr>
          <w:rFonts w:hint="eastAsia" w:ascii="宋体" w:hAnsi="宋体" w:eastAsia="宋体" w:cs="宋体"/>
          <w:szCs w:val="21"/>
        </w:rPr>
        <w:fldChar w:fldCharType="separate"/>
      </w:r>
      <w:r>
        <w:rPr>
          <w:rFonts w:hint="eastAsia" w:ascii="宋体" w:hAnsi="宋体" w:eastAsia="宋体" w:cs="宋体"/>
          <w:szCs w:val="21"/>
        </w:rPr>
        <w:t>湖北国华项目管理咨询有限公司</w:t>
      </w:r>
      <w:r>
        <w:rPr>
          <w:rFonts w:hint="eastAsia" w:ascii="宋体" w:hAnsi="宋体" w:eastAsia="宋体" w:cs="宋体"/>
          <w:szCs w:val="21"/>
        </w:rPr>
        <w:fldChar w:fldCharType="end"/>
      </w:r>
      <w:r>
        <w:rPr>
          <w:rFonts w:hint="eastAsia" w:ascii="宋体" w:hAnsi="宋体" w:eastAsia="宋体" w:cs="宋体"/>
          <w:color w:val="000000"/>
          <w:szCs w:val="21"/>
        </w:rPr>
        <w:t>（武昌区中北路109号中铁1818中心10楼）</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会议室。</w:t>
      </w:r>
      <w:r>
        <w:rPr>
          <w:rFonts w:hint="eastAsia" w:ascii="宋体" w:hAnsi="宋体" w:eastAsia="宋体" w:cs="宋体"/>
          <w:bCs/>
          <w:iCs/>
          <w:color w:val="000000"/>
          <w:szCs w:val="21"/>
        </w:rPr>
        <w:t>【因为疫情影响，接受邮寄文件，接收人</w:t>
      </w:r>
      <w:r>
        <w:rPr>
          <w:rFonts w:hint="eastAsia" w:ascii="宋体" w:hAnsi="宋体" w:eastAsia="宋体" w:cs="宋体"/>
          <w:bCs/>
          <w:iCs/>
          <w:color w:val="000000"/>
          <w:szCs w:val="21"/>
          <w:highlight w:val="none"/>
          <w:lang w:val="en-US" w:eastAsia="zh-CN"/>
        </w:rPr>
        <w:t>唐亚辉</w:t>
      </w:r>
      <w:r>
        <w:rPr>
          <w:rFonts w:hint="eastAsia" w:ascii="宋体" w:hAnsi="宋体" w:eastAsia="宋体" w:cs="宋体"/>
          <w:bCs/>
          <w:iCs/>
          <w:color w:val="000000"/>
          <w:szCs w:val="21"/>
          <w:highlight w:val="none"/>
        </w:rPr>
        <w:t>：</w:t>
      </w:r>
      <w:r>
        <w:rPr>
          <w:rFonts w:hint="eastAsia" w:ascii="宋体" w:hAnsi="宋体" w:eastAsia="宋体" w:cs="宋体"/>
          <w:bCs/>
          <w:iCs/>
          <w:color w:val="000000"/>
          <w:szCs w:val="21"/>
          <w:highlight w:val="none"/>
          <w:lang w:val="en-US" w:eastAsia="zh-CN"/>
        </w:rPr>
        <w:t>13469952520</w:t>
      </w:r>
      <w:r>
        <w:rPr>
          <w:rFonts w:hint="eastAsia" w:ascii="宋体" w:hAnsi="宋体" w:eastAsia="宋体" w:cs="宋体"/>
          <w:bCs/>
          <w:iCs/>
          <w:color w:val="000000"/>
          <w:szCs w:val="21"/>
          <w:highlight w:val="none"/>
        </w:rPr>
        <w:t>】</w:t>
      </w:r>
    </w:p>
    <w:p>
      <w:pPr>
        <w:spacing w:line="276" w:lineRule="auto"/>
        <w:ind w:firstLine="420" w:firstLineChars="200"/>
        <w:rPr>
          <w:rFonts w:hint="eastAsia" w:ascii="宋体" w:hAnsi="宋体" w:eastAsia="宋体" w:cs="宋体"/>
          <w:szCs w:val="21"/>
          <w:lang w:val="zh-CN"/>
        </w:rPr>
      </w:pPr>
      <w:r>
        <w:rPr>
          <w:rFonts w:hint="eastAsia" w:ascii="宋体" w:hAnsi="宋体" w:eastAsia="宋体" w:cs="宋体"/>
          <w:b/>
          <w:bCs/>
          <w:color w:val="000000"/>
          <w:szCs w:val="21"/>
        </w:rPr>
        <w:t>说明：招标文件要求投标人现场递交投标文件或样品的，投标人应充分考虑到目前因新冠疫情导致的交通延误、进入办公场所的验码、排队测温登记等因素，合理安排行程以保证按时抵达开标场所并递交投标文件。</w:t>
      </w:r>
    </w:p>
    <w:p>
      <w:pPr>
        <w:numPr>
          <w:ilvl w:val="0"/>
          <w:numId w:val="1"/>
        </w:numPr>
        <w:spacing w:line="276" w:lineRule="auto"/>
        <w:ind w:left="490" w:hanging="490"/>
        <w:rPr>
          <w:rFonts w:hint="eastAsia" w:ascii="宋体" w:hAnsi="宋体" w:eastAsia="宋体" w:cs="宋体"/>
          <w:b/>
          <w:kern w:val="0"/>
          <w:szCs w:val="21"/>
          <w:lang w:val="zh-CN"/>
        </w:rPr>
      </w:pPr>
      <w:r>
        <w:rPr>
          <w:rFonts w:hint="eastAsia" w:ascii="宋体" w:hAnsi="宋体" w:eastAsia="宋体" w:cs="宋体"/>
          <w:b/>
          <w:kern w:val="0"/>
          <w:szCs w:val="21"/>
          <w:lang w:val="zh-CN"/>
        </w:rPr>
        <w:t>公告期限</w:t>
      </w:r>
    </w:p>
    <w:p>
      <w:pPr>
        <w:spacing w:line="276" w:lineRule="auto"/>
        <w:ind w:left="525" w:leftChars="100" w:hanging="315" w:hangingChars="150"/>
        <w:rPr>
          <w:rFonts w:hint="eastAsia" w:ascii="宋体" w:hAnsi="宋体" w:eastAsia="宋体" w:cs="宋体"/>
          <w:szCs w:val="21"/>
        </w:rPr>
      </w:pPr>
      <w:r>
        <w:rPr>
          <w:rFonts w:hint="eastAsia" w:ascii="宋体" w:hAnsi="宋体" w:eastAsia="宋体" w:cs="宋体"/>
          <w:szCs w:val="21"/>
        </w:rPr>
        <w:t>自本公告发布之日起5个工作日。</w:t>
      </w:r>
    </w:p>
    <w:p>
      <w:pPr>
        <w:numPr>
          <w:ilvl w:val="0"/>
          <w:numId w:val="1"/>
        </w:numPr>
        <w:spacing w:line="276" w:lineRule="auto"/>
        <w:ind w:left="490" w:hanging="490"/>
        <w:rPr>
          <w:rFonts w:hint="eastAsia" w:ascii="宋体" w:hAnsi="宋体" w:eastAsia="宋体" w:cs="宋体"/>
          <w:b/>
          <w:kern w:val="0"/>
          <w:szCs w:val="21"/>
          <w:lang w:val="zh-CN"/>
        </w:rPr>
      </w:pPr>
      <w:r>
        <w:rPr>
          <w:rFonts w:hint="eastAsia" w:ascii="宋体" w:hAnsi="宋体" w:eastAsia="宋体" w:cs="宋体"/>
          <w:b/>
          <w:kern w:val="0"/>
          <w:szCs w:val="21"/>
          <w:lang w:val="zh-CN"/>
        </w:rPr>
        <w:t>其他补充事宜：</w:t>
      </w:r>
    </w:p>
    <w:p>
      <w:pPr>
        <w:numPr>
          <w:ilvl w:val="0"/>
          <w:numId w:val="6"/>
        </w:numPr>
        <w:spacing w:line="276" w:lineRule="auto"/>
        <w:rPr>
          <w:rFonts w:hint="eastAsia" w:ascii="宋体" w:hAnsi="宋体" w:eastAsia="宋体" w:cs="宋体"/>
          <w:szCs w:val="21"/>
        </w:rPr>
      </w:pPr>
      <w:r>
        <w:rPr>
          <w:rFonts w:hint="eastAsia" w:ascii="宋体" w:hAnsi="宋体" w:eastAsia="宋体" w:cs="宋体"/>
          <w:szCs w:val="21"/>
          <w:lang w:val="zh-CN"/>
        </w:rPr>
        <w:t>信息发布媒体</w:t>
      </w:r>
    </w:p>
    <w:p>
      <w:pPr>
        <w:spacing w:line="276" w:lineRule="auto"/>
        <w:ind w:left="420" w:leftChars="200" w:firstLine="287" w:firstLineChars="137"/>
        <w:rPr>
          <w:rFonts w:hint="eastAsia" w:ascii="宋体" w:hAnsi="宋体" w:eastAsia="宋体" w:cs="宋体"/>
          <w:szCs w:val="21"/>
        </w:rPr>
      </w:pPr>
      <w:r>
        <w:rPr>
          <w:rFonts w:hint="eastAsia" w:ascii="宋体" w:hAnsi="宋体" w:eastAsia="宋体" w:cs="宋体"/>
          <w:szCs w:val="21"/>
        </w:rPr>
        <w:t>中国政府采购网（</w:t>
      </w:r>
      <w:r>
        <w:rPr>
          <w:rFonts w:hint="eastAsia" w:ascii="宋体" w:hAnsi="宋体" w:eastAsia="宋体" w:cs="宋体"/>
        </w:rPr>
        <w:fldChar w:fldCharType="begin"/>
      </w:r>
      <w:r>
        <w:rPr>
          <w:rFonts w:hint="eastAsia" w:ascii="宋体" w:hAnsi="宋体" w:eastAsia="宋体" w:cs="宋体"/>
        </w:rPr>
        <w:instrText xml:space="preserve"> HYPERLINK "http://www.ccgp.gov.cn/" </w:instrText>
      </w:r>
      <w:r>
        <w:rPr>
          <w:rFonts w:hint="eastAsia" w:ascii="宋体" w:hAnsi="宋体" w:eastAsia="宋体" w:cs="宋体"/>
        </w:rPr>
        <w:fldChar w:fldCharType="separate"/>
      </w:r>
      <w:r>
        <w:rPr>
          <w:rFonts w:hint="eastAsia" w:ascii="宋体" w:hAnsi="宋体" w:eastAsia="宋体" w:cs="宋体"/>
          <w:szCs w:val="21"/>
          <w:u w:val="single"/>
        </w:rPr>
        <w:t>http://www.ccgp.gov.cn/</w:t>
      </w:r>
      <w:r>
        <w:rPr>
          <w:rFonts w:hint="eastAsia" w:ascii="宋体" w:hAnsi="宋体" w:eastAsia="宋体" w:cs="宋体"/>
          <w:szCs w:val="21"/>
          <w:u w:val="single"/>
        </w:rPr>
        <w:fldChar w:fldCharType="end"/>
      </w:r>
      <w:r>
        <w:rPr>
          <w:rFonts w:hint="eastAsia" w:ascii="宋体" w:hAnsi="宋体" w:eastAsia="宋体" w:cs="宋体"/>
          <w:szCs w:val="21"/>
        </w:rPr>
        <w:t>）</w:t>
      </w:r>
    </w:p>
    <w:p>
      <w:pPr>
        <w:spacing w:line="276" w:lineRule="auto"/>
        <w:ind w:left="420" w:leftChars="200" w:firstLine="287" w:firstLineChars="137"/>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DOCVARIABLE 招标机构名称 </w:instrText>
      </w:r>
      <w:r>
        <w:rPr>
          <w:rFonts w:hint="eastAsia" w:ascii="宋体" w:hAnsi="宋体" w:eastAsia="宋体" w:cs="宋体"/>
          <w:szCs w:val="21"/>
        </w:rPr>
        <w:fldChar w:fldCharType="separate"/>
      </w:r>
      <w:r>
        <w:rPr>
          <w:rFonts w:hint="eastAsia" w:ascii="宋体" w:hAnsi="宋体" w:eastAsia="宋体" w:cs="宋体"/>
          <w:szCs w:val="21"/>
        </w:rPr>
        <w:t>湖北国华项目管理咨询有限公司</w:t>
      </w:r>
      <w:r>
        <w:rPr>
          <w:rFonts w:hint="eastAsia" w:ascii="宋体" w:hAnsi="宋体" w:eastAsia="宋体" w:cs="宋体"/>
          <w:szCs w:val="21"/>
        </w:rPr>
        <w:fldChar w:fldCharType="end"/>
      </w:r>
      <w:r>
        <w:rPr>
          <w:rFonts w:hint="eastAsia" w:ascii="宋体" w:hAnsi="宋体" w:eastAsia="宋体" w:cs="宋体"/>
          <w:szCs w:val="21"/>
        </w:rPr>
        <w:t>官网（</w:t>
      </w:r>
      <w:r>
        <w:rPr>
          <w:rFonts w:hint="eastAsia" w:ascii="宋体" w:hAnsi="宋体" w:eastAsia="宋体" w:cs="宋体"/>
        </w:rPr>
        <w:fldChar w:fldCharType="begin"/>
      </w:r>
      <w:r>
        <w:rPr>
          <w:rFonts w:hint="eastAsia" w:ascii="宋体" w:hAnsi="宋体" w:eastAsia="宋体" w:cs="宋体"/>
        </w:rPr>
        <w:instrText xml:space="preserve"> HYPERLINK "http://www.hbghzb.com/" </w:instrText>
      </w:r>
      <w:r>
        <w:rPr>
          <w:rFonts w:hint="eastAsia" w:ascii="宋体" w:hAnsi="宋体" w:eastAsia="宋体" w:cs="宋体"/>
        </w:rPr>
        <w:fldChar w:fldCharType="separate"/>
      </w:r>
      <w:r>
        <w:rPr>
          <w:rFonts w:hint="eastAsia" w:ascii="宋体" w:hAnsi="宋体" w:eastAsia="宋体" w:cs="宋体"/>
          <w:szCs w:val="21"/>
          <w:u w:val="single"/>
        </w:rPr>
        <w:t>http://www.hbghzb.com/</w:t>
      </w:r>
      <w:r>
        <w:rPr>
          <w:rFonts w:hint="eastAsia" w:ascii="宋体" w:hAnsi="宋体" w:eastAsia="宋体" w:cs="宋体"/>
          <w:szCs w:val="21"/>
          <w:u w:val="single"/>
        </w:rPr>
        <w:fldChar w:fldCharType="end"/>
      </w:r>
      <w:r>
        <w:rPr>
          <w:rFonts w:hint="eastAsia" w:ascii="宋体" w:hAnsi="宋体" w:eastAsia="宋体" w:cs="宋体"/>
          <w:szCs w:val="21"/>
        </w:rPr>
        <w:t>）</w:t>
      </w:r>
    </w:p>
    <w:p>
      <w:pPr>
        <w:numPr>
          <w:ilvl w:val="0"/>
          <w:numId w:val="6"/>
        </w:numPr>
        <w:spacing w:line="276" w:lineRule="auto"/>
        <w:rPr>
          <w:rFonts w:hint="eastAsia" w:ascii="宋体" w:hAnsi="宋体" w:eastAsia="宋体" w:cs="宋体"/>
          <w:szCs w:val="21"/>
          <w:lang w:val="zh-CN"/>
        </w:rPr>
      </w:pPr>
      <w:r>
        <w:rPr>
          <w:rFonts w:hint="eastAsia" w:ascii="宋体" w:hAnsi="宋体" w:eastAsia="宋体" w:cs="宋体"/>
          <w:color w:val="0D0D0D"/>
          <w:szCs w:val="21"/>
        </w:rPr>
        <w:t>质疑。投标人认为招标文件、招标过程和中标结果使自己的权益受到损害的，可以在知道或者应          知其权益受到损害之日起7个工作日内，</w:t>
      </w:r>
      <w:r>
        <w:rPr>
          <w:rFonts w:hint="eastAsia" w:ascii="宋体" w:hAnsi="宋体" w:eastAsia="宋体" w:cs="宋体"/>
          <w:szCs w:val="21"/>
          <w:lang w:val="zh-CN"/>
        </w:rPr>
        <w:t>以书面形式向采购人、采购代理机构一次性提出针对同一采购程序环节的质疑。质疑时请提交书面质疑函一份（法定代表人或其授权代表</w:t>
      </w:r>
      <w:r>
        <w:rPr>
          <w:rFonts w:hint="eastAsia" w:ascii="宋体" w:hAnsi="宋体" w:eastAsia="宋体" w:cs="宋体"/>
          <w:bCs/>
          <w:szCs w:val="21"/>
        </w:rPr>
        <w:t>签名</w:t>
      </w:r>
      <w:r>
        <w:rPr>
          <w:rFonts w:hint="eastAsia" w:ascii="宋体" w:hAnsi="宋体" w:eastAsia="宋体" w:cs="宋体"/>
          <w:szCs w:val="21"/>
          <w:lang w:val="zh-CN"/>
        </w:rPr>
        <w:t>、加盖单位公章），并附相关证据材料。</w:t>
      </w:r>
    </w:p>
    <w:p>
      <w:pPr>
        <w:numPr>
          <w:ilvl w:val="0"/>
          <w:numId w:val="6"/>
        </w:numPr>
        <w:spacing w:line="276" w:lineRule="auto"/>
        <w:rPr>
          <w:rFonts w:hint="eastAsia" w:ascii="宋体" w:hAnsi="宋体" w:eastAsia="宋体" w:cs="宋体"/>
          <w:szCs w:val="21"/>
          <w:lang w:val="zh-CN"/>
        </w:rPr>
      </w:pPr>
      <w:r>
        <w:rPr>
          <w:rFonts w:hint="eastAsia" w:ascii="宋体" w:hAnsi="宋体" w:eastAsia="宋体" w:cs="宋体"/>
          <w:color w:val="0D0D0D"/>
          <w:kern w:val="0"/>
          <w:szCs w:val="21"/>
        </w:rPr>
        <w:t>政府采购相关政策执行：</w:t>
      </w:r>
      <w:r>
        <w:rPr>
          <w:rFonts w:hint="eastAsia" w:ascii="宋体" w:hAnsi="宋体" w:eastAsia="宋体" w:cs="宋体"/>
          <w:szCs w:val="21"/>
        </w:rPr>
        <w:t>落实政府采购强制、优先采购节能产品政策；政府采购优先采购环保产品政策；政府采购促进中小企业发展（监狱企业、残疾人福利性单位视同小微企业）等政策。</w:t>
      </w:r>
    </w:p>
    <w:p>
      <w:pPr>
        <w:numPr>
          <w:ilvl w:val="0"/>
          <w:numId w:val="1"/>
        </w:numPr>
        <w:spacing w:line="276" w:lineRule="auto"/>
        <w:ind w:left="490" w:hanging="490"/>
        <w:rPr>
          <w:rFonts w:hint="eastAsia" w:ascii="宋体" w:hAnsi="宋体" w:eastAsia="宋体" w:cs="宋体"/>
          <w:b/>
          <w:kern w:val="0"/>
          <w:szCs w:val="21"/>
          <w:lang w:val="zh-CN"/>
        </w:rPr>
      </w:pPr>
      <w:r>
        <w:rPr>
          <w:rFonts w:hint="eastAsia" w:ascii="宋体" w:hAnsi="宋体" w:eastAsia="宋体" w:cs="宋体"/>
          <w:b/>
          <w:kern w:val="0"/>
          <w:szCs w:val="21"/>
          <w:lang w:val="zh-CN"/>
        </w:rPr>
        <w:t>对本次招标提出询问，请按以下方式联系：</w:t>
      </w:r>
    </w:p>
    <w:p>
      <w:pPr>
        <w:numPr>
          <w:ilvl w:val="0"/>
          <w:numId w:val="7"/>
        </w:numPr>
        <w:spacing w:line="276" w:lineRule="auto"/>
        <w:rPr>
          <w:rFonts w:hint="eastAsia" w:ascii="宋体" w:hAnsi="宋体" w:eastAsia="宋体" w:cs="宋体"/>
          <w:color w:val="000000"/>
          <w:szCs w:val="21"/>
        </w:rPr>
      </w:pPr>
      <w:r>
        <w:rPr>
          <w:rFonts w:hint="eastAsia" w:ascii="宋体" w:hAnsi="宋体" w:eastAsia="宋体" w:cs="宋体"/>
          <w:color w:val="000000"/>
          <w:szCs w:val="21"/>
        </w:rPr>
        <w:t>采购人信息</w:t>
      </w:r>
    </w:p>
    <w:p>
      <w:pPr>
        <w:spacing w:line="276" w:lineRule="auto"/>
        <w:ind w:left="210" w:leftChars="100" w:firstLine="420" w:firstLineChars="200"/>
        <w:rPr>
          <w:rFonts w:hint="eastAsia" w:ascii="宋体" w:hAnsi="宋体" w:eastAsia="宋体" w:cs="宋体"/>
          <w:color w:val="000000"/>
          <w:szCs w:val="21"/>
        </w:rPr>
      </w:pPr>
      <w:r>
        <w:rPr>
          <w:rFonts w:hint="eastAsia" w:ascii="宋体" w:hAnsi="宋体" w:eastAsia="宋体" w:cs="宋体"/>
          <w:color w:val="000000"/>
          <w:szCs w:val="21"/>
        </w:rPr>
        <w:t>名 称：</w:t>
      </w:r>
      <w:r>
        <w:rPr>
          <w:rFonts w:hint="eastAsia" w:ascii="宋体" w:hAnsi="宋体" w:eastAsia="宋体" w:cs="宋体"/>
          <w:color w:val="000000"/>
          <w:szCs w:val="21"/>
          <w:u w:val="single"/>
        </w:rPr>
        <w:fldChar w:fldCharType="begin"/>
      </w:r>
      <w:r>
        <w:rPr>
          <w:rFonts w:hint="eastAsia" w:ascii="宋体" w:hAnsi="宋体" w:eastAsia="宋体" w:cs="宋体"/>
          <w:color w:val="000000"/>
          <w:szCs w:val="21"/>
          <w:u w:val="single"/>
        </w:rPr>
        <w:instrText xml:space="preserve"> DOCVARIABLE 招标人名称 </w:instrText>
      </w:r>
      <w:r>
        <w:rPr>
          <w:rFonts w:hint="eastAsia" w:ascii="宋体" w:hAnsi="宋体" w:eastAsia="宋体" w:cs="宋体"/>
          <w:color w:val="000000"/>
          <w:szCs w:val="21"/>
          <w:u w:val="single"/>
        </w:rPr>
        <w:fldChar w:fldCharType="separate"/>
      </w:r>
      <w:r>
        <w:rPr>
          <w:rFonts w:hint="eastAsia" w:ascii="宋体" w:hAnsi="宋体" w:eastAsia="宋体" w:cs="宋体"/>
          <w:color w:val="000000"/>
          <w:szCs w:val="21"/>
          <w:u w:val="single"/>
        </w:rPr>
        <w:t>武汉大学</w:t>
      </w:r>
      <w:r>
        <w:rPr>
          <w:rFonts w:hint="eastAsia" w:ascii="宋体" w:hAnsi="宋体" w:eastAsia="宋体" w:cs="宋体"/>
          <w:color w:val="000000"/>
          <w:szCs w:val="21"/>
          <w:u w:val="single"/>
        </w:rPr>
        <w:fldChar w:fldCharType="end"/>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w:t>
      </w:r>
    </w:p>
    <w:p>
      <w:pPr>
        <w:spacing w:line="276" w:lineRule="auto"/>
        <w:ind w:left="210" w:leftChars="100" w:firstLine="420" w:firstLineChars="200"/>
        <w:rPr>
          <w:rFonts w:hint="eastAsia" w:ascii="宋体" w:hAnsi="宋体" w:eastAsia="宋体" w:cs="宋体"/>
          <w:color w:val="000000"/>
          <w:szCs w:val="21"/>
        </w:rPr>
      </w:pPr>
      <w:r>
        <w:rPr>
          <w:rFonts w:hint="eastAsia" w:ascii="宋体" w:hAnsi="宋体" w:eastAsia="宋体" w:cs="宋体"/>
          <w:color w:val="000000"/>
          <w:szCs w:val="21"/>
        </w:rPr>
        <w:t>地 址：</w:t>
      </w:r>
      <w:r>
        <w:rPr>
          <w:rFonts w:hint="eastAsia" w:ascii="宋体" w:hAnsi="宋体" w:eastAsia="宋体" w:cs="宋体"/>
          <w:color w:val="000000"/>
          <w:szCs w:val="21"/>
          <w:u w:val="single"/>
        </w:rPr>
        <w:t>武汉市武昌区八一路299号</w:t>
      </w:r>
    </w:p>
    <w:p>
      <w:pPr>
        <w:spacing w:line="276" w:lineRule="auto"/>
        <w:ind w:left="210" w:leftChars="100" w:firstLine="420" w:firstLineChars="200"/>
        <w:rPr>
          <w:rFonts w:hint="eastAsia" w:ascii="宋体" w:hAnsi="宋体" w:eastAsia="宋体" w:cs="宋体"/>
          <w:color w:val="000000"/>
          <w:szCs w:val="21"/>
        </w:rPr>
      </w:pPr>
      <w:r>
        <w:rPr>
          <w:rFonts w:hint="eastAsia" w:ascii="宋体" w:hAnsi="宋体" w:eastAsia="宋体" w:cs="宋体"/>
          <w:color w:val="000000"/>
          <w:szCs w:val="21"/>
        </w:rPr>
        <w:t>联系方式：</w:t>
      </w:r>
      <w:bookmarkStart w:id="3" w:name="_Toc28359009"/>
      <w:bookmarkStart w:id="4" w:name="_Toc28359086"/>
      <w:r>
        <w:rPr>
          <w:rFonts w:hint="eastAsia" w:ascii="宋体" w:hAnsi="宋体" w:eastAsia="宋体" w:cs="宋体"/>
          <w:color w:val="000000"/>
          <w:szCs w:val="21"/>
          <w:u w:val="single"/>
        </w:rPr>
        <w:t>吴老师 027-68754589　</w:t>
      </w:r>
    </w:p>
    <w:p>
      <w:pPr>
        <w:numPr>
          <w:ilvl w:val="0"/>
          <w:numId w:val="7"/>
        </w:numPr>
        <w:spacing w:line="276" w:lineRule="auto"/>
        <w:rPr>
          <w:rFonts w:hint="eastAsia" w:ascii="宋体" w:hAnsi="宋体" w:eastAsia="宋体" w:cs="宋体"/>
          <w:color w:val="000000"/>
          <w:szCs w:val="21"/>
        </w:rPr>
      </w:pPr>
      <w:r>
        <w:rPr>
          <w:rFonts w:hint="eastAsia" w:ascii="宋体" w:hAnsi="宋体" w:eastAsia="宋体" w:cs="宋体"/>
          <w:color w:val="000000"/>
          <w:szCs w:val="21"/>
        </w:rPr>
        <w:t>采购代理机构信息</w:t>
      </w:r>
      <w:bookmarkEnd w:id="3"/>
      <w:bookmarkEnd w:id="4"/>
    </w:p>
    <w:p>
      <w:pPr>
        <w:spacing w:line="276" w:lineRule="auto"/>
        <w:ind w:left="210" w:leftChars="100" w:firstLine="420" w:firstLineChars="200"/>
        <w:rPr>
          <w:rFonts w:hint="eastAsia" w:ascii="宋体" w:hAnsi="宋体" w:eastAsia="宋体" w:cs="宋体"/>
          <w:color w:val="000000"/>
          <w:szCs w:val="21"/>
        </w:rPr>
      </w:pPr>
      <w:r>
        <w:rPr>
          <w:rFonts w:hint="eastAsia" w:ascii="宋体" w:hAnsi="宋体" w:eastAsia="宋体" w:cs="宋体"/>
          <w:color w:val="000000"/>
          <w:szCs w:val="21"/>
        </w:rPr>
        <w:t>名 称：</w:t>
      </w: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 DOCVARIABLE 招标机构名称 </w:instrText>
      </w:r>
      <w:r>
        <w:rPr>
          <w:rFonts w:hint="eastAsia" w:ascii="宋体" w:hAnsi="宋体" w:eastAsia="宋体" w:cs="宋体"/>
          <w:color w:val="000000"/>
          <w:szCs w:val="21"/>
        </w:rPr>
        <w:fldChar w:fldCharType="separate"/>
      </w:r>
      <w:r>
        <w:rPr>
          <w:rFonts w:hint="eastAsia" w:ascii="宋体" w:hAnsi="宋体" w:eastAsia="宋体" w:cs="宋体"/>
          <w:color w:val="000000"/>
          <w:szCs w:val="21"/>
        </w:rPr>
        <w:t>湖北国华项目管理咨询有限公司</w:t>
      </w:r>
      <w:r>
        <w:rPr>
          <w:rFonts w:hint="eastAsia" w:ascii="宋体" w:hAnsi="宋体" w:eastAsia="宋体" w:cs="宋体"/>
          <w:color w:val="000000"/>
          <w:szCs w:val="21"/>
        </w:rPr>
        <w:fldChar w:fldCharType="end"/>
      </w:r>
    </w:p>
    <w:p>
      <w:pPr>
        <w:spacing w:line="276" w:lineRule="auto"/>
        <w:ind w:left="210" w:leftChars="100" w:firstLine="420" w:firstLineChars="200"/>
        <w:rPr>
          <w:rFonts w:hint="eastAsia" w:ascii="宋体" w:hAnsi="宋体" w:eastAsia="宋体" w:cs="宋体"/>
          <w:color w:val="000000"/>
          <w:szCs w:val="21"/>
        </w:rPr>
      </w:pPr>
      <w:r>
        <w:rPr>
          <w:rFonts w:hint="eastAsia" w:ascii="宋体" w:hAnsi="宋体" w:eastAsia="宋体" w:cs="宋体"/>
          <w:color w:val="000000"/>
          <w:szCs w:val="21"/>
        </w:rPr>
        <w:t>地 址：</w:t>
      </w:r>
      <w:r>
        <w:rPr>
          <w:rFonts w:hint="eastAsia" w:ascii="宋体" w:hAnsi="宋体" w:eastAsia="宋体" w:cs="宋体"/>
          <w:color w:val="000000"/>
          <w:szCs w:val="21"/>
          <w:u w:val="single"/>
        </w:rPr>
        <w:t>武汉市武昌区中北路109号中铁1818中心10楼</w:t>
      </w:r>
    </w:p>
    <w:p>
      <w:pPr>
        <w:numPr>
          <w:ilvl w:val="0"/>
          <w:numId w:val="7"/>
        </w:numPr>
        <w:spacing w:line="276" w:lineRule="auto"/>
        <w:rPr>
          <w:rFonts w:hint="eastAsia" w:ascii="宋体" w:hAnsi="宋体" w:eastAsia="宋体" w:cs="宋体"/>
          <w:color w:val="000000"/>
          <w:szCs w:val="21"/>
        </w:rPr>
      </w:pPr>
      <w:bookmarkStart w:id="5" w:name="_Toc28359010"/>
      <w:bookmarkStart w:id="6" w:name="_Toc28359087"/>
      <w:r>
        <w:rPr>
          <w:rFonts w:hint="eastAsia" w:ascii="宋体" w:hAnsi="宋体" w:eastAsia="宋体" w:cs="宋体"/>
          <w:color w:val="000000"/>
          <w:szCs w:val="21"/>
        </w:rPr>
        <w:t>项目联系方式</w:t>
      </w:r>
      <w:bookmarkEnd w:id="5"/>
      <w:bookmarkEnd w:id="6"/>
    </w:p>
    <w:p>
      <w:pPr>
        <w:spacing w:line="276" w:lineRule="auto"/>
        <w:ind w:left="210" w:leftChars="10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rPr>
        <w:t>项</w:t>
      </w:r>
      <w:r>
        <w:rPr>
          <w:rFonts w:hint="eastAsia" w:ascii="宋体" w:hAnsi="宋体" w:eastAsia="宋体" w:cs="宋体"/>
          <w:color w:val="000000"/>
          <w:szCs w:val="21"/>
          <w:highlight w:val="none"/>
        </w:rPr>
        <w:t>目联系人：</w:t>
      </w:r>
      <w:r>
        <w:rPr>
          <w:rFonts w:hint="eastAsia" w:ascii="宋体" w:hAnsi="宋体" w:eastAsia="宋体" w:cs="宋体"/>
          <w:color w:val="000000"/>
          <w:szCs w:val="21"/>
          <w:highlight w:val="none"/>
          <w:u w:val="single"/>
          <w:lang w:val="en-US" w:eastAsia="zh-CN"/>
        </w:rPr>
        <w:t>唐亚辉</w:t>
      </w:r>
      <w:r>
        <w:rPr>
          <w:rFonts w:hint="eastAsia" w:ascii="宋体" w:hAnsi="宋体" w:eastAsia="宋体" w:cs="宋体"/>
          <w:color w:val="000000"/>
          <w:szCs w:val="21"/>
          <w:highlight w:val="none"/>
          <w:u w:val="single"/>
        </w:rPr>
        <w:t xml:space="preserve"> 万齐威 王刚</w:t>
      </w:r>
      <w:r>
        <w:rPr>
          <w:rStyle w:val="24"/>
          <w:rFonts w:hint="eastAsia" w:ascii="宋体" w:hAnsi="宋体" w:eastAsia="宋体" w:cs="宋体"/>
          <w:highlight w:val="none"/>
          <w:u w:val="single"/>
          <w:lang w:val="en-US" w:eastAsia="zh-CN"/>
        </w:rPr>
        <w:t xml:space="preserve"> </w:t>
      </w:r>
      <w:r>
        <w:rPr>
          <w:rFonts w:hint="eastAsia" w:ascii="宋体" w:hAnsi="宋体" w:eastAsia="宋体" w:cs="宋体"/>
          <w:color w:val="000000"/>
          <w:szCs w:val="21"/>
          <w:highlight w:val="none"/>
          <w:u w:val="single"/>
        </w:rPr>
        <w:t xml:space="preserve">王丹萍  </w:t>
      </w:r>
    </w:p>
    <w:p>
      <w:pPr>
        <w:spacing w:line="276" w:lineRule="auto"/>
        <w:ind w:left="210" w:leftChars="100"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电 话：</w:t>
      </w:r>
      <w:r>
        <w:rPr>
          <w:rFonts w:hint="eastAsia" w:ascii="宋体" w:hAnsi="宋体" w:eastAsia="宋体" w:cs="宋体"/>
          <w:color w:val="000000"/>
          <w:szCs w:val="21"/>
          <w:highlight w:val="none"/>
          <w:u w:val="single"/>
        </w:rPr>
        <w:t>　027-87272701　</w:t>
      </w:r>
    </w:p>
    <w:p>
      <w:pPr>
        <w:spacing w:line="276" w:lineRule="auto"/>
        <w:ind w:left="210" w:leftChars="10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电子邮箱：</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918151401</w:t>
      </w:r>
      <w:r>
        <w:rPr>
          <w:rFonts w:hint="eastAsia" w:ascii="宋体" w:hAnsi="宋体" w:eastAsia="宋体" w:cs="宋体"/>
          <w:color w:val="000000"/>
          <w:szCs w:val="21"/>
          <w:highlight w:val="none"/>
          <w:u w:val="single"/>
        </w:rPr>
        <w:t xml:space="preserve">@qq.com </w:t>
      </w:r>
    </w:p>
    <w:p>
      <w:pPr>
        <w:spacing w:line="276" w:lineRule="auto"/>
        <w:ind w:firstLine="420" w:firstLineChars="200"/>
        <w:rPr>
          <w:rFonts w:hint="eastAsia" w:ascii="宋体" w:hAnsi="宋体" w:eastAsia="宋体" w:cs="宋体"/>
          <w:szCs w:val="21"/>
        </w:rPr>
      </w:pPr>
    </w:p>
    <w:p>
      <w:pPr>
        <w:spacing w:line="276" w:lineRule="auto"/>
        <w:ind w:firstLine="420" w:firstLineChars="200"/>
        <w:rPr>
          <w:rFonts w:hint="eastAsia" w:ascii="宋体" w:hAnsi="宋体" w:eastAsia="宋体" w:cs="宋体"/>
          <w:szCs w:val="21"/>
        </w:rPr>
      </w:pPr>
    </w:p>
    <w:p>
      <w:pPr>
        <w:tabs>
          <w:tab w:val="left" w:pos="5082"/>
          <w:tab w:val="left" w:pos="5670"/>
        </w:tabs>
        <w:spacing w:line="276" w:lineRule="auto"/>
        <w:jc w:val="right"/>
        <w:rPr>
          <w:rFonts w:hint="eastAsia" w:ascii="宋体" w:hAnsi="宋体" w:eastAsia="宋体" w:cs="宋体"/>
          <w:szCs w:val="21"/>
        </w:rPr>
      </w:pPr>
      <w:r>
        <w:rPr>
          <w:rFonts w:hint="eastAsia" w:ascii="宋体" w:hAnsi="宋体" w:eastAsia="宋体" w:cs="宋体"/>
          <w:szCs w:val="21"/>
        </w:rPr>
        <w:t xml:space="preserve">                2022年</w:t>
      </w:r>
      <w:r>
        <w:rPr>
          <w:rFonts w:hint="eastAsia" w:ascii="宋体" w:hAnsi="宋体" w:eastAsia="宋体" w:cs="宋体"/>
          <w:szCs w:val="21"/>
          <w:lang w:val="en-US" w:eastAsia="zh-CN"/>
        </w:rPr>
        <w:t>12</w:t>
      </w:r>
      <w:r>
        <w:rPr>
          <w:rFonts w:hint="eastAsia" w:ascii="宋体" w:hAnsi="宋体" w:eastAsia="宋体" w:cs="宋体"/>
          <w:szCs w:val="21"/>
        </w:rPr>
        <w:t>月</w:t>
      </w:r>
      <w:r>
        <w:rPr>
          <w:rFonts w:hint="eastAsia" w:ascii="宋体" w:hAnsi="宋体" w:cs="宋体"/>
          <w:szCs w:val="21"/>
          <w:lang w:val="en-US" w:eastAsia="zh-CN"/>
        </w:rPr>
        <w:t xml:space="preserve">  </w:t>
      </w:r>
      <w:r>
        <w:rPr>
          <w:rFonts w:hint="eastAsia" w:ascii="宋体" w:hAnsi="宋体" w:eastAsia="宋体" w:cs="宋体"/>
          <w:szCs w:val="21"/>
        </w:rPr>
        <w:t>日</w:t>
      </w:r>
    </w:p>
    <w:p>
      <w:pPr>
        <w:spacing w:line="300" w:lineRule="auto"/>
        <w:jc w:val="center"/>
        <w:outlineLvl w:val="0"/>
        <w:rPr>
          <w:rFonts w:hint="eastAsia" w:ascii="宋体" w:hAnsi="宋体" w:eastAsia="宋体" w:cs="宋体"/>
          <w:sz w:val="28"/>
          <w:szCs w:val="28"/>
        </w:rPr>
      </w:pPr>
      <w:r>
        <w:rPr>
          <w:rFonts w:hint="eastAsia" w:ascii="宋体" w:hAnsi="宋体" w:eastAsia="宋体" w:cs="宋体"/>
          <w:kern w:val="0"/>
          <w:szCs w:val="21"/>
        </w:rPr>
        <w:br w:type="page"/>
      </w:r>
      <w:bookmarkStart w:id="7" w:name="_Toc97814995"/>
      <w:bookmarkStart w:id="8" w:name="_Toc26683"/>
      <w:r>
        <w:rPr>
          <w:rFonts w:hint="eastAsia" w:ascii="宋体" w:hAnsi="宋体" w:eastAsia="宋体" w:cs="宋体"/>
          <w:sz w:val="28"/>
          <w:szCs w:val="28"/>
        </w:rPr>
        <w:t>第二章 投标人须知</w:t>
      </w:r>
      <w:bookmarkEnd w:id="7"/>
      <w:bookmarkEnd w:id="8"/>
    </w:p>
    <w:p>
      <w:pPr>
        <w:keepNext/>
        <w:keepLines/>
        <w:spacing w:line="276" w:lineRule="auto"/>
        <w:ind w:firstLine="420" w:firstLineChars="200"/>
        <w:rPr>
          <w:rFonts w:hint="eastAsia" w:ascii="宋体" w:hAnsi="宋体" w:eastAsia="宋体" w:cs="宋体"/>
          <w:b/>
          <w:bCs/>
          <w:szCs w:val="21"/>
          <w:lang w:val="zh-CN"/>
        </w:rPr>
      </w:pPr>
      <w:bookmarkStart w:id="9" w:name="_Toc494561937"/>
      <w:r>
        <w:rPr>
          <w:rFonts w:hint="eastAsia" w:ascii="宋体" w:hAnsi="宋体" w:eastAsia="宋体" w:cs="宋体"/>
          <w:bCs/>
          <w:color w:val="000000"/>
          <w:szCs w:val="21"/>
        </w:rPr>
        <w:t>投标人应仔细阅读本《投标人须知前附表》，下表所列内容是对“投标人须知”的具体补充和说明。如有矛盾，应以本表为准。</w:t>
      </w:r>
    </w:p>
    <w:p>
      <w:pPr>
        <w:keepNext/>
        <w:keepLines/>
        <w:spacing w:line="276" w:lineRule="auto"/>
        <w:jc w:val="center"/>
        <w:outlineLvl w:val="1"/>
        <w:rPr>
          <w:rFonts w:hint="eastAsia" w:ascii="宋体" w:hAnsi="宋体" w:eastAsia="宋体" w:cs="宋体"/>
          <w:b/>
          <w:bCs/>
          <w:szCs w:val="21"/>
          <w:lang w:val="zh-CN"/>
        </w:rPr>
      </w:pPr>
      <w:bookmarkStart w:id="10" w:name="_Toc97814996"/>
      <w:bookmarkStart w:id="11" w:name="_Toc84"/>
      <w:r>
        <w:rPr>
          <w:rFonts w:hint="eastAsia" w:ascii="宋体" w:hAnsi="宋体" w:eastAsia="宋体" w:cs="宋体"/>
          <w:b/>
          <w:bCs/>
          <w:szCs w:val="21"/>
          <w:lang w:val="zh-CN"/>
        </w:rPr>
        <w:t>投标人须知前附表</w:t>
      </w:r>
      <w:bookmarkEnd w:id="9"/>
      <w:bookmarkEnd w:id="10"/>
      <w:bookmarkEnd w:id="11"/>
    </w:p>
    <w:tbl>
      <w:tblPr>
        <w:tblStyle w:val="26"/>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
      <w:tblGrid>
        <w:gridCol w:w="866"/>
        <w:gridCol w:w="1530"/>
        <w:gridCol w:w="69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b/>
                <w:szCs w:val="21"/>
              </w:rPr>
            </w:pPr>
            <w:bookmarkStart w:id="12" w:name="_Toc494561938"/>
            <w:r>
              <w:rPr>
                <w:rFonts w:hint="eastAsia" w:ascii="宋体" w:hAnsi="宋体"/>
                <w:b/>
                <w:w w:val="83"/>
                <w:kern w:val="0"/>
                <w:szCs w:val="21"/>
              </w:rPr>
              <w:t>条款</w:t>
            </w:r>
            <w:r>
              <w:rPr>
                <w:rFonts w:hint="eastAsia" w:ascii="宋体" w:hAnsi="宋体"/>
                <w:b/>
                <w:spacing w:val="1"/>
                <w:w w:val="83"/>
                <w:kern w:val="0"/>
                <w:szCs w:val="21"/>
              </w:rPr>
              <w:t>号</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11"/>
              <w:jc w:val="center"/>
              <w:rPr>
                <w:rFonts w:ascii="宋体" w:hAnsi="宋体"/>
                <w:b/>
                <w:szCs w:val="21"/>
              </w:rPr>
            </w:pPr>
            <w:r>
              <w:rPr>
                <w:rFonts w:hint="eastAsia" w:ascii="宋体" w:hAnsi="宋体"/>
                <w:b/>
                <w:szCs w:val="21"/>
              </w:rPr>
              <w:t>名  称</w:t>
            </w:r>
          </w:p>
        </w:tc>
        <w:tc>
          <w:tcPr>
            <w:tcW w:w="6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left="57" w:right="57" w:firstLine="424" w:firstLineChars="201"/>
              <w:jc w:val="center"/>
              <w:rPr>
                <w:rFonts w:ascii="宋体" w:hAnsi="宋体"/>
                <w:b/>
                <w:szCs w:val="21"/>
              </w:rPr>
            </w:pPr>
            <w:r>
              <w:rPr>
                <w:rFonts w:hint="eastAsia" w:ascii="宋体" w:hAnsi="宋体"/>
                <w:b/>
                <w:szCs w:val="21"/>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2.1</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宋体"/>
                <w:szCs w:val="21"/>
              </w:rPr>
            </w:pPr>
            <w:r>
              <w:rPr>
                <w:rFonts w:hint="eastAsia" w:ascii="宋体" w:hAnsi="宋体" w:cs="宋体"/>
                <w:szCs w:val="21"/>
              </w:rPr>
              <w:t>采购人</w:t>
            </w:r>
          </w:p>
        </w:tc>
        <w:tc>
          <w:tcPr>
            <w:tcW w:w="6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cs="宋体"/>
                <w:color w:val="FF0000"/>
                <w:kern w:val="0"/>
                <w:szCs w:val="21"/>
              </w:rPr>
            </w:pPr>
            <w:r>
              <w:fldChar w:fldCharType="begin"/>
            </w:r>
            <w:r>
              <w:rPr>
                <w:rFonts w:hint="eastAsia" w:ascii="宋体" w:hAnsi="宋体"/>
                <w:szCs w:val="21"/>
              </w:rPr>
              <w:instrText xml:space="preserve"> DOCVARIABLE 招标人名称 </w:instrText>
            </w:r>
            <w:r>
              <w:fldChar w:fldCharType="separate"/>
            </w:r>
            <w:r>
              <w:rPr>
                <w:rFonts w:hint="eastAsia" w:ascii="宋体" w:hAnsi="宋体"/>
                <w:szCs w:val="21"/>
              </w:rPr>
              <w:t>武汉大学</w:t>
            </w:r>
            <w: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2.2</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宋体"/>
                <w:szCs w:val="21"/>
              </w:rPr>
            </w:pPr>
            <w:r>
              <w:rPr>
                <w:rFonts w:hint="eastAsia" w:ascii="宋体" w:hAnsi="宋体" w:cs="宋体"/>
                <w:szCs w:val="21"/>
              </w:rPr>
              <w:t>监管部门</w:t>
            </w:r>
          </w:p>
        </w:tc>
        <w:tc>
          <w:tcPr>
            <w:tcW w:w="6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cs="宋体"/>
                <w:szCs w:val="21"/>
              </w:rPr>
            </w:pPr>
            <w:r>
              <w:rPr>
                <w:rFonts w:hint="eastAsia" w:ascii="宋体" w:hAnsi="宋体"/>
                <w:szCs w:val="21"/>
              </w:rPr>
              <w:t>财政部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437"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2.3</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宋体"/>
                <w:szCs w:val="21"/>
              </w:rPr>
            </w:pPr>
            <w:r>
              <w:rPr>
                <w:rFonts w:hint="eastAsia" w:ascii="宋体" w:hAnsi="宋体" w:cs="宋体"/>
                <w:szCs w:val="21"/>
              </w:rPr>
              <w:t>采购代理机构</w:t>
            </w:r>
          </w:p>
        </w:tc>
        <w:tc>
          <w:tcPr>
            <w:tcW w:w="6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cs="宋体"/>
                <w:szCs w:val="21"/>
              </w:rPr>
            </w:pPr>
            <w:r>
              <w:fldChar w:fldCharType="begin"/>
            </w:r>
            <w:r>
              <w:rPr>
                <w:rFonts w:hint="eastAsia" w:ascii="宋体" w:hAnsi="宋体"/>
                <w:szCs w:val="21"/>
                <w:lang w:val="zh-CN"/>
              </w:rPr>
              <w:instrText xml:space="preserve"> DOCVARIABLE 招标机构名称 </w:instrText>
            </w:r>
            <w:r>
              <w:fldChar w:fldCharType="separate"/>
            </w:r>
            <w:r>
              <w:rPr>
                <w:rFonts w:hint="eastAsia" w:ascii="宋体" w:hAnsi="宋体"/>
                <w:szCs w:val="21"/>
                <w:lang w:val="zh-CN"/>
              </w:rPr>
              <w:t>湖北国华项目管理咨询有限公司</w:t>
            </w:r>
            <w: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2.8</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olor w:val="0D0D0D"/>
                <w:szCs w:val="21"/>
              </w:rPr>
            </w:pPr>
            <w:r>
              <w:rPr>
                <w:rFonts w:hint="eastAsia" w:ascii="宋体" w:hAnsi="宋体" w:cs="宋体"/>
                <w:szCs w:val="21"/>
              </w:rPr>
              <w:t>进口产品</w:t>
            </w:r>
          </w:p>
        </w:tc>
        <w:tc>
          <w:tcPr>
            <w:tcW w:w="695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ascii="Wingdings 2" w:hAnsi="Wingdings 2"/>
                <w:szCs w:val="21"/>
              </w:rPr>
              <w:sym w:font="Wingdings 2" w:char="00A3"/>
            </w:r>
            <w:r>
              <w:rPr>
                <w:rFonts w:hint="eastAsia" w:ascii="宋体" w:hAnsi="宋体"/>
                <w:szCs w:val="21"/>
              </w:rPr>
              <w:t>不接受</w:t>
            </w:r>
          </w:p>
          <w:p>
            <w:pPr>
              <w:spacing w:line="276" w:lineRule="auto"/>
              <w:rPr>
                <w:rFonts w:ascii="宋体" w:hAnsi="宋体"/>
                <w:szCs w:val="21"/>
              </w:rPr>
            </w:pPr>
            <w:r>
              <w:rPr>
                <w:rFonts w:ascii="Wingdings 2" w:hAnsi="Wingdings 2"/>
                <w:szCs w:val="21"/>
              </w:rPr>
              <w:sym w:font="Wingdings 2" w:char="0052"/>
            </w:r>
            <w:r>
              <w:rPr>
                <w:rFonts w:hint="eastAsia" w:ascii="宋体" w:hAnsi="宋体"/>
                <w:szCs w:val="21"/>
              </w:rPr>
              <w:t>接受  接受进口的产品为：</w:t>
            </w:r>
            <w:r>
              <w:rPr>
                <w:rFonts w:hint="eastAsia" w:ascii="宋体" w:hAnsi="宋体" w:cs="宋体"/>
                <w:szCs w:val="21"/>
                <w:u w:val="single"/>
                <w:lang w:val="en-US" w:eastAsia="zh-CN"/>
              </w:rPr>
              <w:t>详见招标公告</w:t>
            </w:r>
            <w:r>
              <w:rPr>
                <w:rFonts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522"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3</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olor w:val="0D0D0D"/>
                <w:szCs w:val="21"/>
              </w:rPr>
            </w:pPr>
            <w:r>
              <w:rPr>
                <w:rFonts w:hint="eastAsia" w:ascii="宋体" w:hAnsi="宋体"/>
                <w:color w:val="0D0D0D"/>
                <w:szCs w:val="21"/>
              </w:rPr>
              <w:t>项目属性</w:t>
            </w:r>
          </w:p>
        </w:tc>
        <w:tc>
          <w:tcPr>
            <w:tcW w:w="6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szCs w:val="21"/>
              </w:rPr>
            </w:pPr>
            <w:r>
              <w:rPr>
                <w:rFonts w:hint="eastAsia" w:ascii="宋体" w:hAnsi="宋体"/>
                <w:szCs w:val="21"/>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4.3</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cs="宋体"/>
                <w:szCs w:val="21"/>
                <w:lang w:val="zh-CN"/>
              </w:rPr>
              <w:t>代理服务费</w:t>
            </w:r>
          </w:p>
        </w:tc>
        <w:tc>
          <w:tcPr>
            <w:tcW w:w="6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 w:firstLineChars="200"/>
              <w:rPr>
                <w:rFonts w:ascii="宋体" w:hAnsi="宋体" w:cs="宋体"/>
                <w:szCs w:val="21"/>
                <w:lang w:val="zh-CN"/>
              </w:rPr>
            </w:pPr>
            <w:r>
              <w:rPr>
                <w:rFonts w:hint="eastAsia" w:ascii="宋体" w:hAnsi="宋体" w:cs="宋体"/>
                <w:szCs w:val="21"/>
                <w:lang w:val="zh-CN"/>
              </w:rPr>
              <w:t>根据国家发展与改革委员会办公厅发改办价格[2003]857号文的规定，经与采购人协商，由中标人按国家发展计划委员会计价格【2011】534号文及原国家计委《招标代理服务收费管理暂行办法》（</w:t>
            </w:r>
            <w:r>
              <w:rPr>
                <w:rFonts w:hint="eastAsia" w:ascii="宋体" w:hAnsi="宋体" w:cs="Arial"/>
                <w:szCs w:val="21"/>
              </w:rPr>
              <w:t>【2002】1980</w:t>
            </w:r>
            <w:r>
              <w:rPr>
                <w:rFonts w:hint="eastAsia" w:ascii="宋体" w:hAnsi="宋体" w:cs="宋体"/>
                <w:szCs w:val="21"/>
                <w:lang w:val="zh-CN"/>
              </w:rPr>
              <w:t>号）规定标准的</w:t>
            </w:r>
            <w:r>
              <w:rPr>
                <w:rFonts w:hint="eastAsia" w:ascii="宋体" w:hAnsi="宋体" w:cs="宋体"/>
                <w:szCs w:val="21"/>
                <w:u w:val="single"/>
              </w:rPr>
              <w:t>70</w:t>
            </w:r>
            <w:r>
              <w:rPr>
                <w:rFonts w:hint="eastAsia" w:ascii="宋体" w:hAnsi="宋体" w:cs="宋体"/>
                <w:szCs w:val="21"/>
                <w:lang w:val="zh-CN"/>
              </w:rPr>
              <w:t>%</w:t>
            </w:r>
            <w:r>
              <w:rPr>
                <w:rFonts w:ascii="宋体" w:hAnsi="宋体" w:cs="宋体"/>
                <w:szCs w:val="21"/>
                <w:lang w:val="zh-CN"/>
              </w:rPr>
              <w:t xml:space="preserve"> </w:t>
            </w:r>
            <w:r>
              <w:rPr>
                <w:rFonts w:hint="eastAsia" w:ascii="宋体" w:hAnsi="宋体" w:cs="宋体"/>
                <w:szCs w:val="21"/>
                <w:lang w:val="zh-CN"/>
              </w:rPr>
              <w:t>向采购代理机构支付代理服务费。</w:t>
            </w:r>
          </w:p>
          <w:p>
            <w:pPr>
              <w:adjustRightInd w:val="0"/>
              <w:snapToGrid w:val="0"/>
              <w:spacing w:line="276" w:lineRule="auto"/>
              <w:ind w:firstLine="420" w:firstLineChars="200"/>
              <w:rPr>
                <w:rFonts w:ascii="宋体" w:hAnsi="宋体" w:cs="宋体"/>
                <w:szCs w:val="21"/>
                <w:lang w:val="zh-CN"/>
              </w:rPr>
            </w:pPr>
            <w:r>
              <w:rPr>
                <w:rFonts w:hint="eastAsia" w:ascii="宋体" w:hAnsi="宋体" w:cs="宋体"/>
                <w:szCs w:val="21"/>
                <w:lang w:val="zh-CN"/>
              </w:rPr>
              <w:t>招标代理服务费由中标人在领取中标通知书的同时向采购代理机构支付，并同时领取发票。</w:t>
            </w:r>
          </w:p>
          <w:p>
            <w:pPr>
              <w:adjustRightInd w:val="0"/>
              <w:snapToGrid w:val="0"/>
              <w:spacing w:line="276" w:lineRule="auto"/>
              <w:ind w:firstLine="420" w:firstLineChars="200"/>
              <w:rPr>
                <w:rFonts w:ascii="宋体" w:hAnsi="宋体" w:cs="宋体"/>
                <w:szCs w:val="21"/>
                <w:lang w:val="zh-CN"/>
              </w:rPr>
            </w:pPr>
            <w:r>
              <w:rPr>
                <w:rFonts w:hint="eastAsia" w:ascii="宋体" w:hAnsi="宋体" w:cs="宋体"/>
                <w:szCs w:val="21"/>
                <w:lang w:val="zh-CN"/>
              </w:rPr>
              <w:t>采购代理机构银行账户信息：</w:t>
            </w:r>
          </w:p>
          <w:p>
            <w:pPr>
              <w:adjustRightInd w:val="0"/>
              <w:snapToGrid w:val="0"/>
              <w:spacing w:line="276" w:lineRule="auto"/>
              <w:ind w:firstLine="420" w:firstLineChars="200"/>
              <w:rPr>
                <w:rFonts w:ascii="宋体" w:hAnsi="宋体" w:cs="宋体"/>
                <w:szCs w:val="21"/>
                <w:lang w:val="zh-CN"/>
              </w:rPr>
            </w:pPr>
            <w:r>
              <w:rPr>
                <w:rFonts w:hint="eastAsia" w:ascii="宋体" w:hAnsi="宋体" w:cs="宋体"/>
                <w:szCs w:val="21"/>
                <w:lang w:val="zh-CN"/>
              </w:rPr>
              <w:t>户 名：</w:t>
            </w:r>
            <w:r>
              <w:fldChar w:fldCharType="begin"/>
            </w:r>
            <w:r>
              <w:rPr>
                <w:rFonts w:hint="eastAsia" w:ascii="宋体" w:hAnsi="宋体" w:cs="宋体"/>
                <w:szCs w:val="21"/>
                <w:lang w:val="zh-CN"/>
              </w:rPr>
              <w:instrText xml:space="preserve"> DOCVARIABLE 招标机构名称 </w:instrText>
            </w:r>
            <w:r>
              <w:fldChar w:fldCharType="separate"/>
            </w:r>
            <w:r>
              <w:rPr>
                <w:rFonts w:hint="eastAsia" w:ascii="宋体" w:hAnsi="宋体" w:cs="宋体"/>
                <w:szCs w:val="21"/>
                <w:lang w:val="zh-CN"/>
              </w:rPr>
              <w:t>湖北国华项目管理咨询有限公司</w:t>
            </w:r>
            <w:r>
              <w:fldChar w:fldCharType="end"/>
            </w:r>
          </w:p>
          <w:p>
            <w:pPr>
              <w:adjustRightInd w:val="0"/>
              <w:snapToGrid w:val="0"/>
              <w:spacing w:line="276" w:lineRule="auto"/>
              <w:ind w:firstLine="420" w:firstLineChars="200"/>
              <w:rPr>
                <w:rFonts w:ascii="宋体" w:hAnsi="宋体" w:cs="宋体"/>
                <w:szCs w:val="21"/>
                <w:lang w:val="zh-CN"/>
              </w:rPr>
            </w:pPr>
            <w:r>
              <w:rPr>
                <w:rFonts w:hint="eastAsia" w:ascii="宋体" w:hAnsi="宋体" w:cs="宋体"/>
                <w:szCs w:val="21"/>
                <w:lang w:val="zh-CN"/>
              </w:rPr>
              <w:t>开户行：民生银行武汉中南支行</w:t>
            </w:r>
          </w:p>
          <w:p>
            <w:pPr>
              <w:adjustRightInd w:val="0"/>
              <w:snapToGrid w:val="0"/>
              <w:spacing w:line="276" w:lineRule="auto"/>
              <w:ind w:firstLine="420" w:firstLineChars="200"/>
              <w:rPr>
                <w:rFonts w:ascii="宋体" w:hAnsi="宋体" w:cs="宋体"/>
                <w:szCs w:val="21"/>
                <w:lang w:val="zh-CN"/>
              </w:rPr>
            </w:pPr>
            <w:r>
              <w:rPr>
                <w:rFonts w:hint="eastAsia" w:ascii="宋体" w:hAnsi="宋体" w:cs="宋体"/>
                <w:szCs w:val="21"/>
                <w:lang w:val="zh-CN"/>
              </w:rPr>
              <w:t>账 号：0505014210005225</w:t>
            </w:r>
          </w:p>
          <w:p>
            <w:pPr>
              <w:adjustRightInd w:val="0"/>
              <w:snapToGrid w:val="0"/>
              <w:spacing w:line="276" w:lineRule="auto"/>
              <w:ind w:firstLine="420" w:firstLineChars="200"/>
              <w:rPr>
                <w:rFonts w:ascii="宋体" w:hAnsi="宋体" w:cs="宋体"/>
                <w:color w:val="FF0000"/>
                <w:kern w:val="0"/>
                <w:szCs w:val="21"/>
              </w:rPr>
            </w:pPr>
            <w:r>
              <w:rPr>
                <w:rFonts w:hint="eastAsia" w:ascii="宋体" w:hAnsi="宋体" w:cs="宋体"/>
                <w:szCs w:val="21"/>
                <w:lang w:val="zh-CN"/>
              </w:rPr>
              <w:t>其他</w:t>
            </w:r>
            <w:r>
              <w:rPr>
                <w:rFonts w:hint="eastAsia" w:ascii="宋体" w:hAnsi="宋体"/>
                <w:szCs w:val="21"/>
                <w:lang w:val="zh-CN"/>
              </w:rPr>
              <w:t>事项：中标人开具代理服务费发票时需提供以下开票信息：1）开票单位全称、2）纳税人识别号（或统一社会信用代码）、3）营业执照地址、4）单位联系电话、5）、开户行及账号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6.</w:t>
            </w:r>
            <w:r>
              <w:rPr>
                <w:rFonts w:ascii="宋体" w:hAnsi="宋体"/>
                <w:szCs w:val="21"/>
              </w:rPr>
              <w:t>4</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宋体"/>
                <w:szCs w:val="21"/>
                <w:lang w:val="zh-CN"/>
              </w:rPr>
            </w:pPr>
            <w:r>
              <w:rPr>
                <w:rFonts w:hint="eastAsia" w:ascii="宋体" w:hAnsi="宋体" w:cs="宋体"/>
                <w:szCs w:val="21"/>
                <w:lang w:val="zh-CN"/>
              </w:rPr>
              <w:t>答疑会</w:t>
            </w:r>
          </w:p>
        </w:tc>
        <w:tc>
          <w:tcPr>
            <w:tcW w:w="6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szCs w:val="21"/>
              </w:rPr>
            </w:pPr>
            <w:r>
              <w:rPr>
                <w:rFonts w:ascii="Wingdings 2" w:hAnsi="Wingdings 2"/>
                <w:szCs w:val="21"/>
              </w:rPr>
              <w:t></w:t>
            </w:r>
            <w:r>
              <w:rPr>
                <w:rFonts w:hint="eastAsia" w:ascii="宋体" w:hAnsi="宋体"/>
                <w:szCs w:val="21"/>
              </w:rPr>
              <w:t>不召开</w:t>
            </w:r>
          </w:p>
          <w:p>
            <w:pPr>
              <w:adjustRightInd w:val="0"/>
              <w:snapToGrid w:val="0"/>
              <w:spacing w:line="276" w:lineRule="auto"/>
              <w:rPr>
                <w:rFonts w:ascii="宋体" w:hAnsi="宋体" w:cs="Arial"/>
                <w:szCs w:val="21"/>
              </w:rPr>
            </w:pPr>
            <w:r>
              <w:rPr>
                <w:rFonts w:ascii="Wingdings 2" w:hAnsi="Wingdings 2" w:cs="Arial"/>
                <w:szCs w:val="21"/>
              </w:rPr>
              <w:t></w:t>
            </w:r>
            <w:r>
              <w:rPr>
                <w:rFonts w:hint="eastAsia" w:ascii="宋体" w:hAnsi="宋体" w:cs="Arial"/>
                <w:szCs w:val="21"/>
              </w:rPr>
              <w:t>召开，召开时间：</w:t>
            </w:r>
            <w:r>
              <w:rPr>
                <w:rFonts w:hint="eastAsia" w:ascii="宋体" w:hAnsi="宋体" w:cs="Arial"/>
                <w:szCs w:val="21"/>
                <w:u w:val="single"/>
              </w:rPr>
              <w:t xml:space="preserve">               </w:t>
            </w:r>
          </w:p>
          <w:p>
            <w:pPr>
              <w:spacing w:line="276" w:lineRule="auto"/>
              <w:ind w:firstLine="840" w:firstLineChars="400"/>
              <w:rPr>
                <w:rFonts w:ascii="宋体" w:hAnsi="宋体"/>
                <w:szCs w:val="21"/>
                <w:u w:val="single"/>
                <w:lang w:val="zh-CN"/>
              </w:rPr>
            </w:pPr>
            <w:r>
              <w:rPr>
                <w:rFonts w:hint="eastAsia" w:ascii="宋体" w:hAnsi="宋体" w:cs="Arial"/>
                <w:szCs w:val="21"/>
              </w:rPr>
              <w:t>召开地点：</w:t>
            </w:r>
            <w:r>
              <w:rPr>
                <w:rFonts w:hint="eastAsia" w:ascii="宋体" w:hAnsi="宋体" w:cs="Arial"/>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8.1</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宋体"/>
                <w:szCs w:val="21"/>
                <w:lang w:val="zh-CN"/>
              </w:rPr>
            </w:pPr>
            <w:r>
              <w:rPr>
                <w:rFonts w:hint="eastAsia" w:ascii="宋体" w:hAnsi="宋体" w:cs="宋体"/>
                <w:szCs w:val="21"/>
                <w:lang w:val="zh-CN"/>
              </w:rPr>
              <w:t>现场考察</w:t>
            </w:r>
          </w:p>
        </w:tc>
        <w:tc>
          <w:tcPr>
            <w:tcW w:w="695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szCs w:val="21"/>
              </w:rPr>
            </w:pPr>
            <w:r>
              <w:rPr>
                <w:rFonts w:ascii="Wingdings 2" w:hAnsi="Wingdings 2"/>
                <w:szCs w:val="21"/>
              </w:rPr>
              <w:t></w:t>
            </w:r>
            <w:r>
              <w:rPr>
                <w:rFonts w:hint="eastAsia" w:ascii="宋体" w:hAnsi="宋体"/>
                <w:szCs w:val="21"/>
              </w:rPr>
              <w:t>不</w:t>
            </w:r>
            <w:r>
              <w:rPr>
                <w:rFonts w:hint="eastAsia" w:ascii="宋体" w:hAnsi="宋体" w:cs="宋体"/>
                <w:szCs w:val="21"/>
              </w:rPr>
              <w:t>集中组织</w:t>
            </w:r>
          </w:p>
          <w:p>
            <w:pPr>
              <w:spacing w:line="276" w:lineRule="auto"/>
              <w:rPr>
                <w:rFonts w:ascii="宋体" w:hAnsi="宋体" w:cs="Arial"/>
                <w:szCs w:val="21"/>
              </w:rPr>
            </w:pPr>
            <w:r>
              <w:rPr>
                <w:rFonts w:ascii="Wingdings 2" w:hAnsi="Wingdings 2" w:cs="宋体"/>
                <w:szCs w:val="21"/>
              </w:rPr>
              <w:t></w:t>
            </w:r>
            <w:r>
              <w:rPr>
                <w:rFonts w:hint="eastAsia" w:ascii="宋体" w:hAnsi="宋体" w:cs="宋体"/>
                <w:szCs w:val="21"/>
              </w:rPr>
              <w:t>集</w:t>
            </w:r>
            <w:r>
              <w:rPr>
                <w:rFonts w:hint="eastAsia" w:ascii="宋体" w:hAnsi="宋体"/>
                <w:szCs w:val="21"/>
              </w:rPr>
              <w:t>中组织</w:t>
            </w:r>
            <w:r>
              <w:rPr>
                <w:rFonts w:hint="eastAsia" w:ascii="宋体" w:hAnsi="宋体" w:cs="Arial"/>
                <w:szCs w:val="21"/>
              </w:rPr>
              <w:t>，召集时间：</w:t>
            </w:r>
            <w:r>
              <w:rPr>
                <w:rFonts w:hint="eastAsia" w:ascii="宋体" w:hAnsi="宋体" w:cs="Arial"/>
                <w:szCs w:val="21"/>
                <w:u w:val="single"/>
              </w:rPr>
              <w:t xml:space="preserve">               </w:t>
            </w:r>
          </w:p>
          <w:p>
            <w:pPr>
              <w:spacing w:line="276" w:lineRule="auto"/>
              <w:ind w:firstLine="1260" w:firstLineChars="600"/>
              <w:rPr>
                <w:rFonts w:ascii="宋体" w:hAnsi="宋体"/>
                <w:szCs w:val="21"/>
                <w:u w:val="single"/>
                <w:lang w:val="zh-CN"/>
              </w:rPr>
            </w:pPr>
            <w:r>
              <w:rPr>
                <w:rFonts w:hint="eastAsia" w:ascii="宋体" w:hAnsi="宋体" w:cs="Arial"/>
                <w:szCs w:val="21"/>
              </w:rPr>
              <w:t>召集地点：</w:t>
            </w:r>
            <w:r>
              <w:rPr>
                <w:rFonts w:hint="eastAsia" w:ascii="宋体" w:hAnsi="宋体" w:cs="Arial"/>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12</w:t>
            </w:r>
            <w:r>
              <w:rPr>
                <w:rFonts w:ascii="宋体" w:hAnsi="宋体"/>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宋体"/>
                <w:szCs w:val="21"/>
                <w:lang w:val="zh-CN"/>
              </w:rPr>
            </w:pPr>
            <w:r>
              <w:rPr>
                <w:rFonts w:hint="eastAsia" w:ascii="宋体" w:hAnsi="宋体" w:cs="宋体"/>
                <w:szCs w:val="21"/>
                <w:lang w:val="zh-CN"/>
              </w:rPr>
              <w:t>报价单位</w:t>
            </w:r>
          </w:p>
        </w:tc>
        <w:tc>
          <w:tcPr>
            <w:tcW w:w="6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cs="宋体"/>
                <w:szCs w:val="21"/>
                <w:lang w:val="zh-CN"/>
              </w:rPr>
            </w:pPr>
            <w:r>
              <w:rPr>
                <w:rFonts w:hint="eastAsia" w:ascii="宋体" w:hAnsi="宋体" w:cs="宋体"/>
                <w:szCs w:val="21"/>
                <w:lang w:val="zh-CN"/>
              </w:rPr>
              <w:sym w:font="Wingdings 2" w:char="00A3"/>
            </w:r>
            <w:r>
              <w:rPr>
                <w:rFonts w:hint="eastAsia" w:ascii="宋体" w:hAnsi="宋体" w:cs="宋体"/>
                <w:szCs w:val="21"/>
                <w:lang w:val="zh-CN"/>
              </w:rPr>
              <w:t>人民币</w:t>
            </w:r>
          </w:p>
          <w:p>
            <w:pPr>
              <w:spacing w:line="276" w:lineRule="auto"/>
              <w:rPr>
                <w:rFonts w:ascii="宋体" w:hAnsi="宋体"/>
                <w:szCs w:val="21"/>
                <w:lang w:val="zh-CN"/>
              </w:rPr>
            </w:pPr>
            <w:r>
              <w:rPr>
                <w:rFonts w:hint="eastAsia" w:ascii="宋体" w:hAnsi="宋体" w:cs="宋体"/>
                <w:szCs w:val="21"/>
                <w:lang w:val="zh-CN"/>
              </w:rPr>
              <w:sym w:font="Wingdings 2" w:char="0052"/>
            </w:r>
            <w:r>
              <w:rPr>
                <w:rFonts w:hint="eastAsia" w:ascii="宋体" w:hAnsi="宋体" w:cs="宋体"/>
                <w:szCs w:val="21"/>
                <w:lang w:val="zh-CN"/>
              </w:rPr>
              <w:t>人民币或其他主要国际流通货币。</w:t>
            </w:r>
          </w:p>
          <w:p>
            <w:pPr>
              <w:spacing w:line="276" w:lineRule="auto"/>
              <w:ind w:left="210" w:leftChars="100"/>
              <w:rPr>
                <w:rFonts w:ascii="宋体" w:hAnsi="宋体" w:cs="宋体"/>
                <w:szCs w:val="21"/>
              </w:rPr>
            </w:pPr>
            <w:r>
              <w:rPr>
                <w:rFonts w:hint="eastAsia" w:ascii="宋体" w:hAnsi="宋体" w:cs="宋体"/>
                <w:szCs w:val="21"/>
              </w:rPr>
              <w:t>1、中国境内提供的货物：以人民币报价，报价方式：货到用户指定地点；</w:t>
            </w:r>
          </w:p>
          <w:p>
            <w:pPr>
              <w:spacing w:line="276" w:lineRule="auto"/>
              <w:ind w:left="525" w:leftChars="100" w:hanging="315" w:hangingChars="150"/>
              <w:rPr>
                <w:rFonts w:ascii="宋体" w:hAnsi="宋体" w:cs="宋体"/>
                <w:szCs w:val="21"/>
              </w:rPr>
            </w:pPr>
            <w:r>
              <w:rPr>
                <w:rFonts w:hint="eastAsia" w:ascii="宋体" w:hAnsi="宋体" w:cs="宋体"/>
                <w:szCs w:val="21"/>
              </w:rPr>
              <w:t>2、中国境外提供的货物：以美元或其他国际结算货币报价；设备生产厂商能以人民币进行外贸结算的，也可以人民币报价。报价方式：CIP武汉大学。</w:t>
            </w:r>
          </w:p>
          <w:p>
            <w:pPr>
              <w:ind w:left="315" w:hanging="315" w:hangingChars="150"/>
              <w:rPr>
                <w:rFonts w:ascii="宋体" w:hAnsi="宋体" w:cs="宋体"/>
                <w:bCs/>
                <w:szCs w:val="21"/>
              </w:rPr>
            </w:pPr>
            <w:r>
              <w:rPr>
                <w:rFonts w:ascii="Wingdings 2" w:hAnsi="Wingdings 2" w:cs="宋体"/>
                <w:bCs/>
                <w:szCs w:val="21"/>
              </w:rPr>
              <w:t></w:t>
            </w:r>
            <w:r>
              <w:rPr>
                <w:rFonts w:hint="eastAsia" w:ascii="宋体" w:hAnsi="宋体" w:cs="宋体"/>
                <w:bCs/>
                <w:szCs w:val="21"/>
              </w:rPr>
              <w:t>其他：</w:t>
            </w:r>
            <w:r>
              <w:rPr>
                <w:rFonts w:hint="eastAsia" w:ascii="宋体" w:hAnsi="宋体" w:cs="宋体"/>
                <w:bCs/>
                <w:szCs w:val="21"/>
                <w:u w:val="single"/>
              </w:rPr>
              <w:t xml:space="preserve">           </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13</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备选方案</w:t>
            </w:r>
          </w:p>
        </w:tc>
        <w:tc>
          <w:tcPr>
            <w:tcW w:w="695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ascii="Wingdings 2" w:hAnsi="Wingdings 2"/>
                <w:szCs w:val="21"/>
              </w:rPr>
              <w:t></w:t>
            </w:r>
            <w:r>
              <w:rPr>
                <w:rFonts w:hint="eastAsia" w:ascii="宋体" w:hAnsi="宋体"/>
                <w:szCs w:val="21"/>
              </w:rPr>
              <w:t>不接受</w:t>
            </w:r>
          </w:p>
          <w:p>
            <w:pPr>
              <w:adjustRightInd w:val="0"/>
              <w:snapToGrid w:val="0"/>
              <w:spacing w:line="276" w:lineRule="auto"/>
              <w:rPr>
                <w:rFonts w:ascii="宋体" w:hAnsi="宋体"/>
                <w:color w:val="0D0D0D"/>
                <w:szCs w:val="21"/>
              </w:rPr>
            </w:pPr>
            <w:r>
              <w:rPr>
                <w:rFonts w:ascii="Wingdings 2" w:hAnsi="Wingdings 2"/>
                <w:szCs w:val="21"/>
              </w:rPr>
              <w:t></w:t>
            </w:r>
            <w:r>
              <w:rPr>
                <w:rFonts w:hint="eastAsia" w:ascii="宋体" w:hAnsi="宋体"/>
                <w:szCs w:val="21"/>
              </w:rPr>
              <w:t>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14.1</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olor w:val="0D0D0D"/>
                <w:szCs w:val="21"/>
              </w:rPr>
            </w:pPr>
            <w:r>
              <w:rPr>
                <w:rFonts w:hint="eastAsia" w:ascii="宋体" w:hAnsi="宋体"/>
                <w:color w:val="0D0D0D"/>
                <w:szCs w:val="21"/>
              </w:rPr>
              <w:t>中标后分包</w:t>
            </w:r>
          </w:p>
        </w:tc>
        <w:tc>
          <w:tcPr>
            <w:tcW w:w="695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ascii="Wingdings 2" w:hAnsi="Wingdings 2" w:cs="宋体"/>
                <w:szCs w:val="21"/>
              </w:rPr>
              <w:t></w:t>
            </w:r>
            <w:r>
              <w:rPr>
                <w:rFonts w:hint="eastAsia" w:ascii="宋体" w:hAnsi="宋体" w:cs="宋体"/>
                <w:szCs w:val="21"/>
              </w:rPr>
              <w:t>不允许</w:t>
            </w:r>
          </w:p>
          <w:p>
            <w:pPr>
              <w:adjustRightInd w:val="0"/>
              <w:snapToGrid w:val="0"/>
              <w:spacing w:line="276" w:lineRule="auto"/>
              <w:rPr>
                <w:rFonts w:ascii="宋体" w:hAnsi="宋体" w:cs="Arial"/>
                <w:szCs w:val="21"/>
              </w:rPr>
            </w:pPr>
            <w:r>
              <w:rPr>
                <w:rFonts w:ascii="Wingdings 2" w:hAnsi="Wingdings 2" w:cs="宋体"/>
                <w:szCs w:val="21"/>
              </w:rPr>
              <w:t></w:t>
            </w:r>
            <w:r>
              <w:rPr>
                <w:rFonts w:hint="eastAsia" w:ascii="宋体" w:hAnsi="宋体" w:cs="宋体"/>
                <w:szCs w:val="21"/>
              </w:rPr>
              <w:t>允许，</w:t>
            </w:r>
            <w:r>
              <w:rPr>
                <w:rFonts w:hint="eastAsia" w:ascii="宋体" w:hAnsi="宋体" w:cs="Arial"/>
                <w:szCs w:val="21"/>
              </w:rPr>
              <w:t>分包内容要求：</w:t>
            </w:r>
            <w:r>
              <w:rPr>
                <w:rFonts w:hint="eastAsia" w:ascii="宋体" w:hAnsi="宋体" w:cs="Arial"/>
                <w:szCs w:val="21"/>
                <w:u w:val="single"/>
              </w:rPr>
              <w:t xml:space="preserve">               </w:t>
            </w:r>
            <w:r>
              <w:rPr>
                <w:rFonts w:hint="eastAsia" w:ascii="宋体" w:hAnsi="宋体" w:cs="Arial"/>
                <w:szCs w:val="21"/>
              </w:rPr>
              <w:t xml:space="preserve"> </w:t>
            </w:r>
          </w:p>
          <w:p>
            <w:pPr>
              <w:adjustRightInd w:val="0"/>
              <w:snapToGrid w:val="0"/>
              <w:ind w:firstLine="525" w:firstLineChars="250"/>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 xml:space="preserve">分包金额要求： </w:t>
            </w:r>
            <w:r>
              <w:rPr>
                <w:rFonts w:hint="eastAsia" w:ascii="宋体" w:hAnsi="宋体" w:cs="Arial"/>
                <w:szCs w:val="21"/>
                <w:u w:val="single"/>
              </w:rPr>
              <w:t xml:space="preserve">              </w:t>
            </w:r>
            <w:r>
              <w:rPr>
                <w:rFonts w:hint="eastAsia" w:ascii="宋体" w:hAnsi="宋体" w:cs="Arial"/>
                <w:szCs w:val="21"/>
              </w:rPr>
              <w:t xml:space="preserve"> </w:t>
            </w:r>
          </w:p>
          <w:p>
            <w:pPr>
              <w:widowControl/>
              <w:jc w:val="left"/>
              <w:rPr>
                <w:rFonts w:ascii="宋体" w:hAnsi="宋体" w:cs="宋体"/>
                <w:szCs w:val="21"/>
              </w:rPr>
            </w:pPr>
            <w:r>
              <w:rPr>
                <w:rFonts w:hint="eastAsia" w:ascii="宋体" w:hAnsi="宋体" w:cs="Arial"/>
                <w:kern w:val="0"/>
                <w:szCs w:val="21"/>
              </w:rPr>
              <w:t xml:space="preserve">       </w:t>
            </w:r>
            <w:r>
              <w:rPr>
                <w:rFonts w:ascii="宋体" w:hAnsi="宋体" w:cs="Arial"/>
                <w:kern w:val="0"/>
                <w:szCs w:val="21"/>
              </w:rPr>
              <w:t xml:space="preserve"> </w:t>
            </w:r>
            <w:r>
              <w:rPr>
                <w:rFonts w:hint="eastAsia" w:ascii="宋体" w:hAnsi="宋体" w:cs="Arial"/>
                <w:kern w:val="0"/>
                <w:szCs w:val="21"/>
              </w:rPr>
              <w:t>分包人资质要求：</w:t>
            </w:r>
            <w:r>
              <w:rPr>
                <w:rFonts w:hint="eastAsia" w:ascii="宋体" w:hAnsi="宋体" w:cs="Arial"/>
                <w:kern w:val="0"/>
                <w:szCs w:val="21"/>
                <w:u w:val="single"/>
              </w:rPr>
              <w:t xml:space="preserve">             </w:t>
            </w:r>
            <w:r>
              <w:rPr>
                <w:rFonts w:hint="eastAsia" w:ascii="宋体" w:hAnsi="宋体" w:cs="宋体"/>
                <w:kern w:val="0"/>
                <w:sz w:val="24"/>
                <w:szCs w:val="24"/>
              </w:rPr>
              <w:t xml:space="preserve"> </w:t>
            </w:r>
          </w:p>
          <w:p>
            <w:pPr>
              <w:adjustRightInd w:val="0"/>
              <w:snapToGrid w:val="0"/>
              <w:spacing w:line="276" w:lineRule="auto"/>
              <w:rPr>
                <w:rFonts w:ascii="宋体" w:hAnsi="宋体"/>
                <w:color w:val="0D0D0D"/>
                <w:szCs w:val="21"/>
              </w:rPr>
            </w:pPr>
            <w:r>
              <w:rPr>
                <w:rFonts w:hint="eastAsia"/>
                <w:color w:val="FF0000"/>
                <w:szCs w:val="21"/>
              </w:rPr>
              <w:t>说明</w:t>
            </w:r>
            <w:r>
              <w:rPr>
                <w:color w:val="FF0000"/>
                <w:szCs w:val="21"/>
              </w:rPr>
              <w:t>：</w:t>
            </w:r>
            <w:r>
              <w:rPr>
                <w:rFonts w:hint="eastAsia"/>
                <w:color w:val="FF0000"/>
                <w:szCs w:val="21"/>
              </w:rPr>
              <w:t>享受中小企业扶持政策获得政府采购合同的，小微企业不得将合同分包给大中型企业，中型企业不得将合同分包给大型企业。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15.1</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olor w:val="0D0D0D"/>
                <w:szCs w:val="21"/>
              </w:rPr>
            </w:pPr>
            <w:r>
              <w:rPr>
                <w:rFonts w:hint="eastAsia" w:ascii="宋体" w:hAnsi="宋体"/>
                <w:color w:val="0D0D0D"/>
                <w:szCs w:val="21"/>
              </w:rPr>
              <w:t>联合体投标</w:t>
            </w:r>
          </w:p>
        </w:tc>
        <w:tc>
          <w:tcPr>
            <w:tcW w:w="695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ascii="Wingdings 2" w:hAnsi="Wingdings 2"/>
                <w:szCs w:val="21"/>
              </w:rPr>
              <w:t></w:t>
            </w:r>
            <w:r>
              <w:rPr>
                <w:rFonts w:hint="eastAsia" w:ascii="宋体" w:hAnsi="宋体"/>
                <w:szCs w:val="21"/>
              </w:rPr>
              <w:t>不接受</w:t>
            </w:r>
          </w:p>
          <w:p>
            <w:pPr>
              <w:adjustRightInd w:val="0"/>
              <w:snapToGrid w:val="0"/>
              <w:spacing w:line="276" w:lineRule="auto"/>
              <w:rPr>
                <w:rFonts w:ascii="宋体" w:hAnsi="宋体"/>
                <w:color w:val="0D0D0D"/>
                <w:szCs w:val="21"/>
              </w:rPr>
            </w:pPr>
            <w:r>
              <w:rPr>
                <w:rFonts w:ascii="Wingdings 2" w:hAnsi="Wingdings 2"/>
                <w:szCs w:val="21"/>
              </w:rPr>
              <w:t></w:t>
            </w:r>
            <w:r>
              <w:rPr>
                <w:rFonts w:hint="eastAsia" w:ascii="宋体" w:hAnsi="宋体"/>
                <w:szCs w:val="21"/>
              </w:rPr>
              <w:t>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17.1</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投标保证金</w:t>
            </w:r>
          </w:p>
        </w:tc>
        <w:tc>
          <w:tcPr>
            <w:tcW w:w="695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ascii="Wingdings 2" w:hAnsi="Wingdings 2"/>
                <w:szCs w:val="21"/>
              </w:rPr>
              <w:t></w:t>
            </w:r>
            <w:r>
              <w:rPr>
                <w:rFonts w:hint="eastAsia" w:ascii="宋体" w:hAnsi="宋体"/>
                <w:szCs w:val="21"/>
              </w:rPr>
              <w:t xml:space="preserve">不收取 </w:t>
            </w:r>
          </w:p>
          <w:p>
            <w:pPr>
              <w:spacing w:line="276" w:lineRule="auto"/>
              <w:rPr>
                <w:rFonts w:ascii="宋体" w:hAnsi="宋体"/>
                <w:szCs w:val="21"/>
              </w:rPr>
            </w:pPr>
            <w:r>
              <w:rPr>
                <w:rFonts w:ascii="Wingdings 2" w:hAnsi="Wingdings 2" w:cs="宋体"/>
                <w:szCs w:val="21"/>
              </w:rPr>
              <w:t></w:t>
            </w:r>
            <w:r>
              <w:rPr>
                <w:rFonts w:hint="eastAsia" w:ascii="宋体" w:hAnsi="宋体" w:cs="宋体"/>
                <w:szCs w:val="21"/>
              </w:rPr>
              <w:t>收取。保证金要求：</w:t>
            </w:r>
          </w:p>
          <w:p>
            <w:pPr>
              <w:adjustRightInd w:val="0"/>
              <w:snapToGrid w:val="0"/>
              <w:spacing w:line="276" w:lineRule="auto"/>
              <w:ind w:left="210" w:leftChars="100"/>
              <w:rPr>
                <w:rFonts w:ascii="宋体" w:hAnsi="宋体" w:cs="宋体"/>
                <w:szCs w:val="21"/>
              </w:rPr>
            </w:pPr>
            <w:r>
              <w:rPr>
                <w:rFonts w:hint="eastAsia" w:ascii="宋体" w:hAnsi="宋体" w:cs="宋体"/>
                <w:szCs w:val="21"/>
                <w:lang w:val="zh-CN"/>
              </w:rPr>
              <w:t>保证金金额：</w:t>
            </w:r>
            <w:r>
              <w:rPr>
                <w:rFonts w:hint="eastAsia" w:ascii="宋体" w:hAnsi="宋体" w:cs="宋体"/>
                <w:szCs w:val="21"/>
              </w:rPr>
              <w:t>人民币</w:t>
            </w:r>
            <w:r>
              <w:rPr>
                <w:rFonts w:hint="eastAsia" w:ascii="宋体" w:hAnsi="宋体" w:cs="宋体"/>
                <w:szCs w:val="21"/>
                <w:u w:val="single"/>
              </w:rPr>
              <w:t xml:space="preserve"> 零 </w:t>
            </w:r>
            <w:r>
              <w:rPr>
                <w:rFonts w:hint="eastAsia" w:ascii="宋体" w:hAnsi="宋体" w:cs="宋体"/>
                <w:szCs w:val="21"/>
              </w:rPr>
              <w:t>元整（￥</w:t>
            </w:r>
            <w:r>
              <w:rPr>
                <w:rFonts w:ascii="宋体" w:hAnsi="宋体" w:cs="宋体"/>
                <w:szCs w:val="21"/>
                <w:u w:val="single"/>
              </w:rPr>
              <w:t>0.</w:t>
            </w:r>
            <w:r>
              <w:rPr>
                <w:rFonts w:hint="eastAsia" w:ascii="宋体" w:hAnsi="宋体" w:cs="宋体"/>
                <w:szCs w:val="21"/>
                <w:u w:val="single"/>
              </w:rPr>
              <w:t>00</w:t>
            </w:r>
            <w:r>
              <w:rPr>
                <w:rFonts w:hint="eastAsia" w:ascii="宋体" w:hAnsi="宋体" w:cs="宋体"/>
                <w:szCs w:val="21"/>
              </w:rPr>
              <w:t>）。</w:t>
            </w:r>
          </w:p>
          <w:p>
            <w:pPr>
              <w:adjustRightInd w:val="0"/>
              <w:snapToGrid w:val="0"/>
              <w:spacing w:line="276" w:lineRule="auto"/>
              <w:ind w:left="105" w:leftChars="50" w:firstLine="316" w:firstLineChars="150"/>
              <w:rPr>
                <w:rFonts w:ascii="宋体" w:hAnsi="宋体" w:cs="宋体"/>
                <w:b/>
                <w:bCs/>
                <w:kern w:val="0"/>
                <w:szCs w:val="21"/>
              </w:rPr>
            </w:pPr>
            <w:r>
              <w:rPr>
                <w:rFonts w:hint="eastAsia" w:ascii="宋体" w:hAnsi="宋体" w:cs="宋体"/>
                <w:b/>
                <w:szCs w:val="21"/>
                <w:lang w:val="zh-CN"/>
              </w:rPr>
              <w:t>保证金递交要求</w:t>
            </w:r>
            <w:r>
              <w:rPr>
                <w:rFonts w:hint="eastAsia" w:ascii="宋体" w:hAnsi="宋体" w:cs="宋体"/>
                <w:b/>
                <w:kern w:val="0"/>
                <w:szCs w:val="21"/>
              </w:rPr>
              <w:t>：在规定截止时间前未按规定从</w:t>
            </w:r>
            <w:r>
              <w:rPr>
                <w:rFonts w:hint="eastAsia" w:ascii="宋体" w:hAnsi="宋体" w:cs="宋体"/>
                <w:b/>
                <w:bCs/>
                <w:kern w:val="0"/>
                <w:szCs w:val="21"/>
              </w:rPr>
              <w:t>投标人账户汇至指定账户的视为未提交投标保证金。</w:t>
            </w:r>
          </w:p>
          <w:p>
            <w:pPr>
              <w:adjustRightInd w:val="0"/>
              <w:snapToGrid w:val="0"/>
              <w:spacing w:line="276" w:lineRule="auto"/>
              <w:ind w:firstLine="420" w:firstLineChars="200"/>
              <w:rPr>
                <w:rFonts w:ascii="宋体" w:hAnsi="宋体" w:cs="宋体"/>
                <w:szCs w:val="21"/>
                <w:lang w:val="zh-CN"/>
              </w:rPr>
            </w:pPr>
            <w:r>
              <w:rPr>
                <w:rFonts w:hint="eastAsia" w:ascii="宋体" w:hAnsi="宋体"/>
                <w:szCs w:val="21"/>
              </w:rPr>
              <w:t>收款银</w:t>
            </w:r>
            <w:r>
              <w:rPr>
                <w:rFonts w:hint="eastAsia" w:ascii="宋体" w:hAnsi="宋体" w:cs="宋体"/>
                <w:szCs w:val="21"/>
                <w:lang w:val="zh-CN"/>
              </w:rPr>
              <w:t>行账户信息：</w:t>
            </w:r>
          </w:p>
          <w:p>
            <w:pPr>
              <w:adjustRightInd w:val="0"/>
              <w:snapToGrid w:val="0"/>
              <w:spacing w:line="276" w:lineRule="auto"/>
              <w:ind w:firstLine="420" w:firstLineChars="200"/>
              <w:rPr>
                <w:rFonts w:ascii="宋体" w:hAnsi="宋体" w:cs="宋体"/>
                <w:szCs w:val="21"/>
                <w:lang w:val="zh-CN"/>
              </w:rPr>
            </w:pPr>
            <w:r>
              <w:rPr>
                <w:rFonts w:hint="eastAsia" w:ascii="宋体" w:hAnsi="宋体" w:cs="宋体"/>
                <w:szCs w:val="21"/>
                <w:lang w:val="zh-CN"/>
              </w:rPr>
              <w:t>户 名：/</w:t>
            </w:r>
          </w:p>
          <w:p>
            <w:pPr>
              <w:adjustRightInd w:val="0"/>
              <w:snapToGrid w:val="0"/>
              <w:spacing w:line="276" w:lineRule="auto"/>
              <w:ind w:firstLine="420" w:firstLineChars="200"/>
              <w:rPr>
                <w:rFonts w:ascii="宋体" w:hAnsi="宋体" w:cs="宋体"/>
                <w:szCs w:val="21"/>
                <w:lang w:val="zh-CN"/>
              </w:rPr>
            </w:pPr>
            <w:r>
              <w:rPr>
                <w:rFonts w:hint="eastAsia" w:ascii="宋体" w:hAnsi="宋体" w:cs="宋体"/>
                <w:szCs w:val="21"/>
                <w:lang w:val="zh-CN"/>
              </w:rPr>
              <w:t>开户行：/</w:t>
            </w:r>
          </w:p>
          <w:p>
            <w:pPr>
              <w:spacing w:line="276" w:lineRule="auto"/>
              <w:ind w:firstLine="420" w:firstLineChars="200"/>
              <w:rPr>
                <w:rFonts w:ascii="宋体" w:hAnsi="宋体" w:cs="宋体"/>
                <w:b/>
                <w:szCs w:val="21"/>
              </w:rPr>
            </w:pPr>
            <w:r>
              <w:rPr>
                <w:rFonts w:hint="eastAsia" w:ascii="宋体" w:hAnsi="宋体" w:cs="宋体"/>
                <w:szCs w:val="21"/>
                <w:lang w:val="zh-CN"/>
              </w:rPr>
              <w:t>账 号：/</w:t>
            </w:r>
          </w:p>
          <w:p>
            <w:pPr>
              <w:adjustRightInd w:val="0"/>
              <w:snapToGrid w:val="0"/>
              <w:spacing w:line="276" w:lineRule="auto"/>
              <w:ind w:left="105" w:leftChars="50" w:firstLine="315" w:firstLineChars="150"/>
              <w:rPr>
                <w:rFonts w:ascii="宋体" w:hAnsi="宋体" w:cs="宋体"/>
                <w:szCs w:val="21"/>
              </w:rPr>
            </w:pPr>
            <w:r>
              <w:rPr>
                <w:rFonts w:hint="eastAsia" w:ascii="宋体" w:hAnsi="宋体" w:cs="宋体"/>
                <w:szCs w:val="21"/>
                <w:lang w:val="zh-CN"/>
              </w:rPr>
              <w:t>中标</w:t>
            </w:r>
            <w:r>
              <w:rPr>
                <w:rFonts w:hint="eastAsia" w:ascii="宋体" w:hAnsi="宋体" w:cs="宋体"/>
                <w:szCs w:val="21"/>
              </w:rPr>
              <w:t>人的投标保证金，自采购合同签订之日起5个工作日内退还；未中标人的投标保证金，自中标通知书发出之日起5个工作日内退还。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18.1</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投标有效期</w:t>
            </w:r>
          </w:p>
        </w:tc>
        <w:tc>
          <w:tcPr>
            <w:tcW w:w="6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color w:val="0D0D0D"/>
                <w:szCs w:val="21"/>
              </w:rPr>
            </w:pPr>
            <w:r>
              <w:rPr>
                <w:rFonts w:hint="eastAsia" w:ascii="宋体" w:hAnsi="宋体" w:cs="宋体"/>
                <w:color w:val="0D0D0D"/>
                <w:kern w:val="0"/>
                <w:szCs w:val="21"/>
              </w:rPr>
              <w:t>提交投标文件截止之日起</w:t>
            </w:r>
            <w:r>
              <w:rPr>
                <w:rFonts w:hint="eastAsia" w:ascii="宋体" w:hAnsi="宋体" w:cs="宋体"/>
                <w:color w:val="FF0000"/>
                <w:kern w:val="0"/>
                <w:szCs w:val="21"/>
              </w:rPr>
              <w:t>90</w:t>
            </w:r>
            <w:r>
              <w:rPr>
                <w:rFonts w:hint="eastAsia" w:ascii="宋体" w:hAnsi="宋体" w:cs="宋体"/>
                <w:color w:val="0D0D0D"/>
                <w:kern w:val="0"/>
                <w:szCs w:val="21"/>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19.1</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投标文件形式</w:t>
            </w:r>
          </w:p>
        </w:tc>
        <w:tc>
          <w:tcPr>
            <w:tcW w:w="6958"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宋体" w:cs="Noto Sans Mono CJK JP Regular"/>
                <w:szCs w:val="21"/>
                <w:lang w:val="zh-CN"/>
              </w:rPr>
            </w:pPr>
            <w:r>
              <w:rPr>
                <w:rFonts w:hint="eastAsia" w:ascii="宋体" w:hAnsi="宋体" w:cs="宋体"/>
                <w:szCs w:val="21"/>
                <w:lang w:val="zh-CN"/>
              </w:rPr>
              <w:t>（</w:t>
            </w:r>
            <w:r>
              <w:rPr>
                <w:rFonts w:ascii="宋体" w:hAnsi="宋体" w:cs="Noto Sans Mono CJK JP Regular"/>
                <w:szCs w:val="21"/>
                <w:lang w:val="zh-CN"/>
              </w:rPr>
              <w:t>1</w:t>
            </w:r>
            <w:r>
              <w:rPr>
                <w:rFonts w:hint="eastAsia" w:ascii="宋体" w:hAnsi="宋体" w:cs="宋体"/>
                <w:szCs w:val="21"/>
                <w:lang w:val="zh-CN"/>
              </w:rPr>
              <w:t>）纸质版：正本</w:t>
            </w:r>
            <w:r>
              <w:rPr>
                <w:rFonts w:ascii="宋体" w:hAnsi="宋体" w:cs="Noto Sans Mono CJK JP Regular"/>
                <w:szCs w:val="21"/>
                <w:u w:val="single"/>
                <w:lang w:val="zh-CN"/>
              </w:rPr>
              <w:t xml:space="preserve"> 1 </w:t>
            </w:r>
            <w:r>
              <w:rPr>
                <w:rFonts w:hint="eastAsia" w:ascii="宋体" w:hAnsi="宋体" w:cs="宋体"/>
                <w:szCs w:val="21"/>
                <w:lang w:val="zh-CN"/>
              </w:rPr>
              <w:t>份；副本</w:t>
            </w:r>
            <w:r>
              <w:rPr>
                <w:rFonts w:ascii="宋体" w:hAnsi="宋体" w:cs="Noto Sans Mono CJK JP Regular"/>
                <w:color w:val="FF0000"/>
                <w:szCs w:val="21"/>
                <w:u w:val="single"/>
                <w:lang w:val="zh-CN"/>
              </w:rPr>
              <w:t xml:space="preserve"> </w:t>
            </w:r>
            <w:r>
              <w:rPr>
                <w:rFonts w:hint="eastAsia" w:ascii="宋体" w:hAnsi="宋体" w:cs="Noto Sans Mono CJK JP Regular"/>
                <w:color w:val="FF0000"/>
                <w:szCs w:val="21"/>
                <w:u w:val="single"/>
              </w:rPr>
              <w:t>4</w:t>
            </w:r>
            <w:r>
              <w:rPr>
                <w:rFonts w:ascii="宋体" w:hAnsi="宋体" w:cs="Noto Sans Mono CJK JP Regular"/>
                <w:color w:val="FF0000"/>
                <w:szCs w:val="21"/>
                <w:u w:val="single"/>
                <w:lang w:val="zh-CN"/>
              </w:rPr>
              <w:t xml:space="preserve"> </w:t>
            </w:r>
            <w:r>
              <w:rPr>
                <w:rFonts w:hint="eastAsia" w:ascii="宋体" w:hAnsi="宋体" w:cs="宋体"/>
                <w:szCs w:val="21"/>
                <w:lang w:val="zh-CN"/>
              </w:rPr>
              <w:t>份，副本为正本的复印件；</w:t>
            </w:r>
          </w:p>
          <w:p>
            <w:pPr>
              <w:autoSpaceDE w:val="0"/>
              <w:autoSpaceDN w:val="0"/>
              <w:ind w:left="535" w:leftChars="5" w:hanging="525" w:hangingChars="250"/>
              <w:rPr>
                <w:rFonts w:ascii="宋体" w:hAnsi="宋体" w:cs="宋体"/>
                <w:szCs w:val="21"/>
                <w:lang w:val="zh-CN"/>
              </w:rPr>
            </w:pPr>
            <w:r>
              <w:rPr>
                <w:rFonts w:hint="eastAsia" w:ascii="宋体" w:hAnsi="宋体" w:cs="宋体"/>
                <w:szCs w:val="21"/>
                <w:lang w:val="zh-CN"/>
              </w:rPr>
              <w:t>（</w:t>
            </w:r>
            <w:r>
              <w:rPr>
                <w:rFonts w:ascii="宋体" w:hAnsi="宋体" w:cs="Noto Sans Mono CJK JP Regular"/>
                <w:szCs w:val="21"/>
                <w:lang w:val="zh-CN"/>
              </w:rPr>
              <w:t>2</w:t>
            </w:r>
            <w:r>
              <w:rPr>
                <w:rFonts w:hint="eastAsia" w:ascii="宋体" w:hAnsi="宋体" w:cs="宋体"/>
                <w:szCs w:val="21"/>
                <w:lang w:val="zh-CN"/>
              </w:rPr>
              <w:t>）电子版：未加密PDF格式，电子版内容应与投标文件正本一致；份数：</w:t>
            </w:r>
            <w:r>
              <w:rPr>
                <w:rFonts w:hint="eastAsia" w:ascii="宋体" w:hAnsi="宋体" w:cs="宋体"/>
                <w:szCs w:val="21"/>
                <w:u w:val="single"/>
                <w:lang w:val="zh-CN"/>
              </w:rPr>
              <w:t xml:space="preserve"> 1 </w:t>
            </w:r>
            <w:r>
              <w:rPr>
                <w:rFonts w:hint="eastAsia" w:ascii="宋体" w:hAnsi="宋体" w:cs="宋体"/>
                <w:szCs w:val="21"/>
                <w:lang w:val="zh-CN"/>
              </w:rPr>
              <w:t>份；形式：</w:t>
            </w:r>
            <w:r>
              <w:rPr>
                <w:rFonts w:hint="eastAsia" w:ascii="宋体" w:hAnsi="宋体" w:cs="宋体"/>
                <w:szCs w:val="21"/>
                <w:u w:val="single"/>
                <w:lang w:val="zh-CN"/>
              </w:rPr>
              <w:t>U盘</w:t>
            </w:r>
            <w:r>
              <w:rPr>
                <w:rFonts w:hint="eastAsia" w:ascii="宋体" w:hAnsi="宋体" w:cs="宋体"/>
                <w:szCs w:val="21"/>
                <w:lang w:val="zh-CN"/>
              </w:rPr>
              <w:t>。</w:t>
            </w:r>
          </w:p>
          <w:p>
            <w:pPr>
              <w:autoSpaceDE w:val="0"/>
              <w:autoSpaceDN w:val="0"/>
              <w:ind w:left="535" w:leftChars="5" w:hanging="525" w:hangingChars="250"/>
              <w:rPr>
                <w:rFonts w:ascii="宋体" w:hAnsi="宋体" w:cs="宋体"/>
                <w:szCs w:val="21"/>
                <w:lang w:val="zh-CN"/>
              </w:rPr>
            </w:pPr>
            <w:r>
              <w:rPr>
                <w:rFonts w:hint="eastAsia" w:ascii="宋体" w:hAnsi="宋体" w:cs="宋体"/>
                <w:szCs w:val="21"/>
                <w:lang w:val="zh-CN"/>
              </w:rPr>
              <w:t>（</w:t>
            </w:r>
            <w:r>
              <w:rPr>
                <w:rFonts w:ascii="宋体" w:hAnsi="宋体" w:cs="Noto Sans Mono CJK JP Regular"/>
                <w:szCs w:val="21"/>
                <w:lang w:val="zh-CN"/>
              </w:rPr>
              <w:t>3</w:t>
            </w:r>
            <w:r>
              <w:rPr>
                <w:rFonts w:hint="eastAsia" w:ascii="宋体" w:hAnsi="宋体" w:cs="宋体"/>
                <w:szCs w:val="21"/>
                <w:lang w:val="zh-CN"/>
              </w:rPr>
              <w:t>）</w:t>
            </w:r>
            <w:r>
              <w:rPr>
                <w:rFonts w:hint="eastAsia" w:ascii="宋体" w:hAnsi="宋体" w:cs="Noto Sans Mono CJK JP Regular"/>
                <w:szCs w:val="21"/>
                <w:lang w:val="zh-CN"/>
              </w:rPr>
              <w:t>为方便开启时唱标（如有</w:t>
            </w:r>
            <w:r>
              <w:rPr>
                <w:rFonts w:ascii="宋体" w:hAnsi="宋体" w:cs="Noto Sans Mono CJK JP Regular"/>
                <w:szCs w:val="21"/>
                <w:lang w:val="zh-CN"/>
              </w:rPr>
              <w:t>）</w:t>
            </w:r>
            <w:r>
              <w:rPr>
                <w:rFonts w:hint="eastAsia" w:ascii="宋体" w:hAnsi="宋体" w:cs="Noto Sans Mono CJK JP Regular"/>
                <w:szCs w:val="21"/>
                <w:lang w:val="zh-CN"/>
              </w:rPr>
              <w:t>，投标人应将《报价一览表》原件及《交纳保证金的银行凭证》（若有交纳保证金要求的）各两份一并装入一个信封，单独密封提交，并在信封上标明“采购项目编号/包号、项目名称、报价一览表”字样。</w:t>
            </w:r>
          </w:p>
          <w:p>
            <w:pPr>
              <w:ind w:firstLine="315" w:firstLineChars="150"/>
              <w:rPr>
                <w:rFonts w:ascii="宋体" w:hAnsi="宋体"/>
                <w:bCs/>
                <w:color w:val="0D0D0D"/>
                <w:szCs w:val="21"/>
                <w:lang w:val="zh-CN"/>
              </w:rPr>
            </w:pPr>
            <w:r>
              <w:rPr>
                <w:rFonts w:hint="eastAsia" w:ascii="宋体" w:hAnsi="宋体" w:cs="宋体"/>
                <w:szCs w:val="21"/>
              </w:rPr>
              <w:t>所有投标文件接收后概不退还。</w:t>
            </w:r>
          </w:p>
          <w:p>
            <w:pPr>
              <w:rPr>
                <w:rFonts w:ascii="宋体" w:hAnsi="宋体"/>
                <w:b/>
                <w:bCs/>
                <w:color w:val="0D0D0D"/>
                <w:szCs w:val="21"/>
                <w:lang w:val="zh-CN"/>
              </w:rPr>
            </w:pPr>
            <w:r>
              <w:rPr>
                <w:rFonts w:hint="eastAsia" w:ascii="宋体" w:hAnsi="宋体"/>
                <w:bCs/>
                <w:color w:val="0D0D0D"/>
                <w:szCs w:val="21"/>
                <w:lang w:val="zh-CN"/>
              </w:rPr>
              <w:t>投标文件</w:t>
            </w:r>
            <w:r>
              <w:rPr>
                <w:rFonts w:ascii="宋体" w:hAnsi="宋体"/>
                <w:bCs/>
                <w:color w:val="0D0D0D"/>
                <w:szCs w:val="21"/>
                <w:lang w:val="zh-CN"/>
              </w:rPr>
              <w:t>密封</w:t>
            </w:r>
            <w:r>
              <w:rPr>
                <w:rFonts w:hint="eastAsia" w:ascii="宋体" w:hAnsi="宋体"/>
                <w:bCs/>
                <w:color w:val="0D0D0D"/>
                <w:szCs w:val="21"/>
                <w:lang w:val="zh-CN"/>
              </w:rPr>
              <w:t>封套上应载明的信息</w:t>
            </w:r>
            <w:r>
              <w:rPr>
                <w:rFonts w:hint="eastAsia" w:ascii="宋体" w:hAnsi="宋体"/>
                <w:b/>
                <w:bCs/>
                <w:color w:val="0D0D0D"/>
                <w:szCs w:val="21"/>
                <w:lang w:val="zh-CN"/>
              </w:rPr>
              <w:t>：</w:t>
            </w:r>
          </w:p>
          <w:p>
            <w:pPr>
              <w:ind w:left="420" w:leftChars="200"/>
              <w:rPr>
                <w:rFonts w:ascii="宋体" w:hAnsi="宋体"/>
                <w:bCs/>
                <w:color w:val="0D0D0D"/>
                <w:szCs w:val="21"/>
              </w:rPr>
            </w:pPr>
            <w:r>
              <w:rPr>
                <w:rFonts w:hint="eastAsia" w:ascii="宋体" w:hAnsi="宋体"/>
                <w:bCs/>
                <w:color w:val="0D0D0D"/>
                <w:szCs w:val="21"/>
                <w:u w:val="single"/>
              </w:rPr>
              <w:t xml:space="preserve">                  </w:t>
            </w:r>
            <w:r>
              <w:rPr>
                <w:rFonts w:hint="eastAsia" w:ascii="宋体" w:hAnsi="宋体"/>
                <w:bCs/>
                <w:color w:val="0D0D0D"/>
                <w:szCs w:val="21"/>
              </w:rPr>
              <w:t>（项目名称）投标文件</w:t>
            </w:r>
          </w:p>
          <w:p>
            <w:pPr>
              <w:ind w:left="420" w:leftChars="200"/>
              <w:rPr>
                <w:rFonts w:ascii="宋体" w:hAnsi="宋体"/>
                <w:bCs/>
                <w:color w:val="0D0D0D"/>
                <w:szCs w:val="21"/>
              </w:rPr>
            </w:pPr>
            <w:r>
              <w:rPr>
                <w:rFonts w:hint="eastAsia" w:ascii="宋体" w:hAnsi="宋体"/>
                <w:bCs/>
                <w:color w:val="0D0D0D"/>
                <w:szCs w:val="21"/>
              </w:rPr>
              <w:t>项目编号：</w:t>
            </w:r>
            <w:r>
              <w:rPr>
                <w:rFonts w:hint="eastAsia" w:ascii="宋体" w:hAnsi="宋体"/>
                <w:bCs/>
                <w:color w:val="0D0D0D"/>
                <w:szCs w:val="21"/>
                <w:u w:val="single"/>
              </w:rPr>
              <w:t xml:space="preserve">                  </w:t>
            </w:r>
          </w:p>
          <w:p>
            <w:pPr>
              <w:ind w:left="420" w:leftChars="200"/>
              <w:rPr>
                <w:rFonts w:ascii="宋体" w:hAnsi="宋体"/>
                <w:bCs/>
                <w:color w:val="0D0D0D"/>
                <w:szCs w:val="21"/>
              </w:rPr>
            </w:pPr>
            <w:r>
              <w:rPr>
                <w:rFonts w:hint="eastAsia" w:ascii="宋体" w:hAnsi="宋体"/>
                <w:bCs/>
                <w:color w:val="0D0D0D"/>
                <w:szCs w:val="21"/>
              </w:rPr>
              <w:t>在</w:t>
            </w:r>
            <w:r>
              <w:rPr>
                <w:rFonts w:hint="eastAsia" w:ascii="宋体" w:hAnsi="宋体"/>
                <w:bCs/>
                <w:color w:val="0D0D0D"/>
                <w:szCs w:val="21"/>
                <w:u w:val="single"/>
              </w:rPr>
              <w:t xml:space="preserve">    </w:t>
            </w:r>
            <w:r>
              <w:rPr>
                <w:rFonts w:hint="eastAsia" w:ascii="宋体" w:hAnsi="宋体"/>
                <w:bCs/>
                <w:color w:val="0D0D0D"/>
                <w:szCs w:val="21"/>
              </w:rPr>
              <w:t>年</w:t>
            </w:r>
            <w:r>
              <w:rPr>
                <w:rFonts w:hint="eastAsia" w:ascii="宋体" w:hAnsi="宋体"/>
                <w:bCs/>
                <w:color w:val="0D0D0D"/>
                <w:szCs w:val="21"/>
                <w:u w:val="single"/>
              </w:rPr>
              <w:t xml:space="preserve">  </w:t>
            </w:r>
            <w:r>
              <w:rPr>
                <w:rFonts w:hint="eastAsia" w:ascii="宋体" w:hAnsi="宋体"/>
                <w:bCs/>
                <w:color w:val="0D0D0D"/>
                <w:szCs w:val="21"/>
              </w:rPr>
              <w:t>月</w:t>
            </w:r>
            <w:r>
              <w:rPr>
                <w:rFonts w:hint="eastAsia" w:ascii="宋体" w:hAnsi="宋体"/>
                <w:bCs/>
                <w:color w:val="0D0D0D"/>
                <w:szCs w:val="21"/>
                <w:u w:val="single"/>
              </w:rPr>
              <w:t xml:space="preserve">  </w:t>
            </w:r>
            <w:r>
              <w:rPr>
                <w:rFonts w:hint="eastAsia" w:ascii="宋体" w:hAnsi="宋体"/>
                <w:bCs/>
                <w:color w:val="0D0D0D"/>
                <w:szCs w:val="21"/>
              </w:rPr>
              <w:t>日</w:t>
            </w:r>
            <w:r>
              <w:rPr>
                <w:rFonts w:hint="eastAsia" w:ascii="宋体" w:hAnsi="宋体"/>
                <w:bCs/>
                <w:color w:val="0D0D0D"/>
                <w:szCs w:val="21"/>
                <w:u w:val="single"/>
              </w:rPr>
              <w:t xml:space="preserve">  </w:t>
            </w:r>
            <w:r>
              <w:rPr>
                <w:rFonts w:hint="eastAsia" w:ascii="宋体" w:hAnsi="宋体"/>
                <w:bCs/>
                <w:color w:val="0D0D0D"/>
                <w:szCs w:val="21"/>
              </w:rPr>
              <w:t>时</w:t>
            </w:r>
            <w:r>
              <w:rPr>
                <w:rFonts w:hint="eastAsia" w:ascii="宋体" w:hAnsi="宋体"/>
                <w:bCs/>
                <w:color w:val="0D0D0D"/>
                <w:szCs w:val="21"/>
                <w:u w:val="single"/>
              </w:rPr>
              <w:t xml:space="preserve">  </w:t>
            </w:r>
            <w:r>
              <w:rPr>
                <w:rFonts w:hint="eastAsia" w:ascii="宋体" w:hAnsi="宋体"/>
                <w:bCs/>
                <w:color w:val="0D0D0D"/>
                <w:szCs w:val="21"/>
              </w:rPr>
              <w:t>分之前不得启封</w:t>
            </w:r>
          </w:p>
          <w:p>
            <w:pPr>
              <w:adjustRightInd w:val="0"/>
              <w:snapToGrid w:val="0"/>
              <w:ind w:left="420" w:leftChars="200"/>
              <w:rPr>
                <w:rFonts w:ascii="宋体" w:hAnsi="宋体" w:cs="宋体"/>
                <w:color w:val="0D0D0D"/>
                <w:szCs w:val="21"/>
              </w:rPr>
            </w:pPr>
            <w:r>
              <w:rPr>
                <w:rFonts w:hint="eastAsia" w:ascii="宋体" w:hAnsi="宋体"/>
                <w:bCs/>
                <w:color w:val="0D0D0D"/>
                <w:szCs w:val="21"/>
              </w:rPr>
              <w:t>投标人名称：</w:t>
            </w:r>
            <w:r>
              <w:rPr>
                <w:rFonts w:hint="eastAsia" w:ascii="宋体" w:hAnsi="宋体"/>
                <w:bCs/>
                <w:color w:val="0D0D0D"/>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19.4</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样品</w:t>
            </w:r>
          </w:p>
        </w:tc>
        <w:tc>
          <w:tcPr>
            <w:tcW w:w="6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cs="宋体"/>
                <w:szCs w:val="21"/>
                <w:lang w:val="zh-CN"/>
              </w:rPr>
            </w:pPr>
            <w:r>
              <w:rPr>
                <w:rFonts w:ascii="Wingdings 2" w:hAnsi="Wingdings 2" w:cs="宋体"/>
                <w:szCs w:val="21"/>
                <w:lang w:val="zh-CN"/>
              </w:rPr>
              <w:t></w:t>
            </w:r>
            <w:r>
              <w:rPr>
                <w:rFonts w:hint="eastAsia" w:ascii="宋体" w:hAnsi="宋体" w:cs="宋体"/>
                <w:szCs w:val="21"/>
                <w:lang w:val="zh-CN"/>
              </w:rPr>
              <w:t>不需要</w:t>
            </w:r>
          </w:p>
          <w:p>
            <w:pPr>
              <w:adjustRightInd w:val="0"/>
              <w:snapToGrid w:val="0"/>
              <w:spacing w:line="276" w:lineRule="auto"/>
              <w:rPr>
                <w:rFonts w:ascii="宋体" w:hAnsi="宋体" w:cs="宋体"/>
                <w:szCs w:val="21"/>
              </w:rPr>
            </w:pPr>
            <w:r>
              <w:rPr>
                <w:rFonts w:ascii="Wingdings 2" w:hAnsi="Wingdings 2" w:cs="宋体"/>
                <w:szCs w:val="21"/>
                <w:lang w:val="zh-CN"/>
              </w:rPr>
              <w:t></w:t>
            </w:r>
            <w:r>
              <w:rPr>
                <w:rFonts w:hint="eastAsia" w:ascii="宋体" w:hAnsi="宋体" w:cs="宋体"/>
                <w:szCs w:val="21"/>
                <w:lang w:val="zh-CN"/>
              </w:rPr>
              <w:t>需要，</w:t>
            </w:r>
            <w:r>
              <w:rPr>
                <w:rFonts w:hint="eastAsia" w:ascii="宋体" w:hAnsi="宋体"/>
                <w:szCs w:val="21"/>
                <w:lang w:val="zh-CN"/>
              </w:rPr>
              <w:t>样品的包装及递交要求：</w:t>
            </w:r>
            <w:r>
              <w:rPr>
                <w:rFonts w:hint="eastAsia" w:ascii="宋体" w:hAnsi="宋体"/>
                <w:szCs w:val="21"/>
                <w:u w:val="single"/>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19.5</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现场演示</w:t>
            </w:r>
          </w:p>
        </w:tc>
        <w:tc>
          <w:tcPr>
            <w:tcW w:w="6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cs="宋体"/>
                <w:szCs w:val="21"/>
              </w:rPr>
            </w:pPr>
            <w:r>
              <w:rPr>
                <w:rFonts w:ascii="Wingdings 2" w:hAnsi="Wingdings 2" w:cs="宋体"/>
                <w:szCs w:val="21"/>
              </w:rPr>
              <w:t></w:t>
            </w:r>
            <w:r>
              <w:rPr>
                <w:rFonts w:hint="eastAsia" w:ascii="宋体" w:hAnsi="宋体" w:cs="宋体"/>
                <w:szCs w:val="21"/>
                <w:lang w:val="zh-CN"/>
              </w:rPr>
              <w:t>不需要</w:t>
            </w:r>
          </w:p>
          <w:p>
            <w:pPr>
              <w:adjustRightInd w:val="0"/>
              <w:snapToGrid w:val="0"/>
              <w:spacing w:line="276" w:lineRule="auto"/>
              <w:rPr>
                <w:rFonts w:ascii="宋体" w:hAnsi="宋体" w:cs="宋体"/>
                <w:szCs w:val="21"/>
              </w:rPr>
            </w:pPr>
            <w:r>
              <w:rPr>
                <w:rFonts w:ascii="Wingdings 2" w:hAnsi="Wingdings 2" w:cs="宋体"/>
                <w:szCs w:val="21"/>
              </w:rPr>
              <w:t></w:t>
            </w:r>
            <w:r>
              <w:rPr>
                <w:rFonts w:hint="eastAsia" w:ascii="宋体" w:hAnsi="宋体" w:cs="宋体"/>
                <w:szCs w:val="21"/>
                <w:lang w:val="zh-CN"/>
              </w:rPr>
              <w:t>需要</w:t>
            </w:r>
            <w:r>
              <w:rPr>
                <w:rFonts w:hint="eastAsia" w:ascii="宋体" w:hAnsi="宋体" w:cs="宋体"/>
                <w:szCs w:val="21"/>
              </w:rPr>
              <w:t>，</w:t>
            </w:r>
            <w:r>
              <w:rPr>
                <w:rFonts w:hint="eastAsia" w:ascii="宋体" w:hAnsi="宋体" w:cs="宋体"/>
                <w:szCs w:val="21"/>
                <w:lang w:val="zh-CN"/>
              </w:rPr>
              <w:t>演示要求</w:t>
            </w:r>
            <w:r>
              <w:rPr>
                <w:rFonts w:hint="eastAsia" w:ascii="宋体" w:hAnsi="宋体" w:cs="宋体"/>
                <w:szCs w:val="21"/>
              </w:rPr>
              <w:t>：</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2</w:t>
            </w:r>
            <w:r>
              <w:rPr>
                <w:rFonts w:ascii="宋体" w:hAnsi="宋体"/>
                <w:szCs w:val="21"/>
              </w:rPr>
              <w:t>0</w:t>
            </w:r>
            <w:r>
              <w:rPr>
                <w:rFonts w:hint="eastAsia" w:ascii="宋体" w:hAnsi="宋体"/>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投标文件</w:t>
            </w:r>
          </w:p>
          <w:p>
            <w:pPr>
              <w:adjustRightInd w:val="0"/>
              <w:snapToGrid w:val="0"/>
              <w:spacing w:line="276" w:lineRule="auto"/>
              <w:jc w:val="center"/>
              <w:rPr>
                <w:rFonts w:ascii="宋体" w:hAnsi="宋体"/>
                <w:szCs w:val="21"/>
              </w:rPr>
            </w:pPr>
            <w:r>
              <w:rPr>
                <w:rFonts w:hint="eastAsia" w:ascii="宋体" w:hAnsi="宋体"/>
                <w:szCs w:val="21"/>
              </w:rPr>
              <w:t>递交截止时间</w:t>
            </w:r>
          </w:p>
        </w:tc>
        <w:tc>
          <w:tcPr>
            <w:tcW w:w="6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color w:val="0D0D0D"/>
                <w:szCs w:val="21"/>
              </w:rPr>
            </w:pPr>
            <w:r>
              <w:rPr>
                <w:rFonts w:hint="eastAsia" w:ascii="宋体" w:hAnsi="宋体"/>
                <w:color w:val="0D0D0D"/>
                <w:szCs w:val="21"/>
              </w:rPr>
              <w:t>详见第一章“招标公告（投标邀请书）”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开标时间、</w:t>
            </w:r>
          </w:p>
          <w:p>
            <w:pPr>
              <w:adjustRightInd w:val="0"/>
              <w:snapToGrid w:val="0"/>
              <w:spacing w:line="276" w:lineRule="auto"/>
              <w:jc w:val="center"/>
              <w:rPr>
                <w:rFonts w:ascii="宋体" w:hAnsi="宋体"/>
                <w:szCs w:val="21"/>
              </w:rPr>
            </w:pPr>
            <w:r>
              <w:rPr>
                <w:rFonts w:hint="eastAsia" w:ascii="宋体" w:hAnsi="宋体"/>
                <w:szCs w:val="21"/>
              </w:rPr>
              <w:t>地点</w:t>
            </w:r>
          </w:p>
        </w:tc>
        <w:tc>
          <w:tcPr>
            <w:tcW w:w="6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color w:val="0D0D0D"/>
                <w:szCs w:val="21"/>
              </w:rPr>
            </w:pPr>
            <w:r>
              <w:rPr>
                <w:rFonts w:hint="eastAsia" w:ascii="宋体" w:hAnsi="宋体"/>
                <w:color w:val="0D0D0D"/>
                <w:szCs w:val="21"/>
              </w:rPr>
              <w:t>详见第一章“招标公告（投标邀请书）”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w:t>
            </w:r>
            <w:r>
              <w:rPr>
                <w:rFonts w:ascii="宋体" w:hAnsi="宋体"/>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评标办法</w:t>
            </w:r>
          </w:p>
        </w:tc>
        <w:tc>
          <w:tcPr>
            <w:tcW w:w="6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color w:val="0D0D0D"/>
                <w:szCs w:val="21"/>
              </w:rPr>
            </w:pPr>
            <w:r>
              <w:rPr>
                <w:rFonts w:hint="eastAsia" w:ascii="宋体" w:hAnsi="宋体"/>
                <w:color w:val="0D0D0D"/>
                <w:szCs w:val="21"/>
              </w:rPr>
              <w:t>综合评分法</w:t>
            </w:r>
          </w:p>
          <w:p>
            <w:pPr>
              <w:adjustRightInd w:val="0"/>
              <w:snapToGrid w:val="0"/>
              <w:spacing w:line="276" w:lineRule="auto"/>
              <w:rPr>
                <w:rFonts w:ascii="宋体" w:hAnsi="宋体"/>
                <w:color w:val="0D0D0D"/>
                <w:szCs w:val="21"/>
                <w:lang w:val="zh-CN"/>
              </w:rPr>
            </w:pPr>
            <w:r>
              <w:rPr>
                <w:rFonts w:hint="eastAsia" w:ascii="宋体" w:hAnsi="宋体"/>
                <w:color w:val="0D0D0D"/>
                <w:szCs w:val="21"/>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2</w:t>
            </w:r>
            <w:r>
              <w:rPr>
                <w:rFonts w:ascii="宋体" w:hAnsi="宋体"/>
                <w:szCs w:val="21"/>
              </w:rPr>
              <w:t>5</w:t>
            </w:r>
            <w:r>
              <w:rPr>
                <w:rFonts w:hint="eastAsia" w:ascii="宋体" w:hAnsi="宋体"/>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评标委员会</w:t>
            </w:r>
          </w:p>
        </w:tc>
        <w:tc>
          <w:tcPr>
            <w:tcW w:w="6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color w:val="0D0D0D"/>
                <w:szCs w:val="21"/>
              </w:rPr>
            </w:pPr>
            <w:r>
              <w:rPr>
                <w:rFonts w:hint="eastAsia" w:ascii="宋体" w:hAnsi="宋体" w:cs="宋体"/>
                <w:szCs w:val="21"/>
                <w:lang w:val="zh-CN"/>
              </w:rPr>
              <w:t>由采购人代表和评审专家共</w:t>
            </w:r>
            <w:r>
              <w:rPr>
                <w:rFonts w:hint="eastAsia" w:ascii="宋体" w:hAnsi="宋体" w:cs="宋体"/>
                <w:szCs w:val="21"/>
                <w:lang w:val="en-US" w:eastAsia="zh-CN"/>
              </w:rPr>
              <w:t>7</w:t>
            </w:r>
            <w:r>
              <w:rPr>
                <w:rFonts w:hint="eastAsia" w:ascii="宋体" w:hAnsi="宋体" w:cs="宋体"/>
                <w:szCs w:val="21"/>
                <w:lang w:val="zh-CN"/>
              </w:rPr>
              <w:t>人以上单数组成，其中评审专家人数不少于总数的2/3。除非招标文件另有规定，评审专家将从政府采购评审专家库中随机抽取。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2</w:t>
            </w:r>
            <w:r>
              <w:rPr>
                <w:rFonts w:ascii="宋体" w:hAnsi="宋体"/>
                <w:szCs w:val="21"/>
              </w:rPr>
              <w:t>8</w:t>
            </w:r>
            <w:r>
              <w:rPr>
                <w:rFonts w:hint="eastAsia" w:ascii="宋体" w:hAnsi="宋体"/>
                <w:szCs w:val="21"/>
              </w:rPr>
              <w:t>.</w:t>
            </w:r>
            <w:r>
              <w:rPr>
                <w:rFonts w:ascii="宋体" w:hAnsi="宋体"/>
                <w:szCs w:val="21"/>
              </w:rPr>
              <w:t>3</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多标段中标候选规定</w:t>
            </w:r>
          </w:p>
        </w:tc>
        <w:tc>
          <w:tcPr>
            <w:tcW w:w="6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szCs w:val="21"/>
              </w:rPr>
            </w:pPr>
            <w:r>
              <w:rPr>
                <w:rFonts w:ascii="Wingdings 2" w:hAnsi="Wingdings 2"/>
                <w:szCs w:val="21"/>
              </w:rPr>
              <w:t></w:t>
            </w:r>
            <w:r>
              <w:rPr>
                <w:rFonts w:hint="eastAsia" w:ascii="宋体" w:hAnsi="宋体"/>
                <w:szCs w:val="21"/>
              </w:rPr>
              <w:t>不适用，</w:t>
            </w:r>
            <w:r>
              <w:rPr>
                <w:rFonts w:hint="eastAsia" w:ascii="宋体" w:hAnsi="宋体"/>
                <w:color w:val="000000"/>
                <w:szCs w:val="21"/>
              </w:rPr>
              <w:t>投标人仅可就本项目1个标段投标。</w:t>
            </w:r>
          </w:p>
          <w:p>
            <w:pPr>
              <w:adjustRightInd w:val="0"/>
              <w:snapToGrid w:val="0"/>
              <w:spacing w:line="276" w:lineRule="auto"/>
              <w:rPr>
                <w:rFonts w:ascii="宋体" w:hAnsi="宋体"/>
                <w:color w:val="000000"/>
                <w:szCs w:val="21"/>
              </w:rPr>
            </w:pPr>
            <w:r>
              <w:rPr>
                <w:rFonts w:ascii="Wingdings 2" w:hAnsi="Wingdings 2"/>
                <w:szCs w:val="21"/>
              </w:rPr>
              <w:t></w:t>
            </w:r>
            <w:r>
              <w:rPr>
                <w:rFonts w:hint="eastAsia" w:ascii="宋体" w:hAnsi="宋体"/>
                <w:szCs w:val="21"/>
              </w:rPr>
              <w:t>适用</w:t>
            </w:r>
            <w:r>
              <w:rPr>
                <w:rFonts w:hint="eastAsia" w:ascii="宋体" w:hAnsi="宋体"/>
                <w:color w:val="000000"/>
                <w:szCs w:val="21"/>
              </w:rPr>
              <w:t>，投标人可就本招标项目上述标段中的</w:t>
            </w:r>
            <w:r>
              <w:rPr>
                <w:rFonts w:hint="eastAsia" w:ascii="宋体" w:hAnsi="宋体"/>
                <w:color w:val="000000"/>
                <w:szCs w:val="21"/>
                <w:u w:val="single"/>
              </w:rPr>
              <w:t xml:space="preserve"> </w:t>
            </w:r>
            <w:r>
              <w:rPr>
                <w:rFonts w:ascii="宋体" w:hAnsi="宋体"/>
                <w:color w:val="000000"/>
                <w:szCs w:val="21"/>
                <w:u w:val="single"/>
              </w:rPr>
              <w:t>5</w:t>
            </w:r>
            <w:r>
              <w:rPr>
                <w:rFonts w:hint="eastAsia" w:ascii="宋体" w:hAnsi="宋体"/>
                <w:color w:val="000000"/>
                <w:szCs w:val="21"/>
                <w:u w:val="single"/>
              </w:rPr>
              <w:t xml:space="preserve"> </w:t>
            </w:r>
            <w:r>
              <w:rPr>
                <w:rFonts w:hint="eastAsia" w:ascii="宋体" w:hAnsi="宋体"/>
                <w:color w:val="000000"/>
                <w:szCs w:val="21"/>
              </w:rPr>
              <w:t>个标段投标，采购人按下列原则选择中标人：</w:t>
            </w:r>
          </w:p>
          <w:p>
            <w:pPr>
              <w:adjustRightInd w:val="0"/>
              <w:snapToGrid w:val="0"/>
              <w:spacing w:line="276" w:lineRule="auto"/>
              <w:ind w:left="210" w:leftChars="100"/>
              <w:rPr>
                <w:rFonts w:ascii="宋体" w:hAnsi="宋体"/>
                <w:color w:val="0D0D0D"/>
                <w:szCs w:val="21"/>
              </w:rPr>
            </w:pPr>
            <w:r>
              <w:rPr>
                <w:rFonts w:ascii="Wingdings 2" w:hAnsi="Wingdings 2"/>
                <w:szCs w:val="21"/>
              </w:rPr>
              <w:t></w:t>
            </w:r>
            <w:r>
              <w:rPr>
                <w:rFonts w:hint="eastAsia" w:ascii="宋体" w:hAnsi="宋体"/>
                <w:color w:val="0D0D0D"/>
                <w:szCs w:val="21"/>
              </w:rPr>
              <w:t>采购人按标段择优选择中标人，同一投标人可多投多中。</w:t>
            </w:r>
          </w:p>
          <w:p>
            <w:pPr>
              <w:adjustRightInd w:val="0"/>
              <w:snapToGrid w:val="0"/>
              <w:spacing w:line="276" w:lineRule="auto"/>
              <w:ind w:left="210" w:leftChars="100"/>
              <w:rPr>
                <w:rFonts w:ascii="宋体" w:hAnsi="宋体"/>
                <w:color w:val="0D0D0D"/>
                <w:szCs w:val="21"/>
              </w:rPr>
            </w:pPr>
            <w:r>
              <w:rPr>
                <w:rFonts w:ascii="Wingdings 2" w:hAnsi="Wingdings 2"/>
                <w:szCs w:val="21"/>
              </w:rPr>
              <w:t></w:t>
            </w:r>
            <w:r>
              <w:rPr>
                <w:rFonts w:hint="eastAsia" w:ascii="宋体" w:hAnsi="宋体"/>
                <w:color w:val="0D0D0D"/>
                <w:szCs w:val="21"/>
              </w:rPr>
              <w:t>投标人最多只允许中标</w:t>
            </w:r>
            <w:r>
              <w:rPr>
                <w:rFonts w:hint="eastAsia" w:ascii="宋体" w:hAnsi="宋体"/>
                <w:color w:val="000000"/>
                <w:szCs w:val="21"/>
                <w:u w:val="single"/>
              </w:rPr>
              <w:t xml:space="preserve">   </w:t>
            </w:r>
            <w:r>
              <w:rPr>
                <w:rFonts w:hint="eastAsia" w:ascii="宋体" w:hAnsi="宋体"/>
                <w:color w:val="0D0D0D"/>
                <w:szCs w:val="21"/>
              </w:rPr>
              <w:t>个标段，如果同一投标人在多个标段中均排序第一，推荐中标候选人顺序为：</w:t>
            </w:r>
          </w:p>
          <w:p>
            <w:pPr>
              <w:adjustRightInd w:val="0"/>
              <w:snapToGrid w:val="0"/>
              <w:spacing w:line="276" w:lineRule="auto"/>
              <w:ind w:left="420" w:leftChars="200"/>
              <w:rPr>
                <w:rFonts w:ascii="宋体" w:hAnsi="宋体"/>
                <w:color w:val="0D0D0D"/>
                <w:szCs w:val="21"/>
              </w:rPr>
            </w:pPr>
            <w:r>
              <w:rPr>
                <w:rFonts w:ascii="Wingdings 2" w:hAnsi="Wingdings 2"/>
                <w:szCs w:val="21"/>
              </w:rPr>
              <w:t></w:t>
            </w:r>
            <w:r>
              <w:rPr>
                <w:rFonts w:hint="eastAsia" w:ascii="宋体" w:hAnsi="宋体"/>
                <w:color w:val="0D0D0D"/>
                <w:szCs w:val="21"/>
              </w:rPr>
              <w:t>按照标段顺序，投标人在前面标段被推荐为第一中标候选人后，所投其他标段将不再被推荐为中标候选人。</w:t>
            </w:r>
          </w:p>
          <w:p>
            <w:pPr>
              <w:adjustRightInd w:val="0"/>
              <w:snapToGrid w:val="0"/>
              <w:spacing w:line="276" w:lineRule="auto"/>
              <w:ind w:left="420" w:leftChars="200"/>
              <w:rPr>
                <w:rFonts w:ascii="宋体" w:hAnsi="宋体"/>
                <w:color w:val="0D0D0D"/>
                <w:szCs w:val="21"/>
              </w:rPr>
            </w:pPr>
            <w:r>
              <w:rPr>
                <w:rFonts w:ascii="Wingdings 2" w:hAnsi="Wingdings 2"/>
                <w:szCs w:val="21"/>
              </w:rPr>
              <w:t></w:t>
            </w:r>
            <w:r>
              <w:rPr>
                <w:rFonts w:hint="eastAsia" w:ascii="宋体" w:hAnsi="宋体"/>
                <w:color w:val="0D0D0D"/>
                <w:szCs w:val="21"/>
              </w:rPr>
              <w:t>按照标段招标控制价（预算金额）从大到小的顺序，投标人在招标控制价大的标段被推荐为第一中标候选人后，所投其他标段将不再被推荐为中标候选人。</w:t>
            </w:r>
          </w:p>
          <w:p>
            <w:pPr>
              <w:adjustRightInd w:val="0"/>
              <w:snapToGrid w:val="0"/>
              <w:spacing w:line="276" w:lineRule="auto"/>
              <w:ind w:left="420" w:leftChars="200"/>
              <w:rPr>
                <w:rFonts w:ascii="宋体" w:hAnsi="宋体"/>
                <w:color w:val="0D0D0D"/>
                <w:szCs w:val="21"/>
              </w:rPr>
            </w:pPr>
            <w:r>
              <w:rPr>
                <w:rFonts w:ascii="Wingdings 2" w:hAnsi="Wingdings 2"/>
                <w:szCs w:val="21"/>
              </w:rPr>
              <w:t></w:t>
            </w:r>
            <w:r>
              <w:rPr>
                <w:rFonts w:hint="eastAsia" w:ascii="宋体" w:hAnsi="宋体"/>
                <w:color w:val="0D0D0D"/>
                <w:szCs w:val="21"/>
              </w:rPr>
              <w:t>按照投标人事先承诺的接受中标顺序推荐中标候选人。</w:t>
            </w:r>
          </w:p>
          <w:p>
            <w:pPr>
              <w:adjustRightInd w:val="0"/>
              <w:snapToGrid w:val="0"/>
              <w:spacing w:line="276" w:lineRule="auto"/>
              <w:ind w:left="420" w:leftChars="200"/>
              <w:rPr>
                <w:rFonts w:ascii="宋体" w:hAnsi="宋体"/>
                <w:color w:val="0D0D0D"/>
                <w:szCs w:val="21"/>
              </w:rPr>
            </w:pPr>
            <w:r>
              <w:rPr>
                <w:rFonts w:hint="eastAsia" w:ascii="宋体" w:hAnsi="宋体"/>
                <w:szCs w:val="21"/>
              </w:rPr>
              <w:sym w:font="Wingdings 2" w:char="F0A3"/>
            </w:r>
            <w:r>
              <w:rPr>
                <w:rFonts w:hint="eastAsia" w:ascii="宋体" w:hAnsi="宋体"/>
                <w:szCs w:val="21"/>
              </w:rPr>
              <w:t>其他</w:t>
            </w:r>
            <w:r>
              <w:rPr>
                <w:rFonts w:ascii="宋体" w:hAnsi="宋体"/>
                <w:szCs w:val="21"/>
              </w:rPr>
              <w:t>：</w:t>
            </w:r>
            <w:r>
              <w:rPr>
                <w:rFonts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3</w:t>
            </w:r>
            <w:r>
              <w:rPr>
                <w:rFonts w:ascii="宋体" w:hAnsi="宋体"/>
                <w:szCs w:val="21"/>
              </w:rPr>
              <w:t>0</w:t>
            </w:r>
            <w:r>
              <w:rPr>
                <w:rFonts w:hint="eastAsia" w:ascii="宋体" w:hAnsi="宋体"/>
                <w:szCs w:val="21"/>
              </w:rPr>
              <w:t>.1</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cs="宋体"/>
                <w:szCs w:val="21"/>
              </w:rPr>
              <w:t>履约保证金</w:t>
            </w:r>
          </w:p>
        </w:tc>
        <w:tc>
          <w:tcPr>
            <w:tcW w:w="6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szCs w:val="21"/>
                <w:lang w:val="zh-CN"/>
              </w:rPr>
            </w:pPr>
            <w:r>
              <w:rPr>
                <w:rFonts w:ascii="Wingdings 2" w:hAnsi="Wingdings 2"/>
                <w:szCs w:val="21"/>
                <w:lang w:val="zh-CN"/>
              </w:rPr>
              <w:t></w:t>
            </w:r>
            <w:r>
              <w:rPr>
                <w:rFonts w:hint="eastAsia" w:ascii="宋体" w:hAnsi="宋体"/>
                <w:szCs w:val="21"/>
                <w:lang w:val="zh-CN"/>
              </w:rPr>
              <w:t xml:space="preserve">不需要 </w:t>
            </w:r>
          </w:p>
          <w:p>
            <w:pPr>
              <w:adjustRightInd w:val="0"/>
              <w:snapToGrid w:val="0"/>
              <w:spacing w:line="276" w:lineRule="auto"/>
              <w:rPr>
                <w:rFonts w:ascii="宋体" w:hAnsi="宋体"/>
                <w:szCs w:val="21"/>
                <w:lang w:val="zh-CN"/>
              </w:rPr>
            </w:pPr>
            <w:r>
              <w:rPr>
                <w:rFonts w:ascii="Wingdings 2" w:hAnsi="Wingdings 2"/>
                <w:szCs w:val="21"/>
                <w:lang w:val="zh-CN"/>
              </w:rPr>
              <w:t></w:t>
            </w:r>
            <w:r>
              <w:rPr>
                <w:rFonts w:hint="eastAsia" w:ascii="宋体" w:hAnsi="宋体"/>
                <w:szCs w:val="21"/>
                <w:lang w:val="zh-CN"/>
              </w:rPr>
              <w:t>需要</w:t>
            </w:r>
          </w:p>
          <w:p>
            <w:pPr>
              <w:adjustRightInd w:val="0"/>
              <w:snapToGrid w:val="0"/>
              <w:spacing w:line="276" w:lineRule="auto"/>
              <w:ind w:firstLine="315" w:firstLineChars="150"/>
              <w:rPr>
                <w:rFonts w:ascii="宋体" w:hAnsi="宋体"/>
                <w:szCs w:val="21"/>
                <w:lang w:val="zh-CN"/>
              </w:rPr>
            </w:pPr>
            <w:r>
              <w:rPr>
                <w:rFonts w:hint="eastAsia" w:ascii="宋体" w:hAnsi="宋体"/>
                <w:szCs w:val="21"/>
                <w:lang w:val="zh-CN"/>
              </w:rPr>
              <w:t>履约保证金金额：</w:t>
            </w:r>
            <w:r>
              <w:rPr>
                <w:rFonts w:hint="eastAsia" w:ascii="宋体" w:hAnsi="宋体"/>
                <w:iCs/>
                <w:color w:val="000000"/>
                <w:szCs w:val="21"/>
                <w:u w:val="single"/>
                <w:lang w:val="zh-CN"/>
              </w:rPr>
              <w:t>详见付款方式</w:t>
            </w:r>
            <w:r>
              <w:rPr>
                <w:rFonts w:hint="eastAsia" w:ascii="宋体" w:hAnsi="宋体"/>
                <w:szCs w:val="21"/>
                <w:u w:val="single"/>
                <w:lang w:val="zh-CN"/>
              </w:rPr>
              <w:t xml:space="preserve"> </w:t>
            </w:r>
          </w:p>
          <w:p>
            <w:pPr>
              <w:adjustRightInd w:val="0"/>
              <w:snapToGrid w:val="0"/>
              <w:spacing w:line="276" w:lineRule="auto"/>
              <w:ind w:firstLine="315" w:firstLineChars="150"/>
              <w:jc w:val="left"/>
              <w:rPr>
                <w:rFonts w:ascii="宋体" w:hAnsi="宋体"/>
                <w:szCs w:val="21"/>
                <w:lang w:val="zh-CN"/>
              </w:rPr>
            </w:pPr>
            <w:r>
              <w:rPr>
                <w:rFonts w:hint="eastAsia" w:ascii="宋体" w:hAnsi="宋体"/>
                <w:szCs w:val="21"/>
                <w:lang w:val="zh-CN"/>
              </w:rPr>
              <w:t>履约保证金形式：</w:t>
            </w:r>
            <w:r>
              <w:rPr>
                <w:rFonts w:hint="eastAsia" w:ascii="宋体" w:hAnsi="宋体"/>
                <w:iCs/>
                <w:color w:val="000000"/>
                <w:szCs w:val="21"/>
                <w:u w:val="single"/>
                <w:lang w:val="zh-CN"/>
              </w:rPr>
              <w:t>详见付款方式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363"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3</w:t>
            </w:r>
            <w:r>
              <w:rPr>
                <w:rFonts w:ascii="宋体" w:hAnsi="宋体"/>
                <w:szCs w:val="21"/>
              </w:rPr>
              <w:t>0</w:t>
            </w:r>
            <w:r>
              <w:rPr>
                <w:rFonts w:hint="eastAsia" w:ascii="宋体" w:hAnsi="宋体"/>
                <w:szCs w:val="21"/>
              </w:rPr>
              <w:t>.5</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s="宋体"/>
                <w:szCs w:val="21"/>
              </w:rPr>
            </w:pPr>
            <w:r>
              <w:rPr>
                <w:rFonts w:hint="eastAsia" w:ascii="宋体" w:hAnsi="宋体"/>
                <w:szCs w:val="21"/>
                <w:lang w:val="zh-CN"/>
              </w:rPr>
              <w:t>付款方式</w:t>
            </w:r>
          </w:p>
        </w:tc>
        <w:tc>
          <w:tcPr>
            <w:tcW w:w="6958"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eastAsia="宋体"/>
                <w:kern w:val="2"/>
                <w:sz w:val="21"/>
                <w:szCs w:val="21"/>
                <w:lang w:eastAsia="zh-CN"/>
              </w:rPr>
            </w:pPr>
            <w:r>
              <w:rPr>
                <w:rFonts w:ascii="宋体" w:hAnsi="宋体" w:eastAsia="宋体"/>
                <w:kern w:val="2"/>
                <w:sz w:val="21"/>
                <w:szCs w:val="21"/>
                <w:lang w:eastAsia="zh-CN"/>
              </w:rPr>
              <w:t>国产设备：在货物验收合格后七个工作日内，乙方将合同总金额的10%作为履约保证金，以支票形式提交给甲方，甲方支付合同总金额的100%。甲方在验收合格使用半年后7个工作日内，退还乙方的履约保证金。</w:t>
            </w:r>
          </w:p>
          <w:p>
            <w:pPr>
              <w:pStyle w:val="2"/>
              <w:rPr>
                <w:lang w:eastAsia="zh-CN"/>
              </w:rPr>
            </w:pPr>
            <w:r>
              <w:rPr>
                <w:rFonts w:hint="eastAsia" w:ascii="宋体" w:hAnsi="宋体" w:eastAsia="宋体"/>
                <w:kern w:val="2"/>
                <w:sz w:val="21"/>
                <w:szCs w:val="21"/>
                <w:lang w:eastAsia="zh-CN"/>
              </w:rPr>
              <w:t>进口设备：采用信用证付款方式（L/C）。甲乙双方签订本协议后，乙方按照签订协议当天的汇率，将协议价款10%支付至学校财务基本账户（设备验收合格后一个月退回乙方）。甲方委托的外贸代理公司与乙方委托的境外供货商签订外贸进口合同后，甲方外贸代理公司开具100%信用证，见单即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866" w:type="dxa"/>
            <w:tcBorders>
              <w:top w:val="single" w:color="auto" w:sz="4" w:space="0"/>
              <w:left w:val="single" w:color="auto" w:sz="4" w:space="0"/>
              <w:bottom w:val="single" w:color="auto" w:sz="4" w:space="0"/>
              <w:right w:val="single" w:color="auto" w:sz="4" w:space="0"/>
            </w:tcBorders>
            <w:vAlign w:val="center"/>
          </w:tcPr>
          <w:p>
            <w:pPr>
              <w:tabs>
                <w:tab w:val="left" w:pos="130"/>
              </w:tabs>
              <w:adjustRightInd w:val="0"/>
              <w:snapToGrid w:val="0"/>
              <w:spacing w:line="276" w:lineRule="auto"/>
              <w:ind w:right="57"/>
              <w:jc w:val="center"/>
              <w:rPr>
                <w:rFonts w:ascii="宋体" w:hAnsi="宋体"/>
                <w:szCs w:val="21"/>
              </w:rPr>
            </w:pPr>
            <w:r>
              <w:rPr>
                <w:rFonts w:hint="eastAsia" w:ascii="宋体" w:hAnsi="宋体"/>
                <w:szCs w:val="21"/>
              </w:rPr>
              <w:t>3</w:t>
            </w:r>
            <w:r>
              <w:rPr>
                <w:rFonts w:ascii="宋体" w:hAnsi="宋体"/>
                <w:szCs w:val="21"/>
              </w:rPr>
              <w:t>2</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质疑提交</w:t>
            </w:r>
          </w:p>
        </w:tc>
        <w:tc>
          <w:tcPr>
            <w:tcW w:w="6958"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olor w:val="0D0D0D"/>
                <w:szCs w:val="21"/>
              </w:rPr>
            </w:pPr>
            <w:r>
              <w:rPr>
                <w:rFonts w:hint="eastAsia" w:ascii="宋体" w:hAnsi="宋体" w:cs="宋体"/>
                <w:bCs/>
                <w:color w:val="000000"/>
                <w:szCs w:val="21"/>
              </w:rPr>
              <w:t>质疑</w:t>
            </w:r>
            <w:r>
              <w:rPr>
                <w:rFonts w:hint="eastAsia" w:ascii="宋体" w:hAnsi="宋体"/>
                <w:szCs w:val="21"/>
                <w:lang w:val="zh-CN"/>
              </w:rPr>
              <w:t>时应提交书面质疑函一份</w:t>
            </w:r>
            <w:r>
              <w:rPr>
                <w:rFonts w:hint="eastAsia" w:ascii="宋体" w:hAnsi="宋体"/>
                <w:szCs w:val="21"/>
              </w:rPr>
              <w:t>（</w:t>
            </w:r>
            <w:r>
              <w:rPr>
                <w:rFonts w:hint="eastAsia" w:ascii="宋体" w:hAnsi="宋体"/>
                <w:szCs w:val="21"/>
                <w:lang w:val="zh-CN"/>
              </w:rPr>
              <w:t>法定代表人</w:t>
            </w:r>
            <w:r>
              <w:rPr>
                <w:rFonts w:hint="eastAsia"/>
                <w:bCs/>
                <w:szCs w:val="21"/>
              </w:rPr>
              <w:t>签名</w:t>
            </w:r>
            <w:r>
              <w:rPr>
                <w:rFonts w:hint="eastAsia" w:ascii="宋体" w:hAnsi="宋体"/>
                <w:szCs w:val="21"/>
                <w:lang w:val="zh-CN"/>
              </w:rPr>
              <w:t>、加盖单位公章</w:t>
            </w:r>
            <w:r>
              <w:rPr>
                <w:rFonts w:hint="eastAsia" w:ascii="宋体" w:hAnsi="宋体"/>
                <w:szCs w:val="21"/>
              </w:rPr>
              <w:t>），</w:t>
            </w:r>
            <w:r>
              <w:rPr>
                <w:rFonts w:hint="eastAsia" w:ascii="宋体" w:hAnsi="宋体"/>
                <w:szCs w:val="21"/>
                <w:lang w:val="zh-CN"/>
              </w:rPr>
              <w:t>并附相关证据材料</w:t>
            </w:r>
            <w:r>
              <w:rPr>
                <w:rFonts w:hint="eastAsia" w:ascii="宋体" w:hAnsi="宋体"/>
                <w:szCs w:val="21"/>
              </w:rPr>
              <w:t>。</w:t>
            </w:r>
            <w:r>
              <w:rPr>
                <w:rFonts w:hint="eastAsia" w:ascii="宋体" w:hAnsi="宋体"/>
                <w:szCs w:val="21"/>
                <w:lang w:val="zh-CN"/>
              </w:rPr>
              <w:t>联系电话</w:t>
            </w:r>
            <w:r>
              <w:rPr>
                <w:rFonts w:hint="eastAsia" w:ascii="宋体" w:hAnsi="宋体"/>
                <w:szCs w:val="21"/>
              </w:rPr>
              <w:t>：</w:t>
            </w:r>
            <w:r>
              <w:rPr>
                <w:rFonts w:hint="eastAsia" w:ascii="宋体" w:hAnsi="宋体"/>
                <w:szCs w:val="21"/>
                <w:u w:val="single"/>
              </w:rPr>
              <w:t>027-8727</w:t>
            </w:r>
            <w:r>
              <w:rPr>
                <w:rFonts w:ascii="宋体" w:hAnsi="宋体"/>
                <w:szCs w:val="21"/>
                <w:u w:val="single"/>
              </w:rPr>
              <w:t>2701</w:t>
            </w:r>
            <w:r>
              <w:rPr>
                <w:rFonts w:hint="eastAsia" w:ascii="宋体" w:hAnsi="宋体"/>
                <w:szCs w:val="21"/>
                <w:u w:val="single"/>
              </w:rPr>
              <w:t xml:space="preserve"> </w:t>
            </w:r>
            <w:r>
              <w:rPr>
                <w:rFonts w:hint="eastAsia" w:ascii="宋体" w:hAnsi="宋体"/>
                <w:szCs w:val="21"/>
                <w:lang w:val="zh-CN"/>
              </w:rPr>
              <w:t>，邮箱：</w:t>
            </w:r>
            <w:r>
              <w:rPr>
                <w:rFonts w:hint="eastAsia" w:ascii="宋体" w:hAnsi="宋体" w:eastAsia="宋体" w:cs="宋体"/>
                <w:color w:val="000000"/>
                <w:szCs w:val="21"/>
                <w:highlight w:val="none"/>
                <w:u w:val="single"/>
                <w:lang w:val="en-US" w:eastAsia="zh-CN"/>
              </w:rPr>
              <w:t>918151401</w:t>
            </w:r>
            <w:r>
              <w:rPr>
                <w:rFonts w:ascii="宋体" w:hAnsi="宋体"/>
                <w:color w:val="000000"/>
                <w:szCs w:val="21"/>
                <w:u w:val="single"/>
              </w:rPr>
              <w:t>@qq.com</w:t>
            </w:r>
            <w:r>
              <w:rPr>
                <w:rFonts w:hint="eastAsia" w:ascii="宋体" w:hAnsi="宋体"/>
                <w:szCs w:val="21"/>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20" w:hRule="atLeast"/>
        </w:trPr>
        <w:tc>
          <w:tcPr>
            <w:tcW w:w="239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szCs w:val="21"/>
              </w:rPr>
            </w:pPr>
            <w:r>
              <w:rPr>
                <w:rFonts w:hint="eastAsia" w:ascii="宋体" w:hAnsi="宋体"/>
                <w:szCs w:val="21"/>
              </w:rPr>
              <w:t>其他</w:t>
            </w:r>
          </w:p>
        </w:tc>
        <w:tc>
          <w:tcPr>
            <w:tcW w:w="6958" w:type="dxa"/>
            <w:tcBorders>
              <w:top w:val="single" w:color="auto" w:sz="4" w:space="0"/>
              <w:left w:val="single" w:color="auto" w:sz="4" w:space="0"/>
              <w:bottom w:val="single" w:color="auto" w:sz="4" w:space="0"/>
              <w:right w:val="single" w:color="auto" w:sz="4" w:space="0"/>
            </w:tcBorders>
            <w:vAlign w:val="center"/>
          </w:tcPr>
          <w:p>
            <w:pPr>
              <w:spacing w:line="276" w:lineRule="auto"/>
              <w:ind w:firstLine="315" w:firstLineChars="150"/>
              <w:rPr>
                <w:rFonts w:ascii="宋体" w:hAnsi="宋体" w:cs="宋体"/>
                <w:bCs/>
                <w:color w:val="000000"/>
                <w:szCs w:val="21"/>
              </w:rPr>
            </w:pPr>
            <w:r>
              <w:rPr>
                <w:rFonts w:hint="eastAsia" w:ascii="宋体" w:hAnsi="宋体" w:cs="宋体"/>
                <w:bCs/>
                <w:szCs w:val="21"/>
              </w:rPr>
              <w:t>/</w:t>
            </w:r>
          </w:p>
        </w:tc>
      </w:tr>
    </w:tbl>
    <w:p>
      <w:pPr>
        <w:spacing w:line="276" w:lineRule="auto"/>
        <w:rPr>
          <w:rFonts w:hint="eastAsia" w:ascii="宋体" w:hAnsi="宋体" w:eastAsia="宋体" w:cs="宋体"/>
          <w:b/>
          <w:szCs w:val="21"/>
        </w:rPr>
      </w:pPr>
      <w:r>
        <w:rPr>
          <w:rFonts w:hint="eastAsia" w:ascii="宋体" w:hAnsi="宋体" w:eastAsia="宋体" w:cs="宋体"/>
          <w:b/>
          <w:snapToGrid w:val="0"/>
          <w:kern w:val="0"/>
          <w:szCs w:val="21"/>
          <w:lang w:val="zh-CN"/>
        </w:rPr>
        <w:t>注意：投标人应随时关注第一章招标公告（投标邀请书）中指定网站发布的本招标项目的相关信息（答疑、澄清、通知公告等）。</w:t>
      </w:r>
    </w:p>
    <w:p>
      <w:pPr>
        <w:spacing w:line="276" w:lineRule="auto"/>
        <w:rPr>
          <w:rFonts w:hint="eastAsia" w:ascii="宋体" w:hAnsi="宋体" w:eastAsia="宋体" w:cs="宋体"/>
          <w:snapToGrid w:val="0"/>
          <w:kern w:val="0"/>
          <w:szCs w:val="21"/>
          <w:lang w:val="zh-CN"/>
        </w:rPr>
      </w:pPr>
      <w:r>
        <w:rPr>
          <w:rFonts w:hint="eastAsia" w:ascii="宋体" w:hAnsi="宋体" w:eastAsia="宋体" w:cs="宋体"/>
          <w:snapToGrid w:val="0"/>
          <w:kern w:val="0"/>
          <w:szCs w:val="21"/>
          <w:lang w:val="zh-CN"/>
        </w:rPr>
        <w:t>补充说明：</w:t>
      </w:r>
    </w:p>
    <w:p>
      <w:pPr>
        <w:autoSpaceDE w:val="0"/>
        <w:autoSpaceDN w:val="0"/>
        <w:snapToGrid w:val="0"/>
        <w:spacing w:line="276" w:lineRule="auto"/>
        <w:ind w:firstLine="420" w:firstLineChars="200"/>
        <w:jc w:val="left"/>
        <w:rPr>
          <w:rFonts w:hint="eastAsia" w:ascii="宋体" w:hAnsi="宋体" w:eastAsia="宋体" w:cs="宋体"/>
          <w:szCs w:val="21"/>
        </w:rPr>
      </w:pPr>
      <w:r>
        <w:rPr>
          <w:rFonts w:hint="eastAsia" w:ascii="宋体" w:hAnsi="宋体" w:eastAsia="宋体" w:cs="宋体"/>
          <w:szCs w:val="21"/>
        </w:rPr>
        <w:t>1）除本招标文件另有规定外，招标文件中出现的类似于“近三年”或“ 前三年”、“近五年”或“前五年”均指递交投标文件时间以前3年或前5年，以此类推。如：递交投标文件时间为2018年12月1日，则“近三年”是指2015年12月1日至2018年11月30日。</w:t>
      </w:r>
    </w:p>
    <w:p>
      <w:pPr>
        <w:autoSpaceDE w:val="0"/>
        <w:autoSpaceDN w:val="0"/>
        <w:snapToGrid w:val="0"/>
        <w:spacing w:line="276" w:lineRule="auto"/>
        <w:ind w:firstLine="420" w:firstLineChars="200"/>
        <w:jc w:val="left"/>
        <w:rPr>
          <w:rFonts w:hint="eastAsia" w:ascii="宋体" w:hAnsi="宋体" w:eastAsia="宋体" w:cs="宋体"/>
          <w:szCs w:val="21"/>
        </w:rPr>
      </w:pPr>
      <w:r>
        <w:rPr>
          <w:rFonts w:hint="eastAsia" w:ascii="宋体" w:hAnsi="宋体" w:eastAsia="宋体" w:cs="宋体"/>
          <w:szCs w:val="21"/>
        </w:rPr>
        <w:t>2）关于提交经审计的财务报告的年份要求：递交投标文件时间如在当年6月30日以前，则近三年指上上个年度往前推算的三年，如递交投标文件时间为2018年6月9日，则“近三年”是指2014年度、2015年度、2016年度。</w:t>
      </w:r>
    </w:p>
    <w:p>
      <w:pPr>
        <w:autoSpaceDE w:val="0"/>
        <w:autoSpaceDN w:val="0"/>
        <w:snapToGrid w:val="0"/>
        <w:spacing w:line="276" w:lineRule="auto"/>
        <w:ind w:firstLine="420" w:firstLineChars="200"/>
        <w:jc w:val="left"/>
        <w:rPr>
          <w:rFonts w:hint="eastAsia" w:ascii="宋体" w:hAnsi="宋体" w:eastAsia="宋体" w:cs="宋体"/>
          <w:szCs w:val="21"/>
        </w:rPr>
      </w:pPr>
      <w:r>
        <w:rPr>
          <w:rFonts w:hint="eastAsia" w:ascii="宋体" w:hAnsi="宋体" w:eastAsia="宋体" w:cs="宋体"/>
          <w:szCs w:val="21"/>
        </w:rPr>
        <w:t>递交投标文件时间如在当年6月30日以后，则近三年是指上个年度往前推算的3年，如递交投标文件时间为2018年12月1日，则“近三年”是指2015年度、2016年度、2017年度。</w:t>
      </w:r>
    </w:p>
    <w:p>
      <w:pPr>
        <w:autoSpaceDE w:val="0"/>
        <w:autoSpaceDN w:val="0"/>
        <w:snapToGrid w:val="0"/>
        <w:spacing w:line="276" w:lineRule="auto"/>
        <w:ind w:firstLine="420" w:firstLineChars="200"/>
        <w:jc w:val="left"/>
        <w:rPr>
          <w:rFonts w:hint="eastAsia" w:ascii="宋体" w:hAnsi="宋体" w:eastAsia="宋体" w:cs="宋体"/>
          <w:szCs w:val="21"/>
        </w:rPr>
      </w:pPr>
      <w:r>
        <w:rPr>
          <w:rFonts w:hint="eastAsia" w:ascii="宋体" w:hAnsi="宋体" w:eastAsia="宋体" w:cs="宋体"/>
          <w:szCs w:val="21"/>
        </w:rPr>
        <w:t>3）本招标文件所称的“以上”、“以下”、“内”、“以内”，均包括本数；所称的“不足”，不包括本数。</w:t>
      </w:r>
    </w:p>
    <w:p>
      <w:pPr>
        <w:autoSpaceDE w:val="0"/>
        <w:autoSpaceDN w:val="0"/>
        <w:snapToGrid w:val="0"/>
        <w:spacing w:line="276" w:lineRule="auto"/>
        <w:ind w:firstLine="420" w:firstLineChars="200"/>
        <w:jc w:val="left"/>
        <w:rPr>
          <w:rFonts w:hint="eastAsia" w:ascii="宋体" w:hAnsi="宋体" w:eastAsia="宋体" w:cs="宋体"/>
          <w:szCs w:val="21"/>
        </w:rPr>
      </w:pPr>
      <w:r>
        <w:rPr>
          <w:rFonts w:hint="eastAsia" w:ascii="宋体" w:hAnsi="宋体" w:eastAsia="宋体" w:cs="宋体"/>
          <w:szCs w:val="21"/>
        </w:rPr>
        <w:t>4）《投标人须知前附表》中，“</w:t>
      </w:r>
      <w:r>
        <w:rPr>
          <w:rFonts w:hint="eastAsia" w:ascii="宋体" w:hAnsi="宋体" w:eastAsia="宋体" w:cs="宋体"/>
        </w:rPr>
        <w:fldChar w:fldCharType="begin"/>
      </w:r>
      <w:r>
        <w:rPr>
          <w:rFonts w:hint="eastAsia" w:ascii="宋体" w:hAnsi="宋体" w:eastAsia="宋体" w:cs="宋体"/>
          <w:bCs/>
          <w:szCs w:val="21"/>
        </w:rPr>
        <w:instrText xml:space="preserve"> eq \o\ac(□,√)</w:instrText>
      </w:r>
      <w:r>
        <w:rPr>
          <w:rFonts w:hint="eastAsia" w:ascii="宋体" w:hAnsi="宋体" w:eastAsia="宋体" w:cs="宋体"/>
        </w:rPr>
        <w:fldChar w:fldCharType="end"/>
      </w:r>
      <w:r>
        <w:rPr>
          <w:rFonts w:hint="eastAsia" w:ascii="宋体" w:hAnsi="宋体" w:eastAsia="宋体" w:cs="宋体"/>
          <w:szCs w:val="21"/>
        </w:rPr>
        <w:t>”代表选中，“□”代表未选中。</w:t>
      </w:r>
    </w:p>
    <w:p>
      <w:pPr>
        <w:autoSpaceDE w:val="0"/>
        <w:autoSpaceDN w:val="0"/>
        <w:snapToGrid w:val="0"/>
        <w:spacing w:line="276" w:lineRule="auto"/>
        <w:jc w:val="left"/>
        <w:outlineLvl w:val="1"/>
        <w:rPr>
          <w:rFonts w:hint="eastAsia" w:ascii="宋体" w:hAnsi="宋体" w:eastAsia="宋体" w:cs="宋体"/>
          <w:b/>
          <w:bCs/>
          <w:szCs w:val="21"/>
          <w:lang w:val="zh-CN"/>
        </w:rPr>
      </w:pPr>
      <w:r>
        <w:rPr>
          <w:rFonts w:hint="eastAsia" w:ascii="宋体" w:hAnsi="宋体" w:eastAsia="宋体" w:cs="宋体"/>
          <w:b/>
          <w:bCs/>
          <w:kern w:val="0"/>
          <w:szCs w:val="21"/>
          <w:lang w:val="zh-CN"/>
        </w:rPr>
        <w:br w:type="page"/>
      </w:r>
      <w:bookmarkStart w:id="13" w:name="_Toc97814997"/>
      <w:bookmarkStart w:id="14" w:name="_Toc31467"/>
      <w:r>
        <w:rPr>
          <w:rFonts w:hint="eastAsia" w:ascii="宋体" w:hAnsi="宋体" w:eastAsia="宋体" w:cs="宋体"/>
          <w:b/>
          <w:bCs/>
          <w:szCs w:val="21"/>
          <w:lang w:val="zh-CN"/>
        </w:rPr>
        <w:t>投标人须知</w:t>
      </w:r>
      <w:bookmarkEnd w:id="13"/>
      <w:bookmarkEnd w:id="14"/>
    </w:p>
    <w:p>
      <w:pPr>
        <w:keepNext/>
        <w:keepLines/>
        <w:numPr>
          <w:ilvl w:val="0"/>
          <w:numId w:val="8"/>
        </w:numPr>
        <w:spacing w:line="276" w:lineRule="auto"/>
        <w:ind w:left="426" w:hanging="426"/>
        <w:jc w:val="left"/>
        <w:outlineLvl w:val="1"/>
        <w:rPr>
          <w:rFonts w:hint="eastAsia" w:ascii="宋体" w:hAnsi="宋体" w:eastAsia="宋体" w:cs="宋体"/>
          <w:b/>
          <w:kern w:val="0"/>
          <w:szCs w:val="21"/>
          <w:lang w:val="zh-CN"/>
        </w:rPr>
      </w:pPr>
      <w:bookmarkStart w:id="15" w:name="_Toc19701"/>
      <w:bookmarkStart w:id="16" w:name="_Toc97814998"/>
      <w:r>
        <w:rPr>
          <w:rFonts w:hint="eastAsia" w:ascii="宋体" w:hAnsi="宋体" w:eastAsia="宋体" w:cs="宋体"/>
          <w:b/>
          <w:kern w:val="0"/>
          <w:szCs w:val="21"/>
          <w:lang w:val="zh-CN"/>
        </w:rPr>
        <w:t>说明</w:t>
      </w:r>
      <w:bookmarkEnd w:id="12"/>
      <w:bookmarkEnd w:id="15"/>
      <w:bookmarkEnd w:id="16"/>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适用范围</w:t>
      </w:r>
    </w:p>
    <w:p>
      <w:pPr>
        <w:spacing w:line="276"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招标文件仅适用于第一章“招标公告（投标邀请书）”中所述项目的货物、工程及服务的采购。</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定义</w:t>
      </w:r>
    </w:p>
    <w:p>
      <w:pPr>
        <w:numPr>
          <w:ilvl w:val="0"/>
          <w:numId w:val="10"/>
        </w:numPr>
        <w:spacing w:line="276" w:lineRule="auto"/>
        <w:ind w:left="476" w:hanging="476"/>
        <w:rPr>
          <w:rFonts w:hint="eastAsia" w:ascii="宋体" w:hAnsi="宋体" w:eastAsia="宋体" w:cs="宋体"/>
          <w:szCs w:val="21"/>
          <w:lang w:val="zh-CN"/>
        </w:rPr>
      </w:pPr>
      <w:r>
        <w:rPr>
          <w:rFonts w:hint="eastAsia" w:ascii="宋体" w:hAnsi="宋体" w:eastAsia="宋体" w:cs="宋体"/>
          <w:b/>
          <w:szCs w:val="21"/>
          <w:lang w:val="zh-CN"/>
        </w:rPr>
        <w:t>“采购人”是指：</w:t>
      </w:r>
      <w:r>
        <w:rPr>
          <w:rFonts w:hint="eastAsia" w:ascii="宋体" w:hAnsi="宋体" w:eastAsia="宋体" w:cs="宋体"/>
          <w:szCs w:val="21"/>
        </w:rPr>
        <w:t>本次招标的采购人，</w:t>
      </w:r>
      <w:r>
        <w:rPr>
          <w:rFonts w:hint="eastAsia" w:ascii="宋体" w:hAnsi="宋体" w:eastAsia="宋体" w:cs="宋体"/>
          <w:szCs w:val="21"/>
          <w:lang w:val="zh-CN"/>
        </w:rPr>
        <w:t>详见《投标人须知前附表》。</w:t>
      </w:r>
    </w:p>
    <w:p>
      <w:pPr>
        <w:numPr>
          <w:ilvl w:val="0"/>
          <w:numId w:val="10"/>
        </w:numPr>
        <w:spacing w:line="276" w:lineRule="auto"/>
        <w:ind w:left="476" w:hanging="476"/>
        <w:rPr>
          <w:rFonts w:hint="eastAsia" w:ascii="宋体" w:hAnsi="宋体" w:eastAsia="宋体" w:cs="宋体"/>
          <w:szCs w:val="21"/>
          <w:lang w:val="zh-CN"/>
        </w:rPr>
      </w:pPr>
      <w:r>
        <w:rPr>
          <w:rFonts w:hint="eastAsia" w:ascii="宋体" w:hAnsi="宋体" w:eastAsia="宋体" w:cs="宋体"/>
          <w:b/>
          <w:szCs w:val="21"/>
          <w:lang w:val="zh-CN"/>
        </w:rPr>
        <w:t>“监管部门”是指：</w:t>
      </w:r>
      <w:r>
        <w:rPr>
          <w:rFonts w:hint="eastAsia" w:ascii="宋体" w:hAnsi="宋体" w:eastAsia="宋体" w:cs="宋体"/>
          <w:szCs w:val="21"/>
        </w:rPr>
        <w:t>本次招标的监管部门，</w:t>
      </w:r>
      <w:r>
        <w:rPr>
          <w:rFonts w:hint="eastAsia" w:ascii="宋体" w:hAnsi="宋体" w:eastAsia="宋体" w:cs="宋体"/>
          <w:szCs w:val="21"/>
          <w:lang w:val="zh-CN"/>
        </w:rPr>
        <w:t>详见《投标人须知前附表》。</w:t>
      </w:r>
    </w:p>
    <w:p>
      <w:pPr>
        <w:numPr>
          <w:ilvl w:val="0"/>
          <w:numId w:val="10"/>
        </w:numPr>
        <w:spacing w:line="276" w:lineRule="auto"/>
        <w:ind w:left="476" w:hanging="476"/>
        <w:rPr>
          <w:rFonts w:hint="eastAsia" w:ascii="宋体" w:hAnsi="宋体" w:eastAsia="宋体" w:cs="宋体"/>
          <w:szCs w:val="21"/>
          <w:lang w:val="zh-CN"/>
        </w:rPr>
      </w:pPr>
      <w:r>
        <w:rPr>
          <w:rFonts w:hint="eastAsia" w:ascii="宋体" w:hAnsi="宋体" w:eastAsia="宋体" w:cs="宋体"/>
          <w:b/>
          <w:szCs w:val="21"/>
          <w:lang w:val="zh-CN"/>
        </w:rPr>
        <w:t>“采购代理机构”是指：</w:t>
      </w:r>
      <w:r>
        <w:rPr>
          <w:rFonts w:hint="eastAsia" w:ascii="宋体" w:hAnsi="宋体" w:eastAsia="宋体" w:cs="宋体"/>
          <w:szCs w:val="21"/>
        </w:rPr>
        <w:t>本次招标的采购代理机构，</w:t>
      </w:r>
      <w:r>
        <w:rPr>
          <w:rFonts w:hint="eastAsia" w:ascii="宋体" w:hAnsi="宋体" w:eastAsia="宋体" w:cs="宋体"/>
          <w:szCs w:val="21"/>
          <w:lang w:val="zh-CN"/>
        </w:rPr>
        <w:t>详见《投标人须知前附表》。</w:t>
      </w:r>
    </w:p>
    <w:p>
      <w:pPr>
        <w:numPr>
          <w:ilvl w:val="0"/>
          <w:numId w:val="10"/>
        </w:numPr>
        <w:spacing w:line="276" w:lineRule="auto"/>
        <w:ind w:left="476" w:hanging="476"/>
        <w:rPr>
          <w:rFonts w:hint="eastAsia" w:ascii="宋体" w:hAnsi="宋体" w:eastAsia="宋体" w:cs="宋体"/>
          <w:szCs w:val="21"/>
          <w:lang w:val="zh-CN"/>
        </w:rPr>
      </w:pPr>
      <w:r>
        <w:rPr>
          <w:rFonts w:hint="eastAsia" w:ascii="宋体" w:hAnsi="宋体" w:eastAsia="宋体" w:cs="宋体"/>
          <w:b/>
          <w:szCs w:val="21"/>
          <w:lang w:val="zh-CN"/>
        </w:rPr>
        <w:t>“投标人”是指：</w:t>
      </w:r>
      <w:r>
        <w:rPr>
          <w:rFonts w:hint="eastAsia" w:ascii="宋体" w:hAnsi="宋体" w:eastAsia="宋体" w:cs="宋体"/>
          <w:kern w:val="0"/>
          <w:szCs w:val="21"/>
          <w:lang w:val="zh-CN"/>
        </w:rPr>
        <w:t>响应本招标文件要求，参加投标的法人、其他组织或者自然人。</w:t>
      </w:r>
    </w:p>
    <w:p>
      <w:pPr>
        <w:numPr>
          <w:ilvl w:val="0"/>
          <w:numId w:val="10"/>
        </w:numPr>
        <w:spacing w:line="276" w:lineRule="auto"/>
        <w:ind w:left="476" w:hanging="476"/>
        <w:rPr>
          <w:rFonts w:hint="eastAsia" w:ascii="宋体" w:hAnsi="宋体" w:eastAsia="宋体" w:cs="宋体"/>
          <w:kern w:val="0"/>
          <w:szCs w:val="21"/>
          <w:lang w:val="zh-CN"/>
        </w:rPr>
      </w:pPr>
      <w:r>
        <w:rPr>
          <w:rFonts w:hint="eastAsia" w:ascii="宋体" w:hAnsi="宋体" w:eastAsia="宋体" w:cs="宋体"/>
          <w:b/>
          <w:szCs w:val="21"/>
          <w:lang w:val="zh-CN"/>
        </w:rPr>
        <w:t>“合格的投标人”是指：</w:t>
      </w:r>
      <w:r>
        <w:rPr>
          <w:rFonts w:hint="eastAsia" w:ascii="宋体" w:hAnsi="宋体" w:eastAsia="宋体" w:cs="宋体"/>
          <w:kern w:val="0"/>
          <w:szCs w:val="21"/>
          <w:lang w:val="zh-CN"/>
        </w:rPr>
        <w:t>资格审查和符合性审查合格的投标人。</w:t>
      </w:r>
    </w:p>
    <w:p>
      <w:pPr>
        <w:numPr>
          <w:ilvl w:val="0"/>
          <w:numId w:val="10"/>
        </w:numPr>
        <w:spacing w:line="276" w:lineRule="auto"/>
        <w:ind w:left="476" w:hanging="476"/>
        <w:rPr>
          <w:rFonts w:hint="eastAsia" w:ascii="宋体" w:hAnsi="宋体" w:eastAsia="宋体" w:cs="宋体"/>
          <w:szCs w:val="21"/>
          <w:lang w:val="zh-CN"/>
        </w:rPr>
      </w:pPr>
      <w:r>
        <w:rPr>
          <w:rFonts w:hint="eastAsia" w:ascii="宋体" w:hAnsi="宋体" w:eastAsia="宋体" w:cs="宋体"/>
          <w:b/>
          <w:szCs w:val="21"/>
          <w:lang w:val="zh-CN"/>
        </w:rPr>
        <w:t>“中标人”是指：</w:t>
      </w:r>
      <w:r>
        <w:rPr>
          <w:rFonts w:hint="eastAsia" w:ascii="宋体" w:hAnsi="宋体" w:eastAsia="宋体" w:cs="宋体"/>
          <w:szCs w:val="21"/>
          <w:lang w:val="zh-CN"/>
        </w:rPr>
        <w:t>经评标委员会评审推荐，采购人授予合同的投标人。</w:t>
      </w:r>
    </w:p>
    <w:p>
      <w:pPr>
        <w:numPr>
          <w:ilvl w:val="0"/>
          <w:numId w:val="10"/>
        </w:numPr>
        <w:spacing w:line="276" w:lineRule="auto"/>
        <w:ind w:left="476" w:hanging="476"/>
        <w:rPr>
          <w:rFonts w:hint="eastAsia" w:ascii="宋体" w:hAnsi="宋体" w:eastAsia="宋体" w:cs="宋体"/>
          <w:szCs w:val="21"/>
          <w:lang w:val="zh-CN"/>
        </w:rPr>
      </w:pPr>
      <w:r>
        <w:rPr>
          <w:rFonts w:hint="eastAsia" w:ascii="宋体" w:hAnsi="宋体" w:eastAsia="宋体" w:cs="宋体"/>
          <w:b/>
          <w:szCs w:val="21"/>
          <w:lang w:val="zh-CN"/>
        </w:rPr>
        <w:t>“投标文件”是指：</w:t>
      </w:r>
      <w:r>
        <w:rPr>
          <w:rFonts w:hint="eastAsia" w:ascii="宋体" w:hAnsi="宋体" w:eastAsia="宋体" w:cs="宋体"/>
          <w:szCs w:val="21"/>
        </w:rPr>
        <w:t>投标人根据招标文件要求，编制的包含价格、技术、服务和合同草案条款等所有内容的文件。</w:t>
      </w:r>
    </w:p>
    <w:p>
      <w:pPr>
        <w:numPr>
          <w:ilvl w:val="0"/>
          <w:numId w:val="10"/>
        </w:numPr>
        <w:spacing w:line="276" w:lineRule="auto"/>
        <w:ind w:left="476" w:hanging="476"/>
        <w:rPr>
          <w:rFonts w:hint="eastAsia" w:ascii="宋体" w:hAnsi="宋体" w:eastAsia="宋体" w:cs="宋体"/>
          <w:szCs w:val="21"/>
          <w:lang w:val="zh-CN"/>
        </w:rPr>
      </w:pPr>
      <w:r>
        <w:rPr>
          <w:rFonts w:hint="eastAsia" w:ascii="宋体" w:hAnsi="宋体" w:eastAsia="宋体" w:cs="宋体"/>
          <w:b/>
          <w:szCs w:val="21"/>
          <w:lang w:val="zh-CN"/>
        </w:rPr>
        <w:t xml:space="preserve"> “进口产品” 是指：</w:t>
      </w:r>
      <w:r>
        <w:rPr>
          <w:rFonts w:hint="eastAsia" w:ascii="宋体" w:hAnsi="宋体" w:eastAsia="宋体" w:cs="宋体"/>
          <w:szCs w:val="21"/>
        </w:rPr>
        <w:t>通过中国海关报关验放进入中国境内且产自关境外的产品。</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项目属性定义</w:t>
      </w:r>
    </w:p>
    <w:p>
      <w:pPr>
        <w:numPr>
          <w:ilvl w:val="0"/>
          <w:numId w:val="11"/>
        </w:numPr>
        <w:spacing w:line="276" w:lineRule="auto"/>
        <w:ind w:left="476" w:hanging="476"/>
        <w:rPr>
          <w:rFonts w:hint="eastAsia" w:ascii="宋体" w:hAnsi="宋体" w:eastAsia="宋体" w:cs="宋体"/>
          <w:szCs w:val="21"/>
          <w:lang w:val="zh-CN"/>
        </w:rPr>
      </w:pPr>
      <w:r>
        <w:rPr>
          <w:rFonts w:hint="eastAsia" w:ascii="宋体" w:hAnsi="宋体" w:eastAsia="宋体" w:cs="宋体"/>
          <w:b/>
          <w:szCs w:val="21"/>
          <w:lang w:val="zh-CN"/>
        </w:rPr>
        <w:t>“货物”是指</w:t>
      </w:r>
      <w:r>
        <w:rPr>
          <w:rFonts w:hint="eastAsia" w:ascii="宋体" w:hAnsi="宋体" w:eastAsia="宋体" w:cs="宋体"/>
          <w:szCs w:val="21"/>
          <w:lang w:val="zh-CN"/>
        </w:rPr>
        <w:t>：各种形态和种类的物品，包括原材料、燃料、设备、产品等。</w:t>
      </w:r>
    </w:p>
    <w:p>
      <w:pPr>
        <w:numPr>
          <w:ilvl w:val="0"/>
          <w:numId w:val="12"/>
        </w:numPr>
        <w:spacing w:line="276" w:lineRule="auto"/>
        <w:ind w:left="726" w:hanging="442"/>
        <w:rPr>
          <w:rFonts w:hint="eastAsia" w:ascii="宋体" w:hAnsi="宋体" w:eastAsia="宋体" w:cs="宋体"/>
          <w:szCs w:val="21"/>
          <w:lang w:val="zh-CN"/>
        </w:rPr>
      </w:pPr>
      <w:r>
        <w:rPr>
          <w:rFonts w:hint="eastAsia" w:ascii="宋体" w:hAnsi="宋体" w:eastAsia="宋体" w:cs="宋体"/>
          <w:szCs w:val="21"/>
          <w:lang w:val="zh-CN"/>
        </w:rPr>
        <w:t>招标文件中没有提及招标货物来源地的，根据《政府采购法》及相关规定均应是本国货物，另有规定的除外。</w:t>
      </w:r>
    </w:p>
    <w:p>
      <w:pPr>
        <w:numPr>
          <w:ilvl w:val="0"/>
          <w:numId w:val="12"/>
        </w:numPr>
        <w:spacing w:line="276" w:lineRule="auto"/>
        <w:ind w:left="726" w:hanging="442"/>
        <w:rPr>
          <w:rFonts w:hint="eastAsia" w:ascii="宋体" w:hAnsi="宋体" w:eastAsia="宋体" w:cs="宋体"/>
          <w:szCs w:val="21"/>
          <w:lang w:val="zh-CN"/>
        </w:rPr>
      </w:pPr>
      <w:r>
        <w:rPr>
          <w:rFonts w:hint="eastAsia" w:ascii="宋体" w:hAnsi="宋体" w:eastAsia="宋体" w:cs="宋体"/>
          <w:szCs w:val="21"/>
          <w:lang w:val="zh-CN"/>
        </w:rPr>
        <w:t>投标的货物应是合法生产的符合国家有关标准要求的货物，并能够按照合同规定的品牌、产地、质量、价格和有效期等履约。</w:t>
      </w:r>
    </w:p>
    <w:p>
      <w:pPr>
        <w:numPr>
          <w:ilvl w:val="0"/>
          <w:numId w:val="11"/>
        </w:numPr>
        <w:spacing w:line="276" w:lineRule="auto"/>
        <w:ind w:left="476" w:hanging="476"/>
        <w:rPr>
          <w:rFonts w:hint="eastAsia" w:ascii="宋体" w:hAnsi="宋体" w:eastAsia="宋体" w:cs="宋体"/>
          <w:b/>
          <w:color w:val="0D0D0D"/>
          <w:szCs w:val="21"/>
          <w:lang w:val="zh-CN"/>
        </w:rPr>
      </w:pPr>
      <w:r>
        <w:rPr>
          <w:rFonts w:hint="eastAsia" w:ascii="宋体" w:hAnsi="宋体" w:eastAsia="宋体" w:cs="宋体"/>
          <w:b/>
          <w:color w:val="0D0D0D"/>
          <w:szCs w:val="21"/>
          <w:lang w:val="zh-CN"/>
        </w:rPr>
        <w:t>“工程”是指</w:t>
      </w:r>
      <w:r>
        <w:rPr>
          <w:rFonts w:hint="eastAsia" w:ascii="宋体" w:hAnsi="宋体" w:eastAsia="宋体" w:cs="宋体"/>
          <w:color w:val="0D0D0D"/>
          <w:szCs w:val="21"/>
          <w:lang w:val="zh-CN"/>
        </w:rPr>
        <w:t>：与建筑物和构筑物的新建、改建、扩建及其相关的装修、拆除、修缮无关的工程。</w:t>
      </w:r>
    </w:p>
    <w:p>
      <w:pPr>
        <w:numPr>
          <w:ilvl w:val="0"/>
          <w:numId w:val="11"/>
        </w:numPr>
        <w:spacing w:line="276" w:lineRule="auto"/>
        <w:ind w:left="476" w:hanging="476"/>
        <w:rPr>
          <w:rFonts w:hint="eastAsia" w:ascii="宋体" w:hAnsi="宋体" w:eastAsia="宋体" w:cs="宋体"/>
          <w:szCs w:val="21"/>
          <w:lang w:val="zh-CN"/>
        </w:rPr>
      </w:pPr>
      <w:r>
        <w:rPr>
          <w:rFonts w:hint="eastAsia" w:ascii="宋体" w:hAnsi="宋体" w:eastAsia="宋体" w:cs="宋体"/>
          <w:b/>
          <w:szCs w:val="21"/>
          <w:lang w:val="zh-CN"/>
        </w:rPr>
        <w:t>“服务”</w:t>
      </w:r>
      <w:r>
        <w:rPr>
          <w:rFonts w:hint="eastAsia" w:ascii="宋体" w:hAnsi="宋体" w:eastAsia="宋体" w:cs="宋体"/>
          <w:b/>
          <w:color w:val="0C0C0C"/>
          <w:szCs w:val="21"/>
          <w:lang w:val="zh-CN"/>
        </w:rPr>
        <w:t>是指：</w:t>
      </w:r>
      <w:r>
        <w:rPr>
          <w:rFonts w:hint="eastAsia" w:ascii="宋体" w:hAnsi="宋体" w:eastAsia="宋体" w:cs="宋体"/>
          <w:color w:val="0C0C0C"/>
          <w:szCs w:val="21"/>
          <w:lang w:val="zh-CN"/>
        </w:rPr>
        <w:t>除前述“货物”和“工程”以外的其他政府采购对象,</w:t>
      </w:r>
      <w:r>
        <w:rPr>
          <w:rFonts w:hint="eastAsia" w:ascii="宋体" w:hAnsi="宋体" w:eastAsia="宋体" w:cs="宋体"/>
          <w:szCs w:val="21"/>
        </w:rPr>
        <w:t xml:space="preserve"> </w:t>
      </w:r>
      <w:r>
        <w:rPr>
          <w:rFonts w:hint="eastAsia" w:ascii="宋体" w:hAnsi="宋体" w:eastAsia="宋体" w:cs="宋体"/>
          <w:color w:val="0C0C0C"/>
          <w:szCs w:val="21"/>
          <w:lang w:val="zh-CN"/>
        </w:rPr>
        <w:t>包括采购人自身需要的服务  和采购人向社会公众提供的公共服务。</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费用</w:t>
      </w:r>
    </w:p>
    <w:p>
      <w:pPr>
        <w:numPr>
          <w:ilvl w:val="0"/>
          <w:numId w:val="13"/>
        </w:numPr>
        <w:spacing w:line="276" w:lineRule="auto"/>
        <w:ind w:left="476" w:hanging="476"/>
        <w:rPr>
          <w:rFonts w:hint="eastAsia" w:ascii="宋体" w:hAnsi="宋体" w:eastAsia="宋体" w:cs="宋体"/>
          <w:szCs w:val="21"/>
          <w:lang w:val="zh-CN"/>
        </w:rPr>
      </w:pPr>
      <w:r>
        <w:rPr>
          <w:rFonts w:hint="eastAsia" w:ascii="宋体" w:hAnsi="宋体" w:eastAsia="宋体" w:cs="宋体"/>
          <w:szCs w:val="21"/>
          <w:lang w:val="zh-CN"/>
        </w:rPr>
        <w:t>投标人应承担所有与准备和参加投标有关的费用。不论投标的结果如何，采购人和采购代理机构均无义务和责任承担这些费用。</w:t>
      </w:r>
    </w:p>
    <w:p>
      <w:pPr>
        <w:numPr>
          <w:ilvl w:val="0"/>
          <w:numId w:val="13"/>
        </w:numPr>
        <w:spacing w:line="276" w:lineRule="auto"/>
        <w:ind w:left="476" w:hanging="476"/>
        <w:rPr>
          <w:rFonts w:hint="eastAsia" w:ascii="宋体" w:hAnsi="宋体" w:eastAsia="宋体" w:cs="宋体"/>
          <w:szCs w:val="21"/>
          <w:lang w:val="zh-CN"/>
        </w:rPr>
      </w:pPr>
      <w:r>
        <w:rPr>
          <w:rFonts w:hint="eastAsia" w:ascii="宋体" w:hAnsi="宋体" w:eastAsia="宋体" w:cs="宋体"/>
          <w:szCs w:val="21"/>
        </w:rPr>
        <w:t>中标人须在收到中标通知书时向采购代理机构支付代理服务费。服务费支付标准和方法详见《投标人须知前附表》。</w:t>
      </w:r>
    </w:p>
    <w:p>
      <w:pPr>
        <w:numPr>
          <w:ilvl w:val="0"/>
          <w:numId w:val="13"/>
        </w:numPr>
        <w:spacing w:line="276" w:lineRule="auto"/>
        <w:ind w:left="476" w:hanging="476"/>
        <w:rPr>
          <w:rFonts w:hint="eastAsia" w:ascii="宋体" w:hAnsi="宋体" w:eastAsia="宋体" w:cs="宋体"/>
          <w:szCs w:val="21"/>
          <w:lang w:val="zh-CN"/>
        </w:rPr>
      </w:pPr>
      <w:r>
        <w:rPr>
          <w:rFonts w:hint="eastAsia" w:ascii="宋体" w:hAnsi="宋体" w:eastAsia="宋体" w:cs="宋体"/>
          <w:szCs w:val="21"/>
        </w:rPr>
        <w:t>原国家计委计价格[2002]1980号规定收费标准：</w:t>
      </w:r>
    </w:p>
    <w:tbl>
      <w:tblPr>
        <w:tblStyle w:val="26"/>
        <w:tblW w:w="83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02"/>
        <w:gridCol w:w="2024"/>
        <w:gridCol w:w="180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blHeader/>
          <w:jc w:val="center"/>
        </w:trPr>
        <w:tc>
          <w:tcPr>
            <w:tcW w:w="2402" w:type="dxa"/>
            <w:tcBorders>
              <w:top w:val="single" w:color="auto" w:sz="4"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b/>
                <w:color w:val="000000"/>
                <w:szCs w:val="21"/>
              </w:rPr>
            </w:pPr>
            <w:r>
              <w:rPr>
                <w:rFonts w:hint="eastAsia" w:ascii="宋体" w:hAnsi="宋体" w:eastAsia="宋体" w:cs="宋体"/>
                <w:b/>
                <w:color w:val="000000"/>
                <w:szCs w:val="21"/>
              </w:rPr>
              <w:t>中标金额（万元）</w:t>
            </w:r>
          </w:p>
        </w:tc>
        <w:tc>
          <w:tcPr>
            <w:tcW w:w="2024"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货物</w:t>
            </w:r>
          </w:p>
        </w:tc>
        <w:tc>
          <w:tcPr>
            <w:tcW w:w="1800"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服务</w:t>
            </w:r>
          </w:p>
        </w:tc>
        <w:tc>
          <w:tcPr>
            <w:tcW w:w="2160"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02"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100以下</w:t>
            </w:r>
          </w:p>
        </w:tc>
        <w:tc>
          <w:tcPr>
            <w:tcW w:w="2024"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c>
          <w:tcPr>
            <w:tcW w:w="1800"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1.5%</w:t>
            </w:r>
          </w:p>
        </w:tc>
        <w:tc>
          <w:tcPr>
            <w:tcW w:w="2160"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02"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lOO-500</w:t>
            </w:r>
          </w:p>
        </w:tc>
        <w:tc>
          <w:tcPr>
            <w:tcW w:w="2024"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1.1%</w:t>
            </w:r>
          </w:p>
        </w:tc>
        <w:tc>
          <w:tcPr>
            <w:tcW w:w="1800"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0.8%</w:t>
            </w:r>
          </w:p>
        </w:tc>
        <w:tc>
          <w:tcPr>
            <w:tcW w:w="2160"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02"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500-1000</w:t>
            </w:r>
          </w:p>
        </w:tc>
        <w:tc>
          <w:tcPr>
            <w:tcW w:w="2024"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0.8%</w:t>
            </w:r>
          </w:p>
        </w:tc>
        <w:tc>
          <w:tcPr>
            <w:tcW w:w="1800"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0.45%</w:t>
            </w:r>
          </w:p>
        </w:tc>
        <w:tc>
          <w:tcPr>
            <w:tcW w:w="2160"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02"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l000—5000</w:t>
            </w:r>
          </w:p>
        </w:tc>
        <w:tc>
          <w:tcPr>
            <w:tcW w:w="2024"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0.5%</w:t>
            </w:r>
          </w:p>
        </w:tc>
        <w:tc>
          <w:tcPr>
            <w:tcW w:w="1800"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0.25%</w:t>
            </w:r>
          </w:p>
        </w:tc>
        <w:tc>
          <w:tcPr>
            <w:tcW w:w="2160"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02"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5000-lOOOO</w:t>
            </w:r>
          </w:p>
        </w:tc>
        <w:tc>
          <w:tcPr>
            <w:tcW w:w="2024"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0.25%</w:t>
            </w:r>
          </w:p>
        </w:tc>
        <w:tc>
          <w:tcPr>
            <w:tcW w:w="1800"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0.1%</w:t>
            </w:r>
          </w:p>
        </w:tc>
        <w:tc>
          <w:tcPr>
            <w:tcW w:w="2160"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02"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lOOOO-100000</w:t>
            </w:r>
          </w:p>
        </w:tc>
        <w:tc>
          <w:tcPr>
            <w:tcW w:w="2024"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0.05%</w:t>
            </w:r>
          </w:p>
        </w:tc>
        <w:tc>
          <w:tcPr>
            <w:tcW w:w="1800"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0.05%</w:t>
            </w:r>
          </w:p>
        </w:tc>
        <w:tc>
          <w:tcPr>
            <w:tcW w:w="2160"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02"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100000以上</w:t>
            </w:r>
          </w:p>
        </w:tc>
        <w:tc>
          <w:tcPr>
            <w:tcW w:w="2024"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0.01%</w:t>
            </w:r>
          </w:p>
        </w:tc>
        <w:tc>
          <w:tcPr>
            <w:tcW w:w="1800"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0.01%</w:t>
            </w:r>
          </w:p>
        </w:tc>
        <w:tc>
          <w:tcPr>
            <w:tcW w:w="2160" w:type="dxa"/>
            <w:tcBorders>
              <w:top w:val="single" w:color="auto" w:sz="8" w:space="0"/>
              <w:left w:val="single" w:color="auto" w:sz="8" w:space="0"/>
              <w:bottom w:val="single" w:color="auto" w:sz="8" w:space="0"/>
              <w:right w:val="single" w:color="auto" w:sz="8" w:space="0"/>
            </w:tcBorders>
            <w:vAlign w:val="center"/>
          </w:tcPr>
          <w:p>
            <w:pPr>
              <w:spacing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0.01%</w:t>
            </w:r>
          </w:p>
        </w:tc>
      </w:tr>
    </w:tbl>
    <w:p>
      <w:pPr>
        <w:snapToGrid w:val="0"/>
        <w:spacing w:line="276" w:lineRule="auto"/>
        <w:ind w:firstLine="420" w:firstLineChars="200"/>
        <w:rPr>
          <w:rFonts w:hint="eastAsia" w:ascii="宋体" w:hAnsi="宋体" w:eastAsia="宋体" w:cs="宋体"/>
          <w:szCs w:val="21"/>
        </w:rPr>
      </w:pPr>
      <w:r>
        <w:rPr>
          <w:rFonts w:hint="eastAsia" w:ascii="宋体" w:hAnsi="宋体" w:eastAsia="宋体" w:cs="宋体"/>
          <w:szCs w:val="21"/>
        </w:rPr>
        <w:t>注：代理服务收费按差额定率累进法计算。例如：某</w:t>
      </w:r>
      <w:r>
        <w:rPr>
          <w:rFonts w:hint="eastAsia" w:ascii="宋体" w:hAnsi="宋体" w:eastAsia="宋体" w:cs="宋体"/>
          <w:b/>
          <w:szCs w:val="21"/>
        </w:rPr>
        <w:t>货物</w:t>
      </w:r>
      <w:r>
        <w:rPr>
          <w:rFonts w:hint="eastAsia" w:ascii="宋体" w:hAnsi="宋体" w:eastAsia="宋体" w:cs="宋体"/>
          <w:szCs w:val="21"/>
        </w:rPr>
        <w:t>招标项目中标金额为600万元，计算代理服务收费金额如下：</w:t>
      </w:r>
    </w:p>
    <w:p>
      <w:pPr>
        <w:snapToGrid w:val="0"/>
        <w:spacing w:line="276" w:lineRule="auto"/>
        <w:ind w:firstLine="420" w:firstLineChars="200"/>
        <w:rPr>
          <w:rFonts w:hint="eastAsia" w:ascii="宋体" w:hAnsi="宋体" w:eastAsia="宋体" w:cs="宋体"/>
          <w:szCs w:val="21"/>
        </w:rPr>
      </w:pPr>
      <w:r>
        <w:rPr>
          <w:rFonts w:hint="eastAsia" w:ascii="宋体" w:hAnsi="宋体" w:eastAsia="宋体" w:cs="宋体"/>
          <w:szCs w:val="21"/>
        </w:rPr>
        <w:t>100万元×1.5%=1.5万元</w:t>
      </w:r>
    </w:p>
    <w:p>
      <w:pPr>
        <w:snapToGrid w:val="0"/>
        <w:spacing w:line="276" w:lineRule="auto"/>
        <w:ind w:firstLine="420" w:firstLineChars="200"/>
        <w:rPr>
          <w:rFonts w:hint="eastAsia" w:ascii="宋体" w:hAnsi="宋体" w:eastAsia="宋体" w:cs="宋体"/>
          <w:szCs w:val="21"/>
        </w:rPr>
      </w:pPr>
      <w:r>
        <w:rPr>
          <w:rFonts w:hint="eastAsia" w:ascii="宋体" w:hAnsi="宋体" w:eastAsia="宋体" w:cs="宋体"/>
          <w:szCs w:val="21"/>
        </w:rPr>
        <w:t>(500-100)万元×1.1%=4.4万元</w:t>
      </w:r>
    </w:p>
    <w:p>
      <w:pPr>
        <w:snapToGrid w:val="0"/>
        <w:spacing w:line="276" w:lineRule="auto"/>
        <w:ind w:firstLine="420" w:firstLineChars="200"/>
        <w:rPr>
          <w:rFonts w:hint="eastAsia" w:ascii="宋体" w:hAnsi="宋体" w:eastAsia="宋体" w:cs="宋体"/>
          <w:szCs w:val="21"/>
        </w:rPr>
      </w:pPr>
      <w:r>
        <w:rPr>
          <w:rFonts w:hint="eastAsia" w:ascii="宋体" w:hAnsi="宋体" w:eastAsia="宋体" w:cs="宋体"/>
          <w:szCs w:val="21"/>
        </w:rPr>
        <w:t>(600-500)万元×0.8%=0.8万元</w:t>
      </w:r>
    </w:p>
    <w:p>
      <w:pPr>
        <w:spacing w:line="276" w:lineRule="auto"/>
        <w:ind w:left="476"/>
        <w:rPr>
          <w:rFonts w:hint="eastAsia" w:ascii="宋体" w:hAnsi="宋体" w:eastAsia="宋体" w:cs="宋体"/>
          <w:szCs w:val="21"/>
          <w:lang w:val="zh-CN"/>
        </w:rPr>
      </w:pPr>
      <w:r>
        <w:rPr>
          <w:rFonts w:hint="eastAsia" w:ascii="宋体" w:hAnsi="宋体" w:eastAsia="宋体" w:cs="宋体"/>
          <w:szCs w:val="21"/>
        </w:rPr>
        <w:t>合计收费=1.5+4.4+0.8=6.7万元</w:t>
      </w:r>
    </w:p>
    <w:p>
      <w:pPr>
        <w:keepNext/>
        <w:keepLines/>
        <w:numPr>
          <w:ilvl w:val="0"/>
          <w:numId w:val="8"/>
        </w:numPr>
        <w:spacing w:line="276" w:lineRule="auto"/>
        <w:ind w:left="426" w:hanging="426"/>
        <w:jc w:val="left"/>
        <w:outlineLvl w:val="1"/>
        <w:rPr>
          <w:rFonts w:hint="eastAsia" w:ascii="宋体" w:hAnsi="宋体" w:eastAsia="宋体" w:cs="宋体"/>
          <w:b/>
          <w:kern w:val="0"/>
          <w:szCs w:val="21"/>
          <w:lang w:val="zh-CN"/>
        </w:rPr>
      </w:pPr>
      <w:bookmarkStart w:id="17" w:name="_Toc12822"/>
      <w:bookmarkStart w:id="18" w:name="_Toc97814999"/>
      <w:r>
        <w:rPr>
          <w:rFonts w:hint="eastAsia" w:ascii="宋体" w:hAnsi="宋体" w:eastAsia="宋体" w:cs="宋体"/>
          <w:b/>
          <w:kern w:val="0"/>
          <w:szCs w:val="21"/>
          <w:lang w:val="zh-CN"/>
        </w:rPr>
        <w:t>招标文件</w:t>
      </w:r>
      <w:bookmarkEnd w:id="17"/>
      <w:bookmarkEnd w:id="18"/>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招标文件的构成</w:t>
      </w:r>
    </w:p>
    <w:p>
      <w:pPr>
        <w:tabs>
          <w:tab w:val="left" w:pos="476"/>
        </w:tabs>
        <w:spacing w:line="276" w:lineRule="auto"/>
        <w:ind w:left="476"/>
        <w:rPr>
          <w:rFonts w:hint="eastAsia" w:ascii="宋体" w:hAnsi="宋体" w:eastAsia="宋体" w:cs="宋体"/>
          <w:szCs w:val="21"/>
          <w:lang w:val="zh-CN"/>
        </w:rPr>
      </w:pPr>
      <w:r>
        <w:rPr>
          <w:rFonts w:hint="eastAsia" w:ascii="宋体" w:hAnsi="宋体" w:eastAsia="宋体" w:cs="宋体"/>
          <w:szCs w:val="21"/>
          <w:lang w:val="zh-CN"/>
        </w:rPr>
        <w:t>第一章 招标公告（投标邀请书）</w:t>
      </w:r>
    </w:p>
    <w:p>
      <w:pPr>
        <w:tabs>
          <w:tab w:val="left" w:pos="476"/>
        </w:tabs>
        <w:spacing w:line="276" w:lineRule="auto"/>
        <w:ind w:left="476"/>
        <w:rPr>
          <w:rFonts w:hint="eastAsia" w:ascii="宋体" w:hAnsi="宋体" w:eastAsia="宋体" w:cs="宋体"/>
          <w:szCs w:val="21"/>
          <w:lang w:val="zh-CN"/>
        </w:rPr>
      </w:pPr>
      <w:r>
        <w:rPr>
          <w:rFonts w:hint="eastAsia" w:ascii="宋体" w:hAnsi="宋体" w:eastAsia="宋体" w:cs="宋体"/>
          <w:szCs w:val="21"/>
          <w:lang w:val="zh-CN"/>
        </w:rPr>
        <w:t>第二章 投标人须知</w:t>
      </w:r>
    </w:p>
    <w:p>
      <w:pPr>
        <w:tabs>
          <w:tab w:val="left" w:pos="476"/>
        </w:tabs>
        <w:spacing w:line="276" w:lineRule="auto"/>
        <w:ind w:left="476"/>
        <w:rPr>
          <w:rFonts w:hint="eastAsia" w:ascii="宋体" w:hAnsi="宋体" w:eastAsia="宋体" w:cs="宋体"/>
          <w:szCs w:val="21"/>
          <w:lang w:val="zh-CN"/>
        </w:rPr>
      </w:pPr>
      <w:r>
        <w:rPr>
          <w:rFonts w:hint="eastAsia" w:ascii="宋体" w:hAnsi="宋体" w:eastAsia="宋体" w:cs="宋体"/>
          <w:szCs w:val="21"/>
          <w:lang w:val="zh-CN"/>
        </w:rPr>
        <w:t>第三章 技术、服务及商务要求</w:t>
      </w:r>
    </w:p>
    <w:p>
      <w:pPr>
        <w:tabs>
          <w:tab w:val="left" w:pos="476"/>
        </w:tabs>
        <w:spacing w:line="276" w:lineRule="auto"/>
        <w:ind w:left="476"/>
        <w:rPr>
          <w:rFonts w:hint="eastAsia" w:ascii="宋体" w:hAnsi="宋体" w:eastAsia="宋体" w:cs="宋体"/>
          <w:szCs w:val="21"/>
          <w:lang w:val="zh-CN"/>
        </w:rPr>
      </w:pPr>
      <w:r>
        <w:rPr>
          <w:rFonts w:hint="eastAsia" w:ascii="宋体" w:hAnsi="宋体" w:eastAsia="宋体" w:cs="宋体"/>
          <w:szCs w:val="21"/>
          <w:lang w:val="zh-CN"/>
        </w:rPr>
        <w:t>第四章 资格审查方法及标准</w:t>
      </w:r>
    </w:p>
    <w:p>
      <w:pPr>
        <w:tabs>
          <w:tab w:val="left" w:pos="476"/>
        </w:tabs>
        <w:spacing w:line="276" w:lineRule="auto"/>
        <w:ind w:left="476"/>
        <w:rPr>
          <w:rFonts w:hint="eastAsia" w:ascii="宋体" w:hAnsi="宋体" w:eastAsia="宋体" w:cs="宋体"/>
          <w:szCs w:val="21"/>
          <w:lang w:val="zh-CN"/>
        </w:rPr>
      </w:pPr>
      <w:r>
        <w:rPr>
          <w:rFonts w:hint="eastAsia" w:ascii="宋体" w:hAnsi="宋体" w:eastAsia="宋体" w:cs="宋体"/>
          <w:szCs w:val="21"/>
          <w:lang w:val="zh-CN"/>
        </w:rPr>
        <w:t>第五章 评标方法、程序及标准</w:t>
      </w:r>
    </w:p>
    <w:p>
      <w:pPr>
        <w:tabs>
          <w:tab w:val="left" w:pos="476"/>
        </w:tabs>
        <w:spacing w:line="276" w:lineRule="auto"/>
        <w:ind w:left="476"/>
        <w:rPr>
          <w:rFonts w:hint="eastAsia" w:ascii="宋体" w:hAnsi="宋体" w:eastAsia="宋体" w:cs="宋体"/>
          <w:szCs w:val="21"/>
          <w:lang w:val="zh-CN"/>
        </w:rPr>
      </w:pPr>
      <w:r>
        <w:rPr>
          <w:rFonts w:hint="eastAsia" w:ascii="宋体" w:hAnsi="宋体" w:eastAsia="宋体" w:cs="宋体"/>
          <w:szCs w:val="21"/>
          <w:lang w:val="zh-CN"/>
        </w:rPr>
        <w:t>第六章 合同书格式</w:t>
      </w:r>
    </w:p>
    <w:p>
      <w:pPr>
        <w:tabs>
          <w:tab w:val="left" w:pos="476"/>
        </w:tabs>
        <w:spacing w:line="276" w:lineRule="auto"/>
        <w:ind w:left="476"/>
        <w:rPr>
          <w:rFonts w:hint="eastAsia" w:ascii="宋体" w:hAnsi="宋体" w:eastAsia="宋体" w:cs="宋体"/>
          <w:szCs w:val="21"/>
          <w:lang w:val="zh-CN"/>
        </w:rPr>
      </w:pPr>
      <w:r>
        <w:rPr>
          <w:rFonts w:hint="eastAsia" w:ascii="宋体" w:hAnsi="宋体" w:eastAsia="宋体" w:cs="宋体"/>
          <w:szCs w:val="21"/>
          <w:lang w:val="zh-CN"/>
        </w:rPr>
        <w:t>第七章 投标文件格式</w:t>
      </w:r>
    </w:p>
    <w:p>
      <w:pPr>
        <w:tabs>
          <w:tab w:val="left" w:pos="476"/>
        </w:tabs>
        <w:spacing w:line="276" w:lineRule="auto"/>
        <w:ind w:left="476"/>
        <w:rPr>
          <w:rFonts w:hint="eastAsia" w:ascii="宋体" w:hAnsi="宋体" w:eastAsia="宋体" w:cs="宋体"/>
          <w:szCs w:val="21"/>
          <w:lang w:val="zh-CN"/>
        </w:rPr>
      </w:pPr>
      <w:r>
        <w:rPr>
          <w:rFonts w:hint="eastAsia" w:ascii="宋体" w:hAnsi="宋体" w:eastAsia="宋体" w:cs="宋体"/>
          <w:szCs w:val="21"/>
          <w:lang w:val="zh-CN"/>
        </w:rPr>
        <w:t>其  他 在招标过程中由采购代理机构发出的澄清、修改和补充文件等</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招标文件疑问的提交</w:t>
      </w:r>
    </w:p>
    <w:p>
      <w:pPr>
        <w:numPr>
          <w:ilvl w:val="0"/>
          <w:numId w:val="14"/>
        </w:numPr>
        <w:spacing w:line="276" w:lineRule="auto"/>
        <w:ind w:left="476" w:hanging="476"/>
        <w:rPr>
          <w:rFonts w:hint="eastAsia" w:ascii="宋体" w:hAnsi="宋体" w:eastAsia="宋体" w:cs="宋体"/>
          <w:szCs w:val="21"/>
          <w:lang w:val="zh-CN"/>
        </w:rPr>
      </w:pPr>
      <w:r>
        <w:rPr>
          <w:rFonts w:hint="eastAsia" w:ascii="宋体" w:hAnsi="宋体" w:eastAsia="宋体" w:cs="宋体"/>
          <w:szCs w:val="21"/>
          <w:lang w:val="zh-CN"/>
        </w:rPr>
        <w:t>潜在投标人</w:t>
      </w:r>
      <w:r>
        <w:rPr>
          <w:rFonts w:hint="eastAsia" w:ascii="宋体" w:hAnsi="宋体" w:eastAsia="宋体" w:cs="宋体"/>
          <w:szCs w:val="21"/>
        </w:rPr>
        <w:t>获取招标文件后，应认真检查，如发现页数不全、附件缺失、印刷模糊等，应及时通知采购代理机构补全或更换，否则风险自负。</w:t>
      </w:r>
    </w:p>
    <w:p>
      <w:pPr>
        <w:numPr>
          <w:ilvl w:val="0"/>
          <w:numId w:val="14"/>
        </w:numPr>
        <w:spacing w:line="276" w:lineRule="auto"/>
        <w:ind w:left="476" w:hanging="476"/>
        <w:rPr>
          <w:rFonts w:hint="eastAsia" w:ascii="宋体" w:hAnsi="宋体" w:eastAsia="宋体" w:cs="宋体"/>
          <w:szCs w:val="21"/>
          <w:lang w:val="zh-CN"/>
        </w:rPr>
      </w:pPr>
      <w:r>
        <w:rPr>
          <w:rFonts w:hint="eastAsia" w:ascii="宋体" w:hAnsi="宋体" w:eastAsia="宋体" w:cs="宋体"/>
          <w:szCs w:val="21"/>
          <w:lang w:val="zh-CN"/>
        </w:rPr>
        <w:t>潜在投标人对招标文件有疑问的，可以向采购代理机构提出询问，或在6.3规定的时间前以书面形式向采购代理机构提交疑问函。</w:t>
      </w:r>
    </w:p>
    <w:p>
      <w:pPr>
        <w:numPr>
          <w:ilvl w:val="0"/>
          <w:numId w:val="14"/>
        </w:numPr>
        <w:spacing w:line="276" w:lineRule="auto"/>
        <w:ind w:left="476" w:hanging="476"/>
        <w:rPr>
          <w:rFonts w:hint="eastAsia" w:ascii="宋体" w:hAnsi="宋体" w:eastAsia="宋体" w:cs="宋体"/>
          <w:szCs w:val="21"/>
          <w:lang w:val="zh-CN"/>
        </w:rPr>
      </w:pPr>
      <w:r>
        <w:rPr>
          <w:rFonts w:hint="eastAsia" w:ascii="宋体" w:hAnsi="宋体" w:eastAsia="宋体" w:cs="宋体"/>
          <w:b/>
          <w:szCs w:val="21"/>
          <w:lang w:val="zh-CN"/>
        </w:rPr>
        <w:t>潜在投标人在项目招标公告期限届满之日起7个工作日内未对招标文件提出疑问的，采购机构将视其认同招标文件，在规定的时间后就招标文件内容提出的询问将不予受理</w:t>
      </w:r>
      <w:r>
        <w:rPr>
          <w:rFonts w:hint="eastAsia" w:ascii="宋体" w:hAnsi="宋体" w:eastAsia="宋体" w:cs="宋体"/>
          <w:szCs w:val="21"/>
          <w:lang w:val="zh-CN"/>
        </w:rPr>
        <w:t>。</w:t>
      </w:r>
    </w:p>
    <w:p>
      <w:pPr>
        <w:numPr>
          <w:ilvl w:val="0"/>
          <w:numId w:val="14"/>
        </w:numPr>
        <w:spacing w:line="276" w:lineRule="auto"/>
        <w:ind w:left="476" w:hanging="476"/>
        <w:rPr>
          <w:rFonts w:hint="eastAsia" w:ascii="宋体" w:hAnsi="宋体" w:eastAsia="宋体" w:cs="宋体"/>
          <w:szCs w:val="21"/>
          <w:lang w:val="zh-CN"/>
        </w:rPr>
      </w:pPr>
      <w:r>
        <w:rPr>
          <w:rFonts w:hint="eastAsia" w:ascii="宋体" w:hAnsi="宋体" w:eastAsia="宋体" w:cs="宋体"/>
          <w:szCs w:val="21"/>
          <w:lang w:val="zh-CN"/>
        </w:rPr>
        <w:t>对潜在投标人提交的疑问，采购代理机构和采购人将以书面形式（或网上公告）给所有获取招标文件的潜在投标人予以答复（答复中不包括问题的来源）,采购代理机构和采购人认为必要时可召开答疑会，并将会议内容告知所有潜在投标人。</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招标文件的澄清、修改</w:t>
      </w:r>
    </w:p>
    <w:p>
      <w:pPr>
        <w:numPr>
          <w:ilvl w:val="0"/>
          <w:numId w:val="15"/>
        </w:numPr>
        <w:spacing w:line="276" w:lineRule="auto"/>
        <w:ind w:left="476" w:hanging="476"/>
        <w:rPr>
          <w:rFonts w:hint="eastAsia" w:ascii="宋体" w:hAnsi="宋体" w:eastAsia="宋体" w:cs="宋体"/>
          <w:kern w:val="0"/>
          <w:szCs w:val="21"/>
          <w:lang w:val="zh-CN"/>
        </w:rPr>
      </w:pPr>
      <w:r>
        <w:rPr>
          <w:rFonts w:hint="eastAsia" w:ascii="宋体" w:hAnsi="宋体" w:eastAsia="宋体" w:cs="宋体"/>
          <w:szCs w:val="21"/>
          <w:lang w:val="zh-CN"/>
        </w:rPr>
        <w:t>采购人和采购代理机构可以对已发出的招标文件进行必要的澄清或者修改。</w:t>
      </w:r>
      <w:r>
        <w:rPr>
          <w:rFonts w:hint="eastAsia" w:ascii="宋体" w:hAnsi="宋体" w:eastAsia="宋体" w:cs="宋体"/>
          <w:kern w:val="0"/>
          <w:szCs w:val="21"/>
          <w:lang w:val="zh-CN"/>
        </w:rPr>
        <w:t>澄清或者修改将在原公告发布媒体上发布。澄清或者修改的内容可能影响投标文件编制的，采购人和采购代理机构将在投标截止时间至少</w:t>
      </w:r>
      <w:r>
        <w:rPr>
          <w:rFonts w:hint="eastAsia" w:ascii="宋体" w:hAnsi="宋体" w:eastAsia="宋体" w:cs="宋体"/>
          <w:szCs w:val="21"/>
          <w:lang w:val="zh-CN"/>
        </w:rPr>
        <w:t>15</w:t>
      </w:r>
      <w:r>
        <w:rPr>
          <w:rFonts w:hint="eastAsia" w:ascii="宋体" w:hAnsi="宋体" w:eastAsia="宋体" w:cs="宋体"/>
          <w:kern w:val="0"/>
          <w:szCs w:val="21"/>
          <w:lang w:val="zh-CN"/>
        </w:rPr>
        <w:t>日前，以书面形式通知所有获取招标文件的潜在投标人。</w:t>
      </w:r>
    </w:p>
    <w:p>
      <w:pPr>
        <w:numPr>
          <w:ilvl w:val="0"/>
          <w:numId w:val="15"/>
        </w:numPr>
        <w:spacing w:line="276" w:lineRule="auto"/>
        <w:ind w:left="476" w:hanging="476"/>
        <w:rPr>
          <w:rFonts w:hint="eastAsia" w:ascii="宋体" w:hAnsi="宋体" w:eastAsia="宋体" w:cs="宋体"/>
          <w:szCs w:val="21"/>
          <w:lang w:val="zh-CN"/>
        </w:rPr>
      </w:pPr>
      <w:r>
        <w:rPr>
          <w:rFonts w:hint="eastAsia" w:ascii="宋体" w:hAnsi="宋体" w:eastAsia="宋体" w:cs="宋体"/>
          <w:szCs w:val="21"/>
          <w:lang w:val="zh-CN"/>
        </w:rPr>
        <w:t>为使潜在投标人有充足时间对招标文件的澄清或者修改的内容进行研究和响应，采购人和采购代理机构可适当顺延提交投标文件的截止时间，并以书面形式（或网上公告）通知所有领取招标文件的潜在投标人。</w:t>
      </w:r>
    </w:p>
    <w:p>
      <w:pPr>
        <w:numPr>
          <w:ilvl w:val="0"/>
          <w:numId w:val="15"/>
        </w:numPr>
        <w:spacing w:line="276" w:lineRule="auto"/>
        <w:ind w:left="476" w:hanging="476"/>
        <w:rPr>
          <w:rFonts w:hint="eastAsia" w:ascii="宋体" w:hAnsi="宋体" w:eastAsia="宋体" w:cs="宋体"/>
          <w:szCs w:val="21"/>
          <w:lang w:val="zh-CN"/>
        </w:rPr>
      </w:pPr>
      <w:r>
        <w:rPr>
          <w:rFonts w:hint="eastAsia" w:ascii="宋体" w:hAnsi="宋体" w:eastAsia="宋体" w:cs="宋体"/>
          <w:szCs w:val="21"/>
          <w:lang w:val="zh-CN"/>
        </w:rPr>
        <w:t>澄清或者修改的内容为招标文件的组成部分，并对潜在投标人具有约束力。潜在投标人在收到上述通知后，应立即以书面形式向采购代理机构确认收悉。</w:t>
      </w:r>
    </w:p>
    <w:p>
      <w:pPr>
        <w:numPr>
          <w:ilvl w:val="0"/>
          <w:numId w:val="15"/>
        </w:numPr>
        <w:spacing w:line="276" w:lineRule="auto"/>
        <w:ind w:left="476" w:hanging="476"/>
        <w:rPr>
          <w:rFonts w:hint="eastAsia" w:ascii="宋体" w:hAnsi="宋体" w:eastAsia="宋体" w:cs="宋体"/>
          <w:szCs w:val="21"/>
          <w:lang w:val="zh-CN"/>
        </w:rPr>
      </w:pPr>
      <w:r>
        <w:rPr>
          <w:rFonts w:hint="eastAsia" w:ascii="宋体" w:hAnsi="宋体" w:eastAsia="宋体" w:cs="宋体"/>
          <w:szCs w:val="21"/>
          <w:lang w:val="zh-CN"/>
        </w:rPr>
        <w:t>招标文件中如有描述歧义或前后不一致的地方，评标委员会有权按公平、合理的原则进行评判，对同一条款的评判标准适用于每个供应商。</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现场考察</w:t>
      </w:r>
    </w:p>
    <w:p>
      <w:pPr>
        <w:numPr>
          <w:ilvl w:val="0"/>
          <w:numId w:val="16"/>
        </w:numPr>
        <w:spacing w:line="276" w:lineRule="auto"/>
        <w:ind w:left="476" w:hanging="476"/>
        <w:rPr>
          <w:rFonts w:hint="eastAsia" w:ascii="宋体" w:hAnsi="宋体" w:eastAsia="宋体" w:cs="宋体"/>
          <w:szCs w:val="21"/>
          <w:lang w:val="zh-CN"/>
        </w:rPr>
      </w:pPr>
      <w:r>
        <w:rPr>
          <w:rFonts w:hint="eastAsia" w:ascii="宋体" w:hAnsi="宋体" w:eastAsia="宋体" w:cs="宋体"/>
          <w:szCs w:val="21"/>
          <w:lang w:val="zh-CN"/>
        </w:rPr>
        <w:t>采购人可以视项目的具体情况，在招标文件提供期限截止后，组织已获取招标文件的潜在投标人现场考察，潜在投标人可对项目现场及周围环境进行考察，以便获取有关编制投标文件和签署合同所涉及现场的资料。</w:t>
      </w:r>
    </w:p>
    <w:p>
      <w:pPr>
        <w:numPr>
          <w:ilvl w:val="0"/>
          <w:numId w:val="16"/>
        </w:numPr>
        <w:spacing w:line="276" w:lineRule="auto"/>
        <w:ind w:left="476" w:hanging="476"/>
        <w:rPr>
          <w:rFonts w:hint="eastAsia" w:ascii="宋体" w:hAnsi="宋体" w:eastAsia="宋体" w:cs="宋体"/>
          <w:szCs w:val="21"/>
          <w:lang w:val="zh-CN"/>
        </w:rPr>
      </w:pPr>
      <w:r>
        <w:rPr>
          <w:rFonts w:hint="eastAsia" w:ascii="宋体" w:hAnsi="宋体" w:eastAsia="宋体" w:cs="宋体"/>
          <w:szCs w:val="21"/>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6"/>
        </w:numPr>
        <w:spacing w:line="276" w:lineRule="auto"/>
        <w:ind w:left="476" w:hanging="476"/>
        <w:rPr>
          <w:rFonts w:hint="eastAsia" w:ascii="宋体" w:hAnsi="宋体" w:eastAsia="宋体" w:cs="宋体"/>
          <w:szCs w:val="21"/>
          <w:lang w:val="zh-CN"/>
        </w:rPr>
      </w:pPr>
      <w:r>
        <w:rPr>
          <w:rFonts w:hint="eastAsia" w:ascii="宋体" w:hAnsi="宋体" w:eastAsia="宋体" w:cs="宋体"/>
          <w:szCs w:val="21"/>
          <w:lang w:val="zh-CN"/>
        </w:rPr>
        <w:t>经采购人允许，潜在投标人可进入项目现场进行考察，但潜在投标人不得因此使采购人承担有关责任和蒙受损失。潜在投标人应自行承担现场考察的全部费用、责任和风险。</w:t>
      </w:r>
    </w:p>
    <w:p>
      <w:pPr>
        <w:keepNext/>
        <w:keepLines/>
        <w:numPr>
          <w:ilvl w:val="0"/>
          <w:numId w:val="8"/>
        </w:numPr>
        <w:spacing w:line="276" w:lineRule="auto"/>
        <w:ind w:left="426" w:hanging="426"/>
        <w:jc w:val="left"/>
        <w:outlineLvl w:val="1"/>
        <w:rPr>
          <w:rFonts w:hint="eastAsia" w:ascii="宋体" w:hAnsi="宋体" w:eastAsia="宋体" w:cs="宋体"/>
          <w:b/>
          <w:kern w:val="0"/>
          <w:szCs w:val="21"/>
          <w:lang w:val="zh-CN"/>
        </w:rPr>
      </w:pPr>
      <w:bookmarkStart w:id="19" w:name="_Toc278891593"/>
      <w:bookmarkStart w:id="20" w:name="_Toc494561940"/>
      <w:bookmarkStart w:id="21" w:name="_Toc20199"/>
      <w:bookmarkStart w:id="22" w:name="_Toc97815000"/>
      <w:bookmarkStart w:id="23" w:name="_Toc272247696"/>
      <w:r>
        <w:rPr>
          <w:rFonts w:hint="eastAsia" w:ascii="宋体" w:hAnsi="宋体" w:eastAsia="宋体" w:cs="宋体"/>
          <w:b/>
          <w:kern w:val="0"/>
          <w:szCs w:val="21"/>
          <w:lang w:val="zh-CN"/>
        </w:rPr>
        <w:t>投标文件</w:t>
      </w:r>
      <w:bookmarkEnd w:id="19"/>
      <w:bookmarkEnd w:id="20"/>
      <w:bookmarkEnd w:id="21"/>
      <w:bookmarkEnd w:id="22"/>
      <w:bookmarkEnd w:id="23"/>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投标的语言和计量单位</w:t>
      </w:r>
    </w:p>
    <w:p>
      <w:pPr>
        <w:numPr>
          <w:ilvl w:val="0"/>
          <w:numId w:val="17"/>
        </w:numPr>
        <w:spacing w:line="276" w:lineRule="auto"/>
        <w:ind w:left="476" w:hanging="476"/>
        <w:rPr>
          <w:rFonts w:hint="eastAsia" w:ascii="宋体" w:hAnsi="宋体" w:eastAsia="宋体" w:cs="宋体"/>
          <w:szCs w:val="21"/>
          <w:lang w:val="zh-CN"/>
        </w:rPr>
      </w:pPr>
      <w:r>
        <w:rPr>
          <w:rFonts w:hint="eastAsia" w:ascii="宋体" w:hAnsi="宋体" w:eastAsia="宋体" w:cs="宋体"/>
          <w:szCs w:val="21"/>
          <w:lang w:val="zh-CN"/>
        </w:rPr>
        <w:t>投标人提交的投标文件以及投标人与采购人或采购代理机构就有关投标的所有来往函电均应使用中文。投标人提交的相关证明文件、资料或文献可以用另一种语言，但相应内容应附有中文翻译本，在解释投标文件的相关内容时以中文翻译本为准。</w:t>
      </w:r>
    </w:p>
    <w:p>
      <w:pPr>
        <w:numPr>
          <w:ilvl w:val="0"/>
          <w:numId w:val="17"/>
        </w:numPr>
        <w:spacing w:line="276" w:lineRule="auto"/>
        <w:ind w:left="476" w:hanging="476"/>
        <w:rPr>
          <w:rFonts w:hint="eastAsia" w:ascii="宋体" w:hAnsi="宋体" w:eastAsia="宋体" w:cs="宋体"/>
          <w:szCs w:val="21"/>
          <w:lang w:val="zh-CN"/>
        </w:rPr>
      </w:pPr>
      <w:r>
        <w:rPr>
          <w:rFonts w:hint="eastAsia" w:ascii="宋体" w:hAnsi="宋体" w:eastAsia="宋体" w:cs="宋体"/>
          <w:szCs w:val="21"/>
          <w:lang w:val="zh-CN"/>
        </w:rPr>
        <w:t>除非招标文件</w:t>
      </w:r>
      <w:r>
        <w:rPr>
          <w:rFonts w:hint="eastAsia" w:ascii="宋体" w:hAnsi="宋体" w:eastAsia="宋体" w:cs="宋体"/>
          <w:szCs w:val="21"/>
        </w:rPr>
        <w:t>中另有规定，计量单位均采用中华人民共和国法定的计量单位。</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投标文件的构成</w:t>
      </w:r>
    </w:p>
    <w:p>
      <w:pPr>
        <w:numPr>
          <w:ilvl w:val="0"/>
          <w:numId w:val="18"/>
        </w:numPr>
        <w:spacing w:line="276" w:lineRule="auto"/>
        <w:ind w:left="567" w:hanging="567"/>
        <w:rPr>
          <w:rFonts w:hint="eastAsia" w:ascii="宋体" w:hAnsi="宋体" w:eastAsia="宋体" w:cs="宋体"/>
          <w:szCs w:val="21"/>
          <w:lang w:val="zh-CN"/>
        </w:rPr>
      </w:pPr>
      <w:r>
        <w:rPr>
          <w:rFonts w:hint="eastAsia" w:ascii="宋体" w:hAnsi="宋体" w:eastAsia="宋体" w:cs="宋体"/>
          <w:szCs w:val="21"/>
          <w:lang w:val="zh-CN"/>
        </w:rPr>
        <w:t>投标人编制的投标文件应包括但不限于本文件第七章投标文件格式要求提供的内容。</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投标文件编制</w:t>
      </w:r>
    </w:p>
    <w:p>
      <w:pPr>
        <w:numPr>
          <w:ilvl w:val="0"/>
          <w:numId w:val="19"/>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如本项目包含多个标段，投标人拟参与多个标段投标的，应按每标段要求分别编制、装订和封装（“装订和封装”指招标文件规定接收投标文件的情况）投标文件，并注明对应标段编号。</w:t>
      </w:r>
    </w:p>
    <w:p>
      <w:pPr>
        <w:numPr>
          <w:ilvl w:val="0"/>
          <w:numId w:val="19"/>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投标人应认真阅读并充分理解招标文件的全部内容（包括所有的澄清、修改和补充文件），并对招标文件提出的条件和要求作出明确响应</w:t>
      </w:r>
      <w:r>
        <w:rPr>
          <w:rFonts w:hint="eastAsia" w:ascii="宋体" w:hAnsi="宋体" w:eastAsia="宋体" w:cs="宋体"/>
          <w:szCs w:val="21"/>
        </w:rPr>
        <w:t>。如因投标人只填写和提供了招标文件要求的部分内容和附件，而给评审造成困难，其可能导致的结果和责任由投标人自行承担。</w:t>
      </w:r>
    </w:p>
    <w:p>
      <w:pPr>
        <w:numPr>
          <w:ilvl w:val="0"/>
          <w:numId w:val="19"/>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投标人应按照招标文件第七章</w:t>
      </w:r>
      <w:r>
        <w:rPr>
          <w:rFonts w:hint="eastAsia" w:ascii="宋体" w:hAnsi="宋体" w:eastAsia="宋体" w:cs="宋体"/>
          <w:szCs w:val="21"/>
        </w:rPr>
        <w:t>“</w:t>
      </w:r>
      <w:r>
        <w:rPr>
          <w:rFonts w:hint="eastAsia" w:ascii="宋体" w:hAnsi="宋体" w:eastAsia="宋体" w:cs="宋体"/>
          <w:szCs w:val="21"/>
          <w:lang w:val="zh-CN"/>
        </w:rPr>
        <w:t>投标文件格式”的要求编制投标文件。投标人可根据实际情况对投标文件的格式及内容适当添加、调整，但应包含招标文件要求填写的内容，无相应内容可填的，应填写</w:t>
      </w:r>
      <w:r>
        <w:rPr>
          <w:rFonts w:hint="eastAsia" w:ascii="宋体" w:hAnsi="宋体" w:eastAsia="宋体" w:cs="宋体"/>
          <w:b/>
          <w:szCs w:val="21"/>
          <w:lang w:val="zh-CN"/>
        </w:rPr>
        <w:t>“无”、“不适用”、“未测试”、“没有相应指标”</w:t>
      </w:r>
      <w:r>
        <w:rPr>
          <w:rFonts w:hint="eastAsia" w:ascii="宋体" w:hAnsi="宋体" w:eastAsia="宋体" w:cs="宋体"/>
          <w:szCs w:val="21"/>
          <w:lang w:val="zh-CN"/>
        </w:rPr>
        <w:t>等文字。如招标文件未规定格式的，相关格式由投标人自定。</w:t>
      </w:r>
    </w:p>
    <w:p>
      <w:pPr>
        <w:numPr>
          <w:ilvl w:val="0"/>
          <w:numId w:val="19"/>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投标人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pPr>
        <w:numPr>
          <w:ilvl w:val="0"/>
          <w:numId w:val="19"/>
        </w:numPr>
        <w:spacing w:line="276" w:lineRule="auto"/>
        <w:ind w:left="616" w:hanging="616"/>
        <w:rPr>
          <w:rFonts w:hint="eastAsia" w:ascii="宋体" w:hAnsi="宋体" w:eastAsia="宋体" w:cs="宋体"/>
          <w:szCs w:val="21"/>
          <w:lang w:val="zh-CN"/>
        </w:rPr>
      </w:pPr>
      <w:r>
        <w:rPr>
          <w:rFonts w:hint="eastAsia" w:ascii="宋体" w:hAnsi="宋体" w:eastAsia="宋体" w:cs="宋体"/>
          <w:szCs w:val="21"/>
        </w:rPr>
        <w:t>投标人应</w:t>
      </w:r>
      <w:r>
        <w:rPr>
          <w:rFonts w:hint="eastAsia" w:ascii="宋体" w:hAnsi="宋体" w:eastAsia="宋体" w:cs="宋体"/>
          <w:color w:val="0C0C0C"/>
          <w:szCs w:val="21"/>
          <w:lang w:val="zh-CN"/>
        </w:rPr>
        <w:t>对所提交全部资料的真实性</w:t>
      </w:r>
      <w:r>
        <w:rPr>
          <w:rFonts w:hint="eastAsia" w:ascii="宋体" w:hAnsi="宋体" w:eastAsia="宋体" w:cs="宋体"/>
          <w:szCs w:val="21"/>
        </w:rPr>
        <w:t>、合法性承担法律责任，</w:t>
      </w:r>
      <w:r>
        <w:rPr>
          <w:rFonts w:hint="eastAsia" w:ascii="宋体" w:hAnsi="宋体" w:eastAsia="宋体" w:cs="宋体"/>
          <w:color w:val="0C0C0C"/>
          <w:szCs w:val="21"/>
          <w:lang w:val="zh-CN"/>
        </w:rPr>
        <w:t>如有虚假，将依法承担相应责任。投标人应自觉接受采购人或采购代理机构对其中任何资料进一步核实的要求。</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投标报价</w:t>
      </w:r>
    </w:p>
    <w:p>
      <w:pPr>
        <w:numPr>
          <w:ilvl w:val="0"/>
          <w:numId w:val="20"/>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除非招标文件另有要求，投标人所提供的货物（工程或服务）</w:t>
      </w:r>
      <w:r>
        <w:rPr>
          <w:rFonts w:hint="eastAsia" w:ascii="宋体" w:hAnsi="宋体" w:eastAsia="宋体" w:cs="宋体"/>
          <w:snapToGrid w:val="0"/>
          <w:szCs w:val="21"/>
          <w:lang w:val="zh-CN"/>
        </w:rPr>
        <w:t>均应以人民币作为货币单位</w:t>
      </w:r>
      <w:r>
        <w:rPr>
          <w:rFonts w:hint="eastAsia" w:ascii="宋体" w:hAnsi="宋体" w:eastAsia="宋体" w:cs="宋体"/>
          <w:szCs w:val="21"/>
          <w:lang w:val="zh-CN"/>
        </w:rPr>
        <w:t>。</w:t>
      </w:r>
    </w:p>
    <w:p>
      <w:pPr>
        <w:numPr>
          <w:ilvl w:val="0"/>
          <w:numId w:val="20"/>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招标文件允许以多种货币报价的，在进行价格评审时，以投标文件递交当日中国银行总行首次发布的外币对人民币的现汇卖出价进行报价货币对人民币的转换以计算评审价格。</w:t>
      </w:r>
    </w:p>
    <w:p>
      <w:pPr>
        <w:numPr>
          <w:ilvl w:val="0"/>
          <w:numId w:val="20"/>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本采购项目预算金额详见第一章招标公告（投标邀请书）。投标人的报价不得超过该预算金额，</w:t>
      </w:r>
      <w:r>
        <w:rPr>
          <w:rFonts w:hint="eastAsia" w:ascii="宋体" w:hAnsi="宋体" w:eastAsia="宋体" w:cs="宋体"/>
          <w:b/>
          <w:szCs w:val="21"/>
          <w:lang w:val="zh-CN"/>
        </w:rPr>
        <w:t>否则按无效投标处理</w:t>
      </w:r>
      <w:r>
        <w:rPr>
          <w:rFonts w:hint="eastAsia" w:ascii="宋体" w:hAnsi="宋体" w:eastAsia="宋体" w:cs="宋体"/>
          <w:szCs w:val="21"/>
          <w:lang w:val="zh-CN"/>
        </w:rPr>
        <w:t>。报价应包含完成招标文件采购需求全部内容的所有费用，所有根据招标文件或其它原因应由投标人支付的税款和其他应交纳的费用都应包括在报价中，但投标人不得以低于其成本的价格进行报价。</w:t>
      </w:r>
    </w:p>
    <w:p>
      <w:pPr>
        <w:numPr>
          <w:ilvl w:val="0"/>
          <w:numId w:val="20"/>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投标人应对项目招标范围内的全部内容及合同条款进行报价，并按招标文件规定的格式报出。报价中不得包含招标文件要求以外的内容，否则在评审时不予核减。</w:t>
      </w:r>
      <w:r>
        <w:rPr>
          <w:rFonts w:hint="eastAsia" w:ascii="宋体" w:hAnsi="宋体" w:eastAsia="宋体" w:cs="宋体"/>
          <w:b/>
          <w:szCs w:val="21"/>
          <w:lang w:val="zh-CN"/>
        </w:rPr>
        <w:t>报价中不得缺、漏项或只投其中的部分内容，否则按照无效投标处理</w:t>
      </w:r>
      <w:r>
        <w:rPr>
          <w:rFonts w:hint="eastAsia" w:ascii="宋体" w:hAnsi="宋体" w:eastAsia="宋体" w:cs="宋体"/>
          <w:szCs w:val="21"/>
          <w:lang w:val="zh-CN"/>
        </w:rPr>
        <w:t>。</w:t>
      </w:r>
    </w:p>
    <w:p>
      <w:pPr>
        <w:numPr>
          <w:ilvl w:val="0"/>
          <w:numId w:val="20"/>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对于招标文件未列明，而投标人认为必需的其他费用也需列入其投标总价。在合同实施时，采购人将不予支付投标人没有列入的项目费用，并认为此项目的费用已包括在其投标总价中。</w:t>
      </w:r>
    </w:p>
    <w:p>
      <w:pPr>
        <w:numPr>
          <w:ilvl w:val="0"/>
          <w:numId w:val="20"/>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每一种规格的货物（工程或服务）只允许有一个报价，</w:t>
      </w:r>
      <w:r>
        <w:rPr>
          <w:rFonts w:hint="eastAsia" w:ascii="宋体" w:hAnsi="宋体" w:eastAsia="宋体" w:cs="宋体"/>
          <w:b/>
          <w:szCs w:val="21"/>
          <w:lang w:val="zh-CN"/>
        </w:rPr>
        <w:t>否则按照无效投标处理</w:t>
      </w:r>
      <w:r>
        <w:rPr>
          <w:rFonts w:hint="eastAsia" w:ascii="宋体" w:hAnsi="宋体" w:eastAsia="宋体" w:cs="宋体"/>
          <w:szCs w:val="21"/>
          <w:lang w:val="zh-CN"/>
        </w:rPr>
        <w:t>。</w:t>
      </w:r>
    </w:p>
    <w:p>
      <w:pPr>
        <w:numPr>
          <w:ilvl w:val="0"/>
          <w:numId w:val="20"/>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投标人的投标报价在合同执行过程中是固定不变的，不得以任何理由予以变更。故投标人的投标总报价应包含本招标内容全部工作所需的一切费用。投标人应根据本招标文件的规定和要求、市场价格水平及其走势、投标人的管理水平、投标方案和由这些因素决定的投标人之于本项目的成本水平等提出自己的合理报价。对在合同实施过程中可能发生的其它费用（如：增加耗材、材料涨价、人工、后期维护、技术支持、运输成本增加等因素），采购人不予支持。</w:t>
      </w:r>
    </w:p>
    <w:p>
      <w:pPr>
        <w:numPr>
          <w:ilvl w:val="0"/>
          <w:numId w:val="20"/>
        </w:numPr>
        <w:spacing w:line="276" w:lineRule="auto"/>
        <w:ind w:left="616" w:hanging="616"/>
        <w:rPr>
          <w:rFonts w:hint="eastAsia" w:ascii="宋体" w:hAnsi="宋体" w:eastAsia="宋体" w:cs="宋体"/>
          <w:szCs w:val="21"/>
          <w:lang w:val="zh-CN"/>
        </w:rPr>
      </w:pPr>
      <w:r>
        <w:rPr>
          <w:rFonts w:hint="eastAsia" w:ascii="宋体" w:hAnsi="宋体" w:eastAsia="宋体" w:cs="宋体"/>
          <w:snapToGrid w:val="0"/>
          <w:szCs w:val="21"/>
          <w:lang w:val="zh-CN"/>
        </w:rPr>
        <w:t>中标人负责本项目所需的售后服务等全部工作，招标文件另有规定的除外。</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备选方案</w:t>
      </w:r>
    </w:p>
    <w:p>
      <w:pPr>
        <w:numPr>
          <w:ilvl w:val="0"/>
          <w:numId w:val="21"/>
        </w:numPr>
        <w:spacing w:line="276" w:lineRule="auto"/>
        <w:ind w:left="567" w:hanging="616"/>
        <w:rPr>
          <w:rFonts w:hint="eastAsia" w:ascii="宋体" w:hAnsi="宋体" w:eastAsia="宋体" w:cs="宋体"/>
          <w:szCs w:val="21"/>
          <w:lang w:val="zh-CN"/>
        </w:rPr>
      </w:pPr>
      <w:r>
        <w:rPr>
          <w:rFonts w:hint="eastAsia" w:ascii="宋体" w:hAnsi="宋体" w:eastAsia="宋体" w:cs="宋体"/>
          <w:szCs w:val="21"/>
          <w:lang w:val="zh-CN"/>
        </w:rPr>
        <w:t>只允许投标人提供一个投标方案（招标文件中要求提供备选方案的除外），</w:t>
      </w:r>
      <w:r>
        <w:rPr>
          <w:rFonts w:hint="eastAsia" w:ascii="宋体" w:hAnsi="宋体" w:eastAsia="宋体" w:cs="宋体"/>
          <w:b/>
          <w:szCs w:val="21"/>
          <w:lang w:val="zh-CN"/>
        </w:rPr>
        <w:t>否则按照无效投标处理</w:t>
      </w:r>
      <w:r>
        <w:rPr>
          <w:rFonts w:hint="eastAsia" w:ascii="宋体" w:hAnsi="宋体" w:eastAsia="宋体" w:cs="宋体"/>
          <w:szCs w:val="21"/>
          <w:lang w:val="zh-CN"/>
        </w:rPr>
        <w:t>。</w:t>
      </w:r>
    </w:p>
    <w:p>
      <w:pPr>
        <w:numPr>
          <w:ilvl w:val="0"/>
          <w:numId w:val="21"/>
        </w:numPr>
        <w:spacing w:line="276" w:lineRule="auto"/>
        <w:ind w:left="567" w:hanging="616"/>
        <w:rPr>
          <w:rFonts w:hint="eastAsia" w:ascii="宋体" w:hAnsi="宋体" w:eastAsia="宋体" w:cs="宋体"/>
          <w:szCs w:val="21"/>
          <w:lang w:val="zh-CN"/>
        </w:rPr>
      </w:pPr>
      <w:r>
        <w:rPr>
          <w:rFonts w:hint="eastAsia" w:ascii="宋体" w:hAnsi="宋体" w:eastAsia="宋体" w:cs="宋体"/>
          <w:szCs w:val="21"/>
          <w:lang w:val="zh-CN"/>
        </w:rPr>
        <w:t>本项目若接受备选方案的，投标人在投标文件中只能提供一个备选方案并注明主选方案，且备选方案的投标价格不得高于主选方案。评标时仅对主选方案评议。如果投标人提供两个以上备选方案或未注明主选方案，其投标将被拒绝。</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中标后分包</w:t>
      </w:r>
    </w:p>
    <w:p>
      <w:pPr>
        <w:numPr>
          <w:ilvl w:val="0"/>
          <w:numId w:val="22"/>
        </w:numPr>
        <w:spacing w:line="276" w:lineRule="auto"/>
        <w:rPr>
          <w:rFonts w:hint="eastAsia" w:ascii="宋体" w:hAnsi="宋体" w:eastAsia="宋体" w:cs="宋体"/>
          <w:szCs w:val="21"/>
          <w:lang w:val="zh-CN"/>
        </w:rPr>
      </w:pPr>
      <w:r>
        <w:rPr>
          <w:rFonts w:hint="eastAsia" w:ascii="宋体" w:hAnsi="宋体" w:eastAsia="宋体" w:cs="宋体"/>
          <w:szCs w:val="21"/>
          <w:lang w:val="zh-CN"/>
        </w:rPr>
        <w:t xml:space="preserve"> 本项目是否允许中标后分包详见《投标人须知前附表》。</w:t>
      </w:r>
    </w:p>
    <w:p>
      <w:pPr>
        <w:numPr>
          <w:ilvl w:val="0"/>
          <w:numId w:val="22"/>
        </w:numPr>
        <w:spacing w:line="276" w:lineRule="auto"/>
        <w:ind w:left="567" w:hanging="567"/>
        <w:rPr>
          <w:rFonts w:hint="eastAsia" w:ascii="宋体" w:hAnsi="宋体" w:eastAsia="宋体" w:cs="宋体"/>
          <w:szCs w:val="21"/>
          <w:lang w:val="zh-CN"/>
        </w:rPr>
      </w:pPr>
      <w:r>
        <w:rPr>
          <w:rFonts w:hint="eastAsia" w:ascii="宋体" w:hAnsi="宋体" w:eastAsia="宋体" w:cs="宋体"/>
          <w:szCs w:val="21"/>
          <w:lang w:val="zh-CN"/>
        </w:rPr>
        <w:t>招标文件规定项目非主体、非关键性工作中标后可以分包的，投标人拟在中标后将项目的非主体、  非关键性工作分包，应当在投标文件中载明具备相应资质条件的分包承担主体，分包承担主体不得再次分包。</w:t>
      </w:r>
    </w:p>
    <w:p>
      <w:pPr>
        <w:numPr>
          <w:ilvl w:val="0"/>
          <w:numId w:val="22"/>
        </w:numPr>
        <w:spacing w:line="276" w:lineRule="auto"/>
        <w:ind w:left="567" w:hanging="567"/>
        <w:rPr>
          <w:rFonts w:hint="eastAsia" w:ascii="宋体" w:hAnsi="宋体" w:eastAsia="宋体" w:cs="宋体"/>
          <w:szCs w:val="21"/>
          <w:lang w:val="zh-CN"/>
        </w:rPr>
      </w:pPr>
      <w:r>
        <w:rPr>
          <w:rFonts w:hint="eastAsia" w:ascii="宋体" w:hAnsi="宋体" w:eastAsia="宋体" w:cs="宋体"/>
          <w:color w:val="FF0000"/>
          <w:szCs w:val="21"/>
          <w:lang w:val="zh-CN"/>
        </w:rPr>
        <w:t>享受中小企业扶持政策获得政府采购合同的，小微企业不得将合同分包给大中型企业，中型企业不得将合同分包给大型企业。</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联合体投标</w:t>
      </w:r>
    </w:p>
    <w:p>
      <w:pPr>
        <w:numPr>
          <w:ilvl w:val="0"/>
          <w:numId w:val="23"/>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本项目是否允许联合体投标详见《投标人须知前附表》。</w:t>
      </w:r>
    </w:p>
    <w:p>
      <w:pPr>
        <w:numPr>
          <w:ilvl w:val="0"/>
          <w:numId w:val="23"/>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两个以上的自然人、法人或者其他组织可以组成一个联合体，以一个投标人的身份共同参加政府采购。</w:t>
      </w:r>
    </w:p>
    <w:p>
      <w:pPr>
        <w:numPr>
          <w:ilvl w:val="0"/>
          <w:numId w:val="23"/>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以联合体形式进行政府采购的，参加联合体的投标人均应当具备《政府采购法》第二十二条规定的条件，并应当向采购人提交联合协议，载明联合体各方承担的工作和义务。</w:t>
      </w:r>
    </w:p>
    <w:p>
      <w:pPr>
        <w:numPr>
          <w:ilvl w:val="0"/>
          <w:numId w:val="23"/>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以联合体形式参加政府采购活动的，联合体各方不得再单独参加或者与其他投标人另外组成联合体参加同一合同项下的政府采购活动。</w:t>
      </w:r>
    </w:p>
    <w:p>
      <w:pPr>
        <w:numPr>
          <w:ilvl w:val="0"/>
          <w:numId w:val="23"/>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联合体中标的，联合体各方应当共同与采购人</w:t>
      </w:r>
      <w:r>
        <w:rPr>
          <w:rFonts w:hint="eastAsia" w:ascii="宋体" w:hAnsi="宋体" w:eastAsia="宋体" w:cs="宋体"/>
          <w:color w:val="0C0C0C"/>
          <w:szCs w:val="21"/>
          <w:lang w:val="zh-CN"/>
        </w:rPr>
        <w:t>签订采购合同，</w:t>
      </w:r>
      <w:r>
        <w:rPr>
          <w:rFonts w:hint="eastAsia" w:ascii="宋体" w:hAnsi="宋体" w:eastAsia="宋体" w:cs="宋体"/>
          <w:color w:val="0C0C0C"/>
          <w:szCs w:val="21"/>
        </w:rPr>
        <w:t>就采购合同约定的事项对采购人承担连带责任</w:t>
      </w:r>
      <w:r>
        <w:rPr>
          <w:rFonts w:hint="eastAsia" w:ascii="宋体" w:hAnsi="宋体" w:eastAsia="宋体" w:cs="宋体"/>
          <w:szCs w:val="21"/>
          <w:lang w:val="zh-CN"/>
        </w:rPr>
        <w:t>。</w:t>
      </w:r>
    </w:p>
    <w:p>
      <w:pPr>
        <w:numPr>
          <w:ilvl w:val="0"/>
          <w:numId w:val="23"/>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联合体中有同类资质的投标人按照联合体分工承担相同工作的，应当按照资质等级较低的投标人确定资质等级。</w:t>
      </w:r>
    </w:p>
    <w:p>
      <w:pPr>
        <w:numPr>
          <w:ilvl w:val="0"/>
          <w:numId w:val="23"/>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以联合体形式参与投标的，其政府采购政策价格扣除相关规定详见第五章“评标方法、程序及标准”。</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资格证明文件</w:t>
      </w:r>
    </w:p>
    <w:p>
      <w:pPr>
        <w:numPr>
          <w:ilvl w:val="0"/>
          <w:numId w:val="24"/>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投标人应按本节及第四章资格审查方法及标准中《资格审查表》的要求，提供足以证明其符合资格要求且中标后有能力履行合同的文件，并作为其投标文件的组成部分。</w:t>
      </w:r>
    </w:p>
    <w:p>
      <w:pPr>
        <w:numPr>
          <w:ilvl w:val="0"/>
          <w:numId w:val="24"/>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证明材料仅限于投标人单位本身，母公司、股东单位和子公司的材料不能作为证明材料，但投标人单位兼并的企业的材料可作为证明材料。</w:t>
      </w:r>
    </w:p>
    <w:p>
      <w:pPr>
        <w:numPr>
          <w:ilvl w:val="0"/>
          <w:numId w:val="24"/>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资格证明文件正本应为原件清晰复印件且加盖单位公章，</w:t>
      </w:r>
      <w:r>
        <w:rPr>
          <w:rFonts w:hint="eastAsia" w:ascii="宋体" w:hAnsi="宋体" w:eastAsia="宋体" w:cs="宋体"/>
          <w:b/>
          <w:szCs w:val="21"/>
          <w:lang w:val="zh-CN"/>
        </w:rPr>
        <w:t>否则按照无效投标处理</w:t>
      </w:r>
      <w:r>
        <w:rPr>
          <w:rFonts w:hint="eastAsia" w:ascii="宋体" w:hAnsi="宋体" w:eastAsia="宋体" w:cs="宋体"/>
          <w:szCs w:val="21"/>
          <w:lang w:val="zh-CN"/>
        </w:rPr>
        <w:t>。副本可为正本的复印件,但应在副本封面加盖单位公章。</w:t>
      </w:r>
    </w:p>
    <w:p>
      <w:pPr>
        <w:numPr>
          <w:ilvl w:val="0"/>
          <w:numId w:val="9"/>
        </w:numPr>
        <w:spacing w:line="276" w:lineRule="auto"/>
        <w:rPr>
          <w:rFonts w:hint="eastAsia" w:ascii="宋体" w:hAnsi="宋体" w:eastAsia="宋体" w:cs="宋体"/>
          <w:szCs w:val="21"/>
          <w:lang w:val="zh-CN"/>
        </w:rPr>
      </w:pPr>
      <w:r>
        <w:rPr>
          <w:rFonts w:hint="eastAsia" w:ascii="宋体" w:hAnsi="宋体" w:eastAsia="宋体" w:cs="宋体"/>
          <w:b/>
          <w:szCs w:val="21"/>
          <w:lang w:val="zh-CN"/>
        </w:rPr>
        <w:t>投标保证金</w:t>
      </w:r>
    </w:p>
    <w:p>
      <w:pPr>
        <w:numPr>
          <w:ilvl w:val="0"/>
          <w:numId w:val="25"/>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是否交纳投标保证金及递交要求详见本章《投标人须知前附表》。</w:t>
      </w:r>
    </w:p>
    <w:p>
      <w:pPr>
        <w:numPr>
          <w:ilvl w:val="0"/>
          <w:numId w:val="25"/>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招标文件要求交纳保证金的，投标人应在投标文件中提供已交纳保证金的凭证。投标人</w:t>
      </w:r>
      <w:r>
        <w:rPr>
          <w:rFonts w:hint="eastAsia" w:ascii="宋体" w:hAnsi="宋体" w:eastAsia="宋体" w:cs="宋体"/>
          <w:b/>
          <w:szCs w:val="21"/>
          <w:lang w:val="zh-CN"/>
        </w:rPr>
        <w:t>同时参加多个标段投标的，应按标段分别交纳投标保证金。</w:t>
      </w:r>
      <w:r>
        <w:rPr>
          <w:rFonts w:hint="eastAsia" w:ascii="宋体" w:hAnsi="宋体" w:eastAsia="宋体" w:cs="宋体"/>
          <w:szCs w:val="21"/>
          <w:lang w:val="zh-CN"/>
        </w:rPr>
        <w:t>投标人应在投标文件递交截至时间前，按规定将投标保证金汇入招标文件指定专用账户。</w:t>
      </w:r>
    </w:p>
    <w:p>
      <w:pPr>
        <w:numPr>
          <w:ilvl w:val="0"/>
          <w:numId w:val="25"/>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投标保证金应按以下方式递交：</w:t>
      </w:r>
    </w:p>
    <w:p>
      <w:pPr>
        <w:numPr>
          <w:ilvl w:val="0"/>
          <w:numId w:val="26"/>
        </w:numPr>
        <w:spacing w:line="276" w:lineRule="auto"/>
        <w:rPr>
          <w:rFonts w:hint="eastAsia" w:ascii="宋体" w:hAnsi="宋体" w:eastAsia="宋体" w:cs="宋体"/>
          <w:szCs w:val="21"/>
          <w:lang w:val="zh-CN"/>
        </w:rPr>
      </w:pPr>
      <w:r>
        <w:rPr>
          <w:rFonts w:hint="eastAsia" w:ascii="宋体" w:hAnsi="宋体" w:eastAsia="宋体" w:cs="宋体"/>
          <w:szCs w:val="21"/>
          <w:lang w:val="zh-CN"/>
        </w:rPr>
        <w:t>应以电汇或网上银行方式汇入保证金账户，不得以个人名义、不得以现金方式交纳。</w:t>
      </w:r>
    </w:p>
    <w:p>
      <w:pPr>
        <w:numPr>
          <w:ilvl w:val="0"/>
          <w:numId w:val="26"/>
        </w:numPr>
        <w:spacing w:line="276" w:lineRule="auto"/>
        <w:rPr>
          <w:rFonts w:hint="eastAsia" w:ascii="宋体" w:hAnsi="宋体" w:eastAsia="宋体" w:cs="宋体"/>
          <w:szCs w:val="21"/>
          <w:lang w:val="zh-CN"/>
        </w:rPr>
      </w:pPr>
      <w:r>
        <w:rPr>
          <w:rFonts w:hint="eastAsia" w:ascii="宋体" w:hAnsi="宋体" w:eastAsia="宋体" w:cs="宋体"/>
          <w:szCs w:val="21"/>
          <w:lang w:val="zh-CN"/>
        </w:rPr>
        <w:t>到账时间以到达指定账户时间为准。</w:t>
      </w:r>
    </w:p>
    <w:p>
      <w:pPr>
        <w:numPr>
          <w:ilvl w:val="0"/>
          <w:numId w:val="25"/>
        </w:numPr>
        <w:spacing w:line="276" w:lineRule="auto"/>
        <w:ind w:left="616" w:hanging="616"/>
        <w:rPr>
          <w:rFonts w:hint="eastAsia" w:ascii="宋体" w:hAnsi="宋体" w:eastAsia="宋体" w:cs="宋体"/>
          <w:szCs w:val="21"/>
          <w:lang w:val="zh-CN"/>
        </w:rPr>
      </w:pPr>
      <w:r>
        <w:rPr>
          <w:rFonts w:hint="eastAsia" w:ascii="宋体" w:hAnsi="宋体" w:eastAsia="宋体" w:cs="宋体"/>
          <w:b/>
          <w:szCs w:val="21"/>
          <w:lang w:val="zh-CN"/>
        </w:rPr>
        <w:t>未按招标文件要求递交投标保证金，或交纳保证金的账户名称与投标人名称不一致的按照无效投标处理</w:t>
      </w:r>
      <w:r>
        <w:rPr>
          <w:rFonts w:hint="eastAsia" w:ascii="宋体" w:hAnsi="宋体" w:eastAsia="宋体" w:cs="宋体"/>
          <w:szCs w:val="21"/>
          <w:lang w:val="zh-CN"/>
        </w:rPr>
        <w:t>。</w:t>
      </w:r>
    </w:p>
    <w:p>
      <w:pPr>
        <w:numPr>
          <w:ilvl w:val="0"/>
          <w:numId w:val="25"/>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采购代理机构将在自中标通知书发出之日起</w:t>
      </w:r>
      <w:r>
        <w:rPr>
          <w:rFonts w:hint="eastAsia" w:ascii="宋体" w:hAnsi="宋体" w:eastAsia="宋体" w:cs="宋体"/>
          <w:b/>
          <w:szCs w:val="21"/>
          <w:lang w:val="zh-CN"/>
        </w:rPr>
        <w:t>5</w:t>
      </w:r>
      <w:r>
        <w:rPr>
          <w:rFonts w:hint="eastAsia" w:ascii="宋体" w:hAnsi="宋体" w:eastAsia="宋体" w:cs="宋体"/>
          <w:szCs w:val="21"/>
          <w:lang w:val="zh-CN"/>
        </w:rPr>
        <w:t>个工作日内（如无质疑或投诉）退还未中标人的投标保证金；自政府采购合同签订之日起</w:t>
      </w:r>
      <w:r>
        <w:rPr>
          <w:rFonts w:hint="eastAsia" w:ascii="宋体" w:hAnsi="宋体" w:eastAsia="宋体" w:cs="宋体"/>
          <w:b/>
          <w:szCs w:val="21"/>
          <w:lang w:val="zh-CN"/>
        </w:rPr>
        <w:t>5</w:t>
      </w:r>
      <w:r>
        <w:rPr>
          <w:rFonts w:hint="eastAsia" w:ascii="宋体" w:hAnsi="宋体" w:eastAsia="宋体" w:cs="宋体"/>
          <w:szCs w:val="21"/>
          <w:lang w:val="zh-CN"/>
        </w:rPr>
        <w:t>个工作日内退还中标人的投标保证金。</w:t>
      </w:r>
    </w:p>
    <w:p>
      <w:pPr>
        <w:numPr>
          <w:ilvl w:val="0"/>
          <w:numId w:val="25"/>
        </w:numPr>
        <w:spacing w:line="276" w:lineRule="auto"/>
        <w:ind w:left="616" w:hanging="616"/>
        <w:rPr>
          <w:rFonts w:hint="eastAsia" w:ascii="宋体" w:hAnsi="宋体" w:eastAsia="宋体" w:cs="宋体"/>
          <w:szCs w:val="21"/>
          <w:lang w:val="zh-CN"/>
        </w:rPr>
      </w:pPr>
      <w:r>
        <w:rPr>
          <w:rFonts w:hint="eastAsia" w:ascii="宋体" w:hAnsi="宋体" w:eastAsia="宋体" w:cs="宋体"/>
          <w:kern w:val="0"/>
          <w:szCs w:val="21"/>
          <w:lang w:val="zh-CN"/>
        </w:rPr>
        <w:t>投标人在投标截止时间前撤回已提交的投标文件的，采购代理机构将在自收到投标人书面撤回通知之日起5个工作日内，退还已收取的投标保证金，但因投标人自身原因导致无法及时退还的除外。</w:t>
      </w:r>
    </w:p>
    <w:p>
      <w:pPr>
        <w:numPr>
          <w:ilvl w:val="0"/>
          <w:numId w:val="25"/>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投标保证金将直接退还至投标人交纳时的账户，不以现金方式退还。</w:t>
      </w:r>
    </w:p>
    <w:p>
      <w:pPr>
        <w:numPr>
          <w:ilvl w:val="0"/>
          <w:numId w:val="25"/>
        </w:numPr>
        <w:spacing w:line="276" w:lineRule="auto"/>
        <w:ind w:left="616" w:hanging="616"/>
        <w:rPr>
          <w:rFonts w:hint="eastAsia" w:ascii="宋体" w:hAnsi="宋体" w:eastAsia="宋体" w:cs="宋体"/>
          <w:b/>
          <w:szCs w:val="21"/>
          <w:lang w:val="zh-CN"/>
        </w:rPr>
      </w:pPr>
      <w:r>
        <w:rPr>
          <w:rFonts w:hint="eastAsia" w:ascii="宋体" w:hAnsi="宋体" w:eastAsia="宋体" w:cs="宋体"/>
          <w:b/>
          <w:szCs w:val="21"/>
          <w:lang w:val="zh-CN"/>
        </w:rPr>
        <w:t>投标人有下列情形之一的，其投标保证金不予退还：</w:t>
      </w:r>
    </w:p>
    <w:p>
      <w:pPr>
        <w:numPr>
          <w:ilvl w:val="0"/>
          <w:numId w:val="27"/>
        </w:numPr>
        <w:spacing w:line="276" w:lineRule="auto"/>
        <w:rPr>
          <w:rFonts w:hint="eastAsia" w:ascii="宋体" w:hAnsi="宋体" w:eastAsia="宋体" w:cs="宋体"/>
          <w:szCs w:val="21"/>
          <w:lang w:val="zh-CN"/>
        </w:rPr>
      </w:pPr>
      <w:r>
        <w:rPr>
          <w:rFonts w:hint="eastAsia" w:ascii="宋体" w:hAnsi="宋体" w:eastAsia="宋体" w:cs="宋体"/>
          <w:szCs w:val="21"/>
          <w:lang w:val="zh-CN"/>
        </w:rPr>
        <w:t>在投标文件有效期内撤销投标文件的；</w:t>
      </w:r>
    </w:p>
    <w:p>
      <w:pPr>
        <w:numPr>
          <w:ilvl w:val="0"/>
          <w:numId w:val="27"/>
        </w:numPr>
        <w:spacing w:line="276" w:lineRule="auto"/>
        <w:rPr>
          <w:rFonts w:hint="eastAsia" w:ascii="宋体" w:hAnsi="宋体" w:eastAsia="宋体" w:cs="宋体"/>
          <w:szCs w:val="21"/>
          <w:lang w:val="zh-CN"/>
        </w:rPr>
      </w:pPr>
      <w:r>
        <w:rPr>
          <w:rFonts w:hint="eastAsia" w:ascii="宋体" w:hAnsi="宋体" w:eastAsia="宋体" w:cs="宋体"/>
          <w:szCs w:val="21"/>
          <w:lang w:val="zh-CN"/>
        </w:rPr>
        <w:t>在投标文件中提供虚假材料的；</w:t>
      </w:r>
    </w:p>
    <w:p>
      <w:pPr>
        <w:numPr>
          <w:ilvl w:val="0"/>
          <w:numId w:val="27"/>
        </w:numPr>
        <w:spacing w:line="276" w:lineRule="auto"/>
        <w:rPr>
          <w:rFonts w:hint="eastAsia" w:ascii="宋体" w:hAnsi="宋体" w:eastAsia="宋体" w:cs="宋体"/>
          <w:szCs w:val="21"/>
          <w:lang w:val="zh-CN"/>
        </w:rPr>
      </w:pPr>
      <w:r>
        <w:rPr>
          <w:rFonts w:hint="eastAsia" w:ascii="宋体" w:hAnsi="宋体" w:eastAsia="宋体" w:cs="宋体"/>
          <w:szCs w:val="21"/>
          <w:lang w:val="zh-CN"/>
        </w:rPr>
        <w:t>中标后无正当理由拒绝签订政府采购合同的；</w:t>
      </w:r>
    </w:p>
    <w:p>
      <w:pPr>
        <w:numPr>
          <w:ilvl w:val="0"/>
          <w:numId w:val="27"/>
        </w:numPr>
        <w:spacing w:line="276" w:lineRule="auto"/>
        <w:rPr>
          <w:rFonts w:hint="eastAsia" w:ascii="宋体" w:hAnsi="宋体" w:eastAsia="宋体" w:cs="宋体"/>
          <w:szCs w:val="21"/>
          <w:lang w:val="zh-CN"/>
        </w:rPr>
      </w:pPr>
      <w:r>
        <w:rPr>
          <w:rFonts w:hint="eastAsia" w:ascii="宋体" w:hAnsi="宋体" w:eastAsia="宋体" w:cs="宋体"/>
          <w:szCs w:val="21"/>
          <w:lang w:val="zh-CN"/>
        </w:rPr>
        <w:t>串通投标、恶意串通的；</w:t>
      </w:r>
    </w:p>
    <w:p>
      <w:pPr>
        <w:numPr>
          <w:ilvl w:val="0"/>
          <w:numId w:val="27"/>
        </w:numPr>
        <w:spacing w:line="276" w:lineRule="auto"/>
        <w:rPr>
          <w:rFonts w:hint="eastAsia" w:ascii="宋体" w:hAnsi="宋体" w:eastAsia="宋体" w:cs="宋体"/>
          <w:szCs w:val="21"/>
          <w:lang w:val="zh-CN"/>
        </w:rPr>
      </w:pPr>
      <w:r>
        <w:rPr>
          <w:rFonts w:hint="eastAsia" w:ascii="宋体" w:hAnsi="宋体" w:eastAsia="宋体" w:cs="宋体"/>
          <w:szCs w:val="21"/>
          <w:lang w:val="zh-CN"/>
        </w:rPr>
        <w:t>法律、法规和招标文件中规定的其它不予退还投标保证金的情形。</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投标有效期</w:t>
      </w:r>
    </w:p>
    <w:p>
      <w:pPr>
        <w:numPr>
          <w:ilvl w:val="0"/>
          <w:numId w:val="28"/>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投标有效期详见本章《投标人须知前附表》中的规定。</w:t>
      </w:r>
      <w:r>
        <w:rPr>
          <w:rFonts w:hint="eastAsia" w:ascii="宋体" w:hAnsi="宋体" w:eastAsia="宋体" w:cs="宋体"/>
          <w:kern w:val="0"/>
          <w:szCs w:val="21"/>
          <w:lang w:val="zh-CN"/>
        </w:rPr>
        <w:t>投标文件中承诺的投标有效期应当不少于招标文件中载明的投标有效期。</w:t>
      </w:r>
      <w:r>
        <w:rPr>
          <w:rFonts w:hint="eastAsia" w:ascii="宋体" w:hAnsi="宋体" w:eastAsia="宋体" w:cs="宋体"/>
          <w:b/>
          <w:kern w:val="0"/>
          <w:szCs w:val="21"/>
          <w:lang w:val="zh-CN"/>
        </w:rPr>
        <w:t>投标有效期不足的，</w:t>
      </w:r>
      <w:r>
        <w:rPr>
          <w:rFonts w:hint="eastAsia" w:ascii="宋体" w:hAnsi="宋体" w:eastAsia="宋体" w:cs="宋体"/>
          <w:b/>
          <w:szCs w:val="21"/>
          <w:lang w:val="zh-CN"/>
        </w:rPr>
        <w:t>按照无效投标处理。</w:t>
      </w:r>
    </w:p>
    <w:p>
      <w:pPr>
        <w:numPr>
          <w:ilvl w:val="0"/>
          <w:numId w:val="28"/>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特殊情况下，在原投标有效期截止之前，采购人或采购代理机构可要求投标人延长投标有效期。这种要求与答复均应以书面形式提交。投标人可拒绝采购人或采购代理机构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投标文件形式、样品及现场演示</w:t>
      </w:r>
    </w:p>
    <w:p>
      <w:pPr>
        <w:spacing w:line="276" w:lineRule="auto"/>
        <w:ind w:left="567" w:hanging="567" w:hangingChars="270"/>
        <w:rPr>
          <w:rFonts w:hint="eastAsia" w:ascii="宋体" w:hAnsi="宋体" w:eastAsia="宋体" w:cs="宋体"/>
          <w:szCs w:val="21"/>
        </w:rPr>
      </w:pPr>
      <w:r>
        <w:rPr>
          <w:rFonts w:hint="eastAsia" w:ascii="宋体" w:hAnsi="宋体" w:eastAsia="宋体" w:cs="宋体"/>
          <w:szCs w:val="21"/>
        </w:rPr>
        <w:t xml:space="preserve">19.1 </w:t>
      </w:r>
      <w:r>
        <w:rPr>
          <w:rFonts w:hint="eastAsia" w:ascii="宋体" w:hAnsi="宋体" w:eastAsia="宋体" w:cs="宋体"/>
          <w:b/>
          <w:szCs w:val="21"/>
        </w:rPr>
        <w:t>投标文件形式</w:t>
      </w:r>
    </w:p>
    <w:p>
      <w:pPr>
        <w:numPr>
          <w:ilvl w:val="0"/>
          <w:numId w:val="29"/>
        </w:numPr>
        <w:spacing w:line="276" w:lineRule="auto"/>
        <w:rPr>
          <w:rFonts w:hint="eastAsia" w:ascii="宋体" w:hAnsi="宋体" w:eastAsia="宋体" w:cs="宋体"/>
          <w:szCs w:val="21"/>
          <w:lang w:val="zh-CN"/>
        </w:rPr>
      </w:pPr>
      <w:r>
        <w:rPr>
          <w:rFonts w:hint="eastAsia" w:ascii="宋体" w:hAnsi="宋体" w:eastAsia="宋体" w:cs="宋体"/>
          <w:snapToGrid w:val="0"/>
          <w:szCs w:val="21"/>
          <w:lang w:val="zh-CN"/>
        </w:rPr>
        <w:t>投标文件</w:t>
      </w:r>
      <w:r>
        <w:rPr>
          <w:rFonts w:hint="eastAsia" w:ascii="宋体" w:hAnsi="宋体" w:eastAsia="宋体" w:cs="宋体"/>
          <w:szCs w:val="21"/>
          <w:lang w:val="zh-CN"/>
        </w:rPr>
        <w:t>包括正本、副本及单独提供的法定代表人授权委托书（或法定代表人身份证明书）。</w:t>
      </w:r>
    </w:p>
    <w:p>
      <w:pPr>
        <w:numPr>
          <w:ilvl w:val="0"/>
          <w:numId w:val="29"/>
        </w:numPr>
        <w:spacing w:line="276" w:lineRule="auto"/>
        <w:rPr>
          <w:rFonts w:hint="eastAsia" w:ascii="宋体" w:hAnsi="宋体" w:eastAsia="宋体" w:cs="宋体"/>
          <w:szCs w:val="21"/>
          <w:lang w:val="zh-CN"/>
        </w:rPr>
      </w:pPr>
      <w:r>
        <w:rPr>
          <w:rFonts w:hint="eastAsia" w:ascii="宋体" w:hAnsi="宋体" w:eastAsia="宋体" w:cs="宋体"/>
          <w:szCs w:val="21"/>
          <w:lang w:val="zh-CN"/>
        </w:rPr>
        <w:t>投标文件正、副本的数量见《投标人须知前附表》。每套投标文件须清楚地标明“正本”、“副本”，副本可采用正本的复印件，若副本与正本不符，以正本为准；</w:t>
      </w:r>
    </w:p>
    <w:p>
      <w:pPr>
        <w:numPr>
          <w:ilvl w:val="0"/>
          <w:numId w:val="29"/>
        </w:numPr>
        <w:spacing w:line="276" w:lineRule="auto"/>
        <w:rPr>
          <w:rFonts w:hint="eastAsia" w:ascii="宋体" w:hAnsi="宋体" w:eastAsia="宋体" w:cs="宋体"/>
          <w:snapToGrid w:val="0"/>
          <w:szCs w:val="21"/>
          <w:lang w:val="zh-CN"/>
        </w:rPr>
      </w:pPr>
      <w:r>
        <w:rPr>
          <w:rFonts w:hint="eastAsia" w:ascii="宋体" w:hAnsi="宋体" w:eastAsia="宋体" w:cs="宋体"/>
          <w:szCs w:val="21"/>
          <w:lang w:val="zh-CN"/>
        </w:rPr>
        <w:t>投标文件</w:t>
      </w:r>
      <w:r>
        <w:rPr>
          <w:rFonts w:hint="eastAsia" w:ascii="宋体" w:hAnsi="宋体" w:eastAsia="宋体" w:cs="宋体"/>
          <w:snapToGrid w:val="0"/>
          <w:szCs w:val="21"/>
          <w:lang w:val="zh-CN"/>
        </w:rPr>
        <w:t>用纸应统一为A4规格（图纸、效果图等除外）。正本需打印或用不褪色墨水书写，并由法定代表人或授权代表（签名）并加盖公章。由授权代表（签名）的，投标文件中应提交《法定代表人授权书》。投标人为自然人的，由投标人本人签名并附身份证明。</w:t>
      </w:r>
    </w:p>
    <w:p>
      <w:pPr>
        <w:numPr>
          <w:ilvl w:val="0"/>
          <w:numId w:val="29"/>
        </w:numPr>
        <w:spacing w:line="276" w:lineRule="auto"/>
        <w:rPr>
          <w:rFonts w:hint="eastAsia" w:ascii="宋体" w:hAnsi="宋体" w:eastAsia="宋体" w:cs="宋体"/>
          <w:szCs w:val="21"/>
          <w:lang w:val="zh-CN"/>
        </w:rPr>
      </w:pPr>
      <w:r>
        <w:rPr>
          <w:rFonts w:hint="eastAsia" w:ascii="宋体" w:hAnsi="宋体" w:eastAsia="宋体" w:cs="宋体"/>
          <w:snapToGrid w:val="0"/>
          <w:szCs w:val="21"/>
          <w:lang w:val="zh-CN"/>
        </w:rPr>
        <w:t>投标文</w:t>
      </w:r>
      <w:r>
        <w:rPr>
          <w:rFonts w:hint="eastAsia" w:ascii="宋体" w:hAnsi="宋体" w:eastAsia="宋体" w:cs="宋体"/>
          <w:szCs w:val="21"/>
          <w:lang w:val="zh-CN"/>
        </w:rPr>
        <w:t>件中的任何行间插字、涂改和增删，必须由法定代表人或授权代表在旁边签名才有效。</w:t>
      </w:r>
    </w:p>
    <w:p>
      <w:pPr>
        <w:numPr>
          <w:ilvl w:val="0"/>
          <w:numId w:val="29"/>
        </w:numPr>
        <w:spacing w:line="276" w:lineRule="auto"/>
        <w:rPr>
          <w:rFonts w:hint="eastAsia" w:ascii="宋体" w:hAnsi="宋体" w:eastAsia="宋体" w:cs="宋体"/>
          <w:szCs w:val="21"/>
          <w:lang w:val="zh-CN"/>
        </w:rPr>
      </w:pPr>
      <w:r>
        <w:rPr>
          <w:rFonts w:hint="eastAsia" w:ascii="宋体" w:hAnsi="宋体" w:eastAsia="宋体" w:cs="宋体"/>
          <w:szCs w:val="21"/>
          <w:lang w:val="zh-CN"/>
        </w:rPr>
        <w:t>投标文件应当采用不可拆卸的方法的装订，对未经装订的投标文件可能发生的文件散落或缺损及由此产生的后果由投标人承担。</w:t>
      </w:r>
    </w:p>
    <w:p>
      <w:pPr>
        <w:numPr>
          <w:ilvl w:val="0"/>
          <w:numId w:val="29"/>
        </w:numPr>
        <w:spacing w:line="276" w:lineRule="auto"/>
        <w:rPr>
          <w:rFonts w:hint="eastAsia" w:ascii="宋体" w:hAnsi="宋体" w:eastAsia="宋体" w:cs="宋体"/>
          <w:szCs w:val="21"/>
          <w:lang w:val="zh-CN"/>
        </w:rPr>
      </w:pPr>
      <w:r>
        <w:rPr>
          <w:rFonts w:hint="eastAsia" w:ascii="宋体" w:hAnsi="宋体" w:eastAsia="宋体" w:cs="宋体"/>
          <w:szCs w:val="21"/>
          <w:lang w:val="zh-CN"/>
        </w:rPr>
        <w:t>投标文件正本、副本应进行密封包装，封包加盖投标人公章，并注明项目编号、项目名称、投标人名称及“（**时间）前不得启封”的字样。</w:t>
      </w:r>
    </w:p>
    <w:p>
      <w:pPr>
        <w:numPr>
          <w:ilvl w:val="0"/>
          <w:numId w:val="29"/>
        </w:numPr>
        <w:spacing w:line="276" w:lineRule="auto"/>
        <w:rPr>
          <w:rFonts w:hint="eastAsia" w:ascii="宋体" w:hAnsi="宋体" w:eastAsia="宋体" w:cs="宋体"/>
          <w:snapToGrid w:val="0"/>
          <w:szCs w:val="21"/>
          <w:lang w:val="zh-CN"/>
        </w:rPr>
      </w:pPr>
      <w:r>
        <w:rPr>
          <w:rFonts w:hint="eastAsia" w:ascii="宋体" w:hAnsi="宋体" w:eastAsia="宋体" w:cs="宋体"/>
          <w:szCs w:val="21"/>
          <w:lang w:val="zh-CN"/>
        </w:rPr>
        <w:t>如果未按要</w:t>
      </w:r>
      <w:r>
        <w:rPr>
          <w:rFonts w:hint="eastAsia" w:ascii="宋体" w:hAnsi="宋体" w:eastAsia="宋体" w:cs="宋体"/>
          <w:szCs w:val="21"/>
        </w:rPr>
        <w:t>求密封或加写标记存在错误</w:t>
      </w:r>
      <w:r>
        <w:rPr>
          <w:rFonts w:hint="eastAsia" w:ascii="宋体" w:hAnsi="宋体" w:eastAsia="宋体" w:cs="宋体"/>
          <w:szCs w:val="21"/>
          <w:lang w:val="zh-CN"/>
        </w:rPr>
        <w:t>，采购代理机构对其误投或提前启封概不负责。</w:t>
      </w:r>
    </w:p>
    <w:p>
      <w:pPr>
        <w:spacing w:line="276" w:lineRule="auto"/>
        <w:ind w:left="567" w:hanging="567" w:hangingChars="270"/>
        <w:rPr>
          <w:rFonts w:hint="eastAsia" w:ascii="宋体" w:hAnsi="宋体" w:eastAsia="宋体" w:cs="宋体"/>
          <w:snapToGrid w:val="0"/>
          <w:kern w:val="0"/>
          <w:szCs w:val="21"/>
          <w:lang w:val="zh-CN"/>
        </w:rPr>
      </w:pPr>
      <w:r>
        <w:rPr>
          <w:rFonts w:hint="eastAsia" w:ascii="宋体" w:hAnsi="宋体" w:eastAsia="宋体" w:cs="宋体"/>
          <w:szCs w:val="21"/>
        </w:rPr>
        <w:t>19.2</w:t>
      </w:r>
      <w:r>
        <w:rPr>
          <w:rFonts w:hint="eastAsia" w:ascii="宋体" w:hAnsi="宋体" w:eastAsia="宋体" w:cs="宋体"/>
          <w:b/>
          <w:szCs w:val="21"/>
        </w:rPr>
        <w:t>样品</w:t>
      </w:r>
    </w:p>
    <w:p>
      <w:pPr>
        <w:numPr>
          <w:ilvl w:val="0"/>
          <w:numId w:val="30"/>
        </w:numPr>
        <w:spacing w:line="276" w:lineRule="auto"/>
        <w:rPr>
          <w:rFonts w:hint="eastAsia" w:ascii="宋体" w:hAnsi="宋体" w:eastAsia="宋体" w:cs="宋体"/>
          <w:szCs w:val="21"/>
          <w:lang w:val="zh-CN"/>
        </w:rPr>
      </w:pPr>
      <w:r>
        <w:rPr>
          <w:rFonts w:hint="eastAsia" w:ascii="宋体" w:hAnsi="宋体" w:eastAsia="宋体" w:cs="宋体"/>
          <w:szCs w:val="21"/>
        </w:rPr>
        <w:t>本项</w:t>
      </w:r>
      <w:r>
        <w:rPr>
          <w:rFonts w:hint="eastAsia" w:ascii="宋体" w:hAnsi="宋体" w:eastAsia="宋体" w:cs="宋体"/>
          <w:szCs w:val="21"/>
          <w:lang w:val="zh-CN"/>
        </w:rPr>
        <w:t>目是否接收样品详见《供应商须知前附表》。</w:t>
      </w:r>
    </w:p>
    <w:p>
      <w:pPr>
        <w:numPr>
          <w:ilvl w:val="0"/>
          <w:numId w:val="30"/>
        </w:numPr>
        <w:spacing w:line="276" w:lineRule="auto"/>
        <w:rPr>
          <w:rFonts w:hint="eastAsia" w:ascii="宋体" w:hAnsi="宋体" w:eastAsia="宋体" w:cs="宋体"/>
          <w:szCs w:val="21"/>
          <w:lang w:val="zh-CN"/>
        </w:rPr>
      </w:pPr>
      <w:r>
        <w:rPr>
          <w:rFonts w:hint="eastAsia" w:ascii="宋体" w:hAnsi="宋体" w:eastAsia="宋体" w:cs="宋体"/>
          <w:szCs w:val="21"/>
          <w:lang w:val="zh-CN"/>
        </w:rPr>
        <w:t>招标文件要求提交样品的，样品应在递交投标文件截止时间之前，由供应商授权代表凭法定代表人授权书（原件）、本人身份证（原件）递交到指定地点。投标人应在样品上标明项目编号/标段编号、项目名称及投标人名称。提交样品的相关规定详见《供应商须知前附表》。</w:t>
      </w:r>
    </w:p>
    <w:p>
      <w:pPr>
        <w:numPr>
          <w:ilvl w:val="0"/>
          <w:numId w:val="30"/>
        </w:numPr>
        <w:spacing w:line="276" w:lineRule="auto"/>
        <w:rPr>
          <w:rFonts w:hint="eastAsia" w:ascii="宋体" w:hAnsi="宋体" w:eastAsia="宋体" w:cs="宋体"/>
          <w:snapToGrid w:val="0"/>
          <w:kern w:val="0"/>
          <w:szCs w:val="21"/>
          <w:lang w:val="zh-CN"/>
        </w:rPr>
      </w:pPr>
      <w:r>
        <w:rPr>
          <w:rFonts w:hint="eastAsia" w:ascii="宋体" w:hAnsi="宋体" w:eastAsia="宋体" w:cs="宋体"/>
          <w:szCs w:val="21"/>
          <w:lang w:val="zh-CN"/>
        </w:rPr>
        <w:t>采购活</w:t>
      </w:r>
      <w:r>
        <w:rPr>
          <w:rFonts w:hint="eastAsia" w:ascii="宋体" w:hAnsi="宋体" w:eastAsia="宋体" w:cs="宋体"/>
          <w:snapToGrid w:val="0"/>
          <w:szCs w:val="21"/>
          <w:lang w:val="zh-CN"/>
        </w:rPr>
        <w:t>动结束后，对于未中标人提供的样品，采购代理机构将及时退还未中标人，或者经未中标人同意后自行处理；对于中标人提供的样品，将按照招标文件的规定进行保管、封存，并作为履约验收的参考。</w:t>
      </w:r>
    </w:p>
    <w:p>
      <w:pPr>
        <w:spacing w:line="276" w:lineRule="auto"/>
        <w:ind w:left="420" w:hanging="420" w:hangingChars="200"/>
        <w:rPr>
          <w:rFonts w:hint="eastAsia" w:ascii="宋体" w:hAnsi="宋体" w:eastAsia="宋体" w:cs="宋体"/>
          <w:szCs w:val="21"/>
          <w:lang w:val="zh-CN"/>
        </w:rPr>
      </w:pPr>
      <w:r>
        <w:rPr>
          <w:rFonts w:hint="eastAsia" w:ascii="宋体" w:hAnsi="宋体" w:eastAsia="宋体" w:cs="宋体"/>
          <w:szCs w:val="21"/>
        </w:rPr>
        <w:t>19.3</w:t>
      </w:r>
      <w:r>
        <w:rPr>
          <w:rFonts w:hint="eastAsia" w:ascii="宋体" w:hAnsi="宋体" w:eastAsia="宋体" w:cs="宋体"/>
          <w:b/>
          <w:szCs w:val="21"/>
        </w:rPr>
        <w:t xml:space="preserve"> 现场演示</w:t>
      </w:r>
    </w:p>
    <w:p>
      <w:pPr>
        <w:spacing w:line="276" w:lineRule="auto"/>
        <w:ind w:firstLine="567" w:firstLineChars="270"/>
        <w:rPr>
          <w:rFonts w:hint="eastAsia" w:ascii="宋体" w:hAnsi="宋体" w:eastAsia="宋体" w:cs="宋体"/>
          <w:b/>
          <w:szCs w:val="21"/>
        </w:rPr>
      </w:pPr>
      <w:r>
        <w:rPr>
          <w:rFonts w:hint="eastAsia" w:ascii="宋体" w:hAnsi="宋体" w:eastAsia="宋体" w:cs="宋体"/>
          <w:snapToGrid w:val="0"/>
          <w:kern w:val="0"/>
          <w:szCs w:val="21"/>
          <w:lang w:val="zh-CN"/>
        </w:rPr>
        <w:t>本项目在评审时是否需要演示及相关要求详见</w:t>
      </w:r>
      <w:r>
        <w:rPr>
          <w:rFonts w:hint="eastAsia" w:ascii="宋体" w:hAnsi="宋体" w:eastAsia="宋体" w:cs="宋体"/>
          <w:szCs w:val="21"/>
          <w:lang w:val="zh-CN"/>
        </w:rPr>
        <w:t>《投标人须知前附表》。</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投标文件递交</w:t>
      </w:r>
    </w:p>
    <w:p>
      <w:pPr>
        <w:tabs>
          <w:tab w:val="left" w:pos="567"/>
        </w:tabs>
        <w:spacing w:line="276" w:lineRule="auto"/>
        <w:rPr>
          <w:rFonts w:hint="eastAsia" w:ascii="宋体" w:hAnsi="宋体" w:eastAsia="宋体" w:cs="宋体"/>
          <w:szCs w:val="21"/>
        </w:rPr>
      </w:pPr>
      <w:r>
        <w:rPr>
          <w:rFonts w:hint="eastAsia" w:ascii="宋体" w:hAnsi="宋体" w:eastAsia="宋体" w:cs="宋体"/>
          <w:szCs w:val="21"/>
        </w:rPr>
        <w:t>20.1 投标人递交投标文件的截止时间：见</w:t>
      </w:r>
      <w:r>
        <w:rPr>
          <w:rFonts w:hint="eastAsia" w:ascii="宋体" w:hAnsi="宋体" w:eastAsia="宋体" w:cs="宋体"/>
          <w:szCs w:val="21"/>
          <w:lang w:val="zh-CN"/>
        </w:rPr>
        <w:t>《投标人须知前附表》</w:t>
      </w:r>
      <w:r>
        <w:rPr>
          <w:rFonts w:hint="eastAsia" w:ascii="宋体" w:hAnsi="宋体" w:eastAsia="宋体" w:cs="宋体"/>
          <w:szCs w:val="21"/>
        </w:rPr>
        <w:t>。</w:t>
      </w:r>
    </w:p>
    <w:p>
      <w:pPr>
        <w:spacing w:line="276" w:lineRule="auto"/>
        <w:ind w:left="525" w:hanging="525" w:hangingChars="250"/>
        <w:rPr>
          <w:rFonts w:hint="eastAsia" w:ascii="宋体" w:hAnsi="宋体" w:eastAsia="宋体" w:cs="宋体"/>
          <w:szCs w:val="21"/>
        </w:rPr>
      </w:pPr>
      <w:r>
        <w:rPr>
          <w:rFonts w:hint="eastAsia" w:ascii="宋体" w:hAnsi="宋体" w:eastAsia="宋体" w:cs="宋体"/>
          <w:szCs w:val="21"/>
        </w:rPr>
        <w:t>20.2投标人应当在投标截止时间前，按要求将投标文件递交或邮寄送达（如招标公告允许接收邮寄），递交地点见《投标人须知前附表》。</w:t>
      </w:r>
      <w:r>
        <w:rPr>
          <w:rFonts w:hint="eastAsia" w:ascii="宋体" w:hAnsi="宋体" w:eastAsia="宋体" w:cs="宋体"/>
          <w:kern w:val="0"/>
          <w:szCs w:val="21"/>
        </w:rPr>
        <w:t>采购代理机构</w:t>
      </w:r>
      <w:r>
        <w:rPr>
          <w:rFonts w:hint="eastAsia" w:ascii="宋体" w:hAnsi="宋体" w:eastAsia="宋体" w:cs="宋体"/>
          <w:szCs w:val="21"/>
        </w:rPr>
        <w:t>收到投标文件后向投标人出具签收凭证。逾期送达的或者未送达指定地点的，</w:t>
      </w:r>
      <w:r>
        <w:rPr>
          <w:rFonts w:hint="eastAsia" w:ascii="宋体" w:hAnsi="宋体" w:eastAsia="宋体" w:cs="宋体"/>
          <w:kern w:val="0"/>
          <w:szCs w:val="21"/>
        </w:rPr>
        <w:t>采购人和采购代理机构</w:t>
      </w:r>
      <w:r>
        <w:rPr>
          <w:rFonts w:hint="eastAsia" w:ascii="宋体" w:hAnsi="宋体" w:eastAsia="宋体" w:cs="宋体"/>
          <w:szCs w:val="21"/>
        </w:rPr>
        <w:t>将拒收。</w:t>
      </w:r>
    </w:p>
    <w:p>
      <w:pPr>
        <w:spacing w:line="276" w:lineRule="auto"/>
        <w:ind w:left="567" w:hanging="567" w:hangingChars="270"/>
        <w:rPr>
          <w:rFonts w:hint="eastAsia" w:ascii="宋体" w:hAnsi="宋体" w:eastAsia="宋体" w:cs="宋体"/>
          <w:kern w:val="0"/>
          <w:szCs w:val="21"/>
          <w:lang w:val="zh-CN"/>
        </w:rPr>
      </w:pPr>
      <w:r>
        <w:rPr>
          <w:rFonts w:hint="eastAsia" w:ascii="宋体" w:hAnsi="宋体" w:eastAsia="宋体" w:cs="宋体"/>
          <w:szCs w:val="21"/>
        </w:rPr>
        <w:t>20.3 除《投标人须知前附表》另有规定外，投标人所递交的投标文件不予退还。</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投标文件的修改和撤回</w:t>
      </w:r>
    </w:p>
    <w:p>
      <w:pPr>
        <w:spacing w:line="276" w:lineRule="auto"/>
        <w:ind w:left="525" w:hanging="525" w:hangingChars="250"/>
        <w:rPr>
          <w:rFonts w:hint="eastAsia" w:ascii="宋体" w:hAnsi="宋体" w:eastAsia="宋体" w:cs="宋体"/>
          <w:szCs w:val="21"/>
          <w:lang w:val="zh-CN"/>
        </w:rPr>
      </w:pPr>
      <w:r>
        <w:rPr>
          <w:rFonts w:hint="eastAsia" w:ascii="宋体" w:hAnsi="宋体" w:eastAsia="宋体" w:cs="宋体"/>
          <w:szCs w:val="21"/>
          <w:lang w:val="zh-CN"/>
        </w:rPr>
        <w:t>21.1 投标人在投标截止时间前，可以对所递交的投标文件进行补充、修改或者撤回，并书面通知采购代理机构。补充、修改的内容应当按照招标文件要求签署、盖章、密封后，作为投标文件的组成部分。</w:t>
      </w:r>
    </w:p>
    <w:p>
      <w:pPr>
        <w:spacing w:line="276" w:lineRule="auto"/>
        <w:ind w:left="525" w:hanging="525" w:hangingChars="250"/>
        <w:rPr>
          <w:rFonts w:hint="eastAsia" w:ascii="宋体" w:hAnsi="宋体" w:eastAsia="宋体" w:cs="宋体"/>
          <w:szCs w:val="21"/>
          <w:lang w:val="zh-CN"/>
        </w:rPr>
      </w:pPr>
      <w:r>
        <w:rPr>
          <w:rFonts w:hint="eastAsia" w:ascii="宋体" w:hAnsi="宋体" w:eastAsia="宋体" w:cs="宋体"/>
          <w:szCs w:val="21"/>
          <w:lang w:val="zh-CN"/>
        </w:rPr>
        <w:t>21.2 投标有效期内投标人不得撤销其投标文件，否则按照本章“投标保证金”的规定其投标保证金不予退还。</w:t>
      </w:r>
    </w:p>
    <w:p>
      <w:pPr>
        <w:keepNext/>
        <w:keepLines/>
        <w:numPr>
          <w:ilvl w:val="0"/>
          <w:numId w:val="8"/>
        </w:numPr>
        <w:spacing w:line="276" w:lineRule="auto"/>
        <w:ind w:left="426" w:hanging="426"/>
        <w:jc w:val="left"/>
        <w:outlineLvl w:val="1"/>
        <w:rPr>
          <w:rFonts w:hint="eastAsia" w:ascii="宋体" w:hAnsi="宋体" w:eastAsia="宋体" w:cs="宋体"/>
          <w:b/>
          <w:kern w:val="0"/>
          <w:szCs w:val="21"/>
          <w:lang w:val="zh-CN"/>
        </w:rPr>
      </w:pPr>
      <w:bookmarkStart w:id="24" w:name="_Toc494561942"/>
      <w:bookmarkStart w:id="25" w:name="_Toc278891595"/>
      <w:bookmarkStart w:id="26" w:name="_Toc97815001"/>
      <w:bookmarkStart w:id="27" w:name="_Toc14857"/>
      <w:bookmarkStart w:id="28" w:name="_Toc272247698"/>
      <w:r>
        <w:rPr>
          <w:rFonts w:hint="eastAsia" w:ascii="宋体" w:hAnsi="宋体" w:eastAsia="宋体" w:cs="宋体"/>
          <w:b/>
          <w:kern w:val="0"/>
          <w:szCs w:val="21"/>
          <w:lang w:val="zh-CN"/>
        </w:rPr>
        <w:t>开标与评标</w:t>
      </w:r>
      <w:bookmarkEnd w:id="24"/>
      <w:bookmarkEnd w:id="25"/>
      <w:bookmarkEnd w:id="26"/>
      <w:bookmarkEnd w:id="27"/>
      <w:bookmarkEnd w:id="28"/>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开标</w:t>
      </w:r>
    </w:p>
    <w:p>
      <w:pPr>
        <w:numPr>
          <w:ilvl w:val="0"/>
          <w:numId w:val="31"/>
        </w:numPr>
        <w:spacing w:line="276" w:lineRule="auto"/>
        <w:ind w:left="616" w:hanging="616"/>
        <w:rPr>
          <w:rFonts w:hint="eastAsia" w:ascii="宋体" w:hAnsi="宋体" w:eastAsia="宋体" w:cs="宋体"/>
          <w:szCs w:val="21"/>
          <w:lang w:val="zh-CN"/>
        </w:rPr>
      </w:pPr>
      <w:r>
        <w:rPr>
          <w:rFonts w:hint="eastAsia" w:ascii="宋体" w:hAnsi="宋体" w:eastAsia="宋体" w:cs="宋体"/>
          <w:kern w:val="0"/>
          <w:szCs w:val="21"/>
        </w:rPr>
        <w:t>采购代理机构在第一章</w:t>
      </w:r>
      <w:r>
        <w:rPr>
          <w:rFonts w:hint="eastAsia" w:ascii="宋体" w:hAnsi="宋体" w:eastAsia="宋体" w:cs="宋体"/>
          <w:szCs w:val="21"/>
          <w:lang w:val="zh-CN"/>
        </w:rPr>
        <w:t>“招标公告（投标邀请书）”中约定的日期、时间和地点组织开标。</w:t>
      </w:r>
    </w:p>
    <w:p>
      <w:pPr>
        <w:numPr>
          <w:ilvl w:val="0"/>
          <w:numId w:val="31"/>
        </w:numPr>
        <w:spacing w:line="276" w:lineRule="auto"/>
        <w:ind w:left="616" w:hanging="616"/>
        <w:rPr>
          <w:rFonts w:hint="eastAsia" w:ascii="宋体" w:hAnsi="宋体" w:eastAsia="宋体" w:cs="宋体"/>
          <w:kern w:val="0"/>
          <w:szCs w:val="21"/>
        </w:rPr>
      </w:pPr>
      <w:r>
        <w:rPr>
          <w:rFonts w:hint="eastAsia" w:ascii="宋体" w:hAnsi="宋体" w:eastAsia="宋体" w:cs="宋体"/>
          <w:szCs w:val="21"/>
          <w:lang w:val="zh-CN"/>
        </w:rPr>
        <w:t>投标</w:t>
      </w:r>
      <w:r>
        <w:rPr>
          <w:rFonts w:hint="eastAsia" w:ascii="宋体" w:hAnsi="宋体" w:eastAsia="宋体" w:cs="宋体"/>
          <w:kern w:val="0"/>
          <w:szCs w:val="21"/>
        </w:rPr>
        <w:t>人法定代表人或其授权代表应携带有效身份证明参加项目开标会，投标人未参加开标的，视同认可开标结果。截止投标文件递交时间，投标人不足3家的，不进行开标。</w:t>
      </w:r>
    </w:p>
    <w:p>
      <w:pPr>
        <w:numPr>
          <w:ilvl w:val="0"/>
          <w:numId w:val="31"/>
        </w:numPr>
        <w:spacing w:line="276" w:lineRule="auto"/>
        <w:ind w:left="616" w:hanging="616"/>
        <w:rPr>
          <w:rFonts w:hint="eastAsia" w:ascii="宋体" w:hAnsi="宋体" w:eastAsia="宋体" w:cs="宋体"/>
          <w:kern w:val="0"/>
          <w:szCs w:val="21"/>
        </w:rPr>
      </w:pPr>
      <w:r>
        <w:rPr>
          <w:rFonts w:hint="eastAsia" w:ascii="宋体" w:hAnsi="宋体" w:eastAsia="宋体" w:cs="宋体"/>
          <w:kern w:val="0"/>
          <w:szCs w:val="21"/>
        </w:rPr>
        <w:t>开标时，由投标人或其推选的代表检查投标文件的密封情况，经确认无误后由招标代理机构工作人员当众拆封，宣布投标人名称、投标价格和招标文件规定的需要宣布的其他内容。</w:t>
      </w:r>
    </w:p>
    <w:p>
      <w:pPr>
        <w:numPr>
          <w:ilvl w:val="0"/>
          <w:numId w:val="31"/>
        </w:numPr>
        <w:spacing w:line="276" w:lineRule="auto"/>
        <w:ind w:left="616" w:hanging="616"/>
        <w:rPr>
          <w:rFonts w:hint="eastAsia" w:ascii="宋体" w:hAnsi="宋体" w:eastAsia="宋体" w:cs="宋体"/>
          <w:kern w:val="0"/>
          <w:szCs w:val="21"/>
        </w:rPr>
      </w:pPr>
      <w:r>
        <w:rPr>
          <w:rFonts w:hint="eastAsia" w:ascii="宋体" w:hAnsi="宋体" w:eastAsia="宋体" w:cs="宋体"/>
          <w:kern w:val="0"/>
          <w:szCs w:val="21"/>
        </w:rPr>
        <w:t>招标代理机构负责对开标过程进行记录，由参加开标的各投标人代表和相关工作人员对开标记录进行签字确认。</w:t>
      </w:r>
    </w:p>
    <w:p>
      <w:pPr>
        <w:numPr>
          <w:ilvl w:val="0"/>
          <w:numId w:val="31"/>
        </w:numPr>
        <w:spacing w:line="276" w:lineRule="auto"/>
        <w:ind w:left="616" w:hanging="616"/>
        <w:rPr>
          <w:rFonts w:hint="eastAsia" w:ascii="宋体" w:hAnsi="宋体" w:eastAsia="宋体" w:cs="宋体"/>
          <w:szCs w:val="21"/>
          <w:lang w:val="zh-CN"/>
        </w:rPr>
      </w:pPr>
      <w:r>
        <w:rPr>
          <w:rFonts w:hint="eastAsia" w:ascii="宋体" w:hAnsi="宋体" w:eastAsia="宋体" w:cs="宋体"/>
          <w:kern w:val="0"/>
          <w:szCs w:val="21"/>
        </w:rPr>
        <w:t>投标人代表对开标过程和开标记录有疑义，以及认为采购人、招标代理机构相关工作人员有需要回避的情形的，应当场提出询问或者回避申请。采购人、招标代理机构将及时处理投标人代表提出的询问或者</w:t>
      </w:r>
      <w:r>
        <w:rPr>
          <w:rFonts w:hint="eastAsia" w:ascii="宋体" w:hAnsi="宋体" w:eastAsia="宋体" w:cs="宋体"/>
          <w:szCs w:val="21"/>
          <w:lang w:val="zh-CN"/>
        </w:rPr>
        <w:t>回避申请。</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资格审查</w:t>
      </w:r>
    </w:p>
    <w:p>
      <w:pPr>
        <w:numPr>
          <w:ilvl w:val="0"/>
          <w:numId w:val="32"/>
        </w:numPr>
        <w:spacing w:line="276" w:lineRule="auto"/>
        <w:ind w:left="616" w:hanging="616"/>
        <w:rPr>
          <w:rFonts w:hint="eastAsia" w:ascii="宋体" w:hAnsi="宋体" w:eastAsia="宋体" w:cs="宋体"/>
          <w:bCs/>
          <w:szCs w:val="21"/>
          <w:lang w:val="zh-CN"/>
        </w:rPr>
      </w:pPr>
      <w:r>
        <w:rPr>
          <w:rFonts w:hint="eastAsia" w:ascii="宋体" w:hAnsi="宋体" w:eastAsia="宋体" w:cs="宋体"/>
          <w:bCs/>
          <w:szCs w:val="21"/>
          <w:lang w:val="zh-CN"/>
        </w:rPr>
        <w:t>开标结束后，采购人与采购代理机构依据法律、法规及招标文件的规定，对投标人的资格进行审查，审查办法详见第四章“资格审查方法及标准”。</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评标方法</w:t>
      </w:r>
    </w:p>
    <w:p>
      <w:pPr>
        <w:numPr>
          <w:ilvl w:val="0"/>
          <w:numId w:val="33"/>
        </w:numPr>
        <w:spacing w:line="276" w:lineRule="auto"/>
        <w:ind w:left="616" w:hanging="616"/>
        <w:rPr>
          <w:rFonts w:hint="eastAsia" w:ascii="宋体" w:hAnsi="宋体" w:eastAsia="宋体" w:cs="宋体"/>
          <w:bCs/>
          <w:szCs w:val="21"/>
          <w:lang w:val="zh-CN"/>
        </w:rPr>
      </w:pPr>
      <w:r>
        <w:rPr>
          <w:rFonts w:hint="eastAsia" w:ascii="宋体" w:hAnsi="宋体" w:eastAsia="宋体" w:cs="宋体"/>
          <w:bCs/>
          <w:szCs w:val="21"/>
          <w:lang w:val="zh-CN"/>
        </w:rPr>
        <w:t>根据《政府采购货物和服务招标投标管理办法》规定，评标方法分为最低评标价法和综合评分法。本项目所采用评标方法见《投标人须知前附表》。</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评标委员会的组成</w:t>
      </w:r>
    </w:p>
    <w:p>
      <w:pPr>
        <w:numPr>
          <w:ilvl w:val="0"/>
          <w:numId w:val="34"/>
        </w:numPr>
        <w:spacing w:line="276" w:lineRule="auto"/>
        <w:ind w:left="616" w:hanging="616"/>
        <w:rPr>
          <w:rFonts w:hint="eastAsia" w:ascii="宋体" w:hAnsi="宋体" w:eastAsia="宋体" w:cs="宋体"/>
          <w:szCs w:val="21"/>
          <w:lang w:val="zh-CN"/>
        </w:rPr>
      </w:pPr>
      <w:r>
        <w:rPr>
          <w:rFonts w:hint="eastAsia" w:ascii="宋体" w:hAnsi="宋体" w:eastAsia="宋体" w:cs="宋体"/>
          <w:kern w:val="0"/>
          <w:szCs w:val="21"/>
          <w:lang w:val="zh-CN"/>
        </w:rPr>
        <w:t>评标委员会由采购人代表和评审专家组成，成员人数应当为5人及以上单数，其中评审专家不得少于成员总数的三分之二；</w:t>
      </w:r>
      <w:r>
        <w:rPr>
          <w:rFonts w:hint="eastAsia" w:ascii="宋体" w:hAnsi="宋体" w:eastAsia="宋体" w:cs="宋体"/>
          <w:szCs w:val="21"/>
          <w:lang w:val="zh-CN"/>
        </w:rPr>
        <w:t>采购预算金额在1000万元及以上、技术复杂或社会影响较大的项目，评标委员会成员人数应当为7人及以上单数。</w:t>
      </w:r>
    </w:p>
    <w:p>
      <w:pPr>
        <w:numPr>
          <w:ilvl w:val="0"/>
          <w:numId w:val="34"/>
        </w:numPr>
        <w:spacing w:line="276" w:lineRule="auto"/>
        <w:ind w:left="616" w:hanging="616"/>
        <w:rPr>
          <w:rFonts w:hint="eastAsia" w:ascii="宋体" w:hAnsi="宋体" w:eastAsia="宋体" w:cs="宋体"/>
          <w:szCs w:val="21"/>
          <w:lang w:val="zh-CN"/>
        </w:rPr>
      </w:pPr>
      <w:r>
        <w:rPr>
          <w:rFonts w:hint="eastAsia" w:ascii="宋体" w:hAnsi="宋体" w:eastAsia="宋体" w:cs="宋体"/>
          <w:kern w:val="0"/>
          <w:szCs w:val="21"/>
          <w:lang w:val="zh-CN"/>
        </w:rPr>
        <w:t>评审专家</w:t>
      </w:r>
      <w:r>
        <w:rPr>
          <w:rFonts w:hint="eastAsia" w:ascii="宋体" w:hAnsi="宋体" w:eastAsia="宋体" w:cs="宋体"/>
          <w:szCs w:val="21"/>
          <w:lang w:val="zh-CN"/>
        </w:rPr>
        <w:t>依法从政府采购专家库中随机抽取。对技术复杂、专业性强的采购项目，通过随机方式难以确定合适评审专家的，经主管预算单位同意，采购人可以自行选定相应专业领域的评审专家。</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评标程序</w:t>
      </w:r>
    </w:p>
    <w:p>
      <w:pPr>
        <w:numPr>
          <w:ilvl w:val="0"/>
          <w:numId w:val="35"/>
        </w:numPr>
        <w:spacing w:line="276" w:lineRule="auto"/>
        <w:ind w:left="616" w:hanging="616"/>
        <w:rPr>
          <w:rFonts w:hint="eastAsia" w:ascii="宋体" w:hAnsi="宋体" w:eastAsia="宋体" w:cs="宋体"/>
          <w:szCs w:val="21"/>
          <w:lang w:val="zh-CN"/>
        </w:rPr>
      </w:pPr>
      <w:r>
        <w:rPr>
          <w:rFonts w:hint="eastAsia" w:ascii="宋体" w:hAnsi="宋体" w:eastAsia="宋体" w:cs="宋体"/>
          <w:kern w:val="0"/>
          <w:szCs w:val="21"/>
          <w:lang w:val="zh-CN"/>
        </w:rPr>
        <w:t>评标委员会负责具体评标事务，并独立履行下列职责：</w:t>
      </w:r>
    </w:p>
    <w:p>
      <w:pPr>
        <w:numPr>
          <w:ilvl w:val="0"/>
          <w:numId w:val="36"/>
        </w:numPr>
        <w:spacing w:line="276" w:lineRule="auto"/>
        <w:rPr>
          <w:rFonts w:hint="eastAsia" w:ascii="宋体" w:hAnsi="宋体" w:eastAsia="宋体" w:cs="宋体"/>
          <w:szCs w:val="21"/>
          <w:lang w:val="zh-CN"/>
        </w:rPr>
      </w:pPr>
      <w:r>
        <w:rPr>
          <w:rFonts w:hint="eastAsia" w:ascii="宋体" w:hAnsi="宋体" w:eastAsia="宋体" w:cs="宋体"/>
          <w:szCs w:val="21"/>
          <w:lang w:val="zh-CN"/>
        </w:rPr>
        <w:t>审查、评价投标文件是否符合招标文件的商务、技术等实质性要求；</w:t>
      </w:r>
    </w:p>
    <w:p>
      <w:pPr>
        <w:numPr>
          <w:ilvl w:val="0"/>
          <w:numId w:val="36"/>
        </w:numPr>
        <w:spacing w:line="276" w:lineRule="auto"/>
        <w:rPr>
          <w:rFonts w:hint="eastAsia" w:ascii="宋体" w:hAnsi="宋体" w:eastAsia="宋体" w:cs="宋体"/>
          <w:szCs w:val="21"/>
          <w:lang w:val="zh-CN"/>
        </w:rPr>
      </w:pPr>
      <w:r>
        <w:rPr>
          <w:rFonts w:hint="eastAsia" w:ascii="宋体" w:hAnsi="宋体" w:eastAsia="宋体" w:cs="宋体"/>
          <w:szCs w:val="21"/>
          <w:lang w:val="zh-CN"/>
        </w:rPr>
        <w:t>要求投标人对投标文件有关事项作出澄清或者说明；</w:t>
      </w:r>
    </w:p>
    <w:p>
      <w:pPr>
        <w:numPr>
          <w:ilvl w:val="0"/>
          <w:numId w:val="36"/>
        </w:numPr>
        <w:spacing w:line="276" w:lineRule="auto"/>
        <w:rPr>
          <w:rFonts w:hint="eastAsia" w:ascii="宋体" w:hAnsi="宋体" w:eastAsia="宋体" w:cs="宋体"/>
          <w:szCs w:val="21"/>
          <w:lang w:val="zh-CN"/>
        </w:rPr>
      </w:pPr>
      <w:r>
        <w:rPr>
          <w:rFonts w:hint="eastAsia" w:ascii="宋体" w:hAnsi="宋体" w:eastAsia="宋体" w:cs="宋体"/>
          <w:szCs w:val="21"/>
          <w:lang w:val="zh-CN"/>
        </w:rPr>
        <w:t>对投标文件进行综合比较和评价；</w:t>
      </w:r>
    </w:p>
    <w:p>
      <w:pPr>
        <w:numPr>
          <w:ilvl w:val="0"/>
          <w:numId w:val="36"/>
        </w:numPr>
        <w:spacing w:line="276" w:lineRule="auto"/>
        <w:rPr>
          <w:rFonts w:hint="eastAsia" w:ascii="宋体" w:hAnsi="宋体" w:eastAsia="宋体" w:cs="宋体"/>
          <w:szCs w:val="21"/>
          <w:lang w:val="zh-CN"/>
        </w:rPr>
      </w:pPr>
      <w:r>
        <w:rPr>
          <w:rFonts w:hint="eastAsia" w:ascii="宋体" w:hAnsi="宋体" w:eastAsia="宋体" w:cs="宋体"/>
          <w:szCs w:val="21"/>
          <w:lang w:val="zh-CN"/>
        </w:rPr>
        <w:t>确定中标候选人名单或中标人；</w:t>
      </w:r>
    </w:p>
    <w:p>
      <w:pPr>
        <w:numPr>
          <w:ilvl w:val="0"/>
          <w:numId w:val="36"/>
        </w:numPr>
        <w:spacing w:line="276" w:lineRule="auto"/>
        <w:rPr>
          <w:rFonts w:hint="eastAsia" w:ascii="宋体" w:hAnsi="宋体" w:eastAsia="宋体" w:cs="宋体"/>
          <w:szCs w:val="21"/>
          <w:lang w:val="zh-CN"/>
        </w:rPr>
      </w:pPr>
      <w:r>
        <w:rPr>
          <w:rFonts w:hint="eastAsia" w:ascii="宋体" w:hAnsi="宋体" w:eastAsia="宋体" w:cs="宋体"/>
          <w:szCs w:val="21"/>
          <w:lang w:val="zh-CN"/>
        </w:rPr>
        <w:t>向采购人、采购代理机构或者有关部门报告评标中发现的违法行为。</w:t>
      </w:r>
    </w:p>
    <w:p>
      <w:pPr>
        <w:numPr>
          <w:ilvl w:val="0"/>
          <w:numId w:val="35"/>
        </w:numPr>
        <w:spacing w:line="276" w:lineRule="auto"/>
        <w:ind w:left="616" w:hanging="616"/>
        <w:rPr>
          <w:rFonts w:hint="eastAsia" w:ascii="宋体" w:hAnsi="宋体" w:eastAsia="宋体" w:cs="宋体"/>
          <w:kern w:val="0"/>
          <w:szCs w:val="21"/>
          <w:lang w:val="zh-CN"/>
        </w:rPr>
      </w:pPr>
      <w:r>
        <w:rPr>
          <w:rFonts w:hint="eastAsia" w:ascii="宋体" w:hAnsi="宋体" w:eastAsia="宋体" w:cs="宋体"/>
          <w:kern w:val="0"/>
          <w:szCs w:val="21"/>
          <w:lang w:val="zh-CN"/>
        </w:rPr>
        <w:t>评标程序详见第五章“评标方法、程序及标准”。</w:t>
      </w:r>
    </w:p>
    <w:p>
      <w:pPr>
        <w:keepNext/>
        <w:keepLines/>
        <w:numPr>
          <w:ilvl w:val="0"/>
          <w:numId w:val="8"/>
        </w:numPr>
        <w:spacing w:line="276" w:lineRule="auto"/>
        <w:ind w:left="426" w:hanging="426"/>
        <w:jc w:val="left"/>
        <w:outlineLvl w:val="1"/>
        <w:rPr>
          <w:rFonts w:hint="eastAsia" w:ascii="宋体" w:hAnsi="宋体" w:eastAsia="宋体" w:cs="宋体"/>
          <w:b/>
          <w:kern w:val="0"/>
          <w:szCs w:val="21"/>
          <w:lang w:val="zh-CN"/>
        </w:rPr>
      </w:pPr>
      <w:bookmarkStart w:id="29" w:name="_Toc494561943"/>
      <w:bookmarkStart w:id="30" w:name="_Toc340"/>
      <w:bookmarkStart w:id="31" w:name="_Toc97815002"/>
      <w:r>
        <w:rPr>
          <w:rFonts w:hint="eastAsia" w:ascii="宋体" w:hAnsi="宋体" w:eastAsia="宋体" w:cs="宋体"/>
          <w:b/>
          <w:kern w:val="0"/>
          <w:szCs w:val="21"/>
          <w:lang w:val="zh-CN"/>
        </w:rPr>
        <w:t>投标人信用信息及查询</w:t>
      </w:r>
      <w:bookmarkEnd w:id="29"/>
      <w:bookmarkEnd w:id="30"/>
      <w:bookmarkEnd w:id="31"/>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信用信息查询渠道及使用规则</w:t>
      </w:r>
    </w:p>
    <w:p>
      <w:pPr>
        <w:numPr>
          <w:ilvl w:val="0"/>
          <w:numId w:val="37"/>
        </w:numPr>
        <w:spacing w:line="276" w:lineRule="auto"/>
        <w:ind w:left="616" w:hanging="616"/>
        <w:rPr>
          <w:rFonts w:hint="eastAsia" w:ascii="宋体" w:hAnsi="宋体" w:eastAsia="宋体" w:cs="宋体"/>
          <w:kern w:val="0"/>
          <w:szCs w:val="21"/>
          <w:lang w:val="zh-CN"/>
        </w:rPr>
      </w:pPr>
      <w:r>
        <w:rPr>
          <w:rFonts w:hint="eastAsia" w:ascii="宋体" w:hAnsi="宋体" w:eastAsia="宋体" w:cs="宋体"/>
          <w:kern w:val="0"/>
          <w:szCs w:val="21"/>
          <w:lang w:val="zh-CN"/>
        </w:rPr>
        <w:t>按照《关于在政府采购活动中查询及使用信用记录有关问题的通知》的要求，参与政府采购的投标人，信用记录的查询渠道为“信用中国”网站(www.creditchina.gov.cn)。</w:t>
      </w:r>
    </w:p>
    <w:p>
      <w:pPr>
        <w:numPr>
          <w:ilvl w:val="0"/>
          <w:numId w:val="37"/>
        </w:numPr>
        <w:spacing w:line="276" w:lineRule="auto"/>
        <w:ind w:left="616" w:hanging="616"/>
        <w:rPr>
          <w:rFonts w:hint="eastAsia" w:ascii="宋体" w:hAnsi="宋体" w:eastAsia="宋体" w:cs="宋体"/>
          <w:kern w:val="0"/>
          <w:szCs w:val="21"/>
          <w:lang w:val="zh-CN"/>
        </w:rPr>
      </w:pPr>
      <w:r>
        <w:rPr>
          <w:rFonts w:hint="eastAsia" w:ascii="宋体" w:hAnsi="宋体" w:eastAsia="宋体" w:cs="宋体"/>
          <w:kern w:val="0"/>
          <w:szCs w:val="21"/>
          <w:lang w:val="zh-CN"/>
        </w:rPr>
        <w:t>列入失信被执行人、</w:t>
      </w:r>
      <w:r>
        <w:rPr>
          <w:rFonts w:hint="eastAsia" w:ascii="宋体" w:hAnsi="宋体" w:eastAsia="宋体" w:cs="宋体"/>
          <w:color w:val="FF0000"/>
          <w:szCs w:val="21"/>
        </w:rPr>
        <w:t>税收违法黑名单或重大税收违法失信主体</w:t>
      </w:r>
      <w:r>
        <w:rPr>
          <w:rFonts w:hint="eastAsia" w:ascii="宋体" w:hAnsi="宋体" w:eastAsia="宋体" w:cs="宋体"/>
          <w:kern w:val="0"/>
          <w:szCs w:val="21"/>
          <w:lang w:val="zh-CN"/>
        </w:rPr>
        <w:t>、政府采购严重违法失信行为记录名单的投标人，采购代理机构</w:t>
      </w:r>
      <w:r>
        <w:rPr>
          <w:rFonts w:hint="eastAsia" w:ascii="宋体" w:hAnsi="宋体" w:eastAsia="宋体" w:cs="宋体"/>
          <w:b/>
          <w:kern w:val="0"/>
          <w:szCs w:val="21"/>
          <w:lang w:val="zh-CN"/>
        </w:rPr>
        <w:t>拒绝</w:t>
      </w:r>
      <w:r>
        <w:rPr>
          <w:rFonts w:hint="eastAsia" w:ascii="宋体" w:hAnsi="宋体" w:eastAsia="宋体" w:cs="宋体"/>
          <w:kern w:val="0"/>
          <w:szCs w:val="21"/>
          <w:lang w:val="zh-CN"/>
        </w:rPr>
        <w:t>其参与政府采购活动。</w:t>
      </w:r>
    </w:p>
    <w:p>
      <w:pPr>
        <w:numPr>
          <w:ilvl w:val="0"/>
          <w:numId w:val="37"/>
        </w:numPr>
        <w:spacing w:line="276" w:lineRule="auto"/>
        <w:ind w:left="616" w:hanging="616"/>
        <w:rPr>
          <w:rFonts w:hint="eastAsia" w:ascii="宋体" w:hAnsi="宋体" w:eastAsia="宋体" w:cs="宋体"/>
          <w:kern w:val="0"/>
          <w:szCs w:val="21"/>
          <w:lang w:val="zh-CN"/>
        </w:rPr>
      </w:pPr>
      <w:r>
        <w:rPr>
          <w:rFonts w:hint="eastAsia" w:ascii="宋体" w:hAnsi="宋体" w:eastAsia="宋体" w:cs="宋体"/>
          <w:kern w:val="0"/>
          <w:szCs w:val="21"/>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37"/>
        </w:numPr>
        <w:spacing w:line="276" w:lineRule="auto"/>
        <w:ind w:left="616" w:hanging="616"/>
        <w:rPr>
          <w:rFonts w:hint="eastAsia" w:ascii="宋体" w:hAnsi="宋体" w:eastAsia="宋体" w:cs="宋体"/>
          <w:kern w:val="0"/>
          <w:szCs w:val="21"/>
          <w:lang w:val="zh-CN"/>
        </w:rPr>
      </w:pPr>
      <w:r>
        <w:rPr>
          <w:rFonts w:hint="eastAsia" w:ascii="宋体" w:hAnsi="宋体" w:eastAsia="宋体" w:cs="宋体"/>
          <w:kern w:val="0"/>
          <w:szCs w:val="21"/>
          <w:lang w:val="zh-CN"/>
        </w:rPr>
        <w:t>在资格审查与评标工作未同日进行的特殊情形下，采购代理机构工作人员在评标时对投标人的信用信息进行复核，发现评标当日存在不良信用信息的，由评标委员会按照符合性审查不合格作</w:t>
      </w:r>
      <w:r>
        <w:rPr>
          <w:rFonts w:hint="eastAsia" w:ascii="宋体" w:hAnsi="宋体" w:eastAsia="宋体" w:cs="宋体"/>
          <w:b/>
          <w:kern w:val="0"/>
          <w:szCs w:val="21"/>
          <w:lang w:val="zh-CN"/>
        </w:rPr>
        <w:t>无效投标处理</w:t>
      </w:r>
      <w:r>
        <w:rPr>
          <w:rFonts w:hint="eastAsia" w:ascii="宋体" w:hAnsi="宋体" w:eastAsia="宋体" w:cs="宋体"/>
          <w:kern w:val="0"/>
          <w:szCs w:val="21"/>
          <w:lang w:val="zh-CN"/>
        </w:rPr>
        <w:t>。</w:t>
      </w:r>
    </w:p>
    <w:p>
      <w:pPr>
        <w:keepNext/>
        <w:keepLines/>
        <w:numPr>
          <w:ilvl w:val="0"/>
          <w:numId w:val="8"/>
        </w:numPr>
        <w:spacing w:line="276" w:lineRule="auto"/>
        <w:ind w:left="426" w:hanging="426"/>
        <w:jc w:val="left"/>
        <w:outlineLvl w:val="1"/>
        <w:rPr>
          <w:rFonts w:hint="eastAsia" w:ascii="宋体" w:hAnsi="宋体" w:eastAsia="宋体" w:cs="宋体"/>
          <w:b/>
          <w:kern w:val="0"/>
          <w:szCs w:val="21"/>
          <w:lang w:val="zh-CN"/>
        </w:rPr>
      </w:pPr>
      <w:bookmarkStart w:id="32" w:name="_Toc494561944"/>
      <w:bookmarkStart w:id="33" w:name="_Toc26892"/>
      <w:bookmarkStart w:id="34" w:name="_Toc97815003"/>
      <w:r>
        <w:rPr>
          <w:rFonts w:hint="eastAsia" w:ascii="宋体" w:hAnsi="宋体" w:eastAsia="宋体" w:cs="宋体"/>
          <w:b/>
          <w:kern w:val="0"/>
          <w:szCs w:val="21"/>
          <w:lang w:val="zh-CN"/>
        </w:rPr>
        <w:t>中标与合同</w:t>
      </w:r>
      <w:bookmarkEnd w:id="32"/>
      <w:bookmarkEnd w:id="33"/>
      <w:bookmarkEnd w:id="34"/>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确定中标人</w:t>
      </w:r>
    </w:p>
    <w:p>
      <w:pPr>
        <w:numPr>
          <w:ilvl w:val="0"/>
          <w:numId w:val="38"/>
        </w:numPr>
        <w:spacing w:line="276" w:lineRule="auto"/>
        <w:ind w:left="616" w:hanging="616"/>
        <w:rPr>
          <w:rFonts w:hint="eastAsia" w:ascii="宋体" w:hAnsi="宋体" w:eastAsia="宋体" w:cs="宋体"/>
          <w:szCs w:val="21"/>
          <w:lang w:val="zh-CN"/>
        </w:rPr>
      </w:pPr>
      <w:r>
        <w:rPr>
          <w:rFonts w:hint="eastAsia" w:ascii="宋体" w:hAnsi="宋体" w:eastAsia="宋体" w:cs="宋体"/>
          <w:color w:val="333333"/>
          <w:kern w:val="0"/>
          <w:szCs w:val="21"/>
        </w:rPr>
        <w:t>采购代理机构应当在评标结束后2个工作日内将评标报告送采购人。</w:t>
      </w:r>
    </w:p>
    <w:p>
      <w:pPr>
        <w:numPr>
          <w:ilvl w:val="0"/>
          <w:numId w:val="38"/>
        </w:numPr>
        <w:spacing w:line="276" w:lineRule="auto"/>
        <w:ind w:left="616" w:hanging="616"/>
        <w:rPr>
          <w:rFonts w:hint="eastAsia" w:ascii="宋体" w:hAnsi="宋体" w:eastAsia="宋体" w:cs="宋体"/>
          <w:szCs w:val="21"/>
          <w:lang w:val="zh-CN"/>
        </w:rPr>
      </w:pPr>
      <w:r>
        <w:rPr>
          <w:rFonts w:hint="eastAsia" w:ascii="宋体" w:hAnsi="宋体" w:eastAsia="宋体" w:cs="宋体"/>
          <w:kern w:val="0"/>
          <w:szCs w:val="21"/>
          <w:lang w:val="zh-CN"/>
        </w:rPr>
        <w:t>采购人收到评标报告5个工作日内，按评标报告推荐的中标候选人顺序确定中标人。</w:t>
      </w:r>
    </w:p>
    <w:p>
      <w:pPr>
        <w:numPr>
          <w:ilvl w:val="0"/>
          <w:numId w:val="38"/>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允许投标人同时参与多标段投标的，确定中标候选人的办法详见《投标人须知前附表》。</w:t>
      </w:r>
    </w:p>
    <w:p>
      <w:pPr>
        <w:numPr>
          <w:ilvl w:val="0"/>
          <w:numId w:val="38"/>
        </w:numPr>
        <w:spacing w:line="276" w:lineRule="auto"/>
        <w:ind w:left="616" w:hanging="616"/>
        <w:rPr>
          <w:rFonts w:hint="eastAsia" w:ascii="宋体" w:hAnsi="宋体" w:eastAsia="宋体" w:cs="宋体"/>
          <w:szCs w:val="21"/>
          <w:lang w:val="zh-CN"/>
        </w:rPr>
      </w:pPr>
      <w:r>
        <w:rPr>
          <w:rFonts w:hint="eastAsia" w:ascii="宋体" w:hAnsi="宋体" w:eastAsia="宋体" w:cs="宋体"/>
          <w:kern w:val="0"/>
          <w:szCs w:val="21"/>
          <w:lang w:val="zh-CN"/>
        </w:rPr>
        <w:t>中标候选人并列的：</w:t>
      </w:r>
    </w:p>
    <w:p>
      <w:pPr>
        <w:numPr>
          <w:ilvl w:val="0"/>
          <w:numId w:val="39"/>
        </w:numPr>
        <w:spacing w:line="276" w:lineRule="auto"/>
        <w:rPr>
          <w:rFonts w:hint="eastAsia" w:ascii="宋体" w:hAnsi="宋体" w:eastAsia="宋体" w:cs="宋体"/>
          <w:szCs w:val="21"/>
          <w:lang w:val="zh-CN"/>
        </w:rPr>
      </w:pPr>
      <w:r>
        <w:rPr>
          <w:rFonts w:hint="eastAsia" w:ascii="宋体" w:hAnsi="宋体" w:eastAsia="宋体" w:cs="宋体"/>
          <w:szCs w:val="21"/>
          <w:lang w:val="zh-CN"/>
        </w:rPr>
        <w:t>采用最低评标价法的，评审结果按投标报价由低到高顺序排列。投标报价相同的并列，由采购人确定或者采购人委托评标委员会以投票方式确定中标人。</w:t>
      </w:r>
    </w:p>
    <w:p>
      <w:pPr>
        <w:numPr>
          <w:ilvl w:val="0"/>
          <w:numId w:val="39"/>
        </w:numPr>
        <w:spacing w:line="276" w:lineRule="auto"/>
        <w:rPr>
          <w:rFonts w:hint="eastAsia" w:ascii="宋体" w:hAnsi="宋体" w:eastAsia="宋体" w:cs="宋体"/>
          <w:szCs w:val="21"/>
          <w:lang w:val="zh-CN"/>
        </w:rPr>
      </w:pPr>
      <w:r>
        <w:rPr>
          <w:rFonts w:hint="eastAsia" w:ascii="宋体" w:hAnsi="宋体" w:eastAsia="宋体" w:cs="宋体"/>
          <w:szCs w:val="21"/>
          <w:lang w:val="zh-CN"/>
        </w:rPr>
        <w:t>采用综合评分法的，评审结果按评审后得分由高到低顺序排列。得分相同的，按投标报价由低到高顺序排列。得分且投标报价相同的并列，由采购人确定或者采购人委托评标委员会以投票方式确定中标人。</w:t>
      </w:r>
    </w:p>
    <w:p>
      <w:pPr>
        <w:numPr>
          <w:ilvl w:val="0"/>
          <w:numId w:val="38"/>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中标人的数量有其他规定的，按招标文件相关规定执行。</w:t>
      </w:r>
    </w:p>
    <w:p>
      <w:pPr>
        <w:numPr>
          <w:ilvl w:val="0"/>
          <w:numId w:val="38"/>
        </w:numPr>
        <w:spacing w:line="276" w:lineRule="auto"/>
        <w:ind w:left="616" w:hanging="616"/>
        <w:rPr>
          <w:rFonts w:hint="eastAsia" w:ascii="宋体" w:hAnsi="宋体" w:eastAsia="宋体" w:cs="宋体"/>
          <w:strike/>
          <w:szCs w:val="21"/>
          <w:lang w:val="zh-CN"/>
        </w:rPr>
      </w:pPr>
      <w:r>
        <w:rPr>
          <w:rFonts w:hint="eastAsia" w:ascii="宋体" w:hAnsi="宋体" w:eastAsia="宋体" w:cs="宋体"/>
          <w:szCs w:val="21"/>
          <w:lang w:val="zh-CN"/>
        </w:rPr>
        <w:t>中标人确定后，采购代理机构在政府采购监管部门指定的媒体上发布中标公告，同时向中标人和采购人发出《中标通知书》。《中标通知书》是政府采购合同的组成部分,对中标人和采购人具有同等法律效力。</w:t>
      </w:r>
    </w:p>
    <w:p>
      <w:pPr>
        <w:numPr>
          <w:ilvl w:val="0"/>
          <w:numId w:val="38"/>
        </w:numPr>
        <w:spacing w:line="276" w:lineRule="auto"/>
        <w:ind w:left="616" w:hanging="616"/>
        <w:rPr>
          <w:rFonts w:hint="eastAsia" w:ascii="宋体" w:hAnsi="宋体" w:eastAsia="宋体" w:cs="宋体"/>
          <w:strike/>
          <w:szCs w:val="21"/>
          <w:lang w:val="zh-CN"/>
        </w:rPr>
      </w:pPr>
      <w:r>
        <w:rPr>
          <w:rFonts w:hint="eastAsia" w:ascii="宋体" w:hAnsi="宋体" w:eastAsia="宋体" w:cs="宋体"/>
          <w:kern w:val="0"/>
          <w:szCs w:val="21"/>
          <w:lang w:val="zh-CN"/>
        </w:rPr>
        <w:t>中标通知书发出后，采购人不得违法改变中标结果，中标人无正当理由不得放弃中标。</w:t>
      </w:r>
      <w:r>
        <w:rPr>
          <w:rFonts w:hint="eastAsia" w:ascii="宋体" w:hAnsi="宋体" w:eastAsia="宋体" w:cs="宋体"/>
          <w:snapToGrid w:val="0"/>
          <w:szCs w:val="21"/>
          <w:lang w:val="zh-CN"/>
        </w:rPr>
        <w:t>中标人应向采购人提供完整的投标文件存档。</w:t>
      </w:r>
    </w:p>
    <w:p>
      <w:pPr>
        <w:numPr>
          <w:ilvl w:val="0"/>
          <w:numId w:val="38"/>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中标人拒绝与采购人签订合同的，采购人可以按照评标报告推荐的中标候选人名单排序，确定下一候选人为中标人，也可以重新开展政府采购活动。</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合同授予</w:t>
      </w:r>
    </w:p>
    <w:p>
      <w:pPr>
        <w:numPr>
          <w:ilvl w:val="0"/>
          <w:numId w:val="40"/>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除本章“确定中标人”规定及其他法律规定的情形外，采购人把合同授予被确定为实质上响应招标文件要求且排名第一的中标人。</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合同签订</w:t>
      </w:r>
    </w:p>
    <w:p>
      <w:pPr>
        <w:numPr>
          <w:ilvl w:val="0"/>
          <w:numId w:val="41"/>
        </w:numPr>
        <w:spacing w:line="276" w:lineRule="auto"/>
        <w:ind w:left="567" w:hanging="567"/>
        <w:rPr>
          <w:rFonts w:hint="eastAsia" w:ascii="宋体" w:hAnsi="宋体" w:eastAsia="宋体" w:cs="宋体"/>
          <w:szCs w:val="21"/>
          <w:lang w:val="zh-CN"/>
        </w:rPr>
      </w:pPr>
      <w:bookmarkStart w:id="35" w:name="_Toc278891597"/>
      <w:bookmarkStart w:id="36" w:name="_Toc272247700"/>
      <w:r>
        <w:rPr>
          <w:rFonts w:hint="eastAsia" w:ascii="宋体" w:hAnsi="宋体" w:eastAsia="宋体" w:cs="宋体"/>
          <w:szCs w:val="21"/>
          <w:lang w:val="zh-CN"/>
        </w:rPr>
        <w:t>招标文件对履约保证金有规定的，中标人应按规定在签订合同前缴纳履约保证金。有关履约保证金 的规定详见《投标人须知前附表》。未按要求提交履约保证金的，视为放弃中标，其投标保证金不予退还，给采购人造成的损失超过投标保证金数额的，中标人还应当对超过部分予以赔偿。</w:t>
      </w:r>
    </w:p>
    <w:p>
      <w:pPr>
        <w:numPr>
          <w:ilvl w:val="0"/>
          <w:numId w:val="41"/>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采购人应当自中标通知书发出之日起30日内，按照招标文件规定和中标人投标文件的承诺，与中标人签订书面合同。所签订的合同不得对招标文件确定的事项和中标人投标文件作实质性修改。</w:t>
      </w:r>
    </w:p>
    <w:p>
      <w:pPr>
        <w:numPr>
          <w:ilvl w:val="0"/>
          <w:numId w:val="41"/>
        </w:numPr>
        <w:tabs>
          <w:tab w:val="left" w:pos="616"/>
        </w:tabs>
        <w:spacing w:line="276" w:lineRule="auto"/>
        <w:ind w:left="616" w:hanging="616"/>
        <w:rPr>
          <w:rFonts w:hint="eastAsia" w:ascii="宋体" w:hAnsi="宋体" w:eastAsia="宋体" w:cs="宋体"/>
          <w:szCs w:val="21"/>
          <w:lang w:val="zh-CN"/>
        </w:rPr>
      </w:pPr>
      <w:r>
        <w:rPr>
          <w:rFonts w:hint="eastAsia" w:ascii="宋体" w:hAnsi="宋体" w:eastAsia="宋体" w:cs="宋体"/>
          <w:kern w:val="0"/>
          <w:szCs w:val="21"/>
          <w:lang w:val="zh-CN"/>
        </w:rPr>
        <w:t>采购人不得向中标人提出任何不合理的要求作为签订合同的条件。</w:t>
      </w:r>
    </w:p>
    <w:p>
      <w:pPr>
        <w:numPr>
          <w:ilvl w:val="0"/>
          <w:numId w:val="41"/>
        </w:numPr>
        <w:tabs>
          <w:tab w:val="left" w:pos="616"/>
        </w:tabs>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政府采购合同应当包括采购人与中标人的名称和住所、标的、数量、质量、价款或者报酬、履行期限及地点和方式、验收要求、违约责任、解决争议的方法等内容。</w:t>
      </w:r>
    </w:p>
    <w:p>
      <w:pPr>
        <w:numPr>
          <w:ilvl w:val="0"/>
          <w:numId w:val="41"/>
        </w:numPr>
        <w:tabs>
          <w:tab w:val="left" w:pos="616"/>
        </w:tabs>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付款方式，详见《投标人须知前附表》。</w:t>
      </w:r>
    </w:p>
    <w:p>
      <w:pPr>
        <w:numPr>
          <w:ilvl w:val="0"/>
          <w:numId w:val="41"/>
        </w:numPr>
        <w:tabs>
          <w:tab w:val="left" w:pos="616"/>
        </w:tabs>
        <w:spacing w:line="276" w:lineRule="auto"/>
        <w:ind w:left="616" w:hanging="616"/>
        <w:rPr>
          <w:rFonts w:hint="eastAsia" w:ascii="宋体" w:hAnsi="宋体" w:eastAsia="宋体" w:cs="宋体"/>
          <w:szCs w:val="21"/>
          <w:lang w:val="zh-CN"/>
        </w:rPr>
      </w:pPr>
      <w:r>
        <w:rPr>
          <w:rFonts w:hint="eastAsia" w:ascii="宋体" w:hAnsi="宋体" w:eastAsia="宋体" w:cs="宋体"/>
          <w:kern w:val="0"/>
          <w:szCs w:val="21"/>
          <w:lang w:val="zh-CN"/>
        </w:rPr>
        <w:t>采购人与中标人应当根据合同的约定依法履行合同义务。政府采购合同的履行、违约责任和解决争议的方法等适用《中华人民共和国民法典》。</w:t>
      </w:r>
    </w:p>
    <w:p>
      <w:pPr>
        <w:numPr>
          <w:ilvl w:val="0"/>
          <w:numId w:val="41"/>
        </w:numPr>
        <w:tabs>
          <w:tab w:val="left" w:pos="616"/>
        </w:tabs>
        <w:spacing w:line="276" w:lineRule="auto"/>
        <w:ind w:left="616" w:hanging="616"/>
        <w:rPr>
          <w:rFonts w:hint="eastAsia" w:ascii="宋体" w:hAnsi="宋体" w:eastAsia="宋体" w:cs="宋体"/>
          <w:szCs w:val="21"/>
          <w:lang w:val="zh-CN"/>
        </w:rPr>
      </w:pPr>
      <w:r>
        <w:rPr>
          <w:rFonts w:hint="eastAsia" w:ascii="宋体" w:hAnsi="宋体" w:eastAsia="宋体" w:cs="宋体"/>
          <w:szCs w:val="21"/>
        </w:rPr>
        <w:t>采购人应当自政府采购合同签订之日起2个工作日内，将政府采购合同在省级以上人民政府财政部门指定的媒体上公告，但政府采购合同中涉及国家秘密、商业秘密的内容除外。</w:t>
      </w:r>
    </w:p>
    <w:p>
      <w:pPr>
        <w:numPr>
          <w:ilvl w:val="0"/>
          <w:numId w:val="41"/>
        </w:numPr>
        <w:tabs>
          <w:tab w:val="left" w:pos="616"/>
        </w:tabs>
        <w:spacing w:line="276" w:lineRule="auto"/>
        <w:ind w:left="616" w:hanging="616"/>
        <w:rPr>
          <w:rFonts w:hint="eastAsia" w:ascii="宋体" w:hAnsi="宋体" w:eastAsia="宋体" w:cs="宋体"/>
          <w:szCs w:val="21"/>
          <w:lang w:val="zh-CN"/>
        </w:rPr>
      </w:pPr>
      <w:r>
        <w:rPr>
          <w:rFonts w:hint="eastAsia" w:ascii="宋体" w:hAnsi="宋体" w:eastAsia="宋体" w:cs="宋体"/>
          <w:kern w:val="0"/>
          <w:szCs w:val="21"/>
          <w:lang w:val="zh-CN"/>
        </w:rPr>
        <w:t>采购人应当加强对中标人的履约管理，并按照采购合同约定，及时向中标人支付采购资金。对于中标人违反采购合同约定的行为，采购人应当及时处理，依法追究其违约责任。</w:t>
      </w:r>
    </w:p>
    <w:p>
      <w:pPr>
        <w:keepNext/>
        <w:keepLines/>
        <w:numPr>
          <w:ilvl w:val="0"/>
          <w:numId w:val="8"/>
        </w:numPr>
        <w:spacing w:line="276" w:lineRule="auto"/>
        <w:ind w:left="426" w:hanging="426"/>
        <w:jc w:val="left"/>
        <w:outlineLvl w:val="1"/>
        <w:rPr>
          <w:rFonts w:hint="eastAsia" w:ascii="宋体" w:hAnsi="宋体" w:eastAsia="宋体" w:cs="宋体"/>
          <w:b/>
          <w:kern w:val="0"/>
          <w:szCs w:val="21"/>
          <w:lang w:val="zh-CN"/>
        </w:rPr>
      </w:pPr>
      <w:bookmarkStart w:id="37" w:name="_Toc494561945"/>
      <w:bookmarkStart w:id="38" w:name="_Toc97815004"/>
      <w:bookmarkStart w:id="39" w:name="_Toc12808"/>
      <w:r>
        <w:rPr>
          <w:rFonts w:hint="eastAsia" w:ascii="宋体" w:hAnsi="宋体" w:eastAsia="宋体" w:cs="宋体"/>
          <w:b/>
          <w:kern w:val="0"/>
          <w:szCs w:val="21"/>
          <w:lang w:val="zh-CN"/>
        </w:rPr>
        <w:t>采购信息公告</w:t>
      </w:r>
      <w:bookmarkEnd w:id="37"/>
      <w:bookmarkEnd w:id="38"/>
      <w:bookmarkEnd w:id="39"/>
    </w:p>
    <w:p>
      <w:pPr>
        <w:numPr>
          <w:ilvl w:val="0"/>
          <w:numId w:val="9"/>
        </w:numPr>
        <w:spacing w:line="276" w:lineRule="auto"/>
        <w:rPr>
          <w:rFonts w:hint="eastAsia" w:ascii="宋体" w:hAnsi="宋体" w:eastAsia="宋体" w:cs="宋体"/>
          <w:b/>
          <w:color w:val="0D0D0D"/>
          <w:kern w:val="0"/>
          <w:szCs w:val="21"/>
          <w:lang w:val="zh-CN"/>
        </w:rPr>
      </w:pPr>
      <w:r>
        <w:rPr>
          <w:rFonts w:hint="eastAsia" w:ascii="宋体" w:hAnsi="宋体" w:eastAsia="宋体" w:cs="宋体"/>
          <w:b/>
          <w:szCs w:val="21"/>
          <w:lang w:val="zh-CN"/>
        </w:rPr>
        <w:t>公告的媒体及规定</w:t>
      </w:r>
    </w:p>
    <w:p>
      <w:pPr>
        <w:numPr>
          <w:ilvl w:val="0"/>
          <w:numId w:val="42"/>
        </w:numPr>
        <w:tabs>
          <w:tab w:val="left" w:pos="616"/>
        </w:tabs>
        <w:spacing w:line="276" w:lineRule="auto"/>
        <w:ind w:left="616" w:hanging="616"/>
        <w:rPr>
          <w:rFonts w:hint="eastAsia" w:ascii="宋体" w:hAnsi="宋体" w:eastAsia="宋体" w:cs="宋体"/>
          <w:kern w:val="0"/>
          <w:szCs w:val="21"/>
          <w:lang w:val="zh-CN"/>
        </w:rPr>
      </w:pPr>
      <w:r>
        <w:rPr>
          <w:rFonts w:hint="eastAsia" w:ascii="宋体" w:hAnsi="宋体" w:eastAsia="宋体" w:cs="宋体"/>
          <w:kern w:val="0"/>
          <w:szCs w:val="21"/>
          <w:lang w:val="zh-CN"/>
        </w:rPr>
        <w:t>采购代理机构在招标活动中的公告、补充、更正、结果等采购信息均依法在政府采购监管部门指定媒体上发布。</w:t>
      </w:r>
    </w:p>
    <w:p>
      <w:pPr>
        <w:numPr>
          <w:ilvl w:val="0"/>
          <w:numId w:val="42"/>
        </w:numPr>
        <w:tabs>
          <w:tab w:val="left" w:pos="616"/>
        </w:tabs>
        <w:spacing w:line="276" w:lineRule="auto"/>
        <w:ind w:left="616" w:hanging="616"/>
        <w:rPr>
          <w:rFonts w:hint="eastAsia" w:ascii="宋体" w:hAnsi="宋体" w:eastAsia="宋体" w:cs="宋体"/>
          <w:kern w:val="0"/>
          <w:szCs w:val="21"/>
          <w:lang w:val="zh-CN"/>
        </w:rPr>
      </w:pPr>
      <w:r>
        <w:rPr>
          <w:rFonts w:hint="eastAsia" w:ascii="宋体" w:hAnsi="宋体" w:eastAsia="宋体" w:cs="宋体"/>
          <w:kern w:val="0"/>
          <w:szCs w:val="21"/>
          <w:lang w:val="zh-CN"/>
        </w:rPr>
        <w:t>采购代理机构在自中标人确定之日起2个工作日内，在政府采购监管部门指定媒体上公告中标结果，中标公告的公示期为1个工作日。</w:t>
      </w:r>
    </w:p>
    <w:p>
      <w:pPr>
        <w:numPr>
          <w:ilvl w:val="0"/>
          <w:numId w:val="42"/>
        </w:numPr>
        <w:tabs>
          <w:tab w:val="left" w:pos="616"/>
        </w:tabs>
        <w:spacing w:line="276" w:lineRule="auto"/>
        <w:ind w:left="616" w:hanging="616"/>
        <w:rPr>
          <w:rFonts w:hint="eastAsia" w:ascii="宋体" w:hAnsi="宋体" w:eastAsia="宋体" w:cs="宋体"/>
          <w:kern w:val="0"/>
          <w:szCs w:val="21"/>
          <w:lang w:val="zh-CN"/>
        </w:rPr>
      </w:pPr>
      <w:r>
        <w:rPr>
          <w:rFonts w:hint="eastAsia" w:ascii="宋体" w:hAnsi="宋体" w:eastAsia="宋体" w:cs="宋体"/>
          <w:kern w:val="0"/>
          <w:szCs w:val="21"/>
          <w:lang w:val="zh-CN"/>
        </w:rPr>
        <w:t>资格审查未通过的投标人可在中标公告质疑有效期内按公告中的联系方式获知本人的资格审查情况。</w:t>
      </w:r>
    </w:p>
    <w:p>
      <w:pPr>
        <w:numPr>
          <w:ilvl w:val="0"/>
          <w:numId w:val="42"/>
        </w:numPr>
        <w:tabs>
          <w:tab w:val="left" w:pos="616"/>
        </w:tabs>
        <w:spacing w:line="276" w:lineRule="auto"/>
        <w:ind w:left="616" w:hanging="616"/>
        <w:rPr>
          <w:rFonts w:hint="eastAsia" w:ascii="宋体" w:hAnsi="宋体" w:eastAsia="宋体" w:cs="宋体"/>
          <w:kern w:val="0"/>
          <w:szCs w:val="21"/>
          <w:lang w:val="zh-CN"/>
        </w:rPr>
      </w:pPr>
      <w:r>
        <w:rPr>
          <w:rFonts w:hint="eastAsia" w:ascii="宋体" w:hAnsi="宋体" w:eastAsia="宋体" w:cs="宋体"/>
          <w:kern w:val="0"/>
          <w:szCs w:val="21"/>
          <w:lang w:val="zh-CN"/>
        </w:rPr>
        <w:t>采用综合评分法评审的项目，未中标人可在中标公告质疑有效期内按公告中的联系方式获知本人的评审得分与排序。</w:t>
      </w:r>
    </w:p>
    <w:p>
      <w:pPr>
        <w:keepNext/>
        <w:keepLines/>
        <w:numPr>
          <w:ilvl w:val="0"/>
          <w:numId w:val="8"/>
        </w:numPr>
        <w:spacing w:line="276" w:lineRule="auto"/>
        <w:ind w:left="426" w:hanging="426"/>
        <w:jc w:val="left"/>
        <w:outlineLvl w:val="1"/>
        <w:rPr>
          <w:rFonts w:hint="eastAsia" w:ascii="宋体" w:hAnsi="宋体" w:eastAsia="宋体" w:cs="宋体"/>
          <w:b/>
          <w:kern w:val="0"/>
          <w:szCs w:val="21"/>
          <w:lang w:val="zh-CN"/>
        </w:rPr>
      </w:pPr>
      <w:bookmarkStart w:id="40" w:name="_Toc494561946"/>
      <w:bookmarkStart w:id="41" w:name="_Toc27609"/>
      <w:bookmarkStart w:id="42" w:name="_Toc97815005"/>
      <w:r>
        <w:rPr>
          <w:rFonts w:hint="eastAsia" w:ascii="宋体" w:hAnsi="宋体" w:eastAsia="宋体" w:cs="宋体"/>
          <w:b/>
          <w:kern w:val="0"/>
          <w:szCs w:val="21"/>
          <w:lang w:val="zh-CN"/>
        </w:rPr>
        <w:t>质疑</w:t>
      </w:r>
      <w:bookmarkEnd w:id="35"/>
      <w:bookmarkEnd w:id="36"/>
      <w:r>
        <w:rPr>
          <w:rFonts w:hint="eastAsia" w:ascii="宋体" w:hAnsi="宋体" w:eastAsia="宋体" w:cs="宋体"/>
          <w:b/>
          <w:kern w:val="0"/>
          <w:szCs w:val="21"/>
          <w:lang w:val="zh-CN"/>
        </w:rPr>
        <w:t>及提交</w:t>
      </w:r>
      <w:bookmarkEnd w:id="40"/>
      <w:bookmarkEnd w:id="41"/>
      <w:bookmarkEnd w:id="42"/>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质疑提交</w:t>
      </w:r>
    </w:p>
    <w:p>
      <w:pPr>
        <w:spacing w:line="276"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投标人认为招标文件、招标过程和中标结果使自己的权益受到损害的，可以在知道或者应知其权益受到损害之日起7个工作日内，以书面形式向采购人、采购代理机构一次性提出针对同一采购程序环节的质疑。质疑提交要求详见《投标人须知前附表》。</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投标人应知其权益受到损害之日是指：</w:t>
      </w:r>
    </w:p>
    <w:p>
      <w:pPr>
        <w:numPr>
          <w:ilvl w:val="0"/>
          <w:numId w:val="43"/>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对可以质疑的招标文件提出质疑的，为收到招标文件之日或者招标文件公告期限届满之日；</w:t>
      </w:r>
    </w:p>
    <w:p>
      <w:pPr>
        <w:numPr>
          <w:ilvl w:val="0"/>
          <w:numId w:val="43"/>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对招标过程提出质疑的，为各招标程序环节结束之日；</w:t>
      </w:r>
    </w:p>
    <w:p>
      <w:pPr>
        <w:numPr>
          <w:ilvl w:val="0"/>
          <w:numId w:val="43"/>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对中标结果提出质疑的，为中标公告期限届满之日。</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质疑书应当包括下列主要内容：</w:t>
      </w:r>
    </w:p>
    <w:p>
      <w:pPr>
        <w:numPr>
          <w:ilvl w:val="0"/>
          <w:numId w:val="44"/>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质疑人的名称、地址、联系人及联系电话等；</w:t>
      </w:r>
    </w:p>
    <w:p>
      <w:pPr>
        <w:numPr>
          <w:ilvl w:val="0"/>
          <w:numId w:val="44"/>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被质疑人的名称、地址、联系人及联系电话等；</w:t>
      </w:r>
    </w:p>
    <w:p>
      <w:pPr>
        <w:numPr>
          <w:ilvl w:val="0"/>
          <w:numId w:val="44"/>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质疑项目名称及编号、质疑事项和明确的请求；</w:t>
      </w:r>
    </w:p>
    <w:p>
      <w:pPr>
        <w:numPr>
          <w:ilvl w:val="0"/>
          <w:numId w:val="44"/>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质疑事项的事实根据、法律依据及其他必要的证明材料；</w:t>
      </w:r>
    </w:p>
    <w:p>
      <w:pPr>
        <w:numPr>
          <w:ilvl w:val="0"/>
          <w:numId w:val="44"/>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提出质疑的日期；</w:t>
      </w:r>
    </w:p>
    <w:p>
      <w:pPr>
        <w:numPr>
          <w:ilvl w:val="0"/>
          <w:numId w:val="44"/>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质疑人的署名及签章（质疑人为自然人的，应当由本人签名；质疑人为法人或者其他组织的，应当由法定代表人或者主要负责人签名盖章并加盖公章）；</w:t>
      </w:r>
    </w:p>
    <w:p>
      <w:pPr>
        <w:numPr>
          <w:ilvl w:val="0"/>
          <w:numId w:val="44"/>
        </w:numPr>
        <w:spacing w:line="276" w:lineRule="auto"/>
        <w:ind w:left="616" w:hanging="616"/>
        <w:rPr>
          <w:rFonts w:hint="eastAsia" w:ascii="宋体" w:hAnsi="宋体" w:eastAsia="宋体" w:cs="宋体"/>
          <w:szCs w:val="21"/>
          <w:lang w:val="zh-CN"/>
        </w:rPr>
      </w:pPr>
      <w:r>
        <w:rPr>
          <w:rFonts w:hint="eastAsia" w:ascii="宋体" w:hAnsi="宋体" w:eastAsia="宋体" w:cs="宋体"/>
          <w:szCs w:val="21"/>
          <w:lang w:val="zh-CN"/>
        </w:rPr>
        <w:t>法人授权委托书（质疑人或法人委托代理人办理质疑事务的，应当提供授权委托书，授权委托书应当载明委托代理的具体权限和事项）。</w:t>
      </w:r>
    </w:p>
    <w:p>
      <w:pPr>
        <w:numPr>
          <w:ilvl w:val="0"/>
          <w:numId w:val="9"/>
        </w:numPr>
        <w:spacing w:line="276" w:lineRule="auto"/>
        <w:rPr>
          <w:rFonts w:hint="eastAsia" w:ascii="宋体" w:hAnsi="宋体" w:eastAsia="宋体" w:cs="宋体"/>
          <w:b/>
          <w:szCs w:val="21"/>
          <w:lang w:val="zh-CN"/>
        </w:rPr>
      </w:pPr>
      <w:r>
        <w:rPr>
          <w:rFonts w:hint="eastAsia" w:ascii="宋体" w:hAnsi="宋体" w:eastAsia="宋体" w:cs="宋体"/>
          <w:b/>
          <w:szCs w:val="21"/>
          <w:lang w:val="zh-CN"/>
        </w:rPr>
        <w:t>不予受理的情形</w:t>
      </w:r>
    </w:p>
    <w:p>
      <w:pPr>
        <w:spacing w:line="276"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投标人未按本章“质疑及提交”规定的时限、内容及方式进行质疑的，采购代理机构不予受理。</w:t>
      </w:r>
    </w:p>
    <w:p>
      <w:pPr>
        <w:keepNext/>
        <w:keepLines/>
        <w:numPr>
          <w:ilvl w:val="0"/>
          <w:numId w:val="8"/>
        </w:numPr>
        <w:spacing w:line="276" w:lineRule="auto"/>
        <w:ind w:left="426" w:hanging="426"/>
        <w:jc w:val="left"/>
        <w:outlineLvl w:val="1"/>
        <w:rPr>
          <w:rFonts w:hint="eastAsia" w:ascii="宋体" w:hAnsi="宋体" w:eastAsia="宋体" w:cs="宋体"/>
          <w:b/>
          <w:kern w:val="0"/>
          <w:szCs w:val="21"/>
          <w:lang w:val="zh-CN"/>
        </w:rPr>
      </w:pPr>
      <w:bookmarkStart w:id="43" w:name="_Toc136"/>
      <w:bookmarkStart w:id="44" w:name="_Toc97815006"/>
      <w:r>
        <w:rPr>
          <w:rFonts w:hint="eastAsia" w:ascii="宋体" w:hAnsi="宋体" w:eastAsia="宋体" w:cs="宋体"/>
          <w:b/>
          <w:kern w:val="0"/>
          <w:szCs w:val="21"/>
          <w:lang w:val="zh-CN"/>
        </w:rPr>
        <w:t>保密</w:t>
      </w:r>
      <w:bookmarkEnd w:id="43"/>
      <w:bookmarkEnd w:id="44"/>
    </w:p>
    <w:p>
      <w:pPr>
        <w:numPr>
          <w:ilvl w:val="0"/>
          <w:numId w:val="9"/>
        </w:numPr>
        <w:spacing w:line="276" w:lineRule="auto"/>
        <w:rPr>
          <w:rFonts w:hint="eastAsia" w:ascii="宋体" w:hAnsi="宋体" w:eastAsia="宋体" w:cs="宋体"/>
          <w:szCs w:val="21"/>
          <w:lang w:val="zh-CN"/>
        </w:rPr>
      </w:pPr>
      <w:r>
        <w:rPr>
          <w:rFonts w:hint="eastAsia" w:ascii="宋体" w:hAnsi="宋体" w:eastAsia="宋体" w:cs="宋体"/>
          <w:szCs w:val="21"/>
          <w:lang w:val="zh-CN"/>
        </w:rPr>
        <w:t>凡是属于审查、澄清、评价和比较的有关资料以及授标意向等，采购人、采购代理机构、监管人员、评标委员会及有关工作人员均不得向投标人或其它无关的人员透露。</w:t>
      </w:r>
    </w:p>
    <w:p>
      <w:pPr>
        <w:keepNext/>
        <w:keepLines/>
        <w:numPr>
          <w:ilvl w:val="0"/>
          <w:numId w:val="8"/>
        </w:numPr>
        <w:spacing w:line="276" w:lineRule="auto"/>
        <w:ind w:left="426" w:hanging="426"/>
        <w:jc w:val="left"/>
        <w:outlineLvl w:val="1"/>
        <w:rPr>
          <w:rFonts w:hint="eastAsia" w:ascii="宋体" w:hAnsi="宋体" w:eastAsia="宋体" w:cs="宋体"/>
          <w:b/>
          <w:kern w:val="0"/>
          <w:szCs w:val="21"/>
          <w:lang w:val="zh-CN"/>
        </w:rPr>
      </w:pPr>
      <w:bookmarkStart w:id="45" w:name="_Toc15051"/>
      <w:bookmarkStart w:id="46" w:name="_Toc97815007"/>
      <w:bookmarkStart w:id="47" w:name="_Toc494561947"/>
      <w:r>
        <w:rPr>
          <w:rFonts w:hint="eastAsia" w:ascii="宋体" w:hAnsi="宋体" w:eastAsia="宋体" w:cs="宋体"/>
          <w:b/>
          <w:kern w:val="0"/>
          <w:szCs w:val="21"/>
          <w:lang w:val="zh-CN"/>
        </w:rPr>
        <w:t>相关条文解读</w:t>
      </w:r>
      <w:bookmarkEnd w:id="45"/>
      <w:bookmarkEnd w:id="46"/>
    </w:p>
    <w:p>
      <w:pPr>
        <w:numPr>
          <w:ilvl w:val="0"/>
          <w:numId w:val="9"/>
        </w:numPr>
        <w:spacing w:line="276" w:lineRule="auto"/>
        <w:rPr>
          <w:rFonts w:hint="eastAsia" w:ascii="宋体" w:hAnsi="宋体" w:eastAsia="宋体" w:cs="宋体"/>
          <w:szCs w:val="21"/>
          <w:lang w:val="zh-CN"/>
        </w:rPr>
      </w:pPr>
      <w:r>
        <w:rPr>
          <w:rFonts w:hint="eastAsia" w:ascii="宋体" w:hAnsi="宋体" w:eastAsia="宋体" w:cs="宋体"/>
          <w:szCs w:val="21"/>
          <w:lang w:val="zh-CN"/>
        </w:rPr>
        <w:t>《政府采购法》第二十二条第五项所称重大违法记录，是指投标人因违法经营受到刑事处罚或者责令停产停业、吊销许可证或者执照、较大数额（根据财政部关于《中华人民共和国政府采购法实施条例》第十九条第一款“较大数额罚款”具体适用问题的意见（财库[2022]3号），“较大数额罚款”认定为200万元以上的罚款，法律、行政法规以及国务院有关部门明确规定相关领域“较大数额罚款”标准高于200万元的，从其规定）罚款等行政处罚。</w:t>
      </w:r>
    </w:p>
    <w:p>
      <w:pPr>
        <w:numPr>
          <w:ilvl w:val="0"/>
          <w:numId w:val="9"/>
        </w:numPr>
        <w:spacing w:line="276" w:lineRule="auto"/>
        <w:ind w:left="426" w:hanging="426"/>
        <w:rPr>
          <w:rFonts w:hint="eastAsia" w:ascii="宋体" w:hAnsi="宋体" w:eastAsia="宋体" w:cs="宋体"/>
          <w:szCs w:val="21"/>
          <w:lang w:val="zh-CN"/>
        </w:rPr>
      </w:pPr>
      <w:r>
        <w:rPr>
          <w:rFonts w:hint="eastAsia" w:ascii="宋体" w:hAnsi="宋体" w:eastAsia="宋体" w:cs="宋体"/>
          <w:szCs w:val="21"/>
          <w:lang w:val="zh-CN"/>
        </w:rPr>
        <w:t>按照财政部《关于规范政府采购行政处罚有关问题的通知》的规定，各级人民政府财政部门依法对参加政府采购活动的投标人作出的禁止参加政府采购活动等行政处罚决定在全国范围内生效。</w:t>
      </w:r>
    </w:p>
    <w:p>
      <w:pPr>
        <w:numPr>
          <w:ilvl w:val="0"/>
          <w:numId w:val="9"/>
        </w:numPr>
        <w:spacing w:line="276" w:lineRule="auto"/>
        <w:ind w:left="426" w:hanging="426"/>
        <w:rPr>
          <w:rFonts w:hint="eastAsia" w:ascii="宋体" w:hAnsi="宋体" w:eastAsia="宋体" w:cs="宋体"/>
          <w:szCs w:val="21"/>
          <w:lang w:val="zh-CN"/>
        </w:rPr>
      </w:pPr>
      <w:r>
        <w:rPr>
          <w:rFonts w:hint="eastAsia" w:ascii="宋体" w:hAnsi="宋体" w:eastAsia="宋体" w:cs="宋体"/>
          <w:szCs w:val="21"/>
          <w:lang w:val="zh-CN"/>
        </w:rPr>
        <w:t>投标人在参加政府采购活动前3年内因违法经营被禁止在一定期限内参加政府采购活动，期限届满的，可以参加政府采购活动。</w:t>
      </w:r>
    </w:p>
    <w:bookmarkEnd w:id="47"/>
    <w:p>
      <w:pPr>
        <w:keepNext/>
        <w:keepLines/>
        <w:numPr>
          <w:ilvl w:val="0"/>
          <w:numId w:val="8"/>
        </w:numPr>
        <w:spacing w:line="276" w:lineRule="auto"/>
        <w:ind w:left="658" w:hanging="658"/>
        <w:jc w:val="left"/>
        <w:outlineLvl w:val="1"/>
        <w:rPr>
          <w:rFonts w:hint="eastAsia" w:ascii="宋体" w:hAnsi="宋体" w:eastAsia="宋体" w:cs="宋体"/>
          <w:b/>
          <w:kern w:val="0"/>
          <w:szCs w:val="21"/>
          <w:lang w:val="zh-CN"/>
        </w:rPr>
      </w:pPr>
      <w:bookmarkStart w:id="48" w:name="_Toc494561949"/>
      <w:bookmarkStart w:id="49" w:name="_Toc272247701"/>
      <w:bookmarkStart w:id="50" w:name="_Toc278891598"/>
      <w:bookmarkStart w:id="51" w:name="_Toc9984"/>
      <w:bookmarkStart w:id="52" w:name="_Toc97815008"/>
      <w:r>
        <w:rPr>
          <w:rFonts w:hint="eastAsia" w:ascii="宋体" w:hAnsi="宋体" w:eastAsia="宋体" w:cs="宋体"/>
          <w:b/>
          <w:kern w:val="0"/>
          <w:szCs w:val="21"/>
          <w:lang w:val="zh-CN"/>
        </w:rPr>
        <w:t>适用法律</w:t>
      </w:r>
      <w:bookmarkEnd w:id="48"/>
      <w:bookmarkEnd w:id="49"/>
      <w:bookmarkEnd w:id="50"/>
      <w:r>
        <w:rPr>
          <w:rFonts w:hint="eastAsia" w:ascii="宋体" w:hAnsi="宋体" w:eastAsia="宋体" w:cs="宋体"/>
          <w:b/>
          <w:kern w:val="0"/>
          <w:szCs w:val="21"/>
          <w:lang w:val="zh-CN"/>
        </w:rPr>
        <w:t>、法规、规章及规范性文件</w:t>
      </w:r>
      <w:bookmarkEnd w:id="51"/>
      <w:bookmarkEnd w:id="52"/>
    </w:p>
    <w:p>
      <w:pPr>
        <w:numPr>
          <w:ilvl w:val="0"/>
          <w:numId w:val="9"/>
        </w:numPr>
        <w:spacing w:line="276" w:lineRule="auto"/>
        <w:ind w:left="426" w:hanging="426"/>
        <w:rPr>
          <w:rFonts w:hint="eastAsia" w:ascii="宋体" w:hAnsi="宋体" w:eastAsia="宋体" w:cs="宋体"/>
          <w:szCs w:val="21"/>
          <w:lang w:val="zh-CN"/>
        </w:rPr>
      </w:pPr>
      <w:r>
        <w:rPr>
          <w:rFonts w:hint="eastAsia" w:ascii="宋体" w:hAnsi="宋体" w:eastAsia="宋体" w:cs="宋体"/>
          <w:szCs w:val="21"/>
          <w:lang w:val="zh-CN"/>
        </w:rPr>
        <w:t>采购人、采购代理机构及投标人的一切招标投标活动均适用《政府采购法》、《政府采购法实施条例》、《政府采购货物和服务招标投标管理办法》及相关法律法规。</w:t>
      </w:r>
    </w:p>
    <w:p>
      <w:pPr>
        <w:numPr>
          <w:ilvl w:val="0"/>
          <w:numId w:val="9"/>
        </w:numPr>
        <w:spacing w:line="276" w:lineRule="auto"/>
        <w:ind w:left="426" w:hanging="426"/>
        <w:rPr>
          <w:rFonts w:hint="eastAsia" w:ascii="宋体" w:hAnsi="宋体" w:eastAsia="宋体" w:cs="宋体"/>
          <w:szCs w:val="21"/>
          <w:lang w:val="zh-CN"/>
        </w:rPr>
      </w:pPr>
      <w:r>
        <w:rPr>
          <w:rFonts w:hint="eastAsia" w:ascii="宋体" w:hAnsi="宋体" w:eastAsia="宋体" w:cs="宋体"/>
          <w:szCs w:val="21"/>
          <w:lang w:val="zh-CN"/>
        </w:rPr>
        <w:t>政府采购合同的履行</w:t>
      </w:r>
      <w:r>
        <w:rPr>
          <w:rFonts w:hint="eastAsia" w:ascii="宋体" w:hAnsi="宋体" w:eastAsia="宋体" w:cs="宋体"/>
          <w:kern w:val="0"/>
          <w:szCs w:val="21"/>
          <w:lang w:val="zh-CN"/>
        </w:rPr>
        <w:t>、违约责任和解决争议的方法等适用《中华人民共和国民法典》。</w:t>
      </w:r>
    </w:p>
    <w:p>
      <w:pPr>
        <w:keepNext/>
        <w:keepLines/>
        <w:numPr>
          <w:ilvl w:val="0"/>
          <w:numId w:val="8"/>
        </w:numPr>
        <w:spacing w:line="276" w:lineRule="auto"/>
        <w:ind w:left="658" w:hanging="658"/>
        <w:jc w:val="left"/>
        <w:outlineLvl w:val="1"/>
        <w:rPr>
          <w:rFonts w:hint="eastAsia" w:ascii="宋体" w:hAnsi="宋体" w:eastAsia="宋体" w:cs="宋体"/>
          <w:b/>
          <w:kern w:val="0"/>
          <w:szCs w:val="21"/>
          <w:lang w:val="zh-CN"/>
        </w:rPr>
      </w:pPr>
      <w:bookmarkStart w:id="53" w:name="_Toc494561950"/>
      <w:bookmarkStart w:id="54" w:name="_Toc272247702"/>
      <w:bookmarkStart w:id="55" w:name="_Toc17810"/>
      <w:bookmarkStart w:id="56" w:name="_Toc97815009"/>
      <w:bookmarkStart w:id="57" w:name="_Toc278891599"/>
      <w:r>
        <w:rPr>
          <w:rFonts w:hint="eastAsia" w:ascii="宋体" w:hAnsi="宋体" w:eastAsia="宋体" w:cs="宋体"/>
          <w:b/>
          <w:kern w:val="0"/>
          <w:szCs w:val="21"/>
          <w:lang w:val="zh-CN"/>
        </w:rPr>
        <w:t>招标文件的解释权</w:t>
      </w:r>
      <w:bookmarkEnd w:id="53"/>
      <w:bookmarkEnd w:id="54"/>
      <w:bookmarkEnd w:id="55"/>
      <w:bookmarkEnd w:id="56"/>
      <w:bookmarkEnd w:id="57"/>
    </w:p>
    <w:p>
      <w:pPr>
        <w:numPr>
          <w:ilvl w:val="0"/>
          <w:numId w:val="9"/>
        </w:numPr>
        <w:spacing w:line="276" w:lineRule="auto"/>
        <w:ind w:left="426" w:hanging="426"/>
        <w:rPr>
          <w:rFonts w:hint="eastAsia" w:ascii="宋体" w:hAnsi="宋体" w:eastAsia="宋体" w:cs="宋体"/>
          <w:szCs w:val="21"/>
          <w:lang w:val="zh-CN"/>
        </w:rPr>
      </w:pPr>
      <w:r>
        <w:rPr>
          <w:rFonts w:hint="eastAsia" w:ascii="宋体" w:hAnsi="宋体" w:eastAsia="宋体" w:cs="宋体"/>
          <w:szCs w:val="21"/>
          <w:lang w:val="zh-CN"/>
        </w:rPr>
        <w:t>招标文件的最终解释权为采购人、采购代理机构所有。</w:t>
      </w:r>
    </w:p>
    <w:p>
      <w:pPr>
        <w:widowControl/>
        <w:spacing w:line="276" w:lineRule="auto"/>
        <w:jc w:val="left"/>
        <w:rPr>
          <w:rFonts w:hint="eastAsia" w:ascii="宋体" w:hAnsi="宋体" w:eastAsia="宋体" w:cs="宋体"/>
          <w:kern w:val="0"/>
          <w:szCs w:val="21"/>
          <w:lang w:val="zh-CN"/>
        </w:rPr>
        <w:sectPr>
          <w:pgSz w:w="11906" w:h="16838"/>
          <w:pgMar w:top="1134" w:right="1191" w:bottom="1134" w:left="1191" w:header="851" w:footer="261" w:gutter="0"/>
          <w:pgNumType w:start="0"/>
          <w:cols w:space="720" w:num="1"/>
          <w:titlePg/>
          <w:docGrid w:type="linesAndChars" w:linePitch="312" w:charSpace="0"/>
        </w:sectPr>
      </w:pPr>
    </w:p>
    <w:p>
      <w:pPr>
        <w:widowControl/>
        <w:jc w:val="left"/>
        <w:rPr>
          <w:rFonts w:hint="eastAsia" w:ascii="宋体" w:hAnsi="宋体" w:eastAsia="宋体" w:cs="宋体"/>
          <w:sz w:val="28"/>
          <w:szCs w:val="28"/>
        </w:rPr>
      </w:pPr>
      <w:r>
        <w:rPr>
          <w:rFonts w:hint="eastAsia" w:ascii="宋体" w:hAnsi="宋体" w:eastAsia="宋体" w:cs="宋体"/>
          <w:kern w:val="0"/>
          <w:sz w:val="28"/>
          <w:szCs w:val="28"/>
        </w:rPr>
        <w:br w:type="page"/>
      </w:r>
    </w:p>
    <w:p>
      <w:pPr>
        <w:spacing w:line="276" w:lineRule="auto"/>
        <w:jc w:val="center"/>
        <w:outlineLvl w:val="0"/>
        <w:rPr>
          <w:rFonts w:hint="eastAsia" w:ascii="宋体" w:hAnsi="宋体" w:eastAsia="宋体" w:cs="宋体"/>
          <w:sz w:val="28"/>
          <w:szCs w:val="28"/>
        </w:rPr>
      </w:pPr>
      <w:bookmarkStart w:id="58" w:name="_Toc25527"/>
      <w:bookmarkStart w:id="59" w:name="_Toc97815010"/>
      <w:r>
        <w:rPr>
          <w:rFonts w:hint="eastAsia" w:ascii="宋体" w:hAnsi="宋体" w:eastAsia="宋体" w:cs="宋体"/>
          <w:sz w:val="28"/>
          <w:szCs w:val="28"/>
        </w:rPr>
        <w:t>第三章 技术、服务及商务要求</w:t>
      </w:r>
      <w:bookmarkEnd w:id="58"/>
      <w:bookmarkEnd w:id="59"/>
    </w:p>
    <w:p>
      <w:pPr>
        <w:tabs>
          <w:tab w:val="center" w:pos="4153"/>
          <w:tab w:val="right" w:pos="8306"/>
        </w:tabs>
        <w:adjustRightInd w:val="0"/>
        <w:snapToGrid w:val="0"/>
        <w:spacing w:line="360" w:lineRule="auto"/>
        <w:textAlignment w:val="baseline"/>
        <w:outlineLvl w:val="0"/>
        <w:rPr>
          <w:rFonts w:hint="eastAsia" w:ascii="宋体" w:hAnsi="宋体" w:eastAsia="宋体" w:cs="宋体"/>
          <w:b/>
          <w:szCs w:val="21"/>
        </w:rPr>
      </w:pPr>
      <w:bookmarkStart w:id="60" w:name="_Toc29034"/>
      <w:bookmarkStart w:id="61" w:name="_Toc97815013"/>
      <w:r>
        <w:rPr>
          <w:rFonts w:hint="eastAsia" w:ascii="宋体" w:hAnsi="宋体" w:eastAsia="宋体" w:cs="宋体"/>
          <w:b/>
          <w:szCs w:val="21"/>
        </w:rPr>
        <w:t>一、综 述</w:t>
      </w:r>
      <w:bookmarkEnd w:id="60"/>
    </w:p>
    <w:p>
      <w:pPr>
        <w:tabs>
          <w:tab w:val="center" w:pos="4153"/>
          <w:tab w:val="right" w:pos="8306"/>
        </w:tabs>
        <w:adjustRightInd w:val="0"/>
        <w:snapToGrid w:val="0"/>
        <w:spacing w:line="360" w:lineRule="auto"/>
        <w:ind w:firstLine="420" w:firstLineChars="200"/>
        <w:textAlignment w:val="baseline"/>
        <w:rPr>
          <w:rFonts w:hint="eastAsia" w:ascii="宋体" w:hAnsi="宋体" w:eastAsia="宋体" w:cs="宋体"/>
          <w:color w:val="000000"/>
          <w:szCs w:val="21"/>
        </w:rPr>
      </w:pPr>
      <w:r>
        <w:rPr>
          <w:rFonts w:hint="eastAsia" w:ascii="宋体" w:hAnsi="宋体" w:eastAsia="宋体" w:cs="宋体"/>
          <w:color w:val="000000"/>
          <w:szCs w:val="21"/>
        </w:rPr>
        <w:t>1.采购标的需实现的功能：通过分子模拟、蛋白质结构分析、小分子数据处理以及蛋白质与小分子对接研究等应用工具全方位支持小分子药物及生物药设计；通过对纳米颗粒的运动轨迹进行实时跟踪评价纳米药物；完成生物药物等纯化制备等样品处理工作。</w:t>
      </w:r>
    </w:p>
    <w:p>
      <w:pPr>
        <w:tabs>
          <w:tab w:val="center" w:pos="4153"/>
          <w:tab w:val="right" w:pos="8306"/>
        </w:tabs>
        <w:adjustRightInd w:val="0"/>
        <w:snapToGrid w:val="0"/>
        <w:spacing w:line="360" w:lineRule="auto"/>
        <w:ind w:firstLine="420" w:firstLineChars="200"/>
        <w:textAlignment w:val="baseline"/>
        <w:rPr>
          <w:rFonts w:hint="eastAsia" w:ascii="宋体" w:hAnsi="宋体" w:eastAsia="宋体" w:cs="宋体"/>
          <w:color w:val="000000"/>
          <w:szCs w:val="21"/>
        </w:rPr>
      </w:pPr>
      <w:r>
        <w:rPr>
          <w:rFonts w:hint="eastAsia" w:ascii="宋体" w:hAnsi="宋体" w:eastAsia="宋体" w:cs="宋体"/>
          <w:color w:val="000000"/>
          <w:szCs w:val="21"/>
        </w:rPr>
        <w:t>2.采购标的需实现的目标：支撑药学及相关学科建设。</w:t>
      </w:r>
    </w:p>
    <w:p>
      <w:pPr>
        <w:tabs>
          <w:tab w:val="center" w:pos="4153"/>
          <w:tab w:val="right" w:pos="8306"/>
        </w:tabs>
        <w:adjustRightInd w:val="0"/>
        <w:snapToGrid w:val="0"/>
        <w:spacing w:line="360" w:lineRule="auto"/>
        <w:ind w:firstLine="420" w:firstLineChars="200"/>
        <w:textAlignment w:val="baseline"/>
        <w:rPr>
          <w:rFonts w:hint="eastAsia" w:ascii="宋体" w:hAnsi="宋体" w:eastAsia="宋体" w:cs="宋体"/>
          <w:color w:val="000000"/>
          <w:szCs w:val="21"/>
        </w:rPr>
      </w:pPr>
      <w:r>
        <w:rPr>
          <w:rFonts w:hint="eastAsia" w:ascii="宋体" w:hAnsi="宋体" w:eastAsia="宋体" w:cs="宋体"/>
          <w:color w:val="000000"/>
          <w:szCs w:val="21"/>
        </w:rPr>
        <w:t>3.</w:t>
      </w:r>
      <w:r>
        <w:rPr>
          <w:rFonts w:hint="eastAsia" w:ascii="宋体" w:hAnsi="宋体" w:eastAsia="宋体" w:cs="宋体"/>
        </w:rPr>
        <w:t>采购标的的数量：</w:t>
      </w:r>
    </w:p>
    <w:tbl>
      <w:tblPr>
        <w:tblStyle w:val="26"/>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4338"/>
        <w:gridCol w:w="1177"/>
        <w:gridCol w:w="1109"/>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78" w:type="dxa"/>
            <w:vAlign w:val="center"/>
          </w:tcPr>
          <w:p>
            <w:pPr>
              <w:pStyle w:val="43"/>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包号</w:t>
            </w:r>
          </w:p>
        </w:tc>
        <w:tc>
          <w:tcPr>
            <w:tcW w:w="4338" w:type="dxa"/>
            <w:vAlign w:val="center"/>
          </w:tcPr>
          <w:p>
            <w:pPr>
              <w:pStyle w:val="43"/>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1177" w:type="dxa"/>
            <w:vAlign w:val="center"/>
          </w:tcPr>
          <w:p>
            <w:pPr>
              <w:pStyle w:val="43"/>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数量（套）</w:t>
            </w:r>
          </w:p>
        </w:tc>
        <w:tc>
          <w:tcPr>
            <w:tcW w:w="1109" w:type="dxa"/>
            <w:vAlign w:val="center"/>
          </w:tcPr>
          <w:p>
            <w:pPr>
              <w:pStyle w:val="43"/>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进口/国产</w:t>
            </w:r>
          </w:p>
        </w:tc>
        <w:tc>
          <w:tcPr>
            <w:tcW w:w="1315" w:type="dxa"/>
            <w:vAlign w:val="center"/>
          </w:tcPr>
          <w:p>
            <w:pPr>
              <w:pStyle w:val="43"/>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78"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rPr>
              <w:t>01</w:t>
            </w:r>
          </w:p>
        </w:tc>
        <w:tc>
          <w:tcPr>
            <w:tcW w:w="4338" w:type="dxa"/>
            <w:tcBorders>
              <w:top w:val="single" w:color="auto" w:sz="4" w:space="0"/>
              <w:left w:val="single" w:color="auto" w:sz="4" w:space="0"/>
              <w:bottom w:val="single" w:color="auto" w:sz="4" w:space="0"/>
              <w:right w:val="single" w:color="auto" w:sz="4" w:space="0"/>
            </w:tcBorders>
            <w:vAlign w:val="center"/>
          </w:tcPr>
          <w:p>
            <w:pPr>
              <w:pStyle w:val="43"/>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AI药物计算平台</w:t>
            </w:r>
          </w:p>
        </w:tc>
        <w:tc>
          <w:tcPr>
            <w:tcW w:w="1177"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 w:val="22"/>
              </w:rPr>
              <w:t>1</w:t>
            </w:r>
          </w:p>
        </w:tc>
        <w:tc>
          <w:tcPr>
            <w:tcW w:w="1109"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接受进口</w:t>
            </w:r>
          </w:p>
        </w:tc>
        <w:tc>
          <w:tcPr>
            <w:tcW w:w="1315" w:type="dxa"/>
            <w:vAlign w:val="center"/>
          </w:tcPr>
          <w:p>
            <w:pPr>
              <w:adjustRightInd w:val="0"/>
              <w:snapToGrid w:val="0"/>
              <w:jc w:val="center"/>
              <w:rPr>
                <w:rFonts w:hint="eastAsia" w:ascii="宋体" w:hAnsi="宋体" w:eastAsia="宋体" w:cs="宋体"/>
                <w:bCs/>
                <w:kern w:val="0"/>
                <w:szCs w:val="21"/>
              </w:rPr>
            </w:pPr>
            <w:r>
              <w:rPr>
                <w:rFonts w:hint="eastAsia" w:ascii="宋体" w:hAnsi="宋体" w:eastAsia="宋体" w:cs="宋体"/>
                <w:color w:val="000000"/>
                <w:szCs w:val="21"/>
              </w:rPr>
              <w:t>GPU服务器</w:t>
            </w:r>
            <w:r>
              <w:rPr>
                <w:rFonts w:hint="eastAsia" w:ascii="宋体" w:hAnsi="宋体" w:cs="宋体"/>
                <w:color w:val="000000"/>
                <w:szCs w:val="21"/>
                <w:lang w:val="en-US" w:eastAsia="zh-CN"/>
              </w:rPr>
              <w:t>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78"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rPr>
              <w:t>02</w:t>
            </w:r>
          </w:p>
        </w:tc>
        <w:tc>
          <w:tcPr>
            <w:tcW w:w="4338" w:type="dxa"/>
            <w:tcBorders>
              <w:top w:val="nil"/>
              <w:left w:val="single" w:color="auto" w:sz="4" w:space="0"/>
              <w:bottom w:val="single" w:color="auto" w:sz="4" w:space="0"/>
              <w:right w:val="single" w:color="auto" w:sz="4" w:space="0"/>
            </w:tcBorders>
            <w:vAlign w:val="center"/>
          </w:tcPr>
          <w:p>
            <w:pPr>
              <w:pStyle w:val="43"/>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纳米颗粒跟踪分析仪</w:t>
            </w:r>
          </w:p>
        </w:tc>
        <w:tc>
          <w:tcPr>
            <w:tcW w:w="1177" w:type="dxa"/>
            <w:tcBorders>
              <w:top w:val="nil"/>
              <w:left w:val="nil"/>
              <w:bottom w:val="single" w:color="auto" w:sz="4" w:space="0"/>
              <w:right w:val="single" w:color="auto" w:sz="4" w:space="0"/>
            </w:tcBorders>
            <w:vAlign w:val="center"/>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 w:val="22"/>
              </w:rPr>
              <w:t>1</w:t>
            </w:r>
          </w:p>
        </w:tc>
        <w:tc>
          <w:tcPr>
            <w:tcW w:w="1109"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接受进口</w:t>
            </w:r>
          </w:p>
        </w:tc>
        <w:tc>
          <w:tcPr>
            <w:tcW w:w="1315" w:type="dxa"/>
            <w:vAlign w:val="center"/>
          </w:tcPr>
          <w:p>
            <w:pPr>
              <w:adjustRightInd w:val="0"/>
              <w:snapToGrid w:val="0"/>
              <w:jc w:val="left"/>
              <w:rPr>
                <w:rFonts w:hint="eastAsia" w:ascii="宋体" w:hAnsi="宋体" w:eastAsia="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78"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rPr>
              <w:t>03</w:t>
            </w:r>
          </w:p>
        </w:tc>
        <w:tc>
          <w:tcPr>
            <w:tcW w:w="4338" w:type="dxa"/>
            <w:tcBorders>
              <w:top w:val="nil"/>
              <w:left w:val="single" w:color="auto" w:sz="4" w:space="0"/>
              <w:bottom w:val="single" w:color="auto" w:sz="4" w:space="0"/>
              <w:right w:val="single" w:color="auto" w:sz="4" w:space="0"/>
            </w:tcBorders>
            <w:vAlign w:val="center"/>
          </w:tcPr>
          <w:p>
            <w:pPr>
              <w:pStyle w:val="43"/>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高效液相色谱仪</w:t>
            </w:r>
          </w:p>
        </w:tc>
        <w:tc>
          <w:tcPr>
            <w:tcW w:w="1177" w:type="dxa"/>
            <w:tcBorders>
              <w:top w:val="nil"/>
              <w:left w:val="nil"/>
              <w:bottom w:val="single" w:color="auto" w:sz="4" w:space="0"/>
              <w:right w:val="single" w:color="auto" w:sz="4" w:space="0"/>
            </w:tcBorders>
            <w:vAlign w:val="center"/>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 w:val="22"/>
              </w:rPr>
              <w:t>6</w:t>
            </w:r>
          </w:p>
        </w:tc>
        <w:tc>
          <w:tcPr>
            <w:tcW w:w="1109"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接受进口</w:t>
            </w:r>
          </w:p>
        </w:tc>
        <w:tc>
          <w:tcPr>
            <w:tcW w:w="1315" w:type="dxa"/>
            <w:vAlign w:val="center"/>
          </w:tcPr>
          <w:p>
            <w:pPr>
              <w:adjustRightInd w:val="0"/>
              <w:snapToGrid w:val="0"/>
              <w:jc w:val="left"/>
              <w:rPr>
                <w:rFonts w:hint="eastAsia" w:ascii="宋体" w:hAnsi="宋体" w:eastAsia="宋体" w:cs="宋体"/>
                <w:bCs/>
                <w:kern w:val="0"/>
                <w:szCs w:val="21"/>
              </w:rPr>
            </w:pPr>
            <w:r>
              <w:rPr>
                <w:rFonts w:hint="eastAsia" w:ascii="宋体" w:hAnsi="宋体" w:eastAsia="宋体" w:cs="宋体"/>
                <w:bCs/>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78"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color w:val="000000"/>
                <w:kern w:val="0"/>
                <w:sz w:val="22"/>
              </w:rPr>
              <w:t>04</w:t>
            </w:r>
          </w:p>
        </w:tc>
        <w:tc>
          <w:tcPr>
            <w:tcW w:w="4338" w:type="dxa"/>
            <w:tcBorders>
              <w:top w:val="nil"/>
              <w:left w:val="single" w:color="auto" w:sz="4" w:space="0"/>
              <w:bottom w:val="single" w:color="auto" w:sz="4" w:space="0"/>
              <w:right w:val="single" w:color="auto" w:sz="4" w:space="0"/>
            </w:tcBorders>
            <w:vAlign w:val="center"/>
          </w:tcPr>
          <w:p>
            <w:pPr>
              <w:pStyle w:val="43"/>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高速大容量离心机</w:t>
            </w:r>
          </w:p>
        </w:tc>
        <w:tc>
          <w:tcPr>
            <w:tcW w:w="1177" w:type="dxa"/>
            <w:tcBorders>
              <w:top w:val="nil"/>
              <w:left w:val="nil"/>
              <w:bottom w:val="single" w:color="auto" w:sz="4" w:space="0"/>
              <w:right w:val="single" w:color="auto" w:sz="4" w:space="0"/>
            </w:tcBorders>
            <w:vAlign w:val="center"/>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 w:val="22"/>
              </w:rPr>
              <w:t>3</w:t>
            </w:r>
          </w:p>
        </w:tc>
        <w:tc>
          <w:tcPr>
            <w:tcW w:w="1109"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接受进口</w:t>
            </w:r>
          </w:p>
        </w:tc>
        <w:tc>
          <w:tcPr>
            <w:tcW w:w="1315" w:type="dxa"/>
            <w:vAlign w:val="center"/>
          </w:tcPr>
          <w:p>
            <w:pPr>
              <w:adjustRightInd w:val="0"/>
              <w:snapToGrid w:val="0"/>
              <w:jc w:val="left"/>
              <w:rPr>
                <w:rFonts w:hint="eastAsia" w:ascii="宋体" w:hAnsi="宋体" w:eastAsia="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78"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color w:val="000000"/>
                <w:szCs w:val="21"/>
              </w:rPr>
              <w:t>05</w:t>
            </w:r>
          </w:p>
        </w:tc>
        <w:tc>
          <w:tcPr>
            <w:tcW w:w="4338" w:type="dxa"/>
            <w:tcBorders>
              <w:top w:val="nil"/>
              <w:left w:val="single" w:color="auto" w:sz="4" w:space="0"/>
              <w:bottom w:val="single" w:color="auto" w:sz="4" w:space="0"/>
              <w:right w:val="single" w:color="auto" w:sz="4" w:space="0"/>
            </w:tcBorders>
            <w:vAlign w:val="center"/>
          </w:tcPr>
          <w:p>
            <w:pPr>
              <w:pStyle w:val="43"/>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生物安全柜</w:t>
            </w:r>
          </w:p>
        </w:tc>
        <w:tc>
          <w:tcPr>
            <w:tcW w:w="1177" w:type="dxa"/>
            <w:tcBorders>
              <w:top w:val="nil"/>
              <w:left w:val="nil"/>
              <w:bottom w:val="single" w:color="auto" w:sz="4" w:space="0"/>
              <w:right w:val="single" w:color="auto" w:sz="4" w:space="0"/>
            </w:tcBorders>
            <w:vAlign w:val="center"/>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 w:val="22"/>
              </w:rPr>
              <w:t>4</w:t>
            </w:r>
          </w:p>
        </w:tc>
        <w:tc>
          <w:tcPr>
            <w:tcW w:w="1109"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国产</w:t>
            </w:r>
          </w:p>
        </w:tc>
        <w:tc>
          <w:tcPr>
            <w:tcW w:w="1315" w:type="dxa"/>
            <w:vAlign w:val="center"/>
          </w:tcPr>
          <w:p>
            <w:pPr>
              <w:adjustRightInd w:val="0"/>
              <w:snapToGrid w:val="0"/>
              <w:jc w:val="left"/>
              <w:rPr>
                <w:rFonts w:hint="eastAsia" w:ascii="宋体" w:hAnsi="宋体" w:eastAsia="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78"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color w:val="000000"/>
                <w:szCs w:val="21"/>
              </w:rPr>
              <w:t>06</w:t>
            </w:r>
          </w:p>
        </w:tc>
        <w:tc>
          <w:tcPr>
            <w:tcW w:w="4338" w:type="dxa"/>
            <w:tcBorders>
              <w:top w:val="nil"/>
              <w:left w:val="single" w:color="auto" w:sz="4" w:space="0"/>
              <w:bottom w:val="single" w:color="auto" w:sz="4" w:space="0"/>
              <w:right w:val="single" w:color="auto" w:sz="4" w:space="0"/>
            </w:tcBorders>
            <w:vAlign w:val="center"/>
          </w:tcPr>
          <w:p>
            <w:pPr>
              <w:pStyle w:val="43"/>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蛋白层析系统</w:t>
            </w:r>
          </w:p>
        </w:tc>
        <w:tc>
          <w:tcPr>
            <w:tcW w:w="1177" w:type="dxa"/>
            <w:tcBorders>
              <w:top w:val="nil"/>
              <w:left w:val="nil"/>
              <w:bottom w:val="single" w:color="auto" w:sz="4" w:space="0"/>
              <w:right w:val="single" w:color="auto" w:sz="4" w:space="0"/>
            </w:tcBorders>
            <w:vAlign w:val="center"/>
          </w:tcPr>
          <w:p>
            <w:pPr>
              <w:widowControl/>
              <w:jc w:val="center"/>
              <w:textAlignment w:val="bottom"/>
              <w:rPr>
                <w:rFonts w:hint="eastAsia" w:ascii="宋体" w:hAnsi="宋体" w:eastAsia="宋体" w:cs="宋体"/>
                <w:szCs w:val="21"/>
              </w:rPr>
            </w:pPr>
            <w:r>
              <w:rPr>
                <w:rFonts w:hint="eastAsia" w:ascii="宋体" w:hAnsi="宋体" w:eastAsia="宋体" w:cs="宋体"/>
                <w:color w:val="000000"/>
                <w:kern w:val="0"/>
                <w:sz w:val="22"/>
              </w:rPr>
              <w:t>3</w:t>
            </w:r>
          </w:p>
        </w:tc>
        <w:tc>
          <w:tcPr>
            <w:tcW w:w="1109"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接受进口</w:t>
            </w:r>
          </w:p>
        </w:tc>
        <w:tc>
          <w:tcPr>
            <w:tcW w:w="1315" w:type="dxa"/>
            <w:vAlign w:val="center"/>
          </w:tcPr>
          <w:p>
            <w:pPr>
              <w:adjustRightInd w:val="0"/>
              <w:snapToGrid w:val="0"/>
              <w:jc w:val="left"/>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78" w:type="dxa"/>
            <w:vAlign w:val="center"/>
          </w:tcPr>
          <w:p>
            <w:pPr>
              <w:jc w:val="center"/>
              <w:rPr>
                <w:rFonts w:hint="eastAsia" w:ascii="宋体" w:hAnsi="宋体" w:eastAsia="宋体" w:cs="宋体"/>
                <w:szCs w:val="21"/>
              </w:rPr>
            </w:pPr>
            <w:r>
              <w:rPr>
                <w:rFonts w:hint="eastAsia" w:ascii="宋体" w:hAnsi="宋体" w:eastAsia="宋体" w:cs="宋体"/>
                <w:szCs w:val="21"/>
              </w:rPr>
              <w:t>07</w:t>
            </w:r>
          </w:p>
        </w:tc>
        <w:tc>
          <w:tcPr>
            <w:tcW w:w="4338" w:type="dxa"/>
            <w:tcBorders>
              <w:top w:val="nil"/>
              <w:left w:val="single" w:color="auto" w:sz="4" w:space="0"/>
              <w:bottom w:val="single" w:color="auto" w:sz="4" w:space="0"/>
              <w:right w:val="single" w:color="auto" w:sz="4" w:space="0"/>
            </w:tcBorders>
            <w:vAlign w:val="center"/>
          </w:tcPr>
          <w:p>
            <w:pPr>
              <w:pStyle w:val="43"/>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实时荧光定量PCR仪</w:t>
            </w:r>
          </w:p>
        </w:tc>
        <w:tc>
          <w:tcPr>
            <w:tcW w:w="1177" w:type="dxa"/>
            <w:tcBorders>
              <w:top w:val="nil"/>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109" w:type="dxa"/>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接受进口</w:t>
            </w:r>
          </w:p>
        </w:tc>
        <w:tc>
          <w:tcPr>
            <w:tcW w:w="1315" w:type="dxa"/>
            <w:vAlign w:val="center"/>
          </w:tcPr>
          <w:p>
            <w:pPr>
              <w:adjustRightInd w:val="0"/>
              <w:snapToGrid w:val="0"/>
              <w:jc w:val="left"/>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78" w:type="dxa"/>
            <w:tcBorders>
              <w:bottom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08</w:t>
            </w:r>
          </w:p>
        </w:tc>
        <w:tc>
          <w:tcPr>
            <w:tcW w:w="4338" w:type="dxa"/>
            <w:tcBorders>
              <w:top w:val="nil"/>
              <w:left w:val="single" w:color="auto" w:sz="4" w:space="0"/>
              <w:bottom w:val="single" w:color="auto" w:sz="4" w:space="0"/>
              <w:right w:val="single" w:color="auto" w:sz="4" w:space="0"/>
            </w:tcBorders>
            <w:vAlign w:val="center"/>
          </w:tcPr>
          <w:p>
            <w:pPr>
              <w:pStyle w:val="43"/>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全自动外泌体提取系统</w:t>
            </w:r>
          </w:p>
        </w:tc>
        <w:tc>
          <w:tcPr>
            <w:tcW w:w="1177" w:type="dxa"/>
            <w:tcBorders>
              <w:top w:val="nil"/>
              <w:left w:val="nil"/>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109" w:type="dxa"/>
            <w:tcBorders>
              <w:bottom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国产</w:t>
            </w:r>
          </w:p>
        </w:tc>
        <w:tc>
          <w:tcPr>
            <w:tcW w:w="1315" w:type="dxa"/>
            <w:vAlign w:val="center"/>
          </w:tcPr>
          <w:p>
            <w:pPr>
              <w:adjustRightInd w:val="0"/>
              <w:snapToGrid w:val="0"/>
              <w:jc w:val="left"/>
              <w:rPr>
                <w:rFonts w:hint="eastAsia" w:ascii="宋体" w:hAnsi="宋体" w:eastAsia="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8"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09</w:t>
            </w:r>
          </w:p>
        </w:tc>
        <w:tc>
          <w:tcPr>
            <w:tcW w:w="4338" w:type="dxa"/>
            <w:tcBorders>
              <w:top w:val="single" w:color="auto" w:sz="4" w:space="0"/>
              <w:left w:val="single" w:color="auto" w:sz="4" w:space="0"/>
              <w:bottom w:val="single" w:color="auto" w:sz="4" w:space="0"/>
              <w:right w:val="single" w:color="auto" w:sz="4" w:space="0"/>
            </w:tcBorders>
            <w:vAlign w:val="center"/>
          </w:tcPr>
          <w:p>
            <w:pPr>
              <w:pStyle w:val="43"/>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电穿孔仪</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109" w:type="dxa"/>
            <w:tcBorders>
              <w:top w:val="single" w:color="auto" w:sz="4" w:space="0"/>
              <w:left w:val="single" w:color="auto" w:sz="4" w:space="0"/>
              <w:bottom w:val="single" w:color="auto" w:sz="4" w:space="0"/>
            </w:tcBorders>
            <w:vAlign w:val="center"/>
          </w:tcPr>
          <w:p>
            <w:pPr>
              <w:widowControl/>
              <w:jc w:val="center"/>
              <w:textAlignment w:val="center"/>
              <w:rPr>
                <w:rFonts w:hint="eastAsia" w:ascii="宋体" w:hAnsi="宋体" w:eastAsia="宋体" w:cs="宋体"/>
                <w:szCs w:val="21"/>
              </w:rPr>
            </w:pPr>
            <w:r>
              <w:rPr>
                <w:rFonts w:hint="eastAsia" w:ascii="宋体" w:hAnsi="宋体" w:eastAsia="宋体" w:cs="宋体"/>
                <w:szCs w:val="21"/>
              </w:rPr>
              <w:t>接受进口</w:t>
            </w:r>
          </w:p>
        </w:tc>
        <w:tc>
          <w:tcPr>
            <w:tcW w:w="1315" w:type="dxa"/>
            <w:vAlign w:val="center"/>
          </w:tcPr>
          <w:p>
            <w:pPr>
              <w:adjustRightInd w:val="0"/>
              <w:snapToGrid w:val="0"/>
              <w:jc w:val="left"/>
              <w:rPr>
                <w:rFonts w:hint="eastAsia" w:ascii="宋体" w:hAnsi="宋体" w:eastAsia="宋体" w:cs="宋体"/>
                <w:color w:val="000000"/>
                <w:sz w:val="16"/>
                <w:szCs w:val="16"/>
              </w:rPr>
            </w:pPr>
          </w:p>
        </w:tc>
      </w:tr>
    </w:tbl>
    <w:p>
      <w:pPr>
        <w:tabs>
          <w:tab w:val="center" w:pos="4153"/>
          <w:tab w:val="right" w:pos="8306"/>
        </w:tabs>
        <w:adjustRightInd w:val="0"/>
        <w:snapToGrid w:val="0"/>
        <w:spacing w:line="360" w:lineRule="auto"/>
        <w:textAlignment w:val="baseline"/>
        <w:rPr>
          <w:rFonts w:hint="eastAsia" w:ascii="宋体" w:hAnsi="宋体" w:eastAsia="宋体" w:cs="宋体"/>
          <w:b/>
          <w:szCs w:val="21"/>
        </w:rPr>
      </w:pPr>
    </w:p>
    <w:p>
      <w:pPr>
        <w:tabs>
          <w:tab w:val="center" w:pos="4153"/>
          <w:tab w:val="right" w:pos="8306"/>
        </w:tabs>
        <w:adjustRightInd w:val="0"/>
        <w:snapToGrid w:val="0"/>
        <w:spacing w:line="360" w:lineRule="auto"/>
        <w:textAlignment w:val="baseline"/>
        <w:outlineLvl w:val="0"/>
        <w:rPr>
          <w:rFonts w:hint="eastAsia" w:ascii="宋体" w:hAnsi="宋体" w:eastAsia="宋体" w:cs="宋体"/>
          <w:b/>
          <w:szCs w:val="21"/>
        </w:rPr>
      </w:pPr>
      <w:bookmarkStart w:id="62" w:name="_Toc20184"/>
      <w:r>
        <w:rPr>
          <w:rFonts w:hint="eastAsia" w:ascii="宋体" w:hAnsi="宋体" w:eastAsia="宋体" w:cs="宋体"/>
          <w:b/>
          <w:szCs w:val="21"/>
        </w:rPr>
        <w:t>二、技术、服务要求</w:t>
      </w:r>
      <w:bookmarkEnd w:id="62"/>
    </w:p>
    <w:p>
      <w:pPr>
        <w:tabs>
          <w:tab w:val="center" w:pos="4153"/>
          <w:tab w:val="right" w:pos="8306"/>
        </w:tabs>
        <w:adjustRightInd w:val="0"/>
        <w:snapToGrid w:val="0"/>
        <w:spacing w:line="360" w:lineRule="auto"/>
        <w:ind w:firstLine="422" w:firstLineChars="200"/>
        <w:textAlignment w:val="baseline"/>
        <w:rPr>
          <w:rFonts w:hint="eastAsia" w:ascii="宋体" w:hAnsi="宋体" w:eastAsia="宋体" w:cs="宋体"/>
          <w:b/>
          <w:szCs w:val="21"/>
          <w:lang w:val="zh-CN"/>
        </w:rPr>
      </w:pPr>
      <w:r>
        <w:rPr>
          <w:rFonts w:hint="eastAsia" w:ascii="宋体" w:hAnsi="宋体" w:eastAsia="宋体" w:cs="宋体"/>
          <w:b/>
          <w:szCs w:val="21"/>
          <w:lang w:val="zh-CN"/>
        </w:rPr>
        <w:t>说明：</w:t>
      </w:r>
    </w:p>
    <w:p>
      <w:pPr>
        <w:tabs>
          <w:tab w:val="center" w:pos="4153"/>
          <w:tab w:val="right" w:pos="8306"/>
        </w:tabs>
        <w:adjustRightInd w:val="0"/>
        <w:snapToGrid w:val="0"/>
        <w:ind w:firstLine="422" w:firstLineChars="200"/>
        <w:textAlignment w:val="baseline"/>
        <w:rPr>
          <w:rFonts w:hint="eastAsia" w:ascii="宋体" w:hAnsi="宋体" w:eastAsia="宋体" w:cs="宋体"/>
          <w:b/>
          <w:szCs w:val="21"/>
          <w:lang w:val="zh-CN"/>
        </w:rPr>
      </w:pPr>
      <w:r>
        <w:rPr>
          <w:rFonts w:hint="eastAsia" w:ascii="宋体" w:hAnsi="宋体" w:eastAsia="宋体" w:cs="宋体"/>
          <w:b/>
          <w:szCs w:val="21"/>
          <w:lang w:val="zh-CN"/>
        </w:rPr>
        <w:t>本采购需求描述中涉及品牌（如有）、规格、型号、尺寸及重量的均为参考，投标人可提供同等档次或更高档次产品，并提供相应技术参数证明其符合采购需求。</w:t>
      </w:r>
    </w:p>
    <w:p>
      <w:pPr>
        <w:pStyle w:val="2"/>
        <w:ind w:firstLine="420"/>
        <w:rPr>
          <w:rFonts w:hint="eastAsia" w:ascii="宋体" w:hAnsi="宋体" w:eastAsia="宋体" w:cs="宋体"/>
          <w:lang w:val="zh-CN"/>
        </w:rPr>
      </w:pPr>
      <w:r>
        <w:rPr>
          <w:rFonts w:hint="eastAsia" w:ascii="宋体" w:hAnsi="宋体" w:eastAsia="宋体" w:cs="宋体"/>
          <w:lang w:val="zh-CN"/>
        </w:rPr>
        <w:t>标注三角号“▲”的为必要条款（参数），有“▲”条款（参数）不满足的将视为无效投标</w:t>
      </w:r>
    </w:p>
    <w:p>
      <w:pPr>
        <w:tabs>
          <w:tab w:val="center" w:pos="4153"/>
          <w:tab w:val="right" w:pos="8306"/>
        </w:tabs>
        <w:adjustRightInd w:val="0"/>
        <w:snapToGrid w:val="0"/>
        <w:spacing w:before="120" w:beforeLines="50" w:after="120" w:afterLines="50"/>
        <w:ind w:firstLine="420" w:firstLineChars="200"/>
        <w:textAlignment w:val="baseline"/>
        <w:rPr>
          <w:rFonts w:hint="eastAsia" w:ascii="宋体" w:hAnsi="宋体" w:eastAsia="宋体" w:cs="宋体"/>
          <w:color w:val="000000"/>
          <w:szCs w:val="21"/>
        </w:rPr>
      </w:pPr>
      <w:r>
        <w:rPr>
          <w:rFonts w:hint="eastAsia" w:ascii="宋体" w:hAnsi="宋体" w:eastAsia="宋体" w:cs="宋体"/>
          <w:color w:val="000000"/>
          <w:szCs w:val="21"/>
        </w:rPr>
        <w:t>标注星号“</w:t>
      </w:r>
      <w:r>
        <w:rPr>
          <w:rFonts w:hint="eastAsia" w:ascii="宋体" w:hAnsi="宋体" w:eastAsia="宋体" w:cs="宋体"/>
          <w:szCs w:val="21"/>
        </w:rPr>
        <w:t>★</w:t>
      </w:r>
      <w:r>
        <w:rPr>
          <w:rFonts w:hint="eastAsia" w:ascii="宋体" w:hAnsi="宋体" w:eastAsia="宋体" w:cs="宋体"/>
          <w:color w:val="000000"/>
          <w:szCs w:val="21"/>
        </w:rPr>
        <w:t>”的为重要条款（参数），有“</w:t>
      </w:r>
      <w:r>
        <w:rPr>
          <w:rFonts w:hint="eastAsia" w:ascii="宋体" w:hAnsi="宋体" w:eastAsia="宋体" w:cs="宋体"/>
          <w:szCs w:val="21"/>
        </w:rPr>
        <w:t>★</w:t>
      </w:r>
      <w:r>
        <w:rPr>
          <w:rFonts w:hint="eastAsia" w:ascii="宋体" w:hAnsi="宋体" w:eastAsia="宋体" w:cs="宋体"/>
          <w:color w:val="000000"/>
          <w:szCs w:val="21"/>
        </w:rPr>
        <w:t>”条款（参数）不满足的将在评分时被扣减较多的分值。</w:t>
      </w:r>
    </w:p>
    <w:p>
      <w:pPr>
        <w:tabs>
          <w:tab w:val="center" w:pos="4153"/>
          <w:tab w:val="right" w:pos="8306"/>
        </w:tabs>
        <w:adjustRightInd w:val="0"/>
        <w:snapToGrid w:val="0"/>
        <w:spacing w:before="120" w:beforeLines="50" w:after="120" w:afterLines="50"/>
        <w:ind w:firstLine="420" w:firstLineChars="200"/>
        <w:textAlignment w:val="baseline"/>
        <w:rPr>
          <w:rFonts w:hint="eastAsia" w:ascii="宋体" w:hAnsi="宋体" w:eastAsia="宋体" w:cs="宋体"/>
          <w:color w:val="000000"/>
          <w:szCs w:val="21"/>
        </w:rPr>
      </w:pPr>
      <w:r>
        <w:rPr>
          <w:rFonts w:hint="eastAsia" w:ascii="宋体" w:hAnsi="宋体" w:eastAsia="宋体" w:cs="宋体"/>
          <w:color w:val="000000"/>
          <w:szCs w:val="21"/>
        </w:rPr>
        <w:t>未标注“</w:t>
      </w:r>
      <w:r>
        <w:rPr>
          <w:rFonts w:hint="eastAsia" w:ascii="宋体" w:hAnsi="宋体" w:eastAsia="宋体" w:cs="宋体"/>
          <w:szCs w:val="21"/>
        </w:rPr>
        <w:t>★</w:t>
      </w:r>
      <w:r>
        <w:rPr>
          <w:rFonts w:hint="eastAsia" w:ascii="宋体" w:hAnsi="宋体" w:eastAsia="宋体" w:cs="宋体"/>
          <w:color w:val="000000"/>
          <w:szCs w:val="21"/>
        </w:rPr>
        <w:t>”的为一般技术条款（参数），有不满足项的将在评分时被扣减一定分值，</w:t>
      </w:r>
      <w:r>
        <w:rPr>
          <w:rFonts w:hint="eastAsia" w:ascii="宋体" w:hAnsi="宋体" w:eastAsia="宋体" w:cs="宋体"/>
        </w:rPr>
        <w:t>详见各分包评分标准。</w:t>
      </w:r>
    </w:p>
    <w:p>
      <w:pPr>
        <w:pStyle w:val="2"/>
        <w:ind w:firstLine="400" w:firstLineChars="200"/>
        <w:rPr>
          <w:rFonts w:hint="eastAsia" w:ascii="宋体" w:hAnsi="宋体" w:eastAsia="宋体" w:cs="宋体"/>
        </w:rPr>
      </w:pPr>
      <w:r>
        <w:rPr>
          <w:rFonts w:hint="eastAsia" w:ascii="宋体" w:hAnsi="宋体" w:eastAsia="宋体" w:cs="宋体"/>
        </w:rPr>
        <w:t>如招标中技术要求有重复且不一致的，以最高要求为准。</w:t>
      </w:r>
    </w:p>
    <w:p>
      <w:pPr>
        <w:pStyle w:val="43"/>
        <w:rPr>
          <w:rFonts w:hint="eastAsia" w:ascii="宋体" w:hAnsi="宋体" w:eastAsia="宋体" w:cs="宋体"/>
          <w:b/>
          <w:color w:val="auto"/>
          <w:sz w:val="21"/>
          <w:szCs w:val="21"/>
        </w:rPr>
      </w:pPr>
    </w:p>
    <w:p>
      <w:pPr>
        <w:pStyle w:val="43"/>
        <w:rPr>
          <w:rFonts w:hint="eastAsia" w:ascii="宋体" w:hAnsi="宋体" w:eastAsia="宋体" w:cs="宋体"/>
          <w:b/>
          <w:color w:val="auto"/>
          <w:sz w:val="21"/>
          <w:szCs w:val="21"/>
        </w:rPr>
      </w:pPr>
    </w:p>
    <w:p>
      <w:pPr>
        <w:pStyle w:val="43"/>
        <w:outlineLvl w:val="1"/>
        <w:rPr>
          <w:rFonts w:hint="eastAsia" w:ascii="宋体" w:hAnsi="宋体" w:eastAsia="宋体" w:cs="宋体"/>
        </w:rPr>
      </w:pPr>
      <w:r>
        <w:rPr>
          <w:rFonts w:hint="eastAsia" w:ascii="宋体" w:hAnsi="宋体" w:eastAsia="宋体" w:cs="宋体"/>
          <w:b/>
          <w:color w:val="auto"/>
          <w:sz w:val="21"/>
          <w:szCs w:val="21"/>
        </w:rPr>
        <w:br w:type="page"/>
      </w:r>
      <w:r>
        <w:rPr>
          <w:rFonts w:hint="eastAsia" w:ascii="宋体" w:hAnsi="宋体" w:eastAsia="宋体" w:cs="宋体"/>
          <w:b/>
          <w:color w:val="auto"/>
          <w:sz w:val="21"/>
          <w:szCs w:val="21"/>
        </w:rPr>
        <w:t>01包： AI药物计算平台</w:t>
      </w:r>
    </w:p>
    <w:p>
      <w:pPr>
        <w:pStyle w:val="43"/>
        <w:rPr>
          <w:rFonts w:hint="eastAsia" w:ascii="宋体" w:hAnsi="宋体" w:eastAsia="宋体" w:cs="宋体"/>
          <w:bCs w:val="0"/>
          <w:kern w:val="2"/>
          <w:sz w:val="21"/>
          <w:szCs w:val="24"/>
        </w:rPr>
      </w:pPr>
      <w:r>
        <w:rPr>
          <w:rFonts w:hint="eastAsia" w:ascii="宋体" w:hAnsi="宋体" w:eastAsia="宋体" w:cs="宋体"/>
          <w:bCs w:val="0"/>
          <w:kern w:val="2"/>
          <w:sz w:val="21"/>
          <w:szCs w:val="24"/>
        </w:rPr>
        <w:t>项目概况</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平台用途：AI药物计算平台模块化和插件化整合AIDD研究最新成果，形成可面向高端交叉药学人才培养的教学和科研训练平台。</w:t>
      </w:r>
    </w:p>
    <w:p>
      <w:pPr>
        <w:numPr>
          <w:ilvl w:val="0"/>
          <w:numId w:val="45"/>
        </w:num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项目需求清单</w:t>
      </w:r>
    </w:p>
    <w:tbl>
      <w:tblPr>
        <w:tblStyle w:val="26"/>
        <w:tblW w:w="101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4"/>
        <w:gridCol w:w="709"/>
        <w:gridCol w:w="3392"/>
        <w:gridCol w:w="850"/>
        <w:gridCol w:w="851"/>
        <w:gridCol w:w="709"/>
        <w:gridCol w:w="708"/>
        <w:gridCol w:w="709"/>
        <w:gridCol w:w="861"/>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设备名称</w:t>
            </w:r>
          </w:p>
        </w:tc>
        <w:tc>
          <w:tcPr>
            <w:tcW w:w="339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规格参数</w:t>
            </w:r>
          </w:p>
        </w:tc>
        <w:tc>
          <w:tcPr>
            <w:tcW w:w="85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品牌</w:t>
            </w:r>
          </w:p>
        </w:tc>
        <w:tc>
          <w:tcPr>
            <w:tcW w:w="85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型号</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70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单价</w:t>
            </w:r>
          </w:p>
        </w:tc>
        <w:tc>
          <w:tcPr>
            <w:tcW w:w="86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合价</w:t>
            </w:r>
          </w:p>
        </w:tc>
        <w:tc>
          <w:tcPr>
            <w:tcW w:w="85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10144" w:type="dxa"/>
            <w:gridSpan w:val="10"/>
            <w:tcBorders>
              <w:top w:val="single" w:color="auto" w:sz="4" w:space="0"/>
              <w:left w:val="single" w:color="auto" w:sz="4" w:space="0"/>
              <w:bottom w:val="single" w:color="auto" w:sz="4" w:space="0"/>
              <w:right w:val="single" w:color="000000"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一、软件系统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薛定谔小分子药物设计软件</w:t>
            </w:r>
          </w:p>
        </w:tc>
        <w:tc>
          <w:tcPr>
            <w:tcW w:w="3392" w:type="dxa"/>
            <w:tcBorders>
              <w:top w:val="nil"/>
              <w:left w:val="nil"/>
              <w:bottom w:val="single" w:color="auto" w:sz="4" w:space="0"/>
              <w:right w:val="single" w:color="auto" w:sz="4" w:space="0"/>
            </w:tcBorders>
            <w:vAlign w:val="center"/>
          </w:tcPr>
          <w:p>
            <w:pPr>
              <w:rPr>
                <w:rFonts w:hint="eastAsia" w:ascii="宋体" w:hAnsi="宋体" w:eastAsia="宋体" w:cs="宋体"/>
                <w:color w:val="000000"/>
              </w:rPr>
            </w:pPr>
            <w:r>
              <w:rPr>
                <w:rFonts w:hint="eastAsia" w:ascii="宋体" w:hAnsi="宋体" w:eastAsia="宋体" w:cs="宋体"/>
                <w:color w:val="000000"/>
              </w:rPr>
              <w:t>薛定谔软件：</w:t>
            </w:r>
          </w:p>
          <w:p>
            <w:pPr>
              <w:rPr>
                <w:rFonts w:hint="eastAsia" w:ascii="宋体" w:hAnsi="宋体" w:eastAsia="宋体" w:cs="宋体"/>
                <w:color w:val="000000"/>
                <w:szCs w:val="21"/>
              </w:rPr>
            </w:pPr>
            <w:r>
              <w:rPr>
                <w:rFonts w:hint="eastAsia" w:ascii="宋体" w:hAnsi="宋体" w:eastAsia="宋体" w:cs="宋体"/>
                <w:color w:val="000000"/>
                <w:sz w:val="24"/>
              </w:rPr>
              <w:t xml:space="preserve">1. </w:t>
            </w:r>
            <w:r>
              <w:rPr>
                <w:rFonts w:hint="eastAsia" w:ascii="宋体" w:hAnsi="宋体" w:eastAsia="宋体" w:cs="宋体"/>
                <w:color w:val="000000"/>
                <w:szCs w:val="21"/>
              </w:rPr>
              <w:t>提供药物靶标结构模建功能，模建时序列比对需提供Blast和PSI-Blast两种方法，蛋白家族认证时使用HMMER/Pfam方法。软件在确定模版时可以考虑家族信息。靶标Loop区预测采用从头预测的方法，至少可预测14个氨基酸长度；</w:t>
            </w:r>
          </w:p>
          <w:p>
            <w:pPr>
              <w:tabs>
                <w:tab w:val="left" w:pos="2232"/>
                <w:tab w:val="left" w:pos="3996"/>
              </w:tabs>
              <w:rPr>
                <w:rFonts w:hint="eastAsia" w:ascii="宋体" w:hAnsi="宋体" w:eastAsia="宋体" w:cs="宋体"/>
                <w:color w:val="000000"/>
                <w:szCs w:val="21"/>
              </w:rPr>
            </w:pPr>
            <w:r>
              <w:rPr>
                <w:rFonts w:hint="eastAsia" w:ascii="宋体" w:hAnsi="宋体" w:eastAsia="宋体" w:cs="宋体"/>
                <w:color w:val="000000"/>
                <w:szCs w:val="21"/>
              </w:rPr>
              <w:t>2. 动力学功能能在GPU上运行，并提供随机动力学和分子动力学两种优化方法。软件提供Amber，Amber94，MM2，MM3，MMFF，MMFFs，OPLS，OPLS_AA，OPLS4力场；</w:t>
            </w:r>
          </w:p>
          <w:p>
            <w:pPr>
              <w:widowControl/>
              <w:numPr>
                <w:ilvl w:val="0"/>
                <w:numId w:val="46"/>
              </w:numPr>
              <w:adjustRightInd w:val="0"/>
              <w:snapToGrid w:val="0"/>
              <w:spacing w:after="200" w:line="360" w:lineRule="auto"/>
              <w:jc w:val="left"/>
              <w:rPr>
                <w:rFonts w:hint="eastAsia" w:ascii="宋体" w:hAnsi="宋体" w:eastAsia="宋体" w:cs="宋体"/>
                <w:color w:val="000000"/>
                <w:szCs w:val="21"/>
              </w:rPr>
            </w:pPr>
            <w:r>
              <w:rPr>
                <w:rFonts w:hint="eastAsia" w:ascii="宋体" w:hAnsi="宋体" w:eastAsia="宋体" w:cs="宋体"/>
                <w:color w:val="000000"/>
                <w:szCs w:val="21"/>
              </w:rPr>
              <w:t>32tokens库，有效期5年含5年软件升级。</w:t>
            </w:r>
          </w:p>
          <w:p>
            <w:pPr>
              <w:rPr>
                <w:rFonts w:hint="eastAsia" w:ascii="宋体" w:hAnsi="宋体" w:eastAsia="宋体" w:cs="宋体"/>
                <w:color w:val="000000"/>
                <w:szCs w:val="21"/>
              </w:rPr>
            </w:pPr>
            <w:r>
              <w:rPr>
                <w:rFonts w:hint="eastAsia" w:ascii="宋体" w:hAnsi="宋体" w:eastAsia="宋体" w:cs="宋体"/>
                <w:color w:val="000000"/>
                <w:szCs w:val="21"/>
              </w:rPr>
              <w:t>AutoQSAR, Canvas, ConfGen, Core Hopping, Epik, Field-based QSAR,Glide, Jaguar, Jaguar pKa, LigPrep, MacroModel, Membrane Permeability,P450 SOM Prediction, Phase, Shape Screening CPU, Shape Screening GPU, Prime, PrimeX, QikProp, QSite, SiteMap。</w:t>
            </w:r>
          </w:p>
          <w:p>
            <w:pPr>
              <w:rPr>
                <w:rFonts w:hint="eastAsia" w:ascii="宋体" w:hAnsi="宋体" w:eastAsia="宋体" w:cs="宋体"/>
                <w:color w:val="000000"/>
                <w:szCs w:val="21"/>
              </w:rPr>
            </w:pPr>
            <w:r>
              <w:rPr>
                <w:rFonts w:hint="eastAsia" w:ascii="宋体" w:hAnsi="宋体" w:eastAsia="宋体" w:cs="宋体"/>
                <w:color w:val="000000"/>
                <w:szCs w:val="21"/>
              </w:rPr>
              <w:t>4. 一个DESMOND GPU license，有效期5年含5年软件升级。</w:t>
            </w:r>
          </w:p>
          <w:p>
            <w:pPr>
              <w:rPr>
                <w:rFonts w:hint="eastAsia" w:ascii="宋体" w:hAnsi="宋体" w:eastAsia="宋体" w:cs="宋体"/>
                <w:color w:val="000000"/>
                <w:szCs w:val="21"/>
              </w:rPr>
            </w:pPr>
            <w:r>
              <w:rPr>
                <w:rFonts w:hint="eastAsia" w:ascii="宋体" w:hAnsi="宋体" w:eastAsia="宋体" w:cs="宋体"/>
                <w:color w:val="000000"/>
                <w:szCs w:val="21"/>
              </w:rPr>
              <w:t>5. 一个OPLS license，有效期5年含5年软件升级。</w:t>
            </w:r>
          </w:p>
          <w:p>
            <w:pPr>
              <w:rPr>
                <w:rFonts w:hint="eastAsia" w:ascii="宋体" w:hAnsi="宋体" w:eastAsia="宋体" w:cs="宋体"/>
                <w:color w:val="000000"/>
                <w:sz w:val="24"/>
              </w:rPr>
            </w:pPr>
            <w:r>
              <w:rPr>
                <w:rFonts w:hint="eastAsia" w:ascii="宋体" w:hAnsi="宋体" w:eastAsia="宋体" w:cs="宋体"/>
                <w:color w:val="000000"/>
                <w:szCs w:val="21"/>
              </w:rPr>
              <w:t>6. 50个Maestro 界面license，有效期5年含5年软件升级。</w:t>
            </w:r>
          </w:p>
        </w:tc>
        <w:tc>
          <w:tcPr>
            <w:tcW w:w="850"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年　</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5</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bl>
    <w:p>
      <w:pPr>
        <w:spacing w:line="360" w:lineRule="auto"/>
        <w:ind w:firstLine="420" w:firstLineChars="200"/>
        <w:rPr>
          <w:rFonts w:hint="eastAsia" w:ascii="宋体" w:hAnsi="宋体" w:eastAsia="宋体" w:cs="宋体"/>
          <w:color w:val="000000"/>
        </w:rPr>
        <w:sectPr>
          <w:footerReference r:id="rId6" w:type="default"/>
          <w:type w:val="continuous"/>
          <w:pgSz w:w="11906" w:h="16838"/>
          <w:pgMar w:top="1440" w:right="1800" w:bottom="1440" w:left="1800" w:header="708" w:footer="708" w:gutter="0"/>
          <w:cols w:space="720" w:num="1"/>
          <w:docGrid w:linePitch="360" w:charSpace="0"/>
        </w:sectPr>
      </w:pPr>
    </w:p>
    <w:tbl>
      <w:tblPr>
        <w:tblStyle w:val="26"/>
        <w:tblW w:w="101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4"/>
        <w:gridCol w:w="709"/>
        <w:gridCol w:w="3771"/>
        <w:gridCol w:w="471"/>
        <w:gridCol w:w="851"/>
        <w:gridCol w:w="709"/>
        <w:gridCol w:w="708"/>
        <w:gridCol w:w="709"/>
        <w:gridCol w:w="861"/>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设备名称</w:t>
            </w:r>
          </w:p>
        </w:tc>
        <w:tc>
          <w:tcPr>
            <w:tcW w:w="37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规格参数</w:t>
            </w:r>
          </w:p>
        </w:tc>
        <w:tc>
          <w:tcPr>
            <w:tcW w:w="47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品牌</w:t>
            </w:r>
          </w:p>
        </w:tc>
        <w:tc>
          <w:tcPr>
            <w:tcW w:w="85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型号</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70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单价</w:t>
            </w:r>
          </w:p>
        </w:tc>
        <w:tc>
          <w:tcPr>
            <w:tcW w:w="86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合价</w:t>
            </w:r>
          </w:p>
        </w:tc>
        <w:tc>
          <w:tcPr>
            <w:tcW w:w="85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10144" w:type="dxa"/>
            <w:gridSpan w:val="10"/>
            <w:tcBorders>
              <w:top w:val="single" w:color="auto" w:sz="4" w:space="0"/>
              <w:left w:val="single" w:color="auto" w:sz="4" w:space="0"/>
              <w:bottom w:val="single" w:color="auto" w:sz="4" w:space="0"/>
              <w:right w:val="single" w:color="000000"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一、软件系统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计算机辅助药物分子设计软件　</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rPr>
            </w:pPr>
          </w:p>
          <w:p>
            <w:pPr>
              <w:widowControl/>
              <w:numPr>
                <w:ilvl w:val="0"/>
                <w:numId w:val="47"/>
              </w:numPr>
              <w:adjustRightInd w:val="0"/>
              <w:snapToGrid w:val="0"/>
              <w:spacing w:after="200" w:line="276" w:lineRule="auto"/>
              <w:jc w:val="left"/>
              <w:rPr>
                <w:rFonts w:hint="eastAsia" w:ascii="宋体" w:hAnsi="宋体" w:eastAsia="宋体" w:cs="宋体"/>
                <w:color w:val="000000"/>
                <w:szCs w:val="21"/>
              </w:rPr>
            </w:pPr>
            <w:r>
              <w:rPr>
                <w:rFonts w:hint="eastAsia" w:ascii="宋体" w:hAnsi="宋体" w:eastAsia="宋体" w:cs="宋体"/>
                <w:color w:val="000000"/>
                <w:szCs w:val="21"/>
              </w:rPr>
              <w:t>各种类型分子构建功能；</w:t>
            </w:r>
          </w:p>
          <w:p>
            <w:pPr>
              <w:widowControl/>
              <w:numPr>
                <w:ilvl w:val="0"/>
                <w:numId w:val="47"/>
              </w:numPr>
              <w:adjustRightInd w:val="0"/>
              <w:snapToGrid w:val="0"/>
              <w:spacing w:after="200" w:line="276" w:lineRule="auto"/>
              <w:jc w:val="left"/>
              <w:rPr>
                <w:rFonts w:hint="eastAsia" w:ascii="宋体" w:hAnsi="宋体" w:eastAsia="宋体" w:cs="宋体"/>
                <w:color w:val="000000"/>
                <w:szCs w:val="21"/>
              </w:rPr>
            </w:pPr>
            <w:r>
              <w:rPr>
                <w:rFonts w:hint="eastAsia" w:ascii="宋体" w:hAnsi="宋体" w:eastAsia="宋体" w:cs="宋体"/>
                <w:color w:val="000000"/>
                <w:szCs w:val="21"/>
              </w:rPr>
              <w:t>多种分子构象搜索方法，并且可以针对饱和环进行构象搜索；</w:t>
            </w:r>
          </w:p>
          <w:p>
            <w:pPr>
              <w:widowControl/>
              <w:numPr>
                <w:ilvl w:val="0"/>
                <w:numId w:val="47"/>
              </w:numPr>
              <w:adjustRightInd w:val="0"/>
              <w:snapToGrid w:val="0"/>
              <w:spacing w:after="200" w:line="276" w:lineRule="auto"/>
              <w:jc w:val="left"/>
              <w:rPr>
                <w:rFonts w:hint="eastAsia" w:ascii="宋体" w:hAnsi="宋体" w:eastAsia="宋体" w:cs="宋体"/>
                <w:color w:val="000000"/>
                <w:szCs w:val="21"/>
              </w:rPr>
            </w:pPr>
            <w:r>
              <w:rPr>
                <w:rFonts w:hint="eastAsia" w:ascii="宋体" w:hAnsi="宋体" w:eastAsia="宋体" w:cs="宋体"/>
                <w:color w:val="000000"/>
                <w:szCs w:val="21"/>
              </w:rPr>
              <w:t>分子力学计算，支持的多种力场，适用于小分子/大分子/复合物等多种情形的力场优化；</w:t>
            </w:r>
          </w:p>
          <w:p>
            <w:pPr>
              <w:widowControl/>
              <w:numPr>
                <w:ilvl w:val="0"/>
                <w:numId w:val="47"/>
              </w:numPr>
              <w:adjustRightInd w:val="0"/>
              <w:snapToGrid w:val="0"/>
              <w:spacing w:after="200" w:line="276" w:lineRule="auto"/>
              <w:jc w:val="left"/>
              <w:rPr>
                <w:rFonts w:hint="eastAsia" w:ascii="宋体" w:hAnsi="宋体" w:eastAsia="宋体" w:cs="宋体"/>
                <w:color w:val="000000"/>
                <w:szCs w:val="21"/>
              </w:rPr>
            </w:pPr>
            <w:r>
              <w:rPr>
                <w:rFonts w:hint="eastAsia" w:ascii="宋体" w:hAnsi="宋体" w:eastAsia="宋体" w:cs="宋体"/>
                <w:color w:val="000000"/>
                <w:szCs w:val="21"/>
              </w:rPr>
              <w:t>分子动力学模拟多种积分方法；更有NAMD、AMBER第三方计算引擎的接口，并且可进行相对结合自由能计算；</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年　</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5</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量子化学计算软件</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1、支持分子力学计算，包括Amber、Dreiding和UFF力场；</w:t>
            </w:r>
          </w:p>
          <w:p>
            <w:pPr>
              <w:rPr>
                <w:rFonts w:hint="eastAsia" w:ascii="宋体" w:hAnsi="宋体" w:eastAsia="宋体" w:cs="宋体"/>
                <w:color w:val="000000"/>
                <w:szCs w:val="21"/>
              </w:rPr>
            </w:pPr>
            <w:r>
              <w:rPr>
                <w:rFonts w:hint="eastAsia" w:ascii="宋体" w:hAnsi="宋体" w:eastAsia="宋体" w:cs="宋体"/>
                <w:color w:val="000000"/>
                <w:szCs w:val="21"/>
              </w:rPr>
              <w:t>2、支持半经验方法，包括CNDO/2、INDO、MINDO3、MNDO、AM1、PM3、PM3MM、PM6、PDD、最新发布的PM7，支持DFTB和DFTBA方法；</w:t>
            </w:r>
          </w:p>
          <w:p>
            <w:pPr>
              <w:rPr>
                <w:rFonts w:hint="eastAsia" w:ascii="宋体" w:hAnsi="宋体" w:eastAsia="宋体" w:cs="宋体"/>
                <w:color w:val="000000"/>
                <w:szCs w:val="21"/>
              </w:rPr>
            </w:pPr>
            <w:r>
              <w:rPr>
                <w:rFonts w:hint="eastAsia" w:ascii="宋体" w:hAnsi="宋体" w:eastAsia="宋体" w:cs="宋体"/>
                <w:color w:val="000000"/>
                <w:szCs w:val="21"/>
              </w:rPr>
              <w:t>3、支持量子化学从头算方法，包括HF、MP2、MP3、MP4(DQ)、MP4(SDQ)、MP4、MP5、CID、CISD、QCISD、QCISD(T)、CCD、CCSD、CCSD(T)、BD、BD(T)、CASSCF和RASSCF等方法；</w:t>
            </w:r>
          </w:p>
          <w:p>
            <w:pPr>
              <w:rPr>
                <w:rFonts w:hint="eastAsia" w:ascii="宋体" w:hAnsi="宋体" w:eastAsia="宋体" w:cs="宋体"/>
                <w:color w:val="000000"/>
                <w:szCs w:val="21"/>
              </w:rPr>
            </w:pPr>
            <w:r>
              <w:rPr>
                <w:rFonts w:hint="eastAsia" w:ascii="宋体" w:hAnsi="宋体" w:eastAsia="宋体" w:cs="宋体"/>
                <w:color w:val="000000"/>
                <w:szCs w:val="21"/>
              </w:rPr>
              <w:t>4、支持MP2等级的完备基组外推计算(Complete Basis Set MP2 Extrapolation)；</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FEP软件 一　</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薛定谔FEP软件</w:t>
            </w:r>
          </w:p>
          <w:p>
            <w:pPr>
              <w:rPr>
                <w:rFonts w:hint="eastAsia" w:ascii="宋体" w:hAnsi="宋体" w:eastAsia="宋体" w:cs="宋体"/>
                <w:color w:val="000000"/>
                <w:szCs w:val="21"/>
              </w:rPr>
            </w:pPr>
            <w:r>
              <w:rPr>
                <w:rFonts w:hint="eastAsia" w:ascii="宋体" w:hAnsi="宋体" w:eastAsia="宋体" w:cs="宋体"/>
                <w:color w:val="000000"/>
                <w:szCs w:val="21"/>
              </w:rPr>
              <w:t>1.含有OPLS4力场。</w:t>
            </w:r>
          </w:p>
          <w:p>
            <w:pPr>
              <w:rPr>
                <w:rFonts w:hint="eastAsia" w:ascii="宋体" w:hAnsi="宋体" w:eastAsia="宋体" w:cs="宋体"/>
                <w:color w:val="000000"/>
                <w:szCs w:val="21"/>
              </w:rPr>
            </w:pPr>
            <w:r>
              <w:rPr>
                <w:rFonts w:hint="eastAsia" w:ascii="宋体" w:hAnsi="宋体" w:eastAsia="宋体" w:cs="宋体"/>
                <w:color w:val="000000"/>
                <w:szCs w:val="21"/>
              </w:rPr>
              <w:t>2.图形用户界面，自动进行复杂计算。并带有功能全面的分析工具可视化和检查计算结果。</w:t>
            </w:r>
          </w:p>
          <w:p>
            <w:pPr>
              <w:rPr>
                <w:rFonts w:hint="eastAsia" w:ascii="宋体" w:hAnsi="宋体" w:eastAsia="宋体" w:cs="宋体"/>
                <w:color w:val="000000"/>
                <w:szCs w:val="21"/>
              </w:rPr>
            </w:pPr>
            <w:r>
              <w:rPr>
                <w:rFonts w:hint="eastAsia" w:ascii="宋体" w:hAnsi="宋体" w:eastAsia="宋体" w:cs="宋体"/>
                <w:color w:val="000000"/>
                <w:szCs w:val="21"/>
              </w:rPr>
              <w:t>3.支持REST2或其他增强采样方法。</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年　</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FEP软件二　</w:t>
            </w:r>
          </w:p>
        </w:tc>
        <w:tc>
          <w:tcPr>
            <w:tcW w:w="3771" w:type="dxa"/>
            <w:tcBorders>
              <w:top w:val="nil"/>
              <w:left w:val="nil"/>
              <w:bottom w:val="single" w:color="auto" w:sz="4" w:space="0"/>
              <w:right w:val="single" w:color="auto" w:sz="4" w:space="0"/>
            </w:tcBorders>
            <w:vAlign w:val="center"/>
          </w:tcPr>
          <w:p>
            <w:pPr>
              <w:pStyle w:val="43"/>
              <w:rPr>
                <w:rFonts w:hint="eastAsia" w:ascii="宋体" w:hAnsi="宋体" w:eastAsia="宋体" w:cs="宋体"/>
                <w:bCs w:val="0"/>
                <w:sz w:val="21"/>
                <w:szCs w:val="21"/>
              </w:rPr>
            </w:pPr>
            <w:r>
              <w:rPr>
                <w:rFonts w:hint="eastAsia" w:ascii="宋体" w:hAnsi="宋体" w:eastAsia="宋体" w:cs="宋体"/>
                <w:bCs w:val="0"/>
                <w:sz w:val="21"/>
                <w:szCs w:val="21"/>
              </w:rPr>
              <w:t>包含：</w:t>
            </w:r>
          </w:p>
          <w:p>
            <w:pPr>
              <w:pStyle w:val="43"/>
              <w:rPr>
                <w:rFonts w:hint="eastAsia" w:ascii="宋体" w:hAnsi="宋体" w:eastAsia="宋体" w:cs="宋体"/>
                <w:bCs w:val="0"/>
                <w:sz w:val="21"/>
                <w:szCs w:val="21"/>
              </w:rPr>
            </w:pPr>
            <w:r>
              <w:rPr>
                <w:rFonts w:hint="eastAsia" w:ascii="宋体" w:hAnsi="宋体" w:eastAsia="宋体" w:cs="宋体"/>
                <w:bCs w:val="0"/>
                <w:sz w:val="21"/>
                <w:szCs w:val="21"/>
              </w:rPr>
              <w:t>分子动力学程序包  一套</w:t>
            </w:r>
          </w:p>
          <w:p>
            <w:pPr>
              <w:pStyle w:val="43"/>
              <w:rPr>
                <w:rFonts w:hint="eastAsia" w:ascii="宋体" w:hAnsi="宋体" w:eastAsia="宋体" w:cs="宋体"/>
                <w:bCs w:val="0"/>
                <w:sz w:val="21"/>
                <w:szCs w:val="21"/>
              </w:rPr>
            </w:pPr>
            <w:r>
              <w:rPr>
                <w:rFonts w:hint="eastAsia" w:ascii="宋体" w:hAnsi="宋体" w:eastAsia="宋体" w:cs="宋体"/>
                <w:bCs w:val="0"/>
                <w:sz w:val="21"/>
                <w:szCs w:val="21"/>
              </w:rPr>
              <w:t>分子对接软件   一套</w:t>
            </w:r>
          </w:p>
          <w:p>
            <w:pPr>
              <w:pStyle w:val="43"/>
              <w:rPr>
                <w:rFonts w:hint="eastAsia" w:ascii="宋体" w:hAnsi="宋体" w:eastAsia="宋体" w:cs="宋体"/>
                <w:bCs w:val="0"/>
                <w:sz w:val="21"/>
                <w:szCs w:val="21"/>
              </w:rPr>
            </w:pPr>
            <w:r>
              <w:rPr>
                <w:rFonts w:hint="eastAsia" w:ascii="宋体" w:hAnsi="宋体" w:eastAsia="宋体" w:cs="宋体"/>
                <w:bCs w:val="0"/>
                <w:sz w:val="21"/>
                <w:szCs w:val="21"/>
              </w:rPr>
              <w:t>分子动力学模拟软件  一套　</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10144" w:type="dxa"/>
            <w:gridSpan w:val="10"/>
            <w:tcBorders>
              <w:top w:val="single" w:color="auto" w:sz="4" w:space="0"/>
              <w:left w:val="single" w:color="auto" w:sz="4" w:space="0"/>
              <w:bottom w:val="single" w:color="auto" w:sz="4" w:space="0"/>
              <w:right w:val="single" w:color="000000" w:sz="4" w:space="0"/>
            </w:tcBorders>
            <w:vAlign w:val="center"/>
          </w:tcPr>
          <w:p>
            <w:pPr>
              <w:rPr>
                <w:rFonts w:hint="eastAsia" w:ascii="宋体" w:hAnsi="宋体" w:eastAsia="宋体" w:cs="宋体"/>
                <w:color w:val="FF0000"/>
                <w:szCs w:val="21"/>
              </w:rPr>
            </w:pPr>
            <w:r>
              <w:rPr>
                <w:rFonts w:hint="eastAsia" w:ascii="宋体" w:hAnsi="宋体" w:eastAsia="宋体" w:cs="宋体"/>
                <w:color w:val="FF0000"/>
                <w:szCs w:val="21"/>
              </w:rPr>
              <w:t>二、IT硬件设备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CPU服务器</w:t>
            </w:r>
          </w:p>
        </w:tc>
        <w:tc>
          <w:tcPr>
            <w:tcW w:w="3771" w:type="dxa"/>
            <w:tcBorders>
              <w:top w:val="nil"/>
              <w:left w:val="nil"/>
              <w:bottom w:val="single" w:color="auto" w:sz="4" w:space="0"/>
              <w:right w:val="single" w:color="auto" w:sz="4" w:space="0"/>
            </w:tcBorders>
            <w:vAlign w:val="top"/>
          </w:tcPr>
          <w:p>
            <w:pPr>
              <w:rPr>
                <w:rFonts w:hint="eastAsia" w:ascii="宋体" w:hAnsi="宋体" w:eastAsia="宋体" w:cs="宋体"/>
                <w:color w:val="000000"/>
                <w:szCs w:val="21"/>
              </w:rPr>
            </w:pPr>
            <w:r>
              <w:rPr>
                <w:rFonts w:hint="eastAsia" w:ascii="宋体" w:hAnsi="宋体" w:eastAsia="宋体" w:cs="宋体"/>
                <w:color w:val="000000"/>
                <w:szCs w:val="21"/>
              </w:rPr>
              <w:t>四路服务器；</w:t>
            </w:r>
          </w:p>
          <w:p>
            <w:pPr>
              <w:rPr>
                <w:rFonts w:hint="eastAsia" w:ascii="宋体" w:hAnsi="宋体" w:eastAsia="宋体" w:cs="宋体"/>
                <w:color w:val="000000"/>
                <w:szCs w:val="21"/>
              </w:rPr>
            </w:pPr>
            <w:r>
              <w:rPr>
                <w:rFonts w:hint="eastAsia" w:ascii="宋体" w:hAnsi="宋体" w:eastAsia="宋体" w:cs="宋体"/>
                <w:color w:val="000000"/>
                <w:szCs w:val="21"/>
              </w:rPr>
              <w:t>配置4颗英特尔至强金牌CPU；</w:t>
            </w:r>
          </w:p>
          <w:p>
            <w:pPr>
              <w:rPr>
                <w:rFonts w:hint="eastAsia" w:ascii="宋体" w:hAnsi="宋体" w:eastAsia="宋体" w:cs="宋体"/>
                <w:color w:val="000000"/>
                <w:szCs w:val="21"/>
              </w:rPr>
            </w:pPr>
            <w:r>
              <w:rPr>
                <w:rFonts w:hint="eastAsia" w:ascii="宋体" w:hAnsi="宋体" w:eastAsia="宋体" w:cs="宋体"/>
                <w:color w:val="000000"/>
                <w:szCs w:val="21"/>
              </w:rPr>
              <w:t>单颗CPU核心数≥18核，CPU主频为 ≥2.2GHz，L3缓存≥24MB；总核数总核数不少于72核；</w:t>
            </w:r>
          </w:p>
          <w:p>
            <w:pPr>
              <w:rPr>
                <w:rFonts w:hint="eastAsia" w:ascii="宋体" w:hAnsi="宋体" w:eastAsia="宋体" w:cs="宋体"/>
                <w:color w:val="000000"/>
                <w:szCs w:val="21"/>
              </w:rPr>
            </w:pPr>
            <w:r>
              <w:rPr>
                <w:rFonts w:hint="eastAsia" w:ascii="宋体" w:hAnsi="宋体" w:eastAsia="宋体" w:cs="宋体"/>
                <w:color w:val="000000"/>
                <w:szCs w:val="21"/>
              </w:rPr>
              <w:t>内存配置≥256GB；</w:t>
            </w:r>
          </w:p>
          <w:p>
            <w:pPr>
              <w:rPr>
                <w:rFonts w:hint="eastAsia" w:ascii="宋体" w:hAnsi="宋体" w:eastAsia="宋体" w:cs="宋体"/>
                <w:color w:val="000000"/>
                <w:szCs w:val="21"/>
              </w:rPr>
            </w:pPr>
            <w:r>
              <w:rPr>
                <w:rFonts w:hint="eastAsia" w:ascii="宋体" w:hAnsi="宋体" w:eastAsia="宋体" w:cs="宋体"/>
                <w:color w:val="000000"/>
                <w:szCs w:val="21"/>
              </w:rPr>
              <w:t>硬盘配置≥2块 480G 固态硬盘；</w:t>
            </w:r>
          </w:p>
          <w:p>
            <w:pPr>
              <w:rPr>
                <w:rFonts w:hint="eastAsia" w:ascii="宋体" w:hAnsi="宋体" w:eastAsia="宋体" w:cs="宋体"/>
                <w:color w:val="000000"/>
                <w:szCs w:val="21"/>
              </w:rPr>
            </w:pPr>
            <w:r>
              <w:rPr>
                <w:rFonts w:hint="eastAsia" w:ascii="宋体" w:hAnsi="宋体" w:eastAsia="宋体" w:cs="宋体"/>
                <w:color w:val="000000"/>
                <w:szCs w:val="21"/>
              </w:rPr>
              <w:t>配置磁盘阵列卡，缓存≥2G，支持RAID 0/1/10/5/50/6/60；</w:t>
            </w:r>
          </w:p>
          <w:p>
            <w:pPr>
              <w:rPr>
                <w:rFonts w:hint="eastAsia" w:ascii="宋体" w:hAnsi="宋体" w:eastAsia="宋体" w:cs="宋体"/>
                <w:color w:val="000000"/>
                <w:szCs w:val="21"/>
              </w:rPr>
            </w:pPr>
            <w:r>
              <w:rPr>
                <w:rFonts w:hint="eastAsia" w:ascii="宋体" w:hAnsi="宋体" w:eastAsia="宋体" w:cs="宋体"/>
                <w:color w:val="000000"/>
                <w:szCs w:val="21"/>
              </w:rPr>
              <w:t>冗余双电源；</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台　</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GPU服务器</w:t>
            </w:r>
          </w:p>
        </w:tc>
        <w:tc>
          <w:tcPr>
            <w:tcW w:w="3771" w:type="dxa"/>
            <w:tcBorders>
              <w:top w:val="nil"/>
              <w:left w:val="nil"/>
              <w:bottom w:val="single" w:color="auto" w:sz="4" w:space="0"/>
              <w:right w:val="single" w:color="auto" w:sz="4" w:space="0"/>
            </w:tcBorders>
            <w:vAlign w:val="top"/>
          </w:tcPr>
          <w:p>
            <w:pPr>
              <w:rPr>
                <w:rFonts w:hint="eastAsia" w:ascii="宋体" w:hAnsi="宋体" w:eastAsia="宋体" w:cs="宋体"/>
                <w:color w:val="000000"/>
                <w:szCs w:val="21"/>
              </w:rPr>
            </w:pPr>
            <w:r>
              <w:rPr>
                <w:rFonts w:hint="eastAsia" w:ascii="宋体" w:hAnsi="宋体" w:eastAsia="宋体" w:cs="宋体"/>
                <w:color w:val="000000"/>
                <w:szCs w:val="21"/>
              </w:rPr>
              <w:t>高性能计算服务器；</w:t>
            </w:r>
          </w:p>
          <w:p>
            <w:pPr>
              <w:rPr>
                <w:rFonts w:hint="eastAsia" w:ascii="宋体" w:hAnsi="宋体" w:eastAsia="宋体" w:cs="宋体"/>
                <w:color w:val="000000"/>
                <w:szCs w:val="21"/>
              </w:rPr>
            </w:pPr>
            <w:r>
              <w:rPr>
                <w:rFonts w:hint="eastAsia" w:ascii="宋体" w:hAnsi="宋体" w:eastAsia="宋体" w:cs="宋体"/>
                <w:color w:val="000000"/>
                <w:szCs w:val="21"/>
              </w:rPr>
              <w:t>配置8块NVIDIA  GPU计算卡，</w:t>
            </w:r>
          </w:p>
          <w:p>
            <w:pPr>
              <w:rPr>
                <w:rFonts w:hint="eastAsia" w:ascii="宋体" w:hAnsi="宋体" w:eastAsia="宋体" w:cs="宋体"/>
                <w:color w:val="000000"/>
                <w:szCs w:val="21"/>
              </w:rPr>
            </w:pPr>
            <w:r>
              <w:rPr>
                <w:rFonts w:hint="eastAsia" w:ascii="宋体" w:hAnsi="宋体" w:eastAsia="宋体" w:cs="宋体"/>
                <w:color w:val="000000"/>
                <w:szCs w:val="21"/>
              </w:rPr>
              <w:t>每块GPU显存≥80GB； FP64 Tensor Core≥19.5 TFLOPS；Tensor Float 32 ≥156 TFLOPS;</w:t>
            </w:r>
          </w:p>
          <w:p>
            <w:pPr>
              <w:rPr>
                <w:rFonts w:hint="eastAsia" w:ascii="宋体" w:hAnsi="宋体" w:eastAsia="宋体" w:cs="宋体"/>
                <w:color w:val="000000"/>
                <w:szCs w:val="21"/>
              </w:rPr>
            </w:pPr>
            <w:r>
              <w:rPr>
                <w:rFonts w:hint="eastAsia" w:ascii="宋体" w:hAnsi="宋体" w:eastAsia="宋体" w:cs="宋体"/>
                <w:color w:val="000000"/>
                <w:szCs w:val="21"/>
              </w:rPr>
              <w:t>配置2颗英特尔至强金牌CPU；</w:t>
            </w:r>
          </w:p>
          <w:p>
            <w:pPr>
              <w:rPr>
                <w:rFonts w:hint="eastAsia" w:ascii="宋体" w:hAnsi="宋体" w:eastAsia="宋体" w:cs="宋体"/>
                <w:color w:val="000000"/>
                <w:szCs w:val="21"/>
              </w:rPr>
            </w:pPr>
            <w:r>
              <w:rPr>
                <w:rFonts w:hint="eastAsia" w:ascii="宋体" w:hAnsi="宋体" w:eastAsia="宋体" w:cs="宋体"/>
                <w:color w:val="000000"/>
                <w:szCs w:val="21"/>
              </w:rPr>
              <w:t>单颗CPU主频为 ≥3.2GHz，核心数≥8核；L3缓存≥12MB；</w:t>
            </w:r>
          </w:p>
          <w:p>
            <w:pPr>
              <w:rPr>
                <w:rFonts w:hint="eastAsia" w:ascii="宋体" w:hAnsi="宋体" w:eastAsia="宋体" w:cs="宋体"/>
                <w:color w:val="000000"/>
                <w:szCs w:val="21"/>
              </w:rPr>
            </w:pPr>
            <w:r>
              <w:rPr>
                <w:rFonts w:hint="eastAsia" w:ascii="宋体" w:hAnsi="宋体" w:eastAsia="宋体" w:cs="宋体"/>
                <w:color w:val="000000"/>
                <w:szCs w:val="21"/>
              </w:rPr>
              <w:t>内存配置≥256GB；</w:t>
            </w:r>
          </w:p>
          <w:p>
            <w:pPr>
              <w:rPr>
                <w:rFonts w:hint="eastAsia" w:ascii="宋体" w:hAnsi="宋体" w:eastAsia="宋体" w:cs="宋体"/>
                <w:color w:val="000000"/>
                <w:szCs w:val="21"/>
              </w:rPr>
            </w:pPr>
            <w:r>
              <w:rPr>
                <w:rFonts w:hint="eastAsia" w:ascii="宋体" w:hAnsi="宋体" w:eastAsia="宋体" w:cs="宋体"/>
                <w:color w:val="000000"/>
                <w:szCs w:val="21"/>
              </w:rPr>
              <w:t>硬盘配置≥2块 480G 固态硬盘；</w:t>
            </w:r>
          </w:p>
          <w:p>
            <w:pPr>
              <w:rPr>
                <w:rFonts w:hint="eastAsia" w:ascii="宋体" w:hAnsi="宋体" w:eastAsia="宋体" w:cs="宋体"/>
                <w:color w:val="000000"/>
                <w:szCs w:val="21"/>
              </w:rPr>
            </w:pPr>
            <w:r>
              <w:rPr>
                <w:rFonts w:hint="eastAsia" w:ascii="宋体" w:hAnsi="宋体" w:eastAsia="宋体" w:cs="宋体"/>
                <w:color w:val="000000"/>
                <w:szCs w:val="21"/>
              </w:rPr>
              <w:t>配置磁盘阵列卡，缓存≥2G，支持RAID 0/1/10/5/50/6/60；</w:t>
            </w:r>
          </w:p>
          <w:p>
            <w:pPr>
              <w:rPr>
                <w:rFonts w:hint="eastAsia" w:ascii="宋体" w:hAnsi="宋体" w:eastAsia="宋体" w:cs="宋体"/>
                <w:color w:val="000000"/>
                <w:szCs w:val="21"/>
              </w:rPr>
            </w:pPr>
            <w:r>
              <w:rPr>
                <w:rFonts w:hint="eastAsia" w:ascii="宋体" w:hAnsi="宋体" w:eastAsia="宋体" w:cs="宋体"/>
                <w:color w:val="000000"/>
                <w:szCs w:val="21"/>
              </w:rPr>
              <w:t>冗余双电源；</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台　</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核心</w:t>
            </w:r>
          </w:p>
          <w:p>
            <w:pPr>
              <w:jc w:val="center"/>
              <w:rPr>
                <w:rFonts w:hint="eastAsia" w:ascii="宋体" w:hAnsi="宋体" w:eastAsia="宋体" w:cs="宋体"/>
                <w:color w:val="000000"/>
                <w:szCs w:val="21"/>
              </w:rPr>
            </w:pPr>
            <w:r>
              <w:rPr>
                <w:rFonts w:hint="eastAsia" w:ascii="宋体" w:hAnsi="宋体" w:eastAsia="宋体" w:cs="宋体"/>
                <w:color w:val="000000"/>
                <w:szCs w:val="21"/>
              </w:rPr>
              <w:t>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存储</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采用2U盘控一体架构</w:t>
            </w:r>
            <w:r>
              <w:rPr>
                <w:rFonts w:hint="eastAsia" w:ascii="宋体" w:hAnsi="宋体" w:eastAsia="宋体" w:cs="宋体"/>
                <w:color w:val="000000"/>
                <w:szCs w:val="21"/>
              </w:rPr>
              <w:br/>
            </w:r>
            <w:r>
              <w:rPr>
                <w:rFonts w:hint="eastAsia" w:ascii="宋体" w:hAnsi="宋体" w:eastAsia="宋体" w:cs="宋体"/>
                <w:color w:val="000000"/>
                <w:szCs w:val="21"/>
              </w:rPr>
              <w:t>存储系统采用对称AA架构，LUN无控制器归属，在多控配置下，能够负载到所有控制器</w:t>
            </w:r>
            <w:r>
              <w:rPr>
                <w:rFonts w:hint="eastAsia" w:ascii="宋体" w:hAnsi="宋体" w:eastAsia="宋体" w:cs="宋体"/>
                <w:color w:val="000000"/>
                <w:szCs w:val="21"/>
              </w:rPr>
              <w:br/>
            </w:r>
            <w:r>
              <w:rPr>
                <w:rFonts w:hint="eastAsia" w:ascii="宋体" w:hAnsi="宋体" w:eastAsia="宋体" w:cs="宋体"/>
                <w:color w:val="000000"/>
                <w:szCs w:val="21"/>
              </w:rPr>
              <w:t>配置2个控制器，单控制器处理器总核心数≥16核，CPU主频为 ≥2.1GHz</w:t>
            </w:r>
            <w:r>
              <w:rPr>
                <w:rFonts w:hint="eastAsia" w:ascii="宋体" w:hAnsi="宋体" w:eastAsia="宋体" w:cs="宋体"/>
                <w:color w:val="000000"/>
                <w:szCs w:val="21"/>
              </w:rPr>
              <w:br/>
            </w:r>
            <w:r>
              <w:rPr>
                <w:rFonts w:hint="eastAsia" w:ascii="宋体" w:hAnsi="宋体" w:eastAsia="宋体" w:cs="宋体"/>
                <w:color w:val="000000"/>
                <w:szCs w:val="21"/>
              </w:rPr>
              <w:t>系统物理缓存容量配置≥256GB，且任意控制器物理缓存容量≥128GB</w:t>
            </w:r>
            <w:r>
              <w:rPr>
                <w:rFonts w:hint="eastAsia" w:ascii="宋体" w:hAnsi="宋体" w:eastAsia="宋体" w:cs="宋体"/>
                <w:color w:val="000000"/>
                <w:szCs w:val="21"/>
              </w:rPr>
              <w:br/>
            </w:r>
            <w:r>
              <w:rPr>
                <w:rFonts w:hint="eastAsia" w:ascii="宋体" w:hAnsi="宋体" w:eastAsia="宋体" w:cs="宋体"/>
                <w:color w:val="000000"/>
                <w:szCs w:val="21"/>
              </w:rPr>
              <w:t>配置 ≥8*1Gbps Ethernet接口，≥8 *10Gbps Ethernet接口，≥8 *16Gbps FC接口，满配光模块</w:t>
            </w:r>
            <w:r>
              <w:rPr>
                <w:rFonts w:hint="eastAsia" w:ascii="宋体" w:hAnsi="宋体" w:eastAsia="宋体" w:cs="宋体"/>
                <w:color w:val="000000"/>
                <w:szCs w:val="21"/>
              </w:rPr>
              <w:br/>
            </w:r>
            <w:r>
              <w:rPr>
                <w:rFonts w:hint="eastAsia" w:ascii="宋体" w:hAnsi="宋体" w:eastAsia="宋体" w:cs="宋体"/>
                <w:color w:val="000000"/>
                <w:szCs w:val="21"/>
              </w:rPr>
              <w:t>配置后端磁盘通道带宽≥192Gbps</w:t>
            </w:r>
            <w:r>
              <w:rPr>
                <w:rFonts w:hint="eastAsia" w:ascii="宋体" w:hAnsi="宋体" w:eastAsia="宋体" w:cs="宋体"/>
                <w:color w:val="000000"/>
                <w:szCs w:val="21"/>
              </w:rPr>
              <w:br/>
            </w:r>
            <w:r>
              <w:rPr>
                <w:rFonts w:hint="eastAsia" w:ascii="宋体" w:hAnsi="宋体" w:eastAsia="宋体" w:cs="宋体"/>
                <w:color w:val="000000"/>
                <w:szCs w:val="21"/>
              </w:rPr>
              <w:t>配置≥8个3.84TB企业级 SSD硬盘，配置≥16个2.4TB 10K SAS硬盘</w:t>
            </w:r>
            <w:r>
              <w:rPr>
                <w:rFonts w:hint="eastAsia" w:ascii="宋体" w:hAnsi="宋体" w:eastAsia="宋体" w:cs="宋体"/>
                <w:color w:val="000000"/>
                <w:szCs w:val="21"/>
              </w:rPr>
              <w:br/>
            </w:r>
            <w:r>
              <w:rPr>
                <w:rFonts w:hint="eastAsia" w:ascii="宋体" w:hAnsi="宋体" w:eastAsia="宋体" w:cs="宋体"/>
                <w:color w:val="000000"/>
                <w:szCs w:val="21"/>
              </w:rPr>
              <w:t>提供RAID5、RAID6和容忍三盘失效</w:t>
            </w:r>
            <w:r>
              <w:rPr>
                <w:rFonts w:hint="eastAsia" w:ascii="宋体" w:hAnsi="宋体" w:eastAsia="宋体" w:cs="宋体"/>
                <w:color w:val="000000"/>
                <w:szCs w:val="21"/>
              </w:rPr>
              <w:br/>
            </w:r>
            <w:r>
              <w:rPr>
                <w:rFonts w:hint="eastAsia" w:ascii="宋体" w:hAnsi="宋体" w:eastAsia="宋体" w:cs="宋体"/>
                <w:color w:val="000000"/>
                <w:szCs w:val="21"/>
              </w:rPr>
              <w:t>配置精简磁盘、快照、持续数据保护、QoS、数据销毁、克隆、复制、多租户、双活、智能数据迁移、异构虚拟化功能授权</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　</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光纤交换机</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32Gbps FC交换机，支持≥64个FC端口数，配置≥24端口激活，≥24*16Gb多模光模块</w:t>
            </w:r>
            <w:r>
              <w:rPr>
                <w:rFonts w:hint="eastAsia" w:ascii="宋体" w:hAnsi="宋体" w:eastAsia="宋体" w:cs="宋体"/>
                <w:color w:val="000000"/>
                <w:szCs w:val="21"/>
              </w:rPr>
              <w:br/>
            </w:r>
            <w:r>
              <w:rPr>
                <w:rFonts w:hint="eastAsia" w:ascii="宋体" w:hAnsi="宋体" w:eastAsia="宋体" w:cs="宋体"/>
                <w:color w:val="000000"/>
                <w:szCs w:val="21"/>
              </w:rPr>
              <w:t>单机聚合带宽≥2T</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台　</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业务交换机</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48个万兆光口，6个100GE光口，双电源，5个万兆多模光模块，2个40GE多模光模块，1根40GE堆叠线缆</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台　</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10144" w:type="dxa"/>
            <w:gridSpan w:val="10"/>
            <w:tcBorders>
              <w:top w:val="single" w:color="auto" w:sz="4" w:space="0"/>
              <w:left w:val="single" w:color="auto" w:sz="4" w:space="0"/>
              <w:bottom w:val="single" w:color="auto" w:sz="4" w:space="0"/>
              <w:right w:val="single" w:color="000000"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三、模块化机房设备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IT机柜</w:t>
            </w:r>
          </w:p>
        </w:tc>
        <w:tc>
          <w:tcPr>
            <w:tcW w:w="3771" w:type="dxa"/>
            <w:tcBorders>
              <w:top w:val="nil"/>
              <w:left w:val="nil"/>
              <w:bottom w:val="single" w:color="auto" w:sz="4" w:space="0"/>
              <w:right w:val="single" w:color="auto" w:sz="4" w:space="0"/>
            </w:tcBorders>
            <w:vAlign w:val="center"/>
          </w:tcPr>
          <w:p>
            <w:pPr>
              <w:jc w:val="left"/>
              <w:rPr>
                <w:rFonts w:hint="eastAsia" w:ascii="宋体" w:hAnsi="宋体" w:eastAsia="宋体" w:cs="宋体"/>
                <w:color w:val="000000"/>
                <w:szCs w:val="21"/>
              </w:rPr>
            </w:pPr>
            <w:r>
              <w:rPr>
                <w:rFonts w:hint="eastAsia" w:ascii="宋体" w:hAnsi="宋体" w:eastAsia="宋体" w:cs="宋体"/>
                <w:color w:val="000000"/>
                <w:szCs w:val="21"/>
              </w:rPr>
              <w:t>1、尺寸：≥600mm(W)*1200mm(D)*2000mm(H) 42U，前后网孔门（前门单开，后门双开），无滚轮、不含侧板</w:t>
            </w:r>
            <w:r>
              <w:rPr>
                <w:rFonts w:hint="eastAsia" w:ascii="宋体" w:hAnsi="宋体" w:eastAsia="宋体" w:cs="宋体"/>
                <w:color w:val="000000"/>
                <w:szCs w:val="21"/>
              </w:rPr>
              <w:br/>
            </w:r>
            <w:r>
              <w:rPr>
                <w:rFonts w:hint="eastAsia" w:ascii="宋体" w:hAnsi="宋体" w:eastAsia="宋体" w:cs="宋体"/>
                <w:color w:val="000000"/>
                <w:szCs w:val="21"/>
              </w:rPr>
              <w:t>2、每台机柜需提供全密封底板*1pcs，束线圈*10pcs，1U假面板*20pcs，1U水平理线架*2pcs，轻载滑道*2pcs，1U固定托盘*1pcs，PDU*2pcs</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模块化精密配电柜机架</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模块化精密配电柜机架≤-600mm(W)*1200mm(D)*2000mm(H)-最大支持630A MCCB输入，需采用≥7寸液晶彩色触摸屏，含模块化精密配电柜双路机架附件、输入模块、输出模块、智能配电检测板模块、智能配电检测板模块、热磁脱扣器等</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微模块控制器</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1、支持短信功能-双路电源</w:t>
            </w:r>
            <w:r>
              <w:rPr>
                <w:rFonts w:hint="eastAsia" w:ascii="宋体" w:hAnsi="宋体" w:eastAsia="宋体" w:cs="宋体"/>
                <w:color w:val="000000"/>
                <w:szCs w:val="21"/>
              </w:rPr>
              <w:br/>
            </w:r>
            <w:r>
              <w:rPr>
                <w:rFonts w:hint="eastAsia" w:ascii="宋体" w:hAnsi="宋体" w:eastAsia="宋体" w:cs="宋体"/>
                <w:color w:val="000000"/>
                <w:szCs w:val="21"/>
              </w:rPr>
              <w:t>2、电源输入：200V～240V AC、50/60Hz；通讯接口：支持RS485、AI/DI、DO接口，带DC 12V输出；可外接扩展模块增加RS485、AI/DI接口</w:t>
            </w:r>
            <w:r>
              <w:rPr>
                <w:rFonts w:hint="eastAsia" w:ascii="宋体" w:hAnsi="宋体" w:eastAsia="宋体" w:cs="宋体"/>
                <w:color w:val="000000"/>
                <w:szCs w:val="21"/>
              </w:rPr>
              <w:br/>
            </w:r>
            <w:r>
              <w:rPr>
                <w:rFonts w:hint="eastAsia" w:ascii="宋体" w:hAnsi="宋体" w:eastAsia="宋体" w:cs="宋体"/>
                <w:color w:val="000000"/>
                <w:szCs w:val="21"/>
              </w:rPr>
              <w:t>3、可支持web远程浏览</w:t>
            </w:r>
            <w:r>
              <w:rPr>
                <w:rFonts w:hint="eastAsia" w:ascii="宋体" w:hAnsi="宋体" w:eastAsia="宋体" w:cs="宋体"/>
                <w:color w:val="000000"/>
                <w:szCs w:val="21"/>
              </w:rPr>
              <w:br/>
            </w:r>
            <w:r>
              <w:rPr>
                <w:rFonts w:hint="eastAsia" w:ascii="宋体" w:hAnsi="宋体" w:eastAsia="宋体" w:cs="宋体"/>
                <w:color w:val="000000"/>
                <w:szCs w:val="21"/>
              </w:rPr>
              <w:t>4、需提供CE证书、RoHS报告</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微模块内部监控组件</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含天窗磁力锁、天窗执行器、门禁系统、传感器、漏水检测系统等</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709"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冷通道结构成套件</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冷通道组装件、含通道天窗、600mm宽顶框、集成线槽、机柜下封板、机柜顶部围板、照明系统等</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709"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信号线缆</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冷通道成套信号线缆</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709"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电力电缆</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电力电缆、接地、PDU与精密列头柜间连接</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8"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行间空调</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1、总冷量≥45kW，显冷量≥45kW，显热比：1，风量≥9000 m3/h，加湿量≥3kg/h，加热量≥6kW</w:t>
            </w:r>
            <w:r>
              <w:rPr>
                <w:rFonts w:hint="eastAsia" w:ascii="宋体" w:hAnsi="宋体" w:eastAsia="宋体" w:cs="宋体"/>
                <w:color w:val="000000"/>
                <w:szCs w:val="21"/>
              </w:rPr>
              <w:br/>
            </w:r>
            <w:r>
              <w:rPr>
                <w:rFonts w:hint="eastAsia" w:ascii="宋体" w:hAnsi="宋体" w:eastAsia="宋体" w:cs="宋体"/>
                <w:color w:val="000000"/>
                <w:szCs w:val="21"/>
              </w:rPr>
              <w:t>2、应采用列间安装方式，采用水平送风方式，为保持美观度，空调室内机高度与深度应与机柜保持一致</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行间空调</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1、总冷量≥45kW，显冷量≥45kW，显热比：1，风量≥9000 m3/h，</w:t>
            </w:r>
            <w:r>
              <w:rPr>
                <w:rFonts w:hint="eastAsia" w:ascii="宋体" w:hAnsi="宋体" w:eastAsia="宋体" w:cs="宋体"/>
                <w:color w:val="000000"/>
                <w:szCs w:val="21"/>
              </w:rPr>
              <w:br/>
            </w:r>
            <w:r>
              <w:rPr>
                <w:rFonts w:hint="eastAsia" w:ascii="宋体" w:hAnsi="宋体" w:eastAsia="宋体" w:cs="宋体"/>
                <w:color w:val="000000"/>
                <w:szCs w:val="21"/>
              </w:rPr>
              <w:t>2、应采用列间安装方式，采用水平送风方式，为保持美观度，空调室内机高度与深度应与机柜保持一致</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709"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行间空调室外机</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行级空调-风冷-室外机</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709"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行级空调安装组件</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含空调铜管及保温、铜弯头、铜直接、丹弗斯单向阀、丹弗斯电磁阀、回油弯、反向弯、制冷剂、冷冻油、空调铜管桥架等</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709"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行级空调电力电缆</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空调内外机配套线缆</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2"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13</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UPS电源</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模块化UPS，可扩容至120KVA/120KW，三相四线制，380V，满含输入,输出和维修旁路开关)，上进线下进线可选，功率模30kVA，需背面靠墙摆放，上出风可选，全正面维护</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15</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蓄电池</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蓄电池, 阀控式密封铅酸蓄电池, 12V单体UPS专用电池，满足UPS满载后备30分钟需求</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16</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电池柜/架</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依据现场情况定制，含铜排/电缆等</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17</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机房总输入配电柜</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带数字显示仪表，带通讯接口，可接入机房管理系统，带防雷模块，主要元器件应采用施耐德/ABB/西门子</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4"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18</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机房动力配电柜</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带双电源切换开关、数字显示仪表，带通讯接口，可接入机房管理系统，带防雷模块，主要元器件应采用施耐德/ABB/西门子</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19</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电力电缆</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UPS电源输入输出，总配电柜至精密列头柜，蓄电池组到UPS电源等电力电缆</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20</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弱电布线</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网络头柜至对应IT设备机柜光纤及六类非屏蔽网线布线，至IT机柜24芯多模及12口电口</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配电机房制冷</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配电机房制冷系统</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22</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机房消防系统</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气体消防无管网系统、消防事故排烟</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atLeast"/>
          <w:jc w:val="center"/>
        </w:trPr>
        <w:tc>
          <w:tcPr>
            <w:tcW w:w="50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23</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动环监控系统</w:t>
            </w:r>
          </w:p>
        </w:tc>
        <w:tc>
          <w:tcPr>
            <w:tcW w:w="3771" w:type="dxa"/>
            <w:tcBorders>
              <w:top w:val="nil"/>
              <w:left w:val="nil"/>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监控机房温湿度，配电、视频、门禁、南向接入微模块动环等</w:t>
            </w:r>
          </w:p>
        </w:tc>
        <w:tc>
          <w:tcPr>
            <w:tcW w:w="47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套</w:t>
            </w:r>
          </w:p>
        </w:tc>
        <w:tc>
          <w:tcPr>
            <w:tcW w:w="70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6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85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　</w:t>
            </w:r>
          </w:p>
        </w:tc>
      </w:tr>
    </w:tbl>
    <w:p>
      <w:pPr>
        <w:widowControl/>
        <w:tabs>
          <w:tab w:val="left" w:pos="993"/>
        </w:tabs>
        <w:adjustRightInd w:val="0"/>
        <w:snapToGrid w:val="0"/>
        <w:spacing w:line="360" w:lineRule="auto"/>
        <w:jc w:val="left"/>
        <w:rPr>
          <w:rFonts w:hint="eastAsia" w:ascii="宋体" w:hAnsi="宋体" w:eastAsia="宋体" w:cs="宋体"/>
        </w:rPr>
      </w:pPr>
      <w:r>
        <w:rPr>
          <w:rFonts w:hint="eastAsia" w:ascii="宋体" w:hAnsi="宋体" w:eastAsia="宋体" w:cs="宋体"/>
        </w:rPr>
        <w:br w:type="page"/>
      </w:r>
      <w:r>
        <w:rPr>
          <w:rFonts w:hint="eastAsia" w:ascii="宋体" w:hAnsi="宋体" w:eastAsia="宋体" w:cs="宋体"/>
          <w:b/>
          <w:bCs/>
          <w:color w:val="000000"/>
        </w:rPr>
        <w:t>2、技术要求</w:t>
      </w:r>
    </w:p>
    <w:p>
      <w:pPr>
        <w:spacing w:line="360" w:lineRule="auto"/>
        <w:ind w:firstLine="420"/>
        <w:rPr>
          <w:rFonts w:hint="eastAsia" w:ascii="宋体" w:hAnsi="宋体" w:eastAsia="宋体" w:cs="宋体"/>
          <w:color w:val="000000"/>
        </w:rPr>
      </w:pPr>
      <w:r>
        <w:rPr>
          <w:rFonts w:hint="eastAsia" w:ascii="宋体" w:hAnsi="宋体" w:eastAsia="宋体" w:cs="宋体"/>
          <w:color w:val="000000"/>
          <w:lang w:val="zh-CN"/>
        </w:rPr>
        <w:t>本技术要求是武汉大学（以下简称招标方）向设备供应商（以下简称投标方）提出的AI平台建设要求，用以作为本次招标的技术方案和报价依据</w:t>
      </w:r>
      <w:r>
        <w:rPr>
          <w:rFonts w:hint="eastAsia" w:ascii="宋体" w:hAnsi="宋体" w:eastAsia="宋体" w:cs="宋体"/>
          <w:color w:val="000000"/>
        </w:rPr>
        <w:t>。本技术要求提出的是最低限度的技术要求，并未对所有技术细节及标准规范做出规定，投标方应保证供货设备是符合行业规范和工业标准的优质产品。如投标方使用的标准与招标方规定标准不一致，按照较高标准执行。</w:t>
      </w:r>
    </w:p>
    <w:p>
      <w:pPr>
        <w:spacing w:line="360" w:lineRule="auto"/>
        <w:ind w:firstLine="420"/>
        <w:rPr>
          <w:rFonts w:hint="eastAsia" w:ascii="宋体" w:hAnsi="宋体" w:eastAsia="宋体" w:cs="宋体"/>
          <w:color w:val="000000"/>
        </w:rPr>
      </w:pPr>
      <w:r>
        <w:rPr>
          <w:rFonts w:hint="eastAsia" w:ascii="宋体" w:hAnsi="宋体" w:eastAsia="宋体" w:cs="宋体"/>
          <w:color w:val="000000"/>
        </w:rPr>
        <w:t>投标方应对本技术要求中所列明的各项内容和要求逐项做出明确的响应。如投标产品的技术性能指标优于本技术要求所提出的要求，应在投标文件中做出明确说明，以便评标委员会在进行综合评审时做出对投标方有利的评估。</w:t>
      </w:r>
    </w:p>
    <w:p>
      <w:pPr>
        <w:spacing w:line="360" w:lineRule="auto"/>
        <w:ind w:firstLine="420"/>
        <w:rPr>
          <w:rFonts w:hint="eastAsia" w:ascii="宋体" w:hAnsi="宋体" w:eastAsia="宋体" w:cs="宋体"/>
          <w:color w:val="000000"/>
        </w:rPr>
      </w:pPr>
      <w:r>
        <w:rPr>
          <w:rFonts w:hint="eastAsia" w:ascii="宋体" w:hAnsi="宋体" w:eastAsia="宋体" w:cs="宋体"/>
          <w:color w:val="000000"/>
        </w:rPr>
        <w:t>对</w:t>
      </w:r>
      <w:r>
        <w:rPr>
          <w:rFonts w:hint="eastAsia" w:ascii="宋体" w:hAnsi="宋体" w:eastAsia="宋体" w:cs="宋体"/>
          <w:color w:val="000000"/>
          <w:lang w:val="zh-CN"/>
        </w:rPr>
        <w:t>本技术要求</w:t>
      </w:r>
      <w:r>
        <w:rPr>
          <w:rFonts w:hint="eastAsia" w:ascii="宋体" w:hAnsi="宋体" w:eastAsia="宋体" w:cs="宋体"/>
          <w:color w:val="000000"/>
        </w:rPr>
        <w:t>提供具体数据的技术指标，投标方应提供具体技术数据和指标，并要给出数据的来源。对于本技术要求的关键数据或性能，投标方应以纸质附件形式提供投标设备的检测报告或检测证明材料。</w:t>
      </w:r>
    </w:p>
    <w:p>
      <w:pPr>
        <w:spacing w:line="360" w:lineRule="auto"/>
        <w:ind w:firstLine="420"/>
        <w:rPr>
          <w:rFonts w:hint="eastAsia" w:ascii="宋体" w:hAnsi="宋体" w:eastAsia="宋体" w:cs="宋体"/>
          <w:color w:val="000000"/>
        </w:rPr>
      </w:pPr>
      <w:r>
        <w:rPr>
          <w:rFonts w:hint="eastAsia" w:ascii="宋体" w:hAnsi="宋体" w:eastAsia="宋体" w:cs="宋体"/>
          <w:color w:val="000000"/>
        </w:rPr>
        <w:t>投标方在本项目的参与过程中，对于招标方披露和提供的所有信息应作为商业秘密对待并予以保护，未经招标方授权不得将任何信息泄漏给第三方，否则招标方有权追究投标方的责任。</w:t>
      </w:r>
    </w:p>
    <w:p>
      <w:pPr>
        <w:spacing w:line="360" w:lineRule="auto"/>
        <w:ind w:firstLine="420"/>
        <w:rPr>
          <w:rFonts w:hint="eastAsia" w:ascii="宋体" w:hAnsi="宋体" w:eastAsia="宋体" w:cs="宋体"/>
          <w:color w:val="000000"/>
          <w:szCs w:val="21"/>
        </w:rPr>
      </w:pPr>
      <w:r>
        <w:rPr>
          <w:rFonts w:hint="eastAsia" w:ascii="宋体" w:hAnsi="宋体" w:eastAsia="宋体" w:cs="宋体"/>
          <w:color w:val="000000"/>
        </w:rPr>
        <w:t>投标方需要对本项（2、技术要求）内容全部逐条响应。</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2.1、采购范围</w:t>
      </w:r>
    </w:p>
    <w:p>
      <w:pPr>
        <w:pStyle w:val="45"/>
        <w:widowControl/>
        <w:numPr>
          <w:ilvl w:val="0"/>
          <w:numId w:val="48"/>
        </w:numPr>
        <w:adjustRightInd w:val="0"/>
        <w:snapToGrid w:val="0"/>
        <w:spacing w:after="200" w:line="360" w:lineRule="auto"/>
        <w:ind w:left="993" w:firstLineChars="0"/>
        <w:jc w:val="left"/>
        <w:rPr>
          <w:rFonts w:hint="eastAsia" w:ascii="宋体" w:hAnsi="宋体" w:eastAsia="宋体" w:cs="宋体"/>
          <w:color w:val="000000"/>
          <w:szCs w:val="21"/>
        </w:rPr>
      </w:pPr>
      <w:r>
        <w:rPr>
          <w:rFonts w:hint="eastAsia" w:ascii="宋体" w:hAnsi="宋体" w:eastAsia="宋体" w:cs="宋体"/>
          <w:color w:val="000000"/>
          <w:szCs w:val="21"/>
        </w:rPr>
        <w:t>软件系统</w:t>
      </w:r>
    </w:p>
    <w:p>
      <w:pPr>
        <w:pStyle w:val="45"/>
        <w:widowControl/>
        <w:numPr>
          <w:ilvl w:val="0"/>
          <w:numId w:val="48"/>
        </w:numPr>
        <w:adjustRightInd w:val="0"/>
        <w:snapToGrid w:val="0"/>
        <w:spacing w:after="200" w:line="360" w:lineRule="auto"/>
        <w:ind w:left="993" w:firstLineChars="0"/>
        <w:jc w:val="left"/>
        <w:rPr>
          <w:rFonts w:hint="eastAsia" w:ascii="宋体" w:hAnsi="宋体" w:eastAsia="宋体" w:cs="宋体"/>
          <w:color w:val="000000"/>
          <w:szCs w:val="21"/>
        </w:rPr>
      </w:pPr>
      <w:r>
        <w:rPr>
          <w:rFonts w:hint="eastAsia" w:ascii="宋体" w:hAnsi="宋体" w:eastAsia="宋体" w:cs="宋体"/>
          <w:color w:val="000000"/>
          <w:szCs w:val="21"/>
        </w:rPr>
        <w:t>IT硬件设备</w:t>
      </w:r>
    </w:p>
    <w:p>
      <w:pPr>
        <w:pStyle w:val="45"/>
        <w:widowControl/>
        <w:numPr>
          <w:ilvl w:val="0"/>
          <w:numId w:val="48"/>
        </w:numPr>
        <w:adjustRightInd w:val="0"/>
        <w:snapToGrid w:val="0"/>
        <w:spacing w:after="200" w:line="360" w:lineRule="auto"/>
        <w:ind w:left="993" w:firstLineChars="0"/>
        <w:jc w:val="left"/>
        <w:rPr>
          <w:rFonts w:hint="eastAsia" w:ascii="宋体" w:hAnsi="宋体" w:eastAsia="宋体" w:cs="宋体"/>
          <w:color w:val="000000"/>
          <w:szCs w:val="21"/>
        </w:rPr>
      </w:pPr>
      <w:r>
        <w:rPr>
          <w:rFonts w:hint="eastAsia" w:ascii="宋体" w:hAnsi="宋体" w:eastAsia="宋体" w:cs="宋体"/>
          <w:color w:val="000000"/>
          <w:szCs w:val="21"/>
        </w:rPr>
        <w:t>模块化机房</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2.2、总体采购要求</w:t>
      </w:r>
    </w:p>
    <w:p>
      <w:pPr>
        <w:widowControl/>
        <w:adjustRightInd w:val="0"/>
        <w:snapToGrid w:val="0"/>
        <w:spacing w:after="200" w:line="360" w:lineRule="auto"/>
        <w:ind w:left="714"/>
        <w:jc w:val="left"/>
        <w:rPr>
          <w:rFonts w:hint="eastAsia" w:ascii="宋体" w:hAnsi="宋体" w:eastAsia="宋体" w:cs="宋体"/>
          <w:color w:val="000000"/>
          <w:lang w:val="zh-CN"/>
        </w:rPr>
      </w:pPr>
      <w:r>
        <w:rPr>
          <w:rFonts w:hint="eastAsia" w:ascii="宋体" w:hAnsi="宋体" w:eastAsia="宋体" w:cs="宋体"/>
          <w:color w:val="000000"/>
        </w:rPr>
        <w:t>2.2.1、</w:t>
      </w:r>
      <w:r>
        <w:rPr>
          <w:rFonts w:hint="eastAsia" w:ascii="宋体" w:hAnsi="宋体" w:eastAsia="宋体" w:cs="宋体"/>
        </w:rPr>
        <w:t>AI平台高度集成，架构兼容，</w:t>
      </w:r>
      <w:r>
        <w:rPr>
          <w:rFonts w:hint="eastAsia" w:ascii="宋体" w:hAnsi="宋体" w:eastAsia="宋体" w:cs="宋体"/>
          <w:color w:val="000000"/>
          <w:lang w:val="zh-CN"/>
        </w:rPr>
        <w:t>并为后续扩容预留空间。</w:t>
      </w:r>
    </w:p>
    <w:p>
      <w:pPr>
        <w:pStyle w:val="45"/>
        <w:widowControl/>
        <w:adjustRightInd w:val="0"/>
        <w:snapToGrid w:val="0"/>
        <w:spacing w:after="200" w:line="360" w:lineRule="auto"/>
        <w:ind w:left="714" w:firstLine="0" w:firstLineChars="0"/>
        <w:jc w:val="left"/>
        <w:rPr>
          <w:rFonts w:hint="eastAsia" w:ascii="宋体" w:hAnsi="宋体" w:eastAsia="宋体" w:cs="宋体"/>
          <w:color w:val="000000"/>
          <w:lang w:val="zh-CN"/>
        </w:rPr>
      </w:pPr>
      <w:r>
        <w:rPr>
          <w:rFonts w:hint="eastAsia" w:ascii="宋体" w:hAnsi="宋体" w:eastAsia="宋体" w:cs="宋体"/>
          <w:color w:val="000000"/>
        </w:rPr>
        <w:t>2.2.2、</w:t>
      </w:r>
      <w:r>
        <w:rPr>
          <w:rFonts w:hint="eastAsia" w:ascii="宋体" w:hAnsi="宋体" w:eastAsia="宋体" w:cs="宋体"/>
          <w:lang w:val="zh-CN"/>
        </w:rPr>
        <w:t>▲</w:t>
      </w:r>
      <w:r>
        <w:rPr>
          <w:rFonts w:hint="eastAsia" w:ascii="宋体" w:hAnsi="宋体" w:eastAsia="宋体" w:cs="宋体"/>
          <w:color w:val="000000"/>
          <w:lang w:val="zh-CN"/>
        </w:rPr>
        <w:t>因药学人才培养的教学和科研训练需求，本项目需采购小分子药物设计软件、FEP软件一需要为薛定谔产品。</w:t>
      </w:r>
    </w:p>
    <w:p>
      <w:pPr>
        <w:pStyle w:val="45"/>
        <w:widowControl/>
        <w:adjustRightInd w:val="0"/>
        <w:snapToGrid w:val="0"/>
        <w:spacing w:after="200" w:line="360" w:lineRule="auto"/>
        <w:ind w:left="714" w:firstLine="0" w:firstLineChars="0"/>
        <w:jc w:val="left"/>
        <w:rPr>
          <w:rFonts w:hint="eastAsia" w:ascii="宋体" w:hAnsi="宋体" w:eastAsia="宋体" w:cs="宋体"/>
          <w:color w:val="000000"/>
        </w:rPr>
      </w:pPr>
      <w:r>
        <w:rPr>
          <w:rFonts w:hint="eastAsia" w:ascii="宋体" w:hAnsi="宋体" w:eastAsia="宋体" w:cs="宋体"/>
          <w:color w:val="000000"/>
        </w:rPr>
        <w:t>2.2.3、</w:t>
      </w:r>
      <w:r>
        <w:rPr>
          <w:rFonts w:hint="eastAsia" w:ascii="宋体" w:hAnsi="宋体" w:eastAsia="宋体" w:cs="宋体"/>
          <w:lang w:val="zh-CN"/>
        </w:rPr>
        <w:t>▲</w:t>
      </w:r>
      <w:r>
        <w:rPr>
          <w:rFonts w:hint="eastAsia" w:ascii="宋体" w:hAnsi="宋体" w:eastAsia="宋体" w:cs="宋体"/>
          <w:color w:val="000000"/>
        </w:rPr>
        <w:t>保证一致性和整体交付质量，冷通道系统、行级精密空调、精密配电柜、微模块监控系统等核心部件要求使用同一品牌。</w:t>
      </w:r>
    </w:p>
    <w:p>
      <w:pPr>
        <w:pStyle w:val="45"/>
        <w:widowControl/>
        <w:adjustRightInd w:val="0"/>
        <w:snapToGrid w:val="0"/>
        <w:spacing w:after="200" w:line="360" w:lineRule="auto"/>
        <w:ind w:left="714" w:firstLine="0" w:firstLineChars="0"/>
        <w:jc w:val="left"/>
        <w:rPr>
          <w:rFonts w:hint="eastAsia" w:ascii="宋体" w:hAnsi="宋体" w:eastAsia="宋体" w:cs="宋体"/>
          <w:color w:val="000000"/>
          <w:lang w:val="zh-CN"/>
        </w:rPr>
      </w:pPr>
      <w:r>
        <w:rPr>
          <w:rFonts w:hint="eastAsia" w:ascii="宋体" w:hAnsi="宋体" w:eastAsia="宋体" w:cs="宋体"/>
          <w:color w:val="000000"/>
        </w:rPr>
        <w:t>2.2.4、</w:t>
      </w:r>
      <w:r>
        <w:rPr>
          <w:rFonts w:hint="eastAsia" w:ascii="宋体" w:hAnsi="宋体" w:eastAsia="宋体" w:cs="宋体"/>
          <w:color w:val="000000"/>
          <w:lang w:val="zh-CN"/>
        </w:rPr>
        <w:t>全部设备软件的生产、安装及安全防护必须满足国家及地方现行的规范和标准。</w:t>
      </w:r>
    </w:p>
    <w:p>
      <w:pPr>
        <w:pStyle w:val="45"/>
        <w:widowControl/>
        <w:adjustRightInd w:val="0"/>
        <w:snapToGrid w:val="0"/>
        <w:spacing w:after="200" w:line="360" w:lineRule="auto"/>
        <w:ind w:left="714" w:firstLine="0" w:firstLineChars="0"/>
        <w:jc w:val="left"/>
        <w:rPr>
          <w:rFonts w:hint="eastAsia" w:ascii="宋体" w:hAnsi="宋体" w:eastAsia="宋体" w:cs="宋体"/>
          <w:color w:val="000000"/>
        </w:rPr>
      </w:pPr>
      <w:r>
        <w:rPr>
          <w:rFonts w:hint="eastAsia" w:ascii="宋体" w:hAnsi="宋体" w:eastAsia="宋体" w:cs="宋体"/>
          <w:color w:val="000000"/>
        </w:rPr>
        <w:t>2.2.5、</w:t>
      </w:r>
      <w:r>
        <w:rPr>
          <w:rFonts w:hint="eastAsia" w:ascii="宋体" w:hAnsi="宋体" w:eastAsia="宋体" w:cs="宋体"/>
          <w:lang w:val="zh-CN"/>
        </w:rPr>
        <w:t>▲</w:t>
      </w:r>
      <w:r>
        <w:rPr>
          <w:rFonts w:hint="eastAsia" w:ascii="宋体" w:hAnsi="宋体" w:eastAsia="宋体" w:cs="宋体"/>
          <w:color w:val="000000"/>
          <w:lang w:val="zh-CN"/>
        </w:rPr>
        <w:t>薛定谔软件、</w:t>
      </w:r>
      <w:r>
        <w:rPr>
          <w:rFonts w:hint="eastAsia" w:ascii="宋体" w:hAnsi="宋体" w:eastAsia="宋体" w:cs="宋体"/>
          <w:color w:val="000000"/>
        </w:rPr>
        <w:t>存储、光纤交换机、业务交换机、机柜、冷通道系统、行级精密空调、精密配电柜、微模块监控系统、机房管理系统等核心部件为保证交付设备为原厂正品，需提供原厂针对本项目的投标授权函。</w:t>
      </w:r>
    </w:p>
    <w:p>
      <w:pPr>
        <w:pStyle w:val="45"/>
        <w:widowControl/>
        <w:adjustRightInd w:val="0"/>
        <w:snapToGrid w:val="0"/>
        <w:spacing w:after="200" w:line="360" w:lineRule="auto"/>
        <w:ind w:left="714" w:firstLine="0" w:firstLineChars="0"/>
        <w:jc w:val="left"/>
        <w:rPr>
          <w:rFonts w:hint="eastAsia" w:ascii="宋体" w:hAnsi="宋体" w:eastAsia="宋体" w:cs="宋体"/>
          <w:color w:val="000000"/>
        </w:rPr>
      </w:pPr>
      <w:r>
        <w:rPr>
          <w:rFonts w:hint="eastAsia" w:ascii="宋体" w:hAnsi="宋体" w:eastAsia="宋体" w:cs="宋体"/>
          <w:color w:val="000000"/>
        </w:rPr>
        <w:t>2.2.6、为保证交付质量，本项目采购核心设备：存储、光纤交换机、业务交换机、机柜、冷通道系统、行级精密空调、精密配电柜、微模块监控系统、机房管理系统、等核心部件提供原厂交付，需提供证明材料。</w:t>
      </w:r>
    </w:p>
    <w:p>
      <w:pPr>
        <w:pStyle w:val="45"/>
        <w:widowControl/>
        <w:adjustRightInd w:val="0"/>
        <w:snapToGrid w:val="0"/>
        <w:spacing w:after="200" w:line="360" w:lineRule="auto"/>
        <w:ind w:left="714" w:firstLine="0" w:firstLineChars="0"/>
        <w:jc w:val="left"/>
        <w:rPr>
          <w:rFonts w:hint="eastAsia" w:ascii="宋体" w:hAnsi="宋体" w:eastAsia="宋体" w:cs="宋体"/>
          <w:color w:val="000000"/>
        </w:rPr>
      </w:pPr>
      <w:r>
        <w:rPr>
          <w:rFonts w:hint="eastAsia" w:ascii="宋体" w:hAnsi="宋体" w:eastAsia="宋体" w:cs="宋体"/>
          <w:color w:val="000000"/>
        </w:rPr>
        <w:t>2.2.7、模块化机房区域约为长10.8米，宽6.3米。</w:t>
      </w:r>
    </w:p>
    <w:p>
      <w:pPr>
        <w:pStyle w:val="45"/>
        <w:spacing w:after="200" w:line="360" w:lineRule="auto"/>
        <w:ind w:left="714" w:firstLine="0" w:firstLineChars="0"/>
        <w:rPr>
          <w:rFonts w:hint="eastAsia" w:ascii="宋体" w:hAnsi="宋体" w:eastAsia="宋体" w:cs="宋体"/>
          <w:color w:val="000000"/>
          <w:szCs w:val="21"/>
        </w:rPr>
      </w:pPr>
      <w:r>
        <w:rPr>
          <w:rFonts w:hint="eastAsia" w:ascii="宋体" w:hAnsi="宋体" w:eastAsia="宋体" w:cs="宋体"/>
          <w:color w:val="000000"/>
        </w:rPr>
        <w:t>2.3、</w:t>
      </w:r>
      <w:r>
        <w:rPr>
          <w:rFonts w:hint="eastAsia" w:ascii="宋体" w:hAnsi="宋体" w:eastAsia="宋体" w:cs="宋体"/>
          <w:color w:val="000000"/>
          <w:szCs w:val="21"/>
        </w:rPr>
        <w:t>采购设备技术参数要求</w:t>
      </w:r>
    </w:p>
    <w:p>
      <w:pPr>
        <w:widowControl/>
        <w:tabs>
          <w:tab w:val="left" w:pos="1560"/>
        </w:tabs>
        <w:snapToGrid w:val="0"/>
        <w:spacing w:before="280" w:after="290"/>
        <w:ind w:firstLine="630" w:firstLineChars="300"/>
        <w:jc w:val="left"/>
        <w:rPr>
          <w:rFonts w:hint="eastAsia" w:ascii="宋体" w:hAnsi="宋体" w:eastAsia="宋体" w:cs="宋体"/>
        </w:rPr>
      </w:pPr>
      <w:r>
        <w:rPr>
          <w:rFonts w:hint="eastAsia" w:ascii="宋体" w:hAnsi="宋体" w:eastAsia="宋体" w:cs="宋体"/>
        </w:rPr>
        <w:t>2.3.1、软件系统：</w:t>
      </w:r>
    </w:p>
    <w:p>
      <w:pPr>
        <w:tabs>
          <w:tab w:val="left" w:pos="1560"/>
        </w:tabs>
        <w:ind w:firstLine="630" w:firstLineChars="300"/>
        <w:rPr>
          <w:rFonts w:hint="eastAsia" w:ascii="宋体" w:hAnsi="宋体" w:eastAsia="宋体" w:cs="宋体"/>
        </w:rPr>
      </w:pPr>
      <w:r>
        <w:rPr>
          <w:rFonts w:hint="eastAsia" w:ascii="宋体" w:hAnsi="宋体" w:eastAsia="宋体" w:cs="宋体"/>
        </w:rPr>
        <w:t>2.3.1.1、薛定谔小分子药物设计软件</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000000"/>
          <w:szCs w:val="21"/>
        </w:rPr>
        <w:t>提供药物靶标结构模建功能，模建时序列比对需提供Blast和PSI-Blast两种方法，蛋白家族认证时使用HMMER/Pfam</w:t>
      </w:r>
      <w:r>
        <w:rPr>
          <w:rFonts w:hint="eastAsia" w:ascii="宋体" w:hAnsi="宋体" w:eastAsia="宋体" w:cs="宋体"/>
          <w:color w:val="auto"/>
          <w:szCs w:val="21"/>
        </w:rPr>
        <w:t>方法。软件在确定模版时可以考虑家族信息。靶标Loop区预测采用从头预测的方法，至少可预测14个氨基酸长度；</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lang w:val="zh-CN"/>
        </w:rPr>
        <w:t>▲</w:t>
      </w:r>
      <w:r>
        <w:rPr>
          <w:rFonts w:hint="eastAsia" w:ascii="宋体" w:hAnsi="宋体" w:eastAsia="宋体" w:cs="宋体"/>
          <w:color w:val="auto"/>
          <w:szCs w:val="21"/>
        </w:rPr>
        <w:t>动力学功能能在GPU上运行，并提供随机动力学和分子动力学两种优化方法。软件提供Amber，Amber94，MM2，MM3，MMFF，MMFFs，OPLS，OPLS_AA，OPLS4力场；</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提供以下算法评价靶标蛋白结构的合理区和不合理区：RamachandranPlot；PeptidePlanarity；StericClashes；BondLengthDeviations；BondAngleDeviations；BackboneDihedrals；SidechainDihedrals；G-factorSummary；AverageB-factors；GammaAtomB-factors；SidechainPlanarity；ImproperTorsions；C-alphaStereochemistry；MissingAtoms；</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对接模块，针对靶标结构可以实现高通量虚拟筛选，在虚拟筛选过程中，根据时间和精度的需要，软件提供三种对接模式：最快的模式可以2秒筛选一个配体；中等精度模式可30秒筛选一个配体；最高精度模式可5-10分钟筛选一个配体。软件在虚拟筛选时可以加入配体性质过滤器，过滤器可以是分子量、反应官能团、ADME性质等，将不符合条件的配体从库中排除。虚拟筛选时的限制条件可以加入药效团信息。对接时要求打分函数包含靶标活性位点疏水面的计算，既可以考虑熵的变化也考虑焓的变化。软件在虚拟筛选时能预测反应官能团而有效发现结果中的假阳性。</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软件在对接中可以考虑配体分子对靶标结构的诱导契合(induced-fit)模式，配体进入活性位点以后，软件采用全新预测的方式来预测配体存在的情况下活性位点的构象的改变，可以考虑两种构象改变：靶标活性位点相邻两个原子180度的几何翻转和靶标活性位点相邻两个氨基酸残基180度的几何翻转；</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软件提供工具构建配体分子，配体分子应包括有机化合物、肽、核酸或者多糖分子；</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软件提供共价对接功能；</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软件可以根据靶标配体的结构和活性生成药效团；</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★软件可以根据靶标配体的形状生成药效团，软件能够根据配体活性构象空间立体结构的形状生成药效团，可以利用形状药效团进行3D结构数据库筛选找到活性分子，并且该功能可以在GPU上运行；</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可以预测药物靶标配体的ADME性质预测，能够在对接过程中，对整个数据库，或者单个分子计算ADME性质。计算的ADME性质包含反应官能团（引起对接结果的假阳性和生物体内毒性问题）、药物针对中枢神经系统的活性、药物封闭HERG K+通道的IC50值、药物的血脑屏障及血脑屏障模型MDCK细胞的渗透性；药物的皮肤渗透性、可能的代谢反应的数量、药物和人的血清白蛋白的结合能力、口服药物的吸收性、药物从皮肤吸收到血液的最大渗透率等等；</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可以对药物靶标分子活性位点反应机理进行研究，提供QM/MM的方法研究靶标活性位点的反应机理，在反应机理研究中保证靶标结构的完整，并对靶标的活性位点采用QM方法，蛋白其他部分采用MM方法；</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★提供基于力场的QSAR模型计算功能；</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提供母核跃迁功能改造小分子化合物；</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★提供基于物理的被动膜渗透性的准确预测功能。</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auto"/>
          <w:szCs w:val="21"/>
        </w:rPr>
        <w:t>提供预</w:t>
      </w:r>
      <w:r>
        <w:rPr>
          <w:rFonts w:hint="eastAsia" w:ascii="宋体" w:hAnsi="宋体" w:eastAsia="宋体" w:cs="宋体"/>
          <w:color w:val="000000"/>
          <w:szCs w:val="21"/>
        </w:rPr>
        <w:t>测细胞色素P450的代谢位点的功能。</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提供X射线结构精修功能，将蛋白质的几何形状限制在OPLS-AA（用于研究蛋白质/配体系统的最准确且广泛使用的力场之一）中，并通过在精修过程中添加氢并充分考虑其存在来直接解决问题。</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软件基本操作界面（用户图形界面）可以同时打开50个界面；</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所有软件功能必须在统一图形操作界面下运行，要求提供5年的软件使用权限，并且包含5的软件升级。</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32tokens库，有效期5年含5年软件升级。</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AutoQSAR, Canvas, ConfGen, Core Hopping, Epik, Field-based QSAR,Glide, Jaguar, Jaguar pKa, LigPrep, MacroModel, Membrane Permeability,P450 SOM Prediction, Phase, Shape Screening CPU, Shape Screening GPU, Prime, PrimeX, QikProp, QSite, SiteMap。</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一个DESMOND GPU license，有效期5年含5年软件升级。</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一个OPLS license，有效期5年含5年软件升级。</w:t>
      </w:r>
    </w:p>
    <w:p>
      <w:pPr>
        <w:widowControl/>
        <w:numPr>
          <w:ilvl w:val="0"/>
          <w:numId w:val="49"/>
        </w:numPr>
        <w:adjustRightInd w:val="0"/>
        <w:snapToGrid w:val="0"/>
        <w:spacing w:after="200" w:line="360" w:lineRule="auto"/>
        <w:ind w:firstLine="420" w:firstLineChars="200"/>
        <w:jc w:val="left"/>
        <w:rPr>
          <w:rFonts w:hint="eastAsia" w:ascii="宋体" w:hAnsi="宋体" w:eastAsia="宋体" w:cs="宋体"/>
          <w:color w:val="000000"/>
          <w:sz w:val="24"/>
        </w:rPr>
      </w:pPr>
      <w:r>
        <w:rPr>
          <w:rFonts w:hint="eastAsia" w:ascii="宋体" w:hAnsi="宋体" w:eastAsia="宋体" w:cs="宋体"/>
          <w:color w:val="000000"/>
          <w:szCs w:val="21"/>
        </w:rPr>
        <w:t>50个Maestro 界面license，有效期5年含5年软件升级。</w:t>
      </w:r>
    </w:p>
    <w:p>
      <w:pPr>
        <w:tabs>
          <w:tab w:val="left" w:pos="1560"/>
        </w:tabs>
        <w:rPr>
          <w:rFonts w:hint="eastAsia" w:ascii="宋体" w:hAnsi="宋体" w:eastAsia="宋体" w:cs="宋体"/>
        </w:rPr>
      </w:pPr>
      <w:r>
        <w:rPr>
          <w:rFonts w:hint="eastAsia" w:ascii="宋体" w:hAnsi="宋体" w:eastAsia="宋体" w:cs="宋体"/>
          <w:color w:val="000000"/>
        </w:rPr>
        <w:t>2.3.1.2、</w:t>
      </w:r>
      <w:r>
        <w:rPr>
          <w:rFonts w:hint="eastAsia" w:ascii="宋体" w:hAnsi="宋体" w:eastAsia="宋体" w:cs="宋体"/>
        </w:rPr>
        <w:t>计算机辅助药物分子设计软件</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各种类型分子构建功能；</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多种分子构象搜索方法，并且可以针对饱和环进行构象搜索；</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分子力学计算，支持的多种力场，适用于小分子/大分子/复合物等多种情形的力场优化；</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分子动力学模拟多种积分方法；更有NAMD、AMBER第三方计算引擎的接口，并且可进行相对结合自由能计算；</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提供药效团建模功能，并且支持基于配体、基于复合物和基于受体的药效团建模；</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提供“蛋白-配体”相互作用指纹图谱分析；</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可以进行药效特征强度确认并发现强/弱相互作用，注释非标准相互作用（卤键和CH键供体）；</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支持蛋白晶体结构中水分子位置分析及预测功能；</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支持分子对接，包括蛋白-小分子共价对接、蛋白-蛋白对接，并可以提供第三方对接工具的接口拓展；</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基于结构的药物设计功能，可以进行交互式分子设计和优化，通过结合自由能、应力能以及各项物化参数，设计并选择具有高活性和生物利用度的分子；</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提供“基于结构的药物设计”的项目管理功能，可以管理SBDD项目中的结构、序列、表面图等众多和SBDD相关数据；</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基于片段的药物设计；</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提供SAR数据分析功能：包括MMP分析、R-Group分析、Free-Wilson分析等；</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蛋白同源模建，可采用多个模板融合建模、诱导契合建模，可进行多聚体建模；</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提供基于知识的方法或从头建模方法来进行loop建模；</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非天然氨基酸残基的模拟以及多肽设计；</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抗体分子建模功能；</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提供人源化抗体设计功能，可以依据三维结构分析对突变实验进行指导；</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提供蛋白结构分析功能，能够分析蛋白结构中的键长、键角、二面角等几何参数，以及内部残基相互作用分析；</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支持pH依赖的蛋白质属性计算和分析；</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提供蛋白质工程应用，包括蛋白质设计功能，蛋白质沉聚分析、翻译后修饰位点预测等；</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提供抗体成药性等多维属性预测工具；</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支持GPU加速；</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提供可视化客户端，以及3D 显示功能模块，用户可以通过普通显示器或投影仪观察分子结构以及相互作用；</w:t>
      </w:r>
    </w:p>
    <w:p>
      <w:pPr>
        <w:widowControl/>
        <w:numPr>
          <w:ilvl w:val="0"/>
          <w:numId w:val="50"/>
        </w:numPr>
        <w:tabs>
          <w:tab w:val="left" w:pos="1701"/>
        </w:tabs>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后台语言公开，可以用脚本语言进行模块的客户化定制和开发；跨平台支持Windows、Linux、Mac等主流平台与操作系统，并且支持Apple M1芯片。</w:t>
      </w:r>
    </w:p>
    <w:p>
      <w:pPr>
        <w:tabs>
          <w:tab w:val="left" w:pos="1701"/>
        </w:tabs>
        <w:spacing w:after="200" w:line="360" w:lineRule="auto"/>
        <w:rPr>
          <w:rFonts w:hint="eastAsia" w:ascii="宋体" w:hAnsi="宋体" w:eastAsia="宋体" w:cs="宋体"/>
          <w:color w:val="000000"/>
          <w:szCs w:val="21"/>
        </w:rPr>
      </w:pPr>
      <w:r>
        <w:rPr>
          <w:rFonts w:hint="eastAsia" w:ascii="宋体" w:hAnsi="宋体" w:eastAsia="宋体" w:cs="宋体"/>
          <w:color w:val="000000"/>
          <w:szCs w:val="21"/>
        </w:rPr>
        <w:t>2.3.1.3量子化学计算软件</w:t>
      </w:r>
    </w:p>
    <w:p>
      <w:pPr>
        <w:widowControl/>
        <w:numPr>
          <w:ilvl w:val="0"/>
          <w:numId w:val="51"/>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支持分子力学计算，包括Amber、Dreiding和UFF力场；</w:t>
      </w:r>
    </w:p>
    <w:p>
      <w:pPr>
        <w:widowControl/>
        <w:numPr>
          <w:ilvl w:val="0"/>
          <w:numId w:val="51"/>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支持半经验方法，包括CNDO/2、INDO、MINDO3、MNDO、AM1、PM3、PM3MM、PM6、PDD、最新发布的PM7，支持DFTB和DFTBA方法；</w:t>
      </w:r>
    </w:p>
    <w:p>
      <w:pPr>
        <w:widowControl/>
        <w:numPr>
          <w:ilvl w:val="0"/>
          <w:numId w:val="51"/>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支持量子化学从头算方法，包括HF、MP2、MP3、MP4(DQ)、MP4(SDQ)、MP4、MP5、CID、CISD、QCISD、QCISD(T)、CCD、CCSD、CCSD(T)、BD、BD(T)、CASSCF和RASSCF等方法；</w:t>
      </w:r>
    </w:p>
    <w:p>
      <w:pPr>
        <w:widowControl/>
        <w:numPr>
          <w:ilvl w:val="0"/>
          <w:numId w:val="51"/>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支持MP2等级的完备基组外推计算(Complete Basis Set MP2 Extrapolation)；EOMCC 耦合簇运动方程(EOM-CC)方法支持结构优化。</w:t>
      </w:r>
    </w:p>
    <w:p>
      <w:pPr>
        <w:widowControl/>
        <w:numPr>
          <w:ilvl w:val="0"/>
          <w:numId w:val="51"/>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支持纯密度泛函方法计算中使用基组的密度拟合技术；</w:t>
      </w:r>
    </w:p>
    <w:p>
      <w:pPr>
        <w:widowControl/>
        <w:numPr>
          <w:ilvl w:val="0"/>
          <w:numId w:val="51"/>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支持纯密度泛函方法计算中使用通用长程校正方案(LC)；</w:t>
      </w:r>
    </w:p>
    <w:p>
      <w:pPr>
        <w:widowControl/>
        <w:numPr>
          <w:ilvl w:val="0"/>
          <w:numId w:val="51"/>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支持杂化密度泛函方法，包括最近发布的M08 family, MN15, MN15L等泛函；</w:t>
      </w:r>
    </w:p>
    <w:p>
      <w:pPr>
        <w:widowControl/>
        <w:numPr>
          <w:ilvl w:val="0"/>
          <w:numId w:val="51"/>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支持双杂化密度泛函方法，包括最新发布的DSDPBEP86, PBE0DH及PBEQIDH；</w:t>
      </w:r>
    </w:p>
    <w:p>
      <w:pPr>
        <w:widowControl/>
        <w:numPr>
          <w:ilvl w:val="0"/>
          <w:numId w:val="51"/>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使用GTO类全电子基组进行运算，用户可自定义基组；</w:t>
      </w:r>
    </w:p>
    <w:p>
      <w:pPr>
        <w:widowControl/>
        <w:numPr>
          <w:ilvl w:val="0"/>
          <w:numId w:val="51"/>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默认情况下使用高效的Harris初始猜测；</w:t>
      </w:r>
    </w:p>
    <w:p>
      <w:pPr>
        <w:widowControl/>
        <w:numPr>
          <w:ilvl w:val="0"/>
          <w:numId w:val="51"/>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支持将分子内各个片段的初始猜测整合为对整个分子的初始猜测；</w:t>
      </w:r>
    </w:p>
    <w:p>
      <w:pPr>
        <w:widowControl/>
        <w:numPr>
          <w:ilvl w:val="0"/>
          <w:numId w:val="51"/>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支持ONIOM分层计算方法，能运行ONIOM频率计算和IRC分析；</w:t>
      </w:r>
    </w:p>
    <w:p>
      <w:pPr>
        <w:widowControl/>
        <w:numPr>
          <w:ilvl w:val="0"/>
          <w:numId w:val="51"/>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支持HF、DFT和ONIOM(MM:MO)等级下的BOMD和ADMP分子动力学计算；</w:t>
      </w:r>
    </w:p>
    <w:p>
      <w:pPr>
        <w:widowControl/>
        <w:numPr>
          <w:ilvl w:val="0"/>
          <w:numId w:val="51"/>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支持自洽反应场溶剂模型来模拟溶剂效应，可以对ONIOM计算使用溶剂模型；</w:t>
      </w:r>
    </w:p>
    <w:p>
      <w:pPr>
        <w:widowControl/>
        <w:numPr>
          <w:ilvl w:val="0"/>
          <w:numId w:val="51"/>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支持红外、拉曼、共振拉曼、核磁、振动圆二色等基态光谱的计算，VCD及ROA光谱支持非谐振计算；</w:t>
      </w:r>
    </w:p>
    <w:p>
      <w:pPr>
        <w:widowControl/>
        <w:numPr>
          <w:ilvl w:val="0"/>
          <w:numId w:val="51"/>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支持激发态的几何构型优化和频率分析，TD-DFT 激发态计算支持解析频率(frequencies, IR及Raman)、过渡态优化(TS)及内禀反应坐标计算(IRC)，包括考虑溶剂效应的情况；</w:t>
      </w:r>
    </w:p>
    <w:p>
      <w:pPr>
        <w:widowControl/>
        <w:numPr>
          <w:ilvl w:val="0"/>
          <w:numId w:val="51"/>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支持溶液中指定态的激发或者去激发计算，支持Adamo激发态电荷转移分析；</w:t>
      </w:r>
    </w:p>
    <w:p>
      <w:pPr>
        <w:widowControl/>
        <w:numPr>
          <w:ilvl w:val="0"/>
          <w:numId w:val="51"/>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支持电子振动光谱计算</w:t>
      </w:r>
    </w:p>
    <w:p>
      <w:pPr>
        <w:widowControl/>
        <w:numPr>
          <w:ilvl w:val="0"/>
          <w:numId w:val="51"/>
        </w:numPr>
        <w:adjustRightInd w:val="0"/>
        <w:snapToGrid w:val="0"/>
        <w:spacing w:after="200" w:line="360" w:lineRule="auto"/>
        <w:ind w:left="420" w:hanging="420"/>
        <w:jc w:val="left"/>
        <w:rPr>
          <w:rFonts w:hint="eastAsia" w:ascii="宋体" w:hAnsi="宋体" w:eastAsia="宋体" w:cs="宋体"/>
          <w:color w:val="auto"/>
          <w:szCs w:val="21"/>
        </w:rPr>
      </w:pPr>
      <w:r>
        <w:rPr>
          <w:rFonts w:hint="eastAsia" w:ascii="宋体" w:hAnsi="宋体" w:eastAsia="宋体" w:cs="宋体"/>
          <w:color w:val="000000"/>
          <w:szCs w:val="21"/>
        </w:rPr>
        <w:t>支持一</w:t>
      </w:r>
      <w:r>
        <w:rPr>
          <w:rFonts w:hint="eastAsia" w:ascii="宋体" w:hAnsi="宋体" w:eastAsia="宋体" w:cs="宋体"/>
          <w:color w:val="auto"/>
          <w:szCs w:val="21"/>
        </w:rPr>
        <w:t>维、二维和三维的周期边界条件计算，支持周期边界条件下的梯度计算；</w:t>
      </w:r>
    </w:p>
    <w:p>
      <w:pPr>
        <w:pStyle w:val="2"/>
        <w:widowControl/>
        <w:numPr>
          <w:ilvl w:val="0"/>
          <w:numId w:val="51"/>
        </w:numPr>
        <w:adjustRightInd w:val="0"/>
        <w:snapToGrid w:val="0"/>
        <w:spacing w:line="360" w:lineRule="auto"/>
        <w:ind w:left="420" w:hanging="420"/>
        <w:jc w:val="left"/>
        <w:rPr>
          <w:rFonts w:hint="eastAsia" w:ascii="宋体" w:hAnsi="宋体" w:eastAsia="宋体" w:cs="宋体"/>
          <w:color w:val="auto"/>
          <w:szCs w:val="21"/>
        </w:rPr>
      </w:pPr>
      <w:r>
        <w:rPr>
          <w:rFonts w:hint="eastAsia" w:ascii="宋体" w:hAnsi="宋体" w:eastAsia="宋体" w:cs="宋体"/>
          <w:color w:val="auto"/>
          <w:szCs w:val="21"/>
        </w:rPr>
        <w:t>支持量子化学组合方法如：Gn、CBS系列和W1系列方法</w:t>
      </w:r>
    </w:p>
    <w:p>
      <w:pPr>
        <w:tabs>
          <w:tab w:val="left" w:pos="1701"/>
        </w:tabs>
        <w:spacing w:after="200" w:line="360" w:lineRule="auto"/>
        <w:rPr>
          <w:rFonts w:hint="eastAsia" w:ascii="宋体" w:hAnsi="宋体" w:eastAsia="宋体" w:cs="宋体"/>
          <w:color w:val="auto"/>
          <w:szCs w:val="21"/>
        </w:rPr>
      </w:pPr>
      <w:r>
        <w:rPr>
          <w:rFonts w:hint="eastAsia" w:ascii="宋体" w:hAnsi="宋体" w:eastAsia="宋体" w:cs="宋体"/>
          <w:color w:val="auto"/>
          <w:szCs w:val="21"/>
        </w:rPr>
        <w:t>2.3.1.4、FEP软件一：薛定谔FEP软件</w:t>
      </w:r>
    </w:p>
    <w:p>
      <w:pPr>
        <w:widowControl/>
        <w:numPr>
          <w:ilvl w:val="0"/>
          <w:numId w:val="52"/>
        </w:numPr>
        <w:ind w:firstLine="420" w:firstLineChars="200"/>
        <w:rPr>
          <w:rFonts w:hint="eastAsia" w:ascii="宋体" w:hAnsi="宋体" w:eastAsia="宋体" w:cs="宋体"/>
          <w:color w:val="auto"/>
          <w:szCs w:val="21"/>
        </w:rPr>
      </w:pPr>
      <w:r>
        <w:rPr>
          <w:rFonts w:hint="eastAsia" w:ascii="宋体" w:hAnsi="宋体" w:eastAsia="宋体" w:cs="宋体"/>
          <w:color w:val="auto"/>
          <w:lang w:val="zh-CN"/>
        </w:rPr>
        <w:t>▲</w:t>
      </w:r>
      <w:r>
        <w:rPr>
          <w:rFonts w:hint="eastAsia" w:ascii="宋体" w:hAnsi="宋体" w:eastAsia="宋体" w:cs="宋体"/>
          <w:color w:val="auto"/>
          <w:szCs w:val="21"/>
        </w:rPr>
        <w:t>含有OPLS4力场。</w:t>
      </w:r>
    </w:p>
    <w:p>
      <w:pPr>
        <w:pStyle w:val="8"/>
        <w:widowControl/>
        <w:numPr>
          <w:ilvl w:val="0"/>
          <w:numId w:val="52"/>
        </w:numPr>
        <w:autoSpaceDE w:val="0"/>
        <w:autoSpaceDN w:val="0"/>
        <w:adjustRightInd w:val="0"/>
        <w:snapToGrid w:val="0"/>
        <w:spacing w:after="200"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图形用户界面，自动进行复杂计算。并带有功能全面的分析工具可视化和检查计算结果。</w:t>
      </w:r>
    </w:p>
    <w:p>
      <w:pPr>
        <w:pStyle w:val="8"/>
        <w:widowControl/>
        <w:numPr>
          <w:ilvl w:val="0"/>
          <w:numId w:val="52"/>
        </w:numPr>
        <w:autoSpaceDE w:val="0"/>
        <w:autoSpaceDN w:val="0"/>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auto"/>
          <w:szCs w:val="21"/>
        </w:rPr>
        <w:t>★支持REST2或其他增</w:t>
      </w:r>
      <w:r>
        <w:rPr>
          <w:rFonts w:hint="eastAsia" w:ascii="宋体" w:hAnsi="宋体" w:eastAsia="宋体" w:cs="宋体"/>
          <w:color w:val="000000"/>
          <w:szCs w:val="21"/>
        </w:rPr>
        <w:t>强采样方法。</w:t>
      </w:r>
    </w:p>
    <w:p>
      <w:pPr>
        <w:pStyle w:val="8"/>
        <w:widowControl/>
        <w:numPr>
          <w:ilvl w:val="0"/>
          <w:numId w:val="52"/>
        </w:numPr>
        <w:autoSpaceDE w:val="0"/>
        <w:autoSpaceDN w:val="0"/>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界面阐明转换网络，并通过识别可能需要注意的子计算以及提供单个模拟的误差估计，来促进对模拟结果的一致性和收敛性的分析。</w:t>
      </w:r>
    </w:p>
    <w:p>
      <w:pPr>
        <w:pStyle w:val="8"/>
        <w:widowControl/>
        <w:numPr>
          <w:ilvl w:val="0"/>
          <w:numId w:val="52"/>
        </w:numPr>
        <w:autoSpaceDE w:val="0"/>
        <w:autoSpaceDN w:val="0"/>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计算精度：至少有3篇发表于高水平期刊的论文表明该计算值与实验值 MAE( Mean Absolute Error)不高于 1 kcal/mol。</w:t>
      </w:r>
    </w:p>
    <w:p>
      <w:pPr>
        <w:pStyle w:val="8"/>
        <w:widowControl/>
        <w:numPr>
          <w:ilvl w:val="0"/>
          <w:numId w:val="52"/>
        </w:numPr>
        <w:autoSpaceDE w:val="0"/>
        <w:autoSpaceDN w:val="0"/>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shd w:val="clear" w:color="auto" w:fill="FFFFFF"/>
        </w:rPr>
        <w:t>可以自动用量子化学和深度学习方法计算立场参数并拟合到综合力场</w:t>
      </w:r>
    </w:p>
    <w:p>
      <w:pPr>
        <w:widowControl/>
        <w:numPr>
          <w:ilvl w:val="0"/>
          <w:numId w:val="52"/>
        </w:numPr>
        <w:shd w:val="clear" w:color="auto" w:fill="FFFFFF"/>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shd w:val="clear" w:color="auto" w:fill="FFFFFF"/>
        </w:rPr>
        <w:t>可以精确计算包含电荷变化的相对结合自由能，并且按照pKa和异构互变各种状态的比例对自由能进行修正。</w:t>
      </w:r>
    </w:p>
    <w:p>
      <w:pPr>
        <w:widowControl/>
        <w:numPr>
          <w:ilvl w:val="0"/>
          <w:numId w:val="52"/>
        </w:numPr>
        <w:adjustRightInd w:val="0"/>
        <w:snapToGrid w:val="0"/>
        <w:spacing w:after="200"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shd w:val="clear" w:color="auto" w:fill="FFFFFF"/>
        </w:rPr>
        <w:t>可以精确计算可逆共价抑制剂的相对结合自由能</w:t>
      </w:r>
    </w:p>
    <w:p>
      <w:pPr>
        <w:pStyle w:val="2"/>
        <w:widowControl/>
        <w:numPr>
          <w:ilvl w:val="0"/>
          <w:numId w:val="52"/>
        </w:numPr>
        <w:adjustRightInd w:val="0"/>
        <w:snapToGrid w:val="0"/>
        <w:spacing w:line="360" w:lineRule="auto"/>
        <w:ind w:firstLine="400" w:firstLineChars="200"/>
        <w:jc w:val="left"/>
        <w:rPr>
          <w:rFonts w:hint="eastAsia" w:ascii="宋体" w:hAnsi="宋体" w:eastAsia="宋体" w:cs="宋体"/>
          <w:color w:val="000000"/>
          <w:szCs w:val="21"/>
        </w:rPr>
      </w:pPr>
      <w:r>
        <w:rPr>
          <w:rFonts w:hint="eastAsia" w:ascii="宋体" w:hAnsi="宋体" w:eastAsia="宋体" w:cs="宋体"/>
          <w:color w:val="000000"/>
          <w:szCs w:val="21"/>
        </w:rPr>
        <w:t>4个FEP+ Floating Licenses，有效期一年含一年软件升级</w:t>
      </w:r>
    </w:p>
    <w:p>
      <w:pPr>
        <w:tabs>
          <w:tab w:val="left" w:pos="1701"/>
        </w:tabs>
        <w:spacing w:after="200" w:line="360" w:lineRule="auto"/>
        <w:rPr>
          <w:rFonts w:hint="eastAsia" w:ascii="宋体" w:hAnsi="宋体" w:eastAsia="宋体" w:cs="宋体"/>
          <w:color w:val="000000"/>
          <w:szCs w:val="21"/>
        </w:rPr>
      </w:pPr>
      <w:r>
        <w:rPr>
          <w:rFonts w:hint="eastAsia" w:ascii="宋体" w:hAnsi="宋体" w:eastAsia="宋体" w:cs="宋体"/>
          <w:color w:val="000000"/>
          <w:szCs w:val="21"/>
        </w:rPr>
        <w:t>2.3.1.5、FEP软件二</w:t>
      </w:r>
    </w:p>
    <w:p>
      <w:pPr>
        <w:spacing w:line="360" w:lineRule="auto"/>
        <w:ind w:firstLine="630" w:firstLineChars="300"/>
        <w:rPr>
          <w:rFonts w:hint="eastAsia" w:ascii="宋体" w:hAnsi="宋体" w:eastAsia="宋体" w:cs="宋体"/>
          <w:color w:val="000000"/>
        </w:rPr>
      </w:pPr>
      <w:r>
        <w:rPr>
          <w:rFonts w:hint="eastAsia" w:ascii="宋体" w:hAnsi="宋体" w:eastAsia="宋体" w:cs="宋体"/>
          <w:color w:val="000000"/>
          <w:szCs w:val="21"/>
        </w:rPr>
        <w:t xml:space="preserve">基于分子对接、深度学习，开展绝对自由能和相对自由能计算，计算误差不高于2 kcal/mol </w:t>
      </w:r>
    </w:p>
    <w:p>
      <w:pPr>
        <w:widowControl/>
        <w:numPr>
          <w:ilvl w:val="0"/>
          <w:numId w:val="53"/>
        </w:numPr>
        <w:adjustRightInd w:val="0"/>
        <w:snapToGrid w:val="0"/>
        <w:spacing w:after="200" w:line="360" w:lineRule="auto"/>
        <w:ind w:left="420" w:hanging="420"/>
        <w:jc w:val="left"/>
        <w:rPr>
          <w:rFonts w:hint="eastAsia" w:ascii="宋体" w:hAnsi="宋体" w:eastAsia="宋体" w:cs="宋体"/>
          <w:color w:val="000000"/>
        </w:rPr>
      </w:pPr>
      <w:r>
        <w:rPr>
          <w:rFonts w:hint="eastAsia" w:ascii="宋体" w:hAnsi="宋体" w:eastAsia="宋体" w:cs="宋体"/>
          <w:color w:val="000000"/>
        </w:rPr>
        <w:t>分子对接软件一套</w:t>
      </w:r>
    </w:p>
    <w:p>
      <w:pPr>
        <w:pStyle w:val="2"/>
        <w:widowControl/>
        <w:numPr>
          <w:ilvl w:val="0"/>
          <w:numId w:val="54"/>
        </w:numPr>
        <w:adjustRightInd w:val="0"/>
        <w:snapToGrid w:val="0"/>
        <w:spacing w:line="360" w:lineRule="auto"/>
        <w:ind w:left="1560"/>
        <w:jc w:val="left"/>
        <w:rPr>
          <w:rFonts w:hint="eastAsia" w:ascii="宋体" w:hAnsi="宋体" w:eastAsia="宋体" w:cs="宋体"/>
          <w:color w:val="000000"/>
          <w:szCs w:val="21"/>
        </w:rPr>
      </w:pPr>
      <w:r>
        <w:rPr>
          <w:rFonts w:hint="eastAsia" w:ascii="宋体" w:hAnsi="宋体" w:eastAsia="宋体" w:cs="宋体"/>
          <w:color w:val="000000"/>
          <w:szCs w:val="21"/>
        </w:rPr>
        <w:t>可以通过GUI界面接口和Autodock Tools配合使用，也可以在Windows的命令提示符程序或Linux或是 Mac的终端中执行程序</w:t>
      </w:r>
    </w:p>
    <w:p>
      <w:pPr>
        <w:pStyle w:val="2"/>
        <w:widowControl/>
        <w:numPr>
          <w:ilvl w:val="0"/>
          <w:numId w:val="54"/>
        </w:numPr>
        <w:adjustRightInd w:val="0"/>
        <w:snapToGrid w:val="0"/>
        <w:spacing w:line="360" w:lineRule="auto"/>
        <w:ind w:left="1560"/>
        <w:jc w:val="left"/>
        <w:rPr>
          <w:rFonts w:hint="eastAsia" w:ascii="宋体" w:hAnsi="宋体" w:eastAsia="宋体" w:cs="宋体"/>
          <w:color w:val="000000"/>
          <w:szCs w:val="21"/>
        </w:rPr>
      </w:pPr>
      <w:r>
        <w:rPr>
          <w:rFonts w:hint="eastAsia" w:ascii="宋体" w:hAnsi="宋体" w:eastAsia="宋体" w:cs="宋体"/>
          <w:color w:val="000000"/>
          <w:szCs w:val="21"/>
        </w:rPr>
        <w:t>提高了结合模式预测的平均准确度，通过使用打分函数加快了搜索速度，并且在处理约20个可旋转键的体系时仍然能提供重现性较好的对接结果</w:t>
      </w:r>
    </w:p>
    <w:p>
      <w:pPr>
        <w:pStyle w:val="2"/>
        <w:widowControl/>
        <w:numPr>
          <w:ilvl w:val="0"/>
          <w:numId w:val="53"/>
        </w:numPr>
        <w:adjustRightInd w:val="0"/>
        <w:snapToGrid w:val="0"/>
        <w:spacing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分子动力学模拟软件一套</w:t>
      </w:r>
    </w:p>
    <w:p>
      <w:pPr>
        <w:pStyle w:val="2"/>
        <w:widowControl/>
        <w:numPr>
          <w:ilvl w:val="0"/>
          <w:numId w:val="55"/>
        </w:numPr>
        <w:adjustRightInd w:val="0"/>
        <w:snapToGrid w:val="0"/>
        <w:spacing w:line="360" w:lineRule="auto"/>
        <w:ind w:left="1560"/>
        <w:jc w:val="left"/>
        <w:rPr>
          <w:rFonts w:hint="eastAsia" w:ascii="宋体" w:hAnsi="宋体" w:eastAsia="宋体" w:cs="宋体"/>
          <w:color w:val="000000"/>
          <w:szCs w:val="21"/>
        </w:rPr>
      </w:pPr>
      <w:r>
        <w:rPr>
          <w:rFonts w:hint="eastAsia" w:ascii="宋体" w:hAnsi="宋体" w:eastAsia="宋体" w:cs="宋体"/>
          <w:color w:val="000000"/>
          <w:szCs w:val="21"/>
        </w:rPr>
        <w:t>可以进行了大量的算法的优化，使其计算功能更强大。例如：在计算矩阵的逆时，算法的内循环会根据自身系统的特点自动选择由C语言或Fortran来编译。可以中对Altivec loops的计算，无论是在Linux还是MacOSX.系统上，它都要比其它软件快3-10倍，而且可以提高计算速度的同时也保证了计算精度。</w:t>
      </w:r>
    </w:p>
    <w:p>
      <w:pPr>
        <w:pStyle w:val="2"/>
        <w:widowControl/>
        <w:numPr>
          <w:ilvl w:val="0"/>
          <w:numId w:val="55"/>
        </w:numPr>
        <w:adjustRightInd w:val="0"/>
        <w:snapToGrid w:val="0"/>
        <w:spacing w:line="360" w:lineRule="auto"/>
        <w:ind w:left="1560"/>
        <w:jc w:val="left"/>
        <w:rPr>
          <w:rFonts w:hint="eastAsia" w:ascii="宋体" w:hAnsi="宋体" w:eastAsia="宋体" w:cs="宋体"/>
          <w:color w:val="000000"/>
          <w:szCs w:val="21"/>
        </w:rPr>
      </w:pPr>
      <w:r>
        <w:rPr>
          <w:rFonts w:hint="eastAsia" w:ascii="宋体" w:hAnsi="宋体" w:eastAsia="宋体" w:cs="宋体"/>
          <w:color w:val="000000"/>
          <w:szCs w:val="21"/>
        </w:rPr>
        <w:t>可以具有友好的用户界面，拓扑文件和参数文件都以文档的形式给出。在程序运行过程中，并不用输入脚本注释语言。所有的操作都是通过简单的命令行操作进行的。而且运行的过程是分步的，随时可以检查模拟的正确性和可行性，可以减少时间上的浪费。</w:t>
      </w:r>
    </w:p>
    <w:p>
      <w:pPr>
        <w:pStyle w:val="2"/>
        <w:widowControl/>
        <w:numPr>
          <w:ilvl w:val="0"/>
          <w:numId w:val="55"/>
        </w:numPr>
        <w:adjustRightInd w:val="0"/>
        <w:snapToGrid w:val="0"/>
        <w:spacing w:line="360" w:lineRule="auto"/>
        <w:ind w:left="1560"/>
        <w:jc w:val="left"/>
        <w:rPr>
          <w:rFonts w:hint="eastAsia" w:ascii="宋体" w:hAnsi="宋体" w:eastAsia="宋体" w:cs="宋体"/>
          <w:color w:val="000000"/>
          <w:szCs w:val="21"/>
        </w:rPr>
      </w:pPr>
      <w:r>
        <w:rPr>
          <w:rFonts w:hint="eastAsia" w:ascii="宋体" w:hAnsi="宋体" w:eastAsia="宋体" w:cs="宋体"/>
          <w:color w:val="000000"/>
          <w:szCs w:val="21"/>
        </w:rPr>
        <w:t>操作简单，功能丰富，而且对于初学者来说易于上手。而且可以通过详细的使用手册，用户可以得到更多的信息。</w:t>
      </w:r>
    </w:p>
    <w:p>
      <w:pPr>
        <w:pStyle w:val="2"/>
        <w:widowControl/>
        <w:numPr>
          <w:ilvl w:val="0"/>
          <w:numId w:val="55"/>
        </w:numPr>
        <w:adjustRightInd w:val="0"/>
        <w:snapToGrid w:val="0"/>
        <w:spacing w:line="360" w:lineRule="auto"/>
        <w:ind w:left="1560"/>
        <w:jc w:val="left"/>
        <w:rPr>
          <w:rFonts w:hint="eastAsia" w:ascii="宋体" w:hAnsi="宋体" w:eastAsia="宋体" w:cs="宋体"/>
          <w:color w:val="000000"/>
          <w:szCs w:val="21"/>
        </w:rPr>
      </w:pPr>
      <w:r>
        <w:rPr>
          <w:rFonts w:hint="eastAsia" w:ascii="宋体" w:hAnsi="宋体" w:eastAsia="宋体" w:cs="宋体"/>
          <w:color w:val="000000"/>
          <w:szCs w:val="21"/>
        </w:rPr>
        <w:t>在模拟运行的过程中，会不断报告用户程序的运算速度和进程。</w:t>
      </w:r>
    </w:p>
    <w:p>
      <w:pPr>
        <w:pStyle w:val="2"/>
        <w:widowControl/>
        <w:numPr>
          <w:ilvl w:val="0"/>
          <w:numId w:val="55"/>
        </w:numPr>
        <w:adjustRightInd w:val="0"/>
        <w:snapToGrid w:val="0"/>
        <w:spacing w:line="360" w:lineRule="auto"/>
        <w:ind w:left="1560"/>
        <w:jc w:val="left"/>
        <w:rPr>
          <w:rFonts w:hint="eastAsia" w:ascii="宋体" w:hAnsi="宋体" w:eastAsia="宋体" w:cs="宋体"/>
          <w:color w:val="000000"/>
          <w:szCs w:val="21"/>
        </w:rPr>
      </w:pPr>
      <w:r>
        <w:rPr>
          <w:rFonts w:hint="eastAsia" w:ascii="宋体" w:hAnsi="宋体" w:eastAsia="宋体" w:cs="宋体"/>
          <w:color w:val="000000"/>
          <w:szCs w:val="21"/>
        </w:rPr>
        <w:t>具有良好的兼容性。输入文件和输出的轨迹文件的格式都是独立于硬件的。</w:t>
      </w:r>
    </w:p>
    <w:p>
      <w:pPr>
        <w:pStyle w:val="2"/>
        <w:widowControl/>
        <w:numPr>
          <w:ilvl w:val="0"/>
          <w:numId w:val="55"/>
        </w:numPr>
        <w:adjustRightInd w:val="0"/>
        <w:snapToGrid w:val="0"/>
        <w:spacing w:line="360" w:lineRule="auto"/>
        <w:ind w:left="1560"/>
        <w:jc w:val="left"/>
        <w:rPr>
          <w:rFonts w:hint="eastAsia" w:ascii="宋体" w:hAnsi="宋体" w:eastAsia="宋体" w:cs="宋体"/>
          <w:color w:val="000000"/>
          <w:szCs w:val="21"/>
        </w:rPr>
      </w:pPr>
      <w:r>
        <w:rPr>
          <w:rFonts w:hint="eastAsia" w:ascii="宋体" w:hAnsi="宋体" w:eastAsia="宋体" w:cs="宋体"/>
          <w:color w:val="000000"/>
          <w:szCs w:val="21"/>
        </w:rPr>
        <w:t>能通过二进制文件来写入坐标，提供了一个压缩性很强的轨迹数据存储方法，压缩方式的精度可以由用户来选择。</w:t>
      </w:r>
    </w:p>
    <w:p>
      <w:pPr>
        <w:pStyle w:val="2"/>
        <w:widowControl/>
        <w:numPr>
          <w:ilvl w:val="0"/>
          <w:numId w:val="55"/>
        </w:numPr>
        <w:adjustRightInd w:val="0"/>
        <w:snapToGrid w:val="0"/>
        <w:spacing w:line="360" w:lineRule="auto"/>
        <w:ind w:left="1560"/>
        <w:jc w:val="left"/>
        <w:rPr>
          <w:rFonts w:hint="eastAsia" w:ascii="宋体" w:hAnsi="宋体" w:eastAsia="宋体" w:cs="宋体"/>
          <w:color w:val="000000"/>
          <w:szCs w:val="21"/>
        </w:rPr>
      </w:pPr>
      <w:r>
        <w:rPr>
          <w:rFonts w:hint="eastAsia" w:ascii="宋体" w:hAnsi="宋体" w:eastAsia="宋体" w:cs="宋体"/>
          <w:color w:val="000000"/>
          <w:szCs w:val="21"/>
        </w:rPr>
        <w:t>还为轨迹分析提供了大量的辅助工具，用户不必再为常规分析编写任何程序。还提供了轨迹的可视程序，而且许多可视化工具都可以显示。</w:t>
      </w:r>
    </w:p>
    <w:p>
      <w:pPr>
        <w:pStyle w:val="2"/>
        <w:widowControl/>
        <w:numPr>
          <w:ilvl w:val="0"/>
          <w:numId w:val="55"/>
        </w:numPr>
        <w:adjustRightInd w:val="0"/>
        <w:snapToGrid w:val="0"/>
        <w:spacing w:line="360" w:lineRule="auto"/>
        <w:ind w:left="1560"/>
        <w:jc w:val="left"/>
        <w:rPr>
          <w:rFonts w:hint="eastAsia" w:ascii="宋体" w:hAnsi="宋体" w:eastAsia="宋体" w:cs="宋体"/>
          <w:color w:val="000000"/>
          <w:szCs w:val="21"/>
        </w:rPr>
      </w:pPr>
      <w:r>
        <w:rPr>
          <w:rFonts w:hint="eastAsia" w:ascii="宋体" w:hAnsi="宋体" w:eastAsia="宋体" w:cs="宋体"/>
          <w:color w:val="000000"/>
          <w:szCs w:val="21"/>
        </w:rPr>
        <w:t>允许并行运算，使用标准的MPI通讯。</w:t>
      </w:r>
    </w:p>
    <w:p>
      <w:pPr>
        <w:pStyle w:val="2"/>
        <w:widowControl/>
        <w:numPr>
          <w:ilvl w:val="0"/>
          <w:numId w:val="55"/>
        </w:numPr>
        <w:adjustRightInd w:val="0"/>
        <w:snapToGrid w:val="0"/>
        <w:spacing w:line="360" w:lineRule="auto"/>
        <w:ind w:left="1560"/>
        <w:jc w:val="left"/>
        <w:rPr>
          <w:rFonts w:hint="eastAsia" w:ascii="宋体" w:hAnsi="宋体" w:eastAsia="宋体" w:cs="宋体"/>
          <w:color w:val="000000"/>
          <w:szCs w:val="21"/>
        </w:rPr>
      </w:pPr>
      <w:r>
        <w:rPr>
          <w:rFonts w:hint="eastAsia" w:ascii="宋体" w:hAnsi="宋体" w:eastAsia="宋体" w:cs="宋体"/>
          <w:color w:val="000000"/>
          <w:szCs w:val="21"/>
        </w:rPr>
        <w:t>程序包中包括各种常见的蛋白质和核酸的拓扑结构。包括20种标准的氨基酸以及其变异体，4种核苷和4种脱氧核苷，以及糖类和脂类。</w:t>
      </w:r>
    </w:p>
    <w:p>
      <w:pPr>
        <w:pStyle w:val="2"/>
        <w:widowControl/>
        <w:numPr>
          <w:ilvl w:val="0"/>
          <w:numId w:val="53"/>
        </w:numPr>
        <w:adjustRightInd w:val="0"/>
        <w:snapToGrid w:val="0"/>
        <w:spacing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 xml:space="preserve">分子动力学模拟软件 </w:t>
      </w:r>
    </w:p>
    <w:p>
      <w:pPr>
        <w:pStyle w:val="2"/>
        <w:ind w:firstLine="800" w:firstLineChars="400"/>
        <w:rPr>
          <w:rFonts w:hint="eastAsia" w:ascii="宋体" w:hAnsi="宋体" w:eastAsia="宋体" w:cs="宋体"/>
          <w:color w:val="000000"/>
          <w:szCs w:val="21"/>
        </w:rPr>
      </w:pPr>
      <w:r>
        <w:rPr>
          <w:rFonts w:hint="eastAsia" w:ascii="宋体" w:hAnsi="宋体" w:eastAsia="宋体" w:cs="宋体"/>
          <w:color w:val="000000"/>
          <w:szCs w:val="21"/>
        </w:rPr>
        <w:t>用于有机生物体系的常规平衡态分子动力学模拟，可采用显式溶剂模型和隐式溶剂模型。</w:t>
      </w:r>
    </w:p>
    <w:p>
      <w:pPr>
        <w:pStyle w:val="2"/>
        <w:rPr>
          <w:rFonts w:hint="eastAsia" w:ascii="宋体" w:hAnsi="宋体" w:eastAsia="宋体" w:cs="宋体"/>
          <w:color w:val="000000"/>
          <w:szCs w:val="21"/>
        </w:rPr>
      </w:pPr>
    </w:p>
    <w:p>
      <w:pPr>
        <w:widowControl/>
        <w:tabs>
          <w:tab w:val="left" w:pos="1560"/>
        </w:tabs>
        <w:snapToGrid w:val="0"/>
        <w:spacing w:before="280" w:after="290"/>
        <w:jc w:val="left"/>
        <w:rPr>
          <w:rFonts w:hint="eastAsia" w:ascii="宋体" w:hAnsi="宋体" w:eastAsia="宋体" w:cs="宋体"/>
        </w:rPr>
      </w:pPr>
      <w:r>
        <w:rPr>
          <w:rFonts w:hint="eastAsia" w:ascii="宋体" w:hAnsi="宋体" w:eastAsia="宋体" w:cs="宋体"/>
        </w:rPr>
        <w:t>2.3.2、IT硬件设备</w:t>
      </w:r>
    </w:p>
    <w:p>
      <w:pPr>
        <w:tabs>
          <w:tab w:val="left" w:pos="1560"/>
        </w:tabs>
        <w:rPr>
          <w:rFonts w:hint="eastAsia" w:ascii="宋体" w:hAnsi="宋体" w:eastAsia="宋体" w:cs="宋体"/>
        </w:rPr>
      </w:pPr>
      <w:r>
        <w:rPr>
          <w:rFonts w:hint="eastAsia" w:ascii="宋体" w:hAnsi="宋体" w:eastAsia="宋体" w:cs="宋体"/>
        </w:rPr>
        <w:t>2.3.2.1CPU服务器</w:t>
      </w:r>
    </w:p>
    <w:p>
      <w:pPr>
        <w:widowControl/>
        <w:numPr>
          <w:ilvl w:val="0"/>
          <w:numId w:val="56"/>
        </w:numPr>
        <w:adjustRightInd w:val="0"/>
        <w:snapToGrid w:val="0"/>
        <w:spacing w:after="200" w:line="360" w:lineRule="auto"/>
        <w:jc w:val="left"/>
        <w:rPr>
          <w:rFonts w:hint="eastAsia" w:ascii="宋体" w:hAnsi="宋体" w:eastAsia="宋体" w:cs="宋体"/>
          <w:color w:val="000000"/>
          <w:szCs w:val="21"/>
        </w:rPr>
      </w:pPr>
      <w:r>
        <w:rPr>
          <w:rFonts w:hint="eastAsia" w:ascii="宋体" w:hAnsi="宋体" w:eastAsia="宋体" w:cs="宋体"/>
          <w:color w:val="000000"/>
          <w:szCs w:val="21"/>
        </w:rPr>
        <w:t>四路机架服务器</w:t>
      </w:r>
    </w:p>
    <w:p>
      <w:pPr>
        <w:widowControl/>
        <w:numPr>
          <w:ilvl w:val="0"/>
          <w:numId w:val="56"/>
        </w:numPr>
        <w:adjustRightInd w:val="0"/>
        <w:snapToGrid w:val="0"/>
        <w:spacing w:after="200" w:line="360" w:lineRule="auto"/>
        <w:jc w:val="left"/>
        <w:rPr>
          <w:rFonts w:hint="eastAsia"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处理器：配置不低于英特尔第三代至强金牌CPU,服务器总核心数大于216核，总节点数不超过3个，且单颗CPU技术参数满足以下要求：基本主频≥2.2GHz；核心数量≥18核；缓存≥24MB。</w:t>
      </w:r>
    </w:p>
    <w:p>
      <w:pPr>
        <w:pStyle w:val="43"/>
        <w:numPr>
          <w:ilvl w:val="0"/>
          <w:numId w:val="56"/>
        </w:numPr>
        <w:adjustRightInd w:val="0"/>
        <w:snapToGrid w:val="0"/>
        <w:spacing w:after="200"/>
        <w:jc w:val="left"/>
        <w:rPr>
          <w:rFonts w:hint="eastAsia" w:ascii="宋体" w:hAnsi="宋体" w:eastAsia="宋体" w:cs="宋体"/>
          <w:bCs w:val="0"/>
          <w:sz w:val="21"/>
          <w:szCs w:val="21"/>
        </w:rPr>
      </w:pPr>
      <w:r>
        <w:rPr>
          <w:rFonts w:hint="eastAsia" w:ascii="宋体" w:hAnsi="宋体" w:eastAsia="宋体" w:cs="宋体"/>
          <w:bCs w:val="0"/>
          <w:sz w:val="21"/>
          <w:szCs w:val="21"/>
        </w:rPr>
        <w:t>内存：≥ 256G DDR4，主频率≥ 2933MHz</w:t>
      </w:r>
    </w:p>
    <w:p>
      <w:pPr>
        <w:pStyle w:val="43"/>
        <w:numPr>
          <w:ilvl w:val="0"/>
          <w:numId w:val="56"/>
        </w:numPr>
        <w:adjustRightInd w:val="0"/>
        <w:snapToGrid w:val="0"/>
        <w:spacing w:after="200"/>
        <w:jc w:val="left"/>
        <w:rPr>
          <w:rFonts w:hint="eastAsia" w:ascii="宋体" w:hAnsi="宋体" w:eastAsia="宋体" w:cs="宋体"/>
          <w:bCs w:val="0"/>
          <w:sz w:val="21"/>
          <w:szCs w:val="21"/>
        </w:rPr>
      </w:pPr>
      <w:r>
        <w:rPr>
          <w:rFonts w:hint="eastAsia" w:ascii="宋体" w:hAnsi="宋体" w:eastAsia="宋体" w:cs="宋体"/>
          <w:bCs w:val="0"/>
          <w:sz w:val="21"/>
          <w:szCs w:val="21"/>
        </w:rPr>
        <w:t>硬盘：每个节点配置≥2块480GB企业级SSD固态硬盘</w:t>
      </w:r>
    </w:p>
    <w:p>
      <w:pPr>
        <w:pStyle w:val="43"/>
        <w:numPr>
          <w:ilvl w:val="0"/>
          <w:numId w:val="56"/>
        </w:numPr>
        <w:adjustRightInd w:val="0"/>
        <w:snapToGrid w:val="0"/>
        <w:spacing w:after="200"/>
        <w:jc w:val="left"/>
        <w:rPr>
          <w:rFonts w:hint="eastAsia" w:ascii="宋体" w:hAnsi="宋体" w:eastAsia="宋体" w:cs="宋体"/>
          <w:bCs w:val="0"/>
          <w:sz w:val="21"/>
          <w:szCs w:val="21"/>
        </w:rPr>
      </w:pPr>
      <w:r>
        <w:rPr>
          <w:rFonts w:hint="eastAsia" w:ascii="宋体" w:hAnsi="宋体" w:eastAsia="宋体" w:cs="宋体"/>
          <w:bCs w:val="0"/>
          <w:sz w:val="21"/>
          <w:szCs w:val="21"/>
        </w:rPr>
        <w:t>网卡：每节点≥</w:t>
      </w:r>
      <w:bookmarkStart w:id="63" w:name="_Hlk121054471"/>
      <w:r>
        <w:rPr>
          <w:rFonts w:hint="eastAsia" w:ascii="宋体" w:hAnsi="宋体" w:eastAsia="宋体" w:cs="宋体"/>
          <w:bCs w:val="0"/>
          <w:sz w:val="21"/>
          <w:szCs w:val="21"/>
        </w:rPr>
        <w:t>双口万兆光口网卡</w:t>
      </w:r>
      <w:bookmarkEnd w:id="63"/>
      <w:r>
        <w:rPr>
          <w:rFonts w:hint="eastAsia" w:ascii="宋体" w:hAnsi="宋体" w:eastAsia="宋体" w:cs="宋体"/>
          <w:bCs w:val="0"/>
          <w:sz w:val="21"/>
          <w:szCs w:val="21"/>
        </w:rPr>
        <w:t>；每节点≥双口千兆电口网卡</w:t>
      </w:r>
    </w:p>
    <w:p>
      <w:pPr>
        <w:pStyle w:val="43"/>
        <w:numPr>
          <w:ilvl w:val="0"/>
          <w:numId w:val="56"/>
        </w:numPr>
        <w:adjustRightInd w:val="0"/>
        <w:snapToGrid w:val="0"/>
        <w:spacing w:after="200"/>
        <w:jc w:val="left"/>
        <w:rPr>
          <w:rFonts w:hint="eastAsia" w:ascii="宋体" w:hAnsi="宋体" w:eastAsia="宋体" w:cs="宋体"/>
          <w:bCs w:val="0"/>
          <w:sz w:val="21"/>
          <w:szCs w:val="21"/>
        </w:rPr>
      </w:pPr>
      <w:r>
        <w:rPr>
          <w:rFonts w:hint="eastAsia" w:ascii="宋体" w:hAnsi="宋体" w:eastAsia="宋体" w:cs="宋体"/>
          <w:bCs w:val="0"/>
          <w:sz w:val="21"/>
          <w:szCs w:val="21"/>
        </w:rPr>
        <w:t>电源：满配冗余热插拔交流电源（含电源线缆）</w:t>
      </w:r>
    </w:p>
    <w:p>
      <w:pPr>
        <w:pStyle w:val="43"/>
        <w:numPr>
          <w:ilvl w:val="0"/>
          <w:numId w:val="56"/>
        </w:numPr>
        <w:adjustRightInd w:val="0"/>
        <w:snapToGrid w:val="0"/>
        <w:spacing w:after="200"/>
        <w:jc w:val="left"/>
        <w:rPr>
          <w:rFonts w:hint="eastAsia" w:ascii="宋体" w:hAnsi="宋体" w:eastAsia="宋体" w:cs="宋体"/>
          <w:bCs w:val="0"/>
          <w:szCs w:val="24"/>
        </w:rPr>
      </w:pPr>
      <w:r>
        <w:rPr>
          <w:rFonts w:hint="eastAsia" w:ascii="宋体" w:hAnsi="宋体" w:eastAsia="宋体" w:cs="宋体"/>
          <w:bCs w:val="0"/>
          <w:sz w:val="21"/>
          <w:szCs w:val="21"/>
        </w:rPr>
        <w:t>远程管理：配置远程管理卡，具有单独的</w:t>
      </w:r>
      <w:r>
        <w:rPr>
          <w:rFonts w:hint="eastAsia" w:ascii="宋体" w:hAnsi="宋体" w:eastAsia="宋体" w:cs="宋体"/>
          <w:sz w:val="21"/>
          <w:szCs w:val="21"/>
        </w:rPr>
        <w:t xml:space="preserve">管理网口，支持移动管理 </w:t>
      </w:r>
    </w:p>
    <w:tbl>
      <w:tblPr>
        <w:tblStyle w:val="26"/>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6"/>
        <w:gridCol w:w="5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shd w:val="clear" w:color="auto" w:fill="A6A6A6"/>
            <w:vAlign w:val="center"/>
          </w:tcPr>
          <w:p>
            <w:pPr>
              <w:pStyle w:val="43"/>
              <w:adjustRightInd w:val="0"/>
              <w:snapToGrid w:val="0"/>
              <w:spacing w:after="200"/>
              <w:jc w:val="left"/>
              <w:rPr>
                <w:rFonts w:hint="eastAsia" w:ascii="宋体" w:hAnsi="宋体" w:eastAsia="宋体" w:cs="宋体"/>
                <w:szCs w:val="21"/>
              </w:rPr>
            </w:pPr>
            <w:r>
              <w:rPr>
                <w:rFonts w:hint="eastAsia" w:ascii="宋体" w:hAnsi="宋体" w:eastAsia="宋体" w:cs="宋体"/>
                <w:szCs w:val="21"/>
              </w:rPr>
              <w:t>序号</w:t>
            </w:r>
          </w:p>
        </w:tc>
        <w:tc>
          <w:tcPr>
            <w:tcW w:w="1926" w:type="dxa"/>
            <w:shd w:val="clear" w:color="auto" w:fill="A6A6A6"/>
            <w:vAlign w:val="center"/>
          </w:tcPr>
          <w:p>
            <w:pPr>
              <w:pStyle w:val="43"/>
              <w:adjustRightInd w:val="0"/>
              <w:snapToGrid w:val="0"/>
              <w:spacing w:after="200"/>
              <w:ind w:left="400"/>
              <w:jc w:val="left"/>
              <w:rPr>
                <w:rFonts w:hint="eastAsia" w:ascii="宋体" w:hAnsi="宋体" w:eastAsia="宋体" w:cs="宋体"/>
                <w:szCs w:val="21"/>
              </w:rPr>
            </w:pPr>
            <w:r>
              <w:rPr>
                <w:rFonts w:hint="eastAsia" w:ascii="宋体" w:hAnsi="宋体" w:eastAsia="宋体" w:cs="宋体"/>
                <w:szCs w:val="21"/>
              </w:rPr>
              <w:t>指标项</w:t>
            </w:r>
          </w:p>
        </w:tc>
        <w:tc>
          <w:tcPr>
            <w:tcW w:w="5831" w:type="dxa"/>
            <w:shd w:val="clear" w:color="auto" w:fill="A6A6A6"/>
            <w:vAlign w:val="center"/>
          </w:tcPr>
          <w:p>
            <w:pPr>
              <w:pStyle w:val="43"/>
              <w:adjustRightInd w:val="0"/>
              <w:snapToGrid w:val="0"/>
              <w:spacing w:after="200"/>
              <w:ind w:left="400"/>
              <w:jc w:val="left"/>
              <w:rPr>
                <w:rFonts w:hint="eastAsia" w:ascii="宋体" w:hAnsi="宋体" w:eastAsia="宋体" w:cs="宋体"/>
                <w:szCs w:val="21"/>
              </w:rPr>
            </w:pPr>
            <w:r>
              <w:rPr>
                <w:rFonts w:hint="eastAsia" w:ascii="宋体" w:hAnsi="宋体" w:eastAsia="宋体" w:cs="宋体"/>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7"/>
              </w:numPr>
              <w:jc w:val="center"/>
              <w:rPr>
                <w:rFonts w:hint="eastAsia" w:ascii="宋体" w:hAnsi="宋体" w:eastAsia="宋体" w:cs="宋体"/>
                <w:color w:val="000000"/>
                <w:szCs w:val="21"/>
              </w:rPr>
            </w:pPr>
          </w:p>
        </w:tc>
        <w:tc>
          <w:tcPr>
            <w:tcW w:w="1926"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服务器整体要求</w:t>
            </w:r>
          </w:p>
        </w:tc>
        <w:tc>
          <w:tcPr>
            <w:tcW w:w="5831" w:type="dxa"/>
            <w:vAlign w:val="center"/>
          </w:tcPr>
          <w:p>
            <w:pPr>
              <w:rPr>
                <w:rFonts w:hint="eastAsia" w:ascii="宋体" w:hAnsi="宋体" w:eastAsia="宋体" w:cs="宋体"/>
                <w:color w:val="000000"/>
                <w:szCs w:val="21"/>
                <w:lang w:bidi="en-US"/>
              </w:rPr>
            </w:pPr>
            <w:r>
              <w:rPr>
                <w:rFonts w:hint="eastAsia" w:ascii="宋体" w:hAnsi="宋体" w:eastAsia="宋体" w:cs="宋体"/>
                <w:color w:val="000000"/>
                <w:szCs w:val="21"/>
                <w:lang w:bidi="en-US"/>
              </w:rPr>
              <w:t>总核数不少于216核；总节点数量≤3台；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7"/>
              </w:numPr>
              <w:jc w:val="center"/>
              <w:rPr>
                <w:rFonts w:hint="eastAsia" w:ascii="宋体" w:hAnsi="宋体" w:eastAsia="宋体" w:cs="宋体"/>
                <w:color w:val="000000"/>
                <w:szCs w:val="21"/>
              </w:rPr>
            </w:pPr>
          </w:p>
        </w:tc>
        <w:tc>
          <w:tcPr>
            <w:tcW w:w="1926"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服务器规格</w:t>
            </w:r>
          </w:p>
        </w:tc>
        <w:tc>
          <w:tcPr>
            <w:tcW w:w="5831" w:type="dxa"/>
            <w:vAlign w:val="center"/>
          </w:tcPr>
          <w:p>
            <w:pPr>
              <w:rPr>
                <w:rFonts w:hint="eastAsia" w:ascii="宋体" w:hAnsi="宋体" w:eastAsia="宋体" w:cs="宋体"/>
                <w:color w:val="000000"/>
                <w:szCs w:val="21"/>
                <w:lang w:bidi="en-US"/>
              </w:rPr>
            </w:pPr>
            <w:r>
              <w:rPr>
                <w:rFonts w:hint="eastAsia" w:ascii="宋体" w:hAnsi="宋体" w:eastAsia="宋体" w:cs="宋体"/>
                <w:color w:val="000000"/>
                <w:szCs w:val="21"/>
                <w:lang w:bidi="en-US"/>
              </w:rPr>
              <w:t>四路机架式服务器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7"/>
              </w:numPr>
              <w:jc w:val="center"/>
              <w:rPr>
                <w:rFonts w:hint="eastAsia" w:ascii="宋体" w:hAnsi="宋体" w:eastAsia="宋体" w:cs="宋体"/>
                <w:color w:val="000000"/>
                <w:szCs w:val="21"/>
              </w:rPr>
            </w:pPr>
          </w:p>
        </w:tc>
        <w:tc>
          <w:tcPr>
            <w:tcW w:w="1926" w:type="dxa"/>
            <w:vMerge w:val="restart"/>
            <w:vAlign w:val="center"/>
          </w:tcPr>
          <w:p>
            <w:pPr>
              <w:jc w:val="center"/>
              <w:rPr>
                <w:rFonts w:hint="eastAsia" w:ascii="宋体" w:hAnsi="宋体" w:eastAsia="宋体" w:cs="宋体"/>
                <w:color w:val="000000"/>
                <w:szCs w:val="21"/>
                <w:lang w:bidi="en-US"/>
              </w:rPr>
            </w:pPr>
            <w:r>
              <w:rPr>
                <w:rFonts w:hint="eastAsia" w:ascii="宋体" w:hAnsi="宋体" w:eastAsia="宋体" w:cs="宋体"/>
                <w:color w:val="000000"/>
                <w:szCs w:val="21"/>
              </w:rPr>
              <w:t>CPU</w:t>
            </w:r>
            <w:r>
              <w:rPr>
                <w:rFonts w:hint="eastAsia" w:ascii="宋体" w:hAnsi="宋体" w:eastAsia="宋体" w:cs="宋体"/>
                <w:color w:val="000000"/>
                <w:szCs w:val="21"/>
                <w:lang w:bidi="en-US"/>
              </w:rPr>
              <w:t xml:space="preserve"> </w:t>
            </w:r>
          </w:p>
        </w:tc>
        <w:tc>
          <w:tcPr>
            <w:tcW w:w="5831" w:type="dxa"/>
            <w:vAlign w:val="center"/>
          </w:tcPr>
          <w:p>
            <w:pPr>
              <w:rPr>
                <w:rFonts w:hint="eastAsia" w:ascii="宋体" w:hAnsi="宋体" w:eastAsia="宋体" w:cs="宋体"/>
                <w:color w:val="000000"/>
                <w:sz w:val="18"/>
                <w:szCs w:val="18"/>
              </w:rPr>
            </w:pPr>
            <w:r>
              <w:rPr>
                <w:rFonts w:hint="eastAsia" w:ascii="宋体" w:hAnsi="宋体" w:eastAsia="宋体" w:cs="宋体"/>
              </w:rPr>
              <w:t>不低于以下配置：</w:t>
            </w:r>
            <w:r>
              <w:rPr>
                <w:rFonts w:hint="eastAsia" w:ascii="宋体" w:hAnsi="宋体" w:eastAsia="宋体" w:cs="宋体"/>
                <w:color w:val="000000"/>
                <w:szCs w:val="21"/>
                <w:lang w:bidi="en-US"/>
              </w:rPr>
              <w:t>支持Intel® Xeon® Scalable Processors (TDP up to 205W)系列处理器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7"/>
              </w:numPr>
              <w:jc w:val="center"/>
              <w:rPr>
                <w:rFonts w:hint="eastAsia" w:ascii="宋体" w:hAnsi="宋体" w:eastAsia="宋体" w:cs="宋体"/>
                <w:color w:val="000000"/>
                <w:szCs w:val="21"/>
              </w:rPr>
            </w:pPr>
          </w:p>
        </w:tc>
        <w:tc>
          <w:tcPr>
            <w:tcW w:w="1926" w:type="dxa"/>
            <w:vMerge w:val="continue"/>
            <w:vAlign w:val="center"/>
          </w:tcPr>
          <w:p>
            <w:pPr>
              <w:jc w:val="center"/>
              <w:rPr>
                <w:rFonts w:hint="eastAsia" w:ascii="宋体" w:hAnsi="宋体" w:eastAsia="宋体" w:cs="宋体"/>
                <w:color w:val="000000"/>
                <w:szCs w:val="21"/>
              </w:rPr>
            </w:pPr>
          </w:p>
        </w:tc>
        <w:tc>
          <w:tcPr>
            <w:tcW w:w="5831" w:type="dxa"/>
            <w:vAlign w:val="center"/>
          </w:tcPr>
          <w:p>
            <w:pPr>
              <w:rPr>
                <w:rFonts w:hint="eastAsia" w:ascii="宋体" w:hAnsi="宋体" w:eastAsia="宋体" w:cs="宋体"/>
                <w:color w:val="000000"/>
                <w:szCs w:val="21"/>
                <w:lang w:bidi="en-US"/>
              </w:rPr>
            </w:pPr>
            <w:r>
              <w:rPr>
                <w:rFonts w:hint="eastAsia" w:ascii="宋体" w:hAnsi="宋体" w:eastAsia="宋体" w:cs="宋体"/>
                <w:color w:val="000000"/>
                <w:szCs w:val="21"/>
              </w:rPr>
              <w:t>主频:≥2.2GHz，≥18核，L3缓存≥24MB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7"/>
              </w:numPr>
              <w:jc w:val="center"/>
              <w:rPr>
                <w:rFonts w:hint="eastAsia" w:ascii="宋体" w:hAnsi="宋体" w:eastAsia="宋体" w:cs="宋体"/>
                <w:color w:val="000000"/>
                <w:szCs w:val="21"/>
              </w:rPr>
            </w:pPr>
          </w:p>
        </w:tc>
        <w:tc>
          <w:tcPr>
            <w:tcW w:w="1926" w:type="dxa"/>
            <w:vMerge w:val="continue"/>
            <w:vAlign w:val="center"/>
          </w:tcPr>
          <w:p>
            <w:pPr>
              <w:jc w:val="center"/>
              <w:rPr>
                <w:rFonts w:hint="eastAsia" w:ascii="宋体" w:hAnsi="宋体" w:eastAsia="宋体" w:cs="宋体"/>
                <w:color w:val="000000"/>
                <w:szCs w:val="21"/>
                <w:lang w:bidi="en-US"/>
              </w:rPr>
            </w:pPr>
          </w:p>
        </w:tc>
        <w:tc>
          <w:tcPr>
            <w:tcW w:w="5831" w:type="dxa"/>
            <w:vAlign w:val="center"/>
          </w:tcPr>
          <w:p>
            <w:pPr>
              <w:rPr>
                <w:rFonts w:hint="eastAsia" w:ascii="宋体" w:hAnsi="宋体" w:eastAsia="宋体" w:cs="宋体"/>
                <w:color w:val="000000"/>
                <w:szCs w:val="21"/>
                <w:lang w:bidi="en-US"/>
              </w:rPr>
            </w:pPr>
            <w:r>
              <w:rPr>
                <w:rFonts w:hint="eastAsia" w:ascii="宋体" w:hAnsi="宋体" w:eastAsia="宋体" w:cs="宋体"/>
                <w:color w:val="000000"/>
                <w:szCs w:val="21"/>
              </w:rPr>
              <w:t>单台服务器总核数不少于72核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7"/>
              </w:numPr>
              <w:jc w:val="center"/>
              <w:rPr>
                <w:rFonts w:hint="eastAsia" w:ascii="宋体" w:hAnsi="宋体" w:eastAsia="宋体" w:cs="宋体"/>
                <w:color w:val="000000"/>
                <w:szCs w:val="21"/>
              </w:rPr>
            </w:pPr>
          </w:p>
        </w:tc>
        <w:tc>
          <w:tcPr>
            <w:tcW w:w="1926" w:type="dxa"/>
            <w:vAlign w:val="center"/>
          </w:tcPr>
          <w:p>
            <w:pPr>
              <w:jc w:val="center"/>
              <w:rPr>
                <w:rFonts w:hint="eastAsia" w:ascii="宋体" w:hAnsi="宋体" w:eastAsia="宋体" w:cs="宋体"/>
                <w:color w:val="000000"/>
                <w:szCs w:val="21"/>
                <w:lang w:bidi="en-US"/>
              </w:rPr>
            </w:pPr>
            <w:r>
              <w:rPr>
                <w:rFonts w:hint="eastAsia" w:ascii="宋体" w:hAnsi="宋体" w:eastAsia="宋体" w:cs="宋体"/>
                <w:color w:val="000000"/>
                <w:szCs w:val="21"/>
              </w:rPr>
              <w:t>内存类型</w:t>
            </w:r>
          </w:p>
        </w:tc>
        <w:tc>
          <w:tcPr>
            <w:tcW w:w="5831" w:type="dxa"/>
            <w:vAlign w:val="center"/>
          </w:tcPr>
          <w:p>
            <w:pPr>
              <w:rPr>
                <w:rFonts w:hint="eastAsia" w:ascii="宋体" w:hAnsi="宋体" w:eastAsia="宋体" w:cs="宋体"/>
                <w:color w:val="000000"/>
                <w:szCs w:val="21"/>
              </w:rPr>
            </w:pPr>
            <w:r>
              <w:rPr>
                <w:rFonts w:hint="eastAsia" w:ascii="宋体" w:hAnsi="宋体" w:eastAsia="宋体" w:cs="宋体"/>
                <w:color w:val="000000"/>
                <w:szCs w:val="21"/>
              </w:rPr>
              <w:t>内存类型：支持ECC DDR4  RDIMM /LRDIMM内存插槽</w:t>
            </w:r>
          </w:p>
          <w:p>
            <w:pPr>
              <w:rPr>
                <w:rFonts w:hint="eastAsia" w:ascii="宋体" w:hAnsi="宋体" w:eastAsia="宋体" w:cs="宋体"/>
                <w:color w:val="000000"/>
                <w:sz w:val="18"/>
                <w:szCs w:val="18"/>
              </w:rPr>
            </w:pPr>
            <w:r>
              <w:rPr>
                <w:rFonts w:hint="eastAsia" w:ascii="宋体" w:hAnsi="宋体" w:eastAsia="宋体" w:cs="宋体"/>
                <w:color w:val="000000"/>
                <w:szCs w:val="21"/>
              </w:rPr>
              <w:t>内存槽位 最大支持 48个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7"/>
              </w:numPr>
              <w:jc w:val="center"/>
              <w:rPr>
                <w:rFonts w:hint="eastAsia" w:ascii="宋体" w:hAnsi="宋体" w:eastAsia="宋体" w:cs="宋体"/>
                <w:color w:val="000000"/>
                <w:szCs w:val="21"/>
              </w:rPr>
            </w:pPr>
          </w:p>
        </w:tc>
        <w:tc>
          <w:tcPr>
            <w:tcW w:w="1926"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内存容量</w:t>
            </w:r>
          </w:p>
        </w:tc>
        <w:tc>
          <w:tcPr>
            <w:tcW w:w="5831" w:type="dxa"/>
            <w:vAlign w:val="center"/>
          </w:tcPr>
          <w:p>
            <w:pPr>
              <w:rPr>
                <w:rFonts w:hint="eastAsia" w:ascii="宋体" w:hAnsi="宋体" w:eastAsia="宋体" w:cs="宋体"/>
                <w:color w:val="000000"/>
                <w:szCs w:val="21"/>
              </w:rPr>
            </w:pPr>
            <w:r>
              <w:rPr>
                <w:rFonts w:hint="eastAsia" w:ascii="宋体" w:hAnsi="宋体" w:eastAsia="宋体" w:cs="宋体"/>
                <w:color w:val="000000"/>
                <w:szCs w:val="21"/>
              </w:rPr>
              <w:t>≥256GB DDR4，主频率≥ 2933MHz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7"/>
              </w:numPr>
              <w:jc w:val="center"/>
              <w:rPr>
                <w:rFonts w:hint="eastAsia" w:ascii="宋体" w:hAnsi="宋体" w:eastAsia="宋体" w:cs="宋体"/>
                <w:color w:val="000000"/>
                <w:szCs w:val="21"/>
              </w:rPr>
            </w:pPr>
          </w:p>
        </w:tc>
        <w:tc>
          <w:tcPr>
            <w:tcW w:w="1926" w:type="dxa"/>
            <w:vAlign w:val="center"/>
          </w:tcPr>
          <w:p>
            <w:pPr>
              <w:jc w:val="center"/>
              <w:rPr>
                <w:rFonts w:hint="eastAsia" w:ascii="宋体" w:hAnsi="宋体" w:eastAsia="宋体" w:cs="宋体"/>
                <w:color w:val="000000"/>
                <w:szCs w:val="21"/>
                <w:lang w:bidi="en-US"/>
              </w:rPr>
            </w:pPr>
            <w:r>
              <w:rPr>
                <w:rFonts w:hint="eastAsia" w:ascii="宋体" w:hAnsi="宋体" w:eastAsia="宋体" w:cs="宋体"/>
                <w:color w:val="000000"/>
                <w:szCs w:val="21"/>
              </w:rPr>
              <w:t>硬盘容量</w:t>
            </w:r>
          </w:p>
        </w:tc>
        <w:tc>
          <w:tcPr>
            <w:tcW w:w="5831" w:type="dxa"/>
            <w:vAlign w:val="center"/>
          </w:tcPr>
          <w:p>
            <w:pPr>
              <w:rPr>
                <w:rFonts w:hint="eastAsia" w:ascii="宋体" w:hAnsi="宋体" w:eastAsia="宋体" w:cs="宋体"/>
                <w:color w:val="000000"/>
                <w:szCs w:val="21"/>
              </w:rPr>
            </w:pPr>
            <w:r>
              <w:rPr>
                <w:rFonts w:hint="eastAsia" w:ascii="宋体" w:hAnsi="宋体" w:eastAsia="宋体" w:cs="宋体"/>
                <w:color w:val="000000"/>
                <w:szCs w:val="21"/>
              </w:rPr>
              <w:t>≥2块；</w:t>
            </w:r>
          </w:p>
          <w:p>
            <w:pPr>
              <w:rPr>
                <w:rFonts w:hint="eastAsia" w:ascii="宋体" w:hAnsi="宋体" w:eastAsia="宋体" w:cs="宋体"/>
                <w:color w:val="000000"/>
                <w:szCs w:val="21"/>
              </w:rPr>
            </w:pPr>
            <w:r>
              <w:rPr>
                <w:rFonts w:hint="eastAsia" w:ascii="宋体" w:hAnsi="宋体" w:eastAsia="宋体" w:cs="宋体"/>
                <w:color w:val="000000"/>
                <w:szCs w:val="21"/>
              </w:rPr>
              <w:t>每块≥480G 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7"/>
              </w:numPr>
              <w:jc w:val="center"/>
              <w:rPr>
                <w:rFonts w:hint="eastAsia" w:ascii="宋体" w:hAnsi="宋体" w:eastAsia="宋体" w:cs="宋体"/>
                <w:color w:val="000000"/>
                <w:szCs w:val="21"/>
              </w:rPr>
            </w:pPr>
          </w:p>
        </w:tc>
        <w:tc>
          <w:tcPr>
            <w:tcW w:w="1926"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RAID模式</w:t>
            </w:r>
          </w:p>
        </w:tc>
        <w:tc>
          <w:tcPr>
            <w:tcW w:w="5831" w:type="dxa"/>
            <w:vAlign w:val="center"/>
          </w:tcPr>
          <w:p>
            <w:pPr>
              <w:rPr>
                <w:rFonts w:hint="eastAsia" w:ascii="宋体" w:hAnsi="宋体" w:eastAsia="宋体" w:cs="宋体"/>
                <w:color w:val="000000"/>
                <w:szCs w:val="21"/>
                <w:lang w:bidi="en-US"/>
              </w:rPr>
            </w:pPr>
            <w:r>
              <w:rPr>
                <w:rFonts w:hint="eastAsia" w:ascii="宋体" w:hAnsi="宋体" w:eastAsia="宋体" w:cs="宋体"/>
                <w:color w:val="000000"/>
                <w:szCs w:val="21"/>
                <w:lang w:bidi="en-US"/>
              </w:rPr>
              <w:t>配置磁盘阵列卡，缓存≥2G，</w:t>
            </w:r>
          </w:p>
          <w:p>
            <w:pPr>
              <w:rPr>
                <w:rFonts w:hint="eastAsia" w:ascii="宋体" w:hAnsi="宋体" w:eastAsia="宋体" w:cs="宋体"/>
                <w:color w:val="000000"/>
                <w:szCs w:val="21"/>
              </w:rPr>
            </w:pPr>
            <w:r>
              <w:rPr>
                <w:rFonts w:hint="eastAsia" w:ascii="宋体" w:hAnsi="宋体" w:eastAsia="宋体" w:cs="宋体"/>
                <w:color w:val="000000"/>
                <w:szCs w:val="21"/>
                <w:lang w:bidi="en-US"/>
              </w:rPr>
              <w:t>支持RAID 0/1/10/5/50/6/60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7"/>
              </w:numPr>
              <w:jc w:val="center"/>
              <w:rPr>
                <w:rFonts w:hint="eastAsia" w:ascii="宋体" w:hAnsi="宋体" w:eastAsia="宋体" w:cs="宋体"/>
                <w:color w:val="000000"/>
                <w:szCs w:val="21"/>
              </w:rPr>
            </w:pPr>
          </w:p>
        </w:tc>
        <w:tc>
          <w:tcPr>
            <w:tcW w:w="1926"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网络</w:t>
            </w:r>
          </w:p>
        </w:tc>
        <w:tc>
          <w:tcPr>
            <w:tcW w:w="5831" w:type="dxa"/>
            <w:vAlign w:val="center"/>
          </w:tcPr>
          <w:p>
            <w:pPr>
              <w:rPr>
                <w:rFonts w:hint="eastAsia" w:ascii="宋体" w:hAnsi="宋体" w:eastAsia="宋体" w:cs="宋体"/>
                <w:color w:val="000000"/>
                <w:szCs w:val="21"/>
                <w:lang w:bidi="en-US"/>
              </w:rPr>
            </w:pPr>
            <w:r>
              <w:rPr>
                <w:rFonts w:hint="eastAsia" w:ascii="宋体" w:hAnsi="宋体" w:eastAsia="宋体" w:cs="宋体"/>
                <w:color w:val="000000"/>
                <w:szCs w:val="21"/>
                <w:lang w:bidi="en-US"/>
              </w:rPr>
              <w:t>≥双口万兆光口网卡； ≥双口千兆电口网卡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7"/>
              </w:numPr>
              <w:jc w:val="center"/>
              <w:rPr>
                <w:rFonts w:hint="eastAsia" w:ascii="宋体" w:hAnsi="宋体" w:eastAsia="宋体" w:cs="宋体"/>
                <w:color w:val="000000"/>
                <w:szCs w:val="21"/>
              </w:rPr>
            </w:pPr>
          </w:p>
        </w:tc>
        <w:tc>
          <w:tcPr>
            <w:tcW w:w="1926" w:type="dxa"/>
            <w:vAlign w:val="center"/>
          </w:tcPr>
          <w:p>
            <w:pPr>
              <w:jc w:val="center"/>
              <w:rPr>
                <w:rFonts w:hint="eastAsia" w:ascii="宋体" w:hAnsi="宋体" w:eastAsia="宋体" w:cs="宋体"/>
                <w:color w:val="000000"/>
                <w:szCs w:val="21"/>
                <w:lang w:bidi="en-US"/>
              </w:rPr>
            </w:pPr>
            <w:r>
              <w:rPr>
                <w:rFonts w:hint="eastAsia" w:ascii="宋体" w:hAnsi="宋体" w:eastAsia="宋体" w:cs="宋体"/>
                <w:color w:val="000000"/>
                <w:szCs w:val="21"/>
                <w:lang w:bidi="en-US"/>
              </w:rPr>
              <w:t>系统管理</w:t>
            </w:r>
          </w:p>
        </w:tc>
        <w:tc>
          <w:tcPr>
            <w:tcW w:w="5831" w:type="dxa"/>
            <w:vAlign w:val="center"/>
          </w:tcPr>
          <w:p>
            <w:pPr>
              <w:rPr>
                <w:rFonts w:hint="eastAsia" w:ascii="宋体" w:hAnsi="宋体" w:eastAsia="宋体" w:cs="宋体"/>
                <w:color w:val="000000"/>
                <w:szCs w:val="21"/>
                <w:lang w:bidi="en-US"/>
              </w:rPr>
            </w:pPr>
            <w:r>
              <w:rPr>
                <w:rFonts w:hint="eastAsia" w:ascii="宋体" w:hAnsi="宋体" w:eastAsia="宋体" w:cs="宋体"/>
                <w:color w:val="000000"/>
                <w:szCs w:val="21"/>
                <w:lang w:bidi="en-US"/>
              </w:rPr>
              <w:t>可管理和维护性:</w:t>
            </w:r>
            <w:r>
              <w:rPr>
                <w:rFonts w:hint="eastAsia" w:ascii="宋体" w:hAnsi="宋体" w:eastAsia="宋体" w:cs="宋体"/>
                <w:color w:val="000000"/>
                <w:szCs w:val="21"/>
                <w:lang w:bidi="en-US"/>
              </w:rPr>
              <w:br/>
            </w:r>
            <w:r>
              <w:rPr>
                <w:rFonts w:hint="eastAsia" w:ascii="宋体" w:hAnsi="宋体" w:eastAsia="宋体" w:cs="宋体"/>
                <w:color w:val="000000"/>
                <w:szCs w:val="21"/>
                <w:lang w:bidi="en-US"/>
              </w:rPr>
              <w:t>1. 集成系统管理处理器支持：对服务器进行全面精细的监控，并且提供告警和详细的日志。能够独立显示主板电源故障、 CPU 的内核温度、电压、硬盘故障、风扇转速及温度故障、网卡 MCE/AER 错误、系统电源故障、总线故障、系统宕机故障等。同时还提供了 CPU 、内存、网卡和硬盘等各类部件信息的查询。同时支持对告警日志、错误日志、部件信息等实现一键收集辅助问题定位。</w:t>
            </w:r>
            <w:r>
              <w:rPr>
                <w:rFonts w:hint="eastAsia" w:ascii="宋体" w:hAnsi="宋体" w:eastAsia="宋体" w:cs="宋体"/>
                <w:color w:val="000000"/>
                <w:szCs w:val="21"/>
                <w:lang w:bidi="en-US"/>
              </w:rPr>
              <w:br/>
            </w:r>
            <w:r>
              <w:rPr>
                <w:rFonts w:hint="eastAsia" w:ascii="宋体" w:hAnsi="宋体" w:eastAsia="宋体" w:cs="宋体"/>
                <w:color w:val="000000"/>
                <w:szCs w:val="21"/>
                <w:lang w:bidi="en-US"/>
              </w:rPr>
              <w:t>2.具有图形管理界面、BIOS界面及其他高级管理功能；</w:t>
            </w:r>
            <w:r>
              <w:rPr>
                <w:rFonts w:hint="eastAsia" w:ascii="宋体" w:hAnsi="宋体" w:eastAsia="宋体" w:cs="宋体"/>
                <w:color w:val="000000"/>
                <w:szCs w:val="21"/>
                <w:lang w:bidi="en-US"/>
              </w:rPr>
              <w:br/>
            </w:r>
            <w:r>
              <w:rPr>
                <w:rFonts w:hint="eastAsia" w:ascii="宋体" w:hAnsi="宋体" w:eastAsia="宋体" w:cs="宋体"/>
                <w:color w:val="000000"/>
                <w:szCs w:val="21"/>
                <w:lang w:bidi="en-US"/>
              </w:rPr>
              <w:t>3.配置独立的远程管理控制端口，支持远程监控图形界面, 可实现与操作系统无关的远程对服务器的完全控制，包括远程的开机、关机、重启、虚拟软驱、虚拟光驱等操作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7"/>
              </w:numPr>
              <w:jc w:val="center"/>
              <w:rPr>
                <w:rFonts w:hint="eastAsia" w:ascii="宋体" w:hAnsi="宋体" w:eastAsia="宋体" w:cs="宋体"/>
                <w:color w:val="000000"/>
                <w:szCs w:val="21"/>
              </w:rPr>
            </w:pPr>
          </w:p>
        </w:tc>
        <w:tc>
          <w:tcPr>
            <w:tcW w:w="1926" w:type="dxa"/>
            <w:vAlign w:val="center"/>
          </w:tcPr>
          <w:p>
            <w:pPr>
              <w:jc w:val="center"/>
              <w:rPr>
                <w:rFonts w:hint="eastAsia" w:ascii="宋体" w:hAnsi="宋体" w:eastAsia="宋体" w:cs="宋体"/>
                <w:color w:val="000000"/>
                <w:szCs w:val="21"/>
                <w:lang w:bidi="en-US"/>
              </w:rPr>
            </w:pPr>
            <w:r>
              <w:rPr>
                <w:rFonts w:hint="eastAsia" w:ascii="宋体" w:hAnsi="宋体" w:eastAsia="宋体" w:cs="宋体"/>
                <w:color w:val="000000"/>
                <w:szCs w:val="21"/>
                <w:lang w:bidi="en-US"/>
              </w:rPr>
              <w:t>电源类型</w:t>
            </w:r>
          </w:p>
        </w:tc>
        <w:tc>
          <w:tcPr>
            <w:tcW w:w="5831" w:type="dxa"/>
            <w:vAlign w:val="center"/>
          </w:tcPr>
          <w:p>
            <w:pPr>
              <w:rPr>
                <w:rFonts w:hint="eastAsia" w:ascii="宋体" w:hAnsi="宋体" w:eastAsia="宋体" w:cs="宋体"/>
                <w:color w:val="000000"/>
                <w:szCs w:val="21"/>
                <w:lang w:bidi="en-US"/>
              </w:rPr>
            </w:pPr>
            <w:r>
              <w:rPr>
                <w:rFonts w:hint="eastAsia" w:ascii="宋体" w:hAnsi="宋体" w:eastAsia="宋体" w:cs="宋体"/>
                <w:color w:val="000000"/>
                <w:szCs w:val="21"/>
                <w:lang w:bidi="en-US"/>
              </w:rPr>
              <w:t>冗余电源模块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7"/>
              </w:numPr>
              <w:jc w:val="center"/>
              <w:rPr>
                <w:rFonts w:hint="eastAsia" w:ascii="宋体" w:hAnsi="宋体" w:eastAsia="宋体" w:cs="宋体"/>
                <w:color w:val="000000"/>
                <w:szCs w:val="21"/>
              </w:rPr>
            </w:pPr>
          </w:p>
        </w:tc>
        <w:tc>
          <w:tcPr>
            <w:tcW w:w="1926" w:type="dxa"/>
            <w:vAlign w:val="center"/>
          </w:tcPr>
          <w:p>
            <w:pPr>
              <w:jc w:val="center"/>
              <w:rPr>
                <w:rFonts w:hint="eastAsia" w:ascii="宋体" w:hAnsi="宋体" w:eastAsia="宋体" w:cs="宋体"/>
                <w:color w:val="000000"/>
                <w:szCs w:val="21"/>
                <w:lang w:bidi="en-US"/>
              </w:rPr>
            </w:pPr>
            <w:r>
              <w:rPr>
                <w:rFonts w:hint="eastAsia" w:ascii="宋体" w:hAnsi="宋体" w:eastAsia="宋体" w:cs="宋体"/>
                <w:color w:val="000000"/>
                <w:szCs w:val="21"/>
                <w:lang w:bidi="en-US"/>
              </w:rPr>
              <w:t>散热管理</w:t>
            </w:r>
          </w:p>
        </w:tc>
        <w:tc>
          <w:tcPr>
            <w:tcW w:w="5831" w:type="dxa"/>
            <w:vAlign w:val="center"/>
          </w:tcPr>
          <w:p>
            <w:pPr>
              <w:rPr>
                <w:rFonts w:hint="eastAsia" w:ascii="宋体" w:hAnsi="宋体" w:eastAsia="宋体" w:cs="宋体"/>
                <w:color w:val="000000"/>
                <w:szCs w:val="21"/>
                <w:lang w:bidi="en-US"/>
              </w:rPr>
            </w:pPr>
            <w:r>
              <w:rPr>
                <w:rFonts w:hint="eastAsia" w:ascii="宋体" w:hAnsi="宋体" w:eastAsia="宋体" w:cs="宋体"/>
                <w:color w:val="000000"/>
                <w:szCs w:val="21"/>
                <w:lang w:bidi="en-US"/>
              </w:rPr>
              <w:t>满配冗余静音风扇，支持单风扇失效，风扇支持热拔插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7"/>
              </w:numPr>
              <w:jc w:val="center"/>
              <w:rPr>
                <w:rFonts w:hint="eastAsia" w:ascii="宋体" w:hAnsi="宋体" w:eastAsia="宋体" w:cs="宋体"/>
                <w:color w:val="000000"/>
                <w:szCs w:val="21"/>
              </w:rPr>
            </w:pPr>
          </w:p>
        </w:tc>
        <w:tc>
          <w:tcPr>
            <w:tcW w:w="1926" w:type="dxa"/>
            <w:vAlign w:val="center"/>
          </w:tcPr>
          <w:p>
            <w:pPr>
              <w:jc w:val="center"/>
              <w:rPr>
                <w:rFonts w:hint="eastAsia" w:ascii="宋体" w:hAnsi="宋体" w:eastAsia="宋体" w:cs="宋体"/>
                <w:color w:val="000000"/>
                <w:szCs w:val="21"/>
                <w:lang w:bidi="en-US"/>
              </w:rPr>
            </w:pPr>
            <w:r>
              <w:rPr>
                <w:rFonts w:hint="eastAsia" w:ascii="宋体" w:hAnsi="宋体" w:eastAsia="宋体" w:cs="宋体"/>
                <w:color w:val="000000"/>
                <w:szCs w:val="21"/>
                <w:lang w:bidi="en-US"/>
              </w:rPr>
              <w:t>交付</w:t>
            </w:r>
          </w:p>
        </w:tc>
        <w:tc>
          <w:tcPr>
            <w:tcW w:w="5831" w:type="dxa"/>
            <w:vAlign w:val="center"/>
          </w:tcPr>
          <w:p>
            <w:pPr>
              <w:rPr>
                <w:rFonts w:hint="eastAsia" w:ascii="宋体" w:hAnsi="宋体" w:eastAsia="宋体" w:cs="宋体"/>
                <w:color w:val="000000"/>
              </w:rPr>
            </w:pPr>
            <w:r>
              <w:rPr>
                <w:rFonts w:hint="eastAsia" w:ascii="宋体" w:hAnsi="宋体" w:eastAsia="宋体" w:cs="宋体"/>
                <w:color w:val="000000"/>
              </w:rPr>
              <w:t>须提供对交付服务器根据最终用户需求，提供上架服务，并安装配置相应的OS及相关通用应用；</w:t>
            </w:r>
          </w:p>
        </w:tc>
      </w:tr>
    </w:tbl>
    <w:p>
      <w:pPr>
        <w:rPr>
          <w:rFonts w:hint="eastAsia" w:ascii="宋体" w:hAnsi="宋体" w:eastAsia="宋体" w:cs="宋体"/>
          <w:color w:val="000000"/>
        </w:rPr>
      </w:pPr>
    </w:p>
    <w:p>
      <w:pPr>
        <w:tabs>
          <w:tab w:val="left" w:pos="1560"/>
        </w:tabs>
        <w:rPr>
          <w:rFonts w:hint="eastAsia" w:ascii="宋体" w:hAnsi="宋体" w:eastAsia="宋体" w:cs="宋体"/>
        </w:rPr>
      </w:pPr>
      <w:r>
        <w:rPr>
          <w:rFonts w:hint="eastAsia" w:ascii="宋体" w:hAnsi="宋体" w:eastAsia="宋体" w:cs="宋体"/>
        </w:rPr>
        <w:t>2.3.2.2、GPU服务器</w:t>
      </w:r>
    </w:p>
    <w:p>
      <w:pPr>
        <w:pStyle w:val="45"/>
        <w:widowControl/>
        <w:numPr>
          <w:ilvl w:val="0"/>
          <w:numId w:val="58"/>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外观：机架式服务器； 数量：2台；</w:t>
      </w:r>
    </w:p>
    <w:p>
      <w:pPr>
        <w:pStyle w:val="45"/>
        <w:widowControl/>
        <w:numPr>
          <w:ilvl w:val="0"/>
          <w:numId w:val="58"/>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处理器：配置不低于2颗英特尔至强金牌CPU，单颗CPU技术参数满足以下要求：基本主频≥3.2GHz主频，核心数量≥8核；缓存≥12MB。</w:t>
      </w:r>
    </w:p>
    <w:p>
      <w:pPr>
        <w:widowControl/>
        <w:numPr>
          <w:ilvl w:val="0"/>
          <w:numId w:val="58"/>
        </w:numPr>
        <w:adjustRightInd w:val="0"/>
        <w:snapToGrid w:val="0"/>
        <w:spacing w:after="200" w:line="360" w:lineRule="auto"/>
        <w:ind w:left="840" w:hanging="420"/>
        <w:jc w:val="left"/>
        <w:rPr>
          <w:rFonts w:hint="eastAsia" w:ascii="宋体" w:hAnsi="宋体" w:eastAsia="宋体" w:cs="宋体"/>
          <w:color w:val="000000"/>
          <w:szCs w:val="21"/>
        </w:rPr>
      </w:pPr>
      <w:r>
        <w:rPr>
          <w:rFonts w:hint="eastAsia" w:ascii="宋体" w:hAnsi="宋体" w:eastAsia="宋体" w:cs="宋体"/>
          <w:color w:val="000000"/>
          <w:szCs w:val="21"/>
        </w:rPr>
        <w:t>内存：≥256GB DDR4，主频率2933MHz</w:t>
      </w:r>
    </w:p>
    <w:p>
      <w:pPr>
        <w:widowControl/>
        <w:numPr>
          <w:ilvl w:val="0"/>
          <w:numId w:val="58"/>
        </w:numPr>
        <w:adjustRightInd w:val="0"/>
        <w:snapToGrid w:val="0"/>
        <w:spacing w:after="200" w:line="360" w:lineRule="auto"/>
        <w:ind w:left="840" w:hanging="420"/>
        <w:jc w:val="left"/>
        <w:rPr>
          <w:rFonts w:hint="eastAsia" w:ascii="宋体" w:hAnsi="宋体" w:eastAsia="宋体" w:cs="宋体"/>
          <w:color w:val="000000"/>
          <w:szCs w:val="21"/>
        </w:rPr>
      </w:pPr>
      <w:r>
        <w:rPr>
          <w:rFonts w:hint="eastAsia" w:ascii="宋体" w:hAnsi="宋体" w:eastAsia="宋体" w:cs="宋体"/>
          <w:color w:val="000000"/>
          <w:szCs w:val="21"/>
        </w:rPr>
        <w:t>硬盘：配置≥2块480GB企业级SSD固态盘</w:t>
      </w:r>
    </w:p>
    <w:p>
      <w:pPr>
        <w:pStyle w:val="45"/>
        <w:widowControl/>
        <w:numPr>
          <w:ilvl w:val="0"/>
          <w:numId w:val="58"/>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 xml:space="preserve">GPU卡：配置不低于8个NVIDIA GPU计算卡, PCIe, 每块GPU显存≥80GB； FP64 Tensor Core≥19.5 TFLOPS；Tensor Float 32 ≥156 TFLOPS; </w:t>
      </w:r>
    </w:p>
    <w:p>
      <w:pPr>
        <w:pStyle w:val="45"/>
        <w:widowControl/>
        <w:numPr>
          <w:ilvl w:val="0"/>
          <w:numId w:val="58"/>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网卡：每节点≥双口万兆光口网卡；每节点≥双口千兆电口网卡</w:t>
      </w:r>
    </w:p>
    <w:p>
      <w:pPr>
        <w:pStyle w:val="45"/>
        <w:widowControl/>
        <w:numPr>
          <w:ilvl w:val="0"/>
          <w:numId w:val="58"/>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电源：满配冗余热插拔交流电源（含电源线缆）</w:t>
      </w:r>
    </w:p>
    <w:p>
      <w:pPr>
        <w:pStyle w:val="45"/>
        <w:widowControl/>
        <w:numPr>
          <w:ilvl w:val="0"/>
          <w:numId w:val="58"/>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 xml:space="preserve">远程管理：配置远程管理卡，具有单独的管理网口，支持移动管理 </w:t>
      </w:r>
    </w:p>
    <w:p>
      <w:pPr>
        <w:pStyle w:val="45"/>
        <w:ind w:left="360" w:firstLine="0" w:firstLineChars="0"/>
        <w:rPr>
          <w:rFonts w:hint="eastAsia" w:ascii="宋体" w:hAnsi="宋体" w:eastAsia="宋体" w:cs="宋体"/>
          <w:color w:val="000000"/>
          <w:szCs w:val="21"/>
        </w:rPr>
      </w:pPr>
    </w:p>
    <w:tbl>
      <w:tblPr>
        <w:tblStyle w:val="26"/>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5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shd w:val="clear" w:color="auto" w:fill="A6A6A6"/>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956" w:type="dxa"/>
            <w:shd w:val="clear" w:color="auto" w:fill="A6A6A6"/>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指标项</w:t>
            </w:r>
          </w:p>
        </w:tc>
        <w:tc>
          <w:tcPr>
            <w:tcW w:w="5812" w:type="dxa"/>
            <w:shd w:val="clear" w:color="auto" w:fill="A6A6A6"/>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9"/>
              </w:numPr>
              <w:jc w:val="center"/>
              <w:rPr>
                <w:rFonts w:hint="eastAsia" w:ascii="宋体" w:hAnsi="宋体" w:eastAsia="宋体" w:cs="宋体"/>
                <w:color w:val="000000"/>
                <w:szCs w:val="21"/>
              </w:rPr>
            </w:pPr>
          </w:p>
        </w:tc>
        <w:tc>
          <w:tcPr>
            <w:tcW w:w="1956"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服务器规格</w:t>
            </w:r>
          </w:p>
        </w:tc>
        <w:tc>
          <w:tcPr>
            <w:tcW w:w="5812" w:type="dxa"/>
            <w:vAlign w:val="center"/>
          </w:tcPr>
          <w:p>
            <w:pPr>
              <w:rPr>
                <w:rFonts w:hint="eastAsia" w:ascii="宋体" w:hAnsi="宋体" w:eastAsia="宋体" w:cs="宋体"/>
                <w:color w:val="000000"/>
                <w:szCs w:val="21"/>
                <w:lang w:bidi="en-US"/>
              </w:rPr>
            </w:pPr>
            <w:r>
              <w:rPr>
                <w:rFonts w:hint="eastAsia" w:ascii="宋体" w:hAnsi="宋体" w:eastAsia="宋体" w:cs="宋体"/>
                <w:color w:val="000000"/>
                <w:szCs w:val="21"/>
                <w:lang w:bidi="en-US"/>
              </w:rPr>
              <w:t>机架式服务器； 数量：2台；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9"/>
              </w:numPr>
              <w:jc w:val="center"/>
              <w:rPr>
                <w:rFonts w:hint="eastAsia" w:ascii="宋体" w:hAnsi="宋体" w:eastAsia="宋体" w:cs="宋体"/>
                <w:color w:val="000000"/>
                <w:szCs w:val="21"/>
              </w:rPr>
            </w:pPr>
          </w:p>
        </w:tc>
        <w:tc>
          <w:tcPr>
            <w:tcW w:w="1956" w:type="dxa"/>
            <w:vMerge w:val="restart"/>
            <w:vAlign w:val="center"/>
          </w:tcPr>
          <w:p>
            <w:pPr>
              <w:jc w:val="center"/>
              <w:rPr>
                <w:rFonts w:hint="eastAsia" w:ascii="宋体" w:hAnsi="宋体" w:eastAsia="宋体" w:cs="宋体"/>
                <w:color w:val="000000"/>
                <w:szCs w:val="21"/>
                <w:lang w:bidi="en-US"/>
              </w:rPr>
            </w:pPr>
            <w:r>
              <w:rPr>
                <w:rFonts w:hint="eastAsia" w:ascii="宋体" w:hAnsi="宋体" w:eastAsia="宋体" w:cs="宋体"/>
                <w:color w:val="000000"/>
                <w:szCs w:val="21"/>
              </w:rPr>
              <w:t>CPU</w:t>
            </w:r>
            <w:r>
              <w:rPr>
                <w:rFonts w:hint="eastAsia" w:ascii="宋体" w:hAnsi="宋体" w:eastAsia="宋体" w:cs="宋体"/>
                <w:color w:val="000000"/>
                <w:szCs w:val="21"/>
                <w:lang w:bidi="en-US"/>
              </w:rPr>
              <w:t xml:space="preserve"> </w:t>
            </w:r>
          </w:p>
        </w:tc>
        <w:tc>
          <w:tcPr>
            <w:tcW w:w="5812" w:type="dxa"/>
            <w:vAlign w:val="center"/>
          </w:tcPr>
          <w:p>
            <w:pPr>
              <w:rPr>
                <w:rFonts w:hint="eastAsia" w:ascii="宋体" w:hAnsi="宋体" w:eastAsia="宋体" w:cs="宋体"/>
                <w:color w:val="000000"/>
                <w:szCs w:val="21"/>
              </w:rPr>
            </w:pPr>
            <w:r>
              <w:rPr>
                <w:rFonts w:hint="eastAsia" w:ascii="宋体" w:hAnsi="宋体" w:eastAsia="宋体" w:cs="宋体"/>
              </w:rPr>
              <w:t>不低于以下配置：</w:t>
            </w:r>
            <w:r>
              <w:rPr>
                <w:rFonts w:hint="eastAsia" w:ascii="宋体" w:hAnsi="宋体" w:eastAsia="宋体" w:cs="宋体"/>
                <w:color w:val="000000"/>
                <w:szCs w:val="21"/>
                <w:lang w:bidi="en-US"/>
              </w:rPr>
              <w:t>支持Intel® Xeon® Scalable Processors (TDP up to 205W)系列处理器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9"/>
              </w:numPr>
              <w:jc w:val="center"/>
              <w:rPr>
                <w:rFonts w:hint="eastAsia" w:ascii="宋体" w:hAnsi="宋体" w:eastAsia="宋体" w:cs="宋体"/>
                <w:color w:val="000000"/>
                <w:szCs w:val="21"/>
              </w:rPr>
            </w:pPr>
          </w:p>
        </w:tc>
        <w:tc>
          <w:tcPr>
            <w:tcW w:w="1956" w:type="dxa"/>
            <w:vMerge w:val="continue"/>
            <w:vAlign w:val="center"/>
          </w:tcPr>
          <w:p>
            <w:pPr>
              <w:jc w:val="center"/>
              <w:rPr>
                <w:rFonts w:hint="eastAsia" w:ascii="宋体" w:hAnsi="宋体" w:eastAsia="宋体" w:cs="宋体"/>
                <w:color w:val="000000"/>
                <w:szCs w:val="21"/>
              </w:rPr>
            </w:pPr>
          </w:p>
        </w:tc>
        <w:tc>
          <w:tcPr>
            <w:tcW w:w="5812" w:type="dxa"/>
            <w:vAlign w:val="center"/>
          </w:tcPr>
          <w:p>
            <w:pPr>
              <w:rPr>
                <w:rFonts w:hint="eastAsia" w:ascii="宋体" w:hAnsi="宋体" w:eastAsia="宋体" w:cs="宋体"/>
                <w:color w:val="000000"/>
                <w:szCs w:val="21"/>
                <w:lang w:bidi="en-US"/>
              </w:rPr>
            </w:pPr>
            <w:r>
              <w:rPr>
                <w:rFonts w:hint="eastAsia" w:ascii="宋体" w:hAnsi="宋体" w:eastAsia="宋体" w:cs="宋体"/>
                <w:color w:val="000000"/>
                <w:szCs w:val="21"/>
              </w:rPr>
              <w:t>主频:≥3.2GHz，≥8核，L3缓存≥12MB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9"/>
              </w:numPr>
              <w:jc w:val="center"/>
              <w:rPr>
                <w:rFonts w:hint="eastAsia" w:ascii="宋体" w:hAnsi="宋体" w:eastAsia="宋体" w:cs="宋体"/>
                <w:color w:val="000000"/>
                <w:szCs w:val="21"/>
              </w:rPr>
            </w:pPr>
          </w:p>
        </w:tc>
        <w:tc>
          <w:tcPr>
            <w:tcW w:w="1956" w:type="dxa"/>
            <w:vAlign w:val="center"/>
          </w:tcPr>
          <w:p>
            <w:pPr>
              <w:jc w:val="center"/>
              <w:rPr>
                <w:rFonts w:hint="eastAsia" w:ascii="宋体" w:hAnsi="宋体" w:eastAsia="宋体" w:cs="宋体"/>
                <w:color w:val="000000"/>
                <w:szCs w:val="21"/>
                <w:lang w:bidi="en-US"/>
              </w:rPr>
            </w:pPr>
            <w:r>
              <w:rPr>
                <w:rFonts w:hint="eastAsia" w:ascii="宋体" w:hAnsi="宋体" w:eastAsia="宋体" w:cs="宋体"/>
                <w:color w:val="000000"/>
                <w:szCs w:val="21"/>
              </w:rPr>
              <w:t>CPU颗数</w:t>
            </w:r>
          </w:p>
        </w:tc>
        <w:tc>
          <w:tcPr>
            <w:tcW w:w="5812" w:type="dxa"/>
            <w:vAlign w:val="center"/>
          </w:tcPr>
          <w:p>
            <w:pPr>
              <w:rPr>
                <w:rFonts w:hint="eastAsia" w:ascii="宋体" w:hAnsi="宋体" w:eastAsia="宋体" w:cs="宋体"/>
                <w:color w:val="000000"/>
                <w:szCs w:val="21"/>
                <w:lang w:bidi="en-US"/>
              </w:rPr>
            </w:pPr>
            <w:r>
              <w:rPr>
                <w:rFonts w:hint="eastAsia" w:ascii="宋体" w:hAnsi="宋体" w:eastAsia="宋体" w:cs="宋体"/>
                <w:color w:val="000000"/>
                <w:szCs w:val="21"/>
              </w:rPr>
              <w:t>≥2颗；</w:t>
            </w:r>
            <w:r>
              <w:rPr>
                <w:rFonts w:hint="eastAsia" w:ascii="宋体" w:hAnsi="宋体" w:eastAsia="宋体" w:cs="宋体"/>
                <w:color w:val="000000"/>
                <w:szCs w:val="21"/>
                <w:lang w:bidi="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9"/>
              </w:numPr>
              <w:jc w:val="center"/>
              <w:rPr>
                <w:rFonts w:hint="eastAsia" w:ascii="宋体" w:hAnsi="宋体" w:eastAsia="宋体" w:cs="宋体"/>
                <w:color w:val="000000"/>
                <w:szCs w:val="21"/>
              </w:rPr>
            </w:pPr>
          </w:p>
        </w:tc>
        <w:tc>
          <w:tcPr>
            <w:tcW w:w="1956" w:type="dxa"/>
            <w:vAlign w:val="center"/>
          </w:tcPr>
          <w:p>
            <w:pPr>
              <w:jc w:val="center"/>
              <w:rPr>
                <w:rFonts w:hint="eastAsia" w:ascii="宋体" w:hAnsi="宋体" w:eastAsia="宋体" w:cs="宋体"/>
                <w:color w:val="000000"/>
                <w:szCs w:val="21"/>
                <w:lang w:bidi="en-US"/>
              </w:rPr>
            </w:pPr>
            <w:r>
              <w:rPr>
                <w:rFonts w:hint="eastAsia" w:ascii="宋体" w:hAnsi="宋体" w:eastAsia="宋体" w:cs="宋体"/>
                <w:color w:val="000000"/>
                <w:szCs w:val="21"/>
              </w:rPr>
              <w:t>内存类型</w:t>
            </w:r>
          </w:p>
        </w:tc>
        <w:tc>
          <w:tcPr>
            <w:tcW w:w="5812" w:type="dxa"/>
            <w:vAlign w:val="center"/>
          </w:tcPr>
          <w:p>
            <w:pPr>
              <w:rPr>
                <w:rFonts w:hint="eastAsia" w:ascii="宋体" w:hAnsi="宋体" w:eastAsia="宋体" w:cs="宋体"/>
                <w:color w:val="000000"/>
                <w:szCs w:val="21"/>
              </w:rPr>
            </w:pPr>
            <w:r>
              <w:rPr>
                <w:rFonts w:hint="eastAsia" w:ascii="宋体" w:hAnsi="宋体" w:eastAsia="宋体" w:cs="宋体"/>
                <w:color w:val="000000"/>
                <w:szCs w:val="21"/>
              </w:rPr>
              <w:t>内存类型：支持ECC DDR4  RDIMM /LRDIMM内存插槽</w:t>
            </w:r>
          </w:p>
          <w:p>
            <w:pPr>
              <w:rPr>
                <w:rFonts w:hint="eastAsia" w:ascii="宋体" w:hAnsi="宋体" w:eastAsia="宋体" w:cs="宋体"/>
                <w:color w:val="000000"/>
                <w:szCs w:val="21"/>
              </w:rPr>
            </w:pPr>
            <w:r>
              <w:rPr>
                <w:rFonts w:hint="eastAsia" w:ascii="宋体" w:hAnsi="宋体" w:eastAsia="宋体" w:cs="宋体"/>
                <w:color w:val="000000"/>
                <w:szCs w:val="21"/>
              </w:rPr>
              <w:t>内存槽位 最大支持 24个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9"/>
              </w:numPr>
              <w:jc w:val="center"/>
              <w:rPr>
                <w:rFonts w:hint="eastAsia" w:ascii="宋体" w:hAnsi="宋体" w:eastAsia="宋体" w:cs="宋体"/>
                <w:color w:val="000000"/>
                <w:szCs w:val="21"/>
              </w:rPr>
            </w:pPr>
          </w:p>
        </w:tc>
        <w:tc>
          <w:tcPr>
            <w:tcW w:w="1956"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内存容量</w:t>
            </w:r>
          </w:p>
        </w:tc>
        <w:tc>
          <w:tcPr>
            <w:tcW w:w="5812" w:type="dxa"/>
            <w:vAlign w:val="center"/>
          </w:tcPr>
          <w:p>
            <w:pPr>
              <w:rPr>
                <w:rFonts w:hint="eastAsia" w:ascii="宋体" w:hAnsi="宋体" w:eastAsia="宋体" w:cs="宋体"/>
                <w:color w:val="000000"/>
                <w:szCs w:val="21"/>
              </w:rPr>
            </w:pPr>
            <w:r>
              <w:rPr>
                <w:rFonts w:hint="eastAsia" w:ascii="宋体" w:hAnsi="宋体" w:eastAsia="宋体" w:cs="宋体"/>
                <w:color w:val="000000"/>
                <w:szCs w:val="21"/>
              </w:rPr>
              <w:t>≥256GB DDR4，主频率≥ 2933MHz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9"/>
              </w:numPr>
              <w:jc w:val="center"/>
              <w:rPr>
                <w:rFonts w:hint="eastAsia" w:ascii="宋体" w:hAnsi="宋体" w:eastAsia="宋体" w:cs="宋体"/>
                <w:color w:val="000000"/>
                <w:szCs w:val="21"/>
              </w:rPr>
            </w:pPr>
          </w:p>
        </w:tc>
        <w:tc>
          <w:tcPr>
            <w:tcW w:w="1956" w:type="dxa"/>
            <w:vAlign w:val="center"/>
          </w:tcPr>
          <w:p>
            <w:pPr>
              <w:jc w:val="center"/>
              <w:rPr>
                <w:rFonts w:hint="eastAsia" w:ascii="宋体" w:hAnsi="宋体" w:eastAsia="宋体" w:cs="宋体"/>
                <w:color w:val="000000"/>
                <w:szCs w:val="21"/>
                <w:lang w:bidi="en-US"/>
              </w:rPr>
            </w:pPr>
            <w:r>
              <w:rPr>
                <w:rFonts w:hint="eastAsia" w:ascii="宋体" w:hAnsi="宋体" w:eastAsia="宋体" w:cs="宋体"/>
                <w:color w:val="000000"/>
                <w:szCs w:val="21"/>
              </w:rPr>
              <w:t>硬盘容量</w:t>
            </w:r>
          </w:p>
        </w:tc>
        <w:tc>
          <w:tcPr>
            <w:tcW w:w="5812" w:type="dxa"/>
            <w:vAlign w:val="center"/>
          </w:tcPr>
          <w:p>
            <w:pPr>
              <w:rPr>
                <w:rFonts w:hint="eastAsia" w:ascii="宋体" w:hAnsi="宋体" w:eastAsia="宋体" w:cs="宋体"/>
                <w:color w:val="000000"/>
                <w:szCs w:val="21"/>
              </w:rPr>
            </w:pPr>
            <w:r>
              <w:rPr>
                <w:rFonts w:hint="eastAsia" w:ascii="宋体" w:hAnsi="宋体" w:eastAsia="宋体" w:cs="宋体"/>
                <w:color w:val="000000"/>
                <w:szCs w:val="21"/>
              </w:rPr>
              <w:t>≥2块；</w:t>
            </w:r>
          </w:p>
          <w:p>
            <w:pPr>
              <w:rPr>
                <w:rFonts w:hint="eastAsia" w:ascii="宋体" w:hAnsi="宋体" w:eastAsia="宋体" w:cs="宋体"/>
                <w:color w:val="000000"/>
                <w:szCs w:val="21"/>
              </w:rPr>
            </w:pPr>
            <w:r>
              <w:rPr>
                <w:rFonts w:hint="eastAsia" w:ascii="宋体" w:hAnsi="宋体" w:eastAsia="宋体" w:cs="宋体"/>
                <w:color w:val="000000"/>
                <w:szCs w:val="21"/>
              </w:rPr>
              <w:t>每块≥480G企业级 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9"/>
              </w:numPr>
              <w:jc w:val="center"/>
              <w:rPr>
                <w:rFonts w:hint="eastAsia" w:ascii="宋体" w:hAnsi="宋体" w:eastAsia="宋体" w:cs="宋体"/>
                <w:color w:val="000000"/>
                <w:szCs w:val="21"/>
              </w:rPr>
            </w:pPr>
          </w:p>
        </w:tc>
        <w:tc>
          <w:tcPr>
            <w:tcW w:w="1956"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RAID模式</w:t>
            </w:r>
          </w:p>
        </w:tc>
        <w:tc>
          <w:tcPr>
            <w:tcW w:w="5812" w:type="dxa"/>
            <w:vAlign w:val="center"/>
          </w:tcPr>
          <w:p>
            <w:pPr>
              <w:rPr>
                <w:rFonts w:hint="eastAsia" w:ascii="宋体" w:hAnsi="宋体" w:eastAsia="宋体" w:cs="宋体"/>
                <w:color w:val="000000"/>
                <w:szCs w:val="21"/>
                <w:lang w:bidi="en-US"/>
              </w:rPr>
            </w:pPr>
            <w:r>
              <w:rPr>
                <w:rFonts w:hint="eastAsia" w:ascii="宋体" w:hAnsi="宋体" w:eastAsia="宋体" w:cs="宋体"/>
                <w:color w:val="000000"/>
                <w:szCs w:val="21"/>
                <w:lang w:bidi="en-US"/>
              </w:rPr>
              <w:t>配置磁盘阵列卡，缓存≥2G，</w:t>
            </w:r>
          </w:p>
          <w:p>
            <w:pPr>
              <w:rPr>
                <w:rFonts w:hint="eastAsia" w:ascii="宋体" w:hAnsi="宋体" w:eastAsia="宋体" w:cs="宋体"/>
                <w:color w:val="000000"/>
                <w:szCs w:val="21"/>
              </w:rPr>
            </w:pPr>
            <w:r>
              <w:rPr>
                <w:rFonts w:hint="eastAsia" w:ascii="宋体" w:hAnsi="宋体" w:eastAsia="宋体" w:cs="宋体"/>
                <w:color w:val="000000"/>
                <w:szCs w:val="21"/>
                <w:lang w:bidi="en-US"/>
              </w:rPr>
              <w:t>支持RAID 0/1/10/5/50/6/60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9"/>
              </w:numPr>
              <w:jc w:val="center"/>
              <w:rPr>
                <w:rFonts w:hint="eastAsia" w:ascii="宋体" w:hAnsi="宋体" w:eastAsia="宋体" w:cs="宋体"/>
                <w:color w:val="000000"/>
                <w:szCs w:val="21"/>
              </w:rPr>
            </w:pPr>
          </w:p>
        </w:tc>
        <w:tc>
          <w:tcPr>
            <w:tcW w:w="1956"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GPU卡</w:t>
            </w:r>
          </w:p>
        </w:tc>
        <w:tc>
          <w:tcPr>
            <w:tcW w:w="5812" w:type="dxa"/>
            <w:vAlign w:val="center"/>
          </w:tcPr>
          <w:p>
            <w:pPr>
              <w:rPr>
                <w:rFonts w:hint="eastAsia" w:ascii="宋体" w:hAnsi="宋体" w:eastAsia="宋体" w:cs="宋体"/>
                <w:color w:val="000000"/>
                <w:szCs w:val="21"/>
              </w:rPr>
            </w:pPr>
            <w:r>
              <w:rPr>
                <w:rFonts w:hint="eastAsia" w:ascii="宋体" w:hAnsi="宋体" w:eastAsia="宋体" w:cs="宋体"/>
                <w:color w:val="000000"/>
                <w:szCs w:val="21"/>
              </w:rPr>
              <w:t>配置8块≥NVIDIA服务器专用GPU计算卡；</w:t>
            </w:r>
          </w:p>
          <w:p>
            <w:pPr>
              <w:rPr>
                <w:rFonts w:hint="eastAsia" w:ascii="宋体" w:hAnsi="宋体" w:eastAsia="宋体" w:cs="宋体"/>
                <w:color w:val="000000"/>
                <w:szCs w:val="21"/>
                <w:lang w:bidi="en-US"/>
              </w:rPr>
            </w:pPr>
            <w:r>
              <w:rPr>
                <w:rFonts w:hint="eastAsia" w:ascii="宋体" w:hAnsi="宋体" w:eastAsia="宋体" w:cs="宋体"/>
                <w:color w:val="000000"/>
                <w:szCs w:val="21"/>
                <w:lang w:bidi="en-US"/>
              </w:rPr>
              <w:t>每块GPU显存≥80GB； FP64 Tensor Core≥19.5 TFLOPS；Tensor Float 32 ≥156 TFLOPS;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9"/>
              </w:numPr>
              <w:jc w:val="center"/>
              <w:rPr>
                <w:rFonts w:hint="eastAsia" w:ascii="宋体" w:hAnsi="宋体" w:eastAsia="宋体" w:cs="宋体"/>
                <w:color w:val="000000"/>
                <w:szCs w:val="21"/>
              </w:rPr>
            </w:pPr>
          </w:p>
        </w:tc>
        <w:tc>
          <w:tcPr>
            <w:tcW w:w="1956" w:type="dxa"/>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网络</w:t>
            </w:r>
          </w:p>
        </w:tc>
        <w:tc>
          <w:tcPr>
            <w:tcW w:w="5812" w:type="dxa"/>
            <w:vAlign w:val="center"/>
          </w:tcPr>
          <w:p>
            <w:pPr>
              <w:rPr>
                <w:rFonts w:hint="eastAsia" w:ascii="宋体" w:hAnsi="宋体" w:eastAsia="宋体" w:cs="宋体"/>
                <w:color w:val="000000"/>
                <w:szCs w:val="21"/>
                <w:lang w:bidi="en-US"/>
              </w:rPr>
            </w:pPr>
            <w:r>
              <w:rPr>
                <w:rFonts w:hint="eastAsia" w:ascii="宋体" w:hAnsi="宋体" w:eastAsia="宋体" w:cs="宋体"/>
                <w:color w:val="000000"/>
                <w:szCs w:val="21"/>
                <w:lang w:bidi="en-US"/>
              </w:rPr>
              <w:t>≥双口万兆光口网卡； ≥双口千兆电口网卡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9"/>
              </w:numPr>
              <w:jc w:val="center"/>
              <w:rPr>
                <w:rFonts w:hint="eastAsia" w:ascii="宋体" w:hAnsi="宋体" w:eastAsia="宋体" w:cs="宋体"/>
                <w:color w:val="000000"/>
                <w:szCs w:val="21"/>
              </w:rPr>
            </w:pPr>
          </w:p>
        </w:tc>
        <w:tc>
          <w:tcPr>
            <w:tcW w:w="1956" w:type="dxa"/>
            <w:vAlign w:val="center"/>
          </w:tcPr>
          <w:p>
            <w:pPr>
              <w:jc w:val="center"/>
              <w:rPr>
                <w:rFonts w:hint="eastAsia" w:ascii="宋体" w:hAnsi="宋体" w:eastAsia="宋体" w:cs="宋体"/>
                <w:color w:val="000000"/>
                <w:szCs w:val="21"/>
                <w:lang w:bidi="en-US"/>
              </w:rPr>
            </w:pPr>
            <w:r>
              <w:rPr>
                <w:rFonts w:hint="eastAsia" w:ascii="宋体" w:hAnsi="宋体" w:eastAsia="宋体" w:cs="宋体"/>
                <w:color w:val="000000"/>
                <w:szCs w:val="21"/>
                <w:lang w:bidi="en-US"/>
              </w:rPr>
              <w:t>系统管理</w:t>
            </w:r>
          </w:p>
        </w:tc>
        <w:tc>
          <w:tcPr>
            <w:tcW w:w="5812" w:type="dxa"/>
            <w:vAlign w:val="center"/>
          </w:tcPr>
          <w:p>
            <w:pPr>
              <w:rPr>
                <w:rFonts w:hint="eastAsia" w:ascii="宋体" w:hAnsi="宋体" w:eastAsia="宋体" w:cs="宋体"/>
                <w:color w:val="000000"/>
                <w:szCs w:val="21"/>
                <w:lang w:bidi="en-US"/>
              </w:rPr>
            </w:pPr>
            <w:r>
              <w:rPr>
                <w:rFonts w:hint="eastAsia" w:ascii="宋体" w:hAnsi="宋体" w:eastAsia="宋体" w:cs="宋体"/>
                <w:color w:val="000000"/>
                <w:szCs w:val="21"/>
                <w:lang w:bidi="en-US"/>
              </w:rPr>
              <w:t>可管理和维护性:</w:t>
            </w:r>
            <w:r>
              <w:rPr>
                <w:rFonts w:hint="eastAsia" w:ascii="宋体" w:hAnsi="宋体" w:eastAsia="宋体" w:cs="宋体"/>
                <w:color w:val="000000"/>
                <w:szCs w:val="21"/>
                <w:lang w:bidi="en-US"/>
              </w:rPr>
              <w:br/>
            </w:r>
            <w:r>
              <w:rPr>
                <w:rFonts w:hint="eastAsia" w:ascii="宋体" w:hAnsi="宋体" w:eastAsia="宋体" w:cs="宋体"/>
                <w:color w:val="000000"/>
                <w:szCs w:val="21"/>
                <w:lang w:bidi="en-US"/>
              </w:rPr>
              <w:t>1. 集成系统管理处理器支持：对服务器进行全面精细的监控，并且提供告警和详细的日志。能够独立显示主板电源故障、 CPU 的内核温度、电压、硬盘故障、风扇转速及温度故障、网卡 MCE/AER 错误、系统电源故障、总线故障、系统宕机故障等。同时还提供了 CPU 、内存、网卡和硬盘等各类部件信息的查询。同时支持对告警日志、错误日志、部件信息等实现一键收集辅助问题定位。</w:t>
            </w:r>
            <w:r>
              <w:rPr>
                <w:rFonts w:hint="eastAsia" w:ascii="宋体" w:hAnsi="宋体" w:eastAsia="宋体" w:cs="宋体"/>
                <w:color w:val="000000"/>
                <w:szCs w:val="21"/>
                <w:lang w:bidi="en-US"/>
              </w:rPr>
              <w:br/>
            </w:r>
            <w:r>
              <w:rPr>
                <w:rFonts w:hint="eastAsia" w:ascii="宋体" w:hAnsi="宋体" w:eastAsia="宋体" w:cs="宋体"/>
                <w:color w:val="000000"/>
                <w:szCs w:val="21"/>
                <w:lang w:bidi="en-US"/>
              </w:rPr>
              <w:t>2.具有图形管理界面、BIOS界面及其他高级管理功能；</w:t>
            </w:r>
            <w:r>
              <w:rPr>
                <w:rFonts w:hint="eastAsia" w:ascii="宋体" w:hAnsi="宋体" w:eastAsia="宋体" w:cs="宋体"/>
                <w:color w:val="000000"/>
                <w:szCs w:val="21"/>
                <w:lang w:bidi="en-US"/>
              </w:rPr>
              <w:br/>
            </w:r>
            <w:r>
              <w:rPr>
                <w:rFonts w:hint="eastAsia" w:ascii="宋体" w:hAnsi="宋体" w:eastAsia="宋体" w:cs="宋体"/>
                <w:color w:val="000000"/>
                <w:szCs w:val="21"/>
                <w:lang w:bidi="en-US"/>
              </w:rPr>
              <w:t>3.配置独立的远程管理控制端口，支持远程监控图形界面, 可实现与操作系统无关的远程对服务器的完全控制，包括远程的开机、关机、重启、虚拟软驱、虚拟光驱等操作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9"/>
              </w:numPr>
              <w:jc w:val="center"/>
              <w:rPr>
                <w:rFonts w:hint="eastAsia" w:ascii="宋体" w:hAnsi="宋体" w:eastAsia="宋体" w:cs="宋体"/>
                <w:color w:val="000000"/>
                <w:szCs w:val="21"/>
              </w:rPr>
            </w:pPr>
          </w:p>
        </w:tc>
        <w:tc>
          <w:tcPr>
            <w:tcW w:w="1956" w:type="dxa"/>
            <w:vAlign w:val="center"/>
          </w:tcPr>
          <w:p>
            <w:pPr>
              <w:jc w:val="center"/>
              <w:rPr>
                <w:rFonts w:hint="eastAsia" w:ascii="宋体" w:hAnsi="宋体" w:eastAsia="宋体" w:cs="宋体"/>
                <w:color w:val="000000"/>
                <w:szCs w:val="21"/>
                <w:lang w:bidi="en-US"/>
              </w:rPr>
            </w:pPr>
            <w:r>
              <w:rPr>
                <w:rFonts w:hint="eastAsia" w:ascii="宋体" w:hAnsi="宋体" w:eastAsia="宋体" w:cs="宋体"/>
                <w:color w:val="000000"/>
                <w:szCs w:val="21"/>
                <w:lang w:bidi="en-US"/>
              </w:rPr>
              <w:t>电源类型</w:t>
            </w:r>
          </w:p>
        </w:tc>
        <w:tc>
          <w:tcPr>
            <w:tcW w:w="5812" w:type="dxa"/>
            <w:vAlign w:val="center"/>
          </w:tcPr>
          <w:p>
            <w:pPr>
              <w:rPr>
                <w:rFonts w:hint="eastAsia" w:ascii="宋体" w:hAnsi="宋体" w:eastAsia="宋体" w:cs="宋体"/>
                <w:color w:val="000000"/>
                <w:szCs w:val="21"/>
                <w:lang w:bidi="en-US"/>
              </w:rPr>
            </w:pPr>
            <w:r>
              <w:rPr>
                <w:rFonts w:hint="eastAsia" w:ascii="宋体" w:hAnsi="宋体" w:eastAsia="宋体" w:cs="宋体"/>
                <w:color w:val="000000"/>
                <w:szCs w:val="21"/>
                <w:lang w:bidi="en-US"/>
              </w:rPr>
              <w:t>冗余电源模块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9"/>
              </w:numPr>
              <w:jc w:val="center"/>
              <w:rPr>
                <w:rFonts w:hint="eastAsia" w:ascii="宋体" w:hAnsi="宋体" w:eastAsia="宋体" w:cs="宋体"/>
                <w:color w:val="000000"/>
                <w:szCs w:val="21"/>
              </w:rPr>
            </w:pPr>
          </w:p>
        </w:tc>
        <w:tc>
          <w:tcPr>
            <w:tcW w:w="1956" w:type="dxa"/>
            <w:vAlign w:val="center"/>
          </w:tcPr>
          <w:p>
            <w:pPr>
              <w:jc w:val="center"/>
              <w:rPr>
                <w:rFonts w:hint="eastAsia" w:ascii="宋体" w:hAnsi="宋体" w:eastAsia="宋体" w:cs="宋体"/>
                <w:color w:val="000000"/>
                <w:szCs w:val="21"/>
                <w:lang w:bidi="en-US"/>
              </w:rPr>
            </w:pPr>
            <w:r>
              <w:rPr>
                <w:rFonts w:hint="eastAsia" w:ascii="宋体" w:hAnsi="宋体" w:eastAsia="宋体" w:cs="宋体"/>
                <w:color w:val="000000"/>
                <w:szCs w:val="21"/>
                <w:lang w:bidi="en-US"/>
              </w:rPr>
              <w:t>散热管理</w:t>
            </w:r>
          </w:p>
        </w:tc>
        <w:tc>
          <w:tcPr>
            <w:tcW w:w="5812" w:type="dxa"/>
            <w:vAlign w:val="center"/>
          </w:tcPr>
          <w:p>
            <w:pPr>
              <w:rPr>
                <w:rFonts w:hint="eastAsia" w:ascii="宋体" w:hAnsi="宋体" w:eastAsia="宋体" w:cs="宋体"/>
                <w:color w:val="000000"/>
                <w:szCs w:val="21"/>
                <w:lang w:bidi="en-US"/>
              </w:rPr>
            </w:pPr>
            <w:r>
              <w:rPr>
                <w:rFonts w:hint="eastAsia" w:ascii="宋体" w:hAnsi="宋体" w:eastAsia="宋体" w:cs="宋体"/>
                <w:color w:val="000000"/>
                <w:szCs w:val="21"/>
                <w:lang w:bidi="en-US"/>
              </w:rPr>
              <w:t>满配冗余静音风扇，支持单风扇失效，风扇支持热拔插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04" w:type="dxa"/>
            <w:vAlign w:val="center"/>
          </w:tcPr>
          <w:p>
            <w:pPr>
              <w:numPr>
                <w:ilvl w:val="0"/>
                <w:numId w:val="59"/>
              </w:numPr>
              <w:jc w:val="center"/>
              <w:rPr>
                <w:rFonts w:hint="eastAsia" w:ascii="宋体" w:hAnsi="宋体" w:eastAsia="宋体" w:cs="宋体"/>
                <w:color w:val="000000"/>
                <w:szCs w:val="21"/>
              </w:rPr>
            </w:pPr>
          </w:p>
        </w:tc>
        <w:tc>
          <w:tcPr>
            <w:tcW w:w="1956" w:type="dxa"/>
            <w:vAlign w:val="center"/>
          </w:tcPr>
          <w:p>
            <w:pPr>
              <w:jc w:val="center"/>
              <w:rPr>
                <w:rFonts w:hint="eastAsia" w:ascii="宋体" w:hAnsi="宋体" w:eastAsia="宋体" w:cs="宋体"/>
                <w:color w:val="000000"/>
                <w:szCs w:val="21"/>
                <w:lang w:bidi="en-US"/>
              </w:rPr>
            </w:pPr>
            <w:r>
              <w:rPr>
                <w:rFonts w:hint="eastAsia" w:ascii="宋体" w:hAnsi="宋体" w:eastAsia="宋体" w:cs="宋体"/>
                <w:color w:val="000000"/>
                <w:szCs w:val="21"/>
                <w:lang w:bidi="en-US"/>
              </w:rPr>
              <w:t>实施交付</w:t>
            </w:r>
          </w:p>
        </w:tc>
        <w:tc>
          <w:tcPr>
            <w:tcW w:w="5812" w:type="dxa"/>
            <w:vAlign w:val="center"/>
          </w:tcPr>
          <w:p>
            <w:pPr>
              <w:rPr>
                <w:rFonts w:hint="eastAsia" w:ascii="宋体" w:hAnsi="宋体" w:eastAsia="宋体" w:cs="宋体"/>
                <w:color w:val="000000"/>
                <w:szCs w:val="21"/>
              </w:rPr>
            </w:pPr>
            <w:r>
              <w:rPr>
                <w:rFonts w:hint="eastAsia" w:ascii="宋体" w:hAnsi="宋体" w:eastAsia="宋体" w:cs="宋体"/>
                <w:color w:val="000000"/>
                <w:szCs w:val="21"/>
              </w:rPr>
              <w:t>须提供对交付服务器根据最终用户需求，提供上架服务，并安装配置相应的OS及相关通用应用；</w:t>
            </w:r>
          </w:p>
        </w:tc>
      </w:tr>
    </w:tbl>
    <w:p>
      <w:pPr>
        <w:pStyle w:val="2"/>
        <w:rPr>
          <w:rFonts w:hint="eastAsia" w:ascii="宋体" w:hAnsi="宋体" w:eastAsia="宋体" w:cs="宋体"/>
          <w:color w:val="000000"/>
        </w:rPr>
      </w:pPr>
    </w:p>
    <w:p>
      <w:pPr>
        <w:tabs>
          <w:tab w:val="left" w:pos="1560"/>
        </w:tabs>
        <w:rPr>
          <w:rFonts w:hint="eastAsia" w:ascii="宋体" w:hAnsi="宋体" w:eastAsia="宋体" w:cs="宋体"/>
        </w:rPr>
      </w:pPr>
      <w:r>
        <w:rPr>
          <w:rFonts w:hint="eastAsia" w:ascii="宋体" w:hAnsi="宋体" w:eastAsia="宋体" w:cs="宋体"/>
        </w:rPr>
        <w:t>2.3.2.3、存储</w:t>
      </w:r>
    </w:p>
    <w:p>
      <w:pPr>
        <w:widowControl/>
        <w:numPr>
          <w:ilvl w:val="0"/>
          <w:numId w:val="60"/>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关键芯片国产：为保证核心数据安全，存储的关键芯片（系统 BMC 管理芯片、接口卡处理芯片、SSD 控制芯片）均为国产品牌，实现关键芯片自主可控，保障数据安全可靠，并提供具备CNAS(中国合格评定国家认可委员会)资质的</w:t>
      </w:r>
      <w:r>
        <w:rPr>
          <w:rFonts w:hint="eastAsia" w:ascii="宋体" w:hAnsi="宋体" w:eastAsia="宋体" w:cs="宋体"/>
        </w:rPr>
        <w:t>第三方检测机构出具</w:t>
      </w:r>
      <w:r>
        <w:rPr>
          <w:rFonts w:hint="eastAsia" w:ascii="宋体" w:hAnsi="宋体" w:eastAsia="宋体" w:cs="宋体"/>
          <w:color w:val="000000"/>
          <w:szCs w:val="21"/>
        </w:rPr>
        <w:t>的测试报告，并有设备厂商盖章。</w:t>
      </w:r>
    </w:p>
    <w:p>
      <w:pPr>
        <w:widowControl/>
        <w:numPr>
          <w:ilvl w:val="0"/>
          <w:numId w:val="60"/>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体系架构：A-A架构，负载均衡</w:t>
      </w:r>
      <w:r>
        <w:rPr>
          <w:rFonts w:hint="eastAsia" w:ascii="宋体" w:hAnsi="宋体" w:eastAsia="宋体" w:cs="宋体"/>
          <w:color w:val="000000"/>
          <w:szCs w:val="21"/>
        </w:rPr>
        <w:tab/>
      </w:r>
      <w:r>
        <w:rPr>
          <w:rFonts w:hint="eastAsia" w:ascii="宋体" w:hAnsi="宋体" w:eastAsia="宋体" w:cs="宋体"/>
          <w:color w:val="000000"/>
          <w:szCs w:val="21"/>
        </w:rPr>
        <w:t>存储系统采用对称AA架构，LUN无控制器归属，在多控配置下，能够负载到所有控制器，CPU利用率差异小于5%。</w:t>
      </w:r>
    </w:p>
    <w:p>
      <w:pPr>
        <w:widowControl/>
        <w:numPr>
          <w:ilvl w:val="0"/>
          <w:numId w:val="60"/>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体系架构：SAN 和 NAS一体化 AA 双活</w:t>
      </w:r>
      <w:r>
        <w:rPr>
          <w:rFonts w:hint="eastAsia" w:ascii="宋体" w:hAnsi="宋体" w:eastAsia="宋体" w:cs="宋体"/>
          <w:color w:val="000000"/>
          <w:szCs w:val="21"/>
        </w:rPr>
        <w:tab/>
      </w:r>
      <w:r>
        <w:rPr>
          <w:rFonts w:hint="eastAsia" w:ascii="宋体" w:hAnsi="宋体" w:eastAsia="宋体" w:cs="宋体"/>
          <w:color w:val="000000"/>
          <w:szCs w:val="21"/>
        </w:rPr>
        <w:t>存储系统支持 SAN 和 NAS 免网关一体化Active-Active 双活，实现两套核心存储数据双活（对单个 LUN 和单个文件系统的访问可通过两个站点负载均衡到两套存储设备上），任何一套设备宕机均不影响上层业务系统运行。并提供具备CNAS(中国合格评定国家认可委员会)资质的</w:t>
      </w:r>
      <w:r>
        <w:rPr>
          <w:rFonts w:hint="eastAsia" w:ascii="宋体" w:hAnsi="宋体" w:eastAsia="宋体" w:cs="宋体"/>
        </w:rPr>
        <w:t>第三方检测机构出具</w:t>
      </w:r>
      <w:r>
        <w:rPr>
          <w:rFonts w:hint="eastAsia" w:ascii="宋体" w:hAnsi="宋体" w:eastAsia="宋体" w:cs="宋体"/>
          <w:color w:val="000000"/>
          <w:szCs w:val="21"/>
        </w:rPr>
        <w:t>的测试报告，并有设备厂商盖章。</w:t>
      </w:r>
    </w:p>
    <w:p>
      <w:pPr>
        <w:widowControl/>
        <w:numPr>
          <w:ilvl w:val="0"/>
          <w:numId w:val="60"/>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控制器扩展能力：支持控制器扩展，最大支持≥16控；可以跨控制器实现资源访问，LUN可以跨引擎, 自动负载均衡；控制器配置：配置2个控制器，单控制器处理器总核心数≥16核，CPU主频为 ≥2.1GHz。</w:t>
      </w:r>
    </w:p>
    <w:p>
      <w:pPr>
        <w:widowControl/>
        <w:numPr>
          <w:ilvl w:val="0"/>
          <w:numId w:val="60"/>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存储缓存容量：系统内总一级缓存容量配置≥256GB，且任意控制器一级缓存容量≥128GB（缓存不包含SSD磁盘、高速Flash及NAS控制器缓存）。</w:t>
      </w:r>
    </w:p>
    <w:p>
      <w:pPr>
        <w:widowControl/>
        <w:numPr>
          <w:ilvl w:val="0"/>
          <w:numId w:val="60"/>
        </w:numPr>
        <w:adjustRightInd w:val="0"/>
        <w:snapToGrid w:val="0"/>
        <w:spacing w:after="200"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前端主机通道接口数量：配置≥ 8 *16Gbps FC接口 （满配多模光模块）；配置≥ 8 *10Gb Eth接口（满配多模光模块）；配置≥ 8 *1Gb Eth接口。</w:t>
      </w:r>
    </w:p>
    <w:p>
      <w:pPr>
        <w:widowControl/>
        <w:numPr>
          <w:ilvl w:val="0"/>
          <w:numId w:val="60"/>
        </w:numPr>
        <w:adjustRightInd w:val="0"/>
        <w:snapToGrid w:val="0"/>
        <w:spacing w:after="200" w:line="360" w:lineRule="auto"/>
        <w:jc w:val="left"/>
        <w:rPr>
          <w:rFonts w:hint="eastAsia" w:ascii="宋体" w:hAnsi="宋体" w:eastAsia="宋体" w:cs="宋体"/>
          <w:color w:val="000000"/>
          <w:szCs w:val="21"/>
        </w:rPr>
      </w:pPr>
      <w:r>
        <w:rPr>
          <w:rFonts w:hint="eastAsia" w:ascii="宋体" w:hAnsi="宋体" w:eastAsia="宋体" w:cs="宋体"/>
          <w:color w:val="000000"/>
          <w:szCs w:val="21"/>
        </w:rPr>
        <w:t>后端磁盘通道：配置后端磁盘通道带宽≥192Gbps。</w:t>
      </w:r>
    </w:p>
    <w:p>
      <w:pPr>
        <w:widowControl/>
        <w:numPr>
          <w:ilvl w:val="0"/>
          <w:numId w:val="61"/>
        </w:numPr>
        <w:adjustRightInd w:val="0"/>
        <w:snapToGrid w:val="0"/>
        <w:spacing w:after="200" w:line="360" w:lineRule="auto"/>
        <w:jc w:val="left"/>
        <w:rPr>
          <w:rFonts w:hint="eastAsia" w:ascii="宋体" w:hAnsi="宋体" w:eastAsia="宋体" w:cs="宋体"/>
          <w:color w:val="000000"/>
          <w:szCs w:val="21"/>
        </w:rPr>
      </w:pPr>
      <w:r>
        <w:rPr>
          <w:rFonts w:hint="eastAsia" w:ascii="宋体" w:hAnsi="宋体" w:eastAsia="宋体" w:cs="宋体"/>
          <w:color w:val="000000"/>
          <w:szCs w:val="21"/>
        </w:rPr>
        <w:t>支持硬盘类型：支持企业级NVMe 双端口 TLC SSD、SAS TLC SSD，SAS，NL-SAS等硬盘。</w:t>
      </w:r>
    </w:p>
    <w:p>
      <w:pPr>
        <w:widowControl/>
        <w:numPr>
          <w:ilvl w:val="0"/>
          <w:numId w:val="61"/>
        </w:numPr>
        <w:adjustRightInd w:val="0"/>
        <w:snapToGrid w:val="0"/>
        <w:spacing w:after="200" w:line="360" w:lineRule="auto"/>
        <w:jc w:val="left"/>
        <w:rPr>
          <w:rFonts w:hint="eastAsia" w:ascii="宋体" w:hAnsi="宋体" w:eastAsia="宋体" w:cs="宋体"/>
          <w:color w:val="000000"/>
          <w:szCs w:val="21"/>
        </w:rPr>
      </w:pPr>
      <w:r>
        <w:rPr>
          <w:rFonts w:hint="eastAsia" w:ascii="宋体" w:hAnsi="宋体" w:eastAsia="宋体" w:cs="宋体"/>
          <w:color w:val="000000"/>
          <w:szCs w:val="21"/>
        </w:rPr>
        <w:t>配置硬盘：配置≥8个3.84TB SAS SSD硬盘，配置≥16个2.4TB SAS硬盘。</w:t>
      </w:r>
    </w:p>
    <w:p>
      <w:pPr>
        <w:widowControl/>
        <w:numPr>
          <w:ilvl w:val="0"/>
          <w:numId w:val="61"/>
        </w:numPr>
        <w:adjustRightInd w:val="0"/>
        <w:snapToGrid w:val="0"/>
        <w:spacing w:after="200" w:line="360" w:lineRule="auto"/>
        <w:jc w:val="left"/>
        <w:rPr>
          <w:rFonts w:hint="eastAsia" w:ascii="宋体" w:hAnsi="宋体" w:eastAsia="宋体" w:cs="宋体"/>
          <w:color w:val="000000"/>
          <w:szCs w:val="21"/>
        </w:rPr>
      </w:pPr>
      <w:r>
        <w:rPr>
          <w:rFonts w:hint="eastAsia" w:ascii="宋体" w:hAnsi="宋体" w:eastAsia="宋体" w:cs="宋体"/>
          <w:color w:val="000000"/>
          <w:szCs w:val="21"/>
        </w:rPr>
        <w:t>支持RAID：在同一个RAID组内容忍任意3盘同时失效，数据不丢&amp;不中断业务。</w:t>
      </w:r>
    </w:p>
    <w:p>
      <w:pPr>
        <w:widowControl/>
        <w:numPr>
          <w:ilvl w:val="0"/>
          <w:numId w:val="61"/>
        </w:numPr>
        <w:adjustRightInd w:val="0"/>
        <w:snapToGrid w:val="0"/>
        <w:spacing w:after="200" w:line="360" w:lineRule="auto"/>
        <w:jc w:val="left"/>
        <w:rPr>
          <w:rFonts w:hint="eastAsia" w:ascii="宋体" w:hAnsi="宋体" w:eastAsia="宋体" w:cs="宋体"/>
          <w:color w:val="000000"/>
          <w:szCs w:val="21"/>
        </w:rPr>
      </w:pPr>
      <w:r>
        <w:rPr>
          <w:rFonts w:hint="eastAsia" w:ascii="宋体" w:hAnsi="宋体" w:eastAsia="宋体" w:cs="宋体"/>
          <w:color w:val="000000"/>
          <w:szCs w:val="21"/>
        </w:rPr>
        <w:t>高级软件：配置精简磁盘、快照、持续数据保护、QoS、数据销毁、克隆、复制、多租户、双活、智能数据迁移、异构虚拟化功能授权。</w:t>
      </w:r>
    </w:p>
    <w:p>
      <w:pPr>
        <w:widowControl/>
        <w:numPr>
          <w:ilvl w:val="0"/>
          <w:numId w:val="61"/>
        </w:numPr>
        <w:adjustRightInd w:val="0"/>
        <w:snapToGrid w:val="0"/>
        <w:spacing w:after="200" w:line="360" w:lineRule="auto"/>
        <w:jc w:val="left"/>
        <w:rPr>
          <w:rFonts w:hint="eastAsia"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存储专用多路径软件：存储厂商提供专有多路径（非操作系统自带多路径）软件，提供故障切换和负载均衡功能，支持银河麒麟、中标麒麟、凝思（Rocky）、红旗（Red Flag）等主流国产操作系统并提供操作系统厂商兼容性证书复印件。</w:t>
      </w:r>
    </w:p>
    <w:p>
      <w:pPr>
        <w:rPr>
          <w:rFonts w:hint="eastAsia" w:ascii="宋体" w:hAnsi="宋体" w:eastAsia="宋体" w:cs="宋体"/>
          <w:color w:val="000000"/>
          <w:szCs w:val="21"/>
        </w:rPr>
      </w:pPr>
    </w:p>
    <w:p>
      <w:pPr>
        <w:tabs>
          <w:tab w:val="left" w:pos="1560"/>
        </w:tabs>
        <w:rPr>
          <w:rFonts w:hint="eastAsia" w:ascii="宋体" w:hAnsi="宋体" w:eastAsia="宋体" w:cs="宋体"/>
        </w:rPr>
      </w:pPr>
      <w:r>
        <w:rPr>
          <w:rFonts w:hint="eastAsia" w:ascii="宋体" w:hAnsi="宋体" w:eastAsia="宋体" w:cs="宋体"/>
        </w:rPr>
        <w:t>2.3.2.4光纤交换机</w:t>
      </w:r>
    </w:p>
    <w:p>
      <w:pPr>
        <w:pStyle w:val="2"/>
        <w:widowControl/>
        <w:numPr>
          <w:ilvl w:val="0"/>
          <w:numId w:val="62"/>
        </w:numPr>
        <w:adjustRightInd w:val="0"/>
        <w:snapToGrid w:val="0"/>
        <w:spacing w:line="360" w:lineRule="auto"/>
        <w:ind w:left="1050" w:hanging="420"/>
        <w:jc w:val="left"/>
        <w:rPr>
          <w:rFonts w:hint="eastAsia" w:ascii="宋体" w:hAnsi="宋体" w:eastAsia="宋体" w:cs="宋体"/>
          <w:color w:val="000000"/>
          <w:szCs w:val="21"/>
        </w:rPr>
      </w:pPr>
      <w:r>
        <w:rPr>
          <w:rFonts w:hint="eastAsia" w:ascii="宋体" w:hAnsi="宋体" w:eastAsia="宋体" w:cs="宋体"/>
          <w:color w:val="000000"/>
          <w:szCs w:val="21"/>
        </w:rPr>
        <w:t>支持最大FC端口数：支持最大FC端口数≥64。</w:t>
      </w:r>
    </w:p>
    <w:p>
      <w:pPr>
        <w:pStyle w:val="2"/>
        <w:widowControl/>
        <w:numPr>
          <w:ilvl w:val="0"/>
          <w:numId w:val="62"/>
        </w:numPr>
        <w:adjustRightInd w:val="0"/>
        <w:snapToGrid w:val="0"/>
        <w:spacing w:line="360" w:lineRule="auto"/>
        <w:ind w:left="1050" w:hanging="420"/>
        <w:jc w:val="left"/>
        <w:rPr>
          <w:rFonts w:hint="eastAsia" w:ascii="宋体" w:hAnsi="宋体" w:eastAsia="宋体" w:cs="宋体"/>
          <w:color w:val="000000"/>
          <w:szCs w:val="21"/>
        </w:rPr>
      </w:pPr>
      <w:r>
        <w:rPr>
          <w:rFonts w:hint="eastAsia" w:ascii="宋体" w:hAnsi="宋体" w:eastAsia="宋体" w:cs="宋体"/>
          <w:color w:val="000000"/>
          <w:szCs w:val="21"/>
        </w:rPr>
        <w:t>支持最大速率：支持最大速率≥32Gbps。</w:t>
      </w:r>
    </w:p>
    <w:p>
      <w:pPr>
        <w:pStyle w:val="2"/>
        <w:widowControl/>
        <w:numPr>
          <w:ilvl w:val="0"/>
          <w:numId w:val="62"/>
        </w:numPr>
        <w:adjustRightInd w:val="0"/>
        <w:snapToGrid w:val="0"/>
        <w:spacing w:line="360" w:lineRule="auto"/>
        <w:ind w:left="1050" w:hanging="420"/>
        <w:jc w:val="left"/>
        <w:rPr>
          <w:rFonts w:hint="eastAsia" w:ascii="宋体" w:hAnsi="宋体" w:eastAsia="宋体" w:cs="宋体"/>
          <w:color w:val="000000"/>
          <w:szCs w:val="21"/>
        </w:rPr>
      </w:pPr>
      <w:r>
        <w:rPr>
          <w:rFonts w:hint="eastAsia" w:ascii="宋体" w:hAnsi="宋体" w:eastAsia="宋体" w:cs="宋体"/>
          <w:color w:val="000000"/>
          <w:szCs w:val="21"/>
        </w:rPr>
        <w:t>单机聚合带宽：单机聚合带宽≥2T。</w:t>
      </w:r>
    </w:p>
    <w:p>
      <w:pPr>
        <w:pStyle w:val="2"/>
        <w:widowControl/>
        <w:numPr>
          <w:ilvl w:val="0"/>
          <w:numId w:val="62"/>
        </w:numPr>
        <w:adjustRightInd w:val="0"/>
        <w:snapToGrid w:val="0"/>
        <w:spacing w:line="360" w:lineRule="auto"/>
        <w:ind w:left="1050" w:hanging="420"/>
        <w:jc w:val="left"/>
        <w:rPr>
          <w:rFonts w:hint="eastAsia" w:ascii="宋体" w:hAnsi="宋体" w:eastAsia="宋体" w:cs="宋体"/>
          <w:color w:val="000000"/>
          <w:szCs w:val="21"/>
        </w:rPr>
      </w:pPr>
      <w:r>
        <w:rPr>
          <w:rFonts w:hint="eastAsia" w:ascii="宋体" w:hAnsi="宋体" w:eastAsia="宋体" w:cs="宋体"/>
          <w:color w:val="000000"/>
          <w:szCs w:val="21"/>
        </w:rPr>
        <w:t>实配：实配≥64端口，24端口激活,含24*16Gb多模SFP。</w:t>
      </w:r>
    </w:p>
    <w:p>
      <w:pPr>
        <w:pStyle w:val="2"/>
        <w:rPr>
          <w:rFonts w:hint="eastAsia" w:ascii="宋体" w:hAnsi="宋体" w:eastAsia="宋体" w:cs="宋体"/>
          <w:color w:val="000000"/>
          <w:szCs w:val="21"/>
        </w:rPr>
      </w:pPr>
    </w:p>
    <w:p>
      <w:pPr>
        <w:tabs>
          <w:tab w:val="left" w:pos="1560"/>
        </w:tabs>
        <w:rPr>
          <w:rFonts w:hint="eastAsia" w:ascii="宋体" w:hAnsi="宋体" w:eastAsia="宋体" w:cs="宋体"/>
        </w:rPr>
      </w:pPr>
      <w:r>
        <w:rPr>
          <w:rFonts w:hint="eastAsia" w:ascii="宋体" w:hAnsi="宋体" w:eastAsia="宋体" w:cs="宋体"/>
        </w:rPr>
        <w:t>2.3.2.5业务交换机</w:t>
      </w:r>
    </w:p>
    <w:p>
      <w:pPr>
        <w:pStyle w:val="2"/>
        <w:widowControl/>
        <w:numPr>
          <w:ilvl w:val="0"/>
          <w:numId w:val="63"/>
        </w:numPr>
        <w:adjustRightInd w:val="0"/>
        <w:snapToGrid w:val="0"/>
        <w:spacing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性能：交换容量≥4.8Tbps，包转发率≥2000Mpps。</w:t>
      </w:r>
      <w:r>
        <w:rPr>
          <w:rFonts w:hint="eastAsia" w:ascii="宋体" w:hAnsi="宋体" w:eastAsia="宋体" w:cs="宋体"/>
          <w:color w:val="000000"/>
          <w:szCs w:val="21"/>
        </w:rPr>
        <w:tab/>
      </w:r>
    </w:p>
    <w:p>
      <w:pPr>
        <w:pStyle w:val="2"/>
        <w:widowControl/>
        <w:numPr>
          <w:ilvl w:val="0"/>
          <w:numId w:val="63"/>
        </w:numPr>
        <w:adjustRightInd w:val="0"/>
        <w:snapToGrid w:val="0"/>
        <w:spacing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接口：万兆光口数量≥48，100GE光口数量≥6</w:t>
      </w:r>
      <w:r>
        <w:rPr>
          <w:rFonts w:hint="eastAsia" w:ascii="宋体" w:hAnsi="宋体" w:eastAsia="宋体" w:cs="宋体"/>
          <w:color w:val="000000"/>
          <w:szCs w:val="21"/>
        </w:rPr>
        <w:tab/>
      </w:r>
      <w:r>
        <w:rPr>
          <w:rFonts w:hint="eastAsia" w:ascii="宋体" w:hAnsi="宋体" w:eastAsia="宋体" w:cs="宋体"/>
          <w:color w:val="000000"/>
          <w:szCs w:val="21"/>
        </w:rPr>
        <w:t>。</w:t>
      </w:r>
    </w:p>
    <w:p>
      <w:pPr>
        <w:pStyle w:val="2"/>
        <w:widowControl/>
        <w:numPr>
          <w:ilvl w:val="0"/>
          <w:numId w:val="63"/>
        </w:numPr>
        <w:adjustRightInd w:val="0"/>
        <w:snapToGrid w:val="0"/>
        <w:spacing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硬件：电源1+1备份，风扇框3+1备份</w:t>
      </w:r>
      <w:r>
        <w:rPr>
          <w:rFonts w:hint="eastAsia" w:ascii="宋体" w:hAnsi="宋体" w:eastAsia="宋体" w:cs="宋体"/>
          <w:color w:val="000000"/>
          <w:szCs w:val="21"/>
        </w:rPr>
        <w:tab/>
      </w:r>
      <w:r>
        <w:rPr>
          <w:rFonts w:hint="eastAsia" w:ascii="宋体" w:hAnsi="宋体" w:eastAsia="宋体" w:cs="宋体"/>
          <w:color w:val="000000"/>
          <w:szCs w:val="21"/>
        </w:rPr>
        <w:t>。</w:t>
      </w:r>
    </w:p>
    <w:p>
      <w:pPr>
        <w:pStyle w:val="2"/>
        <w:widowControl/>
        <w:numPr>
          <w:ilvl w:val="0"/>
          <w:numId w:val="63"/>
        </w:numPr>
        <w:adjustRightInd w:val="0"/>
        <w:snapToGrid w:val="0"/>
        <w:spacing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二层功能：支持Access、Trunk和Hybrid三种模式</w:t>
      </w:r>
      <w:r>
        <w:rPr>
          <w:rFonts w:hint="eastAsia" w:ascii="宋体" w:hAnsi="宋体" w:eastAsia="宋体" w:cs="宋体"/>
          <w:color w:val="000000"/>
          <w:szCs w:val="21"/>
        </w:rPr>
        <w:tab/>
      </w:r>
      <w:r>
        <w:rPr>
          <w:rFonts w:hint="eastAsia" w:ascii="宋体" w:hAnsi="宋体" w:eastAsia="宋体" w:cs="宋体"/>
          <w:color w:val="000000"/>
          <w:szCs w:val="21"/>
        </w:rPr>
        <w:t>。</w:t>
      </w:r>
    </w:p>
    <w:p>
      <w:pPr>
        <w:pStyle w:val="2"/>
        <w:widowControl/>
        <w:adjustRightInd w:val="0"/>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支持M-LAG或vPC等类似技术（跨框链路聚合，要求配对设备有独立的控制平面，不能用堆叠等多虚一技术实现）。</w:t>
      </w:r>
      <w:r>
        <w:rPr>
          <w:rFonts w:hint="eastAsia" w:ascii="宋体" w:hAnsi="宋体" w:eastAsia="宋体" w:cs="宋体"/>
          <w:color w:val="000000"/>
          <w:szCs w:val="21"/>
        </w:rPr>
        <w:tab/>
      </w:r>
    </w:p>
    <w:p>
      <w:pPr>
        <w:pStyle w:val="2"/>
        <w:widowControl/>
        <w:numPr>
          <w:ilvl w:val="0"/>
          <w:numId w:val="63"/>
        </w:numPr>
        <w:adjustRightInd w:val="0"/>
        <w:snapToGrid w:val="0"/>
        <w:spacing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三层功能：支持 RIP、OSPF、ISIS、BGP 等 IPv4 动态路由协议。</w:t>
      </w:r>
    </w:p>
    <w:p>
      <w:pPr>
        <w:pStyle w:val="2"/>
        <w:widowControl/>
        <w:numPr>
          <w:ilvl w:val="0"/>
          <w:numId w:val="63"/>
        </w:numPr>
        <w:adjustRightInd w:val="0"/>
        <w:snapToGrid w:val="0"/>
        <w:spacing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可靠性：支持硬件BFD（Bidirectional Forwarding Detection）3.3ms检测间隔，提供第三方测试报告证明并加盖厂商公章。</w:t>
      </w:r>
    </w:p>
    <w:p>
      <w:pPr>
        <w:pStyle w:val="2"/>
        <w:widowControl/>
        <w:numPr>
          <w:ilvl w:val="0"/>
          <w:numId w:val="63"/>
        </w:numPr>
        <w:adjustRightInd w:val="0"/>
        <w:snapToGrid w:val="0"/>
        <w:spacing w:line="360" w:lineRule="auto"/>
        <w:ind w:left="420" w:hanging="420"/>
        <w:jc w:val="left"/>
        <w:rPr>
          <w:rFonts w:hint="eastAsia"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安全性：支持微分段技术，提供第三方测试报告证明并加盖厂商公章。</w:t>
      </w:r>
    </w:p>
    <w:p>
      <w:pPr>
        <w:pStyle w:val="2"/>
        <w:widowControl/>
        <w:numPr>
          <w:ilvl w:val="0"/>
          <w:numId w:val="63"/>
        </w:numPr>
        <w:adjustRightInd w:val="0"/>
        <w:snapToGrid w:val="0"/>
        <w:spacing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配置与维护：支持 Telemetry技术</w:t>
      </w:r>
      <w:r>
        <w:rPr>
          <w:rFonts w:hint="eastAsia" w:ascii="宋体" w:hAnsi="宋体" w:eastAsia="宋体" w:cs="宋体"/>
          <w:color w:val="000000"/>
          <w:szCs w:val="21"/>
        </w:rPr>
        <w:tab/>
      </w:r>
    </w:p>
    <w:p>
      <w:pPr>
        <w:pStyle w:val="2"/>
        <w:widowControl/>
        <w:adjustRightInd w:val="0"/>
        <w:snapToGrid w:val="0"/>
        <w:spacing w:line="360" w:lineRule="auto"/>
        <w:ind w:firstLine="200" w:firstLineChars="100"/>
        <w:jc w:val="left"/>
        <w:rPr>
          <w:rFonts w:hint="eastAsia" w:ascii="宋体" w:hAnsi="宋体" w:eastAsia="宋体" w:cs="宋体"/>
          <w:color w:val="000000"/>
          <w:szCs w:val="21"/>
        </w:rPr>
      </w:pPr>
      <w:r>
        <w:rPr>
          <w:rFonts w:hint="eastAsia" w:ascii="宋体" w:hAnsi="宋体" w:eastAsia="宋体" w:cs="宋体"/>
          <w:color w:val="000000"/>
          <w:szCs w:val="21"/>
        </w:rPr>
        <w:t>支持 Console、Telnet、SSH 等终端服务</w:t>
      </w:r>
      <w:r>
        <w:rPr>
          <w:rFonts w:hint="eastAsia" w:ascii="宋体" w:hAnsi="宋体" w:eastAsia="宋体" w:cs="宋体"/>
          <w:color w:val="000000"/>
          <w:szCs w:val="21"/>
        </w:rPr>
        <w:tab/>
      </w:r>
      <w:r>
        <w:rPr>
          <w:rFonts w:hint="eastAsia" w:ascii="宋体" w:hAnsi="宋体" w:eastAsia="宋体" w:cs="宋体"/>
          <w:color w:val="000000"/>
          <w:szCs w:val="21"/>
        </w:rPr>
        <w:t>。</w:t>
      </w:r>
    </w:p>
    <w:p>
      <w:pPr>
        <w:pStyle w:val="2"/>
        <w:widowControl/>
        <w:numPr>
          <w:ilvl w:val="0"/>
          <w:numId w:val="63"/>
        </w:numPr>
        <w:adjustRightInd w:val="0"/>
        <w:snapToGrid w:val="0"/>
        <w:spacing w:line="360" w:lineRule="auto"/>
        <w:ind w:left="420" w:hanging="420"/>
        <w:jc w:val="left"/>
        <w:rPr>
          <w:rFonts w:hint="eastAsia" w:ascii="宋体" w:hAnsi="宋体" w:eastAsia="宋体" w:cs="宋体"/>
          <w:color w:val="000000"/>
          <w:szCs w:val="21"/>
        </w:rPr>
      </w:pPr>
      <w:r>
        <w:rPr>
          <w:rFonts w:hint="eastAsia" w:ascii="宋体" w:hAnsi="宋体" w:eastAsia="宋体" w:cs="宋体"/>
          <w:color w:val="000000"/>
          <w:szCs w:val="21"/>
        </w:rPr>
        <w:t>单台配置：48个万兆光口，6个100GE光口，双电源，5个万兆多模光模块，2个40GE多模光模块，1根40GE高速线缆。</w:t>
      </w:r>
    </w:p>
    <w:p>
      <w:pPr>
        <w:widowControl/>
        <w:tabs>
          <w:tab w:val="left" w:pos="1560"/>
        </w:tabs>
        <w:snapToGrid w:val="0"/>
        <w:spacing w:before="280" w:after="290"/>
        <w:ind w:left="510"/>
        <w:jc w:val="left"/>
        <w:rPr>
          <w:rFonts w:hint="eastAsia" w:ascii="宋体" w:hAnsi="宋体" w:eastAsia="宋体" w:cs="宋体"/>
        </w:rPr>
      </w:pPr>
      <w:r>
        <w:rPr>
          <w:rFonts w:hint="eastAsia" w:ascii="宋体" w:hAnsi="宋体" w:eastAsia="宋体" w:cs="宋体"/>
        </w:rPr>
        <w:t>2.3.2.6模块化机房</w:t>
      </w:r>
    </w:p>
    <w:p>
      <w:pPr>
        <w:pStyle w:val="45"/>
        <w:widowControl/>
        <w:numPr>
          <w:ilvl w:val="0"/>
          <w:numId w:val="64"/>
        </w:numPr>
        <w:adjustRightInd w:val="0"/>
        <w:snapToGrid w:val="0"/>
        <w:spacing w:after="200" w:line="360" w:lineRule="auto"/>
        <w:ind w:left="42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机柜要求</w:t>
      </w:r>
    </w:p>
    <w:p>
      <w:pPr>
        <w:pStyle w:val="45"/>
        <w:widowControl/>
        <w:numPr>
          <w:ilvl w:val="0"/>
          <w:numId w:val="65"/>
        </w:numPr>
        <w:adjustRightInd w:val="0"/>
        <w:snapToGrid w:val="0"/>
        <w:spacing w:after="200" w:line="360" w:lineRule="auto"/>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IT机柜规格（W*D*H）：≥600mm*1200mm*2000mm，机柜颜色为黑色；</w:t>
      </w:r>
    </w:p>
    <w:p>
      <w:pPr>
        <w:pStyle w:val="45"/>
        <w:widowControl/>
        <w:numPr>
          <w:ilvl w:val="0"/>
          <w:numId w:val="65"/>
        </w:numPr>
        <w:adjustRightInd w:val="0"/>
        <w:snapToGrid w:val="0"/>
        <w:spacing w:after="200" w:line="360" w:lineRule="auto"/>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机柜门和侧板为可拆卸式结构，无需工具即可拆卸和安装，门的开合转动灵活、锁定可靠、施工安装和维护方便。前后门应采用外开门方式，前门单开，后门双开；</w:t>
      </w:r>
    </w:p>
    <w:p>
      <w:pPr>
        <w:pStyle w:val="45"/>
        <w:widowControl/>
        <w:numPr>
          <w:ilvl w:val="0"/>
          <w:numId w:val="65"/>
        </w:numPr>
        <w:adjustRightInd w:val="0"/>
        <w:snapToGrid w:val="0"/>
        <w:spacing w:after="200" w:line="360" w:lineRule="auto"/>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机柜立柱采用八折型材一次滚压成型技术，保证承重要求。机柜主要承重部件包括立柱、横梁、框架等的板材厚度不小于1.5mm，顶板、侧板、底板等非承重部件的板材厚度≥1.0mm。要求静态承载能力不小于2200kg，并提供</w:t>
      </w:r>
      <w:r>
        <w:rPr>
          <w:rFonts w:hint="eastAsia" w:ascii="宋体" w:hAnsi="宋体" w:eastAsia="宋体" w:cs="宋体"/>
        </w:rPr>
        <w:t>第三方检测机构出具的</w:t>
      </w:r>
      <w:r>
        <w:rPr>
          <w:rFonts w:hint="eastAsia" w:ascii="宋体" w:hAnsi="宋体" w:eastAsia="宋体" w:cs="宋体"/>
          <w:color w:val="000000"/>
          <w:szCs w:val="21"/>
        </w:rPr>
        <w:t>测试报告，并有设备厂商盖章；</w:t>
      </w:r>
    </w:p>
    <w:p>
      <w:pPr>
        <w:pStyle w:val="45"/>
        <w:widowControl/>
        <w:numPr>
          <w:ilvl w:val="0"/>
          <w:numId w:val="65"/>
        </w:numPr>
        <w:adjustRightInd w:val="0"/>
        <w:snapToGrid w:val="0"/>
        <w:spacing w:after="200" w:line="360" w:lineRule="auto"/>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机柜前后门应采用不小于1.5mm厚度的优质板材加工，六角网孔设计，以保证机房设备的有效散热，网孔门通孔率需不小于75%。采用三铰链固定以保证机柜门的牢固程度；</w:t>
      </w:r>
    </w:p>
    <w:p>
      <w:pPr>
        <w:pStyle w:val="45"/>
        <w:widowControl/>
        <w:numPr>
          <w:ilvl w:val="0"/>
          <w:numId w:val="65"/>
        </w:numPr>
        <w:adjustRightInd w:val="0"/>
        <w:snapToGrid w:val="0"/>
        <w:spacing w:after="200" w:line="360" w:lineRule="auto"/>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按照YD5083-2005《电信设备抗地震性能检测规范》要求，带载500kg测试连续通过8、9级烈度结构抗地震考核，并提供</w:t>
      </w:r>
      <w:r>
        <w:rPr>
          <w:rFonts w:hint="eastAsia" w:ascii="宋体" w:hAnsi="宋体" w:eastAsia="宋体" w:cs="宋体"/>
        </w:rPr>
        <w:t>第三方检测机构出具的</w:t>
      </w:r>
      <w:r>
        <w:rPr>
          <w:rFonts w:hint="eastAsia" w:ascii="宋体" w:hAnsi="宋体" w:eastAsia="宋体" w:cs="宋体"/>
          <w:color w:val="000000"/>
          <w:szCs w:val="21"/>
        </w:rPr>
        <w:t>测试报告，并有设备厂商盖章；</w:t>
      </w:r>
    </w:p>
    <w:p>
      <w:pPr>
        <w:pStyle w:val="45"/>
        <w:widowControl/>
        <w:numPr>
          <w:ilvl w:val="0"/>
          <w:numId w:val="65"/>
        </w:numPr>
        <w:adjustRightInd w:val="0"/>
        <w:snapToGrid w:val="0"/>
        <w:spacing w:after="200" w:line="360" w:lineRule="auto"/>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机柜其他配件符合需要需求清单设备参数要求。</w:t>
      </w:r>
    </w:p>
    <w:p>
      <w:pPr>
        <w:pStyle w:val="45"/>
        <w:ind w:left="1134" w:firstLine="0" w:firstLineChars="0"/>
        <w:rPr>
          <w:rFonts w:hint="eastAsia" w:ascii="宋体" w:hAnsi="宋体" w:eastAsia="宋体" w:cs="宋体"/>
          <w:color w:val="000000"/>
          <w:szCs w:val="21"/>
        </w:rPr>
      </w:pPr>
    </w:p>
    <w:p>
      <w:pPr>
        <w:pStyle w:val="45"/>
        <w:widowControl/>
        <w:numPr>
          <w:ilvl w:val="0"/>
          <w:numId w:val="66"/>
        </w:numPr>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密闭冷通道要求</w:t>
      </w:r>
    </w:p>
    <w:p>
      <w:pPr>
        <w:pStyle w:val="45"/>
        <w:widowControl/>
        <w:numPr>
          <w:ilvl w:val="0"/>
          <w:numId w:val="67"/>
        </w:numPr>
        <w:adjustRightInd w:val="0"/>
        <w:snapToGrid w:val="0"/>
        <w:spacing w:after="200" w:line="360" w:lineRule="auto"/>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密闭通道由机柜、密封侧板、天窗以及通道端门组成，形成良好的密封效果，避免冷热气流混合造成能量损失。冷通道上部顶盖应采用平顶结构，按照机柜布置情况对应布置天窗；</w:t>
      </w:r>
    </w:p>
    <w:p>
      <w:pPr>
        <w:pStyle w:val="45"/>
        <w:widowControl/>
        <w:numPr>
          <w:ilvl w:val="0"/>
          <w:numId w:val="67"/>
        </w:numPr>
        <w:adjustRightInd w:val="0"/>
        <w:snapToGrid w:val="0"/>
        <w:spacing w:after="200" w:line="360" w:lineRule="auto"/>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冷通道上部天窗应设计以下三种：固定型天窗、活动型天窗，功能型天窗。根据使用天窗类型，活动天窗开启后悬停位置要求确保冷通道的净高不少于2850mm，开启角度不小于50度，并且不影响日常维护工作和维护人员安全；</w:t>
      </w:r>
    </w:p>
    <w:p>
      <w:pPr>
        <w:pStyle w:val="45"/>
        <w:widowControl/>
        <w:numPr>
          <w:ilvl w:val="0"/>
          <w:numId w:val="67"/>
        </w:numPr>
        <w:adjustRightInd w:val="0"/>
        <w:snapToGrid w:val="0"/>
        <w:spacing w:after="200" w:line="360" w:lineRule="auto"/>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固定型天窗和翻转型天窗透光材质应使用覆膜钢化玻璃或有机玻璃，天窗应采用钢化玻璃材质，厚度不小于5mm；</w:t>
      </w:r>
    </w:p>
    <w:p>
      <w:pPr>
        <w:pStyle w:val="45"/>
        <w:widowControl/>
        <w:numPr>
          <w:ilvl w:val="0"/>
          <w:numId w:val="67"/>
        </w:numPr>
        <w:adjustRightInd w:val="0"/>
        <w:snapToGrid w:val="0"/>
        <w:spacing w:after="200" w:line="360" w:lineRule="auto"/>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通道端门门板应采用整块钢化玻璃或铝型材镶嵌钢化玻璃形式。采用整块钢化玻璃材质的，其钢化玻璃厚度应不小于8mm，门板铝型材厚度应不小于1.5mm以保证门板强度；</w:t>
      </w:r>
    </w:p>
    <w:p>
      <w:pPr>
        <w:pStyle w:val="45"/>
        <w:widowControl/>
        <w:numPr>
          <w:ilvl w:val="0"/>
          <w:numId w:val="67"/>
        </w:numPr>
        <w:adjustRightInd w:val="0"/>
        <w:snapToGrid w:val="0"/>
        <w:spacing w:after="200" w:line="360" w:lineRule="auto"/>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通道应具备强弱电走线装置，应支持模块化设计、去工程化安装特性，并能以机柜为单位进行扩展，走线槽应能满足跨立柱、跨机柜列及跨模块安装要求。为保证走线装置的牢固性和耐用性，应采用高强度优质碳素冷轧钢板材质，厚度为不小于1.5mm。</w:t>
      </w:r>
    </w:p>
    <w:p>
      <w:pPr>
        <w:pStyle w:val="45"/>
        <w:widowControl/>
        <w:numPr>
          <w:ilvl w:val="0"/>
          <w:numId w:val="66"/>
        </w:numPr>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精密配电柜要求</w:t>
      </w:r>
    </w:p>
    <w:p>
      <w:pPr>
        <w:pStyle w:val="45"/>
        <w:widowControl/>
        <w:numPr>
          <w:ilvl w:val="0"/>
          <w:numId w:val="68"/>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需提供精密配电柜的CCC，CE，泰尔报告;</w:t>
      </w:r>
    </w:p>
    <w:p>
      <w:pPr>
        <w:pStyle w:val="45"/>
        <w:widowControl/>
        <w:numPr>
          <w:ilvl w:val="0"/>
          <w:numId w:val="68"/>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 xml:space="preserve">精密配电柜通过9烈度抗震测试; </w:t>
      </w:r>
    </w:p>
    <w:p>
      <w:pPr>
        <w:pStyle w:val="45"/>
        <w:widowControl/>
        <w:numPr>
          <w:ilvl w:val="0"/>
          <w:numId w:val="68"/>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满足输入电压380/400/415VAC，频率：50Hz/60Hz;</w:t>
      </w:r>
    </w:p>
    <w:p>
      <w:pPr>
        <w:pStyle w:val="45"/>
        <w:widowControl/>
        <w:numPr>
          <w:ilvl w:val="0"/>
          <w:numId w:val="68"/>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机柜应采用高强度A级优质碳素冷轧钢板和镀锌板，表面喷涂厚度应不小于60μm ,采用黑色砂纹工艺，满足防腐、防锈、光洁、色泽均匀、无流挂、不露底、无起泡、无裂纹、金属件无毛刺锈蚀要求;</w:t>
      </w:r>
    </w:p>
    <w:p>
      <w:pPr>
        <w:pStyle w:val="45"/>
        <w:widowControl/>
        <w:numPr>
          <w:ilvl w:val="0"/>
          <w:numId w:val="68"/>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柜体采用A级优质碳素冷轧钢板和无锌花热镀锌钢板。所有面板支持单独拆卸和拼装;</w:t>
      </w:r>
    </w:p>
    <w:p>
      <w:pPr>
        <w:pStyle w:val="45"/>
        <w:widowControl/>
        <w:numPr>
          <w:ilvl w:val="0"/>
          <w:numId w:val="68"/>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前门为双层门结构，使带电母排与操作空间有效隔离，保障人身安全。外层门采用网孔门，通孔率不低于70%;</w:t>
      </w:r>
    </w:p>
    <w:p>
      <w:pPr>
        <w:pStyle w:val="45"/>
        <w:widowControl/>
        <w:numPr>
          <w:ilvl w:val="0"/>
          <w:numId w:val="68"/>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精密列头柜尺寸（W*D*H）：600mm*1200mm*2000mm ，颜色与服务器机柜保持一致;</w:t>
      </w:r>
    </w:p>
    <w:p>
      <w:pPr>
        <w:pStyle w:val="45"/>
        <w:widowControl/>
        <w:numPr>
          <w:ilvl w:val="0"/>
          <w:numId w:val="68"/>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监控板需能够实现可视化界面，需采用≥7寸液晶彩色触摸屏展示系统模拟图；</w:t>
      </w:r>
    </w:p>
    <w:p>
      <w:pPr>
        <w:pStyle w:val="45"/>
        <w:widowControl/>
        <w:numPr>
          <w:ilvl w:val="0"/>
          <w:numId w:val="68"/>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监控板应支持MODBUS或SNMP协议，支持被第三方网管集成；</w:t>
      </w:r>
    </w:p>
    <w:p>
      <w:pPr>
        <w:pStyle w:val="45"/>
        <w:widowControl/>
        <w:numPr>
          <w:ilvl w:val="0"/>
          <w:numId w:val="68"/>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智能监控板需具有母线电流、频率、视在功率、有功功率、功率因数等监测。</w:t>
      </w:r>
    </w:p>
    <w:p>
      <w:pPr>
        <w:pStyle w:val="45"/>
        <w:widowControl/>
        <w:numPr>
          <w:ilvl w:val="0"/>
          <w:numId w:val="68"/>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告警历史记录≥2500条;</w:t>
      </w:r>
    </w:p>
    <w:p>
      <w:pPr>
        <w:pStyle w:val="45"/>
        <w:widowControl/>
        <w:numPr>
          <w:ilvl w:val="0"/>
          <w:numId w:val="68"/>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智能监控板的监控模块支持热插拔并具有故障指示灯，当检测板模块出现故障时，可以指示告警，并支持不断电维护；</w:t>
      </w:r>
    </w:p>
    <w:p>
      <w:pPr>
        <w:pStyle w:val="45"/>
        <w:widowControl/>
        <w:numPr>
          <w:ilvl w:val="0"/>
          <w:numId w:val="68"/>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母排应采用高电导率纯铜导体，表面需镀镍处理，含铜量不低于 99.90%。</w:t>
      </w:r>
    </w:p>
    <w:p>
      <w:pPr>
        <w:pStyle w:val="45"/>
        <w:widowControl/>
        <w:numPr>
          <w:ilvl w:val="0"/>
          <w:numId w:val="66"/>
        </w:numPr>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微模块监控系统要求</w:t>
      </w:r>
    </w:p>
    <w:p>
      <w:pPr>
        <w:pStyle w:val="45"/>
        <w:widowControl/>
        <w:numPr>
          <w:ilvl w:val="0"/>
          <w:numId w:val="69"/>
        </w:numPr>
        <w:adjustRightInd w:val="0"/>
        <w:snapToGrid w:val="0"/>
        <w:spacing w:after="200" w:line="360" w:lineRule="auto"/>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每个通道提供一个整体的环境和动力监控接口，实现对模块内供配电、空调、温湿度、漏水检测、烟雾、视频等设备的不间断监控，发现部件故障或参数异常，即时采取颜色、E-mail、SMS和声音告警等多种报警方式，记录历史数据和报警事件，所有监控信息提供标准的北向SNMP接口给管理平台集成接入。支持PAD和手机APP实时查看设备信息，移动运维</w:t>
      </w:r>
    </w:p>
    <w:p>
      <w:pPr>
        <w:pStyle w:val="45"/>
        <w:widowControl/>
        <w:numPr>
          <w:ilvl w:val="0"/>
          <w:numId w:val="69"/>
        </w:numPr>
        <w:adjustRightInd w:val="0"/>
        <w:snapToGrid w:val="0"/>
        <w:spacing w:after="200" w:line="360" w:lineRule="auto"/>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为保证系统通讯和供电的可靠性，管理系统通信总线具备容错能力，单点故障应不影响其他设备；管理系统电源总线应具有热备份，具备支持热插拔，在线更换功能，请提供组网系统图和权威机构第三方测试报告证明；</w:t>
      </w:r>
    </w:p>
    <w:p>
      <w:pPr>
        <w:pStyle w:val="45"/>
        <w:widowControl/>
        <w:numPr>
          <w:ilvl w:val="0"/>
          <w:numId w:val="69"/>
        </w:numPr>
        <w:adjustRightInd w:val="0"/>
        <w:snapToGrid w:val="0"/>
        <w:spacing w:after="200" w:line="360" w:lineRule="auto"/>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通道集中采集器或集中控制器应采用双路供电、双路供电设计，以保证通道监控的可靠性；</w:t>
      </w:r>
    </w:p>
    <w:p>
      <w:pPr>
        <w:pStyle w:val="45"/>
        <w:widowControl/>
        <w:numPr>
          <w:ilvl w:val="0"/>
          <w:numId w:val="69"/>
        </w:numPr>
        <w:adjustRightInd w:val="0"/>
        <w:snapToGrid w:val="0"/>
        <w:spacing w:after="200" w:line="360" w:lineRule="auto"/>
        <w:ind w:left="1554" w:hanging="420" w:firstLineChars="0"/>
        <w:jc w:val="left"/>
        <w:rPr>
          <w:rFonts w:hint="eastAsia"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为满足网络安全要求，监控系统的软件、采集器硬件可以满足网络安全的要求，可以通过行业主流的病毒与漏洞软件的安全扫描，通过智能联网产品网络安全认证。需要提供</w:t>
      </w:r>
      <w:r>
        <w:rPr>
          <w:rFonts w:hint="eastAsia" w:ascii="宋体" w:hAnsi="宋体" w:eastAsia="宋体" w:cs="宋体"/>
        </w:rPr>
        <w:t>公安部认可单位</w:t>
      </w:r>
      <w:r>
        <w:rPr>
          <w:rFonts w:hint="eastAsia" w:ascii="宋体" w:hAnsi="宋体" w:eastAsia="宋体" w:cs="宋体"/>
          <w:color w:val="000000"/>
          <w:szCs w:val="21"/>
        </w:rPr>
        <w:t>出具的产品安全认证证书；</w:t>
      </w:r>
    </w:p>
    <w:p>
      <w:pPr>
        <w:pStyle w:val="45"/>
        <w:widowControl/>
        <w:numPr>
          <w:ilvl w:val="0"/>
          <w:numId w:val="69"/>
        </w:numPr>
        <w:adjustRightInd w:val="0"/>
        <w:snapToGrid w:val="0"/>
        <w:spacing w:after="200" w:line="360" w:lineRule="auto"/>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通道监控需实现：温湿度监控、漏水监控、烟雾监控、配电监控、监控数据需存储不少于30天。</w:t>
      </w:r>
    </w:p>
    <w:p>
      <w:pPr>
        <w:pStyle w:val="45"/>
        <w:widowControl/>
        <w:numPr>
          <w:ilvl w:val="0"/>
          <w:numId w:val="66"/>
        </w:numPr>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行级精密空调</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精密空调应该具备室内外机联动功能，行级空调需能根据运行工况，自动调节室内外机运行状态；</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精密空调应该具备冷媒检测功能，行级空调需能提供冷媒容量进行自动检测并能在冷媒泄漏量超过阈值时产生制冷剂不足告警功能，并可提供功能证明材料或第三方检测报告；</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总冷量（KW）:≥45（提供厂商官网技术参数截图证明）；</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显冷量（KW）: ≥45，显热比（显冷量/总冷量）为1；</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加热量：≥6KW；</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加湿量：≥3KG/h；</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风量≥8800m³/h；</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制冷剂：R410A；</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为达到节能的效果，空调EER值要求不小于3.2，并提供第三方检测报告；</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每台机组均应具有先进的微处理控制器。要求为自主研发品牌，不允许外购，以提高系统可靠性；</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应避免高湿环境对负载设备产生的不利影响（如凝露导致设备短路），产品应具有除湿能力最低10%的负载及95%以上室内高湿度的情况下的稳定除湿功能，并能提供第三方权威认证机构检的测报告扫描件；</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产品应采用节能型的加湿器，具备等焓加湿能力且空调最大加湿功耗需小于50W，并能提供第三方权威认证机构检的测报告扫描件；</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精密空调控制器应采用7英寸及以上的LCD触摸真彩屏，人机交互好，界面生动，一步到位界面切换，简单灵活. 具有图形显示机组内各组件运行状态的功能；</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应具有大容量的故障报警记录储存的功能，存储历史告警信息不小于500条；</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具备访问日志回溯功能，可显示用户登陆及设置修改历史，可存储不少于200条的历史记录信息；</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机组主控模块可直接进行插拔式维护，实现快速维护；</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能显示30天温湿度彩色曲线，支持运维人员现场查看机组运行状态；</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精密空调室内机应安装在列间，采用水平送风方式，为保持美观度，安装尺寸要求为不大于600mm(W)*1200mm(D)*2000mm(H)；</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精密空调室内机应可前后维护，且可在距前、后门600mm的空间内维护，部署灵活，维护方便；</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精密空调可支持制冷量无极调节，调节范围不小于20%~100%，按需输出冷量，大幅降低能耗。（提供厂商官网技术参数截图证明）；</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电子膨胀阀驱动自带储能单元，异常断电可以正常关闭，防止冷媒异常迁移，造成再开机后的压缩机带液启动等风险；</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带加热加湿功能的精密空调应采用PTC电加热器，作低温热补偿用，提高系统可靠性；</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精密空调蒸发器应采用内螺纹铜管和蓝色亲水铝箔设计，防止冷凝水聚集造成吹水，同时提高换热性能。 蒸发器形式宜采用”V”型设计，气流组织更合理，风阻更小；</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要求机组平均无故障时间要达到MTBF≥10万小时。整机连续运行设计寿命不小于10年。投标方应提供MTBF评估报告；</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室内机的强电控盒和压缩机驱动采用整体抽拉式维护模式，降低维护难度；</w:t>
      </w:r>
    </w:p>
    <w:p>
      <w:pPr>
        <w:pStyle w:val="45"/>
        <w:widowControl/>
        <w:numPr>
          <w:ilvl w:val="0"/>
          <w:numId w:val="70"/>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机组压缩机和干燥过滤器需可支持免动火原地维护，降低维护难度，降低维护时间。</w:t>
      </w:r>
    </w:p>
    <w:p>
      <w:pPr>
        <w:pStyle w:val="45"/>
        <w:widowControl/>
        <w:numPr>
          <w:ilvl w:val="0"/>
          <w:numId w:val="66"/>
        </w:numPr>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模块化UPS要求</w:t>
      </w:r>
    </w:p>
    <w:p>
      <w:pPr>
        <w:pStyle w:val="45"/>
        <w:widowControl/>
        <w:numPr>
          <w:ilvl w:val="0"/>
          <w:numId w:val="71"/>
        </w:numPr>
        <w:adjustRightInd w:val="0"/>
        <w:snapToGrid w:val="0"/>
        <w:spacing w:after="200" w:line="360" w:lineRule="auto"/>
        <w:ind w:left="1606"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投标方应提供节能、可靠、节省占地的模块化UPS电源，以满足机房配电灵活性和可扩容性，本项目要求配置主机可扩容至120KVA/120KW，功率因数为1；</w:t>
      </w:r>
    </w:p>
    <w:p>
      <w:pPr>
        <w:pStyle w:val="45"/>
        <w:widowControl/>
        <w:numPr>
          <w:ilvl w:val="0"/>
          <w:numId w:val="71"/>
        </w:numPr>
        <w:adjustRightInd w:val="0"/>
        <w:snapToGrid w:val="0"/>
        <w:spacing w:after="200" w:line="360" w:lineRule="auto"/>
        <w:ind w:left="1606"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抗震性能：电源设备应取得电信设备抗震性能检测合格证，满足YD 5096《通信用电源设备抗震性能检测规范》的要求，满足8、9烈度抗地震性能；</w:t>
      </w:r>
    </w:p>
    <w:p>
      <w:pPr>
        <w:pStyle w:val="45"/>
        <w:widowControl/>
        <w:numPr>
          <w:ilvl w:val="0"/>
          <w:numId w:val="71"/>
        </w:numPr>
        <w:adjustRightInd w:val="0"/>
        <w:snapToGrid w:val="0"/>
        <w:spacing w:after="200" w:line="360" w:lineRule="auto"/>
        <w:ind w:left="1606"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UPS应满足YD/T 2165《通信用模块化不间断电源》标准，采用模块化设计，单功率模块的额定输出功率不小于30KVA，且功率模块、旁路模块和控制模块均支持热插拔。当某功率模块发生故障时，应自动退出系统而不影响其他模块的正常工作，系统输出不中断，请提供应标产品泰尔认证证书并依据证书作答；</w:t>
      </w:r>
    </w:p>
    <w:p>
      <w:pPr>
        <w:pStyle w:val="45"/>
        <w:widowControl/>
        <w:numPr>
          <w:ilvl w:val="0"/>
          <w:numId w:val="71"/>
        </w:numPr>
        <w:adjustRightInd w:val="0"/>
        <w:snapToGrid w:val="0"/>
        <w:spacing w:after="200" w:line="360" w:lineRule="auto"/>
        <w:ind w:left="1606" w:hanging="420" w:firstLineChars="0"/>
        <w:jc w:val="left"/>
        <w:rPr>
          <w:rFonts w:hint="eastAsia" w:ascii="宋体" w:hAnsi="宋体" w:eastAsia="宋体" w:cs="宋体"/>
          <w:color w:val="000000"/>
          <w:szCs w:val="21"/>
        </w:rPr>
      </w:pPr>
      <w:r>
        <w:rPr>
          <w:rFonts w:hint="eastAsia" w:ascii="宋体" w:hAnsi="宋体" w:eastAsia="宋体" w:cs="宋体"/>
          <w:szCs w:val="21"/>
        </w:rPr>
        <w:t>★</w:t>
      </w:r>
      <w:r>
        <w:rPr>
          <w:rFonts w:hint="eastAsia" w:ascii="宋体" w:hAnsi="宋体" w:eastAsia="宋体" w:cs="宋体"/>
          <w:color w:val="000000"/>
          <w:szCs w:val="21"/>
        </w:rPr>
        <w:t>额定输入电压380V,输入电压范围：140~480V（提供厂商官网技术参数截图证明）；</w:t>
      </w:r>
    </w:p>
    <w:p>
      <w:pPr>
        <w:pStyle w:val="45"/>
        <w:widowControl/>
        <w:numPr>
          <w:ilvl w:val="0"/>
          <w:numId w:val="71"/>
        </w:numPr>
        <w:adjustRightInd w:val="0"/>
        <w:snapToGrid w:val="0"/>
        <w:spacing w:after="200" w:line="360" w:lineRule="auto"/>
        <w:ind w:left="1606"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输入功率因数：100%额定负载时&gt;0.99；</w:t>
      </w:r>
    </w:p>
    <w:p>
      <w:pPr>
        <w:pStyle w:val="45"/>
        <w:widowControl/>
        <w:numPr>
          <w:ilvl w:val="0"/>
          <w:numId w:val="71"/>
        </w:numPr>
        <w:adjustRightInd w:val="0"/>
        <w:snapToGrid w:val="0"/>
        <w:spacing w:after="200" w:line="360" w:lineRule="auto"/>
        <w:ind w:left="1606"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 xml:space="preserve">输入电流谐波成份：100%额定负载时，THDi&lt;3%； </w:t>
      </w:r>
    </w:p>
    <w:p>
      <w:pPr>
        <w:pStyle w:val="45"/>
        <w:widowControl/>
        <w:numPr>
          <w:ilvl w:val="0"/>
          <w:numId w:val="71"/>
        </w:numPr>
        <w:adjustRightInd w:val="0"/>
        <w:snapToGrid w:val="0"/>
        <w:spacing w:after="200" w:line="360" w:lineRule="auto"/>
        <w:ind w:left="1606"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输出功率因数要求 1.0；</w:t>
      </w:r>
    </w:p>
    <w:p>
      <w:pPr>
        <w:pStyle w:val="45"/>
        <w:widowControl/>
        <w:numPr>
          <w:ilvl w:val="0"/>
          <w:numId w:val="71"/>
        </w:numPr>
        <w:adjustRightInd w:val="0"/>
        <w:snapToGrid w:val="0"/>
        <w:spacing w:after="200" w:line="360" w:lineRule="auto"/>
        <w:ind w:left="1606"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 xml:space="preserve">输出波形失真度：线性满载时≤1%； </w:t>
      </w:r>
    </w:p>
    <w:p>
      <w:pPr>
        <w:pStyle w:val="45"/>
        <w:widowControl/>
        <w:numPr>
          <w:ilvl w:val="0"/>
          <w:numId w:val="71"/>
        </w:numPr>
        <w:adjustRightInd w:val="0"/>
        <w:snapToGrid w:val="0"/>
        <w:spacing w:after="200" w:line="360" w:lineRule="auto"/>
        <w:ind w:left="1606"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过载能力：正常工作方式，过载125%，10min后转旁路；</w:t>
      </w:r>
    </w:p>
    <w:p>
      <w:pPr>
        <w:pStyle w:val="45"/>
        <w:widowControl/>
        <w:numPr>
          <w:ilvl w:val="0"/>
          <w:numId w:val="71"/>
        </w:numPr>
        <w:adjustRightInd w:val="0"/>
        <w:snapToGrid w:val="0"/>
        <w:spacing w:after="200" w:line="360" w:lineRule="auto"/>
        <w:ind w:left="1606"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整机效率：40%负载下，效率达到96%，UPS系统效率在25%负载时应不小于95%;</w:t>
      </w:r>
    </w:p>
    <w:p>
      <w:pPr>
        <w:pStyle w:val="45"/>
        <w:widowControl/>
        <w:numPr>
          <w:ilvl w:val="0"/>
          <w:numId w:val="71"/>
        </w:numPr>
        <w:adjustRightInd w:val="0"/>
        <w:snapToGrid w:val="0"/>
        <w:spacing w:after="200" w:line="360" w:lineRule="auto"/>
        <w:ind w:left="1606"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UPS市电模式转电池模式，电池模式转市电模式，市电模式转旁路模式，旁路模式转市电模式切换时间均为0ms;</w:t>
      </w:r>
    </w:p>
    <w:p>
      <w:pPr>
        <w:pStyle w:val="45"/>
        <w:widowControl/>
        <w:numPr>
          <w:ilvl w:val="0"/>
          <w:numId w:val="71"/>
        </w:numPr>
        <w:adjustRightInd w:val="0"/>
        <w:snapToGrid w:val="0"/>
        <w:spacing w:after="200" w:line="360" w:lineRule="auto"/>
        <w:ind w:left="1606"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UPS系统应具有人机交互性能，采用≥7英寸及以上尺寸液晶彩色触摸屏，单屏可管理供配电系统，显示配电模拟图;</w:t>
      </w:r>
    </w:p>
    <w:p>
      <w:pPr>
        <w:pStyle w:val="45"/>
        <w:widowControl/>
        <w:numPr>
          <w:ilvl w:val="0"/>
          <w:numId w:val="71"/>
        </w:numPr>
        <w:adjustRightInd w:val="0"/>
        <w:snapToGrid w:val="0"/>
        <w:spacing w:after="200" w:line="360" w:lineRule="auto"/>
        <w:ind w:left="1606"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UPS系统应具备RS232或RS485/422、FE(SNMP通讯口)、干接点接口及环境监控传感器接口，并提供与通信接口配套使用的通信线缆和各种告警信号输出端子，通信协议应符合YD/T 1363.3的要求;</w:t>
      </w:r>
    </w:p>
    <w:p>
      <w:pPr>
        <w:pStyle w:val="45"/>
        <w:widowControl/>
        <w:numPr>
          <w:ilvl w:val="0"/>
          <w:numId w:val="71"/>
        </w:numPr>
        <w:adjustRightInd w:val="0"/>
        <w:snapToGrid w:val="0"/>
        <w:spacing w:after="200" w:line="360" w:lineRule="auto"/>
        <w:ind w:left="1606"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UPS系统应支持电池节数可调，具有定期对电池组进行自动浮充、均充转换、自动温度补偿、电池组放电及记录功能；</w:t>
      </w:r>
    </w:p>
    <w:p>
      <w:pPr>
        <w:pStyle w:val="45"/>
        <w:widowControl/>
        <w:numPr>
          <w:ilvl w:val="0"/>
          <w:numId w:val="71"/>
        </w:numPr>
        <w:adjustRightInd w:val="0"/>
        <w:snapToGrid w:val="0"/>
        <w:spacing w:after="200" w:line="360" w:lineRule="auto"/>
        <w:ind w:left="1606"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当异常出现时，UPS应具有如下保护功能，并发出告警；</w:t>
      </w:r>
    </w:p>
    <w:p>
      <w:pPr>
        <w:pStyle w:val="45"/>
        <w:widowControl/>
        <w:numPr>
          <w:ilvl w:val="0"/>
          <w:numId w:val="71"/>
        </w:numPr>
        <w:adjustRightInd w:val="0"/>
        <w:snapToGrid w:val="0"/>
        <w:spacing w:after="200" w:line="220" w:lineRule="atLeast"/>
        <w:ind w:left="1606"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告警记录等历史信息应完整，包含历史事件的属性、描述、开始时间、结束时间，支持随时刷新及在系统完全无电状态下自动保存；告警记录不可删除且信息存储数量不少于1000条。</w:t>
      </w:r>
    </w:p>
    <w:p>
      <w:pPr>
        <w:pStyle w:val="45"/>
        <w:spacing w:line="220" w:lineRule="atLeast"/>
        <w:ind w:left="1134" w:firstLine="0" w:firstLineChars="0"/>
        <w:rPr>
          <w:rFonts w:hint="eastAsia" w:ascii="宋体" w:hAnsi="宋体" w:eastAsia="宋体" w:cs="宋体"/>
          <w:color w:val="000000"/>
          <w:szCs w:val="21"/>
        </w:rPr>
      </w:pPr>
    </w:p>
    <w:p>
      <w:pPr>
        <w:pStyle w:val="45"/>
        <w:widowControl/>
        <w:numPr>
          <w:ilvl w:val="0"/>
          <w:numId w:val="72"/>
        </w:numPr>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蓄电池要求</w:t>
      </w:r>
    </w:p>
    <w:p>
      <w:pPr>
        <w:pStyle w:val="45"/>
        <w:widowControl/>
        <w:numPr>
          <w:ilvl w:val="0"/>
          <w:numId w:val="73"/>
        </w:numPr>
        <w:adjustRightInd w:val="0"/>
        <w:snapToGrid w:val="0"/>
        <w:spacing w:after="200" w:line="220" w:lineRule="atLeast"/>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配置免维护铅酸蓄电池，满足后备供电30分钟需求，需提供后备供电计算说明；</w:t>
      </w:r>
    </w:p>
    <w:p>
      <w:pPr>
        <w:pStyle w:val="45"/>
        <w:widowControl/>
        <w:numPr>
          <w:ilvl w:val="0"/>
          <w:numId w:val="73"/>
        </w:numPr>
        <w:adjustRightInd w:val="0"/>
        <w:snapToGrid w:val="0"/>
        <w:spacing w:after="200" w:line="220" w:lineRule="atLeast"/>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蓄电池浮充寿命大于8年；</w:t>
      </w:r>
    </w:p>
    <w:p>
      <w:pPr>
        <w:pStyle w:val="45"/>
        <w:widowControl/>
        <w:numPr>
          <w:ilvl w:val="0"/>
          <w:numId w:val="73"/>
        </w:numPr>
        <w:adjustRightInd w:val="0"/>
        <w:snapToGrid w:val="0"/>
        <w:spacing w:after="200" w:line="220" w:lineRule="atLeast"/>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蓄电池采用全密封防泄漏结构，外壳无异常变形、裂纹及污迹，标志要清晰，上盖及端子无损伤，正常工作时无酸雾逸出；</w:t>
      </w:r>
    </w:p>
    <w:p>
      <w:pPr>
        <w:pStyle w:val="45"/>
        <w:widowControl/>
        <w:numPr>
          <w:ilvl w:val="0"/>
          <w:numId w:val="73"/>
        </w:numPr>
        <w:adjustRightInd w:val="0"/>
        <w:snapToGrid w:val="0"/>
        <w:spacing w:after="200" w:line="220" w:lineRule="atLeast"/>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当蓄电池环境温度在-10℃- +45℃条件下，其性能应满足正常使用要求;</w:t>
      </w:r>
    </w:p>
    <w:p>
      <w:pPr>
        <w:pStyle w:val="45"/>
        <w:widowControl/>
        <w:numPr>
          <w:ilvl w:val="0"/>
          <w:numId w:val="73"/>
        </w:numPr>
        <w:adjustRightInd w:val="0"/>
        <w:snapToGrid w:val="0"/>
        <w:spacing w:after="200" w:line="220" w:lineRule="atLeast"/>
        <w:ind w:left="1554"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蓄电池经泰尔认证合格，提供认证证书及检测报告。</w:t>
      </w:r>
    </w:p>
    <w:p>
      <w:pPr>
        <w:pStyle w:val="45"/>
        <w:spacing w:line="220" w:lineRule="atLeast"/>
        <w:ind w:left="1134" w:firstLine="0" w:firstLineChars="0"/>
        <w:rPr>
          <w:rFonts w:hint="eastAsia" w:ascii="宋体" w:hAnsi="宋体" w:eastAsia="宋体" w:cs="宋体"/>
          <w:color w:val="000000"/>
          <w:szCs w:val="21"/>
        </w:rPr>
      </w:pPr>
    </w:p>
    <w:p>
      <w:pPr>
        <w:pStyle w:val="45"/>
        <w:widowControl/>
        <w:numPr>
          <w:ilvl w:val="0"/>
          <w:numId w:val="74"/>
        </w:numPr>
        <w:adjustRightInd w:val="0"/>
        <w:snapToGrid w:val="0"/>
        <w:spacing w:after="200" w:line="220" w:lineRule="atLeast"/>
        <w:ind w:firstLineChars="0"/>
        <w:jc w:val="left"/>
        <w:rPr>
          <w:rFonts w:hint="eastAsia" w:ascii="宋体" w:hAnsi="宋体" w:eastAsia="宋体" w:cs="宋体"/>
          <w:color w:val="000000"/>
          <w:szCs w:val="21"/>
        </w:rPr>
      </w:pPr>
      <w:r>
        <w:rPr>
          <w:rFonts w:hint="eastAsia" w:ascii="宋体" w:hAnsi="宋体" w:eastAsia="宋体" w:cs="宋体"/>
          <w:color w:val="000000"/>
          <w:szCs w:val="21"/>
        </w:rPr>
        <w:t>配电柜及电力电缆技术要求</w:t>
      </w:r>
    </w:p>
    <w:p>
      <w:pPr>
        <w:pStyle w:val="45"/>
        <w:widowControl/>
        <w:numPr>
          <w:ilvl w:val="0"/>
          <w:numId w:val="75"/>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配电柜应设置数字显示型多功能仪表，能够进行电压、电流、功率、频率等测量、并具有与动力环境监控系统相连的RS485或RS232通信接口及通信协议，全面实现就地显示和“三遥”功能；</w:t>
      </w:r>
    </w:p>
    <w:p>
      <w:pPr>
        <w:pStyle w:val="45"/>
        <w:widowControl/>
        <w:numPr>
          <w:ilvl w:val="0"/>
          <w:numId w:val="75"/>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配电柜配置浪涌保护器；</w:t>
      </w:r>
    </w:p>
    <w:p>
      <w:pPr>
        <w:pStyle w:val="45"/>
        <w:widowControl/>
        <w:numPr>
          <w:ilvl w:val="0"/>
          <w:numId w:val="75"/>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具体配置依照项目需求清单；</w:t>
      </w:r>
    </w:p>
    <w:p>
      <w:pPr>
        <w:pStyle w:val="45"/>
        <w:widowControl/>
        <w:numPr>
          <w:ilvl w:val="0"/>
          <w:numId w:val="75"/>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为保证数据机房供配电的安全性和可靠性，采用阻燃无卤低烟交联电缆和耐火电缆；电线选用阻燃无卤低烟耐火电线；</w:t>
      </w:r>
    </w:p>
    <w:p>
      <w:pPr>
        <w:pStyle w:val="45"/>
        <w:widowControl/>
        <w:numPr>
          <w:ilvl w:val="0"/>
          <w:numId w:val="75"/>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设计电缆的容量均按峰值负荷计算，并留有30％余量；</w:t>
      </w:r>
    </w:p>
    <w:p>
      <w:pPr>
        <w:pStyle w:val="45"/>
        <w:widowControl/>
        <w:numPr>
          <w:ilvl w:val="0"/>
          <w:numId w:val="75"/>
        </w:numPr>
        <w:adjustRightInd w:val="0"/>
        <w:snapToGrid w:val="0"/>
        <w:spacing w:after="200" w:line="360" w:lineRule="auto"/>
        <w:ind w:left="84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要求采用三相五线制(3L+N+PE)密集型母线槽，相线与零线截面要求相等，50%线截面的独立地线方式。</w:t>
      </w:r>
    </w:p>
    <w:p>
      <w:pPr>
        <w:pStyle w:val="45"/>
        <w:widowControl/>
        <w:numPr>
          <w:ilvl w:val="0"/>
          <w:numId w:val="74"/>
        </w:numPr>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综合布线</w:t>
      </w:r>
    </w:p>
    <w:p>
      <w:pPr>
        <w:pStyle w:val="45"/>
        <w:widowControl/>
        <w:numPr>
          <w:ilvl w:val="0"/>
          <w:numId w:val="76"/>
        </w:numPr>
        <w:adjustRightInd w:val="0"/>
        <w:snapToGrid w:val="0"/>
        <w:spacing w:after="200" w:line="360" w:lineRule="auto"/>
        <w:ind w:left="147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六类RJ45非屏蔽模块插座</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直流电阻：0.3Ω</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标准：TIA/EIA 568B.2-1 及ISO/IEC 11801:2002 Ed2.0或国际通用标准</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电流：1.5A</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绝缘阻抗：不低于500ＭΩ；</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拔插寿命：≥ 750 次；</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端接寿命：≥200次</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接点阻抗：≤20mΩ；</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 xml:space="preserve">端子镀金厚度：≥ 50u˝ </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端接（压接）：采用翻盖式免工具安装方式，不采用专用压接工具，为防腐蚀，要求模安装完网线后，线头不外露。</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信息模块需为拆装灵活的8PIN模块式插座，其输入、输出线的线规都符合EIA/TIA568标准，可以插入通用的RJ45接头，当插入电话6PIN插头时，要求模块内的端子不下陷。</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信息模块应具有任选90度或45度安装方式，同时要求模块安装尺寸即可安装在模块式配线架上又可以安装于工作区域的面板内。</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六类信息插座应能够满足高速数据、语音和视频信号的传输，传输参数可测试到250MHz。</w:t>
      </w:r>
    </w:p>
    <w:p>
      <w:pPr>
        <w:pStyle w:val="45"/>
        <w:widowControl/>
        <w:numPr>
          <w:ilvl w:val="0"/>
          <w:numId w:val="76"/>
        </w:numPr>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六类非屏蔽数据跳线</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规格：六类 UTP 4对标准RJ45至RJ45跳线</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标准：TIA/EIA-568B.2-1和ISO11801 2nd</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导体直径≥24AWG，内部多芯软线结构</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传输带宽≥250MHz,</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阻抗: 100 ohms + 15%。</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跳线须100%原装出厂测试</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跳线尾部采用模具注塑的尾套，以保证产品可靠性。</w:t>
      </w:r>
    </w:p>
    <w:p>
      <w:pPr>
        <w:pStyle w:val="45"/>
        <w:widowControl/>
        <w:numPr>
          <w:ilvl w:val="0"/>
          <w:numId w:val="77"/>
        </w:numPr>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六类非屏蔽双绞线</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类型：低烟无卤阻燃等级的六类非屏蔽双绞线</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芯线规格：23AWG实芯裸铜导体，内部须采用十字芯分隔结构以减少线对信号干扰和增加物理机械抗拉性</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芯线对数：4对，每芯带有色条区别</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护套：印有电缆编码护套，有撕裂绳，低烟无卤阻燃级别</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标准：TIA/EIA-568B.2-1和ISO11801 2nd，并具有ETL及UL认证</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带宽：≥250MHz</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阻抗：100+15Ω</w:t>
      </w:r>
    </w:p>
    <w:p>
      <w:pPr>
        <w:pStyle w:val="45"/>
        <w:widowControl/>
        <w:numPr>
          <w:ilvl w:val="0"/>
          <w:numId w:val="77"/>
        </w:numPr>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铜缆配线架</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规格： 24口RJ45模块式配线架，后面带背面理线盘，单独配置六类非屏蔽模块。</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标准：ISO/IEC 11801:2002 Ed2.0，TIA/EIA-568-B.2-1</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结构：要求模块式配线架每个端口具有弹簧推拉式防尘盖。</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标识：配线架带有透明可翻盖式标识系统，带有4色彩色标签，以全颜色管理。</w:t>
      </w:r>
    </w:p>
    <w:p>
      <w:pPr>
        <w:pStyle w:val="45"/>
        <w:widowControl/>
        <w:numPr>
          <w:ilvl w:val="0"/>
          <w:numId w:val="77"/>
        </w:numPr>
        <w:tabs>
          <w:tab w:val="clear" w:pos="420"/>
        </w:tabs>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光缆配线架</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规格：、48芯，96芯LC光纤接入能力，有足够空间保证光纤的盘绕、固定和接续，带有管理器及固定附件。</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标准：ISO/IEC 11801:2002 Ed2.0</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设计：19英寸机架式安装。要求能提供抽拉式或简易式结构的光纤箱，使得安装和维护变得更加容易；</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需能提供各种形式的光纤耦合器（LC、SC、MTRJ、LC等）。</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随箱提供具有保证光纤弯曲半径的附件及熔纤盘，要求熔纤盘设计采用翻盖式结构，以便于维护；</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同时能提供模块化的能灵活组合的预安装耦合器光纤配线架前面板与固定光纤箱，</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要求光配线架即可熔接普通光缆，也可以安装预连接光缆。</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光纤箱体要求为全钢结构以获得更大的强度；</w:t>
      </w:r>
    </w:p>
    <w:p>
      <w:pPr>
        <w:spacing w:line="360" w:lineRule="auto"/>
        <w:ind w:left="1418"/>
        <w:rPr>
          <w:rFonts w:hint="eastAsia" w:ascii="宋体" w:hAnsi="宋体" w:eastAsia="宋体" w:cs="宋体"/>
          <w:color w:val="000000"/>
          <w:szCs w:val="21"/>
        </w:rPr>
      </w:pPr>
    </w:p>
    <w:p>
      <w:pPr>
        <w:pStyle w:val="45"/>
        <w:widowControl/>
        <w:numPr>
          <w:ilvl w:val="0"/>
          <w:numId w:val="77"/>
        </w:numPr>
        <w:tabs>
          <w:tab w:val="clear" w:pos="420"/>
        </w:tabs>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多模光缆</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采用光纤具有折射率分布控制精确、几何特性优越和衰减低等优点；</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 xml:space="preserve">多模光纤的性能：选用OM4光纤。其传输衰减在850/1300nm波长上不大于3.0/1.5dB，其在850nm波长上有效模式带宽不小于2000MHz*km。 </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 xml:space="preserve">光缆须经信息产业部测试认证，主干光缆符合UL对LSZH或同等级别防火等级的阻燃要求. </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芯数：12芯</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标准：ISO/IEC 11801:2002 Ed2.0, TIA/EIA 568B.3，TIA/EIA-455；</w:t>
      </w:r>
    </w:p>
    <w:p>
      <w:pPr>
        <w:spacing w:line="360" w:lineRule="auto"/>
        <w:ind w:left="1418"/>
        <w:rPr>
          <w:rFonts w:hint="eastAsia" w:ascii="宋体" w:hAnsi="宋体" w:eastAsia="宋体" w:cs="宋体"/>
          <w:color w:val="000000"/>
          <w:szCs w:val="21"/>
        </w:rPr>
      </w:pPr>
    </w:p>
    <w:p>
      <w:pPr>
        <w:pStyle w:val="45"/>
        <w:widowControl/>
        <w:numPr>
          <w:ilvl w:val="0"/>
          <w:numId w:val="77"/>
        </w:numPr>
        <w:tabs>
          <w:tab w:val="left" w:pos="2301"/>
          <w:tab w:val="clear" w:pos="420"/>
        </w:tabs>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ab/>
      </w:r>
      <w:r>
        <w:rPr>
          <w:rFonts w:hint="eastAsia" w:ascii="宋体" w:hAnsi="宋体" w:eastAsia="宋体" w:cs="宋体"/>
          <w:color w:val="000000"/>
          <w:szCs w:val="21"/>
        </w:rPr>
        <w:t>LC适配器</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规格：桌面用LC接口，单个适配器支持2芯光纤。</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标准：ISO/IEC 11801:2002 Ed2.0。TIA/EIA 568-B.2</w:t>
      </w:r>
    </w:p>
    <w:p>
      <w:pPr>
        <w:spacing w:line="360" w:lineRule="auto"/>
        <w:ind w:left="1418"/>
        <w:rPr>
          <w:rFonts w:hint="eastAsia" w:ascii="宋体" w:hAnsi="宋体" w:eastAsia="宋体" w:cs="宋体"/>
          <w:color w:val="000000"/>
          <w:szCs w:val="21"/>
        </w:rPr>
      </w:pPr>
    </w:p>
    <w:p>
      <w:pPr>
        <w:pStyle w:val="45"/>
        <w:widowControl/>
        <w:numPr>
          <w:ilvl w:val="0"/>
          <w:numId w:val="77"/>
        </w:numPr>
        <w:tabs>
          <w:tab w:val="clear" w:pos="420"/>
        </w:tabs>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尾纤</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规格：50/125万兆多模（OM3）</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外径：0.9mm纤芯</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标准：ISO/IEC 11801:2002 Ed2.0。TIA/EIA 568-B.2</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最大损耗：&lt;0.2dB。</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光纤跳线为产品制造商的商业成品产品。</w:t>
      </w:r>
    </w:p>
    <w:p>
      <w:pPr>
        <w:spacing w:line="360" w:lineRule="auto"/>
        <w:ind w:left="1418"/>
        <w:rPr>
          <w:rFonts w:hint="eastAsia" w:ascii="宋体" w:hAnsi="宋体" w:eastAsia="宋体" w:cs="宋体"/>
          <w:color w:val="000000"/>
          <w:szCs w:val="21"/>
        </w:rPr>
      </w:pPr>
    </w:p>
    <w:p>
      <w:pPr>
        <w:pStyle w:val="45"/>
        <w:widowControl/>
        <w:numPr>
          <w:ilvl w:val="0"/>
          <w:numId w:val="77"/>
        </w:numPr>
        <w:tabs>
          <w:tab w:val="clear" w:pos="420"/>
        </w:tabs>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光跳线</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规格：50/125万兆多模（OM3）</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标准：ISO/IEC 11801:2002 Ed2.0。TIA/EIA 568-B.2 最大损耗：&lt;0.2dB。</w:t>
      </w:r>
    </w:p>
    <w:p>
      <w:pPr>
        <w:spacing w:line="360" w:lineRule="auto"/>
        <w:ind w:left="1418"/>
        <w:rPr>
          <w:rFonts w:hint="eastAsia" w:ascii="宋体" w:hAnsi="宋体" w:eastAsia="宋体" w:cs="宋体"/>
          <w:color w:val="000000"/>
          <w:szCs w:val="21"/>
        </w:rPr>
      </w:pPr>
      <w:r>
        <w:rPr>
          <w:rFonts w:hint="eastAsia" w:ascii="宋体" w:hAnsi="宋体" w:eastAsia="宋体" w:cs="宋体"/>
          <w:color w:val="000000"/>
          <w:szCs w:val="21"/>
        </w:rPr>
        <w:t>光纤跳线为产品制造商的商业成品产品。</w:t>
      </w:r>
    </w:p>
    <w:p>
      <w:pPr>
        <w:spacing w:line="360" w:lineRule="auto"/>
        <w:rPr>
          <w:rFonts w:hint="eastAsia" w:ascii="宋体" w:hAnsi="宋体" w:eastAsia="宋体" w:cs="宋体"/>
          <w:color w:val="000000"/>
          <w:szCs w:val="21"/>
        </w:rPr>
      </w:pPr>
    </w:p>
    <w:p>
      <w:pPr>
        <w:pStyle w:val="45"/>
        <w:widowControl/>
        <w:adjustRightInd w:val="0"/>
        <w:snapToGrid w:val="0"/>
        <w:spacing w:after="200" w:line="360" w:lineRule="auto"/>
        <w:ind w:firstLine="0" w:firstLineChars="0"/>
        <w:jc w:val="left"/>
        <w:rPr>
          <w:rFonts w:hint="eastAsia" w:ascii="宋体" w:hAnsi="宋体" w:eastAsia="宋体" w:cs="宋体"/>
          <w:color w:val="000000"/>
          <w:szCs w:val="21"/>
        </w:rPr>
      </w:pPr>
      <w:r>
        <w:rPr>
          <w:rFonts w:hint="eastAsia" w:ascii="宋体" w:hAnsi="宋体" w:eastAsia="宋体" w:cs="宋体"/>
          <w:color w:val="000000"/>
          <w:szCs w:val="21"/>
        </w:rPr>
        <w:t>2.3.2.7消防系统</w:t>
      </w:r>
    </w:p>
    <w:p>
      <w:pPr>
        <w:pStyle w:val="45"/>
        <w:widowControl/>
        <w:numPr>
          <w:ilvl w:val="0"/>
          <w:numId w:val="78"/>
        </w:numPr>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需提供北向接口能力。</w:t>
      </w:r>
    </w:p>
    <w:p>
      <w:pPr>
        <w:pStyle w:val="45"/>
        <w:widowControl/>
        <w:numPr>
          <w:ilvl w:val="0"/>
          <w:numId w:val="78"/>
        </w:numPr>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机房采用无管网七氟丙烷气体灭火系统，共设计防护区2个，主机房及配电间，并配套相应烟雾温度检测、泄压阀、自动报警、安全警示等装置；</w:t>
      </w:r>
    </w:p>
    <w:p>
      <w:pPr>
        <w:pStyle w:val="45"/>
        <w:widowControl/>
        <w:numPr>
          <w:ilvl w:val="0"/>
          <w:numId w:val="78"/>
        </w:numPr>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要求钢瓶制造商提供中华人民共和国国家质量技术监督局压力容器制造许可证；要求容器阀等阀门制造商提供《中华人民共和国特种设备制造许可证-安全附件》；要求选择阀、金属软管制造商提供《中华人民共和国特种设备制造许可证-压力管道原件》；</w:t>
      </w:r>
    </w:p>
    <w:p>
      <w:pPr>
        <w:pStyle w:val="45"/>
        <w:widowControl/>
        <w:numPr>
          <w:ilvl w:val="0"/>
          <w:numId w:val="78"/>
        </w:numPr>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电磁驱动装置：要求驱动力不小于 90N，并须在气体产品型式检验报告中体现；防护等级不低于 IP54；</w:t>
      </w:r>
    </w:p>
    <w:p>
      <w:pPr>
        <w:pStyle w:val="45"/>
        <w:widowControl/>
        <w:numPr>
          <w:ilvl w:val="0"/>
          <w:numId w:val="78"/>
        </w:numPr>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启动系统由专用氮气驱动瓶进行启动，满足先打开选择阀、再开启灭火剂储瓶容器阀的顺序要求；</w:t>
      </w:r>
    </w:p>
    <w:p>
      <w:pPr>
        <w:spacing w:line="220" w:lineRule="atLeast"/>
        <w:ind w:left="1418"/>
        <w:rPr>
          <w:rFonts w:hint="eastAsia" w:ascii="宋体" w:hAnsi="宋体" w:eastAsia="宋体" w:cs="宋体"/>
          <w:color w:val="000000"/>
          <w:szCs w:val="21"/>
        </w:rPr>
      </w:pPr>
    </w:p>
    <w:p>
      <w:pPr>
        <w:pStyle w:val="45"/>
        <w:widowControl/>
        <w:numPr>
          <w:ilvl w:val="0"/>
          <w:numId w:val="78"/>
        </w:numPr>
        <w:adjustRightInd w:val="0"/>
        <w:snapToGrid w:val="0"/>
        <w:spacing w:after="200" w:line="220" w:lineRule="atLeast"/>
        <w:ind w:firstLineChars="0"/>
        <w:jc w:val="left"/>
        <w:rPr>
          <w:rFonts w:hint="eastAsia" w:ascii="宋体" w:hAnsi="宋体" w:eastAsia="宋体" w:cs="宋体"/>
          <w:color w:val="000000"/>
          <w:szCs w:val="21"/>
        </w:rPr>
      </w:pPr>
      <w:r>
        <w:rPr>
          <w:rFonts w:hint="eastAsia" w:ascii="宋体" w:hAnsi="宋体" w:eastAsia="宋体" w:cs="宋体"/>
          <w:color w:val="000000"/>
          <w:szCs w:val="21"/>
        </w:rPr>
        <w:t>消防排烟系统要求</w:t>
      </w:r>
    </w:p>
    <w:p>
      <w:pPr>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新增一套消防排烟系统，在主机房及配电间设置排烟口，机房事故着火后迅速排出机房内残留灭火剂气体及烟雾；</w:t>
      </w:r>
    </w:p>
    <w:p>
      <w:pPr>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在排风管上设电动开关阀，作为防火区隔离用，该阀平时关闭，在火灾气体灭火后手动开启；</w:t>
      </w:r>
    </w:p>
    <w:p>
      <w:pPr>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消防排烟风机控制箱安装在机房外部，风机排烟量不小于2000m3/h。</w:t>
      </w:r>
    </w:p>
    <w:p>
      <w:pPr>
        <w:pStyle w:val="45"/>
        <w:widowControl/>
        <w:adjustRightInd w:val="0"/>
        <w:snapToGrid w:val="0"/>
        <w:spacing w:after="200" w:line="360" w:lineRule="auto"/>
        <w:ind w:firstLine="0" w:firstLineChars="0"/>
        <w:jc w:val="left"/>
        <w:rPr>
          <w:rFonts w:hint="eastAsia" w:ascii="宋体" w:hAnsi="宋体" w:eastAsia="宋体" w:cs="宋体"/>
          <w:color w:val="000000"/>
          <w:szCs w:val="21"/>
        </w:rPr>
      </w:pPr>
      <w:r>
        <w:rPr>
          <w:rFonts w:hint="eastAsia" w:ascii="宋体" w:hAnsi="宋体" w:eastAsia="宋体" w:cs="宋体"/>
          <w:color w:val="000000"/>
          <w:szCs w:val="21"/>
        </w:rPr>
        <w:t>2.3.2.8、机房动环管理系统</w:t>
      </w:r>
    </w:p>
    <w:p>
      <w:pPr>
        <w:pStyle w:val="45"/>
        <w:widowControl/>
        <w:numPr>
          <w:ilvl w:val="0"/>
          <w:numId w:val="79"/>
        </w:numPr>
        <w:adjustRightInd w:val="0"/>
        <w:snapToGrid w:val="0"/>
        <w:spacing w:after="200" w:line="360" w:lineRule="auto"/>
        <w:ind w:left="420" w:hanging="420" w:firstLineChars="0"/>
        <w:jc w:val="left"/>
        <w:rPr>
          <w:rFonts w:hint="eastAsia" w:ascii="宋体" w:hAnsi="宋体" w:eastAsia="宋体" w:cs="宋体"/>
          <w:color w:val="000000"/>
          <w:szCs w:val="21"/>
        </w:rPr>
      </w:pPr>
      <w:r>
        <w:rPr>
          <w:rFonts w:hint="eastAsia" w:ascii="宋体" w:hAnsi="宋体" w:eastAsia="宋体" w:cs="宋体"/>
          <w:color w:val="000000"/>
          <w:szCs w:val="21"/>
        </w:rPr>
        <w:t>界面展示要求</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系统要求采用友好的中文操作界面，支持图形化设计，具备电子地图功能，可展示全网网点机房分布情况。界面的结构、层次清晰明了，页面风格简洁，能够实时直观地显示设备的运行数据和运行状态，场景仿真。</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系统应采用B/S架构，可通过WEB客户端进行访问和浏览。 </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系统界面应可直观显示各网点机房/设备的主要运行数据及状态，支持通过动态颜色变化关联告警情况。</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系统应可根据不同的使用场景需要切换不同的界面风格，实现人性化的系统管理。</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系统平台需支持将同类设备集中在一个页面进行展示，便于运维人员根据个人的权限范围及业务职责进行查看。</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系统应提供标准的设备页面，展示设备运行拓扑、运行参数及运行状态，可查看信息的数据曲线。</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系统应可在任何页面提供告警信息窗口，便于运维人员查看、确认告警信息。</w:t>
      </w:r>
    </w:p>
    <w:p>
      <w:pPr>
        <w:pStyle w:val="45"/>
        <w:widowControl/>
        <w:numPr>
          <w:ilvl w:val="0"/>
          <w:numId w:val="79"/>
        </w:numPr>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组态功能要求</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系统应具备组态配置功能，可提供在各种应用场景下的灵活配置能力，便于运维人员根据需要进行系统的个性化配置。</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系统应支持分层分级创建设备模板，并可根据实际的设备情况创建运行拓扑图。并可提供常用设备（如发电机组、UPS、精密空调、蓄电池、智能配电柜、智能PDU等）的页面展示模板和设备驱动模板。</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系统应可通过组态方式设计系统页面，内置丰富的标准化图元，包括但不限于文本图元、按钮图元、图片图元、指示灯图元、管线图元、图形图元、供配电系统图元、空调环境系统图元、安全防范图元、消防图元、报表图元等。并具备丰富灵活的操作及属性配置方式，实现快速便捷的页面组态设计，提供动态美观的页面效果。</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系统应内置各种组态工具，通过图形化脚本的方式，来实现对各数据间相关性的策略制定。便于运维人员根据其个性化需要，通过各种运算策略（包括但不限于算术运算、关系运算、逻辑运算、条件运算等）自由编写策略，完成各种复杂逻辑运算和智能联动控制。</w:t>
      </w:r>
    </w:p>
    <w:p>
      <w:pPr>
        <w:pStyle w:val="45"/>
        <w:widowControl/>
        <w:numPr>
          <w:ilvl w:val="0"/>
          <w:numId w:val="79"/>
        </w:numPr>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数据管理要求</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数据过滤：系统应具备数据过滤能力，压缩冗余数据量，提高数据可用性，减少数据存储空间；并应支持过滤掉明显异常数据，避免瞬时产生的异常数据对运维管理造成的影响。</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数据处理：系统应支持通过各种运算规则（包括但不限于算术运算、关系运算、逻辑运算、条件运算等）提供运维管理所需的数据信息，如PUE值。</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数据存储：系统应具备实时数据存储和整合数据存储功能。实时数据存储应支持秒级数据存储，以保障关键数据参数存储全面完整；整合数据存储应具备多种存储规则，通过存储规则的组合配置，可在数据存储完整可用的前提下减少数据存储空间。</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历史数据：平台须能自动保存历史数据，保存时间不少于3年，可支持历史数据的定期清理，支持历史数据的导出备份。原则上，历史数据不可修改，可支持多种形式的历史数据曲线查询，并支持定义曲线时间段。</w:t>
      </w:r>
    </w:p>
    <w:p>
      <w:pPr>
        <w:pStyle w:val="45"/>
        <w:widowControl/>
        <w:numPr>
          <w:ilvl w:val="0"/>
          <w:numId w:val="79"/>
        </w:numPr>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告警管理要求</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告警级别具备不少于五级的分级管理功能，不同等级的告警可配置不同的显示颜色及发送方式。</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趋势告警功能：系统应具备趋势告警功能，在真实告警产生前发出预告警，提示运维人员在发生问题前消除隐患。</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系统应具备告警快速确认功能，在告警确认时可填写告警现象、原因等处理内容，应支持单条或批量确认，系统应提供典型的告警分类以供选择。</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告警升级功能：系统应具备多种告警升级策略，以便在告警可以得到及时的确认及处理。</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告警过滤功能：系统应具备告警过滤功能，有效过滤掉瞬时参数跳变及数据频繁波动引起的冗余告警信息。</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告警屏蔽功能：系统应可结合实际业务需要，屏蔽掉不重要及无需体现的报警信息，并支持通过设置时间段设定参数告警的安全时段。</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告警分析功能：系统应具备告警智能分析能力，结合关联关系定位告警根源，有效降低告警风暴造成的运维难度。例如：当市电停电时，系统根据配电拓扑逻辑关系屏蔽掉非根源告警，只发送停电告警信息。</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告警策略配置：系统应支持通过组态化工具定义告警发送策略，策略维度应至少涵盖告警源、告警发送方式、告警等级设置、接收用户设置、告警升级策略、告警发送频次、告警发送周期等。</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应支持反向查询，管理人员可以通过移动终端反向查询具体设备的情况，提高机房管理人员对机房问题的响应速度，方便机房人员更加高效的处理机房问题。</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系统应自动保存三年的历史报警记录，并支持对报警信息的状态进行跟踪统计，并可对各项报警信息进行及时的统计。</w:t>
      </w:r>
    </w:p>
    <w:p>
      <w:pPr>
        <w:pStyle w:val="45"/>
        <w:widowControl/>
        <w:numPr>
          <w:ilvl w:val="0"/>
          <w:numId w:val="79"/>
        </w:numPr>
        <w:adjustRightInd w:val="0"/>
        <w:snapToGrid w:val="0"/>
        <w:spacing w:after="200"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报表管理要求</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系统应提供统一的报表展示门户，用户可通过B/S访问方式，按不同维度（包括但不限于报表范围、业务类型、报表周期、创建时间等）进行报表的浏览、查询、查看、导出等操作。</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系统应提供查询报表功能，可提供告警事件、事件生命周期、数据信息的查询和导出功能。</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系统应具备告警事件生命周期的管理功能，支持进行跟踪、记录和查询。</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系统应支持根据业务需求自动/手动生成报表，并可以导出EXCEL、PDF。</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应具备报表订阅功能，用户可以根据自己的需求进行个性化的报表订阅与退订。</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rPr>
        <w:t>系统需提供常</w:t>
      </w:r>
      <w:r>
        <w:rPr>
          <w:rFonts w:hint="eastAsia" w:ascii="宋体" w:hAnsi="宋体" w:eastAsia="宋体" w:cs="宋体"/>
          <w:color w:val="000000"/>
          <w:szCs w:val="21"/>
          <w:highlight w:val="none"/>
        </w:rPr>
        <w:t>用的日报表、月报表、年报表样式等供用户选择。</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系统应具备组态化报表自定义设计工具，内置多种标准报表样式，运维人员无需编程，可通过组态方式自定义生成单项报表或组合报表。</w:t>
      </w:r>
    </w:p>
    <w:p>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2.4、安装调试要求</w:t>
      </w:r>
    </w:p>
    <w:p>
      <w:pPr>
        <w:pStyle w:val="45"/>
        <w:widowControl/>
        <w:numPr>
          <w:ilvl w:val="0"/>
          <w:numId w:val="80"/>
        </w:numPr>
        <w:adjustRightInd w:val="0"/>
        <w:snapToGrid w:val="0"/>
        <w:spacing w:after="200" w:line="360" w:lineRule="auto"/>
        <w:ind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项目工期要求：中标供应商与采购人签订采购合同后200个日历天内完成项目全部内容并通过项目验收，交付使用，如因供应商原因延期，</w:t>
      </w:r>
      <w:r>
        <w:rPr>
          <w:rFonts w:hint="eastAsia" w:ascii="宋体" w:hAnsi="宋体" w:eastAsia="宋体" w:cs="宋体"/>
          <w:snapToGrid w:val="0"/>
          <w:color w:val="000000"/>
          <w:szCs w:val="21"/>
          <w:highlight w:val="none"/>
        </w:rPr>
        <w:t>每延误一天按合同造价的千分之一进行处罚，并赔偿所造成损失</w:t>
      </w:r>
      <w:r>
        <w:rPr>
          <w:rFonts w:hint="eastAsia" w:ascii="宋体" w:hAnsi="宋体" w:eastAsia="宋体" w:cs="宋体"/>
          <w:color w:val="000000"/>
          <w:szCs w:val="21"/>
          <w:highlight w:val="none"/>
        </w:rPr>
        <w:t>；</w:t>
      </w:r>
    </w:p>
    <w:p>
      <w:pPr>
        <w:pStyle w:val="45"/>
        <w:widowControl/>
        <w:adjustRightInd w:val="0"/>
        <w:snapToGrid w:val="0"/>
        <w:spacing w:after="200" w:line="360" w:lineRule="auto"/>
        <w:ind w:left="336" w:firstLine="0" w:firstLineChars="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2.4.2   IT硬件设备按照原厂的安装调试作用规范上架调试，并适配软件系统的安装需求；</w:t>
      </w:r>
    </w:p>
    <w:p>
      <w:pPr>
        <w:pStyle w:val="45"/>
        <w:widowControl/>
        <w:adjustRightInd w:val="0"/>
        <w:snapToGrid w:val="0"/>
        <w:spacing w:after="200" w:line="360" w:lineRule="auto"/>
        <w:ind w:left="336" w:firstLine="0" w:firstLineChars="0"/>
        <w:jc w:val="left"/>
        <w:rPr>
          <w:rFonts w:hint="eastAsia" w:ascii="宋体" w:hAnsi="宋体" w:eastAsia="宋体" w:cs="宋体"/>
          <w:color w:val="000000"/>
          <w:szCs w:val="21"/>
        </w:rPr>
      </w:pPr>
      <w:r>
        <w:rPr>
          <w:rFonts w:hint="eastAsia" w:ascii="宋体" w:hAnsi="宋体" w:eastAsia="宋体" w:cs="宋体"/>
          <w:color w:val="000000"/>
          <w:szCs w:val="21"/>
        </w:rPr>
        <w:t xml:space="preserve">2.4.3   </w:t>
      </w:r>
      <w:r>
        <w:rPr>
          <w:rFonts w:hint="eastAsia" w:ascii="宋体" w:hAnsi="宋体" w:eastAsia="宋体" w:cs="宋体"/>
          <w:lang w:val="zh-CN"/>
        </w:rPr>
        <w:t>▲</w:t>
      </w:r>
      <w:r>
        <w:rPr>
          <w:rFonts w:hint="eastAsia" w:ascii="宋体" w:hAnsi="宋体" w:eastAsia="宋体" w:cs="宋体"/>
          <w:color w:val="000000"/>
          <w:szCs w:val="21"/>
        </w:rPr>
        <w:t>机房环境升级要求：</w:t>
      </w:r>
    </w:p>
    <w:p>
      <w:pPr>
        <w:pStyle w:val="45"/>
        <w:widowControl/>
        <w:adjustRightInd w:val="0"/>
        <w:snapToGrid w:val="0"/>
        <w:spacing w:after="200" w:line="360" w:lineRule="auto"/>
        <w:ind w:left="420" w:firstLine="0" w:firstLineChars="0"/>
        <w:jc w:val="left"/>
        <w:rPr>
          <w:rFonts w:hint="eastAsia" w:ascii="宋体" w:hAnsi="宋体" w:eastAsia="宋体" w:cs="宋体"/>
          <w:color w:val="000000"/>
          <w:szCs w:val="21"/>
        </w:rPr>
      </w:pPr>
      <w:r>
        <w:rPr>
          <w:rFonts w:hint="eastAsia" w:ascii="宋体" w:hAnsi="宋体" w:eastAsia="宋体" w:cs="宋体"/>
          <w:color w:val="000000"/>
          <w:szCs w:val="21"/>
        </w:rPr>
        <w:t>2.4.3.1   地面</w:t>
      </w:r>
    </w:p>
    <w:p>
      <w:pPr>
        <w:pStyle w:val="45"/>
        <w:spacing w:line="360" w:lineRule="auto"/>
        <w:rPr>
          <w:rFonts w:hint="eastAsia" w:ascii="宋体" w:hAnsi="宋体" w:eastAsia="宋体" w:cs="宋体"/>
          <w:color w:val="000000"/>
          <w:szCs w:val="21"/>
        </w:rPr>
      </w:pPr>
      <w:r>
        <w:rPr>
          <w:rFonts w:hint="eastAsia" w:ascii="宋体" w:hAnsi="宋体" w:eastAsia="宋体" w:cs="宋体"/>
          <w:color w:val="000000"/>
          <w:szCs w:val="21"/>
        </w:rPr>
        <w:t>地面采用有边全钢防静电高架地板。机房原建筑地面找平，地面防静电防尘处理。精密空调区域设置防水围堰及排水，四周防水处理，机房区域地面采用20mm橡塑板保温，最大限度减少冷量消耗，实现节能减耗的目标。</w:t>
      </w:r>
    </w:p>
    <w:p>
      <w:pPr>
        <w:pStyle w:val="45"/>
        <w:widowControl/>
        <w:adjustRightInd w:val="0"/>
        <w:snapToGrid w:val="0"/>
        <w:spacing w:after="200" w:line="360" w:lineRule="auto"/>
        <w:ind w:left="420" w:firstLine="0" w:firstLineChars="0"/>
        <w:jc w:val="left"/>
        <w:rPr>
          <w:rFonts w:hint="eastAsia" w:ascii="宋体" w:hAnsi="宋体" w:eastAsia="宋体" w:cs="宋体"/>
          <w:color w:val="000000"/>
          <w:szCs w:val="21"/>
        </w:rPr>
      </w:pPr>
      <w:r>
        <w:rPr>
          <w:rFonts w:hint="eastAsia" w:ascii="宋体" w:hAnsi="宋体" w:eastAsia="宋体" w:cs="宋体"/>
          <w:color w:val="000000"/>
          <w:szCs w:val="21"/>
        </w:rPr>
        <w:t>2.4.</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.2   墙面</w:t>
      </w:r>
    </w:p>
    <w:p>
      <w:pPr>
        <w:pStyle w:val="45"/>
        <w:rPr>
          <w:rFonts w:hint="eastAsia" w:ascii="宋体" w:hAnsi="宋体" w:eastAsia="宋体" w:cs="宋体"/>
          <w:color w:val="000000"/>
          <w:szCs w:val="21"/>
        </w:rPr>
      </w:pPr>
      <w:r>
        <w:rPr>
          <w:rFonts w:hint="eastAsia" w:ascii="宋体" w:hAnsi="宋体" w:eastAsia="宋体" w:cs="宋体"/>
          <w:color w:val="000000"/>
          <w:szCs w:val="21"/>
        </w:rPr>
        <w:t xml:space="preserve">墙面做防尘处理，采用乳胶漆饰面，窗户用不透光玻璃贴膜（如有）。 </w:t>
      </w:r>
    </w:p>
    <w:p>
      <w:pPr>
        <w:pStyle w:val="45"/>
        <w:widowControl/>
        <w:adjustRightInd w:val="0"/>
        <w:snapToGrid w:val="0"/>
        <w:spacing w:after="200" w:line="360" w:lineRule="auto"/>
        <w:ind w:left="420" w:firstLine="0" w:firstLineChars="0"/>
        <w:jc w:val="left"/>
        <w:rPr>
          <w:rFonts w:hint="eastAsia" w:ascii="宋体" w:hAnsi="宋体" w:eastAsia="宋体" w:cs="宋体"/>
          <w:color w:val="000000"/>
          <w:szCs w:val="21"/>
        </w:rPr>
      </w:pPr>
      <w:r>
        <w:rPr>
          <w:rFonts w:hint="eastAsia" w:ascii="宋体" w:hAnsi="宋体" w:eastAsia="宋体" w:cs="宋体"/>
          <w:color w:val="000000"/>
          <w:szCs w:val="21"/>
        </w:rPr>
        <w:t>2.4.</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.3   顶面</w:t>
      </w:r>
    </w:p>
    <w:p>
      <w:pPr>
        <w:pStyle w:val="45"/>
        <w:rPr>
          <w:rFonts w:hint="eastAsia" w:ascii="宋体" w:hAnsi="宋体" w:eastAsia="宋体" w:cs="宋体"/>
          <w:color w:val="000000"/>
          <w:szCs w:val="21"/>
        </w:rPr>
      </w:pPr>
      <w:r>
        <w:rPr>
          <w:rFonts w:hint="eastAsia" w:ascii="宋体" w:hAnsi="宋体" w:eastAsia="宋体" w:cs="宋体"/>
          <w:color w:val="000000"/>
          <w:szCs w:val="21"/>
        </w:rPr>
        <w:t>顶面做防尘处理后，采用20mm橡塑板保温做保温处理。</w:t>
      </w:r>
    </w:p>
    <w:p>
      <w:pPr>
        <w:pStyle w:val="45"/>
        <w:widowControl/>
        <w:adjustRightInd w:val="0"/>
        <w:snapToGrid w:val="0"/>
        <w:spacing w:after="200" w:line="360" w:lineRule="auto"/>
        <w:ind w:left="420" w:firstLine="0" w:firstLineChars="0"/>
        <w:jc w:val="left"/>
        <w:rPr>
          <w:rFonts w:hint="eastAsia" w:ascii="宋体" w:hAnsi="宋体" w:eastAsia="宋体" w:cs="宋体"/>
          <w:color w:val="000000"/>
          <w:szCs w:val="21"/>
        </w:rPr>
      </w:pPr>
      <w:r>
        <w:rPr>
          <w:rFonts w:hint="eastAsia" w:ascii="宋体" w:hAnsi="宋体" w:eastAsia="宋体" w:cs="宋体"/>
          <w:color w:val="000000"/>
          <w:szCs w:val="21"/>
        </w:rPr>
        <w:t>2.4.</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.4   照明及插座</w:t>
      </w:r>
    </w:p>
    <w:p>
      <w:pPr>
        <w:pStyle w:val="45"/>
        <w:rPr>
          <w:rFonts w:hint="eastAsia" w:ascii="宋体" w:hAnsi="宋体" w:eastAsia="宋体" w:cs="宋体"/>
          <w:color w:val="000000"/>
          <w:szCs w:val="21"/>
        </w:rPr>
      </w:pPr>
      <w:r>
        <w:rPr>
          <w:rFonts w:hint="eastAsia" w:ascii="宋体" w:hAnsi="宋体" w:eastAsia="宋体" w:cs="宋体"/>
          <w:color w:val="000000"/>
          <w:szCs w:val="21"/>
        </w:rPr>
        <w:t>机房照明要求采用≥600*600规格平板LED灯来满足机房照度，根据相应国家规范和标准，不同功能房间的照明亮度要求如下：</w:t>
      </w:r>
    </w:p>
    <w:p>
      <w:pPr>
        <w:pStyle w:val="45"/>
        <w:ind w:left="1556" w:leftChars="741" w:firstLine="2" w:firstLineChars="0"/>
        <w:rPr>
          <w:rFonts w:hint="eastAsia" w:ascii="宋体" w:hAnsi="宋体" w:eastAsia="宋体" w:cs="宋体"/>
          <w:color w:val="000000"/>
          <w:szCs w:val="21"/>
        </w:rPr>
      </w:pPr>
    </w:p>
    <w:tbl>
      <w:tblPr>
        <w:tblStyle w:val="26"/>
        <w:tblW w:w="680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81"/>
        <w:gridCol w:w="2230"/>
        <w:gridCol w:w="2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right"/>
        </w:trPr>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分类</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照度（lx）</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照明功率密度值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right"/>
        </w:trPr>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机房区</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500</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≤13W/m²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right"/>
        </w:trPr>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机房辅助区</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300</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≤8W/m²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right"/>
        </w:trPr>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公共区</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200</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≤7W/m²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right"/>
        </w:trPr>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备用应急照明</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right"/>
        </w:trPr>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疏散应急照明</w:t>
            </w:r>
          </w:p>
        </w:tc>
        <w:tc>
          <w:tcPr>
            <w:tcW w:w="22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Cs w:val="21"/>
              </w:rPr>
            </w:pPr>
          </w:p>
        </w:tc>
      </w:tr>
    </w:tbl>
    <w:p>
      <w:pPr>
        <w:pStyle w:val="45"/>
        <w:ind w:left="1556" w:leftChars="741" w:firstLine="2" w:firstLineChars="0"/>
        <w:rPr>
          <w:rFonts w:hint="eastAsia" w:ascii="宋体" w:hAnsi="宋体" w:eastAsia="宋体" w:cs="宋体"/>
          <w:color w:val="000000"/>
          <w:szCs w:val="21"/>
        </w:rPr>
      </w:pPr>
    </w:p>
    <w:p>
      <w:pPr>
        <w:pStyle w:val="45"/>
        <w:spacing w:line="360" w:lineRule="auto"/>
        <w:rPr>
          <w:rFonts w:hint="eastAsia" w:ascii="宋体" w:hAnsi="宋体" w:eastAsia="宋体" w:cs="宋体"/>
          <w:color w:val="000000"/>
          <w:szCs w:val="21"/>
        </w:rPr>
      </w:pPr>
      <w:r>
        <w:rPr>
          <w:rFonts w:hint="eastAsia" w:ascii="宋体" w:hAnsi="宋体" w:eastAsia="宋体" w:cs="宋体"/>
          <w:color w:val="000000"/>
          <w:szCs w:val="21"/>
        </w:rPr>
        <w:t>机房及附属区域设置正常照明、事故照明及疏散照明。照明系统由安装翘板开关就地控制及智能照明控制，事故照明及疏散照明电源由大楼应急照明箱引来，断电后由蓄电池提供电源，且平时为正常照明的一部分。机房照明灯具采用LED平板灯。本次照明设计采用节能环保理念进行设计，所以采用智能照明系统，另在机房墙面设置插座若干。</w:t>
      </w:r>
    </w:p>
    <w:p>
      <w:pPr>
        <w:pStyle w:val="45"/>
        <w:spacing w:line="360" w:lineRule="auto"/>
        <w:ind w:left="1560" w:firstLine="0" w:firstLineChars="0"/>
        <w:rPr>
          <w:rFonts w:hint="eastAsia" w:ascii="宋体" w:hAnsi="宋体" w:eastAsia="宋体" w:cs="宋体"/>
          <w:color w:val="000000"/>
          <w:szCs w:val="21"/>
        </w:rPr>
      </w:pPr>
    </w:p>
    <w:p>
      <w:pPr>
        <w:pStyle w:val="45"/>
        <w:widowControl/>
        <w:adjustRightInd w:val="0"/>
        <w:snapToGrid w:val="0"/>
        <w:spacing w:after="200" w:line="360" w:lineRule="auto"/>
        <w:ind w:left="420" w:firstLine="0" w:firstLineChars="0"/>
        <w:jc w:val="left"/>
        <w:rPr>
          <w:rFonts w:hint="eastAsia" w:ascii="宋体" w:hAnsi="宋体" w:eastAsia="宋体" w:cs="宋体"/>
          <w:color w:val="000000"/>
          <w:szCs w:val="21"/>
        </w:rPr>
      </w:pPr>
      <w:r>
        <w:rPr>
          <w:rFonts w:hint="eastAsia" w:ascii="宋体" w:hAnsi="宋体" w:eastAsia="宋体" w:cs="宋体"/>
          <w:color w:val="000000"/>
          <w:szCs w:val="21"/>
        </w:rPr>
        <w:t>2.4.</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.5   防雷接地</w:t>
      </w:r>
    </w:p>
    <w:p>
      <w:pPr>
        <w:pStyle w:val="45"/>
        <w:widowControl/>
        <w:spacing w:line="360" w:lineRule="auto"/>
        <w:ind w:firstLine="0" w:firstLineChars="0"/>
        <w:jc w:val="left"/>
        <w:rPr>
          <w:rFonts w:hint="eastAsia" w:ascii="宋体" w:hAnsi="宋体" w:eastAsia="宋体" w:cs="宋体"/>
          <w:color w:val="000000"/>
          <w:szCs w:val="21"/>
        </w:rPr>
      </w:pPr>
      <w:r>
        <w:rPr>
          <w:rFonts w:hint="eastAsia" w:ascii="宋体" w:hAnsi="宋体" w:eastAsia="宋体" w:cs="宋体"/>
          <w:color w:val="000000"/>
          <w:szCs w:val="21"/>
        </w:rPr>
        <w:t>在机房离墙400mm的距离沿墙采用3mm×30mm紫铜条造成一个M型或S型的地网，紫铜条间的接驳位用10mm镙母压接后烧铜焊，这样就形成一个法拉第笼式接地系统，并保证接地电阻不大于1Ω；接地铜排，采用99.9%的纯铜作为载体，良好的导电性能与加工性能，保证大通流容量；机房等电位连接：墙身龙骨、活动地板支架、非计算机系统的管、金属的门、窗等均做等电位连接，并分别取多点通过6mm2的地线接入机房接地铜排网；机房内所有机器设备的外壳以及电动机、空调机等辅助设备的机体（外壳）与地之间做良好的接地，应不大于4欧姆；供应商投标文件中应涵盖满足采购人全部需求的完整方案及设备清单，以保证项目顺利进行，若出现投标缺项情况，补充内容应由成交供应商承担；</w:t>
      </w:r>
    </w:p>
    <w:p>
      <w:pPr>
        <w:pStyle w:val="45"/>
        <w:widowControl/>
        <w:adjustRightInd w:val="0"/>
        <w:snapToGrid w:val="0"/>
        <w:spacing w:after="200" w:line="360" w:lineRule="auto"/>
        <w:ind w:left="336" w:firstLine="0" w:firstLineChars="0"/>
        <w:jc w:val="left"/>
        <w:rPr>
          <w:rFonts w:hint="eastAsia" w:ascii="宋体" w:hAnsi="宋体" w:eastAsia="宋体" w:cs="宋体"/>
          <w:color w:val="000000"/>
          <w:szCs w:val="21"/>
        </w:rPr>
      </w:pPr>
      <w:r>
        <w:rPr>
          <w:rFonts w:hint="eastAsia" w:ascii="宋体" w:hAnsi="宋体" w:eastAsia="宋体" w:cs="宋体"/>
          <w:color w:val="000000"/>
          <w:szCs w:val="21"/>
        </w:rPr>
        <w:t>2.4.3   供应商安装时要保护现有设备及环境，有造成损失应承担全部责任，投标报价应包含现场防护措施所需费用；</w:t>
      </w:r>
    </w:p>
    <w:p>
      <w:pPr>
        <w:pStyle w:val="45"/>
        <w:widowControl/>
        <w:adjustRightInd w:val="0"/>
        <w:snapToGrid w:val="0"/>
        <w:spacing w:after="200" w:line="360" w:lineRule="auto"/>
        <w:ind w:left="336" w:firstLine="0" w:firstLineChars="0"/>
        <w:jc w:val="left"/>
        <w:rPr>
          <w:rFonts w:hint="eastAsia" w:ascii="宋体" w:hAnsi="宋体" w:eastAsia="宋体" w:cs="宋体"/>
          <w:color w:val="000000"/>
          <w:szCs w:val="21"/>
        </w:rPr>
      </w:pPr>
      <w:r>
        <w:rPr>
          <w:rFonts w:hint="eastAsia" w:ascii="宋体" w:hAnsi="宋体" w:eastAsia="宋体" w:cs="宋体"/>
          <w:color w:val="000000"/>
          <w:szCs w:val="21"/>
        </w:rPr>
        <w:t>2.4.4   验收工作将在项目各系统安装、调试和试验结束后进行，在正式开始验收之前，施工方应先完成自检，保证所交验的系统设备已经达到了预期状态。施工方对业主方的验收工作提供全面配合，包括提供验收所需的专用仪器和仪表；</w:t>
      </w:r>
    </w:p>
    <w:p>
      <w:pPr>
        <w:pStyle w:val="45"/>
        <w:widowControl/>
        <w:adjustRightInd w:val="0"/>
        <w:snapToGrid w:val="0"/>
        <w:spacing w:after="200" w:line="360" w:lineRule="auto"/>
        <w:ind w:left="336" w:firstLine="0" w:firstLineChars="0"/>
        <w:jc w:val="left"/>
        <w:rPr>
          <w:rFonts w:hint="eastAsia" w:ascii="宋体" w:hAnsi="宋体" w:eastAsia="宋体" w:cs="宋体"/>
          <w:color w:val="000000"/>
          <w:szCs w:val="21"/>
        </w:rPr>
      </w:pPr>
      <w:r>
        <w:rPr>
          <w:rFonts w:hint="eastAsia" w:ascii="宋体" w:hAnsi="宋体" w:eastAsia="宋体" w:cs="宋体"/>
          <w:color w:val="000000"/>
          <w:szCs w:val="21"/>
        </w:rPr>
        <w:t>2.4.5   如果供应商最终交付的设备不能满足招标文件或参考标准中规定的各项技术性能指标，则供应商应负责更换或修复，若经更换或修复仍不能弥补缺陷，则业主方将视缺陷的程度对施工方作出经济处罚，且业主方有权从应付给供应商的合同款项中直接扣除。</w:t>
      </w:r>
    </w:p>
    <w:p>
      <w:pPr>
        <w:pStyle w:val="45"/>
        <w:spacing w:after="200" w:line="360" w:lineRule="auto"/>
        <w:ind w:left="420" w:leftChars="200" w:firstLine="0" w:firstLineChars="0"/>
        <w:rPr>
          <w:rFonts w:hint="eastAsia" w:ascii="宋体" w:hAnsi="宋体" w:eastAsia="宋体" w:cs="宋体"/>
          <w:color w:val="000000"/>
        </w:rPr>
      </w:pPr>
      <w:r>
        <w:rPr>
          <w:rFonts w:hint="eastAsia" w:ascii="宋体" w:hAnsi="宋体" w:eastAsia="宋体" w:cs="宋体"/>
          <w:color w:val="000000"/>
        </w:rPr>
        <w:t>2.5、售后服务要求</w:t>
      </w:r>
    </w:p>
    <w:p>
      <w:pPr>
        <w:pStyle w:val="45"/>
        <w:widowControl/>
        <w:numPr>
          <w:ilvl w:val="0"/>
          <w:numId w:val="81"/>
        </w:numPr>
        <w:adjustRightInd w:val="0"/>
        <w:snapToGrid w:val="0"/>
        <w:spacing w:after="200" w:line="360" w:lineRule="auto"/>
        <w:ind w:left="840" w:hanging="420" w:firstLineChars="0"/>
        <w:jc w:val="left"/>
        <w:rPr>
          <w:rFonts w:hint="eastAsia" w:ascii="宋体" w:hAnsi="宋体" w:eastAsia="宋体" w:cs="宋体"/>
          <w:color w:val="000000"/>
        </w:rPr>
      </w:pPr>
      <w:r>
        <w:rPr>
          <w:rFonts w:hint="eastAsia" w:ascii="宋体" w:hAnsi="宋体" w:eastAsia="宋体" w:cs="宋体"/>
          <w:color w:val="000000"/>
        </w:rPr>
        <w:t>系统及设备供应商应具备交钥匙项目的能力。系统及设备供应商的服务应包括产品提供、配套设备提供、设备安装、调试、保修及保修期外的有偿维护；</w:t>
      </w:r>
    </w:p>
    <w:p>
      <w:pPr>
        <w:pStyle w:val="45"/>
        <w:widowControl/>
        <w:numPr>
          <w:ilvl w:val="0"/>
          <w:numId w:val="81"/>
        </w:numPr>
        <w:adjustRightInd w:val="0"/>
        <w:snapToGrid w:val="0"/>
        <w:spacing w:after="200" w:line="360" w:lineRule="auto"/>
        <w:ind w:left="840" w:hanging="420" w:firstLineChars="0"/>
        <w:jc w:val="left"/>
        <w:rPr>
          <w:rFonts w:hint="eastAsia" w:ascii="宋体" w:hAnsi="宋体" w:eastAsia="宋体" w:cs="宋体"/>
          <w:color w:val="000000"/>
        </w:rPr>
      </w:pPr>
      <w:r>
        <w:rPr>
          <w:rFonts w:hint="eastAsia" w:ascii="宋体" w:hAnsi="宋体" w:eastAsia="宋体" w:cs="宋体"/>
          <w:color w:val="000000"/>
        </w:rPr>
        <w:t>投标文件需提交售后服务方案，包括不限于：保修方式、响应时间、培训方案；</w:t>
      </w:r>
    </w:p>
    <w:p>
      <w:pPr>
        <w:pStyle w:val="45"/>
        <w:widowControl/>
        <w:numPr>
          <w:ilvl w:val="0"/>
          <w:numId w:val="81"/>
        </w:numPr>
        <w:adjustRightInd w:val="0"/>
        <w:snapToGrid w:val="0"/>
        <w:spacing w:after="200" w:line="360" w:lineRule="auto"/>
        <w:ind w:left="840" w:hanging="420" w:firstLineChars="0"/>
        <w:jc w:val="left"/>
        <w:rPr>
          <w:rFonts w:hint="eastAsia" w:ascii="宋体" w:hAnsi="宋体" w:eastAsia="宋体" w:cs="宋体"/>
          <w:color w:val="000000"/>
        </w:rPr>
      </w:pPr>
      <w:r>
        <w:rPr>
          <w:rFonts w:hint="eastAsia" w:ascii="宋体" w:hAnsi="宋体" w:eastAsia="宋体" w:cs="宋体"/>
          <w:color w:val="000000"/>
        </w:rPr>
        <w:t>质保期要求：所有硬件产品提供三年的上门维护及保修，软件五年维护（特别说明除外）。在质保期间要求系统出现故障时，接到申报后应立即电话响应，并给予紧急处理办法，并在4小时内到达现场。进行检修，故障需在12小时内予以定位，简单故障报警可直接排除处理。在保修期内，如果系统发生故障，中标人应迅速修复或更换相应的硬件和软件，根据原厂政策执行质保，由此发生的全部费用由中标人负责。设备开通后, 如发生软件升级及设备升级、 扩展等有关情况，中标人应向买方提供必要的技术资料，并免费提供软件升级。保修期后，中标人应对其提供的设备提供终身技术支持；</w:t>
      </w:r>
    </w:p>
    <w:p>
      <w:pPr>
        <w:pStyle w:val="45"/>
        <w:widowControl/>
        <w:numPr>
          <w:ilvl w:val="0"/>
          <w:numId w:val="81"/>
        </w:numPr>
        <w:adjustRightInd w:val="0"/>
        <w:snapToGrid w:val="0"/>
        <w:spacing w:after="200" w:line="360" w:lineRule="auto"/>
        <w:ind w:left="840" w:hanging="420" w:firstLineChars="0"/>
        <w:jc w:val="left"/>
        <w:rPr>
          <w:rFonts w:hint="eastAsia" w:ascii="宋体" w:hAnsi="宋体" w:eastAsia="宋体" w:cs="宋体"/>
          <w:color w:val="000000"/>
        </w:rPr>
      </w:pPr>
      <w:r>
        <w:rPr>
          <w:rFonts w:hint="eastAsia" w:ascii="宋体" w:hAnsi="宋体" w:eastAsia="宋体" w:cs="宋体"/>
          <w:color w:val="000000"/>
        </w:rPr>
        <w:t>为保证交付质量，本项目采购核心设备：IT硬件设备、机柜、冷通道系统、行级精密空调、微模块监控系统、机房管理系统等需提供原厂针对本项目三年原厂质保售后承诺。</w:t>
      </w:r>
    </w:p>
    <w:p>
      <w:pPr>
        <w:pStyle w:val="45"/>
        <w:widowControl/>
        <w:numPr>
          <w:ilvl w:val="0"/>
          <w:numId w:val="81"/>
        </w:numPr>
        <w:adjustRightInd w:val="0"/>
        <w:snapToGrid w:val="0"/>
        <w:spacing w:after="200" w:line="360" w:lineRule="auto"/>
        <w:ind w:left="840" w:hanging="420" w:firstLineChars="0"/>
        <w:jc w:val="left"/>
        <w:rPr>
          <w:rFonts w:hint="eastAsia" w:ascii="宋体" w:hAnsi="宋体" w:eastAsia="宋体" w:cs="宋体"/>
          <w:color w:val="000000"/>
        </w:rPr>
      </w:pPr>
      <w:r>
        <w:rPr>
          <w:rFonts w:hint="eastAsia" w:ascii="宋体" w:hAnsi="宋体" w:eastAsia="宋体" w:cs="宋体"/>
          <w:color w:val="000000"/>
        </w:rPr>
        <w:t>薛定谔小分子药物设计软件售后服务要求,承诺所提供的“薛定谔软件”为全新货物，满足合同要求的配置。到货后提供软件在线安装和软件的使用培训。从licenses生效之日起，提供5年内的软件升级。从licenses生效之日起的5年内，软件开发商负责提供技术支持，软件使用过程中遇到的任何问题，接到用户问题报告后，非节假日期间在48小时内给予响应。响应的方式包含电话，电子邮件，网络会议。</w:t>
      </w:r>
    </w:p>
    <w:p>
      <w:pPr>
        <w:pStyle w:val="45"/>
        <w:widowControl/>
        <w:numPr>
          <w:ilvl w:val="0"/>
          <w:numId w:val="82"/>
        </w:numPr>
        <w:adjustRightInd w:val="0"/>
        <w:snapToGrid w:val="0"/>
        <w:spacing w:after="200" w:line="360" w:lineRule="auto"/>
        <w:ind w:firstLineChars="0"/>
        <w:jc w:val="left"/>
        <w:rPr>
          <w:rFonts w:hint="eastAsia" w:ascii="宋体" w:hAnsi="宋体" w:eastAsia="宋体" w:cs="宋体"/>
          <w:color w:val="000000"/>
          <w:szCs w:val="22"/>
        </w:rPr>
      </w:pPr>
      <w:r>
        <w:rPr>
          <w:rFonts w:hint="eastAsia" w:ascii="宋体" w:hAnsi="宋体" w:eastAsia="宋体" w:cs="宋体"/>
          <w:color w:val="000000"/>
          <w:szCs w:val="22"/>
        </w:rPr>
        <w:t>薛定谔FEP软件售后服务要求承诺所提供的“薛定谔软件”为全新货物，满足合同要求的配置。到货后提供软件在线安装和软件的使用培训。从licenses生效之日起，提供一年内的软件升级。从licenses生效之日起的一年内，软件开发商负责提供技术支持，软件使用过程中遇到的任何问题，接到用户问题报告后，非节假日期间在48小时内给予响应。响应的方式包含电话，电子邮件，网络会议。</w:t>
      </w:r>
    </w:p>
    <w:p>
      <w:pPr>
        <w:spacing w:line="220" w:lineRule="atLeast"/>
        <w:rPr>
          <w:rFonts w:hint="eastAsia" w:ascii="宋体" w:hAnsi="宋体" w:eastAsia="宋体" w:cs="宋体"/>
          <w:color w:val="000000"/>
          <w:szCs w:val="21"/>
        </w:rPr>
        <w:sectPr>
          <w:pgSz w:w="11906" w:h="16838"/>
          <w:pgMar w:top="1440" w:right="1800" w:bottom="1440" w:left="1800" w:header="708" w:footer="708" w:gutter="0"/>
          <w:cols w:space="720" w:num="1"/>
          <w:docGrid w:linePitch="360" w:charSpace="0"/>
        </w:sectPr>
      </w:pPr>
    </w:p>
    <w:p>
      <w:pPr>
        <w:pStyle w:val="43"/>
        <w:rPr>
          <w:rFonts w:hint="eastAsia" w:ascii="宋体" w:hAnsi="宋体" w:eastAsia="宋体" w:cs="宋体"/>
          <w:color w:val="auto"/>
          <w:sz w:val="21"/>
          <w:szCs w:val="21"/>
        </w:rPr>
      </w:pPr>
    </w:p>
    <w:p>
      <w:pPr>
        <w:pStyle w:val="43"/>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02包： 纳米颗粒跟踪分析仪</w:t>
      </w:r>
    </w:p>
    <w:p>
      <w:pPr>
        <w:pStyle w:val="43"/>
        <w:rPr>
          <w:rFonts w:hint="eastAsia" w:ascii="宋体" w:hAnsi="宋体" w:eastAsia="宋体" w:cs="宋体"/>
          <w:b/>
          <w:color w:val="auto"/>
          <w:sz w:val="21"/>
          <w:szCs w:val="21"/>
        </w:rPr>
      </w:pP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1、硬件功能：</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1.1.粒径检测范围：10 – 2000 nm。</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1.2.浓度检测范围：10</w:t>
      </w:r>
      <w:r>
        <w:rPr>
          <w:rFonts w:hint="eastAsia" w:ascii="宋体" w:hAnsi="宋体" w:eastAsia="宋体" w:cs="宋体"/>
          <w:color w:val="auto"/>
          <w:sz w:val="21"/>
          <w:szCs w:val="21"/>
          <w:vertAlign w:val="superscript"/>
        </w:rPr>
        <w:t>7</w:t>
      </w:r>
      <w:r>
        <w:rPr>
          <w:rFonts w:hint="eastAsia" w:ascii="宋体" w:hAnsi="宋体" w:eastAsia="宋体" w:cs="宋体"/>
          <w:color w:val="auto"/>
          <w:sz w:val="21"/>
          <w:szCs w:val="21"/>
        </w:rPr>
        <w:t xml:space="preserve"> – 10</w:t>
      </w:r>
      <w:r>
        <w:rPr>
          <w:rFonts w:hint="eastAsia" w:ascii="宋体" w:hAnsi="宋体" w:eastAsia="宋体" w:cs="宋体"/>
          <w:color w:val="auto"/>
          <w:sz w:val="21"/>
          <w:szCs w:val="21"/>
          <w:vertAlign w:val="superscript"/>
        </w:rPr>
        <w:t>9</w:t>
      </w:r>
      <w:r>
        <w:rPr>
          <w:rFonts w:hint="eastAsia" w:ascii="宋体" w:hAnsi="宋体" w:eastAsia="宋体" w:cs="宋体"/>
          <w:color w:val="auto"/>
          <w:sz w:val="21"/>
          <w:szCs w:val="21"/>
        </w:rPr>
        <w:t xml:space="preserve"> 个/毫升。</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1.3.光源模块： ≥488nm/532nm双固态激光模块，可更换。</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1.4.自动荧光滤光片转轮系统，最多可搭载5片荧光滤光片且自动切换的荧光滤光片</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1.5.检测光电单元： sCMOS检测器。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★1.6.样品量：最少 300 µl。</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★1.7.样品池：平面盖板式样品池，抑制颗粒的热漂移运动，呈现出颗粒自然的布朗运动。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★1.8.光学镜头：≥20倍，成像图片像素点小于300 nm。</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★1.9.外置式微流量注射器泵：流速程序可控，样品测量时提供恒定流速，使得样品中的颗粒一直处于流动状态下并实现颗粒轨迹跟踪，主要用于粒径宽分布以及荧光样品的检测。</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★1.10.荧光滤光片可通过软件控制进行自动切换（500 nm长通）。</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1.11. 检测池温控：帕贴技术, PID反馈控制，温控范围：低于室温5°C - 45°C，温控准确性：1°C 以内。</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1.12.具备升级添加全自动进样系统实现批量检测样品的功能。</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2、软件功能：</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2.1.提供布朗运动可视化视频。</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2.2.提供平均粒径、主峰粒径以及粒径分布宽度参数。</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2.3.提供颗粒浓度信息。</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2.4.提供粒径-数量分布，粒径-光强分布以及粒径-数量-光强三维分布曲线。</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2.5.提供颗粒分布累积曲线。</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2.6.可以在不同粒径范围进行分段计算。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★2.7.可对样品测量时存在的震动进行提示并自动进行纠正。.</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★2.8.软件分析界面可实时显示被跟踪颗粒的布朗运动的实际运动轨迹路径，而非背景或噪点。</w:t>
      </w:r>
    </w:p>
    <w:p>
      <w:pPr>
        <w:pStyle w:val="43"/>
        <w:rPr>
          <w:rFonts w:hint="eastAsia" w:ascii="宋体" w:hAnsi="宋体" w:eastAsia="宋体" w:cs="宋体"/>
          <w:color w:val="auto"/>
          <w:sz w:val="21"/>
          <w:szCs w:val="21"/>
        </w:rPr>
      </w:pPr>
    </w:p>
    <w:p>
      <w:pPr>
        <w:pStyle w:val="43"/>
        <w:outlineLvl w:val="1"/>
        <w:rPr>
          <w:rFonts w:hint="eastAsia" w:ascii="宋体" w:hAnsi="宋体" w:eastAsia="宋体" w:cs="宋体"/>
          <w:color w:val="auto"/>
          <w:sz w:val="18"/>
        </w:rPr>
      </w:pPr>
      <w:r>
        <w:rPr>
          <w:rFonts w:hint="eastAsia" w:ascii="宋体" w:hAnsi="宋体" w:eastAsia="宋体" w:cs="宋体"/>
          <w:b/>
          <w:color w:val="auto"/>
          <w:sz w:val="21"/>
          <w:szCs w:val="21"/>
        </w:rPr>
        <w:t>03包： 高效液相色谱仪</w:t>
      </w:r>
    </w:p>
    <w:p>
      <w:pPr>
        <w:pStyle w:val="43"/>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液相配置1 </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rPr>
        <w:tab/>
      </w:r>
      <w:r>
        <w:rPr>
          <w:rFonts w:hint="eastAsia" w:ascii="宋体" w:hAnsi="宋体" w:eastAsia="宋体" w:cs="宋体"/>
          <w:color w:val="auto"/>
          <w:sz w:val="21"/>
          <w:szCs w:val="21"/>
        </w:rPr>
        <w:t>配置要求：</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1.1</w:t>
      </w:r>
      <w:r>
        <w:rPr>
          <w:rFonts w:hint="eastAsia" w:ascii="宋体" w:hAnsi="宋体" w:eastAsia="宋体" w:cs="宋体"/>
          <w:color w:val="auto"/>
          <w:sz w:val="21"/>
          <w:szCs w:val="21"/>
        </w:rPr>
        <w:tab/>
      </w:r>
      <w:r>
        <w:rPr>
          <w:rFonts w:hint="eastAsia" w:ascii="宋体" w:hAnsi="宋体" w:eastAsia="宋体" w:cs="宋体"/>
          <w:color w:val="auto"/>
          <w:sz w:val="21"/>
          <w:szCs w:val="21"/>
        </w:rPr>
        <w:t>二元高压梯度系统（带脱气和泵清洗组件） 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1.2</w:t>
      </w:r>
      <w:r>
        <w:rPr>
          <w:rFonts w:hint="eastAsia" w:ascii="宋体" w:hAnsi="宋体" w:eastAsia="宋体" w:cs="宋体"/>
          <w:color w:val="auto"/>
          <w:sz w:val="21"/>
          <w:szCs w:val="21"/>
        </w:rPr>
        <w:tab/>
      </w:r>
      <w:r>
        <w:rPr>
          <w:rFonts w:hint="eastAsia" w:ascii="宋体" w:hAnsi="宋体" w:eastAsia="宋体" w:cs="宋体"/>
          <w:color w:val="auto"/>
          <w:sz w:val="21"/>
          <w:szCs w:val="21"/>
        </w:rPr>
        <w:t>二极管阵列检测器 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1.3蒸发光散射检测器1套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1.4</w:t>
      </w:r>
      <w:r>
        <w:rPr>
          <w:rFonts w:hint="eastAsia" w:ascii="宋体" w:hAnsi="宋体" w:eastAsia="宋体" w:cs="宋体"/>
          <w:color w:val="auto"/>
          <w:sz w:val="21"/>
          <w:szCs w:val="21"/>
        </w:rPr>
        <w:tab/>
      </w:r>
      <w:r>
        <w:rPr>
          <w:rFonts w:hint="eastAsia" w:ascii="宋体" w:hAnsi="宋体" w:eastAsia="宋体" w:cs="宋体"/>
          <w:color w:val="auto"/>
          <w:sz w:val="21"/>
          <w:szCs w:val="21"/>
        </w:rPr>
        <w:t>自动进样器 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1.5</w:t>
      </w:r>
      <w:r>
        <w:rPr>
          <w:rFonts w:hint="eastAsia" w:ascii="宋体" w:hAnsi="宋体" w:eastAsia="宋体" w:cs="宋体"/>
          <w:color w:val="auto"/>
          <w:sz w:val="21"/>
          <w:szCs w:val="21"/>
        </w:rPr>
        <w:tab/>
      </w:r>
      <w:r>
        <w:rPr>
          <w:rFonts w:hint="eastAsia" w:ascii="宋体" w:hAnsi="宋体" w:eastAsia="宋体" w:cs="宋体"/>
          <w:color w:val="auto"/>
          <w:sz w:val="21"/>
          <w:szCs w:val="21"/>
        </w:rPr>
        <w:t>柱温箱 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1.6</w:t>
      </w:r>
      <w:r>
        <w:rPr>
          <w:rFonts w:hint="eastAsia" w:ascii="宋体" w:hAnsi="宋体" w:eastAsia="宋体" w:cs="宋体"/>
          <w:color w:val="auto"/>
          <w:sz w:val="21"/>
          <w:szCs w:val="21"/>
        </w:rPr>
        <w:tab/>
      </w:r>
      <w:r>
        <w:rPr>
          <w:rFonts w:hint="eastAsia" w:ascii="宋体" w:hAnsi="宋体" w:eastAsia="宋体" w:cs="宋体"/>
          <w:color w:val="auto"/>
          <w:sz w:val="21"/>
          <w:szCs w:val="21"/>
        </w:rPr>
        <w:t>分析型C18色谱柱（4.6mm*250mm）及保护柱 各2套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1.7</w:t>
      </w:r>
      <w:r>
        <w:rPr>
          <w:rFonts w:hint="eastAsia" w:ascii="宋体" w:hAnsi="宋体" w:eastAsia="宋体" w:cs="宋体"/>
          <w:color w:val="auto"/>
          <w:sz w:val="21"/>
          <w:szCs w:val="21"/>
        </w:rPr>
        <w:tab/>
      </w:r>
      <w:r>
        <w:rPr>
          <w:rFonts w:hint="eastAsia" w:ascii="宋体" w:hAnsi="宋体" w:eastAsia="宋体" w:cs="宋体"/>
          <w:color w:val="auto"/>
          <w:sz w:val="21"/>
          <w:szCs w:val="21"/>
        </w:rPr>
        <w:t>色谱操作软件 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1.8</w:t>
      </w:r>
      <w:r>
        <w:rPr>
          <w:rFonts w:hint="eastAsia" w:ascii="宋体" w:hAnsi="宋体" w:eastAsia="宋体" w:cs="宋体"/>
          <w:color w:val="auto"/>
          <w:sz w:val="21"/>
          <w:szCs w:val="21"/>
        </w:rPr>
        <w:tab/>
      </w:r>
      <w:r>
        <w:rPr>
          <w:rFonts w:hint="eastAsia" w:ascii="宋体" w:hAnsi="宋体" w:eastAsia="宋体" w:cs="宋体"/>
          <w:color w:val="auto"/>
          <w:sz w:val="21"/>
          <w:szCs w:val="21"/>
        </w:rPr>
        <w:t>电脑打印机 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 xml:space="preserve">1.9 相关耗材及配件：1.5ml 样品瓶 200个 1L流动相瓶 5个  低压密封圈2个  PEEK接头4个 </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rPr>
        <w:tab/>
      </w:r>
      <w:r>
        <w:rPr>
          <w:rFonts w:hint="eastAsia" w:ascii="宋体" w:hAnsi="宋体" w:eastAsia="宋体" w:cs="宋体"/>
          <w:color w:val="auto"/>
          <w:sz w:val="21"/>
          <w:szCs w:val="21"/>
        </w:rPr>
        <w:t>技术参数要求：</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2.1高压二元梯度输液泵系统：</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2.1.1泵类型：并联双柱塞</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★2.1.2流速范围：0.001-10.000mL/min</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2.1.3耐压：60Mpa及以上</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2.1.4流速精确度：≤0.062％RSD</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2.1.5自我诊断/自我恢复：自动检测到批处理分析过程中意外混入的气泡，自动执行Purge，快速恢复至正常分析状态。</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2.1.6智能流量控制功能：防止瞬间高压损害色谱柱，延长色谱柱使用寿命。</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2.1.7脱气机流路数目：≥3路</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2.1.8梯度模式：二元高压梯度系统，要求独立两台输液泵而非二元一体泵，以降低故障率且便于维护</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2.2二极管阵列检测器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2.2.1光源：氘灯和钨灯</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2.2.2二极管数量：≥1024</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2.2.3波长范围：190-750nm</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2.2.4漂移：＜0.4×10-3AU/h</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2.2.5噪音：＜4.5×10-6AU</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2.2.6线性：＞2.4AU</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2.2.7控温单元：光源，光路系统，流通池。温控范围：19-50℃</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 蒸发光散射检测器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2.3.1检测器：光电二极管</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2.3.2光源：激光&gt;500 mW 450 nm</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2.3.3流动相标准流量：0.2-2.0 mL/min</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2.3.4气体消耗量：</w:t>
      </w:r>
      <w:r>
        <w:rPr>
          <w:rFonts w:hint="eastAsia" w:ascii="宋体" w:hAnsi="宋体" w:eastAsia="宋体" w:cs="宋体"/>
          <w:color w:val="auto"/>
          <w:sz w:val="21"/>
          <w:szCs w:val="21"/>
        </w:rPr>
        <w:tab/>
      </w:r>
      <w:r>
        <w:rPr>
          <w:rFonts w:hint="eastAsia" w:ascii="宋体" w:hAnsi="宋体" w:eastAsia="宋体" w:cs="宋体"/>
          <w:color w:val="auto"/>
          <w:sz w:val="21"/>
          <w:szCs w:val="21"/>
        </w:rPr>
        <w:t>3 L/min以下</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2.3.5漂移管温度：</w:t>
      </w:r>
      <w:r>
        <w:rPr>
          <w:rFonts w:hint="eastAsia" w:ascii="宋体" w:hAnsi="宋体" w:eastAsia="宋体" w:cs="宋体"/>
          <w:color w:val="auto"/>
          <w:sz w:val="21"/>
          <w:szCs w:val="21"/>
        </w:rPr>
        <w:tab/>
      </w:r>
      <w:r>
        <w:rPr>
          <w:rFonts w:hint="eastAsia" w:ascii="宋体" w:hAnsi="宋体" w:eastAsia="宋体" w:cs="宋体"/>
          <w:color w:val="auto"/>
          <w:sz w:val="21"/>
          <w:szCs w:val="21"/>
        </w:rPr>
        <w:t>室温~100℃</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2.3.6温度稳定性能：±1℃以下</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2.4自动进样器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★2.4.1耐压：60Mpa及以上</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2.4.2进样周期：≤6.7秒</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2.4.3进样速度：≤4秒</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2.4.4样品数量：160位及以上(1.5mL/2mL样品瓶)</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2.4.5交叉污染： &lt;0.0003%</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2.4.6洗针方式：针外润洗和进样口冲洗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针外壁送液清洗：可扩展支持两路清洗液</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针内壁清洗：可扩展支持3路清洗液</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2.4.7支持多种自动前处理功能：样品稀释、添加、混合、Co-injection功能、自动衍生等</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2.5</w:t>
      </w:r>
      <w:r>
        <w:rPr>
          <w:rFonts w:hint="eastAsia" w:ascii="宋体" w:hAnsi="宋体" w:eastAsia="宋体" w:cs="宋体"/>
          <w:color w:val="auto"/>
          <w:sz w:val="21"/>
          <w:szCs w:val="21"/>
        </w:rPr>
        <w:tab/>
      </w:r>
      <w:r>
        <w:rPr>
          <w:rFonts w:hint="eastAsia" w:ascii="宋体" w:hAnsi="宋体" w:eastAsia="宋体" w:cs="宋体"/>
          <w:color w:val="auto"/>
          <w:sz w:val="21"/>
          <w:szCs w:val="21"/>
        </w:rPr>
        <w:t>柱温箱</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2.5.1温度控制范围：室温-10℃~90℃</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2.5.2双重漏液传感器：含气体和液体双重传感器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2.5.3色谱柱容量：单个柱温箱内可放置250mm×5根；300mm×3根；</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2.6</w:t>
      </w:r>
      <w:r>
        <w:rPr>
          <w:rFonts w:hint="eastAsia" w:ascii="宋体" w:hAnsi="宋体" w:eastAsia="宋体" w:cs="宋体"/>
          <w:color w:val="auto"/>
          <w:sz w:val="21"/>
          <w:szCs w:val="21"/>
        </w:rPr>
        <w:tab/>
      </w:r>
      <w:r>
        <w:rPr>
          <w:rFonts w:hint="eastAsia" w:ascii="宋体" w:hAnsi="宋体" w:eastAsia="宋体" w:cs="宋体"/>
          <w:color w:val="auto"/>
          <w:sz w:val="21"/>
          <w:szCs w:val="21"/>
        </w:rPr>
        <w:t>色谱工作站</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支持中/英文工作站，可将报告、分析结果以及所有操作日志全部汇总到一个PDF文件（报告集）中。制作简单，在安全管理到位的数据库内生成、保管，具有数据完整性功能。另外具有自动峰识别功能、智能峰解卷积功能、动态范围扩展功能、以及自动IQ OQ功能。</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 xml:space="preserve">2.7电脑及打印机要求：  </w:t>
      </w:r>
      <w:r>
        <w:rPr>
          <w:rFonts w:hint="eastAsia" w:ascii="宋体" w:hAnsi="宋体" w:eastAsia="宋体" w:cs="宋体"/>
          <w:color w:val="auto"/>
          <w:sz w:val="21"/>
          <w:szCs w:val="21"/>
        </w:rPr>
        <w:tab/>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sz w:val="21"/>
          <w:szCs w:val="21"/>
        </w:rPr>
        <w:t>不低于以下要求：</w:t>
      </w:r>
      <w:r>
        <w:rPr>
          <w:rFonts w:hint="eastAsia" w:ascii="宋体" w:hAnsi="宋体" w:eastAsia="宋体" w:cs="宋体"/>
          <w:color w:val="auto"/>
          <w:sz w:val="21"/>
          <w:szCs w:val="21"/>
        </w:rPr>
        <w:t>品牌商用电脑，CPU：英特尔酷睿i5-7100  主频3.9GHZ  内存：DDR4 8GB   硬盘1TB 7200转  显示器：23英寸及以上  光电鼠标，激光A4打印机</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3．售后部分</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3.1 -安装调试，现场培训操作人员</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3.2 能帮助用户建立相关样品的分析方法</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3.3 仪器生产厂家必须-接到用户报修后 24 小时内响应， 如需到现场解决，报修后 3 个工作日内赶到现场解决，重大问题或其它无法迅速解决的问题应在一周内解决或提出明确的解决方案。</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3.4</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保修期：质保3年及以上，终身维护。</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3.5 提供至少 2 个以上外出培训名额。</w:t>
      </w:r>
    </w:p>
    <w:p>
      <w:pPr>
        <w:pStyle w:val="43"/>
        <w:rPr>
          <w:rFonts w:hint="eastAsia" w:ascii="宋体" w:hAnsi="宋体" w:eastAsia="宋体" w:cs="宋体"/>
          <w:color w:val="auto"/>
          <w:sz w:val="21"/>
          <w:szCs w:val="21"/>
        </w:rPr>
      </w:pPr>
    </w:p>
    <w:p>
      <w:pPr>
        <w:pStyle w:val="43"/>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液相配置2 </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rPr>
        <w:tab/>
      </w:r>
      <w:r>
        <w:rPr>
          <w:rFonts w:hint="eastAsia" w:ascii="宋体" w:hAnsi="宋体" w:eastAsia="宋体" w:cs="宋体"/>
          <w:color w:val="auto"/>
          <w:sz w:val="21"/>
          <w:szCs w:val="21"/>
        </w:rPr>
        <w:t>配置要求：</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1.1</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二元高压梯度系统（带脱气和泵清洗组件） 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1.2 二极管阵列检测器 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1.3 荧光检测器1套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1.4</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自动进样器 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1.5</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柱温箱 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1.6</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分析型C18色谱柱（4.6mm*250mm）及保护柱 2套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1.7</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色谱操作软件 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1.8</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电脑打印机 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 xml:space="preserve">1.9 相关耗材及配件：1.5ml 样品瓶 200个 1L流动相瓶 5个  密封圈2个  PEEK接头4个 </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rPr>
        <w:tab/>
      </w:r>
      <w:r>
        <w:rPr>
          <w:rFonts w:hint="eastAsia" w:ascii="宋体" w:hAnsi="宋体" w:eastAsia="宋体" w:cs="宋体"/>
          <w:color w:val="auto"/>
          <w:sz w:val="21"/>
          <w:szCs w:val="21"/>
        </w:rPr>
        <w:t>技术参数要求：</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2.1高压二元梯度输液泵系统：</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2.1.1泵类型：并联双柱塞</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★2.1.2流速范围：0.001-10.000mL/min</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2.1.3耐压：40Mpa及以上</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2.1.4流速精确度：≤0.062％RSD</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2.1.5自我诊断/自我恢复：自动检测到批处理分析过程中意外混入的气泡，自动执行Purge，快速恢复至正常分析状态。</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2.1.6智能流量控制功能：防止瞬间高压损害色谱柱，延长色谱柱使用寿命。</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2.1.7脱气机流路数目：≥3路</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2.1.8梯度模式：二元高压梯度系统，要求独立两台输液泵而非二元一体泵，以降低故障率且便于维护</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2.2二极管阵列检测器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2.2.1光源：氘灯和钨灯</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2.2.2二极管数量：≥1024</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2.2.3波长范围：190-750nm</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2.2.4漂移：＜0.4×10-3AU/h</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2.2.5噪音：＜4.5×10-6AU</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2.2.6线性：＞2.4AU</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2.2.8控温单元：光源，光路系统，流通池。温控范围：19-50℃</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2.3荧光检测器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2.3.1光源：RF-20A：氙灯</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2.3.2</w:t>
      </w:r>
      <w:r>
        <w:rPr>
          <w:rFonts w:hint="eastAsia" w:ascii="宋体" w:hAnsi="宋体" w:eastAsia="宋体" w:cs="宋体"/>
          <w:color w:val="auto"/>
          <w:sz w:val="21"/>
          <w:szCs w:val="21"/>
        </w:rPr>
        <w:tab/>
      </w:r>
      <w:r>
        <w:rPr>
          <w:rFonts w:hint="eastAsia" w:ascii="宋体" w:hAnsi="宋体" w:eastAsia="宋体" w:cs="宋体"/>
          <w:color w:val="auto"/>
          <w:sz w:val="21"/>
          <w:szCs w:val="21"/>
        </w:rPr>
        <w:t>波长范围：RF-20A：200~600nm</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2.3.3</w:t>
      </w:r>
      <w:r>
        <w:rPr>
          <w:rFonts w:hint="eastAsia" w:ascii="宋体" w:hAnsi="宋体" w:eastAsia="宋体" w:cs="宋体"/>
          <w:color w:val="auto"/>
          <w:sz w:val="21"/>
          <w:szCs w:val="21"/>
        </w:rPr>
        <w:tab/>
      </w:r>
      <w:r>
        <w:rPr>
          <w:rFonts w:hint="eastAsia" w:ascii="宋体" w:hAnsi="宋体" w:eastAsia="宋体" w:cs="宋体"/>
          <w:color w:val="auto"/>
          <w:sz w:val="21"/>
          <w:szCs w:val="21"/>
        </w:rPr>
        <w:t>光谱带宽：20nm</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2.3.4波长准确度：±2nm</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2.3.5波长精度：±0.2nm</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 xml:space="preserve">2.3.6 S/N：RF-20A：水的拉曼峰＞S/N1200， </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2.3.7检测池：体积12μL，最大耐压2Mpa</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2.4自动进样器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★2.4.1耐压：40Mpa及以上</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2.4.2进样周期：≤6.7秒</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2.4.3进样速度：≤4秒</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2.4.4样品数量：160位及以上(1.5mL/2mL样品瓶)</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2.4.5交叉污染： &lt;0.0003%</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2.4.6洗针方式：针外润洗和进样口冲洗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针外壁送液清洗：可扩展支持两路清洗液</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针内壁清洗：可扩展支持3路清洗液</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2.4.7支持多种自动前处理功能：样品稀释、添加、混合、Co-injection功能、自动衍生等</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2.5</w:t>
      </w:r>
      <w:r>
        <w:rPr>
          <w:rFonts w:hint="eastAsia" w:ascii="宋体" w:hAnsi="宋体" w:eastAsia="宋体" w:cs="宋体"/>
          <w:color w:val="auto"/>
          <w:sz w:val="21"/>
          <w:szCs w:val="21"/>
        </w:rPr>
        <w:tab/>
      </w:r>
      <w:r>
        <w:rPr>
          <w:rFonts w:hint="eastAsia" w:ascii="宋体" w:hAnsi="宋体" w:eastAsia="宋体" w:cs="宋体"/>
          <w:color w:val="auto"/>
          <w:sz w:val="21"/>
          <w:szCs w:val="21"/>
        </w:rPr>
        <w:t>柱温箱</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2.5.1温度控制范围：室温-10℃~90℃</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2.5.2双重漏液传感器：含气体和液体双重传感器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2.5.3色谱柱容量：单个柱温箱内至少可放置250mm×5根；300mm×3根；</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2.6</w:t>
      </w:r>
      <w:r>
        <w:rPr>
          <w:rFonts w:hint="eastAsia" w:ascii="宋体" w:hAnsi="宋体" w:eastAsia="宋体" w:cs="宋体"/>
          <w:color w:val="auto"/>
          <w:sz w:val="21"/>
          <w:szCs w:val="21"/>
        </w:rPr>
        <w:tab/>
      </w:r>
      <w:r>
        <w:rPr>
          <w:rFonts w:hint="eastAsia" w:ascii="宋体" w:hAnsi="宋体" w:eastAsia="宋体" w:cs="宋体"/>
          <w:color w:val="auto"/>
          <w:sz w:val="21"/>
          <w:szCs w:val="21"/>
        </w:rPr>
        <w:t>色谱工作站</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支持中/英文工作站，可将报告、分析结果以及所有操作日志全部汇总到一个PDF文件（报告集）中。制作简单，在安全管理到位的数据库内生成、保管，具有数据完整性功能。另外具有自动峰识别功能、智能峰解卷积功能、动态范围扩展功能、以及自动IQ OQ功能。</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 xml:space="preserve">2.7电脑及打印机要求：  </w:t>
      </w:r>
      <w:r>
        <w:rPr>
          <w:rFonts w:hint="eastAsia" w:ascii="宋体" w:hAnsi="宋体" w:eastAsia="宋体" w:cs="宋体"/>
          <w:color w:val="auto"/>
          <w:sz w:val="21"/>
          <w:szCs w:val="21"/>
        </w:rPr>
        <w:tab/>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不低于以下要求：品牌商用电脑，CPU：英特尔酷睿i5-7100  主频3.9GHZ  内 存：DDR4 8GB   硬盘：1TB 7200转  显示器：23英寸及以上  光电鼠标，激光A4打印机</w:t>
      </w:r>
    </w:p>
    <w:p>
      <w:pPr>
        <w:pStyle w:val="43"/>
        <w:rPr>
          <w:rFonts w:hint="eastAsia" w:ascii="宋体" w:hAnsi="宋体" w:eastAsia="宋体" w:cs="宋体"/>
          <w:color w:val="auto"/>
          <w:sz w:val="21"/>
          <w:szCs w:val="21"/>
        </w:rPr>
      </w:pPr>
    </w:p>
    <w:p>
      <w:pPr>
        <w:pStyle w:val="43"/>
        <w:rPr>
          <w:rFonts w:hint="eastAsia" w:ascii="宋体" w:hAnsi="宋体" w:eastAsia="宋体" w:cs="宋体"/>
          <w:b/>
          <w:color w:val="auto"/>
          <w:sz w:val="21"/>
          <w:szCs w:val="21"/>
        </w:rPr>
      </w:pPr>
      <w:r>
        <w:rPr>
          <w:rFonts w:hint="eastAsia" w:ascii="宋体" w:hAnsi="宋体" w:eastAsia="宋体" w:cs="宋体"/>
          <w:b/>
          <w:color w:val="auto"/>
          <w:sz w:val="21"/>
          <w:szCs w:val="21"/>
        </w:rPr>
        <w:t>液相配置3-6共计：4台套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rPr>
        <w:tab/>
      </w:r>
      <w:r>
        <w:rPr>
          <w:rFonts w:hint="eastAsia" w:ascii="宋体" w:hAnsi="宋体" w:eastAsia="宋体" w:cs="宋体"/>
          <w:color w:val="auto"/>
          <w:sz w:val="21"/>
          <w:szCs w:val="21"/>
        </w:rPr>
        <w:t>配置要求：</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1.1</w:t>
      </w:r>
      <w:r>
        <w:rPr>
          <w:rFonts w:hint="eastAsia" w:ascii="宋体" w:hAnsi="宋体" w:eastAsia="宋体" w:cs="宋体"/>
          <w:color w:val="auto"/>
          <w:sz w:val="21"/>
          <w:szCs w:val="21"/>
        </w:rPr>
        <w:tab/>
      </w:r>
      <w:r>
        <w:rPr>
          <w:rFonts w:hint="eastAsia" w:ascii="宋体" w:hAnsi="宋体" w:eastAsia="宋体" w:cs="宋体"/>
          <w:color w:val="auto"/>
          <w:sz w:val="21"/>
          <w:szCs w:val="21"/>
        </w:rPr>
        <w:t>二元高压梯度系统（带脱气和泵清洗组件） 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1.2</w:t>
      </w:r>
      <w:r>
        <w:rPr>
          <w:rFonts w:hint="eastAsia" w:ascii="宋体" w:hAnsi="宋体" w:eastAsia="宋体" w:cs="宋体"/>
          <w:color w:val="auto"/>
          <w:sz w:val="21"/>
          <w:szCs w:val="21"/>
        </w:rPr>
        <w:tab/>
      </w:r>
      <w:r>
        <w:rPr>
          <w:rFonts w:hint="eastAsia" w:ascii="宋体" w:hAnsi="宋体" w:eastAsia="宋体" w:cs="宋体"/>
          <w:color w:val="auto"/>
          <w:sz w:val="21"/>
          <w:szCs w:val="21"/>
        </w:rPr>
        <w:t>二极管阵列检测器 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1.3</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自动进样器 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1.4</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柱温箱 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1.5 自动馏份收集器 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1.6</w:t>
      </w:r>
      <w:r>
        <w:rPr>
          <w:rFonts w:hint="eastAsia" w:ascii="宋体" w:hAnsi="宋体" w:eastAsia="宋体" w:cs="宋体"/>
          <w:color w:val="auto"/>
          <w:sz w:val="21"/>
          <w:szCs w:val="21"/>
        </w:rPr>
        <w:tab/>
      </w:r>
      <w:r>
        <w:rPr>
          <w:rFonts w:hint="eastAsia" w:ascii="宋体" w:hAnsi="宋体" w:eastAsia="宋体" w:cs="宋体"/>
          <w:color w:val="auto"/>
          <w:sz w:val="21"/>
          <w:szCs w:val="21"/>
        </w:rPr>
        <w:t>分析型C18色谱柱（4.6mm*250mm）及保护柱 1套，半制备柱及保护柱（10mm*250mm）1套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1.7</w:t>
      </w:r>
      <w:r>
        <w:rPr>
          <w:rFonts w:hint="eastAsia" w:ascii="宋体" w:hAnsi="宋体" w:eastAsia="宋体" w:cs="宋体"/>
          <w:color w:val="auto"/>
          <w:sz w:val="21"/>
          <w:szCs w:val="21"/>
        </w:rPr>
        <w:tab/>
      </w:r>
      <w:r>
        <w:rPr>
          <w:rFonts w:hint="eastAsia" w:ascii="宋体" w:hAnsi="宋体" w:eastAsia="宋体" w:cs="宋体"/>
          <w:color w:val="auto"/>
          <w:sz w:val="21"/>
          <w:szCs w:val="21"/>
        </w:rPr>
        <w:t>色谱操作软件 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1.8</w:t>
      </w:r>
      <w:r>
        <w:rPr>
          <w:rFonts w:hint="eastAsia" w:ascii="宋体" w:hAnsi="宋体" w:eastAsia="宋体" w:cs="宋体"/>
          <w:color w:val="auto"/>
          <w:sz w:val="21"/>
          <w:szCs w:val="21"/>
        </w:rPr>
        <w:tab/>
      </w:r>
      <w:r>
        <w:rPr>
          <w:rFonts w:hint="eastAsia" w:ascii="宋体" w:hAnsi="宋体" w:eastAsia="宋体" w:cs="宋体"/>
          <w:color w:val="auto"/>
          <w:sz w:val="21"/>
          <w:szCs w:val="21"/>
        </w:rPr>
        <w:t>电脑打印机 1套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 xml:space="preserve">1.9 相关耗材及配件：1.5ml 样品瓶 200个 1L流动相瓶 5个  低压密封圈2个  PEEK接头4个 3.5ml玻璃试管200个 </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rPr>
        <w:tab/>
      </w:r>
      <w:r>
        <w:rPr>
          <w:rFonts w:hint="eastAsia" w:ascii="宋体" w:hAnsi="宋体" w:eastAsia="宋体" w:cs="宋体"/>
          <w:color w:val="auto"/>
          <w:sz w:val="21"/>
          <w:szCs w:val="21"/>
        </w:rPr>
        <w:t>技术参数要求：</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2.1高压二元梯度输液泵系统：</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2.1.1泵类型：并联双柱塞</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★2.1.2流速范围：0.001-10.000mL/min</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2.1.3耐压：40Mpa及以上</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2.1.4流速精确度：≤0.062％RSD</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2.1.5自我诊断/自我恢复：自动检测到批处理分析过程中意外混入的气泡，自动执行Purge，快速恢复至正常分析状态。</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2.1.6智能流量控制功能：防止瞬间高压损害色谱柱，延长色谱柱使用寿命。</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2.1.7脱气机流路数目：≥3路</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2.1.8梯度模式：二元高压梯度系统，要求独立两台输液泵而非二元一体泵，以降低故障率且便于维护</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2.2二极管阵列检测器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2.2.1光源：氘灯和钨灯</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2.2.2二极管数量：≥1024</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2.2.3波长范围：190-750nm</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2.2.4漂移：＜0.4×10-3AU/h</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2.2.5噪音：＜4.5×10-6AU</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2.2.6线性：＞2.4AU</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2.2.8控温单元：光源，光路系统，流通池。温控范围：19-50℃</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2.3自动进样器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★2.3.1耐压：40Mpa及以上</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2.3.2进样周期：≤6.7秒</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2.3.3进样速度：≤4秒</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2.3.4样品数量：≥160位及以上(1.5mL/2mL样品瓶)</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2.3.5交叉污染： &lt;0.0003%</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2.3.6洗针方式：针外润洗和进样口冲洗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针外壁送液清洗：可扩展支持两路清洗液</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针内壁清洗：可扩展支持3路清洗液</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2.3.7支持多种自动前处理功能：样品稀释、添加、混合、Co-injection功能、自动衍生等</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w:t>
      </w:r>
      <w:r>
        <w:rPr>
          <w:rFonts w:hint="eastAsia" w:ascii="宋体" w:hAnsi="宋体" w:eastAsia="宋体" w:cs="宋体"/>
          <w:color w:val="auto"/>
          <w:sz w:val="21"/>
          <w:szCs w:val="21"/>
        </w:rPr>
        <w:tab/>
      </w:r>
      <w:r>
        <w:rPr>
          <w:rFonts w:hint="eastAsia" w:ascii="宋体" w:hAnsi="宋体" w:eastAsia="宋体" w:cs="宋体"/>
          <w:color w:val="auto"/>
          <w:sz w:val="21"/>
          <w:szCs w:val="21"/>
        </w:rPr>
        <w:t>柱温箱</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2.4.1温度控制范围：室温-10℃~90℃</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2.4.2双重漏液传感器：含气体和液体双重传感器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2.4.3色谱柱容量：单个柱温箱内可放置250mm×5根；300mm×3根；</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2.5全自动馏份收集器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2.5.1驱动方式：悬臂移动（X－Y）方式</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2.5.2最大分割数：16～144个</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2.5.3收集方法：电磁阀（附阀馏分收集头）</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2.5.4分流方法：基本方式和时间程序（14种参数）组合设定</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2.5.5收集容器：20ml玻璃试管(100个)、4 mL/50 mL样品瓶、500 mL/1000 mL 容器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2.5.6流量范围：最大150ml/min</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2.6</w:t>
      </w:r>
      <w:r>
        <w:rPr>
          <w:rFonts w:hint="eastAsia" w:ascii="宋体" w:hAnsi="宋体" w:eastAsia="宋体" w:cs="宋体"/>
          <w:color w:val="auto"/>
          <w:sz w:val="21"/>
          <w:szCs w:val="21"/>
        </w:rPr>
        <w:tab/>
      </w:r>
      <w:r>
        <w:rPr>
          <w:rFonts w:hint="eastAsia" w:ascii="宋体" w:hAnsi="宋体" w:eastAsia="宋体" w:cs="宋体"/>
          <w:color w:val="auto"/>
          <w:sz w:val="21"/>
          <w:szCs w:val="21"/>
        </w:rPr>
        <w:t>色谱工作站</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支持中/英文工作站，可将报告、分析结果以及所有操作日志全部汇总到一个PDF文件（报告集）中。制作简单，在安全管理到位的数据库内生成、保管，具有数据完整性功能。另外具有自动峰识别功能、智能峰解卷积功能、动态范围扩展功能、以及自动IQ OQ功能。</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 xml:space="preserve">2.7电脑及打印机要求：  </w:t>
      </w:r>
      <w:r>
        <w:rPr>
          <w:rFonts w:hint="eastAsia" w:ascii="宋体" w:hAnsi="宋体" w:eastAsia="宋体" w:cs="宋体"/>
          <w:color w:val="auto"/>
          <w:sz w:val="21"/>
          <w:szCs w:val="21"/>
        </w:rPr>
        <w:tab/>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不低于以下要求：品牌商用电脑，CPU：英特尔酷睿≥i5-7100  主频≥3.9GHZ  内 存：DDR≥4 8GB   硬盘：≥1TB 7200转  显示器：23英寸及以上光电鼠标，激光A4打印机</w:t>
      </w:r>
    </w:p>
    <w:p>
      <w:pPr>
        <w:pStyle w:val="43"/>
        <w:rPr>
          <w:rFonts w:hint="eastAsia" w:ascii="宋体" w:hAnsi="宋体" w:eastAsia="宋体" w:cs="宋体"/>
          <w:color w:val="auto"/>
          <w:sz w:val="21"/>
          <w:szCs w:val="21"/>
        </w:rPr>
      </w:pPr>
    </w:p>
    <w:p>
      <w:pPr>
        <w:pStyle w:val="43"/>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04包：高速大容量离心机</w:t>
      </w:r>
    </w:p>
    <w:p>
      <w:pPr>
        <w:pStyle w:val="43"/>
        <w:rPr>
          <w:rFonts w:hint="eastAsia" w:ascii="宋体" w:hAnsi="宋体" w:eastAsia="宋体" w:cs="宋体"/>
          <w:color w:val="auto"/>
          <w:sz w:val="21"/>
          <w:szCs w:val="21"/>
        </w:rPr>
      </w:pPr>
      <w:r>
        <w:rPr>
          <w:rFonts w:hint="eastAsia" w:ascii="宋体" w:hAnsi="宋体" w:eastAsia="宋体" w:cs="宋体"/>
          <w:b/>
          <w:color w:val="auto"/>
          <w:sz w:val="21"/>
          <w:szCs w:val="21"/>
        </w:rPr>
        <w:t>1.</w:t>
      </w:r>
      <w:r>
        <w:rPr>
          <w:rFonts w:hint="eastAsia" w:ascii="宋体" w:hAnsi="宋体" w:eastAsia="宋体" w:cs="宋体"/>
          <w:color w:val="auto"/>
          <w:sz w:val="21"/>
          <w:szCs w:val="21"/>
        </w:rPr>
        <w:t>最高转速：</w:t>
      </w:r>
      <w:r>
        <w:rPr>
          <w:rFonts w:hint="eastAsia" w:ascii="宋体" w:hAnsi="宋体" w:eastAsia="宋体" w:cs="宋体"/>
        </w:rPr>
        <w:t>≥</w:t>
      </w:r>
      <w:r>
        <w:rPr>
          <w:rFonts w:hint="eastAsia" w:ascii="宋体" w:hAnsi="宋体" w:eastAsia="宋体" w:cs="宋体"/>
          <w:color w:val="auto"/>
          <w:sz w:val="21"/>
          <w:szCs w:val="21"/>
        </w:rPr>
        <w:t>26,000转/分</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2.最大离心力：</w:t>
      </w:r>
      <w:r>
        <w:rPr>
          <w:rFonts w:hint="eastAsia" w:ascii="宋体" w:hAnsi="宋体" w:eastAsia="宋体" w:cs="宋体"/>
        </w:rPr>
        <w:t>≥</w:t>
      </w:r>
      <w:r>
        <w:rPr>
          <w:rFonts w:hint="eastAsia" w:ascii="宋体" w:hAnsi="宋体" w:eastAsia="宋体" w:cs="宋体"/>
          <w:color w:val="auto"/>
          <w:sz w:val="21"/>
          <w:szCs w:val="21"/>
        </w:rPr>
        <w:t xml:space="preserve">82,000×g </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3.最大容量：</w:t>
      </w:r>
      <w:r>
        <w:rPr>
          <w:rFonts w:hint="eastAsia" w:ascii="宋体" w:hAnsi="宋体" w:eastAsia="宋体" w:cs="宋体"/>
        </w:rPr>
        <w:t>≥</w:t>
      </w:r>
      <w:r>
        <w:rPr>
          <w:rFonts w:hint="eastAsia" w:ascii="宋体" w:hAnsi="宋体" w:eastAsia="宋体" w:cs="宋体"/>
          <w:color w:val="auto"/>
          <w:sz w:val="21"/>
          <w:szCs w:val="21"/>
        </w:rPr>
        <w:t>4×1,000毫升</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4.温度控制范围: -20℃至+40℃</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5.温度控制精度:±2℃</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6.时间控制:0~99小时59分钟，及连续运行（hold）</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7.加减速控制:9级加速/10级减速</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 xml:space="preserve">8. 控制系统:全触摸显示屏，自动识别和显示转子所有信息，与IPAD类似. </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9.驱动系统:无碳刷大力矩电机, 直接驱动,无须齿轮变速装置和皮带传动系统</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10.用户权限管理，内置操作培训视频，转头计算器，ACE积分功能</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11.安全系统:转头Auto-Lock自锁方式</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12.噪声≤65dBa</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基本配置</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1）主机</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2）4* 1000ml角转头1个</w:t>
      </w:r>
    </w:p>
    <w:p>
      <w:pPr>
        <w:pStyle w:val="43"/>
        <w:rPr>
          <w:rFonts w:hint="eastAsia" w:ascii="宋体" w:hAnsi="宋体" w:eastAsia="宋体" w:cs="宋体"/>
          <w:color w:val="auto"/>
          <w:sz w:val="21"/>
          <w:szCs w:val="21"/>
        </w:rPr>
      </w:pPr>
    </w:p>
    <w:p>
      <w:pPr>
        <w:pStyle w:val="43"/>
        <w:outlineLvl w:val="1"/>
        <w:rPr>
          <w:rFonts w:hint="eastAsia" w:ascii="宋体" w:hAnsi="宋体" w:eastAsia="宋体" w:cs="宋体"/>
          <w:color w:val="auto"/>
          <w:sz w:val="18"/>
        </w:rPr>
      </w:pPr>
      <w:r>
        <w:rPr>
          <w:rFonts w:hint="eastAsia" w:ascii="宋体" w:hAnsi="宋体" w:eastAsia="宋体" w:cs="宋体"/>
          <w:b/>
          <w:color w:val="auto"/>
          <w:sz w:val="21"/>
          <w:szCs w:val="21"/>
        </w:rPr>
        <w:t>05包： 生物安全柜</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1.气流模式须达到30%外排、70%循环要求；</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2.流入气流平均风速0.53±0.025m/s，下降气流平均风速0.35±0.025m/s；</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★3. ULPA超高效空气过滤器，可过滤直径为0.12µm及以上的颗粒，过滤效率不低于99.999%，提供证明文件；</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 标配在线实时监测并条形码显示高效过滤器的使用寿命，具有过滤器失效声光报警功能，提供显示界面截图证明，国家食品药品监督管理局或其他机构出具的证明文件备查；</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★5.单风机设计，风速可自动调节，能与风速传感器联动，与风速传感器联动，证明文件如报关单备查；</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★6.工作区和外排出风口处各配备一个微风速传感器，非压差传感器，真实、实时检测风速，提供彩页和实物图片证明，样机备查；</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7.LCD液晶屏显示，可显示工作区温度、气流流速、时间、过滤膜使用寿命等系统参数；</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8. 主机标配温度传感器：可实时检测并显示温度，监测风机运行及操作区安全状态；</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9.前窗须具有安全高度高精度上、下限位，声光报警；</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10.工作区三侧壁板为一体化成型，304不锈钢材质，双层侧壁形成负压保护；</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11.整个工作台面下对应面积全部为集液槽，304不锈钢，有排污阀；</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12.玻璃前窗采用安全钢化玻璃，具有防爆、防碎及防紫外的功能；</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★13、紫外灯和日光灯不得安装在工作区背面或工作区侧面，提供实物图片，样机备查，避免直接照射到操作人员，同时具有紫外灯预约功能，可预约紫外灯自动开启/关闭时间、灭菌时间，减少等待时；</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14. 出厂前须通过压力衰减法检测：加压到500Pa，保持30min后气压不低于450Pa；</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★15.通过KI-Discus 碘化钾法测试，前窗操作口的保护因子不小于1×105，提供第三方检测报告证明文件；</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 xml:space="preserve">16.安全性能保障：具备紫外系统、荧光灯、前窗的连锁系统；具备低风速报警功能；具备前窗位置异位报警功能；具备前窗侧壁抗扰流系统，可避免泄漏； </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17.柜内电源：双防水插座设计；</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18.具有水阀、气阀、真空阀等阀门预留孔；</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★19.外形尺寸宽度≤1640mm，工作区内部工作尺寸宽度要求≥1550mm，样机备查；</w:t>
      </w:r>
    </w:p>
    <w:p>
      <w:pPr>
        <w:pStyle w:val="43"/>
        <w:rPr>
          <w:rFonts w:hint="eastAsia" w:ascii="宋体" w:hAnsi="宋体" w:eastAsia="宋体" w:cs="宋体"/>
          <w:b/>
          <w:color w:val="auto"/>
          <w:sz w:val="21"/>
          <w:szCs w:val="21"/>
        </w:rPr>
      </w:pPr>
    </w:p>
    <w:p>
      <w:pPr>
        <w:pStyle w:val="43"/>
        <w:rPr>
          <w:rFonts w:hint="eastAsia" w:ascii="宋体" w:hAnsi="宋体" w:eastAsia="宋体" w:cs="宋体"/>
          <w:b/>
          <w:color w:val="auto"/>
          <w:sz w:val="21"/>
          <w:szCs w:val="21"/>
        </w:rPr>
      </w:pPr>
    </w:p>
    <w:p>
      <w:pPr>
        <w:pStyle w:val="43"/>
        <w:outlineLvl w:val="1"/>
        <w:rPr>
          <w:rFonts w:hint="eastAsia" w:ascii="宋体" w:hAnsi="宋体" w:eastAsia="宋体" w:cs="宋体"/>
          <w:color w:val="auto"/>
          <w:sz w:val="18"/>
        </w:rPr>
      </w:pPr>
      <w:r>
        <w:rPr>
          <w:rFonts w:hint="eastAsia" w:ascii="宋体" w:hAnsi="宋体" w:eastAsia="宋体" w:cs="宋体"/>
          <w:b/>
          <w:color w:val="auto"/>
          <w:sz w:val="21"/>
          <w:szCs w:val="21"/>
        </w:rPr>
        <w:t>06包： 蛋白层析系统</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 系统泵</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1.1 柱塞泵，PEEK材质，耐腐蚀</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1.2 流速范围：0.001-10ml/min；流速精度±2%</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1.3 压力范围：0-25.2MPa （3650psi）；黏度范围：0.5-10.8cP</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 混合池</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2.1混合原理：电动磁力搅拌混合</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2.2 梯度流速范围：0.25-10ml/min</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2.3 梯度混合精度：≤±0.5%</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3 阀门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3.1 标配进样阀：可手动进样</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 检测器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4.1 压力感应器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 xml:space="preserve">4.1.1 位置：系统泵后 </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4.1.2 压力范围：0-3650psi；精度：≤±2%</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4.2 多波长紫外检测器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4.2.1 检测波长：190-800nm，可同时检测四个波长（整合电导计和温度传感器）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4.2.2 线性：0-2 AU范围≤±2%</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4.2.3 流动池：5mm （0.001-10ml/min，最大耐受压力1450psi）</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4.3 电导检测器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4.3.1电导检测范围：1μS/cm-999.99μS/cm</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4.3.2精度：≤±0.5%</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4.4 温度传感器范围：4-100℃</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5 系统控制</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5.1 安装有电容式触摸屏，内置高性能电脑，可外接电脑。</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5.2 指示液路流向的LED灯。</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5.3 软件特征：软件内置预装柱信息库；层析图谱分析；层析图谱积分功能；实验报告输出。</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6 拓展功能</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6.1系统具有可扩展性，可添加多层扩展层架，容纳十个以上模块。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7 组分收集器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7.1 收集数量：兼容多种试管、微孔板，最多384个样品（4 x 96孔板）</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7.2 收集模式：时间模式、液滴模式、时间窗模式</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7.3 有机溶剂耐受</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7.4 延迟体积（UV检测器后端至收集器滴头位置）</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8 产品基本配置需求</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8.1 快速蛋白纯化工艺优化工作站：1台（包括标配所有阀门和收集器的主机）。</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8.2 保证仪器设备的正常运行和常规保养所需的附件和专用工具。</w:t>
      </w:r>
      <w:r>
        <w:rPr>
          <w:rFonts w:hint="eastAsia" w:ascii="宋体" w:hAnsi="宋体" w:eastAsia="宋体" w:cs="宋体"/>
          <w:color w:val="auto"/>
          <w:sz w:val="21"/>
          <w:szCs w:val="21"/>
        </w:rPr>
        <w:cr/>
      </w:r>
    </w:p>
    <w:p>
      <w:pPr>
        <w:pStyle w:val="43"/>
        <w:rPr>
          <w:rFonts w:hint="eastAsia" w:ascii="宋体" w:hAnsi="宋体" w:eastAsia="宋体" w:cs="宋体"/>
        </w:rPr>
      </w:pPr>
    </w:p>
    <w:p>
      <w:pPr>
        <w:pStyle w:val="43"/>
        <w:outlineLvl w:val="1"/>
        <w:rPr>
          <w:rFonts w:hint="eastAsia" w:ascii="宋体" w:hAnsi="宋体" w:eastAsia="宋体" w:cs="宋体"/>
          <w:color w:val="auto"/>
          <w:sz w:val="18"/>
        </w:rPr>
      </w:pPr>
      <w:r>
        <w:rPr>
          <w:rFonts w:hint="eastAsia" w:ascii="宋体" w:hAnsi="宋体" w:eastAsia="宋体" w:cs="宋体"/>
          <w:b/>
          <w:color w:val="auto"/>
          <w:sz w:val="21"/>
          <w:szCs w:val="21"/>
        </w:rPr>
        <w:t>07包： 实时荧光定量PCR仪</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★1..最大升降温速度2.5℃/秒；16个连续温度梯度；</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 有动态温度梯度功能：同时运行16个不同的温度；梯度温度孵育时间：相同</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3. 温度范围：4-100℃；热盖温度：最高110℃可调；</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 温度准确性：≥±0.2℃，90℃时；</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5. 温度均一性：≥±0.3℃（达到90℃10秒内）；</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★6. 激发和检测：5个检测通道，配备5个独立LED激发光源和5个带滤光片的独立检测器；</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★7. 光路稳定，无需在每次实验中进行ROX校正，随意搬动及振动不影响光路</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8. 灵敏度：1个拷贝人基因组基因，动态范围：10个数量级；</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9. 样品容量：384x0.2ml，可使用标准规格384孔板（16x24）</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10. 反应体积：1-30ul</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★11. 具备绝对定量、相对定量、统计学分析功能，可以进行t检验、单因素及双因素方差分析等统计学分析；</w:t>
      </w:r>
    </w:p>
    <w:p>
      <w:pPr>
        <w:pStyle w:val="43"/>
        <w:rPr>
          <w:rFonts w:hint="eastAsia" w:ascii="宋体" w:hAnsi="宋体" w:eastAsia="宋体" w:cs="宋体"/>
          <w:b/>
          <w:color w:val="auto"/>
          <w:sz w:val="21"/>
          <w:szCs w:val="21"/>
        </w:rPr>
      </w:pPr>
    </w:p>
    <w:p>
      <w:pPr>
        <w:pStyle w:val="43"/>
        <w:outlineLvl w:val="1"/>
        <w:rPr>
          <w:rFonts w:hint="eastAsia" w:ascii="宋体" w:hAnsi="宋体" w:eastAsia="宋体" w:cs="宋体"/>
          <w:color w:val="auto"/>
          <w:sz w:val="18"/>
        </w:rPr>
      </w:pPr>
      <w:r>
        <w:rPr>
          <w:rFonts w:hint="eastAsia" w:ascii="宋体" w:hAnsi="宋体" w:eastAsia="宋体" w:cs="宋体"/>
          <w:b/>
          <w:color w:val="auto"/>
          <w:sz w:val="21"/>
          <w:szCs w:val="21"/>
        </w:rPr>
        <w:t>08包： 全自动外泌体提取系统</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 xml:space="preserve">1产品配置： </w:t>
      </w:r>
      <w:r>
        <w:rPr>
          <w:rFonts w:hint="eastAsia" w:ascii="宋体" w:hAnsi="宋体" w:eastAsia="宋体" w:cs="宋体"/>
          <w:sz w:val="21"/>
          <w:szCs w:val="21"/>
        </w:rPr>
        <w:t>全自动外泌体提取纯化系统主机 1 台; 3芯电源线（1.5m） 1 条; 小通量芯片适配器 1 个; 大通量芯片适配器 1 个; 15ml离心管适配器 1 个; 废液桶及转接组件 1 套; 纯净水桶及转接组件 1 套; 探头清洗配 2 个; 清洗液试剂瓶（250ml/瓶） 2 个; 合格证 1 份; 保修卡 1 份; 使用说明书 1 本; 简易操作指南 1 张; 触摸屏笔 1 支</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2运行原理：基于超滤法实现快速高效外泌体分离</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3.工作电压：AC 110-220 V，50-60 Hz; 工作温度：10-40 ℃; 工作湿度：90% 以下</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4.产品参数</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★4.1支持样本类型：尿液、唾液、脑脊液、血液、泪液、细胞/细菌培养液、牛奶、细胞膜挤出囊泡、人参等</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 xml:space="preserve">4.2样本上机体积：10 μL-50 mL  </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4.3样本位支持试管类型：15 mL/50 mL离心管</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4.4样本加样方式：仪器自动加样</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4.5耗材类型：外泌体分离富集纳米芯片，包含多个子型号</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4.6单次最大上样体积：50 mL</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4.7单芯片最大处理体积：&gt;50 mL</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4.8外泌体提纯与富集流程：仪器支持自动提纯与自动富集</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4.9 提纯时间：最快小于10min</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4.10 处理速度：最大处理速度50 mL/h</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4.11 外泌体回收体积：用100-400 μL PBS重悬，可自选体积</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4.12 细胞外囊泡亚型分离：使用不同耗材，可分选不同尺寸亚型的细胞外囊泡，如20-100 nm，100-200 nm，200-450 nm等</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★4.13 温度控制：样本位温控功能，温度范围2-8 o</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4.14回顾列表数据储存：≥2000个</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★4.15 污染防控：内置紫外灯，开启30 min后自动关闭</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4.16屏幕显示：</w:t>
      </w:r>
      <w:r>
        <w:rPr>
          <w:rFonts w:hint="eastAsia" w:ascii="宋体" w:hAnsi="宋体" w:eastAsia="宋体" w:cs="宋体"/>
        </w:rPr>
        <w:t>≥</w:t>
      </w:r>
      <w:r>
        <w:rPr>
          <w:rFonts w:hint="eastAsia" w:ascii="宋体" w:hAnsi="宋体" w:eastAsia="宋体" w:cs="宋体"/>
          <w:color w:val="auto"/>
          <w:sz w:val="21"/>
          <w:szCs w:val="21"/>
        </w:rPr>
        <w:t>10英寸彩色液晶TFT触摸屏，实时显示样本类型、时间、提纯进程等信息，可独立使用，无需配备电脑</w:t>
      </w:r>
    </w:p>
    <w:p>
      <w:pPr>
        <w:pStyle w:val="43"/>
        <w:rPr>
          <w:rFonts w:hint="eastAsia" w:ascii="宋体" w:hAnsi="宋体" w:eastAsia="宋体" w:cs="宋体"/>
          <w:color w:val="auto"/>
          <w:sz w:val="21"/>
          <w:szCs w:val="21"/>
        </w:rPr>
      </w:pPr>
    </w:p>
    <w:p>
      <w:pPr>
        <w:pStyle w:val="43"/>
        <w:outlineLvl w:val="1"/>
        <w:rPr>
          <w:rFonts w:hint="eastAsia" w:ascii="宋体" w:hAnsi="宋体" w:eastAsia="宋体" w:cs="宋体"/>
          <w:color w:val="auto"/>
          <w:sz w:val="18"/>
        </w:rPr>
      </w:pPr>
      <w:r>
        <w:rPr>
          <w:rFonts w:hint="eastAsia" w:ascii="宋体" w:hAnsi="宋体" w:eastAsia="宋体" w:cs="宋体"/>
          <w:b/>
          <w:color w:val="auto"/>
          <w:sz w:val="21"/>
          <w:szCs w:val="21"/>
        </w:rPr>
        <w:t>09包： 电穿孔仪</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★1、系统输出波形：指数衰减和方波两种输出，适合不同应用需要。</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2、输出电压：10–3,000伏，最小调节量1伏。</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★3、电容容量：10–500伏：25–3275μF以25μF递增，适合哺乳动物细胞需要。500–3000伏：10,25,50μF三种调节，适应原核细胞要求。</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4、电阻（并联）：50–1,000Ω以50Ω递增，及无限大设置</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★5、样品电阻：在10–2,500V时，最小20Ω；在2,500–3,000V时，最小600Ω</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6、方波放电时间：10–500V档位:</w:t>
      </w:r>
      <w:r>
        <w:rPr>
          <w:rFonts w:hint="eastAsia" w:ascii="宋体" w:hAnsi="宋体" w:eastAsia="宋体" w:cs="宋体"/>
          <w:color w:val="auto"/>
          <w:sz w:val="21"/>
          <w:szCs w:val="21"/>
        </w:rPr>
        <w:tab/>
      </w:r>
      <w:r>
        <w:rPr>
          <w:rFonts w:hint="eastAsia" w:ascii="宋体" w:hAnsi="宋体" w:eastAsia="宋体" w:cs="宋体"/>
          <w:color w:val="auto"/>
          <w:sz w:val="21"/>
          <w:szCs w:val="21"/>
        </w:rPr>
        <w:t>持续时间0.05–10ms时，以0.05ms递增，持续时间10–100ms时，以1ms递增，可设1–10次脉冲重复，0.1–10sec间隔</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500–3,000V档位:持续时间0.05–5ms时，以0.05ms递增，可设1–2次脉冲重复，5sec最小间隔</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7、主机：</w:t>
      </w:r>
    </w:p>
    <w:p>
      <w:pPr>
        <w:pStyle w:val="43"/>
        <w:numPr>
          <w:ilvl w:val="0"/>
          <w:numId w:val="83"/>
        </w:numPr>
        <w:rPr>
          <w:rFonts w:hint="eastAsia" w:ascii="宋体" w:hAnsi="宋体" w:eastAsia="宋体" w:cs="宋体"/>
          <w:color w:val="auto"/>
          <w:sz w:val="21"/>
          <w:szCs w:val="21"/>
        </w:rPr>
      </w:pPr>
      <w:r>
        <w:rPr>
          <w:rFonts w:hint="eastAsia" w:ascii="宋体" w:hAnsi="宋体" w:eastAsia="宋体" w:cs="宋体"/>
          <w:color w:val="auto"/>
          <w:sz w:val="21"/>
          <w:szCs w:val="21"/>
        </w:rPr>
        <w:t>输出波形：指数衰减和方波两种输出波形</w:t>
      </w:r>
    </w:p>
    <w:p>
      <w:pPr>
        <w:pStyle w:val="43"/>
        <w:numPr>
          <w:ilvl w:val="0"/>
          <w:numId w:val="83"/>
        </w:numPr>
        <w:rPr>
          <w:rFonts w:hint="eastAsia" w:ascii="宋体" w:hAnsi="宋体" w:eastAsia="宋体" w:cs="宋体"/>
          <w:color w:val="auto"/>
          <w:sz w:val="21"/>
          <w:szCs w:val="21"/>
        </w:rPr>
      </w:pPr>
      <w:r>
        <w:rPr>
          <w:rFonts w:hint="eastAsia" w:ascii="宋体" w:hAnsi="宋体" w:eastAsia="宋体" w:cs="宋体"/>
          <w:color w:val="auto"/>
          <w:sz w:val="21"/>
          <w:szCs w:val="21"/>
        </w:rPr>
        <w:t>输出电压：200–3,000伏</w:t>
      </w:r>
    </w:p>
    <w:p>
      <w:pPr>
        <w:pStyle w:val="43"/>
        <w:numPr>
          <w:ilvl w:val="0"/>
          <w:numId w:val="83"/>
        </w:numPr>
        <w:rPr>
          <w:rFonts w:hint="eastAsia" w:ascii="宋体" w:hAnsi="宋体" w:eastAsia="宋体" w:cs="宋体"/>
          <w:color w:val="auto"/>
          <w:sz w:val="21"/>
          <w:szCs w:val="21"/>
        </w:rPr>
      </w:pPr>
      <w:r>
        <w:rPr>
          <w:rFonts w:hint="eastAsia" w:ascii="宋体" w:hAnsi="宋体" w:eastAsia="宋体" w:cs="宋体"/>
          <w:color w:val="auto"/>
          <w:sz w:val="21"/>
          <w:szCs w:val="21"/>
        </w:rPr>
        <w:t>放电容量：10,25,50F，三档调节</w:t>
      </w:r>
    </w:p>
    <w:p>
      <w:pPr>
        <w:pStyle w:val="43"/>
        <w:numPr>
          <w:ilvl w:val="0"/>
          <w:numId w:val="83"/>
        </w:numPr>
        <w:rPr>
          <w:rFonts w:hint="eastAsia" w:ascii="宋体" w:hAnsi="宋体" w:eastAsia="宋体" w:cs="宋体"/>
          <w:color w:val="auto"/>
          <w:sz w:val="21"/>
          <w:szCs w:val="21"/>
        </w:rPr>
      </w:pPr>
      <w:r>
        <w:rPr>
          <w:rFonts w:hint="eastAsia" w:ascii="宋体" w:hAnsi="宋体" w:eastAsia="宋体" w:cs="宋体"/>
          <w:color w:val="auto"/>
          <w:sz w:val="21"/>
          <w:szCs w:val="21"/>
        </w:rPr>
        <w:t>样品电阻：最小20Ω；，在10–2,500V档位，最小600Ω，在2,500–3,000V档位，</w:t>
      </w:r>
    </w:p>
    <w:p>
      <w:pPr>
        <w:pStyle w:val="43"/>
        <w:numPr>
          <w:ilvl w:val="0"/>
          <w:numId w:val="83"/>
        </w:numPr>
        <w:rPr>
          <w:rFonts w:hint="eastAsia" w:ascii="宋体" w:hAnsi="宋体" w:eastAsia="宋体" w:cs="宋体"/>
          <w:color w:val="auto"/>
          <w:sz w:val="21"/>
          <w:szCs w:val="21"/>
        </w:rPr>
      </w:pPr>
      <w:r>
        <w:rPr>
          <w:rFonts w:hint="eastAsia" w:ascii="宋体" w:hAnsi="宋体" w:eastAsia="宋体" w:cs="宋体"/>
          <w:color w:val="auto"/>
          <w:sz w:val="21"/>
          <w:szCs w:val="21"/>
        </w:rPr>
        <w:t>方波放电时间：持续时间0.05–5ms时，以0.05ms递增，可设1–2次脉冲重复，5sec最小间隔；</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8、★实验方法预存：</w:t>
      </w:r>
      <w:r>
        <w:rPr>
          <w:rFonts w:hint="eastAsia" w:ascii="宋体" w:hAnsi="宋体" w:eastAsia="宋体" w:cs="宋体"/>
          <w:sz w:val="21"/>
          <w:szCs w:val="21"/>
        </w:rPr>
        <w:t>≥</w:t>
      </w:r>
      <w:r>
        <w:rPr>
          <w:rFonts w:hint="eastAsia" w:ascii="宋体" w:hAnsi="宋体" w:eastAsia="宋体" w:cs="宋体"/>
          <w:color w:val="auto"/>
          <w:sz w:val="21"/>
          <w:szCs w:val="21"/>
        </w:rPr>
        <w:t>24种程序可预设；</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用户自定义方法储存：不低于144个程序。</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脉冲波形检测：实时监测并显示脉冲波形。</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9、原核细胞系统</w:t>
      </w:r>
    </w:p>
    <w:p>
      <w:pPr>
        <w:pStyle w:val="43"/>
        <w:numPr>
          <w:ilvl w:val="0"/>
          <w:numId w:val="84"/>
        </w:numPr>
        <w:rPr>
          <w:rFonts w:hint="eastAsia" w:ascii="宋体" w:hAnsi="宋体" w:eastAsia="宋体" w:cs="宋体"/>
          <w:color w:val="auto"/>
          <w:sz w:val="21"/>
          <w:szCs w:val="21"/>
        </w:rPr>
      </w:pPr>
      <w:r>
        <w:rPr>
          <w:rFonts w:hint="eastAsia" w:ascii="宋体" w:hAnsi="宋体" w:eastAsia="宋体" w:cs="宋体"/>
          <w:color w:val="auto"/>
          <w:sz w:val="21"/>
          <w:szCs w:val="21"/>
        </w:rPr>
        <w:t>★输出波形：指数衰减或方波</w:t>
      </w:r>
    </w:p>
    <w:p>
      <w:pPr>
        <w:pStyle w:val="43"/>
        <w:numPr>
          <w:ilvl w:val="0"/>
          <w:numId w:val="84"/>
        </w:numPr>
        <w:rPr>
          <w:rFonts w:hint="eastAsia" w:ascii="宋体" w:hAnsi="宋体" w:eastAsia="宋体" w:cs="宋体"/>
          <w:color w:val="auto"/>
          <w:sz w:val="21"/>
          <w:szCs w:val="21"/>
        </w:rPr>
      </w:pPr>
      <w:r>
        <w:rPr>
          <w:rFonts w:hint="eastAsia" w:ascii="宋体" w:hAnsi="宋体" w:eastAsia="宋体" w:cs="宋体"/>
          <w:color w:val="auto"/>
          <w:sz w:val="21"/>
          <w:szCs w:val="21"/>
        </w:rPr>
        <w:t>输出电压：200–3,000伏</w:t>
      </w:r>
    </w:p>
    <w:p>
      <w:pPr>
        <w:pStyle w:val="43"/>
        <w:numPr>
          <w:ilvl w:val="0"/>
          <w:numId w:val="84"/>
        </w:numPr>
        <w:rPr>
          <w:rFonts w:hint="eastAsia" w:ascii="宋体" w:hAnsi="宋体" w:eastAsia="宋体" w:cs="宋体"/>
          <w:color w:val="auto"/>
          <w:sz w:val="21"/>
          <w:szCs w:val="21"/>
        </w:rPr>
      </w:pPr>
      <w:r>
        <w:rPr>
          <w:rFonts w:hint="eastAsia" w:ascii="宋体" w:hAnsi="宋体" w:eastAsia="宋体" w:cs="宋体"/>
          <w:color w:val="auto"/>
          <w:sz w:val="21"/>
          <w:szCs w:val="21"/>
        </w:rPr>
        <w:t>放电容量：10,25,50μF</w:t>
      </w:r>
    </w:p>
    <w:p>
      <w:pPr>
        <w:pStyle w:val="43"/>
        <w:numPr>
          <w:ilvl w:val="0"/>
          <w:numId w:val="84"/>
        </w:numPr>
        <w:rPr>
          <w:rFonts w:hint="eastAsia" w:ascii="宋体" w:hAnsi="宋体" w:eastAsia="宋体" w:cs="宋体"/>
          <w:color w:val="auto"/>
          <w:sz w:val="21"/>
          <w:szCs w:val="21"/>
        </w:rPr>
      </w:pPr>
      <w:r>
        <w:rPr>
          <w:rFonts w:hint="eastAsia" w:ascii="宋体" w:hAnsi="宋体" w:eastAsia="宋体" w:cs="宋体"/>
          <w:color w:val="auto"/>
          <w:sz w:val="21"/>
          <w:szCs w:val="21"/>
        </w:rPr>
        <w:t>★样品电阻：在10–2,500V，最小20Ω；在2,500–3,000V，最小600Ω；</w:t>
      </w:r>
    </w:p>
    <w:p>
      <w:pPr>
        <w:pStyle w:val="43"/>
        <w:numPr>
          <w:ilvl w:val="0"/>
          <w:numId w:val="84"/>
        </w:numPr>
        <w:rPr>
          <w:rFonts w:hint="eastAsia" w:ascii="宋体" w:hAnsi="宋体" w:eastAsia="宋体" w:cs="宋体"/>
          <w:color w:val="auto"/>
          <w:sz w:val="21"/>
          <w:szCs w:val="21"/>
        </w:rPr>
      </w:pPr>
      <w:r>
        <w:rPr>
          <w:rFonts w:hint="eastAsia" w:ascii="宋体" w:hAnsi="宋体" w:eastAsia="宋体" w:cs="宋体"/>
          <w:color w:val="auto"/>
          <w:sz w:val="21"/>
          <w:szCs w:val="21"/>
        </w:rPr>
        <w:t>★方波放电时间：持续时间0.05–5ms以0.05ms递增，1–2次脉冲，5sec最小间隔</w:t>
      </w:r>
    </w:p>
    <w:p>
      <w:pPr>
        <w:pStyle w:val="43"/>
        <w:rPr>
          <w:rFonts w:hint="eastAsia" w:ascii="宋体" w:hAnsi="宋体" w:eastAsia="宋体" w:cs="宋体"/>
          <w:color w:val="auto"/>
          <w:sz w:val="21"/>
          <w:szCs w:val="21"/>
        </w:rPr>
      </w:pPr>
      <w:r>
        <w:rPr>
          <w:rFonts w:hint="eastAsia" w:ascii="宋体" w:hAnsi="宋体" w:eastAsia="宋体" w:cs="宋体"/>
          <w:color w:val="auto"/>
          <w:sz w:val="21"/>
          <w:szCs w:val="21"/>
        </w:rPr>
        <w:t>10、哺乳动物系统:</w:t>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p>
    <w:p>
      <w:pPr>
        <w:pStyle w:val="43"/>
        <w:numPr>
          <w:ilvl w:val="0"/>
          <w:numId w:val="85"/>
        </w:numPr>
        <w:rPr>
          <w:rFonts w:hint="eastAsia" w:ascii="宋体" w:hAnsi="宋体" w:eastAsia="宋体" w:cs="宋体"/>
          <w:color w:val="auto"/>
          <w:sz w:val="21"/>
          <w:szCs w:val="21"/>
        </w:rPr>
      </w:pPr>
      <w:r>
        <w:rPr>
          <w:rFonts w:hint="eastAsia" w:ascii="宋体" w:hAnsi="宋体" w:eastAsia="宋体" w:cs="宋体"/>
          <w:color w:val="auto"/>
          <w:sz w:val="21"/>
          <w:szCs w:val="21"/>
        </w:rPr>
        <w:t>★系统输出波形：指数衰减和方波两种输出，适合不同应用需要。</w:t>
      </w:r>
    </w:p>
    <w:p>
      <w:pPr>
        <w:pStyle w:val="43"/>
        <w:numPr>
          <w:ilvl w:val="0"/>
          <w:numId w:val="85"/>
        </w:numPr>
        <w:rPr>
          <w:rFonts w:hint="eastAsia" w:ascii="宋体" w:hAnsi="宋体" w:eastAsia="宋体" w:cs="宋体"/>
          <w:color w:val="auto"/>
          <w:sz w:val="21"/>
          <w:szCs w:val="21"/>
        </w:rPr>
      </w:pPr>
      <w:r>
        <w:rPr>
          <w:rFonts w:hint="eastAsia" w:ascii="宋体" w:hAnsi="宋体" w:eastAsia="宋体" w:cs="宋体"/>
          <w:color w:val="auto"/>
          <w:sz w:val="21"/>
          <w:szCs w:val="21"/>
        </w:rPr>
        <w:t>输出电压：10–3,000伏，最小调节量1伏。</w:t>
      </w:r>
    </w:p>
    <w:p>
      <w:pPr>
        <w:pStyle w:val="43"/>
        <w:numPr>
          <w:ilvl w:val="0"/>
          <w:numId w:val="85"/>
        </w:numPr>
        <w:rPr>
          <w:rFonts w:hint="eastAsia" w:ascii="宋体" w:hAnsi="宋体" w:eastAsia="宋体" w:cs="宋体"/>
          <w:color w:val="auto"/>
          <w:sz w:val="21"/>
          <w:szCs w:val="21"/>
        </w:rPr>
      </w:pPr>
      <w:r>
        <w:rPr>
          <w:rFonts w:hint="eastAsia" w:ascii="宋体" w:hAnsi="宋体" w:eastAsia="宋体" w:cs="宋体"/>
          <w:color w:val="auto"/>
          <w:sz w:val="21"/>
          <w:szCs w:val="21"/>
        </w:rPr>
        <w:t>电容容量：10–500伏：25–3275μF以25μF递增，适合哺乳动物细胞需要。500–3000伏：10,25,50μF三种调节，适应原核细胞要求。</w:t>
      </w:r>
    </w:p>
    <w:p>
      <w:pPr>
        <w:pStyle w:val="43"/>
        <w:numPr>
          <w:ilvl w:val="0"/>
          <w:numId w:val="85"/>
        </w:numPr>
        <w:rPr>
          <w:rFonts w:hint="eastAsia" w:ascii="宋体" w:hAnsi="宋体" w:eastAsia="宋体" w:cs="宋体"/>
          <w:color w:val="auto"/>
          <w:sz w:val="21"/>
          <w:szCs w:val="21"/>
        </w:rPr>
      </w:pPr>
      <w:r>
        <w:rPr>
          <w:rFonts w:hint="eastAsia" w:ascii="宋体" w:hAnsi="宋体" w:eastAsia="宋体" w:cs="宋体"/>
          <w:color w:val="auto"/>
          <w:sz w:val="21"/>
          <w:szCs w:val="21"/>
        </w:rPr>
        <w:t>★样品电阻：在10–2,500V时，最，最小20在2,500–3,000V 时，最小600Ω；</w:t>
      </w:r>
    </w:p>
    <w:p>
      <w:pPr>
        <w:pStyle w:val="43"/>
        <w:numPr>
          <w:ilvl w:val="0"/>
          <w:numId w:val="85"/>
        </w:numPr>
        <w:rPr>
          <w:rFonts w:hint="eastAsia" w:ascii="宋体" w:hAnsi="宋体" w:eastAsia="宋体" w:cs="宋体"/>
          <w:color w:val="auto"/>
          <w:sz w:val="21"/>
          <w:szCs w:val="21"/>
        </w:rPr>
      </w:pPr>
      <w:r>
        <w:rPr>
          <w:rFonts w:hint="eastAsia" w:ascii="宋体" w:hAnsi="宋体" w:eastAsia="宋体" w:cs="宋体"/>
          <w:color w:val="auto"/>
          <w:sz w:val="21"/>
          <w:szCs w:val="21"/>
        </w:rPr>
        <w:t>★方波放电时间：10–500V 档位:持续时间0.05–10ms 时，以0.05ms 递增，持续时间10–100ms 时，以1ms 递增，可设1–10 次脉冲重复，0.1–10sec 间隔500–3,000V 档位:持续时间0.05–5ms时，以0.05ms 递增，可设1–2 次脉冲重复，5sec 最小间隔。</w:t>
      </w:r>
    </w:p>
    <w:p>
      <w:pPr>
        <w:pStyle w:val="43"/>
        <w:widowControl/>
        <w:numPr>
          <w:numId w:val="0"/>
        </w:numPr>
        <w:tabs>
          <w:tab w:val="left" w:pos="0"/>
        </w:tabs>
        <w:spacing w:line="400" w:lineRule="exact"/>
        <w:jc w:val="both"/>
        <w:rPr>
          <w:rFonts w:hint="eastAsia" w:ascii="宋体" w:hAnsi="宋体" w:eastAsia="宋体" w:cs="宋体"/>
          <w:color w:val="auto"/>
          <w:sz w:val="21"/>
          <w:szCs w:val="21"/>
        </w:rPr>
      </w:pPr>
    </w:p>
    <w:p>
      <w:pPr>
        <w:pStyle w:val="43"/>
        <w:widowControl/>
        <w:numPr>
          <w:numId w:val="0"/>
        </w:numPr>
        <w:tabs>
          <w:tab w:val="left" w:pos="0"/>
        </w:tabs>
        <w:spacing w:line="400" w:lineRule="exact"/>
        <w:jc w:val="both"/>
        <w:rPr>
          <w:rFonts w:hint="eastAsia" w:ascii="宋体" w:hAnsi="宋体" w:eastAsia="宋体" w:cs="宋体"/>
          <w:color w:val="auto"/>
          <w:sz w:val="21"/>
          <w:szCs w:val="21"/>
        </w:rPr>
      </w:pPr>
    </w:p>
    <w:p>
      <w:pPr>
        <w:pStyle w:val="43"/>
        <w:widowControl/>
        <w:numPr>
          <w:numId w:val="0"/>
        </w:numPr>
        <w:tabs>
          <w:tab w:val="left" w:pos="0"/>
        </w:tabs>
        <w:spacing w:line="400" w:lineRule="exact"/>
        <w:jc w:val="both"/>
        <w:rPr>
          <w:rFonts w:hint="eastAsia" w:ascii="宋体" w:hAnsi="宋体" w:eastAsia="宋体" w:cs="宋体"/>
          <w:color w:val="auto"/>
          <w:sz w:val="21"/>
          <w:szCs w:val="21"/>
        </w:rPr>
      </w:pPr>
    </w:p>
    <w:p>
      <w:pPr>
        <w:pStyle w:val="43"/>
        <w:widowControl/>
        <w:numPr>
          <w:numId w:val="0"/>
        </w:numPr>
        <w:tabs>
          <w:tab w:val="left" w:pos="0"/>
        </w:tabs>
        <w:spacing w:line="400" w:lineRule="exact"/>
        <w:jc w:val="both"/>
        <w:rPr>
          <w:rFonts w:hint="eastAsia" w:ascii="宋体" w:hAnsi="宋体" w:eastAsia="宋体" w:cs="宋体"/>
          <w:color w:val="auto"/>
          <w:sz w:val="21"/>
          <w:szCs w:val="21"/>
        </w:rPr>
      </w:pPr>
    </w:p>
    <w:bookmarkEnd w:id="61"/>
    <w:p>
      <w:pPr>
        <w:rPr>
          <w:rFonts w:hint="eastAsia"/>
        </w:rPr>
      </w:pPr>
      <w:bookmarkStart w:id="64" w:name="_Toc97815014"/>
      <w:bookmarkStart w:id="65" w:name="_Toc2006"/>
    </w:p>
    <w:p>
      <w:pPr>
        <w:autoSpaceDE w:val="0"/>
        <w:autoSpaceDN w:val="0"/>
        <w:adjustRightInd w:val="0"/>
        <w:snapToGrid w:val="0"/>
        <w:jc w:val="left"/>
        <w:outlineLvl w:val="0"/>
        <w:rPr>
          <w:rFonts w:hint="eastAsia" w:ascii="宋体" w:hAnsi="宋体" w:eastAsia="宋体" w:cs="宋体"/>
          <w:b/>
          <w:szCs w:val="21"/>
        </w:rPr>
      </w:pPr>
      <w:r>
        <w:rPr>
          <w:rFonts w:hint="eastAsia" w:ascii="宋体" w:hAnsi="宋体" w:eastAsia="宋体" w:cs="宋体"/>
          <w:b/>
          <w:szCs w:val="21"/>
        </w:rPr>
        <w:t>三、商务要求</w:t>
      </w:r>
    </w:p>
    <w:tbl>
      <w:tblPr>
        <w:tblStyle w:val="2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911"/>
        <w:gridCol w:w="6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1" w:type="dxa"/>
            <w:vAlign w:val="center"/>
          </w:tcPr>
          <w:p>
            <w:pPr>
              <w:autoSpaceDE w:val="0"/>
              <w:autoSpaceDN w:val="0"/>
              <w:adjustRightInd w:val="0"/>
              <w:snapToGrid w:val="0"/>
              <w:spacing w:before="156" w:beforeLines="50" w:after="156" w:afterLines="50" w:line="400" w:lineRule="exact"/>
              <w:jc w:val="center"/>
              <w:rPr>
                <w:rFonts w:hint="eastAsia" w:ascii="宋体" w:hAnsi="宋体" w:eastAsia="宋体" w:cs="宋体"/>
                <w:b/>
                <w:snapToGrid w:val="0"/>
                <w:color w:val="000000"/>
                <w:kern w:val="0"/>
                <w:szCs w:val="21"/>
                <w:lang w:val="zh-CN"/>
              </w:rPr>
            </w:pPr>
            <w:r>
              <w:rPr>
                <w:rFonts w:hint="eastAsia" w:ascii="宋体" w:hAnsi="宋体" w:eastAsia="宋体" w:cs="宋体"/>
                <w:b/>
                <w:snapToGrid w:val="0"/>
                <w:color w:val="000000"/>
                <w:kern w:val="0"/>
                <w:szCs w:val="21"/>
                <w:lang w:val="zh-CN"/>
              </w:rPr>
              <w:t>序号</w:t>
            </w:r>
          </w:p>
        </w:tc>
        <w:tc>
          <w:tcPr>
            <w:tcW w:w="1911" w:type="dxa"/>
            <w:vAlign w:val="center"/>
          </w:tcPr>
          <w:p>
            <w:pPr>
              <w:autoSpaceDE w:val="0"/>
              <w:autoSpaceDN w:val="0"/>
              <w:adjustRightInd w:val="0"/>
              <w:snapToGrid w:val="0"/>
              <w:spacing w:before="156" w:beforeLines="50" w:after="156" w:afterLines="50" w:line="400" w:lineRule="exact"/>
              <w:jc w:val="center"/>
              <w:rPr>
                <w:rFonts w:hint="eastAsia" w:ascii="宋体" w:hAnsi="宋体" w:eastAsia="宋体" w:cs="宋体"/>
                <w:b/>
                <w:snapToGrid w:val="0"/>
                <w:color w:val="000000"/>
                <w:kern w:val="0"/>
                <w:szCs w:val="21"/>
                <w:lang w:val="zh-CN"/>
              </w:rPr>
            </w:pPr>
            <w:r>
              <w:rPr>
                <w:rFonts w:hint="eastAsia" w:ascii="宋体" w:hAnsi="宋体" w:eastAsia="宋体" w:cs="宋体"/>
                <w:b/>
                <w:snapToGrid w:val="0"/>
                <w:color w:val="000000"/>
                <w:kern w:val="0"/>
                <w:szCs w:val="21"/>
                <w:lang w:val="zh-CN"/>
              </w:rPr>
              <w:t>指标项</w:t>
            </w:r>
          </w:p>
        </w:tc>
        <w:tc>
          <w:tcPr>
            <w:tcW w:w="6738" w:type="dxa"/>
            <w:vAlign w:val="center"/>
          </w:tcPr>
          <w:p>
            <w:pPr>
              <w:autoSpaceDE w:val="0"/>
              <w:autoSpaceDN w:val="0"/>
              <w:adjustRightInd w:val="0"/>
              <w:snapToGrid w:val="0"/>
              <w:spacing w:before="156" w:beforeLines="50" w:after="156" w:afterLines="50" w:line="400" w:lineRule="exact"/>
              <w:jc w:val="center"/>
              <w:rPr>
                <w:rFonts w:hint="eastAsia" w:ascii="宋体" w:hAnsi="宋体" w:eastAsia="宋体" w:cs="宋体"/>
                <w:b/>
                <w:snapToGrid w:val="0"/>
                <w:color w:val="000000"/>
                <w:kern w:val="0"/>
                <w:szCs w:val="21"/>
                <w:lang w:val="zh-CN"/>
              </w:rPr>
            </w:pPr>
            <w:r>
              <w:rPr>
                <w:rFonts w:hint="eastAsia" w:ascii="宋体" w:hAnsi="宋体" w:eastAsia="宋体" w:cs="宋体"/>
                <w:b/>
                <w:snapToGrid w:val="0"/>
                <w:color w:val="000000"/>
                <w:kern w:val="0"/>
                <w:szCs w:val="21"/>
                <w:lang w:val="zh-CN"/>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711" w:type="dxa"/>
            <w:vAlign w:val="center"/>
          </w:tcPr>
          <w:p>
            <w:pPr>
              <w:autoSpaceDE w:val="0"/>
              <w:autoSpaceDN w:val="0"/>
              <w:adjustRightInd w:val="0"/>
              <w:snapToGrid w:val="0"/>
              <w:spacing w:line="400" w:lineRule="exact"/>
              <w:jc w:val="center"/>
              <w:rPr>
                <w:rFonts w:hint="eastAsia" w:ascii="宋体" w:hAnsi="宋体" w:eastAsia="宋体" w:cs="宋体"/>
                <w:snapToGrid w:val="0"/>
                <w:color w:val="000000"/>
                <w:kern w:val="0"/>
                <w:szCs w:val="21"/>
                <w:lang w:val="zh-CN"/>
              </w:rPr>
            </w:pPr>
            <w:r>
              <w:rPr>
                <w:rFonts w:hint="eastAsia" w:ascii="宋体" w:hAnsi="宋体" w:eastAsia="宋体" w:cs="宋体"/>
                <w:snapToGrid w:val="0"/>
                <w:color w:val="000000"/>
                <w:kern w:val="0"/>
                <w:szCs w:val="21"/>
                <w:lang w:val="zh-CN"/>
              </w:rPr>
              <w:t>1</w:t>
            </w:r>
          </w:p>
        </w:tc>
        <w:tc>
          <w:tcPr>
            <w:tcW w:w="1911" w:type="dxa"/>
            <w:vAlign w:val="center"/>
          </w:tcPr>
          <w:p>
            <w:pPr>
              <w:autoSpaceDE w:val="0"/>
              <w:autoSpaceDN w:val="0"/>
              <w:adjustRightInd w:val="0"/>
              <w:snapToGrid w:val="0"/>
              <w:jc w:val="center"/>
              <w:rPr>
                <w:rFonts w:hint="eastAsia" w:ascii="宋体" w:hAnsi="宋体" w:eastAsia="宋体" w:cs="宋体"/>
                <w:snapToGrid w:val="0"/>
                <w:color w:val="000000"/>
                <w:kern w:val="0"/>
                <w:szCs w:val="21"/>
                <w:lang w:val="zh-CN"/>
              </w:rPr>
            </w:pPr>
            <w:r>
              <w:rPr>
                <w:rFonts w:hint="eastAsia" w:ascii="宋体" w:hAnsi="宋体" w:eastAsia="宋体" w:cs="宋体"/>
                <w:snapToGrid w:val="0"/>
                <w:color w:val="000000"/>
                <w:kern w:val="0"/>
                <w:szCs w:val="21"/>
              </w:rPr>
              <w:t>交货</w:t>
            </w:r>
            <w:r>
              <w:rPr>
                <w:rFonts w:hint="eastAsia" w:ascii="宋体" w:hAnsi="宋体" w:eastAsia="宋体" w:cs="宋体"/>
                <w:snapToGrid w:val="0"/>
                <w:color w:val="000000"/>
                <w:kern w:val="0"/>
                <w:szCs w:val="21"/>
                <w:lang w:val="zh-CN"/>
              </w:rPr>
              <w:t>期</w:t>
            </w:r>
          </w:p>
        </w:tc>
        <w:tc>
          <w:tcPr>
            <w:tcW w:w="6738" w:type="dxa"/>
            <w:vAlign w:val="center"/>
          </w:tcPr>
          <w:p>
            <w:pPr>
              <w:pStyle w:val="2"/>
              <w:rPr>
                <w:rFonts w:hint="eastAsia" w:ascii="宋体" w:hAnsi="宋体" w:eastAsia="宋体" w:cs="宋体"/>
                <w:highlight w:val="none"/>
              </w:rPr>
            </w:pPr>
            <w:r>
              <w:rPr>
                <w:rFonts w:hint="eastAsia" w:ascii="宋体" w:hAnsi="宋体" w:eastAsia="宋体" w:cs="宋体"/>
                <w:sz w:val="21"/>
                <w:szCs w:val="21"/>
                <w:highlight w:val="none"/>
                <w:u w:val="single"/>
              </w:rPr>
              <w:t>01包：合同签订后200日内；02包：合同签订后200日内；03包：</w:t>
            </w:r>
            <w:r>
              <w:rPr>
                <w:rFonts w:hint="eastAsia" w:ascii="宋体" w:hAnsi="宋体" w:eastAsia="宋体" w:cs="宋体"/>
                <w:color w:val="000000"/>
                <w:kern w:val="0"/>
                <w:sz w:val="21"/>
                <w:szCs w:val="21"/>
                <w:highlight w:val="none"/>
                <w:u w:val="single"/>
              </w:rPr>
              <w:t>合同签订后90日内</w:t>
            </w:r>
            <w:r>
              <w:rPr>
                <w:rFonts w:hint="eastAsia" w:ascii="宋体" w:hAnsi="宋体" w:eastAsia="宋体" w:cs="宋体"/>
                <w:sz w:val="21"/>
                <w:szCs w:val="21"/>
                <w:highlight w:val="none"/>
                <w:u w:val="single"/>
              </w:rPr>
              <w:t>；04包：</w:t>
            </w:r>
            <w:r>
              <w:rPr>
                <w:rFonts w:hint="eastAsia" w:ascii="宋体" w:hAnsi="宋体" w:eastAsia="宋体" w:cs="宋体"/>
                <w:color w:val="000000"/>
                <w:kern w:val="0"/>
                <w:sz w:val="21"/>
                <w:szCs w:val="21"/>
                <w:highlight w:val="none"/>
                <w:u w:val="single"/>
              </w:rPr>
              <w:t>合同签订后180日内</w:t>
            </w:r>
            <w:r>
              <w:rPr>
                <w:rFonts w:hint="eastAsia" w:ascii="宋体" w:hAnsi="宋体" w:eastAsia="宋体" w:cs="宋体"/>
                <w:sz w:val="21"/>
                <w:szCs w:val="21"/>
                <w:highlight w:val="none"/>
                <w:u w:val="single"/>
              </w:rPr>
              <w:t>；05包：</w:t>
            </w:r>
            <w:r>
              <w:rPr>
                <w:rFonts w:hint="eastAsia" w:ascii="宋体" w:hAnsi="宋体" w:eastAsia="宋体" w:cs="宋体"/>
                <w:color w:val="000000"/>
                <w:kern w:val="0"/>
                <w:sz w:val="21"/>
                <w:szCs w:val="21"/>
                <w:highlight w:val="none"/>
                <w:u w:val="single"/>
              </w:rPr>
              <w:t>合同签订后45 日内；06包：合同签订后180日内；07包：合同签订后180日内；08包：合同签订后90日内；</w:t>
            </w:r>
            <w:r>
              <w:rPr>
                <w:rFonts w:hint="eastAsia" w:ascii="宋体" w:hAnsi="宋体" w:eastAsia="宋体" w:cs="宋体"/>
                <w:color w:val="000000"/>
                <w:sz w:val="21"/>
                <w:szCs w:val="21"/>
                <w:highlight w:val="none"/>
                <w:u w:val="single"/>
              </w:rPr>
              <w:t>09：</w:t>
            </w:r>
            <w:r>
              <w:rPr>
                <w:rFonts w:hint="eastAsia" w:ascii="宋体" w:hAnsi="宋体" w:eastAsia="宋体" w:cs="宋体"/>
                <w:color w:val="000000"/>
                <w:kern w:val="0"/>
                <w:sz w:val="21"/>
                <w:szCs w:val="21"/>
                <w:highlight w:val="none"/>
                <w:u w:val="single"/>
              </w:rPr>
              <w:t>合同签订后180日内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711" w:type="dxa"/>
            <w:vAlign w:val="center"/>
          </w:tcPr>
          <w:p>
            <w:pPr>
              <w:autoSpaceDE w:val="0"/>
              <w:autoSpaceDN w:val="0"/>
              <w:adjustRightInd w:val="0"/>
              <w:snapToGrid w:val="0"/>
              <w:spacing w:line="400" w:lineRule="exact"/>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2</w:t>
            </w:r>
          </w:p>
        </w:tc>
        <w:tc>
          <w:tcPr>
            <w:tcW w:w="1911" w:type="dxa"/>
            <w:vAlign w:val="center"/>
          </w:tcPr>
          <w:p>
            <w:pPr>
              <w:autoSpaceDE w:val="0"/>
              <w:autoSpaceDN w:val="0"/>
              <w:adjustRightInd w:val="0"/>
              <w:snapToGrid w:val="0"/>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质保期</w:t>
            </w:r>
          </w:p>
        </w:tc>
        <w:tc>
          <w:tcPr>
            <w:tcW w:w="6738" w:type="dxa"/>
            <w:vAlign w:val="center"/>
          </w:tcPr>
          <w:p>
            <w:pPr>
              <w:autoSpaceDE w:val="0"/>
              <w:autoSpaceDN w:val="0"/>
              <w:adjustRightInd w:val="0"/>
              <w:snapToGrid w:val="0"/>
              <w:jc w:val="left"/>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01包质量保修期：硬件验收合格后至少3年，软件验收合格后至少5年（含5年升</w:t>
            </w:r>
            <w:r>
              <w:rPr>
                <w:rFonts w:hint="eastAsia" w:ascii="宋体" w:hAnsi="宋体" w:eastAsia="宋体" w:cs="宋体"/>
                <w:snapToGrid w:val="0"/>
                <w:color w:val="auto"/>
                <w:kern w:val="0"/>
                <w:szCs w:val="21"/>
              </w:rPr>
              <w:t>级，特别说明除外）。02包、03包、04包、05包、06包、07包、08包、09包质量保修期：验收合格</w:t>
            </w:r>
            <w:r>
              <w:rPr>
                <w:rFonts w:hint="eastAsia" w:ascii="宋体" w:hAnsi="宋体" w:eastAsia="宋体" w:cs="宋体"/>
                <w:snapToGrid w:val="0"/>
                <w:color w:val="000000"/>
                <w:kern w:val="0"/>
                <w:szCs w:val="21"/>
              </w:rPr>
              <w:t>后至少3年。质量保证期从货物供货、安装、调试正常且经采购人确认验收合格之日起算。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711" w:type="dxa"/>
            <w:vAlign w:val="center"/>
          </w:tcPr>
          <w:p>
            <w:pPr>
              <w:autoSpaceDE w:val="0"/>
              <w:autoSpaceDN w:val="0"/>
              <w:adjustRightInd w:val="0"/>
              <w:snapToGrid w:val="0"/>
              <w:spacing w:before="156" w:beforeLines="50" w:after="156" w:afterLines="50" w:line="400" w:lineRule="exact"/>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3</w:t>
            </w:r>
          </w:p>
        </w:tc>
        <w:tc>
          <w:tcPr>
            <w:tcW w:w="1911" w:type="dxa"/>
            <w:vAlign w:val="center"/>
          </w:tcPr>
          <w:p>
            <w:pPr>
              <w:widowControl/>
              <w:autoSpaceDE w:val="0"/>
              <w:autoSpaceDN w:val="0"/>
              <w:adjustRightInd w:val="0"/>
              <w:snapToGrid w:val="0"/>
              <w:spacing w:before="156" w:beforeLines="50" w:after="156" w:afterLines="50"/>
              <w:jc w:val="center"/>
              <w:rPr>
                <w:rFonts w:hint="eastAsia" w:ascii="宋体" w:hAnsi="宋体" w:eastAsia="宋体" w:cs="宋体"/>
                <w:snapToGrid w:val="0"/>
                <w:color w:val="000000"/>
                <w:kern w:val="0"/>
                <w:szCs w:val="21"/>
                <w:lang w:val="zh-CN"/>
              </w:rPr>
            </w:pPr>
            <w:r>
              <w:rPr>
                <w:rFonts w:hint="eastAsia" w:ascii="宋体" w:hAnsi="宋体" w:eastAsia="宋体" w:cs="宋体"/>
                <w:snapToGrid w:val="0"/>
                <w:color w:val="000000"/>
                <w:kern w:val="0"/>
                <w:szCs w:val="21"/>
                <w:lang w:val="zh-CN"/>
              </w:rPr>
              <w:t>包装和运输</w:t>
            </w:r>
          </w:p>
        </w:tc>
        <w:tc>
          <w:tcPr>
            <w:tcW w:w="6738" w:type="dxa"/>
            <w:vAlign w:val="center"/>
          </w:tcPr>
          <w:p>
            <w:pPr>
              <w:autoSpaceDE w:val="0"/>
              <w:autoSpaceDN w:val="0"/>
              <w:adjustRightInd w:val="0"/>
              <w:snapToGrid w:val="0"/>
              <w:jc w:val="left"/>
              <w:rPr>
                <w:rFonts w:hint="eastAsia" w:ascii="宋体" w:hAnsi="宋体" w:eastAsia="宋体" w:cs="宋体"/>
                <w:snapToGrid w:val="0"/>
                <w:color w:val="000000"/>
                <w:kern w:val="0"/>
                <w:szCs w:val="21"/>
                <w:lang w:val="zh-CN"/>
              </w:rPr>
            </w:pPr>
            <w:r>
              <w:rPr>
                <w:rFonts w:hint="eastAsia" w:ascii="宋体" w:hAnsi="宋体" w:eastAsia="宋体" w:cs="宋体"/>
                <w:snapToGrid w:val="0"/>
                <w:color w:val="000000"/>
                <w:kern w:val="0"/>
                <w:szCs w:val="21"/>
                <w:lang w:val="zh-CN"/>
              </w:rPr>
              <w:t>包装应使用崭新坚固耐压的包装箱(标准包装)，适于空运、陆运等长途运输。适于在气温为摄氏-20℃～＋50℃和相对湿度为90％的环境条件下运输和贮存。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711" w:type="dxa"/>
            <w:vAlign w:val="center"/>
          </w:tcPr>
          <w:p>
            <w:pPr>
              <w:autoSpaceDE w:val="0"/>
              <w:autoSpaceDN w:val="0"/>
              <w:adjustRightInd w:val="0"/>
              <w:snapToGrid w:val="0"/>
              <w:spacing w:before="156" w:beforeLines="50" w:after="156" w:afterLines="50" w:line="400" w:lineRule="exact"/>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4</w:t>
            </w:r>
          </w:p>
        </w:tc>
        <w:tc>
          <w:tcPr>
            <w:tcW w:w="1911" w:type="dxa"/>
            <w:vAlign w:val="center"/>
          </w:tcPr>
          <w:p>
            <w:pPr>
              <w:widowControl/>
              <w:autoSpaceDE w:val="0"/>
              <w:autoSpaceDN w:val="0"/>
              <w:adjustRightInd w:val="0"/>
              <w:snapToGrid w:val="0"/>
              <w:spacing w:before="156" w:beforeLines="50" w:after="156" w:afterLines="50"/>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保险</w:t>
            </w:r>
          </w:p>
        </w:tc>
        <w:tc>
          <w:tcPr>
            <w:tcW w:w="6738" w:type="dxa"/>
            <w:vAlign w:val="center"/>
          </w:tcPr>
          <w:p>
            <w:pPr>
              <w:autoSpaceDE w:val="0"/>
              <w:autoSpaceDN w:val="0"/>
              <w:adjustRightInd w:val="0"/>
              <w:snapToGrid w:val="0"/>
              <w:jc w:val="left"/>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中标人承担货物运输过程或使用过程中的一切保险。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711" w:type="dxa"/>
            <w:vAlign w:val="center"/>
          </w:tcPr>
          <w:p>
            <w:pPr>
              <w:autoSpaceDE w:val="0"/>
              <w:autoSpaceDN w:val="0"/>
              <w:adjustRightInd w:val="0"/>
              <w:snapToGrid w:val="0"/>
              <w:spacing w:before="156" w:beforeLines="50" w:after="156" w:afterLines="50" w:line="400" w:lineRule="exact"/>
              <w:jc w:val="center"/>
              <w:rPr>
                <w:rFonts w:hint="eastAsia" w:ascii="宋体" w:hAnsi="宋体" w:eastAsia="宋体" w:cs="宋体"/>
                <w:snapToGrid w:val="0"/>
                <w:color w:val="000000"/>
                <w:kern w:val="0"/>
                <w:szCs w:val="21"/>
                <w:lang w:val="zh-CN"/>
              </w:rPr>
            </w:pPr>
            <w:r>
              <w:rPr>
                <w:rFonts w:hint="eastAsia" w:ascii="宋体" w:hAnsi="宋体" w:eastAsia="宋体" w:cs="宋体"/>
                <w:snapToGrid w:val="0"/>
                <w:color w:val="000000"/>
                <w:kern w:val="0"/>
                <w:szCs w:val="21"/>
              </w:rPr>
              <w:t>5</w:t>
            </w:r>
          </w:p>
        </w:tc>
        <w:tc>
          <w:tcPr>
            <w:tcW w:w="1911" w:type="dxa"/>
            <w:vAlign w:val="center"/>
          </w:tcPr>
          <w:p>
            <w:pPr>
              <w:widowControl/>
              <w:autoSpaceDE w:val="0"/>
              <w:autoSpaceDN w:val="0"/>
              <w:adjustRightInd w:val="0"/>
              <w:snapToGrid w:val="0"/>
              <w:spacing w:before="156" w:beforeLines="50" w:after="156" w:afterLines="50"/>
              <w:jc w:val="center"/>
              <w:rPr>
                <w:rFonts w:hint="eastAsia" w:ascii="宋体" w:hAnsi="宋体" w:eastAsia="宋体" w:cs="宋体"/>
                <w:snapToGrid w:val="0"/>
                <w:color w:val="000000"/>
                <w:kern w:val="0"/>
                <w:szCs w:val="21"/>
                <w:lang w:val="zh-CN"/>
              </w:rPr>
            </w:pPr>
            <w:r>
              <w:rPr>
                <w:rFonts w:hint="eastAsia" w:ascii="宋体" w:hAnsi="宋体" w:eastAsia="宋体" w:cs="宋体"/>
                <w:snapToGrid w:val="0"/>
                <w:color w:val="000000"/>
                <w:kern w:val="0"/>
                <w:szCs w:val="21"/>
                <w:lang w:val="zh-CN"/>
              </w:rPr>
              <w:t>服务标准/</w:t>
            </w:r>
          </w:p>
          <w:p>
            <w:pPr>
              <w:widowControl/>
              <w:autoSpaceDE w:val="0"/>
              <w:autoSpaceDN w:val="0"/>
              <w:adjustRightInd w:val="0"/>
              <w:snapToGrid w:val="0"/>
              <w:spacing w:before="156" w:beforeLines="50" w:after="156" w:afterLines="50"/>
              <w:jc w:val="center"/>
              <w:rPr>
                <w:rFonts w:hint="eastAsia" w:ascii="宋体" w:hAnsi="宋体" w:eastAsia="宋体" w:cs="宋体"/>
                <w:snapToGrid w:val="0"/>
                <w:color w:val="000000"/>
                <w:kern w:val="0"/>
                <w:szCs w:val="21"/>
                <w:lang w:val="zh-CN"/>
              </w:rPr>
            </w:pPr>
            <w:r>
              <w:rPr>
                <w:rFonts w:hint="eastAsia" w:ascii="宋体" w:hAnsi="宋体" w:eastAsia="宋体" w:cs="宋体"/>
                <w:snapToGrid w:val="0"/>
                <w:color w:val="000000"/>
                <w:kern w:val="0"/>
                <w:szCs w:val="21"/>
                <w:lang w:val="zh-CN"/>
              </w:rPr>
              <w:t>售后服务要求</w:t>
            </w:r>
          </w:p>
        </w:tc>
        <w:tc>
          <w:tcPr>
            <w:tcW w:w="6738" w:type="dxa"/>
            <w:vAlign w:val="center"/>
          </w:tcPr>
          <w:p>
            <w:pPr>
              <w:widowControl/>
              <w:autoSpaceDE w:val="0"/>
              <w:autoSpaceDN w:val="0"/>
              <w:adjustRightInd w:val="0"/>
              <w:snapToGrid w:val="0"/>
              <w:spacing w:before="156" w:beforeLines="50" w:after="156" w:afterLines="50"/>
              <w:jc w:val="left"/>
              <w:rPr>
                <w:rFonts w:hint="eastAsia" w:ascii="宋体" w:hAnsi="宋体" w:eastAsia="宋体" w:cs="宋体"/>
                <w:snapToGrid w:val="0"/>
                <w:color w:val="000000"/>
                <w:kern w:val="0"/>
                <w:szCs w:val="21"/>
                <w:lang w:val="zh-CN"/>
              </w:rPr>
            </w:pPr>
            <w:r>
              <w:rPr>
                <w:rFonts w:hint="eastAsia" w:ascii="宋体" w:hAnsi="宋体" w:eastAsia="宋体" w:cs="宋体"/>
                <w:snapToGrid w:val="0"/>
                <w:color w:val="000000"/>
                <w:kern w:val="0"/>
                <w:szCs w:val="21"/>
                <w:lang w:val="zh-CN"/>
              </w:rPr>
              <w:t>自设备验收合格之日起</w:t>
            </w:r>
            <w:r>
              <w:rPr>
                <w:rFonts w:hint="eastAsia" w:ascii="宋体" w:hAnsi="宋体" w:eastAsia="宋体" w:cs="宋体"/>
                <w:snapToGrid w:val="0"/>
                <w:color w:val="000000"/>
                <w:kern w:val="0"/>
                <w:szCs w:val="21"/>
              </w:rPr>
              <w:t>至少3</w:t>
            </w:r>
            <w:r>
              <w:rPr>
                <w:rFonts w:hint="eastAsia" w:ascii="宋体" w:hAnsi="宋体" w:eastAsia="宋体" w:cs="宋体"/>
                <w:snapToGrid w:val="0"/>
                <w:color w:val="000000"/>
                <w:kern w:val="0"/>
                <w:szCs w:val="21"/>
                <w:lang w:val="zh-CN"/>
              </w:rPr>
              <w:t>年。任何由制造商选材和制造不当引起的质量问题，制造商负责维修。消耗品无质保期。质保期外，制造商提供维修，并保证零配件的供应。维修采用工程师先到现场检查确定问题后再付款进行维修。设备维修仅收取配件成本价，免人工费，更换零部件的按合同签订时的零部件价格。</w:t>
            </w:r>
          </w:p>
          <w:p>
            <w:pPr>
              <w:widowControl/>
              <w:autoSpaceDE w:val="0"/>
              <w:autoSpaceDN w:val="0"/>
              <w:adjustRightInd w:val="0"/>
              <w:snapToGrid w:val="0"/>
              <w:spacing w:before="156" w:beforeLines="50" w:after="156" w:afterLines="50"/>
              <w:jc w:val="left"/>
              <w:rPr>
                <w:rFonts w:hint="eastAsia" w:ascii="宋体" w:hAnsi="宋体" w:eastAsia="宋体" w:cs="宋体"/>
                <w:snapToGrid w:val="0"/>
                <w:color w:val="000000"/>
                <w:kern w:val="0"/>
                <w:szCs w:val="21"/>
                <w:lang w:val="zh-CN"/>
              </w:rPr>
            </w:pPr>
            <w:r>
              <w:rPr>
                <w:rFonts w:hint="eastAsia" w:ascii="宋体" w:hAnsi="宋体" w:eastAsia="宋体" w:cs="宋体"/>
                <w:snapToGrid w:val="0"/>
                <w:color w:val="000000"/>
                <w:kern w:val="0"/>
                <w:szCs w:val="21"/>
                <w:lang w:val="zh-CN"/>
              </w:rPr>
              <w:t>投标人应提供终身维修服务，包括但不限于电话、邮件、网站等多种形式的在线技术支持服务，如有前述服务形式无法解决的问题，应及时提供现场支持服务。响应速度同质保期内响应速度。</w:t>
            </w:r>
          </w:p>
          <w:p>
            <w:pPr>
              <w:widowControl/>
              <w:autoSpaceDE w:val="0"/>
              <w:autoSpaceDN w:val="0"/>
              <w:adjustRightInd w:val="0"/>
              <w:snapToGrid w:val="0"/>
              <w:spacing w:before="156" w:beforeLines="50" w:after="156" w:afterLines="50"/>
              <w:jc w:val="left"/>
              <w:rPr>
                <w:rFonts w:hint="eastAsia" w:ascii="宋体" w:hAnsi="宋体" w:eastAsia="宋体" w:cs="宋体"/>
                <w:snapToGrid w:val="0"/>
                <w:color w:val="000000"/>
                <w:kern w:val="0"/>
                <w:szCs w:val="21"/>
                <w:lang w:val="zh-CN"/>
              </w:rPr>
            </w:pPr>
            <w:r>
              <w:rPr>
                <w:rFonts w:hint="eastAsia" w:ascii="宋体" w:hAnsi="宋体" w:eastAsia="宋体" w:cs="宋体"/>
                <w:snapToGrid w:val="0"/>
                <w:color w:val="000000"/>
                <w:kern w:val="0"/>
                <w:szCs w:val="21"/>
                <w:lang w:val="zh-CN"/>
              </w:rPr>
              <w:t>建立质量跟踪档案，对采购人进行定期回访（电话或现场），以保证设备正常高效地运行。列明负责本项目的技术负责人及联络电话、传真、e-mail等。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711" w:type="dxa"/>
            <w:vAlign w:val="center"/>
          </w:tcPr>
          <w:p>
            <w:pPr>
              <w:autoSpaceDE w:val="0"/>
              <w:autoSpaceDN w:val="0"/>
              <w:adjustRightInd w:val="0"/>
              <w:snapToGrid w:val="0"/>
              <w:spacing w:before="156" w:beforeLines="50" w:after="156" w:afterLines="50" w:line="400" w:lineRule="exact"/>
              <w:jc w:val="center"/>
              <w:rPr>
                <w:rFonts w:hint="eastAsia" w:ascii="宋体" w:hAnsi="宋体" w:eastAsia="宋体" w:cs="宋体"/>
                <w:snapToGrid w:val="0"/>
                <w:color w:val="000000"/>
                <w:kern w:val="0"/>
                <w:szCs w:val="21"/>
              </w:rPr>
            </w:pPr>
            <w:r>
              <w:rPr>
                <w:rFonts w:hint="eastAsia" w:ascii="宋体" w:hAnsi="宋体" w:eastAsia="宋体" w:cs="宋体"/>
                <w:snapToGrid w:val="0"/>
                <w:color w:val="000000"/>
                <w:kern w:val="0"/>
                <w:szCs w:val="21"/>
              </w:rPr>
              <w:t>6</w:t>
            </w:r>
          </w:p>
        </w:tc>
        <w:tc>
          <w:tcPr>
            <w:tcW w:w="1911" w:type="dxa"/>
            <w:vAlign w:val="center"/>
          </w:tcPr>
          <w:p>
            <w:pPr>
              <w:widowControl/>
              <w:autoSpaceDE w:val="0"/>
              <w:autoSpaceDN w:val="0"/>
              <w:adjustRightInd w:val="0"/>
              <w:snapToGrid w:val="0"/>
              <w:spacing w:before="156" w:beforeLines="50" w:after="156" w:afterLines="50"/>
              <w:jc w:val="center"/>
              <w:rPr>
                <w:rFonts w:hint="eastAsia" w:ascii="宋体" w:hAnsi="宋体" w:eastAsia="宋体" w:cs="宋体"/>
                <w:snapToGrid w:val="0"/>
                <w:color w:val="000000"/>
                <w:kern w:val="0"/>
                <w:szCs w:val="21"/>
                <w:lang w:val="zh-CN"/>
              </w:rPr>
            </w:pPr>
            <w:r>
              <w:rPr>
                <w:rFonts w:hint="eastAsia" w:ascii="宋体" w:hAnsi="宋体" w:eastAsia="宋体" w:cs="宋体"/>
                <w:snapToGrid w:val="0"/>
                <w:color w:val="000000"/>
                <w:kern w:val="0"/>
                <w:szCs w:val="21"/>
                <w:lang w:val="zh-CN"/>
              </w:rPr>
              <w:t>售后服务</w:t>
            </w:r>
          </w:p>
          <w:p>
            <w:pPr>
              <w:widowControl/>
              <w:autoSpaceDE w:val="0"/>
              <w:autoSpaceDN w:val="0"/>
              <w:adjustRightInd w:val="0"/>
              <w:snapToGrid w:val="0"/>
              <w:spacing w:before="156" w:beforeLines="50" w:after="156" w:afterLines="50"/>
              <w:jc w:val="center"/>
              <w:rPr>
                <w:rFonts w:hint="eastAsia" w:ascii="宋体" w:hAnsi="宋体" w:eastAsia="宋体" w:cs="宋体"/>
                <w:snapToGrid w:val="0"/>
                <w:color w:val="000000"/>
                <w:kern w:val="0"/>
                <w:szCs w:val="21"/>
                <w:lang w:val="zh-CN"/>
              </w:rPr>
            </w:pPr>
            <w:r>
              <w:rPr>
                <w:rFonts w:hint="eastAsia" w:ascii="宋体" w:hAnsi="宋体" w:eastAsia="宋体" w:cs="宋体"/>
                <w:snapToGrid w:val="0"/>
                <w:color w:val="000000"/>
                <w:kern w:val="0"/>
                <w:szCs w:val="21"/>
                <w:lang w:val="zh-CN"/>
              </w:rPr>
              <w:t>效率要求</w:t>
            </w:r>
          </w:p>
        </w:tc>
        <w:tc>
          <w:tcPr>
            <w:tcW w:w="6738" w:type="dxa"/>
            <w:vAlign w:val="center"/>
          </w:tcPr>
          <w:p>
            <w:pPr>
              <w:widowControl/>
              <w:autoSpaceDE w:val="0"/>
              <w:autoSpaceDN w:val="0"/>
              <w:adjustRightInd w:val="0"/>
              <w:snapToGrid w:val="0"/>
              <w:spacing w:before="156" w:beforeLines="50" w:after="156" w:afterLines="50"/>
              <w:jc w:val="left"/>
              <w:rPr>
                <w:rFonts w:hint="eastAsia" w:ascii="宋体" w:hAnsi="宋体" w:eastAsia="宋体" w:cs="宋体"/>
                <w:snapToGrid w:val="0"/>
                <w:color w:val="000000"/>
                <w:kern w:val="0"/>
                <w:szCs w:val="21"/>
                <w:lang w:val="zh-CN"/>
              </w:rPr>
            </w:pPr>
            <w:r>
              <w:rPr>
                <w:rFonts w:hint="eastAsia" w:ascii="宋体" w:hAnsi="宋体" w:eastAsia="宋体" w:cs="宋体"/>
                <w:snapToGrid w:val="0"/>
                <w:color w:val="000000"/>
                <w:kern w:val="0"/>
                <w:szCs w:val="21"/>
                <w:lang w:val="zh-CN"/>
              </w:rPr>
              <w:t>质保期内的服务由制造商负责，接到用户通知后24小时内响应，如有必要尽快派出维修人员到达现场进行服务。制造商在国内有常驻维修工程师（提供维修工程师的手机号和身份证为证明文件），以便确保可以提供便捷及时的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11" w:type="dxa"/>
            <w:vAlign w:val="center"/>
          </w:tcPr>
          <w:p>
            <w:pPr>
              <w:autoSpaceDE w:val="0"/>
              <w:autoSpaceDN w:val="0"/>
              <w:adjustRightInd w:val="0"/>
              <w:snapToGrid w:val="0"/>
              <w:spacing w:before="156" w:beforeLines="50" w:after="156" w:afterLines="50" w:line="400" w:lineRule="exact"/>
              <w:jc w:val="center"/>
              <w:rPr>
                <w:rFonts w:hint="eastAsia" w:ascii="宋体" w:hAnsi="宋体" w:eastAsia="宋体" w:cs="宋体"/>
                <w:snapToGrid w:val="0"/>
                <w:color w:val="000000"/>
                <w:kern w:val="0"/>
                <w:szCs w:val="21"/>
                <w:lang w:val="zh-CN"/>
              </w:rPr>
            </w:pPr>
            <w:r>
              <w:rPr>
                <w:rFonts w:hint="eastAsia" w:ascii="宋体" w:hAnsi="宋体" w:eastAsia="宋体" w:cs="宋体"/>
                <w:snapToGrid w:val="0"/>
                <w:color w:val="000000"/>
                <w:kern w:val="0"/>
                <w:szCs w:val="21"/>
              </w:rPr>
              <w:t>7</w:t>
            </w:r>
          </w:p>
        </w:tc>
        <w:tc>
          <w:tcPr>
            <w:tcW w:w="1911" w:type="dxa"/>
            <w:vAlign w:val="center"/>
          </w:tcPr>
          <w:p>
            <w:pPr>
              <w:widowControl/>
              <w:autoSpaceDE w:val="0"/>
              <w:autoSpaceDN w:val="0"/>
              <w:adjustRightInd w:val="0"/>
              <w:snapToGrid w:val="0"/>
              <w:spacing w:before="156" w:beforeLines="50" w:after="156" w:afterLines="50"/>
              <w:jc w:val="center"/>
              <w:rPr>
                <w:rFonts w:hint="eastAsia" w:ascii="宋体" w:hAnsi="宋体" w:eastAsia="宋体" w:cs="宋体"/>
                <w:snapToGrid w:val="0"/>
                <w:color w:val="000000"/>
                <w:kern w:val="0"/>
                <w:szCs w:val="21"/>
                <w:lang w:val="zh-CN"/>
              </w:rPr>
            </w:pPr>
            <w:r>
              <w:rPr>
                <w:rFonts w:hint="eastAsia" w:ascii="宋体" w:hAnsi="宋体" w:eastAsia="宋体" w:cs="宋体"/>
                <w:snapToGrid w:val="0"/>
                <w:color w:val="000000"/>
                <w:kern w:val="0"/>
                <w:szCs w:val="21"/>
                <w:lang w:val="zh-CN"/>
              </w:rPr>
              <w:t>验收</w:t>
            </w:r>
            <w:r>
              <w:rPr>
                <w:rFonts w:hint="eastAsia" w:ascii="宋体" w:hAnsi="宋体" w:eastAsia="宋体" w:cs="宋体"/>
                <w:snapToGrid w:val="0"/>
                <w:color w:val="000000"/>
                <w:kern w:val="0"/>
                <w:szCs w:val="21"/>
              </w:rPr>
              <w:t>时间及</w:t>
            </w:r>
            <w:r>
              <w:rPr>
                <w:rFonts w:hint="eastAsia" w:ascii="宋体" w:hAnsi="宋体" w:eastAsia="宋体" w:cs="宋体"/>
                <w:snapToGrid w:val="0"/>
                <w:color w:val="000000"/>
                <w:kern w:val="0"/>
                <w:szCs w:val="21"/>
                <w:lang w:val="zh-CN"/>
              </w:rPr>
              <w:t>标准</w:t>
            </w:r>
          </w:p>
        </w:tc>
        <w:tc>
          <w:tcPr>
            <w:tcW w:w="6738" w:type="dxa"/>
            <w:vAlign w:val="center"/>
          </w:tcPr>
          <w:p>
            <w:pPr>
              <w:widowControl/>
              <w:autoSpaceDE w:val="0"/>
              <w:autoSpaceDN w:val="0"/>
              <w:adjustRightInd w:val="0"/>
              <w:snapToGrid w:val="0"/>
              <w:spacing w:before="156" w:beforeLines="50" w:after="156" w:afterLines="50"/>
              <w:jc w:val="left"/>
              <w:rPr>
                <w:rFonts w:hint="eastAsia" w:ascii="宋体" w:hAnsi="宋体" w:eastAsia="宋体" w:cs="宋体"/>
                <w:snapToGrid w:val="0"/>
                <w:color w:val="000000"/>
                <w:kern w:val="0"/>
                <w:szCs w:val="21"/>
                <w:lang w:val="zh-CN"/>
              </w:rPr>
            </w:pPr>
            <w:r>
              <w:rPr>
                <w:rFonts w:hint="eastAsia" w:ascii="宋体" w:hAnsi="宋体" w:eastAsia="宋体" w:cs="宋体"/>
                <w:snapToGrid w:val="0"/>
                <w:color w:val="000000"/>
                <w:kern w:val="0"/>
                <w:szCs w:val="21"/>
                <w:lang w:val="zh-CN"/>
              </w:rPr>
              <w:t>货物安装调试完成，正常运行6个月内，由采购项目负责人提出验收申请，实验室与设备管理处按照学校货物验收相关规定，结合采购文件、投标文件、合同等项目文件约定内容对项目进行验收。</w:t>
            </w:r>
          </w:p>
          <w:p>
            <w:pPr>
              <w:widowControl/>
              <w:autoSpaceDE w:val="0"/>
              <w:autoSpaceDN w:val="0"/>
              <w:adjustRightInd w:val="0"/>
              <w:snapToGrid w:val="0"/>
              <w:spacing w:before="156" w:beforeLines="50" w:after="156" w:afterLines="50"/>
              <w:jc w:val="left"/>
              <w:rPr>
                <w:rFonts w:hint="eastAsia" w:ascii="宋体" w:hAnsi="宋体" w:eastAsia="宋体" w:cs="宋体"/>
                <w:snapToGrid w:val="0"/>
                <w:color w:val="000000"/>
                <w:kern w:val="0"/>
                <w:szCs w:val="21"/>
                <w:lang w:val="zh-CN"/>
              </w:rPr>
            </w:pPr>
            <w:r>
              <w:rPr>
                <w:rFonts w:hint="eastAsia" w:ascii="宋体" w:hAnsi="宋体" w:eastAsia="宋体" w:cs="宋体"/>
                <w:snapToGrid w:val="0"/>
                <w:color w:val="000000"/>
                <w:kern w:val="0"/>
                <w:szCs w:val="21"/>
                <w:lang w:val="zh-CN"/>
              </w:rPr>
              <w:t>如验收达不到规定要求，采购人有权要求更换货物或拒绝付款，成交供应商若违约，采购人将依法追究相应法律责任。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711" w:type="dxa"/>
            <w:vAlign w:val="center"/>
          </w:tcPr>
          <w:p>
            <w:pPr>
              <w:autoSpaceDE w:val="0"/>
              <w:autoSpaceDN w:val="0"/>
              <w:adjustRightInd w:val="0"/>
              <w:snapToGrid w:val="0"/>
              <w:spacing w:before="156" w:beforeLines="50" w:after="156" w:afterLines="50" w:line="400" w:lineRule="exact"/>
              <w:jc w:val="center"/>
              <w:rPr>
                <w:rFonts w:hint="eastAsia" w:ascii="宋体" w:hAnsi="宋体" w:eastAsia="宋体" w:cs="宋体"/>
                <w:snapToGrid w:val="0"/>
                <w:color w:val="000000"/>
                <w:kern w:val="0"/>
                <w:szCs w:val="21"/>
                <w:lang w:val="zh-CN"/>
              </w:rPr>
            </w:pPr>
            <w:r>
              <w:rPr>
                <w:rFonts w:hint="eastAsia" w:ascii="宋体" w:hAnsi="宋体" w:eastAsia="宋体" w:cs="宋体"/>
                <w:snapToGrid w:val="0"/>
                <w:color w:val="000000"/>
                <w:kern w:val="0"/>
                <w:szCs w:val="21"/>
              </w:rPr>
              <w:t>8</w:t>
            </w:r>
          </w:p>
        </w:tc>
        <w:tc>
          <w:tcPr>
            <w:tcW w:w="1911" w:type="dxa"/>
            <w:vAlign w:val="center"/>
          </w:tcPr>
          <w:p>
            <w:pPr>
              <w:widowControl/>
              <w:autoSpaceDE w:val="0"/>
              <w:autoSpaceDN w:val="0"/>
              <w:adjustRightInd w:val="0"/>
              <w:snapToGrid w:val="0"/>
              <w:spacing w:before="156" w:beforeLines="50" w:after="156" w:afterLines="50"/>
              <w:jc w:val="center"/>
              <w:rPr>
                <w:rFonts w:hint="eastAsia" w:ascii="宋体" w:hAnsi="宋体" w:eastAsia="宋体" w:cs="宋体"/>
                <w:snapToGrid w:val="0"/>
                <w:color w:val="000000"/>
                <w:kern w:val="0"/>
                <w:szCs w:val="21"/>
                <w:lang w:val="zh-CN"/>
              </w:rPr>
            </w:pPr>
            <w:r>
              <w:rPr>
                <w:rFonts w:hint="eastAsia" w:ascii="宋体" w:hAnsi="宋体" w:eastAsia="宋体" w:cs="宋体"/>
                <w:snapToGrid w:val="0"/>
                <w:color w:val="000000"/>
                <w:kern w:val="0"/>
                <w:szCs w:val="21"/>
                <w:lang w:val="zh-CN"/>
              </w:rPr>
              <w:t>付款条件</w:t>
            </w:r>
          </w:p>
        </w:tc>
        <w:tc>
          <w:tcPr>
            <w:tcW w:w="6738" w:type="dxa"/>
            <w:vAlign w:val="center"/>
          </w:tcPr>
          <w:p>
            <w:pPr>
              <w:adjustRightInd w:val="0"/>
              <w:snapToGrid w:val="0"/>
              <w:jc w:val="left"/>
              <w:rPr>
                <w:rFonts w:hint="eastAsia" w:ascii="宋体" w:hAnsi="宋体" w:eastAsia="宋体" w:cs="宋体"/>
                <w:color w:val="000000"/>
                <w:szCs w:val="21"/>
                <w:lang w:val="zh-CN"/>
              </w:rPr>
            </w:pPr>
            <w:r>
              <w:rPr>
                <w:rFonts w:hint="eastAsia" w:ascii="宋体" w:hAnsi="宋体" w:eastAsia="宋体" w:cs="宋体"/>
                <w:color w:val="000000"/>
                <w:szCs w:val="21"/>
                <w:lang w:val="zh-CN"/>
              </w:rPr>
              <w:t>国产设备：在货物验收合格后七个工作日内，乙方将合同总金额的10%作为履约保证金，以支票形式提交给甲方，甲方支付合同总金额的100%。甲方在验收合格使用半年后7个工作日内，退还乙方的履约保证金。</w:t>
            </w:r>
          </w:p>
          <w:p>
            <w:pPr>
              <w:adjustRightInd w:val="0"/>
              <w:snapToGrid w:val="0"/>
              <w:jc w:val="left"/>
              <w:rPr>
                <w:rFonts w:hint="eastAsia" w:ascii="宋体" w:hAnsi="宋体" w:eastAsia="宋体" w:cs="宋体"/>
                <w:color w:val="000000"/>
                <w:szCs w:val="21"/>
                <w:lang w:val="zh-CN"/>
              </w:rPr>
            </w:pPr>
            <w:r>
              <w:rPr>
                <w:rFonts w:hint="eastAsia" w:ascii="宋体" w:hAnsi="宋体" w:eastAsia="宋体" w:cs="宋体"/>
                <w:color w:val="000000"/>
                <w:szCs w:val="21"/>
                <w:lang w:val="zh-CN"/>
              </w:rPr>
              <w:t>进口设备：采用信用证付款方式（L/C）。甲乙双方签订本协议后，乙方按照签订协议当天的汇率，将协议价款10%支付至学校财务基本账户（设备验收合格后一个月退回乙方）。甲方委托的外贸代理公司与乙方委托的境外供货商签订外贸进口合同后，甲方外贸代理公司开具100%信用证，见单即付。</w:t>
            </w:r>
          </w:p>
        </w:tc>
      </w:tr>
    </w:tbl>
    <w:p>
      <w:pPr>
        <w:rPr>
          <w:rFonts w:hint="eastAsia" w:ascii="宋体" w:hAnsi="宋体" w:eastAsia="宋体" w:cs="宋体"/>
          <w:sz w:val="28"/>
          <w:szCs w:val="28"/>
        </w:rPr>
      </w:pPr>
      <w:r>
        <w:rPr>
          <w:rFonts w:hint="eastAsia" w:ascii="宋体" w:hAnsi="宋体" w:eastAsia="宋体" w:cs="宋体"/>
          <w:sz w:val="28"/>
          <w:szCs w:val="28"/>
        </w:rPr>
        <w:br w:type="page"/>
      </w:r>
    </w:p>
    <w:p>
      <w:pPr>
        <w:spacing w:line="276" w:lineRule="auto"/>
        <w:jc w:val="center"/>
        <w:outlineLvl w:val="0"/>
        <w:rPr>
          <w:rFonts w:hint="eastAsia" w:ascii="宋体" w:hAnsi="宋体" w:eastAsia="宋体" w:cs="宋体"/>
          <w:sz w:val="28"/>
          <w:szCs w:val="28"/>
        </w:rPr>
      </w:pPr>
      <w:r>
        <w:rPr>
          <w:rFonts w:hint="eastAsia" w:ascii="宋体" w:hAnsi="宋体" w:eastAsia="宋体" w:cs="宋体"/>
          <w:sz w:val="28"/>
          <w:szCs w:val="28"/>
        </w:rPr>
        <w:t>第四章  资格审查方法及标准</w:t>
      </w:r>
      <w:bookmarkEnd w:id="64"/>
      <w:bookmarkEnd w:id="65"/>
    </w:p>
    <w:p>
      <w:pPr>
        <w:spacing w:line="276" w:lineRule="auto"/>
        <w:ind w:firstLine="420"/>
        <w:rPr>
          <w:rFonts w:hint="eastAsia" w:ascii="宋体" w:hAnsi="宋体" w:eastAsia="宋体" w:cs="宋体"/>
          <w:bCs/>
          <w:color w:val="0D0D0D"/>
          <w:szCs w:val="21"/>
          <w:lang w:val="zh-CN"/>
        </w:rPr>
      </w:pPr>
      <w:r>
        <w:rPr>
          <w:rFonts w:hint="eastAsia" w:ascii="宋体" w:hAnsi="宋体" w:eastAsia="宋体" w:cs="宋体"/>
          <w:bCs/>
          <w:color w:val="0D0D0D"/>
          <w:szCs w:val="21"/>
          <w:lang w:val="zh-CN"/>
        </w:rPr>
        <w:t>根据《政府采购法》、《政府采购法实施条例》、《政府采购货物和服务招标投标管理办法》等相关法律法规确定以下资格审查方法及标准。</w:t>
      </w:r>
    </w:p>
    <w:p>
      <w:pPr>
        <w:keepNext/>
        <w:keepLines/>
        <w:numPr>
          <w:ilvl w:val="0"/>
          <w:numId w:val="86"/>
        </w:numPr>
        <w:spacing w:line="276" w:lineRule="auto"/>
        <w:ind w:left="616" w:hanging="616"/>
        <w:jc w:val="left"/>
        <w:outlineLvl w:val="1"/>
        <w:rPr>
          <w:rFonts w:hint="eastAsia" w:ascii="宋体" w:hAnsi="宋体" w:eastAsia="宋体" w:cs="宋体"/>
          <w:b/>
          <w:kern w:val="0"/>
          <w:szCs w:val="21"/>
          <w:lang w:val="zh-CN"/>
        </w:rPr>
      </w:pPr>
      <w:bookmarkStart w:id="66" w:name="_Toc97815015"/>
      <w:bookmarkStart w:id="67" w:name="_Toc494561958"/>
      <w:bookmarkStart w:id="68" w:name="_Toc18592"/>
      <w:r>
        <w:rPr>
          <w:rFonts w:hint="eastAsia" w:ascii="宋体" w:hAnsi="宋体" w:eastAsia="宋体" w:cs="宋体"/>
          <w:b/>
          <w:kern w:val="0"/>
          <w:szCs w:val="21"/>
          <w:lang w:val="zh-CN"/>
        </w:rPr>
        <w:t>资格审查方法</w:t>
      </w:r>
      <w:bookmarkEnd w:id="66"/>
      <w:bookmarkEnd w:id="67"/>
      <w:bookmarkEnd w:id="68"/>
    </w:p>
    <w:p>
      <w:pPr>
        <w:spacing w:line="276" w:lineRule="auto"/>
        <w:ind w:firstLine="420"/>
        <w:rPr>
          <w:rFonts w:hint="eastAsia" w:ascii="宋体" w:hAnsi="宋体" w:eastAsia="宋体" w:cs="宋体"/>
          <w:bCs/>
          <w:color w:val="0D0D0D"/>
          <w:szCs w:val="21"/>
          <w:lang w:val="zh-CN"/>
        </w:rPr>
      </w:pPr>
      <w:r>
        <w:rPr>
          <w:rFonts w:hint="eastAsia" w:ascii="宋体" w:hAnsi="宋体" w:eastAsia="宋体" w:cs="宋体"/>
          <w:bCs/>
          <w:color w:val="0D0D0D"/>
          <w:szCs w:val="21"/>
          <w:lang w:val="zh-CN"/>
        </w:rPr>
        <w:t>开标结束后，采购人与采购代理机构成立资格审查小组，依据法律、法规及招标文件的规定，对投标人的资格进行审查，具体评审因素详见《资格审查表》。</w:t>
      </w:r>
    </w:p>
    <w:p>
      <w:pPr>
        <w:keepNext/>
        <w:keepLines/>
        <w:numPr>
          <w:ilvl w:val="0"/>
          <w:numId w:val="86"/>
        </w:numPr>
        <w:spacing w:line="276" w:lineRule="auto"/>
        <w:ind w:left="616" w:hanging="616"/>
        <w:jc w:val="left"/>
        <w:outlineLvl w:val="1"/>
        <w:rPr>
          <w:rFonts w:hint="eastAsia" w:ascii="宋体" w:hAnsi="宋体" w:eastAsia="宋体" w:cs="宋体"/>
          <w:b/>
          <w:kern w:val="0"/>
          <w:szCs w:val="21"/>
          <w:lang w:val="zh-CN"/>
        </w:rPr>
      </w:pPr>
      <w:bookmarkStart w:id="69" w:name="_Toc494561959"/>
      <w:bookmarkStart w:id="70" w:name="_Toc16062"/>
      <w:bookmarkStart w:id="71" w:name="_Toc97815016"/>
      <w:r>
        <w:rPr>
          <w:rFonts w:hint="eastAsia" w:ascii="宋体" w:hAnsi="宋体" w:eastAsia="宋体" w:cs="宋体"/>
          <w:b/>
          <w:kern w:val="0"/>
          <w:szCs w:val="21"/>
          <w:lang w:val="zh-CN"/>
        </w:rPr>
        <w:t>资格审查</w:t>
      </w:r>
      <w:bookmarkEnd w:id="69"/>
      <w:r>
        <w:rPr>
          <w:rFonts w:hint="eastAsia" w:ascii="宋体" w:hAnsi="宋体" w:eastAsia="宋体" w:cs="宋体"/>
          <w:b/>
          <w:kern w:val="0"/>
          <w:szCs w:val="21"/>
          <w:lang w:val="zh-CN"/>
        </w:rPr>
        <w:t>表</w:t>
      </w:r>
      <w:bookmarkEnd w:id="70"/>
      <w:bookmarkEnd w:id="71"/>
    </w:p>
    <w:tbl>
      <w:tblPr>
        <w:tblStyle w:val="27"/>
        <w:tblW w:w="966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50"/>
        <w:gridCol w:w="3686"/>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616"/>
              </w:tabs>
              <w:spacing w:line="276" w:lineRule="auto"/>
              <w:jc w:val="center"/>
              <w:rPr>
                <w:rFonts w:hint="eastAsia" w:ascii="宋体" w:hAnsi="宋体" w:eastAsia="宋体" w:cs="宋体"/>
                <w:b/>
                <w:color w:val="0D0D0D"/>
                <w:kern w:val="0"/>
                <w:sz w:val="18"/>
                <w:szCs w:val="18"/>
                <w:lang w:val="zh-CN"/>
              </w:rPr>
            </w:pPr>
            <w:r>
              <w:rPr>
                <w:rFonts w:hint="eastAsia" w:ascii="宋体" w:hAnsi="宋体" w:eastAsia="宋体" w:cs="宋体"/>
                <w:b/>
                <w:color w:val="0D0D0D"/>
                <w:kern w:val="0"/>
                <w:sz w:val="18"/>
                <w:szCs w:val="18"/>
                <w:lang w:val="zh-CN"/>
              </w:rPr>
              <w:t>序号</w:t>
            </w:r>
          </w:p>
        </w:tc>
        <w:tc>
          <w:tcPr>
            <w:tcW w:w="4536" w:type="dxa"/>
            <w:gridSpan w:val="2"/>
            <w:vAlign w:val="center"/>
          </w:tcPr>
          <w:p>
            <w:pPr>
              <w:adjustRightInd w:val="0"/>
              <w:snapToGrid w:val="0"/>
              <w:spacing w:line="276" w:lineRule="auto"/>
              <w:jc w:val="center"/>
              <w:rPr>
                <w:rFonts w:hint="eastAsia" w:ascii="宋体" w:hAnsi="宋体" w:eastAsia="宋体" w:cs="宋体"/>
                <w:b/>
                <w:color w:val="0D0D0D"/>
                <w:kern w:val="0"/>
                <w:sz w:val="18"/>
                <w:szCs w:val="18"/>
                <w:lang w:val="zh-CN"/>
              </w:rPr>
            </w:pPr>
            <w:r>
              <w:rPr>
                <w:rFonts w:hint="eastAsia" w:ascii="宋体" w:hAnsi="宋体" w:eastAsia="宋体" w:cs="宋体"/>
                <w:b/>
                <w:color w:val="0D0D0D"/>
                <w:kern w:val="0"/>
                <w:sz w:val="18"/>
                <w:szCs w:val="18"/>
                <w:lang w:val="zh-CN"/>
              </w:rPr>
              <w:t>资格要求</w:t>
            </w:r>
          </w:p>
        </w:tc>
        <w:tc>
          <w:tcPr>
            <w:tcW w:w="4394" w:type="dxa"/>
            <w:vAlign w:val="center"/>
          </w:tcPr>
          <w:p>
            <w:pPr>
              <w:tabs>
                <w:tab w:val="left" w:pos="616"/>
              </w:tabs>
              <w:jc w:val="center"/>
              <w:rPr>
                <w:rFonts w:hint="eastAsia" w:ascii="宋体" w:hAnsi="宋体" w:eastAsia="宋体" w:cs="宋体"/>
                <w:b/>
                <w:color w:val="0D0D0D"/>
                <w:kern w:val="0"/>
                <w:sz w:val="18"/>
                <w:szCs w:val="18"/>
                <w:lang w:val="zh-CN"/>
              </w:rPr>
            </w:pPr>
            <w:r>
              <w:rPr>
                <w:rFonts w:hint="eastAsia" w:ascii="宋体" w:hAnsi="宋体" w:eastAsia="宋体" w:cs="宋体"/>
                <w:b/>
                <w:color w:val="0D0D0D"/>
                <w:kern w:val="0"/>
                <w:sz w:val="18"/>
                <w:szCs w:val="18"/>
                <w:lang w:val="zh-CN"/>
              </w:rPr>
              <w:t>需提供的资料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Merge w:val="restart"/>
            <w:vAlign w:val="center"/>
          </w:tcPr>
          <w:p>
            <w:pPr>
              <w:tabs>
                <w:tab w:val="left" w:pos="616"/>
              </w:tabs>
              <w:spacing w:line="276" w:lineRule="auto"/>
              <w:jc w:val="center"/>
              <w:rPr>
                <w:rFonts w:hint="eastAsia" w:ascii="宋体" w:hAnsi="宋体" w:eastAsia="宋体" w:cs="宋体"/>
                <w:color w:val="0D0D0D"/>
                <w:kern w:val="0"/>
                <w:sz w:val="18"/>
                <w:szCs w:val="18"/>
                <w:lang w:val="zh-CN"/>
              </w:rPr>
            </w:pPr>
            <w:r>
              <w:rPr>
                <w:rFonts w:hint="eastAsia" w:ascii="宋体" w:hAnsi="宋体" w:eastAsia="宋体" w:cs="宋体"/>
                <w:color w:val="0D0D0D"/>
                <w:kern w:val="0"/>
                <w:sz w:val="18"/>
                <w:szCs w:val="18"/>
                <w:lang w:val="zh-CN"/>
              </w:rPr>
              <w:t>1</w:t>
            </w:r>
          </w:p>
        </w:tc>
        <w:tc>
          <w:tcPr>
            <w:tcW w:w="850" w:type="dxa"/>
            <w:vMerge w:val="restart"/>
            <w:vAlign w:val="center"/>
          </w:tcPr>
          <w:p>
            <w:pPr>
              <w:tabs>
                <w:tab w:val="left" w:pos="616"/>
              </w:tabs>
              <w:spacing w:line="276" w:lineRule="auto"/>
              <w:rPr>
                <w:rFonts w:hint="eastAsia" w:ascii="宋体" w:hAnsi="宋体" w:eastAsia="宋体" w:cs="宋体"/>
                <w:kern w:val="0"/>
                <w:sz w:val="18"/>
                <w:szCs w:val="18"/>
                <w:lang w:val="zh-CN"/>
              </w:rPr>
            </w:pPr>
            <w:r>
              <w:rPr>
                <w:rFonts w:hint="eastAsia" w:ascii="宋体" w:hAnsi="宋体" w:eastAsia="宋体" w:cs="宋体"/>
                <w:kern w:val="0"/>
                <w:sz w:val="18"/>
                <w:szCs w:val="18"/>
                <w:lang w:val="zh-CN"/>
              </w:rPr>
              <w:t>符合《政府采购法》第二十二条的规定</w:t>
            </w:r>
          </w:p>
        </w:tc>
        <w:tc>
          <w:tcPr>
            <w:tcW w:w="3686" w:type="dxa"/>
            <w:vAlign w:val="center"/>
          </w:tcPr>
          <w:p>
            <w:pPr>
              <w:adjustRightInd w:val="0"/>
              <w:snapToGrid w:val="0"/>
              <w:spacing w:line="276" w:lineRule="auto"/>
              <w:jc w:val="left"/>
              <w:rPr>
                <w:rFonts w:hint="eastAsia" w:ascii="宋体" w:hAnsi="宋体" w:eastAsia="宋体" w:cs="宋体"/>
                <w:kern w:val="0"/>
                <w:sz w:val="18"/>
                <w:szCs w:val="18"/>
              </w:rPr>
            </w:pPr>
            <w:r>
              <w:rPr>
                <w:rFonts w:hint="eastAsia" w:ascii="宋体" w:hAnsi="宋体" w:eastAsia="宋体" w:cs="宋体"/>
                <w:kern w:val="0"/>
                <w:sz w:val="18"/>
                <w:szCs w:val="18"/>
              </w:rPr>
              <w:t>1.1 具有独立承担民事责任的能力；</w:t>
            </w:r>
          </w:p>
        </w:tc>
        <w:tc>
          <w:tcPr>
            <w:tcW w:w="4394" w:type="dxa"/>
            <w:vAlign w:val="top"/>
          </w:tcPr>
          <w:p>
            <w:pPr>
              <w:numPr>
                <w:ilvl w:val="0"/>
                <w:numId w:val="87"/>
              </w:numPr>
              <w:rPr>
                <w:rFonts w:hint="eastAsia" w:ascii="宋体" w:hAnsi="宋体" w:eastAsia="宋体" w:cs="宋体"/>
                <w:kern w:val="0"/>
                <w:sz w:val="18"/>
                <w:szCs w:val="18"/>
              </w:rPr>
            </w:pPr>
            <w:r>
              <w:rPr>
                <w:rFonts w:hint="eastAsia" w:ascii="宋体" w:hAnsi="宋体" w:eastAsia="宋体" w:cs="宋体"/>
                <w:kern w:val="0"/>
                <w:sz w:val="18"/>
                <w:szCs w:val="18"/>
              </w:rPr>
              <w:t>企业（包括合伙企业）提供有效“企业法人营业执照”或“营业执照”；</w:t>
            </w:r>
          </w:p>
          <w:p>
            <w:pPr>
              <w:numPr>
                <w:ilvl w:val="0"/>
                <w:numId w:val="87"/>
              </w:numPr>
              <w:rPr>
                <w:rFonts w:hint="eastAsia" w:ascii="宋体" w:hAnsi="宋体" w:eastAsia="宋体" w:cs="宋体"/>
                <w:kern w:val="0"/>
                <w:sz w:val="18"/>
                <w:szCs w:val="18"/>
              </w:rPr>
            </w:pPr>
            <w:r>
              <w:rPr>
                <w:rFonts w:hint="eastAsia" w:ascii="宋体" w:hAnsi="宋体" w:eastAsia="宋体" w:cs="宋体"/>
                <w:kern w:val="0"/>
                <w:sz w:val="18"/>
                <w:szCs w:val="18"/>
              </w:rPr>
              <w:t>事业单位提供有效的“事业单位法人证书”；</w:t>
            </w:r>
          </w:p>
          <w:p>
            <w:pPr>
              <w:numPr>
                <w:ilvl w:val="0"/>
                <w:numId w:val="87"/>
              </w:numPr>
              <w:rPr>
                <w:rFonts w:hint="eastAsia" w:ascii="宋体" w:hAnsi="宋体" w:eastAsia="宋体" w:cs="宋体"/>
                <w:kern w:val="0"/>
                <w:sz w:val="18"/>
                <w:szCs w:val="18"/>
              </w:rPr>
            </w:pPr>
            <w:r>
              <w:rPr>
                <w:rFonts w:hint="eastAsia" w:ascii="宋体" w:hAnsi="宋体" w:eastAsia="宋体" w:cs="宋体"/>
                <w:kern w:val="0"/>
                <w:sz w:val="18"/>
                <w:szCs w:val="18"/>
              </w:rPr>
              <w:t>非企业专业服务机构提供有效的“执业许可证”等证明文件；</w:t>
            </w:r>
          </w:p>
          <w:p>
            <w:pPr>
              <w:numPr>
                <w:ilvl w:val="0"/>
                <w:numId w:val="87"/>
              </w:numPr>
              <w:rPr>
                <w:rFonts w:hint="eastAsia" w:ascii="宋体" w:hAnsi="宋体" w:eastAsia="宋体" w:cs="宋体"/>
                <w:kern w:val="0"/>
                <w:sz w:val="18"/>
                <w:szCs w:val="18"/>
              </w:rPr>
            </w:pPr>
            <w:r>
              <w:rPr>
                <w:rFonts w:hint="eastAsia" w:ascii="宋体" w:hAnsi="宋体" w:eastAsia="宋体" w:cs="宋体"/>
                <w:kern w:val="0"/>
                <w:sz w:val="18"/>
                <w:szCs w:val="18"/>
              </w:rPr>
              <w:t>个体工商户提供有效的“个体工商户营业执照”；</w:t>
            </w:r>
          </w:p>
          <w:p>
            <w:pPr>
              <w:numPr>
                <w:ilvl w:val="0"/>
                <w:numId w:val="87"/>
              </w:numPr>
              <w:rPr>
                <w:rFonts w:hint="eastAsia" w:ascii="宋体" w:hAnsi="宋体" w:eastAsia="宋体" w:cs="宋体"/>
                <w:kern w:val="0"/>
                <w:sz w:val="18"/>
                <w:szCs w:val="18"/>
                <w:lang w:val="zh-CN"/>
              </w:rPr>
            </w:pPr>
            <w:r>
              <w:rPr>
                <w:rFonts w:hint="eastAsia" w:ascii="宋体" w:hAnsi="宋体" w:eastAsia="宋体" w:cs="宋体"/>
                <w:kern w:val="0"/>
                <w:sz w:val="18"/>
                <w:szCs w:val="18"/>
              </w:rPr>
              <w:t>自然人提供有效的自然人身份证明。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Merge w:val="continue"/>
            <w:vAlign w:val="center"/>
          </w:tcPr>
          <w:p>
            <w:pPr>
              <w:tabs>
                <w:tab w:val="left" w:pos="616"/>
              </w:tabs>
              <w:spacing w:line="276" w:lineRule="auto"/>
              <w:jc w:val="center"/>
              <w:rPr>
                <w:rFonts w:hint="eastAsia" w:ascii="宋体" w:hAnsi="宋体" w:eastAsia="宋体" w:cs="宋体"/>
                <w:color w:val="0D0D0D"/>
                <w:kern w:val="0"/>
                <w:sz w:val="18"/>
                <w:szCs w:val="18"/>
                <w:lang w:val="zh-CN"/>
              </w:rPr>
            </w:pPr>
          </w:p>
        </w:tc>
        <w:tc>
          <w:tcPr>
            <w:tcW w:w="850" w:type="dxa"/>
            <w:vMerge w:val="continue"/>
            <w:vAlign w:val="top"/>
          </w:tcPr>
          <w:p>
            <w:pPr>
              <w:tabs>
                <w:tab w:val="left" w:pos="616"/>
              </w:tabs>
              <w:spacing w:line="276" w:lineRule="auto"/>
              <w:rPr>
                <w:rFonts w:hint="eastAsia" w:ascii="宋体" w:hAnsi="宋体" w:eastAsia="宋体" w:cs="宋体"/>
                <w:kern w:val="0"/>
                <w:sz w:val="18"/>
                <w:szCs w:val="18"/>
                <w:lang w:val="zh-CN"/>
              </w:rPr>
            </w:pPr>
          </w:p>
        </w:tc>
        <w:tc>
          <w:tcPr>
            <w:tcW w:w="3686" w:type="dxa"/>
            <w:vAlign w:val="center"/>
          </w:tcPr>
          <w:p>
            <w:pPr>
              <w:widowControl/>
              <w:adjustRightInd w:val="0"/>
              <w:snapToGrid w:val="0"/>
              <w:spacing w:line="276" w:lineRule="auto"/>
              <w:rPr>
                <w:rFonts w:hint="eastAsia" w:ascii="宋体" w:hAnsi="宋体" w:eastAsia="宋体" w:cs="宋体"/>
                <w:kern w:val="0"/>
                <w:sz w:val="18"/>
                <w:szCs w:val="18"/>
              </w:rPr>
            </w:pPr>
            <w:r>
              <w:rPr>
                <w:rFonts w:hint="eastAsia" w:ascii="宋体" w:hAnsi="宋体" w:eastAsia="宋体" w:cs="宋体"/>
                <w:kern w:val="0"/>
                <w:sz w:val="18"/>
                <w:szCs w:val="18"/>
              </w:rPr>
              <w:t>1.2 具有良好的商业信誉和健全的财务会计制度；</w:t>
            </w:r>
          </w:p>
        </w:tc>
        <w:tc>
          <w:tcPr>
            <w:tcW w:w="4394" w:type="dxa"/>
            <w:vAlign w:val="top"/>
          </w:tcPr>
          <w:p>
            <w:pPr>
              <w:numPr>
                <w:ilvl w:val="0"/>
                <w:numId w:val="88"/>
              </w:numPr>
              <w:rPr>
                <w:rFonts w:hint="eastAsia" w:ascii="宋体" w:hAnsi="宋体" w:eastAsia="宋体" w:cs="宋体"/>
                <w:kern w:val="0"/>
                <w:sz w:val="18"/>
                <w:szCs w:val="18"/>
              </w:rPr>
            </w:pPr>
            <w:r>
              <w:rPr>
                <w:rFonts w:hint="eastAsia" w:ascii="宋体" w:hAnsi="宋体" w:eastAsia="宋体" w:cs="宋体"/>
                <w:kern w:val="0"/>
                <w:sz w:val="18"/>
                <w:szCs w:val="18"/>
              </w:rPr>
              <w:t>投标人是法人的，应提供经第三方审计的财务报告（完整的财务报告，包括“三/四表一注”，即资产负债表、利润表、现金流量表、所有者权益变动表（如有）及其附注）；</w:t>
            </w:r>
          </w:p>
          <w:p>
            <w:pPr>
              <w:numPr>
                <w:ilvl w:val="0"/>
                <w:numId w:val="88"/>
              </w:numPr>
              <w:rPr>
                <w:rFonts w:hint="eastAsia" w:ascii="宋体" w:hAnsi="宋体" w:eastAsia="宋体" w:cs="宋体"/>
                <w:kern w:val="0"/>
                <w:sz w:val="18"/>
                <w:szCs w:val="18"/>
              </w:rPr>
            </w:pPr>
            <w:r>
              <w:rPr>
                <w:rFonts w:hint="eastAsia" w:ascii="宋体" w:hAnsi="宋体" w:eastAsia="宋体" w:cs="宋体"/>
                <w:kern w:val="0"/>
                <w:sz w:val="18"/>
                <w:szCs w:val="18"/>
              </w:rPr>
              <w:t>或其基本开户银行出具的资信证明；</w:t>
            </w:r>
          </w:p>
          <w:p>
            <w:pPr>
              <w:numPr>
                <w:ilvl w:val="0"/>
                <w:numId w:val="88"/>
              </w:numPr>
              <w:rPr>
                <w:rFonts w:hint="eastAsia" w:ascii="宋体" w:hAnsi="宋体" w:eastAsia="宋体" w:cs="宋体"/>
                <w:kern w:val="0"/>
                <w:sz w:val="18"/>
                <w:szCs w:val="18"/>
              </w:rPr>
            </w:pPr>
            <w:r>
              <w:rPr>
                <w:rFonts w:hint="eastAsia" w:ascii="宋体" w:hAnsi="宋体" w:eastAsia="宋体" w:cs="宋体"/>
                <w:kern w:val="0"/>
                <w:sz w:val="18"/>
                <w:szCs w:val="18"/>
              </w:rPr>
              <w:t>其他组织和自然人没有经第三方审计的财务报告的，可以提供银行出具的资信证明；</w:t>
            </w:r>
          </w:p>
          <w:p>
            <w:pPr>
              <w:numPr>
                <w:ilvl w:val="0"/>
                <w:numId w:val="88"/>
              </w:numPr>
              <w:rPr>
                <w:rFonts w:hint="eastAsia" w:ascii="宋体" w:hAnsi="宋体" w:eastAsia="宋体" w:cs="宋体"/>
                <w:kern w:val="0"/>
                <w:sz w:val="18"/>
                <w:szCs w:val="18"/>
                <w:lang w:val="zh-CN"/>
              </w:rPr>
            </w:pPr>
            <w:r>
              <w:rPr>
                <w:rFonts w:hint="eastAsia" w:ascii="宋体" w:hAnsi="宋体" w:eastAsia="宋体" w:cs="宋体"/>
                <w:kern w:val="0"/>
                <w:sz w:val="18"/>
                <w:szCs w:val="18"/>
              </w:rPr>
              <w:t>投标人没有经第三方审计的财务报告和资信证明时，也可以提供财政部门认可的政府采购专业担保机构出具的投标担保函</w:t>
            </w:r>
            <w:r>
              <w:rPr>
                <w:rFonts w:hint="eastAsia" w:ascii="宋体" w:hAnsi="宋体" w:eastAsia="宋体" w:cs="宋体"/>
                <w:kern w:val="0"/>
                <w:sz w:val="20"/>
                <w:szCs w:val="21"/>
                <w:lang w:val="zh-CN"/>
              </w:rPr>
              <w:t>。</w:t>
            </w:r>
          </w:p>
          <w:p>
            <w:pPr>
              <w:numPr>
                <w:ilvl w:val="0"/>
                <w:numId w:val="88"/>
              </w:numPr>
              <w:rPr>
                <w:rFonts w:hint="eastAsia" w:ascii="宋体" w:hAnsi="宋体" w:eastAsia="宋体" w:cs="宋体"/>
                <w:kern w:val="0"/>
                <w:sz w:val="18"/>
                <w:szCs w:val="18"/>
                <w:lang w:val="zh-CN"/>
              </w:rPr>
            </w:pPr>
            <w:r>
              <w:rPr>
                <w:rFonts w:hint="eastAsia" w:ascii="宋体" w:hAnsi="宋体" w:eastAsia="宋体" w:cs="宋体"/>
                <w:kern w:val="0"/>
                <w:sz w:val="18"/>
                <w:szCs w:val="18"/>
              </w:rPr>
              <w:t>或提供相应的承诺函。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Merge w:val="continue"/>
            <w:vAlign w:val="center"/>
          </w:tcPr>
          <w:p>
            <w:pPr>
              <w:tabs>
                <w:tab w:val="left" w:pos="616"/>
              </w:tabs>
              <w:spacing w:line="276" w:lineRule="auto"/>
              <w:jc w:val="center"/>
              <w:rPr>
                <w:rFonts w:hint="eastAsia" w:ascii="宋体" w:hAnsi="宋体" w:eastAsia="宋体" w:cs="宋体"/>
                <w:b/>
                <w:color w:val="0D0D0D"/>
                <w:kern w:val="0"/>
                <w:sz w:val="18"/>
                <w:szCs w:val="18"/>
                <w:lang w:val="zh-CN"/>
              </w:rPr>
            </w:pPr>
          </w:p>
        </w:tc>
        <w:tc>
          <w:tcPr>
            <w:tcW w:w="850" w:type="dxa"/>
            <w:vMerge w:val="continue"/>
            <w:vAlign w:val="top"/>
          </w:tcPr>
          <w:p>
            <w:pPr>
              <w:tabs>
                <w:tab w:val="left" w:pos="616"/>
              </w:tabs>
              <w:spacing w:line="276" w:lineRule="auto"/>
              <w:rPr>
                <w:rFonts w:hint="eastAsia" w:ascii="宋体" w:hAnsi="宋体" w:eastAsia="宋体" w:cs="宋体"/>
                <w:b/>
                <w:kern w:val="0"/>
                <w:sz w:val="18"/>
                <w:szCs w:val="18"/>
                <w:lang w:val="zh-CN"/>
              </w:rPr>
            </w:pPr>
          </w:p>
        </w:tc>
        <w:tc>
          <w:tcPr>
            <w:tcW w:w="3686" w:type="dxa"/>
            <w:vAlign w:val="center"/>
          </w:tcPr>
          <w:p>
            <w:pPr>
              <w:adjustRightInd w:val="0"/>
              <w:snapToGrid w:val="0"/>
              <w:spacing w:line="276" w:lineRule="auto"/>
              <w:jc w:val="left"/>
              <w:rPr>
                <w:rFonts w:hint="eastAsia" w:ascii="宋体" w:hAnsi="宋体" w:eastAsia="宋体" w:cs="宋体"/>
                <w:kern w:val="0"/>
                <w:sz w:val="18"/>
                <w:szCs w:val="18"/>
              </w:rPr>
            </w:pPr>
            <w:r>
              <w:rPr>
                <w:rFonts w:hint="eastAsia" w:ascii="宋体" w:hAnsi="宋体" w:eastAsia="宋体" w:cs="宋体"/>
                <w:kern w:val="0"/>
                <w:sz w:val="18"/>
                <w:szCs w:val="18"/>
              </w:rPr>
              <w:t>1.3 具有履行合同所必需的设备和专业技术能力；</w:t>
            </w:r>
          </w:p>
        </w:tc>
        <w:tc>
          <w:tcPr>
            <w:tcW w:w="4394" w:type="dxa"/>
            <w:vAlign w:val="top"/>
          </w:tcPr>
          <w:p>
            <w:pPr>
              <w:numPr>
                <w:ilvl w:val="0"/>
                <w:numId w:val="89"/>
              </w:numPr>
              <w:rPr>
                <w:rFonts w:hint="eastAsia" w:ascii="宋体" w:hAnsi="宋体" w:eastAsia="宋体" w:cs="宋体"/>
                <w:kern w:val="0"/>
                <w:sz w:val="18"/>
                <w:szCs w:val="18"/>
              </w:rPr>
            </w:pPr>
            <w:r>
              <w:rPr>
                <w:rFonts w:hint="eastAsia" w:ascii="宋体" w:hAnsi="宋体" w:eastAsia="宋体" w:cs="宋体"/>
                <w:kern w:val="0"/>
                <w:sz w:val="18"/>
                <w:szCs w:val="18"/>
                <w:lang w:val="zh-CN"/>
              </w:rPr>
              <w:t>提</w:t>
            </w:r>
            <w:r>
              <w:rPr>
                <w:rFonts w:hint="eastAsia" w:ascii="宋体" w:hAnsi="宋体" w:eastAsia="宋体" w:cs="宋体"/>
                <w:kern w:val="0"/>
                <w:sz w:val="18"/>
                <w:szCs w:val="18"/>
              </w:rPr>
              <w:t>供具备足够数量的设施设备的证明材料；</w:t>
            </w:r>
          </w:p>
          <w:p>
            <w:pPr>
              <w:numPr>
                <w:ilvl w:val="0"/>
                <w:numId w:val="89"/>
              </w:numPr>
              <w:rPr>
                <w:rFonts w:hint="eastAsia" w:ascii="宋体" w:hAnsi="宋体" w:eastAsia="宋体" w:cs="宋体"/>
                <w:kern w:val="0"/>
                <w:sz w:val="18"/>
                <w:szCs w:val="18"/>
                <w:lang w:val="zh-CN"/>
              </w:rPr>
            </w:pPr>
            <w:r>
              <w:rPr>
                <w:rFonts w:hint="eastAsia" w:ascii="宋体" w:hAnsi="宋体" w:eastAsia="宋体" w:cs="宋体"/>
                <w:kern w:val="0"/>
                <w:sz w:val="18"/>
                <w:szCs w:val="18"/>
              </w:rPr>
              <w:t>提</w:t>
            </w:r>
            <w:r>
              <w:rPr>
                <w:rFonts w:hint="eastAsia" w:ascii="宋体" w:hAnsi="宋体" w:eastAsia="宋体" w:cs="宋体"/>
                <w:kern w:val="0"/>
                <w:sz w:val="18"/>
                <w:szCs w:val="18"/>
                <w:lang w:val="zh-CN"/>
              </w:rPr>
              <w:t>供具备足够数量的技术人员的证明材料。</w:t>
            </w:r>
          </w:p>
          <w:p>
            <w:pPr>
              <w:numPr>
                <w:ilvl w:val="0"/>
                <w:numId w:val="89"/>
              </w:numPr>
              <w:rPr>
                <w:rFonts w:hint="eastAsia" w:ascii="宋体" w:hAnsi="宋体" w:eastAsia="宋体" w:cs="宋体"/>
                <w:kern w:val="0"/>
                <w:sz w:val="18"/>
                <w:szCs w:val="18"/>
                <w:lang w:val="zh-CN"/>
              </w:rPr>
            </w:pPr>
            <w:r>
              <w:rPr>
                <w:rFonts w:hint="eastAsia" w:ascii="宋体" w:hAnsi="宋体" w:eastAsia="宋体" w:cs="宋体"/>
                <w:kern w:val="0"/>
                <w:sz w:val="18"/>
                <w:szCs w:val="18"/>
              </w:rPr>
              <w:t>或提供相应的承诺函。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Merge w:val="continue"/>
            <w:vAlign w:val="center"/>
          </w:tcPr>
          <w:p>
            <w:pPr>
              <w:tabs>
                <w:tab w:val="left" w:pos="616"/>
              </w:tabs>
              <w:spacing w:line="276" w:lineRule="auto"/>
              <w:jc w:val="center"/>
              <w:rPr>
                <w:rFonts w:hint="eastAsia" w:ascii="宋体" w:hAnsi="宋体" w:eastAsia="宋体" w:cs="宋体"/>
                <w:b/>
                <w:color w:val="0D0D0D"/>
                <w:kern w:val="0"/>
                <w:sz w:val="18"/>
                <w:szCs w:val="18"/>
                <w:lang w:val="zh-CN"/>
              </w:rPr>
            </w:pPr>
          </w:p>
        </w:tc>
        <w:tc>
          <w:tcPr>
            <w:tcW w:w="850" w:type="dxa"/>
            <w:vMerge w:val="continue"/>
            <w:vAlign w:val="top"/>
          </w:tcPr>
          <w:p>
            <w:pPr>
              <w:tabs>
                <w:tab w:val="left" w:pos="616"/>
              </w:tabs>
              <w:spacing w:line="276" w:lineRule="auto"/>
              <w:rPr>
                <w:rFonts w:hint="eastAsia" w:ascii="宋体" w:hAnsi="宋体" w:eastAsia="宋体" w:cs="宋体"/>
                <w:b/>
                <w:kern w:val="0"/>
                <w:sz w:val="18"/>
                <w:szCs w:val="18"/>
                <w:lang w:val="zh-CN"/>
              </w:rPr>
            </w:pPr>
          </w:p>
        </w:tc>
        <w:tc>
          <w:tcPr>
            <w:tcW w:w="3686" w:type="dxa"/>
            <w:vAlign w:val="center"/>
          </w:tcPr>
          <w:p>
            <w:pPr>
              <w:widowControl/>
              <w:adjustRightInd w:val="0"/>
              <w:snapToGrid w:val="0"/>
              <w:spacing w:line="276" w:lineRule="auto"/>
              <w:rPr>
                <w:rFonts w:hint="eastAsia" w:ascii="宋体" w:hAnsi="宋体" w:eastAsia="宋体" w:cs="宋体"/>
                <w:kern w:val="0"/>
                <w:sz w:val="18"/>
                <w:szCs w:val="18"/>
              </w:rPr>
            </w:pPr>
            <w:r>
              <w:rPr>
                <w:rFonts w:hint="eastAsia" w:ascii="宋体" w:hAnsi="宋体" w:eastAsia="宋体" w:cs="宋体"/>
                <w:kern w:val="0"/>
                <w:sz w:val="18"/>
                <w:szCs w:val="18"/>
              </w:rPr>
              <w:t>1.4 有依法缴纳税收和社会保障资金的良好记录；</w:t>
            </w:r>
          </w:p>
        </w:tc>
        <w:tc>
          <w:tcPr>
            <w:tcW w:w="4394" w:type="dxa"/>
            <w:vAlign w:val="top"/>
          </w:tcPr>
          <w:p>
            <w:pPr>
              <w:numPr>
                <w:ilvl w:val="0"/>
                <w:numId w:val="90"/>
              </w:numPr>
              <w:rPr>
                <w:rFonts w:hint="eastAsia" w:ascii="宋体" w:hAnsi="宋体" w:eastAsia="宋体" w:cs="宋体"/>
                <w:kern w:val="0"/>
                <w:sz w:val="18"/>
                <w:szCs w:val="18"/>
              </w:rPr>
            </w:pPr>
            <w:r>
              <w:rPr>
                <w:rFonts w:hint="eastAsia" w:ascii="宋体" w:hAnsi="宋体" w:eastAsia="宋体" w:cs="宋体"/>
                <w:kern w:val="0"/>
                <w:sz w:val="18"/>
                <w:szCs w:val="18"/>
                <w:lang w:val="zh-CN"/>
              </w:rPr>
              <w:t>提供投标人近3个月内任意1个月依法缴纳</w:t>
            </w:r>
            <w:r>
              <w:rPr>
                <w:rFonts w:hint="eastAsia" w:ascii="宋体" w:hAnsi="宋体" w:eastAsia="宋体" w:cs="宋体"/>
                <w:kern w:val="0"/>
                <w:sz w:val="18"/>
                <w:szCs w:val="18"/>
              </w:rPr>
              <w:t>税收的凭据（完税证、缴款书、银行代扣（代缴）转账凭证等均可）；</w:t>
            </w:r>
          </w:p>
          <w:p>
            <w:pPr>
              <w:numPr>
                <w:ilvl w:val="0"/>
                <w:numId w:val="90"/>
              </w:numPr>
              <w:rPr>
                <w:rFonts w:hint="eastAsia" w:ascii="宋体" w:hAnsi="宋体" w:eastAsia="宋体" w:cs="宋体"/>
                <w:kern w:val="0"/>
                <w:sz w:val="18"/>
                <w:szCs w:val="18"/>
              </w:rPr>
            </w:pPr>
            <w:r>
              <w:rPr>
                <w:rFonts w:hint="eastAsia" w:ascii="宋体" w:hAnsi="宋体" w:eastAsia="宋体" w:cs="宋体"/>
                <w:kern w:val="0"/>
                <w:sz w:val="18"/>
                <w:szCs w:val="18"/>
              </w:rPr>
              <w:t>提供投标人</w:t>
            </w:r>
            <w:r>
              <w:rPr>
                <w:rFonts w:hint="eastAsia" w:ascii="宋体" w:hAnsi="宋体" w:eastAsia="宋体" w:cs="宋体"/>
                <w:kern w:val="0"/>
                <w:sz w:val="18"/>
                <w:szCs w:val="18"/>
                <w:lang w:val="zh-CN"/>
              </w:rPr>
              <w:t>近3个月内任意1个月</w:t>
            </w:r>
            <w:r>
              <w:rPr>
                <w:rFonts w:hint="eastAsia" w:ascii="宋体" w:hAnsi="宋体" w:eastAsia="宋体" w:cs="宋体"/>
                <w:kern w:val="0"/>
                <w:sz w:val="18"/>
                <w:szCs w:val="18"/>
              </w:rPr>
              <w:t>依法缴纳社会保障资金的凭据（专用收据、银行代扣（代缴）转账凭证或社会保险交纳清单）；</w:t>
            </w:r>
          </w:p>
          <w:p>
            <w:pPr>
              <w:numPr>
                <w:ilvl w:val="0"/>
                <w:numId w:val="90"/>
              </w:numPr>
              <w:rPr>
                <w:rFonts w:hint="eastAsia" w:ascii="宋体" w:hAnsi="宋体" w:eastAsia="宋体" w:cs="宋体"/>
                <w:kern w:val="0"/>
                <w:sz w:val="18"/>
                <w:szCs w:val="18"/>
                <w:lang w:val="zh-CN"/>
              </w:rPr>
            </w:pPr>
            <w:r>
              <w:rPr>
                <w:rFonts w:hint="eastAsia" w:ascii="宋体" w:hAnsi="宋体" w:eastAsia="宋体" w:cs="宋体"/>
                <w:kern w:val="0"/>
                <w:sz w:val="18"/>
                <w:szCs w:val="18"/>
              </w:rPr>
              <w:t>依法免税或不需要缴纳社会保障资金的投标人，应提供相应文件证明其依法</w:t>
            </w:r>
            <w:r>
              <w:rPr>
                <w:rFonts w:hint="eastAsia" w:ascii="宋体" w:hAnsi="宋体" w:eastAsia="宋体" w:cs="宋体"/>
                <w:kern w:val="0"/>
                <w:sz w:val="18"/>
                <w:szCs w:val="18"/>
                <w:lang w:val="zh-CN"/>
              </w:rPr>
              <w:t>免税或不需要交纳社会保障资金。</w:t>
            </w:r>
          </w:p>
          <w:p>
            <w:pPr>
              <w:numPr>
                <w:ilvl w:val="0"/>
                <w:numId w:val="90"/>
              </w:numPr>
              <w:rPr>
                <w:rFonts w:hint="eastAsia" w:ascii="宋体" w:hAnsi="宋体" w:eastAsia="宋体" w:cs="宋体"/>
                <w:kern w:val="0"/>
                <w:sz w:val="18"/>
                <w:szCs w:val="18"/>
                <w:lang w:val="zh-CN"/>
              </w:rPr>
            </w:pPr>
            <w:r>
              <w:rPr>
                <w:rFonts w:hint="eastAsia" w:ascii="宋体" w:hAnsi="宋体" w:eastAsia="宋体" w:cs="宋体"/>
                <w:kern w:val="0"/>
                <w:sz w:val="18"/>
                <w:szCs w:val="18"/>
              </w:rPr>
              <w:t>或提供相应的承诺函。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Merge w:val="continue"/>
            <w:vAlign w:val="center"/>
          </w:tcPr>
          <w:p>
            <w:pPr>
              <w:tabs>
                <w:tab w:val="left" w:pos="616"/>
              </w:tabs>
              <w:spacing w:line="276" w:lineRule="auto"/>
              <w:jc w:val="center"/>
              <w:rPr>
                <w:rFonts w:hint="eastAsia" w:ascii="宋体" w:hAnsi="宋体" w:eastAsia="宋体" w:cs="宋体"/>
                <w:b/>
                <w:color w:val="0D0D0D"/>
                <w:kern w:val="0"/>
                <w:sz w:val="18"/>
                <w:szCs w:val="18"/>
                <w:lang w:val="zh-CN"/>
              </w:rPr>
            </w:pPr>
          </w:p>
        </w:tc>
        <w:tc>
          <w:tcPr>
            <w:tcW w:w="850" w:type="dxa"/>
            <w:vMerge w:val="continue"/>
            <w:vAlign w:val="top"/>
          </w:tcPr>
          <w:p>
            <w:pPr>
              <w:tabs>
                <w:tab w:val="left" w:pos="616"/>
              </w:tabs>
              <w:spacing w:line="276" w:lineRule="auto"/>
              <w:rPr>
                <w:rFonts w:hint="eastAsia" w:ascii="宋体" w:hAnsi="宋体" w:eastAsia="宋体" w:cs="宋体"/>
                <w:b/>
                <w:color w:val="0D0D0D"/>
                <w:kern w:val="0"/>
                <w:sz w:val="18"/>
                <w:szCs w:val="18"/>
                <w:lang w:val="zh-CN"/>
              </w:rPr>
            </w:pPr>
          </w:p>
        </w:tc>
        <w:tc>
          <w:tcPr>
            <w:tcW w:w="3686" w:type="dxa"/>
            <w:vAlign w:val="center"/>
          </w:tcPr>
          <w:p>
            <w:pPr>
              <w:adjustRightInd w:val="0"/>
              <w:snapToGrid w:val="0"/>
              <w:spacing w:line="276" w:lineRule="auto"/>
              <w:rPr>
                <w:rFonts w:hint="eastAsia" w:ascii="宋体" w:hAnsi="宋体" w:eastAsia="宋体" w:cs="宋体"/>
                <w:kern w:val="0"/>
                <w:sz w:val="18"/>
                <w:szCs w:val="18"/>
              </w:rPr>
            </w:pPr>
            <w:r>
              <w:rPr>
                <w:rFonts w:hint="eastAsia" w:ascii="宋体" w:hAnsi="宋体" w:eastAsia="宋体" w:cs="宋体"/>
                <w:kern w:val="0"/>
                <w:sz w:val="18"/>
                <w:szCs w:val="18"/>
              </w:rPr>
              <w:t>1.5参加政府采购活动前三年内，在经营活动中没有重大违法记录；</w:t>
            </w:r>
          </w:p>
        </w:tc>
        <w:tc>
          <w:tcPr>
            <w:tcW w:w="4394" w:type="dxa"/>
            <w:vAlign w:val="top"/>
          </w:tcPr>
          <w:p>
            <w:pPr>
              <w:tabs>
                <w:tab w:val="left" w:pos="616"/>
              </w:tabs>
              <w:rPr>
                <w:rFonts w:hint="eastAsia" w:ascii="宋体" w:hAnsi="宋体" w:eastAsia="宋体" w:cs="宋体"/>
                <w:color w:val="0D0D0D"/>
                <w:kern w:val="0"/>
                <w:sz w:val="18"/>
                <w:szCs w:val="18"/>
              </w:rPr>
            </w:pPr>
            <w:r>
              <w:rPr>
                <w:rFonts w:hint="eastAsia" w:ascii="宋体" w:hAnsi="宋体" w:eastAsia="宋体" w:cs="宋体"/>
                <w:color w:val="0D0D0D"/>
                <w:kern w:val="0"/>
                <w:sz w:val="18"/>
                <w:szCs w:val="18"/>
              </w:rPr>
              <w:t>提供无</w:t>
            </w:r>
            <w:r>
              <w:rPr>
                <w:rFonts w:hint="eastAsia" w:ascii="宋体" w:hAnsi="宋体" w:eastAsia="宋体" w:cs="宋体"/>
                <w:kern w:val="0"/>
                <w:sz w:val="18"/>
                <w:szCs w:val="18"/>
              </w:rPr>
              <w:t>重大违法记录声明函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Merge w:val="continue"/>
            <w:vAlign w:val="center"/>
          </w:tcPr>
          <w:p>
            <w:pPr>
              <w:tabs>
                <w:tab w:val="left" w:pos="616"/>
              </w:tabs>
              <w:spacing w:line="276" w:lineRule="auto"/>
              <w:jc w:val="center"/>
              <w:rPr>
                <w:rFonts w:hint="eastAsia" w:ascii="宋体" w:hAnsi="宋体" w:eastAsia="宋体" w:cs="宋体"/>
                <w:b/>
                <w:color w:val="0D0D0D"/>
                <w:kern w:val="0"/>
                <w:sz w:val="18"/>
                <w:szCs w:val="18"/>
              </w:rPr>
            </w:pPr>
          </w:p>
        </w:tc>
        <w:tc>
          <w:tcPr>
            <w:tcW w:w="850" w:type="dxa"/>
            <w:vMerge w:val="continue"/>
            <w:vAlign w:val="top"/>
          </w:tcPr>
          <w:p>
            <w:pPr>
              <w:tabs>
                <w:tab w:val="left" w:pos="616"/>
              </w:tabs>
              <w:spacing w:line="276" w:lineRule="auto"/>
              <w:rPr>
                <w:rFonts w:hint="eastAsia" w:ascii="宋体" w:hAnsi="宋体" w:eastAsia="宋体" w:cs="宋体"/>
                <w:b/>
                <w:color w:val="0D0D0D"/>
                <w:kern w:val="0"/>
                <w:sz w:val="18"/>
                <w:szCs w:val="18"/>
              </w:rPr>
            </w:pPr>
          </w:p>
        </w:tc>
        <w:tc>
          <w:tcPr>
            <w:tcW w:w="3686" w:type="dxa"/>
            <w:vAlign w:val="center"/>
          </w:tcPr>
          <w:p>
            <w:pPr>
              <w:adjustRightInd w:val="0"/>
              <w:snapToGrid w:val="0"/>
              <w:spacing w:line="276" w:lineRule="auto"/>
              <w:rPr>
                <w:rFonts w:hint="eastAsia" w:ascii="宋体" w:hAnsi="宋体" w:eastAsia="宋体" w:cs="宋体"/>
                <w:kern w:val="0"/>
                <w:sz w:val="18"/>
                <w:szCs w:val="18"/>
              </w:rPr>
            </w:pPr>
            <w:r>
              <w:rPr>
                <w:rFonts w:hint="eastAsia" w:ascii="宋体" w:hAnsi="宋体" w:eastAsia="宋体" w:cs="宋体"/>
                <w:kern w:val="0"/>
                <w:sz w:val="18"/>
                <w:szCs w:val="18"/>
              </w:rPr>
              <w:t>1.6 法律、行政法规规定的其他条件。</w:t>
            </w:r>
          </w:p>
        </w:tc>
        <w:tc>
          <w:tcPr>
            <w:tcW w:w="4394" w:type="dxa"/>
            <w:vAlign w:val="top"/>
          </w:tcPr>
          <w:p>
            <w:pPr>
              <w:tabs>
                <w:tab w:val="left" w:pos="616"/>
              </w:tabs>
              <w:rPr>
                <w:rFonts w:hint="eastAsia" w:ascii="宋体" w:hAnsi="宋体" w:eastAsia="宋体" w:cs="宋体"/>
                <w:kern w:val="0"/>
                <w:sz w:val="18"/>
                <w:szCs w:val="18"/>
                <w:lang w:val="zh-CN"/>
              </w:rPr>
            </w:pPr>
            <w:r>
              <w:rPr>
                <w:rFonts w:hint="eastAsia" w:ascii="宋体" w:hAnsi="宋体" w:eastAsia="宋体" w:cs="宋体"/>
                <w:kern w:val="0"/>
                <w:sz w:val="18"/>
                <w:szCs w:val="18"/>
                <w:lang w:val="zh-CN"/>
              </w:rPr>
              <w:t>国家对生产和销售相关产品或提供相关服务有专门法律、行政法规规定的，则必须提供取得国家有关主管部门行政许可的证明材料（</w:t>
            </w:r>
            <w:r>
              <w:rPr>
                <w:rFonts w:hint="eastAsia" w:ascii="宋体" w:hAnsi="宋体" w:eastAsia="宋体" w:cs="宋体"/>
                <w:i/>
                <w:kern w:val="0"/>
                <w:sz w:val="18"/>
                <w:szCs w:val="18"/>
                <w:lang w:val="zh-CN"/>
              </w:rPr>
              <w:t>如无相关规定则无需提供</w:t>
            </w:r>
            <w:r>
              <w:rPr>
                <w:rFonts w:hint="eastAsia" w:ascii="宋体" w:hAnsi="宋体" w:eastAsia="宋体" w:cs="宋体"/>
                <w:kern w:val="0"/>
                <w:sz w:val="18"/>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adjustRightInd w:val="0"/>
              <w:snapToGrid w:val="0"/>
              <w:spacing w:line="276" w:lineRule="auto"/>
              <w:ind w:left="180" w:hanging="180" w:hangingChars="100"/>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4536" w:type="dxa"/>
            <w:gridSpan w:val="2"/>
            <w:vAlign w:val="center"/>
          </w:tcPr>
          <w:p>
            <w:pPr>
              <w:rPr>
                <w:rFonts w:hint="eastAsia" w:ascii="宋体" w:hAnsi="宋体" w:eastAsia="宋体" w:cs="宋体"/>
                <w:kern w:val="0"/>
                <w:sz w:val="18"/>
                <w:szCs w:val="18"/>
              </w:rPr>
            </w:pPr>
            <w:r>
              <w:rPr>
                <w:rFonts w:hint="eastAsia" w:ascii="宋体" w:hAnsi="宋体" w:eastAsia="宋体" w:cs="宋体"/>
                <w:kern w:val="0"/>
                <w:sz w:val="18"/>
                <w:szCs w:val="18"/>
              </w:rPr>
              <w:t>未被列入“信用中国”网站(</w:t>
            </w:r>
            <w:r>
              <w:rPr>
                <w:rFonts w:hint="eastAsia" w:ascii="宋体" w:hAnsi="宋体" w:eastAsia="宋体" w:cs="宋体"/>
              </w:rPr>
              <w:fldChar w:fldCharType="begin"/>
            </w:r>
            <w:r>
              <w:rPr>
                <w:rFonts w:hint="eastAsia" w:ascii="宋体" w:hAnsi="宋体" w:eastAsia="宋体" w:cs="宋体"/>
              </w:rPr>
              <w:instrText xml:space="preserve"> HYPERLINK "http://www.creditchina.gov.cn)失信被执行人、" </w:instrText>
            </w:r>
            <w:r>
              <w:rPr>
                <w:rFonts w:hint="eastAsia" w:ascii="宋体" w:hAnsi="宋体" w:eastAsia="宋体" w:cs="宋体"/>
              </w:rPr>
              <w:fldChar w:fldCharType="separate"/>
            </w:r>
            <w:r>
              <w:rPr>
                <w:rStyle w:val="23"/>
                <w:rFonts w:hint="eastAsia" w:ascii="宋体" w:hAnsi="宋体" w:eastAsia="宋体" w:cs="宋体"/>
                <w:color w:val="auto"/>
                <w:kern w:val="0"/>
                <w:sz w:val="18"/>
                <w:szCs w:val="18"/>
              </w:rPr>
              <w:t>www.creditchina.gov.cn)失信被执行人、</w:t>
            </w:r>
            <w:r>
              <w:rPr>
                <w:rStyle w:val="23"/>
                <w:rFonts w:hint="eastAsia" w:ascii="宋体" w:hAnsi="宋体" w:eastAsia="宋体" w:cs="宋体"/>
                <w:color w:val="auto"/>
                <w:kern w:val="0"/>
                <w:sz w:val="18"/>
                <w:szCs w:val="18"/>
              </w:rPr>
              <w:fldChar w:fldCharType="end"/>
            </w:r>
            <w:r>
              <w:rPr>
                <w:rFonts w:hint="eastAsia" w:ascii="宋体" w:hAnsi="宋体" w:eastAsia="宋体" w:cs="宋体"/>
                <w:kern w:val="0"/>
                <w:sz w:val="18"/>
                <w:szCs w:val="18"/>
              </w:rPr>
              <w:t>税收违法黑名单或重大税收违法失信主体、政府采购严重违法失信行为记录名单</w:t>
            </w:r>
          </w:p>
        </w:tc>
        <w:tc>
          <w:tcPr>
            <w:tcW w:w="4394" w:type="dxa"/>
            <w:vAlign w:val="top"/>
          </w:tcPr>
          <w:p>
            <w:pPr>
              <w:tabs>
                <w:tab w:val="left" w:pos="616"/>
              </w:tabs>
              <w:rPr>
                <w:rFonts w:hint="eastAsia" w:ascii="宋体" w:hAnsi="宋体" w:eastAsia="宋体" w:cs="宋体"/>
                <w:kern w:val="0"/>
                <w:sz w:val="18"/>
                <w:szCs w:val="18"/>
              </w:rPr>
            </w:pPr>
            <w:r>
              <w:rPr>
                <w:rFonts w:hint="eastAsia" w:ascii="宋体" w:hAnsi="宋体" w:eastAsia="宋体" w:cs="宋体"/>
                <w:kern w:val="0"/>
                <w:sz w:val="18"/>
                <w:szCs w:val="18"/>
                <w:lang w:val="zh-CN"/>
              </w:rPr>
              <w:t>提供公告日期后</w:t>
            </w:r>
            <w:r>
              <w:rPr>
                <w:rFonts w:hint="eastAsia" w:ascii="宋体" w:hAnsi="宋体" w:eastAsia="宋体" w:cs="宋体"/>
                <w:kern w:val="0"/>
                <w:sz w:val="18"/>
                <w:szCs w:val="18"/>
              </w:rPr>
              <w:t>“</w:t>
            </w:r>
            <w:r>
              <w:rPr>
                <w:rFonts w:hint="eastAsia" w:ascii="宋体" w:hAnsi="宋体" w:eastAsia="宋体" w:cs="宋体"/>
                <w:kern w:val="0"/>
                <w:sz w:val="18"/>
                <w:szCs w:val="18"/>
                <w:lang w:val="zh-CN"/>
              </w:rPr>
              <w:t>信用中国</w:t>
            </w:r>
            <w:r>
              <w:rPr>
                <w:rFonts w:hint="eastAsia" w:ascii="宋体" w:hAnsi="宋体" w:eastAsia="宋体" w:cs="宋体"/>
                <w:kern w:val="0"/>
                <w:sz w:val="18"/>
                <w:szCs w:val="18"/>
              </w:rPr>
              <w:t>”</w:t>
            </w:r>
            <w:r>
              <w:rPr>
                <w:rFonts w:hint="eastAsia" w:ascii="宋体" w:hAnsi="宋体" w:eastAsia="宋体" w:cs="宋体"/>
                <w:kern w:val="0"/>
                <w:sz w:val="18"/>
                <w:szCs w:val="18"/>
                <w:lang w:val="zh-CN"/>
              </w:rPr>
              <w:t>网站</w:t>
            </w:r>
            <w:r>
              <w:rPr>
                <w:rFonts w:hint="eastAsia" w:ascii="宋体" w:hAnsi="宋体" w:eastAsia="宋体" w:cs="宋体"/>
                <w:kern w:val="0"/>
                <w:sz w:val="18"/>
                <w:szCs w:val="18"/>
              </w:rPr>
              <w:t>(</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kern w:val="0"/>
                <w:sz w:val="18"/>
                <w:szCs w:val="18"/>
              </w:rPr>
              <w:t>www.creditchina.gov.cn</w:t>
            </w:r>
            <w:r>
              <w:rPr>
                <w:rFonts w:hint="eastAsia" w:ascii="宋体" w:hAnsi="宋体" w:eastAsia="宋体" w:cs="宋体"/>
                <w:kern w:val="0"/>
                <w:sz w:val="18"/>
                <w:szCs w:val="18"/>
              </w:rPr>
              <w:fldChar w:fldCharType="end"/>
            </w:r>
            <w:r>
              <w:rPr>
                <w:rFonts w:hint="eastAsia" w:ascii="宋体" w:hAnsi="宋体" w:eastAsia="宋体" w:cs="宋体"/>
                <w:kern w:val="0"/>
                <w:sz w:val="18"/>
                <w:szCs w:val="18"/>
              </w:rPr>
              <w:t>)</w:t>
            </w:r>
            <w:r>
              <w:rPr>
                <w:rFonts w:hint="eastAsia" w:ascii="宋体" w:hAnsi="宋体" w:eastAsia="宋体" w:cs="宋体"/>
                <w:kern w:val="0"/>
                <w:sz w:val="20"/>
                <w:szCs w:val="20"/>
              </w:rPr>
              <w:t xml:space="preserve"> </w:t>
            </w:r>
            <w:r>
              <w:rPr>
                <w:rFonts w:hint="eastAsia" w:ascii="宋体" w:hAnsi="宋体" w:eastAsia="宋体" w:cs="宋体"/>
                <w:kern w:val="0"/>
                <w:sz w:val="18"/>
                <w:szCs w:val="18"/>
              </w:rPr>
              <w:t>失信被执行人、税收违法黑名单或重大税收违法失信主体、政府采购严重违法失信行为</w:t>
            </w:r>
            <w:r>
              <w:rPr>
                <w:rFonts w:hint="eastAsia" w:ascii="宋体" w:hAnsi="宋体" w:eastAsia="宋体" w:cs="宋体"/>
                <w:kern w:val="0"/>
                <w:sz w:val="18"/>
                <w:szCs w:val="18"/>
                <w:lang w:val="zh-CN"/>
              </w:rPr>
              <w:t>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adjustRightInd w:val="0"/>
              <w:snapToGrid w:val="0"/>
              <w:spacing w:line="276" w:lineRule="auto"/>
              <w:ind w:left="180" w:hanging="180" w:hangingChars="100"/>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4536" w:type="dxa"/>
            <w:gridSpan w:val="2"/>
            <w:vAlign w:val="center"/>
          </w:tcPr>
          <w:p>
            <w:pPr>
              <w:rPr>
                <w:rFonts w:hint="eastAsia" w:ascii="宋体" w:hAnsi="宋体" w:eastAsia="宋体" w:cs="宋体"/>
                <w:kern w:val="0"/>
                <w:sz w:val="18"/>
                <w:szCs w:val="18"/>
              </w:rPr>
            </w:pPr>
            <w:r>
              <w:rPr>
                <w:rFonts w:hint="eastAsia" w:ascii="宋体" w:hAnsi="宋体" w:eastAsia="宋体" w:cs="宋体"/>
                <w:kern w:val="0"/>
                <w:sz w:val="18"/>
                <w:szCs w:val="18"/>
              </w:rPr>
              <w:t>不存在单位负责人为同一人或者存在直接控股、管理关系的不同投标人，参加本项目同一合同项下的政府采购活动情况。不存在为本采购项目提供整体设计、规范编制或者项目管理、监理、检测等服务的，再参加本项目的其他招标采购活动情况。</w:t>
            </w:r>
          </w:p>
        </w:tc>
        <w:tc>
          <w:tcPr>
            <w:tcW w:w="4394" w:type="dxa"/>
            <w:vAlign w:val="top"/>
          </w:tcPr>
          <w:p>
            <w:pPr>
              <w:tabs>
                <w:tab w:val="left" w:pos="616"/>
              </w:tabs>
              <w:rPr>
                <w:rFonts w:hint="eastAsia" w:ascii="宋体" w:hAnsi="宋体" w:eastAsia="宋体" w:cs="宋体"/>
                <w:color w:val="0D0D0D"/>
                <w:kern w:val="0"/>
                <w:sz w:val="18"/>
                <w:szCs w:val="18"/>
                <w:lang w:val="zh-CN"/>
              </w:rPr>
            </w:pPr>
            <w:r>
              <w:rPr>
                <w:rFonts w:hint="eastAsia" w:ascii="宋体" w:hAnsi="宋体" w:eastAsia="宋体" w:cs="宋体"/>
                <w:color w:val="0D0D0D"/>
                <w:kern w:val="0"/>
                <w:sz w:val="18"/>
                <w:szCs w:val="18"/>
                <w:lang w:val="zh-CN"/>
              </w:rPr>
              <w:t>在《投标承诺函》中声明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adjustRightInd w:val="0"/>
              <w:snapToGrid w:val="0"/>
              <w:spacing w:line="276" w:lineRule="auto"/>
              <w:ind w:left="180" w:hanging="180" w:hangingChars="100"/>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4536" w:type="dxa"/>
            <w:gridSpan w:val="2"/>
            <w:vAlign w:val="center"/>
          </w:tcPr>
          <w:p>
            <w:pPr>
              <w:rPr>
                <w:rFonts w:hint="eastAsia" w:ascii="宋体" w:hAnsi="宋体" w:eastAsia="宋体" w:cs="宋体"/>
                <w:kern w:val="0"/>
                <w:sz w:val="18"/>
                <w:szCs w:val="18"/>
              </w:rPr>
            </w:pPr>
            <w:r>
              <w:rPr>
                <w:rFonts w:hint="eastAsia" w:ascii="宋体" w:hAnsi="宋体" w:eastAsia="宋体" w:cs="宋体"/>
                <w:kern w:val="0"/>
                <w:sz w:val="18"/>
                <w:szCs w:val="18"/>
              </w:rPr>
              <w:t>符合招标文件第一章第二条对投标人或投标货物的特定资格要求</w:t>
            </w:r>
          </w:p>
        </w:tc>
        <w:tc>
          <w:tcPr>
            <w:tcW w:w="4394" w:type="dxa"/>
            <w:vAlign w:val="top"/>
          </w:tcPr>
          <w:p>
            <w:pPr>
              <w:tabs>
                <w:tab w:val="left" w:pos="616"/>
              </w:tabs>
              <w:rPr>
                <w:rFonts w:hint="eastAsia" w:ascii="宋体" w:hAnsi="宋体" w:eastAsia="宋体" w:cs="宋体"/>
                <w:color w:val="0D0D0D"/>
                <w:kern w:val="0"/>
                <w:sz w:val="18"/>
                <w:szCs w:val="18"/>
                <w:lang w:val="zh-CN"/>
              </w:rPr>
            </w:pPr>
            <w:r>
              <w:rPr>
                <w:rFonts w:hint="eastAsia" w:ascii="宋体" w:hAnsi="宋体" w:eastAsia="宋体" w:cs="宋体"/>
                <w:color w:val="0D0D0D"/>
                <w:kern w:val="0"/>
                <w:sz w:val="18"/>
                <w:szCs w:val="18"/>
                <w:lang w:val="zh-CN"/>
              </w:rPr>
              <w:t>按招标文件要求提供（如需）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adjustRightInd w:val="0"/>
              <w:snapToGrid w:val="0"/>
              <w:spacing w:line="276" w:lineRule="auto"/>
              <w:ind w:left="180" w:hanging="180" w:hangingChars="100"/>
              <w:jc w:val="center"/>
              <w:rPr>
                <w:rFonts w:hint="eastAsia" w:ascii="宋体" w:hAnsi="宋体" w:eastAsia="宋体" w:cs="宋体"/>
                <w:color w:val="0D0D0D"/>
                <w:kern w:val="0"/>
                <w:sz w:val="18"/>
                <w:szCs w:val="18"/>
              </w:rPr>
            </w:pPr>
            <w:r>
              <w:rPr>
                <w:rFonts w:hint="eastAsia" w:ascii="宋体" w:hAnsi="宋体" w:eastAsia="宋体" w:cs="宋体"/>
                <w:color w:val="0D0D0D"/>
                <w:kern w:val="0"/>
                <w:sz w:val="18"/>
                <w:szCs w:val="18"/>
              </w:rPr>
              <w:t>5</w:t>
            </w:r>
          </w:p>
        </w:tc>
        <w:tc>
          <w:tcPr>
            <w:tcW w:w="4536" w:type="dxa"/>
            <w:gridSpan w:val="2"/>
            <w:vAlign w:val="center"/>
          </w:tcPr>
          <w:p>
            <w:pPr>
              <w:rPr>
                <w:rFonts w:hint="eastAsia" w:ascii="宋体" w:hAnsi="宋体" w:eastAsia="宋体" w:cs="宋体"/>
                <w:kern w:val="0"/>
                <w:sz w:val="18"/>
                <w:szCs w:val="18"/>
              </w:rPr>
            </w:pPr>
            <w:r>
              <w:rPr>
                <w:rFonts w:hint="eastAsia" w:ascii="宋体" w:hAnsi="宋体" w:eastAsia="宋体" w:cs="宋体"/>
                <w:kern w:val="0"/>
                <w:sz w:val="18"/>
                <w:szCs w:val="18"/>
              </w:rPr>
              <w:t>符合招标文件文件第一章第二条关于落实政府采购政策资格要求</w:t>
            </w:r>
          </w:p>
        </w:tc>
        <w:tc>
          <w:tcPr>
            <w:tcW w:w="4394" w:type="dxa"/>
            <w:vAlign w:val="top"/>
          </w:tcPr>
          <w:p>
            <w:pPr>
              <w:tabs>
                <w:tab w:val="left" w:pos="616"/>
              </w:tabs>
              <w:rPr>
                <w:rFonts w:hint="eastAsia" w:ascii="宋体" w:hAnsi="宋体" w:eastAsia="宋体" w:cs="宋体"/>
                <w:kern w:val="0"/>
                <w:sz w:val="18"/>
                <w:szCs w:val="18"/>
                <w:lang w:val="zh-CN"/>
              </w:rPr>
            </w:pPr>
            <w:r>
              <w:rPr>
                <w:rFonts w:hint="eastAsia" w:ascii="宋体" w:hAnsi="宋体" w:eastAsia="宋体" w:cs="宋体"/>
                <w:kern w:val="0"/>
                <w:sz w:val="18"/>
                <w:szCs w:val="18"/>
                <w:lang w:val="zh-CN"/>
              </w:rPr>
              <w:t>非专门面向中小企业项目，制造商全为小微企业的需提供中小企业声明函。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adjustRightInd w:val="0"/>
              <w:snapToGrid w:val="0"/>
              <w:spacing w:line="276" w:lineRule="auto"/>
              <w:jc w:val="center"/>
              <w:rPr>
                <w:rFonts w:hint="eastAsia" w:ascii="宋体" w:hAnsi="宋体" w:eastAsia="宋体" w:cs="宋体"/>
                <w:color w:val="0D0D0D"/>
                <w:kern w:val="0"/>
                <w:sz w:val="18"/>
                <w:szCs w:val="18"/>
              </w:rPr>
            </w:pPr>
            <w:r>
              <w:rPr>
                <w:rFonts w:hint="eastAsia" w:ascii="宋体" w:hAnsi="宋体" w:eastAsia="宋体" w:cs="宋体"/>
                <w:color w:val="0D0D0D"/>
                <w:kern w:val="0"/>
                <w:sz w:val="18"/>
                <w:szCs w:val="18"/>
              </w:rPr>
              <w:t>6</w:t>
            </w:r>
          </w:p>
        </w:tc>
        <w:tc>
          <w:tcPr>
            <w:tcW w:w="4536" w:type="dxa"/>
            <w:gridSpan w:val="2"/>
            <w:vAlign w:val="center"/>
          </w:tcPr>
          <w:p>
            <w:pPr>
              <w:rPr>
                <w:rFonts w:hint="eastAsia" w:ascii="宋体" w:hAnsi="宋体" w:eastAsia="宋体" w:cs="宋体"/>
                <w:kern w:val="0"/>
                <w:sz w:val="18"/>
                <w:szCs w:val="18"/>
              </w:rPr>
            </w:pPr>
            <w:r>
              <w:rPr>
                <w:rFonts w:hint="eastAsia" w:ascii="宋体" w:hAnsi="宋体" w:eastAsia="宋体" w:cs="宋体"/>
                <w:kern w:val="0"/>
                <w:sz w:val="18"/>
                <w:szCs w:val="18"/>
              </w:rPr>
              <w:t>符合招标文件对联合体的规定</w:t>
            </w:r>
          </w:p>
        </w:tc>
        <w:tc>
          <w:tcPr>
            <w:tcW w:w="4394" w:type="dxa"/>
            <w:vAlign w:val="top"/>
          </w:tcPr>
          <w:p>
            <w:pPr>
              <w:rPr>
                <w:rFonts w:hint="eastAsia" w:ascii="宋体" w:hAnsi="宋体" w:eastAsia="宋体" w:cs="宋体"/>
                <w:color w:val="0D0D0D"/>
                <w:kern w:val="0"/>
                <w:sz w:val="18"/>
                <w:szCs w:val="18"/>
                <w:lang w:val="zh-CN"/>
              </w:rPr>
            </w:pPr>
            <w:r>
              <w:rPr>
                <w:rFonts w:hint="eastAsia" w:ascii="宋体" w:hAnsi="宋体" w:eastAsia="宋体" w:cs="宋体"/>
                <w:color w:val="0D0D0D"/>
                <w:kern w:val="0"/>
                <w:sz w:val="18"/>
                <w:szCs w:val="18"/>
                <w:lang w:val="zh-CN"/>
              </w:rPr>
              <w:t>提供联合体协议书（如本项目接受联合体投标，且投标人为联合体）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tabs>
                <w:tab w:val="left" w:pos="616"/>
              </w:tabs>
              <w:spacing w:line="276" w:lineRule="auto"/>
              <w:jc w:val="center"/>
              <w:rPr>
                <w:rFonts w:hint="eastAsia" w:ascii="宋体" w:hAnsi="宋体" w:eastAsia="宋体" w:cs="宋体"/>
                <w:color w:val="0D0D0D"/>
                <w:kern w:val="0"/>
                <w:sz w:val="18"/>
                <w:szCs w:val="18"/>
                <w:lang w:val="zh-CN"/>
              </w:rPr>
            </w:pPr>
            <w:r>
              <w:rPr>
                <w:rFonts w:hint="eastAsia" w:ascii="宋体" w:hAnsi="宋体" w:eastAsia="宋体" w:cs="宋体"/>
                <w:color w:val="0D0D0D"/>
                <w:kern w:val="0"/>
                <w:sz w:val="18"/>
                <w:szCs w:val="18"/>
                <w:lang w:val="zh-CN"/>
              </w:rPr>
              <w:t>7</w:t>
            </w:r>
          </w:p>
        </w:tc>
        <w:tc>
          <w:tcPr>
            <w:tcW w:w="4536" w:type="dxa"/>
            <w:gridSpan w:val="2"/>
            <w:vAlign w:val="top"/>
          </w:tcPr>
          <w:p>
            <w:pPr>
              <w:rPr>
                <w:rFonts w:hint="eastAsia" w:ascii="宋体" w:hAnsi="宋体" w:eastAsia="宋体" w:cs="宋体"/>
                <w:b/>
                <w:color w:val="0D0D0D"/>
                <w:kern w:val="0"/>
                <w:sz w:val="18"/>
                <w:szCs w:val="18"/>
                <w:lang w:val="zh-CN"/>
              </w:rPr>
            </w:pPr>
          </w:p>
        </w:tc>
        <w:tc>
          <w:tcPr>
            <w:tcW w:w="4394" w:type="dxa"/>
            <w:vAlign w:val="top"/>
          </w:tcPr>
          <w:p>
            <w:pPr>
              <w:tabs>
                <w:tab w:val="left" w:pos="616"/>
              </w:tabs>
              <w:rPr>
                <w:rFonts w:hint="eastAsia" w:ascii="宋体" w:hAnsi="宋体" w:eastAsia="宋体" w:cs="宋体"/>
                <w:b/>
                <w:color w:val="0D0D0D"/>
                <w:kern w:val="0"/>
                <w:sz w:val="18"/>
                <w:szCs w:val="18"/>
                <w:lang w:val="zh-CN"/>
              </w:rPr>
            </w:pPr>
            <w:r>
              <w:rPr>
                <w:rFonts w:hint="eastAsia" w:ascii="宋体" w:hAnsi="宋体" w:eastAsia="宋体" w:cs="宋体"/>
                <w:kern w:val="0"/>
                <w:sz w:val="18"/>
                <w:szCs w:val="18"/>
              </w:rPr>
              <w:t>投标人认为需要提供的其他资格证明材料或情况说明（如有）</w:t>
            </w:r>
          </w:p>
        </w:tc>
      </w:tr>
    </w:tbl>
    <w:p>
      <w:pPr>
        <w:rPr>
          <w:rFonts w:hint="eastAsia" w:ascii="宋体" w:hAnsi="宋体" w:eastAsia="宋体" w:cs="宋体"/>
        </w:rPr>
      </w:pPr>
    </w:p>
    <w:p>
      <w:pPr>
        <w:keepNext/>
        <w:keepLines/>
        <w:numPr>
          <w:ilvl w:val="0"/>
          <w:numId w:val="86"/>
        </w:numPr>
        <w:spacing w:line="276" w:lineRule="auto"/>
        <w:ind w:left="616" w:hanging="616"/>
        <w:jc w:val="left"/>
        <w:outlineLvl w:val="1"/>
        <w:rPr>
          <w:rFonts w:hint="eastAsia" w:ascii="宋体" w:hAnsi="宋体" w:eastAsia="宋体" w:cs="宋体"/>
          <w:b/>
          <w:color w:val="0D0D0D"/>
          <w:szCs w:val="21"/>
          <w:lang w:val="zh-CN"/>
        </w:rPr>
      </w:pPr>
      <w:bookmarkStart w:id="72" w:name="_Toc97815017"/>
      <w:bookmarkStart w:id="73" w:name="_Toc13602"/>
      <w:r>
        <w:rPr>
          <w:rFonts w:hint="eastAsia" w:ascii="宋体" w:hAnsi="宋体" w:eastAsia="宋体" w:cs="宋体"/>
          <w:b/>
          <w:kern w:val="0"/>
          <w:szCs w:val="21"/>
          <w:lang w:val="zh-CN"/>
        </w:rPr>
        <w:t>确定资格审查合格投标人</w:t>
      </w:r>
      <w:bookmarkEnd w:id="72"/>
      <w:bookmarkEnd w:id="73"/>
    </w:p>
    <w:p>
      <w:pPr>
        <w:numPr>
          <w:ilvl w:val="0"/>
          <w:numId w:val="91"/>
        </w:numPr>
        <w:adjustRightInd w:val="0"/>
        <w:snapToGrid w:val="0"/>
        <w:spacing w:line="276" w:lineRule="auto"/>
        <w:ind w:left="756" w:hanging="504"/>
        <w:rPr>
          <w:rFonts w:hint="eastAsia" w:ascii="宋体" w:hAnsi="宋体" w:eastAsia="宋体" w:cs="宋体"/>
          <w:szCs w:val="21"/>
          <w:lang w:val="zh-CN"/>
        </w:rPr>
      </w:pPr>
      <w:r>
        <w:rPr>
          <w:rFonts w:hint="eastAsia" w:ascii="宋体" w:hAnsi="宋体" w:eastAsia="宋体" w:cs="宋体"/>
          <w:szCs w:val="21"/>
          <w:lang w:val="zh-CN"/>
        </w:rPr>
        <w:t>资格审查小组依据对各投标人资格证明文件的审查结果，确定资格审查合格的投标人，并形成书面的资格审查报告。</w:t>
      </w:r>
    </w:p>
    <w:p>
      <w:pPr>
        <w:numPr>
          <w:ilvl w:val="0"/>
          <w:numId w:val="91"/>
        </w:numPr>
        <w:adjustRightInd w:val="0"/>
        <w:snapToGrid w:val="0"/>
        <w:spacing w:line="276" w:lineRule="auto"/>
        <w:ind w:left="756" w:hanging="504"/>
        <w:rPr>
          <w:rFonts w:hint="eastAsia" w:ascii="宋体" w:hAnsi="宋体" w:eastAsia="宋体" w:cs="宋体"/>
          <w:szCs w:val="21"/>
          <w:lang w:val="zh-CN"/>
        </w:rPr>
      </w:pPr>
      <w:r>
        <w:rPr>
          <w:rFonts w:hint="eastAsia" w:ascii="宋体" w:hAnsi="宋体" w:eastAsia="宋体" w:cs="宋体"/>
          <w:szCs w:val="21"/>
          <w:lang w:val="zh-CN"/>
        </w:rPr>
        <w:t>资格审查合格投标人不足3家的，不进行评标。</w:t>
      </w:r>
    </w:p>
    <w:p>
      <w:pPr>
        <w:numPr>
          <w:ilvl w:val="0"/>
          <w:numId w:val="91"/>
        </w:numPr>
        <w:adjustRightInd w:val="0"/>
        <w:snapToGrid w:val="0"/>
        <w:spacing w:line="276" w:lineRule="auto"/>
        <w:ind w:left="756" w:hanging="504"/>
        <w:rPr>
          <w:rFonts w:hint="eastAsia" w:ascii="宋体" w:hAnsi="宋体" w:eastAsia="宋体" w:cs="宋体"/>
          <w:szCs w:val="21"/>
          <w:lang w:val="zh-CN"/>
        </w:rPr>
      </w:pPr>
      <w:r>
        <w:rPr>
          <w:rFonts w:hint="eastAsia" w:ascii="宋体" w:hAnsi="宋体" w:eastAsia="宋体" w:cs="宋体"/>
          <w:szCs w:val="21"/>
          <w:lang w:val="zh-CN"/>
        </w:rPr>
        <w:t>资格审查未通过的投标人可在项目结果公告质疑有效期内按公告中的联系方式获知本人的资格审查情况。</w:t>
      </w:r>
    </w:p>
    <w:p>
      <w:pPr>
        <w:widowControl/>
        <w:numPr>
          <w:ilvl w:val="0"/>
          <w:numId w:val="91"/>
        </w:numPr>
        <w:adjustRightInd w:val="0"/>
        <w:snapToGrid w:val="0"/>
        <w:spacing w:line="276" w:lineRule="auto"/>
        <w:ind w:left="756" w:hanging="504"/>
        <w:jc w:val="left"/>
        <w:rPr>
          <w:rFonts w:hint="eastAsia" w:ascii="宋体" w:hAnsi="宋体" w:eastAsia="宋体" w:cs="宋体"/>
          <w:szCs w:val="21"/>
          <w:lang w:val="zh-CN"/>
        </w:rPr>
      </w:pPr>
      <w:r>
        <w:rPr>
          <w:rFonts w:hint="eastAsia" w:ascii="宋体" w:hAnsi="宋体" w:eastAsia="宋体" w:cs="宋体"/>
          <w:szCs w:val="21"/>
          <w:lang w:val="zh-CN"/>
        </w:rPr>
        <w:t>采购人已进行资格预审的，不再进行资格审查。未通过资格预审的投标人采购代理机构</w:t>
      </w:r>
      <w:r>
        <w:rPr>
          <w:rFonts w:hint="eastAsia" w:ascii="宋体" w:hAnsi="宋体" w:eastAsia="宋体" w:cs="宋体"/>
          <w:b/>
          <w:szCs w:val="21"/>
          <w:lang w:val="zh-CN"/>
        </w:rPr>
        <w:t>拒绝</w:t>
      </w:r>
      <w:r>
        <w:rPr>
          <w:rFonts w:hint="eastAsia" w:ascii="宋体" w:hAnsi="宋体" w:eastAsia="宋体" w:cs="宋体"/>
          <w:szCs w:val="21"/>
          <w:lang w:val="zh-CN"/>
        </w:rPr>
        <w:t>其投标。</w:t>
      </w:r>
    </w:p>
    <w:p>
      <w:pPr>
        <w:tabs>
          <w:tab w:val="left" w:pos="616"/>
        </w:tabs>
        <w:spacing w:line="276" w:lineRule="auto"/>
        <w:ind w:left="252"/>
        <w:rPr>
          <w:rFonts w:hint="eastAsia" w:ascii="宋体" w:hAnsi="宋体" w:eastAsia="宋体" w:cs="宋体"/>
          <w:b/>
          <w:color w:val="0D0D0D"/>
          <w:szCs w:val="21"/>
          <w:lang w:val="zh-CN"/>
        </w:rPr>
      </w:pPr>
    </w:p>
    <w:p>
      <w:pPr>
        <w:spacing w:line="276" w:lineRule="auto"/>
        <w:jc w:val="center"/>
        <w:outlineLvl w:val="0"/>
        <w:rPr>
          <w:rFonts w:hint="eastAsia" w:ascii="宋体" w:hAnsi="宋体" w:eastAsia="宋体" w:cs="宋体"/>
          <w:sz w:val="28"/>
          <w:szCs w:val="28"/>
        </w:rPr>
      </w:pPr>
      <w:r>
        <w:rPr>
          <w:rFonts w:hint="eastAsia" w:ascii="宋体" w:hAnsi="宋体" w:eastAsia="宋体" w:cs="宋体"/>
          <w:kern w:val="0"/>
          <w:szCs w:val="21"/>
        </w:rPr>
        <w:br w:type="page"/>
      </w:r>
      <w:bookmarkStart w:id="74" w:name="_Toc97815018"/>
      <w:bookmarkStart w:id="75" w:name="_Toc296"/>
      <w:r>
        <w:rPr>
          <w:rFonts w:hint="eastAsia" w:ascii="宋体" w:hAnsi="宋体" w:eastAsia="宋体" w:cs="宋体"/>
          <w:sz w:val="28"/>
          <w:szCs w:val="28"/>
        </w:rPr>
        <w:t>第五章  评标方法、程序及标准</w:t>
      </w:r>
      <w:bookmarkEnd w:id="74"/>
      <w:bookmarkEnd w:id="75"/>
    </w:p>
    <w:p>
      <w:pPr>
        <w:spacing w:line="276" w:lineRule="auto"/>
        <w:ind w:firstLine="420" w:firstLineChars="200"/>
        <w:rPr>
          <w:rFonts w:hint="eastAsia" w:ascii="宋体" w:hAnsi="宋体" w:eastAsia="宋体" w:cs="宋体"/>
          <w:bCs/>
          <w:szCs w:val="21"/>
          <w:lang w:val="zh-CN"/>
        </w:rPr>
      </w:pPr>
      <w:r>
        <w:rPr>
          <w:rFonts w:hint="eastAsia" w:ascii="宋体" w:hAnsi="宋体" w:eastAsia="宋体" w:cs="宋体"/>
          <w:bCs/>
          <w:szCs w:val="21"/>
          <w:lang w:val="zh-CN"/>
        </w:rPr>
        <w:t>根据《政府采购法》、《政府采购法实施条例》、《政府采购货物和服务招标投标管理办法》等相关法律法规确定以下评标办法、程序及标准。</w:t>
      </w:r>
    </w:p>
    <w:p>
      <w:pPr>
        <w:keepNext/>
        <w:keepLines/>
        <w:numPr>
          <w:ilvl w:val="0"/>
          <w:numId w:val="92"/>
        </w:numPr>
        <w:spacing w:line="276" w:lineRule="auto"/>
        <w:ind w:left="616" w:hanging="616"/>
        <w:jc w:val="left"/>
        <w:outlineLvl w:val="1"/>
        <w:rPr>
          <w:rFonts w:hint="eastAsia" w:ascii="宋体" w:hAnsi="宋体" w:eastAsia="宋体" w:cs="宋体"/>
          <w:b/>
          <w:kern w:val="0"/>
          <w:szCs w:val="21"/>
          <w:lang w:val="zh-CN"/>
        </w:rPr>
      </w:pPr>
      <w:bookmarkStart w:id="76" w:name="_Toc272247708"/>
      <w:bookmarkStart w:id="77" w:name="_Toc278891605"/>
      <w:bookmarkStart w:id="78" w:name="_Toc494561961"/>
      <w:bookmarkStart w:id="79" w:name="_Toc9012"/>
      <w:bookmarkStart w:id="80" w:name="_Toc97815019"/>
      <w:r>
        <w:rPr>
          <w:rFonts w:hint="eastAsia" w:ascii="宋体" w:hAnsi="宋体" w:eastAsia="宋体" w:cs="宋体"/>
          <w:b/>
          <w:kern w:val="0"/>
          <w:szCs w:val="21"/>
          <w:lang w:val="zh-CN"/>
        </w:rPr>
        <w:t>评标</w:t>
      </w:r>
      <w:bookmarkEnd w:id="76"/>
      <w:bookmarkEnd w:id="77"/>
      <w:r>
        <w:rPr>
          <w:rFonts w:hint="eastAsia" w:ascii="宋体" w:hAnsi="宋体" w:eastAsia="宋体" w:cs="宋体"/>
          <w:b/>
          <w:kern w:val="0"/>
          <w:szCs w:val="21"/>
          <w:lang w:val="zh-CN"/>
        </w:rPr>
        <w:t>方法</w:t>
      </w:r>
      <w:bookmarkEnd w:id="78"/>
      <w:bookmarkEnd w:id="79"/>
      <w:bookmarkEnd w:id="80"/>
    </w:p>
    <w:p>
      <w:pPr>
        <w:spacing w:line="276" w:lineRule="auto"/>
        <w:ind w:firstLine="420" w:firstLineChars="200"/>
        <w:rPr>
          <w:rFonts w:hint="eastAsia" w:ascii="宋体" w:hAnsi="宋体" w:eastAsia="宋体" w:cs="宋体"/>
          <w:bCs/>
          <w:szCs w:val="21"/>
          <w:lang w:val="zh-CN"/>
        </w:rPr>
      </w:pPr>
      <w:r>
        <w:rPr>
          <w:rFonts w:hint="eastAsia" w:ascii="宋体" w:hAnsi="宋体" w:eastAsia="宋体" w:cs="宋体"/>
          <w:bCs/>
          <w:szCs w:val="21"/>
          <w:lang w:val="zh-CN"/>
        </w:rPr>
        <w:t>本项目评标采用综合评分法。综合评分法是指投标文件满足招标文件全部实质性要求，且按照评审因素的量化指标评审得分最高的投标人为中标候选人的评标方法。</w:t>
      </w:r>
    </w:p>
    <w:p>
      <w:pPr>
        <w:keepNext/>
        <w:keepLines/>
        <w:numPr>
          <w:ilvl w:val="0"/>
          <w:numId w:val="92"/>
        </w:numPr>
        <w:spacing w:line="276" w:lineRule="auto"/>
        <w:ind w:left="616" w:hanging="616"/>
        <w:jc w:val="left"/>
        <w:outlineLvl w:val="1"/>
        <w:rPr>
          <w:rFonts w:hint="eastAsia" w:ascii="宋体" w:hAnsi="宋体" w:eastAsia="宋体" w:cs="宋体"/>
          <w:b/>
          <w:kern w:val="0"/>
          <w:szCs w:val="21"/>
          <w:lang w:val="zh-CN"/>
        </w:rPr>
      </w:pPr>
      <w:bookmarkStart w:id="81" w:name="_Toc278891606"/>
      <w:bookmarkStart w:id="82" w:name="_Toc272247709"/>
      <w:bookmarkStart w:id="83" w:name="_Toc494561962"/>
      <w:bookmarkStart w:id="84" w:name="_Toc12203"/>
      <w:bookmarkStart w:id="85" w:name="_Toc97815020"/>
      <w:r>
        <w:rPr>
          <w:rFonts w:hint="eastAsia" w:ascii="宋体" w:hAnsi="宋体" w:eastAsia="宋体" w:cs="宋体"/>
          <w:b/>
          <w:kern w:val="0"/>
          <w:szCs w:val="21"/>
          <w:lang w:val="zh-CN"/>
        </w:rPr>
        <w:t>评标程序</w:t>
      </w:r>
      <w:bookmarkEnd w:id="81"/>
      <w:bookmarkEnd w:id="82"/>
      <w:r>
        <w:rPr>
          <w:rFonts w:hint="eastAsia" w:ascii="宋体" w:hAnsi="宋体" w:eastAsia="宋体" w:cs="宋体"/>
          <w:b/>
          <w:kern w:val="0"/>
          <w:szCs w:val="21"/>
          <w:lang w:val="zh-CN"/>
        </w:rPr>
        <w:t>及标准</w:t>
      </w:r>
      <w:bookmarkEnd w:id="83"/>
      <w:bookmarkEnd w:id="84"/>
      <w:bookmarkEnd w:id="85"/>
    </w:p>
    <w:p>
      <w:pPr>
        <w:spacing w:line="276" w:lineRule="auto"/>
        <w:ind w:firstLine="420" w:firstLineChars="200"/>
        <w:rPr>
          <w:rFonts w:hint="eastAsia" w:ascii="宋体" w:hAnsi="宋体" w:eastAsia="宋体" w:cs="宋体"/>
          <w:bCs/>
          <w:szCs w:val="21"/>
          <w:lang w:val="zh-CN"/>
        </w:rPr>
      </w:pPr>
      <w:r>
        <w:rPr>
          <w:rFonts w:hint="eastAsia" w:ascii="宋体" w:hAnsi="宋体" w:eastAsia="宋体" w:cs="宋体"/>
          <w:bCs/>
          <w:szCs w:val="21"/>
          <w:lang w:val="zh-CN"/>
        </w:rPr>
        <w:t>评标委员会按以下工作程序进行评标：</w:t>
      </w:r>
      <w:r>
        <w:rPr>
          <w:rFonts w:hint="eastAsia" w:ascii="宋体" w:hAnsi="宋体" w:eastAsia="宋体" w:cs="宋体"/>
          <w:szCs w:val="21"/>
          <w:lang w:val="zh-CN"/>
        </w:rPr>
        <w:t>符合性审查、澄清有关问题、综合比较和评价、确定中标候选人名单。</w:t>
      </w:r>
    </w:p>
    <w:p>
      <w:pPr>
        <w:numPr>
          <w:ilvl w:val="0"/>
          <w:numId w:val="93"/>
        </w:numPr>
        <w:spacing w:line="276" w:lineRule="auto"/>
        <w:ind w:left="1064" w:leftChars="154" w:hanging="741" w:hangingChars="353"/>
        <w:rPr>
          <w:rFonts w:hint="eastAsia" w:ascii="宋体" w:hAnsi="宋体" w:eastAsia="宋体" w:cs="宋体"/>
          <w:strike/>
          <w:szCs w:val="21"/>
          <w:lang w:val="zh-CN"/>
        </w:rPr>
      </w:pPr>
      <w:r>
        <w:rPr>
          <w:rFonts w:hint="eastAsia" w:ascii="宋体" w:hAnsi="宋体" w:eastAsia="宋体" w:cs="宋体"/>
          <w:b/>
          <w:szCs w:val="21"/>
          <w:lang w:val="zh-CN"/>
        </w:rPr>
        <w:t>符合性审查</w:t>
      </w:r>
    </w:p>
    <w:p>
      <w:pPr>
        <w:spacing w:line="276" w:lineRule="auto"/>
        <w:ind w:firstLine="420" w:firstLineChars="200"/>
        <w:rPr>
          <w:rFonts w:hint="eastAsia" w:ascii="宋体" w:hAnsi="宋体" w:eastAsia="宋体" w:cs="宋体"/>
          <w:bCs/>
          <w:szCs w:val="21"/>
          <w:lang w:val="zh-CN"/>
        </w:rPr>
      </w:pPr>
      <w:r>
        <w:rPr>
          <w:rFonts w:hint="eastAsia" w:ascii="宋体" w:hAnsi="宋体" w:eastAsia="宋体" w:cs="宋体"/>
          <w:bCs/>
          <w:szCs w:val="21"/>
          <w:lang w:val="zh-CN"/>
        </w:rPr>
        <w:t>评标委员会依据招标文件的规定，对资格审查合格投标人的投标文件的有效性、完整性和对招标文件的响应程度进行审查，以确定是否对招标文件的实质性要求作出响应，具体评审因素详见《符合性检查表》。</w:t>
      </w:r>
    </w:p>
    <w:p>
      <w:pPr>
        <w:spacing w:line="276" w:lineRule="auto"/>
        <w:ind w:firstLine="411" w:firstLineChars="196"/>
        <w:jc w:val="center"/>
        <w:rPr>
          <w:rFonts w:hint="eastAsia" w:ascii="宋体" w:hAnsi="宋体" w:eastAsia="宋体" w:cs="宋体"/>
          <w:b/>
          <w:bCs/>
          <w:color w:val="000000"/>
          <w:szCs w:val="21"/>
          <w:lang w:val="zh-CN"/>
        </w:rPr>
      </w:pPr>
      <w:r>
        <w:rPr>
          <w:rFonts w:hint="eastAsia" w:ascii="宋体" w:hAnsi="宋体" w:eastAsia="宋体" w:cs="宋体"/>
          <w:b/>
          <w:bCs/>
          <w:color w:val="000000"/>
          <w:szCs w:val="21"/>
          <w:lang w:val="zh-CN"/>
        </w:rPr>
        <w:t>符合性审查表</w:t>
      </w:r>
    </w:p>
    <w:tbl>
      <w:tblPr>
        <w:tblStyle w:val="26"/>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11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shd w:val="clear" w:color="000000" w:fill="FFFFFF"/>
            <w:vAlign w:val="center"/>
          </w:tcPr>
          <w:p>
            <w:pPr>
              <w:widowControl/>
              <w:snapToGrid w:val="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3115" w:type="dxa"/>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评审因素</w:t>
            </w:r>
          </w:p>
        </w:tc>
        <w:tc>
          <w:tcPr>
            <w:tcW w:w="5670" w:type="dxa"/>
            <w:vAlign w:val="center"/>
          </w:tcPr>
          <w:p>
            <w:pPr>
              <w:widowControl/>
              <w:snapToGrid w:val="0"/>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shd w:val="clear" w:color="000000" w:fill="FFFFFF"/>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3115" w:type="dxa"/>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按招标文件要求签署、盖章；</w:t>
            </w:r>
          </w:p>
        </w:tc>
        <w:tc>
          <w:tcPr>
            <w:tcW w:w="5670" w:type="dxa"/>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按招标文件要求签署、盖章；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shd w:val="clear" w:color="000000" w:fill="FFFFFF"/>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3115" w:type="dxa"/>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按招标文件要求报价；</w:t>
            </w:r>
          </w:p>
        </w:tc>
        <w:tc>
          <w:tcPr>
            <w:tcW w:w="5670" w:type="dxa"/>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报价未超限价，不存在缺项、漏项；没有出现两个及以上不同报价或投标方案；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shd w:val="clear" w:color="000000" w:fill="FFFFFF"/>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3115" w:type="dxa"/>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交货期、质保期符合招标文件要求；</w:t>
            </w:r>
          </w:p>
        </w:tc>
        <w:tc>
          <w:tcPr>
            <w:tcW w:w="5670" w:type="dxa"/>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交货期、质保期符合招标文件要求；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shd w:val="clear" w:color="000000" w:fill="FFFFFF"/>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3115" w:type="dxa"/>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投标有效期符合招标文件要求；</w:t>
            </w:r>
          </w:p>
        </w:tc>
        <w:tc>
          <w:tcPr>
            <w:tcW w:w="5670" w:type="dxa"/>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投标有效期符合招标文件要求；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shd w:val="clear" w:color="000000" w:fill="FFFFFF"/>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3115" w:type="dxa"/>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投标文件未附有采购人不能接受条件；</w:t>
            </w:r>
          </w:p>
        </w:tc>
        <w:tc>
          <w:tcPr>
            <w:tcW w:w="5670" w:type="dxa"/>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投标文件未附有采购人不能接受条件；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shd w:val="clear" w:color="000000" w:fill="FFFFFF"/>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3115" w:type="dxa"/>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满足招标文件技术、服务及商务等实质性要求；</w:t>
            </w:r>
          </w:p>
        </w:tc>
        <w:tc>
          <w:tcPr>
            <w:tcW w:w="5670" w:type="dxa"/>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满足招标文件技术、服务及商务等实质性要求；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shd w:val="clear" w:color="000000" w:fill="FFFFFF"/>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3115" w:type="dxa"/>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无围标串标情况；</w:t>
            </w:r>
          </w:p>
        </w:tc>
        <w:tc>
          <w:tcPr>
            <w:tcW w:w="5670" w:type="dxa"/>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投标人没有下列任一情形：</w:t>
            </w:r>
          </w:p>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（1）不同投标人的投标文件由同一单位或者个人编制；</w:t>
            </w:r>
          </w:p>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（2）不同投标人委托同一单位或者个人办理洽谈事宜；</w:t>
            </w:r>
          </w:p>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（3）不同投标人的投标文件载明的项目管理成员或者联系人员为同一人；</w:t>
            </w:r>
          </w:p>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（4）不同投标人的投标文件异常一致或者报价呈规律性差异；</w:t>
            </w:r>
          </w:p>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（5）不同投标人的投标文件相互混装；</w:t>
            </w:r>
          </w:p>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（6）不同投标人的保证金从同一单位或者个人的账户转出。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shd w:val="clear" w:color="000000" w:fill="FFFFFF"/>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3115" w:type="dxa"/>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不存在法律、法规和招标文件规定的其他无效投标情形。</w:t>
            </w:r>
          </w:p>
        </w:tc>
        <w:tc>
          <w:tcPr>
            <w:tcW w:w="5670" w:type="dxa"/>
            <w:vAlign w:val="center"/>
          </w:tcPr>
          <w:p>
            <w:pPr>
              <w:widowControl/>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不存在法律、法规和招标文件规定的其他无效投标情形。</w:t>
            </w:r>
          </w:p>
        </w:tc>
      </w:tr>
    </w:tbl>
    <w:p>
      <w:pPr>
        <w:tabs>
          <w:tab w:val="center" w:pos="4153"/>
          <w:tab w:val="right" w:pos="8306"/>
        </w:tabs>
        <w:snapToGrid w:val="0"/>
        <w:rPr>
          <w:rFonts w:hint="eastAsia" w:ascii="宋体" w:hAnsi="宋体" w:eastAsia="宋体" w:cs="宋体"/>
          <w:szCs w:val="21"/>
        </w:rPr>
      </w:pPr>
    </w:p>
    <w:p>
      <w:pPr>
        <w:tabs>
          <w:tab w:val="center" w:pos="4153"/>
          <w:tab w:val="right" w:pos="8306"/>
        </w:tabs>
        <w:snapToGrid w:val="0"/>
        <w:rPr>
          <w:rFonts w:hint="eastAsia" w:ascii="宋体" w:hAnsi="宋体" w:eastAsia="宋体" w:cs="宋体"/>
          <w:szCs w:val="18"/>
        </w:rPr>
      </w:pPr>
      <w:r>
        <w:rPr>
          <w:rFonts w:hint="eastAsia" w:ascii="宋体" w:hAnsi="宋体" w:eastAsia="宋体" w:cs="宋体"/>
          <w:szCs w:val="21"/>
        </w:rPr>
        <w:t>说明：</w:t>
      </w:r>
    </w:p>
    <w:p>
      <w:pPr>
        <w:adjustRightInd w:val="0"/>
        <w:ind w:left="249"/>
        <w:rPr>
          <w:rFonts w:hint="eastAsia" w:ascii="宋体" w:hAnsi="宋体" w:eastAsia="宋体" w:cs="宋体"/>
          <w:szCs w:val="21"/>
          <w:lang w:val="zh-CN"/>
        </w:rPr>
      </w:pPr>
      <w:r>
        <w:rPr>
          <w:rFonts w:hint="eastAsia" w:ascii="宋体" w:hAnsi="宋体" w:eastAsia="宋体" w:cs="宋体"/>
        </w:rPr>
        <w:t>1、</w:t>
      </w:r>
      <w:r>
        <w:rPr>
          <w:rFonts w:hint="eastAsia" w:ascii="宋体" w:hAnsi="宋体" w:eastAsia="宋体" w:cs="宋体"/>
          <w:szCs w:val="21"/>
          <w:lang w:val="zh-CN"/>
        </w:rPr>
        <w:t>投标文件中有任意一条不满足上表要求的将导致其投标无效，不进入下一项评审。</w:t>
      </w:r>
    </w:p>
    <w:p>
      <w:pPr>
        <w:adjustRightInd w:val="0"/>
        <w:ind w:left="249"/>
        <w:rPr>
          <w:rFonts w:hint="eastAsia" w:ascii="宋体" w:hAnsi="宋体" w:eastAsia="宋体" w:cs="宋体"/>
          <w:szCs w:val="21"/>
          <w:lang w:val="zh-CN"/>
        </w:rPr>
      </w:pPr>
      <w:r>
        <w:rPr>
          <w:rFonts w:hint="eastAsia" w:ascii="宋体" w:hAnsi="宋体" w:eastAsia="宋体" w:cs="宋体"/>
          <w:szCs w:val="21"/>
          <w:lang w:val="zh-CN"/>
        </w:rPr>
        <w:t>2、符合性审查合格投标人不足3家的，不进行下一步评审。</w:t>
      </w:r>
    </w:p>
    <w:p>
      <w:pPr>
        <w:widowControl/>
        <w:spacing w:line="276" w:lineRule="auto"/>
        <w:jc w:val="left"/>
        <w:rPr>
          <w:rFonts w:hint="eastAsia" w:ascii="宋体" w:hAnsi="宋体" w:eastAsia="宋体" w:cs="宋体"/>
          <w:b/>
          <w:szCs w:val="21"/>
          <w:lang w:val="zh-CN"/>
        </w:rPr>
      </w:pPr>
    </w:p>
    <w:p>
      <w:pPr>
        <w:numPr>
          <w:ilvl w:val="0"/>
          <w:numId w:val="93"/>
        </w:numPr>
        <w:spacing w:line="276" w:lineRule="auto"/>
        <w:ind w:left="1064" w:leftChars="154" w:hanging="741" w:hangingChars="353"/>
        <w:rPr>
          <w:rFonts w:hint="eastAsia" w:ascii="宋体" w:hAnsi="宋体" w:eastAsia="宋体" w:cs="宋体"/>
          <w:b/>
          <w:szCs w:val="21"/>
          <w:lang w:val="zh-CN"/>
        </w:rPr>
      </w:pPr>
      <w:r>
        <w:rPr>
          <w:rFonts w:hint="eastAsia" w:ascii="宋体" w:hAnsi="宋体" w:eastAsia="宋体" w:cs="宋体"/>
          <w:b/>
          <w:szCs w:val="21"/>
          <w:lang w:val="zh-CN"/>
        </w:rPr>
        <w:t>澄清</w:t>
      </w:r>
    </w:p>
    <w:p>
      <w:pPr>
        <w:numPr>
          <w:ilvl w:val="0"/>
          <w:numId w:val="94"/>
        </w:numPr>
        <w:tabs>
          <w:tab w:val="left" w:pos="616"/>
        </w:tabs>
        <w:spacing w:line="276" w:lineRule="auto"/>
        <w:ind w:left="10" w:leftChars="5" w:firstLine="207" w:firstLineChars="99"/>
        <w:rPr>
          <w:rFonts w:hint="eastAsia" w:ascii="宋体" w:hAnsi="宋体" w:eastAsia="宋体" w:cs="宋体"/>
          <w:kern w:val="0"/>
          <w:szCs w:val="21"/>
          <w:lang w:val="zh-CN"/>
        </w:rPr>
      </w:pPr>
      <w:r>
        <w:rPr>
          <w:rFonts w:hint="eastAsia" w:ascii="宋体" w:hAnsi="宋体" w:eastAsia="宋体" w:cs="宋体"/>
          <w:kern w:val="0"/>
          <w:szCs w:val="21"/>
          <w:lang w:val="zh-CN"/>
        </w:rPr>
        <w:t>评审期间，对于投标文件中含义不明确、同类问题表述不一致或者有明显文字和计算错误的内容，评标委员会应当以书面形式要求投标人作出必要的澄清、说明或者补正。</w:t>
      </w:r>
    </w:p>
    <w:p>
      <w:pPr>
        <w:numPr>
          <w:ilvl w:val="0"/>
          <w:numId w:val="94"/>
        </w:numPr>
        <w:tabs>
          <w:tab w:val="left" w:pos="616"/>
        </w:tabs>
        <w:spacing w:line="276" w:lineRule="auto"/>
        <w:ind w:left="10" w:leftChars="5" w:firstLine="207" w:firstLineChars="99"/>
        <w:rPr>
          <w:rFonts w:hint="eastAsia" w:ascii="宋体" w:hAnsi="宋体" w:eastAsia="宋体" w:cs="宋体"/>
          <w:bCs/>
          <w:strike/>
          <w:szCs w:val="21"/>
          <w:lang w:val="zh-CN"/>
        </w:rPr>
      </w:pPr>
      <w:r>
        <w:rPr>
          <w:rFonts w:hint="eastAsia" w:ascii="宋体" w:hAnsi="宋体" w:eastAsia="宋体" w:cs="宋体"/>
          <w:bCs/>
          <w:szCs w:val="21"/>
          <w:lang w:val="zh-CN"/>
        </w:rPr>
        <w:t>投标人应按照评标委员会要求的澄清内容在规定时间内做出澄清。</w:t>
      </w:r>
      <w:r>
        <w:rPr>
          <w:rFonts w:hint="eastAsia" w:ascii="宋体" w:hAnsi="宋体" w:eastAsia="宋体" w:cs="宋体"/>
          <w:szCs w:val="21"/>
          <w:lang w:val="zh-CN"/>
        </w:rPr>
        <w:t>投标文件报价出现前后不一致的，按照本节第3</w:t>
      </w:r>
      <w:r>
        <w:rPr>
          <w:rFonts w:hint="eastAsia" w:ascii="宋体" w:hAnsi="宋体" w:eastAsia="宋体" w:cs="宋体"/>
          <w:bCs/>
          <w:szCs w:val="21"/>
          <w:lang w:val="zh-CN"/>
        </w:rPr>
        <w:t>条规定进行修正，</w:t>
      </w:r>
      <w:r>
        <w:rPr>
          <w:rFonts w:hint="eastAsia" w:ascii="宋体" w:hAnsi="宋体" w:eastAsia="宋体" w:cs="宋体"/>
          <w:kern w:val="0"/>
          <w:szCs w:val="21"/>
          <w:lang w:val="zh-CN"/>
        </w:rPr>
        <w:t>投标人的澄清、说明或者补正不得超出投标文件的范围或者改变投标文件的实质性内容。</w:t>
      </w:r>
    </w:p>
    <w:p>
      <w:pPr>
        <w:numPr>
          <w:ilvl w:val="0"/>
          <w:numId w:val="94"/>
        </w:numPr>
        <w:tabs>
          <w:tab w:val="left" w:pos="616"/>
        </w:tabs>
        <w:spacing w:line="276" w:lineRule="auto"/>
        <w:ind w:left="10" w:leftChars="5" w:firstLine="207" w:firstLineChars="99"/>
        <w:rPr>
          <w:rFonts w:hint="eastAsia" w:ascii="宋体" w:hAnsi="宋体" w:eastAsia="宋体" w:cs="宋体"/>
          <w:bCs/>
          <w:szCs w:val="21"/>
          <w:lang w:val="zh-CN"/>
        </w:rPr>
      </w:pPr>
      <w:r>
        <w:rPr>
          <w:rFonts w:hint="eastAsia" w:ascii="宋体" w:hAnsi="宋体" w:eastAsia="宋体" w:cs="宋体"/>
          <w:bCs/>
          <w:szCs w:val="21"/>
          <w:lang w:val="zh-CN"/>
        </w:rPr>
        <w:t>投标文件报价出现前后不一致的，按照下列规定修正：</w:t>
      </w:r>
    </w:p>
    <w:p>
      <w:pPr>
        <w:numPr>
          <w:ilvl w:val="0"/>
          <w:numId w:val="95"/>
        </w:numPr>
        <w:adjustRightInd w:val="0"/>
        <w:spacing w:line="276" w:lineRule="auto"/>
        <w:ind w:left="742" w:hanging="493"/>
        <w:rPr>
          <w:rFonts w:hint="eastAsia" w:ascii="宋体" w:hAnsi="宋体" w:eastAsia="宋体" w:cs="宋体"/>
          <w:color w:val="0D0D0D"/>
          <w:szCs w:val="21"/>
          <w:lang w:val="zh-CN"/>
        </w:rPr>
      </w:pPr>
      <w:r>
        <w:rPr>
          <w:rFonts w:hint="eastAsia" w:ascii="宋体" w:hAnsi="宋体" w:eastAsia="宋体" w:cs="宋体"/>
          <w:color w:val="0D0D0D"/>
          <w:szCs w:val="21"/>
          <w:lang w:val="zh-CN"/>
        </w:rPr>
        <w:t>投标文件中报价一览表内容与投标文件中相应内容不一致的，以报价一览表为准。</w:t>
      </w:r>
    </w:p>
    <w:p>
      <w:pPr>
        <w:numPr>
          <w:ilvl w:val="0"/>
          <w:numId w:val="95"/>
        </w:numPr>
        <w:adjustRightInd w:val="0"/>
        <w:spacing w:line="276" w:lineRule="auto"/>
        <w:ind w:left="742" w:hanging="493"/>
        <w:rPr>
          <w:rFonts w:hint="eastAsia" w:ascii="宋体" w:hAnsi="宋体" w:eastAsia="宋体" w:cs="宋体"/>
          <w:color w:val="0D0D0D"/>
          <w:szCs w:val="21"/>
          <w:lang w:val="zh-CN"/>
        </w:rPr>
      </w:pPr>
      <w:r>
        <w:rPr>
          <w:rFonts w:hint="eastAsia" w:ascii="宋体" w:hAnsi="宋体" w:eastAsia="宋体" w:cs="宋体"/>
          <w:color w:val="0D0D0D"/>
          <w:szCs w:val="21"/>
          <w:lang w:val="zh-CN"/>
        </w:rPr>
        <w:t>大写金额和小写金额不一致的，以大写金额为准。</w:t>
      </w:r>
    </w:p>
    <w:p>
      <w:pPr>
        <w:numPr>
          <w:ilvl w:val="0"/>
          <w:numId w:val="95"/>
        </w:numPr>
        <w:adjustRightInd w:val="0"/>
        <w:spacing w:line="276" w:lineRule="auto"/>
        <w:ind w:left="742" w:hanging="493"/>
        <w:rPr>
          <w:rFonts w:hint="eastAsia" w:ascii="宋体" w:hAnsi="宋体" w:eastAsia="宋体" w:cs="宋体"/>
          <w:color w:val="0D0D0D"/>
          <w:szCs w:val="21"/>
          <w:lang w:val="zh-CN"/>
        </w:rPr>
      </w:pPr>
      <w:r>
        <w:rPr>
          <w:rFonts w:hint="eastAsia" w:ascii="宋体" w:hAnsi="宋体" w:eastAsia="宋体" w:cs="宋体"/>
          <w:color w:val="0D0D0D"/>
          <w:szCs w:val="21"/>
          <w:lang w:val="zh-CN"/>
        </w:rPr>
        <w:t>单价金额小数点或者百分比有明显错位的，以报价一览表的总价为准，并修改单价。</w:t>
      </w:r>
    </w:p>
    <w:p>
      <w:pPr>
        <w:numPr>
          <w:ilvl w:val="0"/>
          <w:numId w:val="95"/>
        </w:numPr>
        <w:adjustRightInd w:val="0"/>
        <w:spacing w:line="276" w:lineRule="auto"/>
        <w:ind w:left="742" w:hanging="493"/>
        <w:rPr>
          <w:rFonts w:hint="eastAsia" w:ascii="宋体" w:hAnsi="宋体" w:eastAsia="宋体" w:cs="宋体"/>
          <w:color w:val="0D0D0D"/>
          <w:szCs w:val="21"/>
          <w:lang w:val="zh-CN"/>
        </w:rPr>
      </w:pPr>
      <w:r>
        <w:rPr>
          <w:rFonts w:hint="eastAsia" w:ascii="宋体" w:hAnsi="宋体" w:eastAsia="宋体" w:cs="宋体"/>
          <w:color w:val="0D0D0D"/>
          <w:szCs w:val="21"/>
          <w:lang w:val="zh-CN"/>
        </w:rPr>
        <w:t>总价金额与按单价汇总金额不一致的，以单价金额计算结果为准。</w:t>
      </w:r>
    </w:p>
    <w:p>
      <w:pPr>
        <w:numPr>
          <w:ilvl w:val="0"/>
          <w:numId w:val="95"/>
        </w:numPr>
        <w:adjustRightInd w:val="0"/>
        <w:spacing w:line="276" w:lineRule="auto"/>
        <w:ind w:left="742" w:hanging="493"/>
        <w:rPr>
          <w:rFonts w:hint="eastAsia" w:ascii="宋体" w:hAnsi="宋体" w:eastAsia="宋体" w:cs="宋体"/>
          <w:color w:val="0D0D0D"/>
          <w:szCs w:val="21"/>
          <w:lang w:val="zh-CN"/>
        </w:rPr>
      </w:pPr>
      <w:r>
        <w:rPr>
          <w:rFonts w:hint="eastAsia" w:ascii="宋体" w:hAnsi="宋体" w:eastAsia="宋体" w:cs="宋体"/>
          <w:color w:val="0D0D0D"/>
          <w:szCs w:val="21"/>
          <w:lang w:val="zh-CN"/>
        </w:rPr>
        <w:t>同时出现两种以上不一致的，按照前款规定的顺序修正。</w:t>
      </w:r>
    </w:p>
    <w:p>
      <w:pPr>
        <w:numPr>
          <w:ilvl w:val="0"/>
          <w:numId w:val="95"/>
        </w:numPr>
        <w:adjustRightInd w:val="0"/>
        <w:spacing w:line="276" w:lineRule="auto"/>
        <w:ind w:left="742" w:hanging="493"/>
        <w:rPr>
          <w:rFonts w:hint="eastAsia" w:ascii="宋体" w:hAnsi="宋体" w:eastAsia="宋体" w:cs="宋体"/>
          <w:color w:val="0D0D0D"/>
          <w:szCs w:val="21"/>
          <w:lang w:val="zh-CN"/>
        </w:rPr>
      </w:pPr>
      <w:r>
        <w:rPr>
          <w:rFonts w:hint="eastAsia" w:ascii="宋体" w:hAnsi="宋体" w:eastAsia="宋体" w:cs="宋体"/>
          <w:color w:val="0D0D0D"/>
          <w:szCs w:val="21"/>
          <w:lang w:val="zh-CN"/>
        </w:rPr>
        <w:t>修正后的报价按照本节第4条规定经投标人确认后产生约束力，投标人不确认的，按照</w:t>
      </w:r>
      <w:r>
        <w:rPr>
          <w:rFonts w:hint="eastAsia" w:ascii="宋体" w:hAnsi="宋体" w:eastAsia="宋体" w:cs="宋体"/>
          <w:b/>
          <w:color w:val="0D0D0D"/>
          <w:szCs w:val="21"/>
          <w:lang w:val="zh-CN"/>
        </w:rPr>
        <w:t>无效投标处理</w:t>
      </w:r>
      <w:r>
        <w:rPr>
          <w:rFonts w:hint="eastAsia" w:ascii="宋体" w:hAnsi="宋体" w:eastAsia="宋体" w:cs="宋体"/>
          <w:color w:val="0D0D0D"/>
          <w:szCs w:val="21"/>
          <w:lang w:val="zh-CN"/>
        </w:rPr>
        <w:t>。</w:t>
      </w:r>
    </w:p>
    <w:p>
      <w:pPr>
        <w:numPr>
          <w:ilvl w:val="0"/>
          <w:numId w:val="94"/>
        </w:numPr>
        <w:tabs>
          <w:tab w:val="left" w:pos="616"/>
        </w:tabs>
        <w:spacing w:line="276" w:lineRule="auto"/>
        <w:ind w:left="10" w:leftChars="5" w:firstLine="207" w:firstLineChars="99"/>
        <w:rPr>
          <w:rFonts w:hint="eastAsia" w:ascii="宋体" w:hAnsi="宋体" w:eastAsia="宋体" w:cs="宋体"/>
          <w:szCs w:val="21"/>
          <w:lang w:val="zh-CN"/>
        </w:rPr>
      </w:pPr>
      <w:r>
        <w:rPr>
          <w:rFonts w:hint="eastAsia" w:ascii="宋体" w:hAnsi="宋体" w:eastAsia="宋体" w:cs="宋体"/>
          <w:szCs w:val="21"/>
          <w:lang w:val="zh-CN"/>
        </w:rPr>
        <w:t>投标人的</w:t>
      </w:r>
      <w:r>
        <w:rPr>
          <w:rFonts w:hint="eastAsia" w:ascii="宋体" w:hAnsi="宋体" w:eastAsia="宋体" w:cs="宋体"/>
          <w:kern w:val="0"/>
          <w:szCs w:val="21"/>
          <w:lang w:val="zh-CN"/>
        </w:rPr>
        <w:t>澄清、说明或者补正</w:t>
      </w:r>
      <w:r>
        <w:rPr>
          <w:rFonts w:hint="eastAsia" w:ascii="宋体" w:hAnsi="宋体" w:eastAsia="宋体" w:cs="宋体"/>
          <w:szCs w:val="21"/>
          <w:lang w:val="zh-CN"/>
        </w:rPr>
        <w:t>是其投标文件的有效组成部分。</w:t>
      </w:r>
      <w:r>
        <w:rPr>
          <w:rFonts w:hint="eastAsia" w:ascii="宋体" w:hAnsi="宋体" w:eastAsia="宋体" w:cs="宋体"/>
          <w:kern w:val="0"/>
          <w:szCs w:val="21"/>
          <w:lang w:val="zh-CN"/>
        </w:rPr>
        <w:t>投标人的澄清、说明或者补正应当采用书面形式，并加盖公章，或者由法定代表人或其授权的代表</w:t>
      </w:r>
      <w:r>
        <w:rPr>
          <w:rFonts w:hint="eastAsia" w:ascii="宋体" w:hAnsi="宋体" w:eastAsia="宋体" w:cs="宋体"/>
          <w:bCs/>
          <w:szCs w:val="21"/>
        </w:rPr>
        <w:t>签名</w:t>
      </w:r>
      <w:r>
        <w:rPr>
          <w:rFonts w:hint="eastAsia" w:ascii="宋体" w:hAnsi="宋体" w:eastAsia="宋体" w:cs="宋体"/>
          <w:kern w:val="0"/>
          <w:szCs w:val="21"/>
          <w:lang w:val="zh-CN"/>
        </w:rPr>
        <w:t>。</w:t>
      </w:r>
    </w:p>
    <w:p>
      <w:pPr>
        <w:numPr>
          <w:ilvl w:val="0"/>
          <w:numId w:val="93"/>
        </w:numPr>
        <w:spacing w:line="276" w:lineRule="auto"/>
        <w:ind w:left="1064" w:leftChars="154" w:hanging="741" w:hangingChars="353"/>
        <w:rPr>
          <w:rFonts w:hint="eastAsia" w:ascii="宋体" w:hAnsi="宋体" w:eastAsia="宋体" w:cs="宋体"/>
          <w:b/>
          <w:szCs w:val="21"/>
          <w:lang w:val="zh-CN"/>
        </w:rPr>
      </w:pPr>
      <w:r>
        <w:rPr>
          <w:rFonts w:hint="eastAsia" w:ascii="宋体" w:hAnsi="宋体" w:eastAsia="宋体" w:cs="宋体"/>
          <w:b/>
          <w:szCs w:val="21"/>
          <w:lang w:val="zh-CN"/>
        </w:rPr>
        <w:t>综合比较与评价</w:t>
      </w:r>
    </w:p>
    <w:p>
      <w:pPr>
        <w:numPr>
          <w:ilvl w:val="0"/>
          <w:numId w:val="96"/>
        </w:numPr>
        <w:tabs>
          <w:tab w:val="left" w:pos="616"/>
        </w:tabs>
        <w:spacing w:line="276" w:lineRule="auto"/>
        <w:ind w:left="10" w:leftChars="5" w:firstLine="207" w:firstLineChars="99"/>
        <w:rPr>
          <w:rFonts w:hint="eastAsia" w:ascii="宋体" w:hAnsi="宋体" w:eastAsia="宋体" w:cs="宋体"/>
          <w:bCs/>
          <w:szCs w:val="21"/>
          <w:lang w:val="zh-CN"/>
        </w:rPr>
      </w:pPr>
      <w:r>
        <w:rPr>
          <w:rFonts w:hint="eastAsia" w:ascii="宋体" w:hAnsi="宋体" w:eastAsia="宋体" w:cs="宋体"/>
          <w:b/>
          <w:bCs/>
          <w:szCs w:val="21"/>
          <w:lang w:val="zh-CN"/>
        </w:rPr>
        <w:t>技术、服务和商务评议</w:t>
      </w:r>
    </w:p>
    <w:p>
      <w:pPr>
        <w:spacing w:line="276" w:lineRule="auto"/>
        <w:ind w:firstLine="420" w:firstLineChars="200"/>
        <w:rPr>
          <w:rFonts w:hint="eastAsia" w:ascii="宋体" w:hAnsi="宋体" w:eastAsia="宋体" w:cs="宋体"/>
          <w:bCs/>
          <w:szCs w:val="21"/>
          <w:lang w:val="zh-CN"/>
        </w:rPr>
      </w:pPr>
      <w:r>
        <w:rPr>
          <w:rFonts w:hint="eastAsia" w:ascii="宋体" w:hAnsi="宋体" w:eastAsia="宋体" w:cs="宋体"/>
          <w:bCs/>
          <w:szCs w:val="21"/>
        </w:rPr>
        <w:t>评标委员会应当按照本章中规定的评审因素及评分标准</w:t>
      </w:r>
      <w:r>
        <w:rPr>
          <w:rFonts w:hint="eastAsia" w:ascii="宋体" w:hAnsi="宋体" w:eastAsia="宋体" w:cs="宋体"/>
          <w:bCs/>
          <w:szCs w:val="21"/>
          <w:lang w:val="zh-CN"/>
        </w:rPr>
        <w:t>，对符合性审查合格的投标文件进行技术、服务和商务评估，综合比较与评价。</w:t>
      </w:r>
    </w:p>
    <w:p>
      <w:pPr>
        <w:numPr>
          <w:ilvl w:val="0"/>
          <w:numId w:val="96"/>
        </w:numPr>
        <w:tabs>
          <w:tab w:val="left" w:pos="616"/>
        </w:tabs>
        <w:spacing w:line="276" w:lineRule="auto"/>
        <w:ind w:left="10" w:leftChars="5" w:firstLine="207" w:firstLineChars="99"/>
        <w:rPr>
          <w:rFonts w:hint="eastAsia" w:ascii="宋体" w:hAnsi="宋体" w:eastAsia="宋体" w:cs="宋体"/>
          <w:b/>
          <w:bCs/>
          <w:szCs w:val="21"/>
          <w:lang w:val="zh-CN"/>
        </w:rPr>
      </w:pPr>
      <w:r>
        <w:rPr>
          <w:rFonts w:hint="eastAsia" w:ascii="宋体" w:hAnsi="宋体" w:eastAsia="宋体" w:cs="宋体"/>
          <w:b/>
          <w:bCs/>
          <w:szCs w:val="21"/>
          <w:lang w:val="zh-CN"/>
        </w:rPr>
        <w:t>价格评议</w:t>
      </w:r>
    </w:p>
    <w:p>
      <w:pPr>
        <w:spacing w:line="276" w:lineRule="auto"/>
        <w:ind w:firstLine="420" w:firstLineChars="200"/>
        <w:rPr>
          <w:rFonts w:hint="eastAsia" w:ascii="宋体" w:hAnsi="宋体" w:eastAsia="宋体" w:cs="宋体"/>
          <w:bCs/>
          <w:szCs w:val="21"/>
        </w:rPr>
      </w:pPr>
      <w:r>
        <w:rPr>
          <w:rFonts w:hint="eastAsia" w:ascii="宋体" w:hAnsi="宋体" w:eastAsia="宋体" w:cs="宋体"/>
          <w:bCs/>
          <w:szCs w:val="21"/>
        </w:rPr>
        <w:t>评标委员会对符合性审查合格的投标文件进行价格评议，报价分采用低价优先法计算，即满足招标文件要求且投标价格（落实政府采购政策进行价格调整的，以调整后的价格计算）最低的投标报价为评标基准价，其报价分为满分。其他投标人的报价分值计算详见本章“评审因素及评分标准”中的具体计算方式。</w:t>
      </w:r>
    </w:p>
    <w:p>
      <w:pPr>
        <w:numPr>
          <w:ilvl w:val="0"/>
          <w:numId w:val="97"/>
        </w:numPr>
        <w:adjustRightInd w:val="0"/>
        <w:spacing w:line="276" w:lineRule="auto"/>
        <w:ind w:left="742" w:hanging="493"/>
        <w:rPr>
          <w:rFonts w:hint="eastAsia" w:ascii="宋体" w:hAnsi="宋体" w:eastAsia="宋体" w:cs="宋体"/>
          <w:bCs/>
          <w:szCs w:val="21"/>
          <w:lang w:val="zh-CN"/>
        </w:rPr>
      </w:pPr>
      <w:r>
        <w:rPr>
          <w:rFonts w:hint="eastAsia" w:ascii="宋体" w:hAnsi="宋体" w:eastAsia="宋体" w:cs="宋体"/>
          <w:b/>
          <w:szCs w:val="21"/>
          <w:lang w:val="zh-CN"/>
        </w:rPr>
        <w:t>报价合理性：</w:t>
      </w:r>
      <w:r>
        <w:rPr>
          <w:rFonts w:hint="eastAsia" w:ascii="宋体" w:hAnsi="宋体" w:eastAsia="宋体" w:cs="宋体"/>
          <w:kern w:val="0"/>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eastAsia="宋体" w:cs="宋体"/>
          <w:b/>
          <w:kern w:val="0"/>
          <w:szCs w:val="21"/>
          <w:lang w:val="zh-CN"/>
        </w:rPr>
        <w:t>无效投标处理</w:t>
      </w:r>
      <w:r>
        <w:rPr>
          <w:rFonts w:hint="eastAsia" w:ascii="宋体" w:hAnsi="宋体" w:eastAsia="宋体" w:cs="宋体"/>
          <w:kern w:val="0"/>
          <w:szCs w:val="21"/>
          <w:lang w:val="zh-CN"/>
        </w:rPr>
        <w:t>。</w:t>
      </w:r>
    </w:p>
    <w:p>
      <w:pPr>
        <w:numPr>
          <w:ilvl w:val="0"/>
          <w:numId w:val="97"/>
        </w:numPr>
        <w:adjustRightInd w:val="0"/>
        <w:spacing w:line="276" w:lineRule="auto"/>
        <w:ind w:left="742" w:hanging="493"/>
        <w:rPr>
          <w:rFonts w:hint="eastAsia" w:ascii="宋体" w:hAnsi="宋体" w:eastAsia="宋体" w:cs="宋体"/>
          <w:b/>
          <w:szCs w:val="21"/>
          <w:lang w:val="zh-CN"/>
        </w:rPr>
      </w:pPr>
      <w:r>
        <w:rPr>
          <w:rFonts w:hint="eastAsia" w:ascii="宋体" w:hAnsi="宋体" w:eastAsia="宋体" w:cs="宋体"/>
          <w:b/>
          <w:szCs w:val="21"/>
          <w:lang w:val="zh-CN"/>
        </w:rPr>
        <w:t>小型和微型企业、监狱企业、残疾人福利性单位价格扣除：</w:t>
      </w:r>
    </w:p>
    <w:p>
      <w:pPr>
        <w:numPr>
          <w:ilvl w:val="0"/>
          <w:numId w:val="98"/>
        </w:numPr>
        <w:ind w:left="709" w:hanging="425"/>
        <w:rPr>
          <w:rFonts w:hint="eastAsia" w:ascii="宋体" w:hAnsi="宋体" w:eastAsia="宋体" w:cs="宋体"/>
          <w:bCs/>
          <w:szCs w:val="21"/>
          <w:lang w:val="zh-CN"/>
        </w:rPr>
      </w:pPr>
      <w:r>
        <w:rPr>
          <w:rFonts w:hint="eastAsia" w:ascii="宋体" w:hAnsi="宋体" w:eastAsia="宋体" w:cs="宋体"/>
          <w:bCs/>
          <w:szCs w:val="21"/>
          <w:lang w:val="zh-CN"/>
        </w:rPr>
        <w:t>非专门面向中小企业的货物类采购项目，按采购文件中采购清单确定的货物，对小型和微型企业制造的货物价格给10%的扣除，用扣除后的价格参与评审。供应商提供的货物既有中小企业制造货物，也有大型企业制造货物的，不享受本办法规定的中小企业扶持政策。</w:t>
      </w:r>
    </w:p>
    <w:p>
      <w:pPr>
        <w:numPr>
          <w:ilvl w:val="0"/>
          <w:numId w:val="98"/>
        </w:numPr>
        <w:ind w:left="709" w:hanging="425"/>
        <w:rPr>
          <w:rFonts w:hint="eastAsia" w:ascii="宋体" w:hAnsi="宋体" w:eastAsia="宋体" w:cs="宋体"/>
          <w:bCs/>
          <w:szCs w:val="21"/>
          <w:lang w:val="zh-CN"/>
        </w:rPr>
      </w:pPr>
      <w:r>
        <w:rPr>
          <w:rFonts w:hint="eastAsia" w:ascii="宋体" w:hAnsi="宋体" w:eastAsia="宋体" w:cs="宋体"/>
          <w:bCs/>
          <w:szCs w:val="21"/>
          <w:lang w:val="zh-CN"/>
        </w:rPr>
        <w:t>非专门面向中小企业的服务类采购项目，供应商是小型和微型企业的价格给予10%的扣除，用扣除后的价格参与评审。</w:t>
      </w:r>
    </w:p>
    <w:p>
      <w:pPr>
        <w:numPr>
          <w:ilvl w:val="0"/>
          <w:numId w:val="98"/>
        </w:numPr>
        <w:ind w:left="709" w:hanging="425"/>
        <w:rPr>
          <w:rFonts w:hint="eastAsia" w:ascii="宋体" w:hAnsi="宋体" w:eastAsia="宋体" w:cs="宋体"/>
          <w:bCs/>
          <w:szCs w:val="21"/>
          <w:lang w:val="zh-CN"/>
        </w:rPr>
      </w:pPr>
      <w:r>
        <w:rPr>
          <w:rFonts w:hint="eastAsia" w:ascii="宋体" w:hAnsi="宋体" w:eastAsia="宋体" w:cs="宋体"/>
          <w:bCs/>
          <w:szCs w:val="21"/>
          <w:lang w:val="zh-CN"/>
        </w:rPr>
        <w:t>非专门面向中小企业的工程类采购项目，供应商是小型和微型企业的价格给予3%的扣除，用扣除后的价格参与评审。适用招标投标法的政府采购工程建设项目，采用综合评估法但未采用低价优先法计算价格分的，评标时应当在采用原报价进行评分的基础上增加其价格得分的3%作为其价格分。</w:t>
      </w:r>
    </w:p>
    <w:p>
      <w:pPr>
        <w:numPr>
          <w:ilvl w:val="0"/>
          <w:numId w:val="98"/>
        </w:numPr>
        <w:ind w:left="709" w:hanging="425"/>
        <w:rPr>
          <w:rFonts w:hint="eastAsia" w:ascii="宋体" w:hAnsi="宋体" w:eastAsia="宋体" w:cs="宋体"/>
          <w:bCs/>
          <w:szCs w:val="21"/>
          <w:lang w:val="zh-CN"/>
        </w:rPr>
      </w:pPr>
      <w:r>
        <w:rPr>
          <w:rFonts w:hint="eastAsia" w:ascii="宋体" w:hAnsi="宋体" w:eastAsia="宋体" w:cs="宋体"/>
          <w:bCs/>
          <w:szCs w:val="21"/>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numPr>
          <w:ilvl w:val="0"/>
          <w:numId w:val="98"/>
        </w:numPr>
        <w:ind w:left="709" w:hanging="425"/>
        <w:rPr>
          <w:rFonts w:hint="eastAsia" w:ascii="宋体" w:hAnsi="宋体" w:eastAsia="宋体" w:cs="宋体"/>
          <w:bCs/>
          <w:szCs w:val="21"/>
          <w:lang w:val="zh-CN"/>
        </w:rPr>
      </w:pPr>
      <w:r>
        <w:rPr>
          <w:rFonts w:hint="eastAsia" w:ascii="宋体" w:hAnsi="宋体" w:eastAsia="宋体" w:cs="宋体"/>
          <w:bCs/>
          <w:szCs w:val="21"/>
          <w:lang w:val="zh-CN"/>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98"/>
        </w:numPr>
        <w:ind w:left="709" w:hanging="425"/>
        <w:rPr>
          <w:rFonts w:hint="eastAsia" w:ascii="宋体" w:hAnsi="宋体" w:eastAsia="宋体" w:cs="宋体"/>
          <w:bCs/>
          <w:szCs w:val="21"/>
          <w:lang w:val="zh-CN"/>
        </w:rPr>
      </w:pPr>
      <w:r>
        <w:rPr>
          <w:rFonts w:hint="eastAsia" w:ascii="宋体" w:hAnsi="宋体" w:eastAsia="宋体" w:cs="宋体"/>
          <w:bCs/>
          <w:szCs w:val="21"/>
          <w:lang w:val="zh-CN"/>
        </w:rPr>
        <w:t>小型和微型企业应出具《中小声明函》；残疾人福利性单位提供《残疾人福利性单位声明函》；监狱企业应提供由省级监狱局、戒毒局（含新疆生产兵团）出具的监狱企业的证明文件。</w:t>
      </w:r>
    </w:p>
    <w:p>
      <w:pPr>
        <w:numPr>
          <w:ilvl w:val="0"/>
          <w:numId w:val="98"/>
        </w:numPr>
        <w:ind w:left="709" w:hanging="425"/>
        <w:rPr>
          <w:rFonts w:hint="eastAsia" w:ascii="宋体" w:hAnsi="宋体" w:eastAsia="宋体" w:cs="宋体"/>
          <w:bCs/>
          <w:szCs w:val="21"/>
          <w:lang w:val="zh-CN"/>
        </w:rPr>
      </w:pPr>
      <w:r>
        <w:rPr>
          <w:rFonts w:hint="eastAsia" w:ascii="宋体" w:hAnsi="宋体" w:eastAsia="宋体" w:cs="宋体"/>
          <w:bCs/>
          <w:szCs w:val="21"/>
          <w:lang w:val="zh-CN"/>
        </w:rPr>
        <w:t>根据湖北省财政厅、湖北省经济和信息化厅关于进一步加强政府采购促进中小企业发展的通知（鄂财采发〔2021〕8号），对符合以下情形之一的小微企业，以价格优惠幅度的上限（货物或服务项目20%、工程项目5%）享受评审优惠：残疾人企业或监狱企业；纳入创新产品应用示范推荐目录内的企业；政府采购项目的品目属于政府优先采购《节能产品政府采购品目清单》《环境标志产品政府采购品目》范围内，获得相关证书的企业。</w:t>
      </w:r>
    </w:p>
    <w:p>
      <w:pPr>
        <w:numPr>
          <w:ilvl w:val="0"/>
          <w:numId w:val="98"/>
        </w:numPr>
        <w:ind w:left="709" w:hanging="425"/>
        <w:rPr>
          <w:rFonts w:hint="eastAsia" w:ascii="宋体" w:hAnsi="宋体" w:eastAsia="宋体" w:cs="宋体"/>
          <w:bCs/>
          <w:szCs w:val="21"/>
          <w:lang w:val="zh-CN"/>
        </w:rPr>
      </w:pPr>
      <w:r>
        <w:rPr>
          <w:rFonts w:hint="eastAsia" w:ascii="宋体" w:hAnsi="宋体" w:eastAsia="宋体" w:cs="宋体"/>
          <w:bCs/>
          <w:szCs w:val="21"/>
          <w:lang w:val="zh-CN"/>
        </w:rPr>
        <w:t>专门面向中小企业采购的项目或者采购标段，不再执行价格评审优惠的扶持政策。</w:t>
      </w:r>
    </w:p>
    <w:p>
      <w:pPr>
        <w:numPr>
          <w:ilvl w:val="0"/>
          <w:numId w:val="98"/>
        </w:numPr>
        <w:ind w:left="709" w:hanging="425"/>
        <w:rPr>
          <w:rFonts w:hint="eastAsia" w:ascii="宋体" w:hAnsi="宋体" w:eastAsia="宋体" w:cs="宋体"/>
          <w:bCs/>
          <w:szCs w:val="21"/>
          <w:lang w:val="zh-CN"/>
        </w:rPr>
      </w:pPr>
      <w:r>
        <w:rPr>
          <w:rFonts w:hint="eastAsia" w:ascii="宋体" w:hAnsi="宋体" w:eastAsia="宋体" w:cs="宋体"/>
          <w:bCs/>
          <w:szCs w:val="21"/>
          <w:lang w:val="zh-CN"/>
        </w:rPr>
        <w:t>中标、成交供应商享受本办法规定的中小企业扶持政策的，采购人、采购代理机构应当随中标、成交结果公开中标、成交供应商的《中小企业声明函》。</w:t>
      </w:r>
    </w:p>
    <w:p>
      <w:pPr>
        <w:numPr>
          <w:ilvl w:val="0"/>
          <w:numId w:val="97"/>
        </w:numPr>
        <w:adjustRightInd w:val="0"/>
        <w:spacing w:line="276" w:lineRule="auto"/>
        <w:ind w:left="742" w:hanging="493"/>
        <w:rPr>
          <w:rFonts w:hint="eastAsia" w:ascii="宋体" w:hAnsi="宋体" w:eastAsia="宋体" w:cs="宋体"/>
          <w:b/>
          <w:szCs w:val="21"/>
          <w:lang w:val="zh-CN"/>
        </w:rPr>
      </w:pPr>
      <w:r>
        <w:rPr>
          <w:rFonts w:hint="eastAsia" w:ascii="宋体" w:hAnsi="宋体" w:eastAsia="宋体" w:cs="宋体"/>
          <w:b/>
          <w:szCs w:val="21"/>
          <w:lang w:val="zh-CN"/>
        </w:rPr>
        <w:t>政府采购节能环保政策</w:t>
      </w:r>
    </w:p>
    <w:p>
      <w:pPr>
        <w:ind w:left="709" w:firstLine="420" w:firstLineChars="200"/>
        <w:rPr>
          <w:rFonts w:hint="eastAsia" w:ascii="宋体" w:hAnsi="宋体" w:eastAsia="宋体" w:cs="宋体"/>
          <w:bCs/>
          <w:szCs w:val="21"/>
          <w:lang w:val="zh-CN"/>
        </w:rPr>
      </w:pPr>
      <w:r>
        <w:rPr>
          <w:rFonts w:hint="eastAsia" w:ascii="宋体" w:hAnsi="宋体" w:eastAsia="宋体" w:cs="宋体"/>
          <w:bCs/>
          <w:szCs w:val="21"/>
          <w:lang w:val="zh-CN"/>
        </w:rPr>
        <w:t>根据《财政部、发展改革委、生态环境部、市场监管总局关于调整优化节能产品、环境标志产品政府采购执行机制的通知（财库〔2019〕9号）》的规定，采购人拟采购产品属于品目清单（指《财政部、生态环境部关于印发环境标志产品政府采购品目清单的通知（财库〔2019〕18号）》、《财政部、发展改革委关于印发节能产品政府采购品目清单的通知（财库〔2019〕19号）》所列清单）范围的，采购人及其委托的采购代理机构应当依据国家确定的认证机构（指《市场监管总局关于发布参与实施政府采购节能产品、环境标志产品认证机构名录的公告（2019年第16号）》中所列认证机构）出具的、处于有效期之内的节能产品、环境标志产品认证证书，对获得证书的产品实施政府优先采购或强制采购。</w:t>
      </w:r>
    </w:p>
    <w:p>
      <w:pPr>
        <w:numPr>
          <w:ilvl w:val="0"/>
          <w:numId w:val="96"/>
        </w:numPr>
        <w:tabs>
          <w:tab w:val="left" w:pos="616"/>
        </w:tabs>
        <w:spacing w:line="276" w:lineRule="auto"/>
        <w:ind w:left="10" w:leftChars="5" w:firstLine="207" w:firstLineChars="99"/>
        <w:rPr>
          <w:rFonts w:hint="eastAsia" w:ascii="宋体" w:hAnsi="宋体" w:eastAsia="宋体" w:cs="宋体"/>
          <w:b/>
          <w:bCs/>
          <w:szCs w:val="21"/>
          <w:lang w:val="zh-CN"/>
        </w:rPr>
      </w:pPr>
      <w:r>
        <w:rPr>
          <w:rFonts w:hint="eastAsia" w:ascii="宋体" w:hAnsi="宋体" w:eastAsia="宋体" w:cs="宋体"/>
          <w:b/>
          <w:bCs/>
          <w:szCs w:val="21"/>
          <w:lang w:val="zh-CN"/>
        </w:rPr>
        <w:t>相同品牌处理原则</w:t>
      </w:r>
    </w:p>
    <w:p>
      <w:pPr>
        <w:numPr>
          <w:ilvl w:val="0"/>
          <w:numId w:val="99"/>
        </w:numPr>
        <w:adjustRightInd w:val="0"/>
        <w:spacing w:line="276" w:lineRule="auto"/>
        <w:ind w:left="756" w:hanging="507"/>
        <w:rPr>
          <w:rFonts w:hint="eastAsia" w:ascii="宋体" w:hAnsi="宋体" w:eastAsia="宋体" w:cs="宋体"/>
          <w:color w:val="0D0D0D"/>
          <w:kern w:val="0"/>
          <w:szCs w:val="21"/>
          <w:lang w:val="zh-CN"/>
        </w:rPr>
      </w:pPr>
      <w:r>
        <w:rPr>
          <w:rFonts w:hint="eastAsia" w:ascii="宋体" w:hAnsi="宋体" w:eastAsia="宋体" w:cs="宋体"/>
          <w:color w:val="0D0D0D"/>
          <w:kern w:val="0"/>
          <w:szCs w:val="21"/>
          <w:lang w:val="zh-CN"/>
        </w:rPr>
        <w:t>提供相同品牌产品且通过资格审查、符合性审查的不同投标人参加同一合同项下投标的，按一家投标人计算，评审后得分最高的同品牌投标人获得中标人推荐资格；评审得分相同的，由采购人确定或者采购人委托评标委员会以投票方式确定一个投标人获得中标人推荐资格，其他同品牌投标人不作为中标候选人。</w:t>
      </w:r>
    </w:p>
    <w:p>
      <w:pPr>
        <w:numPr>
          <w:ilvl w:val="0"/>
          <w:numId w:val="99"/>
        </w:numPr>
        <w:adjustRightInd w:val="0"/>
        <w:spacing w:line="276" w:lineRule="auto"/>
        <w:ind w:left="756" w:hanging="507"/>
        <w:rPr>
          <w:rFonts w:hint="eastAsia" w:ascii="宋体" w:hAnsi="宋体" w:eastAsia="宋体" w:cs="宋体"/>
          <w:kern w:val="0"/>
          <w:szCs w:val="21"/>
          <w:lang w:val="zh-CN"/>
        </w:rPr>
      </w:pPr>
      <w:r>
        <w:rPr>
          <w:rFonts w:hint="eastAsia" w:ascii="宋体" w:hAnsi="宋体" w:eastAsia="宋体" w:cs="宋体"/>
          <w:color w:val="0D0D0D"/>
          <w:kern w:val="0"/>
          <w:szCs w:val="21"/>
          <w:lang w:val="zh-CN"/>
        </w:rPr>
        <w:t>非单一产品采购项目，采购人</w:t>
      </w:r>
      <w:r>
        <w:rPr>
          <w:rFonts w:hint="eastAsia" w:ascii="宋体" w:hAnsi="宋体" w:eastAsia="宋体" w:cs="宋体"/>
          <w:kern w:val="0"/>
          <w:szCs w:val="21"/>
          <w:lang w:val="zh-CN"/>
        </w:rPr>
        <w:t>应当根据采购项目技术构成、产品价格比重等合理确定</w:t>
      </w:r>
      <w:r>
        <w:rPr>
          <w:rFonts w:hint="eastAsia" w:ascii="宋体" w:hAnsi="宋体" w:eastAsia="宋体" w:cs="宋体"/>
          <w:b/>
          <w:kern w:val="0"/>
          <w:szCs w:val="21"/>
          <w:lang w:val="zh-CN"/>
        </w:rPr>
        <w:t>核心产品</w:t>
      </w:r>
      <w:r>
        <w:rPr>
          <w:rFonts w:hint="eastAsia" w:ascii="宋体" w:hAnsi="宋体" w:eastAsia="宋体" w:cs="宋体"/>
          <w:kern w:val="0"/>
          <w:szCs w:val="21"/>
          <w:lang w:val="zh-CN"/>
        </w:rPr>
        <w:t>，并以</w:t>
      </w:r>
      <w:r>
        <w:rPr>
          <w:rFonts w:hint="eastAsia" w:ascii="宋体" w:hAnsi="宋体" w:eastAsia="宋体" w:cs="宋体"/>
          <w:b/>
          <w:kern w:val="0"/>
          <w:szCs w:val="21"/>
          <w:lang w:val="zh-CN"/>
        </w:rPr>
        <w:t>“核心产品”</w:t>
      </w:r>
      <w:r>
        <w:rPr>
          <w:rFonts w:hint="eastAsia" w:ascii="宋体" w:hAnsi="宋体" w:eastAsia="宋体" w:cs="宋体"/>
          <w:kern w:val="0"/>
          <w:szCs w:val="21"/>
          <w:lang w:val="zh-CN"/>
        </w:rPr>
        <w:t>在</w:t>
      </w:r>
      <w:r>
        <w:rPr>
          <w:rFonts w:hint="eastAsia" w:ascii="宋体" w:hAnsi="宋体" w:eastAsia="宋体" w:cs="宋体"/>
          <w:color w:val="0D0D0D"/>
          <w:kern w:val="0"/>
          <w:szCs w:val="21"/>
          <w:lang w:val="zh-CN"/>
        </w:rPr>
        <w:t>招标文件中标注。多家投标人提供的核心产品品牌相同的，按前述规定处理。</w:t>
      </w:r>
    </w:p>
    <w:p>
      <w:pPr>
        <w:numPr>
          <w:ilvl w:val="0"/>
          <w:numId w:val="93"/>
        </w:numPr>
        <w:spacing w:line="276" w:lineRule="auto"/>
        <w:ind w:left="1064" w:leftChars="154" w:hanging="741" w:hangingChars="353"/>
        <w:rPr>
          <w:rFonts w:hint="eastAsia" w:ascii="宋体" w:hAnsi="宋体" w:eastAsia="宋体" w:cs="宋体"/>
          <w:b/>
          <w:szCs w:val="21"/>
          <w:lang w:val="zh-CN"/>
        </w:rPr>
      </w:pPr>
      <w:r>
        <w:rPr>
          <w:rFonts w:hint="eastAsia" w:ascii="宋体" w:hAnsi="宋体" w:eastAsia="宋体" w:cs="宋体"/>
          <w:b/>
          <w:szCs w:val="21"/>
          <w:lang w:val="zh-CN"/>
        </w:rPr>
        <w:t>计分办法</w:t>
      </w:r>
    </w:p>
    <w:p>
      <w:pPr>
        <w:numPr>
          <w:ilvl w:val="0"/>
          <w:numId w:val="100"/>
        </w:numPr>
        <w:tabs>
          <w:tab w:val="left" w:pos="284"/>
        </w:tabs>
        <w:spacing w:line="276" w:lineRule="auto"/>
        <w:ind w:left="567" w:hanging="351"/>
        <w:rPr>
          <w:rFonts w:hint="eastAsia" w:ascii="宋体" w:hAnsi="宋体" w:eastAsia="宋体" w:cs="宋体"/>
          <w:b/>
          <w:szCs w:val="21"/>
          <w:lang w:val="zh-CN"/>
        </w:rPr>
      </w:pPr>
      <w:r>
        <w:rPr>
          <w:rFonts w:hint="eastAsia" w:ascii="宋体" w:hAnsi="宋体" w:eastAsia="宋体" w:cs="宋体"/>
          <w:bCs/>
          <w:color w:val="0C0C0C"/>
          <w:szCs w:val="21"/>
          <w:lang w:val="zh-CN"/>
        </w:rPr>
        <w:t>采购代理机构对各</w:t>
      </w:r>
      <w:r>
        <w:rPr>
          <w:rFonts w:hint="eastAsia" w:ascii="宋体" w:hAnsi="宋体" w:eastAsia="宋体" w:cs="宋体"/>
          <w:color w:val="000000"/>
          <w:kern w:val="0"/>
          <w:szCs w:val="21"/>
        </w:rPr>
        <w:t>评委的总分进行复核。各项统计结果均精确到小数点后两位。</w:t>
      </w:r>
    </w:p>
    <w:p>
      <w:pPr>
        <w:numPr>
          <w:ilvl w:val="0"/>
          <w:numId w:val="100"/>
        </w:numPr>
        <w:tabs>
          <w:tab w:val="left" w:pos="284"/>
        </w:tabs>
        <w:spacing w:line="276" w:lineRule="auto"/>
        <w:ind w:left="567" w:hanging="351"/>
        <w:rPr>
          <w:rFonts w:hint="eastAsia" w:ascii="宋体" w:hAnsi="宋体" w:eastAsia="宋体" w:cs="宋体"/>
          <w:bCs/>
          <w:color w:val="0C0C0C"/>
          <w:szCs w:val="21"/>
          <w:lang w:val="zh-CN"/>
        </w:rPr>
      </w:pPr>
      <w:r>
        <w:rPr>
          <w:rFonts w:hint="eastAsia" w:ascii="宋体" w:hAnsi="宋体" w:eastAsia="宋体" w:cs="宋体"/>
          <w:color w:val="000000"/>
          <w:kern w:val="0"/>
          <w:szCs w:val="21"/>
        </w:rPr>
        <w:t>投标人的最终得分</w:t>
      </w:r>
      <w:r>
        <w:rPr>
          <w:rFonts w:hint="eastAsia" w:ascii="宋体" w:hAnsi="宋体" w:eastAsia="宋体" w:cs="宋体"/>
          <w:bCs/>
          <w:color w:val="0C0C0C"/>
          <w:szCs w:val="21"/>
          <w:lang w:val="zh-CN"/>
        </w:rPr>
        <w:t>为各评委所评定分数的算术平均值。</w:t>
      </w:r>
    </w:p>
    <w:p>
      <w:pPr>
        <w:numPr>
          <w:ilvl w:val="0"/>
          <w:numId w:val="93"/>
        </w:numPr>
        <w:spacing w:line="276" w:lineRule="auto"/>
        <w:ind w:left="1064" w:leftChars="154" w:hanging="741" w:hangingChars="353"/>
        <w:rPr>
          <w:rFonts w:hint="eastAsia" w:ascii="宋体" w:hAnsi="宋体" w:eastAsia="宋体" w:cs="宋体"/>
          <w:b/>
          <w:szCs w:val="21"/>
          <w:lang w:val="zh-CN"/>
        </w:rPr>
      </w:pPr>
      <w:r>
        <w:rPr>
          <w:rFonts w:hint="eastAsia" w:ascii="宋体" w:hAnsi="宋体" w:eastAsia="宋体" w:cs="宋体"/>
          <w:b/>
          <w:szCs w:val="21"/>
          <w:lang w:val="zh-CN"/>
        </w:rPr>
        <w:t>推荐中标候选人名单或确定中标人</w:t>
      </w:r>
    </w:p>
    <w:p>
      <w:pPr>
        <w:numPr>
          <w:ilvl w:val="0"/>
          <w:numId w:val="101"/>
        </w:numPr>
        <w:tabs>
          <w:tab w:val="left" w:pos="284"/>
        </w:tabs>
        <w:spacing w:line="276" w:lineRule="auto"/>
        <w:rPr>
          <w:rFonts w:hint="eastAsia" w:ascii="宋体" w:hAnsi="宋体" w:eastAsia="宋体" w:cs="宋体"/>
          <w:bCs/>
          <w:color w:val="0C0C0C"/>
          <w:szCs w:val="21"/>
          <w:lang w:val="zh-CN"/>
        </w:rPr>
      </w:pPr>
      <w:bookmarkStart w:id="86" w:name="_Toc494561963"/>
      <w:r>
        <w:rPr>
          <w:rFonts w:hint="eastAsia" w:ascii="宋体" w:hAnsi="宋体" w:eastAsia="宋体" w:cs="宋体"/>
          <w:bCs/>
          <w:color w:val="0C0C0C"/>
          <w:szCs w:val="21"/>
          <w:lang w:val="zh-CN"/>
        </w:rPr>
        <w:t>投标人按评审后得分由高到低顺序排列，得分相同的</w:t>
      </w:r>
      <w:r>
        <w:rPr>
          <w:rFonts w:hint="eastAsia" w:ascii="宋体" w:hAnsi="宋体" w:eastAsia="宋体" w:cs="宋体"/>
          <w:bCs/>
          <w:szCs w:val="21"/>
          <w:lang w:val="zh-CN"/>
        </w:rPr>
        <w:t>，按投标报价由低到高</w:t>
      </w:r>
      <w:r>
        <w:rPr>
          <w:rFonts w:hint="eastAsia" w:ascii="宋体" w:hAnsi="宋体" w:eastAsia="宋体" w:cs="宋体"/>
          <w:bCs/>
          <w:color w:val="0C0C0C"/>
          <w:szCs w:val="21"/>
          <w:lang w:val="zh-CN"/>
        </w:rPr>
        <w:t>顺序排列。得分且投标报价相同的并列。</w:t>
      </w:r>
    </w:p>
    <w:p>
      <w:pPr>
        <w:numPr>
          <w:ilvl w:val="0"/>
          <w:numId w:val="101"/>
        </w:numPr>
        <w:tabs>
          <w:tab w:val="left" w:pos="284"/>
        </w:tabs>
        <w:spacing w:line="276" w:lineRule="auto"/>
        <w:ind w:left="567" w:hanging="351"/>
        <w:rPr>
          <w:rFonts w:hint="eastAsia" w:ascii="宋体" w:hAnsi="宋体" w:eastAsia="宋体" w:cs="宋体"/>
          <w:bCs/>
          <w:color w:val="0C0C0C"/>
          <w:szCs w:val="21"/>
          <w:lang w:val="zh-CN"/>
        </w:rPr>
      </w:pPr>
      <w:r>
        <w:rPr>
          <w:rFonts w:hint="eastAsia" w:ascii="宋体" w:hAnsi="宋体" w:eastAsia="宋体" w:cs="宋体"/>
          <w:bCs/>
          <w:color w:val="0C0C0C"/>
          <w:szCs w:val="21"/>
          <w:lang w:val="zh-CN"/>
        </w:rPr>
        <w:t>评标委员会依据评审结果推荐得分前三名的进入中标候选人名单，并形成书面评标报告。</w:t>
      </w:r>
    </w:p>
    <w:p>
      <w:pPr>
        <w:numPr>
          <w:ilvl w:val="0"/>
          <w:numId w:val="101"/>
        </w:numPr>
        <w:tabs>
          <w:tab w:val="left" w:pos="284"/>
        </w:tabs>
        <w:spacing w:line="276" w:lineRule="auto"/>
        <w:ind w:left="567" w:hanging="351"/>
        <w:rPr>
          <w:rFonts w:hint="eastAsia" w:ascii="宋体" w:hAnsi="宋体" w:eastAsia="宋体" w:cs="宋体"/>
          <w:bCs/>
          <w:color w:val="0C0C0C"/>
          <w:szCs w:val="21"/>
          <w:lang w:val="zh-CN"/>
        </w:rPr>
      </w:pPr>
      <w:r>
        <w:rPr>
          <w:rFonts w:hint="eastAsia" w:ascii="宋体" w:hAnsi="宋体" w:eastAsia="宋体" w:cs="宋体"/>
          <w:bCs/>
          <w:color w:val="0C0C0C"/>
          <w:szCs w:val="21"/>
          <w:lang w:val="zh-CN"/>
        </w:rPr>
        <w:t>中标候选人并列的，由采购人确定或者采购人委托评标委员会以投票方式确定中标人。</w:t>
      </w:r>
    </w:p>
    <w:p>
      <w:pPr>
        <w:numPr>
          <w:ilvl w:val="0"/>
          <w:numId w:val="101"/>
        </w:numPr>
        <w:tabs>
          <w:tab w:val="left" w:pos="284"/>
        </w:tabs>
        <w:spacing w:line="276" w:lineRule="auto"/>
        <w:ind w:left="567" w:hanging="351"/>
        <w:rPr>
          <w:rFonts w:hint="eastAsia" w:ascii="宋体" w:hAnsi="宋体" w:eastAsia="宋体" w:cs="宋体"/>
          <w:bCs/>
          <w:color w:val="0C0C0C"/>
          <w:szCs w:val="21"/>
          <w:lang w:val="zh-CN"/>
        </w:rPr>
      </w:pPr>
      <w:r>
        <w:rPr>
          <w:rFonts w:hint="eastAsia" w:ascii="宋体" w:hAnsi="宋体" w:eastAsia="宋体" w:cs="宋体"/>
          <w:szCs w:val="21"/>
        </w:rPr>
        <w:t>若投标人同时投多</w:t>
      </w:r>
      <w:r>
        <w:rPr>
          <w:rFonts w:hint="eastAsia" w:ascii="宋体" w:hAnsi="宋体" w:eastAsia="宋体" w:cs="宋体"/>
          <w:szCs w:val="21"/>
          <w:lang w:val="zh-CN"/>
        </w:rPr>
        <w:t>标段</w:t>
      </w:r>
      <w:r>
        <w:rPr>
          <w:rFonts w:hint="eastAsia" w:ascii="宋体" w:hAnsi="宋体" w:eastAsia="宋体" w:cs="宋体"/>
          <w:szCs w:val="21"/>
        </w:rPr>
        <w:t>，根据《投标人须知前附表》的规定确定各</w:t>
      </w:r>
      <w:r>
        <w:rPr>
          <w:rFonts w:hint="eastAsia" w:ascii="宋体" w:hAnsi="宋体" w:eastAsia="宋体" w:cs="宋体"/>
          <w:szCs w:val="21"/>
          <w:lang w:val="zh-CN"/>
        </w:rPr>
        <w:t>标段</w:t>
      </w:r>
      <w:r>
        <w:rPr>
          <w:rFonts w:hint="eastAsia" w:ascii="宋体" w:hAnsi="宋体" w:eastAsia="宋体" w:cs="宋体"/>
          <w:szCs w:val="21"/>
        </w:rPr>
        <w:t>中标候选人。</w:t>
      </w:r>
    </w:p>
    <w:p>
      <w:pPr>
        <w:numPr>
          <w:ilvl w:val="0"/>
          <w:numId w:val="101"/>
        </w:numPr>
        <w:tabs>
          <w:tab w:val="left" w:pos="284"/>
        </w:tabs>
        <w:spacing w:line="276" w:lineRule="auto"/>
        <w:ind w:left="567" w:hanging="351"/>
        <w:rPr>
          <w:rFonts w:hint="eastAsia" w:ascii="宋体" w:hAnsi="宋体" w:eastAsia="宋体" w:cs="宋体"/>
          <w:bCs/>
          <w:color w:val="0C0C0C"/>
          <w:szCs w:val="21"/>
          <w:lang w:val="zh-CN"/>
        </w:rPr>
      </w:pPr>
      <w:r>
        <w:rPr>
          <w:rFonts w:hint="eastAsia" w:ascii="宋体" w:hAnsi="宋体" w:eastAsia="宋体" w:cs="宋体"/>
          <w:bCs/>
          <w:color w:val="0C0C0C"/>
          <w:szCs w:val="21"/>
          <w:lang w:val="zh-CN"/>
        </w:rPr>
        <w:t>评标委员会应当在评标报告上签名，对自己的评审意见承担法律责任。对评标报告有异议的，应当在评标报告上签署不同意见，并说明理由，否则视为同意评标报告。</w:t>
      </w:r>
    </w:p>
    <w:p>
      <w:pPr>
        <w:rPr>
          <w:rFonts w:hint="eastAsia" w:ascii="宋体" w:hAnsi="宋体" w:eastAsia="宋体" w:cs="宋体"/>
          <w:b/>
          <w:kern w:val="0"/>
          <w:szCs w:val="21"/>
        </w:rPr>
      </w:pPr>
      <w:bookmarkStart w:id="87" w:name="_Toc97815021"/>
      <w:r>
        <w:rPr>
          <w:rFonts w:hint="eastAsia" w:ascii="宋体" w:hAnsi="宋体" w:eastAsia="宋体" w:cs="宋体"/>
          <w:b/>
          <w:kern w:val="0"/>
          <w:szCs w:val="21"/>
          <w:lang w:val="zh-CN"/>
        </w:rPr>
        <w:br w:type="page"/>
      </w:r>
    </w:p>
    <w:p>
      <w:pPr>
        <w:keepNext/>
        <w:keepLines/>
        <w:numPr>
          <w:ilvl w:val="0"/>
          <w:numId w:val="92"/>
        </w:numPr>
        <w:spacing w:line="276" w:lineRule="auto"/>
        <w:ind w:left="616" w:hanging="616"/>
        <w:jc w:val="left"/>
        <w:outlineLvl w:val="1"/>
        <w:rPr>
          <w:rFonts w:hint="eastAsia" w:ascii="宋体" w:hAnsi="宋体" w:eastAsia="宋体" w:cs="宋体"/>
          <w:b/>
          <w:kern w:val="0"/>
          <w:szCs w:val="21"/>
        </w:rPr>
      </w:pPr>
      <w:bookmarkStart w:id="88" w:name="_Toc25511"/>
      <w:r>
        <w:rPr>
          <w:rFonts w:hint="eastAsia" w:ascii="宋体" w:hAnsi="宋体" w:eastAsia="宋体" w:cs="宋体"/>
          <w:b/>
          <w:kern w:val="0"/>
          <w:szCs w:val="21"/>
          <w:lang w:val="zh-CN"/>
        </w:rPr>
        <w:t>评审因素及评分标准</w:t>
      </w:r>
      <w:bookmarkEnd w:id="86"/>
      <w:bookmarkEnd w:id="87"/>
      <w:bookmarkEnd w:id="88"/>
    </w:p>
    <w:p>
      <w:pPr>
        <w:rPr>
          <w:rFonts w:hint="eastAsia" w:ascii="宋体" w:hAnsi="宋体" w:eastAsia="宋体" w:cs="宋体"/>
          <w:b/>
          <w:bCs/>
          <w:sz w:val="24"/>
          <w:szCs w:val="32"/>
        </w:rPr>
      </w:pPr>
      <w:r>
        <w:rPr>
          <w:rFonts w:hint="eastAsia" w:ascii="宋体" w:hAnsi="宋体" w:eastAsia="宋体" w:cs="宋体"/>
          <w:b/>
          <w:bCs/>
          <w:sz w:val="24"/>
          <w:szCs w:val="32"/>
        </w:rPr>
        <w:t>01包：AI药物计算平台</w:t>
      </w:r>
    </w:p>
    <w:tbl>
      <w:tblPr>
        <w:tblStyle w:val="2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85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评审分项</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满分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评审内容及分值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9"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价格</w:t>
            </w:r>
          </w:p>
          <w:p>
            <w:pPr>
              <w:pStyle w:val="7"/>
              <w:jc w:val="center"/>
              <w:rPr>
                <w:rFonts w:hint="eastAsia" w:ascii="宋体" w:hAnsi="宋体" w:eastAsia="宋体" w:cs="宋体"/>
                <w:color w:val="auto"/>
                <w:sz w:val="22"/>
              </w:rPr>
            </w:pPr>
            <w:r>
              <w:rPr>
                <w:rFonts w:hint="eastAsia" w:ascii="宋体" w:hAnsi="宋体" w:eastAsia="宋体" w:cs="宋体"/>
                <w:color w:val="auto"/>
                <w:sz w:val="22"/>
              </w:rPr>
              <w:t>35分</w:t>
            </w:r>
          </w:p>
          <w:p>
            <w:pPr>
              <w:pStyle w:val="7"/>
              <w:jc w:val="center"/>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报价得分</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35分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1、满足招标文件要求且投标价格最低的投标报价为评标基准价(D)，其价格分为满分(35分)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2、其他合格供应商的投标报价得分按如下公式计算：</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投标报价得分=(评标基准价D／投标报价V)×35</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备注：符合本招标文件政府采购优惠政策”规定的，在评审时予以价格扣除，用扣除后的价格参与评审。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1129" w:type="dxa"/>
            <w:vMerge w:val="restart"/>
            <w:tcBorders>
              <w:left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商务</w:t>
            </w:r>
          </w:p>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11.6分</w:t>
            </w:r>
          </w:p>
          <w:p>
            <w:pPr>
              <w:pStyle w:val="2"/>
              <w:rPr>
                <w:rFonts w:hint="eastAsia" w:ascii="宋体" w:hAnsi="宋体" w:eastAsia="宋体" w:cs="宋体"/>
                <w:color w:val="auto"/>
                <w:sz w:val="22"/>
              </w:rPr>
            </w:pPr>
          </w:p>
          <w:p>
            <w:pPr>
              <w:pStyle w:val="2"/>
              <w:rPr>
                <w:rFonts w:hint="eastAsia" w:ascii="宋体" w:hAnsi="宋体" w:eastAsia="宋体" w:cs="宋体"/>
                <w:color w:val="auto"/>
                <w:sz w:val="22"/>
              </w:rPr>
            </w:pPr>
          </w:p>
        </w:tc>
        <w:tc>
          <w:tcPr>
            <w:tcW w:w="1276"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质保期</w:t>
            </w:r>
          </w:p>
          <w:p>
            <w:pPr>
              <w:pStyle w:val="2"/>
              <w:rPr>
                <w:rFonts w:hint="eastAsia" w:ascii="宋体" w:hAnsi="宋体" w:eastAsia="宋体" w:cs="宋体"/>
                <w:color w:val="auto"/>
                <w:sz w:val="22"/>
              </w:rPr>
            </w:pPr>
          </w:p>
        </w:tc>
        <w:tc>
          <w:tcPr>
            <w:tcW w:w="851"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1.在满足招标文件要求的基础上，质保期每增加</w:t>
            </w:r>
            <w:r>
              <w:rPr>
                <w:rFonts w:hint="eastAsia" w:ascii="宋体" w:hAnsi="宋体" w:eastAsia="宋体" w:cs="宋体"/>
                <w:color w:val="auto"/>
                <w:sz w:val="22"/>
                <w:u w:val="single"/>
              </w:rPr>
              <w:t xml:space="preserve"> 1 </w:t>
            </w:r>
            <w:r>
              <w:rPr>
                <w:rFonts w:hint="eastAsia" w:ascii="宋体" w:hAnsi="宋体" w:eastAsia="宋体" w:cs="宋体"/>
                <w:color w:val="auto"/>
                <w:sz w:val="22"/>
              </w:rPr>
              <w:t>年，得</w:t>
            </w:r>
            <w:r>
              <w:rPr>
                <w:rFonts w:hint="eastAsia" w:ascii="宋体" w:hAnsi="宋体" w:eastAsia="宋体" w:cs="宋体"/>
                <w:color w:val="auto"/>
                <w:sz w:val="22"/>
                <w:u w:val="single"/>
              </w:rPr>
              <w:t xml:space="preserve"> 1</w:t>
            </w:r>
            <w:r>
              <w:rPr>
                <w:rFonts w:hint="eastAsia" w:ascii="宋体" w:hAnsi="宋体" w:eastAsia="宋体" w:cs="宋体"/>
                <w:color w:val="auto"/>
                <w:sz w:val="22"/>
              </w:rPr>
              <w:t>分，此项最多得</w:t>
            </w:r>
            <w:r>
              <w:rPr>
                <w:rFonts w:hint="eastAsia" w:ascii="宋体" w:hAnsi="宋体" w:eastAsia="宋体" w:cs="宋体"/>
                <w:color w:val="auto"/>
                <w:sz w:val="22"/>
                <w:u w:val="single"/>
              </w:rPr>
              <w:t xml:space="preserve"> 2 </w:t>
            </w:r>
            <w:r>
              <w:rPr>
                <w:rFonts w:hint="eastAsia" w:ascii="宋体" w:hAnsi="宋体" w:eastAsia="宋体" w:cs="宋体"/>
                <w:color w:val="auto"/>
                <w:sz w:val="22"/>
              </w:rPr>
              <w:t>分。</w:t>
            </w:r>
          </w:p>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2.提供所投核心产品原厂售后服务承诺函扫描件加盖原厂公章的得</w:t>
            </w:r>
            <w:r>
              <w:rPr>
                <w:rFonts w:hint="eastAsia" w:ascii="宋体" w:hAnsi="宋体" w:eastAsia="宋体" w:cs="宋体"/>
                <w:color w:val="auto"/>
                <w:sz w:val="22"/>
                <w:u w:val="single"/>
              </w:rPr>
              <w:t xml:space="preserve"> 1</w:t>
            </w:r>
            <w:r>
              <w:rPr>
                <w:rFonts w:hint="eastAsia" w:ascii="宋体" w:hAnsi="宋体" w:eastAsia="宋体" w:cs="宋体"/>
                <w:color w:val="auto"/>
                <w:sz w:val="22"/>
              </w:rPr>
              <w:t>分,未提供承诺函不得分。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4"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类似业绩</w:t>
            </w:r>
          </w:p>
          <w:p>
            <w:pPr>
              <w:pStyle w:val="2"/>
              <w:rPr>
                <w:rFonts w:hint="eastAsia" w:ascii="宋体" w:hAnsi="宋体" w:eastAsia="宋体" w:cs="宋体"/>
                <w:color w:val="auto"/>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3.6分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根据所投核心产品</w:t>
            </w:r>
            <w:r>
              <w:rPr>
                <w:rFonts w:hint="eastAsia" w:ascii="宋体" w:hAnsi="宋体" w:eastAsia="宋体" w:cs="宋体"/>
                <w:color w:val="auto"/>
                <w:sz w:val="22"/>
                <w:u w:val="single"/>
              </w:rPr>
              <w:t>（投标截止日前三年以来）</w:t>
            </w:r>
            <w:r>
              <w:rPr>
                <w:rFonts w:hint="eastAsia" w:ascii="宋体" w:hAnsi="宋体" w:eastAsia="宋体" w:cs="宋体"/>
                <w:color w:val="auto"/>
                <w:sz w:val="22"/>
              </w:rPr>
              <w:t>类似项目业绩打分（须提供中标通知书或供货合同，没有提供的不得分），每个得</w:t>
            </w:r>
            <w:r>
              <w:rPr>
                <w:rFonts w:hint="eastAsia" w:ascii="宋体" w:hAnsi="宋体" w:eastAsia="宋体" w:cs="宋体"/>
                <w:color w:val="auto"/>
                <w:sz w:val="22"/>
                <w:u w:val="single"/>
              </w:rPr>
              <w:t xml:space="preserve"> 1.2 </w:t>
            </w:r>
            <w:r>
              <w:rPr>
                <w:rFonts w:hint="eastAsia" w:ascii="宋体" w:hAnsi="宋体" w:eastAsia="宋体" w:cs="宋体"/>
                <w:color w:val="auto"/>
                <w:sz w:val="22"/>
              </w:rPr>
              <w:t xml:space="preserve">分，最多得 </w:t>
            </w:r>
            <w:r>
              <w:rPr>
                <w:rFonts w:hint="eastAsia" w:ascii="宋体" w:hAnsi="宋体" w:eastAsia="宋体" w:cs="宋体"/>
                <w:color w:val="auto"/>
                <w:sz w:val="22"/>
                <w:u w:val="single"/>
              </w:rPr>
              <w:t xml:space="preserve"> 3.6 </w:t>
            </w:r>
            <w:r>
              <w:rPr>
                <w:rFonts w:hint="eastAsia" w:ascii="宋体" w:hAnsi="宋体" w:eastAsia="宋体" w:cs="宋体"/>
                <w:color w:val="auto"/>
                <w:sz w:val="22"/>
              </w:rPr>
              <w:t>分。未提供或未按要求的提供不得分。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安装验收方案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2分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一、评审内容：</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根据供应商提供的安装验收方案进行打分，包括但不限于：</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1、对本项目交付提供的供货方案、安装实施方案；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2、对本项目交付、验收标准提供的方案。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二、评审标准：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（1）合理性、科学性：必须完整，设想合理、恰当；</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（2）可行性、针对性：根据采购文件要求提出操作性强的方案；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每条评审内容完全满足以上2条评审标准的得1分。完全满足以上一条评审标准得0.5分，评审内容存在缺陷或缺漏的得0.25分，未响应或未提供的得0分。满分2分。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培训及售后服务方案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一、评审内容：</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根据供应商提供的培训及售后服务方案进行打分，包括但不限于：</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1、对本项目提供的培训及售后服务保证方案（包含培训内容及人员安排、质保期内售后巡检及售后服务网点、维修方案、人员安排及零配件及备品备件）；</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2、对本项目实施过程中可能出现疑难问题、突发事件提供的应急预案。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二、评审标准：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（1）合理性、科学性：必须完整，设想合理、恰当；</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（2）可行性、针对性：根据采购文件要求提出操作性强的方案；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每条评审内容完全满足以上2条评审标准的得1.5分。完全满足以上一条评审标准得0.75分，评审内容存在缺陷或缺漏的得0.3分，未响应或未提供的得0分。满分3分。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9" w:hRule="atLeast"/>
          <w:jc w:val="center"/>
        </w:trPr>
        <w:tc>
          <w:tcPr>
            <w:tcW w:w="1129"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技术</w:t>
            </w:r>
          </w:p>
          <w:p>
            <w:pPr>
              <w:pStyle w:val="7"/>
              <w:jc w:val="center"/>
              <w:rPr>
                <w:rFonts w:hint="eastAsia" w:ascii="宋体" w:hAnsi="宋体" w:eastAsia="宋体" w:cs="宋体"/>
                <w:color w:val="auto"/>
                <w:sz w:val="22"/>
              </w:rPr>
            </w:pPr>
            <w:r>
              <w:rPr>
                <w:rFonts w:hint="eastAsia" w:ascii="宋体" w:hAnsi="宋体" w:eastAsia="宋体" w:cs="宋体"/>
                <w:color w:val="auto"/>
                <w:sz w:val="22"/>
              </w:rPr>
              <w:t>53.4分</w:t>
            </w:r>
          </w:p>
          <w:p>
            <w:pPr>
              <w:pStyle w:val="7"/>
              <w:rPr>
                <w:rFonts w:hint="eastAsia" w:ascii="宋体" w:hAnsi="宋体" w:eastAsia="宋体" w:cs="宋体"/>
                <w:color w:val="auto"/>
                <w:sz w:val="22"/>
              </w:rPr>
            </w:pPr>
          </w:p>
          <w:p>
            <w:pPr>
              <w:pStyle w:val="7"/>
              <w:rPr>
                <w:rFonts w:hint="eastAsia" w:ascii="宋体" w:hAnsi="宋体" w:eastAsia="宋体" w:cs="宋体"/>
                <w:color w:val="auto"/>
                <w:sz w:val="22"/>
              </w:rPr>
            </w:pPr>
          </w:p>
        </w:tc>
        <w:tc>
          <w:tcPr>
            <w:tcW w:w="1276"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产品技术响应、主要参数和其他重要性能指标</w:t>
            </w:r>
          </w:p>
        </w:tc>
        <w:tc>
          <w:tcPr>
            <w:tcW w:w="851"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53.4分</w:t>
            </w:r>
          </w:p>
        </w:tc>
        <w:tc>
          <w:tcPr>
            <w:tcW w:w="6237"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投标产品的技术规格符合招标文件要求，能完全满足使用要求得</w:t>
            </w:r>
            <w:r>
              <w:rPr>
                <w:rFonts w:hint="eastAsia" w:ascii="宋体" w:hAnsi="宋体" w:eastAsia="宋体" w:cs="宋体"/>
                <w:color w:val="auto"/>
                <w:sz w:val="22"/>
                <w:u w:val="single"/>
              </w:rPr>
              <w:t xml:space="preserve">53.4 </w:t>
            </w:r>
            <w:r>
              <w:rPr>
                <w:rFonts w:hint="eastAsia" w:ascii="宋体" w:hAnsi="宋体" w:eastAsia="宋体" w:cs="宋体"/>
                <w:color w:val="auto"/>
                <w:sz w:val="22"/>
              </w:rPr>
              <w:t>分。如技术参数指标低于招标文件第三章中技术要求，即为负偏离。</w:t>
            </w:r>
          </w:p>
          <w:p>
            <w:pPr>
              <w:numPr>
                <w:ilvl w:val="0"/>
                <w:numId w:val="102"/>
              </w:numPr>
              <w:spacing w:line="276" w:lineRule="auto"/>
              <w:rPr>
                <w:rFonts w:hint="eastAsia" w:ascii="宋体" w:hAnsi="宋体" w:eastAsia="宋体" w:cs="宋体"/>
                <w:bCs/>
                <w:color w:val="auto"/>
                <w:sz w:val="22"/>
              </w:rPr>
            </w:pPr>
            <w:r>
              <w:rPr>
                <w:rFonts w:hint="eastAsia" w:ascii="宋体" w:hAnsi="宋体" w:eastAsia="宋体" w:cs="宋体"/>
                <w:bCs/>
                <w:color w:val="auto"/>
                <w:sz w:val="22"/>
              </w:rPr>
              <w:t>“▲”表示关键技术指标，不满足该指标项将导致响应被拒绝；</w:t>
            </w:r>
          </w:p>
          <w:p>
            <w:pPr>
              <w:numPr>
                <w:numId w:val="0"/>
              </w:numPr>
              <w:spacing w:line="276" w:lineRule="auto"/>
              <w:rPr>
                <w:rFonts w:hint="eastAsia" w:ascii="宋体" w:hAnsi="宋体" w:eastAsia="宋体" w:cs="宋体"/>
                <w:color w:val="auto"/>
                <w:sz w:val="22"/>
              </w:rPr>
            </w:pPr>
            <w:r>
              <w:rPr>
                <w:rFonts w:hint="eastAsia" w:ascii="宋体" w:hAnsi="宋体" w:cs="宋体"/>
                <w:color w:val="auto"/>
                <w:sz w:val="22"/>
                <w:lang w:val="en-US" w:eastAsia="zh-CN"/>
              </w:rPr>
              <w:t>2、</w:t>
            </w:r>
            <w:r>
              <w:rPr>
                <w:rFonts w:hint="eastAsia" w:ascii="宋体" w:hAnsi="宋体" w:eastAsia="宋体" w:cs="宋体"/>
                <w:color w:val="auto"/>
                <w:sz w:val="22"/>
              </w:rPr>
              <w:t>“★”参数为重要参数（共计</w:t>
            </w:r>
            <w:r>
              <w:rPr>
                <w:rFonts w:hint="eastAsia" w:ascii="宋体" w:hAnsi="宋体" w:eastAsia="宋体" w:cs="宋体"/>
                <w:color w:val="auto"/>
                <w:sz w:val="22"/>
                <w:u w:val="single"/>
              </w:rPr>
              <w:t xml:space="preserve"> 24</w:t>
            </w:r>
            <w:r>
              <w:rPr>
                <w:rFonts w:hint="eastAsia" w:ascii="宋体" w:hAnsi="宋体" w:eastAsia="宋体" w:cs="宋体"/>
                <w:color w:val="auto"/>
                <w:sz w:val="22"/>
              </w:rPr>
              <w:t>项）完全满足采购文件得</w:t>
            </w:r>
            <w:r>
              <w:rPr>
                <w:rFonts w:hint="eastAsia" w:ascii="宋体" w:hAnsi="宋体" w:eastAsia="宋体" w:cs="宋体"/>
                <w:color w:val="auto"/>
                <w:sz w:val="22"/>
                <w:u w:val="single"/>
              </w:rPr>
              <w:t xml:space="preserve">   24</w:t>
            </w:r>
            <w:r>
              <w:rPr>
                <w:rFonts w:hint="eastAsia" w:ascii="宋体" w:hAnsi="宋体" w:eastAsia="宋体" w:cs="宋体"/>
                <w:color w:val="auto"/>
                <w:sz w:val="22"/>
              </w:rPr>
              <w:t>分，每有一项负偏离扣</w:t>
            </w:r>
            <w:r>
              <w:rPr>
                <w:rFonts w:hint="eastAsia" w:ascii="宋体" w:hAnsi="宋体" w:eastAsia="宋体" w:cs="宋体"/>
                <w:color w:val="auto"/>
                <w:sz w:val="22"/>
                <w:u w:val="single"/>
              </w:rPr>
              <w:t>1</w:t>
            </w:r>
            <w:r>
              <w:rPr>
                <w:rFonts w:hint="eastAsia" w:ascii="宋体" w:hAnsi="宋体" w:eastAsia="宋体" w:cs="宋体"/>
                <w:color w:val="auto"/>
                <w:sz w:val="22"/>
              </w:rPr>
              <w:t>分，扣完为止；</w:t>
            </w:r>
          </w:p>
          <w:p>
            <w:pPr>
              <w:spacing w:line="276" w:lineRule="auto"/>
              <w:rPr>
                <w:rFonts w:hint="eastAsia" w:ascii="宋体" w:hAnsi="宋体" w:eastAsia="宋体" w:cs="宋体"/>
                <w:color w:val="auto"/>
                <w:sz w:val="22"/>
              </w:rPr>
            </w:pPr>
            <w:r>
              <w:rPr>
                <w:rFonts w:hint="eastAsia" w:ascii="宋体" w:hAnsi="宋体" w:cs="宋体"/>
                <w:color w:val="auto"/>
                <w:sz w:val="22"/>
                <w:lang w:val="en-US" w:eastAsia="zh-CN"/>
              </w:rPr>
              <w:t>3</w:t>
            </w:r>
            <w:r>
              <w:rPr>
                <w:rFonts w:hint="eastAsia" w:ascii="宋体" w:hAnsi="宋体" w:eastAsia="宋体" w:cs="宋体"/>
                <w:color w:val="auto"/>
                <w:sz w:val="22"/>
              </w:rPr>
              <w:t>、未标注参数为一般参数（共计</w:t>
            </w:r>
            <w:r>
              <w:rPr>
                <w:rFonts w:hint="eastAsia" w:ascii="宋体" w:hAnsi="宋体" w:eastAsia="宋体" w:cs="宋体"/>
                <w:color w:val="auto"/>
                <w:sz w:val="22"/>
                <w:u w:val="single"/>
              </w:rPr>
              <w:t xml:space="preserve"> 245 </w:t>
            </w:r>
            <w:r>
              <w:rPr>
                <w:rFonts w:hint="eastAsia" w:ascii="宋体" w:hAnsi="宋体" w:eastAsia="宋体" w:cs="宋体"/>
                <w:color w:val="auto"/>
                <w:sz w:val="22"/>
              </w:rPr>
              <w:t>项）完全满足采购文件得</w:t>
            </w:r>
            <w:r>
              <w:rPr>
                <w:rFonts w:hint="eastAsia" w:ascii="宋体" w:hAnsi="宋体" w:eastAsia="宋体" w:cs="宋体"/>
                <w:color w:val="auto"/>
                <w:sz w:val="22"/>
                <w:u w:val="single"/>
              </w:rPr>
              <w:t xml:space="preserve"> 29.4</w:t>
            </w:r>
            <w:r>
              <w:rPr>
                <w:rFonts w:hint="eastAsia" w:ascii="宋体" w:hAnsi="宋体" w:eastAsia="宋体" w:cs="宋体"/>
                <w:color w:val="auto"/>
                <w:sz w:val="22"/>
              </w:rPr>
              <w:t>分，每有一项负偏离扣</w:t>
            </w:r>
            <w:r>
              <w:rPr>
                <w:rFonts w:hint="eastAsia" w:ascii="宋体" w:hAnsi="宋体" w:eastAsia="宋体" w:cs="宋体"/>
                <w:color w:val="auto"/>
                <w:sz w:val="22"/>
                <w:u w:val="single"/>
              </w:rPr>
              <w:t xml:space="preserve"> 0.12 </w:t>
            </w:r>
            <w:r>
              <w:rPr>
                <w:rFonts w:hint="eastAsia" w:ascii="宋体" w:hAnsi="宋体" w:eastAsia="宋体" w:cs="宋体"/>
                <w:color w:val="auto"/>
                <w:sz w:val="22"/>
              </w:rPr>
              <w:t>分，扣完为止；</w:t>
            </w:r>
          </w:p>
          <w:p>
            <w:pPr>
              <w:spacing w:line="276" w:lineRule="auto"/>
              <w:ind w:firstLine="220" w:firstLineChars="100"/>
              <w:rPr>
                <w:rFonts w:hint="eastAsia" w:ascii="宋体" w:hAnsi="宋体" w:eastAsia="宋体" w:cs="宋体"/>
                <w:b/>
                <w:bCs/>
                <w:color w:val="auto"/>
                <w:sz w:val="22"/>
              </w:rPr>
            </w:pPr>
            <w:r>
              <w:rPr>
                <w:rFonts w:hint="eastAsia" w:ascii="宋体" w:hAnsi="宋体" w:eastAsia="宋体" w:cs="宋体"/>
                <w:bCs/>
                <w:color w:val="auto"/>
                <w:sz w:val="22"/>
              </w:rPr>
              <w:t>“▲”</w:t>
            </w:r>
            <w:r>
              <w:rPr>
                <w:rFonts w:hint="eastAsia" w:ascii="宋体" w:hAnsi="宋体" w:eastAsia="宋体" w:cs="宋体"/>
                <w:color w:val="auto"/>
                <w:sz w:val="22"/>
              </w:rPr>
              <w:t>“★”</w:t>
            </w:r>
            <w:r>
              <w:rPr>
                <w:rFonts w:hint="eastAsia" w:ascii="宋体" w:hAnsi="宋体" w:eastAsia="宋体" w:cs="宋体"/>
                <w:b/>
                <w:bCs/>
                <w:color w:val="auto"/>
                <w:sz w:val="22"/>
              </w:rPr>
              <w:t>号技术需提供相关证明材料，未提供有效证明材料或证明材料中内容与所填报指标不一致的，该指标按负偏离处理。</w:t>
            </w:r>
          </w:p>
          <w:p>
            <w:pPr>
              <w:spacing w:line="276" w:lineRule="auto"/>
              <w:rPr>
                <w:rFonts w:hint="eastAsia" w:ascii="宋体" w:hAnsi="宋体" w:eastAsia="宋体" w:cs="宋体"/>
                <w:b/>
                <w:bCs/>
                <w:color w:val="auto"/>
                <w:sz w:val="22"/>
              </w:rPr>
            </w:pPr>
            <w:r>
              <w:rPr>
                <w:rFonts w:hint="eastAsia" w:ascii="宋体" w:hAnsi="宋体" w:eastAsia="宋体" w:cs="宋体"/>
                <w:b/>
                <w:bCs/>
                <w:color w:val="auto"/>
                <w:sz w:val="22"/>
              </w:rPr>
              <w:t>备注：证明材料为生产厂家官方网站截图或第三方机构出具的检验报告或加盖制造商（含其分支机构）公章的产品白皮书或加盖制造商（含其分支机构）公章的制造商公开发布的彩色印刷资料。（各项指标要求中对证明材料另有要求的从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总分</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493"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说明：评分表中规定的“合理性、科学性”表示，供应商响应方案中已完全涵盖该项评审内容的所有分项内容，且对该分项内容有详细的描述。</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评分表中规定的“可行性、针对性”表示，供应商响应方案中所列的相关分项内容，从项目的需求和供应商的自身实力出发具有可行性，且供应商能针对相关方案在承诺的交付期/质保期内具体实施或实现。</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评分表中的“未响应或未提供”表示：供应商响应方案中未提及相关分项内容，或针对分项内容只有标题，或者对该项内容进行简单的解释，无明确的落地方案。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的“缺陷或缺漏”表示：供应商响应方案中明确涉及了相关分项内容，并针对分项内容有针对性的进行了实施阐述，但阐述内容过于简单、粗陋，或从项目的需求和供应商的自身实力出发不具有可行性，或方案中有明显的逻辑错误或违背客观科学规律。</w:t>
            </w:r>
          </w:p>
        </w:tc>
      </w:tr>
    </w:tbl>
    <w:p>
      <w:pPr>
        <w:pStyle w:val="2"/>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b/>
          <w:bCs/>
          <w:color w:val="auto"/>
          <w:sz w:val="32"/>
          <w:szCs w:val="40"/>
        </w:rPr>
      </w:pPr>
      <w:r>
        <w:rPr>
          <w:rFonts w:hint="eastAsia" w:ascii="宋体" w:hAnsi="宋体" w:eastAsia="宋体" w:cs="宋体"/>
          <w:b/>
          <w:bCs/>
          <w:sz w:val="32"/>
          <w:szCs w:val="40"/>
        </w:rPr>
        <w:br w:type="page"/>
      </w:r>
      <w:r>
        <w:rPr>
          <w:rFonts w:hint="eastAsia" w:ascii="宋体" w:hAnsi="宋体" w:eastAsia="宋体" w:cs="宋体"/>
          <w:b/>
          <w:bCs/>
          <w:sz w:val="24"/>
          <w:szCs w:val="32"/>
        </w:rPr>
        <w:t>02</w:t>
      </w:r>
      <w:r>
        <w:rPr>
          <w:rFonts w:hint="eastAsia" w:ascii="宋体" w:hAnsi="宋体" w:eastAsia="宋体" w:cs="宋体"/>
          <w:b/>
          <w:bCs/>
          <w:color w:val="auto"/>
          <w:sz w:val="24"/>
          <w:szCs w:val="32"/>
        </w:rPr>
        <w:t>包：纳米颗粒跟踪分析仪</w:t>
      </w:r>
    </w:p>
    <w:tbl>
      <w:tblPr>
        <w:tblStyle w:val="2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85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评审分项</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满分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评审内容及分值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9"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价格</w:t>
            </w:r>
          </w:p>
          <w:p>
            <w:pPr>
              <w:pStyle w:val="7"/>
              <w:jc w:val="center"/>
              <w:rPr>
                <w:rFonts w:hint="eastAsia" w:ascii="宋体" w:hAnsi="宋体" w:eastAsia="宋体" w:cs="宋体"/>
                <w:color w:val="auto"/>
                <w:sz w:val="22"/>
              </w:rPr>
            </w:pPr>
            <w:r>
              <w:rPr>
                <w:rFonts w:hint="eastAsia" w:ascii="宋体" w:hAnsi="宋体" w:eastAsia="宋体" w:cs="宋体"/>
                <w:color w:val="auto"/>
                <w:sz w:val="22"/>
              </w:rPr>
              <w:t>35分</w:t>
            </w:r>
          </w:p>
          <w:p>
            <w:pPr>
              <w:pStyle w:val="7"/>
              <w:jc w:val="center"/>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报价得分</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35分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1、满足招标文件要求且投标价格最低的投标报价为评标基准价(D)，其价格分为满分(35分)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2、其他合格供应商的投标报价得分按如下公式计算：</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投标报价得分=(评标基准价D／投标报价V)×35</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备注：符合本招标文件政府采购优惠政策”规定的，在评审时予以价格扣除，用扣除后的价格参与评审。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1129" w:type="dxa"/>
            <w:vMerge w:val="restart"/>
            <w:tcBorders>
              <w:left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商务</w:t>
            </w:r>
          </w:p>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14分</w:t>
            </w:r>
          </w:p>
          <w:p>
            <w:pPr>
              <w:pStyle w:val="2"/>
              <w:rPr>
                <w:rFonts w:hint="eastAsia" w:ascii="宋体" w:hAnsi="宋体" w:eastAsia="宋体" w:cs="宋体"/>
                <w:color w:val="auto"/>
                <w:sz w:val="22"/>
              </w:rPr>
            </w:pPr>
          </w:p>
          <w:p>
            <w:pPr>
              <w:pStyle w:val="2"/>
              <w:rPr>
                <w:rFonts w:hint="eastAsia" w:ascii="宋体" w:hAnsi="宋体" w:eastAsia="宋体" w:cs="宋体"/>
                <w:color w:val="auto"/>
                <w:sz w:val="22"/>
              </w:rPr>
            </w:pPr>
          </w:p>
        </w:tc>
        <w:tc>
          <w:tcPr>
            <w:tcW w:w="1276"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质保期</w:t>
            </w:r>
          </w:p>
          <w:p>
            <w:pPr>
              <w:pStyle w:val="2"/>
              <w:rPr>
                <w:rFonts w:hint="eastAsia" w:ascii="宋体" w:hAnsi="宋体" w:eastAsia="宋体" w:cs="宋体"/>
                <w:color w:val="auto"/>
                <w:sz w:val="22"/>
              </w:rPr>
            </w:pPr>
          </w:p>
        </w:tc>
        <w:tc>
          <w:tcPr>
            <w:tcW w:w="851"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1.在满足招标文件要求的基础上，质保期每增加</w:t>
            </w:r>
            <w:r>
              <w:rPr>
                <w:rFonts w:hint="eastAsia" w:ascii="宋体" w:hAnsi="宋体" w:eastAsia="宋体" w:cs="宋体"/>
                <w:color w:val="auto"/>
                <w:sz w:val="22"/>
                <w:u w:val="single"/>
              </w:rPr>
              <w:t xml:space="preserve"> 1 </w:t>
            </w:r>
            <w:r>
              <w:rPr>
                <w:rFonts w:hint="eastAsia" w:ascii="宋体" w:hAnsi="宋体" w:eastAsia="宋体" w:cs="宋体"/>
                <w:color w:val="auto"/>
                <w:sz w:val="22"/>
              </w:rPr>
              <w:t>年，得</w:t>
            </w:r>
            <w:r>
              <w:rPr>
                <w:rFonts w:hint="eastAsia" w:ascii="宋体" w:hAnsi="宋体" w:eastAsia="宋体" w:cs="宋体"/>
                <w:color w:val="auto"/>
                <w:sz w:val="22"/>
                <w:u w:val="single"/>
              </w:rPr>
              <w:t xml:space="preserve"> 1</w:t>
            </w:r>
            <w:r>
              <w:rPr>
                <w:rFonts w:hint="eastAsia" w:ascii="宋体" w:hAnsi="宋体" w:eastAsia="宋体" w:cs="宋体"/>
                <w:color w:val="auto"/>
                <w:sz w:val="22"/>
              </w:rPr>
              <w:t>分，此项最多得</w:t>
            </w:r>
            <w:r>
              <w:rPr>
                <w:rFonts w:hint="eastAsia" w:ascii="宋体" w:hAnsi="宋体" w:eastAsia="宋体" w:cs="宋体"/>
                <w:color w:val="auto"/>
                <w:sz w:val="22"/>
                <w:u w:val="single"/>
              </w:rPr>
              <w:t xml:space="preserve"> 2 </w:t>
            </w:r>
            <w:r>
              <w:rPr>
                <w:rFonts w:hint="eastAsia" w:ascii="宋体" w:hAnsi="宋体" w:eastAsia="宋体" w:cs="宋体"/>
                <w:color w:val="auto"/>
                <w:sz w:val="22"/>
              </w:rPr>
              <w:t>分。</w:t>
            </w:r>
          </w:p>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2.提供所投产品原厂售后服务承诺函扫描件加盖原厂公章的得</w:t>
            </w:r>
            <w:r>
              <w:rPr>
                <w:rFonts w:hint="eastAsia" w:ascii="宋体" w:hAnsi="宋体" w:eastAsia="宋体" w:cs="宋体"/>
                <w:color w:val="auto"/>
                <w:sz w:val="22"/>
                <w:u w:val="single"/>
              </w:rPr>
              <w:t xml:space="preserve"> 1 </w:t>
            </w:r>
            <w:r>
              <w:rPr>
                <w:rFonts w:hint="eastAsia" w:ascii="宋体" w:hAnsi="宋体" w:eastAsia="宋体" w:cs="宋体"/>
                <w:color w:val="auto"/>
                <w:sz w:val="22"/>
              </w:rPr>
              <w:t>分,未提供承诺函不得分。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4"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类似业绩</w:t>
            </w:r>
          </w:p>
          <w:p>
            <w:pPr>
              <w:pStyle w:val="2"/>
              <w:rPr>
                <w:rFonts w:hint="eastAsia" w:ascii="宋体" w:hAnsi="宋体" w:eastAsia="宋体" w:cs="宋体"/>
                <w:color w:val="auto"/>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4分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根据所投产品</w:t>
            </w:r>
            <w:r>
              <w:rPr>
                <w:rFonts w:hint="eastAsia" w:ascii="宋体" w:hAnsi="宋体" w:eastAsia="宋体" w:cs="宋体"/>
                <w:color w:val="auto"/>
                <w:sz w:val="22"/>
                <w:u w:val="single"/>
              </w:rPr>
              <w:t>（投标截止日前三年以来）</w:t>
            </w:r>
            <w:r>
              <w:rPr>
                <w:rFonts w:hint="eastAsia" w:ascii="宋体" w:hAnsi="宋体" w:eastAsia="宋体" w:cs="宋体"/>
                <w:color w:val="auto"/>
                <w:sz w:val="22"/>
              </w:rPr>
              <w:t>类似项目业绩打分（须提供中标通知书或供货合同，没有提供的不得分），每个得</w:t>
            </w:r>
            <w:r>
              <w:rPr>
                <w:rFonts w:hint="eastAsia" w:ascii="宋体" w:hAnsi="宋体" w:eastAsia="宋体" w:cs="宋体"/>
                <w:color w:val="auto"/>
                <w:sz w:val="22"/>
                <w:u w:val="single"/>
              </w:rPr>
              <w:t xml:space="preserve"> 1 </w:t>
            </w:r>
            <w:r>
              <w:rPr>
                <w:rFonts w:hint="eastAsia" w:ascii="宋体" w:hAnsi="宋体" w:eastAsia="宋体" w:cs="宋体"/>
                <w:color w:val="auto"/>
                <w:sz w:val="22"/>
              </w:rPr>
              <w:t xml:space="preserve">分，最多得 </w:t>
            </w:r>
            <w:r>
              <w:rPr>
                <w:rFonts w:hint="eastAsia" w:ascii="宋体" w:hAnsi="宋体" w:eastAsia="宋体" w:cs="宋体"/>
                <w:color w:val="auto"/>
                <w:sz w:val="22"/>
                <w:u w:val="single"/>
              </w:rPr>
              <w:t xml:space="preserve"> 4 </w:t>
            </w:r>
            <w:r>
              <w:rPr>
                <w:rFonts w:hint="eastAsia" w:ascii="宋体" w:hAnsi="宋体" w:eastAsia="宋体" w:cs="宋体"/>
                <w:color w:val="auto"/>
                <w:sz w:val="22"/>
              </w:rPr>
              <w:t>分。未提供或未按要求的提供不得分。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安装验收方案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4分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一、评审内容：</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根据供应商提供的安装验收方案进行打分，包括但不限于：</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1、对本项目交付提供的供货方案、安装实施方案；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2、对本项目交付、验收标准提供的方案。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二、评审标准：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（1）合理性、科学性：必须完整，设想合理、恰当；</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（2）可行性、针对性：根据采购文件要求提出操作性强的方案；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每条评审内容完全满足以上2条评审标准的得2分。完全满足以上一条评审标准得1分，评审内容存在缺陷或缺漏的得0.5分，未响应或未提供的得0分。满分4分。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培训及售后服务方案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一、评审内容：</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根据供应商提供的培训及售后服务方案进行打分，包括但不限于：</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1、对本项目提供的培训及售后服务保证方案（包含培训内容及人员安排、质保期内售后巡检及售后服务网点、维修方案、人员安排及零配件及备品备件）；</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2、对本项目实施过程中可能出现疑难问题、突发事件提供的应急预案。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二、评审标准：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（1）合理性、科学性：必须完整，设想合理、恰当；</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（2）可行性、针对性：根据采购文件要求提出操作性强的方案；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每条评审内容完全满足以上2条评审标准的得1.5分。完全满足以上一条评审标准得0.75分，评审内容存在缺陷或缺漏的得0.5分，未响应或未提供的得0分。满分3分。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9" w:hRule="atLeast"/>
          <w:jc w:val="center"/>
        </w:trPr>
        <w:tc>
          <w:tcPr>
            <w:tcW w:w="1129"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技术</w:t>
            </w:r>
          </w:p>
          <w:p>
            <w:pPr>
              <w:pStyle w:val="7"/>
              <w:jc w:val="center"/>
              <w:rPr>
                <w:rFonts w:hint="eastAsia" w:ascii="宋体" w:hAnsi="宋体" w:eastAsia="宋体" w:cs="宋体"/>
                <w:color w:val="auto"/>
                <w:sz w:val="22"/>
              </w:rPr>
            </w:pPr>
            <w:r>
              <w:rPr>
                <w:rFonts w:hint="eastAsia" w:ascii="宋体" w:hAnsi="宋体" w:eastAsia="宋体" w:cs="宋体"/>
                <w:color w:val="auto"/>
                <w:sz w:val="22"/>
              </w:rPr>
              <w:t>51分</w:t>
            </w:r>
          </w:p>
          <w:p>
            <w:pPr>
              <w:pStyle w:val="7"/>
              <w:rPr>
                <w:rFonts w:hint="eastAsia" w:ascii="宋体" w:hAnsi="宋体" w:eastAsia="宋体" w:cs="宋体"/>
                <w:color w:val="auto"/>
                <w:sz w:val="22"/>
              </w:rPr>
            </w:pPr>
          </w:p>
          <w:p>
            <w:pPr>
              <w:pStyle w:val="7"/>
              <w:rPr>
                <w:rFonts w:hint="eastAsia" w:ascii="宋体" w:hAnsi="宋体" w:eastAsia="宋体" w:cs="宋体"/>
                <w:color w:val="auto"/>
                <w:sz w:val="22"/>
              </w:rPr>
            </w:pPr>
          </w:p>
        </w:tc>
        <w:tc>
          <w:tcPr>
            <w:tcW w:w="1276"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产品技术响应、主要参数和其他重要性能指标</w:t>
            </w:r>
          </w:p>
        </w:tc>
        <w:tc>
          <w:tcPr>
            <w:tcW w:w="851"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51分</w:t>
            </w:r>
          </w:p>
        </w:tc>
        <w:tc>
          <w:tcPr>
            <w:tcW w:w="6237"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投标产品的技术规格符合招标文件要求，能完全满足使用要求得</w:t>
            </w:r>
            <w:r>
              <w:rPr>
                <w:rFonts w:hint="eastAsia" w:ascii="宋体" w:hAnsi="宋体" w:eastAsia="宋体" w:cs="宋体"/>
                <w:color w:val="auto"/>
                <w:sz w:val="22"/>
                <w:u w:val="single"/>
              </w:rPr>
              <w:t>51</w:t>
            </w:r>
            <w:r>
              <w:rPr>
                <w:rFonts w:hint="eastAsia" w:ascii="宋体" w:hAnsi="宋体" w:eastAsia="宋体" w:cs="宋体"/>
                <w:color w:val="auto"/>
                <w:sz w:val="22"/>
              </w:rPr>
              <w:t>分。如技术参数指标低于招标文件第三章中技术要求，即为负偏离。</w:t>
            </w:r>
          </w:p>
          <w:p>
            <w:pPr>
              <w:spacing w:line="276" w:lineRule="auto"/>
              <w:rPr>
                <w:rFonts w:hint="eastAsia" w:ascii="宋体" w:hAnsi="宋体" w:eastAsia="宋体" w:cs="宋体"/>
                <w:color w:val="auto"/>
                <w:sz w:val="22"/>
              </w:rPr>
            </w:pPr>
            <w:r>
              <w:rPr>
                <w:rFonts w:hint="eastAsia" w:ascii="宋体" w:hAnsi="宋体" w:eastAsia="宋体" w:cs="宋体"/>
                <w:b/>
                <w:color w:val="auto"/>
                <w:sz w:val="22"/>
              </w:rPr>
              <w:t>1、</w:t>
            </w:r>
            <w:r>
              <w:rPr>
                <w:rFonts w:hint="eastAsia" w:ascii="宋体" w:hAnsi="宋体" w:eastAsia="宋体" w:cs="宋体"/>
                <w:color w:val="auto"/>
                <w:sz w:val="22"/>
              </w:rPr>
              <w:t>“★”参数为重要参数（共计</w:t>
            </w:r>
            <w:r>
              <w:rPr>
                <w:rFonts w:hint="eastAsia" w:ascii="宋体" w:hAnsi="宋体" w:eastAsia="宋体" w:cs="宋体"/>
                <w:color w:val="auto"/>
                <w:sz w:val="22"/>
                <w:u w:val="single"/>
              </w:rPr>
              <w:t xml:space="preserve"> 7 </w:t>
            </w:r>
            <w:r>
              <w:rPr>
                <w:rFonts w:hint="eastAsia" w:ascii="宋体" w:hAnsi="宋体" w:eastAsia="宋体" w:cs="宋体"/>
                <w:color w:val="auto"/>
                <w:sz w:val="22"/>
              </w:rPr>
              <w:t>项）完全满足采购文件得</w:t>
            </w:r>
            <w:r>
              <w:rPr>
                <w:rFonts w:hint="eastAsia" w:ascii="宋体" w:hAnsi="宋体" w:eastAsia="宋体" w:cs="宋体"/>
                <w:color w:val="auto"/>
                <w:sz w:val="22"/>
                <w:u w:val="single"/>
              </w:rPr>
              <w:t>31.5</w:t>
            </w:r>
            <w:r>
              <w:rPr>
                <w:rFonts w:hint="eastAsia" w:ascii="宋体" w:hAnsi="宋体" w:eastAsia="宋体" w:cs="宋体"/>
                <w:color w:val="auto"/>
                <w:sz w:val="22"/>
              </w:rPr>
              <w:t>分，每有一项负偏离扣4.5分，扣完为止；</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2、未标注参数为一般参数（共计</w:t>
            </w:r>
            <w:r>
              <w:rPr>
                <w:rFonts w:hint="eastAsia" w:ascii="宋体" w:hAnsi="宋体" w:eastAsia="宋体" w:cs="宋体"/>
                <w:color w:val="auto"/>
                <w:sz w:val="22"/>
                <w:u w:val="single"/>
              </w:rPr>
              <w:t xml:space="preserve"> 13 </w:t>
            </w:r>
            <w:r>
              <w:rPr>
                <w:rFonts w:hint="eastAsia" w:ascii="宋体" w:hAnsi="宋体" w:eastAsia="宋体" w:cs="宋体"/>
                <w:color w:val="auto"/>
                <w:sz w:val="22"/>
              </w:rPr>
              <w:t>项）完全满足采购文件得</w:t>
            </w:r>
            <w:r>
              <w:rPr>
                <w:rFonts w:hint="eastAsia" w:ascii="宋体" w:hAnsi="宋体" w:eastAsia="宋体" w:cs="宋体"/>
                <w:color w:val="auto"/>
                <w:sz w:val="22"/>
                <w:u w:val="single"/>
              </w:rPr>
              <w:t xml:space="preserve"> 19.5</w:t>
            </w:r>
            <w:r>
              <w:rPr>
                <w:rFonts w:hint="eastAsia" w:ascii="宋体" w:hAnsi="宋体" w:eastAsia="宋体" w:cs="宋体"/>
                <w:color w:val="auto"/>
                <w:sz w:val="22"/>
              </w:rPr>
              <w:t>分，每有一项负偏离扣</w:t>
            </w:r>
            <w:r>
              <w:rPr>
                <w:rFonts w:hint="eastAsia" w:ascii="宋体" w:hAnsi="宋体" w:eastAsia="宋体" w:cs="宋体"/>
                <w:color w:val="auto"/>
                <w:sz w:val="22"/>
                <w:u w:val="single"/>
              </w:rPr>
              <w:t xml:space="preserve"> 1.5 </w:t>
            </w:r>
            <w:r>
              <w:rPr>
                <w:rFonts w:hint="eastAsia" w:ascii="宋体" w:hAnsi="宋体" w:eastAsia="宋体" w:cs="宋体"/>
                <w:color w:val="auto"/>
                <w:sz w:val="22"/>
              </w:rPr>
              <w:t>分，扣完为止；</w:t>
            </w:r>
          </w:p>
          <w:p>
            <w:pPr>
              <w:spacing w:line="276" w:lineRule="auto"/>
              <w:ind w:firstLine="220" w:firstLineChars="100"/>
              <w:rPr>
                <w:rFonts w:hint="eastAsia" w:ascii="宋体" w:hAnsi="宋体" w:eastAsia="宋体" w:cs="宋体"/>
                <w:b/>
                <w:bCs/>
                <w:color w:val="auto"/>
                <w:sz w:val="22"/>
              </w:rPr>
            </w:pPr>
            <w:r>
              <w:rPr>
                <w:rFonts w:hint="eastAsia" w:ascii="宋体" w:hAnsi="宋体" w:eastAsia="宋体" w:cs="宋体"/>
                <w:color w:val="auto"/>
                <w:sz w:val="22"/>
              </w:rPr>
              <w:t>“★”</w:t>
            </w:r>
            <w:r>
              <w:rPr>
                <w:rFonts w:hint="eastAsia" w:ascii="宋体" w:hAnsi="宋体" w:eastAsia="宋体" w:cs="宋体"/>
                <w:b/>
                <w:bCs/>
                <w:color w:val="auto"/>
                <w:sz w:val="22"/>
              </w:rPr>
              <w:t>号技术需提供相关证明材料，未提供有效证明材料或证明材料中内容与所填报指标不一致的，该指标按负偏离处理。</w:t>
            </w:r>
          </w:p>
          <w:p>
            <w:pPr>
              <w:spacing w:line="276" w:lineRule="auto"/>
              <w:rPr>
                <w:rFonts w:hint="eastAsia" w:ascii="宋体" w:hAnsi="宋体" w:eastAsia="宋体" w:cs="宋体"/>
                <w:b/>
                <w:bCs/>
                <w:color w:val="auto"/>
                <w:sz w:val="22"/>
              </w:rPr>
            </w:pPr>
            <w:r>
              <w:rPr>
                <w:rFonts w:hint="eastAsia" w:ascii="宋体" w:hAnsi="宋体" w:eastAsia="宋体" w:cs="宋体"/>
                <w:b/>
                <w:bCs/>
                <w:color w:val="auto"/>
                <w:sz w:val="22"/>
              </w:rPr>
              <w:t>备注：证明材料为生产厂家官方网站截图或第三方机构出具的检验报告或加盖制造商（含其分支机构）公章的产品白皮书或加盖制造商（含其分支机构）公章的制造商公开发布的彩色印刷资料。（各项指标要求中对证明材料另有要求的从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总分</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493"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说明：评分表中规定的“合理性、科学性”表示，供应商响应方案中已完全涵盖该项评审内容的所有分项内容，且对该分项内容有详细的描述。</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评分表中规定的“可行性、针对性”表示，供应商响应方案中所列的相关分项内容，从项目的需求和供应商的自身实力出发具有可行性，且供应商能针对相关方案在承诺的交付期/质保期内具体实施或实现。</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评分表中的“未响应或未提供”表示：供应商响应方案中未提及相关分项内容，或针对分项内容只有标题，或者对该项内容进行简单的解释，无明确的落地方案。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的“缺陷或缺漏”表示：供应商响应方案中明确涉及了相关分项内容，并针对分项内容有针对性的进行了实施阐述，但阐述内容过于简单、粗陋，或从项目的需求和供应商的自身实力出发不具有可行性，或方案中有明显的逻辑错误或违背客观科学规律。</w:t>
            </w:r>
          </w:p>
        </w:tc>
      </w:tr>
    </w:tbl>
    <w:p>
      <w:pPr>
        <w:rPr>
          <w:rFonts w:hint="eastAsia" w:ascii="宋体" w:hAnsi="宋体" w:eastAsia="宋体" w:cs="宋体"/>
          <w:b/>
          <w:bCs/>
          <w:color w:val="auto"/>
          <w:sz w:val="32"/>
          <w:szCs w:val="40"/>
        </w:rPr>
      </w:pPr>
      <w:r>
        <w:rPr>
          <w:rFonts w:hint="eastAsia" w:ascii="宋体" w:hAnsi="宋体" w:eastAsia="宋体" w:cs="宋体"/>
          <w:b/>
          <w:bCs/>
          <w:color w:val="auto"/>
          <w:sz w:val="32"/>
          <w:szCs w:val="40"/>
        </w:rPr>
        <w:br w:type="page"/>
      </w:r>
      <w:r>
        <w:rPr>
          <w:rFonts w:hint="eastAsia" w:ascii="宋体" w:hAnsi="宋体" w:eastAsia="宋体" w:cs="宋体"/>
          <w:b/>
          <w:bCs/>
          <w:color w:val="auto"/>
          <w:sz w:val="24"/>
          <w:szCs w:val="32"/>
        </w:rPr>
        <w:t>03包：高效液相色谱仪</w:t>
      </w:r>
    </w:p>
    <w:tbl>
      <w:tblPr>
        <w:tblStyle w:val="2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85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评审分项</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满分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评审内容及分值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9"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价格</w:t>
            </w:r>
          </w:p>
          <w:p>
            <w:pPr>
              <w:pStyle w:val="7"/>
              <w:jc w:val="center"/>
              <w:rPr>
                <w:rFonts w:hint="eastAsia" w:ascii="宋体" w:hAnsi="宋体" w:eastAsia="宋体" w:cs="宋体"/>
                <w:color w:val="auto"/>
                <w:sz w:val="22"/>
              </w:rPr>
            </w:pPr>
            <w:r>
              <w:rPr>
                <w:rFonts w:hint="eastAsia" w:ascii="宋体" w:hAnsi="宋体" w:eastAsia="宋体" w:cs="宋体"/>
                <w:color w:val="auto"/>
                <w:sz w:val="22"/>
              </w:rPr>
              <w:t>35分</w:t>
            </w:r>
          </w:p>
          <w:p>
            <w:pPr>
              <w:pStyle w:val="7"/>
              <w:jc w:val="center"/>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报价得分</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35分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1、满足招标文件要求且投标价格最低的投标报价为评标基准价(D)，其价格分为满分(35分)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2、其他合格供应商的投标报价得分按如下公式计算：</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投标报价得分=(评标基准价D／投标报价V)×35</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备注：符合本招标文件政府采购优惠政策”规定的，在评审时予以价格扣除，用扣除后的价格参与评审。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1129" w:type="dxa"/>
            <w:vMerge w:val="restart"/>
            <w:tcBorders>
              <w:left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商务</w:t>
            </w:r>
          </w:p>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15.2分</w:t>
            </w:r>
          </w:p>
          <w:p>
            <w:pPr>
              <w:pStyle w:val="2"/>
              <w:rPr>
                <w:rFonts w:hint="eastAsia" w:ascii="宋体" w:hAnsi="宋体" w:eastAsia="宋体" w:cs="宋体"/>
                <w:color w:val="auto"/>
                <w:sz w:val="22"/>
              </w:rPr>
            </w:pPr>
          </w:p>
          <w:p>
            <w:pPr>
              <w:pStyle w:val="2"/>
              <w:rPr>
                <w:rFonts w:hint="eastAsia" w:ascii="宋体" w:hAnsi="宋体" w:eastAsia="宋体" w:cs="宋体"/>
                <w:color w:val="auto"/>
                <w:sz w:val="22"/>
              </w:rPr>
            </w:pPr>
          </w:p>
        </w:tc>
        <w:tc>
          <w:tcPr>
            <w:tcW w:w="1276"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质保期</w:t>
            </w:r>
          </w:p>
          <w:p>
            <w:pPr>
              <w:pStyle w:val="2"/>
              <w:rPr>
                <w:rFonts w:hint="eastAsia" w:ascii="宋体" w:hAnsi="宋体" w:eastAsia="宋体" w:cs="宋体"/>
                <w:color w:val="auto"/>
                <w:sz w:val="22"/>
              </w:rPr>
            </w:pPr>
          </w:p>
        </w:tc>
        <w:tc>
          <w:tcPr>
            <w:tcW w:w="851"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1.在满足招标文件要求的基础上，质保期每增加</w:t>
            </w:r>
            <w:r>
              <w:rPr>
                <w:rFonts w:hint="eastAsia" w:ascii="宋体" w:hAnsi="宋体" w:eastAsia="宋体" w:cs="宋体"/>
                <w:color w:val="auto"/>
                <w:sz w:val="22"/>
                <w:u w:val="single"/>
              </w:rPr>
              <w:t xml:space="preserve"> 1 </w:t>
            </w:r>
            <w:r>
              <w:rPr>
                <w:rFonts w:hint="eastAsia" w:ascii="宋体" w:hAnsi="宋体" w:eastAsia="宋体" w:cs="宋体"/>
                <w:color w:val="auto"/>
                <w:sz w:val="22"/>
              </w:rPr>
              <w:t>年，得</w:t>
            </w:r>
            <w:r>
              <w:rPr>
                <w:rFonts w:hint="eastAsia" w:ascii="宋体" w:hAnsi="宋体" w:eastAsia="宋体" w:cs="宋体"/>
                <w:color w:val="auto"/>
                <w:sz w:val="22"/>
                <w:u w:val="single"/>
              </w:rPr>
              <w:t xml:space="preserve"> 1</w:t>
            </w:r>
            <w:r>
              <w:rPr>
                <w:rFonts w:hint="eastAsia" w:ascii="宋体" w:hAnsi="宋体" w:eastAsia="宋体" w:cs="宋体"/>
                <w:color w:val="auto"/>
                <w:sz w:val="22"/>
              </w:rPr>
              <w:t>分，此项最多得</w:t>
            </w:r>
            <w:r>
              <w:rPr>
                <w:rFonts w:hint="eastAsia" w:ascii="宋体" w:hAnsi="宋体" w:eastAsia="宋体" w:cs="宋体"/>
                <w:color w:val="auto"/>
                <w:sz w:val="22"/>
                <w:u w:val="single"/>
              </w:rPr>
              <w:t xml:space="preserve"> 2 </w:t>
            </w:r>
            <w:r>
              <w:rPr>
                <w:rFonts w:hint="eastAsia" w:ascii="宋体" w:hAnsi="宋体" w:eastAsia="宋体" w:cs="宋体"/>
                <w:color w:val="auto"/>
                <w:sz w:val="22"/>
              </w:rPr>
              <w:t>分。</w:t>
            </w:r>
          </w:p>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2.提供所投产品原厂售后服务承诺函扫描件加盖原厂公章的得</w:t>
            </w:r>
            <w:r>
              <w:rPr>
                <w:rFonts w:hint="eastAsia" w:ascii="宋体" w:hAnsi="宋体" w:eastAsia="宋体" w:cs="宋体"/>
                <w:color w:val="auto"/>
                <w:sz w:val="22"/>
                <w:u w:val="single"/>
              </w:rPr>
              <w:t xml:space="preserve"> 1 </w:t>
            </w:r>
            <w:r>
              <w:rPr>
                <w:rFonts w:hint="eastAsia" w:ascii="宋体" w:hAnsi="宋体" w:eastAsia="宋体" w:cs="宋体"/>
                <w:color w:val="auto"/>
                <w:sz w:val="22"/>
              </w:rPr>
              <w:t>分,未提供承诺函不得分。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4"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类似业绩</w:t>
            </w:r>
          </w:p>
          <w:p>
            <w:pPr>
              <w:pStyle w:val="2"/>
              <w:rPr>
                <w:rFonts w:hint="eastAsia" w:ascii="宋体" w:hAnsi="宋体" w:eastAsia="宋体" w:cs="宋体"/>
                <w:color w:val="auto"/>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根据所投产品</w:t>
            </w:r>
            <w:r>
              <w:rPr>
                <w:rFonts w:hint="eastAsia" w:ascii="宋体" w:hAnsi="宋体" w:eastAsia="宋体" w:cs="宋体"/>
                <w:color w:val="auto"/>
                <w:sz w:val="22"/>
                <w:u w:val="single"/>
              </w:rPr>
              <w:t>（投标截止日前三年以来）</w:t>
            </w:r>
            <w:r>
              <w:rPr>
                <w:rFonts w:hint="eastAsia" w:ascii="宋体" w:hAnsi="宋体" w:eastAsia="宋体" w:cs="宋体"/>
                <w:color w:val="auto"/>
                <w:sz w:val="22"/>
              </w:rPr>
              <w:t>类似项目业绩打分（须提供中标通知书或供货合同，没有提供的不得分），每个得</w:t>
            </w:r>
            <w:r>
              <w:rPr>
                <w:rFonts w:hint="eastAsia" w:ascii="宋体" w:hAnsi="宋体" w:eastAsia="宋体" w:cs="宋体"/>
                <w:color w:val="auto"/>
                <w:sz w:val="22"/>
                <w:u w:val="single"/>
              </w:rPr>
              <w:t xml:space="preserve"> 1 </w:t>
            </w:r>
            <w:r>
              <w:rPr>
                <w:rFonts w:hint="eastAsia" w:ascii="宋体" w:hAnsi="宋体" w:eastAsia="宋体" w:cs="宋体"/>
                <w:color w:val="auto"/>
                <w:sz w:val="22"/>
              </w:rPr>
              <w:t xml:space="preserve">分，最多得 </w:t>
            </w:r>
            <w:r>
              <w:rPr>
                <w:rFonts w:hint="eastAsia" w:ascii="宋体" w:hAnsi="宋体" w:eastAsia="宋体" w:cs="宋体"/>
                <w:color w:val="auto"/>
                <w:sz w:val="22"/>
                <w:u w:val="single"/>
              </w:rPr>
              <w:t xml:space="preserve"> 3</w:t>
            </w:r>
            <w:r>
              <w:rPr>
                <w:rFonts w:hint="eastAsia" w:ascii="宋体" w:hAnsi="宋体" w:eastAsia="宋体" w:cs="宋体"/>
                <w:color w:val="auto"/>
                <w:sz w:val="22"/>
              </w:rPr>
              <w:t>分。未提供或未按要求的提供不得分。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安装验收方案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5.2分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一、评审内容：</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根据供应商提供的安装验收方案进行打分，包括但不限于：</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1、对本项目交付提供的供货方案、安装实施方案；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2、对本项目交付、验收标准提供的方案。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二、评审标准：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（1）合理性、科学性：必须完整，设想合理、恰当；</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（2）可行性、针对性：根据采购文件要求提出操作性强的方案；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每条评审内容完全满足以上2条评审标准的得2.6分。完全满足以上一条评审标准得1分，评审内容存在缺陷或缺漏的得0.5分，未响应或未提供的得0分。满分5.2分。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培训及售后服务方案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4分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一、评审内容：</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根据供应商提供的培训及售后服务方案进行打分，包括但不限于：</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1、对本项目提供的培训及售后服务保证方案（包含培训内容及人员安排、质保期内售后巡检及售后服务网点、维修方案、人员安排及零配件及备品备件）；</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2、对本项目实施过程中可能出现疑难问题、突发事件提供的应急预案。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二、评审标准：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（1）合理性、科学性：必须完整，设想合理、恰当；</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（2）可行性、针对性：根据采购文件要求提出操作性强的方案；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每条评审内容完全满足以上2条评审标准的得2分。完全满足以上一条评审标准得1分，评审内容存在缺陷或缺漏的得0.5分，未响应或未提供的得0分。满分4分。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9" w:hRule="atLeast"/>
          <w:jc w:val="center"/>
        </w:trPr>
        <w:tc>
          <w:tcPr>
            <w:tcW w:w="1129"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技术</w:t>
            </w:r>
          </w:p>
          <w:p>
            <w:pPr>
              <w:pStyle w:val="7"/>
              <w:jc w:val="center"/>
              <w:rPr>
                <w:rFonts w:hint="eastAsia" w:ascii="宋体" w:hAnsi="宋体" w:eastAsia="宋体" w:cs="宋体"/>
                <w:color w:val="auto"/>
                <w:sz w:val="22"/>
              </w:rPr>
            </w:pPr>
            <w:r>
              <w:rPr>
                <w:rFonts w:hint="eastAsia" w:ascii="宋体" w:hAnsi="宋体" w:eastAsia="宋体" w:cs="宋体"/>
                <w:color w:val="auto"/>
                <w:sz w:val="22"/>
              </w:rPr>
              <w:t>49.8分</w:t>
            </w:r>
          </w:p>
          <w:p>
            <w:pPr>
              <w:pStyle w:val="7"/>
              <w:rPr>
                <w:rFonts w:hint="eastAsia" w:ascii="宋体" w:hAnsi="宋体" w:eastAsia="宋体" w:cs="宋体"/>
                <w:color w:val="auto"/>
                <w:sz w:val="22"/>
              </w:rPr>
            </w:pPr>
          </w:p>
          <w:p>
            <w:pPr>
              <w:pStyle w:val="7"/>
              <w:rPr>
                <w:rFonts w:hint="eastAsia" w:ascii="宋体" w:hAnsi="宋体" w:eastAsia="宋体" w:cs="宋体"/>
                <w:color w:val="auto"/>
                <w:sz w:val="22"/>
              </w:rPr>
            </w:pPr>
          </w:p>
        </w:tc>
        <w:tc>
          <w:tcPr>
            <w:tcW w:w="1276"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产品技术响应、主要参数和其他重要性能指标</w:t>
            </w:r>
          </w:p>
        </w:tc>
        <w:tc>
          <w:tcPr>
            <w:tcW w:w="851"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49.8分</w:t>
            </w:r>
          </w:p>
        </w:tc>
        <w:tc>
          <w:tcPr>
            <w:tcW w:w="6237"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投标产品的技术规格符合招标文件要求，能完全满足使用要求得</w:t>
            </w:r>
            <w:r>
              <w:rPr>
                <w:rFonts w:hint="eastAsia" w:ascii="宋体" w:hAnsi="宋体" w:eastAsia="宋体" w:cs="宋体"/>
                <w:color w:val="auto"/>
                <w:sz w:val="22"/>
                <w:u w:val="single"/>
              </w:rPr>
              <w:t xml:space="preserve">49.8 </w:t>
            </w:r>
            <w:r>
              <w:rPr>
                <w:rFonts w:hint="eastAsia" w:ascii="宋体" w:hAnsi="宋体" w:eastAsia="宋体" w:cs="宋体"/>
                <w:color w:val="auto"/>
                <w:sz w:val="22"/>
              </w:rPr>
              <w:t>分。如技术参数指标低于招标文件第三章中技术要求，即为负偏离。</w:t>
            </w:r>
          </w:p>
          <w:p>
            <w:pPr>
              <w:spacing w:line="276" w:lineRule="auto"/>
              <w:rPr>
                <w:rFonts w:hint="eastAsia" w:ascii="宋体" w:hAnsi="宋体" w:eastAsia="宋体" w:cs="宋体"/>
                <w:color w:val="auto"/>
                <w:sz w:val="22"/>
              </w:rPr>
            </w:pPr>
            <w:r>
              <w:rPr>
                <w:rFonts w:hint="eastAsia" w:ascii="宋体" w:hAnsi="宋体" w:eastAsia="宋体" w:cs="宋体"/>
                <w:b/>
                <w:color w:val="auto"/>
                <w:sz w:val="22"/>
              </w:rPr>
              <w:t>1、</w:t>
            </w:r>
            <w:r>
              <w:rPr>
                <w:rFonts w:hint="eastAsia" w:ascii="宋体" w:hAnsi="宋体" w:eastAsia="宋体" w:cs="宋体"/>
                <w:color w:val="auto"/>
                <w:sz w:val="22"/>
              </w:rPr>
              <w:t>“★”参数为重要参数（共计</w:t>
            </w:r>
            <w:r>
              <w:rPr>
                <w:rFonts w:hint="eastAsia" w:ascii="宋体" w:hAnsi="宋体" w:eastAsia="宋体" w:cs="宋体"/>
                <w:color w:val="auto"/>
                <w:sz w:val="22"/>
                <w:u w:val="single"/>
              </w:rPr>
              <w:t xml:space="preserve"> 6</w:t>
            </w:r>
            <w:r>
              <w:rPr>
                <w:rFonts w:hint="eastAsia" w:ascii="宋体" w:hAnsi="宋体" w:eastAsia="宋体" w:cs="宋体"/>
                <w:color w:val="auto"/>
                <w:sz w:val="22"/>
              </w:rPr>
              <w:t>项）完全满足采购文件得</w:t>
            </w:r>
            <w:r>
              <w:rPr>
                <w:rFonts w:hint="eastAsia" w:ascii="宋体" w:hAnsi="宋体" w:eastAsia="宋体" w:cs="宋体"/>
                <w:color w:val="auto"/>
                <w:sz w:val="22"/>
                <w:u w:val="single"/>
              </w:rPr>
              <w:t>12</w:t>
            </w:r>
            <w:r>
              <w:rPr>
                <w:rFonts w:hint="eastAsia" w:ascii="宋体" w:hAnsi="宋体" w:eastAsia="宋体" w:cs="宋体"/>
                <w:color w:val="auto"/>
                <w:sz w:val="22"/>
              </w:rPr>
              <w:t>分，每有一项负偏离扣2分，扣完为止；</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2、未标注参数为一般参数（共计</w:t>
            </w:r>
            <w:r>
              <w:rPr>
                <w:rFonts w:hint="eastAsia" w:ascii="宋体" w:hAnsi="宋体" w:eastAsia="宋体" w:cs="宋体"/>
                <w:color w:val="auto"/>
                <w:sz w:val="22"/>
                <w:u w:val="single"/>
              </w:rPr>
              <w:t xml:space="preserve"> 126 </w:t>
            </w:r>
            <w:r>
              <w:rPr>
                <w:rFonts w:hint="eastAsia" w:ascii="宋体" w:hAnsi="宋体" w:eastAsia="宋体" w:cs="宋体"/>
                <w:color w:val="auto"/>
                <w:sz w:val="22"/>
              </w:rPr>
              <w:t>项）完全满足采购文件得</w:t>
            </w:r>
            <w:r>
              <w:rPr>
                <w:rFonts w:hint="eastAsia" w:ascii="宋体" w:hAnsi="宋体" w:eastAsia="宋体" w:cs="宋体"/>
                <w:color w:val="auto"/>
                <w:sz w:val="22"/>
                <w:u w:val="single"/>
              </w:rPr>
              <w:t xml:space="preserve"> 37.8</w:t>
            </w:r>
            <w:r>
              <w:rPr>
                <w:rFonts w:hint="eastAsia" w:ascii="宋体" w:hAnsi="宋体" w:eastAsia="宋体" w:cs="宋体"/>
                <w:color w:val="auto"/>
                <w:sz w:val="22"/>
              </w:rPr>
              <w:t>分，每有一项负偏离扣</w:t>
            </w:r>
            <w:r>
              <w:rPr>
                <w:rFonts w:hint="eastAsia" w:ascii="宋体" w:hAnsi="宋体" w:eastAsia="宋体" w:cs="宋体"/>
                <w:color w:val="auto"/>
                <w:sz w:val="22"/>
                <w:u w:val="single"/>
              </w:rPr>
              <w:t xml:space="preserve"> 0.3 </w:t>
            </w:r>
            <w:r>
              <w:rPr>
                <w:rFonts w:hint="eastAsia" w:ascii="宋体" w:hAnsi="宋体" w:eastAsia="宋体" w:cs="宋体"/>
                <w:color w:val="auto"/>
                <w:sz w:val="22"/>
              </w:rPr>
              <w:t>分，扣完为止；</w:t>
            </w:r>
          </w:p>
          <w:p>
            <w:pPr>
              <w:spacing w:line="276" w:lineRule="auto"/>
              <w:ind w:firstLine="220" w:firstLineChars="100"/>
              <w:rPr>
                <w:rFonts w:hint="eastAsia" w:ascii="宋体" w:hAnsi="宋体" w:eastAsia="宋体" w:cs="宋体"/>
                <w:b/>
                <w:bCs/>
                <w:color w:val="auto"/>
                <w:sz w:val="22"/>
              </w:rPr>
            </w:pPr>
            <w:r>
              <w:rPr>
                <w:rFonts w:hint="eastAsia" w:ascii="宋体" w:hAnsi="宋体" w:eastAsia="宋体" w:cs="宋体"/>
                <w:color w:val="auto"/>
                <w:sz w:val="22"/>
              </w:rPr>
              <w:t>“★”</w:t>
            </w:r>
            <w:r>
              <w:rPr>
                <w:rFonts w:hint="eastAsia" w:ascii="宋体" w:hAnsi="宋体" w:eastAsia="宋体" w:cs="宋体"/>
                <w:b/>
                <w:bCs/>
                <w:color w:val="auto"/>
                <w:sz w:val="22"/>
              </w:rPr>
              <w:t>号技术需提供相关证明材料，未提供有效证明材料或证明材料中内容与所填报指标不一致的，该指标按负偏离处理。</w:t>
            </w:r>
          </w:p>
          <w:p>
            <w:pPr>
              <w:spacing w:line="276" w:lineRule="auto"/>
              <w:rPr>
                <w:rFonts w:hint="eastAsia" w:ascii="宋体" w:hAnsi="宋体" w:eastAsia="宋体" w:cs="宋体"/>
                <w:b/>
                <w:bCs/>
                <w:color w:val="auto"/>
                <w:sz w:val="22"/>
              </w:rPr>
            </w:pPr>
            <w:r>
              <w:rPr>
                <w:rFonts w:hint="eastAsia" w:ascii="宋体" w:hAnsi="宋体" w:eastAsia="宋体" w:cs="宋体"/>
                <w:b/>
                <w:bCs/>
                <w:color w:val="auto"/>
                <w:sz w:val="22"/>
              </w:rPr>
              <w:t>备注：证明材料为生产厂家官方网站截图或第三方机构出具的检验报告或加盖制造商（含其分支机构）公章的产品白皮书或加盖制造商（含其分支机构）公章的制造商公开发布的彩色印刷资料。（各项指标要求中对证明材料另有要求的从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总分</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493"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说明：评分表中规定的“合理性、科学性”表示，供应商响应方案中已完全涵盖该项评审内容的所有分项内容，且对该分项内容有详细的描述。</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评分表中规定的“可行性、针对性”表示，供应商响应方案中所列的相关分项内容，从项目的需求和供应商的自身实力出发具有可行性，且供应商能针对相关方案在承诺的交付期/质保期内具体实施或实现。</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评分表中的“未响应或未提供”表示：供应商响应方案中未提及相关分项内容，或针对分项内容只有标题，或者对该项内容进行简单的解释，无明确的落地方案。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的“缺陷或缺漏”表示：供应商响应方案中明确涉及了相关分项内容，并针对分项内容有针对性的进行了实施阐述，但阐述内容过于简单、粗陋，或从项目的需求和供应商的自身实力出发不具有可行性，或方案中有明显的逻辑错误或违背客观科学规律。</w:t>
            </w:r>
          </w:p>
        </w:tc>
      </w:tr>
    </w:tbl>
    <w:p>
      <w:pPr>
        <w:rPr>
          <w:rFonts w:hint="eastAsia" w:ascii="宋体" w:hAnsi="宋体" w:eastAsia="宋体" w:cs="宋体"/>
          <w:b/>
          <w:bCs/>
          <w:color w:val="auto"/>
          <w:sz w:val="32"/>
          <w:szCs w:val="40"/>
        </w:rPr>
      </w:pPr>
      <w:r>
        <w:rPr>
          <w:rFonts w:hint="eastAsia" w:ascii="宋体" w:hAnsi="宋体" w:eastAsia="宋体" w:cs="宋体"/>
          <w:b/>
          <w:bCs/>
          <w:color w:val="auto"/>
          <w:sz w:val="32"/>
          <w:szCs w:val="40"/>
        </w:rPr>
        <w:br w:type="page"/>
      </w:r>
      <w:r>
        <w:rPr>
          <w:rFonts w:hint="eastAsia" w:ascii="宋体" w:hAnsi="宋体" w:eastAsia="宋体" w:cs="宋体"/>
          <w:b/>
          <w:bCs/>
          <w:color w:val="auto"/>
          <w:sz w:val="24"/>
          <w:szCs w:val="32"/>
        </w:rPr>
        <w:t>04包：高速大容量离心机</w:t>
      </w:r>
    </w:p>
    <w:tbl>
      <w:tblPr>
        <w:tblStyle w:val="2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85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评审分项</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满分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评审内容及分值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9"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价格</w:t>
            </w:r>
          </w:p>
          <w:p>
            <w:pPr>
              <w:pStyle w:val="7"/>
              <w:jc w:val="center"/>
              <w:rPr>
                <w:rFonts w:hint="eastAsia" w:ascii="宋体" w:hAnsi="宋体" w:eastAsia="宋体" w:cs="宋体"/>
                <w:color w:val="auto"/>
                <w:sz w:val="22"/>
              </w:rPr>
            </w:pPr>
            <w:r>
              <w:rPr>
                <w:rFonts w:hint="eastAsia" w:ascii="宋体" w:hAnsi="宋体" w:eastAsia="宋体" w:cs="宋体"/>
                <w:color w:val="auto"/>
                <w:sz w:val="22"/>
              </w:rPr>
              <w:t>35分</w:t>
            </w:r>
          </w:p>
          <w:p>
            <w:pPr>
              <w:pStyle w:val="7"/>
              <w:jc w:val="center"/>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报价得分</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35分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1、满足招标文件要求且投标价格最低的投标报价为评标基准价(D)，其价格分为满分(35分)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2、其他合格供应商的投标报价得分按如下公式计算：</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投标报价得分=(评标基准价D／投标报价V)×35</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备注：符合本招标文件政府采购优惠政策”规定的，在评审时予以价格扣除，用扣除后的价格参与评审。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1129" w:type="dxa"/>
            <w:vMerge w:val="restart"/>
            <w:tcBorders>
              <w:left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商务</w:t>
            </w:r>
          </w:p>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11分</w:t>
            </w:r>
          </w:p>
          <w:p>
            <w:pPr>
              <w:pStyle w:val="2"/>
              <w:rPr>
                <w:rFonts w:hint="eastAsia" w:ascii="宋体" w:hAnsi="宋体" w:eastAsia="宋体" w:cs="宋体"/>
                <w:color w:val="auto"/>
                <w:sz w:val="22"/>
              </w:rPr>
            </w:pPr>
          </w:p>
          <w:p>
            <w:pPr>
              <w:pStyle w:val="2"/>
              <w:rPr>
                <w:rFonts w:hint="eastAsia" w:ascii="宋体" w:hAnsi="宋体" w:eastAsia="宋体" w:cs="宋体"/>
                <w:color w:val="auto"/>
                <w:sz w:val="22"/>
              </w:rPr>
            </w:pPr>
          </w:p>
        </w:tc>
        <w:tc>
          <w:tcPr>
            <w:tcW w:w="1276"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质保期</w:t>
            </w:r>
          </w:p>
          <w:p>
            <w:pPr>
              <w:pStyle w:val="2"/>
              <w:rPr>
                <w:rFonts w:hint="eastAsia" w:ascii="宋体" w:hAnsi="宋体" w:eastAsia="宋体" w:cs="宋体"/>
                <w:color w:val="auto"/>
                <w:sz w:val="22"/>
              </w:rPr>
            </w:pPr>
          </w:p>
        </w:tc>
        <w:tc>
          <w:tcPr>
            <w:tcW w:w="851"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1.在满足招标文件要求的基础上，质保期每增加</w:t>
            </w:r>
            <w:r>
              <w:rPr>
                <w:rFonts w:hint="eastAsia" w:ascii="宋体" w:hAnsi="宋体" w:eastAsia="宋体" w:cs="宋体"/>
                <w:color w:val="auto"/>
                <w:sz w:val="22"/>
                <w:u w:val="single"/>
              </w:rPr>
              <w:t xml:space="preserve"> 1 </w:t>
            </w:r>
            <w:r>
              <w:rPr>
                <w:rFonts w:hint="eastAsia" w:ascii="宋体" w:hAnsi="宋体" w:eastAsia="宋体" w:cs="宋体"/>
                <w:color w:val="auto"/>
                <w:sz w:val="22"/>
              </w:rPr>
              <w:t>年，得</w:t>
            </w:r>
            <w:r>
              <w:rPr>
                <w:rFonts w:hint="eastAsia" w:ascii="宋体" w:hAnsi="宋体" w:eastAsia="宋体" w:cs="宋体"/>
                <w:color w:val="auto"/>
                <w:sz w:val="22"/>
                <w:u w:val="single"/>
              </w:rPr>
              <w:t xml:space="preserve"> 1</w:t>
            </w:r>
            <w:r>
              <w:rPr>
                <w:rFonts w:hint="eastAsia" w:ascii="宋体" w:hAnsi="宋体" w:eastAsia="宋体" w:cs="宋体"/>
                <w:color w:val="auto"/>
                <w:sz w:val="22"/>
              </w:rPr>
              <w:t>分，此项最多得</w:t>
            </w:r>
            <w:r>
              <w:rPr>
                <w:rFonts w:hint="eastAsia" w:ascii="宋体" w:hAnsi="宋体" w:eastAsia="宋体" w:cs="宋体"/>
                <w:color w:val="auto"/>
                <w:sz w:val="22"/>
                <w:u w:val="single"/>
              </w:rPr>
              <w:t xml:space="preserve"> 2 </w:t>
            </w:r>
            <w:r>
              <w:rPr>
                <w:rFonts w:hint="eastAsia" w:ascii="宋体" w:hAnsi="宋体" w:eastAsia="宋体" w:cs="宋体"/>
                <w:color w:val="auto"/>
                <w:sz w:val="22"/>
              </w:rPr>
              <w:t>分。</w:t>
            </w:r>
          </w:p>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2.提供所投产品原厂售后服务承诺函扫描件加盖原厂公章的得</w:t>
            </w:r>
            <w:r>
              <w:rPr>
                <w:rFonts w:hint="eastAsia" w:ascii="宋体" w:hAnsi="宋体" w:eastAsia="宋体" w:cs="宋体"/>
                <w:color w:val="auto"/>
                <w:sz w:val="22"/>
                <w:u w:val="single"/>
              </w:rPr>
              <w:t xml:space="preserve"> 1 </w:t>
            </w:r>
            <w:r>
              <w:rPr>
                <w:rFonts w:hint="eastAsia" w:ascii="宋体" w:hAnsi="宋体" w:eastAsia="宋体" w:cs="宋体"/>
                <w:color w:val="auto"/>
                <w:sz w:val="22"/>
              </w:rPr>
              <w:t>分,未提供承诺函不得分。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4"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类似业绩</w:t>
            </w:r>
          </w:p>
          <w:p>
            <w:pPr>
              <w:pStyle w:val="2"/>
              <w:rPr>
                <w:rFonts w:hint="eastAsia" w:ascii="宋体" w:hAnsi="宋体" w:eastAsia="宋体" w:cs="宋体"/>
                <w:color w:val="auto"/>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根据所投产品</w:t>
            </w:r>
            <w:r>
              <w:rPr>
                <w:rFonts w:hint="eastAsia" w:ascii="宋体" w:hAnsi="宋体" w:eastAsia="宋体" w:cs="宋体"/>
                <w:color w:val="auto"/>
                <w:sz w:val="22"/>
                <w:u w:val="single"/>
              </w:rPr>
              <w:t>（投标截止日前三年以来）</w:t>
            </w:r>
            <w:r>
              <w:rPr>
                <w:rFonts w:hint="eastAsia" w:ascii="宋体" w:hAnsi="宋体" w:eastAsia="宋体" w:cs="宋体"/>
                <w:color w:val="auto"/>
                <w:sz w:val="22"/>
              </w:rPr>
              <w:t>类似项目业绩打分（须提供中标通知书或供货合同，没有提供的不得分），每个得</w:t>
            </w:r>
            <w:r>
              <w:rPr>
                <w:rFonts w:hint="eastAsia" w:ascii="宋体" w:hAnsi="宋体" w:eastAsia="宋体" w:cs="宋体"/>
                <w:color w:val="auto"/>
                <w:sz w:val="22"/>
                <w:u w:val="single"/>
              </w:rPr>
              <w:t xml:space="preserve"> 1 </w:t>
            </w:r>
            <w:r>
              <w:rPr>
                <w:rFonts w:hint="eastAsia" w:ascii="宋体" w:hAnsi="宋体" w:eastAsia="宋体" w:cs="宋体"/>
                <w:color w:val="auto"/>
                <w:sz w:val="22"/>
              </w:rPr>
              <w:t xml:space="preserve">分，最多得 </w:t>
            </w:r>
            <w:r>
              <w:rPr>
                <w:rFonts w:hint="eastAsia" w:ascii="宋体" w:hAnsi="宋体" w:eastAsia="宋体" w:cs="宋体"/>
                <w:color w:val="auto"/>
                <w:sz w:val="22"/>
                <w:u w:val="single"/>
              </w:rPr>
              <w:t xml:space="preserve"> 3 </w:t>
            </w:r>
            <w:r>
              <w:rPr>
                <w:rFonts w:hint="eastAsia" w:ascii="宋体" w:hAnsi="宋体" w:eastAsia="宋体" w:cs="宋体"/>
                <w:color w:val="auto"/>
                <w:sz w:val="22"/>
              </w:rPr>
              <w:t>分。未提供或未按要求的提供不得分。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安装验收方案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2.5分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一、评审内容：</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根据供应商提供的安装验收方案进行打分，包括但不限于：</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1、对本项目交付提供的供货方案、安装实施方案；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2、对本项目交付、验收标准提供的方案。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二、评审标准：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（1）合理性、科学性：必须完整，设想合理、恰当；</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（2）可行性、针对性：根据采购文件要求提出操作性强的方案；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每条评审内容完全满足以上2条评审标准的得1.25分。完全满足以上一条评审标准得0.75分，评审内容存在缺陷或缺漏的得0.5分，未响应或未提供的得0分。满分2.5分。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培训及售后服务方案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2.5分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一、评审内容：</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根据供应商提供的培训及售后服务方案进行打分，包括但不限于：</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1、对本项目提供的培训及售后服务保证方案（包含培训内容及人员安排、质保期内售后巡检及售后服务网点、维修方案、人员安排及零配件及备品备件）；</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2、对本项目实施过程中可能出现疑难问题、突发事件提供的应急预案。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二、评审标准：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（1）合理性、科学性：必须完整，设想合理、恰当；</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（2）可行性、针对性：根据采购文件要求提出操作性强的方案；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每条评审内容完全满足以上2条评审标准的得1.25分。完全满足以上一条评审标准得0.75分，评审内容存在缺陷或缺漏的得0.5分，未响应或未提供的得0分。满分2.5分。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9" w:hRule="atLeast"/>
          <w:jc w:val="center"/>
        </w:trPr>
        <w:tc>
          <w:tcPr>
            <w:tcW w:w="1129"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技术</w:t>
            </w:r>
          </w:p>
          <w:p>
            <w:pPr>
              <w:pStyle w:val="7"/>
              <w:jc w:val="center"/>
              <w:rPr>
                <w:rFonts w:hint="eastAsia" w:ascii="宋体" w:hAnsi="宋体" w:eastAsia="宋体" w:cs="宋体"/>
                <w:color w:val="auto"/>
                <w:sz w:val="22"/>
              </w:rPr>
            </w:pPr>
            <w:r>
              <w:rPr>
                <w:rFonts w:hint="eastAsia" w:ascii="宋体" w:hAnsi="宋体" w:eastAsia="宋体" w:cs="宋体"/>
                <w:color w:val="auto"/>
                <w:sz w:val="22"/>
              </w:rPr>
              <w:t>54分</w:t>
            </w:r>
          </w:p>
          <w:p>
            <w:pPr>
              <w:pStyle w:val="7"/>
              <w:rPr>
                <w:rFonts w:hint="eastAsia" w:ascii="宋体" w:hAnsi="宋体" w:eastAsia="宋体" w:cs="宋体"/>
                <w:color w:val="auto"/>
                <w:sz w:val="22"/>
              </w:rPr>
            </w:pPr>
          </w:p>
          <w:p>
            <w:pPr>
              <w:pStyle w:val="7"/>
              <w:rPr>
                <w:rFonts w:hint="eastAsia" w:ascii="宋体" w:hAnsi="宋体" w:eastAsia="宋体" w:cs="宋体"/>
                <w:color w:val="auto"/>
                <w:sz w:val="22"/>
              </w:rPr>
            </w:pPr>
          </w:p>
        </w:tc>
        <w:tc>
          <w:tcPr>
            <w:tcW w:w="1276"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产品技术响应、主要参数和其他重要性能指标</w:t>
            </w:r>
          </w:p>
        </w:tc>
        <w:tc>
          <w:tcPr>
            <w:tcW w:w="851"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54分</w:t>
            </w:r>
          </w:p>
        </w:tc>
        <w:tc>
          <w:tcPr>
            <w:tcW w:w="6237"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投标产品的技术规格符合招标文件要求，能完全满足使用要求得</w:t>
            </w:r>
            <w:r>
              <w:rPr>
                <w:rFonts w:hint="eastAsia" w:ascii="宋体" w:hAnsi="宋体" w:eastAsia="宋体" w:cs="宋体"/>
                <w:color w:val="auto"/>
                <w:sz w:val="22"/>
                <w:u w:val="single"/>
              </w:rPr>
              <w:t xml:space="preserve">54 </w:t>
            </w:r>
            <w:r>
              <w:rPr>
                <w:rFonts w:hint="eastAsia" w:ascii="宋体" w:hAnsi="宋体" w:eastAsia="宋体" w:cs="宋体"/>
                <w:color w:val="auto"/>
                <w:sz w:val="22"/>
              </w:rPr>
              <w:t>分。如技术参数指标低于招标文件第三章中技术要求，即为负偏离。</w:t>
            </w:r>
          </w:p>
          <w:p>
            <w:pPr>
              <w:spacing w:line="276" w:lineRule="auto"/>
              <w:rPr>
                <w:rFonts w:hint="eastAsia" w:ascii="宋体" w:hAnsi="宋体" w:eastAsia="宋体" w:cs="宋体"/>
                <w:color w:val="auto"/>
                <w:sz w:val="22"/>
              </w:rPr>
            </w:pPr>
            <w:r>
              <w:rPr>
                <w:rFonts w:hint="eastAsia" w:ascii="宋体" w:hAnsi="宋体" w:eastAsia="宋体" w:cs="宋体"/>
                <w:b/>
                <w:color w:val="auto"/>
                <w:sz w:val="22"/>
              </w:rPr>
              <w:t>1、</w:t>
            </w:r>
            <w:r>
              <w:rPr>
                <w:rFonts w:hint="eastAsia" w:ascii="宋体" w:hAnsi="宋体" w:eastAsia="宋体" w:cs="宋体"/>
                <w:color w:val="auto"/>
                <w:sz w:val="22"/>
              </w:rPr>
              <w:t>“★”参数为重要参数（共计</w:t>
            </w:r>
            <w:r>
              <w:rPr>
                <w:rFonts w:hint="eastAsia" w:ascii="宋体" w:hAnsi="宋体" w:eastAsia="宋体" w:cs="宋体"/>
                <w:color w:val="auto"/>
                <w:sz w:val="22"/>
                <w:u w:val="single"/>
              </w:rPr>
              <w:t xml:space="preserve"> /</w:t>
            </w:r>
            <w:r>
              <w:rPr>
                <w:rFonts w:hint="eastAsia" w:ascii="宋体" w:hAnsi="宋体" w:eastAsia="宋体" w:cs="宋体"/>
                <w:color w:val="auto"/>
                <w:sz w:val="22"/>
              </w:rPr>
              <w:t>项）完全满足采购文件得</w:t>
            </w:r>
            <w:r>
              <w:rPr>
                <w:rFonts w:hint="eastAsia" w:ascii="宋体" w:hAnsi="宋体" w:eastAsia="宋体" w:cs="宋体"/>
                <w:color w:val="auto"/>
                <w:sz w:val="22"/>
                <w:u w:val="single"/>
              </w:rPr>
              <w:t>/</w:t>
            </w:r>
            <w:r>
              <w:rPr>
                <w:rFonts w:hint="eastAsia" w:ascii="宋体" w:hAnsi="宋体" w:eastAsia="宋体" w:cs="宋体"/>
                <w:color w:val="auto"/>
                <w:sz w:val="22"/>
              </w:rPr>
              <w:t>分，每有一项负偏离扣/分，扣完为止；</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2、未标注参数为一般参数（共计</w:t>
            </w:r>
            <w:r>
              <w:rPr>
                <w:rFonts w:hint="eastAsia" w:ascii="宋体" w:hAnsi="宋体" w:eastAsia="宋体" w:cs="宋体"/>
                <w:color w:val="auto"/>
                <w:sz w:val="22"/>
                <w:u w:val="single"/>
              </w:rPr>
              <w:t>12</w:t>
            </w:r>
            <w:r>
              <w:rPr>
                <w:rFonts w:hint="eastAsia" w:ascii="宋体" w:hAnsi="宋体" w:eastAsia="宋体" w:cs="宋体"/>
                <w:color w:val="auto"/>
                <w:sz w:val="22"/>
              </w:rPr>
              <w:t>项）完全满足采购文件得</w:t>
            </w:r>
            <w:r>
              <w:rPr>
                <w:rFonts w:hint="eastAsia" w:ascii="宋体" w:hAnsi="宋体" w:eastAsia="宋体" w:cs="宋体"/>
                <w:color w:val="auto"/>
                <w:sz w:val="22"/>
                <w:u w:val="single"/>
              </w:rPr>
              <w:t xml:space="preserve"> 54</w:t>
            </w:r>
            <w:r>
              <w:rPr>
                <w:rFonts w:hint="eastAsia" w:ascii="宋体" w:hAnsi="宋体" w:eastAsia="宋体" w:cs="宋体"/>
                <w:color w:val="auto"/>
                <w:sz w:val="22"/>
              </w:rPr>
              <w:t>分，每有一项负偏离扣</w:t>
            </w:r>
            <w:r>
              <w:rPr>
                <w:rFonts w:hint="eastAsia" w:ascii="宋体" w:hAnsi="宋体" w:eastAsia="宋体" w:cs="宋体"/>
                <w:color w:val="auto"/>
                <w:sz w:val="22"/>
                <w:u w:val="single"/>
              </w:rPr>
              <w:t xml:space="preserve"> 4.5</w:t>
            </w:r>
            <w:r>
              <w:rPr>
                <w:rFonts w:hint="eastAsia" w:ascii="宋体" w:hAnsi="宋体" w:eastAsia="宋体" w:cs="宋体"/>
                <w:color w:val="auto"/>
                <w:sz w:val="22"/>
              </w:rPr>
              <w:t>分，扣完为止；</w:t>
            </w:r>
          </w:p>
          <w:p>
            <w:pPr>
              <w:spacing w:line="276" w:lineRule="auto"/>
              <w:ind w:firstLine="220" w:firstLineChars="100"/>
              <w:rPr>
                <w:rFonts w:hint="eastAsia" w:ascii="宋体" w:hAnsi="宋体" w:eastAsia="宋体" w:cs="宋体"/>
                <w:b/>
                <w:bCs/>
                <w:color w:val="auto"/>
                <w:sz w:val="22"/>
              </w:rPr>
            </w:pPr>
            <w:r>
              <w:rPr>
                <w:rFonts w:hint="eastAsia" w:ascii="宋体" w:hAnsi="宋体" w:eastAsia="宋体" w:cs="宋体"/>
                <w:color w:val="auto"/>
                <w:sz w:val="22"/>
              </w:rPr>
              <w:t>“★”</w:t>
            </w:r>
            <w:r>
              <w:rPr>
                <w:rFonts w:hint="eastAsia" w:ascii="宋体" w:hAnsi="宋体" w:eastAsia="宋体" w:cs="宋体"/>
                <w:b/>
                <w:bCs/>
                <w:color w:val="auto"/>
                <w:sz w:val="22"/>
              </w:rPr>
              <w:t>号技术需提供相关证明材料，未提供有效证明材料或证明材料中内容与所填报指标不一致的，该指标按负偏离处理。</w:t>
            </w:r>
          </w:p>
          <w:p>
            <w:pPr>
              <w:spacing w:line="276" w:lineRule="auto"/>
              <w:rPr>
                <w:rFonts w:hint="eastAsia" w:ascii="宋体" w:hAnsi="宋体" w:eastAsia="宋体" w:cs="宋体"/>
                <w:b/>
                <w:bCs/>
                <w:color w:val="auto"/>
                <w:sz w:val="22"/>
              </w:rPr>
            </w:pPr>
            <w:r>
              <w:rPr>
                <w:rFonts w:hint="eastAsia" w:ascii="宋体" w:hAnsi="宋体" w:eastAsia="宋体" w:cs="宋体"/>
                <w:b/>
                <w:bCs/>
                <w:color w:val="auto"/>
                <w:sz w:val="22"/>
              </w:rPr>
              <w:t>备注：证明材料为生产厂家官方网站截图或第三方机构出具的检验报告或加盖制造商（含其分支机构）公章的产品白皮书或加盖制造商（含其分支机构）公章的制造商公开发布的彩色印刷资料。（各项指标要求中对证明材料另有要求的从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总分</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493"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说明：评分表中规定的“合理性、科学性”表示，供应商响应方案中已完全涵盖该项评审内容的所有分项内容，且对该分项内容有详细的描述。</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评分表中规定的“可行性、针对性”表示，供应商响应方案中所列的相关分项内容，从项目的需求和供应商的自身实力出发具有可行性，且供应商能针对相关方案在承诺的交付期/质保期内具体实施或实现。</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评分表中的“未响应或未提供”表示：供应商响应方案中未提及相关分项内容，或针对分项内容只有标题，或者对该项内容进行简单的解释，无明确的落地方案。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的“缺陷或缺漏”表示：供应商响应方案中明确涉及了相关分项内容，并针对分项内容有针对性的进行了实施阐述，但阐述内容过于简单、粗陋，或从项目的需求和供应商的自身实力出发不具有可行性，或方案中有明显的逻辑错误或违背客观科学规律。</w:t>
            </w:r>
          </w:p>
        </w:tc>
      </w:tr>
    </w:tbl>
    <w:p>
      <w:pPr>
        <w:rPr>
          <w:rFonts w:hint="eastAsia" w:ascii="宋体" w:hAnsi="宋体" w:eastAsia="宋体" w:cs="宋体"/>
          <w:b/>
          <w:bCs/>
          <w:color w:val="auto"/>
          <w:sz w:val="32"/>
          <w:szCs w:val="40"/>
        </w:rPr>
      </w:pPr>
      <w:r>
        <w:rPr>
          <w:rFonts w:hint="eastAsia" w:ascii="宋体" w:hAnsi="宋体" w:eastAsia="宋体" w:cs="宋体"/>
          <w:b/>
          <w:bCs/>
          <w:color w:val="auto"/>
          <w:sz w:val="32"/>
          <w:szCs w:val="40"/>
        </w:rPr>
        <w:br w:type="page"/>
      </w:r>
      <w:r>
        <w:rPr>
          <w:rFonts w:hint="eastAsia" w:ascii="宋体" w:hAnsi="宋体" w:eastAsia="宋体" w:cs="宋体"/>
          <w:b/>
          <w:bCs/>
          <w:color w:val="auto"/>
          <w:sz w:val="24"/>
          <w:szCs w:val="32"/>
        </w:rPr>
        <w:t>05包：生物安全柜</w:t>
      </w:r>
    </w:p>
    <w:tbl>
      <w:tblPr>
        <w:tblStyle w:val="2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85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评审分项</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满分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评审内容及分值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9"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价格</w:t>
            </w:r>
          </w:p>
          <w:p>
            <w:pPr>
              <w:pStyle w:val="7"/>
              <w:jc w:val="center"/>
              <w:rPr>
                <w:rFonts w:hint="eastAsia" w:ascii="宋体" w:hAnsi="宋体" w:eastAsia="宋体" w:cs="宋体"/>
                <w:color w:val="auto"/>
                <w:sz w:val="22"/>
              </w:rPr>
            </w:pPr>
            <w:r>
              <w:rPr>
                <w:rFonts w:hint="eastAsia" w:ascii="宋体" w:hAnsi="宋体" w:eastAsia="宋体" w:cs="宋体"/>
                <w:color w:val="auto"/>
                <w:sz w:val="22"/>
              </w:rPr>
              <w:t>35分</w:t>
            </w:r>
          </w:p>
          <w:p>
            <w:pPr>
              <w:pStyle w:val="7"/>
              <w:jc w:val="center"/>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报价得分</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35分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1、满足招标文件要求且投标价格最低的投标报价为评标基准价(D)，其价格分为满分(35分)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2、其他合格供应商的投标报价得分按如下公式计算：</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投标报价得分=(评标基准价D／投标报价V)×35</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备注：符合本招标文件政府采购优惠政策”规定的，在评审时予以价格扣除，用扣除后的价格参与评审。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1129" w:type="dxa"/>
            <w:vMerge w:val="restart"/>
            <w:tcBorders>
              <w:left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商务</w:t>
            </w:r>
          </w:p>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12分</w:t>
            </w:r>
          </w:p>
          <w:p>
            <w:pPr>
              <w:pStyle w:val="2"/>
              <w:rPr>
                <w:rFonts w:hint="eastAsia" w:ascii="宋体" w:hAnsi="宋体" w:eastAsia="宋体" w:cs="宋体"/>
                <w:color w:val="auto"/>
                <w:sz w:val="22"/>
              </w:rPr>
            </w:pPr>
          </w:p>
          <w:p>
            <w:pPr>
              <w:pStyle w:val="2"/>
              <w:rPr>
                <w:rFonts w:hint="eastAsia" w:ascii="宋体" w:hAnsi="宋体" w:eastAsia="宋体" w:cs="宋体"/>
                <w:color w:val="auto"/>
                <w:sz w:val="22"/>
              </w:rPr>
            </w:pPr>
          </w:p>
        </w:tc>
        <w:tc>
          <w:tcPr>
            <w:tcW w:w="1276"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质保期</w:t>
            </w:r>
          </w:p>
          <w:p>
            <w:pPr>
              <w:pStyle w:val="2"/>
              <w:rPr>
                <w:rFonts w:hint="eastAsia" w:ascii="宋体" w:hAnsi="宋体" w:eastAsia="宋体" w:cs="宋体"/>
                <w:color w:val="auto"/>
                <w:sz w:val="22"/>
              </w:rPr>
            </w:pPr>
          </w:p>
        </w:tc>
        <w:tc>
          <w:tcPr>
            <w:tcW w:w="851"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1.在满足招标文件要求的基础上，质保期每增加</w:t>
            </w:r>
            <w:r>
              <w:rPr>
                <w:rFonts w:hint="eastAsia" w:ascii="宋体" w:hAnsi="宋体" w:eastAsia="宋体" w:cs="宋体"/>
                <w:color w:val="auto"/>
                <w:sz w:val="22"/>
                <w:u w:val="single"/>
              </w:rPr>
              <w:t xml:space="preserve"> 1 </w:t>
            </w:r>
            <w:r>
              <w:rPr>
                <w:rFonts w:hint="eastAsia" w:ascii="宋体" w:hAnsi="宋体" w:eastAsia="宋体" w:cs="宋体"/>
                <w:color w:val="auto"/>
                <w:sz w:val="22"/>
              </w:rPr>
              <w:t>年，得</w:t>
            </w:r>
            <w:r>
              <w:rPr>
                <w:rFonts w:hint="eastAsia" w:ascii="宋体" w:hAnsi="宋体" w:eastAsia="宋体" w:cs="宋体"/>
                <w:color w:val="auto"/>
                <w:sz w:val="22"/>
                <w:u w:val="single"/>
              </w:rPr>
              <w:t xml:space="preserve"> 1</w:t>
            </w:r>
            <w:r>
              <w:rPr>
                <w:rFonts w:hint="eastAsia" w:ascii="宋体" w:hAnsi="宋体" w:eastAsia="宋体" w:cs="宋体"/>
                <w:color w:val="auto"/>
                <w:sz w:val="22"/>
              </w:rPr>
              <w:t>分，此项最多得</w:t>
            </w:r>
            <w:r>
              <w:rPr>
                <w:rFonts w:hint="eastAsia" w:ascii="宋体" w:hAnsi="宋体" w:eastAsia="宋体" w:cs="宋体"/>
                <w:color w:val="auto"/>
                <w:sz w:val="22"/>
                <w:u w:val="single"/>
              </w:rPr>
              <w:t xml:space="preserve"> 2 </w:t>
            </w:r>
            <w:r>
              <w:rPr>
                <w:rFonts w:hint="eastAsia" w:ascii="宋体" w:hAnsi="宋体" w:eastAsia="宋体" w:cs="宋体"/>
                <w:color w:val="auto"/>
                <w:sz w:val="22"/>
              </w:rPr>
              <w:t>分。</w:t>
            </w:r>
          </w:p>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2.提供所投产品原厂售后服务承诺函扫描件加盖原厂公章的得</w:t>
            </w:r>
            <w:r>
              <w:rPr>
                <w:rFonts w:hint="eastAsia" w:ascii="宋体" w:hAnsi="宋体" w:eastAsia="宋体" w:cs="宋体"/>
                <w:color w:val="auto"/>
                <w:sz w:val="22"/>
                <w:u w:val="single"/>
              </w:rPr>
              <w:t xml:space="preserve"> 1 </w:t>
            </w:r>
            <w:r>
              <w:rPr>
                <w:rFonts w:hint="eastAsia" w:ascii="宋体" w:hAnsi="宋体" w:eastAsia="宋体" w:cs="宋体"/>
                <w:color w:val="auto"/>
                <w:sz w:val="22"/>
              </w:rPr>
              <w:t>分,未提供承诺函不得分。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4"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类似业绩</w:t>
            </w:r>
          </w:p>
          <w:p>
            <w:pPr>
              <w:pStyle w:val="2"/>
              <w:rPr>
                <w:rFonts w:hint="eastAsia" w:ascii="宋体" w:hAnsi="宋体" w:eastAsia="宋体" w:cs="宋体"/>
                <w:color w:val="auto"/>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根据所投产品</w:t>
            </w:r>
            <w:r>
              <w:rPr>
                <w:rFonts w:hint="eastAsia" w:ascii="宋体" w:hAnsi="宋体" w:eastAsia="宋体" w:cs="宋体"/>
                <w:color w:val="auto"/>
                <w:sz w:val="22"/>
                <w:u w:val="single"/>
              </w:rPr>
              <w:t>（投标截止日前三年以来）</w:t>
            </w:r>
            <w:r>
              <w:rPr>
                <w:rFonts w:hint="eastAsia" w:ascii="宋体" w:hAnsi="宋体" w:eastAsia="宋体" w:cs="宋体"/>
                <w:color w:val="auto"/>
                <w:sz w:val="22"/>
              </w:rPr>
              <w:t>类似项目业绩打分（须提供中标通知书或供货合同，没有提供的不得分），每个得</w:t>
            </w:r>
            <w:r>
              <w:rPr>
                <w:rFonts w:hint="eastAsia" w:ascii="宋体" w:hAnsi="宋体" w:eastAsia="宋体" w:cs="宋体"/>
                <w:color w:val="auto"/>
                <w:sz w:val="22"/>
                <w:u w:val="single"/>
              </w:rPr>
              <w:t xml:space="preserve"> 1 </w:t>
            </w:r>
            <w:r>
              <w:rPr>
                <w:rFonts w:hint="eastAsia" w:ascii="宋体" w:hAnsi="宋体" w:eastAsia="宋体" w:cs="宋体"/>
                <w:color w:val="auto"/>
                <w:sz w:val="22"/>
              </w:rPr>
              <w:t xml:space="preserve">分，最多得 </w:t>
            </w:r>
            <w:r>
              <w:rPr>
                <w:rFonts w:hint="eastAsia" w:ascii="宋体" w:hAnsi="宋体" w:eastAsia="宋体" w:cs="宋体"/>
                <w:color w:val="auto"/>
                <w:sz w:val="22"/>
                <w:u w:val="single"/>
              </w:rPr>
              <w:t xml:space="preserve"> 3 </w:t>
            </w:r>
            <w:r>
              <w:rPr>
                <w:rFonts w:hint="eastAsia" w:ascii="宋体" w:hAnsi="宋体" w:eastAsia="宋体" w:cs="宋体"/>
                <w:color w:val="auto"/>
                <w:sz w:val="22"/>
              </w:rPr>
              <w:t>分。未提供或未按要求的提供不得分。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安装验收方案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一、评审内容：</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根据供应商提供的安装验收方案进行打分，包括但不限于：</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1、对本项目交付提供的供货方案、安装实施方案；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2、对本项目交付、验收标准提供的方案。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二、评审标准：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（1）合理性、科学性：必须完整，设想合理、恰当；</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（2）可行性、针对性：根据采购文件要求提出操作性强的方案；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每条评审内容完全满足以上2条评审标准的得1.5分。完全满足以上一条评审标准得1分，评审内容存在缺陷或缺漏的得0.5分，未响应或未提供的得0分。满分3分。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培训及售后服务方案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一、评审内容：</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根据供应商提供的培训及售后服务方案进行打分，包括但不限于：</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1、对本项目提供的培训及售后服务保证方案（包含培训内容及人员安排、质保期内售后巡检及售后服务网点、维修方案、人员安排及零配件及备品备件）；</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2、对本项目实施过程中可能出现疑难问题、突发事件提供的应急预案。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二、评审标准：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（1）合理性、科学性：必须完整，设想合理、恰当；</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（2）可行性、针对性：根据采购文件要求提出操作性强的方案；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每条评审内容完全满足以上2条评审标准的得1.5分。完全满足以上一条评审标准得1分，评审内容存在缺陷或缺漏的得0.5分，未响应或未提供的得0分。满分3分。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9" w:hRule="atLeast"/>
          <w:jc w:val="center"/>
        </w:trPr>
        <w:tc>
          <w:tcPr>
            <w:tcW w:w="1129"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技术</w:t>
            </w:r>
          </w:p>
          <w:p>
            <w:pPr>
              <w:pStyle w:val="7"/>
              <w:jc w:val="center"/>
              <w:rPr>
                <w:rFonts w:hint="eastAsia" w:ascii="宋体" w:hAnsi="宋体" w:eastAsia="宋体" w:cs="宋体"/>
                <w:color w:val="auto"/>
                <w:sz w:val="22"/>
              </w:rPr>
            </w:pPr>
            <w:r>
              <w:rPr>
                <w:rFonts w:hint="eastAsia" w:ascii="宋体" w:hAnsi="宋体" w:eastAsia="宋体" w:cs="宋体"/>
                <w:color w:val="auto"/>
                <w:sz w:val="22"/>
              </w:rPr>
              <w:t>53分</w:t>
            </w:r>
          </w:p>
          <w:p>
            <w:pPr>
              <w:pStyle w:val="7"/>
              <w:rPr>
                <w:rFonts w:hint="eastAsia" w:ascii="宋体" w:hAnsi="宋体" w:eastAsia="宋体" w:cs="宋体"/>
                <w:color w:val="auto"/>
                <w:sz w:val="22"/>
              </w:rPr>
            </w:pPr>
          </w:p>
          <w:p>
            <w:pPr>
              <w:pStyle w:val="7"/>
              <w:rPr>
                <w:rFonts w:hint="eastAsia" w:ascii="宋体" w:hAnsi="宋体" w:eastAsia="宋体" w:cs="宋体"/>
                <w:color w:val="auto"/>
                <w:sz w:val="22"/>
              </w:rPr>
            </w:pPr>
          </w:p>
        </w:tc>
        <w:tc>
          <w:tcPr>
            <w:tcW w:w="1276"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产品技术响应、主要参数和其他重要性能指标</w:t>
            </w:r>
          </w:p>
        </w:tc>
        <w:tc>
          <w:tcPr>
            <w:tcW w:w="851"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53分</w:t>
            </w:r>
          </w:p>
        </w:tc>
        <w:tc>
          <w:tcPr>
            <w:tcW w:w="6237"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投标产品的技术规格符合招标文件要求，能完全满足使用要求得</w:t>
            </w:r>
            <w:r>
              <w:rPr>
                <w:rFonts w:hint="eastAsia" w:ascii="宋体" w:hAnsi="宋体" w:eastAsia="宋体" w:cs="宋体"/>
                <w:color w:val="auto"/>
                <w:sz w:val="22"/>
                <w:u w:val="single"/>
              </w:rPr>
              <w:t xml:space="preserve">53 </w:t>
            </w:r>
            <w:r>
              <w:rPr>
                <w:rFonts w:hint="eastAsia" w:ascii="宋体" w:hAnsi="宋体" w:eastAsia="宋体" w:cs="宋体"/>
                <w:color w:val="auto"/>
                <w:sz w:val="22"/>
              </w:rPr>
              <w:t>分。如技术参数指标低于招标文件第三章中技术要求，即为负偏离。</w:t>
            </w:r>
          </w:p>
          <w:p>
            <w:pPr>
              <w:spacing w:line="276" w:lineRule="auto"/>
              <w:rPr>
                <w:rFonts w:hint="eastAsia" w:ascii="宋体" w:hAnsi="宋体" w:eastAsia="宋体" w:cs="宋体"/>
                <w:color w:val="auto"/>
                <w:sz w:val="22"/>
              </w:rPr>
            </w:pPr>
            <w:r>
              <w:rPr>
                <w:rFonts w:hint="eastAsia" w:ascii="宋体" w:hAnsi="宋体" w:eastAsia="宋体" w:cs="宋体"/>
                <w:b/>
                <w:color w:val="auto"/>
                <w:sz w:val="22"/>
              </w:rPr>
              <w:t>1、</w:t>
            </w:r>
            <w:r>
              <w:rPr>
                <w:rFonts w:hint="eastAsia" w:ascii="宋体" w:hAnsi="宋体" w:eastAsia="宋体" w:cs="宋体"/>
                <w:color w:val="auto"/>
                <w:sz w:val="22"/>
              </w:rPr>
              <w:t>“★”参数为重要参数（共计</w:t>
            </w:r>
            <w:r>
              <w:rPr>
                <w:rFonts w:hint="eastAsia" w:ascii="宋体" w:hAnsi="宋体" w:eastAsia="宋体" w:cs="宋体"/>
                <w:color w:val="auto"/>
                <w:sz w:val="22"/>
                <w:u w:val="single"/>
              </w:rPr>
              <w:t xml:space="preserve"> 7</w:t>
            </w:r>
            <w:r>
              <w:rPr>
                <w:rFonts w:hint="eastAsia" w:ascii="宋体" w:hAnsi="宋体" w:eastAsia="宋体" w:cs="宋体"/>
                <w:color w:val="auto"/>
                <w:sz w:val="22"/>
              </w:rPr>
              <w:t>项）完全满足采购文件得</w:t>
            </w:r>
            <w:r>
              <w:rPr>
                <w:rFonts w:hint="eastAsia" w:ascii="宋体" w:hAnsi="宋体" w:eastAsia="宋体" w:cs="宋体"/>
                <w:color w:val="auto"/>
                <w:sz w:val="22"/>
                <w:u w:val="single"/>
              </w:rPr>
              <w:t>35</w:t>
            </w:r>
            <w:r>
              <w:rPr>
                <w:rFonts w:hint="eastAsia" w:ascii="宋体" w:hAnsi="宋体" w:eastAsia="宋体" w:cs="宋体"/>
                <w:color w:val="auto"/>
                <w:sz w:val="22"/>
              </w:rPr>
              <w:t>分，每有一项负偏离扣</w:t>
            </w:r>
            <w:r>
              <w:rPr>
                <w:rFonts w:hint="eastAsia" w:ascii="宋体" w:hAnsi="宋体" w:eastAsia="宋体" w:cs="宋体"/>
                <w:color w:val="auto"/>
                <w:sz w:val="22"/>
                <w:u w:val="single"/>
              </w:rPr>
              <w:t xml:space="preserve"> 5</w:t>
            </w:r>
            <w:r>
              <w:rPr>
                <w:rFonts w:hint="eastAsia" w:ascii="宋体" w:hAnsi="宋体" w:eastAsia="宋体" w:cs="宋体"/>
                <w:color w:val="auto"/>
                <w:sz w:val="22"/>
              </w:rPr>
              <w:t>分，扣完为止；</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2、未标注参数为一般参数（共计</w:t>
            </w:r>
            <w:r>
              <w:rPr>
                <w:rFonts w:hint="eastAsia" w:ascii="宋体" w:hAnsi="宋体" w:eastAsia="宋体" w:cs="宋体"/>
                <w:color w:val="auto"/>
                <w:sz w:val="22"/>
                <w:u w:val="single"/>
              </w:rPr>
              <w:t>12</w:t>
            </w:r>
            <w:r>
              <w:rPr>
                <w:rFonts w:hint="eastAsia" w:ascii="宋体" w:hAnsi="宋体" w:eastAsia="宋体" w:cs="宋体"/>
                <w:color w:val="auto"/>
                <w:sz w:val="22"/>
              </w:rPr>
              <w:t>项）完全满足采购文件得</w:t>
            </w:r>
            <w:r>
              <w:rPr>
                <w:rFonts w:hint="eastAsia" w:ascii="宋体" w:hAnsi="宋体" w:eastAsia="宋体" w:cs="宋体"/>
                <w:color w:val="auto"/>
                <w:sz w:val="22"/>
                <w:u w:val="single"/>
              </w:rPr>
              <w:t>18</w:t>
            </w:r>
            <w:r>
              <w:rPr>
                <w:rFonts w:hint="eastAsia" w:ascii="宋体" w:hAnsi="宋体" w:eastAsia="宋体" w:cs="宋体"/>
                <w:color w:val="auto"/>
                <w:sz w:val="22"/>
              </w:rPr>
              <w:t>分，每有一项负偏离扣</w:t>
            </w:r>
            <w:r>
              <w:rPr>
                <w:rFonts w:hint="eastAsia" w:ascii="宋体" w:hAnsi="宋体" w:eastAsia="宋体" w:cs="宋体"/>
                <w:color w:val="auto"/>
                <w:sz w:val="22"/>
                <w:u w:val="single"/>
              </w:rPr>
              <w:t xml:space="preserve"> 1.5</w:t>
            </w:r>
            <w:r>
              <w:rPr>
                <w:rFonts w:hint="eastAsia" w:ascii="宋体" w:hAnsi="宋体" w:eastAsia="宋体" w:cs="宋体"/>
                <w:color w:val="auto"/>
                <w:sz w:val="22"/>
              </w:rPr>
              <w:t>分，扣完为止；</w:t>
            </w:r>
          </w:p>
          <w:p>
            <w:pPr>
              <w:spacing w:line="276" w:lineRule="auto"/>
              <w:ind w:firstLine="220" w:firstLineChars="100"/>
              <w:rPr>
                <w:rFonts w:hint="eastAsia" w:ascii="宋体" w:hAnsi="宋体" w:eastAsia="宋体" w:cs="宋体"/>
                <w:b/>
                <w:bCs/>
                <w:color w:val="auto"/>
                <w:sz w:val="22"/>
              </w:rPr>
            </w:pPr>
            <w:r>
              <w:rPr>
                <w:rFonts w:hint="eastAsia" w:ascii="宋体" w:hAnsi="宋体" w:eastAsia="宋体" w:cs="宋体"/>
                <w:color w:val="auto"/>
                <w:sz w:val="22"/>
              </w:rPr>
              <w:t>“★”</w:t>
            </w:r>
            <w:r>
              <w:rPr>
                <w:rFonts w:hint="eastAsia" w:ascii="宋体" w:hAnsi="宋体" w:eastAsia="宋体" w:cs="宋体"/>
                <w:b/>
                <w:bCs/>
                <w:color w:val="auto"/>
                <w:sz w:val="22"/>
              </w:rPr>
              <w:t>号技术需提供相关证明材料，未提供有效证明材料或证明材料中内容与所填报指标不一致的，该指标按负偏离处理。</w:t>
            </w:r>
          </w:p>
          <w:p>
            <w:pPr>
              <w:spacing w:line="276" w:lineRule="auto"/>
              <w:rPr>
                <w:rFonts w:hint="eastAsia" w:ascii="宋体" w:hAnsi="宋体" w:eastAsia="宋体" w:cs="宋体"/>
                <w:b/>
                <w:bCs/>
                <w:color w:val="auto"/>
                <w:sz w:val="22"/>
              </w:rPr>
            </w:pPr>
            <w:r>
              <w:rPr>
                <w:rFonts w:hint="eastAsia" w:ascii="宋体" w:hAnsi="宋体" w:eastAsia="宋体" w:cs="宋体"/>
                <w:b/>
                <w:bCs/>
                <w:color w:val="auto"/>
                <w:sz w:val="22"/>
              </w:rPr>
              <w:t>备注：证明材料为生产厂家官方网站截图或第三方机构出具的检验报告或加盖制造商（含其分支机构）公章的产品白皮书或加盖制造商（含其分支机构）公章的制造商公开发布的彩色印刷资料。（各项指标要求中对证明材料另有要求的从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总分</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493"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说明：评分表中规定的“合理性、科学性”表示，供应商响应方案中已完全涵盖该项评审内容的所有分项内容，且对该分项内容有详细的描述。</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评分表中规定的“可行性、针对性”表示，供应商响应方案中所列的相关分项内容，从项目的需求和供应商的自身实力出发具有可行性，且供应商能针对相关方案在承诺的交付期/质保期内具体实施或实现。</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评分表中的“未响应或未提供”表示：供应商响应方案中未提及相关分项内容，或针对分项内容只有标题，或者对该项内容进行简单的解释，无明确的落地方案。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的“缺陷或缺漏”表示：供应商响应方案中明确涉及了相关分项内容，并针对分项内容有针对性的进行了实施阐述，但阐述内容过于简单、粗陋，或从项目的需求和供应商的自身实力出发不具有可行性，或方案中有明显的逻辑错误或违背客观科学规律。</w:t>
            </w:r>
          </w:p>
        </w:tc>
      </w:tr>
    </w:tbl>
    <w:p>
      <w:pPr>
        <w:rPr>
          <w:rFonts w:hint="eastAsia" w:ascii="宋体" w:hAnsi="宋体" w:eastAsia="宋体" w:cs="宋体"/>
          <w:b/>
          <w:bCs/>
          <w:color w:val="auto"/>
          <w:sz w:val="32"/>
          <w:szCs w:val="40"/>
        </w:rPr>
      </w:pPr>
      <w:r>
        <w:rPr>
          <w:rFonts w:hint="eastAsia" w:ascii="宋体" w:hAnsi="宋体" w:eastAsia="宋体" w:cs="宋体"/>
          <w:b/>
          <w:bCs/>
          <w:color w:val="auto"/>
          <w:sz w:val="32"/>
          <w:szCs w:val="40"/>
        </w:rPr>
        <w:br w:type="page"/>
      </w:r>
      <w:r>
        <w:rPr>
          <w:rFonts w:hint="eastAsia" w:ascii="宋体" w:hAnsi="宋体" w:eastAsia="宋体" w:cs="宋体"/>
          <w:b/>
          <w:bCs/>
          <w:color w:val="auto"/>
          <w:sz w:val="24"/>
          <w:szCs w:val="32"/>
        </w:rPr>
        <w:t>06包：蛋白层析系统</w:t>
      </w:r>
    </w:p>
    <w:tbl>
      <w:tblPr>
        <w:tblStyle w:val="2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85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评审分项</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满分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评审内容及分值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9"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价格</w:t>
            </w:r>
          </w:p>
          <w:p>
            <w:pPr>
              <w:pStyle w:val="7"/>
              <w:jc w:val="center"/>
              <w:rPr>
                <w:rFonts w:hint="eastAsia" w:ascii="宋体" w:hAnsi="宋体" w:eastAsia="宋体" w:cs="宋体"/>
                <w:color w:val="auto"/>
                <w:sz w:val="22"/>
              </w:rPr>
            </w:pPr>
            <w:r>
              <w:rPr>
                <w:rFonts w:hint="eastAsia" w:ascii="宋体" w:hAnsi="宋体" w:eastAsia="宋体" w:cs="宋体"/>
                <w:color w:val="auto"/>
                <w:sz w:val="22"/>
              </w:rPr>
              <w:t>35分</w:t>
            </w:r>
          </w:p>
          <w:p>
            <w:pPr>
              <w:pStyle w:val="7"/>
              <w:jc w:val="center"/>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报价得分</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35分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1、满足招标文件要求且投标价格最低的投标报价为评标基准价(D)，其价格分为满分(35分)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2、其他合格供应商的投标报价得分按如下公式计算：</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投标报价得分=(评标基准价D／投标报价V)×35</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备注：符合本招标文件政府采购优惠政策”规定的，在评审时予以价格扣除，用扣除后的价格参与评审。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1129" w:type="dxa"/>
            <w:vMerge w:val="restart"/>
            <w:tcBorders>
              <w:left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商务</w:t>
            </w:r>
          </w:p>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15分</w:t>
            </w:r>
          </w:p>
          <w:p>
            <w:pPr>
              <w:pStyle w:val="2"/>
              <w:rPr>
                <w:rFonts w:hint="eastAsia" w:ascii="宋体" w:hAnsi="宋体" w:eastAsia="宋体" w:cs="宋体"/>
                <w:color w:val="auto"/>
                <w:sz w:val="22"/>
              </w:rPr>
            </w:pPr>
          </w:p>
          <w:p>
            <w:pPr>
              <w:pStyle w:val="2"/>
              <w:rPr>
                <w:rFonts w:hint="eastAsia" w:ascii="宋体" w:hAnsi="宋体" w:eastAsia="宋体" w:cs="宋体"/>
                <w:color w:val="auto"/>
                <w:sz w:val="22"/>
              </w:rPr>
            </w:pPr>
          </w:p>
        </w:tc>
        <w:tc>
          <w:tcPr>
            <w:tcW w:w="1276"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质保期</w:t>
            </w:r>
          </w:p>
          <w:p>
            <w:pPr>
              <w:pStyle w:val="2"/>
              <w:rPr>
                <w:rFonts w:hint="eastAsia" w:ascii="宋体" w:hAnsi="宋体" w:eastAsia="宋体" w:cs="宋体"/>
                <w:color w:val="auto"/>
                <w:sz w:val="22"/>
              </w:rPr>
            </w:pPr>
          </w:p>
        </w:tc>
        <w:tc>
          <w:tcPr>
            <w:tcW w:w="851"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1.在满足招标文件要求的基础上，质保期每增加</w:t>
            </w:r>
            <w:r>
              <w:rPr>
                <w:rFonts w:hint="eastAsia" w:ascii="宋体" w:hAnsi="宋体" w:eastAsia="宋体" w:cs="宋体"/>
                <w:color w:val="auto"/>
                <w:sz w:val="22"/>
                <w:u w:val="single"/>
              </w:rPr>
              <w:t xml:space="preserve"> 1 </w:t>
            </w:r>
            <w:r>
              <w:rPr>
                <w:rFonts w:hint="eastAsia" w:ascii="宋体" w:hAnsi="宋体" w:eastAsia="宋体" w:cs="宋体"/>
                <w:color w:val="auto"/>
                <w:sz w:val="22"/>
              </w:rPr>
              <w:t>年，得</w:t>
            </w:r>
            <w:r>
              <w:rPr>
                <w:rFonts w:hint="eastAsia" w:ascii="宋体" w:hAnsi="宋体" w:eastAsia="宋体" w:cs="宋体"/>
                <w:color w:val="auto"/>
                <w:sz w:val="22"/>
                <w:u w:val="single"/>
              </w:rPr>
              <w:t xml:space="preserve"> 1</w:t>
            </w:r>
            <w:r>
              <w:rPr>
                <w:rFonts w:hint="eastAsia" w:ascii="宋体" w:hAnsi="宋体" w:eastAsia="宋体" w:cs="宋体"/>
                <w:color w:val="auto"/>
                <w:sz w:val="22"/>
              </w:rPr>
              <w:t>分，此项最多得</w:t>
            </w:r>
            <w:r>
              <w:rPr>
                <w:rFonts w:hint="eastAsia" w:ascii="宋体" w:hAnsi="宋体" w:eastAsia="宋体" w:cs="宋体"/>
                <w:color w:val="auto"/>
                <w:sz w:val="22"/>
                <w:u w:val="single"/>
              </w:rPr>
              <w:t xml:space="preserve"> 2 </w:t>
            </w:r>
            <w:r>
              <w:rPr>
                <w:rFonts w:hint="eastAsia" w:ascii="宋体" w:hAnsi="宋体" w:eastAsia="宋体" w:cs="宋体"/>
                <w:color w:val="auto"/>
                <w:sz w:val="22"/>
              </w:rPr>
              <w:t>分。</w:t>
            </w:r>
          </w:p>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2.提供所投产品原厂售后服务承诺函扫描件加盖原厂公章的得</w:t>
            </w:r>
            <w:r>
              <w:rPr>
                <w:rFonts w:hint="eastAsia" w:ascii="宋体" w:hAnsi="宋体" w:eastAsia="宋体" w:cs="宋体"/>
                <w:color w:val="auto"/>
                <w:sz w:val="22"/>
                <w:u w:val="single"/>
              </w:rPr>
              <w:t xml:space="preserve"> 1 </w:t>
            </w:r>
            <w:r>
              <w:rPr>
                <w:rFonts w:hint="eastAsia" w:ascii="宋体" w:hAnsi="宋体" w:eastAsia="宋体" w:cs="宋体"/>
                <w:color w:val="auto"/>
                <w:sz w:val="22"/>
              </w:rPr>
              <w:t>分,未提供承诺函不得分。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4"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类似业绩</w:t>
            </w:r>
          </w:p>
          <w:p>
            <w:pPr>
              <w:pStyle w:val="2"/>
              <w:rPr>
                <w:rFonts w:hint="eastAsia" w:ascii="宋体" w:hAnsi="宋体" w:eastAsia="宋体" w:cs="宋体"/>
                <w:color w:val="auto"/>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根据所投产品</w:t>
            </w:r>
            <w:r>
              <w:rPr>
                <w:rFonts w:hint="eastAsia" w:ascii="宋体" w:hAnsi="宋体" w:eastAsia="宋体" w:cs="宋体"/>
                <w:color w:val="auto"/>
                <w:sz w:val="22"/>
                <w:u w:val="single"/>
              </w:rPr>
              <w:t>（投标截止日前三年以来）</w:t>
            </w:r>
            <w:r>
              <w:rPr>
                <w:rFonts w:hint="eastAsia" w:ascii="宋体" w:hAnsi="宋体" w:eastAsia="宋体" w:cs="宋体"/>
                <w:color w:val="auto"/>
                <w:sz w:val="22"/>
              </w:rPr>
              <w:t>类似项目业绩打分（须提供中标通知书或供货合同，没有提供的不得分），每个得</w:t>
            </w:r>
            <w:r>
              <w:rPr>
                <w:rFonts w:hint="eastAsia" w:ascii="宋体" w:hAnsi="宋体" w:eastAsia="宋体" w:cs="宋体"/>
                <w:color w:val="auto"/>
                <w:sz w:val="22"/>
                <w:u w:val="single"/>
              </w:rPr>
              <w:t xml:space="preserve"> 1 </w:t>
            </w:r>
            <w:r>
              <w:rPr>
                <w:rFonts w:hint="eastAsia" w:ascii="宋体" w:hAnsi="宋体" w:eastAsia="宋体" w:cs="宋体"/>
                <w:color w:val="auto"/>
                <w:sz w:val="22"/>
              </w:rPr>
              <w:t xml:space="preserve">分，最多得 </w:t>
            </w:r>
            <w:r>
              <w:rPr>
                <w:rFonts w:hint="eastAsia" w:ascii="宋体" w:hAnsi="宋体" w:eastAsia="宋体" w:cs="宋体"/>
                <w:color w:val="auto"/>
                <w:sz w:val="22"/>
                <w:u w:val="single"/>
              </w:rPr>
              <w:t xml:space="preserve"> 3 </w:t>
            </w:r>
            <w:r>
              <w:rPr>
                <w:rFonts w:hint="eastAsia" w:ascii="宋体" w:hAnsi="宋体" w:eastAsia="宋体" w:cs="宋体"/>
                <w:color w:val="auto"/>
                <w:sz w:val="22"/>
              </w:rPr>
              <w:t>分。未提供或未按要求的提供不得分。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安装验收方案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5分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一、评审内容：</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根据供应商提供的安装验收方案进行打分，包括但不限于：</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1、对本项目交付提供的供货方案、安装实施方案；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2、对本项目交付、验收标准提供的方案。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二、评审标准：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（1）合理性、科学性：必须完整，设想合理、恰当；</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（2）可行性、针对性：根据采购文件要求提出操作性强的方案；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每条评审内容完全满足以上2条评审标准的得2.5分。完全满足以上一条评审标准得1分，评审内容存在缺陷或缺漏的得0.5分，未响应或未提供的得0分。满分5分。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培训及售后服务方案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4分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一、评审内容：</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根据供应商提供的培训及售后服务方案进行打分，包括但不限于：</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1、对本项目提供的培训及售后服务保证方案（包含培训内容及人员安排、质保期内售后巡检及售后服务网点、维修方案、人员安排及零配件及备品备件）；</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2、对本项目实施过程中可能出现疑难问题、突发事件提供的应急预案。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二、评审标准：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（1）合理性、科学性：必须完整，设想合理、恰当；</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（2）可行性、针对性：根据采购文件要求提出操作性强的方案；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每条评审内容完全满足以上2条评审标准的得2分。完全满足以上一条评审标准得1分，评审内容存在缺陷或缺漏的得0.5分，未响应或未提供的得0分。满分4分。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9" w:hRule="atLeast"/>
          <w:jc w:val="center"/>
        </w:trPr>
        <w:tc>
          <w:tcPr>
            <w:tcW w:w="1129"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技术</w:t>
            </w:r>
          </w:p>
          <w:p>
            <w:pPr>
              <w:pStyle w:val="7"/>
              <w:jc w:val="center"/>
              <w:rPr>
                <w:rFonts w:hint="eastAsia" w:ascii="宋体" w:hAnsi="宋体" w:eastAsia="宋体" w:cs="宋体"/>
                <w:color w:val="auto"/>
                <w:sz w:val="22"/>
              </w:rPr>
            </w:pPr>
            <w:r>
              <w:rPr>
                <w:rFonts w:hint="eastAsia" w:ascii="宋体" w:hAnsi="宋体" w:eastAsia="宋体" w:cs="宋体"/>
                <w:color w:val="auto"/>
                <w:sz w:val="22"/>
              </w:rPr>
              <w:t>50分</w:t>
            </w:r>
          </w:p>
          <w:p>
            <w:pPr>
              <w:pStyle w:val="7"/>
              <w:rPr>
                <w:rFonts w:hint="eastAsia" w:ascii="宋体" w:hAnsi="宋体" w:eastAsia="宋体" w:cs="宋体"/>
                <w:color w:val="auto"/>
                <w:sz w:val="22"/>
              </w:rPr>
            </w:pPr>
          </w:p>
          <w:p>
            <w:pPr>
              <w:pStyle w:val="7"/>
              <w:rPr>
                <w:rFonts w:hint="eastAsia" w:ascii="宋体" w:hAnsi="宋体" w:eastAsia="宋体" w:cs="宋体"/>
                <w:color w:val="auto"/>
                <w:sz w:val="22"/>
              </w:rPr>
            </w:pPr>
          </w:p>
        </w:tc>
        <w:tc>
          <w:tcPr>
            <w:tcW w:w="1276"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产品技术响应、主要参数和其他重要性能指标</w:t>
            </w:r>
          </w:p>
        </w:tc>
        <w:tc>
          <w:tcPr>
            <w:tcW w:w="851"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50分</w:t>
            </w:r>
          </w:p>
        </w:tc>
        <w:tc>
          <w:tcPr>
            <w:tcW w:w="6237"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投标产品的技术规格符合招标文件要求，能完全满足使用要求得</w:t>
            </w:r>
            <w:r>
              <w:rPr>
                <w:rFonts w:hint="eastAsia" w:ascii="宋体" w:hAnsi="宋体" w:eastAsia="宋体" w:cs="宋体"/>
                <w:color w:val="auto"/>
                <w:sz w:val="22"/>
                <w:u w:val="single"/>
              </w:rPr>
              <w:t xml:space="preserve">50 </w:t>
            </w:r>
            <w:r>
              <w:rPr>
                <w:rFonts w:hint="eastAsia" w:ascii="宋体" w:hAnsi="宋体" w:eastAsia="宋体" w:cs="宋体"/>
                <w:color w:val="auto"/>
                <w:sz w:val="22"/>
              </w:rPr>
              <w:t>分。如技术参数指标低于招标文件第三章中技术要求，即为负偏离。</w:t>
            </w:r>
          </w:p>
          <w:p>
            <w:pPr>
              <w:spacing w:line="276" w:lineRule="auto"/>
              <w:rPr>
                <w:rFonts w:hint="eastAsia" w:ascii="宋体" w:hAnsi="宋体" w:eastAsia="宋体" w:cs="宋体"/>
                <w:color w:val="auto"/>
                <w:sz w:val="22"/>
              </w:rPr>
            </w:pPr>
            <w:r>
              <w:rPr>
                <w:rFonts w:hint="eastAsia" w:ascii="宋体" w:hAnsi="宋体" w:eastAsia="宋体" w:cs="宋体"/>
                <w:b/>
                <w:color w:val="auto"/>
                <w:sz w:val="22"/>
              </w:rPr>
              <w:t>1、</w:t>
            </w:r>
            <w:r>
              <w:rPr>
                <w:rFonts w:hint="eastAsia" w:ascii="宋体" w:hAnsi="宋体" w:eastAsia="宋体" w:cs="宋体"/>
                <w:color w:val="auto"/>
                <w:sz w:val="22"/>
              </w:rPr>
              <w:t>“★”参数为重要参数（共计</w:t>
            </w:r>
            <w:r>
              <w:rPr>
                <w:rFonts w:hint="eastAsia" w:ascii="宋体" w:hAnsi="宋体" w:eastAsia="宋体" w:cs="宋体"/>
                <w:color w:val="auto"/>
                <w:sz w:val="22"/>
                <w:u w:val="single"/>
              </w:rPr>
              <w:t xml:space="preserve"> /</w:t>
            </w:r>
            <w:r>
              <w:rPr>
                <w:rFonts w:hint="eastAsia" w:ascii="宋体" w:hAnsi="宋体" w:eastAsia="宋体" w:cs="宋体"/>
                <w:color w:val="auto"/>
                <w:sz w:val="22"/>
              </w:rPr>
              <w:t>项）完全满足采购文件得</w:t>
            </w:r>
            <w:r>
              <w:rPr>
                <w:rFonts w:hint="eastAsia" w:ascii="宋体" w:hAnsi="宋体" w:eastAsia="宋体" w:cs="宋体"/>
                <w:color w:val="auto"/>
                <w:sz w:val="22"/>
                <w:u w:val="single"/>
              </w:rPr>
              <w:t>/</w:t>
            </w:r>
            <w:r>
              <w:rPr>
                <w:rFonts w:hint="eastAsia" w:ascii="宋体" w:hAnsi="宋体" w:eastAsia="宋体" w:cs="宋体"/>
                <w:color w:val="auto"/>
                <w:sz w:val="22"/>
              </w:rPr>
              <w:t>分，每有一项负偏离扣/分，扣完为止；</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2、未标注参数为一般参数（共计</w:t>
            </w:r>
            <w:r>
              <w:rPr>
                <w:rFonts w:hint="eastAsia" w:ascii="宋体" w:hAnsi="宋体" w:eastAsia="宋体" w:cs="宋体"/>
                <w:color w:val="auto"/>
                <w:sz w:val="22"/>
                <w:u w:val="single"/>
              </w:rPr>
              <w:t>25</w:t>
            </w:r>
            <w:r>
              <w:rPr>
                <w:rFonts w:hint="eastAsia" w:ascii="宋体" w:hAnsi="宋体" w:eastAsia="宋体" w:cs="宋体"/>
                <w:color w:val="auto"/>
                <w:sz w:val="22"/>
              </w:rPr>
              <w:t>项）完全满足采购文件得</w:t>
            </w:r>
            <w:r>
              <w:rPr>
                <w:rFonts w:hint="eastAsia" w:ascii="宋体" w:hAnsi="宋体" w:eastAsia="宋体" w:cs="宋体"/>
                <w:color w:val="auto"/>
                <w:sz w:val="22"/>
                <w:u w:val="single"/>
              </w:rPr>
              <w:t>50</w:t>
            </w:r>
            <w:r>
              <w:rPr>
                <w:rFonts w:hint="eastAsia" w:ascii="宋体" w:hAnsi="宋体" w:eastAsia="宋体" w:cs="宋体"/>
                <w:color w:val="auto"/>
                <w:sz w:val="22"/>
              </w:rPr>
              <w:t>分，每有一项负偏离扣</w:t>
            </w:r>
            <w:r>
              <w:rPr>
                <w:rFonts w:hint="eastAsia" w:ascii="宋体" w:hAnsi="宋体" w:eastAsia="宋体" w:cs="宋体"/>
                <w:color w:val="auto"/>
                <w:sz w:val="22"/>
                <w:u w:val="single"/>
              </w:rPr>
              <w:t xml:space="preserve"> 2</w:t>
            </w:r>
            <w:r>
              <w:rPr>
                <w:rFonts w:hint="eastAsia" w:ascii="宋体" w:hAnsi="宋体" w:eastAsia="宋体" w:cs="宋体"/>
                <w:color w:val="auto"/>
                <w:sz w:val="22"/>
              </w:rPr>
              <w:t>分，扣完为止；</w:t>
            </w:r>
          </w:p>
          <w:p>
            <w:pPr>
              <w:spacing w:line="276" w:lineRule="auto"/>
              <w:ind w:firstLine="220" w:firstLineChars="100"/>
              <w:rPr>
                <w:rFonts w:hint="eastAsia" w:ascii="宋体" w:hAnsi="宋体" w:eastAsia="宋体" w:cs="宋体"/>
                <w:b/>
                <w:bCs/>
                <w:color w:val="auto"/>
                <w:sz w:val="22"/>
              </w:rPr>
            </w:pPr>
            <w:r>
              <w:rPr>
                <w:rFonts w:hint="eastAsia" w:ascii="宋体" w:hAnsi="宋体" w:eastAsia="宋体" w:cs="宋体"/>
                <w:color w:val="auto"/>
                <w:sz w:val="22"/>
              </w:rPr>
              <w:t>“★”</w:t>
            </w:r>
            <w:r>
              <w:rPr>
                <w:rFonts w:hint="eastAsia" w:ascii="宋体" w:hAnsi="宋体" w:eastAsia="宋体" w:cs="宋体"/>
                <w:b/>
                <w:bCs/>
                <w:color w:val="auto"/>
                <w:sz w:val="22"/>
              </w:rPr>
              <w:t>号技术需提供相关证明材料，未提供有效证明材料或证明材料中内容与所填报指标不一致的，该指标按负偏离处理。</w:t>
            </w:r>
          </w:p>
          <w:p>
            <w:pPr>
              <w:spacing w:line="276" w:lineRule="auto"/>
              <w:rPr>
                <w:rFonts w:hint="eastAsia" w:ascii="宋体" w:hAnsi="宋体" w:eastAsia="宋体" w:cs="宋体"/>
                <w:b/>
                <w:bCs/>
                <w:color w:val="auto"/>
                <w:sz w:val="22"/>
              </w:rPr>
            </w:pPr>
            <w:r>
              <w:rPr>
                <w:rFonts w:hint="eastAsia" w:ascii="宋体" w:hAnsi="宋体" w:eastAsia="宋体" w:cs="宋体"/>
                <w:b/>
                <w:bCs/>
                <w:color w:val="auto"/>
                <w:sz w:val="22"/>
              </w:rPr>
              <w:t>备注：证明材料为生产厂家官方网站截图或第三方机构出具的检验报告或加盖制造商（含其分支机构）公章的产品白皮书或加盖制造商（含其分支机构）公章的制造商公开发布的彩色印刷资料。（各项指标要求中对证明材料另有要求的从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总分</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493"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说明：评分表中规定的“合理性、科学性”表示，供应商响应方案中已完全涵盖该项评审内容的所有分项内容，且对该分项内容有详细的描述。</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评分表中规定的“可行性、针对性”表示，供应商响应方案中所列的相关分项内容，从项目的需求和供应商的自身实力出发具有可行性，且供应商能针对相关方案在承诺的交付期/质保期内具体实施或实现。</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评分表中的“未响应或未提供”表示：供应商响应方案中未提及相关分项内容，或针对分项内容只有标题，或者对该项内容进行简单的解释，无明确的落地方案。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的“缺陷或缺漏”表示：供应商响应方案中明确涉及了相关分项内容，并针对分项内容有针对性的进行了实施阐述，但阐述内容过于简单、粗陋，或从项目的需求和供应商的自身实力出发不具有可行性，或方案中有明显的逻辑错误或违背客观科学规律。</w:t>
            </w:r>
          </w:p>
        </w:tc>
      </w:tr>
    </w:tbl>
    <w:p>
      <w:pPr>
        <w:rPr>
          <w:rFonts w:hint="eastAsia" w:ascii="宋体" w:hAnsi="宋体" w:eastAsia="宋体" w:cs="宋体"/>
          <w:b/>
          <w:bCs/>
          <w:color w:val="auto"/>
          <w:sz w:val="32"/>
          <w:szCs w:val="40"/>
        </w:rPr>
      </w:pPr>
      <w:r>
        <w:rPr>
          <w:rFonts w:hint="eastAsia" w:ascii="宋体" w:hAnsi="宋体" w:eastAsia="宋体" w:cs="宋体"/>
          <w:b/>
          <w:bCs/>
          <w:color w:val="auto"/>
          <w:sz w:val="32"/>
          <w:szCs w:val="40"/>
        </w:rPr>
        <w:br w:type="page"/>
      </w:r>
      <w:r>
        <w:rPr>
          <w:rFonts w:hint="eastAsia" w:ascii="宋体" w:hAnsi="宋体" w:eastAsia="宋体" w:cs="宋体"/>
          <w:b/>
          <w:bCs/>
          <w:color w:val="auto"/>
          <w:sz w:val="24"/>
          <w:szCs w:val="32"/>
        </w:rPr>
        <w:t>07包：实时荧光定量PCR仪</w:t>
      </w:r>
    </w:p>
    <w:tbl>
      <w:tblPr>
        <w:tblStyle w:val="2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85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评审分项</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满分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评审内容及分值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9"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价格</w:t>
            </w:r>
          </w:p>
          <w:p>
            <w:pPr>
              <w:pStyle w:val="7"/>
              <w:jc w:val="center"/>
              <w:rPr>
                <w:rFonts w:hint="eastAsia" w:ascii="宋体" w:hAnsi="宋体" w:eastAsia="宋体" w:cs="宋体"/>
                <w:color w:val="auto"/>
                <w:sz w:val="22"/>
              </w:rPr>
            </w:pPr>
            <w:r>
              <w:rPr>
                <w:rFonts w:hint="eastAsia" w:ascii="宋体" w:hAnsi="宋体" w:eastAsia="宋体" w:cs="宋体"/>
                <w:color w:val="auto"/>
                <w:sz w:val="22"/>
              </w:rPr>
              <w:t>35分</w:t>
            </w:r>
          </w:p>
          <w:p>
            <w:pPr>
              <w:pStyle w:val="7"/>
              <w:jc w:val="center"/>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报价得分</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35分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1、满足招标文件要求且投标价格最低的投标报价为评标基准价(D)，其价格分为满分(35分)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2、其他合格供应商的投标报价得分按如下公式计算：</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投标报价得分=(评标基准价D／投标报价V)×35</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备注：符合本招标文件政府采购优惠政策”规定的，在评审时予以价格扣除，用扣除后的价格参与评审。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1129" w:type="dxa"/>
            <w:vMerge w:val="restart"/>
            <w:tcBorders>
              <w:left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商务</w:t>
            </w:r>
          </w:p>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12分</w:t>
            </w:r>
          </w:p>
          <w:p>
            <w:pPr>
              <w:pStyle w:val="2"/>
              <w:rPr>
                <w:rFonts w:hint="eastAsia" w:ascii="宋体" w:hAnsi="宋体" w:eastAsia="宋体" w:cs="宋体"/>
                <w:color w:val="auto"/>
                <w:sz w:val="22"/>
              </w:rPr>
            </w:pPr>
          </w:p>
          <w:p>
            <w:pPr>
              <w:pStyle w:val="2"/>
              <w:rPr>
                <w:rFonts w:hint="eastAsia" w:ascii="宋体" w:hAnsi="宋体" w:eastAsia="宋体" w:cs="宋体"/>
                <w:color w:val="auto"/>
                <w:sz w:val="22"/>
              </w:rPr>
            </w:pPr>
          </w:p>
        </w:tc>
        <w:tc>
          <w:tcPr>
            <w:tcW w:w="1276"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质保期</w:t>
            </w:r>
          </w:p>
          <w:p>
            <w:pPr>
              <w:pStyle w:val="2"/>
              <w:rPr>
                <w:rFonts w:hint="eastAsia" w:ascii="宋体" w:hAnsi="宋体" w:eastAsia="宋体" w:cs="宋体"/>
                <w:color w:val="auto"/>
                <w:sz w:val="22"/>
              </w:rPr>
            </w:pPr>
          </w:p>
        </w:tc>
        <w:tc>
          <w:tcPr>
            <w:tcW w:w="851"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1.在满足招标文件要求的基础上，质保期每增加</w:t>
            </w:r>
            <w:r>
              <w:rPr>
                <w:rFonts w:hint="eastAsia" w:ascii="宋体" w:hAnsi="宋体" w:eastAsia="宋体" w:cs="宋体"/>
                <w:color w:val="auto"/>
                <w:sz w:val="22"/>
                <w:u w:val="single"/>
              </w:rPr>
              <w:t xml:space="preserve"> 1 </w:t>
            </w:r>
            <w:r>
              <w:rPr>
                <w:rFonts w:hint="eastAsia" w:ascii="宋体" w:hAnsi="宋体" w:eastAsia="宋体" w:cs="宋体"/>
                <w:color w:val="auto"/>
                <w:sz w:val="22"/>
              </w:rPr>
              <w:t>年，得</w:t>
            </w:r>
            <w:r>
              <w:rPr>
                <w:rFonts w:hint="eastAsia" w:ascii="宋体" w:hAnsi="宋体" w:eastAsia="宋体" w:cs="宋体"/>
                <w:color w:val="auto"/>
                <w:sz w:val="22"/>
                <w:u w:val="single"/>
              </w:rPr>
              <w:t xml:space="preserve"> 1</w:t>
            </w:r>
            <w:r>
              <w:rPr>
                <w:rFonts w:hint="eastAsia" w:ascii="宋体" w:hAnsi="宋体" w:eastAsia="宋体" w:cs="宋体"/>
                <w:color w:val="auto"/>
                <w:sz w:val="22"/>
              </w:rPr>
              <w:t>分，此项最多得</w:t>
            </w:r>
            <w:r>
              <w:rPr>
                <w:rFonts w:hint="eastAsia" w:ascii="宋体" w:hAnsi="宋体" w:eastAsia="宋体" w:cs="宋体"/>
                <w:color w:val="auto"/>
                <w:sz w:val="22"/>
                <w:u w:val="single"/>
              </w:rPr>
              <w:t xml:space="preserve"> 2 </w:t>
            </w:r>
            <w:r>
              <w:rPr>
                <w:rFonts w:hint="eastAsia" w:ascii="宋体" w:hAnsi="宋体" w:eastAsia="宋体" w:cs="宋体"/>
                <w:color w:val="auto"/>
                <w:sz w:val="22"/>
              </w:rPr>
              <w:t>分。</w:t>
            </w:r>
          </w:p>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2.提供所投产品原厂售后服务承诺函扫描件加盖原厂公章的得</w:t>
            </w:r>
            <w:r>
              <w:rPr>
                <w:rFonts w:hint="eastAsia" w:ascii="宋体" w:hAnsi="宋体" w:eastAsia="宋体" w:cs="宋体"/>
                <w:color w:val="auto"/>
                <w:sz w:val="22"/>
                <w:u w:val="single"/>
              </w:rPr>
              <w:t xml:space="preserve"> 1 </w:t>
            </w:r>
            <w:r>
              <w:rPr>
                <w:rFonts w:hint="eastAsia" w:ascii="宋体" w:hAnsi="宋体" w:eastAsia="宋体" w:cs="宋体"/>
                <w:color w:val="auto"/>
                <w:sz w:val="22"/>
              </w:rPr>
              <w:t>分,未提供承诺函不得分。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4"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类似业绩</w:t>
            </w:r>
          </w:p>
          <w:p>
            <w:pPr>
              <w:pStyle w:val="2"/>
              <w:rPr>
                <w:rFonts w:hint="eastAsia" w:ascii="宋体" w:hAnsi="宋体" w:eastAsia="宋体" w:cs="宋体"/>
                <w:color w:val="auto"/>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根据所投产品</w:t>
            </w:r>
            <w:r>
              <w:rPr>
                <w:rFonts w:hint="eastAsia" w:ascii="宋体" w:hAnsi="宋体" w:eastAsia="宋体" w:cs="宋体"/>
                <w:color w:val="auto"/>
                <w:sz w:val="22"/>
                <w:u w:val="single"/>
              </w:rPr>
              <w:t>（投标截止日前三年以来）</w:t>
            </w:r>
            <w:r>
              <w:rPr>
                <w:rFonts w:hint="eastAsia" w:ascii="宋体" w:hAnsi="宋体" w:eastAsia="宋体" w:cs="宋体"/>
                <w:color w:val="auto"/>
                <w:sz w:val="22"/>
              </w:rPr>
              <w:t>类似项目业绩打分（须提供中标通知书或供货合同，没有提供的不得分），每个得</w:t>
            </w:r>
            <w:r>
              <w:rPr>
                <w:rFonts w:hint="eastAsia" w:ascii="宋体" w:hAnsi="宋体" w:eastAsia="宋体" w:cs="宋体"/>
                <w:color w:val="auto"/>
                <w:sz w:val="22"/>
                <w:u w:val="single"/>
              </w:rPr>
              <w:t xml:space="preserve"> 1 </w:t>
            </w:r>
            <w:r>
              <w:rPr>
                <w:rFonts w:hint="eastAsia" w:ascii="宋体" w:hAnsi="宋体" w:eastAsia="宋体" w:cs="宋体"/>
                <w:color w:val="auto"/>
                <w:sz w:val="22"/>
              </w:rPr>
              <w:t xml:space="preserve">分，最多得 </w:t>
            </w:r>
            <w:r>
              <w:rPr>
                <w:rFonts w:hint="eastAsia" w:ascii="宋体" w:hAnsi="宋体" w:eastAsia="宋体" w:cs="宋体"/>
                <w:color w:val="auto"/>
                <w:sz w:val="22"/>
                <w:u w:val="single"/>
              </w:rPr>
              <w:t xml:space="preserve"> 3 </w:t>
            </w:r>
            <w:r>
              <w:rPr>
                <w:rFonts w:hint="eastAsia" w:ascii="宋体" w:hAnsi="宋体" w:eastAsia="宋体" w:cs="宋体"/>
                <w:color w:val="auto"/>
                <w:sz w:val="22"/>
              </w:rPr>
              <w:t>分。未提供或未按要求的提供不得分。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安装验收方案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一、评审内容：</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根据供应商提供的安装验收方案进行打分，包括但不限于：</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1、对本项目交付提供的供货方案、安装实施方案；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2、对本项目交付、验收标准提供的方案。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二、评审标准：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（1）合理性、科学性：必须完整，设想合理、恰当；</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（2）可行性、针对性：根据采购文件要求提出操作性强的方案；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每条评审内容完全满足以上2条评审标准的得1.5分。完全满足以上一条评审标准得1分，评审内容存在缺陷或缺漏的得0.5分，未响应或未提供的得0分。满分3分。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培训及售后服务方案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一、评审内容：</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根据供应商提供的培训及售后服务方案进行打分，包括但不限于：</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1、对本项目提供的培训及售后服务保证方案（包含培训内容及人员安排、质保期内售后巡检及售后服务网点、维修方案、人员安排及零配件及备品备件）；</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2、对本项目实施过程中可能出现疑难问题、突发事件提供的应急预案。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二、评审标准：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（1）合理性、科学性：必须完整，设想合理、恰当；</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（2）可行性、针对性：根据采购文件要求提出操作性强的方案；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每条评审内容完全满足以上2条评审标准的得1.5分。完全满足以上一条评审标准得1分，评审内容存在缺陷或缺漏的得0.5分，未响应或未提供的得0分。满分3分。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9" w:hRule="atLeast"/>
          <w:jc w:val="center"/>
        </w:trPr>
        <w:tc>
          <w:tcPr>
            <w:tcW w:w="1129"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技术</w:t>
            </w:r>
          </w:p>
          <w:p>
            <w:pPr>
              <w:pStyle w:val="7"/>
              <w:jc w:val="center"/>
              <w:rPr>
                <w:rFonts w:hint="eastAsia" w:ascii="宋体" w:hAnsi="宋体" w:eastAsia="宋体" w:cs="宋体"/>
                <w:color w:val="auto"/>
                <w:sz w:val="22"/>
              </w:rPr>
            </w:pPr>
            <w:r>
              <w:rPr>
                <w:rFonts w:hint="eastAsia" w:ascii="宋体" w:hAnsi="宋体" w:eastAsia="宋体" w:cs="宋体"/>
                <w:color w:val="auto"/>
                <w:sz w:val="22"/>
              </w:rPr>
              <w:t>53分</w:t>
            </w:r>
          </w:p>
          <w:p>
            <w:pPr>
              <w:pStyle w:val="7"/>
              <w:rPr>
                <w:rFonts w:hint="eastAsia" w:ascii="宋体" w:hAnsi="宋体" w:eastAsia="宋体" w:cs="宋体"/>
                <w:color w:val="auto"/>
                <w:sz w:val="22"/>
              </w:rPr>
            </w:pPr>
          </w:p>
          <w:p>
            <w:pPr>
              <w:pStyle w:val="7"/>
              <w:rPr>
                <w:rFonts w:hint="eastAsia" w:ascii="宋体" w:hAnsi="宋体" w:eastAsia="宋体" w:cs="宋体"/>
                <w:color w:val="auto"/>
                <w:sz w:val="22"/>
              </w:rPr>
            </w:pPr>
          </w:p>
        </w:tc>
        <w:tc>
          <w:tcPr>
            <w:tcW w:w="1276"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产品技术响应、主要参数和其他重要性能指标</w:t>
            </w:r>
          </w:p>
        </w:tc>
        <w:tc>
          <w:tcPr>
            <w:tcW w:w="851"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53分</w:t>
            </w:r>
          </w:p>
        </w:tc>
        <w:tc>
          <w:tcPr>
            <w:tcW w:w="6237"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投标产品的技术规格符合招标文件要求，能完全满足使用要求得</w:t>
            </w:r>
            <w:r>
              <w:rPr>
                <w:rFonts w:hint="eastAsia" w:ascii="宋体" w:hAnsi="宋体" w:eastAsia="宋体" w:cs="宋体"/>
                <w:color w:val="auto"/>
                <w:sz w:val="22"/>
                <w:u w:val="single"/>
              </w:rPr>
              <w:t xml:space="preserve">53 </w:t>
            </w:r>
            <w:r>
              <w:rPr>
                <w:rFonts w:hint="eastAsia" w:ascii="宋体" w:hAnsi="宋体" w:eastAsia="宋体" w:cs="宋体"/>
                <w:color w:val="auto"/>
                <w:sz w:val="22"/>
              </w:rPr>
              <w:t>分。如技术参数指标低于招标文件第三章中技术要求，即为负偏离。</w:t>
            </w:r>
          </w:p>
          <w:p>
            <w:pPr>
              <w:spacing w:line="276" w:lineRule="auto"/>
              <w:rPr>
                <w:rFonts w:hint="eastAsia" w:ascii="宋体" w:hAnsi="宋体" w:eastAsia="宋体" w:cs="宋体"/>
                <w:color w:val="auto"/>
                <w:sz w:val="22"/>
              </w:rPr>
            </w:pPr>
            <w:r>
              <w:rPr>
                <w:rFonts w:hint="eastAsia" w:ascii="宋体" w:hAnsi="宋体" w:eastAsia="宋体" w:cs="宋体"/>
                <w:b/>
                <w:color w:val="auto"/>
                <w:sz w:val="22"/>
              </w:rPr>
              <w:t>1、</w:t>
            </w:r>
            <w:r>
              <w:rPr>
                <w:rFonts w:hint="eastAsia" w:ascii="宋体" w:hAnsi="宋体" w:eastAsia="宋体" w:cs="宋体"/>
                <w:color w:val="auto"/>
                <w:sz w:val="22"/>
              </w:rPr>
              <w:t>“★”参数为重要参数（共计</w:t>
            </w:r>
            <w:r>
              <w:rPr>
                <w:rFonts w:hint="eastAsia" w:ascii="宋体" w:hAnsi="宋体" w:eastAsia="宋体" w:cs="宋体"/>
                <w:color w:val="auto"/>
                <w:sz w:val="22"/>
                <w:u w:val="single"/>
              </w:rPr>
              <w:t xml:space="preserve"> 5</w:t>
            </w:r>
            <w:r>
              <w:rPr>
                <w:rFonts w:hint="eastAsia" w:ascii="宋体" w:hAnsi="宋体" w:eastAsia="宋体" w:cs="宋体"/>
                <w:color w:val="auto"/>
                <w:sz w:val="22"/>
              </w:rPr>
              <w:t>项）完全满足采购文件得</w:t>
            </w:r>
            <w:r>
              <w:rPr>
                <w:rFonts w:hint="eastAsia" w:ascii="宋体" w:hAnsi="宋体" w:eastAsia="宋体" w:cs="宋体"/>
                <w:color w:val="auto"/>
                <w:sz w:val="22"/>
                <w:u w:val="single"/>
              </w:rPr>
              <w:t>35</w:t>
            </w:r>
            <w:r>
              <w:rPr>
                <w:rFonts w:hint="eastAsia" w:ascii="宋体" w:hAnsi="宋体" w:eastAsia="宋体" w:cs="宋体"/>
                <w:color w:val="auto"/>
                <w:sz w:val="22"/>
              </w:rPr>
              <w:t>分，每有一项负偏离扣</w:t>
            </w:r>
            <w:r>
              <w:rPr>
                <w:rFonts w:hint="eastAsia" w:ascii="宋体" w:hAnsi="宋体" w:eastAsia="宋体" w:cs="宋体"/>
                <w:color w:val="auto"/>
                <w:sz w:val="22"/>
                <w:u w:val="single"/>
              </w:rPr>
              <w:t xml:space="preserve"> 7</w:t>
            </w:r>
            <w:r>
              <w:rPr>
                <w:rFonts w:hint="eastAsia" w:ascii="宋体" w:hAnsi="宋体" w:eastAsia="宋体" w:cs="宋体"/>
                <w:color w:val="auto"/>
                <w:sz w:val="22"/>
              </w:rPr>
              <w:t>分，扣完为止；</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2、未标注参数为一般参数（共计</w:t>
            </w:r>
            <w:r>
              <w:rPr>
                <w:rFonts w:hint="eastAsia" w:ascii="宋体" w:hAnsi="宋体" w:eastAsia="宋体" w:cs="宋体"/>
                <w:color w:val="auto"/>
                <w:sz w:val="22"/>
                <w:u w:val="single"/>
              </w:rPr>
              <w:t>6</w:t>
            </w:r>
            <w:r>
              <w:rPr>
                <w:rFonts w:hint="eastAsia" w:ascii="宋体" w:hAnsi="宋体" w:eastAsia="宋体" w:cs="宋体"/>
                <w:color w:val="auto"/>
                <w:sz w:val="22"/>
              </w:rPr>
              <w:t>项）完全满足采购文件得18分，每有一项负偏离扣</w:t>
            </w:r>
            <w:r>
              <w:rPr>
                <w:rFonts w:hint="eastAsia" w:ascii="宋体" w:hAnsi="宋体" w:eastAsia="宋体" w:cs="宋体"/>
                <w:color w:val="auto"/>
                <w:sz w:val="22"/>
                <w:u w:val="single"/>
              </w:rPr>
              <w:t xml:space="preserve"> 3</w:t>
            </w:r>
            <w:r>
              <w:rPr>
                <w:rFonts w:hint="eastAsia" w:ascii="宋体" w:hAnsi="宋体" w:eastAsia="宋体" w:cs="宋体"/>
                <w:color w:val="auto"/>
                <w:sz w:val="22"/>
              </w:rPr>
              <w:t>分，扣完为止；</w:t>
            </w:r>
          </w:p>
          <w:p>
            <w:pPr>
              <w:spacing w:line="276" w:lineRule="auto"/>
              <w:ind w:firstLine="220" w:firstLineChars="100"/>
              <w:rPr>
                <w:rFonts w:hint="eastAsia" w:ascii="宋体" w:hAnsi="宋体" w:eastAsia="宋体" w:cs="宋体"/>
                <w:b/>
                <w:bCs/>
                <w:color w:val="auto"/>
                <w:sz w:val="22"/>
              </w:rPr>
            </w:pPr>
            <w:r>
              <w:rPr>
                <w:rFonts w:hint="eastAsia" w:ascii="宋体" w:hAnsi="宋体" w:eastAsia="宋体" w:cs="宋体"/>
                <w:color w:val="auto"/>
                <w:sz w:val="22"/>
              </w:rPr>
              <w:t>“★”</w:t>
            </w:r>
            <w:r>
              <w:rPr>
                <w:rFonts w:hint="eastAsia" w:ascii="宋体" w:hAnsi="宋体" w:eastAsia="宋体" w:cs="宋体"/>
                <w:b/>
                <w:bCs/>
                <w:color w:val="auto"/>
                <w:sz w:val="22"/>
              </w:rPr>
              <w:t>号技术需提供相关证明材料，未提供有效证明材料或证明材料中内容与所填报指标不一致的，该指标按负偏离处理。</w:t>
            </w:r>
          </w:p>
          <w:p>
            <w:pPr>
              <w:spacing w:line="276" w:lineRule="auto"/>
              <w:rPr>
                <w:rFonts w:hint="eastAsia" w:ascii="宋体" w:hAnsi="宋体" w:eastAsia="宋体" w:cs="宋体"/>
                <w:b/>
                <w:bCs/>
                <w:color w:val="auto"/>
                <w:sz w:val="22"/>
              </w:rPr>
            </w:pPr>
            <w:r>
              <w:rPr>
                <w:rFonts w:hint="eastAsia" w:ascii="宋体" w:hAnsi="宋体" w:eastAsia="宋体" w:cs="宋体"/>
                <w:b/>
                <w:bCs/>
                <w:color w:val="auto"/>
                <w:sz w:val="22"/>
              </w:rPr>
              <w:t>备注：证明材料为生产厂家官方网站截图或第三方机构出具的检验报告或加盖制造商（含其分支机构）公章的产品白皮书或加盖制造商（含其分支机构）公章的制造商公开发布的彩色印刷资料。（各项指标要求中对证明材料另有要求的从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总分</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493"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说明：评分表中规定的“合理性、科学性”表示，供应商响应方案中已完全涵盖该项评审内容的所有分项内容，且对该分项内容有详细的描述。</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评分表中规定的“可行性、针对性”表示，供应商响应方案中所列的相关分项内容，从项目的需求和供应商的自身实力出发具有可行性，且供应商能针对相关方案在承诺的交付期/质保期内具体实施或实现。</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评分表中的“未响应或未提供”表示：供应商响应方案中未提及相关分项内容，或针对分项内容只有标题，或者对该项内容进行简单的解释，无明确的落地方案。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的“缺陷或缺漏”表示：供应商响应方案中明确涉及了相关分项内容，并针对分项内容有针对性的进行了实施阐述，但阐述内容过于简单、粗陋，或从项目的需求和供应商的自身实力出发不具有可行性，或方案中有明显的逻辑错误或违背客观科学规律。</w:t>
            </w:r>
          </w:p>
        </w:tc>
      </w:tr>
    </w:tbl>
    <w:p>
      <w:pPr>
        <w:rPr>
          <w:rFonts w:hint="eastAsia" w:ascii="宋体" w:hAnsi="宋体" w:eastAsia="宋体" w:cs="宋体"/>
          <w:b/>
          <w:bCs/>
          <w:color w:val="auto"/>
          <w:sz w:val="32"/>
          <w:szCs w:val="40"/>
        </w:rPr>
      </w:pPr>
      <w:r>
        <w:rPr>
          <w:rFonts w:hint="eastAsia" w:ascii="宋体" w:hAnsi="宋体" w:eastAsia="宋体" w:cs="宋体"/>
          <w:b/>
          <w:bCs/>
          <w:color w:val="auto"/>
          <w:sz w:val="32"/>
          <w:szCs w:val="40"/>
        </w:rPr>
        <w:br w:type="page"/>
      </w:r>
      <w:r>
        <w:rPr>
          <w:rFonts w:hint="eastAsia" w:ascii="宋体" w:hAnsi="宋体" w:eastAsia="宋体" w:cs="宋体"/>
          <w:b/>
          <w:bCs/>
          <w:color w:val="auto"/>
          <w:sz w:val="24"/>
          <w:szCs w:val="32"/>
        </w:rPr>
        <w:t>08包：全自动外泌体提取系统</w:t>
      </w:r>
    </w:p>
    <w:tbl>
      <w:tblPr>
        <w:tblStyle w:val="2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85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评审分项</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满分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评审内容及分值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9"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价格</w:t>
            </w:r>
          </w:p>
          <w:p>
            <w:pPr>
              <w:pStyle w:val="7"/>
              <w:jc w:val="center"/>
              <w:rPr>
                <w:rFonts w:hint="eastAsia" w:ascii="宋体" w:hAnsi="宋体" w:eastAsia="宋体" w:cs="宋体"/>
                <w:color w:val="auto"/>
                <w:sz w:val="22"/>
              </w:rPr>
            </w:pPr>
            <w:r>
              <w:rPr>
                <w:rFonts w:hint="eastAsia" w:ascii="宋体" w:hAnsi="宋体" w:eastAsia="宋体" w:cs="宋体"/>
                <w:color w:val="auto"/>
                <w:sz w:val="22"/>
              </w:rPr>
              <w:t>35分</w:t>
            </w:r>
          </w:p>
          <w:p>
            <w:pPr>
              <w:pStyle w:val="7"/>
              <w:jc w:val="center"/>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报价得分</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35分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1、满足招标文件要求且投标价格最低的投标报价为评标基准价(D)，其价格分为满分(35分)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2、其他合格供应商的投标报价得分按如下公式计算：</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投标报价得分=(评标基准价D／投标报价V)×35</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备注：符合本招标文件政府采购优惠政策”规定的，在评审时予以价格扣除，用扣除后的价格参与评审。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1129" w:type="dxa"/>
            <w:vMerge w:val="restart"/>
            <w:tcBorders>
              <w:left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商务</w:t>
            </w:r>
          </w:p>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12分</w:t>
            </w:r>
          </w:p>
          <w:p>
            <w:pPr>
              <w:pStyle w:val="2"/>
              <w:rPr>
                <w:rFonts w:hint="eastAsia" w:ascii="宋体" w:hAnsi="宋体" w:eastAsia="宋体" w:cs="宋体"/>
                <w:color w:val="auto"/>
                <w:sz w:val="22"/>
              </w:rPr>
            </w:pPr>
          </w:p>
          <w:p>
            <w:pPr>
              <w:pStyle w:val="2"/>
              <w:rPr>
                <w:rFonts w:hint="eastAsia" w:ascii="宋体" w:hAnsi="宋体" w:eastAsia="宋体" w:cs="宋体"/>
                <w:color w:val="auto"/>
                <w:sz w:val="22"/>
              </w:rPr>
            </w:pPr>
          </w:p>
        </w:tc>
        <w:tc>
          <w:tcPr>
            <w:tcW w:w="1276"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质保期</w:t>
            </w:r>
          </w:p>
          <w:p>
            <w:pPr>
              <w:pStyle w:val="2"/>
              <w:rPr>
                <w:rFonts w:hint="eastAsia" w:ascii="宋体" w:hAnsi="宋体" w:eastAsia="宋体" w:cs="宋体"/>
                <w:color w:val="auto"/>
                <w:sz w:val="22"/>
              </w:rPr>
            </w:pPr>
          </w:p>
        </w:tc>
        <w:tc>
          <w:tcPr>
            <w:tcW w:w="851"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1.在满足招标文件要求的基础上，质保期每增加</w:t>
            </w:r>
            <w:r>
              <w:rPr>
                <w:rFonts w:hint="eastAsia" w:ascii="宋体" w:hAnsi="宋体" w:eastAsia="宋体" w:cs="宋体"/>
                <w:color w:val="auto"/>
                <w:sz w:val="22"/>
                <w:u w:val="single"/>
              </w:rPr>
              <w:t xml:space="preserve"> 1 </w:t>
            </w:r>
            <w:r>
              <w:rPr>
                <w:rFonts w:hint="eastAsia" w:ascii="宋体" w:hAnsi="宋体" w:eastAsia="宋体" w:cs="宋体"/>
                <w:color w:val="auto"/>
                <w:sz w:val="22"/>
              </w:rPr>
              <w:t>年，得</w:t>
            </w:r>
            <w:r>
              <w:rPr>
                <w:rFonts w:hint="eastAsia" w:ascii="宋体" w:hAnsi="宋体" w:eastAsia="宋体" w:cs="宋体"/>
                <w:color w:val="auto"/>
                <w:sz w:val="22"/>
                <w:u w:val="single"/>
              </w:rPr>
              <w:t xml:space="preserve"> 1</w:t>
            </w:r>
            <w:r>
              <w:rPr>
                <w:rFonts w:hint="eastAsia" w:ascii="宋体" w:hAnsi="宋体" w:eastAsia="宋体" w:cs="宋体"/>
                <w:color w:val="auto"/>
                <w:sz w:val="22"/>
              </w:rPr>
              <w:t>分，此项最多得</w:t>
            </w:r>
            <w:r>
              <w:rPr>
                <w:rFonts w:hint="eastAsia" w:ascii="宋体" w:hAnsi="宋体" w:eastAsia="宋体" w:cs="宋体"/>
                <w:color w:val="auto"/>
                <w:sz w:val="22"/>
                <w:u w:val="single"/>
              </w:rPr>
              <w:t xml:space="preserve"> 2 </w:t>
            </w:r>
            <w:r>
              <w:rPr>
                <w:rFonts w:hint="eastAsia" w:ascii="宋体" w:hAnsi="宋体" w:eastAsia="宋体" w:cs="宋体"/>
                <w:color w:val="auto"/>
                <w:sz w:val="22"/>
              </w:rPr>
              <w:t>分。</w:t>
            </w:r>
          </w:p>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2.提供所投产品原厂售后服务承诺函扫描件加盖原厂公章的得</w:t>
            </w:r>
            <w:r>
              <w:rPr>
                <w:rFonts w:hint="eastAsia" w:ascii="宋体" w:hAnsi="宋体" w:eastAsia="宋体" w:cs="宋体"/>
                <w:color w:val="auto"/>
                <w:sz w:val="22"/>
                <w:u w:val="single"/>
              </w:rPr>
              <w:t xml:space="preserve"> 1 </w:t>
            </w:r>
            <w:r>
              <w:rPr>
                <w:rFonts w:hint="eastAsia" w:ascii="宋体" w:hAnsi="宋体" w:eastAsia="宋体" w:cs="宋体"/>
                <w:color w:val="auto"/>
                <w:sz w:val="22"/>
              </w:rPr>
              <w:t>分,未提供承诺函不得分。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4"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类似业绩</w:t>
            </w:r>
          </w:p>
          <w:p>
            <w:pPr>
              <w:pStyle w:val="2"/>
              <w:rPr>
                <w:rFonts w:hint="eastAsia" w:ascii="宋体" w:hAnsi="宋体" w:eastAsia="宋体" w:cs="宋体"/>
                <w:color w:val="auto"/>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根据所投产品</w:t>
            </w:r>
            <w:r>
              <w:rPr>
                <w:rFonts w:hint="eastAsia" w:ascii="宋体" w:hAnsi="宋体" w:eastAsia="宋体" w:cs="宋体"/>
                <w:color w:val="auto"/>
                <w:sz w:val="22"/>
                <w:u w:val="single"/>
              </w:rPr>
              <w:t>（投标截止日前三年以来）</w:t>
            </w:r>
            <w:r>
              <w:rPr>
                <w:rFonts w:hint="eastAsia" w:ascii="宋体" w:hAnsi="宋体" w:eastAsia="宋体" w:cs="宋体"/>
                <w:color w:val="auto"/>
                <w:sz w:val="22"/>
              </w:rPr>
              <w:t>类似项目业绩打分（须提供中标通知书或供货合同，没有提供的不得分），每个得</w:t>
            </w:r>
            <w:r>
              <w:rPr>
                <w:rFonts w:hint="eastAsia" w:ascii="宋体" w:hAnsi="宋体" w:eastAsia="宋体" w:cs="宋体"/>
                <w:color w:val="auto"/>
                <w:sz w:val="22"/>
                <w:u w:val="single"/>
              </w:rPr>
              <w:t xml:space="preserve"> 1 </w:t>
            </w:r>
            <w:r>
              <w:rPr>
                <w:rFonts w:hint="eastAsia" w:ascii="宋体" w:hAnsi="宋体" w:eastAsia="宋体" w:cs="宋体"/>
                <w:color w:val="auto"/>
                <w:sz w:val="22"/>
              </w:rPr>
              <w:t xml:space="preserve">分，最多得 </w:t>
            </w:r>
            <w:r>
              <w:rPr>
                <w:rFonts w:hint="eastAsia" w:ascii="宋体" w:hAnsi="宋体" w:eastAsia="宋体" w:cs="宋体"/>
                <w:color w:val="auto"/>
                <w:sz w:val="22"/>
                <w:u w:val="single"/>
              </w:rPr>
              <w:t xml:space="preserve"> 3 </w:t>
            </w:r>
            <w:r>
              <w:rPr>
                <w:rFonts w:hint="eastAsia" w:ascii="宋体" w:hAnsi="宋体" w:eastAsia="宋体" w:cs="宋体"/>
                <w:color w:val="auto"/>
                <w:sz w:val="22"/>
              </w:rPr>
              <w:t>分。未提供或未按要求的提供不得分。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安装验收方案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一、评审内容：</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根据供应商提供的安装验收方案进行打分，包括但不限于：</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1、对本项目交付提供的供货方案、安装实施方案；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2、对本项目交付、验收标准提供的方案。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二、评审标准：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（1）合理性、科学性：必须完整，设想合理、恰当；</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（2）可行性、针对性：根据采购文件要求提出操作性强的方案；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每条评审内容完全满足以上2条评审标准的得1.5分。完全满足以上一条评审标准得1分，评审内容存在缺陷或缺漏的得0.5分，未响应或未提供的得0分。满分3分。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培训及售后服务方案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一、评审内容：</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根据供应商提供的培训及售后服务方案进行打分，包括但不限于：</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1、对本项目提供的培训及售后服务保证方案（包含培训内容及人员安排、质保期内售后巡检及售后服务网点、维修方案、人员安排及零配件及备品备件）；</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2、对本项目实施过程中可能出现疑难问题、突发事件提供的应急预案。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二、评审标准：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（1）合理性、科学性：必须完整，设想合理、恰当；</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（2）可行性、针对性：根据采购文件要求提出操作性强的方案；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每条评审内容完全满足以上2条评审标准的得1.5分。完全满足以上一条评审标准得1分，评审内容存在缺陷或缺漏的得0.5分，未响应或未提供的得0分。满分3分。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9" w:hRule="atLeast"/>
          <w:jc w:val="center"/>
        </w:trPr>
        <w:tc>
          <w:tcPr>
            <w:tcW w:w="1129"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技术</w:t>
            </w:r>
          </w:p>
          <w:p>
            <w:pPr>
              <w:pStyle w:val="7"/>
              <w:jc w:val="center"/>
              <w:rPr>
                <w:rFonts w:hint="eastAsia" w:ascii="宋体" w:hAnsi="宋体" w:eastAsia="宋体" w:cs="宋体"/>
                <w:color w:val="auto"/>
                <w:sz w:val="22"/>
              </w:rPr>
            </w:pPr>
            <w:r>
              <w:rPr>
                <w:rFonts w:hint="eastAsia" w:ascii="宋体" w:hAnsi="宋体" w:eastAsia="宋体" w:cs="宋体"/>
                <w:color w:val="auto"/>
                <w:sz w:val="22"/>
              </w:rPr>
              <w:t>53分</w:t>
            </w:r>
          </w:p>
          <w:p>
            <w:pPr>
              <w:pStyle w:val="7"/>
              <w:rPr>
                <w:rFonts w:hint="eastAsia" w:ascii="宋体" w:hAnsi="宋体" w:eastAsia="宋体" w:cs="宋体"/>
                <w:color w:val="auto"/>
                <w:sz w:val="22"/>
              </w:rPr>
            </w:pPr>
          </w:p>
          <w:p>
            <w:pPr>
              <w:pStyle w:val="7"/>
              <w:rPr>
                <w:rFonts w:hint="eastAsia" w:ascii="宋体" w:hAnsi="宋体" w:eastAsia="宋体" w:cs="宋体"/>
                <w:color w:val="auto"/>
                <w:sz w:val="22"/>
              </w:rPr>
            </w:pPr>
          </w:p>
        </w:tc>
        <w:tc>
          <w:tcPr>
            <w:tcW w:w="1276"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产品技术响应、主要参数和其他重要性能指标</w:t>
            </w:r>
          </w:p>
        </w:tc>
        <w:tc>
          <w:tcPr>
            <w:tcW w:w="851"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53分</w:t>
            </w:r>
          </w:p>
        </w:tc>
        <w:tc>
          <w:tcPr>
            <w:tcW w:w="6237"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投标产品的技术规格符合招标文件要求，能完全满足使用要求得</w:t>
            </w:r>
            <w:r>
              <w:rPr>
                <w:rFonts w:hint="eastAsia" w:ascii="宋体" w:hAnsi="宋体" w:eastAsia="宋体" w:cs="宋体"/>
                <w:color w:val="auto"/>
                <w:sz w:val="22"/>
                <w:u w:val="single"/>
              </w:rPr>
              <w:t xml:space="preserve">53 </w:t>
            </w:r>
            <w:r>
              <w:rPr>
                <w:rFonts w:hint="eastAsia" w:ascii="宋体" w:hAnsi="宋体" w:eastAsia="宋体" w:cs="宋体"/>
                <w:color w:val="auto"/>
                <w:sz w:val="22"/>
              </w:rPr>
              <w:t>分。如技术参数指标低于招标文件第三章中技术要求，即为负偏离。</w:t>
            </w:r>
          </w:p>
          <w:p>
            <w:pPr>
              <w:spacing w:line="276" w:lineRule="auto"/>
              <w:rPr>
                <w:rFonts w:hint="eastAsia" w:ascii="宋体" w:hAnsi="宋体" w:eastAsia="宋体" w:cs="宋体"/>
                <w:color w:val="auto"/>
                <w:sz w:val="22"/>
              </w:rPr>
            </w:pPr>
            <w:r>
              <w:rPr>
                <w:rFonts w:hint="eastAsia" w:ascii="宋体" w:hAnsi="宋体" w:eastAsia="宋体" w:cs="宋体"/>
                <w:b/>
                <w:color w:val="auto"/>
                <w:sz w:val="22"/>
              </w:rPr>
              <w:t>1、</w:t>
            </w:r>
            <w:r>
              <w:rPr>
                <w:rFonts w:hint="eastAsia" w:ascii="宋体" w:hAnsi="宋体" w:eastAsia="宋体" w:cs="宋体"/>
                <w:color w:val="auto"/>
                <w:sz w:val="22"/>
              </w:rPr>
              <w:t>“★”参数为重要参数（共计</w:t>
            </w:r>
            <w:r>
              <w:rPr>
                <w:rFonts w:hint="eastAsia" w:ascii="宋体" w:hAnsi="宋体" w:eastAsia="宋体" w:cs="宋体"/>
                <w:color w:val="auto"/>
                <w:sz w:val="22"/>
                <w:u w:val="single"/>
              </w:rPr>
              <w:t xml:space="preserve"> 3</w:t>
            </w:r>
            <w:r>
              <w:rPr>
                <w:rFonts w:hint="eastAsia" w:ascii="宋体" w:hAnsi="宋体" w:eastAsia="宋体" w:cs="宋体"/>
                <w:color w:val="auto"/>
                <w:sz w:val="22"/>
              </w:rPr>
              <w:t>项）完全满足采购文件得</w:t>
            </w:r>
            <w:r>
              <w:rPr>
                <w:rFonts w:hint="eastAsia" w:ascii="宋体" w:hAnsi="宋体" w:eastAsia="宋体" w:cs="宋体"/>
                <w:color w:val="auto"/>
                <w:sz w:val="22"/>
                <w:u w:val="single"/>
              </w:rPr>
              <w:t>21</w:t>
            </w:r>
            <w:r>
              <w:rPr>
                <w:rFonts w:hint="eastAsia" w:ascii="宋体" w:hAnsi="宋体" w:eastAsia="宋体" w:cs="宋体"/>
                <w:color w:val="auto"/>
                <w:sz w:val="22"/>
              </w:rPr>
              <w:t>分，每有一项负偏离扣</w:t>
            </w:r>
            <w:r>
              <w:rPr>
                <w:rFonts w:hint="eastAsia" w:ascii="宋体" w:hAnsi="宋体" w:eastAsia="宋体" w:cs="宋体"/>
                <w:color w:val="auto"/>
                <w:sz w:val="22"/>
                <w:u w:val="single"/>
              </w:rPr>
              <w:t xml:space="preserve"> 7</w:t>
            </w:r>
            <w:r>
              <w:rPr>
                <w:rFonts w:hint="eastAsia" w:ascii="宋体" w:hAnsi="宋体" w:eastAsia="宋体" w:cs="宋体"/>
                <w:color w:val="auto"/>
                <w:sz w:val="22"/>
              </w:rPr>
              <w:t>分，扣完为止；</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2、未标注参数为一般参数（共计</w:t>
            </w:r>
            <w:r>
              <w:rPr>
                <w:rFonts w:hint="eastAsia" w:ascii="宋体" w:hAnsi="宋体" w:eastAsia="宋体" w:cs="宋体"/>
                <w:color w:val="auto"/>
                <w:sz w:val="22"/>
                <w:u w:val="single"/>
              </w:rPr>
              <w:t>16</w:t>
            </w:r>
            <w:r>
              <w:rPr>
                <w:rFonts w:hint="eastAsia" w:ascii="宋体" w:hAnsi="宋体" w:eastAsia="宋体" w:cs="宋体"/>
                <w:color w:val="auto"/>
                <w:sz w:val="22"/>
              </w:rPr>
              <w:t>项）完全满足采购文件得</w:t>
            </w:r>
            <w:r>
              <w:rPr>
                <w:rFonts w:hint="eastAsia" w:ascii="宋体" w:hAnsi="宋体" w:eastAsia="宋体" w:cs="宋体"/>
                <w:color w:val="auto"/>
                <w:sz w:val="22"/>
                <w:u w:val="single"/>
              </w:rPr>
              <w:t>32</w:t>
            </w:r>
            <w:r>
              <w:rPr>
                <w:rFonts w:hint="eastAsia" w:ascii="宋体" w:hAnsi="宋体" w:eastAsia="宋体" w:cs="宋体"/>
                <w:color w:val="auto"/>
                <w:sz w:val="22"/>
              </w:rPr>
              <w:t>分，每有一项负偏离扣</w:t>
            </w:r>
            <w:r>
              <w:rPr>
                <w:rFonts w:hint="eastAsia" w:ascii="宋体" w:hAnsi="宋体" w:eastAsia="宋体" w:cs="宋体"/>
                <w:color w:val="auto"/>
                <w:sz w:val="22"/>
                <w:u w:val="single"/>
              </w:rPr>
              <w:t xml:space="preserve"> 2</w:t>
            </w:r>
            <w:r>
              <w:rPr>
                <w:rFonts w:hint="eastAsia" w:ascii="宋体" w:hAnsi="宋体" w:eastAsia="宋体" w:cs="宋体"/>
                <w:color w:val="auto"/>
                <w:sz w:val="22"/>
              </w:rPr>
              <w:t>分，扣完为止；</w:t>
            </w:r>
          </w:p>
          <w:p>
            <w:pPr>
              <w:spacing w:line="276" w:lineRule="auto"/>
              <w:ind w:firstLine="220" w:firstLineChars="100"/>
              <w:rPr>
                <w:rFonts w:hint="eastAsia" w:ascii="宋体" w:hAnsi="宋体" w:eastAsia="宋体" w:cs="宋体"/>
                <w:b/>
                <w:bCs/>
                <w:color w:val="auto"/>
                <w:sz w:val="22"/>
              </w:rPr>
            </w:pPr>
            <w:r>
              <w:rPr>
                <w:rFonts w:hint="eastAsia" w:ascii="宋体" w:hAnsi="宋体" w:eastAsia="宋体" w:cs="宋体"/>
                <w:color w:val="auto"/>
                <w:sz w:val="22"/>
              </w:rPr>
              <w:t>“★”</w:t>
            </w:r>
            <w:r>
              <w:rPr>
                <w:rFonts w:hint="eastAsia" w:ascii="宋体" w:hAnsi="宋体" w:eastAsia="宋体" w:cs="宋体"/>
                <w:b/>
                <w:bCs/>
                <w:color w:val="auto"/>
                <w:sz w:val="22"/>
              </w:rPr>
              <w:t>号技术需提供相关证明材料，未提供有效证明材料或证明材料中内容与所填报指标不一致的，该指标按负偏离处理。</w:t>
            </w:r>
          </w:p>
          <w:p>
            <w:pPr>
              <w:spacing w:line="276" w:lineRule="auto"/>
              <w:rPr>
                <w:rFonts w:hint="eastAsia" w:ascii="宋体" w:hAnsi="宋体" w:eastAsia="宋体" w:cs="宋体"/>
                <w:b/>
                <w:bCs/>
                <w:color w:val="auto"/>
                <w:sz w:val="22"/>
              </w:rPr>
            </w:pPr>
            <w:r>
              <w:rPr>
                <w:rFonts w:hint="eastAsia" w:ascii="宋体" w:hAnsi="宋体" w:eastAsia="宋体" w:cs="宋体"/>
                <w:b/>
                <w:bCs/>
                <w:color w:val="auto"/>
                <w:sz w:val="22"/>
              </w:rPr>
              <w:t>备注：证明材料为生产厂家官方网站截图或第三方机构出具的检验报告或加盖制造商（含其分支机构）公章的产品白皮书或加盖制造商（含其分支机构）公章的制造商公开发布的彩色印刷资料。（各项指标要求中对证明材料另有要求的从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总分</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493"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说明：评分表中规定的“合理性、科学性”表示，供应商响应方案中已完全涵盖该项评审内容的所有分项内容，且对该分项内容有详细的描述。</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评分表中规定的“可行性、针对性”表示，供应商响应方案中所列的相关分项内容，从项目的需求和供应商的自身实力出发具有可行性，且供应商能针对相关方案在承诺的交付期/质保期内具体实施或实现。</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评分表中的“未响应或未提供”表示：供应商响应方案中未提及相关分项内容，或针对分项内容只有标题，或者对该项内容进行简单的解释，无明确的落地方案。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评分表中的“缺陷或缺漏”表示：供应商响应方案中明确涉及了相关分项内容，并针对分项内容有针对性的进行了实施阐述，但阐述内容过于简单、粗陋，或从项目的需求和供应商的自身实力出发不具有可行性，或方案中有明显的逻辑错误或违背客观科学规律。</w:t>
            </w:r>
          </w:p>
        </w:tc>
      </w:tr>
    </w:tbl>
    <w:p>
      <w:pPr>
        <w:rPr>
          <w:rFonts w:hint="eastAsia" w:ascii="宋体" w:hAnsi="宋体" w:eastAsia="宋体" w:cs="宋体"/>
          <w:b/>
          <w:bCs/>
          <w:color w:val="auto"/>
          <w:sz w:val="32"/>
          <w:szCs w:val="40"/>
        </w:rPr>
      </w:pPr>
      <w:r>
        <w:rPr>
          <w:rFonts w:hint="eastAsia" w:ascii="宋体" w:hAnsi="宋体" w:eastAsia="宋体" w:cs="宋体"/>
          <w:b/>
          <w:bCs/>
          <w:color w:val="auto"/>
          <w:sz w:val="32"/>
          <w:szCs w:val="40"/>
        </w:rPr>
        <w:br w:type="page"/>
      </w:r>
      <w:r>
        <w:rPr>
          <w:rFonts w:hint="eastAsia" w:ascii="宋体" w:hAnsi="宋体" w:eastAsia="宋体" w:cs="宋体"/>
          <w:b/>
          <w:bCs/>
          <w:color w:val="auto"/>
          <w:sz w:val="24"/>
          <w:szCs w:val="32"/>
        </w:rPr>
        <w:t>09包：电穿孔仪</w:t>
      </w:r>
    </w:p>
    <w:tbl>
      <w:tblPr>
        <w:tblStyle w:val="2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85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评审分项</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满分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评审内容及分值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9"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价格</w:t>
            </w:r>
          </w:p>
          <w:p>
            <w:pPr>
              <w:pStyle w:val="7"/>
              <w:jc w:val="center"/>
              <w:rPr>
                <w:rFonts w:hint="eastAsia" w:ascii="宋体" w:hAnsi="宋体" w:eastAsia="宋体" w:cs="宋体"/>
                <w:color w:val="auto"/>
                <w:sz w:val="22"/>
              </w:rPr>
            </w:pPr>
            <w:r>
              <w:rPr>
                <w:rFonts w:hint="eastAsia" w:ascii="宋体" w:hAnsi="宋体" w:eastAsia="宋体" w:cs="宋体"/>
                <w:color w:val="auto"/>
                <w:sz w:val="22"/>
              </w:rPr>
              <w:t>35分</w:t>
            </w:r>
          </w:p>
          <w:p>
            <w:pPr>
              <w:pStyle w:val="7"/>
              <w:jc w:val="center"/>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报价得分</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35分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1、满足招标文件要求且投标价格最低的投标报价为评标基准价(D)，其价格分为满分(35分)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2、其他合格供应商的投标报价得分按如下公式计算：</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投标报价得分=(评标基准价D／投标报价V)×35</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备注：符合本招标文件政府采购优惠政策”规定的，在评审时予以价格扣除，用扣除后的价格参与评审。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1129" w:type="dxa"/>
            <w:vMerge w:val="restart"/>
            <w:tcBorders>
              <w:left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商务</w:t>
            </w:r>
          </w:p>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13分</w:t>
            </w:r>
          </w:p>
          <w:p>
            <w:pPr>
              <w:pStyle w:val="2"/>
              <w:rPr>
                <w:rFonts w:hint="eastAsia" w:ascii="宋体" w:hAnsi="宋体" w:eastAsia="宋体" w:cs="宋体"/>
                <w:color w:val="auto"/>
                <w:sz w:val="22"/>
              </w:rPr>
            </w:pPr>
          </w:p>
          <w:p>
            <w:pPr>
              <w:pStyle w:val="2"/>
              <w:rPr>
                <w:rFonts w:hint="eastAsia" w:ascii="宋体" w:hAnsi="宋体" w:eastAsia="宋体" w:cs="宋体"/>
                <w:color w:val="auto"/>
                <w:sz w:val="22"/>
              </w:rPr>
            </w:pPr>
          </w:p>
        </w:tc>
        <w:tc>
          <w:tcPr>
            <w:tcW w:w="1276"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质保期</w:t>
            </w:r>
          </w:p>
          <w:p>
            <w:pPr>
              <w:pStyle w:val="2"/>
              <w:rPr>
                <w:rFonts w:hint="eastAsia" w:ascii="宋体" w:hAnsi="宋体" w:eastAsia="宋体" w:cs="宋体"/>
                <w:color w:val="auto"/>
                <w:sz w:val="22"/>
              </w:rPr>
            </w:pPr>
          </w:p>
        </w:tc>
        <w:tc>
          <w:tcPr>
            <w:tcW w:w="851"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1.在满足招标文件要求的基础上，质保期每增加</w:t>
            </w:r>
            <w:r>
              <w:rPr>
                <w:rFonts w:hint="eastAsia" w:ascii="宋体" w:hAnsi="宋体" w:eastAsia="宋体" w:cs="宋体"/>
                <w:color w:val="auto"/>
                <w:sz w:val="22"/>
                <w:u w:val="single"/>
              </w:rPr>
              <w:t xml:space="preserve"> 1 </w:t>
            </w:r>
            <w:r>
              <w:rPr>
                <w:rFonts w:hint="eastAsia" w:ascii="宋体" w:hAnsi="宋体" w:eastAsia="宋体" w:cs="宋体"/>
                <w:color w:val="auto"/>
                <w:sz w:val="22"/>
              </w:rPr>
              <w:t>年，得</w:t>
            </w:r>
            <w:r>
              <w:rPr>
                <w:rFonts w:hint="eastAsia" w:ascii="宋体" w:hAnsi="宋体" w:eastAsia="宋体" w:cs="宋体"/>
                <w:color w:val="auto"/>
                <w:sz w:val="22"/>
                <w:u w:val="single"/>
              </w:rPr>
              <w:t xml:space="preserve"> 1</w:t>
            </w:r>
            <w:r>
              <w:rPr>
                <w:rFonts w:hint="eastAsia" w:ascii="宋体" w:hAnsi="宋体" w:eastAsia="宋体" w:cs="宋体"/>
                <w:color w:val="auto"/>
                <w:sz w:val="22"/>
              </w:rPr>
              <w:t>分，此项最多得</w:t>
            </w:r>
            <w:r>
              <w:rPr>
                <w:rFonts w:hint="eastAsia" w:ascii="宋体" w:hAnsi="宋体" w:eastAsia="宋体" w:cs="宋体"/>
                <w:color w:val="auto"/>
                <w:sz w:val="22"/>
                <w:u w:val="single"/>
              </w:rPr>
              <w:t xml:space="preserve"> 2 </w:t>
            </w:r>
            <w:r>
              <w:rPr>
                <w:rFonts w:hint="eastAsia" w:ascii="宋体" w:hAnsi="宋体" w:eastAsia="宋体" w:cs="宋体"/>
                <w:color w:val="auto"/>
                <w:sz w:val="22"/>
              </w:rPr>
              <w:t>分。</w:t>
            </w:r>
          </w:p>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2.提供所投产品原厂售后服务承诺函扫描件加盖原厂公章的得</w:t>
            </w:r>
            <w:r>
              <w:rPr>
                <w:rFonts w:hint="eastAsia" w:ascii="宋体" w:hAnsi="宋体" w:eastAsia="宋体" w:cs="宋体"/>
                <w:color w:val="auto"/>
                <w:sz w:val="22"/>
                <w:u w:val="single"/>
              </w:rPr>
              <w:t xml:space="preserve"> 1 </w:t>
            </w:r>
            <w:r>
              <w:rPr>
                <w:rFonts w:hint="eastAsia" w:ascii="宋体" w:hAnsi="宋体" w:eastAsia="宋体" w:cs="宋体"/>
                <w:color w:val="auto"/>
                <w:sz w:val="22"/>
              </w:rPr>
              <w:t>分,未提供承诺函不得分。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4"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类似业绩</w:t>
            </w:r>
          </w:p>
          <w:p>
            <w:pPr>
              <w:pStyle w:val="2"/>
              <w:rPr>
                <w:rFonts w:hint="eastAsia" w:ascii="宋体" w:hAnsi="宋体" w:eastAsia="宋体" w:cs="宋体"/>
                <w:color w:val="auto"/>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spacing w:line="276" w:lineRule="auto"/>
              <w:rPr>
                <w:rFonts w:hint="eastAsia" w:ascii="宋体" w:hAnsi="宋体" w:eastAsia="宋体" w:cs="宋体"/>
                <w:color w:val="auto"/>
                <w:sz w:val="22"/>
              </w:rPr>
            </w:pPr>
            <w:r>
              <w:rPr>
                <w:rFonts w:hint="eastAsia" w:ascii="宋体" w:hAnsi="宋体" w:eastAsia="宋体" w:cs="宋体"/>
                <w:color w:val="auto"/>
                <w:sz w:val="22"/>
              </w:rPr>
              <w:t>根据所投产品</w:t>
            </w:r>
            <w:r>
              <w:rPr>
                <w:rFonts w:hint="eastAsia" w:ascii="宋体" w:hAnsi="宋体" w:eastAsia="宋体" w:cs="宋体"/>
                <w:color w:val="auto"/>
                <w:sz w:val="22"/>
                <w:u w:val="single"/>
              </w:rPr>
              <w:t>（投标截止日前三年以来）</w:t>
            </w:r>
            <w:r>
              <w:rPr>
                <w:rFonts w:hint="eastAsia" w:ascii="宋体" w:hAnsi="宋体" w:eastAsia="宋体" w:cs="宋体"/>
                <w:color w:val="auto"/>
                <w:sz w:val="22"/>
              </w:rPr>
              <w:t>类似项目业绩打分（须提供中标通知书或供货合同，没有提供的不得分），每个得</w:t>
            </w:r>
            <w:r>
              <w:rPr>
                <w:rFonts w:hint="eastAsia" w:ascii="宋体" w:hAnsi="宋体" w:eastAsia="宋体" w:cs="宋体"/>
                <w:color w:val="auto"/>
                <w:sz w:val="22"/>
                <w:u w:val="single"/>
              </w:rPr>
              <w:t xml:space="preserve"> 1 </w:t>
            </w:r>
            <w:r>
              <w:rPr>
                <w:rFonts w:hint="eastAsia" w:ascii="宋体" w:hAnsi="宋体" w:eastAsia="宋体" w:cs="宋体"/>
                <w:color w:val="auto"/>
                <w:sz w:val="22"/>
              </w:rPr>
              <w:t xml:space="preserve">分，最多得 </w:t>
            </w:r>
            <w:r>
              <w:rPr>
                <w:rFonts w:hint="eastAsia" w:ascii="宋体" w:hAnsi="宋体" w:eastAsia="宋体" w:cs="宋体"/>
                <w:color w:val="auto"/>
                <w:sz w:val="22"/>
                <w:u w:val="single"/>
              </w:rPr>
              <w:t xml:space="preserve"> 3</w:t>
            </w:r>
            <w:r>
              <w:rPr>
                <w:rFonts w:hint="eastAsia" w:ascii="宋体" w:hAnsi="宋体" w:eastAsia="宋体" w:cs="宋体"/>
                <w:color w:val="auto"/>
                <w:sz w:val="22"/>
              </w:rPr>
              <w:t>分。未提供或未按要求的提供不得分。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安装验收方案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4分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一、评审内容：</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根据供应商提供的安装验收方案进行打分，包括但不限于：</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1、对本项目交付提供的供货方案、安装实施方案；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2、对本项目交付、验收标准提供的方案。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二、评审标准：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（1）合理性、科学性：必须完整，设想合理、恰当；</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（2）可行性、针对性：根据采购文件要求提出操作性强的方案；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每条评审内容完全满足以上2条评审标准的得2分。完全满足以上一条评审标准得1分，评审内容存在缺陷或缺漏的得0.5分，未响应或未提供的得0分。满分4分。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jc w:val="center"/>
        </w:trPr>
        <w:tc>
          <w:tcPr>
            <w:tcW w:w="1129" w:type="dxa"/>
            <w:vMerge w:val="continue"/>
            <w:tcBorders>
              <w:left w:val="single" w:color="auto" w:sz="4" w:space="0"/>
              <w:right w:val="single" w:color="auto" w:sz="4" w:space="0"/>
            </w:tcBorders>
            <w:vAlign w:val="center"/>
          </w:tcPr>
          <w:p>
            <w:pPr>
              <w:spacing w:line="276" w:lineRule="auto"/>
              <w:rPr>
                <w:rFonts w:hint="eastAsia" w:ascii="宋体" w:hAnsi="宋体" w:eastAsia="宋体" w:cs="宋体"/>
                <w:color w:val="auto"/>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培训及售后服务方案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3分</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一、评审内容：</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根据供应商提供的培训及售后服务方案进行打分，包括但不限于：</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1、对本项目提供的培训及售后服务保证方案（包含培训内容及人员安排、质保期内售后巡检及售后服务网点、维修方案、人员安排及零配件及备品备件）；</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2、对本项目实施过程中可能出现疑难问题、突发事件提供的应急预案。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二、评审标准：</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（1）合理性、科学性：必须完整，设想合理、恰当；</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（2）可行性、针对性：根据采购文件要求提出操作性强的方案；</w:t>
            </w:r>
          </w:p>
          <w:p>
            <w:pPr>
              <w:spacing w:line="276" w:lineRule="auto"/>
              <w:rPr>
                <w:rFonts w:hint="eastAsia" w:ascii="宋体" w:hAnsi="宋体" w:eastAsia="宋体" w:cs="宋体"/>
                <w:color w:val="auto"/>
                <w:sz w:val="22"/>
              </w:rPr>
            </w:pPr>
            <w:r>
              <w:rPr>
                <w:rFonts w:hint="eastAsia" w:ascii="宋体" w:hAnsi="宋体" w:eastAsia="宋体" w:cs="宋体"/>
                <w:color w:val="auto"/>
                <w:sz w:val="22"/>
              </w:rPr>
              <w:t>每条评审内容完全满足以上2条评审标准的得1.5分。完全满足以上一条评审标准得1分，评审内容存在缺陷或缺漏的得0.5分，未响应或未提供的得0分。满分3分。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9" w:hRule="atLeast"/>
          <w:jc w:val="center"/>
        </w:trPr>
        <w:tc>
          <w:tcPr>
            <w:tcW w:w="1129" w:type="dxa"/>
            <w:tcBorders>
              <w:top w:val="single" w:color="auto" w:sz="4" w:space="0"/>
              <w:left w:val="single" w:color="auto" w:sz="4" w:space="0"/>
              <w:right w:val="single" w:color="auto" w:sz="4" w:space="0"/>
            </w:tcBorders>
            <w:vAlign w:val="center"/>
          </w:tcPr>
          <w:p>
            <w:pPr>
              <w:spacing w:line="276" w:lineRule="auto"/>
              <w:jc w:val="center"/>
              <w:rPr>
                <w:rFonts w:hint="eastAsia" w:ascii="宋体" w:hAnsi="宋体" w:eastAsia="宋体" w:cs="宋体"/>
                <w:color w:val="auto"/>
                <w:sz w:val="22"/>
              </w:rPr>
            </w:pPr>
            <w:r>
              <w:rPr>
                <w:rFonts w:hint="eastAsia" w:ascii="宋体" w:hAnsi="宋体" w:eastAsia="宋体" w:cs="宋体"/>
                <w:color w:val="auto"/>
                <w:sz w:val="22"/>
              </w:rPr>
              <w:t>技术</w:t>
            </w:r>
          </w:p>
          <w:p>
            <w:pPr>
              <w:pStyle w:val="7"/>
              <w:jc w:val="center"/>
              <w:rPr>
                <w:rFonts w:hint="eastAsia" w:ascii="宋体" w:hAnsi="宋体" w:eastAsia="宋体" w:cs="宋体"/>
                <w:color w:val="auto"/>
                <w:sz w:val="22"/>
              </w:rPr>
            </w:pPr>
            <w:r>
              <w:rPr>
                <w:rFonts w:hint="eastAsia" w:ascii="宋体" w:hAnsi="宋体" w:eastAsia="宋体" w:cs="宋体"/>
                <w:color w:val="auto"/>
                <w:sz w:val="22"/>
              </w:rPr>
              <w:t>52分</w:t>
            </w:r>
          </w:p>
          <w:p>
            <w:pPr>
              <w:pStyle w:val="7"/>
              <w:rPr>
                <w:rFonts w:hint="eastAsia" w:ascii="宋体" w:hAnsi="宋体" w:eastAsia="宋体" w:cs="宋体"/>
                <w:color w:val="auto"/>
                <w:sz w:val="22"/>
              </w:rPr>
            </w:pPr>
          </w:p>
          <w:p>
            <w:pPr>
              <w:pStyle w:val="7"/>
              <w:rPr>
                <w:rFonts w:hint="eastAsia" w:ascii="宋体" w:hAnsi="宋体" w:eastAsia="宋体" w:cs="宋体"/>
                <w:color w:val="auto"/>
                <w:sz w:val="22"/>
              </w:rPr>
            </w:pPr>
          </w:p>
        </w:tc>
        <w:tc>
          <w:tcPr>
            <w:tcW w:w="1276"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auto"/>
                <w:sz w:val="22"/>
              </w:rPr>
            </w:pPr>
            <w:r>
              <w:rPr>
                <w:rFonts w:hint="eastAsia" w:ascii="宋体" w:hAnsi="宋体" w:eastAsia="宋体" w:cs="宋体"/>
                <w:color w:val="auto"/>
                <w:sz w:val="22"/>
              </w:rPr>
              <w:t>产品技术响应、主要参数和其他重要性能指标</w:t>
            </w:r>
          </w:p>
        </w:tc>
        <w:tc>
          <w:tcPr>
            <w:tcW w:w="851"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000000"/>
                <w:sz w:val="22"/>
              </w:rPr>
            </w:pPr>
            <w:r>
              <w:rPr>
                <w:rFonts w:hint="eastAsia" w:ascii="宋体" w:hAnsi="宋体" w:eastAsia="宋体" w:cs="宋体"/>
                <w:color w:val="000000"/>
                <w:sz w:val="22"/>
              </w:rPr>
              <w:t>52分</w:t>
            </w:r>
          </w:p>
        </w:tc>
        <w:tc>
          <w:tcPr>
            <w:tcW w:w="6237" w:type="dxa"/>
            <w:tcBorders>
              <w:top w:val="single" w:color="auto" w:sz="4" w:space="0"/>
              <w:left w:val="single" w:color="auto" w:sz="4" w:space="0"/>
              <w:right w:val="single" w:color="auto" w:sz="4" w:space="0"/>
            </w:tcBorders>
            <w:vAlign w:val="center"/>
          </w:tcPr>
          <w:p>
            <w:pPr>
              <w:spacing w:line="276" w:lineRule="auto"/>
              <w:rPr>
                <w:rFonts w:hint="eastAsia" w:ascii="宋体" w:hAnsi="宋体" w:eastAsia="宋体" w:cs="宋体"/>
                <w:color w:val="000000"/>
                <w:sz w:val="22"/>
              </w:rPr>
            </w:pPr>
            <w:r>
              <w:rPr>
                <w:rFonts w:hint="eastAsia" w:ascii="宋体" w:hAnsi="宋体" w:eastAsia="宋体" w:cs="宋体"/>
                <w:color w:val="000000"/>
                <w:sz w:val="22"/>
              </w:rPr>
              <w:t>投标产品的技术规格符合招标文件要求，能完全满足使用要求得</w:t>
            </w:r>
            <w:r>
              <w:rPr>
                <w:rFonts w:hint="eastAsia" w:ascii="宋体" w:hAnsi="宋体" w:eastAsia="宋体" w:cs="宋体"/>
                <w:color w:val="000000"/>
                <w:sz w:val="22"/>
                <w:u w:val="single"/>
              </w:rPr>
              <w:t>52</w:t>
            </w:r>
            <w:r>
              <w:rPr>
                <w:rFonts w:hint="eastAsia" w:ascii="宋体" w:hAnsi="宋体" w:eastAsia="宋体" w:cs="宋体"/>
                <w:color w:val="000000"/>
                <w:sz w:val="22"/>
              </w:rPr>
              <w:t>分。如技术参数指标低于招标文件第三章中技术要求，即为负偏离。</w:t>
            </w:r>
          </w:p>
          <w:p>
            <w:pPr>
              <w:spacing w:line="276" w:lineRule="auto"/>
              <w:rPr>
                <w:rFonts w:hint="eastAsia" w:ascii="宋体" w:hAnsi="宋体" w:eastAsia="宋体" w:cs="宋体"/>
                <w:color w:val="000000"/>
                <w:sz w:val="22"/>
              </w:rPr>
            </w:pPr>
            <w:r>
              <w:rPr>
                <w:rFonts w:hint="eastAsia" w:ascii="宋体" w:hAnsi="宋体" w:eastAsia="宋体" w:cs="宋体"/>
                <w:b/>
                <w:color w:val="000000"/>
                <w:sz w:val="22"/>
              </w:rPr>
              <w:t>1、</w:t>
            </w:r>
            <w:r>
              <w:rPr>
                <w:rFonts w:hint="eastAsia" w:ascii="宋体" w:hAnsi="宋体" w:eastAsia="宋体" w:cs="宋体"/>
                <w:color w:val="000000"/>
                <w:sz w:val="22"/>
              </w:rPr>
              <w:t>“★”参数为重要参数（共计</w:t>
            </w:r>
            <w:r>
              <w:rPr>
                <w:rFonts w:hint="eastAsia" w:ascii="宋体" w:hAnsi="宋体" w:eastAsia="宋体" w:cs="宋体"/>
                <w:color w:val="000000"/>
                <w:sz w:val="22"/>
                <w:u w:val="single"/>
              </w:rPr>
              <w:t xml:space="preserve"> 10</w:t>
            </w:r>
            <w:r>
              <w:rPr>
                <w:rFonts w:hint="eastAsia" w:ascii="宋体" w:hAnsi="宋体" w:eastAsia="宋体" w:cs="宋体"/>
                <w:color w:val="000000"/>
                <w:sz w:val="22"/>
              </w:rPr>
              <w:t>项）完全满足采购文件得</w:t>
            </w:r>
            <w:r>
              <w:rPr>
                <w:rFonts w:hint="eastAsia" w:ascii="宋体" w:hAnsi="宋体" w:eastAsia="宋体" w:cs="宋体"/>
                <w:color w:val="000000"/>
                <w:sz w:val="22"/>
                <w:u w:val="single"/>
              </w:rPr>
              <w:t>30</w:t>
            </w:r>
            <w:r>
              <w:rPr>
                <w:rFonts w:hint="eastAsia" w:ascii="宋体" w:hAnsi="宋体" w:eastAsia="宋体" w:cs="宋体"/>
                <w:color w:val="000000"/>
                <w:sz w:val="22"/>
              </w:rPr>
              <w:t>分，每有一项负偏离扣</w:t>
            </w:r>
            <w:r>
              <w:rPr>
                <w:rFonts w:hint="eastAsia" w:ascii="宋体" w:hAnsi="宋体" w:eastAsia="宋体" w:cs="宋体"/>
                <w:color w:val="000000"/>
                <w:sz w:val="22"/>
                <w:u w:val="single"/>
              </w:rPr>
              <w:t xml:space="preserve"> 3</w:t>
            </w:r>
            <w:r>
              <w:rPr>
                <w:rFonts w:hint="eastAsia" w:ascii="宋体" w:hAnsi="宋体" w:eastAsia="宋体" w:cs="宋体"/>
                <w:color w:val="000000"/>
                <w:sz w:val="22"/>
              </w:rPr>
              <w:t>分，扣完为止；</w:t>
            </w:r>
          </w:p>
          <w:p>
            <w:pPr>
              <w:spacing w:line="276" w:lineRule="auto"/>
              <w:rPr>
                <w:rFonts w:hint="eastAsia" w:ascii="宋体" w:hAnsi="宋体" w:eastAsia="宋体" w:cs="宋体"/>
                <w:color w:val="000000"/>
                <w:sz w:val="22"/>
              </w:rPr>
            </w:pPr>
            <w:r>
              <w:rPr>
                <w:rFonts w:hint="eastAsia" w:ascii="宋体" w:hAnsi="宋体" w:eastAsia="宋体" w:cs="宋体"/>
                <w:color w:val="000000"/>
                <w:sz w:val="22"/>
              </w:rPr>
              <w:t>2、未标注参数为一般参数（共计</w:t>
            </w:r>
            <w:r>
              <w:rPr>
                <w:rFonts w:hint="eastAsia" w:ascii="宋体" w:hAnsi="宋体" w:eastAsia="宋体" w:cs="宋体"/>
                <w:color w:val="000000"/>
                <w:sz w:val="22"/>
                <w:u w:val="single"/>
              </w:rPr>
              <w:t>22</w:t>
            </w:r>
            <w:r>
              <w:rPr>
                <w:rFonts w:hint="eastAsia" w:ascii="宋体" w:hAnsi="宋体" w:eastAsia="宋体" w:cs="宋体"/>
                <w:color w:val="000000"/>
                <w:sz w:val="22"/>
              </w:rPr>
              <w:t>项）完全满足采购文件得</w:t>
            </w:r>
            <w:r>
              <w:rPr>
                <w:rFonts w:hint="eastAsia" w:ascii="宋体" w:hAnsi="宋体" w:eastAsia="宋体" w:cs="宋体"/>
                <w:color w:val="000000"/>
                <w:sz w:val="22"/>
                <w:u w:val="single"/>
              </w:rPr>
              <w:t>22</w:t>
            </w:r>
            <w:r>
              <w:rPr>
                <w:rFonts w:hint="eastAsia" w:ascii="宋体" w:hAnsi="宋体" w:eastAsia="宋体" w:cs="宋体"/>
                <w:color w:val="000000"/>
                <w:sz w:val="22"/>
              </w:rPr>
              <w:t>分，每有一项负偏离扣</w:t>
            </w:r>
            <w:r>
              <w:rPr>
                <w:rFonts w:hint="eastAsia" w:ascii="宋体" w:hAnsi="宋体" w:eastAsia="宋体" w:cs="宋体"/>
                <w:color w:val="000000"/>
                <w:sz w:val="22"/>
                <w:u w:val="single"/>
              </w:rPr>
              <w:t xml:space="preserve"> 1</w:t>
            </w:r>
            <w:r>
              <w:rPr>
                <w:rFonts w:hint="eastAsia" w:ascii="宋体" w:hAnsi="宋体" w:eastAsia="宋体" w:cs="宋体"/>
                <w:color w:val="000000"/>
                <w:sz w:val="22"/>
              </w:rPr>
              <w:t>分，扣完为止；</w:t>
            </w:r>
          </w:p>
          <w:p>
            <w:pPr>
              <w:spacing w:line="276" w:lineRule="auto"/>
              <w:ind w:firstLine="220" w:firstLineChars="100"/>
              <w:rPr>
                <w:rFonts w:hint="eastAsia" w:ascii="宋体" w:hAnsi="宋体" w:eastAsia="宋体" w:cs="宋体"/>
                <w:b/>
                <w:bCs/>
                <w:color w:val="000000"/>
                <w:sz w:val="22"/>
              </w:rPr>
            </w:pPr>
            <w:r>
              <w:rPr>
                <w:rFonts w:hint="eastAsia" w:ascii="宋体" w:hAnsi="宋体" w:eastAsia="宋体" w:cs="宋体"/>
                <w:color w:val="000000"/>
                <w:sz w:val="22"/>
              </w:rPr>
              <w:t>“★”</w:t>
            </w:r>
            <w:r>
              <w:rPr>
                <w:rFonts w:hint="eastAsia" w:ascii="宋体" w:hAnsi="宋体" w:eastAsia="宋体" w:cs="宋体"/>
                <w:b/>
                <w:bCs/>
                <w:color w:val="000000"/>
                <w:sz w:val="22"/>
              </w:rPr>
              <w:t>号技术需提供相关证明材料，未提供有效证明材料或证明材料中内容与所填报指标不一致的，该指标按负偏离处理。</w:t>
            </w:r>
          </w:p>
          <w:p>
            <w:pPr>
              <w:spacing w:line="276" w:lineRule="auto"/>
              <w:rPr>
                <w:rFonts w:hint="eastAsia" w:ascii="宋体" w:hAnsi="宋体" w:eastAsia="宋体" w:cs="宋体"/>
                <w:b/>
                <w:bCs/>
                <w:color w:val="000000"/>
                <w:sz w:val="22"/>
              </w:rPr>
            </w:pPr>
            <w:r>
              <w:rPr>
                <w:rFonts w:hint="eastAsia" w:ascii="宋体" w:hAnsi="宋体" w:eastAsia="宋体" w:cs="宋体"/>
                <w:b/>
                <w:bCs/>
                <w:color w:val="000000"/>
                <w:sz w:val="22"/>
              </w:rPr>
              <w:t>备注：证明材料为生产厂家官方网站截图或第三方机构出具的检验报告或加盖制造商（含其分支机构）公章的产品白皮书或加盖制造商（含其分支机构）公章的制造商公开发布的彩色印刷资料。（各项指标要求中对证明材料另有要求的从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000000"/>
                <w:sz w:val="22"/>
              </w:rPr>
            </w:pPr>
            <w:r>
              <w:rPr>
                <w:rFonts w:hint="eastAsia" w:ascii="宋体" w:hAnsi="宋体" w:eastAsia="宋体" w:cs="宋体"/>
                <w:color w:val="000000"/>
                <w:sz w:val="22"/>
              </w:rPr>
              <w:t>总分</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000000"/>
                <w:sz w:val="22"/>
              </w:rPr>
            </w:pPr>
            <w:r>
              <w:rPr>
                <w:rFonts w:hint="eastAsia" w:ascii="宋体" w:hAnsi="宋体" w:eastAsia="宋体" w:cs="宋体"/>
                <w:color w:val="000000"/>
                <w:sz w:val="22"/>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493"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000000"/>
                <w:sz w:val="22"/>
              </w:rPr>
            </w:pPr>
            <w:r>
              <w:rPr>
                <w:rFonts w:hint="eastAsia" w:ascii="宋体" w:hAnsi="宋体" w:eastAsia="宋体" w:cs="宋体"/>
                <w:color w:val="000000"/>
                <w:sz w:val="22"/>
              </w:rPr>
              <w:t>说明：评分表中规定的“合理性、科学性”表示，供应商响应方案中已完全涵盖该项评审内容的所有分项内容，且对该分项内容有详细的描述。</w:t>
            </w:r>
          </w:p>
          <w:p>
            <w:pPr>
              <w:spacing w:line="276" w:lineRule="auto"/>
              <w:rPr>
                <w:rFonts w:hint="eastAsia" w:ascii="宋体" w:hAnsi="宋体" w:eastAsia="宋体" w:cs="宋体"/>
                <w:color w:val="000000"/>
                <w:sz w:val="22"/>
              </w:rPr>
            </w:pPr>
            <w:r>
              <w:rPr>
                <w:rFonts w:hint="eastAsia" w:ascii="宋体" w:hAnsi="宋体" w:eastAsia="宋体" w:cs="宋体"/>
                <w:color w:val="000000"/>
                <w:sz w:val="22"/>
              </w:rPr>
              <w:t>评分表中规定的“可行性、针对性”表示，供应商响应方案中所列的相关分项内容，从项目的需求和供应商的自身实力出发具有可行性，且供应商能针对相关方案在承诺的交付期/质保期内具体实施或实现。</w:t>
            </w:r>
          </w:p>
          <w:p>
            <w:pPr>
              <w:spacing w:line="276" w:lineRule="auto"/>
              <w:rPr>
                <w:rFonts w:hint="eastAsia" w:ascii="宋体" w:hAnsi="宋体" w:eastAsia="宋体" w:cs="宋体"/>
                <w:color w:val="000000"/>
                <w:sz w:val="22"/>
              </w:rPr>
            </w:pPr>
            <w:r>
              <w:rPr>
                <w:rFonts w:hint="eastAsia" w:ascii="宋体" w:hAnsi="宋体" w:eastAsia="宋体" w:cs="宋体"/>
                <w:color w:val="000000"/>
                <w:sz w:val="22"/>
              </w:rPr>
              <w:t>评分表中的“未响应或未提供”表示：供应商响应方案中未提及相关分项内容，或针对分项内容只有标题，或者对该项内容进行简单的解释，无明确的落地方案。</w:t>
            </w:r>
          </w:p>
          <w:p>
            <w:pPr>
              <w:spacing w:line="276" w:lineRule="auto"/>
              <w:rPr>
                <w:rFonts w:hint="eastAsia" w:ascii="宋体" w:hAnsi="宋体" w:eastAsia="宋体" w:cs="宋体"/>
                <w:color w:val="000000"/>
                <w:sz w:val="22"/>
              </w:rPr>
            </w:pPr>
            <w:r>
              <w:rPr>
                <w:rFonts w:hint="eastAsia" w:ascii="宋体" w:hAnsi="宋体" w:eastAsia="宋体" w:cs="宋体"/>
                <w:color w:val="000000"/>
                <w:sz w:val="22"/>
              </w:rPr>
              <w:t>评分表中的“缺陷或缺漏”表示：供应商响应方案中明确涉及了相关分项内容，并针对分项内容有针对性的进行了实施阐述，但阐述内容过于简单、粗陋，或从项目的需求和供应商的自身实力出发不具有可行性，或方案中有明显的逻辑错误或违背客观科学规律。</w:t>
            </w:r>
          </w:p>
        </w:tc>
      </w:tr>
    </w:tbl>
    <w:p>
      <w:pPr>
        <w:spacing w:line="276" w:lineRule="auto"/>
        <w:jc w:val="center"/>
        <w:outlineLvl w:val="0"/>
        <w:rPr>
          <w:rFonts w:hint="eastAsia" w:ascii="宋体" w:hAnsi="宋体" w:eastAsia="宋体" w:cs="宋体"/>
          <w:sz w:val="28"/>
          <w:szCs w:val="28"/>
        </w:rPr>
      </w:pPr>
      <w:r>
        <w:rPr>
          <w:rFonts w:hint="eastAsia" w:ascii="宋体" w:hAnsi="宋体" w:eastAsia="宋体" w:cs="宋体"/>
          <w:kern w:val="0"/>
          <w:szCs w:val="21"/>
        </w:rPr>
        <w:br w:type="page"/>
      </w:r>
      <w:bookmarkStart w:id="89" w:name="_Toc494665546"/>
      <w:bookmarkStart w:id="90" w:name="_Toc494702263"/>
      <w:bookmarkStart w:id="91" w:name="_Toc494665943"/>
      <w:bookmarkStart w:id="92" w:name="_Toc97815022"/>
      <w:bookmarkStart w:id="93" w:name="_Toc494664993"/>
      <w:bookmarkStart w:id="94" w:name="_Toc26625"/>
      <w:bookmarkStart w:id="95" w:name="_Toc494721093"/>
      <w:bookmarkStart w:id="96" w:name="_Toc494745310"/>
      <w:r>
        <w:rPr>
          <w:rFonts w:hint="eastAsia" w:ascii="宋体" w:hAnsi="宋体" w:eastAsia="宋体" w:cs="宋体"/>
          <w:sz w:val="28"/>
          <w:szCs w:val="28"/>
        </w:rPr>
        <w:t>第六章 合同书格式</w:t>
      </w:r>
      <w:bookmarkEnd w:id="89"/>
      <w:bookmarkEnd w:id="90"/>
      <w:bookmarkEnd w:id="91"/>
      <w:bookmarkEnd w:id="92"/>
      <w:bookmarkEnd w:id="93"/>
      <w:bookmarkEnd w:id="94"/>
      <w:bookmarkEnd w:id="95"/>
      <w:bookmarkEnd w:id="96"/>
    </w:p>
    <w:p>
      <w:pPr>
        <w:tabs>
          <w:tab w:val="left" w:pos="2127"/>
        </w:tabs>
        <w:spacing w:line="400" w:lineRule="exact"/>
        <w:jc w:val="left"/>
        <w:rPr>
          <w:rFonts w:hint="eastAsia" w:ascii="宋体" w:hAnsi="宋体" w:eastAsia="宋体" w:cs="宋体"/>
          <w:b/>
          <w:bCs/>
          <w:sz w:val="24"/>
        </w:rPr>
      </w:pPr>
      <w:r>
        <w:rPr>
          <w:rFonts w:hint="eastAsia" w:ascii="宋体" w:hAnsi="宋体" w:eastAsia="宋体" w:cs="宋体"/>
          <w:b/>
          <w:bCs/>
          <w:sz w:val="24"/>
        </w:rPr>
        <w:t>合同编号：</w:t>
      </w:r>
    </w:p>
    <w:p>
      <w:pPr>
        <w:spacing w:line="600" w:lineRule="exact"/>
        <w:jc w:val="center"/>
        <w:rPr>
          <w:rFonts w:hint="eastAsia" w:ascii="宋体" w:hAnsi="宋体" w:eastAsia="宋体" w:cs="宋体"/>
          <w:b/>
          <w:bCs/>
          <w:sz w:val="32"/>
          <w:szCs w:val="32"/>
        </w:rPr>
      </w:pPr>
      <w:r>
        <w:rPr>
          <w:rFonts w:hint="eastAsia" w:ascii="宋体" w:hAnsi="宋体" w:eastAsia="宋体" w:cs="宋体"/>
          <w:b/>
          <w:bCs/>
          <w:sz w:val="32"/>
          <w:szCs w:val="32"/>
        </w:rPr>
        <w:t>武汉大学国内货物采购合同</w:t>
      </w:r>
    </w:p>
    <w:p>
      <w:pPr>
        <w:spacing w:line="400" w:lineRule="exact"/>
        <w:rPr>
          <w:rFonts w:hint="eastAsia" w:ascii="宋体" w:hAnsi="宋体" w:eastAsia="宋体" w:cs="宋体"/>
          <w:b/>
          <w:kern w:val="0"/>
          <w:sz w:val="24"/>
        </w:rPr>
      </w:pPr>
    </w:p>
    <w:p>
      <w:pPr>
        <w:spacing w:line="400" w:lineRule="exact"/>
        <w:rPr>
          <w:rFonts w:hint="eastAsia" w:ascii="宋体" w:hAnsi="宋体" w:eastAsia="宋体" w:cs="宋体"/>
          <w:sz w:val="24"/>
        </w:rPr>
      </w:pPr>
      <w:r>
        <w:rPr>
          <w:rFonts w:hint="eastAsia" w:ascii="宋体" w:hAnsi="宋体" w:eastAsia="宋体" w:cs="宋体"/>
          <w:b/>
          <w:spacing w:val="10"/>
          <w:kern w:val="0"/>
          <w:sz w:val="24"/>
          <w:fitText w:val="1808" w:id="0"/>
        </w:rPr>
        <w:t>甲方：武汉大</w:t>
      </w:r>
      <w:r>
        <w:rPr>
          <w:rFonts w:hint="eastAsia" w:ascii="宋体" w:hAnsi="宋体" w:eastAsia="宋体" w:cs="宋体"/>
          <w:b/>
          <w:spacing w:val="4"/>
          <w:kern w:val="0"/>
          <w:sz w:val="24"/>
          <w:fitText w:val="1808" w:id="0"/>
        </w:rPr>
        <w:t>学</w:t>
      </w:r>
    </w:p>
    <w:p>
      <w:pPr>
        <w:spacing w:line="400" w:lineRule="exact"/>
        <w:rPr>
          <w:rFonts w:hint="eastAsia" w:ascii="宋体" w:hAnsi="宋体" w:eastAsia="宋体" w:cs="宋体"/>
          <w:b/>
          <w:sz w:val="24"/>
        </w:rPr>
      </w:pPr>
      <w:r>
        <w:rPr>
          <w:rFonts w:hint="eastAsia" w:ascii="宋体" w:hAnsi="宋体" w:eastAsia="宋体" w:cs="宋体"/>
          <w:b/>
          <w:sz w:val="24"/>
        </w:rPr>
        <w:t>乙方：</w:t>
      </w:r>
    </w:p>
    <w:p>
      <w:pPr>
        <w:spacing w:line="370" w:lineRule="exact"/>
        <w:ind w:firstLine="480" w:firstLineChars="200"/>
        <w:rPr>
          <w:rFonts w:hint="eastAsia" w:ascii="宋体" w:hAnsi="宋体" w:eastAsia="宋体" w:cs="宋体"/>
          <w:sz w:val="24"/>
        </w:rPr>
      </w:pPr>
      <w:r>
        <w:rPr>
          <w:rFonts w:hint="eastAsia" w:ascii="宋体" w:hAnsi="宋体" w:eastAsia="宋体" w:cs="宋体"/>
          <w:sz w:val="24"/>
        </w:rPr>
        <w:t>甲、乙双方就武汉大学___</w:t>
      </w:r>
      <w:r>
        <w:rPr>
          <w:rFonts w:hint="eastAsia" w:ascii="宋体" w:hAnsi="宋体" w:eastAsia="宋体" w:cs="宋体"/>
          <w:b/>
          <w:sz w:val="24"/>
        </w:rPr>
        <w:t>XX</w:t>
      </w:r>
      <w:r>
        <w:rPr>
          <w:rFonts w:hint="eastAsia" w:ascii="宋体" w:hAnsi="宋体" w:eastAsia="宋体" w:cs="宋体"/>
          <w:sz w:val="24"/>
        </w:rPr>
        <w:t>_____(</w:t>
      </w:r>
      <w:r>
        <w:rPr>
          <w:rFonts w:hint="eastAsia" w:ascii="宋体" w:hAnsi="宋体" w:eastAsia="宋体" w:cs="宋体"/>
          <w:b/>
          <w:color w:val="FF0000"/>
          <w:sz w:val="24"/>
        </w:rPr>
        <w:t>项目名称)</w:t>
      </w:r>
      <w:r>
        <w:rPr>
          <w:rFonts w:hint="eastAsia" w:ascii="宋体" w:hAnsi="宋体" w:eastAsia="宋体" w:cs="宋体"/>
          <w:sz w:val="24"/>
        </w:rPr>
        <w:t>采购项目，根据《中华人民共和国民法典》，在充分遵循平等与公平、诚实信用原则的基础上，经双方协商一致，签订本合同。</w:t>
      </w:r>
    </w:p>
    <w:p>
      <w:pPr>
        <w:spacing w:line="370" w:lineRule="exact"/>
        <w:rPr>
          <w:rFonts w:hint="eastAsia" w:ascii="宋体" w:hAnsi="宋体" w:eastAsia="宋体" w:cs="宋体"/>
          <w:b/>
          <w:sz w:val="24"/>
        </w:rPr>
      </w:pPr>
      <w:r>
        <w:rPr>
          <w:rFonts w:hint="eastAsia" w:ascii="宋体" w:hAnsi="宋体" w:eastAsia="宋体" w:cs="宋体"/>
          <w:b/>
          <w:sz w:val="24"/>
        </w:rPr>
        <w:t>第一条 货物的规格型号、数量、价格等。</w:t>
      </w:r>
    </w:p>
    <w:tbl>
      <w:tblPr>
        <w:tblStyle w:val="26"/>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60"/>
        <w:gridCol w:w="2099"/>
        <w:gridCol w:w="1155"/>
        <w:gridCol w:w="1104"/>
        <w:gridCol w:w="628"/>
        <w:gridCol w:w="1319"/>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hint="eastAsia" w:ascii="宋体" w:hAnsi="宋体" w:eastAsia="宋体" w:cs="宋体"/>
                <w:sz w:val="22"/>
              </w:rPr>
            </w:pPr>
            <w:r>
              <w:rPr>
                <w:rFonts w:hint="eastAsia" w:ascii="宋体" w:hAnsi="宋体" w:eastAsia="宋体" w:cs="宋体"/>
                <w:sz w:val="22"/>
              </w:rPr>
              <w:t>序号</w:t>
            </w:r>
          </w:p>
        </w:tc>
        <w:tc>
          <w:tcPr>
            <w:tcW w:w="1160" w:type="dxa"/>
            <w:tcBorders>
              <w:top w:val="single" w:color="auto" w:sz="4" w:space="0"/>
              <w:left w:val="single" w:color="auto" w:sz="4" w:space="0"/>
              <w:bottom w:val="single" w:color="auto" w:sz="4" w:space="0"/>
              <w:right w:val="single" w:color="auto" w:sz="4" w:space="0"/>
            </w:tcBorders>
            <w:vAlign w:val="center"/>
          </w:tcPr>
          <w:p>
            <w:pPr>
              <w:spacing w:line="370" w:lineRule="exact"/>
              <w:ind w:left="-105" w:leftChars="-50" w:right="-105" w:rightChars="-50"/>
              <w:jc w:val="center"/>
              <w:rPr>
                <w:rFonts w:hint="eastAsia" w:ascii="宋体" w:hAnsi="宋体" w:eastAsia="宋体" w:cs="宋体"/>
                <w:sz w:val="22"/>
              </w:rPr>
            </w:pPr>
            <w:r>
              <w:rPr>
                <w:rFonts w:hint="eastAsia" w:ascii="宋体" w:hAnsi="宋体" w:eastAsia="宋体" w:cs="宋体"/>
                <w:sz w:val="22"/>
              </w:rPr>
              <w:t>货物名称</w:t>
            </w:r>
          </w:p>
        </w:tc>
        <w:tc>
          <w:tcPr>
            <w:tcW w:w="2099"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hint="eastAsia" w:ascii="宋体" w:hAnsi="宋体" w:eastAsia="宋体" w:cs="宋体"/>
                <w:sz w:val="22"/>
              </w:rPr>
            </w:pPr>
            <w:r>
              <w:rPr>
                <w:rFonts w:hint="eastAsia" w:ascii="宋体" w:hAnsi="宋体" w:eastAsia="宋体" w:cs="宋体"/>
                <w:sz w:val="22"/>
              </w:rPr>
              <w:t>生产厂家/产地</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hint="eastAsia" w:ascii="宋体" w:hAnsi="宋体" w:eastAsia="宋体" w:cs="宋体"/>
                <w:sz w:val="22"/>
              </w:rPr>
            </w:pPr>
            <w:r>
              <w:rPr>
                <w:rFonts w:hint="eastAsia" w:ascii="宋体" w:hAnsi="宋体" w:eastAsia="宋体" w:cs="宋体"/>
                <w:sz w:val="22"/>
              </w:rPr>
              <w:t>型号规格</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hint="eastAsia" w:ascii="宋体" w:hAnsi="宋体" w:eastAsia="宋体" w:cs="宋体"/>
                <w:sz w:val="22"/>
              </w:rPr>
            </w:pPr>
            <w:r>
              <w:rPr>
                <w:rFonts w:hint="eastAsia" w:ascii="宋体" w:hAnsi="宋体" w:eastAsia="宋体" w:cs="宋体"/>
                <w:sz w:val="22"/>
              </w:rPr>
              <w:t>数量</w:t>
            </w:r>
          </w:p>
        </w:tc>
        <w:tc>
          <w:tcPr>
            <w:tcW w:w="628"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hint="eastAsia" w:ascii="宋体" w:hAnsi="宋体" w:eastAsia="宋体" w:cs="宋体"/>
                <w:sz w:val="22"/>
              </w:rPr>
            </w:pPr>
            <w:r>
              <w:rPr>
                <w:rFonts w:hint="eastAsia" w:ascii="宋体" w:hAnsi="宋体" w:eastAsia="宋体" w:cs="宋体"/>
                <w:sz w:val="22"/>
              </w:rPr>
              <w:t>单位</w:t>
            </w:r>
          </w:p>
        </w:tc>
        <w:tc>
          <w:tcPr>
            <w:tcW w:w="1319"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hint="eastAsia" w:ascii="宋体" w:hAnsi="宋体" w:eastAsia="宋体" w:cs="宋体"/>
                <w:sz w:val="22"/>
              </w:rPr>
            </w:pPr>
            <w:r>
              <w:rPr>
                <w:rFonts w:hint="eastAsia" w:ascii="宋体" w:hAnsi="宋体" w:eastAsia="宋体" w:cs="宋体"/>
                <w:sz w:val="22"/>
              </w:rPr>
              <w:t>单价（元）</w:t>
            </w:r>
          </w:p>
        </w:tc>
        <w:tc>
          <w:tcPr>
            <w:tcW w:w="1458"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hint="eastAsia" w:ascii="宋体" w:hAnsi="宋体" w:eastAsia="宋体" w:cs="宋体"/>
                <w:sz w:val="22"/>
              </w:rPr>
            </w:pPr>
            <w:r>
              <w:rPr>
                <w:rFonts w:hint="eastAsia" w:ascii="宋体" w:hAnsi="宋体" w:eastAsia="宋体" w:cs="宋体"/>
                <w:sz w:val="22"/>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hint="eastAsia" w:ascii="宋体" w:hAnsi="宋体" w:eastAsia="宋体" w:cs="宋体"/>
                <w:sz w:val="24"/>
              </w:rPr>
            </w:pPr>
            <w:r>
              <w:rPr>
                <w:rFonts w:hint="eastAsia" w:ascii="宋体" w:hAnsi="宋体" w:eastAsia="宋体" w:cs="宋体"/>
                <w:sz w:val="24"/>
              </w:rPr>
              <w:t>1</w:t>
            </w:r>
          </w:p>
        </w:tc>
        <w:tc>
          <w:tcPr>
            <w:tcW w:w="1160"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hint="eastAsia" w:ascii="宋体" w:hAnsi="宋体" w:eastAsia="宋体" w:cs="宋体"/>
                <w:sz w:val="24"/>
              </w:rPr>
            </w:pPr>
          </w:p>
        </w:tc>
        <w:tc>
          <w:tcPr>
            <w:tcW w:w="2099"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hint="eastAsia" w:ascii="宋体" w:hAnsi="宋体" w:eastAsia="宋体" w:cs="宋体"/>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hint="eastAsia" w:ascii="宋体" w:hAnsi="宋体" w:eastAsia="宋体" w:cs="宋体"/>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hint="eastAsia" w:ascii="宋体" w:hAnsi="宋体" w:eastAsia="宋体" w:cs="宋体"/>
                <w:sz w:val="24"/>
              </w:rPr>
            </w:pPr>
          </w:p>
        </w:tc>
        <w:tc>
          <w:tcPr>
            <w:tcW w:w="628"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hint="eastAsia" w:ascii="宋体" w:hAnsi="宋体" w:eastAsia="宋体" w:cs="宋体"/>
                <w:sz w:val="24"/>
              </w:rPr>
            </w:pPr>
          </w:p>
        </w:tc>
        <w:tc>
          <w:tcPr>
            <w:tcW w:w="1319"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hint="eastAsia"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hint="eastAsia" w:ascii="宋体" w:hAnsi="宋体" w:eastAsia="宋体" w:cs="宋体"/>
                <w:sz w:val="24"/>
              </w:rPr>
            </w:pPr>
            <w:r>
              <w:rPr>
                <w:rFonts w:hint="eastAsia" w:ascii="宋体" w:hAnsi="宋体" w:eastAsia="宋体" w:cs="宋体"/>
                <w:sz w:val="24"/>
              </w:rPr>
              <w:t>2</w:t>
            </w:r>
          </w:p>
        </w:tc>
        <w:tc>
          <w:tcPr>
            <w:tcW w:w="1160"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hint="eastAsia" w:ascii="宋体" w:hAnsi="宋体" w:eastAsia="宋体" w:cs="宋体"/>
                <w:sz w:val="24"/>
              </w:rPr>
            </w:pPr>
          </w:p>
        </w:tc>
        <w:tc>
          <w:tcPr>
            <w:tcW w:w="2099" w:type="dxa"/>
            <w:tcBorders>
              <w:top w:val="single" w:color="auto" w:sz="4" w:space="0"/>
              <w:left w:val="single" w:color="auto" w:sz="4" w:space="0"/>
              <w:right w:val="single" w:color="auto" w:sz="4" w:space="0"/>
            </w:tcBorders>
            <w:vAlign w:val="center"/>
          </w:tcPr>
          <w:p>
            <w:pPr>
              <w:spacing w:line="370" w:lineRule="exact"/>
              <w:jc w:val="center"/>
              <w:rPr>
                <w:rFonts w:hint="eastAsia" w:ascii="宋体" w:hAnsi="宋体" w:eastAsia="宋体" w:cs="宋体"/>
                <w:sz w:val="24"/>
              </w:rPr>
            </w:pPr>
          </w:p>
        </w:tc>
        <w:tc>
          <w:tcPr>
            <w:tcW w:w="1155" w:type="dxa"/>
            <w:tcBorders>
              <w:top w:val="single" w:color="auto" w:sz="4" w:space="0"/>
              <w:left w:val="single" w:color="auto" w:sz="4" w:space="0"/>
              <w:right w:val="single" w:color="auto" w:sz="4" w:space="0"/>
            </w:tcBorders>
            <w:vAlign w:val="center"/>
          </w:tcPr>
          <w:p>
            <w:pPr>
              <w:spacing w:line="370" w:lineRule="exact"/>
              <w:jc w:val="center"/>
              <w:rPr>
                <w:rFonts w:hint="eastAsia" w:ascii="宋体" w:hAnsi="宋体" w:eastAsia="宋体" w:cs="宋体"/>
                <w:sz w:val="24"/>
              </w:rPr>
            </w:pPr>
          </w:p>
        </w:tc>
        <w:tc>
          <w:tcPr>
            <w:tcW w:w="1104" w:type="dxa"/>
            <w:tcBorders>
              <w:top w:val="single" w:color="auto" w:sz="4" w:space="0"/>
              <w:left w:val="single" w:color="auto" w:sz="4" w:space="0"/>
              <w:right w:val="single" w:color="auto" w:sz="4" w:space="0"/>
            </w:tcBorders>
            <w:vAlign w:val="center"/>
          </w:tcPr>
          <w:p>
            <w:pPr>
              <w:spacing w:line="370" w:lineRule="exact"/>
              <w:jc w:val="center"/>
              <w:rPr>
                <w:rFonts w:hint="eastAsia" w:ascii="宋体" w:hAnsi="宋体" w:eastAsia="宋体" w:cs="宋体"/>
                <w:sz w:val="24"/>
              </w:rPr>
            </w:pPr>
          </w:p>
        </w:tc>
        <w:tc>
          <w:tcPr>
            <w:tcW w:w="628" w:type="dxa"/>
            <w:tcBorders>
              <w:top w:val="single" w:color="auto" w:sz="4" w:space="0"/>
              <w:left w:val="single" w:color="auto" w:sz="4" w:space="0"/>
              <w:right w:val="single" w:color="auto" w:sz="4" w:space="0"/>
            </w:tcBorders>
            <w:vAlign w:val="center"/>
          </w:tcPr>
          <w:p>
            <w:pPr>
              <w:spacing w:line="370" w:lineRule="exact"/>
              <w:jc w:val="center"/>
              <w:rPr>
                <w:rFonts w:hint="eastAsia" w:ascii="宋体" w:hAnsi="宋体" w:eastAsia="宋体" w:cs="宋体"/>
                <w:sz w:val="24"/>
              </w:rPr>
            </w:pPr>
          </w:p>
        </w:tc>
        <w:tc>
          <w:tcPr>
            <w:tcW w:w="1319" w:type="dxa"/>
            <w:tcBorders>
              <w:top w:val="single" w:color="auto" w:sz="4" w:space="0"/>
              <w:left w:val="single" w:color="auto" w:sz="4" w:space="0"/>
              <w:right w:val="single" w:color="auto" w:sz="4" w:space="0"/>
            </w:tcBorders>
            <w:vAlign w:val="center"/>
          </w:tcPr>
          <w:p>
            <w:pPr>
              <w:spacing w:line="370" w:lineRule="exact"/>
              <w:jc w:val="center"/>
              <w:rPr>
                <w:rFonts w:hint="eastAsia" w:ascii="宋体" w:hAnsi="宋体" w:eastAsia="宋体" w:cs="宋体"/>
                <w:sz w:val="24"/>
              </w:rPr>
            </w:pPr>
          </w:p>
        </w:tc>
        <w:tc>
          <w:tcPr>
            <w:tcW w:w="1458" w:type="dxa"/>
            <w:tcBorders>
              <w:top w:val="single" w:color="auto" w:sz="4" w:space="0"/>
              <w:left w:val="single" w:color="auto" w:sz="4" w:space="0"/>
              <w:right w:val="single" w:color="auto" w:sz="4" w:space="0"/>
            </w:tcBorders>
            <w:vAlign w:val="center"/>
          </w:tcPr>
          <w:p>
            <w:pPr>
              <w:spacing w:line="37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654" w:type="dxa"/>
            <w:gridSpan w:val="8"/>
            <w:tcBorders>
              <w:top w:val="single" w:color="auto" w:sz="4" w:space="0"/>
              <w:left w:val="single" w:color="auto" w:sz="4" w:space="0"/>
              <w:bottom w:val="single" w:color="auto" w:sz="4" w:space="0"/>
              <w:right w:val="single" w:color="auto" w:sz="4" w:space="0"/>
            </w:tcBorders>
            <w:vAlign w:val="center"/>
          </w:tcPr>
          <w:p>
            <w:pPr>
              <w:spacing w:line="370" w:lineRule="exact"/>
              <w:rPr>
                <w:rFonts w:hint="eastAsia" w:ascii="宋体" w:hAnsi="宋体" w:eastAsia="宋体" w:cs="宋体"/>
                <w:sz w:val="24"/>
              </w:rPr>
            </w:pPr>
            <w:r>
              <w:rPr>
                <w:rFonts w:hint="eastAsia" w:ascii="宋体" w:hAnsi="宋体" w:eastAsia="宋体" w:cs="宋体"/>
                <w:sz w:val="24"/>
              </w:rPr>
              <w:t>总金额：人民币（大写）×万×仟×佰×元整（￥00000.00）</w:t>
            </w:r>
          </w:p>
        </w:tc>
      </w:tr>
    </w:tbl>
    <w:p>
      <w:pPr>
        <w:spacing w:line="340" w:lineRule="exact"/>
        <w:rPr>
          <w:rFonts w:hint="eastAsia" w:ascii="宋体" w:hAnsi="宋体" w:eastAsia="宋体" w:cs="宋体"/>
          <w:b/>
          <w:sz w:val="24"/>
        </w:rPr>
      </w:pPr>
      <w:r>
        <w:rPr>
          <w:rFonts w:hint="eastAsia" w:ascii="宋体" w:hAnsi="宋体" w:eastAsia="宋体" w:cs="宋体"/>
          <w:b/>
          <w:sz w:val="24"/>
        </w:rPr>
        <w:t>第二条 货物质量要求</w:t>
      </w:r>
    </w:p>
    <w:p>
      <w:pPr>
        <w:spacing w:line="340" w:lineRule="exact"/>
        <w:ind w:left="360" w:hanging="360" w:hangingChars="150"/>
        <w:rPr>
          <w:rFonts w:hint="eastAsia" w:ascii="宋体" w:hAnsi="宋体" w:eastAsia="宋体" w:cs="宋体"/>
          <w:sz w:val="24"/>
        </w:rPr>
      </w:pPr>
      <w:r>
        <w:rPr>
          <w:rFonts w:hint="eastAsia" w:ascii="宋体" w:hAnsi="宋体" w:eastAsia="宋体" w:cs="宋体"/>
          <w:sz w:val="24"/>
        </w:rPr>
        <w:t>1、乙方交付的货物必须符合中华人民共和国国家标准，行业标准、产品质量标准以及相关技术规范。</w:t>
      </w:r>
    </w:p>
    <w:p>
      <w:pPr>
        <w:spacing w:line="340" w:lineRule="exact"/>
        <w:rPr>
          <w:rFonts w:hint="eastAsia" w:ascii="宋体" w:hAnsi="宋体" w:eastAsia="宋体" w:cs="宋体"/>
          <w:sz w:val="24"/>
        </w:rPr>
      </w:pPr>
      <w:r>
        <w:rPr>
          <w:rFonts w:hint="eastAsia" w:ascii="宋体" w:hAnsi="宋体" w:eastAsia="宋体" w:cs="宋体"/>
          <w:sz w:val="24"/>
        </w:rPr>
        <w:t>2、乙方交付的货物必须保证全新、进货渠道合法、并出具出厂合格证。</w:t>
      </w:r>
    </w:p>
    <w:p>
      <w:pPr>
        <w:spacing w:line="340" w:lineRule="exact"/>
        <w:rPr>
          <w:rFonts w:hint="eastAsia" w:ascii="宋体" w:hAnsi="宋体" w:eastAsia="宋体" w:cs="宋体"/>
          <w:sz w:val="24"/>
        </w:rPr>
      </w:pPr>
      <w:r>
        <w:rPr>
          <w:rFonts w:hint="eastAsia" w:ascii="宋体" w:hAnsi="宋体" w:eastAsia="宋体" w:cs="宋体"/>
          <w:sz w:val="24"/>
        </w:rPr>
        <w:t>3、乙方保证货物的规格型号、数量、参数等要求与本合同及产品说明书完全相同。</w:t>
      </w:r>
    </w:p>
    <w:p>
      <w:pPr>
        <w:spacing w:line="340" w:lineRule="exact"/>
        <w:rPr>
          <w:rFonts w:hint="eastAsia" w:ascii="宋体" w:hAnsi="宋体" w:eastAsia="宋体" w:cs="宋体"/>
          <w:b/>
          <w:sz w:val="24"/>
        </w:rPr>
      </w:pPr>
      <w:r>
        <w:rPr>
          <w:rFonts w:hint="eastAsia" w:ascii="宋体" w:hAnsi="宋体" w:eastAsia="宋体" w:cs="宋体"/>
          <w:b/>
          <w:sz w:val="24"/>
        </w:rPr>
        <w:t>第三条 货物的交付</w:t>
      </w:r>
    </w:p>
    <w:p>
      <w:pPr>
        <w:spacing w:line="340" w:lineRule="exact"/>
        <w:rPr>
          <w:rFonts w:hint="eastAsia" w:ascii="宋体" w:hAnsi="宋体" w:eastAsia="宋体" w:cs="宋体"/>
          <w:sz w:val="24"/>
        </w:rPr>
      </w:pPr>
      <w:r>
        <w:rPr>
          <w:rFonts w:hint="eastAsia" w:ascii="宋体" w:hAnsi="宋体" w:eastAsia="宋体" w:cs="宋体"/>
          <w:sz w:val="24"/>
        </w:rPr>
        <w:t>1、交付地点：武汉大学</w:t>
      </w:r>
      <w:r>
        <w:rPr>
          <w:rFonts w:hint="eastAsia" w:ascii="宋体" w:hAnsi="宋体" w:eastAsia="宋体" w:cs="宋体"/>
          <w:b/>
          <w:color w:val="FF0000"/>
          <w:sz w:val="24"/>
          <w:u w:val="single"/>
        </w:rPr>
        <w:t>XX（</w:t>
      </w:r>
      <w:r>
        <w:rPr>
          <w:rFonts w:hint="eastAsia" w:ascii="宋体" w:hAnsi="宋体" w:eastAsia="宋体" w:cs="宋体"/>
          <w:b/>
          <w:color w:val="FF0000"/>
          <w:sz w:val="24"/>
        </w:rPr>
        <w:t>单位）</w:t>
      </w:r>
    </w:p>
    <w:p>
      <w:pPr>
        <w:spacing w:line="340" w:lineRule="exact"/>
        <w:rPr>
          <w:rFonts w:hint="eastAsia" w:ascii="宋体" w:hAnsi="宋体" w:eastAsia="宋体" w:cs="宋体"/>
          <w:sz w:val="24"/>
        </w:rPr>
      </w:pPr>
      <w:r>
        <w:rPr>
          <w:rFonts w:hint="eastAsia" w:ascii="宋体" w:hAnsi="宋体" w:eastAsia="宋体" w:cs="宋体"/>
          <w:sz w:val="24"/>
        </w:rPr>
        <w:t>2、交付日期：自合同签订之日起</w:t>
      </w:r>
      <w:r>
        <w:rPr>
          <w:rFonts w:hint="eastAsia" w:ascii="宋体" w:hAnsi="宋体" w:eastAsia="宋体" w:cs="宋体"/>
          <w:b/>
          <w:color w:val="FF0000"/>
          <w:sz w:val="24"/>
          <w:u w:val="single"/>
        </w:rPr>
        <w:t>XX</w:t>
      </w:r>
      <w:r>
        <w:rPr>
          <w:rFonts w:hint="eastAsia" w:ascii="宋体" w:hAnsi="宋体" w:eastAsia="宋体" w:cs="宋体"/>
          <w:sz w:val="24"/>
        </w:rPr>
        <w:t>日内。</w:t>
      </w:r>
    </w:p>
    <w:p>
      <w:pPr>
        <w:spacing w:line="340" w:lineRule="exact"/>
        <w:rPr>
          <w:rFonts w:hint="eastAsia" w:ascii="宋体" w:hAnsi="宋体" w:eastAsia="宋体" w:cs="宋体"/>
          <w:sz w:val="24"/>
        </w:rPr>
      </w:pPr>
      <w:r>
        <w:rPr>
          <w:rFonts w:hint="eastAsia" w:ascii="宋体" w:hAnsi="宋体" w:eastAsia="宋体" w:cs="宋体"/>
          <w:sz w:val="24"/>
        </w:rPr>
        <w:t>3、联系人及电话：</w:t>
      </w:r>
      <w:r>
        <w:rPr>
          <w:rFonts w:hint="eastAsia" w:ascii="宋体" w:hAnsi="宋体" w:eastAsia="宋体" w:cs="宋体"/>
          <w:color w:val="000000"/>
          <w:sz w:val="24"/>
          <w:szCs w:val="21"/>
        </w:rPr>
        <w:t xml:space="preserve">甲方 </w:t>
      </w:r>
      <w:r>
        <w:rPr>
          <w:rFonts w:hint="eastAsia" w:ascii="宋体" w:hAnsi="宋体" w:eastAsia="宋体" w:cs="宋体"/>
          <w:b/>
          <w:color w:val="FF0000"/>
          <w:sz w:val="24"/>
          <w:szCs w:val="21"/>
          <w:u w:val="single"/>
        </w:rPr>
        <w:t>姓名联系电话</w:t>
      </w:r>
      <w:r>
        <w:rPr>
          <w:rFonts w:hint="eastAsia" w:ascii="宋体" w:hAnsi="宋体" w:eastAsia="宋体" w:cs="宋体"/>
          <w:color w:val="000000"/>
          <w:sz w:val="24"/>
          <w:szCs w:val="21"/>
        </w:rPr>
        <w:t>； 乙方</w:t>
      </w:r>
      <w:r>
        <w:rPr>
          <w:rFonts w:hint="eastAsia" w:ascii="宋体" w:hAnsi="宋体" w:eastAsia="宋体" w:cs="宋体"/>
          <w:b/>
          <w:color w:val="FF0000"/>
          <w:sz w:val="24"/>
          <w:szCs w:val="21"/>
          <w:u w:val="single"/>
        </w:rPr>
        <w:t>姓名联系电话</w:t>
      </w:r>
      <w:r>
        <w:rPr>
          <w:rFonts w:hint="eastAsia" w:ascii="宋体" w:hAnsi="宋体" w:eastAsia="宋体" w:cs="宋体"/>
          <w:b/>
          <w:color w:val="FF0000"/>
          <w:sz w:val="24"/>
          <w:szCs w:val="21"/>
        </w:rPr>
        <w:t>。</w:t>
      </w:r>
    </w:p>
    <w:p>
      <w:pPr>
        <w:spacing w:line="340" w:lineRule="exact"/>
        <w:ind w:left="360" w:hanging="360" w:hangingChars="150"/>
        <w:rPr>
          <w:rFonts w:hint="eastAsia" w:ascii="宋体" w:hAnsi="宋体" w:eastAsia="宋体" w:cs="宋体"/>
          <w:sz w:val="24"/>
        </w:rPr>
      </w:pPr>
      <w:r>
        <w:rPr>
          <w:rFonts w:hint="eastAsia" w:ascii="宋体" w:hAnsi="宋体" w:eastAsia="宋体" w:cs="宋体"/>
          <w:sz w:val="24"/>
        </w:rPr>
        <w:t>4、乙方应在货物运输前两日内书面通知甲方预计到货日期，并保证货物的包装方式符合运输的要求。</w:t>
      </w:r>
    </w:p>
    <w:p>
      <w:pPr>
        <w:spacing w:line="340" w:lineRule="exact"/>
        <w:rPr>
          <w:rFonts w:hint="eastAsia" w:ascii="宋体" w:hAnsi="宋体" w:eastAsia="宋体" w:cs="宋体"/>
          <w:b/>
          <w:sz w:val="24"/>
        </w:rPr>
      </w:pPr>
      <w:r>
        <w:rPr>
          <w:rFonts w:hint="eastAsia" w:ascii="宋体" w:hAnsi="宋体" w:eastAsia="宋体" w:cs="宋体"/>
          <w:b/>
          <w:sz w:val="24"/>
        </w:rPr>
        <w:t>第四条 货物的运输、安装及调试</w:t>
      </w:r>
    </w:p>
    <w:p>
      <w:pPr>
        <w:spacing w:line="340" w:lineRule="exact"/>
        <w:ind w:left="360" w:hanging="360" w:hangingChars="150"/>
        <w:rPr>
          <w:rFonts w:hint="eastAsia" w:ascii="宋体" w:hAnsi="宋体" w:eastAsia="宋体" w:cs="宋体"/>
          <w:sz w:val="24"/>
        </w:rPr>
      </w:pPr>
      <w:r>
        <w:rPr>
          <w:rFonts w:hint="eastAsia" w:ascii="宋体" w:hAnsi="宋体" w:eastAsia="宋体" w:cs="宋体"/>
          <w:sz w:val="24"/>
        </w:rPr>
        <w:t>1、运输费用的承担：乙方负责将货物运输至本合同约定的交货地点并交付予甲方，且支付因运输货物所发生的一切费用，包括但不限于运输费、保险费、装卸费、安装调试费等。</w:t>
      </w:r>
    </w:p>
    <w:p>
      <w:pPr>
        <w:spacing w:line="340" w:lineRule="exact"/>
        <w:rPr>
          <w:rFonts w:hint="eastAsia" w:ascii="宋体" w:hAnsi="宋体" w:eastAsia="宋体" w:cs="宋体"/>
          <w:sz w:val="24"/>
        </w:rPr>
      </w:pPr>
      <w:r>
        <w:rPr>
          <w:rFonts w:hint="eastAsia" w:ascii="宋体" w:hAnsi="宋体" w:eastAsia="宋体" w:cs="宋体"/>
          <w:sz w:val="24"/>
        </w:rPr>
        <w:t>2、安装、调试义务：乙方应委派技术人员进行现场安装、调试。</w:t>
      </w:r>
    </w:p>
    <w:p>
      <w:pPr>
        <w:spacing w:line="340" w:lineRule="exact"/>
        <w:rPr>
          <w:rFonts w:hint="eastAsia" w:ascii="宋体" w:hAnsi="宋体" w:eastAsia="宋体" w:cs="宋体"/>
          <w:b/>
          <w:sz w:val="24"/>
        </w:rPr>
      </w:pPr>
      <w:r>
        <w:rPr>
          <w:rFonts w:hint="eastAsia" w:ascii="宋体" w:hAnsi="宋体" w:eastAsia="宋体" w:cs="宋体"/>
          <w:b/>
          <w:sz w:val="24"/>
        </w:rPr>
        <w:t>第五条 合同价款</w:t>
      </w:r>
    </w:p>
    <w:p>
      <w:pPr>
        <w:spacing w:line="340" w:lineRule="exact"/>
        <w:ind w:firstLine="480" w:firstLineChars="200"/>
        <w:rPr>
          <w:rFonts w:hint="eastAsia" w:ascii="宋体" w:hAnsi="宋体" w:eastAsia="宋体" w:cs="宋体"/>
          <w:sz w:val="24"/>
        </w:rPr>
      </w:pPr>
      <w:r>
        <w:rPr>
          <w:rFonts w:hint="eastAsia" w:ascii="宋体" w:hAnsi="宋体" w:eastAsia="宋体" w:cs="宋体"/>
          <w:sz w:val="24"/>
        </w:rPr>
        <w:t>总金额（人民币）：×万×仟×佰×元元整（￥00000.00）。</w:t>
      </w:r>
    </w:p>
    <w:p>
      <w:pPr>
        <w:spacing w:line="340" w:lineRule="exact"/>
        <w:ind w:firstLine="480" w:firstLineChars="200"/>
        <w:rPr>
          <w:rFonts w:hint="eastAsia" w:ascii="宋体" w:hAnsi="宋体" w:eastAsia="宋体" w:cs="宋体"/>
          <w:b/>
          <w:sz w:val="24"/>
        </w:rPr>
      </w:pPr>
      <w:r>
        <w:rPr>
          <w:rFonts w:hint="eastAsia" w:ascii="宋体" w:hAnsi="宋体" w:eastAsia="宋体" w:cs="宋体"/>
          <w:sz w:val="24"/>
        </w:rPr>
        <w:t>本合同约定的货物单价已包含购买货物的全部费用，包括但不限于运输费、保险费、装卸费、税费、安装调试费、验收检验费等</w:t>
      </w:r>
      <w:r>
        <w:rPr>
          <w:rFonts w:hint="eastAsia" w:ascii="宋体" w:hAnsi="宋体" w:eastAsia="宋体" w:cs="宋体"/>
          <w:b/>
          <w:sz w:val="24"/>
        </w:rPr>
        <w:t>。</w:t>
      </w:r>
    </w:p>
    <w:p>
      <w:pPr>
        <w:spacing w:line="340" w:lineRule="exact"/>
        <w:rPr>
          <w:rFonts w:hint="eastAsia" w:ascii="宋体" w:hAnsi="宋体" w:eastAsia="宋体" w:cs="宋体"/>
          <w:b/>
          <w:sz w:val="24"/>
        </w:rPr>
      </w:pPr>
      <w:r>
        <w:rPr>
          <w:rFonts w:hint="eastAsia" w:ascii="宋体" w:hAnsi="宋体" w:eastAsia="宋体" w:cs="宋体"/>
          <w:b/>
          <w:sz w:val="24"/>
        </w:rPr>
        <w:t>第六条 货物的验收</w:t>
      </w:r>
    </w:p>
    <w:p>
      <w:pPr>
        <w:spacing w:line="340" w:lineRule="exact"/>
        <w:rPr>
          <w:rFonts w:hint="eastAsia" w:ascii="宋体" w:hAnsi="宋体" w:eastAsia="宋体" w:cs="宋体"/>
          <w:sz w:val="24"/>
        </w:rPr>
      </w:pPr>
      <w:r>
        <w:rPr>
          <w:rFonts w:hint="eastAsia" w:ascii="宋体" w:hAnsi="宋体" w:eastAsia="宋体" w:cs="宋体"/>
          <w:sz w:val="24"/>
        </w:rPr>
        <w:t>1、验收标准：按本合同第一、二条的约定进行验收。</w:t>
      </w:r>
    </w:p>
    <w:p>
      <w:pPr>
        <w:spacing w:line="340" w:lineRule="exact"/>
        <w:rPr>
          <w:rFonts w:hint="eastAsia" w:ascii="宋体" w:hAnsi="宋体" w:eastAsia="宋体" w:cs="宋体"/>
          <w:sz w:val="24"/>
        </w:rPr>
      </w:pPr>
      <w:r>
        <w:rPr>
          <w:rFonts w:hint="eastAsia" w:ascii="宋体" w:hAnsi="宋体" w:eastAsia="宋体" w:cs="宋体"/>
          <w:sz w:val="24"/>
        </w:rPr>
        <w:t xml:space="preserve">2、验收时间：货物安装调试完成并正常运行6个月内，由甲方组织（乙方参与）验收。 </w:t>
      </w:r>
    </w:p>
    <w:p>
      <w:pPr>
        <w:spacing w:line="340" w:lineRule="exact"/>
        <w:ind w:left="360" w:hanging="360" w:hangingChars="150"/>
        <w:rPr>
          <w:rFonts w:hint="eastAsia" w:ascii="宋体" w:hAnsi="宋体" w:eastAsia="宋体" w:cs="宋体"/>
          <w:sz w:val="24"/>
        </w:rPr>
      </w:pPr>
      <w:r>
        <w:rPr>
          <w:rFonts w:hint="eastAsia" w:ascii="宋体" w:hAnsi="宋体" w:eastAsia="宋体" w:cs="宋体"/>
          <w:sz w:val="24"/>
        </w:rPr>
        <w:t>3、验收范围包括但不限于：（1）型号规格、数量、外观；（2）出厂合格证；（3）货物组件及所附技术资料；（4）货物功能、性能等参数指标。</w:t>
      </w:r>
    </w:p>
    <w:p>
      <w:pPr>
        <w:spacing w:line="340" w:lineRule="exact"/>
        <w:ind w:left="360" w:hanging="360" w:hangingChars="150"/>
        <w:rPr>
          <w:rFonts w:hint="eastAsia" w:ascii="宋体" w:hAnsi="宋体" w:eastAsia="宋体" w:cs="宋体"/>
          <w:sz w:val="24"/>
        </w:rPr>
      </w:pPr>
      <w:r>
        <w:rPr>
          <w:rFonts w:hint="eastAsia" w:ascii="宋体" w:hAnsi="宋体" w:eastAsia="宋体" w:cs="宋体"/>
          <w:sz w:val="24"/>
        </w:rPr>
        <w:t>4、验收合格的确认：经甲方确认全部货物通过验收，视为验收合格。如验收不合格，甲方有权要求更换货物或拒绝付款。因乙方未按时提供本合同约定的货物，造成甲方损失，甲方有权追究乙方违约责任，要求乙方赔偿损失。</w:t>
      </w:r>
    </w:p>
    <w:p>
      <w:pPr>
        <w:spacing w:line="340" w:lineRule="exact"/>
        <w:rPr>
          <w:rFonts w:hint="eastAsia" w:ascii="宋体" w:hAnsi="宋体" w:eastAsia="宋体" w:cs="宋体"/>
          <w:b/>
          <w:sz w:val="24"/>
        </w:rPr>
      </w:pPr>
      <w:r>
        <w:rPr>
          <w:rFonts w:hint="eastAsia" w:ascii="宋体" w:hAnsi="宋体" w:eastAsia="宋体" w:cs="宋体"/>
          <w:b/>
          <w:sz w:val="24"/>
        </w:rPr>
        <w:t>第七条 价款支付方式</w:t>
      </w:r>
    </w:p>
    <w:p>
      <w:pPr>
        <w:spacing w:line="340" w:lineRule="exact"/>
        <w:rPr>
          <w:rFonts w:hint="eastAsia" w:ascii="宋体" w:hAnsi="宋体" w:eastAsia="宋体" w:cs="宋体"/>
          <w:sz w:val="24"/>
        </w:rPr>
      </w:pPr>
      <w:r>
        <w:rPr>
          <w:rFonts w:hint="eastAsia" w:ascii="宋体" w:hAnsi="宋体" w:eastAsia="宋体" w:cs="宋体"/>
          <w:sz w:val="24"/>
        </w:rPr>
        <w:t>1、本合同甲、乙双方之间的一切费用均以人民币结算及支付。</w:t>
      </w:r>
    </w:p>
    <w:p>
      <w:pPr>
        <w:spacing w:line="340" w:lineRule="exact"/>
        <w:rPr>
          <w:rFonts w:hint="eastAsia" w:ascii="宋体" w:hAnsi="宋体" w:eastAsia="宋体" w:cs="宋体"/>
          <w:sz w:val="24"/>
        </w:rPr>
      </w:pPr>
      <w:r>
        <w:rPr>
          <w:rFonts w:hint="eastAsia" w:ascii="宋体" w:hAnsi="宋体" w:eastAsia="宋体" w:cs="宋体"/>
          <w:sz w:val="24"/>
        </w:rPr>
        <w:t>2、甲方通过如下第（</w:t>
      </w:r>
      <w:r>
        <w:rPr>
          <w:rFonts w:hint="eastAsia" w:ascii="宋体" w:hAnsi="宋体" w:eastAsia="宋体" w:cs="宋体"/>
          <w:b/>
          <w:color w:val="FF0000"/>
          <w:sz w:val="24"/>
        </w:rPr>
        <w:t>X</w:t>
      </w:r>
      <w:r>
        <w:rPr>
          <w:rFonts w:hint="eastAsia" w:ascii="宋体" w:hAnsi="宋体" w:eastAsia="宋体" w:cs="宋体"/>
          <w:sz w:val="24"/>
        </w:rPr>
        <w:t>）种方式付款:</w:t>
      </w:r>
    </w:p>
    <w:p>
      <w:pPr>
        <w:spacing w:line="340" w:lineRule="exact"/>
        <w:ind w:left="315" w:leftChars="150"/>
        <w:rPr>
          <w:rFonts w:hint="eastAsia" w:ascii="宋体" w:hAnsi="宋体" w:eastAsia="宋体" w:cs="宋体"/>
          <w:sz w:val="24"/>
        </w:rPr>
      </w:pPr>
      <w:r>
        <w:rPr>
          <w:rFonts w:hint="eastAsia" w:ascii="宋体" w:hAnsi="宋体" w:eastAsia="宋体" w:cs="宋体"/>
          <w:sz w:val="24"/>
        </w:rPr>
        <w:t>（1）在货物验收合格后七个工作日内向乙方支付合同总金额的90%，余额10%在验收合格使用半年后7个工作日内支付。</w:t>
      </w:r>
    </w:p>
    <w:p>
      <w:pPr>
        <w:spacing w:line="340" w:lineRule="exact"/>
        <w:ind w:left="315" w:leftChars="150"/>
        <w:rPr>
          <w:rFonts w:hint="eastAsia" w:ascii="宋体" w:hAnsi="宋体" w:eastAsia="宋体" w:cs="宋体"/>
          <w:sz w:val="24"/>
        </w:rPr>
      </w:pPr>
      <w:r>
        <w:rPr>
          <w:rFonts w:hint="eastAsia" w:ascii="宋体" w:hAnsi="宋体" w:eastAsia="宋体" w:cs="宋体"/>
          <w:sz w:val="24"/>
        </w:rPr>
        <w:t>（2）在货物验收合格后七个工作日内，乙方将合同总金额的10%作为履约保证金，以支票形式提交给甲方，甲方支付合同总金额的100%。甲方在验收合格使用半年后7个工作日内，退还乙方的履约保证金。</w:t>
      </w:r>
    </w:p>
    <w:p>
      <w:pPr>
        <w:spacing w:line="340" w:lineRule="exact"/>
        <w:ind w:left="360" w:hanging="360" w:hangingChars="150"/>
        <w:rPr>
          <w:rFonts w:hint="eastAsia" w:ascii="宋体" w:hAnsi="宋体" w:eastAsia="宋体" w:cs="宋体"/>
          <w:color w:val="000000"/>
          <w:sz w:val="24"/>
        </w:rPr>
      </w:pPr>
      <w:r>
        <w:rPr>
          <w:rFonts w:hint="eastAsia" w:ascii="宋体" w:hAnsi="宋体" w:eastAsia="宋体" w:cs="宋体"/>
          <w:color w:val="000000"/>
          <w:sz w:val="24"/>
        </w:rPr>
        <w:t>3、甲方收到乙方开具对应金额的增值税专用发票后，按上述期限向乙方付款。</w:t>
      </w:r>
    </w:p>
    <w:p>
      <w:pPr>
        <w:spacing w:line="340" w:lineRule="exact"/>
        <w:ind w:firstLine="480"/>
        <w:rPr>
          <w:rFonts w:hint="eastAsia" w:ascii="宋体" w:hAnsi="宋体" w:eastAsia="宋体" w:cs="宋体"/>
          <w:sz w:val="24"/>
        </w:rPr>
      </w:pPr>
      <w:r>
        <w:rPr>
          <w:rFonts w:hint="eastAsia" w:ascii="宋体" w:hAnsi="宋体" w:eastAsia="宋体" w:cs="宋体"/>
          <w:sz w:val="24"/>
        </w:rPr>
        <w:t>乙方向我校开具增值税专用发票的信息：</w:t>
      </w:r>
    </w:p>
    <w:tbl>
      <w:tblPr>
        <w:tblStyle w:val="2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top"/>
          </w:tcPr>
          <w:p>
            <w:pPr>
              <w:spacing w:line="340" w:lineRule="exact"/>
              <w:jc w:val="left"/>
              <w:rPr>
                <w:rFonts w:hint="eastAsia" w:ascii="宋体" w:hAnsi="宋体" w:eastAsia="宋体" w:cs="宋体"/>
                <w:sz w:val="24"/>
              </w:rPr>
            </w:pPr>
            <w:r>
              <w:rPr>
                <w:rFonts w:hint="eastAsia" w:ascii="宋体" w:hAnsi="宋体" w:eastAsia="宋体" w:cs="宋体"/>
                <w:sz w:val="24"/>
              </w:rPr>
              <w:t>名    称</w:t>
            </w:r>
          </w:p>
        </w:tc>
        <w:tc>
          <w:tcPr>
            <w:tcW w:w="6429" w:type="dxa"/>
            <w:vAlign w:val="top"/>
          </w:tcPr>
          <w:p>
            <w:pPr>
              <w:spacing w:line="340" w:lineRule="exact"/>
              <w:rPr>
                <w:rFonts w:hint="eastAsia" w:ascii="宋体" w:hAnsi="宋体" w:eastAsia="宋体" w:cs="宋体"/>
                <w:sz w:val="24"/>
              </w:rPr>
            </w:pPr>
            <w:r>
              <w:rPr>
                <w:rFonts w:hint="eastAsia" w:ascii="宋体" w:hAnsi="宋体" w:eastAsia="宋体" w:cs="宋体"/>
                <w:sz w:val="24"/>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top"/>
          </w:tcPr>
          <w:p>
            <w:pPr>
              <w:spacing w:line="340" w:lineRule="exact"/>
              <w:rPr>
                <w:rFonts w:hint="eastAsia" w:ascii="宋体" w:hAnsi="宋体" w:eastAsia="宋体" w:cs="宋体"/>
                <w:sz w:val="24"/>
              </w:rPr>
            </w:pPr>
            <w:r>
              <w:rPr>
                <w:rFonts w:hint="eastAsia" w:ascii="宋体" w:hAnsi="宋体" w:eastAsia="宋体" w:cs="宋体"/>
                <w:sz w:val="24"/>
              </w:rPr>
              <w:t>税务登记证号码</w:t>
            </w:r>
          </w:p>
        </w:tc>
        <w:tc>
          <w:tcPr>
            <w:tcW w:w="6429" w:type="dxa"/>
            <w:vAlign w:val="top"/>
          </w:tcPr>
          <w:p>
            <w:pPr>
              <w:spacing w:line="340" w:lineRule="exact"/>
              <w:rPr>
                <w:rFonts w:hint="eastAsia" w:ascii="宋体" w:hAnsi="宋体" w:eastAsia="宋体" w:cs="宋体"/>
                <w:sz w:val="24"/>
              </w:rPr>
            </w:pPr>
            <w:r>
              <w:rPr>
                <w:rFonts w:hint="eastAsia" w:ascii="宋体" w:hAnsi="宋体" w:eastAsia="宋体" w:cs="宋体"/>
                <w:sz w:val="24"/>
              </w:rPr>
              <w:t>鄂地税字12100000707137123P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top"/>
          </w:tcPr>
          <w:p>
            <w:pPr>
              <w:spacing w:line="340" w:lineRule="exact"/>
              <w:rPr>
                <w:rFonts w:hint="eastAsia" w:ascii="宋体" w:hAnsi="宋体" w:eastAsia="宋体" w:cs="宋体"/>
                <w:sz w:val="24"/>
              </w:rPr>
            </w:pPr>
            <w:r>
              <w:rPr>
                <w:rFonts w:hint="eastAsia" w:ascii="宋体" w:hAnsi="宋体" w:eastAsia="宋体" w:cs="宋体"/>
                <w:sz w:val="24"/>
              </w:rPr>
              <w:t>单位地址</w:t>
            </w:r>
          </w:p>
        </w:tc>
        <w:tc>
          <w:tcPr>
            <w:tcW w:w="6429" w:type="dxa"/>
            <w:vAlign w:val="top"/>
          </w:tcPr>
          <w:p>
            <w:pPr>
              <w:spacing w:line="340" w:lineRule="exact"/>
              <w:rPr>
                <w:rFonts w:hint="eastAsia" w:ascii="宋体" w:hAnsi="宋体" w:eastAsia="宋体" w:cs="宋体"/>
                <w:sz w:val="24"/>
              </w:rPr>
            </w:pPr>
            <w:r>
              <w:rPr>
                <w:rFonts w:hint="eastAsia" w:ascii="宋体" w:hAnsi="宋体" w:eastAsia="宋体" w:cs="宋体"/>
                <w:sz w:val="24"/>
              </w:rPr>
              <w:t>湖北省武汉市武昌区珞珈山武汉大学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top"/>
          </w:tcPr>
          <w:p>
            <w:pPr>
              <w:spacing w:line="340" w:lineRule="exact"/>
              <w:rPr>
                <w:rFonts w:hint="eastAsia" w:ascii="宋体" w:hAnsi="宋体" w:eastAsia="宋体" w:cs="宋体"/>
                <w:sz w:val="24"/>
              </w:rPr>
            </w:pPr>
            <w:r>
              <w:rPr>
                <w:rFonts w:hint="eastAsia" w:ascii="宋体" w:hAnsi="宋体" w:eastAsia="宋体" w:cs="宋体"/>
                <w:sz w:val="24"/>
              </w:rPr>
              <w:t>电话号码</w:t>
            </w:r>
          </w:p>
        </w:tc>
        <w:tc>
          <w:tcPr>
            <w:tcW w:w="6429" w:type="dxa"/>
            <w:vAlign w:val="top"/>
          </w:tcPr>
          <w:p>
            <w:pPr>
              <w:spacing w:line="340" w:lineRule="exact"/>
              <w:rPr>
                <w:rFonts w:hint="eastAsia" w:ascii="宋体" w:hAnsi="宋体" w:eastAsia="宋体" w:cs="宋体"/>
                <w:sz w:val="24"/>
              </w:rPr>
            </w:pPr>
            <w:r>
              <w:rPr>
                <w:rFonts w:hint="eastAsia" w:ascii="宋体" w:hAnsi="宋体" w:eastAsia="宋体" w:cs="宋体"/>
                <w:sz w:val="24"/>
              </w:rPr>
              <w:t>（027）68752400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top"/>
          </w:tcPr>
          <w:p>
            <w:pPr>
              <w:spacing w:line="340" w:lineRule="exact"/>
              <w:rPr>
                <w:rFonts w:hint="eastAsia" w:ascii="宋体" w:hAnsi="宋体" w:eastAsia="宋体" w:cs="宋体"/>
                <w:sz w:val="24"/>
              </w:rPr>
            </w:pPr>
            <w:r>
              <w:rPr>
                <w:rFonts w:hint="eastAsia" w:ascii="宋体" w:hAnsi="宋体" w:eastAsia="宋体" w:cs="宋体"/>
                <w:sz w:val="24"/>
              </w:rPr>
              <w:t>开户行</w:t>
            </w:r>
          </w:p>
        </w:tc>
        <w:tc>
          <w:tcPr>
            <w:tcW w:w="6429" w:type="dxa"/>
            <w:vAlign w:val="top"/>
          </w:tcPr>
          <w:p>
            <w:pPr>
              <w:spacing w:line="340" w:lineRule="exact"/>
              <w:rPr>
                <w:rFonts w:hint="eastAsia" w:ascii="宋体" w:hAnsi="宋体" w:eastAsia="宋体" w:cs="宋体"/>
                <w:sz w:val="24"/>
              </w:rPr>
            </w:pPr>
            <w:r>
              <w:rPr>
                <w:rFonts w:hint="eastAsia" w:ascii="宋体" w:hAnsi="宋体" w:eastAsia="宋体" w:cs="宋体"/>
                <w:sz w:val="24"/>
              </w:rPr>
              <w:t>中国银行股份有限公司武汉珞珈山支行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top"/>
          </w:tcPr>
          <w:p>
            <w:pPr>
              <w:spacing w:line="340" w:lineRule="exact"/>
              <w:rPr>
                <w:rFonts w:hint="eastAsia" w:ascii="宋体" w:hAnsi="宋体" w:eastAsia="宋体" w:cs="宋体"/>
                <w:sz w:val="24"/>
              </w:rPr>
            </w:pPr>
            <w:r>
              <w:rPr>
                <w:rFonts w:hint="eastAsia" w:ascii="宋体" w:hAnsi="宋体" w:eastAsia="宋体" w:cs="宋体"/>
                <w:sz w:val="24"/>
              </w:rPr>
              <w:t>账    号</w:t>
            </w:r>
          </w:p>
        </w:tc>
        <w:tc>
          <w:tcPr>
            <w:tcW w:w="6429" w:type="dxa"/>
            <w:vAlign w:val="top"/>
          </w:tcPr>
          <w:p>
            <w:pPr>
              <w:spacing w:line="340" w:lineRule="exact"/>
              <w:rPr>
                <w:rFonts w:hint="eastAsia" w:ascii="宋体" w:hAnsi="宋体" w:eastAsia="宋体" w:cs="宋体"/>
                <w:sz w:val="24"/>
              </w:rPr>
            </w:pPr>
            <w:r>
              <w:rPr>
                <w:rFonts w:hint="eastAsia" w:ascii="宋体" w:hAnsi="宋体" w:eastAsia="宋体" w:cs="宋体"/>
                <w:sz w:val="24"/>
              </w:rPr>
              <w:t>576857528447</w:t>
            </w:r>
          </w:p>
        </w:tc>
      </w:tr>
    </w:tbl>
    <w:p>
      <w:pPr>
        <w:spacing w:line="340" w:lineRule="exact"/>
        <w:ind w:firstLine="480"/>
        <w:rPr>
          <w:rFonts w:hint="eastAsia" w:ascii="宋体" w:hAnsi="宋体" w:eastAsia="宋体" w:cs="宋体"/>
          <w:sz w:val="24"/>
        </w:rPr>
      </w:pPr>
      <w:r>
        <w:rPr>
          <w:rFonts w:hint="eastAsia" w:ascii="宋体" w:hAnsi="宋体" w:eastAsia="宋体" w:cs="宋体"/>
          <w:sz w:val="24"/>
        </w:rPr>
        <w:t>乙方账户信息如下：</w:t>
      </w:r>
    </w:p>
    <w:p>
      <w:pPr>
        <w:spacing w:line="340" w:lineRule="exact"/>
        <w:ind w:firstLine="480"/>
        <w:rPr>
          <w:rFonts w:hint="eastAsia" w:ascii="宋体" w:hAnsi="宋体" w:eastAsia="宋体" w:cs="宋体"/>
          <w:sz w:val="24"/>
        </w:rPr>
      </w:pPr>
      <w:r>
        <w:rPr>
          <w:rFonts w:hint="eastAsia" w:ascii="宋体" w:hAnsi="宋体" w:eastAsia="宋体" w:cs="宋体"/>
          <w:sz w:val="24"/>
        </w:rPr>
        <w:t>户　名：</w:t>
      </w:r>
      <w:r>
        <w:rPr>
          <w:rFonts w:hint="eastAsia" w:ascii="宋体" w:hAnsi="宋体" w:eastAsia="宋体" w:cs="宋体"/>
          <w:b/>
          <w:sz w:val="24"/>
          <w:u w:val="single"/>
        </w:rPr>
        <w:t>XX</w:t>
      </w:r>
      <w:r>
        <w:rPr>
          <w:rFonts w:hint="eastAsia" w:ascii="宋体" w:hAnsi="宋体" w:eastAsia="宋体" w:cs="宋体"/>
          <w:sz w:val="24"/>
        </w:rPr>
        <w:t>有限公司</w:t>
      </w:r>
    </w:p>
    <w:p>
      <w:pPr>
        <w:spacing w:line="340" w:lineRule="exact"/>
        <w:ind w:firstLine="480"/>
        <w:rPr>
          <w:rFonts w:hint="eastAsia" w:ascii="宋体" w:hAnsi="宋体" w:eastAsia="宋体" w:cs="宋体"/>
          <w:sz w:val="24"/>
        </w:rPr>
      </w:pPr>
      <w:r>
        <w:rPr>
          <w:rFonts w:hint="eastAsia" w:ascii="宋体" w:hAnsi="宋体" w:eastAsia="宋体" w:cs="宋体"/>
          <w:sz w:val="24"/>
        </w:rPr>
        <w:t>开户行：</w:t>
      </w:r>
      <w:r>
        <w:rPr>
          <w:rFonts w:hint="eastAsia" w:ascii="宋体" w:hAnsi="宋体" w:eastAsia="宋体" w:cs="宋体"/>
          <w:b/>
          <w:sz w:val="24"/>
          <w:u w:val="single"/>
        </w:rPr>
        <w:t>XX</w:t>
      </w:r>
      <w:r>
        <w:rPr>
          <w:rFonts w:hint="eastAsia" w:ascii="宋体" w:hAnsi="宋体" w:eastAsia="宋体" w:cs="宋体"/>
          <w:sz w:val="24"/>
        </w:rPr>
        <w:t>支行</w:t>
      </w:r>
    </w:p>
    <w:p>
      <w:pPr>
        <w:spacing w:line="340" w:lineRule="exact"/>
        <w:ind w:firstLine="480"/>
        <w:rPr>
          <w:rFonts w:hint="eastAsia" w:ascii="宋体" w:hAnsi="宋体" w:eastAsia="宋体" w:cs="宋体"/>
          <w:sz w:val="24"/>
        </w:rPr>
      </w:pPr>
      <w:r>
        <w:rPr>
          <w:rFonts w:hint="eastAsia" w:ascii="宋体" w:hAnsi="宋体" w:eastAsia="宋体" w:cs="宋体"/>
          <w:sz w:val="24"/>
        </w:rPr>
        <w:t>账　号：</w:t>
      </w:r>
      <w:r>
        <w:rPr>
          <w:rFonts w:hint="eastAsia" w:ascii="宋体" w:hAnsi="宋体" w:eastAsia="宋体" w:cs="宋体"/>
          <w:b/>
          <w:sz w:val="24"/>
          <w:u w:val="single"/>
        </w:rPr>
        <w:t>XX</w:t>
      </w:r>
    </w:p>
    <w:p>
      <w:pPr>
        <w:spacing w:line="340" w:lineRule="exact"/>
        <w:rPr>
          <w:rFonts w:hint="eastAsia" w:ascii="宋体" w:hAnsi="宋体" w:eastAsia="宋体" w:cs="宋体"/>
          <w:b/>
          <w:sz w:val="24"/>
        </w:rPr>
      </w:pPr>
      <w:r>
        <w:rPr>
          <w:rFonts w:hint="eastAsia" w:ascii="宋体" w:hAnsi="宋体" w:eastAsia="宋体" w:cs="宋体"/>
          <w:b/>
          <w:sz w:val="24"/>
        </w:rPr>
        <w:t>第八条 售后服务及质量保证</w:t>
      </w:r>
    </w:p>
    <w:p>
      <w:pPr>
        <w:spacing w:line="340" w:lineRule="exact"/>
        <w:rPr>
          <w:rFonts w:hint="eastAsia" w:ascii="宋体" w:hAnsi="宋体" w:eastAsia="宋体" w:cs="宋体"/>
          <w:sz w:val="24"/>
        </w:rPr>
      </w:pPr>
      <w:r>
        <w:rPr>
          <w:rFonts w:hint="eastAsia" w:ascii="宋体" w:hAnsi="宋体" w:eastAsia="宋体" w:cs="宋体"/>
          <w:sz w:val="24"/>
        </w:rPr>
        <w:t>1、乙方承诺本合同项下货物的质保期为</w:t>
      </w:r>
      <w:r>
        <w:rPr>
          <w:rFonts w:hint="eastAsia" w:ascii="宋体" w:hAnsi="宋体" w:eastAsia="宋体" w:cs="宋体"/>
          <w:b/>
          <w:color w:val="FF0000"/>
          <w:sz w:val="24"/>
          <w:u w:val="single"/>
        </w:rPr>
        <w:t>XX</w:t>
      </w:r>
      <w:r>
        <w:rPr>
          <w:rFonts w:hint="eastAsia" w:ascii="宋体" w:hAnsi="宋体" w:eastAsia="宋体" w:cs="宋体"/>
          <w:sz w:val="24"/>
        </w:rPr>
        <w:t>年，自甲方确认验收合格之日起算。</w:t>
      </w:r>
    </w:p>
    <w:p>
      <w:pPr>
        <w:spacing w:line="340" w:lineRule="exact"/>
        <w:ind w:left="360" w:hanging="360" w:hangingChars="150"/>
        <w:rPr>
          <w:rFonts w:hint="eastAsia" w:ascii="宋体" w:hAnsi="宋体" w:eastAsia="宋体" w:cs="宋体"/>
          <w:sz w:val="24"/>
        </w:rPr>
      </w:pPr>
      <w:r>
        <w:rPr>
          <w:rFonts w:hint="eastAsia" w:ascii="宋体" w:hAnsi="宋体" w:eastAsia="宋体" w:cs="宋体"/>
          <w:sz w:val="24"/>
        </w:rPr>
        <w:t>2、乙方自接到用户口头或书面报修通知时起算，负责在</w:t>
      </w:r>
      <w:r>
        <w:rPr>
          <w:rFonts w:hint="eastAsia" w:ascii="宋体" w:hAnsi="宋体" w:eastAsia="宋体" w:cs="宋体"/>
          <w:b/>
          <w:color w:val="FF0000"/>
          <w:sz w:val="24"/>
          <w:u w:val="single"/>
        </w:rPr>
        <w:t>XX</w:t>
      </w:r>
      <w:r>
        <w:rPr>
          <w:rFonts w:hint="eastAsia" w:ascii="宋体" w:hAnsi="宋体" w:eastAsia="宋体" w:cs="宋体"/>
          <w:sz w:val="24"/>
        </w:rPr>
        <w:t>小时内（市内）、</w:t>
      </w:r>
      <w:r>
        <w:rPr>
          <w:rFonts w:hint="eastAsia" w:ascii="宋体" w:hAnsi="宋体" w:eastAsia="宋体" w:cs="宋体"/>
          <w:b/>
          <w:color w:val="FF0000"/>
          <w:sz w:val="24"/>
          <w:u w:val="single"/>
        </w:rPr>
        <w:t>XX</w:t>
      </w:r>
      <w:r>
        <w:rPr>
          <w:rFonts w:hint="eastAsia" w:ascii="宋体" w:hAnsi="宋体" w:eastAsia="宋体" w:cs="宋体"/>
          <w:sz w:val="24"/>
        </w:rPr>
        <w:t>小时内（市外）派相关技术人员到现场查找和排除故障，免费修理、更换、补齐有缺陷的货物或部件。售后服务联系电话：</w:t>
      </w:r>
      <w:r>
        <w:rPr>
          <w:rFonts w:hint="eastAsia" w:ascii="宋体" w:hAnsi="宋体" w:eastAsia="宋体" w:cs="宋体"/>
          <w:b/>
          <w:color w:val="FF0000"/>
          <w:sz w:val="24"/>
          <w:u w:val="single"/>
        </w:rPr>
        <w:t>XX</w:t>
      </w:r>
      <w:r>
        <w:rPr>
          <w:rFonts w:hint="eastAsia" w:ascii="宋体" w:hAnsi="宋体" w:eastAsia="宋体" w:cs="宋体"/>
          <w:sz w:val="24"/>
        </w:rPr>
        <w:t xml:space="preserve"> 联系人：</w:t>
      </w:r>
      <w:r>
        <w:rPr>
          <w:rFonts w:hint="eastAsia" w:ascii="宋体" w:hAnsi="宋体" w:eastAsia="宋体" w:cs="宋体"/>
          <w:b/>
          <w:color w:val="FF0000"/>
          <w:sz w:val="24"/>
          <w:u w:val="single"/>
        </w:rPr>
        <w:t>XX</w:t>
      </w:r>
    </w:p>
    <w:p>
      <w:pPr>
        <w:spacing w:line="340" w:lineRule="exact"/>
        <w:rPr>
          <w:rFonts w:hint="eastAsia" w:ascii="宋体" w:hAnsi="宋体" w:eastAsia="宋体" w:cs="宋体"/>
          <w:sz w:val="24"/>
        </w:rPr>
      </w:pPr>
      <w:r>
        <w:rPr>
          <w:rFonts w:hint="eastAsia" w:ascii="宋体" w:hAnsi="宋体" w:eastAsia="宋体" w:cs="宋体"/>
          <w:sz w:val="24"/>
        </w:rPr>
        <w:t>3、本合同项下货物质保期依检修期期限而延长。</w:t>
      </w:r>
    </w:p>
    <w:p>
      <w:pPr>
        <w:spacing w:line="340" w:lineRule="exact"/>
        <w:rPr>
          <w:rFonts w:hint="eastAsia" w:ascii="宋体" w:hAnsi="宋体" w:eastAsia="宋体" w:cs="宋体"/>
          <w:sz w:val="24"/>
        </w:rPr>
      </w:pPr>
      <w:r>
        <w:rPr>
          <w:rFonts w:hint="eastAsia" w:ascii="宋体" w:hAnsi="宋体" w:eastAsia="宋体" w:cs="宋体"/>
          <w:sz w:val="24"/>
        </w:rPr>
        <w:t>4、质保期届满后，如甲方需要乙方继续提供维护服务，由甲乙双方另行协商。</w:t>
      </w:r>
    </w:p>
    <w:p>
      <w:pPr>
        <w:spacing w:line="340" w:lineRule="exact"/>
        <w:rPr>
          <w:rFonts w:hint="eastAsia" w:ascii="宋体" w:hAnsi="宋体" w:eastAsia="宋体" w:cs="宋体"/>
          <w:b/>
          <w:sz w:val="24"/>
        </w:rPr>
      </w:pPr>
      <w:r>
        <w:rPr>
          <w:rFonts w:hint="eastAsia" w:ascii="宋体" w:hAnsi="宋体" w:eastAsia="宋体" w:cs="宋体"/>
          <w:b/>
          <w:sz w:val="24"/>
        </w:rPr>
        <w:t>第九条 违约责任</w:t>
      </w:r>
    </w:p>
    <w:p>
      <w:pPr>
        <w:spacing w:line="340" w:lineRule="exact"/>
        <w:ind w:left="360" w:hanging="360" w:hangingChars="150"/>
        <w:rPr>
          <w:rFonts w:hint="eastAsia" w:ascii="宋体" w:hAnsi="宋体" w:eastAsia="宋体" w:cs="宋体"/>
          <w:bCs/>
          <w:sz w:val="24"/>
        </w:rPr>
      </w:pPr>
      <w:r>
        <w:rPr>
          <w:rFonts w:hint="eastAsia" w:ascii="宋体" w:hAnsi="宋体" w:eastAsia="宋体" w:cs="宋体"/>
          <w:sz w:val="24"/>
        </w:rPr>
        <w:t>1、若甲方无故拖延货物货款一个月，经乙方书面催告后，每延误一天，甲方应按照合同总金额的</w:t>
      </w:r>
      <w:r>
        <w:rPr>
          <w:rFonts w:hint="eastAsia" w:ascii="宋体" w:hAnsi="宋体" w:eastAsia="宋体" w:cs="宋体"/>
          <w:bCs/>
          <w:sz w:val="24"/>
        </w:rPr>
        <w:t>1‰向乙方支付违约金。</w:t>
      </w:r>
    </w:p>
    <w:p>
      <w:pPr>
        <w:spacing w:line="340" w:lineRule="exact"/>
        <w:ind w:left="360" w:hanging="360" w:hangingChars="150"/>
        <w:rPr>
          <w:rFonts w:hint="eastAsia" w:ascii="宋体" w:hAnsi="宋体" w:eastAsia="宋体" w:cs="宋体"/>
          <w:bCs/>
          <w:sz w:val="24"/>
        </w:rPr>
      </w:pPr>
      <w:r>
        <w:rPr>
          <w:rFonts w:hint="eastAsia" w:ascii="宋体" w:hAnsi="宋体" w:eastAsia="宋体" w:cs="宋体"/>
          <w:bCs/>
          <w:sz w:val="24"/>
        </w:rPr>
        <w:t>2、</w:t>
      </w:r>
      <w:r>
        <w:rPr>
          <w:rFonts w:hint="eastAsia" w:ascii="宋体" w:hAnsi="宋体" w:eastAsia="宋体" w:cs="宋体"/>
          <w:sz w:val="24"/>
        </w:rPr>
        <w:t>乙</w:t>
      </w:r>
      <w:r>
        <w:rPr>
          <w:rFonts w:hint="eastAsia" w:ascii="宋体" w:hAnsi="宋体" w:eastAsia="宋体" w:cs="宋体"/>
          <w:bCs/>
          <w:sz w:val="24"/>
        </w:rPr>
        <w:t>方不按照合同规定交付货物及安装调试，</w:t>
      </w:r>
      <w:r>
        <w:rPr>
          <w:rFonts w:hint="eastAsia" w:ascii="宋体" w:hAnsi="宋体" w:eastAsia="宋体" w:cs="宋体"/>
          <w:sz w:val="24"/>
        </w:rPr>
        <w:t>每延误一天，</w:t>
      </w:r>
      <w:r>
        <w:rPr>
          <w:rFonts w:hint="eastAsia" w:ascii="宋体" w:hAnsi="宋体" w:eastAsia="宋体" w:cs="宋体"/>
          <w:bCs/>
          <w:sz w:val="24"/>
        </w:rPr>
        <w:t>乙方应按照</w:t>
      </w:r>
      <w:r>
        <w:rPr>
          <w:rFonts w:hint="eastAsia" w:ascii="宋体" w:hAnsi="宋体" w:eastAsia="宋体" w:cs="宋体"/>
          <w:sz w:val="24"/>
        </w:rPr>
        <w:t>合同总金额的</w:t>
      </w:r>
      <w:r>
        <w:rPr>
          <w:rFonts w:hint="eastAsia" w:ascii="宋体" w:hAnsi="宋体" w:eastAsia="宋体" w:cs="宋体"/>
          <w:bCs/>
          <w:sz w:val="24"/>
        </w:rPr>
        <w:t>1‰向甲方支付违约金。</w:t>
      </w:r>
    </w:p>
    <w:p>
      <w:pPr>
        <w:spacing w:line="340" w:lineRule="exact"/>
        <w:rPr>
          <w:rFonts w:hint="eastAsia" w:ascii="宋体" w:hAnsi="宋体" w:eastAsia="宋体" w:cs="宋体"/>
          <w:sz w:val="24"/>
        </w:rPr>
      </w:pPr>
      <w:r>
        <w:rPr>
          <w:rFonts w:hint="eastAsia" w:ascii="宋体" w:hAnsi="宋体" w:eastAsia="宋体" w:cs="宋体"/>
          <w:bCs/>
          <w:sz w:val="24"/>
        </w:rPr>
        <w:t>3、非乙方原因，甲方中途退货，应按合同总</w:t>
      </w:r>
      <w:r>
        <w:rPr>
          <w:rFonts w:hint="eastAsia" w:ascii="宋体" w:hAnsi="宋体" w:eastAsia="宋体" w:cs="宋体"/>
          <w:sz w:val="24"/>
        </w:rPr>
        <w:t>金额的</w:t>
      </w:r>
      <w:r>
        <w:rPr>
          <w:rFonts w:hint="eastAsia" w:ascii="宋体" w:hAnsi="宋体" w:eastAsia="宋体" w:cs="宋体"/>
          <w:bCs/>
          <w:sz w:val="24"/>
        </w:rPr>
        <w:t>10％向乙方支付违约金。</w:t>
      </w:r>
    </w:p>
    <w:p>
      <w:pPr>
        <w:spacing w:line="340" w:lineRule="exact"/>
        <w:rPr>
          <w:rFonts w:hint="eastAsia" w:ascii="宋体" w:hAnsi="宋体" w:eastAsia="宋体" w:cs="宋体"/>
          <w:bCs/>
          <w:sz w:val="24"/>
        </w:rPr>
      </w:pPr>
      <w:r>
        <w:rPr>
          <w:rFonts w:hint="eastAsia" w:ascii="宋体" w:hAnsi="宋体" w:eastAsia="宋体" w:cs="宋体"/>
          <w:bCs/>
          <w:sz w:val="24"/>
        </w:rPr>
        <w:t>4、非甲方原因，乙方停止供货，应按合同总</w:t>
      </w:r>
      <w:r>
        <w:rPr>
          <w:rFonts w:hint="eastAsia" w:ascii="宋体" w:hAnsi="宋体" w:eastAsia="宋体" w:cs="宋体"/>
          <w:sz w:val="24"/>
        </w:rPr>
        <w:t>金额的</w:t>
      </w:r>
      <w:r>
        <w:rPr>
          <w:rFonts w:hint="eastAsia" w:ascii="宋体" w:hAnsi="宋体" w:eastAsia="宋体" w:cs="宋体"/>
          <w:bCs/>
          <w:sz w:val="24"/>
        </w:rPr>
        <w:t>10％向甲方支付违约金。</w:t>
      </w:r>
    </w:p>
    <w:p>
      <w:pPr>
        <w:spacing w:line="340" w:lineRule="exact"/>
        <w:ind w:left="360" w:hanging="360" w:hangingChars="150"/>
        <w:rPr>
          <w:rFonts w:hint="eastAsia" w:ascii="宋体" w:hAnsi="宋体" w:eastAsia="宋体" w:cs="宋体"/>
          <w:bCs/>
          <w:sz w:val="24"/>
        </w:rPr>
      </w:pPr>
      <w:r>
        <w:rPr>
          <w:rFonts w:hint="eastAsia" w:ascii="宋体" w:hAnsi="宋体" w:eastAsia="宋体" w:cs="宋体"/>
          <w:bCs/>
          <w:sz w:val="24"/>
        </w:rPr>
        <w:t>5、若乙方未按本合同的约定提供质保服务，甲方有权自行委托第三方提供甲方所需要的技术支持和售后服务，所发生的费用由乙方承担，如因此造成甲方损失的，乙方应承担赔偿责任。</w:t>
      </w:r>
    </w:p>
    <w:p>
      <w:pPr>
        <w:spacing w:line="340" w:lineRule="exact"/>
        <w:ind w:left="360" w:hanging="360" w:hangingChars="150"/>
        <w:rPr>
          <w:rFonts w:hint="eastAsia" w:ascii="宋体" w:hAnsi="宋体" w:eastAsia="宋体" w:cs="宋体"/>
          <w:bCs/>
          <w:sz w:val="24"/>
        </w:rPr>
      </w:pPr>
      <w:r>
        <w:rPr>
          <w:rFonts w:hint="eastAsia" w:ascii="宋体" w:hAnsi="宋体" w:eastAsia="宋体" w:cs="宋体"/>
          <w:bCs/>
          <w:sz w:val="24"/>
        </w:rPr>
        <w:t>6、当甲方采取本合同第七条第2款第（2）种方式付款时，如因乙方在本合同履行过程中违反约定，给甲方造成损失，甲方有权在履约保证金中直接扣除乙方应向甲方支付的违约金，不足部分由乙方另行承担赔偿责任；如甲方未按合同内约定时间退还履约保证金，经乙方书面催告后，每延误一天，甲方应按照履约保证金总额的0.5‰向乙方支付利息。</w:t>
      </w:r>
    </w:p>
    <w:p>
      <w:pPr>
        <w:spacing w:line="340" w:lineRule="exact"/>
        <w:rPr>
          <w:rFonts w:hint="eastAsia" w:ascii="宋体" w:hAnsi="宋体" w:eastAsia="宋体" w:cs="宋体"/>
          <w:b/>
          <w:bCs/>
          <w:sz w:val="24"/>
          <w:lang w:val="zh-CN"/>
        </w:rPr>
      </w:pPr>
      <w:r>
        <w:rPr>
          <w:rFonts w:hint="eastAsia" w:ascii="宋体" w:hAnsi="宋体" w:eastAsia="宋体" w:cs="宋体"/>
          <w:b/>
          <w:bCs/>
          <w:sz w:val="24"/>
          <w:lang w:val="zh-CN"/>
        </w:rPr>
        <w:t>第十条  担保责任</w:t>
      </w:r>
    </w:p>
    <w:p>
      <w:pPr>
        <w:spacing w:line="340" w:lineRule="exact"/>
        <w:rPr>
          <w:rFonts w:hint="eastAsia" w:ascii="宋体" w:hAnsi="宋体" w:eastAsia="宋体" w:cs="宋体"/>
          <w:bCs/>
          <w:sz w:val="24"/>
          <w:lang w:val="zh-CN"/>
        </w:rPr>
      </w:pPr>
      <w:r>
        <w:rPr>
          <w:rFonts w:hint="eastAsia" w:ascii="宋体" w:hAnsi="宋体" w:eastAsia="宋体" w:cs="宋体"/>
          <w:bCs/>
          <w:sz w:val="24"/>
          <w:lang w:val="zh-CN"/>
        </w:rPr>
        <w:t xml:space="preserve">1、乙方应就本合同标的货物，保证甲方免受任何第三方主张任何权利。 </w:t>
      </w:r>
    </w:p>
    <w:p>
      <w:pPr>
        <w:spacing w:line="340" w:lineRule="exact"/>
        <w:ind w:left="360" w:hanging="360" w:hangingChars="150"/>
        <w:rPr>
          <w:rFonts w:hint="eastAsia" w:ascii="宋体" w:hAnsi="宋体" w:eastAsia="宋体" w:cs="宋体"/>
          <w:bCs/>
          <w:sz w:val="24"/>
          <w:lang w:val="zh-CN"/>
        </w:rPr>
      </w:pPr>
      <w:r>
        <w:rPr>
          <w:rFonts w:hint="eastAsia" w:ascii="宋体" w:hAnsi="宋体" w:eastAsia="宋体" w:cs="宋体"/>
          <w:bCs/>
          <w:sz w:val="24"/>
          <w:lang w:val="zh-CN"/>
        </w:rPr>
        <w:t xml:space="preserve">2、如第三人对本合同标的货物，主张所有权或知识产权的侵权损害赔偿请求，甲方有权解除合同，并追究乙方的违约责任。 </w:t>
      </w:r>
    </w:p>
    <w:p>
      <w:pPr>
        <w:spacing w:line="340" w:lineRule="exact"/>
        <w:ind w:left="360" w:hanging="360" w:hangingChars="150"/>
        <w:rPr>
          <w:rFonts w:hint="eastAsia" w:ascii="宋体" w:hAnsi="宋体" w:eastAsia="宋体" w:cs="宋体"/>
          <w:bCs/>
          <w:sz w:val="24"/>
          <w:lang w:val="zh-CN"/>
        </w:rPr>
      </w:pPr>
      <w:r>
        <w:rPr>
          <w:rFonts w:hint="eastAsia" w:ascii="宋体" w:hAnsi="宋体" w:eastAsia="宋体" w:cs="宋体"/>
          <w:bCs/>
          <w:sz w:val="24"/>
          <w:lang w:val="zh-CN"/>
        </w:rPr>
        <w:t xml:space="preserve">3、在合同履行过程中，甲方有确切证据证明第三方可能就本合同标的货物主张权利的，甲方有权中止支付相应的价款，但乙方提供适当担保的除外。 </w:t>
      </w:r>
    </w:p>
    <w:p>
      <w:pPr>
        <w:spacing w:line="340" w:lineRule="exact"/>
        <w:ind w:left="360" w:hanging="360" w:hangingChars="150"/>
        <w:rPr>
          <w:rFonts w:hint="eastAsia" w:ascii="宋体" w:hAnsi="宋体" w:eastAsia="宋体" w:cs="宋体"/>
          <w:sz w:val="24"/>
          <w:lang w:val="zh-CN"/>
        </w:rPr>
      </w:pPr>
      <w:r>
        <w:rPr>
          <w:rFonts w:hint="eastAsia" w:ascii="宋体" w:hAnsi="宋体" w:eastAsia="宋体" w:cs="宋体"/>
          <w:bCs/>
          <w:sz w:val="24"/>
          <w:lang w:val="zh-CN"/>
        </w:rPr>
        <w:t>4、因为第三方对甲方主张权利而发生的纠纷，乙方应承担相应的法律责任和诉讼费用、律师费用、其他为解除纠纷而发生的费用以及由此给甲方造成的经济损失。</w:t>
      </w:r>
    </w:p>
    <w:p>
      <w:pPr>
        <w:spacing w:line="340" w:lineRule="exact"/>
        <w:rPr>
          <w:rFonts w:hint="eastAsia" w:ascii="宋体" w:hAnsi="宋体" w:eastAsia="宋体" w:cs="宋体"/>
          <w:b/>
          <w:bCs/>
          <w:sz w:val="24"/>
          <w:lang w:val="zh-CN"/>
        </w:rPr>
      </w:pPr>
      <w:r>
        <w:rPr>
          <w:rFonts w:hint="eastAsia" w:ascii="宋体" w:hAnsi="宋体" w:eastAsia="宋体" w:cs="宋体"/>
          <w:b/>
          <w:bCs/>
          <w:sz w:val="24"/>
          <w:lang w:val="zh-CN"/>
        </w:rPr>
        <w:t xml:space="preserve">第十一条  风险承担 </w:t>
      </w:r>
    </w:p>
    <w:p>
      <w:pPr>
        <w:spacing w:line="340" w:lineRule="exact"/>
        <w:ind w:left="360" w:hanging="360" w:hangingChars="150"/>
        <w:rPr>
          <w:rFonts w:hint="eastAsia" w:ascii="宋体" w:hAnsi="宋体" w:eastAsia="宋体" w:cs="宋体"/>
          <w:bCs/>
          <w:sz w:val="24"/>
          <w:lang w:val="zh-CN"/>
        </w:rPr>
      </w:pPr>
      <w:r>
        <w:rPr>
          <w:rFonts w:hint="eastAsia" w:ascii="宋体" w:hAnsi="宋体" w:eastAsia="宋体" w:cs="宋体"/>
          <w:bCs/>
          <w:sz w:val="24"/>
          <w:lang w:val="zh-CN"/>
        </w:rPr>
        <w:t xml:space="preserve">1、本合同货物毁损、灭失的风险，在货物交付甲方并验收合格以前由乙方承担，在交付并验收合格以后由甲方承担。 </w:t>
      </w:r>
    </w:p>
    <w:p>
      <w:pPr>
        <w:spacing w:line="340" w:lineRule="exact"/>
        <w:ind w:left="360" w:hanging="360" w:hangingChars="150"/>
        <w:rPr>
          <w:rFonts w:hint="eastAsia" w:ascii="宋体" w:hAnsi="宋体" w:eastAsia="宋体" w:cs="宋体"/>
          <w:bCs/>
          <w:sz w:val="24"/>
          <w:lang w:val="zh-CN"/>
        </w:rPr>
      </w:pPr>
      <w:r>
        <w:rPr>
          <w:rFonts w:hint="eastAsia" w:ascii="宋体" w:hAnsi="宋体" w:eastAsia="宋体" w:cs="宋体"/>
          <w:bCs/>
          <w:sz w:val="24"/>
          <w:lang w:val="zh-CN"/>
        </w:rPr>
        <w:t xml:space="preserve">2、甲方因货物质量不符合约定的质量要求而拒绝接受或解除合同的，货物毁损、灭失的风险由乙方承担。 </w:t>
      </w:r>
    </w:p>
    <w:p>
      <w:pPr>
        <w:spacing w:line="340" w:lineRule="exact"/>
        <w:ind w:left="240" w:hanging="240" w:hangingChars="100"/>
        <w:rPr>
          <w:rFonts w:hint="eastAsia" w:ascii="宋体" w:hAnsi="宋体" w:eastAsia="宋体" w:cs="宋体"/>
          <w:bCs/>
          <w:sz w:val="24"/>
          <w:lang w:val="zh-CN"/>
        </w:rPr>
      </w:pPr>
      <w:r>
        <w:rPr>
          <w:rFonts w:hint="eastAsia" w:ascii="宋体" w:hAnsi="宋体" w:eastAsia="宋体" w:cs="宋体"/>
          <w:bCs/>
          <w:sz w:val="24"/>
          <w:lang w:val="zh-CN"/>
        </w:rPr>
        <w:t xml:space="preserve">3、货物毁损、灭失的风险由甲方承担的，不影响因乙方履行其他合同义务不符合约定的，甲方要求其承担违约责任的权利。 </w:t>
      </w:r>
    </w:p>
    <w:p>
      <w:pPr>
        <w:spacing w:line="340" w:lineRule="exact"/>
        <w:ind w:left="360" w:hanging="360" w:hangingChars="150"/>
        <w:rPr>
          <w:rFonts w:hint="eastAsia" w:ascii="宋体" w:hAnsi="宋体" w:eastAsia="宋体" w:cs="宋体"/>
          <w:bCs/>
          <w:sz w:val="24"/>
          <w:lang w:val="zh-CN"/>
        </w:rPr>
      </w:pPr>
      <w:r>
        <w:rPr>
          <w:rFonts w:hint="eastAsia" w:ascii="宋体" w:hAnsi="宋体" w:eastAsia="宋体" w:cs="宋体"/>
          <w:bCs/>
          <w:sz w:val="24"/>
          <w:lang w:val="zh-CN"/>
        </w:rPr>
        <w:t>4、由乙方承担货物毁损、灭失风险的，如货物毁损或灭失的，乙方应于</w:t>
      </w:r>
      <w:r>
        <w:rPr>
          <w:rFonts w:hint="eastAsia" w:ascii="宋体" w:hAnsi="宋体" w:eastAsia="宋体" w:cs="宋体"/>
          <w:b/>
          <w:bCs/>
          <w:color w:val="FF0000"/>
          <w:sz w:val="24"/>
          <w:u w:val="single"/>
          <w:lang w:val="zh-CN"/>
        </w:rPr>
        <w:t xml:space="preserve">XX </w:t>
      </w:r>
      <w:r>
        <w:rPr>
          <w:rFonts w:hint="eastAsia" w:ascii="宋体" w:hAnsi="宋体" w:eastAsia="宋体" w:cs="宋体"/>
          <w:bCs/>
          <w:sz w:val="24"/>
          <w:lang w:val="zh-CN"/>
        </w:rPr>
        <w:t xml:space="preserve">天内重新提供符合合同规定的标的货物，否则，视为乙方逾期交货,甲方有权解除合同,乙方承担解除合同带给甲方的一切损失。 </w:t>
      </w:r>
    </w:p>
    <w:p>
      <w:pPr>
        <w:spacing w:line="340" w:lineRule="exact"/>
        <w:rPr>
          <w:rFonts w:hint="eastAsia" w:ascii="宋体" w:hAnsi="宋体" w:eastAsia="宋体" w:cs="宋体"/>
          <w:b/>
          <w:bCs/>
          <w:sz w:val="24"/>
        </w:rPr>
      </w:pPr>
      <w:r>
        <w:rPr>
          <w:rFonts w:hint="eastAsia" w:ascii="宋体" w:hAnsi="宋体" w:eastAsia="宋体" w:cs="宋体"/>
          <w:b/>
          <w:bCs/>
          <w:sz w:val="24"/>
        </w:rPr>
        <w:t>第十二条  解决争议的方式</w:t>
      </w:r>
    </w:p>
    <w:p>
      <w:pPr>
        <w:spacing w:line="340" w:lineRule="exact"/>
        <w:ind w:firstLine="480" w:firstLineChars="200"/>
        <w:rPr>
          <w:rFonts w:hint="eastAsia" w:ascii="宋体" w:hAnsi="宋体" w:eastAsia="宋体" w:cs="宋体"/>
          <w:bCs/>
          <w:sz w:val="24"/>
        </w:rPr>
      </w:pPr>
      <w:r>
        <w:rPr>
          <w:rFonts w:hint="eastAsia" w:ascii="宋体" w:hAnsi="宋体" w:eastAsia="宋体" w:cs="宋体"/>
          <w:bCs/>
          <w:sz w:val="24"/>
        </w:rPr>
        <w:t>甲乙双方因本合同引起的法律争议，由双方协商解决，也可由有关部门调解；协商或调解不成的，由甲方所在地人民法院管辖该纠纷。</w:t>
      </w:r>
    </w:p>
    <w:p>
      <w:pPr>
        <w:spacing w:line="340" w:lineRule="exact"/>
        <w:rPr>
          <w:rFonts w:hint="eastAsia" w:ascii="宋体" w:hAnsi="宋体" w:eastAsia="宋体" w:cs="宋体"/>
          <w:bCs/>
          <w:sz w:val="24"/>
        </w:rPr>
      </w:pPr>
      <w:r>
        <w:rPr>
          <w:rFonts w:hint="eastAsia" w:ascii="宋体" w:hAnsi="宋体" w:eastAsia="宋体" w:cs="宋体"/>
          <w:b/>
          <w:bCs/>
          <w:sz w:val="24"/>
        </w:rPr>
        <w:t>第十三条  合同签订地：</w:t>
      </w:r>
      <w:r>
        <w:rPr>
          <w:rFonts w:hint="eastAsia" w:ascii="宋体" w:hAnsi="宋体" w:eastAsia="宋体" w:cs="宋体"/>
          <w:bCs/>
          <w:sz w:val="24"/>
        </w:rPr>
        <w:t>湖北省武汉市武昌区珞珈山武汉大学</w:t>
      </w:r>
    </w:p>
    <w:p>
      <w:pPr>
        <w:spacing w:line="340" w:lineRule="exact"/>
        <w:rPr>
          <w:rFonts w:hint="eastAsia" w:ascii="宋体" w:hAnsi="宋体" w:eastAsia="宋体" w:cs="宋体"/>
          <w:b/>
          <w:sz w:val="24"/>
        </w:rPr>
      </w:pPr>
      <w:r>
        <w:rPr>
          <w:rFonts w:hint="eastAsia" w:ascii="宋体" w:hAnsi="宋体" w:eastAsia="宋体" w:cs="宋体"/>
          <w:b/>
          <w:sz w:val="24"/>
        </w:rPr>
        <w:t>第十四条  其他</w:t>
      </w:r>
    </w:p>
    <w:p>
      <w:pPr>
        <w:spacing w:line="340" w:lineRule="exact"/>
        <w:ind w:left="360" w:hanging="360" w:hangingChars="150"/>
        <w:rPr>
          <w:rFonts w:hint="eastAsia" w:ascii="宋体" w:hAnsi="宋体" w:eastAsia="宋体" w:cs="宋体"/>
          <w:sz w:val="24"/>
        </w:rPr>
      </w:pPr>
      <w:r>
        <w:rPr>
          <w:rFonts w:hint="eastAsia" w:ascii="宋体" w:hAnsi="宋体" w:eastAsia="宋体" w:cs="宋体"/>
          <w:sz w:val="24"/>
        </w:rPr>
        <w:t>1、在不侵害乙方正当权益和商业秘密情况下，乙方应配合甲方纪检监察部门调查。若乙方拒绝配合，甲方有权采取中止合同或取消乙方参与甲方学校项目的资格。</w:t>
      </w:r>
    </w:p>
    <w:p>
      <w:pPr>
        <w:spacing w:line="340" w:lineRule="exact"/>
        <w:rPr>
          <w:rFonts w:hint="eastAsia" w:ascii="宋体" w:hAnsi="宋体" w:eastAsia="宋体" w:cs="宋体"/>
          <w:sz w:val="24"/>
        </w:rPr>
      </w:pPr>
      <w:r>
        <w:rPr>
          <w:rFonts w:hint="eastAsia" w:ascii="宋体" w:hAnsi="宋体" w:eastAsia="宋体" w:cs="宋体"/>
          <w:sz w:val="24"/>
        </w:rPr>
        <w:t>2、本合同自合同双方签字盖章之日起生效。</w:t>
      </w:r>
    </w:p>
    <w:p>
      <w:pPr>
        <w:spacing w:line="340" w:lineRule="exact"/>
        <w:rPr>
          <w:rFonts w:hint="eastAsia" w:ascii="宋体" w:hAnsi="宋体" w:eastAsia="宋体" w:cs="宋体"/>
          <w:sz w:val="24"/>
        </w:rPr>
      </w:pPr>
      <w:r>
        <w:rPr>
          <w:rFonts w:hint="eastAsia" w:ascii="宋体" w:hAnsi="宋体" w:eastAsia="宋体" w:cs="宋体"/>
          <w:sz w:val="24"/>
        </w:rPr>
        <w:t>3、本合同正本一式4份，甲方3份、乙方执1份，均具有同等法律效力。</w:t>
      </w:r>
    </w:p>
    <w:p>
      <w:pPr>
        <w:spacing w:line="340" w:lineRule="exact"/>
        <w:rPr>
          <w:rFonts w:hint="eastAsia" w:ascii="宋体" w:hAnsi="宋体" w:eastAsia="宋体" w:cs="宋体"/>
          <w:sz w:val="24"/>
        </w:rPr>
      </w:pPr>
      <w:r>
        <w:rPr>
          <w:rFonts w:hint="eastAsia" w:ascii="宋体" w:hAnsi="宋体" w:eastAsia="宋体" w:cs="宋体"/>
          <w:sz w:val="24"/>
        </w:rPr>
        <w:t>4、本合同未尽事宜，可另行签订书面补充合同约定。</w:t>
      </w:r>
    </w:p>
    <w:p>
      <w:pPr>
        <w:spacing w:line="440" w:lineRule="exact"/>
        <w:rPr>
          <w:rFonts w:hint="eastAsia" w:ascii="宋体" w:hAnsi="宋体" w:eastAsia="宋体" w:cs="宋体"/>
          <w:sz w:val="24"/>
        </w:rPr>
      </w:pPr>
    </w:p>
    <w:tbl>
      <w:tblPr>
        <w:tblStyle w:val="27"/>
        <w:tblW w:w="100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0"/>
        <w:gridCol w:w="3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jc w:val="center"/>
        </w:trPr>
        <w:tc>
          <w:tcPr>
            <w:tcW w:w="6090" w:type="dxa"/>
            <w:vAlign w:val="center"/>
          </w:tcPr>
          <w:p>
            <w:pPr>
              <w:spacing w:line="360" w:lineRule="exact"/>
              <w:rPr>
                <w:rFonts w:hint="eastAsia" w:ascii="宋体" w:hAnsi="宋体" w:eastAsia="宋体" w:cs="宋体"/>
                <w:sz w:val="24"/>
              </w:rPr>
            </w:pPr>
            <w:r>
              <w:rPr>
                <w:rFonts w:hint="eastAsia" w:ascii="宋体" w:hAnsi="宋体" w:eastAsia="宋体" w:cs="宋体"/>
                <w:sz w:val="24"/>
              </w:rPr>
              <w:t>甲方：武汉大学（盖章）</w:t>
            </w:r>
          </w:p>
        </w:tc>
        <w:tc>
          <w:tcPr>
            <w:tcW w:w="3964" w:type="dxa"/>
            <w:vAlign w:val="center"/>
          </w:tcPr>
          <w:p>
            <w:pPr>
              <w:spacing w:line="360" w:lineRule="exact"/>
              <w:rPr>
                <w:rFonts w:hint="eastAsia" w:ascii="宋体" w:hAnsi="宋体" w:eastAsia="宋体" w:cs="宋体"/>
                <w:sz w:val="24"/>
              </w:rPr>
            </w:pPr>
            <w:r>
              <w:rPr>
                <w:rFonts w:hint="eastAsia" w:ascii="宋体" w:hAnsi="宋体" w:eastAsia="宋体" w:cs="宋体"/>
                <w:sz w:val="24"/>
              </w:rPr>
              <w:t>乙方：</w:t>
            </w:r>
            <w:r>
              <w:rPr>
                <w:rFonts w:hint="eastAsia" w:ascii="宋体" w:hAnsi="宋体" w:eastAsia="宋体" w:cs="宋体"/>
                <w:color w:val="FF0000"/>
                <w:sz w:val="24"/>
              </w:rPr>
              <w:t>XX公司</w:t>
            </w:r>
            <w:r>
              <w:rPr>
                <w:rFonts w:hint="eastAsia" w:ascii="宋体" w:hAnsi="宋体" w:eastAsia="宋体" w:cs="宋体"/>
                <w:sz w:val="24"/>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atLeast"/>
          <w:jc w:val="center"/>
        </w:trPr>
        <w:tc>
          <w:tcPr>
            <w:tcW w:w="6090" w:type="dxa"/>
            <w:vAlign w:val="center"/>
          </w:tcPr>
          <w:p>
            <w:pPr>
              <w:spacing w:line="360" w:lineRule="exact"/>
              <w:rPr>
                <w:rFonts w:hint="eastAsia" w:ascii="宋体" w:hAnsi="宋体" w:eastAsia="宋体" w:cs="宋体"/>
                <w:sz w:val="24"/>
              </w:rPr>
            </w:pPr>
            <w:r>
              <w:rPr>
                <w:rFonts w:hint="eastAsia" w:ascii="宋体" w:hAnsi="宋体" w:eastAsia="宋体" w:cs="宋体"/>
                <w:sz w:val="24"/>
              </w:rPr>
              <w:t>法定代表人或委托代理人：</w:t>
            </w:r>
          </w:p>
        </w:tc>
        <w:tc>
          <w:tcPr>
            <w:tcW w:w="3964" w:type="dxa"/>
            <w:vAlign w:val="center"/>
          </w:tcPr>
          <w:p>
            <w:pPr>
              <w:spacing w:line="360" w:lineRule="exact"/>
              <w:rPr>
                <w:rFonts w:hint="eastAsia" w:ascii="宋体" w:hAnsi="宋体" w:eastAsia="宋体" w:cs="宋体"/>
                <w:sz w:val="24"/>
              </w:rPr>
            </w:pPr>
            <w:r>
              <w:rPr>
                <w:rFonts w:hint="eastAsia" w:ascii="宋体" w:hAnsi="宋体" w:eastAsia="宋体" w:cs="宋体"/>
                <w:sz w:val="24"/>
              </w:rPr>
              <w:t>法定代表人或委托代理人：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jc w:val="center"/>
        </w:trPr>
        <w:tc>
          <w:tcPr>
            <w:tcW w:w="6090" w:type="dxa"/>
            <w:vAlign w:val="center"/>
          </w:tcPr>
          <w:p>
            <w:pPr>
              <w:spacing w:line="440" w:lineRule="exact"/>
              <w:rPr>
                <w:rFonts w:hint="eastAsia" w:ascii="宋体" w:hAnsi="宋体" w:eastAsia="宋体" w:cs="宋体"/>
                <w:sz w:val="24"/>
              </w:rPr>
            </w:pPr>
            <w:r>
              <w:rPr>
                <w:rFonts w:hint="eastAsia" w:ascii="宋体" w:hAnsi="宋体" w:eastAsia="宋体" w:cs="宋体"/>
                <w:sz w:val="24"/>
              </w:rPr>
              <w:t>用户代表人：</w:t>
            </w:r>
          </w:p>
        </w:tc>
        <w:tc>
          <w:tcPr>
            <w:tcW w:w="3964" w:type="dxa"/>
            <w:vAlign w:val="center"/>
          </w:tcPr>
          <w:p>
            <w:pPr>
              <w:spacing w:line="360" w:lineRule="exact"/>
              <w:rPr>
                <w:rFonts w:hint="eastAsia" w:ascii="宋体" w:hAnsi="宋体" w:eastAsia="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jc w:val="center"/>
        </w:trPr>
        <w:tc>
          <w:tcPr>
            <w:tcW w:w="6090" w:type="dxa"/>
            <w:vAlign w:val="center"/>
          </w:tcPr>
          <w:p>
            <w:pPr>
              <w:spacing w:line="440" w:lineRule="exact"/>
              <w:rPr>
                <w:rFonts w:hint="eastAsia" w:ascii="宋体" w:hAnsi="宋体" w:eastAsia="宋体" w:cs="宋体"/>
                <w:sz w:val="24"/>
              </w:rPr>
            </w:pPr>
            <w:r>
              <w:rPr>
                <w:rFonts w:hint="eastAsia" w:ascii="宋体" w:hAnsi="宋体" w:eastAsia="宋体" w:cs="宋体"/>
                <w:sz w:val="24"/>
              </w:rPr>
              <w:t>用户代表人联系电话：</w:t>
            </w:r>
          </w:p>
        </w:tc>
        <w:tc>
          <w:tcPr>
            <w:tcW w:w="3964" w:type="dxa"/>
            <w:vAlign w:val="center"/>
          </w:tcPr>
          <w:p>
            <w:pPr>
              <w:spacing w:line="360" w:lineRule="exact"/>
              <w:rPr>
                <w:rFonts w:hint="eastAsia" w:ascii="宋体" w:hAnsi="宋体" w:eastAsia="宋体" w:cs="宋体"/>
                <w:sz w:val="24"/>
              </w:rPr>
            </w:pPr>
            <w:r>
              <w:rPr>
                <w:rFonts w:hint="eastAsia" w:ascii="宋体" w:hAnsi="宋体" w:eastAsia="宋体" w:cs="宋体"/>
                <w:sz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jc w:val="center"/>
        </w:trPr>
        <w:tc>
          <w:tcPr>
            <w:tcW w:w="6090" w:type="dxa"/>
            <w:vAlign w:val="center"/>
          </w:tcPr>
          <w:p>
            <w:pPr>
              <w:spacing w:line="360" w:lineRule="exact"/>
              <w:rPr>
                <w:rFonts w:hint="eastAsia" w:ascii="宋体" w:hAnsi="宋体" w:eastAsia="宋体" w:cs="宋体"/>
                <w:sz w:val="24"/>
              </w:rPr>
            </w:pPr>
            <w:r>
              <w:rPr>
                <w:rFonts w:hint="eastAsia" w:ascii="宋体" w:hAnsi="宋体" w:eastAsia="宋体" w:cs="宋体"/>
                <w:sz w:val="24"/>
              </w:rPr>
              <w:t>地址:武汉市武昌区珞珈山武汉大学</w:t>
            </w:r>
          </w:p>
        </w:tc>
        <w:tc>
          <w:tcPr>
            <w:tcW w:w="3964" w:type="dxa"/>
            <w:vAlign w:val="center"/>
          </w:tcPr>
          <w:p>
            <w:pPr>
              <w:spacing w:line="360" w:lineRule="exact"/>
              <w:rPr>
                <w:rFonts w:hint="eastAsia" w:ascii="宋体" w:hAnsi="宋体" w:eastAsia="宋体" w:cs="宋体"/>
                <w:sz w:val="24"/>
              </w:rPr>
            </w:pPr>
            <w:r>
              <w:rPr>
                <w:rFonts w:hint="eastAsia" w:ascii="宋体" w:hAnsi="宋体" w:eastAsia="宋体" w:cs="宋体"/>
                <w:sz w:val="24"/>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jc w:val="center"/>
        </w:trPr>
        <w:tc>
          <w:tcPr>
            <w:tcW w:w="6090" w:type="dxa"/>
            <w:vAlign w:val="center"/>
          </w:tcPr>
          <w:p>
            <w:pPr>
              <w:spacing w:line="360" w:lineRule="exact"/>
              <w:rPr>
                <w:rFonts w:hint="eastAsia" w:ascii="宋体" w:hAnsi="宋体" w:eastAsia="宋体" w:cs="宋体"/>
                <w:sz w:val="24"/>
              </w:rPr>
            </w:pPr>
            <w:r>
              <w:rPr>
                <w:rFonts w:hint="eastAsia" w:ascii="宋体" w:hAnsi="宋体" w:eastAsia="宋体" w:cs="宋体"/>
                <w:sz w:val="24"/>
              </w:rPr>
              <w:t>邮编:430072</w:t>
            </w:r>
          </w:p>
        </w:tc>
        <w:tc>
          <w:tcPr>
            <w:tcW w:w="3964" w:type="dxa"/>
            <w:vAlign w:val="center"/>
          </w:tcPr>
          <w:p>
            <w:pPr>
              <w:spacing w:line="360" w:lineRule="exact"/>
              <w:rPr>
                <w:rFonts w:hint="eastAsia" w:ascii="宋体" w:hAnsi="宋体" w:eastAsia="宋体" w:cs="宋体"/>
                <w:sz w:val="24"/>
              </w:rPr>
            </w:pPr>
            <w:r>
              <w:rPr>
                <w:rFonts w:hint="eastAsia" w:ascii="宋体" w:hAnsi="宋体" w:eastAsia="宋体" w:cs="宋体"/>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6090" w:type="dxa"/>
            <w:vAlign w:val="center"/>
          </w:tcPr>
          <w:p>
            <w:pPr>
              <w:spacing w:line="360" w:lineRule="exact"/>
              <w:rPr>
                <w:rFonts w:hint="eastAsia" w:ascii="宋体" w:hAnsi="宋体" w:eastAsia="宋体" w:cs="宋体"/>
                <w:sz w:val="24"/>
              </w:rPr>
            </w:pPr>
            <w:r>
              <w:rPr>
                <w:rFonts w:hint="eastAsia" w:ascii="宋体" w:hAnsi="宋体" w:eastAsia="宋体" w:cs="宋体"/>
                <w:sz w:val="24"/>
              </w:rPr>
              <w:t>签字日期：      年    月   日</w:t>
            </w:r>
          </w:p>
        </w:tc>
        <w:tc>
          <w:tcPr>
            <w:tcW w:w="3964" w:type="dxa"/>
            <w:vAlign w:val="center"/>
          </w:tcPr>
          <w:p>
            <w:pPr>
              <w:spacing w:line="360" w:lineRule="exact"/>
              <w:rPr>
                <w:rFonts w:hint="eastAsia" w:ascii="宋体" w:hAnsi="宋体" w:eastAsia="宋体" w:cs="宋体"/>
                <w:sz w:val="24"/>
              </w:rPr>
            </w:pPr>
            <w:r>
              <w:rPr>
                <w:rFonts w:hint="eastAsia" w:ascii="宋体" w:hAnsi="宋体" w:eastAsia="宋体" w:cs="宋体"/>
                <w:sz w:val="24"/>
              </w:rPr>
              <w:t>签字日期：      年    月   日</w:t>
            </w:r>
          </w:p>
        </w:tc>
      </w:tr>
    </w:tbl>
    <w:p>
      <w:pPr>
        <w:spacing w:line="320" w:lineRule="exact"/>
        <w:rPr>
          <w:rFonts w:hint="eastAsia" w:ascii="宋体" w:hAnsi="宋体" w:eastAsia="宋体" w:cs="宋体"/>
          <w:sz w:val="28"/>
          <w:szCs w:val="21"/>
        </w:rPr>
      </w:pPr>
    </w:p>
    <w:p>
      <w:pPr>
        <w:spacing w:line="320" w:lineRule="exact"/>
        <w:rPr>
          <w:rFonts w:hint="eastAsia" w:ascii="宋体" w:hAnsi="宋体" w:eastAsia="宋体" w:cs="宋体"/>
          <w:sz w:val="28"/>
          <w:szCs w:val="21"/>
        </w:rPr>
      </w:pPr>
    </w:p>
    <w:p>
      <w:pPr>
        <w:spacing w:line="320" w:lineRule="exact"/>
        <w:rPr>
          <w:rFonts w:hint="eastAsia" w:ascii="宋体" w:hAnsi="宋体" w:eastAsia="宋体" w:cs="宋体"/>
          <w:szCs w:val="21"/>
        </w:rPr>
      </w:pPr>
      <w:r>
        <w:rPr>
          <w:rFonts w:hint="eastAsia" w:ascii="宋体" w:hAnsi="宋体" w:eastAsia="宋体" w:cs="宋体"/>
          <w:sz w:val="28"/>
          <w:szCs w:val="21"/>
        </w:rPr>
        <w:t>附件</w:t>
      </w:r>
    </w:p>
    <w:p>
      <w:pPr>
        <w:spacing w:line="320" w:lineRule="exact"/>
        <w:jc w:val="center"/>
        <w:rPr>
          <w:rFonts w:hint="eastAsia" w:ascii="宋体" w:hAnsi="宋体" w:eastAsia="宋体" w:cs="宋体"/>
          <w:b/>
          <w:szCs w:val="21"/>
        </w:rPr>
      </w:pPr>
      <w:r>
        <w:rPr>
          <w:rFonts w:hint="eastAsia" w:ascii="宋体" w:hAnsi="宋体" w:eastAsia="宋体" w:cs="宋体"/>
          <w:b/>
          <w:sz w:val="28"/>
          <w:szCs w:val="21"/>
        </w:rPr>
        <w:t>货物详细配置清单及技术指标</w:t>
      </w:r>
    </w:p>
    <w:p>
      <w:pPr>
        <w:spacing w:line="320" w:lineRule="exact"/>
        <w:rPr>
          <w:rFonts w:hint="eastAsia" w:ascii="宋体" w:hAnsi="宋体" w:eastAsia="宋体" w:cs="宋体"/>
          <w:szCs w:val="21"/>
        </w:rPr>
      </w:pPr>
    </w:p>
    <w:p>
      <w:pPr>
        <w:spacing w:line="320" w:lineRule="exact"/>
        <w:rPr>
          <w:rFonts w:hint="eastAsia" w:ascii="宋体" w:hAnsi="宋体" w:eastAsia="宋体" w:cs="宋体"/>
          <w:szCs w:val="21"/>
        </w:rPr>
      </w:pPr>
      <w:r>
        <w:rPr>
          <w:rFonts w:hint="eastAsia" w:ascii="宋体" w:hAnsi="宋体" w:eastAsia="宋体" w:cs="宋体"/>
          <w:b/>
          <w:szCs w:val="21"/>
        </w:rPr>
        <w:t>用户代表人签字</w:t>
      </w:r>
      <w:r>
        <w:rPr>
          <w:rFonts w:hint="eastAsia" w:ascii="宋体" w:hAnsi="宋体" w:eastAsia="宋体" w:cs="宋体"/>
          <w:szCs w:val="21"/>
        </w:rPr>
        <w:t>：</w:t>
      </w:r>
      <w:r>
        <w:rPr>
          <w:rFonts w:hint="eastAsia" w:ascii="宋体" w:hAnsi="宋体" w:eastAsia="宋体" w:cs="宋体"/>
          <w:b/>
          <w:color w:val="FF0000"/>
          <w:szCs w:val="21"/>
          <w:u w:val="single"/>
        </w:rPr>
        <w:t>XXX</w:t>
      </w:r>
    </w:p>
    <w:p>
      <w:pPr>
        <w:spacing w:line="320" w:lineRule="exact"/>
        <w:rPr>
          <w:rFonts w:hint="eastAsia" w:ascii="宋体" w:hAnsi="宋体" w:eastAsia="宋体" w:cs="宋体"/>
          <w:sz w:val="24"/>
          <w:szCs w:val="21"/>
        </w:rPr>
      </w:pPr>
    </w:p>
    <w:p>
      <w:pPr>
        <w:spacing w:line="320" w:lineRule="exact"/>
        <w:rPr>
          <w:rFonts w:hint="eastAsia" w:ascii="宋体" w:hAnsi="宋体" w:eastAsia="宋体" w:cs="宋体"/>
          <w:sz w:val="24"/>
          <w:szCs w:val="21"/>
        </w:rPr>
      </w:pPr>
      <w:r>
        <w:rPr>
          <w:rFonts w:hint="eastAsia" w:ascii="宋体" w:hAnsi="宋体" w:eastAsia="宋体" w:cs="宋体"/>
          <w:sz w:val="24"/>
          <w:szCs w:val="21"/>
        </w:rPr>
        <w:t>一、货物详细配置清单</w:t>
      </w:r>
    </w:p>
    <w:p>
      <w:pPr>
        <w:spacing w:line="320" w:lineRule="exact"/>
        <w:rPr>
          <w:rFonts w:hint="eastAsia" w:ascii="宋体" w:hAnsi="宋体" w:eastAsia="宋体" w:cs="宋体"/>
          <w:szCs w:val="21"/>
        </w:rPr>
      </w:pPr>
    </w:p>
    <w:p>
      <w:pPr>
        <w:spacing w:line="320" w:lineRule="exact"/>
        <w:rPr>
          <w:rFonts w:hint="eastAsia" w:ascii="宋体" w:hAnsi="宋体" w:eastAsia="宋体" w:cs="宋体"/>
          <w:szCs w:val="21"/>
        </w:rPr>
      </w:pPr>
    </w:p>
    <w:p>
      <w:pPr>
        <w:spacing w:line="320" w:lineRule="exact"/>
        <w:rPr>
          <w:rFonts w:hint="eastAsia" w:ascii="宋体" w:hAnsi="宋体" w:eastAsia="宋体" w:cs="宋体"/>
          <w:szCs w:val="21"/>
        </w:rPr>
      </w:pPr>
    </w:p>
    <w:p>
      <w:pPr>
        <w:spacing w:line="320" w:lineRule="exact"/>
        <w:rPr>
          <w:rFonts w:hint="eastAsia" w:ascii="宋体" w:hAnsi="宋体" w:eastAsia="宋体" w:cs="宋体"/>
          <w:szCs w:val="21"/>
        </w:rPr>
      </w:pPr>
    </w:p>
    <w:p>
      <w:pPr>
        <w:widowControl/>
        <w:jc w:val="left"/>
        <w:rPr>
          <w:rFonts w:hint="eastAsia" w:ascii="宋体" w:hAnsi="宋体" w:eastAsia="宋体" w:cs="宋体"/>
          <w:b/>
          <w:sz w:val="24"/>
          <w:szCs w:val="21"/>
        </w:rPr>
      </w:pPr>
      <w:r>
        <w:rPr>
          <w:rFonts w:hint="eastAsia" w:ascii="宋体" w:hAnsi="宋体" w:eastAsia="宋体" w:cs="宋体"/>
          <w:sz w:val="24"/>
          <w:szCs w:val="21"/>
        </w:rPr>
        <w:t>二、技术指标、产品功能</w:t>
      </w:r>
    </w:p>
    <w:p>
      <w:pPr>
        <w:spacing w:line="480" w:lineRule="exact"/>
        <w:rPr>
          <w:rFonts w:hint="eastAsia" w:ascii="宋体" w:hAnsi="宋体" w:eastAsia="宋体" w:cs="宋体"/>
          <w:color w:val="000000"/>
          <w:kern w:val="0"/>
          <w:sz w:val="24"/>
          <w:szCs w:val="21"/>
        </w:rPr>
      </w:pPr>
    </w:p>
    <w:p>
      <w:pPr>
        <w:spacing w:line="480" w:lineRule="exact"/>
        <w:rPr>
          <w:rFonts w:hint="eastAsia" w:ascii="宋体" w:hAnsi="宋体" w:eastAsia="宋体" w:cs="宋体"/>
          <w:color w:val="000000"/>
          <w:kern w:val="0"/>
          <w:sz w:val="24"/>
          <w:szCs w:val="21"/>
        </w:rPr>
      </w:pPr>
    </w:p>
    <w:p>
      <w:pPr>
        <w:spacing w:line="480" w:lineRule="exact"/>
        <w:rPr>
          <w:rFonts w:hint="eastAsia" w:ascii="宋体" w:hAnsi="宋体" w:eastAsia="宋体" w:cs="宋体"/>
          <w:color w:val="000000"/>
          <w:kern w:val="0"/>
          <w:sz w:val="24"/>
          <w:szCs w:val="21"/>
        </w:rPr>
      </w:pPr>
    </w:p>
    <w:p>
      <w:pPr>
        <w:spacing w:line="480" w:lineRule="exact"/>
        <w:rPr>
          <w:rFonts w:hint="eastAsia" w:ascii="宋体" w:hAnsi="宋体" w:eastAsia="宋体" w:cs="宋体"/>
          <w:color w:val="000000"/>
          <w:kern w:val="0"/>
          <w:sz w:val="24"/>
          <w:szCs w:val="21"/>
        </w:rPr>
      </w:pPr>
    </w:p>
    <w:p>
      <w:pPr>
        <w:spacing w:line="480" w:lineRule="exact"/>
        <w:rPr>
          <w:rFonts w:hint="eastAsia" w:ascii="宋体" w:hAnsi="宋体" w:eastAsia="宋体" w:cs="宋体"/>
          <w:color w:val="000000"/>
          <w:kern w:val="0"/>
          <w:sz w:val="24"/>
          <w:szCs w:val="21"/>
        </w:rPr>
      </w:pPr>
    </w:p>
    <w:p>
      <w:pPr>
        <w:ind w:firstLine="3465" w:firstLineChars="1650"/>
        <w:rPr>
          <w:rFonts w:hint="eastAsia" w:ascii="宋体" w:hAnsi="宋体" w:eastAsia="宋体" w:cs="宋体"/>
          <w:b/>
        </w:rPr>
      </w:pPr>
      <w:r>
        <w:rPr>
          <w:rFonts w:hint="eastAsia" w:ascii="宋体" w:hAnsi="宋体" w:eastAsia="宋体" w:cs="宋体"/>
          <w:b/>
        </w:rPr>
        <w:t>----（以下为空白部分）----</w:t>
      </w:r>
    </w:p>
    <w:p>
      <w:pPr>
        <w:spacing w:line="480" w:lineRule="exact"/>
        <w:rPr>
          <w:rFonts w:hint="eastAsia" w:ascii="宋体" w:hAnsi="宋体" w:eastAsia="宋体" w:cs="宋体"/>
          <w:color w:val="000000"/>
          <w:kern w:val="0"/>
          <w:sz w:val="24"/>
          <w:szCs w:val="21"/>
        </w:rPr>
      </w:pPr>
    </w:p>
    <w:p>
      <w:pPr>
        <w:spacing w:line="480" w:lineRule="exact"/>
        <w:rPr>
          <w:rFonts w:hint="eastAsia" w:ascii="宋体" w:hAnsi="宋体" w:eastAsia="宋体" w:cs="宋体"/>
          <w:color w:val="000000"/>
          <w:kern w:val="0"/>
          <w:sz w:val="24"/>
          <w:szCs w:val="21"/>
        </w:rPr>
      </w:pPr>
    </w:p>
    <w:p>
      <w:pPr>
        <w:rPr>
          <w:rFonts w:hint="eastAsia" w:ascii="宋体" w:hAnsi="宋体" w:eastAsia="宋体" w:cs="宋体"/>
          <w:kern w:val="0"/>
          <w:szCs w:val="21"/>
        </w:rPr>
      </w:pPr>
      <w:r>
        <w:rPr>
          <w:rFonts w:hint="eastAsia" w:ascii="宋体" w:hAnsi="宋体" w:eastAsia="宋体" w:cs="宋体"/>
          <w:kern w:val="0"/>
          <w:szCs w:val="21"/>
        </w:rPr>
        <w:br w:type="page"/>
      </w:r>
    </w:p>
    <w:p>
      <w:pPr>
        <w:jc w:val="left"/>
        <w:rPr>
          <w:rFonts w:hint="eastAsia" w:ascii="宋体" w:hAnsi="宋体" w:eastAsia="宋体" w:cs="宋体"/>
          <w:b/>
          <w:bCs/>
          <w:sz w:val="24"/>
          <w:szCs w:val="32"/>
        </w:rPr>
      </w:pPr>
      <w:r>
        <w:rPr>
          <w:rFonts w:hint="eastAsia" w:ascii="宋体" w:hAnsi="宋体" w:eastAsia="宋体" w:cs="宋体"/>
          <w:b/>
          <w:bCs/>
          <w:sz w:val="24"/>
          <w:szCs w:val="32"/>
        </w:rPr>
        <w:t>合同编号：</w:t>
      </w:r>
    </w:p>
    <w:p>
      <w:pPr>
        <w:pStyle w:val="18"/>
        <w:shd w:val="clear" w:color="auto" w:fill="FFFFFF"/>
        <w:spacing w:before="0" w:beforeAutospacing="0" w:after="0" w:afterAutospacing="0" w:line="400" w:lineRule="exact"/>
        <w:jc w:val="center"/>
        <w:rPr>
          <w:rFonts w:hint="eastAsia" w:ascii="宋体" w:hAnsi="宋体" w:eastAsia="宋体" w:cs="宋体"/>
          <w:b/>
          <w:bCs/>
          <w:sz w:val="32"/>
          <w:szCs w:val="32"/>
        </w:rPr>
      </w:pPr>
    </w:p>
    <w:p>
      <w:pPr>
        <w:pStyle w:val="18"/>
        <w:shd w:val="clear" w:color="auto" w:fill="FFFFFF"/>
        <w:spacing w:before="0" w:beforeAutospacing="0" w:after="0" w:afterAutospacing="0"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武汉大学进口科教用品供货及技术服务协议</w:t>
      </w:r>
    </w:p>
    <w:p>
      <w:pPr>
        <w:jc w:val="center"/>
        <w:rPr>
          <w:rFonts w:hint="eastAsia" w:ascii="宋体" w:hAnsi="宋体" w:eastAsia="宋体" w:cs="宋体"/>
          <w:b/>
          <w:bCs/>
          <w:sz w:val="32"/>
          <w:szCs w:val="32"/>
        </w:rPr>
      </w:pPr>
    </w:p>
    <w:p>
      <w:pPr>
        <w:spacing w:line="360" w:lineRule="exact"/>
        <w:rPr>
          <w:rFonts w:hint="eastAsia" w:ascii="宋体" w:hAnsi="宋体" w:eastAsia="宋体" w:cs="宋体"/>
          <w:b/>
          <w:sz w:val="24"/>
        </w:rPr>
      </w:pPr>
      <w:r>
        <w:rPr>
          <w:rFonts w:hint="eastAsia" w:ascii="宋体" w:hAnsi="宋体" w:eastAsia="宋体" w:cs="宋体"/>
          <w:b/>
          <w:spacing w:val="10"/>
          <w:kern w:val="0"/>
          <w:sz w:val="24"/>
          <w:fitText w:val="1807" w:id="1"/>
        </w:rPr>
        <w:t>甲方：武汉大</w:t>
      </w:r>
      <w:r>
        <w:rPr>
          <w:rFonts w:hint="eastAsia" w:ascii="宋体" w:hAnsi="宋体" w:eastAsia="宋体" w:cs="宋体"/>
          <w:b/>
          <w:spacing w:val="3"/>
          <w:kern w:val="0"/>
          <w:sz w:val="24"/>
          <w:fitText w:val="1807" w:id="1"/>
        </w:rPr>
        <w:t>学</w:t>
      </w:r>
    </w:p>
    <w:p>
      <w:pPr>
        <w:spacing w:line="360" w:lineRule="exact"/>
        <w:rPr>
          <w:rFonts w:hint="eastAsia" w:ascii="宋体" w:hAnsi="宋体" w:eastAsia="宋体" w:cs="宋体"/>
          <w:sz w:val="24"/>
        </w:rPr>
      </w:pPr>
      <w:r>
        <w:rPr>
          <w:rFonts w:hint="eastAsia" w:ascii="宋体" w:hAnsi="宋体" w:eastAsia="宋体" w:cs="宋体"/>
          <w:b/>
          <w:sz w:val="24"/>
        </w:rPr>
        <w:t>乙方：</w:t>
      </w:r>
      <w:r>
        <w:rPr>
          <w:rFonts w:hint="eastAsia" w:ascii="宋体" w:hAnsi="宋体" w:eastAsia="宋体" w:cs="宋体"/>
          <w:color w:val="FF0000"/>
          <w:sz w:val="24"/>
        </w:rPr>
        <w:t>XX公司</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甲乙双方就武汉大学</w:t>
      </w:r>
      <w:r>
        <w:rPr>
          <w:rFonts w:hint="eastAsia" w:ascii="宋体" w:hAnsi="宋体" w:eastAsia="宋体" w:cs="宋体"/>
          <w:b/>
          <w:color w:val="FF0000"/>
          <w:sz w:val="24"/>
          <w:u w:val="single"/>
        </w:rPr>
        <w:t>项目名称</w:t>
      </w:r>
      <w:r>
        <w:rPr>
          <w:rFonts w:hint="eastAsia" w:ascii="宋体" w:hAnsi="宋体" w:eastAsia="宋体" w:cs="宋体"/>
          <w:sz w:val="24"/>
        </w:rPr>
        <w:t>采购项目，根据</w:t>
      </w:r>
      <w:r>
        <w:rPr>
          <w:rFonts w:hint="eastAsia" w:ascii="宋体" w:hAnsi="宋体" w:eastAsia="宋体" w:cs="宋体"/>
          <w:color w:val="333333"/>
          <w:sz w:val="24"/>
          <w:shd w:val="clear" w:color="auto" w:fill="FFFFFF"/>
        </w:rPr>
        <w:t>《中华人民共和国</w:t>
      </w:r>
      <w:r>
        <w:rPr>
          <w:rStyle w:val="22"/>
          <w:rFonts w:hint="eastAsia" w:ascii="宋体" w:hAnsi="宋体" w:eastAsia="宋体" w:cs="宋体"/>
          <w:i w:val="0"/>
          <w:iCs w:val="0"/>
          <w:sz w:val="24"/>
          <w:shd w:val="clear" w:color="auto" w:fill="FFFFFF"/>
        </w:rPr>
        <w:t>民法典</w:t>
      </w:r>
      <w:r>
        <w:rPr>
          <w:rFonts w:hint="eastAsia" w:ascii="宋体" w:hAnsi="宋体" w:eastAsia="宋体" w:cs="宋体"/>
          <w:color w:val="333333"/>
          <w:sz w:val="24"/>
          <w:shd w:val="clear" w:color="auto" w:fill="FFFFFF"/>
        </w:rPr>
        <w:t>》</w:t>
      </w:r>
      <w:r>
        <w:rPr>
          <w:rFonts w:hint="eastAsia" w:ascii="宋体" w:hAnsi="宋体" w:eastAsia="宋体" w:cs="宋体"/>
          <w:sz w:val="24"/>
        </w:rPr>
        <w:t>，在充分尊重平等与公平、诚实信用原则的基础上，经双方协商一致，签订本进口科教用品供货及技术服务协议。</w:t>
      </w:r>
    </w:p>
    <w:p>
      <w:pPr>
        <w:spacing w:line="440" w:lineRule="exact"/>
        <w:rPr>
          <w:rFonts w:hint="eastAsia" w:ascii="宋体" w:hAnsi="宋体" w:eastAsia="宋体" w:cs="宋体"/>
          <w:sz w:val="24"/>
        </w:rPr>
      </w:pPr>
      <w:r>
        <w:rPr>
          <w:rFonts w:hint="eastAsia" w:ascii="宋体" w:hAnsi="宋体" w:eastAsia="宋体" w:cs="宋体"/>
          <w:b/>
          <w:sz w:val="24"/>
        </w:rPr>
        <w:t>第一条货物名称、品牌、规格型号、制造商、产地、数量、单价、总价</w:t>
      </w:r>
    </w:p>
    <w:tbl>
      <w:tblPr>
        <w:tblStyle w:val="26"/>
        <w:tblW w:w="1041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430"/>
        <w:gridCol w:w="808"/>
        <w:gridCol w:w="762"/>
        <w:gridCol w:w="1351"/>
        <w:gridCol w:w="1198"/>
        <w:gridCol w:w="751"/>
        <w:gridCol w:w="900"/>
        <w:gridCol w:w="902"/>
        <w:gridCol w:w="75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trPr>
        <w:tc>
          <w:tcPr>
            <w:tcW w:w="4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序号</w:t>
            </w:r>
          </w:p>
        </w:tc>
        <w:tc>
          <w:tcPr>
            <w:tcW w:w="143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名称（中英文）</w:t>
            </w:r>
          </w:p>
        </w:tc>
        <w:tc>
          <w:tcPr>
            <w:tcW w:w="80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品牌</w:t>
            </w:r>
          </w:p>
        </w:tc>
        <w:tc>
          <w:tcPr>
            <w:tcW w:w="76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规格型号</w:t>
            </w:r>
          </w:p>
        </w:tc>
        <w:tc>
          <w:tcPr>
            <w:tcW w:w="13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制造商</w:t>
            </w:r>
          </w:p>
        </w:tc>
        <w:tc>
          <w:tcPr>
            <w:tcW w:w="11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产地</w:t>
            </w:r>
          </w:p>
        </w:tc>
        <w:tc>
          <w:tcPr>
            <w:tcW w:w="751"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r>
              <w:rPr>
                <w:rFonts w:hint="eastAsia" w:ascii="宋体" w:hAnsi="宋体" w:eastAsia="宋体" w:cs="宋体"/>
                <w:sz w:val="24"/>
              </w:rPr>
              <w:t>数量</w:t>
            </w:r>
          </w:p>
        </w:tc>
        <w:tc>
          <w:tcPr>
            <w:tcW w:w="900"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eastAsia="宋体" w:cs="宋体"/>
                <w:sz w:val="24"/>
              </w:rPr>
            </w:pPr>
          </w:p>
          <w:p>
            <w:pPr>
              <w:spacing w:line="440" w:lineRule="exact"/>
              <w:jc w:val="center"/>
              <w:rPr>
                <w:rFonts w:hint="eastAsia" w:ascii="宋体" w:hAnsi="宋体" w:eastAsia="宋体" w:cs="宋体"/>
                <w:sz w:val="24"/>
              </w:rPr>
            </w:pPr>
            <w:r>
              <w:rPr>
                <w:rFonts w:hint="eastAsia" w:ascii="宋体" w:hAnsi="宋体" w:eastAsia="宋体" w:cs="宋体"/>
                <w:sz w:val="24"/>
              </w:rPr>
              <w:t>单位</w:t>
            </w:r>
          </w:p>
        </w:tc>
        <w:tc>
          <w:tcPr>
            <w:tcW w:w="90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r>
              <w:rPr>
                <w:rFonts w:hint="eastAsia" w:ascii="宋体" w:hAnsi="宋体" w:eastAsia="宋体" w:cs="宋体"/>
                <w:sz w:val="24"/>
              </w:rPr>
              <w:t>币种</w:t>
            </w:r>
          </w:p>
        </w:tc>
        <w:tc>
          <w:tcPr>
            <w:tcW w:w="751"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单价</w:t>
            </w:r>
          </w:p>
        </w:tc>
        <w:tc>
          <w:tcPr>
            <w:tcW w:w="1108"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eastAsia="宋体" w:cs="宋体"/>
                <w:sz w:val="24"/>
              </w:rPr>
            </w:pPr>
          </w:p>
          <w:p>
            <w:pPr>
              <w:spacing w:line="440" w:lineRule="exact"/>
              <w:jc w:val="center"/>
              <w:rPr>
                <w:rFonts w:hint="eastAsia" w:ascii="宋体" w:hAnsi="宋体" w:eastAsia="宋体" w:cs="宋体"/>
                <w:sz w:val="24"/>
              </w:rPr>
            </w:pPr>
            <w:r>
              <w:rPr>
                <w:rFonts w:hint="eastAsia" w:ascii="宋体" w:hAnsi="宋体" w:eastAsia="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4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p>
        </w:tc>
        <w:tc>
          <w:tcPr>
            <w:tcW w:w="143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p>
        </w:tc>
        <w:tc>
          <w:tcPr>
            <w:tcW w:w="1351"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eastAsia="宋体" w:cs="宋体"/>
                <w:sz w:val="24"/>
              </w:rPr>
            </w:pPr>
          </w:p>
        </w:tc>
        <w:tc>
          <w:tcPr>
            <w:tcW w:w="902"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eastAsia="宋体" w:cs="宋体"/>
                <w:sz w:val="24"/>
              </w:rPr>
            </w:pPr>
          </w:p>
        </w:tc>
        <w:tc>
          <w:tcPr>
            <w:tcW w:w="751"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eastAsia="宋体" w:cs="宋体"/>
                <w:sz w:val="24"/>
              </w:rPr>
            </w:pPr>
          </w:p>
        </w:tc>
        <w:tc>
          <w:tcPr>
            <w:tcW w:w="1108"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4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p>
        </w:tc>
        <w:tc>
          <w:tcPr>
            <w:tcW w:w="143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p>
        </w:tc>
        <w:tc>
          <w:tcPr>
            <w:tcW w:w="1351"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eastAsia="宋体" w:cs="宋体"/>
                <w:sz w:val="24"/>
              </w:rPr>
            </w:pPr>
          </w:p>
        </w:tc>
        <w:tc>
          <w:tcPr>
            <w:tcW w:w="902"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eastAsia="宋体" w:cs="宋体"/>
                <w:sz w:val="24"/>
              </w:rPr>
            </w:pPr>
          </w:p>
        </w:tc>
        <w:tc>
          <w:tcPr>
            <w:tcW w:w="751"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eastAsia="宋体" w:cs="宋体"/>
                <w:sz w:val="24"/>
              </w:rPr>
            </w:pPr>
          </w:p>
        </w:tc>
        <w:tc>
          <w:tcPr>
            <w:tcW w:w="1108"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0411"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总金额（大写）：</w:t>
            </w:r>
            <w:r>
              <w:rPr>
                <w:rFonts w:hint="eastAsia" w:ascii="宋体" w:hAnsi="宋体" w:eastAsia="宋体" w:cs="宋体"/>
                <w:bCs/>
                <w:szCs w:val="21"/>
              </w:rPr>
              <w:t>（币种）     X万    X仟   X 佰  X  拾  元  整[小写：</w:t>
            </w:r>
            <w:r>
              <w:rPr>
                <w:rFonts w:hint="eastAsia" w:ascii="宋体" w:hAnsi="宋体" w:eastAsia="宋体" w:cs="宋体"/>
                <w:sz w:val="24"/>
              </w:rPr>
              <w:t>00000.00</w:t>
            </w:r>
            <w:r>
              <w:rPr>
                <w:rFonts w:hint="eastAsia" w:ascii="宋体" w:hAnsi="宋体" w:eastAsia="宋体" w:cs="宋体"/>
                <w:bCs/>
                <w:szCs w:val="21"/>
              </w:rPr>
              <w:t>(币种)          ]</w:t>
            </w:r>
          </w:p>
        </w:tc>
      </w:tr>
    </w:tbl>
    <w:p>
      <w:pPr>
        <w:spacing w:line="440" w:lineRule="exact"/>
        <w:ind w:left="357"/>
        <w:rPr>
          <w:rFonts w:hint="eastAsia" w:ascii="宋体" w:hAnsi="宋体" w:eastAsia="宋体" w:cs="宋体"/>
          <w:bCs/>
          <w:sz w:val="24"/>
        </w:rPr>
      </w:pPr>
      <w:r>
        <w:rPr>
          <w:rFonts w:hint="eastAsia" w:ascii="宋体" w:hAnsi="宋体" w:eastAsia="宋体" w:cs="宋体"/>
          <w:b/>
          <w:bCs/>
          <w:sz w:val="24"/>
        </w:rPr>
        <w:t>注：</w:t>
      </w:r>
      <w:r>
        <w:rPr>
          <w:rFonts w:hint="eastAsia" w:ascii="宋体" w:hAnsi="宋体" w:eastAsia="宋体" w:cs="宋体"/>
          <w:bCs/>
          <w:sz w:val="24"/>
        </w:rPr>
        <w:t>币种为人民币、美元、英镑、欧元等。</w:t>
      </w:r>
    </w:p>
    <w:p>
      <w:pPr>
        <w:spacing w:line="440" w:lineRule="exact"/>
        <w:rPr>
          <w:rFonts w:hint="eastAsia" w:ascii="宋体" w:hAnsi="宋体" w:eastAsia="宋体" w:cs="宋体"/>
          <w:b/>
          <w:bCs/>
          <w:sz w:val="24"/>
        </w:rPr>
      </w:pPr>
      <w:r>
        <w:rPr>
          <w:rFonts w:hint="eastAsia" w:ascii="宋体" w:hAnsi="宋体" w:eastAsia="宋体" w:cs="宋体"/>
          <w:b/>
          <w:sz w:val="24"/>
        </w:rPr>
        <w:t>第二条</w:t>
      </w:r>
      <w:r>
        <w:rPr>
          <w:rFonts w:hint="eastAsia" w:ascii="宋体" w:hAnsi="宋体" w:eastAsia="宋体" w:cs="宋体"/>
          <w:b/>
          <w:bCs/>
          <w:sz w:val="24"/>
        </w:rPr>
        <w:t xml:space="preserve"> 协议价款：CIF(CIP)武汉口岸</w:t>
      </w:r>
    </w:p>
    <w:p>
      <w:pPr>
        <w:spacing w:line="440" w:lineRule="exact"/>
        <w:rPr>
          <w:rFonts w:hint="eastAsia" w:ascii="宋体" w:hAnsi="宋体" w:eastAsia="宋体" w:cs="宋体"/>
          <w:sz w:val="24"/>
        </w:rPr>
      </w:pPr>
      <w:r>
        <w:rPr>
          <w:rFonts w:hint="eastAsia" w:ascii="宋体" w:hAnsi="宋体" w:eastAsia="宋体" w:cs="宋体"/>
          <w:sz w:val="24"/>
        </w:rPr>
        <w:t>1、总金额（大写）：</w:t>
      </w:r>
      <w:r>
        <w:rPr>
          <w:rFonts w:hint="eastAsia" w:ascii="宋体" w:hAnsi="宋体" w:eastAsia="宋体" w:cs="宋体"/>
          <w:bCs/>
          <w:szCs w:val="21"/>
        </w:rPr>
        <w:t>（币种）X万X仟X佰X拾X元整[小写：0000.00(币种)]</w:t>
      </w:r>
    </w:p>
    <w:p>
      <w:pPr>
        <w:spacing w:line="440" w:lineRule="exact"/>
        <w:rPr>
          <w:rFonts w:hint="eastAsia" w:ascii="宋体" w:hAnsi="宋体" w:eastAsia="宋体" w:cs="宋体"/>
          <w:sz w:val="24"/>
        </w:rPr>
      </w:pPr>
      <w:r>
        <w:rPr>
          <w:rFonts w:hint="eastAsia" w:ascii="宋体" w:hAnsi="宋体" w:eastAsia="宋体" w:cs="宋体"/>
          <w:sz w:val="24"/>
        </w:rPr>
        <w:t>2、本协议约定的进口科教用品单价已包含进口科教用品至协议指定地点所发生的全部费用，</w:t>
      </w:r>
      <w:r>
        <w:rPr>
          <w:rFonts w:hint="eastAsia" w:ascii="宋体" w:hAnsi="宋体" w:eastAsia="宋体" w:cs="宋体"/>
          <w:b/>
          <w:sz w:val="24"/>
        </w:rPr>
        <w:t>包括但不限于</w:t>
      </w:r>
      <w:r>
        <w:rPr>
          <w:rFonts w:hint="eastAsia" w:ascii="宋体" w:hAnsi="宋体" w:eastAsia="宋体" w:cs="宋体"/>
          <w:sz w:val="24"/>
        </w:rPr>
        <w:t>运输费、保险费、装卸费、税费、安装调试费等</w:t>
      </w:r>
      <w:r>
        <w:rPr>
          <w:rFonts w:hint="eastAsia" w:ascii="宋体" w:hAnsi="宋体" w:eastAsia="宋体" w:cs="宋体"/>
          <w:b/>
          <w:sz w:val="24"/>
        </w:rPr>
        <w:t>。</w:t>
      </w:r>
    </w:p>
    <w:p>
      <w:pPr>
        <w:spacing w:line="440" w:lineRule="exact"/>
        <w:jc w:val="left"/>
        <w:rPr>
          <w:rFonts w:hint="eastAsia" w:ascii="宋体" w:hAnsi="宋体" w:eastAsia="宋体" w:cs="宋体"/>
          <w:b/>
          <w:sz w:val="24"/>
        </w:rPr>
      </w:pPr>
      <w:r>
        <w:rPr>
          <w:rFonts w:hint="eastAsia" w:ascii="宋体" w:hAnsi="宋体" w:eastAsia="宋体" w:cs="宋体"/>
          <w:b/>
          <w:sz w:val="24"/>
        </w:rPr>
        <w:t>第三条 付款方式</w:t>
      </w:r>
    </w:p>
    <w:p>
      <w:pPr>
        <w:spacing w:line="440" w:lineRule="exact"/>
        <w:rPr>
          <w:rFonts w:hint="eastAsia" w:ascii="宋体" w:hAnsi="宋体" w:eastAsia="宋体" w:cs="宋体"/>
          <w:sz w:val="24"/>
        </w:rPr>
      </w:pPr>
      <w:r>
        <w:rPr>
          <w:rFonts w:hint="eastAsia" w:ascii="宋体" w:hAnsi="宋体" w:eastAsia="宋体" w:cs="宋体"/>
          <w:sz w:val="24"/>
        </w:rPr>
        <w:t>甲方通过如下第(</w:t>
      </w:r>
      <w:r>
        <w:rPr>
          <w:rFonts w:hint="eastAsia" w:ascii="宋体" w:hAnsi="宋体" w:eastAsia="宋体" w:cs="宋体"/>
          <w:b/>
          <w:color w:val="FF0000"/>
          <w:sz w:val="24"/>
        </w:rPr>
        <w:t xml:space="preserve">X </w:t>
      </w:r>
      <w:r>
        <w:rPr>
          <w:rFonts w:hint="eastAsia" w:ascii="宋体" w:hAnsi="宋体" w:eastAsia="宋体" w:cs="宋体"/>
          <w:sz w:val="24"/>
        </w:rPr>
        <w:t>)种方式付款。</w:t>
      </w:r>
    </w:p>
    <w:p>
      <w:pPr>
        <w:spacing w:line="440" w:lineRule="exact"/>
        <w:rPr>
          <w:rFonts w:hint="eastAsia" w:ascii="宋体" w:hAnsi="宋体" w:eastAsia="宋体" w:cs="宋体"/>
          <w:sz w:val="24"/>
        </w:rPr>
      </w:pPr>
      <w:r>
        <w:rPr>
          <w:rFonts w:hint="eastAsia" w:ascii="宋体" w:hAnsi="宋体" w:eastAsia="宋体" w:cs="宋体"/>
          <w:sz w:val="24"/>
        </w:rPr>
        <w:t>1、协议总金额在3万美元以下，货款一次付清，货到验收合格后T/T方式支付；</w:t>
      </w:r>
    </w:p>
    <w:p>
      <w:pPr>
        <w:spacing w:line="440" w:lineRule="exact"/>
        <w:rPr>
          <w:rFonts w:hint="eastAsia" w:ascii="宋体" w:hAnsi="宋体" w:eastAsia="宋体" w:cs="宋体"/>
          <w:sz w:val="24"/>
        </w:rPr>
      </w:pPr>
      <w:r>
        <w:rPr>
          <w:rFonts w:hint="eastAsia" w:ascii="宋体" w:hAnsi="宋体" w:eastAsia="宋体" w:cs="宋体"/>
          <w:sz w:val="24"/>
        </w:rPr>
        <w:t>2、协议总金额在3万美元及以上，采用信用证付款方式（L/C）。甲乙双方签订本协议后，乙方按照签订协议当天的汇率，将协议总金额10%支付至学校财务基本账户（货物验收合格后一个月退回乙方）。甲方委托的外贸代理公司与乙方委托的境外供货商签订外贸进口合同后，甲方外贸代理公司开具100%信用证，见单即付。</w:t>
      </w:r>
    </w:p>
    <w:p>
      <w:pPr>
        <w:spacing w:line="400" w:lineRule="exact"/>
        <w:ind w:firstLine="480"/>
        <w:rPr>
          <w:rFonts w:hint="eastAsia" w:ascii="宋体" w:hAnsi="宋体" w:eastAsia="宋体" w:cs="宋体"/>
          <w:sz w:val="24"/>
        </w:rPr>
      </w:pPr>
      <w:r>
        <w:rPr>
          <w:rFonts w:hint="eastAsia" w:ascii="宋体" w:hAnsi="宋体" w:eastAsia="宋体" w:cs="宋体"/>
          <w:sz w:val="24"/>
        </w:rPr>
        <w:t>学校基本账户信息：</w:t>
      </w:r>
    </w:p>
    <w:tbl>
      <w:tblPr>
        <w:tblStyle w:val="26"/>
        <w:tblW w:w="79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5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top"/>
          </w:tcPr>
          <w:p>
            <w:pPr>
              <w:spacing w:line="400" w:lineRule="exact"/>
              <w:jc w:val="left"/>
              <w:rPr>
                <w:rFonts w:hint="eastAsia" w:ascii="宋体" w:hAnsi="宋体" w:eastAsia="宋体" w:cs="宋体"/>
                <w:sz w:val="24"/>
              </w:rPr>
            </w:pPr>
            <w:r>
              <w:rPr>
                <w:rFonts w:hint="eastAsia" w:ascii="宋体" w:hAnsi="宋体" w:eastAsia="宋体" w:cs="宋体"/>
                <w:sz w:val="24"/>
              </w:rPr>
              <w:t>名          称</w:t>
            </w:r>
          </w:p>
        </w:tc>
        <w:tc>
          <w:tcPr>
            <w:tcW w:w="5840" w:type="dxa"/>
            <w:vAlign w:val="top"/>
          </w:tcPr>
          <w:p>
            <w:pPr>
              <w:spacing w:line="400" w:lineRule="exact"/>
              <w:rPr>
                <w:rFonts w:hint="eastAsia" w:ascii="宋体" w:hAnsi="宋体" w:eastAsia="宋体" w:cs="宋体"/>
                <w:sz w:val="24"/>
              </w:rPr>
            </w:pPr>
            <w:r>
              <w:rPr>
                <w:rFonts w:hint="eastAsia" w:ascii="宋体" w:hAnsi="宋体" w:eastAsia="宋体" w:cs="宋体"/>
                <w:sz w:val="24"/>
              </w:rPr>
              <w:t>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top"/>
          </w:tcPr>
          <w:p>
            <w:pPr>
              <w:spacing w:line="400" w:lineRule="exact"/>
              <w:rPr>
                <w:rFonts w:hint="eastAsia" w:ascii="宋体" w:hAnsi="宋体" w:eastAsia="宋体" w:cs="宋体"/>
                <w:sz w:val="24"/>
              </w:rPr>
            </w:pPr>
            <w:r>
              <w:rPr>
                <w:rFonts w:hint="eastAsia" w:ascii="宋体" w:hAnsi="宋体" w:eastAsia="宋体" w:cs="宋体"/>
                <w:sz w:val="24"/>
              </w:rPr>
              <w:t>税务登记证号码</w:t>
            </w:r>
          </w:p>
        </w:tc>
        <w:tc>
          <w:tcPr>
            <w:tcW w:w="5840" w:type="dxa"/>
            <w:vAlign w:val="top"/>
          </w:tcPr>
          <w:p>
            <w:pPr>
              <w:spacing w:line="400" w:lineRule="exact"/>
              <w:rPr>
                <w:rFonts w:hint="eastAsia" w:ascii="宋体" w:hAnsi="宋体" w:eastAsia="宋体" w:cs="宋体"/>
                <w:sz w:val="24"/>
              </w:rPr>
            </w:pPr>
            <w:r>
              <w:rPr>
                <w:rFonts w:hint="eastAsia" w:ascii="宋体" w:hAnsi="宋体" w:eastAsia="宋体" w:cs="宋体"/>
                <w:sz w:val="24"/>
              </w:rPr>
              <w:t>鄂地税字12100000707137123P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top"/>
          </w:tcPr>
          <w:p>
            <w:pPr>
              <w:spacing w:line="400" w:lineRule="exact"/>
              <w:rPr>
                <w:rFonts w:hint="eastAsia" w:ascii="宋体" w:hAnsi="宋体" w:eastAsia="宋体" w:cs="宋体"/>
                <w:sz w:val="24"/>
              </w:rPr>
            </w:pPr>
            <w:r>
              <w:rPr>
                <w:rFonts w:hint="eastAsia" w:ascii="宋体" w:hAnsi="宋体" w:eastAsia="宋体" w:cs="宋体"/>
                <w:sz w:val="24"/>
              </w:rPr>
              <w:t>单位地址</w:t>
            </w:r>
          </w:p>
        </w:tc>
        <w:tc>
          <w:tcPr>
            <w:tcW w:w="5840" w:type="dxa"/>
            <w:vAlign w:val="top"/>
          </w:tcPr>
          <w:p>
            <w:pPr>
              <w:spacing w:line="400" w:lineRule="exact"/>
              <w:rPr>
                <w:rFonts w:hint="eastAsia" w:ascii="宋体" w:hAnsi="宋体" w:eastAsia="宋体" w:cs="宋体"/>
                <w:sz w:val="24"/>
              </w:rPr>
            </w:pPr>
            <w:r>
              <w:rPr>
                <w:rFonts w:hint="eastAsia" w:ascii="宋体" w:hAnsi="宋体" w:eastAsia="宋体" w:cs="宋体"/>
                <w:sz w:val="24"/>
              </w:rPr>
              <w:t>湖北省武汉市武昌区珞珈山武汉大学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top"/>
          </w:tcPr>
          <w:p>
            <w:pPr>
              <w:spacing w:line="400" w:lineRule="exact"/>
              <w:rPr>
                <w:rFonts w:hint="eastAsia" w:ascii="宋体" w:hAnsi="宋体" w:eastAsia="宋体" w:cs="宋体"/>
                <w:sz w:val="24"/>
              </w:rPr>
            </w:pPr>
            <w:r>
              <w:rPr>
                <w:rFonts w:hint="eastAsia" w:ascii="宋体" w:hAnsi="宋体" w:eastAsia="宋体" w:cs="宋体"/>
                <w:sz w:val="24"/>
              </w:rPr>
              <w:t>电话号码</w:t>
            </w:r>
          </w:p>
        </w:tc>
        <w:tc>
          <w:tcPr>
            <w:tcW w:w="5840" w:type="dxa"/>
            <w:vAlign w:val="top"/>
          </w:tcPr>
          <w:p>
            <w:pPr>
              <w:spacing w:line="400" w:lineRule="exact"/>
              <w:rPr>
                <w:rFonts w:hint="eastAsia" w:ascii="宋体" w:hAnsi="宋体" w:eastAsia="宋体" w:cs="宋体"/>
                <w:sz w:val="24"/>
              </w:rPr>
            </w:pPr>
            <w:r>
              <w:rPr>
                <w:rFonts w:hint="eastAsia" w:ascii="宋体" w:hAnsi="宋体" w:eastAsia="宋体" w:cs="宋体"/>
                <w:sz w:val="24"/>
              </w:rPr>
              <w:t>（027）68752400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top"/>
          </w:tcPr>
          <w:p>
            <w:pPr>
              <w:spacing w:line="400" w:lineRule="exact"/>
              <w:rPr>
                <w:rFonts w:hint="eastAsia" w:ascii="宋体" w:hAnsi="宋体" w:eastAsia="宋体" w:cs="宋体"/>
                <w:sz w:val="24"/>
              </w:rPr>
            </w:pPr>
            <w:r>
              <w:rPr>
                <w:rFonts w:hint="eastAsia" w:ascii="宋体" w:hAnsi="宋体" w:eastAsia="宋体" w:cs="宋体"/>
                <w:sz w:val="24"/>
              </w:rPr>
              <w:t>开户行</w:t>
            </w:r>
          </w:p>
        </w:tc>
        <w:tc>
          <w:tcPr>
            <w:tcW w:w="5840" w:type="dxa"/>
            <w:vAlign w:val="top"/>
          </w:tcPr>
          <w:p>
            <w:pPr>
              <w:spacing w:line="400" w:lineRule="exact"/>
              <w:rPr>
                <w:rFonts w:hint="eastAsia" w:ascii="宋体" w:hAnsi="宋体" w:eastAsia="宋体" w:cs="宋体"/>
                <w:sz w:val="24"/>
              </w:rPr>
            </w:pPr>
            <w:r>
              <w:rPr>
                <w:rFonts w:hint="eastAsia" w:ascii="宋体" w:hAnsi="宋体" w:eastAsia="宋体" w:cs="宋体"/>
                <w:sz w:val="24"/>
              </w:rPr>
              <w:t>中国银行股份有限公司武汉珞珈山支行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top"/>
          </w:tcPr>
          <w:p>
            <w:pPr>
              <w:spacing w:line="400" w:lineRule="exact"/>
              <w:rPr>
                <w:rFonts w:hint="eastAsia" w:ascii="宋体" w:hAnsi="宋体" w:eastAsia="宋体" w:cs="宋体"/>
                <w:sz w:val="24"/>
              </w:rPr>
            </w:pPr>
            <w:r>
              <w:rPr>
                <w:rFonts w:hint="eastAsia" w:ascii="宋体" w:hAnsi="宋体" w:eastAsia="宋体" w:cs="宋体"/>
                <w:sz w:val="24"/>
              </w:rPr>
              <w:t>收款人账号</w:t>
            </w:r>
          </w:p>
        </w:tc>
        <w:tc>
          <w:tcPr>
            <w:tcW w:w="5840" w:type="dxa"/>
            <w:vAlign w:val="top"/>
          </w:tcPr>
          <w:p>
            <w:pPr>
              <w:spacing w:line="400" w:lineRule="exact"/>
              <w:rPr>
                <w:rFonts w:hint="eastAsia" w:ascii="宋体" w:hAnsi="宋体" w:eastAsia="宋体" w:cs="宋体"/>
                <w:sz w:val="24"/>
              </w:rPr>
            </w:pPr>
            <w:r>
              <w:rPr>
                <w:rFonts w:hint="eastAsia" w:ascii="宋体" w:hAnsi="宋体" w:eastAsia="宋体" w:cs="宋体"/>
                <w:sz w:val="24"/>
              </w:rPr>
              <w:t>576857528447</w:t>
            </w:r>
          </w:p>
        </w:tc>
      </w:tr>
    </w:tbl>
    <w:p>
      <w:pPr>
        <w:spacing w:line="440" w:lineRule="exact"/>
        <w:rPr>
          <w:rFonts w:hint="eastAsia" w:ascii="宋体" w:hAnsi="宋体" w:eastAsia="宋体" w:cs="宋体"/>
          <w:sz w:val="24"/>
        </w:rPr>
      </w:pPr>
    </w:p>
    <w:p>
      <w:pPr>
        <w:spacing w:line="440" w:lineRule="exact"/>
        <w:rPr>
          <w:rFonts w:hint="eastAsia" w:ascii="宋体" w:hAnsi="宋体" w:eastAsia="宋体" w:cs="宋体"/>
          <w:b/>
          <w:sz w:val="24"/>
        </w:rPr>
      </w:pPr>
      <w:r>
        <w:rPr>
          <w:rFonts w:hint="eastAsia" w:ascii="宋体" w:hAnsi="宋体" w:eastAsia="宋体" w:cs="宋体"/>
          <w:b/>
          <w:sz w:val="24"/>
        </w:rPr>
        <w:t>第四条 外贸手续</w:t>
      </w:r>
    </w:p>
    <w:p>
      <w:pPr>
        <w:spacing w:line="440" w:lineRule="exact"/>
        <w:rPr>
          <w:rFonts w:hint="eastAsia" w:ascii="宋体" w:hAnsi="宋体" w:eastAsia="宋体" w:cs="宋体"/>
          <w:sz w:val="24"/>
        </w:rPr>
      </w:pPr>
      <w:r>
        <w:rPr>
          <w:rFonts w:hint="eastAsia" w:ascii="宋体" w:hAnsi="宋体" w:eastAsia="宋体" w:cs="宋体"/>
          <w:sz w:val="24"/>
        </w:rPr>
        <w:t>1、甲方委托外贸代理公司，按照本协议内容负责办理进口科教用品减免税批文、报关等手续。</w:t>
      </w:r>
    </w:p>
    <w:p>
      <w:pPr>
        <w:spacing w:line="440" w:lineRule="exact"/>
        <w:rPr>
          <w:rFonts w:hint="eastAsia" w:ascii="宋体" w:hAnsi="宋体" w:eastAsia="宋体" w:cs="宋体"/>
          <w:sz w:val="24"/>
        </w:rPr>
      </w:pPr>
      <w:r>
        <w:rPr>
          <w:rFonts w:hint="eastAsia" w:ascii="宋体" w:hAnsi="宋体" w:eastAsia="宋体" w:cs="宋体"/>
          <w:sz w:val="24"/>
        </w:rPr>
        <w:t>2、甲方委托的外贸代理公司与乙方委托（或指定）的注册在</w:t>
      </w:r>
      <w:r>
        <w:rPr>
          <w:rFonts w:hint="eastAsia" w:ascii="宋体" w:hAnsi="宋体" w:eastAsia="宋体" w:cs="宋体"/>
          <w:b/>
          <w:color w:val="FF0000"/>
          <w:sz w:val="24"/>
          <w:u w:val="single"/>
        </w:rPr>
        <w:t>&lt;地点&gt;</w:t>
      </w:r>
      <w:r>
        <w:rPr>
          <w:rFonts w:hint="eastAsia" w:ascii="宋体" w:hAnsi="宋体" w:eastAsia="宋体" w:cs="宋体"/>
          <w:sz w:val="24"/>
        </w:rPr>
        <w:t>的</w:t>
      </w:r>
      <w:r>
        <w:rPr>
          <w:rFonts w:hint="eastAsia" w:ascii="宋体" w:hAnsi="宋体" w:eastAsia="宋体" w:cs="宋体"/>
          <w:b/>
          <w:color w:val="FF0000"/>
          <w:sz w:val="24"/>
          <w:u w:val="single"/>
        </w:rPr>
        <w:t>&lt;境外供货商名称&gt;</w:t>
      </w:r>
      <w:r>
        <w:rPr>
          <w:rFonts w:hint="eastAsia" w:ascii="宋体" w:hAnsi="宋体" w:eastAsia="宋体" w:cs="宋体"/>
          <w:sz w:val="24"/>
        </w:rPr>
        <w:t>必须严格按照本协议的约定签订外贸进口合同，由境外供货商履行本协议约定的乙方责任与义务。乙方对外贸进口合同的签订及履行承担连带责任。</w:t>
      </w:r>
    </w:p>
    <w:p>
      <w:pPr>
        <w:spacing w:line="440" w:lineRule="exact"/>
        <w:rPr>
          <w:rFonts w:hint="eastAsia" w:ascii="宋体" w:hAnsi="宋体" w:eastAsia="宋体" w:cs="宋体"/>
          <w:sz w:val="24"/>
        </w:rPr>
      </w:pPr>
      <w:r>
        <w:rPr>
          <w:rFonts w:hint="eastAsia" w:ascii="宋体" w:hAnsi="宋体" w:eastAsia="宋体" w:cs="宋体"/>
          <w:sz w:val="24"/>
        </w:rPr>
        <w:t>3、本协议及补充协议（如有的话）作为外贸进口合同的有效组成部分。</w:t>
      </w:r>
    </w:p>
    <w:p>
      <w:pPr>
        <w:spacing w:line="440" w:lineRule="exact"/>
        <w:rPr>
          <w:rFonts w:hint="eastAsia" w:ascii="宋体" w:hAnsi="宋体" w:eastAsia="宋体" w:cs="宋体"/>
          <w:b/>
          <w:sz w:val="24"/>
        </w:rPr>
      </w:pPr>
      <w:r>
        <w:rPr>
          <w:rFonts w:hint="eastAsia" w:ascii="宋体" w:hAnsi="宋体" w:eastAsia="宋体" w:cs="宋体"/>
          <w:b/>
          <w:sz w:val="24"/>
        </w:rPr>
        <w:t>第五条 交货期、地点及联系人</w:t>
      </w:r>
    </w:p>
    <w:p>
      <w:pPr>
        <w:spacing w:line="440" w:lineRule="exact"/>
        <w:rPr>
          <w:rFonts w:hint="eastAsia" w:ascii="宋体" w:hAnsi="宋体" w:eastAsia="宋体" w:cs="宋体"/>
          <w:sz w:val="24"/>
        </w:rPr>
      </w:pPr>
      <w:r>
        <w:rPr>
          <w:rFonts w:hint="eastAsia" w:ascii="宋体" w:hAnsi="宋体" w:eastAsia="宋体" w:cs="宋体"/>
          <w:sz w:val="24"/>
        </w:rPr>
        <w:t>1、仪器交货期为：</w:t>
      </w:r>
      <w:r>
        <w:rPr>
          <w:rFonts w:hint="eastAsia" w:ascii="宋体" w:hAnsi="宋体" w:eastAsia="宋体" w:cs="宋体"/>
          <w:sz w:val="24"/>
          <w:u w:val="single"/>
        </w:rPr>
        <w:t xml:space="preserve"> 第 (</w:t>
      </w:r>
      <w:r>
        <w:rPr>
          <w:rFonts w:hint="eastAsia" w:ascii="宋体" w:hAnsi="宋体" w:eastAsia="宋体" w:cs="宋体"/>
          <w:b/>
          <w:color w:val="FF0000"/>
          <w:sz w:val="24"/>
          <w:u w:val="single"/>
        </w:rPr>
        <w:t xml:space="preserve"> X </w:t>
      </w:r>
      <w:r>
        <w:rPr>
          <w:rFonts w:hint="eastAsia" w:ascii="宋体" w:hAnsi="宋体" w:eastAsia="宋体" w:cs="宋体"/>
          <w:sz w:val="24"/>
          <w:u w:val="single"/>
        </w:rPr>
        <w:t>) 种。</w:t>
      </w:r>
    </w:p>
    <w:p>
      <w:pPr>
        <w:spacing w:line="440" w:lineRule="exact"/>
        <w:ind w:firstLine="240" w:firstLineChars="100"/>
        <w:rPr>
          <w:rFonts w:hint="eastAsia" w:ascii="宋体" w:hAnsi="宋体" w:eastAsia="宋体" w:cs="宋体"/>
          <w:sz w:val="24"/>
        </w:rPr>
      </w:pPr>
      <w:r>
        <w:rPr>
          <w:rFonts w:hint="eastAsia" w:ascii="宋体" w:hAnsi="宋体" w:eastAsia="宋体" w:cs="宋体"/>
          <w:sz w:val="24"/>
        </w:rPr>
        <w:t>(1)委托进口代理协议签订后</w:t>
      </w:r>
      <w:r>
        <w:rPr>
          <w:rFonts w:hint="eastAsia" w:ascii="宋体" w:hAnsi="宋体" w:eastAsia="宋体" w:cs="宋体"/>
          <w:b/>
          <w:color w:val="FF0000"/>
          <w:sz w:val="24"/>
          <w:u w:val="single"/>
        </w:rPr>
        <w:t xml:space="preserve"> X</w:t>
      </w:r>
      <w:r>
        <w:rPr>
          <w:rFonts w:hint="eastAsia" w:ascii="宋体" w:hAnsi="宋体" w:eastAsia="宋体" w:cs="宋体"/>
          <w:sz w:val="24"/>
        </w:rPr>
        <w:t>个月内到达目的口岸；</w:t>
      </w:r>
    </w:p>
    <w:p>
      <w:pPr>
        <w:spacing w:line="440" w:lineRule="exact"/>
        <w:ind w:firstLine="240" w:firstLineChars="100"/>
        <w:rPr>
          <w:rFonts w:hint="eastAsia" w:ascii="宋体" w:hAnsi="宋体" w:eastAsia="宋体" w:cs="宋体"/>
          <w:b/>
          <w:sz w:val="24"/>
        </w:rPr>
      </w:pPr>
      <w:r>
        <w:rPr>
          <w:rFonts w:hint="eastAsia" w:ascii="宋体" w:hAnsi="宋体" w:eastAsia="宋体" w:cs="宋体"/>
          <w:sz w:val="24"/>
        </w:rPr>
        <w:t>(2)收到信用证后</w:t>
      </w:r>
      <w:r>
        <w:rPr>
          <w:rFonts w:hint="eastAsia" w:ascii="宋体" w:hAnsi="宋体" w:eastAsia="宋体" w:cs="宋体"/>
          <w:b/>
          <w:color w:val="FF0000"/>
          <w:sz w:val="24"/>
          <w:u w:val="single"/>
        </w:rPr>
        <w:t xml:space="preserve"> X</w:t>
      </w:r>
      <w:r>
        <w:rPr>
          <w:rFonts w:hint="eastAsia" w:ascii="宋体" w:hAnsi="宋体" w:eastAsia="宋体" w:cs="宋体"/>
          <w:sz w:val="24"/>
        </w:rPr>
        <w:t>个月内到达目的口岸。</w:t>
      </w:r>
    </w:p>
    <w:p>
      <w:pPr>
        <w:spacing w:line="440" w:lineRule="exact"/>
        <w:rPr>
          <w:rFonts w:hint="eastAsia" w:ascii="宋体" w:hAnsi="宋体" w:eastAsia="宋体" w:cs="宋体"/>
          <w:sz w:val="24"/>
        </w:rPr>
      </w:pPr>
      <w:r>
        <w:rPr>
          <w:rFonts w:hint="eastAsia" w:ascii="宋体" w:hAnsi="宋体" w:eastAsia="宋体" w:cs="宋体"/>
          <w:sz w:val="24"/>
        </w:rPr>
        <w:t>2、目的口岸：武汉。</w:t>
      </w:r>
    </w:p>
    <w:p>
      <w:pPr>
        <w:spacing w:line="440" w:lineRule="exact"/>
        <w:rPr>
          <w:rFonts w:hint="eastAsia" w:ascii="宋体" w:hAnsi="宋体" w:eastAsia="宋体" w:cs="宋体"/>
          <w:sz w:val="24"/>
        </w:rPr>
      </w:pPr>
      <w:r>
        <w:rPr>
          <w:rFonts w:hint="eastAsia" w:ascii="宋体" w:hAnsi="宋体" w:eastAsia="宋体" w:cs="宋体"/>
          <w:sz w:val="24"/>
        </w:rPr>
        <w:t xml:space="preserve">3、联系人及联系方式：甲方 </w:t>
      </w:r>
      <w:r>
        <w:rPr>
          <w:rFonts w:hint="eastAsia" w:ascii="宋体" w:hAnsi="宋体" w:eastAsia="宋体" w:cs="宋体"/>
          <w:b/>
          <w:color w:val="FF0000"/>
          <w:sz w:val="24"/>
          <w:u w:val="single"/>
        </w:rPr>
        <w:t>姓名 联系方式</w:t>
      </w:r>
      <w:r>
        <w:rPr>
          <w:rFonts w:hint="eastAsia" w:ascii="宋体" w:hAnsi="宋体" w:eastAsia="宋体" w:cs="宋体"/>
          <w:sz w:val="24"/>
        </w:rPr>
        <w:t xml:space="preserve">；乙方 </w:t>
      </w:r>
      <w:r>
        <w:rPr>
          <w:rFonts w:hint="eastAsia" w:ascii="宋体" w:hAnsi="宋体" w:eastAsia="宋体" w:cs="宋体"/>
          <w:b/>
          <w:color w:val="FF0000"/>
          <w:sz w:val="24"/>
          <w:u w:val="single"/>
        </w:rPr>
        <w:t>姓名 联系方式</w:t>
      </w:r>
    </w:p>
    <w:p>
      <w:pPr>
        <w:spacing w:line="440" w:lineRule="exact"/>
        <w:rPr>
          <w:rFonts w:hint="eastAsia" w:ascii="宋体" w:hAnsi="宋体" w:eastAsia="宋体" w:cs="宋体"/>
          <w:b/>
          <w:sz w:val="24"/>
        </w:rPr>
      </w:pPr>
      <w:r>
        <w:rPr>
          <w:rFonts w:hint="eastAsia" w:ascii="宋体" w:hAnsi="宋体" w:eastAsia="宋体" w:cs="宋体"/>
          <w:b/>
          <w:sz w:val="24"/>
        </w:rPr>
        <w:t>第六条 包装方式</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乙方保证作为本协议中进口科教用品的包装方式符合运输的要求、其本身存储性质的要求，包括冷冻、装箱包装等特殊保管方式。</w:t>
      </w:r>
    </w:p>
    <w:p>
      <w:pPr>
        <w:spacing w:line="440" w:lineRule="exact"/>
        <w:rPr>
          <w:rFonts w:hint="eastAsia" w:ascii="宋体" w:hAnsi="宋体" w:eastAsia="宋体" w:cs="宋体"/>
          <w:b/>
          <w:sz w:val="24"/>
        </w:rPr>
      </w:pPr>
      <w:r>
        <w:rPr>
          <w:rFonts w:hint="eastAsia" w:ascii="宋体" w:hAnsi="宋体" w:eastAsia="宋体" w:cs="宋体"/>
          <w:b/>
          <w:sz w:val="24"/>
        </w:rPr>
        <w:t>第七条 进口科教用品质量</w:t>
      </w:r>
    </w:p>
    <w:p>
      <w:pPr>
        <w:numPr>
          <w:ilvl w:val="0"/>
          <w:numId w:val="103"/>
        </w:numPr>
        <w:spacing w:line="440" w:lineRule="exact"/>
        <w:rPr>
          <w:rFonts w:hint="eastAsia" w:ascii="宋体" w:hAnsi="宋体" w:eastAsia="宋体" w:cs="宋体"/>
          <w:sz w:val="24"/>
        </w:rPr>
      </w:pPr>
      <w:r>
        <w:rPr>
          <w:rFonts w:hint="eastAsia" w:ascii="宋体" w:hAnsi="宋体" w:eastAsia="宋体" w:cs="宋体"/>
          <w:sz w:val="24"/>
        </w:rPr>
        <w:t>乙方保证本协议中进口科教用品货物符合我国《中华人民共和国进出口商品检验法》《进口商品安全质量许可制度实施办法》等法律规范对进口商品质量管理的有关要求。</w:t>
      </w:r>
    </w:p>
    <w:p>
      <w:pPr>
        <w:numPr>
          <w:ilvl w:val="0"/>
          <w:numId w:val="103"/>
        </w:numPr>
        <w:spacing w:line="440" w:lineRule="exact"/>
        <w:rPr>
          <w:rFonts w:hint="eastAsia" w:ascii="宋体" w:hAnsi="宋体" w:eastAsia="宋体" w:cs="宋体"/>
          <w:sz w:val="24"/>
        </w:rPr>
      </w:pPr>
      <w:r>
        <w:rPr>
          <w:rFonts w:hint="eastAsia" w:ascii="宋体" w:hAnsi="宋体" w:eastAsia="宋体" w:cs="宋体"/>
          <w:sz w:val="24"/>
        </w:rPr>
        <w:t>乙方保证本协议中进口科教用品完全符合本协议载明原生产厂商规定的质</w:t>
      </w:r>
    </w:p>
    <w:p>
      <w:pPr>
        <w:spacing w:line="440" w:lineRule="exact"/>
        <w:rPr>
          <w:rFonts w:hint="eastAsia" w:ascii="宋体" w:hAnsi="宋体" w:eastAsia="宋体" w:cs="宋体"/>
          <w:sz w:val="24"/>
        </w:rPr>
      </w:pPr>
      <w:r>
        <w:rPr>
          <w:rFonts w:hint="eastAsia" w:ascii="宋体" w:hAnsi="宋体" w:eastAsia="宋体" w:cs="宋体"/>
          <w:sz w:val="24"/>
        </w:rPr>
        <w:t>量、规格、性能和技术指标，确保该进口科教用品全新、进货渠道合法。</w:t>
      </w:r>
    </w:p>
    <w:p>
      <w:pPr>
        <w:spacing w:line="440" w:lineRule="exact"/>
        <w:rPr>
          <w:rFonts w:hint="eastAsia" w:ascii="宋体" w:hAnsi="宋体" w:eastAsia="宋体" w:cs="宋体"/>
          <w:sz w:val="24"/>
        </w:rPr>
      </w:pPr>
      <w:r>
        <w:rPr>
          <w:rFonts w:hint="eastAsia" w:ascii="宋体" w:hAnsi="宋体" w:eastAsia="宋体" w:cs="宋体"/>
          <w:sz w:val="24"/>
        </w:rPr>
        <w:t>3、乙方保证在货物正确安装，使用和保养的条件下，其使用寿命达到其设计要求。</w:t>
      </w:r>
    </w:p>
    <w:p>
      <w:pPr>
        <w:spacing w:line="440" w:lineRule="exact"/>
        <w:rPr>
          <w:rFonts w:hint="eastAsia" w:ascii="宋体" w:hAnsi="宋体" w:eastAsia="宋体" w:cs="宋体"/>
          <w:sz w:val="24"/>
        </w:rPr>
      </w:pPr>
      <w:r>
        <w:rPr>
          <w:rFonts w:hint="eastAsia" w:ascii="宋体" w:hAnsi="宋体" w:eastAsia="宋体" w:cs="宋体"/>
          <w:sz w:val="24"/>
        </w:rPr>
        <w:t>4、乙方供应产品的质量标准为：按照招标文件、投标文件及本合同关于质量及技术标准的约定执行。同时，乙方供应产品的质量还应符合以下第（</w:t>
      </w:r>
      <w:r>
        <w:rPr>
          <w:rFonts w:hint="eastAsia" w:ascii="宋体" w:hAnsi="宋体" w:eastAsia="宋体" w:cs="宋体"/>
          <w:b/>
          <w:color w:val="FF0000"/>
          <w:sz w:val="24"/>
          <w:u w:val="single"/>
        </w:rPr>
        <w:t>X</w:t>
      </w:r>
      <w:r>
        <w:rPr>
          <w:rFonts w:hint="eastAsia" w:ascii="宋体" w:hAnsi="宋体" w:eastAsia="宋体" w:cs="宋体"/>
          <w:sz w:val="24"/>
        </w:rPr>
        <w:t>）项标准：</w:t>
      </w:r>
    </w:p>
    <w:p>
      <w:pPr>
        <w:spacing w:line="440" w:lineRule="exact"/>
        <w:rPr>
          <w:rFonts w:hint="eastAsia" w:ascii="宋体" w:hAnsi="宋体" w:eastAsia="宋体" w:cs="宋体"/>
          <w:sz w:val="24"/>
        </w:rPr>
      </w:pPr>
      <w:r>
        <w:rPr>
          <w:rFonts w:hint="eastAsia" w:ascii="宋体" w:hAnsi="宋体" w:eastAsia="宋体" w:cs="宋体"/>
          <w:sz w:val="24"/>
        </w:rPr>
        <w:t>（1）国际标准；（2）国家标准；(3)行业标准；（4）生产厂家标准。</w:t>
      </w:r>
    </w:p>
    <w:p>
      <w:pPr>
        <w:spacing w:line="440" w:lineRule="exact"/>
        <w:rPr>
          <w:rFonts w:hint="eastAsia" w:ascii="宋体" w:hAnsi="宋体" w:eastAsia="宋体" w:cs="宋体"/>
          <w:b/>
          <w:sz w:val="24"/>
        </w:rPr>
      </w:pPr>
      <w:r>
        <w:rPr>
          <w:rFonts w:hint="eastAsia" w:ascii="宋体" w:hAnsi="宋体" w:eastAsia="宋体" w:cs="宋体"/>
          <w:b/>
          <w:sz w:val="24"/>
        </w:rPr>
        <w:t>第八条 安装、调试及验收</w:t>
      </w:r>
    </w:p>
    <w:p>
      <w:pPr>
        <w:numPr>
          <w:ilvl w:val="0"/>
          <w:numId w:val="104"/>
        </w:numPr>
        <w:spacing w:line="440" w:lineRule="exact"/>
        <w:rPr>
          <w:rFonts w:hint="eastAsia" w:ascii="宋体" w:hAnsi="宋体" w:eastAsia="宋体" w:cs="宋体"/>
          <w:b/>
          <w:sz w:val="24"/>
        </w:rPr>
      </w:pPr>
      <w:r>
        <w:rPr>
          <w:rFonts w:hint="eastAsia" w:ascii="宋体" w:hAnsi="宋体" w:eastAsia="宋体" w:cs="宋体"/>
          <w:sz w:val="24"/>
        </w:rPr>
        <w:t>乙方在进口科教用品抵达前书面通知甲方货物安装所需条件，以利货物的正常安装调试。</w:t>
      </w:r>
    </w:p>
    <w:p>
      <w:pPr>
        <w:numPr>
          <w:ilvl w:val="0"/>
          <w:numId w:val="104"/>
        </w:numPr>
        <w:spacing w:line="420" w:lineRule="exact"/>
        <w:rPr>
          <w:rFonts w:hint="eastAsia" w:ascii="宋体" w:hAnsi="宋体" w:eastAsia="宋体" w:cs="宋体"/>
          <w:b/>
          <w:sz w:val="24"/>
        </w:rPr>
      </w:pPr>
      <w:r>
        <w:rPr>
          <w:rFonts w:hint="eastAsia" w:ascii="宋体" w:hAnsi="宋体" w:eastAsia="宋体" w:cs="宋体"/>
          <w:sz w:val="24"/>
        </w:rPr>
        <w:t>在进口科教用品抵达甲方最终用户指定地点后，乙方负责对仪器进行免费的安装调试，并负责对甲方相关人员进行货物的使用培训。</w:t>
      </w:r>
    </w:p>
    <w:p>
      <w:pPr>
        <w:numPr>
          <w:ilvl w:val="0"/>
          <w:numId w:val="104"/>
        </w:numPr>
        <w:spacing w:line="420" w:lineRule="exact"/>
        <w:rPr>
          <w:rFonts w:hint="eastAsia" w:ascii="宋体" w:hAnsi="宋体" w:eastAsia="宋体" w:cs="宋体"/>
          <w:sz w:val="24"/>
        </w:rPr>
      </w:pPr>
      <w:r>
        <w:rPr>
          <w:rFonts w:hint="eastAsia" w:ascii="宋体" w:hAnsi="宋体" w:eastAsia="宋体" w:cs="宋体"/>
          <w:sz w:val="24"/>
        </w:rPr>
        <w:t>进口科教用品在全部安装、调试完毕，并提供各项培训后，试运行时间不少于1个月，甲方对该进口科教用品组织验收。乙方需对甲方完成货物的验收提供必要的技术支持。</w:t>
      </w:r>
    </w:p>
    <w:p>
      <w:pPr>
        <w:numPr>
          <w:ilvl w:val="0"/>
          <w:numId w:val="104"/>
        </w:numPr>
        <w:spacing w:line="420" w:lineRule="exact"/>
        <w:rPr>
          <w:rFonts w:hint="eastAsia" w:ascii="宋体" w:hAnsi="宋体" w:eastAsia="宋体" w:cs="宋体"/>
          <w:sz w:val="24"/>
        </w:rPr>
      </w:pPr>
      <w:r>
        <w:rPr>
          <w:rFonts w:hint="eastAsia" w:ascii="宋体" w:hAnsi="宋体" w:eastAsia="宋体" w:cs="宋体"/>
          <w:sz w:val="24"/>
        </w:rPr>
        <w:t>甲方应依据本合同第七条约定的质量标准进行验收。产品质量不符合第七条约定标准的，甲方有权要求乙方重新供货，或要求退货，由此造成的损失由乙方承担。</w:t>
      </w:r>
    </w:p>
    <w:p>
      <w:pPr>
        <w:spacing w:line="420" w:lineRule="exact"/>
        <w:rPr>
          <w:rFonts w:hint="eastAsia" w:ascii="宋体" w:hAnsi="宋体" w:eastAsia="宋体" w:cs="宋体"/>
          <w:sz w:val="24"/>
        </w:rPr>
      </w:pPr>
      <w:r>
        <w:rPr>
          <w:rFonts w:hint="eastAsia" w:ascii="宋体" w:hAnsi="宋体" w:eastAsia="宋体" w:cs="宋体"/>
          <w:b/>
          <w:sz w:val="24"/>
        </w:rPr>
        <w:t>第九条 保修及售后服务</w:t>
      </w:r>
    </w:p>
    <w:p>
      <w:pPr>
        <w:spacing w:line="420" w:lineRule="exact"/>
        <w:rPr>
          <w:rFonts w:hint="eastAsia" w:ascii="宋体" w:hAnsi="宋体" w:eastAsia="宋体" w:cs="宋体"/>
          <w:b/>
          <w:sz w:val="24"/>
        </w:rPr>
      </w:pPr>
      <w:r>
        <w:rPr>
          <w:rFonts w:hint="eastAsia" w:ascii="宋体" w:hAnsi="宋体" w:eastAsia="宋体" w:cs="宋体"/>
          <w:sz w:val="24"/>
        </w:rPr>
        <w:t>1、本协议进口科教用品质保期为</w:t>
      </w:r>
      <w:r>
        <w:rPr>
          <w:rFonts w:hint="eastAsia" w:ascii="宋体" w:hAnsi="宋体" w:eastAsia="宋体" w:cs="宋体"/>
          <w:b/>
          <w:color w:val="FF0000"/>
          <w:sz w:val="24"/>
          <w:u w:val="single"/>
        </w:rPr>
        <w:t>X</w:t>
      </w:r>
      <w:r>
        <w:rPr>
          <w:rFonts w:hint="eastAsia" w:ascii="宋体" w:hAnsi="宋体" w:eastAsia="宋体" w:cs="宋体"/>
          <w:sz w:val="24"/>
        </w:rPr>
        <w:t>年，质保期自甲方组织完成验收之日起算。</w:t>
      </w:r>
    </w:p>
    <w:p>
      <w:pPr>
        <w:spacing w:line="420" w:lineRule="exact"/>
        <w:rPr>
          <w:rFonts w:hint="eastAsia" w:ascii="宋体" w:hAnsi="宋体" w:eastAsia="宋体" w:cs="宋体"/>
          <w:sz w:val="24"/>
        </w:rPr>
      </w:pPr>
      <w:r>
        <w:rPr>
          <w:rFonts w:hint="eastAsia" w:ascii="宋体" w:hAnsi="宋体" w:eastAsia="宋体" w:cs="宋体"/>
          <w:sz w:val="24"/>
        </w:rPr>
        <w:t>2、质保期内，自乙方接到甲方口头或书面维修通知时起算，乙方相关人员应当于</w:t>
      </w:r>
      <w:r>
        <w:rPr>
          <w:rFonts w:hint="eastAsia" w:ascii="宋体" w:hAnsi="宋体" w:eastAsia="宋体" w:cs="宋体"/>
          <w:b/>
          <w:color w:val="FF0000"/>
          <w:sz w:val="24"/>
          <w:u w:val="single"/>
        </w:rPr>
        <w:t>X</w:t>
      </w:r>
      <w:r>
        <w:rPr>
          <w:rFonts w:hint="eastAsia" w:ascii="宋体" w:hAnsi="宋体" w:eastAsia="宋体" w:cs="宋体"/>
          <w:sz w:val="24"/>
        </w:rPr>
        <w:t>小时内到达现场，查找和排除故障，免费修理、更换、补齐有缺陷的货物或部件。售后服务联系电话：</w:t>
      </w:r>
      <w:r>
        <w:rPr>
          <w:rFonts w:hint="eastAsia" w:ascii="宋体" w:hAnsi="宋体" w:eastAsia="宋体" w:cs="宋体"/>
          <w:b/>
          <w:color w:val="FF0000"/>
          <w:sz w:val="24"/>
          <w:u w:val="single"/>
        </w:rPr>
        <w:t>XX</w:t>
      </w:r>
      <w:r>
        <w:rPr>
          <w:rFonts w:hint="eastAsia" w:ascii="宋体" w:hAnsi="宋体" w:eastAsia="宋体" w:cs="宋体"/>
          <w:sz w:val="24"/>
        </w:rPr>
        <w:t xml:space="preserve"> 联系人：</w:t>
      </w:r>
      <w:r>
        <w:rPr>
          <w:rFonts w:hint="eastAsia" w:ascii="宋体" w:hAnsi="宋体" w:eastAsia="宋体" w:cs="宋体"/>
          <w:b/>
          <w:color w:val="FF0000"/>
          <w:sz w:val="24"/>
          <w:u w:val="single"/>
        </w:rPr>
        <w:t>XX</w:t>
      </w:r>
    </w:p>
    <w:p>
      <w:pPr>
        <w:numPr>
          <w:ilvl w:val="0"/>
          <w:numId w:val="103"/>
        </w:numPr>
        <w:spacing w:line="420" w:lineRule="exact"/>
        <w:rPr>
          <w:rFonts w:hint="eastAsia" w:ascii="宋体" w:hAnsi="宋体" w:eastAsia="宋体" w:cs="宋体"/>
          <w:sz w:val="24"/>
        </w:rPr>
      </w:pPr>
      <w:r>
        <w:rPr>
          <w:rFonts w:hint="eastAsia" w:ascii="宋体" w:hAnsi="宋体" w:eastAsia="宋体" w:cs="宋体"/>
          <w:sz w:val="24"/>
        </w:rPr>
        <w:t>本协议中进口科教用品质保期依检修期期限而延长。</w:t>
      </w:r>
    </w:p>
    <w:p>
      <w:pPr>
        <w:spacing w:line="420" w:lineRule="exact"/>
        <w:rPr>
          <w:rFonts w:hint="eastAsia" w:ascii="宋体" w:hAnsi="宋体" w:eastAsia="宋体" w:cs="宋体"/>
          <w:sz w:val="24"/>
        </w:rPr>
      </w:pPr>
      <w:r>
        <w:rPr>
          <w:rFonts w:hint="eastAsia" w:ascii="宋体" w:hAnsi="宋体" w:eastAsia="宋体" w:cs="宋体"/>
          <w:sz w:val="24"/>
        </w:rPr>
        <w:t>4、质保期届满后，如甲方需要乙方继续提供维护服务，由甲乙双方另行协商。</w:t>
      </w:r>
    </w:p>
    <w:p>
      <w:pPr>
        <w:spacing w:line="420" w:lineRule="exact"/>
        <w:rPr>
          <w:rFonts w:hint="eastAsia" w:ascii="宋体" w:hAnsi="宋体" w:eastAsia="宋体" w:cs="宋体"/>
          <w:b/>
          <w:sz w:val="24"/>
        </w:rPr>
      </w:pPr>
      <w:r>
        <w:rPr>
          <w:rFonts w:hint="eastAsia" w:ascii="宋体" w:hAnsi="宋体" w:eastAsia="宋体" w:cs="宋体"/>
          <w:b/>
          <w:sz w:val="24"/>
        </w:rPr>
        <w:t>第十条 违约责任</w:t>
      </w:r>
    </w:p>
    <w:p>
      <w:pPr>
        <w:widowControl/>
        <w:spacing w:line="420" w:lineRule="exact"/>
        <w:jc w:val="left"/>
        <w:rPr>
          <w:rFonts w:hint="eastAsia" w:ascii="宋体" w:hAnsi="宋体" w:eastAsia="宋体" w:cs="宋体"/>
          <w:kern w:val="0"/>
          <w:sz w:val="24"/>
        </w:rPr>
      </w:pPr>
      <w:r>
        <w:rPr>
          <w:rFonts w:hint="eastAsia" w:ascii="宋体" w:hAnsi="宋体" w:eastAsia="宋体" w:cs="宋体"/>
          <w:sz w:val="24"/>
        </w:rPr>
        <w:t>1、甲乙双方均应全面履行本协议，任何一方未能按照本协议的约定履行自己的义务，应当承担违约责任。违约方应当赔偿守约方因此遭受的经济损失，包括但不限于守约方的直接经济损失、守约方为追究违约责任所发生的律师费、差旅费、交通费等。</w:t>
      </w:r>
    </w:p>
    <w:p>
      <w:pPr>
        <w:spacing w:line="420" w:lineRule="exact"/>
        <w:rPr>
          <w:rFonts w:hint="eastAsia" w:ascii="宋体" w:hAnsi="宋体" w:eastAsia="宋体" w:cs="宋体"/>
          <w:sz w:val="24"/>
        </w:rPr>
      </w:pPr>
      <w:r>
        <w:rPr>
          <w:rFonts w:hint="eastAsia" w:ascii="宋体" w:hAnsi="宋体" w:eastAsia="宋体" w:cs="宋体"/>
          <w:sz w:val="24"/>
        </w:rPr>
        <w:t>2、乙方委托的境外供货商不能依本协议约定时间到货的，应按照协议总金额的千分之一/日计算违约费用。如延迟到货2个月以上的，甲方有权终止本协议，乙方按本协议总金额的30%向甲方支付违约金。</w:t>
      </w:r>
    </w:p>
    <w:p>
      <w:pPr>
        <w:spacing w:line="420" w:lineRule="exact"/>
        <w:rPr>
          <w:rFonts w:hint="eastAsia" w:ascii="宋体" w:hAnsi="宋体" w:eastAsia="宋体" w:cs="宋体"/>
          <w:sz w:val="24"/>
        </w:rPr>
      </w:pPr>
      <w:r>
        <w:rPr>
          <w:rFonts w:hint="eastAsia" w:ascii="宋体" w:hAnsi="宋体" w:eastAsia="宋体" w:cs="宋体"/>
          <w:sz w:val="24"/>
        </w:rPr>
        <w:t>3、若乙方未按本协议的约定提供质保服务，甲方有权自行委托第三方提供甲方所需要的技术支持和售后服务，所发生的费用由乙方承担，如因此造成甲方损失的，乙方应承担赔偿责任。</w:t>
      </w:r>
    </w:p>
    <w:p>
      <w:pPr>
        <w:spacing w:line="420" w:lineRule="exact"/>
        <w:rPr>
          <w:rFonts w:hint="eastAsia" w:ascii="宋体" w:hAnsi="宋体" w:eastAsia="宋体" w:cs="宋体"/>
          <w:sz w:val="24"/>
        </w:rPr>
      </w:pPr>
      <w:r>
        <w:rPr>
          <w:rFonts w:hint="eastAsia" w:ascii="宋体" w:hAnsi="宋体" w:eastAsia="宋体" w:cs="宋体"/>
          <w:sz w:val="24"/>
        </w:rPr>
        <w:t>4、乙方委托的境外供货商供应的进口科教用品（货物）不符合第七条的质量标准的或经安装调试后无法达到验收标准的，甲方可按照本协议约定的争议解决方式，直接要求乙方赔偿甲方全部损失。</w:t>
      </w:r>
    </w:p>
    <w:p>
      <w:pPr>
        <w:spacing w:line="420" w:lineRule="exact"/>
        <w:rPr>
          <w:rFonts w:hint="eastAsia" w:ascii="宋体" w:hAnsi="宋体" w:eastAsia="宋体" w:cs="宋体"/>
          <w:sz w:val="24"/>
        </w:rPr>
      </w:pPr>
      <w:r>
        <w:rPr>
          <w:rFonts w:hint="eastAsia" w:ascii="宋体" w:hAnsi="宋体" w:eastAsia="宋体" w:cs="宋体"/>
          <w:sz w:val="24"/>
        </w:rPr>
        <w:t>5、由于不可预见、不可避免和不可克服等不可抗力因素，致使任何一方不能履行合同时，受影响方不承担因此造成的相应违约责任，但应立即将情况通知另一方，并应立即将原因详情以书面形式告知另一方。</w:t>
      </w:r>
    </w:p>
    <w:p>
      <w:pPr>
        <w:spacing w:line="420" w:lineRule="exact"/>
        <w:rPr>
          <w:rFonts w:hint="eastAsia" w:ascii="宋体" w:hAnsi="宋体" w:eastAsia="宋体" w:cs="宋体"/>
          <w:sz w:val="24"/>
        </w:rPr>
      </w:pPr>
      <w:r>
        <w:rPr>
          <w:rFonts w:hint="eastAsia" w:ascii="宋体" w:hAnsi="宋体" w:eastAsia="宋体" w:cs="宋体"/>
          <w:sz w:val="24"/>
        </w:rPr>
        <w:t>6、发生不可抗力后，受影响方应当采取一切必要合理的措施减少损失的发生，并按照上述规定尽快通知另一方，若没有采取相应措施由此而导致扩大的损失，受影响方应对另一方负责。</w:t>
      </w:r>
    </w:p>
    <w:p>
      <w:pPr>
        <w:spacing w:line="420" w:lineRule="exact"/>
        <w:rPr>
          <w:rFonts w:hint="eastAsia" w:ascii="宋体" w:hAnsi="宋体" w:eastAsia="宋体" w:cs="宋体"/>
          <w:b/>
          <w:sz w:val="24"/>
        </w:rPr>
      </w:pPr>
      <w:r>
        <w:rPr>
          <w:rFonts w:hint="eastAsia" w:ascii="宋体" w:hAnsi="宋体" w:eastAsia="宋体" w:cs="宋体"/>
          <w:b/>
          <w:sz w:val="24"/>
        </w:rPr>
        <w:t>第十一条 法律的适用及争议的解决</w:t>
      </w:r>
    </w:p>
    <w:p>
      <w:pPr>
        <w:spacing w:line="420" w:lineRule="exact"/>
        <w:rPr>
          <w:rFonts w:hint="eastAsia" w:ascii="宋体" w:hAnsi="宋体" w:eastAsia="宋体" w:cs="宋体"/>
          <w:sz w:val="24"/>
        </w:rPr>
      </w:pPr>
      <w:r>
        <w:rPr>
          <w:rFonts w:hint="eastAsia" w:ascii="宋体" w:hAnsi="宋体" w:eastAsia="宋体" w:cs="宋体"/>
          <w:sz w:val="24"/>
        </w:rPr>
        <w:t>1、 本协议的履行及相关争议的解决应适用中华人民共和国的法律并按照中华人民共和国的法律进行解释。</w:t>
      </w:r>
    </w:p>
    <w:p>
      <w:pPr>
        <w:spacing w:line="420" w:lineRule="exact"/>
        <w:rPr>
          <w:rFonts w:hint="eastAsia" w:ascii="宋体" w:hAnsi="宋体" w:eastAsia="宋体" w:cs="宋体"/>
          <w:sz w:val="24"/>
        </w:rPr>
      </w:pPr>
      <w:r>
        <w:rPr>
          <w:rFonts w:hint="eastAsia" w:ascii="宋体" w:hAnsi="宋体" w:eastAsia="宋体" w:cs="宋体"/>
          <w:sz w:val="24"/>
        </w:rPr>
        <w:t>2、因本协议而产生的或与本协议有关的任何争议由双方协商解决，协商不成，应提交中国国际经济贸易仲裁委员会湖北分会进行仲裁。</w:t>
      </w:r>
    </w:p>
    <w:p>
      <w:pPr>
        <w:spacing w:line="420" w:lineRule="exact"/>
        <w:rPr>
          <w:rFonts w:hint="eastAsia" w:ascii="宋体" w:hAnsi="宋体" w:eastAsia="宋体" w:cs="宋体"/>
          <w:b/>
          <w:sz w:val="24"/>
        </w:rPr>
      </w:pPr>
      <w:r>
        <w:rPr>
          <w:rFonts w:hint="eastAsia" w:ascii="宋体" w:hAnsi="宋体" w:eastAsia="宋体" w:cs="宋体"/>
          <w:b/>
          <w:sz w:val="24"/>
        </w:rPr>
        <w:t>第十二条 备注</w:t>
      </w:r>
    </w:p>
    <w:p>
      <w:pPr>
        <w:spacing w:line="420" w:lineRule="exact"/>
        <w:rPr>
          <w:rFonts w:hint="eastAsia" w:ascii="宋体" w:hAnsi="宋体" w:eastAsia="宋体" w:cs="宋体"/>
          <w:sz w:val="24"/>
        </w:rPr>
      </w:pPr>
      <w:r>
        <w:rPr>
          <w:rFonts w:hint="eastAsia" w:ascii="宋体" w:hAnsi="宋体" w:eastAsia="宋体" w:cs="宋体"/>
          <w:sz w:val="24"/>
        </w:rPr>
        <w:t>1、在不侵害乙方正当权益和商业秘密情况下，乙方应配合甲方纪检监察部门调查。若乙方拒绝配合，甲方有权采取中止本协议或取消乙方参与甲方学校项目的资格。</w:t>
      </w:r>
    </w:p>
    <w:p>
      <w:pPr>
        <w:spacing w:line="420" w:lineRule="exact"/>
        <w:rPr>
          <w:rFonts w:hint="eastAsia" w:ascii="宋体" w:hAnsi="宋体" w:eastAsia="宋体" w:cs="宋体"/>
          <w:sz w:val="24"/>
        </w:rPr>
      </w:pPr>
      <w:r>
        <w:rPr>
          <w:rFonts w:hint="eastAsia" w:ascii="宋体" w:hAnsi="宋体" w:eastAsia="宋体" w:cs="宋体"/>
          <w:sz w:val="24"/>
        </w:rPr>
        <w:t>2、本协议自双方签字并加盖公章之日起生效。</w:t>
      </w:r>
    </w:p>
    <w:p>
      <w:pPr>
        <w:spacing w:line="420" w:lineRule="exact"/>
        <w:rPr>
          <w:rFonts w:hint="eastAsia" w:ascii="宋体" w:hAnsi="宋体" w:eastAsia="宋体" w:cs="宋体"/>
          <w:sz w:val="24"/>
        </w:rPr>
      </w:pPr>
      <w:r>
        <w:rPr>
          <w:rFonts w:hint="eastAsia" w:ascii="宋体" w:hAnsi="宋体" w:eastAsia="宋体" w:cs="宋体"/>
          <w:sz w:val="24"/>
        </w:rPr>
        <w:t>3、本协议一式四份，其中甲方执三份，乙方执一份，均具有同等法律效力。</w:t>
      </w:r>
    </w:p>
    <w:p>
      <w:pPr>
        <w:spacing w:line="420" w:lineRule="exact"/>
        <w:rPr>
          <w:rFonts w:hint="eastAsia" w:ascii="宋体" w:hAnsi="宋体" w:eastAsia="宋体" w:cs="宋体"/>
          <w:sz w:val="24"/>
        </w:rPr>
      </w:pPr>
      <w:r>
        <w:rPr>
          <w:rFonts w:hint="eastAsia" w:ascii="宋体" w:hAnsi="宋体" w:eastAsia="宋体" w:cs="宋体"/>
          <w:sz w:val="24"/>
        </w:rPr>
        <w:t>4、本协议未尽事宜，可另行签订书面的补充协议。</w:t>
      </w:r>
    </w:p>
    <w:p>
      <w:pPr>
        <w:spacing w:line="440" w:lineRule="exact"/>
        <w:rPr>
          <w:rFonts w:hint="eastAsia" w:ascii="宋体" w:hAnsi="宋体" w:eastAsia="宋体" w:cs="宋体"/>
          <w:sz w:val="24"/>
        </w:rPr>
      </w:pPr>
    </w:p>
    <w:tbl>
      <w:tblPr>
        <w:tblStyle w:val="27"/>
        <w:tblW w:w="100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40"/>
        <w:gridCol w:w="4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jc w:val="center"/>
        </w:trPr>
        <w:tc>
          <w:tcPr>
            <w:tcW w:w="5240" w:type="dxa"/>
            <w:vAlign w:val="center"/>
          </w:tcPr>
          <w:p>
            <w:pPr>
              <w:spacing w:line="360" w:lineRule="exact"/>
              <w:rPr>
                <w:rFonts w:hint="eastAsia" w:ascii="宋体" w:hAnsi="宋体" w:eastAsia="宋体" w:cs="宋体"/>
                <w:sz w:val="24"/>
              </w:rPr>
            </w:pPr>
            <w:r>
              <w:rPr>
                <w:rFonts w:hint="eastAsia" w:ascii="宋体" w:hAnsi="宋体" w:eastAsia="宋体" w:cs="宋体"/>
                <w:sz w:val="24"/>
              </w:rPr>
              <w:t>甲方：武汉大学（盖章）</w:t>
            </w:r>
          </w:p>
        </w:tc>
        <w:tc>
          <w:tcPr>
            <w:tcW w:w="4814" w:type="dxa"/>
            <w:vAlign w:val="center"/>
          </w:tcPr>
          <w:p>
            <w:pPr>
              <w:spacing w:line="360" w:lineRule="exact"/>
              <w:rPr>
                <w:rFonts w:hint="eastAsia" w:ascii="宋体" w:hAnsi="宋体" w:eastAsia="宋体" w:cs="宋体"/>
                <w:sz w:val="24"/>
              </w:rPr>
            </w:pPr>
            <w:r>
              <w:rPr>
                <w:rFonts w:hint="eastAsia" w:ascii="宋体" w:hAnsi="宋体" w:eastAsia="宋体" w:cs="宋体"/>
                <w:sz w:val="24"/>
              </w:rPr>
              <w:t>乙方：</w:t>
            </w:r>
            <w:r>
              <w:rPr>
                <w:rFonts w:hint="eastAsia" w:ascii="宋体" w:hAnsi="宋体" w:eastAsia="宋体" w:cs="宋体"/>
                <w:color w:val="FF0000"/>
                <w:sz w:val="24"/>
              </w:rPr>
              <w:t>XX公司</w:t>
            </w:r>
            <w:r>
              <w:rPr>
                <w:rFonts w:hint="eastAsia" w:ascii="宋体" w:hAnsi="宋体" w:eastAsia="宋体" w:cs="宋体"/>
                <w:sz w:val="24"/>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1" w:hRule="atLeast"/>
          <w:jc w:val="center"/>
        </w:trPr>
        <w:tc>
          <w:tcPr>
            <w:tcW w:w="5240" w:type="dxa"/>
            <w:vAlign w:val="center"/>
          </w:tcPr>
          <w:p>
            <w:pPr>
              <w:spacing w:line="360" w:lineRule="exact"/>
              <w:rPr>
                <w:rFonts w:hint="eastAsia" w:ascii="宋体" w:hAnsi="宋体" w:eastAsia="宋体" w:cs="宋体"/>
                <w:sz w:val="24"/>
              </w:rPr>
            </w:pPr>
            <w:r>
              <w:rPr>
                <w:rFonts w:hint="eastAsia" w:ascii="宋体" w:hAnsi="宋体" w:eastAsia="宋体" w:cs="宋体"/>
                <w:sz w:val="24"/>
              </w:rPr>
              <w:t>法定代表人或委托代理人：</w:t>
            </w:r>
          </w:p>
        </w:tc>
        <w:tc>
          <w:tcPr>
            <w:tcW w:w="4814" w:type="dxa"/>
            <w:vAlign w:val="center"/>
          </w:tcPr>
          <w:p>
            <w:pPr>
              <w:spacing w:line="360" w:lineRule="exact"/>
              <w:rPr>
                <w:rFonts w:hint="eastAsia" w:ascii="宋体" w:hAnsi="宋体" w:eastAsia="宋体" w:cs="宋体"/>
                <w:sz w:val="24"/>
              </w:rPr>
            </w:pPr>
            <w:r>
              <w:rPr>
                <w:rFonts w:hint="eastAsia" w:ascii="宋体" w:hAnsi="宋体" w:eastAsia="宋体" w:cs="宋体"/>
                <w:sz w:val="24"/>
              </w:rPr>
              <w:t>法定代表人或委托代理人：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jc w:val="center"/>
        </w:trPr>
        <w:tc>
          <w:tcPr>
            <w:tcW w:w="5240" w:type="dxa"/>
            <w:vAlign w:val="center"/>
          </w:tcPr>
          <w:p>
            <w:pPr>
              <w:spacing w:line="440" w:lineRule="exact"/>
              <w:rPr>
                <w:rFonts w:hint="eastAsia" w:ascii="宋体" w:hAnsi="宋体" w:eastAsia="宋体" w:cs="宋体"/>
                <w:sz w:val="24"/>
              </w:rPr>
            </w:pPr>
            <w:r>
              <w:rPr>
                <w:rFonts w:hint="eastAsia" w:ascii="宋体" w:hAnsi="宋体" w:eastAsia="宋体" w:cs="宋体"/>
                <w:sz w:val="24"/>
              </w:rPr>
              <w:t>用户代表人：</w:t>
            </w:r>
          </w:p>
        </w:tc>
        <w:tc>
          <w:tcPr>
            <w:tcW w:w="4814" w:type="dxa"/>
            <w:vAlign w:val="center"/>
          </w:tcPr>
          <w:p>
            <w:pPr>
              <w:spacing w:line="360" w:lineRule="exact"/>
              <w:rPr>
                <w:rFonts w:hint="eastAsia" w:ascii="宋体" w:hAnsi="宋体" w:eastAsia="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jc w:val="center"/>
        </w:trPr>
        <w:tc>
          <w:tcPr>
            <w:tcW w:w="5240" w:type="dxa"/>
            <w:vAlign w:val="center"/>
          </w:tcPr>
          <w:p>
            <w:pPr>
              <w:spacing w:line="440" w:lineRule="exact"/>
              <w:rPr>
                <w:rFonts w:hint="eastAsia" w:ascii="宋体" w:hAnsi="宋体" w:eastAsia="宋体" w:cs="宋体"/>
                <w:sz w:val="24"/>
              </w:rPr>
            </w:pPr>
            <w:r>
              <w:rPr>
                <w:rFonts w:hint="eastAsia" w:ascii="宋体" w:hAnsi="宋体" w:eastAsia="宋体" w:cs="宋体"/>
                <w:sz w:val="24"/>
              </w:rPr>
              <w:t>用户代表人联系电话：</w:t>
            </w:r>
          </w:p>
        </w:tc>
        <w:tc>
          <w:tcPr>
            <w:tcW w:w="4814" w:type="dxa"/>
            <w:vAlign w:val="center"/>
          </w:tcPr>
          <w:p>
            <w:pPr>
              <w:spacing w:line="360" w:lineRule="exact"/>
              <w:rPr>
                <w:rFonts w:hint="eastAsia" w:ascii="宋体" w:hAnsi="宋体" w:eastAsia="宋体" w:cs="宋体"/>
                <w:sz w:val="24"/>
              </w:rPr>
            </w:pPr>
            <w:r>
              <w:rPr>
                <w:rFonts w:hint="eastAsia" w:ascii="宋体" w:hAnsi="宋体" w:eastAsia="宋体" w:cs="宋体"/>
                <w:sz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jc w:val="center"/>
        </w:trPr>
        <w:tc>
          <w:tcPr>
            <w:tcW w:w="5240" w:type="dxa"/>
            <w:vAlign w:val="center"/>
          </w:tcPr>
          <w:p>
            <w:pPr>
              <w:spacing w:line="360" w:lineRule="exact"/>
              <w:rPr>
                <w:rFonts w:hint="eastAsia" w:ascii="宋体" w:hAnsi="宋体" w:eastAsia="宋体" w:cs="宋体"/>
                <w:sz w:val="24"/>
              </w:rPr>
            </w:pPr>
            <w:r>
              <w:rPr>
                <w:rFonts w:hint="eastAsia" w:ascii="宋体" w:hAnsi="宋体" w:eastAsia="宋体" w:cs="宋体"/>
                <w:sz w:val="24"/>
              </w:rPr>
              <w:t>地址:武汉市武昌区珞珈山武汉大学</w:t>
            </w:r>
          </w:p>
        </w:tc>
        <w:tc>
          <w:tcPr>
            <w:tcW w:w="4814" w:type="dxa"/>
            <w:vAlign w:val="center"/>
          </w:tcPr>
          <w:p>
            <w:pPr>
              <w:spacing w:line="360" w:lineRule="exact"/>
              <w:rPr>
                <w:rFonts w:hint="eastAsia" w:ascii="宋体" w:hAnsi="宋体" w:eastAsia="宋体" w:cs="宋体"/>
                <w:sz w:val="24"/>
              </w:rPr>
            </w:pPr>
            <w:r>
              <w:rPr>
                <w:rFonts w:hint="eastAsia" w:ascii="宋体" w:hAnsi="宋体" w:eastAsia="宋体" w:cs="宋体"/>
                <w:sz w:val="24"/>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jc w:val="center"/>
        </w:trPr>
        <w:tc>
          <w:tcPr>
            <w:tcW w:w="5240" w:type="dxa"/>
            <w:vAlign w:val="center"/>
          </w:tcPr>
          <w:p>
            <w:pPr>
              <w:spacing w:line="360" w:lineRule="exact"/>
              <w:rPr>
                <w:rFonts w:hint="eastAsia" w:ascii="宋体" w:hAnsi="宋体" w:eastAsia="宋体" w:cs="宋体"/>
                <w:sz w:val="24"/>
              </w:rPr>
            </w:pPr>
            <w:r>
              <w:rPr>
                <w:rFonts w:hint="eastAsia" w:ascii="宋体" w:hAnsi="宋体" w:eastAsia="宋体" w:cs="宋体"/>
                <w:sz w:val="24"/>
              </w:rPr>
              <w:t>邮编:430072</w:t>
            </w:r>
          </w:p>
        </w:tc>
        <w:tc>
          <w:tcPr>
            <w:tcW w:w="4814" w:type="dxa"/>
            <w:vAlign w:val="center"/>
          </w:tcPr>
          <w:p>
            <w:pPr>
              <w:spacing w:line="360" w:lineRule="exact"/>
              <w:rPr>
                <w:rFonts w:hint="eastAsia" w:ascii="宋体" w:hAnsi="宋体" w:eastAsia="宋体" w:cs="宋体"/>
                <w:sz w:val="24"/>
              </w:rPr>
            </w:pPr>
            <w:r>
              <w:rPr>
                <w:rFonts w:hint="eastAsia" w:ascii="宋体" w:hAnsi="宋体" w:eastAsia="宋体" w:cs="宋体"/>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240" w:type="dxa"/>
            <w:vAlign w:val="center"/>
          </w:tcPr>
          <w:p>
            <w:pPr>
              <w:spacing w:line="360" w:lineRule="exact"/>
              <w:rPr>
                <w:rFonts w:hint="eastAsia" w:ascii="宋体" w:hAnsi="宋体" w:eastAsia="宋体" w:cs="宋体"/>
                <w:sz w:val="24"/>
              </w:rPr>
            </w:pPr>
            <w:r>
              <w:rPr>
                <w:rFonts w:hint="eastAsia" w:ascii="宋体" w:hAnsi="宋体" w:eastAsia="宋体" w:cs="宋体"/>
                <w:sz w:val="24"/>
              </w:rPr>
              <w:t>签字日期：       年   月   日</w:t>
            </w:r>
          </w:p>
        </w:tc>
        <w:tc>
          <w:tcPr>
            <w:tcW w:w="4814" w:type="dxa"/>
            <w:vAlign w:val="center"/>
          </w:tcPr>
          <w:p>
            <w:pPr>
              <w:spacing w:line="360" w:lineRule="exact"/>
              <w:rPr>
                <w:rFonts w:hint="eastAsia" w:ascii="宋体" w:hAnsi="宋体" w:eastAsia="宋体" w:cs="宋体"/>
                <w:sz w:val="24"/>
              </w:rPr>
            </w:pPr>
            <w:r>
              <w:rPr>
                <w:rFonts w:hint="eastAsia" w:ascii="宋体" w:hAnsi="宋体" w:eastAsia="宋体" w:cs="宋体"/>
                <w:sz w:val="24"/>
              </w:rPr>
              <w:t>签字日期：       年   月   日</w:t>
            </w:r>
          </w:p>
        </w:tc>
      </w:tr>
    </w:tbl>
    <w:p>
      <w:pPr>
        <w:rPr>
          <w:rFonts w:hint="eastAsia" w:ascii="宋体" w:hAnsi="宋体" w:eastAsia="宋体" w:cs="宋体"/>
        </w:rPr>
      </w:pPr>
    </w:p>
    <w:p>
      <w:pPr>
        <w:spacing w:line="480" w:lineRule="exact"/>
        <w:rPr>
          <w:rFonts w:hint="eastAsia" w:ascii="宋体" w:hAnsi="宋体" w:eastAsia="宋体" w:cs="宋体"/>
          <w:color w:val="000000"/>
          <w:kern w:val="0"/>
          <w:sz w:val="24"/>
          <w:szCs w:val="21"/>
        </w:rPr>
      </w:pPr>
    </w:p>
    <w:p>
      <w:pPr>
        <w:spacing w:line="480" w:lineRule="exact"/>
        <w:rPr>
          <w:rFonts w:hint="eastAsia" w:ascii="宋体" w:hAnsi="宋体" w:eastAsia="宋体" w:cs="宋体"/>
          <w:color w:val="000000"/>
          <w:kern w:val="0"/>
          <w:sz w:val="24"/>
          <w:szCs w:val="21"/>
        </w:rPr>
      </w:pPr>
    </w:p>
    <w:p>
      <w:pPr>
        <w:spacing w:before="78" w:beforeLines="25" w:line="276" w:lineRule="auto"/>
        <w:ind w:firstLine="428" w:firstLineChars="204"/>
        <w:contextualSpacing/>
        <w:jc w:val="left"/>
        <w:rPr>
          <w:rFonts w:hint="eastAsia" w:ascii="宋体" w:hAnsi="宋体" w:eastAsia="宋体" w:cs="宋体"/>
          <w:b/>
          <w:szCs w:val="21"/>
        </w:rPr>
      </w:pPr>
      <w:r>
        <w:rPr>
          <w:rFonts w:hint="eastAsia" w:ascii="宋体" w:hAnsi="宋体" w:eastAsia="宋体" w:cs="宋体"/>
          <w:color w:val="000000"/>
          <w:szCs w:val="21"/>
        </w:rPr>
        <w:br w:type="page"/>
      </w:r>
      <w:bookmarkStart w:id="97" w:name="_Toc494665944"/>
      <w:bookmarkStart w:id="98" w:name="_Toc494665547"/>
      <w:bookmarkStart w:id="99" w:name="_Toc494702264"/>
      <w:bookmarkStart w:id="100" w:name="_Toc494745311"/>
      <w:bookmarkStart w:id="101" w:name="_Toc494664994"/>
      <w:bookmarkStart w:id="102" w:name="_Toc494721094"/>
    </w:p>
    <w:p>
      <w:pPr>
        <w:spacing w:line="276" w:lineRule="auto"/>
        <w:jc w:val="center"/>
        <w:rPr>
          <w:rFonts w:hint="eastAsia" w:ascii="宋体" w:hAnsi="宋体" w:eastAsia="宋体" w:cs="宋体"/>
          <w:b/>
          <w:szCs w:val="21"/>
        </w:rPr>
      </w:pPr>
    </w:p>
    <w:p>
      <w:pPr>
        <w:spacing w:line="276" w:lineRule="auto"/>
        <w:jc w:val="center"/>
        <w:outlineLvl w:val="0"/>
        <w:rPr>
          <w:rFonts w:hint="eastAsia" w:ascii="宋体" w:hAnsi="宋体" w:eastAsia="宋体" w:cs="宋体"/>
          <w:sz w:val="28"/>
          <w:szCs w:val="28"/>
        </w:rPr>
      </w:pPr>
      <w:bookmarkStart w:id="103" w:name="_Toc13492"/>
      <w:bookmarkStart w:id="104" w:name="_Toc97815023"/>
      <w:r>
        <w:rPr>
          <w:rFonts w:hint="eastAsia" w:ascii="宋体" w:hAnsi="宋体" w:eastAsia="宋体" w:cs="宋体"/>
          <w:sz w:val="28"/>
          <w:szCs w:val="28"/>
        </w:rPr>
        <w:t>第七章 投标文件格式</w:t>
      </w:r>
      <w:bookmarkEnd w:id="97"/>
      <w:bookmarkEnd w:id="98"/>
      <w:bookmarkEnd w:id="99"/>
      <w:bookmarkEnd w:id="100"/>
      <w:bookmarkEnd w:id="101"/>
      <w:bookmarkEnd w:id="102"/>
      <w:bookmarkEnd w:id="103"/>
      <w:bookmarkEnd w:id="104"/>
    </w:p>
    <w:p>
      <w:pPr>
        <w:spacing w:after="780" w:afterLines="250" w:line="276" w:lineRule="auto"/>
        <w:jc w:val="center"/>
        <w:rPr>
          <w:rFonts w:hint="eastAsia" w:ascii="宋体" w:hAnsi="宋体" w:eastAsia="宋体" w:cs="宋体"/>
          <w:b/>
          <w:sz w:val="72"/>
          <w:szCs w:val="72"/>
        </w:rPr>
      </w:pPr>
    </w:p>
    <w:p>
      <w:pPr>
        <w:spacing w:after="780" w:afterLines="250" w:line="276" w:lineRule="auto"/>
        <w:jc w:val="center"/>
        <w:rPr>
          <w:rFonts w:hint="eastAsia" w:ascii="宋体" w:hAnsi="宋体" w:eastAsia="宋体" w:cs="宋体"/>
          <w:b/>
          <w:sz w:val="72"/>
          <w:szCs w:val="72"/>
        </w:rPr>
      </w:pPr>
      <w:r>
        <w:rPr>
          <w:rFonts w:hint="eastAsia" w:ascii="宋体" w:hAnsi="宋体" w:eastAsia="宋体" w:cs="宋体"/>
          <w:b/>
          <w:sz w:val="72"/>
          <w:szCs w:val="72"/>
        </w:rPr>
        <w:t>政 府 采 购 项 目</w:t>
      </w:r>
    </w:p>
    <w:p>
      <w:pPr>
        <w:spacing w:after="624" w:afterLines="200" w:line="276" w:lineRule="auto"/>
        <w:jc w:val="center"/>
        <w:rPr>
          <w:rFonts w:hint="eastAsia" w:ascii="宋体" w:hAnsi="宋体" w:eastAsia="宋体" w:cs="宋体"/>
          <w:b/>
          <w:sz w:val="72"/>
          <w:szCs w:val="72"/>
        </w:rPr>
      </w:pPr>
      <w:r>
        <w:rPr>
          <w:rFonts w:hint="eastAsia" w:ascii="宋体" w:hAnsi="宋体" w:eastAsia="宋体" w:cs="宋体"/>
          <w:b/>
          <w:sz w:val="72"/>
          <w:szCs w:val="72"/>
        </w:rPr>
        <w:t>投 标 文 件</w:t>
      </w:r>
    </w:p>
    <w:p>
      <w:pPr>
        <w:rPr>
          <w:rFonts w:hint="eastAsia" w:ascii="宋体" w:hAnsi="宋体" w:eastAsia="宋体" w:cs="宋体"/>
          <w:szCs w:val="24"/>
          <w:lang w:val="zh-CN"/>
        </w:rPr>
      </w:pPr>
    </w:p>
    <w:p>
      <w:pPr>
        <w:spacing w:line="276" w:lineRule="auto"/>
        <w:ind w:left="1967" w:leftChars="619" w:right="1299" w:rightChars="619" w:hanging="668" w:hangingChars="209"/>
        <w:rPr>
          <w:rFonts w:hint="eastAsia" w:ascii="宋体" w:hAnsi="宋体" w:eastAsia="宋体" w:cs="宋体"/>
          <w:bCs/>
          <w:sz w:val="32"/>
          <w:szCs w:val="32"/>
        </w:rPr>
      </w:pPr>
      <w:r>
        <w:rPr>
          <w:rFonts w:hint="eastAsia" w:ascii="宋体" w:hAnsi="宋体" w:eastAsia="宋体" w:cs="宋体"/>
          <w:b/>
          <w:bCs/>
          <w:sz w:val="32"/>
          <w:szCs w:val="32"/>
        </w:rPr>
        <w:t>项目编号/标段编号：</w:t>
      </w:r>
      <w:r>
        <w:rPr>
          <w:rFonts w:hint="eastAsia" w:ascii="宋体" w:hAnsi="宋体" w:eastAsia="宋体" w:cs="宋体"/>
          <w:sz w:val="32"/>
          <w:szCs w:val="32"/>
          <w:u w:val="single"/>
        </w:rPr>
        <w:t xml:space="preserve">                            </w:t>
      </w:r>
    </w:p>
    <w:p>
      <w:pPr>
        <w:spacing w:line="276" w:lineRule="auto"/>
        <w:ind w:left="1967" w:leftChars="619" w:right="1299" w:rightChars="619" w:hanging="668" w:hangingChars="209"/>
        <w:rPr>
          <w:rFonts w:hint="eastAsia" w:ascii="宋体" w:hAnsi="宋体" w:eastAsia="宋体" w:cs="宋体"/>
          <w:bCs/>
          <w:sz w:val="32"/>
          <w:szCs w:val="32"/>
          <w:lang w:val="zh-CN"/>
        </w:rPr>
      </w:pPr>
      <w:r>
        <w:rPr>
          <w:rFonts w:hint="eastAsia" w:ascii="宋体" w:hAnsi="宋体" w:eastAsia="宋体" w:cs="宋体"/>
          <w:b/>
          <w:bCs/>
          <w:sz w:val="32"/>
          <w:szCs w:val="32"/>
        </w:rPr>
        <w:t>项目名称：</w:t>
      </w:r>
      <w:r>
        <w:rPr>
          <w:rFonts w:hint="eastAsia" w:ascii="宋体" w:hAnsi="宋体" w:eastAsia="宋体" w:cs="宋体"/>
          <w:sz w:val="32"/>
          <w:szCs w:val="32"/>
          <w:u w:val="single"/>
        </w:rPr>
        <w:t xml:space="preserve">                            </w:t>
      </w:r>
    </w:p>
    <w:p>
      <w:pPr>
        <w:spacing w:line="276" w:lineRule="auto"/>
        <w:ind w:left="1967" w:leftChars="619" w:right="1299" w:rightChars="619" w:hanging="668" w:hangingChars="209"/>
        <w:rPr>
          <w:rFonts w:hint="eastAsia" w:ascii="宋体" w:hAnsi="宋体" w:eastAsia="宋体" w:cs="宋体"/>
          <w:szCs w:val="21"/>
        </w:rPr>
      </w:pPr>
      <w:r>
        <w:rPr>
          <w:rFonts w:hint="eastAsia" w:ascii="宋体" w:hAnsi="宋体" w:eastAsia="宋体" w:cs="宋体"/>
          <w:b/>
          <w:bCs/>
          <w:sz w:val="32"/>
          <w:szCs w:val="32"/>
        </w:rPr>
        <w:t>招标内容：</w:t>
      </w:r>
      <w:r>
        <w:rPr>
          <w:rFonts w:hint="eastAsia" w:ascii="宋体" w:hAnsi="宋体" w:eastAsia="宋体" w:cs="宋体"/>
          <w:sz w:val="32"/>
          <w:szCs w:val="32"/>
          <w:u w:val="single"/>
        </w:rPr>
        <w:t xml:space="preserve">                         </w:t>
      </w:r>
      <w:r>
        <w:rPr>
          <w:rFonts w:hint="eastAsia" w:ascii="宋体" w:hAnsi="宋体" w:eastAsia="宋体" w:cs="宋体"/>
          <w:szCs w:val="21"/>
          <w:u w:val="single"/>
        </w:rPr>
        <w:t xml:space="preserve">   </w:t>
      </w:r>
    </w:p>
    <w:p>
      <w:pPr>
        <w:spacing w:after="1560" w:afterLines="500" w:line="276" w:lineRule="auto"/>
        <w:ind w:left="1606" w:leftChars="271" w:right="569" w:rightChars="271" w:hanging="1037" w:hangingChars="494"/>
        <w:jc w:val="center"/>
        <w:rPr>
          <w:rFonts w:hint="eastAsia" w:ascii="宋体" w:hAnsi="宋体" w:eastAsia="宋体" w:cs="宋体"/>
          <w:szCs w:val="21"/>
        </w:rPr>
      </w:pPr>
    </w:p>
    <w:p>
      <w:pPr>
        <w:spacing w:line="276" w:lineRule="auto"/>
        <w:ind w:left="1971" w:leftChars="613" w:right="1287" w:rightChars="613" w:hanging="684" w:hangingChars="214"/>
        <w:rPr>
          <w:rFonts w:hint="eastAsia" w:ascii="宋体" w:hAnsi="宋体" w:eastAsia="宋体" w:cs="宋体"/>
          <w:b/>
          <w:bCs/>
          <w:sz w:val="32"/>
          <w:szCs w:val="32"/>
        </w:rPr>
      </w:pPr>
      <w:r>
        <w:rPr>
          <w:rFonts w:hint="eastAsia" w:ascii="宋体" w:hAnsi="宋体" w:eastAsia="宋体" w:cs="宋体"/>
          <w:b/>
          <w:bCs/>
          <w:sz w:val="32"/>
          <w:szCs w:val="32"/>
        </w:rPr>
        <w:t>投标人（公章）：</w:t>
      </w:r>
      <w:r>
        <w:rPr>
          <w:rFonts w:hint="eastAsia" w:ascii="宋体" w:hAnsi="宋体" w:eastAsia="宋体" w:cs="宋体"/>
          <w:b/>
          <w:bCs/>
          <w:sz w:val="32"/>
          <w:szCs w:val="32"/>
          <w:u w:val="single"/>
        </w:rPr>
        <w:t xml:space="preserve">                             </w:t>
      </w:r>
    </w:p>
    <w:p>
      <w:pPr>
        <w:spacing w:line="276" w:lineRule="auto"/>
        <w:ind w:left="1971" w:leftChars="613" w:right="1287" w:rightChars="613" w:hanging="684" w:hangingChars="214"/>
        <w:rPr>
          <w:rFonts w:hint="eastAsia" w:ascii="宋体" w:hAnsi="宋体" w:eastAsia="宋体" w:cs="宋体"/>
          <w:b/>
          <w:bCs/>
          <w:sz w:val="32"/>
          <w:szCs w:val="32"/>
        </w:rPr>
      </w:pPr>
    </w:p>
    <w:p>
      <w:pPr>
        <w:spacing w:before="312" w:beforeLines="100" w:after="312" w:afterLines="100" w:line="276" w:lineRule="auto"/>
        <w:ind w:left="2540" w:leftChars="466" w:right="466" w:hanging="1562" w:hangingChars="355"/>
        <w:jc w:val="center"/>
        <w:rPr>
          <w:rFonts w:hint="eastAsia" w:ascii="宋体" w:hAnsi="宋体" w:eastAsia="宋体" w:cs="宋体"/>
          <w:b/>
          <w:bCs/>
          <w:sz w:val="44"/>
          <w:szCs w:val="44"/>
        </w:rPr>
      </w:pPr>
    </w:p>
    <w:p>
      <w:pPr>
        <w:spacing w:line="276" w:lineRule="auto"/>
        <w:jc w:val="center"/>
        <w:rPr>
          <w:rFonts w:hint="eastAsia" w:ascii="宋体" w:hAnsi="宋体" w:eastAsia="宋体" w:cs="宋体"/>
          <w:b/>
          <w:sz w:val="44"/>
          <w:szCs w:val="44"/>
        </w:rPr>
        <w:sectPr>
          <w:headerReference r:id="rId9" w:type="first"/>
          <w:footerReference r:id="rId12" w:type="first"/>
          <w:headerReference r:id="rId7" w:type="default"/>
          <w:footerReference r:id="rId10" w:type="default"/>
          <w:headerReference r:id="rId8" w:type="even"/>
          <w:footerReference r:id="rId11" w:type="even"/>
          <w:type w:val="continuous"/>
          <w:pgSz w:w="11906" w:h="16838"/>
          <w:pgMar w:top="1134" w:right="1191" w:bottom="1134" w:left="1191" w:header="851" w:footer="624" w:gutter="0"/>
          <w:cols w:space="720" w:num="1"/>
          <w:docGrid w:type="linesAndChars" w:linePitch="312" w:charSpace="0"/>
        </w:sectPr>
      </w:pPr>
      <w:r>
        <w:rPr>
          <w:rFonts w:hint="eastAsia" w:ascii="宋体" w:hAnsi="宋体" w:eastAsia="宋体" w:cs="宋体"/>
          <w:b/>
          <w:bCs/>
          <w:sz w:val="44"/>
          <w:szCs w:val="44"/>
        </w:rPr>
        <w:t>年</w:t>
      </w:r>
      <w:r>
        <w:rPr>
          <w:rFonts w:hint="eastAsia" w:ascii="宋体" w:hAnsi="宋体" w:eastAsia="宋体" w:cs="宋体"/>
          <w:b/>
          <w:sz w:val="44"/>
          <w:szCs w:val="44"/>
        </w:rPr>
        <w:t xml:space="preserve"> 月</w:t>
      </w:r>
    </w:p>
    <w:p>
      <w:pPr>
        <w:spacing w:line="276" w:lineRule="auto"/>
        <w:jc w:val="center"/>
        <w:outlineLvl w:val="2"/>
        <w:rPr>
          <w:rFonts w:hint="eastAsia" w:ascii="宋体" w:hAnsi="宋体" w:eastAsia="宋体" w:cs="宋体"/>
          <w:szCs w:val="21"/>
        </w:rPr>
      </w:pPr>
      <w:r>
        <w:rPr>
          <w:rFonts w:hint="eastAsia" w:ascii="宋体" w:hAnsi="宋体" w:eastAsia="宋体" w:cs="宋体"/>
          <w:b/>
          <w:sz w:val="44"/>
          <w:szCs w:val="44"/>
        </w:rPr>
        <w:br w:type="page"/>
      </w:r>
      <w:r>
        <w:rPr>
          <w:rFonts w:hint="eastAsia" w:ascii="宋体" w:hAnsi="宋体" w:eastAsia="宋体" w:cs="宋体"/>
          <w:szCs w:val="21"/>
        </w:rPr>
        <w:t>目 录</w:t>
      </w:r>
    </w:p>
    <w:p>
      <w:pPr>
        <w:numPr>
          <w:ilvl w:val="0"/>
          <w:numId w:val="105"/>
        </w:numPr>
        <w:tabs>
          <w:tab w:val="left" w:pos="851"/>
        </w:tabs>
        <w:spacing w:line="276" w:lineRule="auto"/>
        <w:ind w:left="709" w:hanging="289"/>
        <w:rPr>
          <w:rFonts w:hint="eastAsia" w:ascii="宋体" w:hAnsi="宋体" w:eastAsia="宋体" w:cs="宋体"/>
          <w:color w:val="0D0D0D"/>
          <w:szCs w:val="21"/>
        </w:rPr>
      </w:pPr>
      <w:r>
        <w:rPr>
          <w:rFonts w:hint="eastAsia" w:ascii="宋体" w:hAnsi="宋体" w:eastAsia="宋体" w:cs="宋体"/>
          <w:color w:val="0D0D0D"/>
          <w:szCs w:val="21"/>
        </w:rPr>
        <w:t>投标书</w:t>
      </w:r>
    </w:p>
    <w:p>
      <w:pPr>
        <w:numPr>
          <w:ilvl w:val="0"/>
          <w:numId w:val="105"/>
        </w:numPr>
        <w:tabs>
          <w:tab w:val="left" w:pos="851"/>
        </w:tabs>
        <w:spacing w:line="276" w:lineRule="auto"/>
        <w:ind w:left="709" w:hanging="289"/>
        <w:rPr>
          <w:rFonts w:hint="eastAsia" w:ascii="宋体" w:hAnsi="宋体" w:eastAsia="宋体" w:cs="宋体"/>
          <w:color w:val="0D0D0D"/>
          <w:szCs w:val="21"/>
        </w:rPr>
      </w:pPr>
      <w:r>
        <w:rPr>
          <w:rFonts w:hint="eastAsia" w:ascii="宋体" w:hAnsi="宋体" w:eastAsia="宋体" w:cs="宋体"/>
          <w:color w:val="0D0D0D"/>
          <w:szCs w:val="21"/>
        </w:rPr>
        <w:t>投标承诺函</w:t>
      </w:r>
    </w:p>
    <w:p>
      <w:pPr>
        <w:numPr>
          <w:ilvl w:val="0"/>
          <w:numId w:val="105"/>
        </w:numPr>
        <w:tabs>
          <w:tab w:val="left" w:pos="851"/>
        </w:tabs>
        <w:spacing w:line="276" w:lineRule="auto"/>
        <w:ind w:left="709" w:hanging="289"/>
        <w:rPr>
          <w:rFonts w:hint="eastAsia" w:ascii="宋体" w:hAnsi="宋体" w:eastAsia="宋体" w:cs="宋体"/>
          <w:color w:val="0D0D0D"/>
          <w:szCs w:val="21"/>
        </w:rPr>
      </w:pPr>
      <w:r>
        <w:rPr>
          <w:rFonts w:hint="eastAsia" w:ascii="宋体" w:hAnsi="宋体" w:eastAsia="宋体" w:cs="宋体"/>
          <w:color w:val="0D0D0D"/>
          <w:szCs w:val="21"/>
        </w:rPr>
        <w:t>报价一览表</w:t>
      </w:r>
    </w:p>
    <w:p>
      <w:pPr>
        <w:numPr>
          <w:ilvl w:val="0"/>
          <w:numId w:val="105"/>
        </w:numPr>
        <w:tabs>
          <w:tab w:val="left" w:pos="851"/>
        </w:tabs>
        <w:spacing w:line="276" w:lineRule="auto"/>
        <w:ind w:left="709" w:hanging="289"/>
        <w:rPr>
          <w:rFonts w:hint="eastAsia" w:ascii="宋体" w:hAnsi="宋体" w:eastAsia="宋体" w:cs="宋体"/>
          <w:szCs w:val="21"/>
        </w:rPr>
      </w:pPr>
      <w:r>
        <w:rPr>
          <w:rFonts w:hint="eastAsia" w:ascii="宋体" w:hAnsi="宋体" w:eastAsia="宋体" w:cs="宋体"/>
          <w:color w:val="0D0D0D"/>
          <w:szCs w:val="21"/>
        </w:rPr>
        <w:t>报价明细表</w:t>
      </w:r>
    </w:p>
    <w:p>
      <w:pPr>
        <w:numPr>
          <w:ilvl w:val="0"/>
          <w:numId w:val="105"/>
        </w:numPr>
        <w:tabs>
          <w:tab w:val="left" w:pos="851"/>
        </w:tabs>
        <w:spacing w:line="276" w:lineRule="auto"/>
        <w:ind w:left="709" w:hanging="289"/>
        <w:rPr>
          <w:rFonts w:hint="eastAsia" w:ascii="宋体" w:hAnsi="宋体" w:eastAsia="宋体" w:cs="宋体"/>
          <w:szCs w:val="21"/>
        </w:rPr>
      </w:pPr>
      <w:r>
        <w:rPr>
          <w:rFonts w:hint="eastAsia" w:ascii="宋体" w:hAnsi="宋体" w:eastAsia="宋体" w:cs="宋体"/>
          <w:szCs w:val="21"/>
        </w:rPr>
        <w:t>报价范围以外的备品备件、耗材/服务价格表</w:t>
      </w:r>
      <w:r>
        <w:rPr>
          <w:rFonts w:hint="eastAsia" w:ascii="宋体" w:hAnsi="宋体" w:eastAsia="宋体" w:cs="宋体"/>
          <w:b/>
          <w:szCs w:val="21"/>
        </w:rPr>
        <w:t>（如需）</w:t>
      </w:r>
    </w:p>
    <w:p>
      <w:pPr>
        <w:numPr>
          <w:ilvl w:val="0"/>
          <w:numId w:val="105"/>
        </w:numPr>
        <w:tabs>
          <w:tab w:val="left" w:pos="851"/>
        </w:tabs>
        <w:spacing w:line="276" w:lineRule="auto"/>
        <w:ind w:left="709" w:hanging="289"/>
        <w:rPr>
          <w:rFonts w:hint="eastAsia" w:ascii="宋体" w:hAnsi="宋体" w:eastAsia="宋体" w:cs="宋体"/>
          <w:szCs w:val="21"/>
        </w:rPr>
      </w:pPr>
      <w:r>
        <w:rPr>
          <w:rFonts w:hint="eastAsia" w:ascii="宋体" w:hAnsi="宋体" w:eastAsia="宋体" w:cs="宋体"/>
          <w:szCs w:val="21"/>
        </w:rPr>
        <w:t>法定代表人身份证明书</w:t>
      </w:r>
    </w:p>
    <w:p>
      <w:pPr>
        <w:numPr>
          <w:ilvl w:val="0"/>
          <w:numId w:val="105"/>
        </w:numPr>
        <w:tabs>
          <w:tab w:val="left" w:pos="851"/>
        </w:tabs>
        <w:spacing w:line="276" w:lineRule="auto"/>
        <w:ind w:left="709" w:hanging="289"/>
        <w:rPr>
          <w:rFonts w:hint="eastAsia" w:ascii="宋体" w:hAnsi="宋体" w:eastAsia="宋体" w:cs="宋体"/>
          <w:szCs w:val="21"/>
        </w:rPr>
      </w:pPr>
      <w:r>
        <w:rPr>
          <w:rFonts w:hint="eastAsia" w:ascii="宋体" w:hAnsi="宋体" w:eastAsia="宋体" w:cs="宋体"/>
          <w:szCs w:val="21"/>
        </w:rPr>
        <w:t>法定代表人授权委托书</w:t>
      </w:r>
    </w:p>
    <w:p>
      <w:pPr>
        <w:numPr>
          <w:ilvl w:val="0"/>
          <w:numId w:val="105"/>
        </w:numPr>
        <w:tabs>
          <w:tab w:val="left" w:pos="709"/>
        </w:tabs>
        <w:spacing w:line="276" w:lineRule="auto"/>
        <w:rPr>
          <w:rFonts w:hint="eastAsia" w:ascii="宋体" w:hAnsi="宋体" w:eastAsia="宋体" w:cs="宋体"/>
          <w:szCs w:val="21"/>
        </w:rPr>
      </w:pPr>
      <w:r>
        <w:rPr>
          <w:rFonts w:hint="eastAsia" w:ascii="宋体" w:hAnsi="宋体" w:eastAsia="宋体" w:cs="宋体"/>
          <w:szCs w:val="21"/>
        </w:rPr>
        <w:t>资格证明材料</w:t>
      </w:r>
    </w:p>
    <w:p>
      <w:pPr>
        <w:numPr>
          <w:ilvl w:val="0"/>
          <w:numId w:val="105"/>
        </w:numPr>
        <w:tabs>
          <w:tab w:val="left" w:pos="851"/>
        </w:tabs>
        <w:spacing w:line="276" w:lineRule="auto"/>
        <w:ind w:left="709" w:hanging="289"/>
        <w:rPr>
          <w:rFonts w:hint="eastAsia" w:ascii="宋体" w:hAnsi="宋体" w:eastAsia="宋体" w:cs="宋体"/>
          <w:szCs w:val="21"/>
        </w:rPr>
      </w:pPr>
      <w:r>
        <w:rPr>
          <w:rFonts w:hint="eastAsia" w:ascii="宋体" w:hAnsi="宋体" w:eastAsia="宋体" w:cs="宋体"/>
          <w:szCs w:val="21"/>
        </w:rPr>
        <w:t>节能环保产品清单及证明材料</w:t>
      </w:r>
      <w:r>
        <w:rPr>
          <w:rFonts w:hint="eastAsia" w:ascii="宋体" w:hAnsi="宋体" w:eastAsia="宋体" w:cs="宋体"/>
          <w:b/>
          <w:szCs w:val="21"/>
        </w:rPr>
        <w:t>（如需）</w:t>
      </w:r>
    </w:p>
    <w:p>
      <w:pPr>
        <w:numPr>
          <w:ilvl w:val="0"/>
          <w:numId w:val="105"/>
        </w:numPr>
        <w:tabs>
          <w:tab w:val="left" w:pos="851"/>
        </w:tabs>
        <w:spacing w:line="276" w:lineRule="auto"/>
        <w:ind w:left="709" w:hanging="289"/>
        <w:rPr>
          <w:rFonts w:hint="eastAsia" w:ascii="宋体" w:hAnsi="宋体" w:eastAsia="宋体" w:cs="宋体"/>
          <w:szCs w:val="21"/>
        </w:rPr>
      </w:pPr>
      <w:r>
        <w:rPr>
          <w:rFonts w:hint="eastAsia" w:ascii="宋体" w:hAnsi="宋体" w:eastAsia="宋体" w:cs="宋体"/>
          <w:szCs w:val="21"/>
        </w:rPr>
        <w:t>制造厂家授权书/售后服务承诺函</w:t>
      </w:r>
      <w:r>
        <w:rPr>
          <w:rFonts w:hint="eastAsia" w:ascii="宋体" w:hAnsi="宋体" w:eastAsia="宋体" w:cs="宋体"/>
          <w:b/>
          <w:szCs w:val="21"/>
        </w:rPr>
        <w:t>（如需）</w:t>
      </w:r>
    </w:p>
    <w:p>
      <w:pPr>
        <w:numPr>
          <w:ilvl w:val="0"/>
          <w:numId w:val="105"/>
        </w:numPr>
        <w:tabs>
          <w:tab w:val="left" w:pos="851"/>
        </w:tabs>
        <w:spacing w:line="276" w:lineRule="auto"/>
        <w:ind w:left="709" w:hanging="289"/>
        <w:rPr>
          <w:rFonts w:hint="eastAsia" w:ascii="宋体" w:hAnsi="宋体" w:eastAsia="宋体" w:cs="宋体"/>
          <w:szCs w:val="21"/>
        </w:rPr>
      </w:pPr>
      <w:r>
        <w:rPr>
          <w:rFonts w:hint="eastAsia" w:ascii="宋体" w:hAnsi="宋体" w:eastAsia="宋体" w:cs="宋体"/>
          <w:szCs w:val="21"/>
        </w:rPr>
        <w:t>项目负责人、技术负责人简历表及证明材料</w:t>
      </w:r>
      <w:r>
        <w:rPr>
          <w:rFonts w:hint="eastAsia" w:ascii="宋体" w:hAnsi="宋体" w:eastAsia="宋体" w:cs="宋体"/>
          <w:b/>
          <w:szCs w:val="21"/>
        </w:rPr>
        <w:t>（如需）</w:t>
      </w:r>
    </w:p>
    <w:p>
      <w:pPr>
        <w:numPr>
          <w:ilvl w:val="0"/>
          <w:numId w:val="105"/>
        </w:numPr>
        <w:tabs>
          <w:tab w:val="left" w:pos="851"/>
        </w:tabs>
        <w:spacing w:line="276" w:lineRule="auto"/>
        <w:ind w:left="709" w:hanging="289"/>
        <w:rPr>
          <w:rFonts w:hint="eastAsia" w:ascii="宋体" w:hAnsi="宋体" w:eastAsia="宋体" w:cs="宋体"/>
          <w:szCs w:val="21"/>
        </w:rPr>
      </w:pPr>
      <w:r>
        <w:rPr>
          <w:rFonts w:hint="eastAsia" w:ascii="宋体" w:hAnsi="宋体" w:eastAsia="宋体" w:cs="宋体"/>
          <w:szCs w:val="21"/>
        </w:rPr>
        <w:t>项目组成员一览表及证明材料</w:t>
      </w:r>
      <w:r>
        <w:rPr>
          <w:rFonts w:hint="eastAsia" w:ascii="宋体" w:hAnsi="宋体" w:eastAsia="宋体" w:cs="宋体"/>
          <w:b/>
          <w:szCs w:val="21"/>
        </w:rPr>
        <w:t>（如需）</w:t>
      </w:r>
    </w:p>
    <w:p>
      <w:pPr>
        <w:numPr>
          <w:ilvl w:val="0"/>
          <w:numId w:val="105"/>
        </w:numPr>
        <w:tabs>
          <w:tab w:val="left" w:pos="851"/>
        </w:tabs>
        <w:spacing w:line="276" w:lineRule="auto"/>
        <w:ind w:left="709" w:hanging="289"/>
        <w:rPr>
          <w:rFonts w:hint="eastAsia" w:ascii="宋体" w:hAnsi="宋体" w:eastAsia="宋体" w:cs="宋体"/>
          <w:szCs w:val="21"/>
        </w:rPr>
      </w:pPr>
      <w:r>
        <w:rPr>
          <w:rFonts w:hint="eastAsia" w:ascii="宋体" w:hAnsi="宋体" w:eastAsia="宋体" w:cs="宋体"/>
          <w:szCs w:val="21"/>
        </w:rPr>
        <w:t>类似项目业绩表及证明材料</w:t>
      </w:r>
      <w:r>
        <w:rPr>
          <w:rFonts w:hint="eastAsia" w:ascii="宋体" w:hAnsi="宋体" w:eastAsia="宋体" w:cs="宋体"/>
          <w:b/>
          <w:szCs w:val="21"/>
        </w:rPr>
        <w:t>（如需）</w:t>
      </w:r>
    </w:p>
    <w:p>
      <w:pPr>
        <w:numPr>
          <w:ilvl w:val="0"/>
          <w:numId w:val="105"/>
        </w:numPr>
        <w:tabs>
          <w:tab w:val="left" w:pos="1134"/>
        </w:tabs>
        <w:spacing w:line="276" w:lineRule="auto"/>
        <w:rPr>
          <w:rFonts w:hint="eastAsia" w:ascii="宋体" w:hAnsi="宋体" w:eastAsia="宋体" w:cs="宋体"/>
          <w:szCs w:val="21"/>
        </w:rPr>
      </w:pPr>
      <w:r>
        <w:rPr>
          <w:rFonts w:hint="eastAsia" w:ascii="宋体" w:hAnsi="宋体" w:eastAsia="宋体" w:cs="宋体"/>
          <w:szCs w:val="21"/>
        </w:rPr>
        <w:t>技术、服务及商务文件</w:t>
      </w:r>
    </w:p>
    <w:p>
      <w:pPr>
        <w:numPr>
          <w:ilvl w:val="0"/>
          <w:numId w:val="105"/>
        </w:numPr>
        <w:tabs>
          <w:tab w:val="left" w:pos="1134"/>
        </w:tabs>
        <w:spacing w:line="276" w:lineRule="auto"/>
        <w:rPr>
          <w:rFonts w:hint="eastAsia" w:ascii="宋体" w:hAnsi="宋体" w:eastAsia="宋体" w:cs="宋体"/>
          <w:szCs w:val="21"/>
        </w:rPr>
      </w:pPr>
      <w:r>
        <w:rPr>
          <w:rFonts w:hint="eastAsia" w:ascii="宋体" w:hAnsi="宋体" w:eastAsia="宋体" w:cs="宋体"/>
          <w:szCs w:val="21"/>
        </w:rPr>
        <w:t>技术、服务及商务要求响应、偏离说明表</w:t>
      </w:r>
    </w:p>
    <w:p>
      <w:pPr>
        <w:numPr>
          <w:ilvl w:val="0"/>
          <w:numId w:val="105"/>
        </w:numPr>
        <w:tabs>
          <w:tab w:val="left" w:pos="709"/>
        </w:tabs>
        <w:spacing w:line="276" w:lineRule="auto"/>
        <w:rPr>
          <w:rFonts w:hint="eastAsia" w:ascii="宋体" w:hAnsi="宋体" w:eastAsia="宋体" w:cs="宋体"/>
          <w:color w:val="0D0D0D"/>
          <w:szCs w:val="21"/>
        </w:rPr>
      </w:pPr>
      <w:r>
        <w:rPr>
          <w:rFonts w:hint="eastAsia" w:ascii="宋体" w:hAnsi="宋体" w:eastAsia="宋体" w:cs="宋体"/>
          <w:color w:val="0D0D0D"/>
          <w:szCs w:val="21"/>
        </w:rPr>
        <w:t>资格审查对照表</w:t>
      </w:r>
    </w:p>
    <w:p>
      <w:pPr>
        <w:numPr>
          <w:ilvl w:val="0"/>
          <w:numId w:val="105"/>
        </w:numPr>
        <w:tabs>
          <w:tab w:val="left" w:pos="709"/>
        </w:tabs>
        <w:spacing w:line="276" w:lineRule="auto"/>
        <w:rPr>
          <w:rFonts w:hint="eastAsia" w:ascii="宋体" w:hAnsi="宋体" w:eastAsia="宋体" w:cs="宋体"/>
          <w:color w:val="0D0D0D"/>
          <w:szCs w:val="21"/>
        </w:rPr>
      </w:pPr>
      <w:r>
        <w:rPr>
          <w:rFonts w:hint="eastAsia" w:ascii="宋体" w:hAnsi="宋体" w:eastAsia="宋体" w:cs="宋体"/>
          <w:color w:val="0D0D0D"/>
          <w:szCs w:val="21"/>
        </w:rPr>
        <w:t>符合性审查对照表</w:t>
      </w:r>
    </w:p>
    <w:p>
      <w:pPr>
        <w:numPr>
          <w:ilvl w:val="0"/>
          <w:numId w:val="105"/>
        </w:numPr>
        <w:tabs>
          <w:tab w:val="left" w:pos="709"/>
        </w:tabs>
        <w:spacing w:line="276" w:lineRule="auto"/>
        <w:rPr>
          <w:rFonts w:hint="eastAsia" w:ascii="宋体" w:hAnsi="宋体" w:eastAsia="宋体" w:cs="宋体"/>
          <w:color w:val="0D0D0D"/>
          <w:szCs w:val="21"/>
        </w:rPr>
      </w:pPr>
      <w:r>
        <w:rPr>
          <w:rFonts w:hint="eastAsia" w:ascii="宋体" w:hAnsi="宋体" w:eastAsia="宋体" w:cs="宋体"/>
          <w:color w:val="0D0D0D"/>
          <w:szCs w:val="21"/>
        </w:rPr>
        <w:t>技术、服务及商务评议对照表</w:t>
      </w:r>
    </w:p>
    <w:p>
      <w:pPr>
        <w:tabs>
          <w:tab w:val="left" w:pos="709"/>
        </w:tabs>
        <w:spacing w:line="276" w:lineRule="auto"/>
        <w:rPr>
          <w:rFonts w:hint="eastAsia" w:ascii="宋体" w:hAnsi="宋体" w:eastAsia="宋体" w:cs="宋体"/>
          <w:color w:val="0D0D0D"/>
          <w:szCs w:val="21"/>
        </w:rPr>
      </w:pPr>
    </w:p>
    <w:p>
      <w:pPr>
        <w:tabs>
          <w:tab w:val="left" w:pos="709"/>
        </w:tabs>
        <w:spacing w:line="276" w:lineRule="auto"/>
        <w:rPr>
          <w:rFonts w:hint="eastAsia" w:ascii="宋体" w:hAnsi="宋体" w:eastAsia="宋体" w:cs="宋体"/>
          <w:color w:val="0D0D0D"/>
          <w:szCs w:val="21"/>
        </w:rPr>
      </w:pPr>
    </w:p>
    <w:p>
      <w:pPr>
        <w:tabs>
          <w:tab w:val="left" w:pos="851"/>
        </w:tabs>
        <w:spacing w:line="276" w:lineRule="auto"/>
        <w:rPr>
          <w:rFonts w:hint="eastAsia" w:ascii="宋体" w:hAnsi="宋体" w:eastAsia="宋体" w:cs="宋体"/>
          <w:color w:val="0D0D0D"/>
          <w:szCs w:val="21"/>
        </w:rPr>
      </w:pPr>
      <w:r>
        <w:rPr>
          <w:rFonts w:hint="eastAsia" w:ascii="宋体" w:hAnsi="宋体" w:eastAsia="宋体" w:cs="宋体"/>
          <w:color w:val="0D0D0D"/>
          <w:szCs w:val="21"/>
        </w:rPr>
        <w:t>注：</w:t>
      </w:r>
    </w:p>
    <w:p>
      <w:pPr>
        <w:tabs>
          <w:tab w:val="left" w:pos="851"/>
        </w:tabs>
        <w:spacing w:line="276" w:lineRule="auto"/>
        <w:ind w:left="210" w:leftChars="100"/>
        <w:rPr>
          <w:rFonts w:hint="eastAsia" w:ascii="宋体" w:hAnsi="宋体" w:eastAsia="宋体" w:cs="宋体"/>
          <w:color w:val="0D0D0D"/>
          <w:szCs w:val="21"/>
        </w:rPr>
      </w:pPr>
      <w:r>
        <w:rPr>
          <w:rFonts w:hint="eastAsia" w:ascii="宋体" w:hAnsi="宋体" w:eastAsia="宋体" w:cs="宋体"/>
          <w:color w:val="0D0D0D"/>
          <w:szCs w:val="21"/>
        </w:rPr>
        <w:t>1、根据参考格式要求自行编写，应目录清晰、内容详尽、易于理解。</w:t>
      </w:r>
    </w:p>
    <w:p>
      <w:pPr>
        <w:tabs>
          <w:tab w:val="left" w:pos="851"/>
        </w:tabs>
        <w:spacing w:line="276" w:lineRule="auto"/>
        <w:ind w:left="210" w:leftChars="100"/>
        <w:rPr>
          <w:rFonts w:hint="eastAsia" w:ascii="宋体" w:hAnsi="宋体" w:eastAsia="宋体" w:cs="宋体"/>
          <w:color w:val="0D0D0D"/>
          <w:szCs w:val="21"/>
        </w:rPr>
      </w:pPr>
      <w:r>
        <w:rPr>
          <w:rFonts w:hint="eastAsia" w:ascii="宋体" w:hAnsi="宋体" w:eastAsia="宋体" w:cs="宋体"/>
          <w:color w:val="0D0D0D"/>
          <w:szCs w:val="21"/>
        </w:rPr>
        <w:t>2、未限定格式的由投标人根据实际情况自行编制。</w:t>
      </w:r>
    </w:p>
    <w:p>
      <w:pPr>
        <w:widowControl/>
        <w:jc w:val="left"/>
        <w:rPr>
          <w:rFonts w:hint="eastAsia" w:ascii="宋体" w:hAnsi="宋体" w:eastAsia="宋体" w:cs="宋体"/>
          <w:color w:val="0D0D0D"/>
          <w:szCs w:val="21"/>
        </w:rPr>
      </w:pPr>
      <w:r>
        <w:rPr>
          <w:rFonts w:hint="eastAsia" w:ascii="宋体" w:hAnsi="宋体" w:eastAsia="宋体" w:cs="宋体"/>
          <w:color w:val="0D0D0D"/>
          <w:szCs w:val="21"/>
        </w:rPr>
        <w:br w:type="page"/>
      </w:r>
    </w:p>
    <w:p>
      <w:pPr>
        <w:pStyle w:val="29"/>
        <w:numPr>
          <w:ilvl w:val="0"/>
          <w:numId w:val="106"/>
        </w:numPr>
        <w:spacing w:line="276" w:lineRule="auto"/>
        <w:ind w:firstLineChars="0"/>
        <w:outlineLvl w:val="2"/>
        <w:rPr>
          <w:rFonts w:hint="eastAsia" w:ascii="宋体" w:hAnsi="宋体" w:eastAsia="宋体" w:cs="宋体"/>
          <w:szCs w:val="21"/>
        </w:rPr>
      </w:pPr>
      <w:r>
        <w:rPr>
          <w:rFonts w:hint="eastAsia" w:ascii="宋体" w:hAnsi="宋体" w:eastAsia="宋体" w:cs="宋体"/>
          <w:szCs w:val="21"/>
        </w:rPr>
        <w:t>投标书</w:t>
      </w:r>
    </w:p>
    <w:p>
      <w:pPr>
        <w:spacing w:line="276" w:lineRule="auto"/>
        <w:jc w:val="center"/>
        <w:rPr>
          <w:rFonts w:hint="eastAsia" w:ascii="宋体" w:hAnsi="宋体" w:eastAsia="宋体" w:cs="宋体"/>
          <w:b/>
          <w:szCs w:val="21"/>
        </w:rPr>
      </w:pPr>
      <w:r>
        <w:rPr>
          <w:rFonts w:hint="eastAsia" w:ascii="宋体" w:hAnsi="宋体" w:eastAsia="宋体" w:cs="宋体"/>
          <w:b/>
          <w:szCs w:val="21"/>
        </w:rPr>
        <w:t>投标书</w:t>
      </w:r>
    </w:p>
    <w:p>
      <w:pPr>
        <w:spacing w:line="276" w:lineRule="auto"/>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DOCVARIABLE 招标机构名称 </w:instrText>
      </w:r>
      <w:r>
        <w:rPr>
          <w:rFonts w:hint="eastAsia" w:ascii="宋体" w:hAnsi="宋体" w:eastAsia="宋体" w:cs="宋体"/>
          <w:szCs w:val="21"/>
        </w:rPr>
        <w:fldChar w:fldCharType="separate"/>
      </w:r>
      <w:r>
        <w:rPr>
          <w:rFonts w:hint="eastAsia" w:ascii="宋体" w:hAnsi="宋体" w:eastAsia="宋体" w:cs="宋体"/>
          <w:szCs w:val="21"/>
        </w:rPr>
        <w:t>湖北国华项目管理咨询有限公司</w:t>
      </w:r>
      <w:r>
        <w:rPr>
          <w:rFonts w:hint="eastAsia" w:ascii="宋体" w:hAnsi="宋体" w:eastAsia="宋体" w:cs="宋体"/>
          <w:szCs w:val="21"/>
        </w:rPr>
        <w:fldChar w:fldCharType="end"/>
      </w:r>
      <w:r>
        <w:rPr>
          <w:rFonts w:hint="eastAsia" w:ascii="宋体" w:hAnsi="宋体" w:eastAsia="宋体" w:cs="宋体"/>
          <w:szCs w:val="21"/>
        </w:rPr>
        <w:t>：</w:t>
      </w:r>
    </w:p>
    <w:p>
      <w:pPr>
        <w:spacing w:line="360" w:lineRule="auto"/>
        <w:ind w:firstLine="420"/>
        <w:rPr>
          <w:rFonts w:hint="eastAsia" w:ascii="宋体" w:hAnsi="宋体" w:eastAsia="宋体" w:cs="宋体"/>
          <w:szCs w:val="21"/>
        </w:rPr>
      </w:pPr>
      <w:r>
        <w:rPr>
          <w:rFonts w:hint="eastAsia" w:ascii="宋体" w:hAnsi="宋体" w:eastAsia="宋体" w:cs="宋体"/>
          <w:szCs w:val="21"/>
        </w:rPr>
        <w:t>依据贵方</w:t>
      </w:r>
      <w:r>
        <w:rPr>
          <w:rFonts w:hint="eastAsia" w:ascii="宋体" w:hAnsi="宋体" w:eastAsia="宋体" w:cs="宋体"/>
          <w:szCs w:val="21"/>
          <w:u w:val="single"/>
        </w:rPr>
        <w:t xml:space="preserve">               </w:t>
      </w:r>
      <w:r>
        <w:rPr>
          <w:rFonts w:hint="eastAsia" w:ascii="宋体" w:hAnsi="宋体" w:eastAsia="宋体" w:cs="宋体"/>
          <w:szCs w:val="21"/>
        </w:rPr>
        <w:t>项目（项目编号/标段编号：</w:t>
      </w:r>
      <w:r>
        <w:rPr>
          <w:rFonts w:hint="eastAsia" w:ascii="宋体" w:hAnsi="宋体" w:eastAsia="宋体" w:cs="宋体"/>
          <w:szCs w:val="21"/>
          <w:u w:val="single"/>
        </w:rPr>
        <w:t xml:space="preserve">         </w:t>
      </w:r>
      <w:r>
        <w:rPr>
          <w:rFonts w:hint="eastAsia" w:ascii="宋体" w:hAnsi="宋体" w:eastAsia="宋体" w:cs="宋体"/>
          <w:szCs w:val="21"/>
        </w:rPr>
        <w:t>）招标的投标邀请，我方代表</w:t>
      </w:r>
      <w:r>
        <w:rPr>
          <w:rFonts w:hint="eastAsia" w:ascii="宋体" w:hAnsi="宋体" w:eastAsia="宋体" w:cs="宋体"/>
          <w:szCs w:val="21"/>
          <w:u w:val="single"/>
        </w:rPr>
        <w:t xml:space="preserve">         </w:t>
      </w:r>
      <w:r>
        <w:rPr>
          <w:rFonts w:hint="eastAsia" w:ascii="宋体" w:hAnsi="宋体" w:eastAsia="宋体" w:cs="宋体"/>
          <w:szCs w:val="21"/>
        </w:rPr>
        <w:t>（姓名、职务）经正式授权并代表投标人</w:t>
      </w:r>
      <w:r>
        <w:rPr>
          <w:rFonts w:hint="eastAsia" w:ascii="宋体" w:hAnsi="宋体" w:eastAsia="宋体" w:cs="宋体"/>
          <w:szCs w:val="21"/>
          <w:u w:val="single"/>
        </w:rPr>
        <w:t xml:space="preserve">         </w:t>
      </w:r>
      <w:r>
        <w:rPr>
          <w:rFonts w:hint="eastAsia" w:ascii="宋体" w:hAnsi="宋体" w:eastAsia="宋体" w:cs="宋体"/>
          <w:szCs w:val="21"/>
        </w:rPr>
        <w:t>（投标人名称）提交本投标文件。</w:t>
      </w:r>
    </w:p>
    <w:p>
      <w:pPr>
        <w:spacing w:line="360" w:lineRule="auto"/>
        <w:ind w:firstLine="422"/>
        <w:rPr>
          <w:rFonts w:hint="eastAsia" w:ascii="宋体" w:hAnsi="宋体" w:eastAsia="宋体" w:cs="宋体"/>
          <w:b/>
          <w:kern w:val="0"/>
          <w:szCs w:val="21"/>
        </w:rPr>
      </w:pPr>
      <w:r>
        <w:rPr>
          <w:rFonts w:hint="eastAsia" w:ascii="宋体" w:hAnsi="宋体" w:eastAsia="宋体" w:cs="宋体"/>
          <w:b/>
          <w:kern w:val="0"/>
          <w:szCs w:val="21"/>
        </w:rPr>
        <w:t>在此，我方宣布同意如下：</w:t>
      </w:r>
    </w:p>
    <w:p>
      <w:pPr>
        <w:spacing w:line="360" w:lineRule="auto"/>
        <w:ind w:left="12" w:leftChars="6" w:firstLine="413" w:firstLineChars="197"/>
        <w:rPr>
          <w:rFonts w:hint="eastAsia" w:ascii="宋体" w:hAnsi="宋体" w:eastAsia="宋体" w:cs="宋体"/>
          <w:szCs w:val="21"/>
        </w:rPr>
      </w:pPr>
      <w:r>
        <w:rPr>
          <w:rFonts w:hint="eastAsia" w:ascii="宋体" w:hAnsi="宋体" w:eastAsia="宋体" w:cs="宋体"/>
          <w:szCs w:val="21"/>
        </w:rPr>
        <w:t>1．《报价一览表》中规定的应提交和交付的</w:t>
      </w:r>
      <w:r>
        <w:rPr>
          <w:rFonts w:hint="eastAsia" w:ascii="宋体" w:hAnsi="宋体" w:eastAsia="宋体" w:cs="宋体"/>
          <w:szCs w:val="21"/>
          <w:u w:val="single"/>
        </w:rPr>
        <w:t xml:space="preserve">       </w:t>
      </w:r>
      <w:r>
        <w:rPr>
          <w:rFonts w:hint="eastAsia" w:ascii="宋体" w:hAnsi="宋体" w:eastAsia="宋体" w:cs="宋体"/>
          <w:szCs w:val="21"/>
        </w:rPr>
        <w:t>（项目编号/标段编号）货物（工程或服务）投标报价为</w:t>
      </w:r>
      <w:r>
        <w:rPr>
          <w:rFonts w:hint="eastAsia" w:ascii="宋体" w:hAnsi="宋体" w:eastAsia="宋体" w:cs="宋体"/>
          <w:szCs w:val="21"/>
          <w:u w:val="single"/>
        </w:rPr>
        <w:t xml:space="preserve">            </w:t>
      </w:r>
      <w:r>
        <w:rPr>
          <w:rFonts w:hint="eastAsia" w:ascii="宋体" w:hAnsi="宋体" w:eastAsia="宋体" w:cs="宋体"/>
          <w:szCs w:val="21"/>
        </w:rPr>
        <w:t>（注明币种，并用大写和小写表述投标总价）；</w:t>
      </w:r>
    </w:p>
    <w:p>
      <w:pPr>
        <w:spacing w:line="360" w:lineRule="auto"/>
        <w:ind w:left="12" w:leftChars="6" w:firstLine="413" w:firstLineChars="197"/>
        <w:rPr>
          <w:rFonts w:hint="eastAsia" w:ascii="宋体" w:hAnsi="宋体" w:eastAsia="宋体" w:cs="宋体"/>
          <w:szCs w:val="21"/>
        </w:rPr>
      </w:pPr>
      <w:r>
        <w:rPr>
          <w:rFonts w:hint="eastAsia" w:ascii="宋体" w:hAnsi="宋体" w:eastAsia="宋体" w:cs="宋体"/>
          <w:szCs w:val="21"/>
        </w:rPr>
        <w:t>2．按招标文件的约定履行合同责任和义务；</w:t>
      </w:r>
    </w:p>
    <w:p>
      <w:pPr>
        <w:spacing w:line="360" w:lineRule="auto"/>
        <w:ind w:left="12" w:leftChars="6" w:firstLine="413" w:firstLineChars="197"/>
        <w:rPr>
          <w:rFonts w:hint="eastAsia" w:ascii="宋体" w:hAnsi="宋体" w:eastAsia="宋体" w:cs="宋体"/>
          <w:szCs w:val="21"/>
        </w:rPr>
      </w:pPr>
      <w:r>
        <w:rPr>
          <w:rFonts w:hint="eastAsia" w:ascii="宋体" w:hAnsi="宋体" w:eastAsia="宋体" w:cs="宋体"/>
          <w:szCs w:val="21"/>
        </w:rPr>
        <w:t>3．已详细审查全部招标文件，包括修正或补充文件（如有）；</w:t>
      </w:r>
    </w:p>
    <w:p>
      <w:pPr>
        <w:spacing w:line="360" w:lineRule="auto"/>
        <w:ind w:left="12" w:leftChars="6" w:firstLine="413" w:firstLineChars="197"/>
        <w:rPr>
          <w:rFonts w:hint="eastAsia" w:ascii="宋体" w:hAnsi="宋体" w:eastAsia="宋体" w:cs="宋体"/>
          <w:szCs w:val="21"/>
        </w:rPr>
      </w:pPr>
      <w:r>
        <w:rPr>
          <w:rFonts w:hint="eastAsia" w:ascii="宋体" w:hAnsi="宋体" w:eastAsia="宋体" w:cs="宋体"/>
          <w:szCs w:val="21"/>
        </w:rPr>
        <w:t>4．投标有效期为</w:t>
      </w:r>
      <w:r>
        <w:rPr>
          <w:rFonts w:hint="eastAsia" w:ascii="宋体" w:hAnsi="宋体" w:eastAsia="宋体" w:cs="宋体"/>
          <w:color w:val="0C0C0C"/>
          <w:szCs w:val="21"/>
        </w:rPr>
        <w:t>自</w:t>
      </w:r>
      <w:r>
        <w:rPr>
          <w:rFonts w:hint="eastAsia" w:ascii="宋体" w:hAnsi="宋体" w:eastAsia="宋体" w:cs="宋体"/>
          <w:color w:val="0C0C0C"/>
          <w:kern w:val="0"/>
          <w:szCs w:val="21"/>
        </w:rPr>
        <w:t>递交投标文件截止之日起</w:t>
      </w:r>
      <w:r>
        <w:rPr>
          <w:rFonts w:hint="eastAsia" w:ascii="宋体" w:hAnsi="宋体" w:eastAsia="宋体" w:cs="宋体"/>
          <w:szCs w:val="21"/>
        </w:rPr>
        <w:t>，共</w:t>
      </w:r>
      <w:r>
        <w:rPr>
          <w:rFonts w:hint="eastAsia" w:ascii="宋体" w:hAnsi="宋体" w:eastAsia="宋体" w:cs="宋体"/>
          <w:szCs w:val="21"/>
          <w:u w:val="single"/>
        </w:rPr>
        <w:t xml:space="preserve"> 90  </w:t>
      </w:r>
      <w:r>
        <w:rPr>
          <w:rFonts w:hint="eastAsia" w:ascii="宋体" w:hAnsi="宋体" w:eastAsia="宋体" w:cs="宋体"/>
          <w:szCs w:val="21"/>
        </w:rPr>
        <w:t>个日历日；</w:t>
      </w:r>
    </w:p>
    <w:p>
      <w:pPr>
        <w:spacing w:line="360" w:lineRule="auto"/>
        <w:ind w:left="12" w:leftChars="6" w:firstLine="413" w:firstLineChars="197"/>
        <w:rPr>
          <w:rFonts w:hint="eastAsia" w:ascii="宋体" w:hAnsi="宋体" w:eastAsia="宋体" w:cs="宋体"/>
          <w:szCs w:val="21"/>
        </w:rPr>
      </w:pPr>
      <w:r>
        <w:rPr>
          <w:rFonts w:hint="eastAsia" w:ascii="宋体" w:hAnsi="宋体" w:eastAsia="宋体" w:cs="宋体"/>
          <w:szCs w:val="21"/>
        </w:rPr>
        <w:t>5．接受招标文件关于不予退还投标保证金的约定；</w:t>
      </w:r>
    </w:p>
    <w:p>
      <w:pPr>
        <w:spacing w:line="360" w:lineRule="auto"/>
        <w:ind w:left="12" w:leftChars="6" w:firstLine="413" w:firstLineChars="197"/>
        <w:rPr>
          <w:rFonts w:hint="eastAsia" w:ascii="宋体" w:hAnsi="宋体" w:eastAsia="宋体" w:cs="宋体"/>
          <w:szCs w:val="21"/>
        </w:rPr>
      </w:pPr>
      <w:r>
        <w:rPr>
          <w:rFonts w:hint="eastAsia" w:ascii="宋体" w:hAnsi="宋体" w:eastAsia="宋体" w:cs="宋体"/>
          <w:szCs w:val="21"/>
        </w:rPr>
        <w:t>6．提供按照贵方可能要求的与投标有关的一切数据或资料；</w:t>
      </w:r>
    </w:p>
    <w:p>
      <w:pPr>
        <w:spacing w:line="360" w:lineRule="auto"/>
        <w:ind w:left="12" w:leftChars="6" w:firstLine="413" w:firstLineChars="197"/>
        <w:rPr>
          <w:rFonts w:hint="eastAsia" w:ascii="宋体" w:hAnsi="宋体" w:eastAsia="宋体" w:cs="宋体"/>
          <w:szCs w:val="21"/>
        </w:rPr>
      </w:pPr>
      <w:r>
        <w:rPr>
          <w:rFonts w:hint="eastAsia" w:ascii="宋体" w:hAnsi="宋体" w:eastAsia="宋体" w:cs="宋体"/>
          <w:szCs w:val="21"/>
        </w:rPr>
        <w:t>7．与投标有关的一切正式往来信函请寄：</w:t>
      </w:r>
    </w:p>
    <w:p>
      <w:pPr>
        <w:spacing w:line="360" w:lineRule="auto"/>
        <w:ind w:left="222" w:leftChars="106" w:firstLine="413" w:firstLineChars="197"/>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p>
    <w:p>
      <w:pPr>
        <w:spacing w:line="360" w:lineRule="auto"/>
        <w:ind w:left="222" w:leftChars="106" w:firstLine="413" w:firstLineChars="197"/>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p>
    <w:p>
      <w:pPr>
        <w:spacing w:line="360" w:lineRule="auto"/>
        <w:ind w:left="222" w:leftChars="106" w:firstLine="413" w:firstLineChars="197"/>
        <w:rPr>
          <w:rFonts w:hint="eastAsia" w:ascii="宋体" w:hAnsi="宋体" w:eastAsia="宋体" w:cs="宋体"/>
          <w:szCs w:val="21"/>
        </w:rPr>
      </w:pPr>
      <w:r>
        <w:rPr>
          <w:rFonts w:hint="eastAsia" w:ascii="宋体" w:hAnsi="宋体" w:eastAsia="宋体" w:cs="宋体"/>
          <w:szCs w:val="21"/>
        </w:rPr>
        <w:t>电话/传真：</w:t>
      </w:r>
      <w:r>
        <w:rPr>
          <w:rFonts w:hint="eastAsia" w:ascii="宋体" w:hAnsi="宋体" w:eastAsia="宋体" w:cs="宋体"/>
          <w:szCs w:val="21"/>
          <w:u w:val="single"/>
        </w:rPr>
        <w:t xml:space="preserve">                            </w:t>
      </w:r>
    </w:p>
    <w:p>
      <w:pPr>
        <w:spacing w:line="360" w:lineRule="auto"/>
        <w:ind w:left="222" w:leftChars="106" w:firstLine="413" w:firstLineChars="197"/>
        <w:rPr>
          <w:rFonts w:hint="eastAsia" w:ascii="宋体" w:hAnsi="宋体" w:eastAsia="宋体" w:cs="宋体"/>
          <w:szCs w:val="21"/>
        </w:rPr>
      </w:pPr>
      <w:r>
        <w:rPr>
          <w:rFonts w:hint="eastAsia" w:ascii="宋体" w:hAnsi="宋体" w:eastAsia="宋体" w:cs="宋体"/>
          <w:szCs w:val="21"/>
        </w:rPr>
        <w:t>电子邮件：</w:t>
      </w:r>
      <w:r>
        <w:rPr>
          <w:rFonts w:hint="eastAsia" w:ascii="宋体" w:hAnsi="宋体" w:eastAsia="宋体" w:cs="宋体"/>
          <w:szCs w:val="21"/>
          <w:u w:val="single"/>
        </w:rPr>
        <w:t xml:space="preserve">                             </w:t>
      </w:r>
    </w:p>
    <w:p>
      <w:pPr>
        <w:spacing w:line="360" w:lineRule="auto"/>
        <w:ind w:left="222" w:leftChars="106" w:firstLine="413" w:firstLineChars="197"/>
        <w:rPr>
          <w:rFonts w:hint="eastAsia"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p>
    <w:p>
      <w:pPr>
        <w:spacing w:line="360" w:lineRule="auto"/>
        <w:ind w:left="222" w:leftChars="106" w:firstLine="413" w:firstLineChars="197"/>
        <w:rPr>
          <w:rFonts w:hint="eastAsia" w:ascii="宋体" w:hAnsi="宋体" w:eastAsia="宋体" w:cs="宋体"/>
          <w:szCs w:val="21"/>
          <w:u w:val="single"/>
        </w:rPr>
      </w:pPr>
      <w:r>
        <w:rPr>
          <w:rFonts w:hint="eastAsia" w:ascii="宋体" w:hAnsi="宋体" w:eastAsia="宋体" w:cs="宋体"/>
          <w:szCs w:val="21"/>
        </w:rPr>
        <w:t>账号/行号：</w:t>
      </w:r>
      <w:r>
        <w:rPr>
          <w:rFonts w:hint="eastAsia" w:ascii="宋体" w:hAnsi="宋体" w:eastAsia="宋体" w:cs="宋体"/>
          <w:szCs w:val="21"/>
          <w:u w:val="single"/>
        </w:rPr>
        <w:t xml:space="preserve">                            </w:t>
      </w:r>
    </w:p>
    <w:p>
      <w:pPr>
        <w:spacing w:line="360" w:lineRule="auto"/>
        <w:ind w:left="2532" w:leftChars="1206" w:firstLine="413" w:firstLineChars="197"/>
        <w:rPr>
          <w:rFonts w:hint="eastAsia" w:ascii="宋体" w:hAnsi="宋体" w:eastAsia="宋体" w:cs="宋体"/>
          <w:szCs w:val="21"/>
        </w:rPr>
      </w:pPr>
    </w:p>
    <w:p>
      <w:pPr>
        <w:spacing w:line="276" w:lineRule="auto"/>
        <w:ind w:left="2532" w:leftChars="1206" w:firstLine="413" w:firstLineChars="197"/>
        <w:rPr>
          <w:rFonts w:hint="eastAsia" w:ascii="宋体" w:hAnsi="宋体" w:eastAsia="宋体" w:cs="宋体"/>
          <w:szCs w:val="21"/>
        </w:rPr>
      </w:pPr>
    </w:p>
    <w:p>
      <w:pPr>
        <w:spacing w:before="100" w:beforeAutospacing="1" w:after="100" w:afterAutospacing="1" w:line="276" w:lineRule="auto"/>
        <w:ind w:firstLine="2902" w:firstLineChars="1382"/>
        <w:rPr>
          <w:rFonts w:hint="eastAsia" w:ascii="宋体" w:hAnsi="宋体" w:eastAsia="宋体" w:cs="宋体"/>
          <w:bCs/>
          <w:szCs w:val="21"/>
          <w:u w:val="single"/>
          <w:lang w:val="zh-CN"/>
        </w:rPr>
      </w:pPr>
      <w:r>
        <w:rPr>
          <w:rFonts w:hint="eastAsia" w:ascii="宋体" w:hAnsi="宋体" w:eastAsia="宋体" w:cs="宋体"/>
          <w:bCs/>
          <w:szCs w:val="21"/>
          <w:lang w:val="zh-CN"/>
        </w:rPr>
        <w:t>投标人名称（公章）：</w:t>
      </w:r>
      <w:r>
        <w:rPr>
          <w:rFonts w:hint="eastAsia" w:ascii="宋体" w:hAnsi="宋体" w:eastAsia="宋体" w:cs="宋体"/>
          <w:bCs/>
          <w:szCs w:val="21"/>
          <w:u w:val="single"/>
          <w:lang w:val="zh-CN"/>
        </w:rPr>
        <w:t xml:space="preserve">                         </w:t>
      </w:r>
    </w:p>
    <w:p>
      <w:pPr>
        <w:spacing w:before="100" w:beforeAutospacing="1" w:after="100" w:afterAutospacing="1" w:line="276" w:lineRule="auto"/>
        <w:ind w:firstLine="2902" w:firstLineChars="1382"/>
        <w:rPr>
          <w:rFonts w:hint="eastAsia" w:ascii="宋体" w:hAnsi="宋体" w:eastAsia="宋体" w:cs="宋体"/>
          <w:b/>
          <w:bCs/>
          <w:szCs w:val="21"/>
          <w:u w:val="single"/>
          <w:lang w:val="zh-CN"/>
        </w:rPr>
      </w:pPr>
      <w:r>
        <w:rPr>
          <w:rFonts w:hint="eastAsia" w:ascii="宋体" w:hAnsi="宋体" w:eastAsia="宋体" w:cs="宋体"/>
          <w:bCs/>
          <w:szCs w:val="21"/>
          <w:lang w:val="zh-CN"/>
        </w:rPr>
        <w:t>授权代表（签名）：</w:t>
      </w:r>
      <w:r>
        <w:rPr>
          <w:rFonts w:hint="eastAsia" w:ascii="宋体" w:hAnsi="宋体" w:eastAsia="宋体" w:cs="宋体"/>
          <w:bCs/>
          <w:szCs w:val="21"/>
          <w:u w:val="single"/>
          <w:lang w:val="zh-CN"/>
        </w:rPr>
        <w:t xml:space="preserve">                  </w:t>
      </w:r>
    </w:p>
    <w:p>
      <w:pPr>
        <w:spacing w:line="276" w:lineRule="auto"/>
        <w:ind w:firstLine="2940" w:firstLineChars="1400"/>
        <w:rPr>
          <w:rFonts w:hint="eastAsia" w:ascii="宋体" w:hAnsi="宋体" w:eastAsia="宋体" w:cs="宋体"/>
          <w:color w:val="000000"/>
          <w:szCs w:val="21"/>
        </w:rPr>
      </w:pPr>
      <w:r>
        <w:rPr>
          <w:rFonts w:hint="eastAsia" w:ascii="宋体" w:hAnsi="宋体" w:eastAsia="宋体" w:cs="宋体"/>
          <w:color w:val="000000"/>
          <w:szCs w:val="21"/>
        </w:rPr>
        <w:t>日期：</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日</w:t>
      </w:r>
    </w:p>
    <w:p>
      <w:pPr>
        <w:spacing w:line="276" w:lineRule="auto"/>
        <w:ind w:left="2532" w:leftChars="1206" w:firstLine="413" w:firstLineChars="197"/>
        <w:rPr>
          <w:rFonts w:hint="eastAsia" w:ascii="宋体" w:hAnsi="宋体" w:eastAsia="宋体" w:cs="宋体"/>
          <w:szCs w:val="21"/>
        </w:rPr>
      </w:pPr>
    </w:p>
    <w:p>
      <w:pPr>
        <w:pStyle w:val="29"/>
        <w:numPr>
          <w:ilvl w:val="0"/>
          <w:numId w:val="106"/>
        </w:numPr>
        <w:spacing w:line="276" w:lineRule="auto"/>
        <w:ind w:firstLineChars="0"/>
        <w:outlineLvl w:val="2"/>
        <w:rPr>
          <w:rFonts w:hint="eastAsia" w:ascii="宋体" w:hAnsi="宋体" w:eastAsia="宋体" w:cs="宋体"/>
          <w:szCs w:val="21"/>
        </w:rPr>
      </w:pPr>
      <w:r>
        <w:rPr>
          <w:rFonts w:hint="eastAsia" w:ascii="宋体" w:hAnsi="宋体" w:eastAsia="宋体" w:cs="宋体"/>
          <w:kern w:val="0"/>
          <w:szCs w:val="21"/>
        </w:rPr>
        <w:br w:type="page"/>
      </w:r>
      <w:bookmarkStart w:id="140" w:name="_GoBack"/>
      <w:bookmarkEnd w:id="140"/>
      <w:r>
        <w:rPr>
          <w:rFonts w:hint="eastAsia" w:ascii="宋体" w:hAnsi="宋体" w:eastAsia="宋体" w:cs="宋体"/>
          <w:szCs w:val="21"/>
        </w:rPr>
        <w:t>投标承诺函</w:t>
      </w:r>
    </w:p>
    <w:p>
      <w:pPr>
        <w:spacing w:line="276" w:lineRule="auto"/>
        <w:jc w:val="center"/>
        <w:rPr>
          <w:rFonts w:hint="eastAsia" w:ascii="宋体" w:hAnsi="宋体" w:eastAsia="宋体" w:cs="宋体"/>
          <w:b/>
          <w:szCs w:val="21"/>
        </w:rPr>
      </w:pPr>
      <w:r>
        <w:rPr>
          <w:rFonts w:hint="eastAsia" w:ascii="宋体" w:hAnsi="宋体" w:eastAsia="宋体" w:cs="宋体"/>
          <w:b/>
          <w:szCs w:val="21"/>
        </w:rPr>
        <w:t>投标承诺函</w:t>
      </w:r>
    </w:p>
    <w:p>
      <w:pPr>
        <w:spacing w:line="276" w:lineRule="auto"/>
        <w:rPr>
          <w:rFonts w:hint="eastAsia" w:ascii="宋体" w:hAnsi="宋体" w:eastAsia="宋体" w:cs="宋体"/>
          <w:szCs w:val="21"/>
        </w:rPr>
      </w:pPr>
      <w:r>
        <w:rPr>
          <w:rFonts w:hint="eastAsia" w:ascii="宋体" w:hAnsi="宋体" w:eastAsia="宋体" w:cs="宋体"/>
          <w:szCs w:val="21"/>
          <w:u w:val="single"/>
        </w:rPr>
        <w:t>（采购人）</w:t>
      </w:r>
      <w:r>
        <w:rPr>
          <w:rFonts w:hint="eastAsia" w:ascii="宋体" w:hAnsi="宋体" w:eastAsia="宋体" w:cs="宋体"/>
          <w:szCs w:val="21"/>
        </w:rPr>
        <w:t>、</w:t>
      </w:r>
      <w:r>
        <w:rPr>
          <w:rFonts w:hint="eastAsia" w:ascii="宋体" w:hAnsi="宋体" w:eastAsia="宋体" w:cs="宋体"/>
          <w:szCs w:val="21"/>
          <w:u w:val="single"/>
        </w:rPr>
        <w:fldChar w:fldCharType="begin"/>
      </w:r>
      <w:r>
        <w:rPr>
          <w:rFonts w:hint="eastAsia" w:ascii="宋体" w:hAnsi="宋体" w:eastAsia="宋体" w:cs="宋体"/>
          <w:szCs w:val="21"/>
          <w:u w:val="single"/>
        </w:rPr>
        <w:instrText xml:space="preserve"> DOCVARIABLE 招标机构名称 </w:instrText>
      </w:r>
      <w:r>
        <w:rPr>
          <w:rFonts w:hint="eastAsia" w:ascii="宋体" w:hAnsi="宋体" w:eastAsia="宋体" w:cs="宋体"/>
          <w:szCs w:val="21"/>
          <w:u w:val="single"/>
        </w:rPr>
        <w:fldChar w:fldCharType="separate"/>
      </w:r>
      <w:r>
        <w:rPr>
          <w:rFonts w:hint="eastAsia" w:ascii="宋体" w:hAnsi="宋体" w:eastAsia="宋体" w:cs="宋体"/>
          <w:szCs w:val="21"/>
          <w:u w:val="single"/>
        </w:rPr>
        <w:t>湖北国华项目管理咨询有限公司</w:t>
      </w:r>
      <w:r>
        <w:rPr>
          <w:rFonts w:hint="eastAsia" w:ascii="宋体" w:hAnsi="宋体" w:eastAsia="宋体" w:cs="宋体"/>
          <w:szCs w:val="21"/>
          <w:u w:val="single"/>
        </w:rPr>
        <w:fldChar w:fldCharType="end"/>
      </w:r>
      <w:r>
        <w:rPr>
          <w:rFonts w:hint="eastAsia" w:ascii="宋体" w:hAnsi="宋体" w:eastAsia="宋体" w:cs="宋体"/>
          <w:szCs w:val="21"/>
        </w:rPr>
        <w:t>：</w:t>
      </w:r>
    </w:p>
    <w:p>
      <w:pPr>
        <w:tabs>
          <w:tab w:val="center" w:pos="4153"/>
          <w:tab w:val="right" w:pos="8306"/>
        </w:tabs>
        <w:snapToGrid w:val="0"/>
        <w:spacing w:line="360" w:lineRule="auto"/>
        <w:ind w:firstLine="420"/>
        <w:jc w:val="left"/>
        <w:rPr>
          <w:rFonts w:hint="eastAsia" w:ascii="宋体" w:hAnsi="宋体" w:eastAsia="宋体" w:cs="宋体"/>
          <w:szCs w:val="21"/>
        </w:rPr>
      </w:pPr>
      <w:r>
        <w:rPr>
          <w:rFonts w:hint="eastAsia" w:ascii="宋体" w:hAnsi="宋体" w:eastAsia="宋体" w:cs="宋体"/>
          <w:szCs w:val="21"/>
        </w:rPr>
        <w:t>为了充分体现公开、公平、公正、诚信原则，共同维护招标采购市场秩序，本单位在参与</w:t>
      </w:r>
      <w:r>
        <w:rPr>
          <w:rFonts w:hint="eastAsia" w:ascii="宋体" w:hAnsi="宋体" w:eastAsia="宋体" w:cs="宋体"/>
          <w:szCs w:val="21"/>
          <w:u w:val="single"/>
        </w:rPr>
        <w:t xml:space="preserve">                             </w:t>
      </w:r>
      <w:r>
        <w:rPr>
          <w:rFonts w:hint="eastAsia" w:ascii="宋体" w:hAnsi="宋体" w:eastAsia="宋体" w:cs="宋体"/>
          <w:szCs w:val="21"/>
        </w:rPr>
        <w:t xml:space="preserve"> 项目过程中特作以下承诺：</w:t>
      </w:r>
    </w:p>
    <w:p>
      <w:pPr>
        <w:pStyle w:val="29"/>
        <w:numPr>
          <w:ilvl w:val="0"/>
          <w:numId w:val="107"/>
        </w:numPr>
        <w:tabs>
          <w:tab w:val="center" w:pos="1260"/>
          <w:tab w:val="right" w:pos="8306"/>
        </w:tabs>
        <w:snapToGrid w:val="0"/>
        <w:spacing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履行招标文件要求的责任和义务，遵守法律法规、真实投标，不围标串标、不弄虚作假、造假用假。</w:t>
      </w:r>
    </w:p>
    <w:p>
      <w:pPr>
        <w:pStyle w:val="29"/>
        <w:numPr>
          <w:ilvl w:val="0"/>
          <w:numId w:val="107"/>
        </w:numPr>
        <w:tabs>
          <w:tab w:val="center" w:pos="1260"/>
          <w:tab w:val="right" w:pos="8306"/>
        </w:tabs>
        <w:snapToGrid w:val="0"/>
        <w:spacing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我公司提交的营业执照、资质证书、许可证等资格证明文件，以及拟派本项目的项目经理、技术负责人及其他相关人员的证照、社保等材料真实、有效。</w:t>
      </w:r>
    </w:p>
    <w:p>
      <w:pPr>
        <w:pStyle w:val="29"/>
        <w:numPr>
          <w:ilvl w:val="0"/>
          <w:numId w:val="107"/>
        </w:numPr>
        <w:tabs>
          <w:tab w:val="center" w:pos="1260"/>
          <w:tab w:val="right" w:pos="8306"/>
        </w:tabs>
        <w:snapToGrid w:val="0"/>
        <w:spacing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不相互串通陪标、投标，不排挤其他竞争对手，损害采购人或其他投标人的利益。</w:t>
      </w:r>
    </w:p>
    <w:p>
      <w:pPr>
        <w:pStyle w:val="29"/>
        <w:numPr>
          <w:ilvl w:val="0"/>
          <w:numId w:val="107"/>
        </w:numPr>
        <w:tabs>
          <w:tab w:val="center" w:pos="1260"/>
          <w:tab w:val="right" w:pos="8306"/>
        </w:tabs>
        <w:snapToGrid w:val="0"/>
        <w:spacing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不以任何形式和手段打听搜集评标情况，干扰评标工作、干扰采购人做出正确判断。</w:t>
      </w:r>
    </w:p>
    <w:p>
      <w:pPr>
        <w:pStyle w:val="29"/>
        <w:numPr>
          <w:ilvl w:val="0"/>
          <w:numId w:val="107"/>
        </w:numPr>
        <w:tabs>
          <w:tab w:val="center" w:pos="1260"/>
          <w:tab w:val="right" w:pos="8306"/>
        </w:tabs>
        <w:snapToGrid w:val="0"/>
        <w:spacing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不以低于成本价报价竞标，不以弄虚作假等其他方式骗取中标，不以向采购人或者评标人员请客、送礼、行贿等不正当手段谋取中标。</w:t>
      </w:r>
    </w:p>
    <w:p>
      <w:pPr>
        <w:pStyle w:val="29"/>
        <w:numPr>
          <w:ilvl w:val="0"/>
          <w:numId w:val="107"/>
        </w:numPr>
        <w:tabs>
          <w:tab w:val="center" w:pos="1260"/>
          <w:tab w:val="right" w:pos="8306"/>
        </w:tabs>
        <w:snapToGrid w:val="0"/>
        <w:spacing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不存在单位负责人为同一人或者存在直接控股、管理关系的不同投标人，参加本项目同一合同项下的政府采购活动情况。不存在为本采购项目提供整体设计、规范编制或者项目管理、监理、检测等服务的，再参加本项目的其他招标采购活动情况。</w:t>
      </w:r>
    </w:p>
    <w:p>
      <w:pPr>
        <w:pStyle w:val="29"/>
        <w:numPr>
          <w:ilvl w:val="0"/>
          <w:numId w:val="107"/>
        </w:numPr>
        <w:tabs>
          <w:tab w:val="center" w:pos="1260"/>
          <w:tab w:val="right" w:pos="8306"/>
        </w:tabs>
        <w:snapToGrid w:val="0"/>
        <w:spacing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若我公司有幸成为本项目的中标人，将履行(合同)的要求，拟派本项目的项目经理（仅适用于工程项目中注册建造师）在该项目竣工或完成前不参加其他项目投标活动。</w:t>
      </w:r>
    </w:p>
    <w:p>
      <w:pPr>
        <w:pStyle w:val="29"/>
        <w:numPr>
          <w:ilvl w:val="0"/>
          <w:numId w:val="107"/>
        </w:numPr>
        <w:tabs>
          <w:tab w:val="center" w:pos="1260"/>
          <w:tab w:val="right" w:pos="8306"/>
        </w:tabs>
        <w:snapToGrid w:val="0"/>
        <w:spacing w:line="360" w:lineRule="auto"/>
        <w:ind w:firstLineChars="0"/>
        <w:jc w:val="left"/>
        <w:rPr>
          <w:rFonts w:hint="eastAsia" w:ascii="宋体" w:hAnsi="宋体" w:eastAsia="宋体" w:cs="宋体"/>
          <w:color w:val="000000"/>
          <w:szCs w:val="21"/>
        </w:rPr>
      </w:pPr>
      <w:r>
        <w:rPr>
          <w:rFonts w:hint="eastAsia" w:ascii="宋体" w:hAnsi="宋体" w:eastAsia="宋体" w:cs="宋体"/>
          <w:color w:val="000000"/>
          <w:szCs w:val="21"/>
        </w:rPr>
        <w:t>若我公司有幸成为本项目的中标人，将按照招标文件及中标结果公告规定的方式、时间和金额向采购代理机构交纳代理服务费。如逾期未交，采购人及采购代理机构有权将我公司上报至政府采购监管部门，并承担被列入政府采购失信行为名单之风险。</w:t>
      </w:r>
    </w:p>
    <w:p>
      <w:pPr>
        <w:tabs>
          <w:tab w:val="center" w:pos="4153"/>
          <w:tab w:val="right" w:pos="8306"/>
        </w:tabs>
        <w:snapToGrid w:val="0"/>
        <w:spacing w:line="360" w:lineRule="auto"/>
        <w:ind w:firstLine="420"/>
        <w:jc w:val="left"/>
        <w:rPr>
          <w:rFonts w:hint="eastAsia" w:ascii="宋体" w:hAnsi="宋体" w:eastAsia="宋体" w:cs="宋体"/>
          <w:szCs w:val="21"/>
        </w:rPr>
      </w:pPr>
      <w:r>
        <w:rPr>
          <w:rFonts w:hint="eastAsia" w:ascii="宋体" w:hAnsi="宋体" w:eastAsia="宋体" w:cs="宋体"/>
          <w:szCs w:val="21"/>
        </w:rPr>
        <w:t>如违反上述有关规定，采购人有权取消我公司参与投标的资格，没收项目保证金，并将行为予以记录。对给采购人或其他人造成损失的，依法承担赔偿责任。对触犯刑律者，移交司法部门依法追究刑事责任。</w:t>
      </w:r>
    </w:p>
    <w:p>
      <w:pPr>
        <w:spacing w:line="360" w:lineRule="auto"/>
        <w:ind w:firstLine="525" w:firstLineChars="250"/>
        <w:rPr>
          <w:rFonts w:hint="eastAsia" w:ascii="宋体" w:hAnsi="宋体" w:eastAsia="宋体" w:cs="宋体"/>
          <w:szCs w:val="21"/>
        </w:rPr>
      </w:pPr>
      <w:r>
        <w:rPr>
          <w:rFonts w:hint="eastAsia" w:ascii="宋体" w:hAnsi="宋体" w:eastAsia="宋体" w:cs="宋体"/>
          <w:szCs w:val="21"/>
        </w:rPr>
        <w:t>承诺期限至项目竣工或完成。</w:t>
      </w:r>
    </w:p>
    <w:p>
      <w:pPr>
        <w:spacing w:before="100" w:beforeAutospacing="1" w:after="100" w:afterAutospacing="1" w:line="276" w:lineRule="auto"/>
        <w:ind w:firstLine="2902" w:firstLineChars="1382"/>
        <w:rPr>
          <w:rFonts w:hint="eastAsia" w:ascii="宋体" w:hAnsi="宋体" w:eastAsia="宋体" w:cs="宋体"/>
          <w:bCs/>
          <w:szCs w:val="21"/>
          <w:u w:val="single"/>
          <w:lang w:val="zh-CN"/>
        </w:rPr>
      </w:pPr>
      <w:r>
        <w:rPr>
          <w:rFonts w:hint="eastAsia" w:ascii="宋体" w:hAnsi="宋体" w:eastAsia="宋体" w:cs="宋体"/>
          <w:bCs/>
          <w:szCs w:val="21"/>
          <w:lang w:val="zh-CN"/>
        </w:rPr>
        <w:t>投标人名称（公章）：</w:t>
      </w:r>
      <w:r>
        <w:rPr>
          <w:rFonts w:hint="eastAsia" w:ascii="宋体" w:hAnsi="宋体" w:eastAsia="宋体" w:cs="宋体"/>
          <w:bCs/>
          <w:szCs w:val="21"/>
          <w:u w:val="single"/>
          <w:lang w:val="zh-CN"/>
        </w:rPr>
        <w:t xml:space="preserve">                         </w:t>
      </w:r>
    </w:p>
    <w:p>
      <w:pPr>
        <w:spacing w:before="100" w:beforeAutospacing="1" w:after="100" w:afterAutospacing="1" w:line="276" w:lineRule="auto"/>
        <w:ind w:firstLine="2902" w:firstLineChars="1382"/>
        <w:rPr>
          <w:rFonts w:hint="eastAsia" w:ascii="宋体" w:hAnsi="宋体" w:eastAsia="宋体" w:cs="宋体"/>
          <w:b/>
          <w:bCs/>
          <w:szCs w:val="21"/>
          <w:u w:val="single"/>
          <w:lang w:val="zh-CN"/>
        </w:rPr>
      </w:pPr>
      <w:r>
        <w:rPr>
          <w:rFonts w:hint="eastAsia" w:ascii="宋体" w:hAnsi="宋体" w:eastAsia="宋体" w:cs="宋体"/>
          <w:bCs/>
          <w:szCs w:val="21"/>
          <w:lang w:val="zh-CN"/>
        </w:rPr>
        <w:t>授权代表（签名）：</w:t>
      </w:r>
      <w:r>
        <w:rPr>
          <w:rFonts w:hint="eastAsia" w:ascii="宋体" w:hAnsi="宋体" w:eastAsia="宋体" w:cs="宋体"/>
          <w:bCs/>
          <w:szCs w:val="21"/>
          <w:u w:val="single"/>
          <w:lang w:val="zh-CN"/>
        </w:rPr>
        <w:t xml:space="preserve">                  </w:t>
      </w:r>
    </w:p>
    <w:p>
      <w:pPr>
        <w:spacing w:before="100" w:beforeAutospacing="1" w:after="100" w:afterAutospacing="1" w:line="276" w:lineRule="auto"/>
        <w:ind w:firstLine="2902" w:firstLineChars="1382"/>
        <w:rPr>
          <w:rFonts w:hint="eastAsia" w:ascii="宋体" w:hAnsi="宋体" w:eastAsia="宋体" w:cs="宋体"/>
          <w:color w:val="000000"/>
          <w:szCs w:val="21"/>
        </w:rPr>
      </w:pPr>
      <w:r>
        <w:rPr>
          <w:rFonts w:hint="eastAsia" w:ascii="宋体" w:hAnsi="宋体" w:eastAsia="宋体" w:cs="宋体"/>
          <w:color w:val="000000"/>
          <w:szCs w:val="21"/>
        </w:rPr>
        <w:t>日期：</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日</w:t>
      </w:r>
    </w:p>
    <w:p>
      <w:pPr>
        <w:pStyle w:val="29"/>
        <w:numPr>
          <w:ilvl w:val="0"/>
          <w:numId w:val="106"/>
        </w:numPr>
        <w:spacing w:line="276" w:lineRule="auto"/>
        <w:ind w:firstLineChars="0"/>
        <w:outlineLvl w:val="2"/>
        <w:rPr>
          <w:rFonts w:hint="eastAsia" w:ascii="宋体" w:hAnsi="宋体" w:eastAsia="宋体" w:cs="宋体"/>
          <w:szCs w:val="21"/>
        </w:rPr>
      </w:pPr>
      <w:r>
        <w:rPr>
          <w:rFonts w:hint="eastAsia" w:ascii="宋体" w:hAnsi="宋体" w:eastAsia="宋体" w:cs="宋体"/>
          <w:color w:val="000000"/>
          <w:kern w:val="0"/>
          <w:szCs w:val="21"/>
        </w:rPr>
        <w:br w:type="page"/>
      </w:r>
      <w:r>
        <w:rPr>
          <w:rFonts w:hint="eastAsia" w:ascii="宋体" w:hAnsi="宋体" w:eastAsia="宋体" w:cs="宋体"/>
          <w:szCs w:val="21"/>
        </w:rPr>
        <w:t>报价一览表</w:t>
      </w:r>
    </w:p>
    <w:p>
      <w:pPr>
        <w:spacing w:line="276" w:lineRule="auto"/>
        <w:jc w:val="center"/>
        <w:rPr>
          <w:rFonts w:hint="eastAsia" w:ascii="宋体" w:hAnsi="宋体" w:eastAsia="宋体" w:cs="宋体"/>
          <w:b/>
          <w:szCs w:val="21"/>
        </w:rPr>
      </w:pPr>
      <w:r>
        <w:rPr>
          <w:rFonts w:hint="eastAsia" w:ascii="宋体" w:hAnsi="宋体" w:eastAsia="宋体" w:cs="宋体"/>
          <w:b/>
          <w:szCs w:val="21"/>
        </w:rPr>
        <w:t>报价一览表</w:t>
      </w:r>
    </w:p>
    <w:p>
      <w:pPr>
        <w:adjustRightInd w:val="0"/>
        <w:snapToGrid w:val="0"/>
        <w:spacing w:line="276" w:lineRule="auto"/>
        <w:ind w:left="-268" w:leftChars="-128" w:firstLine="399" w:firstLineChars="150"/>
        <w:jc w:val="left"/>
        <w:rPr>
          <w:rFonts w:hint="eastAsia" w:ascii="宋体" w:hAnsi="宋体" w:eastAsia="宋体" w:cs="宋体"/>
          <w:spacing w:val="28"/>
          <w:szCs w:val="21"/>
        </w:rPr>
      </w:pPr>
    </w:p>
    <w:p>
      <w:pPr>
        <w:adjustRightInd w:val="0"/>
        <w:snapToGrid w:val="0"/>
        <w:spacing w:line="276" w:lineRule="auto"/>
        <w:ind w:left="-268" w:leftChars="-128" w:firstLine="399" w:firstLineChars="150"/>
        <w:jc w:val="left"/>
        <w:rPr>
          <w:rFonts w:hint="eastAsia" w:ascii="宋体" w:hAnsi="宋体" w:eastAsia="宋体" w:cs="宋体"/>
          <w:szCs w:val="21"/>
        </w:rPr>
      </w:pPr>
      <w:r>
        <w:rPr>
          <w:rFonts w:hint="eastAsia" w:ascii="宋体" w:hAnsi="宋体" w:eastAsia="宋体" w:cs="宋体"/>
          <w:spacing w:val="28"/>
          <w:szCs w:val="21"/>
        </w:rPr>
        <w:t>投标人</w:t>
      </w:r>
      <w:r>
        <w:rPr>
          <w:rFonts w:hint="eastAsia" w:ascii="宋体" w:hAnsi="宋体" w:eastAsia="宋体" w:cs="宋体"/>
          <w:szCs w:val="21"/>
        </w:rPr>
        <w:t>名称:</w:t>
      </w:r>
      <w:r>
        <w:rPr>
          <w:rFonts w:hint="eastAsia" w:ascii="宋体" w:hAnsi="宋体" w:eastAsia="宋体" w:cs="宋体"/>
          <w:szCs w:val="21"/>
          <w:u w:val="single"/>
        </w:rPr>
        <w:t xml:space="preserve">                           </w:t>
      </w:r>
    </w:p>
    <w:p>
      <w:pPr>
        <w:adjustRightInd w:val="0"/>
        <w:snapToGrid w:val="0"/>
        <w:spacing w:line="276" w:lineRule="auto"/>
        <w:ind w:left="-268" w:leftChars="-128" w:firstLine="399" w:firstLineChars="150"/>
        <w:jc w:val="left"/>
        <w:rPr>
          <w:rFonts w:hint="eastAsia" w:ascii="宋体" w:hAnsi="宋体" w:eastAsia="宋体" w:cs="宋体"/>
          <w:szCs w:val="21"/>
        </w:rPr>
      </w:pPr>
      <w:r>
        <w:rPr>
          <w:rFonts w:hint="eastAsia" w:ascii="宋体" w:hAnsi="宋体" w:eastAsia="宋体" w:cs="宋体"/>
          <w:spacing w:val="28"/>
          <w:szCs w:val="21"/>
        </w:rPr>
        <w:t>项目编号/标段编号</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 xml:space="preserve">    </w:t>
      </w:r>
      <w:r>
        <w:rPr>
          <w:rFonts w:hint="eastAsia" w:ascii="宋体" w:hAnsi="宋体" w:eastAsia="宋体" w:cs="宋体"/>
          <w:szCs w:val="21"/>
          <w:lang w:val="zh-CN"/>
        </w:rPr>
        <w:t>项目名称：</w:t>
      </w:r>
      <w:r>
        <w:rPr>
          <w:rFonts w:hint="eastAsia" w:ascii="宋体" w:hAnsi="宋体" w:eastAsia="宋体" w:cs="宋体"/>
          <w:szCs w:val="21"/>
          <w:u w:val="single"/>
          <w:lang w:val="zh-CN"/>
        </w:rPr>
        <w:t xml:space="preserve">                        </w:t>
      </w:r>
      <w:r>
        <w:rPr>
          <w:rFonts w:hint="eastAsia" w:ascii="宋体" w:hAnsi="宋体" w:eastAsia="宋体" w:cs="宋体"/>
          <w:szCs w:val="21"/>
          <w:u w:val="single"/>
        </w:rPr>
        <w:t xml:space="preserve">  </w:t>
      </w:r>
    </w:p>
    <w:tbl>
      <w:tblPr>
        <w:tblStyle w:val="26"/>
        <w:tblW w:w="8472" w:type="dxa"/>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423"/>
        <w:gridCol w:w="2948"/>
      </w:tblGrid>
      <w:tr>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101"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序号</w:t>
            </w:r>
          </w:p>
        </w:tc>
        <w:tc>
          <w:tcPr>
            <w:tcW w:w="4423"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项目</w:t>
            </w:r>
          </w:p>
        </w:tc>
        <w:tc>
          <w:tcPr>
            <w:tcW w:w="2948" w:type="dxa"/>
            <w:tcBorders>
              <w:top w:val="single" w:color="auto" w:sz="4" w:space="0"/>
              <w:left w:val="single" w:color="auto" w:sz="4" w:space="0"/>
              <w:bottom w:val="single" w:color="auto" w:sz="4" w:space="0"/>
              <w:right w:val="single" w:color="auto" w:sz="4" w:space="0"/>
            </w:tcBorders>
            <w:shd w:val="pct10" w:color="auto" w:fill="auto"/>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内容</w:t>
            </w:r>
          </w:p>
        </w:tc>
      </w:tr>
      <w:tr>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1</w:t>
            </w:r>
          </w:p>
        </w:tc>
        <w:tc>
          <w:tcPr>
            <w:tcW w:w="442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投标报价（小写）</w:t>
            </w:r>
          </w:p>
        </w:tc>
        <w:tc>
          <w:tcPr>
            <w:tcW w:w="2948" w:type="dxa"/>
            <w:tcBorders>
              <w:top w:val="single" w:color="auto" w:sz="4" w:space="0"/>
              <w:left w:val="single" w:color="auto" w:sz="4" w:space="0"/>
              <w:bottom w:val="single" w:color="auto" w:sz="4" w:space="0"/>
              <w:right w:val="single" w:color="auto" w:sz="4" w:space="0"/>
            </w:tcBorders>
            <w:vAlign w:val="center"/>
          </w:tcPr>
          <w:p>
            <w:pPr>
              <w:spacing w:line="276" w:lineRule="auto"/>
              <w:ind w:left="-38"/>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2</w:t>
            </w:r>
          </w:p>
        </w:tc>
        <w:tc>
          <w:tcPr>
            <w:tcW w:w="442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投标报价（大写）</w:t>
            </w:r>
          </w:p>
        </w:tc>
        <w:tc>
          <w:tcPr>
            <w:tcW w:w="2948" w:type="dxa"/>
            <w:tcBorders>
              <w:top w:val="single" w:color="auto" w:sz="4" w:space="0"/>
              <w:left w:val="single" w:color="auto" w:sz="4" w:space="0"/>
              <w:bottom w:val="single" w:color="auto" w:sz="4" w:space="0"/>
              <w:right w:val="single" w:color="auto" w:sz="4" w:space="0"/>
            </w:tcBorders>
            <w:vAlign w:val="center"/>
          </w:tcPr>
          <w:p>
            <w:pPr>
              <w:spacing w:line="276" w:lineRule="auto"/>
              <w:ind w:left="-38"/>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3</w:t>
            </w:r>
          </w:p>
        </w:tc>
        <w:tc>
          <w:tcPr>
            <w:tcW w:w="442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lang w:eastAsia="zh-CN"/>
              </w:rPr>
            </w:pPr>
            <w:r>
              <w:rPr>
                <w:rFonts w:hint="eastAsia" w:ascii="宋体" w:hAnsi="宋体" w:eastAsia="宋体" w:cs="宋体"/>
                <w:szCs w:val="21"/>
              </w:rPr>
              <w:t>货物名称</w:t>
            </w:r>
          </w:p>
        </w:tc>
        <w:tc>
          <w:tcPr>
            <w:tcW w:w="2948" w:type="dxa"/>
            <w:tcBorders>
              <w:top w:val="single" w:color="auto" w:sz="4" w:space="0"/>
              <w:left w:val="single" w:color="auto" w:sz="4" w:space="0"/>
              <w:bottom w:val="single" w:color="auto" w:sz="4" w:space="0"/>
              <w:right w:val="single" w:color="auto" w:sz="4" w:space="0"/>
            </w:tcBorders>
            <w:vAlign w:val="center"/>
          </w:tcPr>
          <w:p>
            <w:pPr>
              <w:spacing w:line="276" w:lineRule="auto"/>
              <w:ind w:left="-38"/>
              <w:jc w:val="center"/>
              <w:rPr>
                <w:rFonts w:hint="eastAsia" w:ascii="宋体" w:hAnsi="宋体" w:eastAsia="宋体" w:cs="宋体"/>
                <w:szCs w:val="21"/>
                <w:lang w:val="en-US" w:eastAsia="zh-CN"/>
              </w:rPr>
            </w:pPr>
            <w:r>
              <w:rPr>
                <w:rFonts w:hint="eastAsia" w:ascii="宋体" w:hAnsi="宋体" w:eastAsia="宋体" w:cs="宋体"/>
                <w:szCs w:val="21"/>
                <w:lang w:val="en-US" w:eastAsia="zh-CN"/>
              </w:rPr>
              <w:t>详见报价明细表</w:t>
            </w:r>
          </w:p>
        </w:tc>
      </w:tr>
      <w:tr>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4</w:t>
            </w:r>
          </w:p>
        </w:tc>
        <w:tc>
          <w:tcPr>
            <w:tcW w:w="4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宋体" w:hAnsi="宋体" w:eastAsia="宋体" w:cs="宋体"/>
                <w:szCs w:val="21"/>
              </w:rPr>
            </w:pPr>
            <w:r>
              <w:rPr>
                <w:rFonts w:hint="eastAsia" w:ascii="宋体" w:hAnsi="宋体" w:eastAsia="宋体" w:cs="宋体"/>
                <w:szCs w:val="21"/>
              </w:rPr>
              <w:t>制造商名称/国别(地区)</w:t>
            </w:r>
          </w:p>
        </w:tc>
        <w:tc>
          <w:tcPr>
            <w:tcW w:w="2948" w:type="dxa"/>
            <w:tcBorders>
              <w:top w:val="single" w:color="auto" w:sz="4" w:space="0"/>
              <w:left w:val="single" w:color="auto" w:sz="4" w:space="0"/>
              <w:bottom w:val="single" w:color="auto" w:sz="4" w:space="0"/>
              <w:right w:val="single" w:color="auto" w:sz="4" w:space="0"/>
            </w:tcBorders>
            <w:vAlign w:val="center"/>
          </w:tcPr>
          <w:p>
            <w:pPr>
              <w:spacing w:line="276" w:lineRule="auto"/>
              <w:ind w:left="-38"/>
              <w:jc w:val="center"/>
              <w:rPr>
                <w:rFonts w:hint="eastAsia" w:ascii="宋体" w:hAnsi="宋体" w:eastAsia="宋体" w:cs="宋体"/>
                <w:szCs w:val="21"/>
              </w:rPr>
            </w:pPr>
            <w:r>
              <w:rPr>
                <w:rFonts w:hint="eastAsia" w:ascii="宋体" w:hAnsi="宋体" w:eastAsia="宋体" w:cs="宋体"/>
                <w:szCs w:val="21"/>
                <w:lang w:val="en-US" w:eastAsia="zh-CN"/>
              </w:rPr>
              <w:t>详见报价明细表</w:t>
            </w:r>
          </w:p>
        </w:tc>
      </w:tr>
      <w:tr>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5</w:t>
            </w:r>
          </w:p>
        </w:tc>
        <w:tc>
          <w:tcPr>
            <w:tcW w:w="442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规格型号</w:t>
            </w:r>
          </w:p>
        </w:tc>
        <w:tc>
          <w:tcPr>
            <w:tcW w:w="2948" w:type="dxa"/>
            <w:tcBorders>
              <w:top w:val="single" w:color="auto" w:sz="4" w:space="0"/>
              <w:left w:val="single" w:color="auto" w:sz="4" w:space="0"/>
              <w:bottom w:val="single" w:color="auto" w:sz="4" w:space="0"/>
              <w:right w:val="single" w:color="auto" w:sz="4" w:space="0"/>
            </w:tcBorders>
            <w:vAlign w:val="center"/>
          </w:tcPr>
          <w:p>
            <w:pPr>
              <w:spacing w:line="276" w:lineRule="auto"/>
              <w:ind w:left="-38"/>
              <w:jc w:val="center"/>
              <w:rPr>
                <w:rFonts w:hint="eastAsia" w:ascii="宋体" w:hAnsi="宋体" w:eastAsia="宋体" w:cs="宋体"/>
                <w:szCs w:val="21"/>
              </w:rPr>
            </w:pPr>
            <w:r>
              <w:rPr>
                <w:rFonts w:hint="eastAsia" w:ascii="宋体" w:hAnsi="宋体" w:eastAsia="宋体" w:cs="宋体"/>
                <w:szCs w:val="21"/>
                <w:lang w:val="en-US" w:eastAsia="zh-CN"/>
              </w:rPr>
              <w:t>详见报价明细表</w:t>
            </w:r>
          </w:p>
        </w:tc>
      </w:tr>
      <w:tr>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6</w:t>
            </w:r>
          </w:p>
        </w:tc>
        <w:tc>
          <w:tcPr>
            <w:tcW w:w="442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数量</w:t>
            </w:r>
          </w:p>
        </w:tc>
        <w:tc>
          <w:tcPr>
            <w:tcW w:w="2948" w:type="dxa"/>
            <w:tcBorders>
              <w:top w:val="single" w:color="auto" w:sz="4" w:space="0"/>
              <w:left w:val="single" w:color="auto" w:sz="4" w:space="0"/>
              <w:bottom w:val="single" w:color="auto" w:sz="4" w:space="0"/>
              <w:right w:val="single" w:color="auto" w:sz="4" w:space="0"/>
            </w:tcBorders>
            <w:vAlign w:val="center"/>
          </w:tcPr>
          <w:p>
            <w:pPr>
              <w:spacing w:line="276" w:lineRule="auto"/>
              <w:ind w:left="-38"/>
              <w:jc w:val="center"/>
              <w:rPr>
                <w:rFonts w:hint="eastAsia" w:ascii="宋体" w:hAnsi="宋体" w:eastAsia="宋体" w:cs="宋体"/>
                <w:szCs w:val="21"/>
              </w:rPr>
            </w:pPr>
            <w:r>
              <w:rPr>
                <w:rFonts w:hint="eastAsia" w:ascii="宋体" w:hAnsi="宋体" w:eastAsia="宋体" w:cs="宋体"/>
                <w:szCs w:val="21"/>
                <w:lang w:val="en-US" w:eastAsia="zh-CN"/>
              </w:rPr>
              <w:t>详见报价明细表</w:t>
            </w:r>
          </w:p>
        </w:tc>
      </w:tr>
      <w:tr>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7</w:t>
            </w:r>
          </w:p>
        </w:tc>
        <w:tc>
          <w:tcPr>
            <w:tcW w:w="442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交货期</w:t>
            </w:r>
          </w:p>
        </w:tc>
        <w:tc>
          <w:tcPr>
            <w:tcW w:w="2948" w:type="dxa"/>
            <w:tcBorders>
              <w:top w:val="single" w:color="auto" w:sz="4" w:space="0"/>
              <w:left w:val="single" w:color="auto" w:sz="4" w:space="0"/>
              <w:bottom w:val="single" w:color="auto" w:sz="4" w:space="0"/>
              <w:right w:val="single" w:color="auto" w:sz="4" w:space="0"/>
            </w:tcBorders>
            <w:vAlign w:val="center"/>
          </w:tcPr>
          <w:p>
            <w:pPr>
              <w:spacing w:line="276" w:lineRule="auto"/>
              <w:ind w:left="-38"/>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8</w:t>
            </w:r>
          </w:p>
        </w:tc>
        <w:tc>
          <w:tcPr>
            <w:tcW w:w="442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质保期</w:t>
            </w:r>
          </w:p>
        </w:tc>
        <w:tc>
          <w:tcPr>
            <w:tcW w:w="2948" w:type="dxa"/>
            <w:tcBorders>
              <w:top w:val="single" w:color="auto" w:sz="4" w:space="0"/>
              <w:left w:val="single" w:color="auto" w:sz="4" w:space="0"/>
              <w:bottom w:val="single" w:color="auto" w:sz="4" w:space="0"/>
              <w:right w:val="single" w:color="auto" w:sz="4" w:space="0"/>
            </w:tcBorders>
            <w:vAlign w:val="center"/>
          </w:tcPr>
          <w:p>
            <w:pPr>
              <w:spacing w:line="276" w:lineRule="auto"/>
              <w:ind w:left="-38"/>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9</w:t>
            </w:r>
          </w:p>
        </w:tc>
        <w:tc>
          <w:tcPr>
            <w:tcW w:w="442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color w:val="000000"/>
                <w:szCs w:val="21"/>
              </w:rPr>
              <w:t>小、微企业等价格扣除合计（小写、大写）</w:t>
            </w:r>
          </w:p>
        </w:tc>
        <w:tc>
          <w:tcPr>
            <w:tcW w:w="2948" w:type="dxa"/>
            <w:tcBorders>
              <w:top w:val="single" w:color="auto" w:sz="4" w:space="0"/>
              <w:left w:val="single" w:color="auto" w:sz="4" w:space="0"/>
              <w:bottom w:val="single" w:color="auto" w:sz="4" w:space="0"/>
              <w:right w:val="single" w:color="auto" w:sz="4" w:space="0"/>
            </w:tcBorders>
            <w:vAlign w:val="center"/>
          </w:tcPr>
          <w:p>
            <w:pPr>
              <w:spacing w:line="276" w:lineRule="auto"/>
              <w:ind w:left="-38"/>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1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10</w:t>
            </w:r>
          </w:p>
        </w:tc>
        <w:tc>
          <w:tcPr>
            <w:tcW w:w="4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宋体" w:hAnsi="宋体" w:eastAsia="宋体" w:cs="宋体"/>
                <w:szCs w:val="21"/>
              </w:rPr>
            </w:pPr>
            <w:r>
              <w:rPr>
                <w:rFonts w:hint="eastAsia" w:ascii="宋体" w:hAnsi="宋体" w:eastAsia="宋体" w:cs="宋体"/>
                <w:szCs w:val="21"/>
              </w:rPr>
              <w:t>备注</w:t>
            </w:r>
          </w:p>
        </w:tc>
        <w:tc>
          <w:tcPr>
            <w:tcW w:w="2948" w:type="dxa"/>
            <w:tcBorders>
              <w:top w:val="single" w:color="auto" w:sz="4" w:space="0"/>
              <w:left w:val="single" w:color="auto" w:sz="4" w:space="0"/>
              <w:bottom w:val="single" w:color="auto" w:sz="4" w:space="0"/>
              <w:right w:val="single" w:color="auto" w:sz="4" w:space="0"/>
            </w:tcBorders>
            <w:vAlign w:val="center"/>
          </w:tcPr>
          <w:p>
            <w:pPr>
              <w:spacing w:line="276" w:lineRule="auto"/>
              <w:ind w:left="-38"/>
              <w:jc w:val="center"/>
              <w:rPr>
                <w:rFonts w:hint="eastAsia" w:ascii="宋体" w:hAnsi="宋体" w:eastAsia="宋体" w:cs="宋体"/>
                <w:szCs w:val="21"/>
              </w:rPr>
            </w:pPr>
          </w:p>
        </w:tc>
      </w:tr>
    </w:tbl>
    <w:p>
      <w:pPr>
        <w:spacing w:line="276" w:lineRule="auto"/>
        <w:ind w:left="918" w:hanging="917" w:hangingChars="437"/>
        <w:jc w:val="left"/>
        <w:rPr>
          <w:rFonts w:hint="eastAsia" w:ascii="宋体" w:hAnsi="宋体" w:eastAsia="宋体" w:cs="宋体"/>
          <w:szCs w:val="21"/>
        </w:rPr>
      </w:pPr>
      <w:r>
        <w:rPr>
          <w:rFonts w:hint="eastAsia" w:ascii="宋体" w:hAnsi="宋体" w:eastAsia="宋体" w:cs="宋体"/>
          <w:szCs w:val="21"/>
        </w:rPr>
        <w:t>说明： 1．报价用</w:t>
      </w:r>
      <w:r>
        <w:rPr>
          <w:rFonts w:hint="eastAsia" w:ascii="宋体" w:hAnsi="宋体" w:eastAsia="宋体" w:cs="宋体"/>
          <w:szCs w:val="21"/>
          <w:lang w:val="zh-CN"/>
        </w:rPr>
        <w:t>人民币或其他主要国际流通货币</w:t>
      </w:r>
      <w:r>
        <w:rPr>
          <w:rFonts w:hint="eastAsia" w:ascii="宋体" w:hAnsi="宋体" w:eastAsia="宋体" w:cs="宋体"/>
          <w:szCs w:val="21"/>
        </w:rPr>
        <w:t xml:space="preserve">表示，单位为“ </w:t>
      </w:r>
      <w:r>
        <w:rPr>
          <w:rFonts w:hint="eastAsia" w:ascii="宋体" w:hAnsi="宋体" w:eastAsia="宋体" w:cs="宋体"/>
          <w:color w:val="FF0000"/>
          <w:szCs w:val="21"/>
        </w:rPr>
        <w:t>元</w:t>
      </w:r>
      <w:r>
        <w:rPr>
          <w:rFonts w:hint="eastAsia" w:ascii="宋体" w:hAnsi="宋体" w:eastAsia="宋体" w:cs="宋体"/>
          <w:szCs w:val="21"/>
        </w:rPr>
        <w:t>”。</w:t>
      </w:r>
      <w:r>
        <w:rPr>
          <w:rFonts w:hint="eastAsia" w:ascii="宋体" w:hAnsi="宋体" w:eastAsia="宋体" w:cs="宋体"/>
          <w:i/>
          <w:color w:val="FF0000"/>
          <w:szCs w:val="21"/>
        </w:rPr>
        <w:t xml:space="preserve"> </w:t>
      </w:r>
    </w:p>
    <w:p>
      <w:pPr>
        <w:spacing w:line="276" w:lineRule="auto"/>
        <w:ind w:left="1017" w:leftChars="339" w:hanging="306" w:hangingChars="146"/>
        <w:jc w:val="left"/>
        <w:rPr>
          <w:rFonts w:hint="eastAsia" w:ascii="宋体" w:hAnsi="宋体" w:eastAsia="宋体" w:cs="宋体"/>
          <w:szCs w:val="21"/>
        </w:rPr>
      </w:pPr>
      <w:r>
        <w:rPr>
          <w:rFonts w:hint="eastAsia" w:ascii="宋体" w:hAnsi="宋体" w:eastAsia="宋体" w:cs="宋体"/>
          <w:szCs w:val="21"/>
        </w:rPr>
        <w:t>2．价格应按照招标文件第二章“投标人须知”中第12条的要求进行报价。</w:t>
      </w:r>
    </w:p>
    <w:p>
      <w:pPr>
        <w:spacing w:line="276" w:lineRule="auto"/>
        <w:ind w:left="1017" w:leftChars="339" w:hanging="306" w:hangingChars="146"/>
        <w:jc w:val="left"/>
        <w:rPr>
          <w:rFonts w:hint="eastAsia" w:ascii="宋体" w:hAnsi="宋体" w:eastAsia="宋体" w:cs="宋体"/>
          <w:szCs w:val="21"/>
        </w:rPr>
      </w:pPr>
      <w:r>
        <w:rPr>
          <w:rFonts w:hint="eastAsia" w:ascii="宋体" w:hAnsi="宋体" w:eastAsia="宋体" w:cs="宋体"/>
          <w:szCs w:val="21"/>
        </w:rPr>
        <w:t>3. 如果以文字表示的数值与以数字表示的数值不一致，以文字为准修正数字。</w:t>
      </w:r>
    </w:p>
    <w:p>
      <w:pPr>
        <w:spacing w:before="100" w:beforeAutospacing="1" w:after="100" w:afterAutospacing="1" w:line="276" w:lineRule="auto"/>
        <w:ind w:firstLine="2902" w:firstLineChars="1382"/>
        <w:rPr>
          <w:rFonts w:hint="eastAsia" w:ascii="宋体" w:hAnsi="宋体" w:eastAsia="宋体" w:cs="宋体"/>
          <w:bCs/>
          <w:szCs w:val="21"/>
          <w:lang w:val="zh-CN"/>
        </w:rPr>
      </w:pPr>
    </w:p>
    <w:p>
      <w:pPr>
        <w:spacing w:before="100" w:beforeAutospacing="1" w:after="100" w:afterAutospacing="1" w:line="276" w:lineRule="auto"/>
        <w:ind w:firstLine="2902" w:firstLineChars="1382"/>
        <w:rPr>
          <w:rFonts w:hint="eastAsia" w:ascii="宋体" w:hAnsi="宋体" w:eastAsia="宋体" w:cs="宋体"/>
          <w:bCs/>
          <w:szCs w:val="21"/>
          <w:u w:val="single"/>
          <w:lang w:val="zh-CN"/>
        </w:rPr>
      </w:pPr>
      <w:r>
        <w:rPr>
          <w:rFonts w:hint="eastAsia" w:ascii="宋体" w:hAnsi="宋体" w:eastAsia="宋体" w:cs="宋体"/>
          <w:bCs/>
          <w:szCs w:val="21"/>
          <w:lang w:val="zh-CN"/>
        </w:rPr>
        <w:t>投标人名称（公章）：</w:t>
      </w:r>
      <w:r>
        <w:rPr>
          <w:rFonts w:hint="eastAsia" w:ascii="宋体" w:hAnsi="宋体" w:eastAsia="宋体" w:cs="宋体"/>
          <w:bCs/>
          <w:szCs w:val="21"/>
          <w:u w:val="single"/>
          <w:lang w:val="zh-CN"/>
        </w:rPr>
        <w:t xml:space="preserve">                         </w:t>
      </w:r>
    </w:p>
    <w:p>
      <w:pPr>
        <w:spacing w:before="100" w:beforeAutospacing="1" w:after="100" w:afterAutospacing="1" w:line="276" w:lineRule="auto"/>
        <w:ind w:firstLine="2902" w:firstLineChars="1382"/>
        <w:rPr>
          <w:rFonts w:hint="eastAsia" w:ascii="宋体" w:hAnsi="宋体" w:eastAsia="宋体" w:cs="宋体"/>
          <w:b/>
          <w:bCs/>
          <w:szCs w:val="21"/>
          <w:u w:val="single"/>
          <w:lang w:val="zh-CN"/>
        </w:rPr>
      </w:pPr>
      <w:r>
        <w:rPr>
          <w:rFonts w:hint="eastAsia" w:ascii="宋体" w:hAnsi="宋体" w:eastAsia="宋体" w:cs="宋体"/>
          <w:bCs/>
          <w:szCs w:val="21"/>
          <w:lang w:val="zh-CN"/>
        </w:rPr>
        <w:t>授权代表（签名）：</w:t>
      </w:r>
      <w:r>
        <w:rPr>
          <w:rFonts w:hint="eastAsia" w:ascii="宋体" w:hAnsi="宋体" w:eastAsia="宋体" w:cs="宋体"/>
          <w:bCs/>
          <w:szCs w:val="21"/>
          <w:u w:val="single"/>
          <w:lang w:val="zh-CN"/>
        </w:rPr>
        <w:t xml:space="preserve">                  </w:t>
      </w:r>
    </w:p>
    <w:p>
      <w:pPr>
        <w:spacing w:line="276" w:lineRule="auto"/>
        <w:ind w:firstLine="2902" w:firstLineChars="1382"/>
        <w:rPr>
          <w:rFonts w:hint="eastAsia" w:ascii="宋体" w:hAnsi="宋体" w:eastAsia="宋体" w:cs="宋体"/>
          <w:color w:val="000000"/>
          <w:szCs w:val="21"/>
        </w:rPr>
      </w:pPr>
      <w:r>
        <w:rPr>
          <w:rFonts w:hint="eastAsia" w:ascii="宋体" w:hAnsi="宋体" w:eastAsia="宋体" w:cs="宋体"/>
          <w:color w:val="000000"/>
          <w:szCs w:val="21"/>
        </w:rPr>
        <w:t>日期：</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日</w:t>
      </w:r>
    </w:p>
    <w:p>
      <w:pPr>
        <w:pStyle w:val="29"/>
        <w:numPr>
          <w:ilvl w:val="0"/>
          <w:numId w:val="106"/>
        </w:numPr>
        <w:spacing w:line="276" w:lineRule="auto"/>
        <w:ind w:firstLineChars="0"/>
        <w:outlineLvl w:val="2"/>
        <w:rPr>
          <w:rFonts w:hint="eastAsia" w:ascii="宋体" w:hAnsi="宋体" w:eastAsia="宋体" w:cs="宋体"/>
          <w:szCs w:val="21"/>
        </w:rPr>
      </w:pPr>
      <w:r>
        <w:rPr>
          <w:rFonts w:hint="eastAsia" w:ascii="宋体" w:hAnsi="宋体" w:eastAsia="宋体" w:cs="宋体"/>
          <w:color w:val="000000"/>
          <w:kern w:val="0"/>
          <w:szCs w:val="21"/>
        </w:rPr>
        <w:br w:type="page"/>
      </w:r>
      <w:r>
        <w:rPr>
          <w:rFonts w:hint="eastAsia" w:ascii="宋体" w:hAnsi="宋体" w:eastAsia="宋体" w:cs="宋体"/>
          <w:szCs w:val="21"/>
        </w:rPr>
        <w:t>报价明细表</w:t>
      </w:r>
    </w:p>
    <w:p>
      <w:pPr>
        <w:spacing w:line="276" w:lineRule="auto"/>
        <w:jc w:val="center"/>
        <w:rPr>
          <w:rFonts w:hint="eastAsia" w:ascii="宋体" w:hAnsi="宋体" w:eastAsia="宋体" w:cs="宋体"/>
          <w:b/>
          <w:szCs w:val="21"/>
        </w:rPr>
      </w:pPr>
      <w:r>
        <w:rPr>
          <w:rFonts w:hint="eastAsia" w:ascii="宋体" w:hAnsi="宋体" w:eastAsia="宋体" w:cs="宋体"/>
          <w:b/>
          <w:szCs w:val="21"/>
        </w:rPr>
        <w:t>报价明细表</w:t>
      </w:r>
    </w:p>
    <w:p>
      <w:pPr>
        <w:spacing w:line="276" w:lineRule="auto"/>
        <w:jc w:val="left"/>
        <w:rPr>
          <w:rFonts w:hint="eastAsia" w:ascii="宋体" w:hAnsi="宋体" w:eastAsia="宋体" w:cs="宋体"/>
          <w:szCs w:val="21"/>
          <w:u w:val="single"/>
          <w:lang w:val="zh-CN"/>
        </w:rPr>
      </w:pPr>
      <w:r>
        <w:rPr>
          <w:rFonts w:hint="eastAsia" w:ascii="宋体" w:hAnsi="宋体" w:eastAsia="宋体" w:cs="宋体"/>
          <w:szCs w:val="21"/>
          <w:lang w:val="zh-CN"/>
        </w:rPr>
        <w:t>投 标 人：</w:t>
      </w:r>
      <w:r>
        <w:rPr>
          <w:rFonts w:hint="eastAsia" w:ascii="宋体" w:hAnsi="宋体" w:eastAsia="宋体" w:cs="宋体"/>
          <w:szCs w:val="21"/>
          <w:u w:val="single"/>
          <w:lang w:val="zh-CN"/>
        </w:rPr>
        <w:t xml:space="preserve">                     </w:t>
      </w:r>
    </w:p>
    <w:p>
      <w:pPr>
        <w:spacing w:line="276" w:lineRule="auto"/>
        <w:jc w:val="left"/>
        <w:rPr>
          <w:rFonts w:hint="eastAsia" w:ascii="宋体" w:hAnsi="宋体" w:eastAsia="宋体" w:cs="宋体"/>
          <w:szCs w:val="21"/>
          <w:u w:val="single"/>
          <w:lang w:val="zh-CN"/>
        </w:rPr>
      </w:pPr>
      <w:r>
        <w:rPr>
          <w:rFonts w:hint="eastAsia" w:ascii="宋体" w:hAnsi="宋体" w:eastAsia="宋体" w:cs="宋体"/>
          <w:szCs w:val="21"/>
          <w:lang w:val="zh-CN"/>
        </w:rPr>
        <w:t>项目编号/标段编号：</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r>
        <w:rPr>
          <w:rFonts w:hint="eastAsia" w:ascii="宋体" w:hAnsi="宋体" w:eastAsia="宋体" w:cs="宋体"/>
          <w:bCs/>
          <w:szCs w:val="21"/>
          <w:lang w:val="zh-CN"/>
        </w:rPr>
        <w:t xml:space="preserve">                </w:t>
      </w:r>
      <w:r>
        <w:rPr>
          <w:rFonts w:hint="eastAsia" w:ascii="宋体" w:hAnsi="宋体" w:eastAsia="宋体" w:cs="宋体"/>
          <w:szCs w:val="21"/>
          <w:lang w:val="zh-CN"/>
        </w:rPr>
        <w:t>项目名称</w:t>
      </w:r>
      <w:r>
        <w:rPr>
          <w:rFonts w:hint="eastAsia" w:ascii="宋体" w:hAnsi="宋体" w:eastAsia="宋体" w:cs="宋体"/>
          <w:bCs/>
          <w:szCs w:val="21"/>
          <w:lang w:val="zh-CN"/>
        </w:rPr>
        <w:t>：</w:t>
      </w:r>
      <w:r>
        <w:rPr>
          <w:rFonts w:hint="eastAsia" w:ascii="宋体" w:hAnsi="宋体" w:eastAsia="宋体" w:cs="宋体"/>
          <w:bCs/>
          <w:szCs w:val="21"/>
          <w:u w:val="single"/>
          <w:lang w:val="zh-CN"/>
        </w:rPr>
        <w:t xml:space="preserve">           </w:t>
      </w:r>
    </w:p>
    <w:tbl>
      <w:tblPr>
        <w:tblStyle w:val="2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410"/>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3"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276" w:lineRule="auto"/>
              <w:ind w:left="-23" w:leftChars="-11" w:right="-65" w:rightChars="-31"/>
              <w:jc w:val="center"/>
              <w:rPr>
                <w:rFonts w:hint="eastAsia" w:ascii="宋体" w:hAnsi="宋体" w:eastAsia="宋体" w:cs="宋体"/>
                <w:color w:val="0D0D0D"/>
                <w:kern w:val="0"/>
                <w:szCs w:val="21"/>
              </w:rPr>
            </w:pPr>
            <w:r>
              <w:rPr>
                <w:rFonts w:hint="eastAsia" w:ascii="宋体" w:hAnsi="宋体" w:eastAsia="宋体" w:cs="宋体"/>
                <w:color w:val="0D0D0D"/>
                <w:kern w:val="0"/>
                <w:szCs w:val="21"/>
              </w:rPr>
              <w:t>序号</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276" w:lineRule="auto"/>
              <w:ind w:left="-48" w:leftChars="-23" w:right="-65" w:rightChars="-31"/>
              <w:jc w:val="center"/>
              <w:rPr>
                <w:rFonts w:hint="eastAsia" w:ascii="宋体" w:hAnsi="宋体" w:eastAsia="宋体" w:cs="宋体"/>
                <w:color w:val="0D0D0D"/>
                <w:kern w:val="0"/>
                <w:szCs w:val="21"/>
              </w:rPr>
            </w:pPr>
            <w:r>
              <w:rPr>
                <w:rFonts w:hint="eastAsia" w:ascii="宋体" w:hAnsi="宋体" w:eastAsia="宋体" w:cs="宋体"/>
                <w:color w:val="0D0D0D"/>
                <w:kern w:val="0"/>
                <w:szCs w:val="21"/>
              </w:rPr>
              <w:t>名称</w:t>
            </w:r>
          </w:p>
        </w:tc>
        <w:tc>
          <w:tcPr>
            <w:tcW w:w="1134"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276" w:lineRule="auto"/>
              <w:ind w:left="-48" w:leftChars="-23" w:right="-65" w:rightChars="-31"/>
              <w:jc w:val="center"/>
              <w:rPr>
                <w:rFonts w:hint="eastAsia" w:ascii="宋体" w:hAnsi="宋体" w:eastAsia="宋体" w:cs="宋体"/>
                <w:color w:val="0D0D0D"/>
                <w:kern w:val="0"/>
                <w:szCs w:val="21"/>
              </w:rPr>
            </w:pPr>
            <w:r>
              <w:rPr>
                <w:rFonts w:hint="eastAsia" w:ascii="宋体" w:hAnsi="宋体" w:eastAsia="宋体" w:cs="宋体"/>
                <w:szCs w:val="21"/>
              </w:rPr>
              <w:t>品牌型号规格</w:t>
            </w:r>
          </w:p>
        </w:tc>
        <w:tc>
          <w:tcPr>
            <w:tcW w:w="800"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276" w:lineRule="auto"/>
              <w:ind w:left="-48" w:leftChars="-23" w:right="-65" w:rightChars="-31"/>
              <w:jc w:val="center"/>
              <w:rPr>
                <w:rFonts w:hint="eastAsia" w:ascii="宋体" w:hAnsi="宋体" w:eastAsia="宋体" w:cs="宋体"/>
                <w:color w:val="0D0D0D"/>
                <w:kern w:val="0"/>
                <w:szCs w:val="21"/>
              </w:rPr>
            </w:pPr>
            <w:r>
              <w:rPr>
                <w:rFonts w:hint="eastAsia" w:ascii="宋体" w:hAnsi="宋体" w:eastAsia="宋体" w:cs="宋体"/>
                <w:color w:val="0D0D0D"/>
                <w:kern w:val="0"/>
                <w:szCs w:val="21"/>
              </w:rPr>
              <w:t>数量</w:t>
            </w:r>
          </w:p>
        </w:tc>
        <w:tc>
          <w:tcPr>
            <w:tcW w:w="1676"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276" w:lineRule="auto"/>
              <w:ind w:left="-48" w:leftChars="-23" w:right="-65" w:rightChars="-31"/>
              <w:jc w:val="center"/>
              <w:rPr>
                <w:rFonts w:hint="eastAsia" w:ascii="宋体" w:hAnsi="宋体" w:eastAsia="宋体" w:cs="宋体"/>
                <w:color w:val="0D0D0D"/>
                <w:kern w:val="0"/>
                <w:szCs w:val="21"/>
              </w:rPr>
            </w:pPr>
            <w:r>
              <w:rPr>
                <w:rFonts w:hint="eastAsia" w:ascii="宋体" w:hAnsi="宋体" w:eastAsia="宋体" w:cs="宋体"/>
                <w:color w:val="0D0D0D"/>
                <w:kern w:val="0"/>
                <w:szCs w:val="21"/>
              </w:rPr>
              <w:t>制造商名称</w:t>
            </w:r>
          </w:p>
        </w:tc>
        <w:tc>
          <w:tcPr>
            <w:tcW w:w="1316"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276" w:lineRule="auto"/>
              <w:ind w:left="-23" w:leftChars="-11" w:right="-65" w:rightChars="-31"/>
              <w:jc w:val="center"/>
              <w:rPr>
                <w:rFonts w:hint="eastAsia" w:ascii="宋体" w:hAnsi="宋体" w:eastAsia="宋体" w:cs="宋体"/>
                <w:color w:val="0D0D0D"/>
                <w:kern w:val="0"/>
                <w:szCs w:val="21"/>
              </w:rPr>
            </w:pPr>
            <w:r>
              <w:rPr>
                <w:rFonts w:hint="eastAsia" w:ascii="宋体" w:hAnsi="宋体" w:eastAsia="宋体" w:cs="宋体"/>
                <w:color w:val="0D0D0D"/>
                <w:kern w:val="0"/>
                <w:szCs w:val="21"/>
              </w:rPr>
              <w:t>单价</w:t>
            </w:r>
          </w:p>
        </w:tc>
        <w:tc>
          <w:tcPr>
            <w:tcW w:w="1357"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276" w:lineRule="auto"/>
              <w:ind w:left="-23" w:leftChars="-11" w:right="-65" w:rightChars="-31"/>
              <w:jc w:val="center"/>
              <w:rPr>
                <w:rFonts w:hint="eastAsia" w:ascii="宋体" w:hAnsi="宋体" w:eastAsia="宋体" w:cs="宋体"/>
                <w:color w:val="0D0D0D"/>
                <w:kern w:val="0"/>
                <w:szCs w:val="21"/>
              </w:rPr>
            </w:pPr>
            <w:r>
              <w:rPr>
                <w:rFonts w:hint="eastAsia" w:ascii="宋体" w:hAnsi="宋体" w:eastAsia="宋体" w:cs="宋体"/>
                <w:color w:val="0D0D0D"/>
                <w:kern w:val="0"/>
                <w:szCs w:val="21"/>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3" w:type="dxa"/>
            <w:tcBorders>
              <w:top w:val="single" w:color="auto" w:sz="4" w:space="0"/>
              <w:left w:val="single" w:color="auto" w:sz="4" w:space="0"/>
              <w:bottom w:val="single" w:color="auto" w:sz="4" w:space="0"/>
              <w:right w:val="single" w:color="auto" w:sz="4" w:space="0"/>
            </w:tcBorders>
            <w:vAlign w:val="center"/>
          </w:tcPr>
          <w:p>
            <w:pPr>
              <w:numPr>
                <w:ilvl w:val="0"/>
                <w:numId w:val="108"/>
              </w:numPr>
              <w:tabs>
                <w:tab w:val="left" w:pos="82"/>
              </w:tabs>
              <w:adjustRightInd w:val="0"/>
              <w:snapToGrid w:val="0"/>
              <w:spacing w:line="276" w:lineRule="auto"/>
              <w:jc w:val="center"/>
              <w:rPr>
                <w:rFonts w:hint="eastAsia" w:ascii="宋体" w:hAnsi="宋体" w:eastAsia="宋体" w:cs="宋体"/>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tabs>
                <w:tab w:val="left" w:pos="0"/>
                <w:tab w:val="left" w:pos="56"/>
              </w:tabs>
              <w:adjustRightInd w:val="0"/>
              <w:snapToGrid w:val="0"/>
              <w:spacing w:line="276" w:lineRule="auto"/>
              <w:ind w:left="479" w:hanging="478" w:hangingChars="228"/>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375" w:rightChars="-179"/>
              <w:jc w:val="center"/>
              <w:rPr>
                <w:rFonts w:hint="eastAsia" w:ascii="宋体" w:hAnsi="宋体" w:eastAsia="宋体" w:cs="宋体"/>
                <w:color w:val="0D0D0D"/>
                <w:kern w:val="0"/>
                <w:szCs w:val="21"/>
              </w:rPr>
            </w:pPr>
          </w:p>
        </w:tc>
        <w:tc>
          <w:tcPr>
            <w:tcW w:w="1676"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3" w:type="dxa"/>
            <w:tcBorders>
              <w:top w:val="single" w:color="auto" w:sz="4" w:space="0"/>
              <w:left w:val="single" w:color="auto" w:sz="4" w:space="0"/>
              <w:bottom w:val="single" w:color="auto" w:sz="4" w:space="0"/>
              <w:right w:val="single" w:color="auto" w:sz="4" w:space="0"/>
            </w:tcBorders>
            <w:vAlign w:val="center"/>
          </w:tcPr>
          <w:p>
            <w:pPr>
              <w:numPr>
                <w:ilvl w:val="0"/>
                <w:numId w:val="108"/>
              </w:numPr>
              <w:tabs>
                <w:tab w:val="left" w:pos="82"/>
              </w:tabs>
              <w:adjustRightInd w:val="0"/>
              <w:snapToGrid w:val="0"/>
              <w:spacing w:line="276" w:lineRule="auto"/>
              <w:jc w:val="center"/>
              <w:rPr>
                <w:rFonts w:hint="eastAsia" w:ascii="宋体" w:hAnsi="宋体" w:eastAsia="宋体" w:cs="宋体"/>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tabs>
                <w:tab w:val="left" w:pos="0"/>
                <w:tab w:val="left" w:pos="56"/>
              </w:tabs>
              <w:adjustRightInd w:val="0"/>
              <w:snapToGrid w:val="0"/>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676"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3"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val="0"/>
              <w:snapToGrid w:val="0"/>
              <w:spacing w:line="276" w:lineRule="auto"/>
              <w:jc w:val="center"/>
              <w:rPr>
                <w:rFonts w:hint="eastAsia" w:ascii="宋体" w:hAnsi="宋体" w:eastAsia="宋体" w:cs="宋体"/>
                <w:szCs w:val="21"/>
              </w:rPr>
            </w:pPr>
            <w:r>
              <w:rPr>
                <w:rFonts w:hint="eastAsia" w:ascii="宋体" w:hAnsi="宋体" w:eastAsia="宋体" w:cs="宋体"/>
                <w:szCs w:val="21"/>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676"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3"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val="0"/>
              <w:snapToGrid w:val="0"/>
              <w:spacing w:line="276" w:lineRule="auto"/>
              <w:jc w:val="center"/>
              <w:rPr>
                <w:rFonts w:hint="eastAsia" w:ascii="宋体" w:hAnsi="宋体" w:eastAsia="宋体" w:cs="宋体"/>
                <w:szCs w:val="21"/>
              </w:rPr>
            </w:pPr>
            <w:r>
              <w:rPr>
                <w:rFonts w:hint="eastAsia" w:ascii="宋体" w:hAnsi="宋体" w:eastAsia="宋体" w:cs="宋体"/>
                <w:szCs w:val="21"/>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676"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3"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val="0"/>
              <w:snapToGrid w:val="0"/>
              <w:spacing w:line="276" w:lineRule="auto"/>
              <w:jc w:val="center"/>
              <w:rPr>
                <w:rFonts w:hint="eastAsia" w:ascii="宋体" w:hAnsi="宋体" w:eastAsia="宋体" w:cs="宋体"/>
                <w:szCs w:val="21"/>
              </w:rPr>
            </w:pPr>
            <w:r>
              <w:rPr>
                <w:rFonts w:hint="eastAsia" w:ascii="宋体" w:hAnsi="宋体" w:eastAsia="宋体" w:cs="宋体"/>
                <w:szCs w:val="21"/>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676"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3"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val="0"/>
              <w:snapToGrid w:val="0"/>
              <w:spacing w:line="276" w:lineRule="auto"/>
              <w:jc w:val="center"/>
              <w:rPr>
                <w:rFonts w:hint="eastAsia" w:ascii="宋体" w:hAnsi="宋体" w:eastAsia="宋体" w:cs="宋体"/>
                <w:szCs w:val="21"/>
              </w:rPr>
            </w:pPr>
            <w:r>
              <w:rPr>
                <w:rFonts w:hint="eastAsia" w:ascii="宋体" w:hAnsi="宋体" w:eastAsia="宋体" w:cs="宋体"/>
                <w:szCs w:val="21"/>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676"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53"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val="0"/>
              <w:snapToGrid w:val="0"/>
              <w:spacing w:line="276" w:lineRule="auto"/>
              <w:jc w:val="center"/>
              <w:rPr>
                <w:rFonts w:hint="eastAsia" w:ascii="宋体" w:hAnsi="宋体" w:eastAsia="宋体" w:cs="宋体"/>
                <w:szCs w:val="21"/>
              </w:rPr>
            </w:pPr>
            <w:r>
              <w:rPr>
                <w:rFonts w:hint="eastAsia" w:ascii="宋体" w:hAnsi="宋体" w:eastAsia="宋体" w:cs="宋体"/>
                <w:szCs w:val="21"/>
              </w:rPr>
              <w:t>……</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r>
              <w:rPr>
                <w:rFonts w:hint="eastAsia" w:ascii="宋体" w:hAnsi="宋体" w:eastAsia="宋体" w:cs="宋体"/>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676"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873"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r>
              <w:rPr>
                <w:rFonts w:hint="eastAsia" w:ascii="宋体" w:hAnsi="宋体" w:eastAsia="宋体" w:cs="宋体"/>
                <w:color w:val="0D0D0D"/>
                <w:kern w:val="0"/>
                <w:szCs w:val="21"/>
              </w:rPr>
              <w:t>合计</w:t>
            </w:r>
          </w:p>
        </w:tc>
        <w:tc>
          <w:tcPr>
            <w:tcW w:w="267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r>
    </w:tbl>
    <w:p>
      <w:pPr>
        <w:spacing w:line="276" w:lineRule="auto"/>
        <w:ind w:left="918" w:hanging="917" w:hangingChars="437"/>
        <w:jc w:val="left"/>
        <w:rPr>
          <w:rFonts w:hint="eastAsia" w:ascii="宋体" w:hAnsi="宋体" w:eastAsia="宋体" w:cs="宋体"/>
          <w:color w:val="000000"/>
          <w:szCs w:val="21"/>
        </w:rPr>
      </w:pPr>
      <w:r>
        <w:rPr>
          <w:rFonts w:hint="eastAsia" w:ascii="宋体" w:hAnsi="宋体" w:eastAsia="宋体" w:cs="宋体"/>
          <w:color w:val="000000"/>
          <w:szCs w:val="21"/>
        </w:rPr>
        <w:t>说明： 1．币种单位与《报价一览表》一致，单位为“元”。</w:t>
      </w:r>
    </w:p>
    <w:p>
      <w:pPr>
        <w:spacing w:line="276" w:lineRule="auto"/>
        <w:ind w:left="1017" w:leftChars="339" w:hanging="306" w:hangingChars="146"/>
        <w:jc w:val="left"/>
        <w:rPr>
          <w:rFonts w:hint="eastAsia" w:ascii="宋体" w:hAnsi="宋体" w:eastAsia="宋体" w:cs="宋体"/>
          <w:color w:val="0D0D0D"/>
          <w:szCs w:val="21"/>
        </w:rPr>
      </w:pPr>
      <w:r>
        <w:rPr>
          <w:rFonts w:hint="eastAsia" w:ascii="宋体" w:hAnsi="宋体" w:eastAsia="宋体" w:cs="宋体"/>
          <w:color w:val="0D0D0D"/>
          <w:szCs w:val="21"/>
        </w:rPr>
        <w:t>2．应根据采购清单进行分项报价，报价范围应包含全部采购内容。报价明细表合计应与《报价一览表》中的投标总报价一致。</w:t>
      </w:r>
    </w:p>
    <w:p>
      <w:pPr>
        <w:spacing w:line="276" w:lineRule="auto"/>
        <w:ind w:left="1017" w:leftChars="339" w:hanging="306" w:hangingChars="146"/>
        <w:jc w:val="left"/>
        <w:rPr>
          <w:rFonts w:hint="eastAsia" w:ascii="宋体" w:hAnsi="宋体" w:eastAsia="宋体" w:cs="宋体"/>
          <w:color w:val="0D0D0D"/>
          <w:szCs w:val="21"/>
        </w:rPr>
      </w:pPr>
      <w:r>
        <w:rPr>
          <w:rFonts w:hint="eastAsia" w:ascii="宋体" w:hAnsi="宋体" w:eastAsia="宋体" w:cs="宋体"/>
          <w:color w:val="0D0D0D"/>
          <w:szCs w:val="21"/>
        </w:rPr>
        <w:t>3．未提供详细的货物（工程或服务）分项报价表</w:t>
      </w:r>
      <w:r>
        <w:rPr>
          <w:rFonts w:hint="eastAsia" w:ascii="宋体" w:hAnsi="宋体" w:eastAsia="宋体" w:cs="宋体"/>
          <w:szCs w:val="21"/>
        </w:rPr>
        <w:t>，导致的后果由投标人自行承担。</w:t>
      </w:r>
    </w:p>
    <w:p>
      <w:pPr>
        <w:spacing w:line="276" w:lineRule="auto"/>
        <w:ind w:left="832" w:hanging="831" w:hangingChars="396"/>
        <w:jc w:val="left"/>
        <w:rPr>
          <w:rFonts w:hint="eastAsia" w:ascii="宋体" w:hAnsi="宋体" w:eastAsia="宋体" w:cs="宋体"/>
          <w:szCs w:val="21"/>
        </w:rPr>
      </w:pPr>
    </w:p>
    <w:p>
      <w:pPr>
        <w:spacing w:line="276" w:lineRule="auto"/>
        <w:ind w:left="832" w:hanging="831" w:hangingChars="396"/>
        <w:jc w:val="left"/>
        <w:rPr>
          <w:rFonts w:hint="eastAsia" w:ascii="宋体" w:hAnsi="宋体" w:eastAsia="宋体" w:cs="宋体"/>
          <w:szCs w:val="21"/>
        </w:rPr>
      </w:pPr>
    </w:p>
    <w:p>
      <w:pPr>
        <w:spacing w:line="276" w:lineRule="auto"/>
        <w:ind w:left="832" w:hanging="831" w:hangingChars="396"/>
        <w:jc w:val="left"/>
        <w:rPr>
          <w:rFonts w:hint="eastAsia" w:ascii="宋体" w:hAnsi="宋体" w:eastAsia="宋体" w:cs="宋体"/>
          <w:szCs w:val="21"/>
        </w:rPr>
      </w:pPr>
    </w:p>
    <w:p>
      <w:pPr>
        <w:spacing w:before="100" w:beforeAutospacing="1" w:after="100" w:afterAutospacing="1" w:line="276" w:lineRule="auto"/>
        <w:ind w:firstLine="2902" w:firstLineChars="1382"/>
        <w:rPr>
          <w:rFonts w:hint="eastAsia" w:ascii="宋体" w:hAnsi="宋体" w:eastAsia="宋体" w:cs="宋体"/>
          <w:bCs/>
          <w:szCs w:val="21"/>
          <w:u w:val="single"/>
        </w:rPr>
      </w:pPr>
      <w:r>
        <w:rPr>
          <w:rFonts w:hint="eastAsia" w:ascii="宋体" w:hAnsi="宋体" w:eastAsia="宋体" w:cs="宋体"/>
          <w:bCs/>
          <w:szCs w:val="21"/>
        </w:rPr>
        <w:t>投标人名称（公章）：</w:t>
      </w:r>
      <w:r>
        <w:rPr>
          <w:rFonts w:hint="eastAsia" w:ascii="宋体" w:hAnsi="宋体" w:eastAsia="宋体" w:cs="宋体"/>
          <w:bCs/>
          <w:szCs w:val="21"/>
          <w:u w:val="single"/>
        </w:rPr>
        <w:t xml:space="preserve">                          </w:t>
      </w:r>
    </w:p>
    <w:p>
      <w:pPr>
        <w:spacing w:before="100" w:beforeAutospacing="1" w:after="100" w:afterAutospacing="1" w:line="276" w:lineRule="auto"/>
        <w:ind w:firstLine="2902" w:firstLineChars="1382"/>
        <w:rPr>
          <w:rFonts w:hint="eastAsia" w:ascii="宋体" w:hAnsi="宋体" w:eastAsia="宋体" w:cs="宋体"/>
          <w:bCs/>
          <w:szCs w:val="21"/>
          <w:u w:val="single"/>
        </w:rPr>
      </w:pPr>
      <w:r>
        <w:rPr>
          <w:rFonts w:hint="eastAsia" w:ascii="宋体" w:hAnsi="宋体" w:eastAsia="宋体" w:cs="宋体"/>
          <w:bCs/>
          <w:szCs w:val="21"/>
          <w:lang w:val="zh-CN"/>
        </w:rPr>
        <w:t>授权代表（签名）：</w:t>
      </w:r>
      <w:r>
        <w:rPr>
          <w:rFonts w:hint="eastAsia" w:ascii="宋体" w:hAnsi="宋体" w:eastAsia="宋体" w:cs="宋体"/>
          <w:bCs/>
          <w:szCs w:val="21"/>
          <w:u w:val="single"/>
        </w:rPr>
        <w:t xml:space="preserve">                  </w:t>
      </w:r>
    </w:p>
    <w:p>
      <w:pPr>
        <w:spacing w:before="100" w:beforeAutospacing="1" w:after="100" w:afterAutospacing="1" w:line="276" w:lineRule="auto"/>
        <w:ind w:firstLine="2902" w:firstLineChars="1382"/>
        <w:rPr>
          <w:rFonts w:hint="eastAsia" w:ascii="宋体" w:hAnsi="宋体" w:eastAsia="宋体" w:cs="宋体"/>
          <w:color w:val="000000"/>
          <w:szCs w:val="21"/>
        </w:rPr>
      </w:pPr>
      <w:r>
        <w:rPr>
          <w:rFonts w:hint="eastAsia" w:ascii="宋体" w:hAnsi="宋体" w:eastAsia="宋体" w:cs="宋体"/>
          <w:color w:val="000000"/>
          <w:szCs w:val="21"/>
        </w:rPr>
        <w:t>日期：</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日</w:t>
      </w:r>
    </w:p>
    <w:p>
      <w:pPr>
        <w:spacing w:before="100" w:beforeAutospacing="1" w:after="100" w:afterAutospacing="1" w:line="276"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br w:type="page"/>
      </w:r>
    </w:p>
    <w:p>
      <w:pPr>
        <w:pStyle w:val="29"/>
        <w:numPr>
          <w:ilvl w:val="0"/>
          <w:numId w:val="106"/>
        </w:numPr>
        <w:spacing w:line="276" w:lineRule="auto"/>
        <w:ind w:firstLineChars="0"/>
        <w:outlineLvl w:val="2"/>
        <w:rPr>
          <w:rFonts w:hint="eastAsia" w:ascii="宋体" w:hAnsi="宋体" w:eastAsia="宋体" w:cs="宋体"/>
          <w:szCs w:val="21"/>
        </w:rPr>
      </w:pPr>
      <w:r>
        <w:rPr>
          <w:rFonts w:hint="eastAsia" w:ascii="宋体" w:hAnsi="宋体" w:eastAsia="宋体" w:cs="宋体"/>
          <w:szCs w:val="21"/>
        </w:rPr>
        <w:t>报价范围以外的备品备件、耗材/服务价格表（</w:t>
      </w:r>
      <w:r>
        <w:rPr>
          <w:rFonts w:hint="eastAsia" w:ascii="宋体" w:hAnsi="宋体" w:eastAsia="宋体" w:cs="宋体"/>
          <w:color w:val="FF0000"/>
          <w:szCs w:val="21"/>
        </w:rPr>
        <w:t>如有</w:t>
      </w:r>
      <w:r>
        <w:rPr>
          <w:rFonts w:hint="eastAsia" w:ascii="宋体" w:hAnsi="宋体" w:eastAsia="宋体" w:cs="宋体"/>
          <w:szCs w:val="21"/>
        </w:rPr>
        <w:t>）</w:t>
      </w:r>
    </w:p>
    <w:p>
      <w:pPr>
        <w:spacing w:before="100" w:beforeAutospacing="1" w:after="100" w:afterAutospacing="1" w:line="276" w:lineRule="auto"/>
        <w:jc w:val="center"/>
        <w:rPr>
          <w:rFonts w:hint="eastAsia" w:ascii="宋体" w:hAnsi="宋体" w:eastAsia="宋体" w:cs="宋体"/>
          <w:b/>
          <w:color w:val="000000"/>
          <w:szCs w:val="21"/>
        </w:rPr>
      </w:pPr>
      <w:r>
        <w:rPr>
          <w:rFonts w:hint="eastAsia" w:ascii="宋体" w:hAnsi="宋体" w:eastAsia="宋体" w:cs="宋体"/>
          <w:b/>
          <w:color w:val="000000"/>
          <w:szCs w:val="21"/>
        </w:rPr>
        <w:t>报价范围以外的备品备件、耗材/服务价格表</w:t>
      </w:r>
    </w:p>
    <w:p>
      <w:pPr>
        <w:spacing w:line="276" w:lineRule="auto"/>
        <w:jc w:val="left"/>
        <w:rPr>
          <w:rFonts w:hint="eastAsia" w:ascii="宋体" w:hAnsi="宋体" w:eastAsia="宋体" w:cs="宋体"/>
          <w:szCs w:val="21"/>
          <w:lang w:val="zh-CN"/>
        </w:rPr>
      </w:pPr>
      <w:r>
        <w:rPr>
          <w:rFonts w:hint="eastAsia" w:ascii="宋体" w:hAnsi="宋体" w:eastAsia="宋体" w:cs="宋体"/>
          <w:szCs w:val="21"/>
          <w:lang w:val="zh-CN"/>
        </w:rPr>
        <w:t xml:space="preserve">投 标 人： </w:t>
      </w:r>
      <w:r>
        <w:rPr>
          <w:rFonts w:hint="eastAsia" w:ascii="宋体" w:hAnsi="宋体" w:eastAsia="宋体" w:cs="宋体"/>
          <w:szCs w:val="21"/>
          <w:u w:val="single"/>
          <w:lang w:val="zh-CN"/>
        </w:rPr>
        <w:t xml:space="preserve">                    </w:t>
      </w:r>
    </w:p>
    <w:p>
      <w:pPr>
        <w:spacing w:line="276" w:lineRule="auto"/>
        <w:jc w:val="left"/>
        <w:rPr>
          <w:rFonts w:hint="eastAsia" w:ascii="宋体" w:hAnsi="宋体" w:eastAsia="宋体" w:cs="宋体"/>
          <w:color w:val="000000"/>
          <w:szCs w:val="21"/>
        </w:rPr>
      </w:pPr>
      <w:r>
        <w:rPr>
          <w:rFonts w:hint="eastAsia" w:ascii="宋体" w:hAnsi="宋体" w:eastAsia="宋体" w:cs="宋体"/>
          <w:szCs w:val="21"/>
          <w:lang w:val="zh-CN"/>
        </w:rPr>
        <w:t>项目编号/标段编号：</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r>
        <w:rPr>
          <w:rFonts w:hint="eastAsia" w:ascii="宋体" w:hAnsi="宋体" w:eastAsia="宋体" w:cs="宋体"/>
          <w:bCs/>
          <w:szCs w:val="21"/>
          <w:lang w:val="zh-CN"/>
        </w:rPr>
        <w:t xml:space="preserve">                </w:t>
      </w:r>
      <w:r>
        <w:rPr>
          <w:rFonts w:hint="eastAsia" w:ascii="宋体" w:hAnsi="宋体" w:eastAsia="宋体" w:cs="宋体"/>
          <w:szCs w:val="21"/>
          <w:lang w:val="zh-CN"/>
        </w:rPr>
        <w:t>项目名称</w:t>
      </w:r>
      <w:r>
        <w:rPr>
          <w:rFonts w:hint="eastAsia" w:ascii="宋体" w:hAnsi="宋体" w:eastAsia="宋体" w:cs="宋体"/>
          <w:bCs/>
          <w:szCs w:val="21"/>
          <w:lang w:val="zh-CN"/>
        </w:rPr>
        <w:t>：</w:t>
      </w:r>
      <w:r>
        <w:rPr>
          <w:rFonts w:hint="eastAsia" w:ascii="宋体" w:hAnsi="宋体" w:eastAsia="宋体" w:cs="宋体"/>
          <w:bCs/>
          <w:szCs w:val="21"/>
          <w:u w:val="single"/>
          <w:lang w:val="zh-CN"/>
        </w:rPr>
        <w:t xml:space="preserve">           </w:t>
      </w:r>
    </w:p>
    <w:tbl>
      <w:tblPr>
        <w:tblStyle w:val="26"/>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536"/>
        <w:gridCol w:w="1276"/>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76" w:lineRule="auto"/>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76" w:lineRule="auto"/>
              <w:jc w:val="center"/>
              <w:rPr>
                <w:rFonts w:hint="eastAsia" w:ascii="宋体" w:hAnsi="宋体" w:eastAsia="宋体" w:cs="宋体"/>
                <w:color w:val="000000"/>
                <w:szCs w:val="21"/>
              </w:rPr>
            </w:pPr>
            <w:r>
              <w:rPr>
                <w:rFonts w:hint="eastAsia" w:ascii="宋体" w:hAnsi="宋体" w:eastAsia="宋体" w:cs="宋体"/>
                <w:color w:val="000000"/>
                <w:szCs w:val="21"/>
              </w:rPr>
              <w:t>备品备件、耗材/服务名称（厂家、规格型号、产地）</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76" w:lineRule="auto"/>
              <w:jc w:val="center"/>
              <w:rPr>
                <w:rFonts w:hint="eastAsia" w:ascii="宋体" w:hAnsi="宋体" w:eastAsia="宋体" w:cs="宋体"/>
                <w:color w:val="000000"/>
                <w:szCs w:val="21"/>
              </w:rPr>
            </w:pPr>
            <w:r>
              <w:rPr>
                <w:rFonts w:hint="eastAsia" w:ascii="宋体" w:hAnsi="宋体" w:eastAsia="宋体" w:cs="宋体"/>
                <w:color w:val="000000"/>
                <w:szCs w:val="21"/>
              </w:rPr>
              <w:t>单价</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76" w:lineRule="auto"/>
              <w:jc w:val="center"/>
              <w:rPr>
                <w:rFonts w:hint="eastAsia" w:ascii="宋体" w:hAnsi="宋体" w:eastAsia="宋体" w:cs="宋体"/>
                <w:color w:val="000000"/>
                <w:szCs w:val="21"/>
              </w:rPr>
            </w:pPr>
            <w:r>
              <w:rPr>
                <w:rFonts w:hint="eastAsia" w:ascii="宋体" w:hAnsi="宋体" w:eastAsia="宋体" w:cs="宋体"/>
                <w:color w:val="000000"/>
                <w:szCs w:val="21"/>
              </w:rPr>
              <w:t>质保期外每年所需数量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76" w:lineRule="auto"/>
              <w:jc w:val="center"/>
              <w:rPr>
                <w:rFonts w:hint="eastAsia"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453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453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453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453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453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453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453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r>
              <w:rPr>
                <w:rFonts w:hint="eastAsia" w:ascii="宋体" w:hAnsi="宋体" w:eastAsia="宋体" w:cs="宋体"/>
                <w:color w:val="000000"/>
                <w:szCs w:val="21"/>
              </w:rPr>
              <w:t>……</w:t>
            </w:r>
          </w:p>
        </w:tc>
        <w:tc>
          <w:tcPr>
            <w:tcW w:w="127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jc w:val="center"/>
              <w:rPr>
                <w:rFonts w:hint="eastAsia" w:ascii="宋体" w:hAnsi="宋体" w:eastAsia="宋体" w:cs="宋体"/>
                <w:color w:val="000000"/>
                <w:szCs w:val="21"/>
              </w:rPr>
            </w:pPr>
          </w:p>
        </w:tc>
        <w:tc>
          <w:tcPr>
            <w:tcW w:w="453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127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c>
          <w:tcPr>
            <w:tcW w:w="992"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276" w:lineRule="auto"/>
              <w:rPr>
                <w:rFonts w:hint="eastAsia" w:ascii="宋体" w:hAnsi="宋体" w:eastAsia="宋体" w:cs="宋体"/>
                <w:color w:val="000000"/>
                <w:szCs w:val="21"/>
              </w:rPr>
            </w:pPr>
          </w:p>
        </w:tc>
      </w:tr>
    </w:tbl>
    <w:p>
      <w:pPr>
        <w:spacing w:before="100" w:beforeAutospacing="1"/>
        <w:rPr>
          <w:rFonts w:hint="eastAsia" w:ascii="宋体" w:hAnsi="宋体" w:eastAsia="宋体" w:cs="宋体"/>
          <w:color w:val="000000"/>
          <w:szCs w:val="21"/>
        </w:rPr>
      </w:pPr>
      <w:r>
        <w:rPr>
          <w:rFonts w:hint="eastAsia" w:ascii="宋体" w:hAnsi="宋体" w:eastAsia="宋体" w:cs="宋体"/>
          <w:color w:val="000000"/>
          <w:szCs w:val="21"/>
        </w:rPr>
        <w:t>说明：</w:t>
      </w:r>
    </w:p>
    <w:p>
      <w:pPr>
        <w:ind w:left="210" w:leftChars="100"/>
        <w:rPr>
          <w:rFonts w:hint="eastAsia" w:ascii="宋体" w:hAnsi="宋体" w:eastAsia="宋体" w:cs="宋体"/>
          <w:color w:val="000000"/>
          <w:szCs w:val="21"/>
        </w:rPr>
      </w:pPr>
      <w:r>
        <w:rPr>
          <w:rFonts w:hint="eastAsia" w:ascii="宋体" w:hAnsi="宋体" w:eastAsia="宋体" w:cs="宋体"/>
          <w:color w:val="000000"/>
          <w:szCs w:val="21"/>
        </w:rPr>
        <w:t>1.币种单位与《报价一览表》一致，单位为“元”。</w:t>
      </w:r>
    </w:p>
    <w:p>
      <w:pPr>
        <w:spacing w:line="276" w:lineRule="auto"/>
        <w:ind w:left="420" w:leftChars="100" w:hanging="210" w:hangingChars="100"/>
        <w:rPr>
          <w:rFonts w:hint="eastAsia" w:ascii="宋体" w:hAnsi="宋体" w:eastAsia="宋体" w:cs="宋体"/>
          <w:color w:val="000000"/>
          <w:szCs w:val="21"/>
        </w:rPr>
      </w:pPr>
      <w:r>
        <w:rPr>
          <w:rFonts w:hint="eastAsia" w:ascii="宋体" w:hAnsi="宋体" w:eastAsia="宋体" w:cs="宋体"/>
          <w:color w:val="000000"/>
          <w:szCs w:val="21"/>
        </w:rPr>
        <w:t>2.投标人应提供投标范围以外的备品备件/服务价格表，如无此项则可不提供。本表报价不含在投标总报价中。</w:t>
      </w:r>
    </w:p>
    <w:p>
      <w:pPr>
        <w:spacing w:line="276" w:lineRule="auto"/>
        <w:ind w:left="424" w:leftChars="100" w:hanging="214" w:hangingChars="102"/>
        <w:rPr>
          <w:rFonts w:hint="eastAsia" w:ascii="宋体" w:hAnsi="宋体" w:eastAsia="宋体" w:cs="宋体"/>
          <w:color w:val="000000"/>
          <w:szCs w:val="21"/>
        </w:rPr>
      </w:pPr>
      <w:r>
        <w:rPr>
          <w:rFonts w:hint="eastAsia" w:ascii="宋体" w:hAnsi="宋体" w:eastAsia="宋体" w:cs="宋体"/>
          <w:color w:val="000000"/>
          <w:szCs w:val="21"/>
        </w:rPr>
        <w:t>3.投标人必须按此表格式中的对应栏目内容填写，若需增加栏目，请在栏目“备注”中填写，并作详细  说明。</w:t>
      </w:r>
    </w:p>
    <w:p>
      <w:pPr>
        <w:spacing w:line="276" w:lineRule="auto"/>
        <w:ind w:firstLine="210" w:firstLineChars="100"/>
        <w:rPr>
          <w:rFonts w:hint="eastAsia" w:ascii="宋体" w:hAnsi="宋体" w:eastAsia="宋体" w:cs="宋体"/>
          <w:color w:val="000000"/>
          <w:szCs w:val="21"/>
        </w:rPr>
      </w:pPr>
    </w:p>
    <w:p>
      <w:pPr>
        <w:spacing w:line="276" w:lineRule="auto"/>
        <w:ind w:firstLine="210" w:firstLineChars="100"/>
        <w:rPr>
          <w:rFonts w:hint="eastAsia" w:ascii="宋体" w:hAnsi="宋体" w:eastAsia="宋体" w:cs="宋体"/>
          <w:color w:val="000000"/>
          <w:szCs w:val="21"/>
        </w:rPr>
      </w:pPr>
    </w:p>
    <w:p>
      <w:pPr>
        <w:spacing w:line="276" w:lineRule="auto"/>
        <w:ind w:firstLine="210" w:firstLineChars="100"/>
        <w:rPr>
          <w:rFonts w:hint="eastAsia" w:ascii="宋体" w:hAnsi="宋体" w:eastAsia="宋体" w:cs="宋体"/>
          <w:color w:val="000000"/>
          <w:szCs w:val="21"/>
        </w:rPr>
      </w:pPr>
    </w:p>
    <w:p>
      <w:pPr>
        <w:spacing w:line="276" w:lineRule="auto"/>
        <w:ind w:firstLine="210" w:firstLineChars="100"/>
        <w:rPr>
          <w:rFonts w:hint="eastAsia" w:ascii="宋体" w:hAnsi="宋体" w:eastAsia="宋体" w:cs="宋体"/>
          <w:color w:val="000000"/>
          <w:szCs w:val="21"/>
        </w:rPr>
      </w:pPr>
    </w:p>
    <w:p>
      <w:pPr>
        <w:spacing w:before="100" w:beforeAutospacing="1" w:after="100" w:afterAutospacing="1" w:line="276" w:lineRule="auto"/>
        <w:ind w:firstLine="2902" w:firstLineChars="1382"/>
        <w:rPr>
          <w:rFonts w:hint="eastAsia" w:ascii="宋体" w:hAnsi="宋体" w:eastAsia="宋体" w:cs="宋体"/>
          <w:bCs/>
          <w:szCs w:val="21"/>
          <w:u w:val="single"/>
        </w:rPr>
      </w:pPr>
      <w:r>
        <w:rPr>
          <w:rFonts w:hint="eastAsia" w:ascii="宋体" w:hAnsi="宋体" w:eastAsia="宋体" w:cs="宋体"/>
          <w:bCs/>
          <w:szCs w:val="21"/>
        </w:rPr>
        <w:t>投标人名称（公章）：</w:t>
      </w:r>
      <w:r>
        <w:rPr>
          <w:rFonts w:hint="eastAsia" w:ascii="宋体" w:hAnsi="宋体" w:eastAsia="宋体" w:cs="宋体"/>
          <w:bCs/>
          <w:szCs w:val="21"/>
          <w:u w:val="single"/>
        </w:rPr>
        <w:t xml:space="preserve">                          </w:t>
      </w:r>
    </w:p>
    <w:p>
      <w:pPr>
        <w:spacing w:before="100" w:beforeAutospacing="1" w:after="100" w:afterAutospacing="1" w:line="276" w:lineRule="auto"/>
        <w:ind w:firstLine="2902" w:firstLineChars="1382"/>
        <w:rPr>
          <w:rFonts w:hint="eastAsia" w:ascii="宋体" w:hAnsi="宋体" w:eastAsia="宋体" w:cs="宋体"/>
          <w:color w:val="000000"/>
          <w:szCs w:val="21"/>
        </w:rPr>
      </w:pPr>
      <w:r>
        <w:rPr>
          <w:rFonts w:hint="eastAsia" w:ascii="宋体" w:hAnsi="宋体" w:eastAsia="宋体" w:cs="宋体"/>
          <w:color w:val="000000"/>
          <w:szCs w:val="21"/>
        </w:rPr>
        <w:t>日期：</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日</w:t>
      </w:r>
    </w:p>
    <w:p>
      <w:pPr>
        <w:pStyle w:val="29"/>
        <w:numPr>
          <w:ilvl w:val="0"/>
          <w:numId w:val="106"/>
        </w:numPr>
        <w:spacing w:line="276" w:lineRule="auto"/>
        <w:ind w:firstLineChars="0"/>
        <w:outlineLvl w:val="2"/>
        <w:rPr>
          <w:rFonts w:hint="eastAsia" w:ascii="宋体" w:hAnsi="宋体" w:eastAsia="宋体" w:cs="宋体"/>
          <w:szCs w:val="21"/>
        </w:rPr>
      </w:pPr>
      <w:r>
        <w:rPr>
          <w:rFonts w:hint="eastAsia" w:ascii="宋体" w:hAnsi="宋体" w:eastAsia="宋体" w:cs="宋体"/>
          <w:color w:val="000000"/>
          <w:kern w:val="0"/>
          <w:szCs w:val="21"/>
        </w:rPr>
        <w:br w:type="page"/>
      </w:r>
      <w:bookmarkStart w:id="105" w:name="_Toc494721110"/>
      <w:bookmarkStart w:id="106" w:name="_Toc494665563"/>
      <w:bookmarkStart w:id="107" w:name="_Toc494665960"/>
      <w:bookmarkStart w:id="108" w:name="_Toc236473303"/>
      <w:bookmarkStart w:id="109" w:name="_Toc238276247"/>
      <w:bookmarkStart w:id="110" w:name="_Toc494745327"/>
      <w:bookmarkStart w:id="111" w:name="_Toc494665010"/>
      <w:bookmarkStart w:id="112" w:name="_Toc494702280"/>
      <w:r>
        <w:rPr>
          <w:rFonts w:hint="eastAsia" w:ascii="宋体" w:hAnsi="宋体" w:eastAsia="宋体" w:cs="宋体"/>
          <w:szCs w:val="21"/>
        </w:rPr>
        <w:t>法定代表人身份证明书</w:t>
      </w:r>
    </w:p>
    <w:p>
      <w:pPr>
        <w:spacing w:line="276" w:lineRule="auto"/>
        <w:jc w:val="center"/>
        <w:rPr>
          <w:rFonts w:hint="eastAsia" w:ascii="宋体" w:hAnsi="宋体" w:eastAsia="宋体" w:cs="宋体"/>
          <w:b/>
          <w:szCs w:val="21"/>
        </w:rPr>
      </w:pPr>
      <w:r>
        <w:rPr>
          <w:rFonts w:hint="eastAsia" w:ascii="宋体" w:hAnsi="宋体" w:eastAsia="宋体" w:cs="宋体"/>
          <w:b/>
          <w:szCs w:val="21"/>
        </w:rPr>
        <w:t>法定代表人身份证明书</w:t>
      </w:r>
    </w:p>
    <w:p>
      <w:pPr>
        <w:spacing w:line="276" w:lineRule="auto"/>
        <w:rPr>
          <w:rFonts w:hint="eastAsia" w:ascii="宋体" w:hAnsi="宋体" w:eastAsia="宋体" w:cs="宋体"/>
          <w:color w:val="000000"/>
          <w:szCs w:val="21"/>
        </w:rPr>
      </w:pPr>
    </w:p>
    <w:p>
      <w:pPr>
        <w:spacing w:line="276" w:lineRule="auto"/>
        <w:rPr>
          <w:rFonts w:hint="eastAsia" w:ascii="宋体" w:hAnsi="宋体" w:eastAsia="宋体" w:cs="宋体"/>
          <w:color w:val="000000"/>
          <w:szCs w:val="21"/>
          <w:u w:val="single"/>
        </w:rPr>
      </w:pPr>
      <w:r>
        <w:rPr>
          <w:rFonts w:hint="eastAsia" w:ascii="宋体" w:hAnsi="宋体" w:eastAsia="宋体" w:cs="宋体"/>
          <w:color w:val="000000"/>
          <w:szCs w:val="21"/>
        </w:rPr>
        <w:t>企业名称：</w:t>
      </w:r>
      <w:r>
        <w:rPr>
          <w:rFonts w:hint="eastAsia" w:ascii="宋体" w:hAnsi="宋体" w:eastAsia="宋体" w:cs="宋体"/>
          <w:color w:val="000000"/>
          <w:szCs w:val="21"/>
          <w:u w:val="single"/>
        </w:rPr>
        <w:t xml:space="preserve">                           </w:t>
      </w:r>
    </w:p>
    <w:p>
      <w:pPr>
        <w:spacing w:line="276" w:lineRule="auto"/>
        <w:rPr>
          <w:rFonts w:hint="eastAsia" w:ascii="宋体" w:hAnsi="宋体" w:eastAsia="宋体" w:cs="宋体"/>
          <w:color w:val="000000"/>
          <w:szCs w:val="21"/>
        </w:rPr>
      </w:pPr>
      <w:r>
        <w:rPr>
          <w:rFonts w:hint="eastAsia" w:ascii="宋体" w:hAnsi="宋体" w:eastAsia="宋体" w:cs="宋体"/>
          <w:color w:val="000000"/>
          <w:szCs w:val="21"/>
        </w:rPr>
        <w:t>企业性质：</w:t>
      </w:r>
      <w:r>
        <w:rPr>
          <w:rFonts w:hint="eastAsia" w:ascii="宋体" w:hAnsi="宋体" w:eastAsia="宋体" w:cs="宋体"/>
          <w:color w:val="000000"/>
          <w:szCs w:val="21"/>
          <w:u w:val="single"/>
        </w:rPr>
        <w:t xml:space="preserve">                           </w:t>
      </w:r>
    </w:p>
    <w:p>
      <w:pPr>
        <w:spacing w:line="276" w:lineRule="auto"/>
        <w:rPr>
          <w:rFonts w:hint="eastAsia" w:ascii="宋体" w:hAnsi="宋体" w:eastAsia="宋体" w:cs="宋体"/>
          <w:color w:val="000000"/>
          <w:szCs w:val="21"/>
        </w:rPr>
      </w:pPr>
      <w:r>
        <w:rPr>
          <w:rFonts w:hint="eastAsia" w:ascii="宋体" w:hAnsi="宋体" w:eastAsia="宋体" w:cs="宋体"/>
          <w:color w:val="000000"/>
          <w:szCs w:val="21"/>
        </w:rPr>
        <w:t>地    址：</w:t>
      </w:r>
      <w:r>
        <w:rPr>
          <w:rFonts w:hint="eastAsia" w:ascii="宋体" w:hAnsi="宋体" w:eastAsia="宋体" w:cs="宋体"/>
          <w:color w:val="000000"/>
          <w:szCs w:val="21"/>
          <w:u w:val="single"/>
        </w:rPr>
        <w:t xml:space="preserve">                           </w:t>
      </w:r>
    </w:p>
    <w:p>
      <w:pPr>
        <w:spacing w:line="276" w:lineRule="auto"/>
        <w:rPr>
          <w:rFonts w:hint="eastAsia" w:ascii="宋体" w:hAnsi="宋体" w:eastAsia="宋体" w:cs="宋体"/>
          <w:color w:val="000000"/>
          <w:szCs w:val="21"/>
        </w:rPr>
      </w:pPr>
      <w:r>
        <w:rPr>
          <w:rFonts w:hint="eastAsia" w:ascii="宋体" w:hAnsi="宋体" w:eastAsia="宋体" w:cs="宋体"/>
          <w:color w:val="000000"/>
          <w:szCs w:val="21"/>
        </w:rPr>
        <w:t>成立时间：</w:t>
      </w:r>
      <w:r>
        <w:rPr>
          <w:rFonts w:hint="eastAsia" w:ascii="宋体" w:hAnsi="宋体" w:eastAsia="宋体" w:cs="宋体"/>
          <w:color w:val="000000"/>
          <w:szCs w:val="21"/>
          <w:u w:val="single"/>
        </w:rPr>
        <w:t xml:space="preserve">                           </w:t>
      </w:r>
    </w:p>
    <w:p>
      <w:pPr>
        <w:spacing w:line="276" w:lineRule="auto"/>
        <w:rPr>
          <w:rFonts w:hint="eastAsia" w:ascii="宋体" w:hAnsi="宋体" w:eastAsia="宋体" w:cs="宋体"/>
          <w:color w:val="000000"/>
          <w:szCs w:val="21"/>
        </w:rPr>
      </w:pPr>
      <w:r>
        <w:rPr>
          <w:rFonts w:hint="eastAsia" w:ascii="宋体" w:hAnsi="宋体" w:eastAsia="宋体" w:cs="宋体"/>
          <w:color w:val="000000"/>
          <w:szCs w:val="21"/>
        </w:rPr>
        <w:t>经营期限：</w:t>
      </w:r>
      <w:r>
        <w:rPr>
          <w:rFonts w:hint="eastAsia" w:ascii="宋体" w:hAnsi="宋体" w:eastAsia="宋体" w:cs="宋体"/>
          <w:color w:val="000000"/>
          <w:szCs w:val="21"/>
          <w:u w:val="single"/>
        </w:rPr>
        <w:t xml:space="preserve">                           </w:t>
      </w:r>
    </w:p>
    <w:p>
      <w:pPr>
        <w:spacing w:line="276" w:lineRule="auto"/>
        <w:rPr>
          <w:rFonts w:hint="eastAsia" w:ascii="宋体" w:hAnsi="宋体" w:eastAsia="宋体" w:cs="宋体"/>
          <w:color w:val="000000"/>
          <w:szCs w:val="21"/>
        </w:rPr>
      </w:pPr>
      <w:r>
        <w:rPr>
          <w:rFonts w:hint="eastAsia" w:ascii="宋体" w:hAnsi="宋体" w:eastAsia="宋体" w:cs="宋体"/>
          <w:color w:val="000000"/>
          <w:szCs w:val="21"/>
        </w:rPr>
        <w:t>姓名：</w:t>
      </w:r>
      <w:r>
        <w:rPr>
          <w:rFonts w:hint="eastAsia" w:ascii="宋体" w:hAnsi="宋体" w:eastAsia="宋体" w:cs="宋体"/>
          <w:color w:val="000000"/>
          <w:szCs w:val="21"/>
        </w:rPr>
        <w:tab/>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性别：</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年龄：</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职务：</w:t>
      </w:r>
      <w:r>
        <w:rPr>
          <w:rFonts w:hint="eastAsia" w:ascii="宋体" w:hAnsi="宋体" w:eastAsia="宋体" w:cs="宋体"/>
          <w:color w:val="000000"/>
          <w:szCs w:val="21"/>
          <w:u w:val="single"/>
        </w:rPr>
        <w:t xml:space="preserve">         </w:t>
      </w:r>
    </w:p>
    <w:p>
      <w:pPr>
        <w:spacing w:line="276" w:lineRule="auto"/>
        <w:rPr>
          <w:rFonts w:hint="eastAsia" w:ascii="宋体" w:hAnsi="宋体" w:eastAsia="宋体" w:cs="宋体"/>
          <w:color w:val="000000"/>
          <w:szCs w:val="21"/>
        </w:rPr>
      </w:pPr>
      <w:r>
        <w:rPr>
          <w:rFonts w:hint="eastAsia" w:ascii="宋体" w:hAnsi="宋体" w:eastAsia="宋体" w:cs="宋体"/>
          <w:color w:val="000000"/>
          <w:szCs w:val="21"/>
        </w:rPr>
        <w:t>系</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（企业名称）的法定代表人。</w:t>
      </w:r>
    </w:p>
    <w:p>
      <w:pPr>
        <w:spacing w:line="276" w:lineRule="auto"/>
        <w:rPr>
          <w:rFonts w:hint="eastAsia" w:ascii="宋体" w:hAnsi="宋体" w:eastAsia="宋体" w:cs="宋体"/>
          <w:color w:val="000000"/>
          <w:szCs w:val="21"/>
        </w:rPr>
      </w:pPr>
      <w:r>
        <w:rPr>
          <w:rFonts w:hint="eastAsia" w:ascii="宋体" w:hAnsi="宋体" w:eastAsia="宋体" w:cs="宋体"/>
          <w:color w:val="000000"/>
          <w:szCs w:val="21"/>
        </w:rPr>
        <w:t>特此证明。</w:t>
      </w:r>
    </w:p>
    <w:p>
      <w:pPr>
        <w:spacing w:line="276" w:lineRule="auto"/>
        <w:rPr>
          <w:rFonts w:hint="eastAsia" w:ascii="宋体" w:hAnsi="宋体" w:eastAsia="宋体" w:cs="宋体"/>
          <w:color w:val="000000"/>
          <w:szCs w:val="21"/>
        </w:rPr>
      </w:pPr>
    </w:p>
    <w:p>
      <w:pPr>
        <w:adjustRightInd w:val="0"/>
        <w:snapToGrid w:val="0"/>
        <w:spacing w:line="276" w:lineRule="auto"/>
        <w:ind w:firstLine="3675" w:firstLineChars="1750"/>
        <w:jc w:val="left"/>
        <w:rPr>
          <w:rFonts w:hint="eastAsia" w:ascii="宋体" w:hAnsi="宋体" w:eastAsia="宋体" w:cs="宋体"/>
          <w:color w:val="000000"/>
          <w:szCs w:val="21"/>
        </w:rPr>
      </w:pPr>
      <w:r>
        <w:rPr>
          <w:rFonts w:hint="eastAsia" w:ascii="宋体" w:hAnsi="宋体" w:eastAsia="宋体" w:cs="宋体"/>
          <w:color w:val="000000"/>
          <w:szCs w:val="21"/>
        </w:rPr>
        <w:t>投标人名称（公章）：</w:t>
      </w:r>
      <w:r>
        <w:rPr>
          <w:rFonts w:hint="eastAsia" w:ascii="宋体" w:hAnsi="宋体" w:eastAsia="宋体" w:cs="宋体"/>
          <w:color w:val="000000"/>
          <w:kern w:val="0"/>
          <w:szCs w:val="21"/>
          <w:u w:val="single"/>
        </w:rPr>
        <w:t xml:space="preserve">              </w:t>
      </w:r>
    </w:p>
    <w:p>
      <w:pPr>
        <w:adjustRightInd w:val="0"/>
        <w:snapToGrid w:val="0"/>
        <w:spacing w:line="276" w:lineRule="auto"/>
        <w:ind w:firstLine="3675" w:firstLineChars="1750"/>
        <w:jc w:val="left"/>
        <w:rPr>
          <w:rFonts w:hint="eastAsia" w:ascii="宋体" w:hAnsi="宋体" w:eastAsia="宋体" w:cs="宋体"/>
          <w:color w:val="000000"/>
          <w:szCs w:val="21"/>
        </w:rPr>
      </w:pPr>
      <w:r>
        <w:rPr>
          <w:rFonts w:hint="eastAsia" w:ascii="宋体" w:hAnsi="宋体" w:eastAsia="宋体" w:cs="宋体"/>
          <w:color w:val="000000"/>
          <w:szCs w:val="21"/>
        </w:rPr>
        <w:t>日期：</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日</w:t>
      </w:r>
    </w:p>
    <w:p>
      <w:pPr>
        <w:adjustRightInd w:val="0"/>
        <w:snapToGrid w:val="0"/>
        <w:spacing w:line="276" w:lineRule="auto"/>
        <w:jc w:val="center"/>
        <w:rPr>
          <w:rFonts w:hint="eastAsia" w:ascii="宋体" w:hAnsi="宋体" w:eastAsia="宋体" w:cs="宋体"/>
          <w:szCs w:val="21"/>
        </w:rPr>
      </w:pPr>
    </w:p>
    <w:p>
      <w:pPr>
        <w:adjustRightInd w:val="0"/>
        <w:snapToGrid w:val="0"/>
        <w:spacing w:line="276" w:lineRule="auto"/>
        <w:jc w:val="center"/>
        <w:rPr>
          <w:rFonts w:hint="eastAsia" w:ascii="宋体" w:hAnsi="宋体" w:eastAsia="宋体" w:cs="宋体"/>
          <w:szCs w:val="21"/>
        </w:rPr>
      </w:pPr>
      <w:r>
        <w:rPr>
          <w:rFonts w:hint="eastAsia" w:ascii="宋体" w:hAnsi="宋体" w:eastAsia="宋体" w:cs="宋体"/>
          <w:kern w:val="2"/>
          <w:sz w:val="21"/>
          <w:szCs w:val="22"/>
          <w:lang w:val="en-US" w:eastAsia="zh-CN" w:bidi="ar-SA"/>
        </w:rPr>
        <w:pict>
          <v:rect id="文本框 7" o:spid="_x0000_s1027" style="position:absolute;left:0;margin-left:-30.75pt;margin-top:14.9pt;height:135pt;width:236.25pt;rotation:0f;z-index:251662336;" o:ole="f" fillcolor="#FFFFFF" filled="t" o:preferrelative="t" stroked="t" coordsize="21600,21600">
            <v:fill type="gradient" on="t" color2="#FFFFFF" o:opacity2="100%" colors="0f #FFFFFF;65536f #FFFFFF;" angle="-90" focus="0%" focussize="0f,0f" focusposition="0f,0f" method="linear sigma"/>
            <v:stroke color="#000000" color2="#FFFFFF" miterlimit="2"/>
            <v:imagedata gain="65536f" blacklevel="0f" gamma="0"/>
            <o:lock v:ext="edit" position="f" selection="f" grouping="f" rotation="f" cropping="f" text="f" aspectratio="f"/>
            <v:textbox>
              <w:txbxContent>
                <w:p>
                  <w:pPr>
                    <w:ind w:firstLine="480"/>
                    <w:jc w:val="left"/>
                    <w:rPr>
                      <w:sz w:val="24"/>
                    </w:rPr>
                  </w:pPr>
                  <w:permStart w:id="0" w:edGrp="everyone"/>
                  <w:r>
                    <w:rPr>
                      <w:rFonts w:hint="eastAsia"/>
                      <w:sz w:val="24"/>
                    </w:rPr>
                    <w:t>附：法定代表人身份证复印件（正面）</w:t>
                  </w:r>
                  <w:permEnd w:id="0"/>
                </w:p>
              </w:txbxContent>
            </v:textbox>
          </v:rect>
        </w:pict>
      </w:r>
      <w:r>
        <w:rPr>
          <w:rFonts w:hint="eastAsia" w:ascii="宋体" w:hAnsi="宋体" w:eastAsia="宋体" w:cs="宋体"/>
          <w:kern w:val="2"/>
          <w:sz w:val="21"/>
          <w:szCs w:val="22"/>
          <w:lang w:val="en-US" w:eastAsia="zh-CN" w:bidi="ar-SA"/>
        </w:rPr>
        <w:pict>
          <v:rect id="文本框 6" o:spid="_x0000_s1028" style="position:absolute;left:0;margin-left:211.5pt;margin-top:13.45pt;height:135pt;width:236.25pt;rotation:0f;z-index:251663360;" o:ole="f" fillcolor="#FFFFFF" filled="t" o:preferrelative="t" stroked="t" coordsize="21600,21600">
            <v:fill type="gradient" on="t" color2="#FFFFFF" o:opacity2="100%" colors="0f #FFFFFF;65536f #FFFFFF;" angle="-90" focus="0%" focussize="0f,0f" focusposition="0f,0f" method="linear sigma"/>
            <v:stroke color="#000000" color2="#FFFFFF" miterlimit="2"/>
            <v:imagedata gain="65536f" blacklevel="0f" gamma="0"/>
            <o:lock v:ext="edit" position="f" selection="f" grouping="f" rotation="f" cropping="f" text="f" aspectratio="f"/>
            <v:textbox>
              <w:txbxContent>
                <w:p>
                  <w:pPr>
                    <w:ind w:firstLine="480"/>
                    <w:jc w:val="left"/>
                    <w:rPr>
                      <w:sz w:val="24"/>
                    </w:rPr>
                  </w:pPr>
                  <w:permStart w:id="1" w:edGrp="everyone"/>
                  <w:r>
                    <w:rPr>
                      <w:rFonts w:hint="eastAsia"/>
                      <w:sz w:val="24"/>
                    </w:rPr>
                    <w:t>附：法定代表人身份证复印件（反面）</w:t>
                  </w:r>
                  <w:permEnd w:id="1"/>
                </w:p>
              </w:txbxContent>
            </v:textbox>
          </v:rect>
        </w:pict>
      </w:r>
    </w:p>
    <w:p>
      <w:pPr>
        <w:adjustRightInd w:val="0"/>
        <w:snapToGrid w:val="0"/>
        <w:spacing w:line="276" w:lineRule="auto"/>
        <w:jc w:val="center"/>
        <w:rPr>
          <w:rFonts w:hint="eastAsia" w:ascii="宋体" w:hAnsi="宋体" w:eastAsia="宋体" w:cs="宋体"/>
          <w:szCs w:val="21"/>
        </w:rPr>
      </w:pPr>
    </w:p>
    <w:p>
      <w:pPr>
        <w:adjustRightInd w:val="0"/>
        <w:snapToGrid w:val="0"/>
        <w:spacing w:line="276" w:lineRule="auto"/>
        <w:jc w:val="center"/>
        <w:rPr>
          <w:rFonts w:hint="eastAsia" w:ascii="宋体" w:hAnsi="宋体" w:eastAsia="宋体" w:cs="宋体"/>
          <w:szCs w:val="21"/>
        </w:rPr>
      </w:pPr>
    </w:p>
    <w:p>
      <w:pPr>
        <w:adjustRightInd w:val="0"/>
        <w:snapToGrid w:val="0"/>
        <w:spacing w:line="276" w:lineRule="auto"/>
        <w:jc w:val="center"/>
        <w:rPr>
          <w:rFonts w:hint="eastAsia" w:ascii="宋体" w:hAnsi="宋体" w:eastAsia="宋体" w:cs="宋体"/>
          <w:szCs w:val="21"/>
        </w:rPr>
      </w:pPr>
    </w:p>
    <w:p>
      <w:pPr>
        <w:adjustRightInd w:val="0"/>
        <w:snapToGrid w:val="0"/>
        <w:spacing w:line="276" w:lineRule="auto"/>
        <w:jc w:val="left"/>
        <w:rPr>
          <w:rFonts w:hint="eastAsia" w:ascii="宋体" w:hAnsi="宋体" w:eastAsia="宋体" w:cs="宋体"/>
          <w:color w:val="000000"/>
          <w:szCs w:val="21"/>
        </w:rPr>
      </w:pPr>
    </w:p>
    <w:p>
      <w:pPr>
        <w:adjustRightInd w:val="0"/>
        <w:snapToGrid w:val="0"/>
        <w:spacing w:line="276" w:lineRule="auto"/>
        <w:jc w:val="left"/>
        <w:rPr>
          <w:rFonts w:hint="eastAsia" w:ascii="宋体" w:hAnsi="宋体" w:eastAsia="宋体" w:cs="宋体"/>
          <w:color w:val="000000"/>
          <w:szCs w:val="21"/>
        </w:rPr>
      </w:pPr>
    </w:p>
    <w:p>
      <w:pPr>
        <w:adjustRightInd w:val="0"/>
        <w:snapToGrid w:val="0"/>
        <w:spacing w:line="276" w:lineRule="auto"/>
        <w:jc w:val="left"/>
        <w:rPr>
          <w:rFonts w:hint="eastAsia" w:ascii="宋体" w:hAnsi="宋体" w:eastAsia="宋体" w:cs="宋体"/>
          <w:color w:val="000000"/>
          <w:szCs w:val="21"/>
        </w:rPr>
      </w:pPr>
    </w:p>
    <w:p>
      <w:pPr>
        <w:adjustRightInd w:val="0"/>
        <w:snapToGrid w:val="0"/>
        <w:spacing w:line="276" w:lineRule="auto"/>
        <w:jc w:val="left"/>
        <w:rPr>
          <w:rFonts w:hint="eastAsia" w:ascii="宋体" w:hAnsi="宋体" w:eastAsia="宋体" w:cs="宋体"/>
          <w:color w:val="000000"/>
          <w:szCs w:val="21"/>
        </w:rPr>
      </w:pPr>
    </w:p>
    <w:p>
      <w:pPr>
        <w:adjustRightInd w:val="0"/>
        <w:snapToGrid w:val="0"/>
        <w:spacing w:line="276" w:lineRule="auto"/>
        <w:jc w:val="left"/>
        <w:rPr>
          <w:rFonts w:hint="eastAsia" w:ascii="宋体" w:hAnsi="宋体" w:eastAsia="宋体" w:cs="宋体"/>
          <w:color w:val="000000"/>
          <w:szCs w:val="21"/>
        </w:rPr>
      </w:pPr>
    </w:p>
    <w:p>
      <w:pPr>
        <w:adjustRightInd w:val="0"/>
        <w:snapToGrid w:val="0"/>
        <w:spacing w:line="276" w:lineRule="auto"/>
        <w:jc w:val="left"/>
        <w:rPr>
          <w:rFonts w:hint="eastAsia" w:ascii="宋体" w:hAnsi="宋体" w:eastAsia="宋体" w:cs="宋体"/>
          <w:color w:val="000000"/>
          <w:szCs w:val="21"/>
        </w:rPr>
      </w:pPr>
    </w:p>
    <w:p>
      <w:pPr>
        <w:adjustRightInd w:val="0"/>
        <w:snapToGrid w:val="0"/>
        <w:spacing w:line="276" w:lineRule="auto"/>
        <w:jc w:val="left"/>
        <w:rPr>
          <w:rFonts w:hint="eastAsia" w:ascii="宋体" w:hAnsi="宋体" w:eastAsia="宋体" w:cs="宋体"/>
          <w:color w:val="000000"/>
          <w:szCs w:val="21"/>
        </w:rPr>
      </w:pPr>
    </w:p>
    <w:p>
      <w:pPr>
        <w:adjustRightInd w:val="0"/>
        <w:snapToGrid w:val="0"/>
        <w:spacing w:line="276" w:lineRule="auto"/>
        <w:jc w:val="left"/>
        <w:rPr>
          <w:rFonts w:hint="eastAsia" w:ascii="宋体" w:hAnsi="宋体" w:eastAsia="宋体" w:cs="宋体"/>
          <w:color w:val="000000"/>
          <w:szCs w:val="21"/>
        </w:rPr>
      </w:pPr>
    </w:p>
    <w:p>
      <w:pPr>
        <w:adjustRightInd w:val="0"/>
        <w:snapToGrid w:val="0"/>
        <w:spacing w:line="276" w:lineRule="auto"/>
        <w:jc w:val="left"/>
        <w:rPr>
          <w:rFonts w:hint="eastAsia" w:ascii="宋体" w:hAnsi="宋体" w:eastAsia="宋体" w:cs="宋体"/>
          <w:color w:val="000000"/>
          <w:szCs w:val="21"/>
        </w:rPr>
      </w:pPr>
    </w:p>
    <w:p>
      <w:pPr>
        <w:adjustRightInd w:val="0"/>
        <w:snapToGrid w:val="0"/>
        <w:spacing w:line="276" w:lineRule="auto"/>
        <w:jc w:val="left"/>
        <w:rPr>
          <w:rFonts w:hint="eastAsia" w:ascii="宋体" w:hAnsi="宋体" w:eastAsia="宋体" w:cs="宋体"/>
          <w:color w:val="000000"/>
          <w:szCs w:val="21"/>
        </w:rPr>
      </w:pPr>
    </w:p>
    <w:p>
      <w:pPr>
        <w:adjustRightInd w:val="0"/>
        <w:snapToGrid w:val="0"/>
        <w:spacing w:line="276" w:lineRule="auto"/>
        <w:jc w:val="left"/>
        <w:rPr>
          <w:rFonts w:hint="eastAsia" w:ascii="宋体" w:hAnsi="宋体" w:eastAsia="宋体" w:cs="宋体"/>
          <w:color w:val="000000"/>
          <w:szCs w:val="21"/>
        </w:rPr>
      </w:pPr>
      <w:r>
        <w:rPr>
          <w:rFonts w:hint="eastAsia" w:ascii="宋体" w:hAnsi="宋体" w:eastAsia="宋体" w:cs="宋体"/>
          <w:color w:val="000000"/>
          <w:szCs w:val="21"/>
        </w:rPr>
        <w:t>说明：</w:t>
      </w:r>
    </w:p>
    <w:p>
      <w:pPr>
        <w:adjustRightInd w:val="0"/>
        <w:snapToGrid w:val="0"/>
        <w:spacing w:line="276" w:lineRule="auto"/>
        <w:ind w:firstLine="630" w:firstLineChars="300"/>
        <w:jc w:val="left"/>
        <w:rPr>
          <w:rFonts w:hint="eastAsia" w:ascii="宋体" w:hAnsi="宋体" w:eastAsia="宋体" w:cs="宋体"/>
          <w:color w:val="000000"/>
          <w:szCs w:val="21"/>
        </w:rPr>
      </w:pPr>
      <w:r>
        <w:rPr>
          <w:rFonts w:hint="eastAsia" w:ascii="宋体" w:hAnsi="宋体" w:eastAsia="宋体" w:cs="宋体"/>
          <w:color w:val="000000"/>
          <w:szCs w:val="21"/>
        </w:rPr>
        <w:t>适用于投标人不授权代理人，而由法定代表人直接参加投标并签署投标文件的情况。</w:t>
      </w:r>
    </w:p>
    <w:p>
      <w:pPr>
        <w:adjustRightInd w:val="0"/>
        <w:snapToGrid w:val="0"/>
        <w:spacing w:line="276" w:lineRule="auto"/>
        <w:ind w:firstLine="630" w:firstLineChars="300"/>
        <w:jc w:val="left"/>
        <w:rPr>
          <w:rFonts w:hint="eastAsia" w:ascii="宋体" w:hAnsi="宋体" w:eastAsia="宋体" w:cs="宋体"/>
          <w:color w:val="000000"/>
          <w:szCs w:val="21"/>
        </w:rPr>
      </w:pPr>
      <w:r>
        <w:rPr>
          <w:rFonts w:hint="eastAsia" w:ascii="宋体" w:hAnsi="宋体" w:eastAsia="宋体" w:cs="宋体"/>
          <w:color w:val="000000"/>
          <w:szCs w:val="21"/>
        </w:rPr>
        <w:t>如投标人为自然人，可在此页作出说明并粘贴本人身份证复印件即可。</w:t>
      </w:r>
    </w:p>
    <w:p>
      <w:pPr>
        <w:adjustRightInd w:val="0"/>
        <w:snapToGrid w:val="0"/>
        <w:spacing w:line="276" w:lineRule="auto"/>
        <w:jc w:val="left"/>
        <w:rPr>
          <w:rFonts w:hint="eastAsia" w:ascii="宋体" w:hAnsi="宋体" w:eastAsia="宋体" w:cs="宋体"/>
          <w:color w:val="000000"/>
          <w:szCs w:val="21"/>
        </w:rPr>
      </w:pPr>
    </w:p>
    <w:p>
      <w:pPr>
        <w:adjustRightInd w:val="0"/>
        <w:snapToGrid w:val="0"/>
        <w:spacing w:line="276" w:lineRule="auto"/>
        <w:jc w:val="center"/>
        <w:rPr>
          <w:rFonts w:hint="eastAsia" w:ascii="宋体" w:hAnsi="宋体" w:eastAsia="宋体" w:cs="宋体"/>
          <w:szCs w:val="21"/>
        </w:rPr>
      </w:pPr>
    </w:p>
    <w:p>
      <w:pPr>
        <w:tabs>
          <w:tab w:val="center" w:pos="4153"/>
          <w:tab w:val="right" w:pos="8306"/>
        </w:tabs>
        <w:snapToGrid w:val="0"/>
        <w:spacing w:line="276" w:lineRule="auto"/>
        <w:jc w:val="center"/>
        <w:rPr>
          <w:rFonts w:hint="eastAsia" w:ascii="宋体" w:hAnsi="宋体" w:eastAsia="宋体" w:cs="宋体"/>
          <w:szCs w:val="21"/>
        </w:rPr>
      </w:pPr>
    </w:p>
    <w:p>
      <w:pPr>
        <w:pStyle w:val="29"/>
        <w:numPr>
          <w:ilvl w:val="0"/>
          <w:numId w:val="106"/>
        </w:numPr>
        <w:spacing w:line="276" w:lineRule="auto"/>
        <w:ind w:firstLineChars="0"/>
        <w:outlineLvl w:val="2"/>
        <w:rPr>
          <w:rFonts w:hint="eastAsia" w:ascii="宋体" w:hAnsi="宋体" w:eastAsia="宋体" w:cs="宋体"/>
          <w:szCs w:val="21"/>
        </w:rPr>
      </w:pPr>
      <w:r>
        <w:rPr>
          <w:rFonts w:hint="eastAsia" w:ascii="宋体" w:hAnsi="宋体" w:eastAsia="宋体" w:cs="宋体"/>
          <w:kern w:val="0"/>
          <w:szCs w:val="21"/>
        </w:rPr>
        <w:br w:type="page"/>
      </w:r>
      <w:bookmarkEnd w:id="105"/>
      <w:bookmarkEnd w:id="106"/>
      <w:bookmarkEnd w:id="107"/>
      <w:bookmarkEnd w:id="108"/>
      <w:bookmarkEnd w:id="109"/>
      <w:bookmarkEnd w:id="110"/>
      <w:bookmarkEnd w:id="111"/>
      <w:bookmarkEnd w:id="112"/>
      <w:r>
        <w:rPr>
          <w:rFonts w:hint="eastAsia" w:ascii="宋体" w:hAnsi="宋体" w:eastAsia="宋体" w:cs="宋体"/>
          <w:szCs w:val="21"/>
        </w:rPr>
        <w:t>法定代表人授权委托书</w:t>
      </w:r>
    </w:p>
    <w:p>
      <w:pPr>
        <w:spacing w:line="276" w:lineRule="auto"/>
        <w:jc w:val="center"/>
        <w:rPr>
          <w:rFonts w:hint="eastAsia" w:ascii="宋体" w:hAnsi="宋体" w:eastAsia="宋体" w:cs="宋体"/>
          <w:b/>
          <w:szCs w:val="21"/>
        </w:rPr>
      </w:pPr>
      <w:r>
        <w:rPr>
          <w:rFonts w:hint="eastAsia" w:ascii="宋体" w:hAnsi="宋体" w:eastAsia="宋体" w:cs="宋体"/>
          <w:b/>
          <w:szCs w:val="21"/>
        </w:rPr>
        <w:t>法定代表人授权委托书</w:t>
      </w:r>
    </w:p>
    <w:p>
      <w:pPr>
        <w:spacing w:line="276" w:lineRule="auto"/>
        <w:rPr>
          <w:rFonts w:hint="eastAsia" w:ascii="宋体" w:hAnsi="宋体" w:eastAsia="宋体" w:cs="宋体"/>
          <w:b/>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DOCVARIABLE 招标机构名称 </w:instrText>
      </w:r>
      <w:r>
        <w:rPr>
          <w:rFonts w:hint="eastAsia" w:ascii="宋体" w:hAnsi="宋体" w:eastAsia="宋体" w:cs="宋体"/>
          <w:b/>
          <w:szCs w:val="21"/>
        </w:rPr>
        <w:fldChar w:fldCharType="separate"/>
      </w:r>
      <w:r>
        <w:rPr>
          <w:rFonts w:hint="eastAsia" w:ascii="宋体" w:hAnsi="宋体" w:eastAsia="宋体" w:cs="宋体"/>
          <w:b/>
          <w:szCs w:val="21"/>
        </w:rPr>
        <w:t>湖北国华项目管理咨询有限公司</w:t>
      </w:r>
      <w:r>
        <w:rPr>
          <w:rFonts w:hint="eastAsia" w:ascii="宋体" w:hAnsi="宋体" w:eastAsia="宋体" w:cs="宋体"/>
          <w:b/>
          <w:szCs w:val="21"/>
        </w:rPr>
        <w:fldChar w:fldCharType="end"/>
      </w:r>
      <w:r>
        <w:rPr>
          <w:rFonts w:hint="eastAsia" w:ascii="宋体" w:hAnsi="宋体" w:eastAsia="宋体" w:cs="宋体"/>
          <w:b/>
          <w:szCs w:val="21"/>
        </w:rPr>
        <w:t>：</w:t>
      </w:r>
    </w:p>
    <w:p>
      <w:pPr>
        <w:spacing w:line="276" w:lineRule="auto"/>
        <w:ind w:firstLine="420"/>
        <w:rPr>
          <w:rFonts w:hint="eastAsia" w:ascii="宋体" w:hAnsi="宋体" w:eastAsia="宋体" w:cs="宋体"/>
          <w:szCs w:val="21"/>
        </w:rPr>
      </w:pPr>
      <w:r>
        <w:rPr>
          <w:rFonts w:hint="eastAsia" w:ascii="宋体" w:hAnsi="宋体" w:eastAsia="宋体" w:cs="宋体"/>
          <w:bCs/>
          <w:szCs w:val="21"/>
          <w:u w:val="single"/>
        </w:rPr>
        <w:t xml:space="preserve">                     </w:t>
      </w:r>
      <w:r>
        <w:rPr>
          <w:rFonts w:hint="eastAsia" w:ascii="宋体" w:hAnsi="宋体" w:eastAsia="宋体" w:cs="宋体"/>
          <w:bCs/>
          <w:szCs w:val="21"/>
        </w:rPr>
        <w:t>（投标人名称）在下面签名的</w:t>
      </w:r>
      <w:r>
        <w:rPr>
          <w:rFonts w:hint="eastAsia" w:ascii="宋体" w:hAnsi="宋体" w:eastAsia="宋体" w:cs="宋体"/>
          <w:bCs/>
          <w:szCs w:val="21"/>
          <w:u w:val="single"/>
        </w:rPr>
        <w:t xml:space="preserve">           </w:t>
      </w:r>
      <w:r>
        <w:rPr>
          <w:rFonts w:hint="eastAsia" w:ascii="宋体" w:hAnsi="宋体" w:eastAsia="宋体" w:cs="宋体"/>
          <w:bCs/>
          <w:szCs w:val="21"/>
        </w:rPr>
        <w:t>（法定代表人姓名）代表本公司授权</w:t>
      </w:r>
      <w:r>
        <w:rPr>
          <w:rFonts w:hint="eastAsia" w:ascii="宋体" w:hAnsi="宋体" w:eastAsia="宋体" w:cs="宋体"/>
          <w:szCs w:val="21"/>
          <w:u w:val="single"/>
        </w:rPr>
        <w:t xml:space="preserve">         </w:t>
      </w:r>
      <w:r>
        <w:rPr>
          <w:rFonts w:hint="eastAsia" w:ascii="宋体" w:hAnsi="宋体" w:eastAsia="宋体" w:cs="宋体"/>
          <w:szCs w:val="21"/>
        </w:rPr>
        <w:t>同志为我公司参加贵方组织的</w:t>
      </w:r>
      <w:r>
        <w:rPr>
          <w:rFonts w:hint="eastAsia" w:ascii="宋体" w:hAnsi="宋体" w:eastAsia="宋体" w:cs="宋体"/>
          <w:szCs w:val="21"/>
          <w:u w:val="single"/>
        </w:rPr>
        <w:t xml:space="preserve">           </w:t>
      </w:r>
      <w:r>
        <w:rPr>
          <w:rFonts w:hint="eastAsia" w:ascii="宋体" w:hAnsi="宋体" w:eastAsia="宋体" w:cs="宋体"/>
          <w:color w:val="0D0D0D"/>
          <w:szCs w:val="21"/>
        </w:rPr>
        <w:t>项目（项目编号/标段编号：_____</w:t>
      </w:r>
      <w:r>
        <w:rPr>
          <w:rFonts w:hint="eastAsia" w:ascii="宋体" w:hAnsi="宋体" w:eastAsia="宋体" w:cs="宋体"/>
          <w:color w:val="0D0D0D"/>
          <w:szCs w:val="21"/>
          <w:u w:val="single"/>
        </w:rPr>
        <w:t xml:space="preserve">    </w:t>
      </w:r>
      <w:r>
        <w:rPr>
          <w:rFonts w:hint="eastAsia" w:ascii="宋体" w:hAnsi="宋体" w:eastAsia="宋体" w:cs="宋体"/>
          <w:szCs w:val="21"/>
          <w:u w:val="single"/>
        </w:rPr>
        <w:t>_</w:t>
      </w:r>
      <w:r>
        <w:rPr>
          <w:rFonts w:hint="eastAsia" w:ascii="宋体" w:hAnsi="宋体" w:eastAsia="宋体" w:cs="宋体"/>
          <w:szCs w:val="21"/>
        </w:rPr>
        <w:t>）采购活动的投标人授权代表，全权代表我公司处理在该项目投标活动中的一切事宜。代理期限从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日起至</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日止。</w:t>
      </w:r>
    </w:p>
    <w:p>
      <w:pPr>
        <w:spacing w:line="276" w:lineRule="auto"/>
        <w:ind w:firstLine="472" w:firstLineChars="225"/>
        <w:rPr>
          <w:rFonts w:hint="eastAsia" w:ascii="宋体" w:hAnsi="宋体" w:eastAsia="宋体" w:cs="宋体"/>
          <w:szCs w:val="21"/>
        </w:rPr>
      </w:pPr>
      <w:r>
        <w:rPr>
          <w:rFonts w:hint="eastAsia" w:ascii="宋体" w:hAnsi="宋体" w:eastAsia="宋体" w:cs="宋体"/>
          <w:szCs w:val="21"/>
        </w:rPr>
        <w:t>授权代表无转委托权。</w:t>
      </w:r>
    </w:p>
    <w:p>
      <w:pPr>
        <w:spacing w:line="276" w:lineRule="auto"/>
        <w:ind w:firstLine="472" w:firstLineChars="225"/>
        <w:rPr>
          <w:rFonts w:hint="eastAsia" w:ascii="宋体" w:hAnsi="宋体" w:eastAsia="宋体" w:cs="宋体"/>
          <w:szCs w:val="21"/>
        </w:rPr>
      </w:pPr>
      <w:r>
        <w:rPr>
          <w:rFonts w:hint="eastAsia" w:ascii="宋体" w:hAnsi="宋体" w:eastAsia="宋体" w:cs="宋体"/>
          <w:szCs w:val="21"/>
        </w:rPr>
        <w:t>特此声明。</w:t>
      </w:r>
    </w:p>
    <w:p>
      <w:pPr>
        <w:spacing w:line="276" w:lineRule="auto"/>
        <w:ind w:firstLine="3595" w:firstLineChars="1712"/>
        <w:rPr>
          <w:rFonts w:hint="eastAsia" w:ascii="宋体" w:hAnsi="宋体" w:eastAsia="宋体" w:cs="宋体"/>
          <w:bCs/>
          <w:szCs w:val="21"/>
        </w:rPr>
      </w:pPr>
    </w:p>
    <w:p>
      <w:pPr>
        <w:spacing w:line="276" w:lineRule="auto"/>
        <w:ind w:firstLine="3595" w:firstLineChars="1712"/>
        <w:rPr>
          <w:rFonts w:hint="eastAsia" w:ascii="宋体" w:hAnsi="宋体" w:eastAsia="宋体" w:cs="宋体"/>
          <w:b/>
          <w:bCs/>
          <w:szCs w:val="21"/>
          <w:u w:val="single"/>
        </w:rPr>
      </w:pPr>
      <w:r>
        <w:rPr>
          <w:rFonts w:hint="eastAsia" w:ascii="宋体" w:hAnsi="宋体" w:eastAsia="宋体" w:cs="宋体"/>
          <w:bCs/>
          <w:szCs w:val="21"/>
        </w:rPr>
        <w:t>日期：</w:t>
      </w:r>
      <w:r>
        <w:rPr>
          <w:rFonts w:hint="eastAsia" w:ascii="宋体" w:hAnsi="宋体" w:eastAsia="宋体" w:cs="宋体"/>
          <w:color w:val="000000"/>
          <w:kern w:val="0"/>
          <w:szCs w:val="21"/>
          <w:u w:val="single"/>
        </w:rPr>
        <w:t xml:space="preserve">    </w:t>
      </w:r>
      <w:r>
        <w:rPr>
          <w:rFonts w:hint="eastAsia" w:ascii="宋体" w:hAnsi="宋体" w:eastAsia="宋体" w:cs="宋体"/>
          <w:bCs/>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bCs/>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bCs/>
          <w:szCs w:val="21"/>
        </w:rPr>
        <w:t>日</w:t>
      </w:r>
    </w:p>
    <w:p>
      <w:pPr>
        <w:spacing w:line="276" w:lineRule="auto"/>
        <w:rPr>
          <w:rFonts w:hint="eastAsia" w:ascii="宋体" w:hAnsi="宋体" w:eastAsia="宋体" w:cs="宋体"/>
          <w:szCs w:val="21"/>
        </w:rPr>
      </w:pPr>
      <w:r>
        <w:rPr>
          <w:rFonts w:hint="eastAsia" w:ascii="宋体" w:hAnsi="宋体" w:eastAsia="宋体" w:cs="宋体"/>
          <w:szCs w:val="21"/>
        </w:rPr>
        <w:t>附：</w:t>
      </w:r>
    </w:p>
    <w:p>
      <w:pPr>
        <w:adjustRightInd w:val="0"/>
        <w:snapToGrid w:val="0"/>
        <w:spacing w:line="276" w:lineRule="auto"/>
        <w:ind w:firstLine="630" w:firstLineChars="300"/>
        <w:rPr>
          <w:rFonts w:hint="eastAsia" w:ascii="宋体" w:hAnsi="宋体" w:eastAsia="宋体" w:cs="宋体"/>
          <w:color w:val="000000"/>
          <w:kern w:val="0"/>
          <w:szCs w:val="21"/>
        </w:rPr>
      </w:pPr>
      <w:r>
        <w:rPr>
          <w:rFonts w:hint="eastAsia" w:ascii="宋体" w:hAnsi="宋体" w:eastAsia="宋体" w:cs="宋体"/>
          <w:color w:val="000000"/>
          <w:kern w:val="0"/>
          <w:szCs w:val="21"/>
        </w:rPr>
        <w:t>投标人名称（公章）：</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xml:space="preserve">        </w:t>
      </w:r>
    </w:p>
    <w:p>
      <w:pPr>
        <w:adjustRightInd w:val="0"/>
        <w:snapToGrid w:val="0"/>
        <w:spacing w:line="276" w:lineRule="auto"/>
        <w:ind w:firstLine="630" w:firstLineChars="300"/>
        <w:rPr>
          <w:rFonts w:hint="eastAsia" w:ascii="宋体" w:hAnsi="宋体" w:eastAsia="宋体" w:cs="宋体"/>
          <w:color w:val="000000"/>
          <w:kern w:val="0"/>
          <w:szCs w:val="21"/>
        </w:rPr>
      </w:pPr>
      <w:r>
        <w:rPr>
          <w:rFonts w:hint="eastAsia" w:ascii="宋体" w:hAnsi="宋体" w:eastAsia="宋体" w:cs="宋体"/>
          <w:color w:val="000000"/>
          <w:kern w:val="0"/>
          <w:szCs w:val="21"/>
        </w:rPr>
        <w:t>法定代表人（签名或盖章）：</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 xml:space="preserve">                       </w:t>
      </w:r>
    </w:p>
    <w:p>
      <w:pPr>
        <w:spacing w:line="276" w:lineRule="auto"/>
        <w:ind w:firstLine="630" w:firstLineChars="300"/>
        <w:rPr>
          <w:rFonts w:hint="eastAsia" w:ascii="宋体" w:hAnsi="宋体" w:eastAsia="宋体" w:cs="宋体"/>
          <w:szCs w:val="21"/>
        </w:rPr>
      </w:pPr>
      <w:r>
        <w:rPr>
          <w:rFonts w:hint="eastAsia" w:ascii="宋体" w:hAnsi="宋体" w:eastAsia="宋体" w:cs="宋体"/>
          <w:szCs w:val="21"/>
        </w:rPr>
        <w:t>授权代表</w:t>
      </w:r>
      <w:r>
        <w:rPr>
          <w:rFonts w:hint="eastAsia" w:ascii="宋体" w:hAnsi="宋体" w:eastAsia="宋体" w:cs="宋体"/>
          <w:color w:val="000000"/>
          <w:kern w:val="0"/>
          <w:szCs w:val="21"/>
        </w:rPr>
        <w:t>（签名）</w:t>
      </w:r>
      <w:r>
        <w:rPr>
          <w:rFonts w:hint="eastAsia" w:ascii="宋体" w:hAnsi="宋体" w:eastAsia="宋体" w:cs="宋体"/>
          <w:szCs w:val="21"/>
        </w:rPr>
        <w:t>：</w:t>
      </w:r>
      <w:r>
        <w:rPr>
          <w:rFonts w:hint="eastAsia" w:ascii="宋体" w:hAnsi="宋体" w:eastAsia="宋体" w:cs="宋体"/>
          <w:szCs w:val="21"/>
          <w:u w:val="single"/>
        </w:rPr>
        <w:t xml:space="preserve">              </w:t>
      </w:r>
    </w:p>
    <w:p>
      <w:pPr>
        <w:spacing w:line="276" w:lineRule="auto"/>
        <w:ind w:firstLine="630" w:firstLineChars="300"/>
        <w:rPr>
          <w:rFonts w:hint="eastAsia" w:ascii="宋体" w:hAnsi="宋体" w:eastAsia="宋体" w:cs="宋体"/>
          <w:szCs w:val="21"/>
          <w:u w:val="single"/>
        </w:rPr>
      </w:pPr>
      <w:r>
        <w:rPr>
          <w:rFonts w:hint="eastAsia" w:ascii="宋体" w:hAnsi="宋体" w:eastAsia="宋体" w:cs="宋体"/>
          <w:szCs w:val="21"/>
        </w:rPr>
        <w:t>授权代表</w:t>
      </w:r>
      <w:r>
        <w:rPr>
          <w:rFonts w:hint="eastAsia" w:ascii="宋体" w:hAnsi="宋体" w:eastAsia="宋体" w:cs="宋体"/>
          <w:color w:val="000000"/>
          <w:kern w:val="0"/>
          <w:szCs w:val="21"/>
        </w:rPr>
        <w:t>身份证号码：</w:t>
      </w:r>
      <w:r>
        <w:rPr>
          <w:rFonts w:hint="eastAsia" w:ascii="宋体" w:hAnsi="宋体" w:eastAsia="宋体" w:cs="宋体"/>
          <w:color w:val="000000"/>
          <w:kern w:val="0"/>
          <w:szCs w:val="21"/>
          <w:u w:val="single"/>
        </w:rPr>
        <w:t xml:space="preserve">                   </w:t>
      </w:r>
      <w:r>
        <w:rPr>
          <w:rFonts w:hint="eastAsia" w:ascii="宋体" w:hAnsi="宋体" w:eastAsia="宋体" w:cs="宋体"/>
          <w:szCs w:val="21"/>
          <w:u w:val="single"/>
        </w:rPr>
        <w:t xml:space="preserve">        </w:t>
      </w:r>
    </w:p>
    <w:p>
      <w:pPr>
        <w:spacing w:line="276" w:lineRule="auto"/>
        <w:ind w:firstLine="630" w:firstLineChars="300"/>
        <w:rPr>
          <w:rFonts w:hint="eastAsia" w:ascii="宋体" w:hAnsi="宋体" w:eastAsia="宋体" w:cs="宋体"/>
          <w:szCs w:val="21"/>
        </w:rPr>
      </w:pPr>
      <w:r>
        <w:rPr>
          <w:rFonts w:hint="eastAsia" w:ascii="宋体" w:hAnsi="宋体" w:eastAsia="宋体" w:cs="宋体"/>
          <w:kern w:val="2"/>
          <w:sz w:val="21"/>
          <w:szCs w:val="22"/>
          <w:lang w:val="en-US" w:eastAsia="zh-CN" w:bidi="ar-SA"/>
        </w:rPr>
        <w:pict>
          <v:rect id="文本框 5" o:spid="_x0000_s1029" style="position:absolute;left:0;margin-left:-35pt;margin-top:19.8pt;height:135pt;width:236.25pt;rotation:0f;z-index:251658240;" o:ole="f" fillcolor="#FFFFFF" filled="t" o:preferrelative="t" stroked="t" coordsize="21600,21600">
            <v:fill type="gradient" on="t" color2="#FFFFFF" o:opacity2="100%" colors="0f #FFFFFF;65536f #FFFFFF;" angle="-90" focus="0%" focussize="0f,0f" focusposition="0f,0f" method="linear sigma"/>
            <v:stroke color="#000000" color2="#FFFFFF" miterlimit="2"/>
            <v:imagedata gain="65536f" blacklevel="0f" gamma="0"/>
            <o:lock v:ext="edit" position="f" selection="f" grouping="f" rotation="f" cropping="f" text="f" aspectratio="f"/>
            <v:textbox>
              <w:txbxContent>
                <w:p>
                  <w:pPr>
                    <w:ind w:firstLine="480"/>
                    <w:jc w:val="left"/>
                    <w:rPr>
                      <w:sz w:val="24"/>
                    </w:rPr>
                  </w:pPr>
                  <w:permStart w:id="2" w:edGrp="everyone"/>
                  <w:r>
                    <w:rPr>
                      <w:rFonts w:hint="eastAsia"/>
                      <w:sz w:val="24"/>
                    </w:rPr>
                    <w:t>附：法定代表人身份证复印件（正面）</w:t>
                  </w:r>
                  <w:permEnd w:id="2"/>
                </w:p>
              </w:txbxContent>
            </v:textbox>
          </v:rect>
        </w:pict>
      </w:r>
      <w:r>
        <w:rPr>
          <w:rFonts w:hint="eastAsia" w:ascii="宋体" w:hAnsi="宋体" w:eastAsia="宋体" w:cs="宋体"/>
          <w:kern w:val="2"/>
          <w:sz w:val="21"/>
          <w:szCs w:val="22"/>
          <w:lang w:val="en-US" w:eastAsia="zh-CN" w:bidi="ar-SA"/>
        </w:rPr>
        <w:pict>
          <v:rect id="文本框 4" o:spid="_x0000_s1030" style="position:absolute;left:0;margin-left:215.25pt;margin-top:20.2pt;height:135pt;width:236.25pt;rotation:0f;z-index:251659264;" o:ole="f" fillcolor="#FFFFFF" filled="t" o:preferrelative="t" stroked="t" coordsize="21600,21600">
            <v:fill type="gradient" on="t" color2="#FFFFFF" o:opacity2="100%" colors="0f #FFFFFF;65536f #FFFFFF;" angle="-90" focus="0%" focussize="0f,0f" focusposition="0f,0f" method="linear sigma"/>
            <v:stroke color="#000000" color2="#FFFFFF" miterlimit="2"/>
            <v:imagedata gain="65536f" blacklevel="0f" gamma="0"/>
            <o:lock v:ext="edit" position="f" selection="f" grouping="f" rotation="f" cropping="f" text="f" aspectratio="f"/>
            <v:textbox>
              <w:txbxContent>
                <w:p>
                  <w:pPr>
                    <w:ind w:firstLine="480"/>
                    <w:jc w:val="left"/>
                    <w:rPr>
                      <w:sz w:val="24"/>
                    </w:rPr>
                  </w:pPr>
                  <w:permStart w:id="3" w:edGrp="everyone"/>
                  <w:r>
                    <w:rPr>
                      <w:rFonts w:hint="eastAsia"/>
                      <w:sz w:val="24"/>
                    </w:rPr>
                    <w:t>附：法定代表人身份证复印件（反面）</w:t>
                  </w:r>
                  <w:permEnd w:id="3"/>
                </w:p>
              </w:txbxContent>
            </v:textbox>
          </v:rect>
        </w:pict>
      </w:r>
      <w:r>
        <w:rPr>
          <w:rFonts w:hint="eastAsia" w:ascii="宋体" w:hAnsi="宋体" w:eastAsia="宋体" w:cs="宋体"/>
          <w:szCs w:val="21"/>
        </w:rPr>
        <w:t>电话：</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276" w:lineRule="auto"/>
        <w:rPr>
          <w:rFonts w:hint="eastAsia" w:ascii="宋体" w:hAnsi="宋体" w:eastAsia="宋体" w:cs="宋体"/>
          <w:color w:val="000000"/>
          <w:szCs w:val="21"/>
        </w:rPr>
      </w:pPr>
    </w:p>
    <w:p>
      <w:pPr>
        <w:spacing w:line="276" w:lineRule="auto"/>
        <w:rPr>
          <w:rFonts w:hint="eastAsia" w:ascii="宋体" w:hAnsi="宋体" w:eastAsia="宋体" w:cs="宋体"/>
          <w:color w:val="000000"/>
          <w:szCs w:val="21"/>
        </w:rPr>
      </w:pPr>
      <w:r>
        <w:rPr>
          <w:rFonts w:hint="eastAsia" w:ascii="宋体" w:hAnsi="宋体" w:eastAsia="宋体" w:cs="宋体"/>
          <w:color w:val="000000"/>
          <w:szCs w:val="21"/>
        </w:rPr>
        <w:t xml:space="preserve">                            </w:t>
      </w:r>
    </w:p>
    <w:p>
      <w:pPr>
        <w:spacing w:line="276" w:lineRule="auto"/>
        <w:rPr>
          <w:rFonts w:hint="eastAsia" w:ascii="宋体" w:hAnsi="宋体" w:eastAsia="宋体" w:cs="宋体"/>
          <w:color w:val="000000"/>
          <w:szCs w:val="21"/>
        </w:rPr>
      </w:pPr>
    </w:p>
    <w:p>
      <w:pPr>
        <w:spacing w:line="276" w:lineRule="auto"/>
        <w:rPr>
          <w:rFonts w:hint="eastAsia" w:ascii="宋体" w:hAnsi="宋体" w:eastAsia="宋体" w:cs="宋体"/>
          <w:color w:val="000000"/>
          <w:szCs w:val="21"/>
        </w:rPr>
      </w:pPr>
    </w:p>
    <w:p>
      <w:pPr>
        <w:spacing w:line="276" w:lineRule="auto"/>
        <w:rPr>
          <w:rFonts w:hint="eastAsia" w:ascii="宋体" w:hAnsi="宋体" w:eastAsia="宋体" w:cs="宋体"/>
          <w:color w:val="000000"/>
          <w:szCs w:val="21"/>
        </w:rPr>
      </w:pPr>
    </w:p>
    <w:p>
      <w:pPr>
        <w:autoSpaceDE w:val="0"/>
        <w:autoSpaceDN w:val="0"/>
        <w:spacing w:line="276" w:lineRule="auto"/>
        <w:ind w:left="268" w:leftChars="128" w:firstLine="420"/>
        <w:jc w:val="right"/>
        <w:rPr>
          <w:rFonts w:hint="eastAsia" w:ascii="宋体" w:hAnsi="宋体" w:eastAsia="宋体" w:cs="宋体"/>
          <w:color w:val="000000"/>
          <w:szCs w:val="21"/>
        </w:rPr>
      </w:pPr>
      <w:r>
        <w:rPr>
          <w:rFonts w:hint="eastAsia" w:ascii="宋体" w:hAnsi="宋体" w:eastAsia="宋体" w:cs="宋体"/>
          <w:color w:val="000000"/>
          <w:szCs w:val="21"/>
        </w:rPr>
        <w:t xml:space="preserve">  </w:t>
      </w:r>
    </w:p>
    <w:p>
      <w:pPr>
        <w:autoSpaceDE w:val="0"/>
        <w:autoSpaceDN w:val="0"/>
        <w:spacing w:line="276" w:lineRule="auto"/>
        <w:ind w:left="268" w:leftChars="128" w:firstLine="420"/>
        <w:jc w:val="right"/>
        <w:rPr>
          <w:rFonts w:hint="eastAsia" w:ascii="宋体" w:hAnsi="宋体" w:eastAsia="宋体" w:cs="宋体"/>
          <w:color w:val="000000"/>
          <w:szCs w:val="21"/>
        </w:rPr>
      </w:pPr>
    </w:p>
    <w:p>
      <w:pPr>
        <w:spacing w:line="276" w:lineRule="auto"/>
        <w:ind w:left="480" w:hanging="480"/>
        <w:jc w:val="right"/>
        <w:rPr>
          <w:rFonts w:hint="eastAsia" w:ascii="宋体" w:hAnsi="宋体" w:eastAsia="宋体" w:cs="宋体"/>
          <w:color w:val="000000"/>
          <w:szCs w:val="21"/>
        </w:rPr>
      </w:pPr>
    </w:p>
    <w:p>
      <w:pPr>
        <w:spacing w:line="276" w:lineRule="auto"/>
        <w:ind w:left="480" w:hanging="480"/>
        <w:jc w:val="right"/>
        <w:rPr>
          <w:rFonts w:hint="eastAsia" w:ascii="宋体" w:hAnsi="宋体" w:eastAsia="宋体" w:cs="宋体"/>
          <w:szCs w:val="21"/>
        </w:rPr>
      </w:pPr>
      <w:r>
        <w:rPr>
          <w:rFonts w:hint="eastAsia" w:ascii="宋体" w:hAnsi="宋体" w:eastAsia="宋体" w:cs="宋体"/>
          <w:kern w:val="2"/>
          <w:sz w:val="21"/>
          <w:szCs w:val="22"/>
          <w:lang w:val="en-US" w:eastAsia="zh-CN" w:bidi="ar-SA"/>
        </w:rPr>
        <w:pict>
          <v:rect id="文本框 3" o:spid="_x0000_s1031" style="position:absolute;left:0;margin-left:-32.2pt;margin-top:8.25pt;height:135pt;width:236.25pt;rotation:0f;z-index:251660288;" o:ole="f" fillcolor="#FFFFFF" filled="t" o:preferrelative="t" stroked="t" coordsize="21600,21600">
            <v:fill type="gradient" on="t" color2="#FFFFFF" o:opacity2="100%" colors="0f #FFFFFF;65536f #FFFFFF;" angle="-90" focus="0%" focussize="0f,0f" focusposition="0f,0f" method="linear sigma"/>
            <v:stroke color="#000000" color2="#FFFFFF" miterlimit="2"/>
            <v:imagedata gain="65536f" blacklevel="0f" gamma="0"/>
            <o:lock v:ext="edit" position="f" selection="f" grouping="f" rotation="f" cropping="f" text="f" aspectratio="f"/>
            <v:textbox>
              <w:txbxContent>
                <w:p>
                  <w:pPr>
                    <w:ind w:firstLine="480"/>
                    <w:jc w:val="left"/>
                    <w:rPr>
                      <w:sz w:val="24"/>
                    </w:rPr>
                  </w:pPr>
                  <w:permStart w:id="4" w:edGrp="everyone"/>
                  <w:r>
                    <w:rPr>
                      <w:rFonts w:hint="eastAsia"/>
                      <w:sz w:val="24"/>
                    </w:rPr>
                    <w:t>附：</w:t>
                  </w:r>
                  <w:r>
                    <w:rPr>
                      <w:rFonts w:hint="eastAsia" w:ascii="宋体" w:hAnsi="宋体"/>
                      <w:color w:val="000000"/>
                      <w:kern w:val="0"/>
                      <w:sz w:val="24"/>
                    </w:rPr>
                    <w:t>授权代表</w:t>
                  </w:r>
                  <w:r>
                    <w:rPr>
                      <w:rFonts w:hint="eastAsia"/>
                      <w:sz w:val="24"/>
                    </w:rPr>
                    <w:t>身份证复印件（正面）</w:t>
                  </w:r>
                </w:p>
                <w:permEnd w:id="4"/>
                <w:p>
                  <w:pPr>
                    <w:ind w:firstLine="420"/>
                  </w:pPr>
                </w:p>
              </w:txbxContent>
            </v:textbox>
          </v:rect>
        </w:pict>
      </w:r>
      <w:r>
        <w:rPr>
          <w:rFonts w:hint="eastAsia" w:ascii="宋体" w:hAnsi="宋体" w:eastAsia="宋体" w:cs="宋体"/>
          <w:kern w:val="2"/>
          <w:sz w:val="21"/>
          <w:szCs w:val="22"/>
          <w:lang w:val="en-US" w:eastAsia="zh-CN" w:bidi="ar-SA"/>
        </w:rPr>
        <w:pict>
          <v:rect id="文本框 2" o:spid="_x0000_s1032" style="position:absolute;left:0;margin-left:216.45pt;margin-top:6.1pt;height:135pt;width:236.25pt;rotation:0f;z-index:251661312;" o:ole="f" fillcolor="#FFFFFF" filled="t" o:preferrelative="t" stroked="t" coordsize="21600,21600">
            <v:fill type="gradient" on="t" color2="#FFFFFF" o:opacity2="100%" colors="0f #FFFFFF;65536f #FFFFFF;" angle="-90" focus="0%" focussize="0f,0f" focusposition="0f,0f" method="linear sigma"/>
            <v:stroke color="#000000" color2="#FFFFFF" miterlimit="2"/>
            <v:imagedata gain="65536f" blacklevel="0f" gamma="0"/>
            <o:lock v:ext="edit" position="f" selection="f" grouping="f" rotation="f" cropping="f" text="f" aspectratio="f"/>
            <v:textbox>
              <w:txbxContent>
                <w:p>
                  <w:pPr>
                    <w:ind w:firstLine="480"/>
                    <w:jc w:val="left"/>
                    <w:rPr>
                      <w:sz w:val="24"/>
                    </w:rPr>
                  </w:pPr>
                  <w:permStart w:id="5" w:edGrp="everyone"/>
                  <w:r>
                    <w:rPr>
                      <w:rFonts w:hint="eastAsia"/>
                      <w:sz w:val="24"/>
                    </w:rPr>
                    <w:t>附：</w:t>
                  </w:r>
                  <w:r>
                    <w:rPr>
                      <w:rFonts w:hint="eastAsia" w:ascii="宋体" w:hAnsi="宋体"/>
                      <w:color w:val="000000"/>
                      <w:kern w:val="0"/>
                      <w:sz w:val="24"/>
                    </w:rPr>
                    <w:t>授权代表</w:t>
                  </w:r>
                  <w:r>
                    <w:rPr>
                      <w:rFonts w:hint="eastAsia"/>
                      <w:sz w:val="24"/>
                    </w:rPr>
                    <w:t>身份证复印件（反面）</w:t>
                  </w:r>
                </w:p>
                <w:permEnd w:id="5"/>
                <w:p>
                  <w:pPr>
                    <w:ind w:firstLine="420"/>
                  </w:pPr>
                </w:p>
              </w:txbxContent>
            </v:textbox>
          </v:rect>
        </w:pict>
      </w:r>
    </w:p>
    <w:p>
      <w:pPr>
        <w:spacing w:line="276" w:lineRule="auto"/>
        <w:rPr>
          <w:rFonts w:hint="eastAsia" w:ascii="宋体" w:hAnsi="宋体" w:eastAsia="宋体" w:cs="宋体"/>
          <w:color w:val="000000"/>
          <w:szCs w:val="21"/>
        </w:rPr>
      </w:pPr>
    </w:p>
    <w:p>
      <w:pPr>
        <w:spacing w:line="276" w:lineRule="auto"/>
        <w:rPr>
          <w:rFonts w:hint="eastAsia" w:ascii="宋体" w:hAnsi="宋体" w:eastAsia="宋体" w:cs="宋体"/>
          <w:color w:val="000000"/>
          <w:szCs w:val="21"/>
        </w:rPr>
      </w:pPr>
    </w:p>
    <w:p>
      <w:pPr>
        <w:spacing w:line="276" w:lineRule="auto"/>
        <w:rPr>
          <w:rFonts w:hint="eastAsia" w:ascii="宋体" w:hAnsi="宋体" w:eastAsia="宋体" w:cs="宋体"/>
          <w:color w:val="000000"/>
          <w:szCs w:val="21"/>
        </w:rPr>
      </w:pPr>
    </w:p>
    <w:p>
      <w:pPr>
        <w:spacing w:line="276" w:lineRule="auto"/>
        <w:rPr>
          <w:rFonts w:hint="eastAsia" w:ascii="宋体" w:hAnsi="宋体" w:eastAsia="宋体" w:cs="宋体"/>
          <w:color w:val="000000"/>
          <w:szCs w:val="21"/>
        </w:rPr>
      </w:pPr>
    </w:p>
    <w:p>
      <w:pPr>
        <w:spacing w:line="276" w:lineRule="auto"/>
        <w:rPr>
          <w:rFonts w:hint="eastAsia" w:ascii="宋体" w:hAnsi="宋体" w:eastAsia="宋体" w:cs="宋体"/>
          <w:color w:val="000000"/>
          <w:szCs w:val="21"/>
        </w:rPr>
      </w:pPr>
    </w:p>
    <w:p>
      <w:pPr>
        <w:spacing w:line="276" w:lineRule="auto"/>
        <w:rPr>
          <w:rFonts w:hint="eastAsia" w:ascii="宋体" w:hAnsi="宋体" w:eastAsia="宋体" w:cs="宋体"/>
          <w:color w:val="000000"/>
          <w:szCs w:val="21"/>
        </w:rPr>
      </w:pPr>
    </w:p>
    <w:p>
      <w:pPr>
        <w:spacing w:line="276" w:lineRule="auto"/>
        <w:rPr>
          <w:rFonts w:hint="eastAsia" w:ascii="宋体" w:hAnsi="宋体" w:eastAsia="宋体" w:cs="宋体"/>
          <w:color w:val="000000"/>
          <w:szCs w:val="21"/>
        </w:rPr>
      </w:pPr>
    </w:p>
    <w:p>
      <w:pPr>
        <w:spacing w:line="276" w:lineRule="auto"/>
        <w:rPr>
          <w:rFonts w:hint="eastAsia" w:ascii="宋体" w:hAnsi="宋体" w:eastAsia="宋体" w:cs="宋体"/>
          <w:color w:val="000000"/>
          <w:szCs w:val="21"/>
        </w:rPr>
      </w:pPr>
    </w:p>
    <w:p>
      <w:pPr>
        <w:spacing w:line="276" w:lineRule="auto"/>
        <w:rPr>
          <w:rFonts w:hint="eastAsia" w:ascii="宋体" w:hAnsi="宋体" w:eastAsia="宋体" w:cs="宋体"/>
          <w:color w:val="000000"/>
          <w:szCs w:val="21"/>
        </w:rPr>
      </w:pPr>
      <w:r>
        <w:rPr>
          <w:rFonts w:hint="eastAsia" w:ascii="宋体" w:hAnsi="宋体" w:eastAsia="宋体" w:cs="宋体"/>
          <w:color w:val="000000"/>
          <w:szCs w:val="21"/>
        </w:rPr>
        <w:t>说明：投标人不委托授权代表，而由法定代表人直接参加投标时不需要此授权书。</w:t>
      </w:r>
    </w:p>
    <w:p>
      <w:pPr>
        <w:spacing w:line="276" w:lineRule="auto"/>
        <w:ind w:firstLine="634" w:firstLineChars="302"/>
        <w:rPr>
          <w:rFonts w:hint="eastAsia" w:ascii="宋体" w:hAnsi="宋体" w:eastAsia="宋体" w:cs="宋体"/>
          <w:szCs w:val="21"/>
        </w:rPr>
      </w:pPr>
      <w:r>
        <w:rPr>
          <w:rFonts w:hint="eastAsia" w:ascii="宋体" w:hAnsi="宋体" w:eastAsia="宋体" w:cs="宋体"/>
          <w:color w:val="000000"/>
          <w:szCs w:val="21"/>
        </w:rPr>
        <w:t>自然人投标时不需要此授权书。</w:t>
      </w:r>
    </w:p>
    <w:p>
      <w:pPr>
        <w:pStyle w:val="29"/>
        <w:numPr>
          <w:ilvl w:val="0"/>
          <w:numId w:val="106"/>
        </w:numPr>
        <w:spacing w:line="276" w:lineRule="auto"/>
        <w:ind w:firstLineChars="0"/>
        <w:outlineLvl w:val="2"/>
        <w:rPr>
          <w:rFonts w:hint="eastAsia" w:ascii="宋体" w:hAnsi="宋体" w:eastAsia="宋体" w:cs="宋体"/>
          <w:szCs w:val="21"/>
        </w:rPr>
      </w:pPr>
      <w:r>
        <w:rPr>
          <w:rFonts w:hint="eastAsia" w:ascii="宋体" w:hAnsi="宋体" w:eastAsia="宋体" w:cs="宋体"/>
          <w:kern w:val="0"/>
          <w:szCs w:val="21"/>
        </w:rPr>
        <w:br w:type="page"/>
      </w:r>
      <w:r>
        <w:rPr>
          <w:rFonts w:hint="eastAsia" w:ascii="宋体" w:hAnsi="宋体" w:eastAsia="宋体" w:cs="宋体"/>
          <w:szCs w:val="21"/>
        </w:rPr>
        <w:t>资格证明材料</w:t>
      </w:r>
    </w:p>
    <w:p>
      <w:pPr>
        <w:spacing w:line="276" w:lineRule="auto"/>
        <w:ind w:firstLine="210" w:firstLineChars="100"/>
        <w:rPr>
          <w:rFonts w:hint="eastAsia" w:ascii="宋体" w:hAnsi="宋体" w:eastAsia="宋体" w:cs="宋体"/>
          <w:szCs w:val="21"/>
        </w:rPr>
      </w:pPr>
      <w:r>
        <w:rPr>
          <w:rFonts w:hint="eastAsia" w:ascii="宋体" w:hAnsi="宋体" w:eastAsia="宋体" w:cs="宋体"/>
          <w:szCs w:val="21"/>
        </w:rPr>
        <w:t>说明：</w:t>
      </w:r>
    </w:p>
    <w:p>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b/>
          <w:color w:val="FF0000"/>
          <w:szCs w:val="21"/>
        </w:rPr>
        <w:t>投标人应按招标文件第四章——资格审查方法及标准《资格审查表》要求内容逐项提供相应证明文件</w:t>
      </w:r>
      <w:r>
        <w:rPr>
          <w:rFonts w:hint="eastAsia" w:ascii="宋体" w:hAnsi="宋体" w:eastAsia="宋体" w:cs="宋体"/>
          <w:szCs w:val="21"/>
        </w:rPr>
        <w:t>；</w:t>
      </w:r>
    </w:p>
    <w:p>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2）证明材料仅限于投标单位本身，参股或控股单位及独立法人子公司的材料不能作为证明材料，但投标单位兼并的企业的材料可作为证明材料。</w:t>
      </w:r>
    </w:p>
    <w:p>
      <w:pPr>
        <w:widowControl/>
        <w:jc w:val="left"/>
        <w:rPr>
          <w:rFonts w:hint="eastAsia" w:ascii="宋体" w:hAnsi="宋体" w:eastAsia="宋体" w:cs="宋体"/>
          <w:szCs w:val="21"/>
        </w:rPr>
      </w:pPr>
      <w:r>
        <w:rPr>
          <w:rFonts w:hint="eastAsia" w:ascii="宋体" w:hAnsi="宋体" w:eastAsia="宋体" w:cs="宋体"/>
          <w:szCs w:val="21"/>
        </w:rPr>
        <w:br w:type="page"/>
      </w:r>
    </w:p>
    <w:p>
      <w:pPr>
        <w:spacing w:line="276" w:lineRule="auto"/>
        <w:outlineLvl w:val="4"/>
        <w:rPr>
          <w:rFonts w:hint="eastAsia" w:ascii="宋体" w:hAnsi="宋体" w:eastAsia="宋体" w:cs="宋体"/>
          <w:szCs w:val="21"/>
        </w:rPr>
      </w:pPr>
      <w:r>
        <w:rPr>
          <w:rFonts w:hint="eastAsia" w:ascii="宋体" w:hAnsi="宋体" w:eastAsia="宋体" w:cs="宋体"/>
          <w:szCs w:val="21"/>
        </w:rPr>
        <w:t>附件一：部分资格材料格式要求——联合体协议书格式</w:t>
      </w:r>
      <w:r>
        <w:rPr>
          <w:rFonts w:hint="eastAsia" w:ascii="宋体" w:hAnsi="宋体" w:eastAsia="宋体" w:cs="宋体"/>
          <w:color w:val="0D0D0D"/>
          <w:szCs w:val="21"/>
          <w:lang w:val="zh-CN"/>
        </w:rPr>
        <w:t>（</w:t>
      </w:r>
      <w:r>
        <w:rPr>
          <w:rFonts w:hint="eastAsia" w:ascii="宋体" w:hAnsi="宋体" w:eastAsia="宋体" w:cs="宋体"/>
          <w:i/>
          <w:color w:val="FF0000"/>
          <w:szCs w:val="21"/>
          <w:lang w:val="zh-CN"/>
        </w:rPr>
        <w:t>适用于接受联合体投标的项目，如非联合体投标或项目不接受联合体投标，则无需提供</w:t>
      </w:r>
      <w:r>
        <w:rPr>
          <w:rFonts w:hint="eastAsia" w:ascii="宋体" w:hAnsi="宋体" w:eastAsia="宋体" w:cs="宋体"/>
          <w:color w:val="0D0D0D"/>
          <w:szCs w:val="21"/>
          <w:lang w:val="zh-CN"/>
        </w:rPr>
        <w:t>）</w:t>
      </w:r>
    </w:p>
    <w:p>
      <w:pPr>
        <w:adjustRightInd w:val="0"/>
        <w:snapToGrid w:val="0"/>
        <w:jc w:val="center"/>
        <w:rPr>
          <w:rFonts w:hint="eastAsia" w:ascii="宋体" w:hAnsi="宋体" w:eastAsia="宋体" w:cs="宋体"/>
          <w:b/>
          <w:szCs w:val="21"/>
        </w:rPr>
      </w:pPr>
      <w:r>
        <w:rPr>
          <w:rFonts w:hint="eastAsia" w:ascii="宋体" w:hAnsi="宋体" w:eastAsia="宋体" w:cs="宋体"/>
          <w:b/>
          <w:szCs w:val="21"/>
        </w:rPr>
        <w:t>联合体协议书</w:t>
      </w:r>
    </w:p>
    <w:p>
      <w:pPr>
        <w:topLinePunct w:val="1"/>
        <w:snapToGrid w:val="0"/>
        <w:spacing w:line="276" w:lineRule="auto"/>
        <w:ind w:firstLine="42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（所有成员单位名称）均具备《政府采购法》第二十二条规定的条件，自愿组成</w:t>
      </w:r>
      <w:r>
        <w:rPr>
          <w:rFonts w:hint="eastAsia" w:ascii="宋体" w:hAnsi="宋体" w:eastAsia="宋体" w:cs="宋体"/>
          <w:szCs w:val="21"/>
          <w:u w:val="single"/>
        </w:rPr>
        <w:t xml:space="preserve">         </w:t>
      </w:r>
      <w:r>
        <w:rPr>
          <w:rFonts w:hint="eastAsia" w:ascii="宋体" w:hAnsi="宋体" w:eastAsia="宋体" w:cs="宋体"/>
          <w:szCs w:val="21"/>
        </w:rPr>
        <w:t>（联合体名称）联合体，共同参加</w:t>
      </w:r>
      <w:r>
        <w:rPr>
          <w:rFonts w:hint="eastAsia" w:ascii="宋体" w:hAnsi="宋体" w:eastAsia="宋体" w:cs="宋体"/>
          <w:szCs w:val="21"/>
          <w:u w:val="single"/>
        </w:rPr>
        <w:t xml:space="preserve">                </w:t>
      </w:r>
      <w:r>
        <w:rPr>
          <w:rFonts w:hint="eastAsia" w:ascii="宋体" w:hAnsi="宋体" w:eastAsia="宋体" w:cs="宋体"/>
          <w:szCs w:val="21"/>
        </w:rPr>
        <w:t>（项目编号/标段编号、项目名称）的投标并争取赢得本项目供货合同（以下简称合同）。现就联合体投标事宜订立如下协议。</w:t>
      </w:r>
    </w:p>
    <w:p>
      <w:pPr>
        <w:topLinePunct w:val="1"/>
        <w:snapToGrid w:val="0"/>
        <w:spacing w:line="276" w:lineRule="auto"/>
        <w:ind w:firstLine="42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w:t>
      </w:r>
      <w:r>
        <w:rPr>
          <w:rFonts w:hint="eastAsia" w:ascii="宋体" w:hAnsi="宋体" w:eastAsia="宋体" w:cs="宋体"/>
          <w:szCs w:val="21"/>
        </w:rPr>
        <w:t>（某成员单位名称）为</w:t>
      </w:r>
      <w:r>
        <w:rPr>
          <w:rFonts w:hint="eastAsia" w:ascii="宋体" w:hAnsi="宋体" w:eastAsia="宋体" w:cs="宋体"/>
          <w:szCs w:val="21"/>
          <w:u w:val="single"/>
        </w:rPr>
        <w:t xml:space="preserve">        </w:t>
      </w:r>
      <w:r>
        <w:rPr>
          <w:rFonts w:hint="eastAsia" w:ascii="宋体" w:hAnsi="宋体" w:eastAsia="宋体" w:cs="宋体"/>
          <w:szCs w:val="21"/>
        </w:rPr>
        <w:t>（联合体名称）牵头人。</w:t>
      </w:r>
    </w:p>
    <w:p>
      <w:pPr>
        <w:topLinePunct w:val="1"/>
        <w:snapToGrid w:val="0"/>
        <w:spacing w:line="276" w:lineRule="auto"/>
        <w:ind w:firstLine="420"/>
        <w:rPr>
          <w:rFonts w:hint="eastAsia" w:ascii="宋体" w:hAnsi="宋体" w:eastAsia="宋体" w:cs="宋体"/>
          <w:szCs w:val="21"/>
        </w:rPr>
      </w:pPr>
      <w:r>
        <w:rPr>
          <w:rFonts w:hint="eastAsia" w:ascii="宋体" w:hAnsi="宋体" w:eastAsia="宋体" w:cs="宋体"/>
          <w:szCs w:val="21"/>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topLinePunct w:val="1"/>
        <w:snapToGrid w:val="0"/>
        <w:spacing w:line="276" w:lineRule="auto"/>
        <w:ind w:firstLine="420"/>
        <w:rPr>
          <w:rFonts w:hint="eastAsia" w:ascii="宋体" w:hAnsi="宋体" w:eastAsia="宋体" w:cs="宋体"/>
          <w:szCs w:val="21"/>
        </w:rPr>
      </w:pPr>
      <w:r>
        <w:rPr>
          <w:rFonts w:hint="eastAsia" w:ascii="宋体" w:hAnsi="宋体" w:eastAsia="宋体" w:cs="宋体"/>
          <w:szCs w:val="21"/>
        </w:rPr>
        <w:t>3、联合体将严格按照招标文件的各项要求，递交投标文件，履行投标义务和中标后的合同，共同承担合同规定的一切义务和责任，联合体各成员单位按照内部职责的划分，承担各自所负的责任和风险，并向采购人承担连带责任。</w:t>
      </w:r>
    </w:p>
    <w:p>
      <w:pPr>
        <w:topLinePunct w:val="1"/>
        <w:snapToGrid w:val="0"/>
        <w:spacing w:line="276" w:lineRule="auto"/>
        <w:ind w:firstLine="420"/>
        <w:rPr>
          <w:rFonts w:hint="eastAsia" w:ascii="宋体" w:hAnsi="宋体" w:eastAsia="宋体" w:cs="宋体"/>
          <w:szCs w:val="21"/>
        </w:rPr>
      </w:pPr>
      <w:r>
        <w:rPr>
          <w:rFonts w:hint="eastAsia" w:ascii="宋体" w:hAnsi="宋体" w:eastAsia="宋体" w:cs="宋体"/>
          <w:szCs w:val="21"/>
        </w:rPr>
        <w:t>4、联合体各成员单位内部的职责分工如下：</w:t>
      </w:r>
    </w:p>
    <w:p>
      <w:pPr>
        <w:topLinePunct w:val="1"/>
        <w:snapToGrid w:val="0"/>
        <w:spacing w:line="276" w:lineRule="auto"/>
        <w:ind w:firstLine="42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承担项目采购合同金额的</w:t>
      </w:r>
      <w:r>
        <w:rPr>
          <w:rFonts w:hint="eastAsia" w:ascii="宋体" w:hAnsi="宋体" w:eastAsia="宋体" w:cs="宋体"/>
          <w:szCs w:val="21"/>
          <w:u w:val="single"/>
        </w:rPr>
        <w:t xml:space="preserve">     </w:t>
      </w:r>
      <w:r>
        <w:rPr>
          <w:rFonts w:hint="eastAsia" w:ascii="宋体" w:hAnsi="宋体" w:eastAsia="宋体" w:cs="宋体"/>
          <w:szCs w:val="21"/>
        </w:rPr>
        <w:t>%，负责的工作为：</w:t>
      </w:r>
      <w:r>
        <w:rPr>
          <w:rFonts w:hint="eastAsia" w:ascii="宋体" w:hAnsi="宋体" w:eastAsia="宋体" w:cs="宋体"/>
          <w:szCs w:val="21"/>
          <w:u w:val="single"/>
        </w:rPr>
        <w:t xml:space="preserve">                </w:t>
      </w:r>
      <w:r>
        <w:rPr>
          <w:rFonts w:hint="eastAsia" w:ascii="宋体" w:hAnsi="宋体" w:eastAsia="宋体" w:cs="宋体"/>
          <w:szCs w:val="21"/>
        </w:rPr>
        <w:t>；</w:t>
      </w:r>
    </w:p>
    <w:p>
      <w:pPr>
        <w:topLinePunct w:val="1"/>
        <w:snapToGrid w:val="0"/>
        <w:spacing w:line="276" w:lineRule="auto"/>
        <w:ind w:firstLine="42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承担项目采购合同金额的</w:t>
      </w:r>
      <w:r>
        <w:rPr>
          <w:rFonts w:hint="eastAsia" w:ascii="宋体" w:hAnsi="宋体" w:eastAsia="宋体" w:cs="宋体"/>
          <w:szCs w:val="21"/>
          <w:u w:val="single"/>
        </w:rPr>
        <w:t xml:space="preserve">     </w:t>
      </w:r>
      <w:r>
        <w:rPr>
          <w:rFonts w:hint="eastAsia" w:ascii="宋体" w:hAnsi="宋体" w:eastAsia="宋体" w:cs="宋体"/>
          <w:szCs w:val="21"/>
        </w:rPr>
        <w:t>%，负责的工作为：</w:t>
      </w:r>
      <w:r>
        <w:rPr>
          <w:rFonts w:hint="eastAsia" w:ascii="宋体" w:hAnsi="宋体" w:eastAsia="宋体" w:cs="宋体"/>
          <w:szCs w:val="21"/>
          <w:u w:val="single"/>
        </w:rPr>
        <w:t xml:space="preserve">                </w:t>
      </w:r>
      <w:r>
        <w:rPr>
          <w:rFonts w:hint="eastAsia" w:ascii="宋体" w:hAnsi="宋体" w:eastAsia="宋体" w:cs="宋体"/>
          <w:szCs w:val="21"/>
        </w:rPr>
        <w:t>；</w:t>
      </w:r>
    </w:p>
    <w:p>
      <w:pPr>
        <w:topLinePunct w:val="1"/>
        <w:snapToGrid w:val="0"/>
        <w:spacing w:line="276" w:lineRule="auto"/>
        <w:ind w:firstLine="420"/>
        <w:rPr>
          <w:rFonts w:hint="eastAsia" w:ascii="宋体" w:hAnsi="宋体" w:eastAsia="宋体" w:cs="宋体"/>
          <w:szCs w:val="21"/>
        </w:rPr>
      </w:pPr>
      <w:r>
        <w:rPr>
          <w:rFonts w:hint="eastAsia" w:ascii="宋体" w:hAnsi="宋体" w:eastAsia="宋体" w:cs="宋体"/>
          <w:szCs w:val="21"/>
        </w:rPr>
        <w:t>……</w:t>
      </w:r>
    </w:p>
    <w:p>
      <w:pPr>
        <w:topLinePunct w:val="1"/>
        <w:snapToGrid w:val="0"/>
        <w:spacing w:line="276" w:lineRule="auto"/>
        <w:ind w:firstLine="420"/>
        <w:rPr>
          <w:rFonts w:hint="eastAsia" w:ascii="宋体" w:hAnsi="宋体" w:eastAsia="宋体" w:cs="宋体"/>
          <w:szCs w:val="21"/>
        </w:rPr>
      </w:pPr>
      <w:r>
        <w:rPr>
          <w:rFonts w:hint="eastAsia" w:ascii="宋体" w:hAnsi="宋体" w:eastAsia="宋体" w:cs="宋体"/>
          <w:szCs w:val="21"/>
        </w:rPr>
        <w:t>5、投标工作以及联合体在中标后项目实施过程中的有关费用按各自承担的工作量分摊。</w:t>
      </w:r>
    </w:p>
    <w:p>
      <w:pPr>
        <w:topLinePunct w:val="1"/>
        <w:snapToGrid w:val="0"/>
        <w:spacing w:line="276" w:lineRule="auto"/>
        <w:ind w:firstLine="420"/>
        <w:rPr>
          <w:rFonts w:hint="eastAsia" w:ascii="宋体" w:hAnsi="宋体" w:eastAsia="宋体" w:cs="宋体"/>
          <w:szCs w:val="21"/>
        </w:rPr>
      </w:pPr>
      <w:r>
        <w:rPr>
          <w:rFonts w:hint="eastAsia" w:ascii="宋体" w:hAnsi="宋体" w:eastAsia="宋体" w:cs="宋体"/>
          <w:szCs w:val="21"/>
        </w:rPr>
        <w:t>6、联合体中标后，本联合体协议是合同的附件，对联合体各成员单位有合同约束力。</w:t>
      </w:r>
    </w:p>
    <w:p>
      <w:pPr>
        <w:topLinePunct w:val="1"/>
        <w:snapToGrid w:val="0"/>
        <w:spacing w:line="276" w:lineRule="auto"/>
        <w:ind w:firstLine="420"/>
        <w:rPr>
          <w:rFonts w:hint="eastAsia" w:ascii="宋体" w:hAnsi="宋体" w:eastAsia="宋体" w:cs="宋体"/>
          <w:szCs w:val="21"/>
        </w:rPr>
      </w:pPr>
      <w:r>
        <w:rPr>
          <w:rFonts w:hint="eastAsia" w:ascii="宋体" w:hAnsi="宋体" w:eastAsia="宋体" w:cs="宋体"/>
          <w:szCs w:val="21"/>
        </w:rPr>
        <w:t xml:space="preserve">7、本协议书自签署之日起生效，联合体未中标或者中标时合同履行完毕后自动失效。 </w:t>
      </w:r>
    </w:p>
    <w:p>
      <w:pPr>
        <w:topLinePunct w:val="1"/>
        <w:snapToGrid w:val="0"/>
        <w:spacing w:line="276" w:lineRule="auto"/>
        <w:ind w:firstLine="420"/>
        <w:rPr>
          <w:rFonts w:hint="eastAsia" w:ascii="宋体" w:hAnsi="宋体" w:eastAsia="宋体" w:cs="宋体"/>
          <w:szCs w:val="21"/>
        </w:rPr>
      </w:pPr>
      <w:r>
        <w:rPr>
          <w:rFonts w:hint="eastAsia" w:ascii="宋体" w:hAnsi="宋体" w:eastAsia="宋体" w:cs="宋体"/>
          <w:szCs w:val="21"/>
        </w:rPr>
        <w:t>8、本协议书一式</w:t>
      </w:r>
      <w:r>
        <w:rPr>
          <w:rFonts w:hint="eastAsia" w:ascii="宋体" w:hAnsi="宋体" w:eastAsia="宋体" w:cs="宋体"/>
          <w:szCs w:val="21"/>
          <w:u w:val="single"/>
        </w:rPr>
        <w:t xml:space="preserve">     </w:t>
      </w:r>
      <w:r>
        <w:rPr>
          <w:rFonts w:hint="eastAsia" w:ascii="宋体" w:hAnsi="宋体" w:eastAsia="宋体" w:cs="宋体"/>
          <w:szCs w:val="21"/>
        </w:rPr>
        <w:t>份，联合体成员和采购人各执一份。</w:t>
      </w:r>
    </w:p>
    <w:p>
      <w:pPr>
        <w:topLinePunct w:val="1"/>
        <w:snapToGrid w:val="0"/>
        <w:spacing w:line="276" w:lineRule="auto"/>
        <w:ind w:firstLine="420"/>
        <w:rPr>
          <w:rFonts w:hint="eastAsia" w:ascii="宋体" w:hAnsi="宋体" w:eastAsia="宋体" w:cs="宋体"/>
          <w:szCs w:val="21"/>
        </w:rPr>
      </w:pPr>
      <w:r>
        <w:rPr>
          <w:rFonts w:hint="eastAsia" w:ascii="宋体" w:hAnsi="宋体" w:eastAsia="宋体" w:cs="宋体"/>
          <w:szCs w:val="21"/>
        </w:rPr>
        <w:t>注：本协议书由授权代表</w:t>
      </w:r>
      <w:r>
        <w:rPr>
          <w:rFonts w:hint="eastAsia" w:ascii="宋体" w:hAnsi="宋体" w:eastAsia="宋体" w:cs="宋体"/>
          <w:bCs/>
          <w:szCs w:val="21"/>
        </w:rPr>
        <w:t>签名</w:t>
      </w:r>
      <w:r>
        <w:rPr>
          <w:rFonts w:hint="eastAsia" w:ascii="宋体" w:hAnsi="宋体" w:eastAsia="宋体" w:cs="宋体"/>
          <w:szCs w:val="21"/>
        </w:rPr>
        <w:t>的，应附法定代表人签名的授权委托书。</w:t>
      </w:r>
    </w:p>
    <w:p>
      <w:pPr>
        <w:topLinePunct w:val="1"/>
        <w:ind w:left="2310" w:leftChars="1100" w:firstLine="420"/>
        <w:rPr>
          <w:rFonts w:hint="eastAsia" w:ascii="宋体" w:hAnsi="宋体" w:eastAsia="宋体" w:cs="宋体"/>
          <w:szCs w:val="21"/>
        </w:rPr>
      </w:pPr>
    </w:p>
    <w:p>
      <w:pPr>
        <w:topLinePunct w:val="1"/>
        <w:ind w:left="2310" w:leftChars="1100" w:firstLine="420"/>
        <w:rPr>
          <w:rFonts w:hint="eastAsia" w:ascii="宋体" w:hAnsi="宋体" w:eastAsia="宋体" w:cs="宋体"/>
          <w:szCs w:val="21"/>
        </w:rPr>
      </w:pPr>
      <w:r>
        <w:rPr>
          <w:rFonts w:hint="eastAsia" w:ascii="宋体" w:hAnsi="宋体" w:eastAsia="宋体" w:cs="宋体"/>
          <w:szCs w:val="21"/>
        </w:rPr>
        <w:t>牵头人名称：</w:t>
      </w:r>
      <w:r>
        <w:rPr>
          <w:rFonts w:hint="eastAsia" w:ascii="宋体" w:hAnsi="宋体" w:eastAsia="宋体" w:cs="宋体"/>
          <w:szCs w:val="21"/>
          <w:u w:val="single"/>
        </w:rPr>
        <w:t xml:space="preserve">                                 </w:t>
      </w:r>
      <w:r>
        <w:rPr>
          <w:rFonts w:hint="eastAsia" w:ascii="宋体" w:hAnsi="宋体" w:eastAsia="宋体" w:cs="宋体"/>
          <w:szCs w:val="21"/>
        </w:rPr>
        <w:t>（盖单位章）</w:t>
      </w:r>
    </w:p>
    <w:p>
      <w:pPr>
        <w:topLinePunct w:val="1"/>
        <w:ind w:left="2310" w:leftChars="1100" w:firstLine="420"/>
        <w:rPr>
          <w:rFonts w:hint="eastAsia" w:ascii="宋体" w:hAnsi="宋体" w:eastAsia="宋体" w:cs="宋体"/>
          <w:szCs w:val="21"/>
        </w:rPr>
      </w:pPr>
      <w:r>
        <w:rPr>
          <w:rFonts w:hint="eastAsia" w:ascii="宋体" w:hAnsi="宋体" w:eastAsia="宋体" w:cs="宋体"/>
          <w:szCs w:val="21"/>
        </w:rPr>
        <w:t>授权代表：</w:t>
      </w:r>
      <w:r>
        <w:rPr>
          <w:rFonts w:hint="eastAsia" w:ascii="宋体" w:hAnsi="宋体" w:eastAsia="宋体" w:cs="宋体"/>
          <w:szCs w:val="21"/>
          <w:u w:val="single"/>
        </w:rPr>
        <w:t xml:space="preserve">                       </w:t>
      </w:r>
      <w:r>
        <w:rPr>
          <w:rFonts w:hint="eastAsia" w:ascii="宋体" w:hAnsi="宋体" w:eastAsia="宋体" w:cs="宋体"/>
          <w:szCs w:val="21"/>
        </w:rPr>
        <w:t>（签名）</w:t>
      </w:r>
    </w:p>
    <w:p>
      <w:pPr>
        <w:topLinePunct w:val="1"/>
        <w:ind w:left="2310" w:leftChars="1100" w:firstLine="420"/>
        <w:rPr>
          <w:rFonts w:hint="eastAsia" w:ascii="宋体" w:hAnsi="宋体" w:eastAsia="宋体" w:cs="宋体"/>
          <w:szCs w:val="21"/>
        </w:rPr>
      </w:pPr>
      <w:r>
        <w:rPr>
          <w:rFonts w:hint="eastAsia" w:ascii="宋体" w:hAnsi="宋体" w:eastAsia="宋体" w:cs="宋体"/>
          <w:szCs w:val="21"/>
        </w:rPr>
        <w:t>成员一名称：</w:t>
      </w:r>
      <w:r>
        <w:rPr>
          <w:rFonts w:hint="eastAsia" w:ascii="宋体" w:hAnsi="宋体" w:eastAsia="宋体" w:cs="宋体"/>
          <w:szCs w:val="21"/>
          <w:u w:val="single"/>
        </w:rPr>
        <w:t xml:space="preserve">                                 </w:t>
      </w:r>
      <w:r>
        <w:rPr>
          <w:rFonts w:hint="eastAsia" w:ascii="宋体" w:hAnsi="宋体" w:eastAsia="宋体" w:cs="宋体"/>
          <w:szCs w:val="21"/>
        </w:rPr>
        <w:t>（盖单位章）</w:t>
      </w:r>
    </w:p>
    <w:p>
      <w:pPr>
        <w:topLinePunct w:val="1"/>
        <w:ind w:left="2310" w:leftChars="1100" w:firstLine="420"/>
        <w:rPr>
          <w:rFonts w:hint="eastAsia" w:ascii="宋体" w:hAnsi="宋体" w:eastAsia="宋体" w:cs="宋体"/>
          <w:szCs w:val="21"/>
        </w:rPr>
      </w:pPr>
      <w:r>
        <w:rPr>
          <w:rFonts w:hint="eastAsia" w:ascii="宋体" w:hAnsi="宋体" w:eastAsia="宋体" w:cs="宋体"/>
          <w:szCs w:val="21"/>
        </w:rPr>
        <w:t>授权代表：</w:t>
      </w:r>
      <w:r>
        <w:rPr>
          <w:rFonts w:hint="eastAsia" w:ascii="宋体" w:hAnsi="宋体" w:eastAsia="宋体" w:cs="宋体"/>
          <w:szCs w:val="21"/>
          <w:u w:val="single"/>
        </w:rPr>
        <w:t xml:space="preserve">                       </w:t>
      </w:r>
      <w:r>
        <w:rPr>
          <w:rFonts w:hint="eastAsia" w:ascii="宋体" w:hAnsi="宋体" w:eastAsia="宋体" w:cs="宋体"/>
          <w:szCs w:val="21"/>
        </w:rPr>
        <w:t>（签名）</w:t>
      </w:r>
    </w:p>
    <w:p>
      <w:pPr>
        <w:topLinePunct w:val="1"/>
        <w:ind w:left="2310" w:leftChars="1100" w:firstLine="420"/>
        <w:rPr>
          <w:rFonts w:hint="eastAsia" w:ascii="宋体" w:hAnsi="宋体" w:eastAsia="宋体" w:cs="宋体"/>
          <w:szCs w:val="21"/>
        </w:rPr>
      </w:pPr>
      <w:r>
        <w:rPr>
          <w:rFonts w:hint="eastAsia" w:ascii="宋体" w:hAnsi="宋体" w:eastAsia="宋体" w:cs="宋体"/>
          <w:szCs w:val="21"/>
        </w:rPr>
        <w:t>成员二名称：</w:t>
      </w:r>
      <w:r>
        <w:rPr>
          <w:rFonts w:hint="eastAsia" w:ascii="宋体" w:hAnsi="宋体" w:eastAsia="宋体" w:cs="宋体"/>
          <w:szCs w:val="21"/>
          <w:u w:val="single"/>
        </w:rPr>
        <w:t xml:space="preserve">                                 </w:t>
      </w:r>
      <w:r>
        <w:rPr>
          <w:rFonts w:hint="eastAsia" w:ascii="宋体" w:hAnsi="宋体" w:eastAsia="宋体" w:cs="宋体"/>
          <w:szCs w:val="21"/>
        </w:rPr>
        <w:t>（盖单位章）</w:t>
      </w:r>
    </w:p>
    <w:p>
      <w:pPr>
        <w:topLinePunct w:val="1"/>
        <w:ind w:left="2310" w:leftChars="1100" w:firstLine="420"/>
        <w:rPr>
          <w:rFonts w:hint="eastAsia" w:ascii="宋体" w:hAnsi="宋体" w:eastAsia="宋体" w:cs="宋体"/>
          <w:szCs w:val="21"/>
        </w:rPr>
      </w:pPr>
      <w:r>
        <w:rPr>
          <w:rFonts w:hint="eastAsia" w:ascii="宋体" w:hAnsi="宋体" w:eastAsia="宋体" w:cs="宋体"/>
          <w:szCs w:val="21"/>
        </w:rPr>
        <w:t>授权代表：</w:t>
      </w:r>
      <w:r>
        <w:rPr>
          <w:rFonts w:hint="eastAsia" w:ascii="宋体" w:hAnsi="宋体" w:eastAsia="宋体" w:cs="宋体"/>
          <w:szCs w:val="21"/>
          <w:u w:val="single"/>
        </w:rPr>
        <w:t xml:space="preserve">                       </w:t>
      </w:r>
      <w:r>
        <w:rPr>
          <w:rFonts w:hint="eastAsia" w:ascii="宋体" w:hAnsi="宋体" w:eastAsia="宋体" w:cs="宋体"/>
          <w:szCs w:val="21"/>
        </w:rPr>
        <w:t>（签名）</w:t>
      </w:r>
    </w:p>
    <w:p>
      <w:pPr>
        <w:topLinePunct w:val="1"/>
        <w:ind w:left="2310" w:leftChars="1100" w:firstLine="420"/>
        <w:rPr>
          <w:rFonts w:hint="eastAsia" w:ascii="宋体" w:hAnsi="宋体" w:eastAsia="宋体" w:cs="宋体"/>
          <w:szCs w:val="21"/>
        </w:rPr>
      </w:pPr>
      <w:r>
        <w:rPr>
          <w:rFonts w:hint="eastAsia" w:ascii="宋体" w:hAnsi="宋体" w:eastAsia="宋体" w:cs="宋体"/>
          <w:szCs w:val="21"/>
        </w:rPr>
        <w:t xml:space="preserve">…… </w:t>
      </w:r>
    </w:p>
    <w:p>
      <w:pPr>
        <w:topLinePunct w:val="1"/>
        <w:ind w:left="2310" w:leftChars="1100" w:firstLine="42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rPr>
        <w:br w:type="page"/>
      </w:r>
    </w:p>
    <w:p>
      <w:pPr>
        <w:spacing w:before="100" w:beforeAutospacing="1" w:after="100" w:afterAutospacing="1" w:line="276" w:lineRule="auto"/>
        <w:outlineLvl w:val="4"/>
        <w:rPr>
          <w:rFonts w:hint="eastAsia" w:ascii="宋体" w:hAnsi="宋体" w:eastAsia="宋体" w:cs="宋体"/>
          <w:szCs w:val="21"/>
        </w:rPr>
      </w:pPr>
      <w:r>
        <w:rPr>
          <w:rFonts w:hint="eastAsia" w:ascii="宋体" w:hAnsi="宋体" w:eastAsia="宋体" w:cs="宋体"/>
          <w:szCs w:val="21"/>
        </w:rPr>
        <w:t>附件二：部分资格材料格式要求——无重大违法记录声明格式</w:t>
      </w:r>
    </w:p>
    <w:p>
      <w:pPr>
        <w:spacing w:line="276" w:lineRule="auto"/>
        <w:jc w:val="center"/>
        <w:rPr>
          <w:rFonts w:hint="eastAsia" w:ascii="宋体" w:hAnsi="宋体" w:eastAsia="宋体" w:cs="宋体"/>
          <w:b/>
          <w:szCs w:val="21"/>
        </w:rPr>
      </w:pPr>
      <w:r>
        <w:rPr>
          <w:rFonts w:hint="eastAsia" w:ascii="宋体" w:hAnsi="宋体" w:eastAsia="宋体" w:cs="宋体"/>
          <w:b/>
          <w:szCs w:val="21"/>
        </w:rPr>
        <w:t>无重大违法记录声明</w:t>
      </w:r>
    </w:p>
    <w:p>
      <w:pPr>
        <w:spacing w:before="100" w:beforeAutospacing="1" w:after="100" w:afterAutospacing="1"/>
        <w:rPr>
          <w:rFonts w:hint="eastAsia" w:ascii="宋体" w:hAnsi="宋体" w:eastAsia="宋体" w:cs="宋体"/>
          <w:szCs w:val="21"/>
        </w:rPr>
      </w:pPr>
      <w:r>
        <w:rPr>
          <w:rFonts w:hint="eastAsia" w:ascii="宋体" w:hAnsi="宋体" w:eastAsia="宋体" w:cs="宋体"/>
          <w:b/>
          <w:szCs w:val="21"/>
        </w:rPr>
        <w:fldChar w:fldCharType="begin"/>
      </w:r>
      <w:r>
        <w:rPr>
          <w:rFonts w:hint="eastAsia" w:ascii="宋体" w:hAnsi="宋体" w:eastAsia="宋体" w:cs="宋体"/>
          <w:b/>
          <w:szCs w:val="21"/>
        </w:rPr>
        <w:instrText xml:space="preserve"> DOCVARIABLE 招标机构名称 </w:instrText>
      </w:r>
      <w:r>
        <w:rPr>
          <w:rFonts w:hint="eastAsia" w:ascii="宋体" w:hAnsi="宋体" w:eastAsia="宋体" w:cs="宋体"/>
          <w:b/>
          <w:szCs w:val="21"/>
        </w:rPr>
        <w:fldChar w:fldCharType="separate"/>
      </w:r>
      <w:r>
        <w:rPr>
          <w:rFonts w:hint="eastAsia" w:ascii="宋体" w:hAnsi="宋体" w:eastAsia="宋体" w:cs="宋体"/>
          <w:b/>
          <w:szCs w:val="21"/>
        </w:rPr>
        <w:t>湖北国华项目管理咨询有限公司</w:t>
      </w:r>
      <w:r>
        <w:rPr>
          <w:rFonts w:hint="eastAsia" w:ascii="宋体" w:hAnsi="宋体" w:eastAsia="宋体" w:cs="宋体"/>
          <w:b/>
          <w:szCs w:val="21"/>
        </w:rPr>
        <w:fldChar w:fldCharType="end"/>
      </w:r>
      <w:r>
        <w:rPr>
          <w:rFonts w:hint="eastAsia" w:ascii="宋体" w:hAnsi="宋体" w:eastAsia="宋体" w:cs="宋体"/>
          <w:szCs w:val="21"/>
        </w:rPr>
        <w:t>：</w:t>
      </w:r>
    </w:p>
    <w:p>
      <w:pPr>
        <w:spacing w:before="100" w:beforeAutospacing="1" w:after="100" w:afterAutospacing="1"/>
        <w:ind w:firstLine="420" w:firstLineChars="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(供应商全称) 参加</w:t>
      </w:r>
      <w:r>
        <w:rPr>
          <w:rFonts w:hint="eastAsia" w:ascii="宋体" w:hAnsi="宋体" w:eastAsia="宋体" w:cs="宋体"/>
          <w:szCs w:val="21"/>
          <w:u w:val="single"/>
        </w:rPr>
        <w:t xml:space="preserve">          </w:t>
      </w:r>
      <w:r>
        <w:rPr>
          <w:rFonts w:hint="eastAsia" w:ascii="宋体" w:hAnsi="宋体" w:eastAsia="宋体" w:cs="宋体"/>
          <w:szCs w:val="21"/>
        </w:rPr>
        <w:t>（项目名称）(项目编号：</w:t>
      </w:r>
      <w:r>
        <w:rPr>
          <w:rFonts w:hint="eastAsia" w:ascii="宋体" w:hAnsi="宋体" w:eastAsia="宋体" w:cs="宋体"/>
          <w:szCs w:val="21"/>
          <w:u w:val="single"/>
        </w:rPr>
        <w:t xml:space="preserve">          </w:t>
      </w:r>
      <w:r>
        <w:rPr>
          <w:rFonts w:hint="eastAsia" w:ascii="宋体" w:hAnsi="宋体" w:eastAsia="宋体" w:cs="宋体"/>
          <w:szCs w:val="21"/>
        </w:rPr>
        <w:t>)的政府采购活动，本单位郑重声明如下：</w:t>
      </w:r>
    </w:p>
    <w:p>
      <w:pPr>
        <w:spacing w:before="100" w:beforeAutospacing="1" w:after="100" w:afterAutospacing="1"/>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rPr>
        <w:tab/>
      </w:r>
      <w:r>
        <w:rPr>
          <w:rFonts w:hint="eastAsia" w:ascii="宋体" w:hAnsi="宋体" w:eastAsia="宋体" w:cs="宋体"/>
          <w:szCs w:val="21"/>
        </w:rPr>
        <w:t>参加本项目政府采购活动前三年内，本单位未因违法经营受到刑事处罚或者责令停产停业、吊销许可证或者执照、较大数额罚款（根据各地方、各部门明确的听证范围确定较大数额罚款的额度）等行政处罚；</w:t>
      </w:r>
    </w:p>
    <w:p>
      <w:pPr>
        <w:spacing w:before="100" w:beforeAutospacing="1" w:after="100" w:afterAutospacing="1"/>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rPr>
        <w:tab/>
      </w:r>
      <w:r>
        <w:rPr>
          <w:rFonts w:hint="eastAsia" w:ascii="宋体" w:hAnsi="宋体" w:eastAsia="宋体" w:cs="宋体"/>
          <w:szCs w:val="21"/>
        </w:rPr>
        <w:t>参加本项目政府采购活动前三年内，本单位未受到过全国各级人民政府财政部门依法作出的禁止参加政府采购活动等行政处罚决定；</w:t>
      </w:r>
    </w:p>
    <w:p>
      <w:pPr>
        <w:spacing w:before="100" w:beforeAutospacing="1" w:after="100" w:afterAutospacing="1"/>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rPr>
        <w:tab/>
      </w:r>
      <w:r>
        <w:rPr>
          <w:rFonts w:hint="eastAsia" w:ascii="宋体" w:hAnsi="宋体" w:eastAsia="宋体" w:cs="宋体"/>
          <w:szCs w:val="21"/>
        </w:rPr>
        <w:t>如上述声明内容不实，本单位自愿接受政府采购监管部门按照《政府采购法》关于提供虚假材料的规定给予处罚。</w:t>
      </w:r>
    </w:p>
    <w:p>
      <w:pPr>
        <w:spacing w:before="100" w:beforeAutospacing="1" w:after="100" w:afterAutospacing="1"/>
        <w:ind w:firstLine="420" w:firstLineChars="200"/>
        <w:rPr>
          <w:rFonts w:hint="eastAsia" w:ascii="宋体" w:hAnsi="宋体" w:eastAsia="宋体" w:cs="宋体"/>
          <w:szCs w:val="21"/>
        </w:rPr>
      </w:pPr>
      <w:r>
        <w:rPr>
          <w:rFonts w:hint="eastAsia" w:ascii="宋体" w:hAnsi="宋体" w:eastAsia="宋体" w:cs="宋体"/>
          <w:szCs w:val="21"/>
        </w:rPr>
        <w:t>我方保证上述信息的完整、客观、真实、准确，并愿意承担我方因提供虚假材料谋骗取中标、成交所引起的一切法律后果。</w:t>
      </w:r>
    </w:p>
    <w:p>
      <w:pPr>
        <w:spacing w:before="100" w:beforeAutospacing="1" w:after="100" w:afterAutospacing="1" w:line="276" w:lineRule="auto"/>
        <w:ind w:firstLine="420" w:firstLineChars="200"/>
        <w:jc w:val="left"/>
        <w:rPr>
          <w:rFonts w:hint="eastAsia" w:ascii="宋体" w:hAnsi="宋体" w:eastAsia="宋体" w:cs="宋体"/>
          <w:szCs w:val="21"/>
        </w:rPr>
      </w:pPr>
      <w:r>
        <w:rPr>
          <w:rFonts w:hint="eastAsia" w:ascii="宋体" w:hAnsi="宋体" w:eastAsia="宋体" w:cs="宋体"/>
          <w:szCs w:val="21"/>
        </w:rPr>
        <w:t>特此声明！</w:t>
      </w:r>
    </w:p>
    <w:p>
      <w:pPr>
        <w:spacing w:before="100" w:beforeAutospacing="1" w:after="100" w:afterAutospacing="1" w:line="276" w:lineRule="auto"/>
        <w:ind w:firstLine="2902" w:firstLineChars="1382"/>
        <w:rPr>
          <w:rFonts w:hint="eastAsia" w:ascii="宋体" w:hAnsi="宋体" w:eastAsia="宋体" w:cs="宋体"/>
          <w:bCs/>
          <w:szCs w:val="21"/>
          <w:u w:val="single"/>
        </w:rPr>
      </w:pPr>
      <w:r>
        <w:rPr>
          <w:rFonts w:hint="eastAsia" w:ascii="宋体" w:hAnsi="宋体" w:eastAsia="宋体" w:cs="宋体"/>
          <w:bCs/>
          <w:szCs w:val="21"/>
        </w:rPr>
        <w:t>投标人名称（公章）：</w:t>
      </w:r>
      <w:r>
        <w:rPr>
          <w:rFonts w:hint="eastAsia" w:ascii="宋体" w:hAnsi="宋体" w:eastAsia="宋体" w:cs="宋体"/>
          <w:bCs/>
          <w:szCs w:val="21"/>
          <w:u w:val="single"/>
        </w:rPr>
        <w:t xml:space="preserve">                          </w:t>
      </w:r>
    </w:p>
    <w:p>
      <w:pPr>
        <w:spacing w:before="100" w:beforeAutospacing="1" w:after="100" w:afterAutospacing="1" w:line="276" w:lineRule="auto"/>
        <w:ind w:firstLine="2902" w:firstLineChars="1382"/>
        <w:rPr>
          <w:rFonts w:hint="eastAsia" w:ascii="宋体" w:hAnsi="宋体" w:eastAsia="宋体" w:cs="宋体"/>
          <w:szCs w:val="21"/>
        </w:rPr>
      </w:pPr>
      <w:r>
        <w:rPr>
          <w:rFonts w:hint="eastAsia" w:ascii="宋体" w:hAnsi="宋体" w:eastAsia="宋体" w:cs="宋体"/>
          <w:bCs/>
          <w:szCs w:val="21"/>
          <w:lang w:val="zh-CN"/>
        </w:rPr>
        <w:t>日期</w:t>
      </w:r>
      <w:r>
        <w:rPr>
          <w:rFonts w:hint="eastAsia" w:ascii="宋体" w:hAnsi="宋体" w:eastAsia="宋体" w:cs="宋体"/>
          <w:bCs/>
          <w:szCs w:val="21"/>
        </w:rPr>
        <w:t>：</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pPr>
        <w:topLinePunct w:val="1"/>
        <w:ind w:left="2310" w:leftChars="1100" w:firstLine="420"/>
        <w:rPr>
          <w:rFonts w:hint="eastAsia" w:ascii="宋体" w:hAnsi="宋体" w:eastAsia="宋体" w:cs="宋体"/>
          <w:szCs w:val="21"/>
        </w:rPr>
      </w:pPr>
    </w:p>
    <w:p>
      <w:pPr>
        <w:widowControl/>
        <w:jc w:val="left"/>
        <w:rPr>
          <w:rFonts w:hint="eastAsia" w:ascii="宋体" w:hAnsi="宋体" w:eastAsia="宋体" w:cs="宋体"/>
          <w:szCs w:val="21"/>
        </w:rPr>
      </w:pPr>
      <w:bookmarkStart w:id="113" w:name="_Toc494745319"/>
      <w:bookmarkStart w:id="114" w:name="_Toc494665002"/>
      <w:bookmarkStart w:id="115" w:name="_Toc494721102"/>
      <w:bookmarkStart w:id="116" w:name="_Toc494665555"/>
      <w:bookmarkStart w:id="117" w:name="_Toc494702272"/>
      <w:bookmarkStart w:id="118" w:name="_Toc494665952"/>
      <w:r>
        <w:rPr>
          <w:rFonts w:hint="eastAsia" w:ascii="宋体" w:hAnsi="宋体" w:eastAsia="宋体" w:cs="宋体"/>
          <w:szCs w:val="21"/>
        </w:rPr>
        <w:br w:type="page"/>
      </w:r>
    </w:p>
    <w:p>
      <w:pPr>
        <w:spacing w:before="100" w:beforeAutospacing="1" w:after="100" w:afterAutospacing="1" w:line="276" w:lineRule="auto"/>
        <w:outlineLvl w:val="4"/>
        <w:rPr>
          <w:rFonts w:hint="eastAsia" w:ascii="宋体" w:hAnsi="宋体" w:eastAsia="宋体" w:cs="宋体"/>
          <w:szCs w:val="21"/>
        </w:rPr>
      </w:pPr>
      <w:r>
        <w:rPr>
          <w:rFonts w:hint="eastAsia" w:ascii="宋体" w:hAnsi="宋体" w:eastAsia="宋体" w:cs="宋体"/>
          <w:szCs w:val="21"/>
        </w:rPr>
        <w:t>附件三：部分资格材料格式要求——中小企业声明函</w:t>
      </w:r>
      <w:bookmarkEnd w:id="113"/>
      <w:bookmarkEnd w:id="114"/>
      <w:bookmarkEnd w:id="115"/>
      <w:bookmarkEnd w:id="116"/>
      <w:bookmarkEnd w:id="117"/>
      <w:bookmarkEnd w:id="118"/>
      <w:r>
        <w:rPr>
          <w:rFonts w:hint="eastAsia" w:ascii="宋体" w:hAnsi="宋体" w:eastAsia="宋体" w:cs="宋体"/>
          <w:szCs w:val="21"/>
        </w:rPr>
        <w:t>（货物）（</w:t>
      </w:r>
      <w:r>
        <w:rPr>
          <w:rFonts w:hint="eastAsia" w:ascii="宋体" w:hAnsi="宋体" w:eastAsia="宋体" w:cs="宋体"/>
          <w:i/>
          <w:color w:val="FF0000"/>
          <w:szCs w:val="21"/>
        </w:rPr>
        <w:t>非此类企业则无需提供</w:t>
      </w:r>
      <w:r>
        <w:rPr>
          <w:rFonts w:hint="eastAsia" w:ascii="宋体" w:hAnsi="宋体" w:eastAsia="宋体" w:cs="宋体"/>
          <w:szCs w:val="21"/>
        </w:rPr>
        <w:t>）</w:t>
      </w:r>
    </w:p>
    <w:p>
      <w:pPr>
        <w:spacing w:line="276" w:lineRule="auto"/>
        <w:jc w:val="center"/>
        <w:rPr>
          <w:rFonts w:hint="eastAsia" w:ascii="宋体" w:hAnsi="宋体" w:eastAsia="宋体" w:cs="宋体"/>
          <w:b/>
          <w:szCs w:val="21"/>
        </w:rPr>
      </w:pPr>
      <w:r>
        <w:rPr>
          <w:rFonts w:hint="eastAsia" w:ascii="宋体" w:hAnsi="宋体" w:eastAsia="宋体" w:cs="宋体"/>
          <w:b/>
          <w:szCs w:val="21"/>
        </w:rPr>
        <w:t>中小企业声明函（货物）</w:t>
      </w:r>
    </w:p>
    <w:p>
      <w:pPr>
        <w:spacing w:line="276" w:lineRule="auto"/>
        <w:jc w:val="center"/>
        <w:rPr>
          <w:rFonts w:hint="eastAsia" w:ascii="宋体" w:hAnsi="宋体" w:eastAsia="宋体" w:cs="宋体"/>
          <w:szCs w:val="21"/>
        </w:rPr>
      </w:pPr>
    </w:p>
    <w:p>
      <w:pPr>
        <w:spacing w:line="276" w:lineRule="auto"/>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DOCVARIABLE 招标机构名称 </w:instrText>
      </w:r>
      <w:r>
        <w:rPr>
          <w:rFonts w:hint="eastAsia" w:ascii="宋体" w:hAnsi="宋体" w:eastAsia="宋体" w:cs="宋体"/>
          <w:szCs w:val="21"/>
        </w:rPr>
        <w:fldChar w:fldCharType="separate"/>
      </w:r>
      <w:r>
        <w:rPr>
          <w:rFonts w:hint="eastAsia" w:ascii="宋体" w:hAnsi="宋体" w:eastAsia="宋体" w:cs="宋体"/>
          <w:szCs w:val="21"/>
        </w:rPr>
        <w:t>湖北国华项目管理咨询有限公司</w:t>
      </w:r>
      <w:r>
        <w:rPr>
          <w:rFonts w:hint="eastAsia" w:ascii="宋体" w:hAnsi="宋体" w:eastAsia="宋体" w:cs="宋体"/>
          <w:szCs w:val="21"/>
        </w:rPr>
        <w:fldChar w:fldCharType="end"/>
      </w:r>
      <w:r>
        <w:rPr>
          <w:rFonts w:hint="eastAsia" w:ascii="宋体" w:hAnsi="宋体" w:eastAsia="宋体" w:cs="宋体"/>
          <w:szCs w:val="21"/>
        </w:rPr>
        <w:t>：</w:t>
      </w:r>
    </w:p>
    <w:p>
      <w:pPr>
        <w:spacing w:line="360" w:lineRule="auto"/>
        <w:ind w:firstLine="641"/>
        <w:rPr>
          <w:rFonts w:hint="eastAsia" w:ascii="宋体" w:hAnsi="宋体" w:eastAsia="宋体" w:cs="宋体"/>
          <w:szCs w:val="21"/>
        </w:rPr>
      </w:pPr>
      <w:r>
        <w:rPr>
          <w:rFonts w:hint="eastAsia" w:ascii="宋体" w:hAnsi="宋体" w:eastAsia="宋体" w:cs="宋体"/>
          <w:szCs w:val="21"/>
        </w:rPr>
        <w:t>本公司（联合体）郑重声明，根据《政府采购促进中小企业发展管理办法》（财库﹝2020﹞46号）的规定，本公司（联合体）参加</w:t>
      </w:r>
      <w:r>
        <w:rPr>
          <w:rFonts w:hint="eastAsia" w:ascii="宋体" w:hAnsi="宋体" w:eastAsia="宋体" w:cs="宋体"/>
          <w:szCs w:val="21"/>
          <w:u w:val="single" w:color="000000"/>
        </w:rPr>
        <w:t>（单位名称）</w:t>
      </w:r>
      <w:r>
        <w:rPr>
          <w:rFonts w:hint="eastAsia" w:ascii="宋体" w:hAnsi="宋体" w:eastAsia="宋体" w:cs="宋体"/>
          <w:szCs w:val="21"/>
        </w:rPr>
        <w:t>的</w:t>
      </w:r>
      <w:r>
        <w:rPr>
          <w:rFonts w:hint="eastAsia" w:ascii="宋体" w:hAnsi="宋体" w:eastAsia="宋体" w:cs="宋体"/>
          <w:szCs w:val="21"/>
          <w:u w:val="single" w:color="000000"/>
        </w:rPr>
        <w:t>（项目名称）</w:t>
      </w:r>
      <w:r>
        <w:rPr>
          <w:rFonts w:hint="eastAsia" w:ascii="宋体" w:hAnsi="宋体" w:eastAsia="宋体" w:cs="宋体"/>
          <w:szCs w:val="21"/>
        </w:rPr>
        <w:t>采购活动，提供的货物全部由符合政策要求的中小企业制造。相关企业（含联合体中的中小企业、签订分包意向协议的中小企业）的具体情况如下：</w:t>
      </w:r>
    </w:p>
    <w:p>
      <w:pPr>
        <w:spacing w:after="50" w:line="360" w:lineRule="auto"/>
        <w:ind w:left="-15" w:right="56" w:firstLine="655"/>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color="000000"/>
        </w:rPr>
        <w:t>（标的名称）</w:t>
      </w:r>
      <w:r>
        <w:rPr>
          <w:rFonts w:hint="eastAsia" w:ascii="宋体" w:hAnsi="宋体" w:eastAsia="宋体" w:cs="宋体"/>
          <w:szCs w:val="21"/>
        </w:rPr>
        <w:t>，属于</w:t>
      </w:r>
      <w:r>
        <w:rPr>
          <w:rFonts w:hint="eastAsia" w:ascii="宋体" w:hAnsi="宋体" w:eastAsia="宋体" w:cs="宋体"/>
          <w:szCs w:val="21"/>
          <w:u w:val="single" w:color="000000"/>
        </w:rPr>
        <w:t>（招标文件中明确的所属行业</w:t>
      </w:r>
      <w:r>
        <w:rPr>
          <w:rFonts w:hint="eastAsia" w:ascii="宋体" w:hAnsi="宋体" w:eastAsia="宋体" w:cs="宋体"/>
          <w:szCs w:val="21"/>
        </w:rPr>
        <w:t>）</w:t>
      </w:r>
      <w:r>
        <w:rPr>
          <w:rFonts w:hint="eastAsia" w:ascii="宋体" w:hAnsi="宋体" w:eastAsia="宋体" w:cs="宋体"/>
          <w:szCs w:val="21"/>
          <w:u w:val="single" w:color="000000"/>
        </w:rPr>
        <w:t>行业</w:t>
      </w:r>
      <w:r>
        <w:rPr>
          <w:rFonts w:hint="eastAsia" w:ascii="宋体" w:hAnsi="宋体" w:eastAsia="宋体" w:cs="宋体"/>
          <w:szCs w:val="21"/>
        </w:rPr>
        <w:t>；制造商为</w:t>
      </w:r>
      <w:r>
        <w:rPr>
          <w:rFonts w:hint="eastAsia" w:ascii="宋体" w:hAnsi="宋体" w:eastAsia="宋体" w:cs="宋体"/>
          <w:szCs w:val="21"/>
          <w:u w:val="single" w:color="000000"/>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 xml:space="preserve">人，营业收入为 </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万元（从业人员、营业收入、资产总额填报上一年度数据，无上一年度数据的新成立企业可不填报），属于</w:t>
      </w:r>
      <w:r>
        <w:rPr>
          <w:rFonts w:hint="eastAsia" w:ascii="宋体" w:hAnsi="宋体" w:eastAsia="宋体" w:cs="宋体"/>
          <w:szCs w:val="21"/>
          <w:u w:val="single" w:color="000000"/>
        </w:rPr>
        <w:t>（中型企业、小型企业、微型企业</w:t>
      </w:r>
      <w:r>
        <w:rPr>
          <w:rFonts w:hint="eastAsia" w:ascii="宋体" w:hAnsi="宋体" w:eastAsia="宋体" w:cs="宋体"/>
          <w:szCs w:val="21"/>
        </w:rPr>
        <w:t>）；</w:t>
      </w:r>
    </w:p>
    <w:p>
      <w:pPr>
        <w:spacing w:after="50" w:line="360" w:lineRule="auto"/>
        <w:ind w:left="-15" w:right="56" w:firstLine="655"/>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color="000000"/>
        </w:rPr>
        <w:t>（标的名称）</w:t>
      </w:r>
      <w:r>
        <w:rPr>
          <w:rFonts w:hint="eastAsia" w:ascii="宋体" w:hAnsi="宋体" w:eastAsia="宋体" w:cs="宋体"/>
          <w:szCs w:val="21"/>
        </w:rPr>
        <w:t>，属于</w:t>
      </w:r>
      <w:r>
        <w:rPr>
          <w:rFonts w:hint="eastAsia" w:ascii="宋体" w:hAnsi="宋体" w:eastAsia="宋体" w:cs="宋体"/>
          <w:szCs w:val="21"/>
          <w:u w:val="single" w:color="000000"/>
        </w:rPr>
        <w:t>（招标文件中明确的所属行业</w:t>
      </w:r>
      <w:r>
        <w:rPr>
          <w:rFonts w:hint="eastAsia" w:ascii="宋体" w:hAnsi="宋体" w:eastAsia="宋体" w:cs="宋体"/>
          <w:szCs w:val="21"/>
        </w:rPr>
        <w:t>）</w:t>
      </w:r>
      <w:r>
        <w:rPr>
          <w:rFonts w:hint="eastAsia" w:ascii="宋体" w:hAnsi="宋体" w:eastAsia="宋体" w:cs="宋体"/>
          <w:szCs w:val="21"/>
          <w:u w:val="single" w:color="000000"/>
        </w:rPr>
        <w:t>行业</w:t>
      </w:r>
      <w:r>
        <w:rPr>
          <w:rFonts w:hint="eastAsia" w:ascii="宋体" w:hAnsi="宋体" w:eastAsia="宋体" w:cs="宋体"/>
          <w:szCs w:val="21"/>
        </w:rPr>
        <w:t>；制造商为</w:t>
      </w:r>
      <w:r>
        <w:rPr>
          <w:rFonts w:hint="eastAsia" w:ascii="宋体" w:hAnsi="宋体" w:eastAsia="宋体" w:cs="宋体"/>
          <w:szCs w:val="21"/>
          <w:u w:val="single" w:color="000000"/>
        </w:rPr>
        <w:t>（企业名称</w:t>
      </w:r>
      <w:r>
        <w:rPr>
          <w:rFonts w:hint="eastAsia" w:ascii="宋体" w:hAnsi="宋体" w:eastAsia="宋体" w:cs="宋体"/>
          <w:szCs w:val="21"/>
        </w:rPr>
        <w:t xml:space="preserve">），从业人员 </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 xml:space="preserve">万元，资产总额为 </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color="000000"/>
        </w:rPr>
        <w:t>（中型企业、小型企业、微型企业</w:t>
      </w:r>
      <w:r>
        <w:rPr>
          <w:rFonts w:hint="eastAsia" w:ascii="宋体" w:hAnsi="宋体" w:eastAsia="宋体" w:cs="宋体"/>
          <w:szCs w:val="21"/>
        </w:rPr>
        <w:t>）；</w:t>
      </w:r>
    </w:p>
    <w:p>
      <w:pPr>
        <w:spacing w:after="73" w:line="276" w:lineRule="auto"/>
        <w:ind w:left="655"/>
        <w:rPr>
          <w:rFonts w:hint="eastAsia" w:ascii="宋体" w:hAnsi="宋体" w:eastAsia="宋体" w:cs="宋体"/>
          <w:szCs w:val="21"/>
        </w:rPr>
      </w:pPr>
      <w:r>
        <w:rPr>
          <w:rFonts w:hint="eastAsia" w:ascii="宋体" w:hAnsi="宋体" w:eastAsia="宋体" w:cs="宋体"/>
          <w:szCs w:val="21"/>
        </w:rPr>
        <w:t>……</w:t>
      </w:r>
    </w:p>
    <w:p>
      <w:pPr>
        <w:spacing w:line="276" w:lineRule="auto"/>
        <w:ind w:firstLine="646"/>
        <w:rPr>
          <w:rFonts w:hint="eastAsia"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pPr>
        <w:spacing w:line="276" w:lineRule="auto"/>
        <w:ind w:firstLine="646"/>
        <w:rPr>
          <w:rFonts w:hint="eastAsia" w:ascii="宋体" w:hAnsi="宋体" w:eastAsia="宋体" w:cs="宋体"/>
          <w:szCs w:val="21"/>
        </w:rPr>
      </w:pPr>
      <w:r>
        <w:rPr>
          <w:rFonts w:hint="eastAsia" w:ascii="宋体" w:hAnsi="宋体" w:eastAsia="宋体" w:cs="宋体"/>
          <w:szCs w:val="21"/>
        </w:rPr>
        <w:t>本企业对上述声明内容的真实性负责。如有虚假，将依法承担相应责任。</w:t>
      </w:r>
    </w:p>
    <w:p>
      <w:pPr>
        <w:spacing w:line="276" w:lineRule="auto"/>
        <w:ind w:right="1037"/>
        <w:rPr>
          <w:rFonts w:hint="eastAsia" w:ascii="宋体" w:hAnsi="宋体" w:eastAsia="宋体" w:cs="宋体"/>
          <w:szCs w:val="21"/>
        </w:rPr>
      </w:pPr>
    </w:p>
    <w:p>
      <w:pPr>
        <w:spacing w:line="276" w:lineRule="auto"/>
        <w:ind w:firstLine="646"/>
        <w:rPr>
          <w:rFonts w:hint="eastAsia" w:ascii="宋体" w:hAnsi="宋体" w:eastAsia="宋体" w:cs="宋体"/>
          <w:szCs w:val="21"/>
        </w:rPr>
      </w:pPr>
      <w:r>
        <w:rPr>
          <w:rFonts w:hint="eastAsia" w:ascii="宋体" w:hAnsi="宋体" w:eastAsia="宋体" w:cs="宋体"/>
          <w:szCs w:val="21"/>
        </w:rPr>
        <w:t>说明：如以联合体方式参与本项目投标的投标人，则应由联合体各方盖章。</w:t>
      </w:r>
    </w:p>
    <w:p>
      <w:pPr>
        <w:spacing w:line="276" w:lineRule="auto"/>
        <w:ind w:right="1037"/>
        <w:rPr>
          <w:rFonts w:hint="eastAsia" w:ascii="宋体" w:hAnsi="宋体" w:eastAsia="宋体" w:cs="宋体"/>
          <w:szCs w:val="21"/>
        </w:rPr>
      </w:pPr>
    </w:p>
    <w:p>
      <w:pPr>
        <w:spacing w:line="480" w:lineRule="auto"/>
        <w:ind w:right="1037"/>
        <w:rPr>
          <w:rFonts w:hint="eastAsia" w:ascii="宋体" w:hAnsi="宋体" w:eastAsia="宋体" w:cs="宋体"/>
          <w:szCs w:val="21"/>
        </w:rPr>
      </w:pPr>
    </w:p>
    <w:p>
      <w:pPr>
        <w:spacing w:line="480" w:lineRule="auto"/>
        <w:ind w:left="3854" w:right="1037"/>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bCs/>
          <w:szCs w:val="21"/>
          <w:lang w:val="zh-CN"/>
        </w:rPr>
        <w:t>公章</w:t>
      </w:r>
      <w:r>
        <w:rPr>
          <w:rFonts w:hint="eastAsia" w:ascii="宋体" w:hAnsi="宋体" w:eastAsia="宋体" w:cs="宋体"/>
          <w:szCs w:val="21"/>
        </w:rPr>
        <w:t>）：</w:t>
      </w:r>
      <w:r>
        <w:rPr>
          <w:rFonts w:hint="eastAsia" w:ascii="宋体" w:hAnsi="宋体" w:eastAsia="宋体" w:cs="宋体"/>
          <w:szCs w:val="21"/>
          <w:u w:val="single"/>
        </w:rPr>
        <w:t xml:space="preserve">             </w:t>
      </w:r>
    </w:p>
    <w:p>
      <w:pPr>
        <w:spacing w:line="480" w:lineRule="auto"/>
        <w:jc w:val="center"/>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276" w:lineRule="auto"/>
        <w:jc w:val="left"/>
        <w:rPr>
          <w:rFonts w:hint="eastAsia" w:ascii="宋体" w:hAnsi="宋体" w:eastAsia="宋体" w:cs="宋体"/>
          <w:szCs w:val="21"/>
        </w:rPr>
      </w:pPr>
      <w:r>
        <w:rPr>
          <w:rFonts w:hint="eastAsia" w:ascii="宋体" w:hAnsi="宋体" w:eastAsia="宋体" w:cs="宋体"/>
          <w:kern w:val="0"/>
          <w:szCs w:val="21"/>
        </w:rPr>
        <w:br w:type="page"/>
      </w:r>
    </w:p>
    <w:p>
      <w:pPr>
        <w:spacing w:line="276" w:lineRule="auto"/>
        <w:jc w:val="left"/>
        <w:rPr>
          <w:rFonts w:hint="eastAsia" w:ascii="宋体" w:hAnsi="宋体" w:eastAsia="宋体" w:cs="宋体"/>
          <w:kern w:val="0"/>
          <w:szCs w:val="21"/>
        </w:rPr>
        <w:sectPr>
          <w:type w:val="continuous"/>
          <w:pgSz w:w="11906" w:h="16838"/>
          <w:pgMar w:top="1134" w:right="1191" w:bottom="1134" w:left="1191" w:header="851" w:footer="624" w:gutter="0"/>
          <w:cols w:space="720" w:num="1"/>
          <w:docGrid w:type="linesAndChars" w:linePitch="312" w:charSpace="0"/>
        </w:sectPr>
      </w:pPr>
    </w:p>
    <w:p>
      <w:pPr>
        <w:spacing w:line="276" w:lineRule="auto"/>
        <w:ind w:right="-65" w:rightChars="-31"/>
        <w:jc w:val="center"/>
        <w:rPr>
          <w:rFonts w:hint="eastAsia" w:ascii="宋体" w:hAnsi="宋体" w:eastAsia="宋体" w:cs="宋体"/>
          <w:b/>
          <w:szCs w:val="21"/>
          <w:lang w:val="zh-CN"/>
        </w:rPr>
      </w:pPr>
      <w:bookmarkStart w:id="119" w:name="_Toc476153619"/>
      <w:r>
        <w:rPr>
          <w:rFonts w:hint="eastAsia" w:ascii="宋体" w:hAnsi="宋体" w:eastAsia="宋体" w:cs="宋体"/>
          <w:b/>
          <w:szCs w:val="21"/>
          <w:lang w:val="zh-CN"/>
        </w:rPr>
        <w:t>中小企业划型标准</w:t>
      </w:r>
      <w:bookmarkEnd w:id="119"/>
      <w:r>
        <w:rPr>
          <w:rFonts w:hint="eastAsia" w:ascii="宋体" w:hAnsi="宋体" w:eastAsia="宋体" w:cs="宋体"/>
          <w:b/>
          <w:szCs w:val="21"/>
          <w:lang w:val="zh-CN"/>
        </w:rPr>
        <w:t>（关于印发中小企业划型标准规定的通知 工信部联企业[2011]300号）</w:t>
      </w:r>
    </w:p>
    <w:tbl>
      <w:tblPr>
        <w:tblStyle w:val="26"/>
        <w:tblW w:w="145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0"/>
        <w:gridCol w:w="1954"/>
        <w:gridCol w:w="953"/>
        <w:gridCol w:w="993"/>
        <w:gridCol w:w="1134"/>
        <w:gridCol w:w="850"/>
        <w:gridCol w:w="992"/>
        <w:gridCol w:w="1134"/>
        <w:gridCol w:w="993"/>
        <w:gridCol w:w="992"/>
        <w:gridCol w:w="1143"/>
        <w:gridCol w:w="983"/>
        <w:gridCol w:w="1008"/>
        <w:gridCol w:w="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blHeader/>
          <w:jc w:val="center"/>
        </w:trPr>
        <w:tc>
          <w:tcPr>
            <w:tcW w:w="490"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954" w:type="dxa"/>
            <w:vMerge w:val="restart"/>
            <w:tcBorders>
              <w:top w:val="single" w:color="auto" w:sz="4" w:space="0"/>
              <w:left w:val="nil"/>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行业</w:t>
            </w:r>
          </w:p>
        </w:tc>
        <w:tc>
          <w:tcPr>
            <w:tcW w:w="3080" w:type="dxa"/>
            <w:gridSpan w:val="3"/>
            <w:tcBorders>
              <w:top w:val="single" w:color="auto" w:sz="4" w:space="0"/>
              <w:left w:val="nil"/>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大型企业</w:t>
            </w:r>
          </w:p>
        </w:tc>
        <w:tc>
          <w:tcPr>
            <w:tcW w:w="2976" w:type="dxa"/>
            <w:gridSpan w:val="3"/>
            <w:tcBorders>
              <w:top w:val="single" w:color="auto" w:sz="4" w:space="0"/>
              <w:left w:val="nil"/>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中型企业</w:t>
            </w:r>
          </w:p>
        </w:tc>
        <w:tc>
          <w:tcPr>
            <w:tcW w:w="3128" w:type="dxa"/>
            <w:gridSpan w:val="3"/>
            <w:tcBorders>
              <w:top w:val="single" w:color="auto" w:sz="4" w:space="0"/>
              <w:left w:val="nil"/>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小型企业</w:t>
            </w:r>
          </w:p>
        </w:tc>
        <w:tc>
          <w:tcPr>
            <w:tcW w:w="2968" w:type="dxa"/>
            <w:gridSpan w:val="3"/>
            <w:tcBorders>
              <w:top w:val="single" w:color="auto" w:sz="4" w:space="0"/>
              <w:left w:val="nil"/>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blHeader/>
          <w:jc w:val="center"/>
        </w:trPr>
        <w:tc>
          <w:tcPr>
            <w:tcW w:w="49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rPr>
            </w:pPr>
          </w:p>
        </w:tc>
        <w:tc>
          <w:tcPr>
            <w:tcW w:w="1954" w:type="dxa"/>
            <w:vMerge w:val="continue"/>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Cs w:val="21"/>
              </w:rPr>
            </w:pPr>
          </w:p>
        </w:tc>
        <w:tc>
          <w:tcPr>
            <w:tcW w:w="953" w:type="dxa"/>
            <w:tcBorders>
              <w:top w:val="nil"/>
              <w:left w:val="nil"/>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营业收入</w:t>
            </w:r>
          </w:p>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993" w:type="dxa"/>
            <w:tcBorders>
              <w:top w:val="nil"/>
              <w:left w:val="nil"/>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从业人员</w:t>
            </w:r>
          </w:p>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(人)</w:t>
            </w:r>
          </w:p>
        </w:tc>
        <w:tc>
          <w:tcPr>
            <w:tcW w:w="1134" w:type="dxa"/>
            <w:tcBorders>
              <w:top w:val="nil"/>
              <w:left w:val="nil"/>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总资产</w:t>
            </w:r>
          </w:p>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850" w:type="dxa"/>
            <w:tcBorders>
              <w:top w:val="nil"/>
              <w:left w:val="nil"/>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营业收入</w:t>
            </w:r>
          </w:p>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992" w:type="dxa"/>
            <w:tcBorders>
              <w:top w:val="nil"/>
              <w:left w:val="nil"/>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从业人员</w:t>
            </w:r>
          </w:p>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(人)</w:t>
            </w:r>
          </w:p>
        </w:tc>
        <w:tc>
          <w:tcPr>
            <w:tcW w:w="1134" w:type="dxa"/>
            <w:tcBorders>
              <w:top w:val="nil"/>
              <w:left w:val="nil"/>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总资产</w:t>
            </w:r>
          </w:p>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993" w:type="dxa"/>
            <w:tcBorders>
              <w:top w:val="nil"/>
              <w:left w:val="nil"/>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营业收入</w:t>
            </w:r>
          </w:p>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992" w:type="dxa"/>
            <w:tcBorders>
              <w:top w:val="nil"/>
              <w:left w:val="nil"/>
              <w:bottom w:val="single" w:color="auto" w:sz="4" w:space="0"/>
              <w:right w:val="single" w:color="auto" w:sz="4" w:space="0"/>
            </w:tcBorders>
            <w:vAlign w:val="center"/>
          </w:tcPr>
          <w:p>
            <w:pPr>
              <w:spacing w:line="276" w:lineRule="auto"/>
              <w:ind w:left="117" w:leftChars="-23" w:right="-65" w:rightChars="-31" w:hanging="165" w:hangingChars="79"/>
              <w:jc w:val="center"/>
              <w:rPr>
                <w:rFonts w:hint="eastAsia" w:ascii="宋体" w:hAnsi="宋体" w:eastAsia="宋体" w:cs="宋体"/>
                <w:kern w:val="0"/>
                <w:szCs w:val="21"/>
              </w:rPr>
            </w:pPr>
            <w:r>
              <w:rPr>
                <w:rFonts w:hint="eastAsia" w:ascii="宋体" w:hAnsi="宋体" w:eastAsia="宋体" w:cs="宋体"/>
                <w:kern w:val="0"/>
                <w:szCs w:val="21"/>
              </w:rPr>
              <w:t>从业人员</w:t>
            </w:r>
          </w:p>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(人)</w:t>
            </w:r>
          </w:p>
        </w:tc>
        <w:tc>
          <w:tcPr>
            <w:tcW w:w="1143" w:type="dxa"/>
            <w:tcBorders>
              <w:top w:val="nil"/>
              <w:left w:val="nil"/>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总资产</w:t>
            </w:r>
          </w:p>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983" w:type="dxa"/>
            <w:tcBorders>
              <w:top w:val="nil"/>
              <w:left w:val="nil"/>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营业收入</w:t>
            </w:r>
          </w:p>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(万元)</w:t>
            </w:r>
          </w:p>
        </w:tc>
        <w:tc>
          <w:tcPr>
            <w:tcW w:w="1008" w:type="dxa"/>
            <w:tcBorders>
              <w:top w:val="nil"/>
              <w:left w:val="nil"/>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从业人员</w:t>
            </w:r>
          </w:p>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(人)</w:t>
            </w:r>
          </w:p>
        </w:tc>
        <w:tc>
          <w:tcPr>
            <w:tcW w:w="977" w:type="dxa"/>
            <w:tcBorders>
              <w:top w:val="nil"/>
              <w:left w:val="nil"/>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总资产</w:t>
            </w:r>
          </w:p>
          <w:p>
            <w:pPr>
              <w:spacing w:line="276" w:lineRule="auto"/>
              <w:ind w:left="-48" w:leftChars="-23" w:right="-65" w:rightChars="-31"/>
              <w:jc w:val="center"/>
              <w:rPr>
                <w:rFonts w:hint="eastAsia" w:ascii="宋体" w:hAnsi="宋体" w:eastAsia="宋体" w:cs="宋体"/>
                <w:kern w:val="0"/>
                <w:szCs w:val="21"/>
              </w:rPr>
            </w:pPr>
            <w:r>
              <w:rPr>
                <w:rFonts w:hint="eastAsia" w:ascii="宋体" w:hAnsi="宋体" w:eastAsia="宋体" w:cs="宋体"/>
                <w:kern w:val="0"/>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90" w:type="dxa"/>
            <w:tcBorders>
              <w:top w:val="single" w:color="auto" w:sz="4" w:space="0"/>
              <w:left w:val="single" w:color="auto" w:sz="4" w:space="0"/>
              <w:bottom w:val="single" w:color="auto" w:sz="4" w:space="0"/>
              <w:right w:val="single" w:color="auto" w:sz="4" w:space="0"/>
            </w:tcBorders>
            <w:vAlign w:val="center"/>
          </w:tcPr>
          <w:p>
            <w:pPr>
              <w:spacing w:line="276" w:lineRule="auto"/>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w:t>
            </w:r>
          </w:p>
        </w:tc>
        <w:tc>
          <w:tcPr>
            <w:tcW w:w="1954" w:type="dxa"/>
            <w:tcBorders>
              <w:top w:val="single" w:color="auto" w:sz="4" w:space="0"/>
              <w:left w:val="nil"/>
              <w:bottom w:val="single" w:color="auto" w:sz="4" w:space="0"/>
              <w:right w:val="single" w:color="auto" w:sz="4" w:space="0"/>
            </w:tcBorders>
            <w:vAlign w:val="center"/>
          </w:tcPr>
          <w:p>
            <w:pPr>
              <w:spacing w:line="276" w:lineRule="auto"/>
              <w:ind w:left="-27" w:leftChars="-13" w:right="-65" w:rightChars="-31"/>
              <w:jc w:val="left"/>
              <w:rPr>
                <w:rFonts w:hint="eastAsia" w:ascii="宋体" w:hAnsi="宋体" w:eastAsia="宋体" w:cs="宋体"/>
                <w:kern w:val="0"/>
                <w:szCs w:val="21"/>
              </w:rPr>
            </w:pPr>
            <w:r>
              <w:rPr>
                <w:rFonts w:hint="eastAsia" w:ascii="宋体" w:hAnsi="宋体" w:eastAsia="宋体" w:cs="宋体"/>
                <w:kern w:val="0"/>
                <w:szCs w:val="21"/>
              </w:rPr>
              <w:t>农、林、牧、渔业</w:t>
            </w:r>
          </w:p>
        </w:tc>
        <w:tc>
          <w:tcPr>
            <w:tcW w:w="953" w:type="dxa"/>
            <w:tcBorders>
              <w:top w:val="single" w:color="auto" w:sz="4" w:space="0"/>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≥20000</w:t>
            </w:r>
          </w:p>
        </w:tc>
        <w:tc>
          <w:tcPr>
            <w:tcW w:w="99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1134"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≥500</w:t>
            </w:r>
          </w:p>
        </w:tc>
        <w:tc>
          <w:tcPr>
            <w:tcW w:w="992"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1134"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9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≥50</w:t>
            </w:r>
          </w:p>
        </w:tc>
        <w:tc>
          <w:tcPr>
            <w:tcW w:w="992"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114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8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＜50</w:t>
            </w:r>
          </w:p>
        </w:tc>
        <w:tc>
          <w:tcPr>
            <w:tcW w:w="1008"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77"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90" w:type="dxa"/>
            <w:tcBorders>
              <w:top w:val="nil"/>
              <w:left w:val="single" w:color="auto" w:sz="4" w:space="0"/>
              <w:bottom w:val="single" w:color="auto" w:sz="4" w:space="0"/>
              <w:right w:val="single" w:color="auto" w:sz="4" w:space="0"/>
            </w:tcBorders>
            <w:vAlign w:val="center"/>
          </w:tcPr>
          <w:p>
            <w:pPr>
              <w:spacing w:line="276" w:lineRule="auto"/>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2</w:t>
            </w:r>
          </w:p>
        </w:tc>
        <w:tc>
          <w:tcPr>
            <w:tcW w:w="1954" w:type="dxa"/>
            <w:tcBorders>
              <w:top w:val="nil"/>
              <w:left w:val="nil"/>
              <w:bottom w:val="single" w:color="auto" w:sz="4" w:space="0"/>
              <w:right w:val="single" w:color="auto" w:sz="4" w:space="0"/>
            </w:tcBorders>
            <w:vAlign w:val="center"/>
          </w:tcPr>
          <w:p>
            <w:pPr>
              <w:spacing w:line="276" w:lineRule="auto"/>
              <w:ind w:left="-27" w:leftChars="-13" w:right="-65" w:rightChars="-31"/>
              <w:jc w:val="left"/>
              <w:rPr>
                <w:rFonts w:hint="eastAsia" w:ascii="宋体" w:hAnsi="宋体" w:eastAsia="宋体" w:cs="宋体"/>
                <w:kern w:val="0"/>
                <w:szCs w:val="21"/>
              </w:rPr>
            </w:pPr>
            <w:r>
              <w:rPr>
                <w:rFonts w:hint="eastAsia" w:ascii="宋体" w:hAnsi="宋体" w:eastAsia="宋体" w:cs="宋体"/>
                <w:kern w:val="0"/>
                <w:szCs w:val="21"/>
              </w:rPr>
              <w:t>工业</w:t>
            </w:r>
          </w:p>
        </w:tc>
        <w:tc>
          <w:tcPr>
            <w:tcW w:w="95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≥40000</w:t>
            </w:r>
          </w:p>
        </w:tc>
        <w:tc>
          <w:tcPr>
            <w:tcW w:w="99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且≥1000</w:t>
            </w:r>
          </w:p>
        </w:tc>
        <w:tc>
          <w:tcPr>
            <w:tcW w:w="1134"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≥2000</w:t>
            </w:r>
          </w:p>
        </w:tc>
        <w:tc>
          <w:tcPr>
            <w:tcW w:w="992"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且≥300</w:t>
            </w:r>
          </w:p>
        </w:tc>
        <w:tc>
          <w:tcPr>
            <w:tcW w:w="1134"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9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≥300</w:t>
            </w:r>
          </w:p>
        </w:tc>
        <w:tc>
          <w:tcPr>
            <w:tcW w:w="992"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且≥20</w:t>
            </w:r>
          </w:p>
        </w:tc>
        <w:tc>
          <w:tcPr>
            <w:tcW w:w="114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8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＜300</w:t>
            </w:r>
          </w:p>
        </w:tc>
        <w:tc>
          <w:tcPr>
            <w:tcW w:w="1008"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或＜20</w:t>
            </w:r>
          </w:p>
        </w:tc>
        <w:tc>
          <w:tcPr>
            <w:tcW w:w="977"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90" w:type="dxa"/>
            <w:tcBorders>
              <w:top w:val="nil"/>
              <w:left w:val="single" w:color="auto" w:sz="4" w:space="0"/>
              <w:bottom w:val="single" w:color="auto" w:sz="4" w:space="0"/>
              <w:right w:val="single" w:color="auto" w:sz="4" w:space="0"/>
            </w:tcBorders>
            <w:vAlign w:val="center"/>
          </w:tcPr>
          <w:p>
            <w:pPr>
              <w:spacing w:line="276" w:lineRule="auto"/>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3</w:t>
            </w:r>
          </w:p>
        </w:tc>
        <w:tc>
          <w:tcPr>
            <w:tcW w:w="1954" w:type="dxa"/>
            <w:tcBorders>
              <w:top w:val="nil"/>
              <w:left w:val="nil"/>
              <w:bottom w:val="single" w:color="auto" w:sz="4" w:space="0"/>
              <w:right w:val="single" w:color="auto" w:sz="4" w:space="0"/>
            </w:tcBorders>
            <w:vAlign w:val="center"/>
          </w:tcPr>
          <w:p>
            <w:pPr>
              <w:spacing w:line="276" w:lineRule="auto"/>
              <w:ind w:left="-27" w:leftChars="-13" w:right="-65" w:rightChars="-31"/>
              <w:jc w:val="left"/>
              <w:rPr>
                <w:rFonts w:hint="eastAsia" w:ascii="宋体" w:hAnsi="宋体" w:eastAsia="宋体" w:cs="宋体"/>
                <w:kern w:val="0"/>
                <w:szCs w:val="21"/>
              </w:rPr>
            </w:pPr>
            <w:r>
              <w:rPr>
                <w:rFonts w:hint="eastAsia" w:ascii="宋体" w:hAnsi="宋体" w:eastAsia="宋体" w:cs="宋体"/>
                <w:kern w:val="0"/>
                <w:szCs w:val="21"/>
              </w:rPr>
              <w:t>建筑业</w:t>
            </w:r>
          </w:p>
        </w:tc>
        <w:tc>
          <w:tcPr>
            <w:tcW w:w="95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≥80000</w:t>
            </w:r>
          </w:p>
        </w:tc>
        <w:tc>
          <w:tcPr>
            <w:tcW w:w="99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1134"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且≥80000</w:t>
            </w:r>
          </w:p>
        </w:tc>
        <w:tc>
          <w:tcPr>
            <w:tcW w:w="850"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≥6000</w:t>
            </w:r>
          </w:p>
        </w:tc>
        <w:tc>
          <w:tcPr>
            <w:tcW w:w="992"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1134"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且≥5000</w:t>
            </w:r>
          </w:p>
        </w:tc>
        <w:tc>
          <w:tcPr>
            <w:tcW w:w="99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≥300</w:t>
            </w:r>
          </w:p>
        </w:tc>
        <w:tc>
          <w:tcPr>
            <w:tcW w:w="992"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114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且≥300</w:t>
            </w:r>
          </w:p>
        </w:tc>
        <w:tc>
          <w:tcPr>
            <w:tcW w:w="98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＜300</w:t>
            </w:r>
          </w:p>
        </w:tc>
        <w:tc>
          <w:tcPr>
            <w:tcW w:w="1008"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77"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或＜300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90" w:type="dxa"/>
            <w:tcBorders>
              <w:top w:val="nil"/>
              <w:left w:val="single" w:color="auto" w:sz="4" w:space="0"/>
              <w:bottom w:val="single" w:color="auto" w:sz="4" w:space="0"/>
              <w:right w:val="single" w:color="auto" w:sz="4" w:space="0"/>
            </w:tcBorders>
            <w:vAlign w:val="center"/>
          </w:tcPr>
          <w:p>
            <w:pPr>
              <w:spacing w:line="276" w:lineRule="auto"/>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4</w:t>
            </w:r>
          </w:p>
        </w:tc>
        <w:tc>
          <w:tcPr>
            <w:tcW w:w="1954" w:type="dxa"/>
            <w:tcBorders>
              <w:top w:val="nil"/>
              <w:left w:val="nil"/>
              <w:bottom w:val="single" w:color="auto" w:sz="4" w:space="0"/>
              <w:right w:val="single" w:color="auto" w:sz="4" w:space="0"/>
            </w:tcBorders>
            <w:vAlign w:val="center"/>
          </w:tcPr>
          <w:p>
            <w:pPr>
              <w:spacing w:line="276" w:lineRule="auto"/>
              <w:ind w:left="-27" w:leftChars="-13" w:right="-65" w:rightChars="-31"/>
              <w:jc w:val="left"/>
              <w:rPr>
                <w:rFonts w:hint="eastAsia" w:ascii="宋体" w:hAnsi="宋体" w:eastAsia="宋体" w:cs="宋体"/>
                <w:kern w:val="0"/>
                <w:szCs w:val="21"/>
              </w:rPr>
            </w:pPr>
            <w:r>
              <w:rPr>
                <w:rFonts w:hint="eastAsia" w:ascii="宋体" w:hAnsi="宋体" w:eastAsia="宋体" w:cs="宋体"/>
                <w:kern w:val="0"/>
                <w:szCs w:val="21"/>
              </w:rPr>
              <w:t>批发业</w:t>
            </w:r>
          </w:p>
        </w:tc>
        <w:tc>
          <w:tcPr>
            <w:tcW w:w="95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≥40000</w:t>
            </w:r>
          </w:p>
        </w:tc>
        <w:tc>
          <w:tcPr>
            <w:tcW w:w="99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且≥200</w:t>
            </w:r>
          </w:p>
        </w:tc>
        <w:tc>
          <w:tcPr>
            <w:tcW w:w="1134"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≥5000</w:t>
            </w:r>
          </w:p>
        </w:tc>
        <w:tc>
          <w:tcPr>
            <w:tcW w:w="992"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且≥20</w:t>
            </w:r>
          </w:p>
        </w:tc>
        <w:tc>
          <w:tcPr>
            <w:tcW w:w="1134"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9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≥1000</w:t>
            </w:r>
          </w:p>
        </w:tc>
        <w:tc>
          <w:tcPr>
            <w:tcW w:w="992"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且≥10</w:t>
            </w:r>
          </w:p>
        </w:tc>
        <w:tc>
          <w:tcPr>
            <w:tcW w:w="114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8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＜1000</w:t>
            </w:r>
          </w:p>
        </w:tc>
        <w:tc>
          <w:tcPr>
            <w:tcW w:w="1008"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或＜5</w:t>
            </w:r>
          </w:p>
        </w:tc>
        <w:tc>
          <w:tcPr>
            <w:tcW w:w="977"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90" w:type="dxa"/>
            <w:tcBorders>
              <w:top w:val="nil"/>
              <w:left w:val="single" w:color="auto" w:sz="4" w:space="0"/>
              <w:bottom w:val="single" w:color="auto" w:sz="4" w:space="0"/>
              <w:right w:val="single" w:color="auto" w:sz="4" w:space="0"/>
            </w:tcBorders>
            <w:vAlign w:val="center"/>
          </w:tcPr>
          <w:p>
            <w:pPr>
              <w:spacing w:line="276" w:lineRule="auto"/>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5</w:t>
            </w:r>
          </w:p>
        </w:tc>
        <w:tc>
          <w:tcPr>
            <w:tcW w:w="1954" w:type="dxa"/>
            <w:tcBorders>
              <w:top w:val="nil"/>
              <w:left w:val="nil"/>
              <w:bottom w:val="single" w:color="auto" w:sz="4" w:space="0"/>
              <w:right w:val="single" w:color="auto" w:sz="4" w:space="0"/>
            </w:tcBorders>
            <w:vAlign w:val="center"/>
          </w:tcPr>
          <w:p>
            <w:pPr>
              <w:spacing w:line="276" w:lineRule="auto"/>
              <w:ind w:left="-27" w:leftChars="-13" w:right="-65" w:rightChars="-31"/>
              <w:jc w:val="left"/>
              <w:rPr>
                <w:rFonts w:hint="eastAsia" w:ascii="宋体" w:hAnsi="宋体" w:eastAsia="宋体" w:cs="宋体"/>
                <w:kern w:val="0"/>
                <w:szCs w:val="21"/>
              </w:rPr>
            </w:pPr>
            <w:r>
              <w:rPr>
                <w:rFonts w:hint="eastAsia" w:ascii="宋体" w:hAnsi="宋体" w:eastAsia="宋体" w:cs="宋体"/>
                <w:kern w:val="0"/>
                <w:szCs w:val="21"/>
              </w:rPr>
              <w:t>零售业</w:t>
            </w:r>
          </w:p>
        </w:tc>
        <w:tc>
          <w:tcPr>
            <w:tcW w:w="95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≥20000</w:t>
            </w:r>
          </w:p>
        </w:tc>
        <w:tc>
          <w:tcPr>
            <w:tcW w:w="99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且≥300</w:t>
            </w:r>
          </w:p>
        </w:tc>
        <w:tc>
          <w:tcPr>
            <w:tcW w:w="1134"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≥500</w:t>
            </w:r>
          </w:p>
        </w:tc>
        <w:tc>
          <w:tcPr>
            <w:tcW w:w="992"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且≥50</w:t>
            </w:r>
          </w:p>
        </w:tc>
        <w:tc>
          <w:tcPr>
            <w:tcW w:w="1134"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9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≥100</w:t>
            </w:r>
          </w:p>
        </w:tc>
        <w:tc>
          <w:tcPr>
            <w:tcW w:w="992"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且≥10</w:t>
            </w:r>
          </w:p>
        </w:tc>
        <w:tc>
          <w:tcPr>
            <w:tcW w:w="114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8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＜100</w:t>
            </w:r>
          </w:p>
        </w:tc>
        <w:tc>
          <w:tcPr>
            <w:tcW w:w="1008"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或＜10</w:t>
            </w:r>
          </w:p>
        </w:tc>
        <w:tc>
          <w:tcPr>
            <w:tcW w:w="977"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90" w:type="dxa"/>
            <w:tcBorders>
              <w:top w:val="nil"/>
              <w:left w:val="single" w:color="auto" w:sz="4" w:space="0"/>
              <w:bottom w:val="single" w:color="auto" w:sz="4" w:space="0"/>
              <w:right w:val="single" w:color="auto" w:sz="4" w:space="0"/>
            </w:tcBorders>
            <w:vAlign w:val="center"/>
          </w:tcPr>
          <w:p>
            <w:pPr>
              <w:spacing w:line="276" w:lineRule="auto"/>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6</w:t>
            </w:r>
          </w:p>
        </w:tc>
        <w:tc>
          <w:tcPr>
            <w:tcW w:w="1954" w:type="dxa"/>
            <w:tcBorders>
              <w:top w:val="nil"/>
              <w:left w:val="nil"/>
              <w:bottom w:val="single" w:color="auto" w:sz="4" w:space="0"/>
              <w:right w:val="single" w:color="auto" w:sz="4" w:space="0"/>
            </w:tcBorders>
            <w:vAlign w:val="center"/>
          </w:tcPr>
          <w:p>
            <w:pPr>
              <w:spacing w:line="276" w:lineRule="auto"/>
              <w:ind w:left="-27" w:leftChars="-13" w:right="-65" w:rightChars="-31"/>
              <w:jc w:val="left"/>
              <w:rPr>
                <w:rFonts w:hint="eastAsia" w:ascii="宋体" w:hAnsi="宋体" w:eastAsia="宋体" w:cs="宋体"/>
                <w:kern w:val="0"/>
                <w:szCs w:val="21"/>
              </w:rPr>
            </w:pPr>
            <w:r>
              <w:rPr>
                <w:rFonts w:hint="eastAsia" w:ascii="宋体" w:hAnsi="宋体" w:eastAsia="宋体" w:cs="宋体"/>
                <w:kern w:val="0"/>
                <w:szCs w:val="21"/>
              </w:rPr>
              <w:t>交通运输业</w:t>
            </w:r>
          </w:p>
        </w:tc>
        <w:tc>
          <w:tcPr>
            <w:tcW w:w="95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≥30000</w:t>
            </w:r>
          </w:p>
        </w:tc>
        <w:tc>
          <w:tcPr>
            <w:tcW w:w="99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且≥1000</w:t>
            </w:r>
          </w:p>
        </w:tc>
        <w:tc>
          <w:tcPr>
            <w:tcW w:w="1134"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≥3000</w:t>
            </w:r>
          </w:p>
        </w:tc>
        <w:tc>
          <w:tcPr>
            <w:tcW w:w="992"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且≥300</w:t>
            </w:r>
          </w:p>
        </w:tc>
        <w:tc>
          <w:tcPr>
            <w:tcW w:w="1134"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9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≥200</w:t>
            </w:r>
          </w:p>
        </w:tc>
        <w:tc>
          <w:tcPr>
            <w:tcW w:w="992"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且≥20</w:t>
            </w:r>
          </w:p>
        </w:tc>
        <w:tc>
          <w:tcPr>
            <w:tcW w:w="114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8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＜200</w:t>
            </w:r>
          </w:p>
        </w:tc>
        <w:tc>
          <w:tcPr>
            <w:tcW w:w="1008"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或＜20</w:t>
            </w:r>
          </w:p>
        </w:tc>
        <w:tc>
          <w:tcPr>
            <w:tcW w:w="977"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90" w:type="dxa"/>
            <w:tcBorders>
              <w:top w:val="nil"/>
              <w:left w:val="single" w:color="auto" w:sz="4" w:space="0"/>
              <w:bottom w:val="single" w:color="auto" w:sz="4" w:space="0"/>
              <w:right w:val="single" w:color="auto" w:sz="4" w:space="0"/>
            </w:tcBorders>
            <w:vAlign w:val="center"/>
          </w:tcPr>
          <w:p>
            <w:pPr>
              <w:spacing w:line="276" w:lineRule="auto"/>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7</w:t>
            </w:r>
          </w:p>
        </w:tc>
        <w:tc>
          <w:tcPr>
            <w:tcW w:w="1954" w:type="dxa"/>
            <w:tcBorders>
              <w:top w:val="nil"/>
              <w:left w:val="nil"/>
              <w:bottom w:val="single" w:color="auto" w:sz="4" w:space="0"/>
              <w:right w:val="single" w:color="auto" w:sz="4" w:space="0"/>
            </w:tcBorders>
            <w:vAlign w:val="center"/>
          </w:tcPr>
          <w:p>
            <w:pPr>
              <w:spacing w:line="276" w:lineRule="auto"/>
              <w:ind w:left="-27" w:leftChars="-13" w:right="-65" w:rightChars="-31"/>
              <w:jc w:val="left"/>
              <w:rPr>
                <w:rFonts w:hint="eastAsia" w:ascii="宋体" w:hAnsi="宋体" w:eastAsia="宋体" w:cs="宋体"/>
                <w:kern w:val="0"/>
                <w:szCs w:val="21"/>
              </w:rPr>
            </w:pPr>
            <w:r>
              <w:rPr>
                <w:rFonts w:hint="eastAsia" w:ascii="宋体" w:hAnsi="宋体" w:eastAsia="宋体" w:cs="宋体"/>
                <w:kern w:val="0"/>
                <w:szCs w:val="21"/>
              </w:rPr>
              <w:t>仓储业</w:t>
            </w:r>
          </w:p>
        </w:tc>
        <w:tc>
          <w:tcPr>
            <w:tcW w:w="95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≥30000</w:t>
            </w:r>
          </w:p>
        </w:tc>
        <w:tc>
          <w:tcPr>
            <w:tcW w:w="99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且≥200</w:t>
            </w:r>
          </w:p>
        </w:tc>
        <w:tc>
          <w:tcPr>
            <w:tcW w:w="1134"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≥1000</w:t>
            </w:r>
          </w:p>
        </w:tc>
        <w:tc>
          <w:tcPr>
            <w:tcW w:w="992"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且≥100</w:t>
            </w:r>
          </w:p>
        </w:tc>
        <w:tc>
          <w:tcPr>
            <w:tcW w:w="1134"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9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≥100</w:t>
            </w:r>
          </w:p>
        </w:tc>
        <w:tc>
          <w:tcPr>
            <w:tcW w:w="992"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且≥20</w:t>
            </w:r>
          </w:p>
        </w:tc>
        <w:tc>
          <w:tcPr>
            <w:tcW w:w="114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8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＜100</w:t>
            </w:r>
          </w:p>
        </w:tc>
        <w:tc>
          <w:tcPr>
            <w:tcW w:w="1008"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或＜20</w:t>
            </w:r>
          </w:p>
        </w:tc>
        <w:tc>
          <w:tcPr>
            <w:tcW w:w="977"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90" w:type="dxa"/>
            <w:tcBorders>
              <w:top w:val="nil"/>
              <w:left w:val="single" w:color="auto" w:sz="4" w:space="0"/>
              <w:bottom w:val="single" w:color="auto" w:sz="4" w:space="0"/>
              <w:right w:val="single" w:color="auto" w:sz="4" w:space="0"/>
            </w:tcBorders>
            <w:vAlign w:val="center"/>
          </w:tcPr>
          <w:p>
            <w:pPr>
              <w:spacing w:line="276" w:lineRule="auto"/>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8</w:t>
            </w:r>
          </w:p>
        </w:tc>
        <w:tc>
          <w:tcPr>
            <w:tcW w:w="1954" w:type="dxa"/>
            <w:tcBorders>
              <w:top w:val="nil"/>
              <w:left w:val="nil"/>
              <w:bottom w:val="single" w:color="auto" w:sz="4" w:space="0"/>
              <w:right w:val="single" w:color="auto" w:sz="4" w:space="0"/>
            </w:tcBorders>
            <w:vAlign w:val="center"/>
          </w:tcPr>
          <w:p>
            <w:pPr>
              <w:spacing w:line="276" w:lineRule="auto"/>
              <w:ind w:left="-27" w:leftChars="-13" w:right="-65" w:rightChars="-31"/>
              <w:jc w:val="left"/>
              <w:rPr>
                <w:rFonts w:hint="eastAsia" w:ascii="宋体" w:hAnsi="宋体" w:eastAsia="宋体" w:cs="宋体"/>
                <w:kern w:val="0"/>
                <w:szCs w:val="21"/>
              </w:rPr>
            </w:pPr>
            <w:r>
              <w:rPr>
                <w:rFonts w:hint="eastAsia" w:ascii="宋体" w:hAnsi="宋体" w:eastAsia="宋体" w:cs="宋体"/>
                <w:kern w:val="0"/>
                <w:szCs w:val="21"/>
              </w:rPr>
              <w:t>邮政业</w:t>
            </w:r>
          </w:p>
        </w:tc>
        <w:tc>
          <w:tcPr>
            <w:tcW w:w="95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≥30000</w:t>
            </w:r>
          </w:p>
        </w:tc>
        <w:tc>
          <w:tcPr>
            <w:tcW w:w="99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且≥1000</w:t>
            </w:r>
          </w:p>
        </w:tc>
        <w:tc>
          <w:tcPr>
            <w:tcW w:w="1134"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≥2000</w:t>
            </w:r>
          </w:p>
        </w:tc>
        <w:tc>
          <w:tcPr>
            <w:tcW w:w="992"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且≥300</w:t>
            </w:r>
          </w:p>
        </w:tc>
        <w:tc>
          <w:tcPr>
            <w:tcW w:w="1134"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9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≥100</w:t>
            </w:r>
          </w:p>
        </w:tc>
        <w:tc>
          <w:tcPr>
            <w:tcW w:w="992"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且≥20</w:t>
            </w:r>
          </w:p>
        </w:tc>
        <w:tc>
          <w:tcPr>
            <w:tcW w:w="114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8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＜100</w:t>
            </w:r>
          </w:p>
        </w:tc>
        <w:tc>
          <w:tcPr>
            <w:tcW w:w="1008"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或＜20</w:t>
            </w:r>
          </w:p>
        </w:tc>
        <w:tc>
          <w:tcPr>
            <w:tcW w:w="977"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90" w:type="dxa"/>
            <w:tcBorders>
              <w:top w:val="nil"/>
              <w:left w:val="single" w:color="auto" w:sz="4" w:space="0"/>
              <w:bottom w:val="single" w:color="auto" w:sz="4" w:space="0"/>
              <w:right w:val="single" w:color="auto" w:sz="4" w:space="0"/>
            </w:tcBorders>
            <w:vAlign w:val="center"/>
          </w:tcPr>
          <w:p>
            <w:pPr>
              <w:spacing w:line="276" w:lineRule="auto"/>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9</w:t>
            </w:r>
          </w:p>
        </w:tc>
        <w:tc>
          <w:tcPr>
            <w:tcW w:w="1954" w:type="dxa"/>
            <w:tcBorders>
              <w:top w:val="nil"/>
              <w:left w:val="nil"/>
              <w:bottom w:val="single" w:color="auto" w:sz="4" w:space="0"/>
              <w:right w:val="single" w:color="auto" w:sz="4" w:space="0"/>
            </w:tcBorders>
            <w:vAlign w:val="center"/>
          </w:tcPr>
          <w:p>
            <w:pPr>
              <w:spacing w:line="276" w:lineRule="auto"/>
              <w:ind w:left="-27" w:leftChars="-13" w:right="-65" w:rightChars="-31"/>
              <w:jc w:val="left"/>
              <w:rPr>
                <w:rFonts w:hint="eastAsia" w:ascii="宋体" w:hAnsi="宋体" w:eastAsia="宋体" w:cs="宋体"/>
                <w:kern w:val="0"/>
                <w:szCs w:val="21"/>
              </w:rPr>
            </w:pPr>
            <w:r>
              <w:rPr>
                <w:rFonts w:hint="eastAsia" w:ascii="宋体" w:hAnsi="宋体" w:eastAsia="宋体" w:cs="宋体"/>
                <w:kern w:val="0"/>
                <w:szCs w:val="21"/>
              </w:rPr>
              <w:t>住宿业</w:t>
            </w:r>
          </w:p>
        </w:tc>
        <w:tc>
          <w:tcPr>
            <w:tcW w:w="95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≥10000</w:t>
            </w:r>
          </w:p>
        </w:tc>
        <w:tc>
          <w:tcPr>
            <w:tcW w:w="99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且≥300</w:t>
            </w:r>
          </w:p>
        </w:tc>
        <w:tc>
          <w:tcPr>
            <w:tcW w:w="1134"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≥2000</w:t>
            </w:r>
          </w:p>
        </w:tc>
        <w:tc>
          <w:tcPr>
            <w:tcW w:w="992"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且≥100</w:t>
            </w:r>
          </w:p>
        </w:tc>
        <w:tc>
          <w:tcPr>
            <w:tcW w:w="1134"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9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≥100</w:t>
            </w:r>
          </w:p>
        </w:tc>
        <w:tc>
          <w:tcPr>
            <w:tcW w:w="992"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且≥10</w:t>
            </w:r>
          </w:p>
        </w:tc>
        <w:tc>
          <w:tcPr>
            <w:tcW w:w="114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8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＜100</w:t>
            </w:r>
          </w:p>
        </w:tc>
        <w:tc>
          <w:tcPr>
            <w:tcW w:w="1008"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或＜10</w:t>
            </w:r>
          </w:p>
        </w:tc>
        <w:tc>
          <w:tcPr>
            <w:tcW w:w="977"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90" w:type="dxa"/>
            <w:tcBorders>
              <w:top w:val="nil"/>
              <w:left w:val="single" w:color="auto" w:sz="4" w:space="0"/>
              <w:bottom w:val="single" w:color="auto" w:sz="4" w:space="0"/>
              <w:right w:val="single" w:color="auto" w:sz="4" w:space="0"/>
            </w:tcBorders>
            <w:vAlign w:val="center"/>
          </w:tcPr>
          <w:p>
            <w:pPr>
              <w:spacing w:line="276" w:lineRule="auto"/>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10</w:t>
            </w:r>
          </w:p>
        </w:tc>
        <w:tc>
          <w:tcPr>
            <w:tcW w:w="1954" w:type="dxa"/>
            <w:tcBorders>
              <w:top w:val="nil"/>
              <w:left w:val="nil"/>
              <w:bottom w:val="single" w:color="auto" w:sz="4" w:space="0"/>
              <w:right w:val="single" w:color="auto" w:sz="4" w:space="0"/>
            </w:tcBorders>
            <w:vAlign w:val="center"/>
          </w:tcPr>
          <w:p>
            <w:pPr>
              <w:spacing w:line="276" w:lineRule="auto"/>
              <w:ind w:left="-27" w:leftChars="-13" w:right="-65" w:rightChars="-31"/>
              <w:jc w:val="left"/>
              <w:rPr>
                <w:rFonts w:hint="eastAsia" w:ascii="宋体" w:hAnsi="宋体" w:eastAsia="宋体" w:cs="宋体"/>
                <w:kern w:val="0"/>
                <w:szCs w:val="21"/>
              </w:rPr>
            </w:pPr>
            <w:r>
              <w:rPr>
                <w:rFonts w:hint="eastAsia" w:ascii="宋体" w:hAnsi="宋体" w:eastAsia="宋体" w:cs="宋体"/>
                <w:kern w:val="0"/>
                <w:szCs w:val="21"/>
              </w:rPr>
              <w:t>餐饮业</w:t>
            </w:r>
          </w:p>
        </w:tc>
        <w:tc>
          <w:tcPr>
            <w:tcW w:w="95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≥10000</w:t>
            </w:r>
          </w:p>
        </w:tc>
        <w:tc>
          <w:tcPr>
            <w:tcW w:w="99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且≥300</w:t>
            </w:r>
          </w:p>
        </w:tc>
        <w:tc>
          <w:tcPr>
            <w:tcW w:w="1134"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≥2000</w:t>
            </w:r>
          </w:p>
        </w:tc>
        <w:tc>
          <w:tcPr>
            <w:tcW w:w="992"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且≥100</w:t>
            </w:r>
          </w:p>
        </w:tc>
        <w:tc>
          <w:tcPr>
            <w:tcW w:w="1134"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9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≥100</w:t>
            </w:r>
          </w:p>
        </w:tc>
        <w:tc>
          <w:tcPr>
            <w:tcW w:w="992"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且≥10</w:t>
            </w:r>
          </w:p>
        </w:tc>
        <w:tc>
          <w:tcPr>
            <w:tcW w:w="114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8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＜100</w:t>
            </w:r>
          </w:p>
        </w:tc>
        <w:tc>
          <w:tcPr>
            <w:tcW w:w="1008"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或＜10</w:t>
            </w:r>
          </w:p>
        </w:tc>
        <w:tc>
          <w:tcPr>
            <w:tcW w:w="977"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90" w:type="dxa"/>
            <w:tcBorders>
              <w:top w:val="nil"/>
              <w:left w:val="single" w:color="auto" w:sz="4" w:space="0"/>
              <w:bottom w:val="single" w:color="auto" w:sz="4" w:space="0"/>
              <w:right w:val="single" w:color="auto" w:sz="4" w:space="0"/>
            </w:tcBorders>
            <w:vAlign w:val="center"/>
          </w:tcPr>
          <w:p>
            <w:pPr>
              <w:spacing w:line="276" w:lineRule="auto"/>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11</w:t>
            </w:r>
          </w:p>
        </w:tc>
        <w:tc>
          <w:tcPr>
            <w:tcW w:w="1954" w:type="dxa"/>
            <w:tcBorders>
              <w:top w:val="nil"/>
              <w:left w:val="nil"/>
              <w:bottom w:val="single" w:color="auto" w:sz="4" w:space="0"/>
              <w:right w:val="single" w:color="auto" w:sz="4" w:space="0"/>
            </w:tcBorders>
            <w:vAlign w:val="center"/>
          </w:tcPr>
          <w:p>
            <w:pPr>
              <w:spacing w:line="276" w:lineRule="auto"/>
              <w:ind w:left="-27" w:leftChars="-13" w:right="-65" w:rightChars="-31"/>
              <w:jc w:val="left"/>
              <w:rPr>
                <w:rFonts w:hint="eastAsia" w:ascii="宋体" w:hAnsi="宋体" w:eastAsia="宋体" w:cs="宋体"/>
                <w:kern w:val="0"/>
                <w:szCs w:val="21"/>
              </w:rPr>
            </w:pPr>
            <w:r>
              <w:rPr>
                <w:rFonts w:hint="eastAsia" w:ascii="宋体" w:hAnsi="宋体" w:eastAsia="宋体" w:cs="宋体"/>
                <w:kern w:val="0"/>
                <w:szCs w:val="21"/>
              </w:rPr>
              <w:t>信息传输业</w:t>
            </w:r>
          </w:p>
        </w:tc>
        <w:tc>
          <w:tcPr>
            <w:tcW w:w="95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≥100000</w:t>
            </w:r>
          </w:p>
        </w:tc>
        <w:tc>
          <w:tcPr>
            <w:tcW w:w="99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且≥2000</w:t>
            </w:r>
          </w:p>
        </w:tc>
        <w:tc>
          <w:tcPr>
            <w:tcW w:w="1134"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≥1000</w:t>
            </w:r>
          </w:p>
        </w:tc>
        <w:tc>
          <w:tcPr>
            <w:tcW w:w="992"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且≥100</w:t>
            </w:r>
          </w:p>
        </w:tc>
        <w:tc>
          <w:tcPr>
            <w:tcW w:w="1134"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9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≥100</w:t>
            </w:r>
          </w:p>
        </w:tc>
        <w:tc>
          <w:tcPr>
            <w:tcW w:w="992"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且≥10</w:t>
            </w:r>
          </w:p>
        </w:tc>
        <w:tc>
          <w:tcPr>
            <w:tcW w:w="114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8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＜100</w:t>
            </w:r>
          </w:p>
        </w:tc>
        <w:tc>
          <w:tcPr>
            <w:tcW w:w="1008"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或＜10</w:t>
            </w:r>
          </w:p>
        </w:tc>
        <w:tc>
          <w:tcPr>
            <w:tcW w:w="977"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90" w:type="dxa"/>
            <w:tcBorders>
              <w:top w:val="nil"/>
              <w:left w:val="single" w:color="auto" w:sz="4" w:space="0"/>
              <w:bottom w:val="single" w:color="auto" w:sz="4" w:space="0"/>
              <w:right w:val="single" w:color="auto" w:sz="4" w:space="0"/>
            </w:tcBorders>
            <w:vAlign w:val="center"/>
          </w:tcPr>
          <w:p>
            <w:pPr>
              <w:spacing w:line="276" w:lineRule="auto"/>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12</w:t>
            </w:r>
          </w:p>
        </w:tc>
        <w:tc>
          <w:tcPr>
            <w:tcW w:w="1954" w:type="dxa"/>
            <w:tcBorders>
              <w:top w:val="nil"/>
              <w:left w:val="nil"/>
              <w:bottom w:val="single" w:color="auto" w:sz="4" w:space="0"/>
              <w:right w:val="single" w:color="auto" w:sz="4" w:space="0"/>
            </w:tcBorders>
            <w:vAlign w:val="center"/>
          </w:tcPr>
          <w:p>
            <w:pPr>
              <w:spacing w:line="276" w:lineRule="auto"/>
              <w:ind w:left="-27" w:leftChars="-13" w:right="-65" w:rightChars="-31"/>
              <w:jc w:val="left"/>
              <w:rPr>
                <w:rFonts w:hint="eastAsia" w:ascii="宋体" w:hAnsi="宋体" w:eastAsia="宋体" w:cs="宋体"/>
                <w:kern w:val="0"/>
                <w:szCs w:val="21"/>
              </w:rPr>
            </w:pPr>
            <w:r>
              <w:rPr>
                <w:rFonts w:hint="eastAsia" w:ascii="宋体" w:hAnsi="宋体" w:eastAsia="宋体" w:cs="宋体"/>
                <w:kern w:val="0"/>
                <w:szCs w:val="21"/>
              </w:rPr>
              <w:t>软件和信息技术服务业</w:t>
            </w:r>
          </w:p>
        </w:tc>
        <w:tc>
          <w:tcPr>
            <w:tcW w:w="95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≥10000</w:t>
            </w:r>
          </w:p>
        </w:tc>
        <w:tc>
          <w:tcPr>
            <w:tcW w:w="99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且≥300</w:t>
            </w:r>
          </w:p>
        </w:tc>
        <w:tc>
          <w:tcPr>
            <w:tcW w:w="1134"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≥1000</w:t>
            </w:r>
          </w:p>
        </w:tc>
        <w:tc>
          <w:tcPr>
            <w:tcW w:w="992"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且≥100</w:t>
            </w:r>
          </w:p>
        </w:tc>
        <w:tc>
          <w:tcPr>
            <w:tcW w:w="1134"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9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≥50</w:t>
            </w:r>
          </w:p>
        </w:tc>
        <w:tc>
          <w:tcPr>
            <w:tcW w:w="992"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且≥10</w:t>
            </w:r>
          </w:p>
        </w:tc>
        <w:tc>
          <w:tcPr>
            <w:tcW w:w="114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8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＜50</w:t>
            </w:r>
          </w:p>
        </w:tc>
        <w:tc>
          <w:tcPr>
            <w:tcW w:w="1008"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或＜10</w:t>
            </w:r>
          </w:p>
        </w:tc>
        <w:tc>
          <w:tcPr>
            <w:tcW w:w="977"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90" w:type="dxa"/>
            <w:tcBorders>
              <w:top w:val="nil"/>
              <w:left w:val="single" w:color="auto" w:sz="4" w:space="0"/>
              <w:bottom w:val="single" w:color="auto" w:sz="4" w:space="0"/>
              <w:right w:val="single" w:color="auto" w:sz="4" w:space="0"/>
            </w:tcBorders>
            <w:vAlign w:val="center"/>
          </w:tcPr>
          <w:p>
            <w:pPr>
              <w:spacing w:line="276" w:lineRule="auto"/>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13</w:t>
            </w:r>
          </w:p>
        </w:tc>
        <w:tc>
          <w:tcPr>
            <w:tcW w:w="1954" w:type="dxa"/>
            <w:tcBorders>
              <w:top w:val="nil"/>
              <w:left w:val="nil"/>
              <w:bottom w:val="single" w:color="auto" w:sz="4" w:space="0"/>
              <w:right w:val="single" w:color="auto" w:sz="4" w:space="0"/>
            </w:tcBorders>
            <w:vAlign w:val="center"/>
          </w:tcPr>
          <w:p>
            <w:pPr>
              <w:spacing w:line="276" w:lineRule="auto"/>
              <w:ind w:left="-27" w:leftChars="-13" w:right="-65" w:rightChars="-31"/>
              <w:jc w:val="left"/>
              <w:rPr>
                <w:rFonts w:hint="eastAsia" w:ascii="宋体" w:hAnsi="宋体" w:eastAsia="宋体" w:cs="宋体"/>
                <w:kern w:val="0"/>
                <w:szCs w:val="21"/>
              </w:rPr>
            </w:pPr>
            <w:r>
              <w:rPr>
                <w:rFonts w:hint="eastAsia" w:ascii="宋体" w:hAnsi="宋体" w:eastAsia="宋体" w:cs="宋体"/>
                <w:kern w:val="0"/>
                <w:szCs w:val="21"/>
              </w:rPr>
              <w:t>房地产开发经营</w:t>
            </w:r>
          </w:p>
        </w:tc>
        <w:tc>
          <w:tcPr>
            <w:tcW w:w="95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≥200000</w:t>
            </w:r>
          </w:p>
        </w:tc>
        <w:tc>
          <w:tcPr>
            <w:tcW w:w="99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1134"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且≥10000</w:t>
            </w:r>
          </w:p>
        </w:tc>
        <w:tc>
          <w:tcPr>
            <w:tcW w:w="850"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≥1000</w:t>
            </w:r>
          </w:p>
        </w:tc>
        <w:tc>
          <w:tcPr>
            <w:tcW w:w="992"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1134"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且≥5000</w:t>
            </w:r>
          </w:p>
        </w:tc>
        <w:tc>
          <w:tcPr>
            <w:tcW w:w="99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≥100</w:t>
            </w:r>
          </w:p>
        </w:tc>
        <w:tc>
          <w:tcPr>
            <w:tcW w:w="992"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114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且≥2000</w:t>
            </w:r>
          </w:p>
        </w:tc>
        <w:tc>
          <w:tcPr>
            <w:tcW w:w="98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＜100</w:t>
            </w:r>
          </w:p>
        </w:tc>
        <w:tc>
          <w:tcPr>
            <w:tcW w:w="1008"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77"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或＜2000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90" w:type="dxa"/>
            <w:tcBorders>
              <w:top w:val="nil"/>
              <w:left w:val="single" w:color="auto" w:sz="4" w:space="0"/>
              <w:bottom w:val="single" w:color="auto" w:sz="4" w:space="0"/>
              <w:right w:val="single" w:color="auto" w:sz="4" w:space="0"/>
            </w:tcBorders>
            <w:vAlign w:val="center"/>
          </w:tcPr>
          <w:p>
            <w:pPr>
              <w:spacing w:line="276" w:lineRule="auto"/>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14</w:t>
            </w:r>
          </w:p>
        </w:tc>
        <w:tc>
          <w:tcPr>
            <w:tcW w:w="1954" w:type="dxa"/>
            <w:tcBorders>
              <w:top w:val="nil"/>
              <w:left w:val="nil"/>
              <w:bottom w:val="single" w:color="auto" w:sz="4" w:space="0"/>
              <w:right w:val="single" w:color="auto" w:sz="4" w:space="0"/>
            </w:tcBorders>
            <w:vAlign w:val="center"/>
          </w:tcPr>
          <w:p>
            <w:pPr>
              <w:spacing w:line="276" w:lineRule="auto"/>
              <w:ind w:left="-27" w:leftChars="-13" w:right="-65" w:rightChars="-31"/>
              <w:jc w:val="left"/>
              <w:rPr>
                <w:rFonts w:hint="eastAsia" w:ascii="宋体" w:hAnsi="宋体" w:eastAsia="宋体" w:cs="宋体"/>
                <w:kern w:val="0"/>
                <w:szCs w:val="21"/>
              </w:rPr>
            </w:pPr>
            <w:r>
              <w:rPr>
                <w:rFonts w:hint="eastAsia" w:ascii="宋体" w:hAnsi="宋体" w:eastAsia="宋体" w:cs="宋体"/>
                <w:kern w:val="0"/>
                <w:szCs w:val="21"/>
              </w:rPr>
              <w:t>物业管理</w:t>
            </w:r>
          </w:p>
        </w:tc>
        <w:tc>
          <w:tcPr>
            <w:tcW w:w="95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≥5000</w:t>
            </w:r>
          </w:p>
        </w:tc>
        <w:tc>
          <w:tcPr>
            <w:tcW w:w="99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且≥1000</w:t>
            </w:r>
          </w:p>
        </w:tc>
        <w:tc>
          <w:tcPr>
            <w:tcW w:w="1134"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≥1000</w:t>
            </w:r>
          </w:p>
        </w:tc>
        <w:tc>
          <w:tcPr>
            <w:tcW w:w="992"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且≥300</w:t>
            </w:r>
          </w:p>
        </w:tc>
        <w:tc>
          <w:tcPr>
            <w:tcW w:w="1134"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9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≥500</w:t>
            </w:r>
          </w:p>
        </w:tc>
        <w:tc>
          <w:tcPr>
            <w:tcW w:w="992"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且≥100</w:t>
            </w:r>
          </w:p>
        </w:tc>
        <w:tc>
          <w:tcPr>
            <w:tcW w:w="114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8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＜500</w:t>
            </w:r>
          </w:p>
        </w:tc>
        <w:tc>
          <w:tcPr>
            <w:tcW w:w="1008"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或＜100</w:t>
            </w:r>
          </w:p>
        </w:tc>
        <w:tc>
          <w:tcPr>
            <w:tcW w:w="977"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90" w:type="dxa"/>
            <w:tcBorders>
              <w:top w:val="nil"/>
              <w:left w:val="single" w:color="auto" w:sz="4" w:space="0"/>
              <w:bottom w:val="single" w:color="auto" w:sz="4" w:space="0"/>
              <w:right w:val="single" w:color="auto" w:sz="4" w:space="0"/>
            </w:tcBorders>
            <w:vAlign w:val="center"/>
          </w:tcPr>
          <w:p>
            <w:pPr>
              <w:spacing w:line="276" w:lineRule="auto"/>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15</w:t>
            </w:r>
          </w:p>
        </w:tc>
        <w:tc>
          <w:tcPr>
            <w:tcW w:w="1954" w:type="dxa"/>
            <w:tcBorders>
              <w:top w:val="nil"/>
              <w:left w:val="nil"/>
              <w:bottom w:val="single" w:color="auto" w:sz="4" w:space="0"/>
              <w:right w:val="single" w:color="auto" w:sz="4" w:space="0"/>
            </w:tcBorders>
            <w:vAlign w:val="center"/>
          </w:tcPr>
          <w:p>
            <w:pPr>
              <w:spacing w:line="276" w:lineRule="auto"/>
              <w:ind w:left="-27" w:leftChars="-13" w:right="-65" w:rightChars="-31"/>
              <w:jc w:val="left"/>
              <w:rPr>
                <w:rFonts w:hint="eastAsia" w:ascii="宋体" w:hAnsi="宋体" w:eastAsia="宋体" w:cs="宋体"/>
                <w:kern w:val="0"/>
                <w:szCs w:val="21"/>
              </w:rPr>
            </w:pPr>
            <w:r>
              <w:rPr>
                <w:rFonts w:hint="eastAsia" w:ascii="宋体" w:hAnsi="宋体" w:eastAsia="宋体" w:cs="宋体"/>
                <w:kern w:val="0"/>
                <w:szCs w:val="21"/>
              </w:rPr>
              <w:t>租赁和商务服务业</w:t>
            </w:r>
          </w:p>
        </w:tc>
        <w:tc>
          <w:tcPr>
            <w:tcW w:w="95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99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≥300</w:t>
            </w:r>
          </w:p>
        </w:tc>
        <w:tc>
          <w:tcPr>
            <w:tcW w:w="1134"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且≥120000</w:t>
            </w:r>
          </w:p>
        </w:tc>
        <w:tc>
          <w:tcPr>
            <w:tcW w:w="850"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992"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≥100</w:t>
            </w:r>
          </w:p>
        </w:tc>
        <w:tc>
          <w:tcPr>
            <w:tcW w:w="1134"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且≥8000</w:t>
            </w:r>
          </w:p>
        </w:tc>
        <w:tc>
          <w:tcPr>
            <w:tcW w:w="99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92"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w:t>
            </w:r>
          </w:p>
        </w:tc>
        <w:tc>
          <w:tcPr>
            <w:tcW w:w="114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且≥100</w:t>
            </w:r>
          </w:p>
        </w:tc>
        <w:tc>
          <w:tcPr>
            <w:tcW w:w="98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1008"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w:t>
            </w:r>
          </w:p>
        </w:tc>
        <w:tc>
          <w:tcPr>
            <w:tcW w:w="977"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或＜100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90" w:type="dxa"/>
            <w:tcBorders>
              <w:top w:val="nil"/>
              <w:left w:val="single" w:color="auto" w:sz="4" w:space="0"/>
              <w:bottom w:val="single" w:color="auto" w:sz="4" w:space="0"/>
              <w:right w:val="single" w:color="auto" w:sz="4" w:space="0"/>
            </w:tcBorders>
            <w:vAlign w:val="center"/>
          </w:tcPr>
          <w:p>
            <w:pPr>
              <w:spacing w:line="276" w:lineRule="auto"/>
              <w:ind w:left="-107" w:leftChars="-51" w:right="-107" w:rightChars="-51"/>
              <w:jc w:val="center"/>
              <w:rPr>
                <w:rFonts w:hint="eastAsia" w:ascii="宋体" w:hAnsi="宋体" w:eastAsia="宋体" w:cs="宋体"/>
                <w:kern w:val="0"/>
                <w:szCs w:val="21"/>
              </w:rPr>
            </w:pPr>
            <w:r>
              <w:rPr>
                <w:rFonts w:hint="eastAsia" w:ascii="宋体" w:hAnsi="宋体" w:eastAsia="宋体" w:cs="宋体"/>
                <w:kern w:val="0"/>
                <w:szCs w:val="21"/>
              </w:rPr>
              <w:t>16</w:t>
            </w:r>
          </w:p>
        </w:tc>
        <w:tc>
          <w:tcPr>
            <w:tcW w:w="1954" w:type="dxa"/>
            <w:tcBorders>
              <w:top w:val="nil"/>
              <w:left w:val="nil"/>
              <w:bottom w:val="single" w:color="auto" w:sz="4" w:space="0"/>
              <w:right w:val="single" w:color="auto" w:sz="4" w:space="0"/>
            </w:tcBorders>
            <w:vAlign w:val="center"/>
          </w:tcPr>
          <w:p>
            <w:pPr>
              <w:spacing w:line="276" w:lineRule="auto"/>
              <w:ind w:left="-27" w:leftChars="-13" w:right="-65" w:rightChars="-31"/>
              <w:jc w:val="left"/>
              <w:rPr>
                <w:rFonts w:hint="eastAsia" w:ascii="宋体" w:hAnsi="宋体" w:eastAsia="宋体" w:cs="宋体"/>
                <w:kern w:val="0"/>
                <w:szCs w:val="21"/>
              </w:rPr>
            </w:pPr>
            <w:r>
              <w:rPr>
                <w:rFonts w:hint="eastAsia" w:ascii="宋体" w:hAnsi="宋体" w:eastAsia="宋体" w:cs="宋体"/>
                <w:kern w:val="0"/>
                <w:szCs w:val="21"/>
              </w:rPr>
              <w:t>其他未列明行业</w:t>
            </w:r>
          </w:p>
        </w:tc>
        <w:tc>
          <w:tcPr>
            <w:tcW w:w="95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993"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≥300</w:t>
            </w:r>
          </w:p>
        </w:tc>
        <w:tc>
          <w:tcPr>
            <w:tcW w:w="1134"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　</w:t>
            </w:r>
          </w:p>
        </w:tc>
        <w:tc>
          <w:tcPr>
            <w:tcW w:w="992" w:type="dxa"/>
            <w:tcBorders>
              <w:top w:val="nil"/>
              <w:left w:val="nil"/>
              <w:bottom w:val="single" w:color="auto" w:sz="4" w:space="0"/>
              <w:right w:val="single" w:color="auto" w:sz="4" w:space="0"/>
            </w:tcBorders>
            <w:vAlign w:val="center"/>
          </w:tcPr>
          <w:p>
            <w:pPr>
              <w:spacing w:line="276" w:lineRule="auto"/>
              <w:ind w:left="-107" w:leftChars="-51" w:right="-107" w:rightChars="-51"/>
              <w:jc w:val="left"/>
              <w:rPr>
                <w:rFonts w:hint="eastAsia" w:ascii="宋体" w:hAnsi="宋体" w:eastAsia="宋体" w:cs="宋体"/>
                <w:kern w:val="0"/>
                <w:szCs w:val="21"/>
              </w:rPr>
            </w:pPr>
            <w:r>
              <w:rPr>
                <w:rFonts w:hint="eastAsia" w:ascii="宋体" w:hAnsi="宋体" w:eastAsia="宋体" w:cs="宋体"/>
                <w:kern w:val="0"/>
                <w:szCs w:val="21"/>
              </w:rPr>
              <w:t>≥100</w:t>
            </w:r>
          </w:p>
        </w:tc>
        <w:tc>
          <w:tcPr>
            <w:tcW w:w="1134"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9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92"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w:t>
            </w:r>
          </w:p>
        </w:tc>
        <w:tc>
          <w:tcPr>
            <w:tcW w:w="114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983"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c>
          <w:tcPr>
            <w:tcW w:w="1008"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＜10</w:t>
            </w:r>
          </w:p>
        </w:tc>
        <w:tc>
          <w:tcPr>
            <w:tcW w:w="977" w:type="dxa"/>
            <w:tcBorders>
              <w:top w:val="nil"/>
              <w:left w:val="nil"/>
              <w:bottom w:val="single" w:color="auto" w:sz="4" w:space="0"/>
              <w:right w:val="single" w:color="auto" w:sz="4" w:space="0"/>
            </w:tcBorders>
            <w:vAlign w:val="center"/>
          </w:tcPr>
          <w:p>
            <w:pPr>
              <w:spacing w:line="276" w:lineRule="auto"/>
              <w:jc w:val="left"/>
              <w:rPr>
                <w:rFonts w:hint="eastAsia" w:ascii="宋体" w:hAnsi="宋体" w:eastAsia="宋体" w:cs="宋体"/>
                <w:kern w:val="0"/>
                <w:szCs w:val="21"/>
              </w:rPr>
            </w:pPr>
            <w:r>
              <w:rPr>
                <w:rFonts w:hint="eastAsia" w:ascii="宋体" w:hAnsi="宋体" w:eastAsia="宋体" w:cs="宋体"/>
                <w:kern w:val="0"/>
                <w:szCs w:val="21"/>
              </w:rPr>
              <w:t>　</w:t>
            </w:r>
          </w:p>
        </w:tc>
      </w:tr>
    </w:tbl>
    <w:p>
      <w:pPr>
        <w:spacing w:line="276" w:lineRule="auto"/>
        <w:jc w:val="left"/>
        <w:rPr>
          <w:rFonts w:hint="eastAsia" w:ascii="宋体" w:hAnsi="宋体" w:eastAsia="宋体" w:cs="宋体"/>
          <w:kern w:val="0"/>
          <w:szCs w:val="21"/>
        </w:rPr>
        <w:sectPr>
          <w:pgSz w:w="16838" w:h="11906" w:orient="landscape"/>
          <w:pgMar w:top="1191" w:right="1134" w:bottom="1191" w:left="1134" w:header="851" w:footer="851" w:gutter="0"/>
          <w:cols w:space="720" w:num="1"/>
          <w:docGrid w:type="lines" w:linePitch="312" w:charSpace="0"/>
        </w:sectPr>
      </w:pPr>
    </w:p>
    <w:p>
      <w:pPr>
        <w:spacing w:line="276" w:lineRule="auto"/>
        <w:outlineLvl w:val="4"/>
        <w:rPr>
          <w:rFonts w:hint="eastAsia" w:ascii="宋体" w:hAnsi="宋体" w:eastAsia="宋体" w:cs="宋体"/>
          <w:szCs w:val="21"/>
        </w:rPr>
      </w:pPr>
      <w:bookmarkStart w:id="120" w:name="_Toc494665954"/>
      <w:bookmarkStart w:id="121" w:name="_Toc494665557"/>
      <w:bookmarkStart w:id="122" w:name="_Toc494745321"/>
      <w:bookmarkStart w:id="123" w:name="_Toc494665004"/>
      <w:bookmarkStart w:id="124" w:name="_Toc494702274"/>
      <w:bookmarkStart w:id="125" w:name="_Toc494721104"/>
      <w:r>
        <w:rPr>
          <w:rFonts w:hint="eastAsia" w:ascii="宋体" w:hAnsi="宋体" w:eastAsia="宋体" w:cs="宋体"/>
          <w:szCs w:val="21"/>
        </w:rPr>
        <w:t>附件四：部分资格材料格式要求——残疾人福利性单位声明函</w:t>
      </w:r>
      <w:bookmarkEnd w:id="120"/>
      <w:bookmarkEnd w:id="121"/>
      <w:bookmarkEnd w:id="122"/>
      <w:bookmarkEnd w:id="123"/>
      <w:bookmarkEnd w:id="124"/>
      <w:bookmarkEnd w:id="125"/>
      <w:r>
        <w:rPr>
          <w:rFonts w:hint="eastAsia" w:ascii="宋体" w:hAnsi="宋体" w:eastAsia="宋体" w:cs="宋体"/>
          <w:szCs w:val="21"/>
        </w:rPr>
        <w:t>（货物）（</w:t>
      </w:r>
      <w:r>
        <w:rPr>
          <w:rFonts w:hint="eastAsia" w:ascii="宋体" w:hAnsi="宋体" w:eastAsia="宋体" w:cs="宋体"/>
          <w:i/>
          <w:color w:val="FF0000"/>
          <w:szCs w:val="21"/>
        </w:rPr>
        <w:t>非此类企业则无需提供</w:t>
      </w:r>
      <w:r>
        <w:rPr>
          <w:rFonts w:hint="eastAsia" w:ascii="宋体" w:hAnsi="宋体" w:eastAsia="宋体" w:cs="宋体"/>
          <w:szCs w:val="21"/>
        </w:rPr>
        <w:t>）</w:t>
      </w:r>
    </w:p>
    <w:p>
      <w:pPr>
        <w:spacing w:line="276" w:lineRule="auto"/>
        <w:jc w:val="center"/>
        <w:rPr>
          <w:rFonts w:hint="eastAsia" w:ascii="宋体" w:hAnsi="宋体" w:eastAsia="宋体" w:cs="宋体"/>
          <w:b/>
          <w:szCs w:val="21"/>
        </w:rPr>
      </w:pPr>
      <w:r>
        <w:rPr>
          <w:rFonts w:hint="eastAsia" w:ascii="宋体" w:hAnsi="宋体" w:eastAsia="宋体" w:cs="宋体"/>
          <w:b/>
          <w:szCs w:val="21"/>
        </w:rPr>
        <w:t>残疾人福利性单位声明函（货物）</w:t>
      </w:r>
    </w:p>
    <w:p>
      <w:pPr>
        <w:spacing w:line="276" w:lineRule="auto"/>
        <w:jc w:val="center"/>
        <w:rPr>
          <w:rFonts w:hint="eastAsia" w:ascii="宋体" w:hAnsi="宋体" w:eastAsia="宋体" w:cs="宋体"/>
          <w:b/>
          <w:szCs w:val="21"/>
        </w:rPr>
      </w:pPr>
    </w:p>
    <w:p>
      <w:pPr>
        <w:spacing w:line="276" w:lineRule="auto"/>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DOCVARIABLE 招标机构名称 </w:instrText>
      </w:r>
      <w:r>
        <w:rPr>
          <w:rFonts w:hint="eastAsia" w:ascii="宋体" w:hAnsi="宋体" w:eastAsia="宋体" w:cs="宋体"/>
          <w:szCs w:val="21"/>
        </w:rPr>
        <w:fldChar w:fldCharType="separate"/>
      </w:r>
      <w:r>
        <w:rPr>
          <w:rFonts w:hint="eastAsia" w:ascii="宋体" w:hAnsi="宋体" w:eastAsia="宋体" w:cs="宋体"/>
          <w:szCs w:val="21"/>
        </w:rPr>
        <w:t>湖北国华项目管理咨询有限公司</w:t>
      </w:r>
      <w:r>
        <w:rPr>
          <w:rFonts w:hint="eastAsia" w:ascii="宋体" w:hAnsi="宋体" w:eastAsia="宋体" w:cs="宋体"/>
          <w:szCs w:val="21"/>
        </w:rPr>
        <w:fldChar w:fldCharType="end"/>
      </w:r>
      <w:r>
        <w:rPr>
          <w:rFonts w:hint="eastAsia" w:ascii="宋体" w:hAnsi="宋体" w:eastAsia="宋体" w:cs="宋体"/>
          <w:szCs w:val="21"/>
        </w:rPr>
        <w:t>：</w:t>
      </w:r>
    </w:p>
    <w:p>
      <w:pPr>
        <w:spacing w:line="276" w:lineRule="auto"/>
        <w:ind w:firstLine="415" w:firstLineChars="198"/>
        <w:jc w:val="left"/>
        <w:rPr>
          <w:rFonts w:hint="eastAsia" w:ascii="宋体" w:hAnsi="宋体" w:eastAsia="宋体" w:cs="宋体"/>
          <w:szCs w:val="21"/>
        </w:rPr>
      </w:pPr>
      <w:r>
        <w:rPr>
          <w:rFonts w:hint="eastAsia" w:ascii="宋体" w:hAnsi="宋体" w:eastAsia="宋体" w:cs="宋体"/>
          <w:szCs w:val="21"/>
        </w:rPr>
        <w:t>本单位（联合体）郑重声明，根据《财政部 民政部 中国残疾人联合会关于促进残疾人就业政府采购政策的通知》（财库〔2017〕141号）的规定，本</w:t>
      </w:r>
      <w:r>
        <w:rPr>
          <w:rFonts w:hint="eastAsia" w:ascii="宋体" w:hAnsi="宋体" w:eastAsia="宋体" w:cs="宋体"/>
          <w:color w:val="0C0C0C"/>
          <w:szCs w:val="21"/>
        </w:rPr>
        <w:t>单位为符合条件的残疾人福利性单位（详见“残疾人福利性单位应当满足的条件”）。</w:t>
      </w:r>
    </w:p>
    <w:p>
      <w:pPr>
        <w:spacing w:line="276" w:lineRule="auto"/>
        <w:ind w:firstLine="415" w:firstLineChars="198"/>
        <w:jc w:val="left"/>
        <w:rPr>
          <w:rFonts w:hint="eastAsia" w:ascii="宋体" w:hAnsi="宋体" w:eastAsia="宋体" w:cs="宋体"/>
          <w:szCs w:val="21"/>
        </w:rPr>
      </w:pPr>
      <w:r>
        <w:rPr>
          <w:rFonts w:hint="eastAsia" w:ascii="宋体" w:hAnsi="宋体" w:eastAsia="宋体" w:cs="宋体"/>
          <w:szCs w:val="21"/>
        </w:rPr>
        <w:t>本单位（联合体）参加______单位（采购人名称）的______项目（项目编号/标段编号：_____）采购活动，提供的货物全部由符合政策要求的残疾人福利性单位制造。（不包括使用非残疾人福利性单位注册商标的货物，不包括使用大型企业注册商标的货物），具体情况如下：</w:t>
      </w:r>
    </w:p>
    <w:p>
      <w:pPr>
        <w:spacing w:line="360" w:lineRule="auto"/>
        <w:ind w:firstLine="42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u w:val="single"/>
        </w:rPr>
        <w:t xml:space="preserve"> （标的名称） </w:t>
      </w:r>
      <w:r>
        <w:rPr>
          <w:rFonts w:hint="eastAsia" w:ascii="宋体" w:hAnsi="宋体" w:eastAsia="宋体" w:cs="宋体"/>
          <w:szCs w:val="21"/>
        </w:rPr>
        <w:t xml:space="preserve">，制造商为 </w:t>
      </w:r>
      <w:r>
        <w:rPr>
          <w:rFonts w:hint="eastAsia" w:ascii="宋体" w:hAnsi="宋体" w:eastAsia="宋体" w:cs="宋体"/>
          <w:szCs w:val="21"/>
          <w:u w:val="single"/>
        </w:rPr>
        <w:t xml:space="preserve">（企业名称） </w:t>
      </w:r>
      <w:r>
        <w:rPr>
          <w:rFonts w:hint="eastAsia" w:ascii="宋体" w:hAnsi="宋体" w:eastAsia="宋体" w:cs="宋体"/>
          <w:szCs w:val="21"/>
        </w:rPr>
        <w:t>，属于</w:t>
      </w:r>
      <w:r>
        <w:rPr>
          <w:rFonts w:hint="eastAsia" w:ascii="宋体" w:hAnsi="宋体" w:eastAsia="宋体" w:cs="宋体"/>
          <w:szCs w:val="21"/>
          <w:u w:val="single"/>
        </w:rPr>
        <w:t xml:space="preserve"> （残疾人福利性单位） </w:t>
      </w:r>
      <w:r>
        <w:rPr>
          <w:rFonts w:hint="eastAsia" w:ascii="宋体" w:hAnsi="宋体" w:eastAsia="宋体" w:cs="宋体"/>
          <w:szCs w:val="21"/>
        </w:rPr>
        <w:t>；</w:t>
      </w:r>
    </w:p>
    <w:p>
      <w:pPr>
        <w:spacing w:line="360" w:lineRule="auto"/>
        <w:ind w:firstLine="420"/>
        <w:rPr>
          <w:rFonts w:hint="eastAsia" w:ascii="宋体" w:hAnsi="宋体" w:eastAsia="宋体" w:cs="宋体"/>
          <w:szCs w:val="21"/>
        </w:rPr>
      </w:pPr>
      <w:r>
        <w:rPr>
          <w:rFonts w:hint="eastAsia" w:ascii="宋体" w:hAnsi="宋体" w:eastAsia="宋体" w:cs="宋体"/>
          <w:szCs w:val="21"/>
        </w:rPr>
        <w:t xml:space="preserve">2. </w:t>
      </w:r>
      <w:r>
        <w:rPr>
          <w:rFonts w:hint="eastAsia" w:ascii="宋体" w:hAnsi="宋体" w:eastAsia="宋体" w:cs="宋体"/>
          <w:szCs w:val="21"/>
          <w:u w:val="single"/>
        </w:rPr>
        <w:t xml:space="preserve">（标的名称） </w:t>
      </w:r>
      <w:r>
        <w:rPr>
          <w:rFonts w:hint="eastAsia" w:ascii="宋体" w:hAnsi="宋体" w:eastAsia="宋体" w:cs="宋体"/>
          <w:szCs w:val="21"/>
        </w:rPr>
        <w:t xml:space="preserve">，制造商为 </w:t>
      </w:r>
      <w:r>
        <w:rPr>
          <w:rFonts w:hint="eastAsia" w:ascii="宋体" w:hAnsi="宋体" w:eastAsia="宋体" w:cs="宋体"/>
          <w:szCs w:val="21"/>
          <w:u w:val="single"/>
        </w:rPr>
        <w:t xml:space="preserve">（企业名称） </w:t>
      </w:r>
      <w:r>
        <w:rPr>
          <w:rFonts w:hint="eastAsia" w:ascii="宋体" w:hAnsi="宋体" w:eastAsia="宋体" w:cs="宋体"/>
          <w:szCs w:val="21"/>
        </w:rPr>
        <w:t>，属于</w:t>
      </w:r>
      <w:r>
        <w:rPr>
          <w:rFonts w:hint="eastAsia" w:ascii="宋体" w:hAnsi="宋体" w:eastAsia="宋体" w:cs="宋体"/>
          <w:szCs w:val="21"/>
          <w:u w:val="single"/>
        </w:rPr>
        <w:t xml:space="preserve"> （残疾人福利性单位） </w:t>
      </w:r>
      <w:r>
        <w:rPr>
          <w:rFonts w:hint="eastAsia" w:ascii="宋体" w:hAnsi="宋体" w:eastAsia="宋体" w:cs="宋体"/>
          <w:szCs w:val="21"/>
        </w:rPr>
        <w:t>；</w:t>
      </w:r>
    </w:p>
    <w:p>
      <w:pPr>
        <w:spacing w:line="360" w:lineRule="auto"/>
        <w:ind w:firstLine="420"/>
        <w:rPr>
          <w:rFonts w:hint="eastAsia" w:ascii="宋体" w:hAnsi="宋体" w:eastAsia="宋体" w:cs="宋体"/>
          <w:szCs w:val="21"/>
        </w:rPr>
      </w:pPr>
      <w:r>
        <w:rPr>
          <w:rFonts w:hint="eastAsia" w:ascii="宋体" w:hAnsi="宋体" w:eastAsia="宋体" w:cs="宋体"/>
          <w:szCs w:val="21"/>
        </w:rPr>
        <w:t>……</w:t>
      </w:r>
    </w:p>
    <w:tbl>
      <w:tblPr>
        <w:tblStyle w:val="2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072"/>
        <w:gridCol w:w="1566"/>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52" w:type="dxa"/>
            <w:tcBorders>
              <w:top w:val="single" w:color="auto" w:sz="4" w:space="0"/>
              <w:left w:val="single" w:color="auto" w:sz="4" w:space="0"/>
              <w:bottom w:val="single" w:color="auto" w:sz="4" w:space="0"/>
              <w:right w:val="single" w:color="auto" w:sz="4" w:space="0"/>
            </w:tcBorders>
            <w:vAlign w:val="center"/>
          </w:tcPr>
          <w:p>
            <w:pPr>
              <w:spacing w:line="276" w:lineRule="auto"/>
              <w:ind w:left="-23" w:leftChars="-11" w:right="-65" w:rightChars="-31"/>
              <w:jc w:val="center"/>
              <w:rPr>
                <w:rFonts w:hint="eastAsia" w:ascii="宋体" w:hAnsi="宋体" w:eastAsia="宋体" w:cs="宋体"/>
                <w:color w:val="0D0D0D"/>
                <w:kern w:val="0"/>
                <w:szCs w:val="21"/>
              </w:rPr>
            </w:pPr>
          </w:p>
        </w:tc>
        <w:tc>
          <w:tcPr>
            <w:tcW w:w="2072"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228"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tcBorders>
              <w:top w:val="single" w:color="auto" w:sz="4" w:space="0"/>
              <w:left w:val="single" w:color="auto" w:sz="4" w:space="0"/>
              <w:bottom w:val="single" w:color="auto" w:sz="4" w:space="0"/>
              <w:right w:val="single" w:color="auto" w:sz="4" w:space="0"/>
            </w:tcBorders>
            <w:vAlign w:val="center"/>
          </w:tcPr>
          <w:p>
            <w:pPr>
              <w:numPr>
                <w:ilvl w:val="0"/>
                <w:numId w:val="109"/>
              </w:numPr>
              <w:tabs>
                <w:tab w:val="left" w:pos="82"/>
              </w:tabs>
              <w:adjustRightInd w:val="0"/>
              <w:snapToGrid w:val="0"/>
              <w:spacing w:line="276" w:lineRule="auto"/>
              <w:jc w:val="center"/>
              <w:rPr>
                <w:rFonts w:hint="eastAsia" w:ascii="宋体" w:hAnsi="宋体" w:eastAsia="宋体" w:cs="宋体"/>
                <w:szCs w:val="21"/>
              </w:rPr>
            </w:pPr>
          </w:p>
        </w:tc>
        <w:tc>
          <w:tcPr>
            <w:tcW w:w="2072"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375" w:rightChars="-179"/>
              <w:jc w:val="center"/>
              <w:rPr>
                <w:rFonts w:hint="eastAsia" w:ascii="宋体" w:hAnsi="宋体" w:eastAsia="宋体" w:cs="宋体"/>
                <w:color w:val="0D0D0D"/>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1228"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tcBorders>
              <w:top w:val="single" w:color="auto" w:sz="4" w:space="0"/>
              <w:left w:val="single" w:color="auto" w:sz="4" w:space="0"/>
              <w:bottom w:val="single" w:color="auto" w:sz="4" w:space="0"/>
              <w:right w:val="single" w:color="auto" w:sz="4" w:space="0"/>
            </w:tcBorders>
            <w:vAlign w:val="center"/>
          </w:tcPr>
          <w:p>
            <w:pPr>
              <w:numPr>
                <w:ilvl w:val="0"/>
                <w:numId w:val="109"/>
              </w:numPr>
              <w:tabs>
                <w:tab w:val="left" w:pos="82"/>
              </w:tabs>
              <w:adjustRightInd w:val="0"/>
              <w:snapToGrid w:val="0"/>
              <w:spacing w:line="276" w:lineRule="auto"/>
              <w:ind w:left="-2" w:firstLine="2"/>
              <w:jc w:val="center"/>
              <w:rPr>
                <w:rFonts w:hint="eastAsia" w:ascii="宋体" w:hAnsi="宋体" w:eastAsia="宋体" w:cs="宋体"/>
                <w:szCs w:val="21"/>
              </w:rPr>
            </w:pPr>
          </w:p>
        </w:tc>
        <w:tc>
          <w:tcPr>
            <w:tcW w:w="2072"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1228"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52" w:type="dxa"/>
            <w:tcBorders>
              <w:top w:val="single" w:color="auto" w:sz="4" w:space="0"/>
              <w:left w:val="single" w:color="auto" w:sz="4" w:space="0"/>
              <w:bottom w:val="single" w:color="auto" w:sz="4" w:space="0"/>
              <w:right w:val="single" w:color="auto" w:sz="4" w:space="0"/>
            </w:tcBorders>
            <w:vAlign w:val="center"/>
          </w:tcPr>
          <w:p>
            <w:pPr>
              <w:tabs>
                <w:tab w:val="left" w:pos="82"/>
              </w:tabs>
              <w:adjustRightInd w:val="0"/>
              <w:snapToGrid w:val="0"/>
              <w:spacing w:line="276" w:lineRule="auto"/>
              <w:jc w:val="center"/>
              <w:rPr>
                <w:rFonts w:hint="eastAsia" w:ascii="宋体" w:hAnsi="宋体" w:eastAsia="宋体" w:cs="宋体"/>
                <w:szCs w:val="21"/>
              </w:rPr>
            </w:pPr>
          </w:p>
        </w:tc>
        <w:tc>
          <w:tcPr>
            <w:tcW w:w="2072"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1566"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c>
          <w:tcPr>
            <w:tcW w:w="1228" w:type="dxa"/>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475" w:type="dxa"/>
            <w:gridSpan w:val="5"/>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center"/>
              <w:rPr>
                <w:rFonts w:hint="eastAsia" w:ascii="宋体" w:hAnsi="宋体" w:eastAsia="宋体" w:cs="宋体"/>
                <w:color w:val="0D0D0D"/>
                <w:kern w:val="0"/>
                <w:szCs w:val="21"/>
              </w:rPr>
            </w:pPr>
          </w:p>
        </w:tc>
        <w:tc>
          <w:tcPr>
            <w:tcW w:w="3071"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ind w:left="-48" w:leftChars="-23" w:right="-65" w:rightChars="-31"/>
              <w:jc w:val="left"/>
              <w:rPr>
                <w:rFonts w:hint="eastAsia" w:ascii="宋体" w:hAnsi="宋体" w:eastAsia="宋体" w:cs="宋体"/>
                <w:color w:val="0D0D0D"/>
                <w:kern w:val="0"/>
                <w:szCs w:val="21"/>
              </w:rPr>
            </w:pPr>
          </w:p>
        </w:tc>
      </w:tr>
    </w:tbl>
    <w:p>
      <w:pPr>
        <w:spacing w:line="276" w:lineRule="auto"/>
        <w:ind w:firstLine="420"/>
        <w:rPr>
          <w:rFonts w:hint="eastAsia" w:ascii="宋体" w:hAnsi="宋体" w:eastAsia="宋体" w:cs="宋体"/>
          <w:szCs w:val="21"/>
        </w:rPr>
      </w:pPr>
      <w:r>
        <w:rPr>
          <w:rFonts w:hint="eastAsia" w:ascii="宋体" w:hAnsi="宋体" w:eastAsia="宋体" w:cs="宋体"/>
          <w:szCs w:val="21"/>
        </w:rPr>
        <w:t>本单位对上述声明的真实性负责。如有虚假，将依法承担相应责任。</w:t>
      </w:r>
    </w:p>
    <w:p>
      <w:pPr>
        <w:spacing w:line="276" w:lineRule="auto"/>
        <w:rPr>
          <w:rFonts w:hint="eastAsia" w:ascii="宋体" w:hAnsi="宋体" w:eastAsia="宋体" w:cs="宋体"/>
          <w:bCs/>
          <w:szCs w:val="21"/>
        </w:rPr>
      </w:pPr>
    </w:p>
    <w:p>
      <w:pPr>
        <w:snapToGrid w:val="0"/>
        <w:spacing w:line="276" w:lineRule="auto"/>
        <w:ind w:left="840" w:hanging="840" w:hangingChars="400"/>
        <w:jc w:val="left"/>
        <w:rPr>
          <w:rFonts w:hint="eastAsia" w:ascii="宋体" w:hAnsi="宋体" w:eastAsia="宋体" w:cs="宋体"/>
          <w:szCs w:val="21"/>
        </w:rPr>
      </w:pPr>
      <w:r>
        <w:rPr>
          <w:rFonts w:hint="eastAsia" w:ascii="宋体" w:hAnsi="宋体" w:eastAsia="宋体" w:cs="宋体"/>
          <w:bCs/>
          <w:szCs w:val="21"/>
        </w:rPr>
        <w:t>说明：</w:t>
      </w:r>
      <w:r>
        <w:rPr>
          <w:rFonts w:hint="eastAsia" w:ascii="宋体" w:hAnsi="宋体" w:eastAsia="宋体" w:cs="宋体"/>
          <w:color w:val="0C0C0C"/>
          <w:szCs w:val="21"/>
        </w:rPr>
        <w:t>1</w:t>
      </w:r>
      <w:r>
        <w:rPr>
          <w:rFonts w:hint="eastAsia" w:ascii="宋体" w:hAnsi="宋体" w:eastAsia="宋体" w:cs="宋体"/>
          <w:szCs w:val="21"/>
        </w:rPr>
        <w:t>、组成联合体的大中型企业和其他自然人、法人或者其他组织，与残疾人福利性单位之间不得存在投资关系。</w:t>
      </w:r>
    </w:p>
    <w:p>
      <w:pPr>
        <w:snapToGrid w:val="0"/>
        <w:spacing w:line="276" w:lineRule="auto"/>
        <w:ind w:left="1033" w:leftChars="342" w:hanging="315" w:hangingChars="150"/>
        <w:jc w:val="left"/>
        <w:rPr>
          <w:rFonts w:hint="eastAsia" w:ascii="宋体" w:hAnsi="宋体" w:eastAsia="宋体" w:cs="宋体"/>
          <w:szCs w:val="21"/>
        </w:rPr>
      </w:pPr>
      <w:r>
        <w:rPr>
          <w:rFonts w:hint="eastAsia" w:ascii="宋体" w:hAnsi="宋体" w:eastAsia="宋体" w:cs="宋体"/>
          <w:szCs w:val="21"/>
        </w:rPr>
        <w:t>2、如以联合体方式参与本项目投标，则应由联合体各方盖章。</w:t>
      </w:r>
    </w:p>
    <w:p>
      <w:pPr>
        <w:snapToGrid w:val="0"/>
        <w:rPr>
          <w:rFonts w:hint="eastAsia" w:ascii="宋体" w:hAnsi="宋体" w:eastAsia="宋体" w:cs="宋体"/>
          <w:szCs w:val="21"/>
        </w:rPr>
      </w:pPr>
    </w:p>
    <w:p>
      <w:pPr>
        <w:snapToGrid w:val="0"/>
        <w:spacing w:before="100" w:beforeAutospacing="1" w:after="100" w:afterAutospacing="1"/>
        <w:ind w:firstLine="2902" w:firstLineChars="1382"/>
        <w:rPr>
          <w:rFonts w:hint="eastAsia" w:ascii="宋体" w:hAnsi="宋体" w:eastAsia="宋体" w:cs="宋体"/>
          <w:bCs/>
          <w:szCs w:val="21"/>
          <w:lang w:val="zh-CN"/>
        </w:rPr>
      </w:pPr>
      <w:r>
        <w:rPr>
          <w:rFonts w:hint="eastAsia" w:ascii="宋体" w:hAnsi="宋体" w:eastAsia="宋体" w:cs="宋体"/>
          <w:bCs/>
          <w:szCs w:val="21"/>
          <w:lang w:val="zh-CN"/>
        </w:rPr>
        <w:t>投标人名称（公章）：</w:t>
      </w:r>
      <w:r>
        <w:rPr>
          <w:rFonts w:hint="eastAsia" w:ascii="宋体" w:hAnsi="宋体" w:eastAsia="宋体" w:cs="宋体"/>
          <w:bCs/>
          <w:szCs w:val="21"/>
          <w:u w:val="single"/>
          <w:lang w:val="zh-CN"/>
        </w:rPr>
        <w:t xml:space="preserve">                           </w:t>
      </w:r>
    </w:p>
    <w:p>
      <w:pPr>
        <w:snapToGrid w:val="0"/>
        <w:spacing w:before="100" w:beforeAutospacing="1" w:after="100" w:afterAutospacing="1"/>
        <w:ind w:firstLine="2902" w:firstLineChars="1382"/>
        <w:rPr>
          <w:rFonts w:hint="eastAsia" w:ascii="宋体" w:hAnsi="宋体" w:eastAsia="宋体" w:cs="宋体"/>
          <w:szCs w:val="21"/>
        </w:rPr>
      </w:pPr>
      <w:r>
        <w:rPr>
          <w:rFonts w:hint="eastAsia" w:ascii="宋体" w:hAnsi="宋体" w:eastAsia="宋体" w:cs="宋体"/>
          <w:color w:val="000000"/>
          <w:szCs w:val="21"/>
        </w:rPr>
        <w:t>日期：</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日</w:t>
      </w:r>
    </w:p>
    <w:p>
      <w:pPr>
        <w:rPr>
          <w:rFonts w:hint="eastAsia" w:ascii="宋体" w:hAnsi="宋体" w:eastAsia="宋体" w:cs="宋体"/>
          <w:sz w:val="18"/>
          <w:szCs w:val="18"/>
        </w:rPr>
      </w:pPr>
      <w:r>
        <w:rPr>
          <w:rFonts w:hint="eastAsia" w:ascii="宋体" w:hAnsi="宋体" w:eastAsia="宋体" w:cs="宋体"/>
          <w:sz w:val="18"/>
          <w:szCs w:val="18"/>
        </w:rPr>
        <w:t>享受政府采购支持政策的残疾人福利性单位应当同时满足以下条件：</w:t>
      </w:r>
    </w:p>
    <w:p>
      <w:pPr>
        <w:rPr>
          <w:rFonts w:hint="eastAsia" w:ascii="宋体" w:hAnsi="宋体" w:eastAsia="宋体" w:cs="宋体"/>
          <w:sz w:val="18"/>
          <w:szCs w:val="18"/>
        </w:rPr>
      </w:pPr>
      <w:r>
        <w:rPr>
          <w:rFonts w:hint="eastAsia" w:ascii="宋体" w:hAnsi="宋体" w:eastAsia="宋体" w:cs="宋体"/>
          <w:sz w:val="18"/>
          <w:szCs w:val="18"/>
        </w:rPr>
        <w:t>（一）安置的残疾人占本单位在职职工人数的比例不低于25%（含25%），并且安置的残疾人人数不少于10人（含10人）；</w:t>
      </w:r>
    </w:p>
    <w:p>
      <w:pPr>
        <w:rPr>
          <w:rFonts w:hint="eastAsia" w:ascii="宋体" w:hAnsi="宋体" w:eastAsia="宋体" w:cs="宋体"/>
          <w:sz w:val="18"/>
          <w:szCs w:val="18"/>
        </w:rPr>
      </w:pPr>
      <w:r>
        <w:rPr>
          <w:rFonts w:hint="eastAsia" w:ascii="宋体" w:hAnsi="宋体" w:eastAsia="宋体" w:cs="宋体"/>
          <w:sz w:val="18"/>
          <w:szCs w:val="18"/>
        </w:rPr>
        <w:t>（二）依法与安置的每位残疾人签订了一年以上（含一年）的劳动合同或服务协议；</w:t>
      </w:r>
    </w:p>
    <w:p>
      <w:pPr>
        <w:rPr>
          <w:rFonts w:hint="eastAsia" w:ascii="宋体" w:hAnsi="宋体" w:eastAsia="宋体" w:cs="宋体"/>
          <w:sz w:val="18"/>
          <w:szCs w:val="18"/>
        </w:rPr>
      </w:pPr>
      <w:r>
        <w:rPr>
          <w:rFonts w:hint="eastAsia" w:ascii="宋体" w:hAnsi="宋体" w:eastAsia="宋体" w:cs="宋体"/>
          <w:sz w:val="18"/>
          <w:szCs w:val="18"/>
        </w:rPr>
        <w:t>（三）为安置的每位残疾人按月足额缴纳了基本养老保险、基本医疗保险、失业保险、工伤保险和生育保险等社会保险费；</w:t>
      </w:r>
    </w:p>
    <w:p>
      <w:pPr>
        <w:rPr>
          <w:rFonts w:hint="eastAsia" w:ascii="宋体" w:hAnsi="宋体" w:eastAsia="宋体" w:cs="宋体"/>
          <w:sz w:val="18"/>
          <w:szCs w:val="18"/>
        </w:rPr>
      </w:pPr>
      <w:r>
        <w:rPr>
          <w:rFonts w:hint="eastAsia" w:ascii="宋体" w:hAnsi="宋体" w:eastAsia="宋体" w:cs="宋体"/>
          <w:sz w:val="18"/>
          <w:szCs w:val="18"/>
        </w:rPr>
        <w:t>（四）通过银行等金融机构向安置的每位残疾人，按月支付了不低于单位所在区县适用的经省级人民政府批准的月最低工资标准的工资；</w:t>
      </w:r>
    </w:p>
    <w:p>
      <w:pPr>
        <w:rPr>
          <w:rFonts w:hint="eastAsia" w:ascii="宋体" w:hAnsi="宋体" w:eastAsia="宋体" w:cs="宋体"/>
          <w:sz w:val="18"/>
          <w:szCs w:val="18"/>
        </w:rPr>
      </w:pPr>
      <w:r>
        <w:rPr>
          <w:rFonts w:hint="eastAsia" w:ascii="宋体" w:hAnsi="宋体" w:eastAsia="宋体" w:cs="宋体"/>
          <w:sz w:val="18"/>
          <w:szCs w:val="18"/>
        </w:rPr>
        <w:t>（五）提供本单位制造的货物、承担的工程或者服务（以下简称产品），或者提供其他残疾人福利性单位制造的货物（不包括使用非残疾人福利性单位注册商标的货物）。</w:t>
      </w:r>
    </w:p>
    <w:p>
      <w:pPr>
        <w:rPr>
          <w:rFonts w:hint="eastAsia" w:ascii="宋体" w:hAnsi="宋体" w:eastAsia="宋体" w:cs="宋体"/>
          <w:szCs w:val="21"/>
        </w:rPr>
      </w:pPr>
      <w:r>
        <w:rPr>
          <w:rFonts w:hint="eastAsia" w:ascii="宋体" w:hAnsi="宋体" w:eastAsia="宋体" w:cs="宋体"/>
          <w:sz w:val="18"/>
          <w:szCs w:val="1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before="100" w:beforeAutospacing="1" w:after="100" w:afterAutospacing="1" w:line="276" w:lineRule="auto"/>
        <w:outlineLvl w:val="4"/>
        <w:rPr>
          <w:rFonts w:hint="eastAsia" w:ascii="宋体" w:hAnsi="宋体" w:eastAsia="宋体" w:cs="宋体"/>
          <w:szCs w:val="21"/>
        </w:rPr>
      </w:pPr>
      <w:r>
        <w:rPr>
          <w:rFonts w:hint="eastAsia" w:ascii="宋体" w:hAnsi="宋体" w:eastAsia="宋体" w:cs="宋体"/>
          <w:kern w:val="0"/>
          <w:szCs w:val="21"/>
        </w:rPr>
        <w:br w:type="page"/>
      </w:r>
      <w:bookmarkStart w:id="126" w:name="_Toc494665012"/>
      <w:bookmarkStart w:id="127" w:name="_Toc494721112"/>
      <w:bookmarkStart w:id="128" w:name="_Toc494665962"/>
      <w:bookmarkStart w:id="129" w:name="_Toc494745329"/>
      <w:bookmarkStart w:id="130" w:name="_Toc494665565"/>
      <w:bookmarkStart w:id="131" w:name="_Toc494702282"/>
      <w:r>
        <w:rPr>
          <w:rFonts w:hint="eastAsia" w:ascii="宋体" w:hAnsi="宋体" w:eastAsia="宋体" w:cs="宋体"/>
          <w:szCs w:val="21"/>
        </w:rPr>
        <w:t>附件五：部分资格材料格式要求——省级以上监狱管理局、戒毒管理局出具的属于监狱企业的证明文件（</w:t>
      </w:r>
      <w:r>
        <w:rPr>
          <w:rFonts w:hint="eastAsia" w:ascii="宋体" w:hAnsi="宋体" w:eastAsia="宋体" w:cs="宋体"/>
          <w:i/>
          <w:color w:val="FF0000"/>
          <w:szCs w:val="21"/>
        </w:rPr>
        <w:t>非此类企业则无需提供</w:t>
      </w:r>
      <w:r>
        <w:rPr>
          <w:rFonts w:hint="eastAsia" w:ascii="宋体" w:hAnsi="宋体" w:eastAsia="宋体" w:cs="宋体"/>
          <w:szCs w:val="21"/>
        </w:rPr>
        <w:t>）</w:t>
      </w:r>
    </w:p>
    <w:p>
      <w:pPr>
        <w:spacing w:line="276" w:lineRule="auto"/>
        <w:rPr>
          <w:rFonts w:hint="eastAsia" w:ascii="宋体" w:hAnsi="宋体" w:eastAsia="宋体" w:cs="宋体"/>
          <w:szCs w:val="21"/>
        </w:rPr>
      </w:pPr>
    </w:p>
    <w:p>
      <w:pPr>
        <w:spacing w:line="276" w:lineRule="auto"/>
        <w:jc w:val="center"/>
        <w:rPr>
          <w:rFonts w:hint="eastAsia" w:ascii="宋体" w:hAnsi="宋体" w:eastAsia="宋体" w:cs="宋体"/>
          <w:b/>
          <w:szCs w:val="21"/>
        </w:rPr>
      </w:pPr>
      <w:r>
        <w:rPr>
          <w:rFonts w:hint="eastAsia" w:ascii="宋体" w:hAnsi="宋体" w:eastAsia="宋体" w:cs="宋体"/>
          <w:b/>
          <w:szCs w:val="21"/>
        </w:rPr>
        <w:t>省级以上监狱管理局、戒毒管理局（含新疆生产建设兵团）出具的属于监狱企业的证明文件</w:t>
      </w:r>
    </w:p>
    <w:p>
      <w:pPr>
        <w:spacing w:line="276" w:lineRule="auto"/>
        <w:rPr>
          <w:rFonts w:hint="eastAsia" w:ascii="宋体" w:hAnsi="宋体" w:eastAsia="宋体" w:cs="宋体"/>
          <w:b/>
          <w:szCs w:val="21"/>
        </w:rPr>
      </w:pPr>
    </w:p>
    <w:p>
      <w:pPr>
        <w:snapToGrid w:val="0"/>
        <w:spacing w:before="100" w:beforeAutospacing="1" w:line="360" w:lineRule="auto"/>
        <w:outlineLvl w:val="4"/>
        <w:rPr>
          <w:rFonts w:hint="eastAsia" w:ascii="宋体" w:hAnsi="宋体" w:eastAsia="宋体" w:cs="宋体"/>
        </w:rPr>
      </w:pPr>
      <w:r>
        <w:rPr>
          <w:rFonts w:hint="eastAsia" w:ascii="宋体" w:hAnsi="宋体" w:eastAsia="宋体" w:cs="宋体"/>
          <w:b/>
          <w:kern w:val="0"/>
          <w:szCs w:val="21"/>
        </w:rPr>
        <w:br w:type="page"/>
      </w:r>
      <w:r>
        <w:rPr>
          <w:rFonts w:hint="eastAsia" w:ascii="宋体" w:hAnsi="宋体" w:eastAsia="宋体" w:cs="宋体"/>
          <w:szCs w:val="21"/>
        </w:rPr>
        <w:t>附件六：部分资格材料格式要求——</w:t>
      </w:r>
      <w:r>
        <w:rPr>
          <w:rFonts w:hint="eastAsia" w:ascii="宋体" w:hAnsi="宋体" w:eastAsia="宋体" w:cs="宋体"/>
        </w:rPr>
        <w:t>投标人关联企业情况</w:t>
      </w:r>
    </w:p>
    <w:p>
      <w:pPr>
        <w:snapToGrid w:val="0"/>
        <w:spacing w:before="100" w:beforeAutospacing="1" w:line="360" w:lineRule="auto"/>
        <w:jc w:val="center"/>
        <w:rPr>
          <w:rFonts w:hint="eastAsia" w:ascii="宋体" w:hAnsi="宋体" w:eastAsia="宋体" w:cs="宋体"/>
        </w:rPr>
      </w:pPr>
      <w:r>
        <w:rPr>
          <w:rFonts w:hint="eastAsia" w:ascii="宋体" w:hAnsi="宋体" w:eastAsia="宋体" w:cs="宋体"/>
        </w:rPr>
        <w:t>投标人关联企业情况</w:t>
      </w:r>
    </w:p>
    <w:p>
      <w:pPr>
        <w:widowControl/>
        <w:spacing w:line="360" w:lineRule="auto"/>
        <w:ind w:firstLine="420" w:firstLineChars="200"/>
        <w:rPr>
          <w:rFonts w:hint="eastAsia" w:ascii="宋体" w:hAnsi="宋体" w:eastAsia="宋体" w:cs="宋体"/>
        </w:rPr>
      </w:pPr>
      <w:r>
        <w:rPr>
          <w:rFonts w:hint="eastAsia" w:ascii="宋体" w:hAnsi="宋体" w:eastAsia="宋体" w:cs="宋体"/>
        </w:rPr>
        <w:t>1.与我公司单位负责人为同一人的其他单位名称：</w:t>
      </w:r>
    </w:p>
    <w:p>
      <w:pPr>
        <w:widowControl/>
        <w:spacing w:line="360" w:lineRule="auto"/>
        <w:ind w:firstLine="420" w:firstLineChars="200"/>
        <w:rPr>
          <w:rFonts w:hint="eastAsia" w:ascii="宋体" w:hAnsi="宋体" w:eastAsia="宋体" w:cs="宋体"/>
        </w:rPr>
      </w:pPr>
      <w:r>
        <w:rPr>
          <w:rFonts w:hint="eastAsia" w:ascii="宋体" w:hAnsi="宋体" w:eastAsia="宋体" w:cs="宋体"/>
        </w:rPr>
        <w:t>口无;</w:t>
      </w:r>
    </w:p>
    <w:p>
      <w:pPr>
        <w:widowControl/>
        <w:spacing w:line="360" w:lineRule="auto"/>
        <w:ind w:firstLine="420" w:firstLineChars="200"/>
        <w:rPr>
          <w:rFonts w:hint="eastAsia" w:ascii="宋体" w:hAnsi="宋体" w:eastAsia="宋体" w:cs="宋体"/>
          <w:u w:val="single"/>
        </w:rPr>
      </w:pPr>
      <w:r>
        <w:rPr>
          <w:rFonts w:hint="eastAsia" w:ascii="宋体" w:hAnsi="宋体" w:eastAsia="宋体" w:cs="宋体"/>
        </w:rPr>
        <w:t>口有:</w:t>
      </w:r>
      <w:r>
        <w:rPr>
          <w:rFonts w:hint="eastAsia" w:ascii="宋体" w:hAnsi="宋体" w:eastAsia="宋体" w:cs="宋体"/>
          <w:u w:val="single"/>
        </w:rPr>
        <w:t xml:space="preserve">                                                                                                </w:t>
      </w:r>
    </w:p>
    <w:p>
      <w:pPr>
        <w:widowControl/>
        <w:spacing w:line="360" w:lineRule="auto"/>
        <w:ind w:firstLine="420" w:firstLineChars="200"/>
        <w:rPr>
          <w:rFonts w:hint="eastAsia" w:ascii="宋体" w:hAnsi="宋体" w:eastAsia="宋体" w:cs="宋体"/>
          <w:u w:val="single"/>
        </w:rPr>
      </w:pPr>
      <w:r>
        <w:rPr>
          <w:rFonts w:hint="eastAsia" w:ascii="宋体" w:hAnsi="宋体" w:eastAsia="宋体" w:cs="宋体"/>
          <w:u w:val="single"/>
        </w:rPr>
        <w:t xml:space="preserve">                                                                             </w:t>
      </w:r>
    </w:p>
    <w:p>
      <w:pPr>
        <w:widowControl/>
        <w:spacing w:line="360" w:lineRule="auto"/>
        <w:ind w:firstLine="420" w:firstLineChars="200"/>
        <w:rPr>
          <w:rFonts w:hint="eastAsia" w:ascii="宋体" w:hAnsi="宋体" w:eastAsia="宋体" w:cs="宋体"/>
        </w:rPr>
      </w:pPr>
      <w:r>
        <w:rPr>
          <w:rFonts w:hint="eastAsia" w:ascii="宋体" w:hAnsi="宋体" w:eastAsia="宋体" w:cs="宋体"/>
        </w:rPr>
        <w:t>2.与我公司存在控股、管理关系的其他单位的名称：</w:t>
      </w:r>
    </w:p>
    <w:p>
      <w:pPr>
        <w:widowControl/>
        <w:spacing w:line="360" w:lineRule="auto"/>
        <w:ind w:firstLine="420" w:firstLineChars="200"/>
        <w:rPr>
          <w:rFonts w:hint="eastAsia" w:ascii="宋体" w:hAnsi="宋体" w:eastAsia="宋体" w:cs="宋体"/>
        </w:rPr>
      </w:pPr>
      <w:r>
        <w:rPr>
          <w:rFonts w:hint="eastAsia" w:ascii="宋体" w:hAnsi="宋体" w:eastAsia="宋体" w:cs="宋体"/>
        </w:rPr>
        <w:t>口无；</w:t>
      </w:r>
    </w:p>
    <w:p>
      <w:pPr>
        <w:widowControl/>
        <w:spacing w:line="360" w:lineRule="auto"/>
        <w:ind w:firstLine="420" w:firstLineChars="200"/>
        <w:rPr>
          <w:rFonts w:hint="eastAsia" w:ascii="宋体" w:hAnsi="宋体" w:eastAsia="宋体" w:cs="宋体"/>
          <w:u w:val="single"/>
        </w:rPr>
      </w:pPr>
      <w:r>
        <w:rPr>
          <w:rFonts w:hint="eastAsia" w:ascii="宋体" w:hAnsi="宋体" w:eastAsia="宋体" w:cs="宋体"/>
        </w:rPr>
        <w:t>口有:</w:t>
      </w:r>
      <w:r>
        <w:rPr>
          <w:rFonts w:hint="eastAsia" w:ascii="宋体" w:hAnsi="宋体" w:eastAsia="宋体" w:cs="宋体"/>
          <w:u w:val="single"/>
        </w:rPr>
        <w:t xml:space="preserve">                                                                                  </w:t>
      </w:r>
    </w:p>
    <w:p>
      <w:pPr>
        <w:widowControl/>
        <w:spacing w:line="360" w:lineRule="auto"/>
        <w:ind w:firstLine="420" w:firstLineChars="200"/>
        <w:rPr>
          <w:rFonts w:hint="eastAsia" w:ascii="宋体" w:hAnsi="宋体" w:eastAsia="宋体" w:cs="宋体"/>
          <w:u w:val="single"/>
        </w:rPr>
      </w:pPr>
      <w:r>
        <w:rPr>
          <w:rFonts w:hint="eastAsia" w:ascii="宋体" w:hAnsi="宋体" w:eastAsia="宋体" w:cs="宋体"/>
          <w:u w:val="single"/>
        </w:rPr>
        <w:t xml:space="preserve">                                                                            </w:t>
      </w:r>
    </w:p>
    <w:p>
      <w:pPr>
        <w:widowControl/>
        <w:spacing w:line="360" w:lineRule="auto"/>
        <w:ind w:firstLine="420" w:firstLineChars="200"/>
        <w:rPr>
          <w:rFonts w:hint="eastAsia" w:ascii="宋体" w:hAnsi="宋体" w:eastAsia="宋体" w:cs="宋体"/>
        </w:rPr>
      </w:pPr>
    </w:p>
    <w:p>
      <w:pPr>
        <w:widowControl/>
        <w:ind w:firstLine="420" w:firstLineChars="200"/>
        <w:rPr>
          <w:rFonts w:hint="eastAsia" w:ascii="宋体" w:hAnsi="宋体" w:eastAsia="宋体" w:cs="宋体"/>
        </w:rPr>
      </w:pPr>
    </w:p>
    <w:p>
      <w:pPr>
        <w:widowControl/>
        <w:snapToGrid w:val="0"/>
        <w:spacing w:before="100" w:beforeAutospacing="1" w:after="100" w:afterAutospacing="1"/>
        <w:ind w:firstLine="2902" w:firstLineChars="1382"/>
        <w:rPr>
          <w:rFonts w:hint="eastAsia" w:ascii="宋体" w:hAnsi="宋体" w:eastAsia="宋体" w:cs="宋体"/>
          <w:bCs/>
          <w:szCs w:val="21"/>
          <w:lang w:val="zh-CN"/>
        </w:rPr>
      </w:pPr>
      <w:r>
        <w:rPr>
          <w:rFonts w:hint="eastAsia" w:ascii="宋体" w:hAnsi="宋体" w:eastAsia="宋体" w:cs="宋体"/>
          <w:bCs/>
          <w:szCs w:val="21"/>
          <w:lang w:val="zh-CN"/>
        </w:rPr>
        <w:t>投标人名称（公章）：</w:t>
      </w:r>
      <w:r>
        <w:rPr>
          <w:rFonts w:hint="eastAsia" w:ascii="宋体" w:hAnsi="宋体" w:eastAsia="宋体" w:cs="宋体"/>
          <w:bCs/>
          <w:szCs w:val="21"/>
          <w:u w:val="single"/>
          <w:lang w:val="zh-CN"/>
        </w:rPr>
        <w:t xml:space="preserve">                           </w:t>
      </w:r>
    </w:p>
    <w:p>
      <w:pPr>
        <w:widowControl/>
        <w:snapToGrid w:val="0"/>
        <w:spacing w:before="100" w:beforeAutospacing="1" w:after="100" w:afterAutospacing="1"/>
        <w:ind w:firstLine="2902" w:firstLineChars="1382"/>
        <w:rPr>
          <w:rFonts w:hint="eastAsia" w:ascii="宋体" w:hAnsi="宋体" w:eastAsia="宋体" w:cs="宋体"/>
        </w:rPr>
      </w:pPr>
      <w:r>
        <w:rPr>
          <w:rFonts w:hint="eastAsia" w:ascii="宋体" w:hAnsi="宋体" w:eastAsia="宋体" w:cs="宋体"/>
          <w:color w:val="000000"/>
          <w:szCs w:val="21"/>
        </w:rPr>
        <w:t>日期：</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szCs w:val="21"/>
        </w:rPr>
        <w:t>日</w:t>
      </w:r>
    </w:p>
    <w:p>
      <w:pPr>
        <w:widowControl/>
        <w:ind w:firstLine="420" w:firstLineChars="200"/>
        <w:rPr>
          <w:rFonts w:hint="eastAsia" w:ascii="宋体" w:hAnsi="宋体" w:eastAsia="宋体" w:cs="宋体"/>
        </w:rPr>
      </w:pPr>
    </w:p>
    <w:p>
      <w:pPr>
        <w:widowControl/>
        <w:ind w:firstLine="420" w:firstLineChars="200"/>
        <w:rPr>
          <w:rFonts w:hint="eastAsia" w:ascii="宋体" w:hAnsi="宋体" w:eastAsia="宋体" w:cs="宋体"/>
        </w:rPr>
      </w:pPr>
    </w:p>
    <w:p>
      <w:pPr>
        <w:widowControl/>
        <w:rPr>
          <w:rFonts w:hint="eastAsia" w:ascii="宋体" w:hAnsi="宋体" w:eastAsia="宋体" w:cs="宋体"/>
        </w:rPr>
      </w:pPr>
      <w:r>
        <w:rPr>
          <w:rFonts w:hint="eastAsia" w:ascii="宋体" w:hAnsi="宋体" w:eastAsia="宋体" w:cs="宋体"/>
        </w:rPr>
        <w:t>说明:</w:t>
      </w:r>
    </w:p>
    <w:p>
      <w:pPr>
        <w:widowControl/>
        <w:ind w:firstLine="140" w:firstLineChars="67"/>
        <w:rPr>
          <w:rFonts w:hint="eastAsia" w:ascii="宋体" w:hAnsi="宋体" w:eastAsia="宋体" w:cs="宋体"/>
        </w:rPr>
      </w:pPr>
      <w:r>
        <w:rPr>
          <w:rFonts w:hint="eastAsia" w:ascii="宋体" w:hAnsi="宋体" w:eastAsia="宋体" w:cs="宋体"/>
        </w:rPr>
        <w:t>1.单位负责人指单位法定代表人或者法律、行政法规规定代表单位行使职权的主要负责人；</w:t>
      </w:r>
    </w:p>
    <w:p>
      <w:pPr>
        <w:widowControl/>
        <w:ind w:firstLine="140" w:firstLineChars="67"/>
        <w:rPr>
          <w:rFonts w:hint="eastAsia" w:ascii="宋体" w:hAnsi="宋体" w:eastAsia="宋体" w:cs="宋体"/>
        </w:rPr>
      </w:pPr>
      <w:r>
        <w:rPr>
          <w:rFonts w:hint="eastAsia" w:ascii="宋体" w:hAnsi="宋体" w:eastAsia="宋体" w:cs="宋体"/>
        </w:rPr>
        <w:t>2.控股、管理关系仅限于直接控股、直接管理关系，不包括间接的控股或管理关系。</w:t>
      </w:r>
    </w:p>
    <w:p>
      <w:pPr>
        <w:spacing w:before="100" w:beforeAutospacing="1" w:after="100" w:afterAutospacing="1" w:line="276" w:lineRule="auto"/>
        <w:rPr>
          <w:rFonts w:hint="eastAsia" w:ascii="宋体" w:hAnsi="宋体" w:eastAsia="宋体" w:cs="宋体"/>
          <w:szCs w:val="21"/>
        </w:rPr>
      </w:pPr>
    </w:p>
    <w:p>
      <w:pPr>
        <w:widowControl/>
        <w:jc w:val="left"/>
        <w:rPr>
          <w:rFonts w:hint="eastAsia" w:ascii="宋体" w:hAnsi="宋体" w:eastAsia="宋体" w:cs="宋体"/>
          <w:szCs w:val="21"/>
        </w:rPr>
      </w:pPr>
      <w:r>
        <w:rPr>
          <w:rFonts w:hint="eastAsia" w:ascii="宋体" w:hAnsi="宋体" w:eastAsia="宋体" w:cs="宋体"/>
          <w:szCs w:val="21"/>
        </w:rPr>
        <w:br w:type="page"/>
      </w:r>
    </w:p>
    <w:p>
      <w:pPr>
        <w:spacing w:before="100" w:beforeAutospacing="1" w:after="100" w:afterAutospacing="1" w:line="276" w:lineRule="auto"/>
        <w:outlineLvl w:val="4"/>
        <w:rPr>
          <w:rFonts w:hint="eastAsia" w:ascii="宋体" w:hAnsi="宋体" w:eastAsia="宋体" w:cs="宋体"/>
          <w:color w:val="0D0D0D"/>
          <w:szCs w:val="21"/>
          <w:lang w:val="zh-CN"/>
        </w:rPr>
      </w:pPr>
      <w:r>
        <w:rPr>
          <w:rFonts w:hint="eastAsia" w:ascii="宋体" w:hAnsi="宋体" w:eastAsia="宋体" w:cs="宋体"/>
          <w:szCs w:val="21"/>
        </w:rPr>
        <w:t>投标人认为需要提供的其他资格证明材料或情况说明（</w:t>
      </w:r>
      <w:r>
        <w:rPr>
          <w:rFonts w:hint="eastAsia" w:ascii="宋体" w:hAnsi="宋体" w:eastAsia="宋体" w:cs="宋体"/>
          <w:i/>
          <w:color w:val="FF0000"/>
          <w:szCs w:val="21"/>
        </w:rPr>
        <w:t>如有</w:t>
      </w:r>
      <w:r>
        <w:rPr>
          <w:rFonts w:hint="eastAsia" w:ascii="宋体" w:hAnsi="宋体" w:eastAsia="宋体" w:cs="宋体"/>
          <w:szCs w:val="21"/>
        </w:rPr>
        <w:t>）</w:t>
      </w:r>
    </w:p>
    <w:p>
      <w:pPr>
        <w:ind w:firstLine="420"/>
        <w:rPr>
          <w:rFonts w:hint="eastAsia" w:ascii="宋体" w:hAnsi="宋体" w:eastAsia="宋体" w:cs="宋体"/>
          <w:color w:val="0D0D0D"/>
          <w:szCs w:val="21"/>
          <w:lang w:val="zh-CN"/>
        </w:rPr>
      </w:pPr>
      <w:r>
        <w:rPr>
          <w:rFonts w:hint="eastAsia" w:ascii="宋体" w:hAnsi="宋体" w:eastAsia="宋体" w:cs="宋体"/>
          <w:color w:val="0D0D0D"/>
          <w:szCs w:val="21"/>
          <w:lang w:val="zh-CN"/>
        </w:rPr>
        <w:br w:type="page"/>
      </w:r>
    </w:p>
    <w:p>
      <w:pPr>
        <w:pStyle w:val="29"/>
        <w:numPr>
          <w:ilvl w:val="0"/>
          <w:numId w:val="106"/>
        </w:numPr>
        <w:spacing w:line="276" w:lineRule="auto"/>
        <w:ind w:firstLineChars="0"/>
        <w:outlineLvl w:val="2"/>
        <w:rPr>
          <w:rFonts w:hint="eastAsia" w:ascii="宋体" w:hAnsi="宋体" w:eastAsia="宋体" w:cs="宋体"/>
          <w:szCs w:val="21"/>
        </w:rPr>
      </w:pPr>
      <w:r>
        <w:rPr>
          <w:rFonts w:hint="eastAsia" w:ascii="宋体" w:hAnsi="宋体" w:eastAsia="宋体" w:cs="宋体"/>
          <w:szCs w:val="21"/>
        </w:rPr>
        <w:t>节能环保产品清单及证明材料（</w:t>
      </w:r>
      <w:r>
        <w:rPr>
          <w:rFonts w:hint="eastAsia" w:ascii="宋体" w:hAnsi="宋体" w:eastAsia="宋体" w:cs="宋体"/>
          <w:color w:val="FF0000"/>
          <w:szCs w:val="21"/>
        </w:rPr>
        <w:t>没有则不填写此表</w:t>
      </w:r>
      <w:r>
        <w:rPr>
          <w:rFonts w:hint="eastAsia" w:ascii="宋体" w:hAnsi="宋体" w:eastAsia="宋体" w:cs="宋体"/>
          <w:szCs w:val="21"/>
        </w:rPr>
        <w:t>）</w:t>
      </w:r>
    </w:p>
    <w:p>
      <w:pPr>
        <w:spacing w:line="276" w:lineRule="auto"/>
        <w:jc w:val="center"/>
        <w:rPr>
          <w:rFonts w:hint="eastAsia" w:ascii="宋体" w:hAnsi="宋体" w:eastAsia="宋体" w:cs="宋体"/>
          <w:b/>
          <w:szCs w:val="21"/>
        </w:rPr>
      </w:pPr>
      <w:r>
        <w:rPr>
          <w:rFonts w:hint="eastAsia" w:ascii="宋体" w:hAnsi="宋体" w:eastAsia="宋体" w:cs="宋体"/>
          <w:b/>
          <w:szCs w:val="21"/>
        </w:rPr>
        <w:t>节能环保产品清单及证明材料</w:t>
      </w:r>
    </w:p>
    <w:p>
      <w:pPr>
        <w:spacing w:line="276" w:lineRule="auto"/>
        <w:jc w:val="center"/>
        <w:rPr>
          <w:rFonts w:hint="eastAsia" w:ascii="宋体" w:hAnsi="宋体" w:eastAsia="宋体" w:cs="宋体"/>
          <w:b/>
          <w:szCs w:val="21"/>
        </w:rPr>
      </w:pPr>
    </w:p>
    <w:p>
      <w:pPr>
        <w:spacing w:line="276" w:lineRule="auto"/>
        <w:jc w:val="left"/>
        <w:rPr>
          <w:rFonts w:hint="eastAsia" w:ascii="宋体" w:hAnsi="宋体" w:eastAsia="宋体" w:cs="宋体"/>
          <w:szCs w:val="21"/>
        </w:rPr>
      </w:pPr>
      <w:r>
        <w:rPr>
          <w:rFonts w:hint="eastAsia" w:ascii="宋体" w:hAnsi="宋体" w:eastAsia="宋体" w:cs="宋体"/>
          <w:szCs w:val="21"/>
        </w:rPr>
        <w:t>投 标 人：</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spacing w:line="276" w:lineRule="auto"/>
        <w:rPr>
          <w:rFonts w:hint="eastAsia" w:ascii="宋体" w:hAnsi="宋体" w:eastAsia="宋体" w:cs="宋体"/>
          <w:b/>
          <w:szCs w:val="21"/>
        </w:rPr>
      </w:pPr>
      <w:r>
        <w:rPr>
          <w:rFonts w:hint="eastAsia" w:ascii="宋体" w:hAnsi="宋体" w:eastAsia="宋体" w:cs="宋体"/>
          <w:szCs w:val="21"/>
          <w:lang w:val="zh-CN"/>
        </w:rPr>
        <w:t>项目编号/标段编号：</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r>
        <w:rPr>
          <w:rFonts w:hint="eastAsia" w:ascii="宋体" w:hAnsi="宋体" w:eastAsia="宋体" w:cs="宋体"/>
          <w:bCs/>
          <w:szCs w:val="21"/>
          <w:lang w:val="zh-CN"/>
        </w:rPr>
        <w:t xml:space="preserve">                项目名称：</w:t>
      </w:r>
      <w:r>
        <w:rPr>
          <w:rFonts w:hint="eastAsia" w:ascii="宋体" w:hAnsi="宋体" w:eastAsia="宋体" w:cs="宋体"/>
          <w:bCs/>
          <w:szCs w:val="21"/>
          <w:u w:val="single"/>
          <w:lang w:val="zh-CN"/>
        </w:rPr>
        <w:t xml:space="preserve">           </w:t>
      </w:r>
    </w:p>
    <w:p>
      <w:pPr>
        <w:spacing w:line="276" w:lineRule="auto"/>
        <w:rPr>
          <w:rFonts w:hint="eastAsia" w:ascii="宋体" w:hAnsi="宋体" w:eastAsia="宋体" w:cs="宋体"/>
          <w:b/>
          <w:szCs w:val="21"/>
        </w:rPr>
      </w:pPr>
      <w:r>
        <w:rPr>
          <w:rFonts w:hint="eastAsia" w:ascii="宋体" w:hAnsi="宋体" w:eastAsia="宋体" w:cs="宋体"/>
          <w:b/>
          <w:szCs w:val="21"/>
        </w:rPr>
        <w:t>1）节能产品</w:t>
      </w:r>
    </w:p>
    <w:tbl>
      <w:tblPr>
        <w:tblStyle w:val="26"/>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49"/>
        <w:gridCol w:w="1302"/>
        <w:gridCol w:w="851"/>
        <w:gridCol w:w="850"/>
        <w:gridCol w:w="709"/>
        <w:gridCol w:w="709"/>
        <w:gridCol w:w="1134"/>
        <w:gridCol w:w="1446"/>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54" w:hRule="atLeast"/>
        </w:trPr>
        <w:tc>
          <w:tcPr>
            <w:tcW w:w="64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序号</w:t>
            </w:r>
          </w:p>
        </w:tc>
        <w:tc>
          <w:tcPr>
            <w:tcW w:w="130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设备名称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制造商名称</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品牌</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型号</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单价</w:t>
            </w:r>
          </w:p>
          <w:p>
            <w:pPr>
              <w:snapToGrid w:val="0"/>
              <w:spacing w:line="276" w:lineRule="auto"/>
              <w:jc w:val="center"/>
              <w:rPr>
                <w:rFonts w:hint="eastAsia" w:ascii="宋体" w:hAnsi="宋体" w:eastAsia="宋体" w:cs="宋体"/>
                <w:szCs w:val="21"/>
              </w:rPr>
            </w:pPr>
            <w:r>
              <w:rPr>
                <w:rFonts w:hint="eastAsia" w:ascii="宋体" w:hAnsi="宋体" w:eastAsia="宋体" w:cs="宋体"/>
                <w:szCs w:val="21"/>
              </w:rPr>
              <w:t>（万元）</w:t>
            </w:r>
          </w:p>
        </w:tc>
        <w:tc>
          <w:tcPr>
            <w:tcW w:w="144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总价</w:t>
            </w:r>
          </w:p>
          <w:p>
            <w:pPr>
              <w:snapToGrid w:val="0"/>
              <w:spacing w:line="276" w:lineRule="auto"/>
              <w:jc w:val="center"/>
              <w:rPr>
                <w:rFonts w:hint="eastAsia" w:ascii="宋体" w:hAnsi="宋体" w:eastAsia="宋体" w:cs="宋体"/>
                <w:szCs w:val="21"/>
              </w:rPr>
            </w:pPr>
            <w:r>
              <w:rPr>
                <w:rFonts w:hint="eastAsia" w:ascii="宋体" w:hAnsi="宋体" w:eastAsia="宋体" w:cs="宋体"/>
                <w:szCs w:val="21"/>
              </w:rPr>
              <w:t>（万元）</w:t>
            </w:r>
          </w:p>
        </w:tc>
        <w:tc>
          <w:tcPr>
            <w:tcW w:w="124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54" w:hRule="atLeast"/>
        </w:trPr>
        <w:tc>
          <w:tcPr>
            <w:tcW w:w="649" w:type="dxa"/>
            <w:tcBorders>
              <w:top w:val="single" w:color="auto" w:sz="4" w:space="0"/>
              <w:left w:val="single" w:color="auto" w:sz="4" w:space="0"/>
              <w:bottom w:val="single" w:color="auto" w:sz="4" w:space="0"/>
              <w:right w:val="single" w:color="auto" w:sz="4" w:space="0"/>
            </w:tcBorders>
            <w:vAlign w:val="center"/>
          </w:tcPr>
          <w:p>
            <w:pPr>
              <w:numPr>
                <w:ilvl w:val="0"/>
                <w:numId w:val="110"/>
              </w:numPr>
              <w:snapToGrid w:val="0"/>
              <w:spacing w:line="276" w:lineRule="auto"/>
              <w:jc w:val="center"/>
              <w:rPr>
                <w:rFonts w:hint="eastAsia" w:ascii="宋体" w:hAnsi="宋体" w:eastAsia="宋体" w:cs="宋体"/>
                <w:szCs w:val="21"/>
              </w:rPr>
            </w:pPr>
          </w:p>
        </w:tc>
        <w:tc>
          <w:tcPr>
            <w:tcW w:w="1302" w:type="dxa"/>
            <w:tcBorders>
              <w:top w:val="single" w:color="auto" w:sz="4" w:space="0"/>
              <w:left w:val="single" w:color="auto" w:sz="4" w:space="0"/>
              <w:bottom w:val="single" w:color="auto" w:sz="4" w:space="0"/>
              <w:right w:val="single" w:color="auto" w:sz="4" w:space="0"/>
            </w:tcBorders>
            <w:vAlign w:val="top"/>
          </w:tcPr>
          <w:p>
            <w:pPr>
              <w:snapToGrid w:val="0"/>
              <w:spacing w:line="276" w:lineRule="auto"/>
              <w:rPr>
                <w:rFonts w:hint="eastAsia"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54" w:hRule="atLeast"/>
        </w:trPr>
        <w:tc>
          <w:tcPr>
            <w:tcW w:w="649" w:type="dxa"/>
            <w:tcBorders>
              <w:top w:val="single" w:color="auto" w:sz="4" w:space="0"/>
              <w:left w:val="single" w:color="auto" w:sz="4" w:space="0"/>
              <w:bottom w:val="single" w:color="auto" w:sz="4" w:space="0"/>
              <w:right w:val="single" w:color="auto" w:sz="4" w:space="0"/>
            </w:tcBorders>
            <w:vAlign w:val="center"/>
          </w:tcPr>
          <w:p>
            <w:pPr>
              <w:numPr>
                <w:ilvl w:val="0"/>
                <w:numId w:val="110"/>
              </w:numPr>
              <w:snapToGrid w:val="0"/>
              <w:spacing w:line="276" w:lineRule="auto"/>
              <w:jc w:val="center"/>
              <w:rPr>
                <w:rFonts w:hint="eastAsia" w:ascii="宋体" w:hAnsi="宋体" w:eastAsia="宋体" w:cs="宋体"/>
                <w:szCs w:val="21"/>
              </w:rPr>
            </w:pPr>
          </w:p>
        </w:tc>
        <w:tc>
          <w:tcPr>
            <w:tcW w:w="1302" w:type="dxa"/>
            <w:tcBorders>
              <w:top w:val="single" w:color="auto" w:sz="4" w:space="0"/>
              <w:left w:val="single" w:color="auto" w:sz="4" w:space="0"/>
              <w:bottom w:val="single" w:color="auto" w:sz="4" w:space="0"/>
              <w:right w:val="single" w:color="auto" w:sz="4" w:space="0"/>
            </w:tcBorders>
            <w:vAlign w:val="top"/>
          </w:tcPr>
          <w:p>
            <w:pPr>
              <w:snapToGrid w:val="0"/>
              <w:spacing w:line="276" w:lineRule="auto"/>
              <w:rPr>
                <w:rFonts w:hint="eastAsia"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54" w:hRule="atLeast"/>
        </w:trPr>
        <w:tc>
          <w:tcPr>
            <w:tcW w:w="649" w:type="dxa"/>
            <w:tcBorders>
              <w:top w:val="single" w:color="auto" w:sz="4" w:space="0"/>
              <w:left w:val="single" w:color="auto" w:sz="4" w:space="0"/>
              <w:bottom w:val="single" w:color="auto" w:sz="4" w:space="0"/>
              <w:right w:val="single" w:color="auto" w:sz="4" w:space="0"/>
            </w:tcBorders>
            <w:vAlign w:val="center"/>
          </w:tcPr>
          <w:p>
            <w:pPr>
              <w:numPr>
                <w:ilvl w:val="0"/>
                <w:numId w:val="110"/>
              </w:numPr>
              <w:snapToGrid w:val="0"/>
              <w:spacing w:line="276" w:lineRule="auto"/>
              <w:jc w:val="center"/>
              <w:rPr>
                <w:rFonts w:hint="eastAsia" w:ascii="宋体" w:hAnsi="宋体" w:eastAsia="宋体" w:cs="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r>
    </w:tbl>
    <w:p>
      <w:pPr>
        <w:spacing w:line="276" w:lineRule="auto"/>
        <w:rPr>
          <w:rFonts w:hint="eastAsia" w:ascii="宋体" w:hAnsi="宋体" w:eastAsia="宋体" w:cs="宋体"/>
          <w:szCs w:val="21"/>
        </w:rPr>
      </w:pPr>
    </w:p>
    <w:p>
      <w:pPr>
        <w:spacing w:line="276" w:lineRule="auto"/>
        <w:rPr>
          <w:rFonts w:hint="eastAsia" w:ascii="宋体" w:hAnsi="宋体" w:eastAsia="宋体" w:cs="宋体"/>
          <w:b/>
          <w:szCs w:val="21"/>
        </w:rPr>
      </w:pPr>
      <w:r>
        <w:rPr>
          <w:rFonts w:hint="eastAsia" w:ascii="宋体" w:hAnsi="宋体" w:eastAsia="宋体" w:cs="宋体"/>
          <w:b/>
          <w:szCs w:val="21"/>
        </w:rPr>
        <w:t>2）环保产品</w:t>
      </w:r>
    </w:p>
    <w:tbl>
      <w:tblPr>
        <w:tblStyle w:val="26"/>
        <w:tblW w:w="8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49"/>
        <w:gridCol w:w="1302"/>
        <w:gridCol w:w="851"/>
        <w:gridCol w:w="850"/>
        <w:gridCol w:w="709"/>
        <w:gridCol w:w="709"/>
        <w:gridCol w:w="1134"/>
        <w:gridCol w:w="144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54" w:hRule="atLeast"/>
        </w:trPr>
        <w:tc>
          <w:tcPr>
            <w:tcW w:w="64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序号</w:t>
            </w:r>
          </w:p>
        </w:tc>
        <w:tc>
          <w:tcPr>
            <w:tcW w:w="1302"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设备名称</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制造商名称</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品牌</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型号</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单价</w:t>
            </w:r>
          </w:p>
          <w:p>
            <w:pPr>
              <w:snapToGrid w:val="0"/>
              <w:spacing w:line="276" w:lineRule="auto"/>
              <w:jc w:val="center"/>
              <w:rPr>
                <w:rFonts w:hint="eastAsia" w:ascii="宋体" w:hAnsi="宋体" w:eastAsia="宋体" w:cs="宋体"/>
                <w:szCs w:val="21"/>
              </w:rPr>
            </w:pPr>
            <w:r>
              <w:rPr>
                <w:rFonts w:hint="eastAsia" w:ascii="宋体" w:hAnsi="宋体" w:eastAsia="宋体" w:cs="宋体"/>
                <w:szCs w:val="21"/>
              </w:rPr>
              <w:t>（万元）</w:t>
            </w:r>
          </w:p>
        </w:tc>
        <w:tc>
          <w:tcPr>
            <w:tcW w:w="144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总价</w:t>
            </w:r>
          </w:p>
          <w:p>
            <w:pPr>
              <w:snapToGrid w:val="0"/>
              <w:spacing w:line="276" w:lineRule="auto"/>
              <w:jc w:val="center"/>
              <w:rPr>
                <w:rFonts w:hint="eastAsia" w:ascii="宋体" w:hAnsi="宋体" w:eastAsia="宋体" w:cs="宋体"/>
                <w:szCs w:val="21"/>
              </w:rPr>
            </w:pPr>
            <w:r>
              <w:rPr>
                <w:rFonts w:hint="eastAsia" w:ascii="宋体" w:hAnsi="宋体" w:eastAsia="宋体" w:cs="宋体"/>
                <w:szCs w:val="21"/>
              </w:rPr>
              <w:t>（万元）</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54" w:hRule="atLeast"/>
        </w:trPr>
        <w:tc>
          <w:tcPr>
            <w:tcW w:w="649" w:type="dxa"/>
            <w:tcBorders>
              <w:top w:val="single" w:color="auto" w:sz="4" w:space="0"/>
              <w:left w:val="single" w:color="auto" w:sz="4" w:space="0"/>
              <w:bottom w:val="single" w:color="auto" w:sz="4" w:space="0"/>
              <w:right w:val="single" w:color="auto" w:sz="4" w:space="0"/>
            </w:tcBorders>
            <w:vAlign w:val="center"/>
          </w:tcPr>
          <w:p>
            <w:pPr>
              <w:numPr>
                <w:ilvl w:val="0"/>
                <w:numId w:val="111"/>
              </w:numPr>
              <w:snapToGrid w:val="0"/>
              <w:spacing w:line="276" w:lineRule="auto"/>
              <w:jc w:val="center"/>
              <w:rPr>
                <w:rFonts w:hint="eastAsia" w:ascii="宋体" w:hAnsi="宋体" w:eastAsia="宋体" w:cs="宋体"/>
                <w:szCs w:val="21"/>
              </w:rPr>
            </w:pPr>
          </w:p>
        </w:tc>
        <w:tc>
          <w:tcPr>
            <w:tcW w:w="1302" w:type="dxa"/>
            <w:tcBorders>
              <w:top w:val="single" w:color="auto" w:sz="4" w:space="0"/>
              <w:left w:val="single" w:color="auto" w:sz="4" w:space="0"/>
              <w:bottom w:val="single" w:color="auto" w:sz="4" w:space="0"/>
              <w:right w:val="single" w:color="auto" w:sz="4" w:space="0"/>
            </w:tcBorders>
            <w:vAlign w:val="top"/>
          </w:tcPr>
          <w:p>
            <w:pPr>
              <w:snapToGrid w:val="0"/>
              <w:spacing w:line="276" w:lineRule="auto"/>
              <w:rPr>
                <w:rFonts w:hint="eastAsia"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54" w:hRule="atLeast"/>
        </w:trPr>
        <w:tc>
          <w:tcPr>
            <w:tcW w:w="649" w:type="dxa"/>
            <w:tcBorders>
              <w:top w:val="single" w:color="auto" w:sz="4" w:space="0"/>
              <w:left w:val="single" w:color="auto" w:sz="4" w:space="0"/>
              <w:bottom w:val="single" w:color="auto" w:sz="4" w:space="0"/>
              <w:right w:val="single" w:color="auto" w:sz="4" w:space="0"/>
            </w:tcBorders>
            <w:vAlign w:val="center"/>
          </w:tcPr>
          <w:p>
            <w:pPr>
              <w:numPr>
                <w:ilvl w:val="0"/>
                <w:numId w:val="111"/>
              </w:numPr>
              <w:snapToGrid w:val="0"/>
              <w:spacing w:line="276" w:lineRule="auto"/>
              <w:jc w:val="center"/>
              <w:rPr>
                <w:rFonts w:hint="eastAsia" w:ascii="宋体" w:hAnsi="宋体" w:eastAsia="宋体" w:cs="宋体"/>
                <w:szCs w:val="21"/>
              </w:rPr>
            </w:pPr>
          </w:p>
        </w:tc>
        <w:tc>
          <w:tcPr>
            <w:tcW w:w="1302" w:type="dxa"/>
            <w:tcBorders>
              <w:top w:val="single" w:color="auto" w:sz="4" w:space="0"/>
              <w:left w:val="single" w:color="auto" w:sz="4" w:space="0"/>
              <w:bottom w:val="single" w:color="auto" w:sz="4" w:space="0"/>
              <w:right w:val="single" w:color="auto" w:sz="4" w:space="0"/>
            </w:tcBorders>
            <w:vAlign w:val="top"/>
          </w:tcPr>
          <w:p>
            <w:pPr>
              <w:snapToGrid w:val="0"/>
              <w:spacing w:line="276" w:lineRule="auto"/>
              <w:rPr>
                <w:rFonts w:hint="eastAsia"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454" w:hRule="atLeast"/>
        </w:trPr>
        <w:tc>
          <w:tcPr>
            <w:tcW w:w="649" w:type="dxa"/>
            <w:tcBorders>
              <w:top w:val="single" w:color="auto" w:sz="4" w:space="0"/>
              <w:left w:val="single" w:color="auto" w:sz="4" w:space="0"/>
              <w:bottom w:val="single" w:color="auto" w:sz="4" w:space="0"/>
              <w:right w:val="single" w:color="auto" w:sz="4" w:space="0"/>
            </w:tcBorders>
            <w:vAlign w:val="center"/>
          </w:tcPr>
          <w:p>
            <w:pPr>
              <w:numPr>
                <w:ilvl w:val="0"/>
                <w:numId w:val="111"/>
              </w:numPr>
              <w:snapToGrid w:val="0"/>
              <w:spacing w:line="276" w:lineRule="auto"/>
              <w:jc w:val="center"/>
              <w:rPr>
                <w:rFonts w:hint="eastAsia" w:ascii="宋体" w:hAnsi="宋体" w:eastAsia="宋体" w:cs="宋体"/>
                <w:szCs w:val="21"/>
              </w:rPr>
            </w:pPr>
          </w:p>
        </w:tc>
        <w:tc>
          <w:tcPr>
            <w:tcW w:w="1302" w:type="dxa"/>
            <w:tcBorders>
              <w:top w:val="single" w:color="auto" w:sz="4" w:space="0"/>
              <w:left w:val="single" w:color="auto" w:sz="4" w:space="0"/>
              <w:bottom w:val="single" w:color="auto" w:sz="4" w:space="0"/>
              <w:right w:val="single" w:color="auto" w:sz="4" w:space="0"/>
            </w:tcBorders>
            <w:vAlign w:val="top"/>
          </w:tcPr>
          <w:p>
            <w:pPr>
              <w:snapToGrid w:val="0"/>
              <w:spacing w:line="276" w:lineRule="auto"/>
              <w:jc w:val="center"/>
              <w:rPr>
                <w:rFonts w:hint="eastAsia" w:ascii="宋体" w:hAnsi="宋体" w:eastAsia="宋体" w:cs="宋体"/>
                <w:szCs w:val="21"/>
              </w:rPr>
            </w:pPr>
            <w:r>
              <w:rPr>
                <w:rFonts w:hint="eastAsia" w:ascii="宋体" w:hAnsi="宋体" w:eastAsia="宋体" w:cs="宋体"/>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szCs w:val="21"/>
              </w:rPr>
            </w:pPr>
          </w:p>
        </w:tc>
      </w:tr>
    </w:tbl>
    <w:p>
      <w:pPr>
        <w:spacing w:line="276" w:lineRule="auto"/>
        <w:rPr>
          <w:rFonts w:hint="eastAsia" w:ascii="宋体" w:hAnsi="宋体" w:eastAsia="宋体" w:cs="宋体"/>
          <w:szCs w:val="21"/>
        </w:rPr>
      </w:pPr>
      <w:r>
        <w:rPr>
          <w:rFonts w:hint="eastAsia" w:ascii="宋体" w:hAnsi="宋体" w:eastAsia="宋体" w:cs="宋体"/>
          <w:szCs w:val="21"/>
        </w:rPr>
        <w:t>说明：供应商应将所提供产品中属于节能、环保产品分别列入上表中，并按要求提供《市场监管总局关于发布参与实施政府采购节能产品、环境标志产品认证机构名录的公告（2019年第16号）》中所列认证机构）出具的、处于有效期之内的节能、环保产品认证证书，未填写本表或证明资料不全的不予认定。</w:t>
      </w:r>
    </w:p>
    <w:p>
      <w:pPr>
        <w:spacing w:line="276" w:lineRule="auto"/>
        <w:rPr>
          <w:rFonts w:hint="eastAsia" w:ascii="宋体" w:hAnsi="宋体" w:eastAsia="宋体" w:cs="宋体"/>
          <w:szCs w:val="21"/>
        </w:rPr>
      </w:pPr>
    </w:p>
    <w:p>
      <w:pPr>
        <w:spacing w:line="360" w:lineRule="auto"/>
        <w:ind w:firstLine="3968" w:firstLineChars="1890"/>
        <w:rPr>
          <w:rFonts w:hint="eastAsia" w:ascii="宋体" w:hAnsi="宋体" w:eastAsia="宋体" w:cs="宋体"/>
          <w:szCs w:val="21"/>
        </w:rPr>
      </w:pPr>
      <w:r>
        <w:rPr>
          <w:rFonts w:hint="eastAsia" w:ascii="宋体" w:hAnsi="宋体" w:eastAsia="宋体" w:cs="宋体"/>
          <w:szCs w:val="21"/>
        </w:rPr>
        <w:t>投标人名称（公章）：</w:t>
      </w:r>
      <w:r>
        <w:rPr>
          <w:rFonts w:hint="eastAsia" w:ascii="宋体" w:hAnsi="宋体" w:eastAsia="宋体" w:cs="宋体"/>
          <w:color w:val="000000"/>
          <w:szCs w:val="21"/>
          <w:u w:val="single"/>
        </w:rPr>
        <w:t xml:space="preserve">       </w:t>
      </w:r>
    </w:p>
    <w:p>
      <w:pPr>
        <w:spacing w:line="360" w:lineRule="auto"/>
        <w:ind w:firstLine="3968" w:firstLineChars="1890"/>
        <w:rPr>
          <w:rFonts w:hint="eastAsia" w:ascii="宋体" w:hAnsi="宋体" w:eastAsia="宋体" w:cs="宋体"/>
          <w:bCs/>
          <w:szCs w:val="21"/>
        </w:rPr>
      </w:pPr>
      <w:r>
        <w:rPr>
          <w:rFonts w:hint="eastAsia" w:ascii="宋体" w:hAnsi="宋体" w:eastAsia="宋体" w:cs="宋体"/>
          <w:bCs/>
          <w:szCs w:val="21"/>
        </w:rPr>
        <w:t>日期：</w:t>
      </w:r>
      <w:r>
        <w:rPr>
          <w:rFonts w:hint="eastAsia" w:ascii="宋体" w:hAnsi="宋体" w:eastAsia="宋体" w:cs="宋体"/>
          <w:color w:val="000000"/>
          <w:szCs w:val="21"/>
          <w:u w:val="single"/>
        </w:rPr>
        <w:t xml:space="preserve">    </w:t>
      </w:r>
      <w:r>
        <w:rPr>
          <w:rFonts w:hint="eastAsia" w:ascii="宋体" w:hAnsi="宋体" w:eastAsia="宋体" w:cs="宋体"/>
          <w:bCs/>
          <w:szCs w:val="21"/>
        </w:rPr>
        <w:t>年</w:t>
      </w:r>
      <w:r>
        <w:rPr>
          <w:rFonts w:hint="eastAsia" w:ascii="宋体" w:hAnsi="宋体" w:eastAsia="宋体" w:cs="宋体"/>
          <w:color w:val="000000"/>
          <w:szCs w:val="21"/>
          <w:u w:val="single"/>
        </w:rPr>
        <w:t xml:space="preserve">    </w:t>
      </w:r>
      <w:r>
        <w:rPr>
          <w:rFonts w:hint="eastAsia" w:ascii="宋体" w:hAnsi="宋体" w:eastAsia="宋体" w:cs="宋体"/>
          <w:bCs/>
          <w:szCs w:val="21"/>
        </w:rPr>
        <w:t>月</w:t>
      </w:r>
      <w:r>
        <w:rPr>
          <w:rFonts w:hint="eastAsia" w:ascii="宋体" w:hAnsi="宋体" w:eastAsia="宋体" w:cs="宋体"/>
          <w:color w:val="000000"/>
          <w:szCs w:val="21"/>
          <w:u w:val="single"/>
        </w:rPr>
        <w:t xml:space="preserve">    </w:t>
      </w:r>
      <w:r>
        <w:rPr>
          <w:rFonts w:hint="eastAsia" w:ascii="宋体" w:hAnsi="宋体" w:eastAsia="宋体" w:cs="宋体"/>
          <w:bCs/>
          <w:szCs w:val="21"/>
        </w:rPr>
        <w:t>日</w:t>
      </w:r>
    </w:p>
    <w:p>
      <w:pPr>
        <w:spacing w:line="360" w:lineRule="auto"/>
        <w:jc w:val="left"/>
        <w:rPr>
          <w:rFonts w:hint="eastAsia" w:ascii="宋体" w:hAnsi="宋体" w:eastAsia="宋体" w:cs="宋体"/>
          <w:bCs/>
          <w:kern w:val="0"/>
          <w:szCs w:val="21"/>
        </w:rPr>
        <w:sectPr>
          <w:pgSz w:w="11906" w:h="16838"/>
          <w:pgMar w:top="1134" w:right="1191" w:bottom="1134" w:left="1191" w:header="851" w:footer="851" w:gutter="0"/>
          <w:cols w:space="720" w:num="1"/>
          <w:docGrid w:type="linesAndChars" w:linePitch="312" w:charSpace="0"/>
        </w:sectPr>
      </w:pPr>
    </w:p>
    <w:p>
      <w:pPr>
        <w:pStyle w:val="29"/>
        <w:numPr>
          <w:ilvl w:val="0"/>
          <w:numId w:val="106"/>
        </w:numPr>
        <w:spacing w:line="276" w:lineRule="auto"/>
        <w:ind w:firstLineChars="0"/>
        <w:outlineLvl w:val="2"/>
        <w:rPr>
          <w:rFonts w:hint="eastAsia" w:ascii="宋体" w:hAnsi="宋体" w:eastAsia="宋体" w:cs="宋体"/>
          <w:color w:val="0D0D0D"/>
          <w:szCs w:val="21"/>
        </w:rPr>
      </w:pPr>
      <w:r>
        <w:rPr>
          <w:rFonts w:hint="eastAsia" w:ascii="宋体" w:hAnsi="宋体" w:eastAsia="宋体" w:cs="宋体"/>
          <w:szCs w:val="21"/>
        </w:rPr>
        <w:t>制造厂家（</w:t>
      </w:r>
      <w:r>
        <w:rPr>
          <w:rFonts w:hint="eastAsia" w:ascii="宋体" w:hAnsi="宋体" w:eastAsia="宋体" w:cs="宋体"/>
          <w:color w:val="FF0000"/>
          <w:szCs w:val="21"/>
        </w:rPr>
        <w:t>进口产品国内总代理</w:t>
      </w:r>
      <w:r>
        <w:rPr>
          <w:rFonts w:hint="eastAsia" w:ascii="宋体" w:hAnsi="宋体" w:eastAsia="宋体" w:cs="宋体"/>
          <w:szCs w:val="21"/>
        </w:rPr>
        <w:t>）授权书</w:t>
      </w:r>
      <w:r>
        <w:rPr>
          <w:rFonts w:hint="eastAsia" w:ascii="宋体" w:hAnsi="宋体" w:eastAsia="宋体" w:cs="宋体"/>
          <w:color w:val="0D0D0D"/>
          <w:szCs w:val="21"/>
        </w:rPr>
        <w:t>/售后服务承诺函（</w:t>
      </w:r>
      <w:r>
        <w:rPr>
          <w:rFonts w:hint="eastAsia" w:ascii="宋体" w:hAnsi="宋体" w:eastAsia="宋体" w:cs="宋体"/>
          <w:color w:val="FF0000"/>
          <w:szCs w:val="21"/>
        </w:rPr>
        <w:t>如需，格式自定</w:t>
      </w:r>
      <w:r>
        <w:rPr>
          <w:rFonts w:hint="eastAsia" w:ascii="宋体" w:hAnsi="宋体" w:eastAsia="宋体" w:cs="宋体"/>
          <w:color w:val="0D0D0D"/>
          <w:szCs w:val="21"/>
        </w:rPr>
        <w:t>）</w:t>
      </w:r>
    </w:p>
    <w:p>
      <w:pPr>
        <w:rPr>
          <w:rFonts w:hint="eastAsia" w:ascii="宋体" w:hAnsi="宋体" w:eastAsia="宋体" w:cs="宋体"/>
          <w:color w:val="0D0D0D"/>
          <w:szCs w:val="21"/>
        </w:rPr>
      </w:pPr>
    </w:p>
    <w:p>
      <w:pPr>
        <w:ind w:firstLine="420"/>
        <w:rPr>
          <w:rFonts w:hint="eastAsia" w:ascii="宋体" w:hAnsi="宋体" w:eastAsia="宋体" w:cs="宋体"/>
          <w:szCs w:val="21"/>
        </w:rPr>
      </w:pPr>
      <w:r>
        <w:rPr>
          <w:rFonts w:hint="eastAsia" w:ascii="宋体" w:hAnsi="宋体" w:eastAsia="宋体" w:cs="宋体"/>
          <w:szCs w:val="21"/>
        </w:rPr>
        <w:br w:type="page"/>
      </w:r>
    </w:p>
    <w:p>
      <w:pPr>
        <w:pStyle w:val="29"/>
        <w:numPr>
          <w:ilvl w:val="0"/>
          <w:numId w:val="106"/>
        </w:numPr>
        <w:spacing w:line="276" w:lineRule="auto"/>
        <w:ind w:firstLineChars="0"/>
        <w:outlineLvl w:val="2"/>
        <w:rPr>
          <w:rFonts w:hint="eastAsia" w:ascii="宋体" w:hAnsi="宋体" w:eastAsia="宋体" w:cs="宋体"/>
          <w:szCs w:val="21"/>
        </w:rPr>
      </w:pPr>
      <w:r>
        <w:rPr>
          <w:rFonts w:hint="eastAsia" w:ascii="宋体" w:hAnsi="宋体" w:eastAsia="宋体" w:cs="宋体"/>
          <w:szCs w:val="21"/>
        </w:rPr>
        <w:t>项目负责人、技术负责人简历表</w:t>
      </w:r>
    </w:p>
    <w:p>
      <w:pPr>
        <w:spacing w:line="276" w:lineRule="auto"/>
        <w:jc w:val="center"/>
        <w:rPr>
          <w:rFonts w:hint="eastAsia" w:ascii="宋体" w:hAnsi="宋体" w:eastAsia="宋体" w:cs="宋体"/>
          <w:b/>
          <w:bCs/>
          <w:kern w:val="0"/>
          <w:szCs w:val="21"/>
        </w:rPr>
      </w:pPr>
      <w:r>
        <w:rPr>
          <w:rFonts w:hint="eastAsia" w:ascii="宋体" w:hAnsi="宋体" w:eastAsia="宋体" w:cs="宋体"/>
          <w:b/>
          <w:bCs/>
          <w:kern w:val="0"/>
          <w:szCs w:val="21"/>
        </w:rPr>
        <w:t>项目负责人、技术负责人简历表</w:t>
      </w:r>
      <w:bookmarkEnd w:id="126"/>
      <w:bookmarkEnd w:id="127"/>
      <w:bookmarkEnd w:id="128"/>
      <w:bookmarkEnd w:id="129"/>
      <w:bookmarkEnd w:id="130"/>
      <w:bookmarkEnd w:id="131"/>
    </w:p>
    <w:p>
      <w:pPr>
        <w:spacing w:line="276" w:lineRule="auto"/>
        <w:jc w:val="left"/>
        <w:rPr>
          <w:rFonts w:hint="eastAsia" w:ascii="宋体" w:hAnsi="宋体" w:eastAsia="宋体" w:cs="宋体"/>
          <w:szCs w:val="21"/>
        </w:rPr>
      </w:pPr>
      <w:r>
        <w:rPr>
          <w:rFonts w:hint="eastAsia" w:ascii="宋体" w:hAnsi="宋体" w:eastAsia="宋体" w:cs="宋体"/>
          <w:szCs w:val="21"/>
        </w:rPr>
        <w:t>投 标 人：</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spacing w:line="276" w:lineRule="auto"/>
        <w:jc w:val="left"/>
        <w:rPr>
          <w:rFonts w:hint="eastAsia" w:ascii="宋体" w:hAnsi="宋体" w:eastAsia="宋体" w:cs="宋体"/>
          <w:szCs w:val="21"/>
        </w:rPr>
      </w:pPr>
      <w:r>
        <w:rPr>
          <w:rFonts w:hint="eastAsia" w:ascii="宋体" w:hAnsi="宋体" w:eastAsia="宋体" w:cs="宋体"/>
          <w:szCs w:val="21"/>
          <w:lang w:val="zh-CN"/>
        </w:rPr>
        <w:t>项目编号/标段编号：</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r>
        <w:rPr>
          <w:rFonts w:hint="eastAsia" w:ascii="宋体" w:hAnsi="宋体" w:eastAsia="宋体" w:cs="宋体"/>
          <w:bCs/>
          <w:szCs w:val="21"/>
          <w:lang w:val="zh-CN"/>
        </w:rPr>
        <w:t xml:space="preserve">                项目名称：</w:t>
      </w:r>
      <w:r>
        <w:rPr>
          <w:rFonts w:hint="eastAsia" w:ascii="宋体" w:hAnsi="宋体" w:eastAsia="宋体" w:cs="宋体"/>
          <w:bCs/>
          <w:szCs w:val="21"/>
          <w:u w:val="single"/>
          <w:lang w:val="zh-CN"/>
        </w:rPr>
        <w:t xml:space="preserve">           </w:t>
      </w:r>
    </w:p>
    <w:tbl>
      <w:tblPr>
        <w:tblStyle w:val="2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eastAsia="宋体" w:cs="宋体"/>
                <w:kern w:val="0"/>
                <w:szCs w:val="21"/>
              </w:rPr>
            </w:pPr>
            <w:r>
              <w:rPr>
                <w:rFonts w:hint="eastAsia" w:ascii="宋体" w:hAnsi="宋体" w:eastAsia="宋体" w:cs="宋体"/>
                <w:kern w:val="0"/>
                <w:szCs w:val="21"/>
              </w:rPr>
              <w:t>姓    名</w:t>
            </w: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285" w:rightChars="136"/>
              <w:jc w:val="center"/>
              <w:rPr>
                <w:rFonts w:hint="eastAsia" w:ascii="宋体" w:hAnsi="宋体" w:eastAsia="宋体" w:cs="宋体"/>
                <w:kern w:val="0"/>
                <w:szCs w:val="21"/>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128" w:rightChars="-61"/>
              <w:jc w:val="center"/>
              <w:rPr>
                <w:rFonts w:hint="eastAsia" w:ascii="宋体" w:hAnsi="宋体" w:eastAsia="宋体" w:cs="宋体"/>
                <w:kern w:val="0"/>
                <w:szCs w:val="21"/>
              </w:rPr>
            </w:pPr>
            <w:r>
              <w:rPr>
                <w:rFonts w:hint="eastAsia" w:ascii="宋体" w:hAnsi="宋体" w:eastAsia="宋体" w:cs="宋体"/>
                <w:kern w:val="0"/>
                <w:szCs w:val="21"/>
              </w:rPr>
              <w:t>性    别</w:t>
            </w: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285" w:rightChars="136"/>
              <w:jc w:val="center"/>
              <w:rPr>
                <w:rFonts w:hint="eastAsia" w:ascii="宋体" w:hAnsi="宋体" w:eastAsia="宋体" w:cs="宋体"/>
                <w:kern w:val="0"/>
                <w:szCs w:val="21"/>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2" w:rightChars="1"/>
              <w:jc w:val="center"/>
              <w:rPr>
                <w:rFonts w:hint="eastAsia" w:ascii="宋体" w:hAnsi="宋体" w:eastAsia="宋体" w:cs="宋体"/>
                <w:kern w:val="0"/>
                <w:szCs w:val="21"/>
              </w:rPr>
            </w:pPr>
            <w:r>
              <w:rPr>
                <w:rFonts w:hint="eastAsia" w:ascii="宋体" w:hAnsi="宋体" w:eastAsia="宋体" w:cs="宋体"/>
                <w:kern w:val="0"/>
                <w:szCs w:val="21"/>
              </w:rPr>
              <w:t>年    龄</w:t>
            </w:r>
          </w:p>
        </w:tc>
        <w:tc>
          <w:tcPr>
            <w:tcW w:w="1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285" w:rightChars="136"/>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eastAsia="宋体" w:cs="宋体"/>
                <w:kern w:val="0"/>
                <w:szCs w:val="21"/>
              </w:rPr>
            </w:pPr>
            <w:r>
              <w:rPr>
                <w:rFonts w:hint="eastAsia" w:ascii="宋体" w:hAnsi="宋体" w:eastAsia="宋体" w:cs="宋体"/>
                <w:kern w:val="0"/>
                <w:szCs w:val="21"/>
              </w:rPr>
              <w:t>职    务</w:t>
            </w: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285" w:rightChars="136"/>
              <w:jc w:val="center"/>
              <w:rPr>
                <w:rFonts w:hint="eastAsia" w:ascii="宋体" w:hAnsi="宋体" w:eastAsia="宋体" w:cs="宋体"/>
                <w:kern w:val="0"/>
                <w:szCs w:val="21"/>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84" w:rightChars="-40"/>
              <w:jc w:val="center"/>
              <w:rPr>
                <w:rFonts w:hint="eastAsia" w:ascii="宋体" w:hAnsi="宋体" w:eastAsia="宋体" w:cs="宋体"/>
                <w:kern w:val="0"/>
                <w:szCs w:val="21"/>
              </w:rPr>
            </w:pPr>
            <w:r>
              <w:rPr>
                <w:rFonts w:hint="eastAsia" w:ascii="宋体" w:hAnsi="宋体" w:eastAsia="宋体" w:cs="宋体"/>
                <w:kern w:val="0"/>
                <w:szCs w:val="21"/>
              </w:rPr>
              <w:t>职    称</w:t>
            </w: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285" w:rightChars="136"/>
              <w:jc w:val="center"/>
              <w:rPr>
                <w:rFonts w:hint="eastAsia" w:ascii="宋体" w:hAnsi="宋体" w:eastAsia="宋体" w:cs="宋体"/>
                <w:kern w:val="0"/>
                <w:szCs w:val="21"/>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2" w:rightChars="1"/>
              <w:jc w:val="center"/>
              <w:rPr>
                <w:rFonts w:hint="eastAsia" w:ascii="宋体" w:hAnsi="宋体" w:eastAsia="宋体" w:cs="宋体"/>
                <w:kern w:val="0"/>
                <w:szCs w:val="21"/>
              </w:rPr>
            </w:pPr>
            <w:r>
              <w:rPr>
                <w:rFonts w:hint="eastAsia" w:ascii="宋体" w:hAnsi="宋体" w:eastAsia="宋体" w:cs="宋体"/>
                <w:kern w:val="0"/>
                <w:szCs w:val="21"/>
              </w:rPr>
              <w:t>学    历</w:t>
            </w:r>
          </w:p>
        </w:tc>
        <w:tc>
          <w:tcPr>
            <w:tcW w:w="1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2" w:rightChars="1"/>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eastAsia="宋体" w:cs="宋体"/>
                <w:kern w:val="0"/>
                <w:szCs w:val="21"/>
              </w:rPr>
            </w:pPr>
            <w:r>
              <w:rPr>
                <w:rFonts w:hint="eastAsia" w:ascii="宋体" w:hAnsi="宋体" w:eastAsia="宋体" w:cs="宋体"/>
                <w:kern w:val="0"/>
                <w:szCs w:val="21"/>
              </w:rPr>
              <w:t>参加工作</w:t>
            </w:r>
          </w:p>
          <w:p>
            <w:pPr>
              <w:autoSpaceDE w:val="0"/>
              <w:autoSpaceDN w:val="0"/>
              <w:adjustRightInd w:val="0"/>
              <w:spacing w:line="276" w:lineRule="auto"/>
              <w:jc w:val="center"/>
              <w:rPr>
                <w:rFonts w:hint="eastAsia" w:ascii="宋体" w:hAnsi="宋体" w:eastAsia="宋体" w:cs="宋体"/>
                <w:kern w:val="0"/>
                <w:szCs w:val="21"/>
              </w:rPr>
            </w:pPr>
            <w:r>
              <w:rPr>
                <w:rFonts w:hint="eastAsia" w:ascii="宋体" w:hAnsi="宋体" w:eastAsia="宋体" w:cs="宋体"/>
                <w:kern w:val="0"/>
                <w:szCs w:val="21"/>
              </w:rPr>
              <w:t>时间</w:t>
            </w: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eastAsia="宋体" w:cs="宋体"/>
                <w:kern w:val="0"/>
                <w:szCs w:val="21"/>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eastAsia="宋体" w:cs="宋体"/>
                <w:kern w:val="0"/>
                <w:szCs w:val="21"/>
              </w:rPr>
            </w:pPr>
            <w:r>
              <w:rPr>
                <w:rFonts w:hint="eastAsia" w:ascii="宋体" w:hAnsi="宋体" w:eastAsia="宋体" w:cs="宋体"/>
                <w:kern w:val="0"/>
                <w:szCs w:val="21"/>
              </w:rPr>
              <w:t>从事本行业工作年限</w:t>
            </w: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eastAsia="宋体" w:cs="宋体"/>
                <w:kern w:val="0"/>
                <w:szCs w:val="21"/>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eastAsia="宋体" w:cs="宋体"/>
                <w:kern w:val="0"/>
                <w:szCs w:val="21"/>
              </w:rPr>
            </w:pPr>
            <w:r>
              <w:rPr>
                <w:rFonts w:hint="eastAsia" w:ascii="宋体" w:hAnsi="宋体" w:eastAsia="宋体" w:cs="宋体"/>
                <w:kern w:val="0"/>
                <w:szCs w:val="21"/>
              </w:rPr>
              <w:t>个人专业资质及证书</w:t>
            </w:r>
          </w:p>
        </w:tc>
        <w:tc>
          <w:tcPr>
            <w:tcW w:w="15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9180"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285" w:rightChars="136"/>
              <w:jc w:val="center"/>
              <w:rPr>
                <w:rFonts w:hint="eastAsia" w:ascii="宋体" w:hAnsi="宋体" w:eastAsia="宋体" w:cs="宋体"/>
                <w:kern w:val="0"/>
                <w:szCs w:val="21"/>
              </w:rPr>
            </w:pPr>
            <w:r>
              <w:rPr>
                <w:rFonts w:hint="eastAsia" w:ascii="宋体" w:hAnsi="宋体" w:eastAsia="宋体" w:cs="宋体"/>
                <w:kern w:val="0"/>
                <w:szCs w:val="21"/>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9180"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285" w:rightChars="136"/>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9180"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285" w:rightChars="136"/>
              <w:jc w:val="center"/>
              <w:rPr>
                <w:rFonts w:hint="eastAsia" w:ascii="宋体" w:hAnsi="宋体" w:eastAsia="宋体" w:cs="宋体"/>
                <w:kern w:val="0"/>
                <w:szCs w:val="21"/>
              </w:rPr>
            </w:pPr>
            <w:r>
              <w:rPr>
                <w:rFonts w:hint="eastAsia" w:ascii="宋体" w:hAnsi="宋体" w:eastAsia="宋体" w:cs="宋体"/>
                <w:kern w:val="0"/>
                <w:szCs w:val="21"/>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r>
              <w:rPr>
                <w:rFonts w:hint="eastAsia" w:ascii="宋体" w:hAnsi="宋体" w:eastAsia="宋体" w:cs="宋体"/>
                <w:kern w:val="0"/>
                <w:szCs w:val="21"/>
              </w:rPr>
              <w:t>项目单位</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r>
              <w:rPr>
                <w:rFonts w:hint="eastAsia" w:ascii="宋体" w:hAnsi="宋体" w:eastAsia="宋体" w:cs="宋体"/>
                <w:kern w:val="0"/>
                <w:szCs w:val="21"/>
              </w:rPr>
              <w:t>项目内容</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r>
              <w:rPr>
                <w:rFonts w:hint="eastAsia" w:ascii="宋体" w:hAnsi="宋体" w:eastAsia="宋体" w:cs="宋体"/>
                <w:kern w:val="0"/>
                <w:szCs w:val="21"/>
              </w:rPr>
              <w:t>项目金额</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r>
              <w:rPr>
                <w:rFonts w:hint="eastAsia" w:ascii="宋体" w:hAnsi="宋体" w:eastAsia="宋体" w:cs="宋体"/>
                <w:kern w:val="0"/>
                <w:szCs w:val="21"/>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right="-79" w:rightChars="-38"/>
              <w:jc w:val="center"/>
              <w:rPr>
                <w:rFonts w:hint="eastAsia" w:ascii="宋体" w:hAnsi="宋体" w:eastAsia="宋体" w:cs="宋体"/>
                <w:kern w:val="0"/>
                <w:szCs w:val="21"/>
              </w:rPr>
            </w:pPr>
          </w:p>
        </w:tc>
      </w:tr>
    </w:tbl>
    <w:p>
      <w:pPr>
        <w:spacing w:line="276" w:lineRule="auto"/>
        <w:ind w:left="619" w:hanging="619" w:hangingChars="295"/>
        <w:jc w:val="left"/>
        <w:rPr>
          <w:rFonts w:hint="eastAsia" w:ascii="宋体" w:hAnsi="宋体" w:eastAsia="宋体" w:cs="宋体"/>
          <w:szCs w:val="21"/>
          <w:lang w:val="zh-CN"/>
        </w:rPr>
      </w:pPr>
      <w:r>
        <w:rPr>
          <w:rFonts w:hint="eastAsia" w:ascii="宋体" w:hAnsi="宋体" w:eastAsia="宋体" w:cs="宋体"/>
          <w:szCs w:val="21"/>
        </w:rPr>
        <w:t>说明</w:t>
      </w:r>
      <w:r>
        <w:rPr>
          <w:rFonts w:hint="eastAsia" w:ascii="宋体" w:hAnsi="宋体" w:eastAsia="宋体" w:cs="宋体"/>
          <w:szCs w:val="21"/>
          <w:lang w:val="zh-CN"/>
        </w:rPr>
        <w:t>：投标文件应附完整的相关证明材料清晰复印件加盖投标人公章，未按照要求详细完整填写此表，导致的后果由投标人自行承担。</w:t>
      </w:r>
    </w:p>
    <w:p>
      <w:pPr>
        <w:spacing w:line="276" w:lineRule="auto"/>
        <w:jc w:val="left"/>
        <w:rPr>
          <w:rFonts w:hint="eastAsia" w:ascii="宋体" w:hAnsi="宋体" w:eastAsia="宋体" w:cs="宋体"/>
          <w:szCs w:val="21"/>
          <w:lang w:val="zh-CN"/>
        </w:rPr>
      </w:pPr>
    </w:p>
    <w:p>
      <w:pPr>
        <w:spacing w:before="100" w:beforeAutospacing="1" w:after="100" w:afterAutospacing="1" w:line="276" w:lineRule="auto"/>
        <w:ind w:firstLine="2902" w:firstLineChars="1382"/>
        <w:rPr>
          <w:rFonts w:hint="eastAsia" w:ascii="宋体" w:hAnsi="宋体" w:eastAsia="宋体" w:cs="宋体"/>
          <w:bCs/>
          <w:szCs w:val="21"/>
          <w:u w:val="single"/>
        </w:rPr>
      </w:pPr>
      <w:r>
        <w:rPr>
          <w:rFonts w:hint="eastAsia" w:ascii="宋体" w:hAnsi="宋体" w:eastAsia="宋体" w:cs="宋体"/>
          <w:bCs/>
          <w:szCs w:val="21"/>
        </w:rPr>
        <w:t>投标人名称（公章）：</w:t>
      </w:r>
      <w:r>
        <w:rPr>
          <w:rFonts w:hint="eastAsia" w:ascii="宋体" w:hAnsi="宋体" w:eastAsia="宋体" w:cs="宋体"/>
          <w:bCs/>
          <w:szCs w:val="21"/>
          <w:u w:val="single"/>
        </w:rPr>
        <w:t xml:space="preserve">                          </w:t>
      </w:r>
    </w:p>
    <w:p>
      <w:pPr>
        <w:spacing w:before="100" w:beforeAutospacing="1" w:after="100" w:afterAutospacing="1" w:line="276" w:lineRule="auto"/>
        <w:ind w:firstLine="2902" w:firstLineChars="1382"/>
        <w:rPr>
          <w:rFonts w:hint="eastAsia" w:ascii="宋体" w:hAnsi="宋体" w:eastAsia="宋体" w:cs="宋体"/>
          <w:szCs w:val="21"/>
        </w:rPr>
      </w:pPr>
      <w:r>
        <w:rPr>
          <w:rFonts w:hint="eastAsia" w:ascii="宋体" w:hAnsi="宋体" w:eastAsia="宋体" w:cs="宋体"/>
          <w:bCs/>
          <w:szCs w:val="21"/>
          <w:lang w:val="zh-CN"/>
        </w:rPr>
        <w:t>日期</w:t>
      </w:r>
      <w:r>
        <w:rPr>
          <w:rFonts w:hint="eastAsia" w:ascii="宋体" w:hAnsi="宋体" w:eastAsia="宋体" w:cs="宋体"/>
          <w:bCs/>
          <w:szCs w:val="21"/>
        </w:rPr>
        <w:t>：</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pPr>
        <w:pStyle w:val="29"/>
        <w:numPr>
          <w:ilvl w:val="0"/>
          <w:numId w:val="106"/>
        </w:numPr>
        <w:spacing w:line="276" w:lineRule="auto"/>
        <w:ind w:firstLineChars="0"/>
        <w:outlineLvl w:val="2"/>
        <w:rPr>
          <w:rFonts w:hint="eastAsia" w:ascii="宋体" w:hAnsi="宋体" w:eastAsia="宋体" w:cs="宋体"/>
          <w:szCs w:val="21"/>
        </w:rPr>
      </w:pPr>
      <w:r>
        <w:rPr>
          <w:rFonts w:hint="eastAsia" w:ascii="宋体" w:hAnsi="宋体" w:eastAsia="宋体" w:cs="宋体"/>
          <w:kern w:val="0"/>
          <w:szCs w:val="21"/>
        </w:rPr>
        <w:br w:type="page"/>
      </w:r>
      <w:bookmarkStart w:id="132" w:name="_Toc494665963"/>
      <w:bookmarkStart w:id="133" w:name="_Toc494721113"/>
      <w:bookmarkStart w:id="134" w:name="_Toc494665013"/>
      <w:bookmarkStart w:id="135" w:name="_Toc238276251"/>
      <w:bookmarkStart w:id="136" w:name="_Toc494665566"/>
      <w:bookmarkStart w:id="137" w:name="_Toc494745330"/>
      <w:bookmarkStart w:id="138" w:name="_Toc494702283"/>
      <w:bookmarkStart w:id="139" w:name="_Toc236473307"/>
      <w:r>
        <w:rPr>
          <w:rFonts w:hint="eastAsia" w:ascii="宋体" w:hAnsi="宋体" w:eastAsia="宋体" w:cs="宋体"/>
          <w:szCs w:val="21"/>
        </w:rPr>
        <w:t>项目组成员一览表及证明材料（</w:t>
      </w:r>
      <w:r>
        <w:rPr>
          <w:rFonts w:hint="eastAsia" w:ascii="宋体" w:hAnsi="宋体" w:eastAsia="宋体" w:cs="宋体"/>
          <w:color w:val="FF0000"/>
          <w:szCs w:val="21"/>
        </w:rPr>
        <w:t>如需</w:t>
      </w:r>
      <w:r>
        <w:rPr>
          <w:rFonts w:hint="eastAsia" w:ascii="宋体" w:hAnsi="宋体" w:eastAsia="宋体" w:cs="宋体"/>
          <w:szCs w:val="21"/>
        </w:rPr>
        <w:t>）</w:t>
      </w:r>
    </w:p>
    <w:bookmarkEnd w:id="132"/>
    <w:bookmarkEnd w:id="133"/>
    <w:bookmarkEnd w:id="134"/>
    <w:bookmarkEnd w:id="135"/>
    <w:bookmarkEnd w:id="136"/>
    <w:bookmarkEnd w:id="137"/>
    <w:bookmarkEnd w:id="138"/>
    <w:bookmarkEnd w:id="139"/>
    <w:p>
      <w:pPr>
        <w:spacing w:line="276" w:lineRule="auto"/>
        <w:jc w:val="center"/>
        <w:rPr>
          <w:rFonts w:hint="eastAsia" w:ascii="宋体" w:hAnsi="宋体" w:eastAsia="宋体" w:cs="宋体"/>
          <w:b/>
          <w:szCs w:val="21"/>
        </w:rPr>
      </w:pPr>
      <w:r>
        <w:rPr>
          <w:rFonts w:hint="eastAsia" w:ascii="宋体" w:hAnsi="宋体" w:eastAsia="宋体" w:cs="宋体"/>
          <w:b/>
          <w:szCs w:val="21"/>
        </w:rPr>
        <w:t>项目组成员一览表及证明材料</w:t>
      </w:r>
    </w:p>
    <w:p>
      <w:pPr>
        <w:spacing w:line="276" w:lineRule="auto"/>
        <w:jc w:val="left"/>
        <w:rPr>
          <w:rFonts w:hint="eastAsia" w:ascii="宋体" w:hAnsi="宋体" w:eastAsia="宋体" w:cs="宋体"/>
          <w:szCs w:val="21"/>
        </w:rPr>
      </w:pPr>
      <w:r>
        <w:rPr>
          <w:rFonts w:hint="eastAsia" w:ascii="宋体" w:hAnsi="宋体" w:eastAsia="宋体" w:cs="宋体"/>
          <w:szCs w:val="21"/>
        </w:rPr>
        <w:t>投 标 人：</w:t>
      </w:r>
      <w:r>
        <w:rPr>
          <w:rFonts w:hint="eastAsia" w:ascii="宋体" w:hAnsi="宋体" w:eastAsia="宋体" w:cs="宋体"/>
          <w:szCs w:val="21"/>
          <w:u w:val="single"/>
          <w:lang w:val="zh-CN"/>
        </w:rPr>
        <w:t xml:space="preserve">                     </w:t>
      </w:r>
    </w:p>
    <w:p>
      <w:pPr>
        <w:spacing w:line="276" w:lineRule="auto"/>
        <w:jc w:val="left"/>
        <w:rPr>
          <w:rFonts w:hint="eastAsia" w:ascii="宋体" w:hAnsi="宋体" w:eastAsia="宋体" w:cs="宋体"/>
          <w:szCs w:val="21"/>
        </w:rPr>
      </w:pPr>
      <w:r>
        <w:rPr>
          <w:rFonts w:hint="eastAsia" w:ascii="宋体" w:hAnsi="宋体" w:eastAsia="宋体" w:cs="宋体"/>
          <w:szCs w:val="21"/>
          <w:lang w:val="zh-CN"/>
        </w:rPr>
        <w:t>项目编号/标段编号：</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r>
        <w:rPr>
          <w:rFonts w:hint="eastAsia" w:ascii="宋体" w:hAnsi="宋体" w:eastAsia="宋体" w:cs="宋体"/>
          <w:bCs/>
          <w:szCs w:val="21"/>
          <w:lang w:val="zh-CN"/>
        </w:rPr>
        <w:t xml:space="preserve">                项目名称：</w:t>
      </w:r>
      <w:r>
        <w:rPr>
          <w:rFonts w:hint="eastAsia" w:ascii="宋体" w:hAnsi="宋体" w:eastAsia="宋体" w:cs="宋体"/>
          <w:bCs/>
          <w:szCs w:val="21"/>
          <w:u w:val="single"/>
          <w:lang w:val="zh-CN"/>
        </w:rPr>
        <w:t xml:space="preserve">                    </w:t>
      </w:r>
    </w:p>
    <w:tbl>
      <w:tblPr>
        <w:tblStyle w:val="2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kern w:val="0"/>
                <w:szCs w:val="21"/>
              </w:rPr>
            </w:pPr>
            <w:r>
              <w:rPr>
                <w:rFonts w:hint="eastAsia" w:ascii="宋体" w:hAnsi="宋体" w:eastAsia="宋体" w:cs="宋体"/>
                <w:kern w:val="0"/>
                <w:szCs w:val="21"/>
              </w:rPr>
              <w:t>从事本行业工作年限</w:t>
            </w:r>
          </w:p>
        </w:tc>
        <w:tc>
          <w:tcPr>
            <w:tcW w:w="1843"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在本项目中承担的工作</w:t>
            </w:r>
          </w:p>
        </w:tc>
        <w:tc>
          <w:tcPr>
            <w:tcW w:w="1842"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kern w:val="0"/>
                <w:szCs w:val="21"/>
              </w:rPr>
            </w:pPr>
            <w:r>
              <w:rPr>
                <w:rFonts w:hint="eastAsia" w:ascii="宋体" w:hAnsi="宋体" w:eastAsia="宋体" w:cs="宋体"/>
                <w:kern w:val="0"/>
                <w:szCs w:val="21"/>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szCs w:val="21"/>
              </w:rPr>
            </w:pPr>
            <w:r>
              <w:rPr>
                <w:rFonts w:hint="eastAsia" w:ascii="宋体" w:hAnsi="宋体" w:eastAsia="宋体" w:cs="宋体"/>
                <w:szCs w:val="21"/>
              </w:rPr>
              <w:t>项目负责人</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2</w:t>
            </w:r>
          </w:p>
        </w:tc>
        <w:tc>
          <w:tcPr>
            <w:tcW w:w="9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3</w:t>
            </w:r>
          </w:p>
        </w:tc>
        <w:tc>
          <w:tcPr>
            <w:tcW w:w="9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4</w:t>
            </w:r>
          </w:p>
        </w:tc>
        <w:tc>
          <w:tcPr>
            <w:tcW w:w="9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5</w:t>
            </w:r>
          </w:p>
        </w:tc>
        <w:tc>
          <w:tcPr>
            <w:tcW w:w="9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6</w:t>
            </w:r>
          </w:p>
        </w:tc>
        <w:tc>
          <w:tcPr>
            <w:tcW w:w="9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b/>
                <w:szCs w:val="21"/>
              </w:rPr>
            </w:pPr>
            <w:r>
              <w:rPr>
                <w:rFonts w:hint="eastAsia" w:ascii="宋体" w:hAnsi="宋体" w:eastAsia="宋体" w:cs="宋体"/>
                <w:b/>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bl>
    <w:p>
      <w:pPr>
        <w:spacing w:line="276" w:lineRule="auto"/>
        <w:ind w:left="630" w:hanging="630" w:hangingChars="300"/>
        <w:jc w:val="left"/>
        <w:rPr>
          <w:rFonts w:hint="eastAsia" w:ascii="宋体" w:hAnsi="宋体" w:eastAsia="宋体" w:cs="宋体"/>
          <w:szCs w:val="21"/>
          <w:lang w:val="zh-CN"/>
        </w:rPr>
      </w:pPr>
      <w:r>
        <w:rPr>
          <w:rFonts w:hint="eastAsia" w:ascii="宋体" w:hAnsi="宋体" w:eastAsia="宋体" w:cs="宋体"/>
          <w:szCs w:val="21"/>
          <w:lang w:val="zh-CN"/>
        </w:rPr>
        <w:t>说明：投标文件应附完整的相关证明材料清晰复印件并加盖投标人公章，未按照要求详细完整填写此表，导致的后果由投标人自行承担。</w:t>
      </w:r>
    </w:p>
    <w:p>
      <w:pPr>
        <w:spacing w:line="276" w:lineRule="auto"/>
        <w:jc w:val="left"/>
        <w:rPr>
          <w:rFonts w:hint="eastAsia" w:ascii="宋体" w:hAnsi="宋体" w:eastAsia="宋体" w:cs="宋体"/>
          <w:szCs w:val="21"/>
          <w:lang w:val="zh-CN"/>
        </w:rPr>
      </w:pPr>
    </w:p>
    <w:p>
      <w:pPr>
        <w:spacing w:line="276" w:lineRule="auto"/>
        <w:jc w:val="left"/>
        <w:rPr>
          <w:rFonts w:hint="eastAsia" w:ascii="宋体" w:hAnsi="宋体" w:eastAsia="宋体" w:cs="宋体"/>
          <w:szCs w:val="21"/>
          <w:lang w:val="zh-CN"/>
        </w:rPr>
      </w:pPr>
    </w:p>
    <w:p>
      <w:pPr>
        <w:spacing w:line="276" w:lineRule="auto"/>
        <w:jc w:val="left"/>
        <w:rPr>
          <w:rFonts w:hint="eastAsia" w:ascii="宋体" w:hAnsi="宋体" w:eastAsia="宋体" w:cs="宋体"/>
          <w:szCs w:val="21"/>
          <w:lang w:val="zh-CN"/>
        </w:rPr>
      </w:pPr>
    </w:p>
    <w:p>
      <w:pPr>
        <w:spacing w:line="276" w:lineRule="auto"/>
        <w:jc w:val="left"/>
        <w:rPr>
          <w:rFonts w:hint="eastAsia" w:ascii="宋体" w:hAnsi="宋体" w:eastAsia="宋体" w:cs="宋体"/>
          <w:szCs w:val="21"/>
          <w:lang w:val="zh-CN"/>
        </w:rPr>
      </w:pPr>
    </w:p>
    <w:p>
      <w:pPr>
        <w:spacing w:line="276" w:lineRule="auto"/>
        <w:jc w:val="left"/>
        <w:rPr>
          <w:rFonts w:hint="eastAsia" w:ascii="宋体" w:hAnsi="宋体" w:eastAsia="宋体" w:cs="宋体"/>
          <w:szCs w:val="21"/>
          <w:lang w:val="zh-CN"/>
        </w:rPr>
      </w:pPr>
    </w:p>
    <w:p>
      <w:pPr>
        <w:spacing w:before="100" w:beforeAutospacing="1" w:after="100" w:afterAutospacing="1" w:line="276" w:lineRule="auto"/>
        <w:ind w:firstLine="2902" w:firstLineChars="1382"/>
        <w:rPr>
          <w:rFonts w:hint="eastAsia" w:ascii="宋体" w:hAnsi="宋体" w:eastAsia="宋体" w:cs="宋体"/>
          <w:bCs/>
          <w:szCs w:val="21"/>
          <w:u w:val="single"/>
        </w:rPr>
      </w:pPr>
      <w:r>
        <w:rPr>
          <w:rFonts w:hint="eastAsia" w:ascii="宋体" w:hAnsi="宋体" w:eastAsia="宋体" w:cs="宋体"/>
          <w:bCs/>
          <w:szCs w:val="21"/>
        </w:rPr>
        <w:t>投标人名称（公章）：</w:t>
      </w:r>
      <w:r>
        <w:rPr>
          <w:rFonts w:hint="eastAsia" w:ascii="宋体" w:hAnsi="宋体" w:eastAsia="宋体" w:cs="宋体"/>
          <w:bCs/>
          <w:szCs w:val="21"/>
          <w:u w:val="single"/>
        </w:rPr>
        <w:t xml:space="preserve">                          </w:t>
      </w:r>
    </w:p>
    <w:p>
      <w:pPr>
        <w:spacing w:before="100" w:beforeAutospacing="1" w:after="100" w:afterAutospacing="1" w:line="276" w:lineRule="auto"/>
        <w:ind w:firstLine="2902" w:firstLineChars="1382"/>
        <w:rPr>
          <w:rFonts w:hint="eastAsia" w:ascii="宋体" w:hAnsi="宋体" w:eastAsia="宋体" w:cs="宋体"/>
          <w:bCs/>
          <w:szCs w:val="21"/>
          <w:u w:val="single"/>
        </w:rPr>
      </w:pPr>
      <w:r>
        <w:rPr>
          <w:rFonts w:hint="eastAsia" w:ascii="宋体" w:hAnsi="宋体" w:eastAsia="宋体" w:cs="宋体"/>
          <w:bCs/>
          <w:szCs w:val="21"/>
          <w:lang w:val="zh-CN"/>
        </w:rPr>
        <w:t>日期</w:t>
      </w:r>
      <w:r>
        <w:rPr>
          <w:rFonts w:hint="eastAsia" w:ascii="宋体" w:hAnsi="宋体" w:eastAsia="宋体" w:cs="宋体"/>
          <w:bCs/>
          <w:szCs w:val="21"/>
        </w:rPr>
        <w:t>：</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pPr>
        <w:pStyle w:val="29"/>
        <w:numPr>
          <w:ilvl w:val="0"/>
          <w:numId w:val="106"/>
        </w:numPr>
        <w:spacing w:line="276" w:lineRule="auto"/>
        <w:ind w:firstLineChars="0"/>
        <w:outlineLvl w:val="2"/>
        <w:rPr>
          <w:rFonts w:hint="eastAsia" w:ascii="宋体" w:hAnsi="宋体" w:eastAsia="宋体" w:cs="宋体"/>
          <w:szCs w:val="21"/>
        </w:rPr>
      </w:pPr>
      <w:r>
        <w:rPr>
          <w:rFonts w:hint="eastAsia" w:ascii="宋体" w:hAnsi="宋体" w:eastAsia="宋体" w:cs="宋体"/>
          <w:kern w:val="0"/>
          <w:szCs w:val="21"/>
        </w:rPr>
        <w:br w:type="page"/>
      </w:r>
      <w:r>
        <w:rPr>
          <w:rFonts w:hint="eastAsia" w:ascii="宋体" w:hAnsi="宋体" w:eastAsia="宋体" w:cs="宋体"/>
          <w:szCs w:val="21"/>
        </w:rPr>
        <w:t>类似项目业绩表</w:t>
      </w:r>
    </w:p>
    <w:p>
      <w:pPr>
        <w:spacing w:line="276" w:lineRule="auto"/>
        <w:jc w:val="center"/>
        <w:rPr>
          <w:rFonts w:hint="eastAsia" w:ascii="宋体" w:hAnsi="宋体" w:eastAsia="宋体" w:cs="宋体"/>
          <w:b/>
          <w:szCs w:val="21"/>
        </w:rPr>
      </w:pPr>
      <w:r>
        <w:rPr>
          <w:rFonts w:hint="eastAsia" w:ascii="宋体" w:hAnsi="宋体" w:eastAsia="宋体" w:cs="宋体"/>
          <w:b/>
          <w:szCs w:val="21"/>
        </w:rPr>
        <w:t>类似项目业绩表</w:t>
      </w:r>
    </w:p>
    <w:p>
      <w:pPr>
        <w:spacing w:line="276" w:lineRule="auto"/>
        <w:jc w:val="center"/>
        <w:rPr>
          <w:rFonts w:hint="eastAsia" w:ascii="宋体" w:hAnsi="宋体" w:eastAsia="宋体" w:cs="宋体"/>
          <w:b/>
          <w:szCs w:val="21"/>
        </w:rPr>
      </w:pPr>
    </w:p>
    <w:p>
      <w:pPr>
        <w:spacing w:line="276" w:lineRule="auto"/>
        <w:jc w:val="left"/>
        <w:rPr>
          <w:rFonts w:hint="eastAsia" w:ascii="宋体" w:hAnsi="宋体" w:eastAsia="宋体" w:cs="宋体"/>
          <w:szCs w:val="21"/>
        </w:rPr>
      </w:pPr>
      <w:r>
        <w:rPr>
          <w:rFonts w:hint="eastAsia" w:ascii="宋体" w:hAnsi="宋体" w:eastAsia="宋体" w:cs="宋体"/>
          <w:szCs w:val="21"/>
        </w:rPr>
        <w:t>投 标 人：</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spacing w:line="276" w:lineRule="auto"/>
        <w:jc w:val="left"/>
        <w:rPr>
          <w:rFonts w:hint="eastAsia" w:ascii="宋体" w:hAnsi="宋体" w:eastAsia="宋体" w:cs="宋体"/>
          <w:szCs w:val="21"/>
        </w:rPr>
      </w:pPr>
      <w:r>
        <w:rPr>
          <w:rFonts w:hint="eastAsia" w:ascii="宋体" w:hAnsi="宋体" w:eastAsia="宋体" w:cs="宋体"/>
          <w:szCs w:val="21"/>
          <w:lang w:val="zh-CN"/>
        </w:rPr>
        <w:t>项目编号/标段编号：</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r>
        <w:rPr>
          <w:rFonts w:hint="eastAsia" w:ascii="宋体" w:hAnsi="宋体" w:eastAsia="宋体" w:cs="宋体"/>
          <w:bCs/>
          <w:szCs w:val="21"/>
          <w:lang w:val="zh-CN"/>
        </w:rPr>
        <w:t xml:space="preserve">                项目名称：</w:t>
      </w:r>
      <w:r>
        <w:rPr>
          <w:rFonts w:hint="eastAsia" w:ascii="宋体" w:hAnsi="宋体" w:eastAsia="宋体" w:cs="宋体"/>
          <w:bCs/>
          <w:szCs w:val="21"/>
          <w:u w:val="single"/>
          <w:lang w:val="zh-CN"/>
        </w:rPr>
        <w:t xml:space="preserve">           </w:t>
      </w:r>
    </w:p>
    <w:tbl>
      <w:tblPr>
        <w:tblStyle w:val="2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1138"/>
        <w:gridCol w:w="1276"/>
        <w:gridCol w:w="1550"/>
        <w:gridCol w:w="1001"/>
        <w:gridCol w:w="1276"/>
        <w:gridCol w:w="996"/>
        <w:gridCol w:w="1276"/>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5"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hint="eastAsia" w:ascii="宋体" w:hAnsi="宋体" w:eastAsia="宋体" w:cs="宋体"/>
                <w:szCs w:val="21"/>
                <w:lang w:val="zh-CN"/>
              </w:rPr>
            </w:pPr>
            <w:r>
              <w:rPr>
                <w:rFonts w:hint="eastAsia" w:ascii="宋体" w:hAnsi="宋体" w:eastAsia="宋体" w:cs="宋体"/>
                <w:szCs w:val="21"/>
                <w:lang w:val="zh-CN"/>
              </w:rPr>
              <w:t>序号</w:t>
            </w:r>
          </w:p>
        </w:tc>
        <w:tc>
          <w:tcPr>
            <w:tcW w:w="11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hint="eastAsia" w:ascii="宋体" w:hAnsi="宋体" w:eastAsia="宋体" w:cs="宋体"/>
                <w:szCs w:val="21"/>
                <w:lang w:val="zh-CN"/>
              </w:rPr>
            </w:pPr>
            <w:r>
              <w:rPr>
                <w:rFonts w:hint="eastAsia" w:ascii="宋体" w:hAnsi="宋体" w:eastAsia="宋体" w:cs="宋体"/>
                <w:szCs w:val="21"/>
                <w:lang w:val="zh-CN"/>
              </w:rPr>
              <w:t>业主单位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业主单位</w:t>
            </w:r>
          </w:p>
          <w:p>
            <w:pPr>
              <w:autoSpaceDE w:val="0"/>
              <w:autoSpaceDN w:val="0"/>
              <w:spacing w:line="276" w:lineRule="auto"/>
              <w:jc w:val="center"/>
              <w:rPr>
                <w:rFonts w:hint="eastAsia" w:ascii="宋体" w:hAnsi="宋体" w:eastAsia="宋体" w:cs="宋体"/>
                <w:szCs w:val="21"/>
                <w:lang w:val="zh-CN"/>
              </w:rPr>
            </w:pPr>
            <w:r>
              <w:rPr>
                <w:rFonts w:hint="eastAsia" w:ascii="宋体" w:hAnsi="宋体" w:eastAsia="宋体" w:cs="宋体"/>
                <w:szCs w:val="21"/>
              </w:rPr>
              <w:t>联系人、电话</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lang w:val="zh-CN"/>
              </w:rPr>
              <w:t>项目名称</w:t>
            </w:r>
          </w:p>
        </w:tc>
        <w:tc>
          <w:tcPr>
            <w:tcW w:w="10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项目经理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项目内容</w:t>
            </w:r>
          </w:p>
        </w:tc>
        <w:tc>
          <w:tcPr>
            <w:tcW w:w="99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合同金额</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合同签订日期</w:t>
            </w:r>
          </w:p>
        </w:tc>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4"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hint="eastAsia" w:ascii="宋体" w:hAnsi="宋体" w:eastAsia="宋体" w:cs="宋体"/>
                <w:szCs w:val="21"/>
                <w:lang w:val="zh-CN"/>
              </w:rPr>
            </w:pPr>
            <w:r>
              <w:rPr>
                <w:rFonts w:hint="eastAsia" w:ascii="宋体" w:hAnsi="宋体" w:eastAsia="宋体" w:cs="宋体"/>
                <w:szCs w:val="21"/>
                <w:lang w:val="zh-CN"/>
              </w:rPr>
              <w:t>1</w:t>
            </w:r>
          </w:p>
        </w:tc>
        <w:tc>
          <w:tcPr>
            <w:tcW w:w="11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hint="eastAsia" w:ascii="宋体" w:hAnsi="宋体" w:eastAsia="宋体" w:cs="宋体"/>
                <w:szCs w:val="21"/>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hint="eastAsia" w:ascii="宋体" w:hAnsi="宋体" w:eastAsia="宋体" w:cs="宋体"/>
                <w:szCs w:val="21"/>
                <w:lang w:val="zh-CN"/>
              </w:rPr>
            </w:pPr>
          </w:p>
        </w:tc>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hint="eastAsia" w:ascii="宋体" w:hAnsi="宋体" w:eastAsia="宋体" w:cs="宋体"/>
                <w:szCs w:val="21"/>
                <w:lang w:val="zh-CN"/>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c>
          <w:tcPr>
            <w:tcW w:w="99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3"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ind w:right="126"/>
              <w:jc w:val="center"/>
              <w:rPr>
                <w:rFonts w:hint="eastAsia" w:ascii="宋体" w:hAnsi="宋体" w:eastAsia="宋体" w:cs="宋体"/>
                <w:szCs w:val="21"/>
                <w:lang w:val="zh-CN"/>
              </w:rPr>
            </w:pPr>
            <w:r>
              <w:rPr>
                <w:rFonts w:hint="eastAsia" w:ascii="宋体" w:hAnsi="宋体" w:eastAsia="宋体" w:cs="宋体"/>
                <w:szCs w:val="21"/>
                <w:lang w:val="zh-CN"/>
              </w:rPr>
              <w:t>2</w:t>
            </w:r>
          </w:p>
        </w:tc>
        <w:tc>
          <w:tcPr>
            <w:tcW w:w="11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ind w:right="126"/>
              <w:jc w:val="center"/>
              <w:rPr>
                <w:rFonts w:hint="eastAsia" w:ascii="宋体" w:hAnsi="宋体" w:eastAsia="宋体" w:cs="宋体"/>
                <w:szCs w:val="21"/>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ind w:right="126"/>
              <w:jc w:val="center"/>
              <w:rPr>
                <w:rFonts w:hint="eastAsia" w:ascii="宋体" w:hAnsi="宋体" w:eastAsia="宋体" w:cs="宋体"/>
                <w:szCs w:val="21"/>
                <w:lang w:val="zh-CN"/>
              </w:rPr>
            </w:pPr>
          </w:p>
        </w:tc>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hint="eastAsia" w:ascii="宋体" w:hAnsi="宋体" w:eastAsia="宋体" w:cs="宋体"/>
                <w:szCs w:val="21"/>
                <w:lang w:val="zh-CN"/>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c>
          <w:tcPr>
            <w:tcW w:w="99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hint="eastAsia" w:ascii="宋体" w:hAnsi="宋体" w:eastAsia="宋体" w:cs="宋体"/>
                <w:szCs w:val="21"/>
                <w:lang w:val="zh-CN"/>
              </w:rPr>
            </w:pPr>
            <w:r>
              <w:rPr>
                <w:rFonts w:hint="eastAsia" w:ascii="宋体" w:hAnsi="宋体" w:eastAsia="宋体" w:cs="宋体"/>
                <w:szCs w:val="21"/>
                <w:lang w:val="zh-CN"/>
              </w:rPr>
              <w:t>3</w:t>
            </w:r>
          </w:p>
        </w:tc>
        <w:tc>
          <w:tcPr>
            <w:tcW w:w="11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hint="eastAsia" w:ascii="宋体" w:hAnsi="宋体" w:eastAsia="宋体" w:cs="宋体"/>
                <w:szCs w:val="21"/>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hint="eastAsia" w:ascii="宋体" w:hAnsi="宋体" w:eastAsia="宋体" w:cs="宋体"/>
                <w:szCs w:val="21"/>
                <w:lang w:val="zh-CN"/>
              </w:rPr>
            </w:pPr>
          </w:p>
        </w:tc>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hint="eastAsia" w:ascii="宋体" w:hAnsi="宋体" w:eastAsia="宋体" w:cs="宋体"/>
                <w:szCs w:val="21"/>
                <w:lang w:val="zh-CN"/>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c>
          <w:tcPr>
            <w:tcW w:w="99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8" w:hRule="exact"/>
          <w:jc w:val="center"/>
        </w:trPr>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hint="eastAsia" w:ascii="宋体" w:hAnsi="宋体" w:eastAsia="宋体" w:cs="宋体"/>
                <w:szCs w:val="21"/>
                <w:lang w:val="zh-CN"/>
              </w:rPr>
            </w:pPr>
            <w:r>
              <w:rPr>
                <w:rFonts w:hint="eastAsia" w:ascii="宋体" w:hAnsi="宋体" w:eastAsia="宋体" w:cs="宋体"/>
                <w:szCs w:val="21"/>
                <w:lang w:val="zh-CN"/>
              </w:rPr>
              <w:t>...</w:t>
            </w:r>
          </w:p>
        </w:tc>
        <w:tc>
          <w:tcPr>
            <w:tcW w:w="113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hint="eastAsia" w:ascii="宋体" w:hAnsi="宋体" w:eastAsia="宋体" w:cs="宋体"/>
                <w:szCs w:val="21"/>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hint="eastAsia" w:ascii="宋体" w:hAnsi="宋体" w:eastAsia="宋体" w:cs="宋体"/>
                <w:szCs w:val="21"/>
                <w:lang w:val="zh-CN"/>
              </w:rPr>
            </w:pPr>
          </w:p>
        </w:tc>
        <w:tc>
          <w:tcPr>
            <w:tcW w:w="15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76" w:lineRule="auto"/>
              <w:jc w:val="center"/>
              <w:rPr>
                <w:rFonts w:hint="eastAsia" w:ascii="宋体" w:hAnsi="宋体" w:eastAsia="宋体" w:cs="宋体"/>
                <w:szCs w:val="21"/>
                <w:lang w:val="zh-CN"/>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c>
          <w:tcPr>
            <w:tcW w:w="99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c>
          <w:tcPr>
            <w:tcW w:w="83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kern w:val="0"/>
                <w:szCs w:val="21"/>
                <w:lang w:val="zh-CN"/>
              </w:rPr>
            </w:pPr>
          </w:p>
        </w:tc>
      </w:tr>
    </w:tbl>
    <w:p>
      <w:pPr>
        <w:spacing w:line="276" w:lineRule="auto"/>
        <w:ind w:left="955" w:hanging="955" w:hangingChars="455"/>
        <w:jc w:val="left"/>
        <w:rPr>
          <w:rFonts w:hint="eastAsia" w:ascii="宋体" w:hAnsi="宋体" w:eastAsia="宋体" w:cs="宋体"/>
          <w:szCs w:val="21"/>
        </w:rPr>
      </w:pPr>
    </w:p>
    <w:p>
      <w:pPr>
        <w:spacing w:line="276" w:lineRule="auto"/>
        <w:ind w:left="955" w:hanging="955" w:hangingChars="455"/>
        <w:jc w:val="left"/>
        <w:rPr>
          <w:rFonts w:hint="eastAsia" w:ascii="宋体" w:hAnsi="宋体" w:eastAsia="宋体" w:cs="宋体"/>
          <w:color w:val="FF0000"/>
          <w:szCs w:val="21"/>
        </w:rPr>
      </w:pPr>
      <w:r>
        <w:rPr>
          <w:rFonts w:hint="eastAsia" w:ascii="宋体" w:hAnsi="宋体" w:eastAsia="宋体" w:cs="宋体"/>
          <w:color w:val="FF0000"/>
          <w:szCs w:val="21"/>
        </w:rPr>
        <w:t>说明：1．每个项目应单独附相关证明材料（如中标通知书或合同首页、合同金额所在页、合同签字盖章页扫描件），未按照要求提供导致的后果由投标人自行承担。</w:t>
      </w:r>
    </w:p>
    <w:p>
      <w:pPr>
        <w:spacing w:line="276" w:lineRule="auto"/>
        <w:ind w:left="1017" w:leftChars="339" w:hanging="306" w:hangingChars="146"/>
        <w:jc w:val="left"/>
        <w:rPr>
          <w:rFonts w:hint="eastAsia" w:ascii="宋体" w:hAnsi="宋体" w:eastAsia="宋体" w:cs="宋体"/>
          <w:szCs w:val="21"/>
        </w:rPr>
      </w:pPr>
      <w:r>
        <w:rPr>
          <w:rFonts w:hint="eastAsia" w:ascii="宋体" w:hAnsi="宋体" w:eastAsia="宋体" w:cs="宋体"/>
          <w:szCs w:val="21"/>
        </w:rPr>
        <w:t>2．项目内容应详细说明所承担的具体工作内容等。</w:t>
      </w:r>
    </w:p>
    <w:p>
      <w:pPr>
        <w:spacing w:line="276" w:lineRule="auto"/>
        <w:ind w:left="1017" w:leftChars="339" w:hanging="306" w:hangingChars="146"/>
        <w:jc w:val="left"/>
        <w:rPr>
          <w:rFonts w:hint="eastAsia" w:ascii="宋体" w:hAnsi="宋体" w:eastAsia="宋体" w:cs="宋体"/>
          <w:color w:val="FF0000"/>
          <w:szCs w:val="21"/>
        </w:rPr>
      </w:pPr>
      <w:r>
        <w:rPr>
          <w:rFonts w:hint="eastAsia" w:ascii="宋体" w:hAnsi="宋体" w:eastAsia="宋体" w:cs="宋体"/>
          <w:color w:val="FF0000"/>
          <w:szCs w:val="21"/>
        </w:rPr>
        <w:t>3.</w:t>
      </w:r>
      <w:r>
        <w:rPr>
          <w:rFonts w:hint="eastAsia" w:ascii="宋体" w:hAnsi="宋体" w:eastAsia="宋体" w:cs="宋体"/>
          <w:b/>
          <w:color w:val="FF0000"/>
          <w:szCs w:val="21"/>
        </w:rPr>
        <w:t>如采购需求或评审条款要求提供用户评价，请依照此表格式自制《类似项目业绩用户评价表》，并按项目逐一附业主评价材料（需业主单位盖章）扫描件</w:t>
      </w:r>
      <w:r>
        <w:rPr>
          <w:rFonts w:hint="eastAsia" w:ascii="宋体" w:hAnsi="宋体" w:eastAsia="宋体" w:cs="宋体"/>
          <w:color w:val="FF0000"/>
          <w:szCs w:val="21"/>
        </w:rPr>
        <w:t>。</w:t>
      </w:r>
    </w:p>
    <w:p>
      <w:pPr>
        <w:spacing w:line="276" w:lineRule="auto"/>
        <w:ind w:firstLine="630" w:firstLineChars="300"/>
        <w:rPr>
          <w:rFonts w:hint="eastAsia" w:ascii="宋体" w:hAnsi="宋体" w:eastAsia="宋体" w:cs="宋体"/>
          <w:szCs w:val="21"/>
        </w:rPr>
      </w:pPr>
    </w:p>
    <w:p>
      <w:pPr>
        <w:spacing w:line="276" w:lineRule="auto"/>
        <w:ind w:firstLine="630" w:firstLineChars="300"/>
        <w:rPr>
          <w:rFonts w:hint="eastAsia" w:ascii="宋体" w:hAnsi="宋体" w:eastAsia="宋体" w:cs="宋体"/>
          <w:szCs w:val="21"/>
        </w:rPr>
      </w:pPr>
    </w:p>
    <w:p>
      <w:pPr>
        <w:spacing w:before="100" w:beforeAutospacing="1" w:after="100" w:afterAutospacing="1" w:line="276" w:lineRule="auto"/>
        <w:ind w:firstLine="2902" w:firstLineChars="1382"/>
        <w:rPr>
          <w:rFonts w:hint="eastAsia" w:ascii="宋体" w:hAnsi="宋体" w:eastAsia="宋体" w:cs="宋体"/>
          <w:bCs/>
          <w:szCs w:val="21"/>
          <w:u w:val="single"/>
        </w:rPr>
      </w:pPr>
      <w:r>
        <w:rPr>
          <w:rFonts w:hint="eastAsia" w:ascii="宋体" w:hAnsi="宋体" w:eastAsia="宋体" w:cs="宋体"/>
          <w:bCs/>
          <w:szCs w:val="21"/>
        </w:rPr>
        <w:t>投标人名称（公章）：</w:t>
      </w:r>
      <w:r>
        <w:rPr>
          <w:rFonts w:hint="eastAsia" w:ascii="宋体" w:hAnsi="宋体" w:eastAsia="宋体" w:cs="宋体"/>
          <w:bCs/>
          <w:szCs w:val="21"/>
          <w:u w:val="single"/>
        </w:rPr>
        <w:t xml:space="preserve">                         </w:t>
      </w:r>
    </w:p>
    <w:p>
      <w:pPr>
        <w:spacing w:before="100" w:beforeAutospacing="1" w:after="100" w:afterAutospacing="1" w:line="276" w:lineRule="auto"/>
        <w:ind w:firstLine="2902" w:firstLineChars="1382"/>
        <w:rPr>
          <w:rFonts w:hint="eastAsia" w:ascii="宋体" w:hAnsi="宋体" w:eastAsia="宋体" w:cs="宋体"/>
          <w:szCs w:val="21"/>
        </w:rPr>
      </w:pPr>
      <w:r>
        <w:rPr>
          <w:rFonts w:hint="eastAsia" w:ascii="宋体" w:hAnsi="宋体" w:eastAsia="宋体" w:cs="宋体"/>
          <w:bCs/>
          <w:szCs w:val="21"/>
          <w:lang w:val="zh-CN"/>
        </w:rPr>
        <w:t>日期</w:t>
      </w:r>
      <w:r>
        <w:rPr>
          <w:rFonts w:hint="eastAsia" w:ascii="宋体" w:hAnsi="宋体" w:eastAsia="宋体" w:cs="宋体"/>
          <w:bCs/>
          <w:szCs w:val="21"/>
        </w:rPr>
        <w:t>：</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pPr>
        <w:pStyle w:val="29"/>
        <w:numPr>
          <w:ilvl w:val="0"/>
          <w:numId w:val="106"/>
        </w:numPr>
        <w:spacing w:line="276" w:lineRule="auto"/>
        <w:ind w:firstLineChars="0"/>
        <w:outlineLvl w:val="2"/>
        <w:rPr>
          <w:rFonts w:hint="eastAsia" w:ascii="宋体" w:hAnsi="宋体" w:eastAsia="宋体" w:cs="宋体"/>
          <w:szCs w:val="21"/>
        </w:rPr>
      </w:pPr>
      <w:r>
        <w:rPr>
          <w:rFonts w:hint="eastAsia" w:ascii="宋体" w:hAnsi="宋体" w:eastAsia="宋体" w:cs="宋体"/>
          <w:kern w:val="0"/>
          <w:szCs w:val="21"/>
        </w:rPr>
        <w:br w:type="page"/>
      </w:r>
      <w:r>
        <w:rPr>
          <w:rFonts w:hint="eastAsia" w:ascii="宋体" w:hAnsi="宋体" w:eastAsia="宋体" w:cs="宋体"/>
          <w:szCs w:val="21"/>
        </w:rPr>
        <w:t>技术、服务及商务文件</w:t>
      </w:r>
    </w:p>
    <w:p>
      <w:pPr>
        <w:autoSpaceDE w:val="0"/>
        <w:autoSpaceDN w:val="0"/>
        <w:adjustRightInd w:val="0"/>
        <w:spacing w:before="156" w:beforeLines="50" w:after="156" w:afterLines="50" w:line="276" w:lineRule="auto"/>
        <w:jc w:val="center"/>
        <w:rPr>
          <w:rFonts w:hint="eastAsia" w:ascii="宋体" w:hAnsi="宋体" w:eastAsia="宋体" w:cs="宋体"/>
          <w:b/>
          <w:color w:val="0D0D0D"/>
          <w:kern w:val="0"/>
          <w:szCs w:val="21"/>
        </w:rPr>
      </w:pPr>
      <w:r>
        <w:rPr>
          <w:rFonts w:hint="eastAsia" w:ascii="宋体" w:hAnsi="宋体" w:eastAsia="宋体" w:cs="宋体"/>
          <w:b/>
          <w:szCs w:val="21"/>
        </w:rPr>
        <w:t>技术、服务及商务文件</w:t>
      </w:r>
    </w:p>
    <w:p>
      <w:pPr>
        <w:autoSpaceDE w:val="0"/>
        <w:autoSpaceDN w:val="0"/>
        <w:adjustRightInd w:val="0"/>
        <w:rPr>
          <w:rFonts w:hint="eastAsia" w:ascii="宋体" w:hAnsi="宋体" w:eastAsia="宋体" w:cs="宋体"/>
          <w:color w:val="0D0D0D"/>
          <w:kern w:val="0"/>
          <w:szCs w:val="21"/>
        </w:rPr>
      </w:pPr>
      <w:r>
        <w:rPr>
          <w:rFonts w:hint="eastAsia" w:ascii="宋体" w:hAnsi="宋体" w:eastAsia="宋体" w:cs="宋体"/>
          <w:color w:val="0D0D0D"/>
          <w:kern w:val="0"/>
          <w:szCs w:val="21"/>
        </w:rPr>
        <w:t>由投标人根据第三章采购需求自行编写，编写内容可参考下述要求：</w:t>
      </w:r>
    </w:p>
    <w:p>
      <w:pPr>
        <w:autoSpaceDE w:val="0"/>
        <w:autoSpaceDN w:val="0"/>
        <w:adjustRightInd w:val="0"/>
        <w:rPr>
          <w:rFonts w:hint="eastAsia" w:ascii="宋体" w:hAnsi="宋体" w:eastAsia="宋体" w:cs="宋体"/>
          <w:b/>
          <w:color w:val="0D0D0D"/>
          <w:kern w:val="0"/>
          <w:szCs w:val="21"/>
        </w:rPr>
      </w:pPr>
      <w:r>
        <w:rPr>
          <w:rFonts w:hint="eastAsia" w:ascii="宋体" w:hAnsi="宋体" w:eastAsia="宋体" w:cs="宋体"/>
          <w:b/>
          <w:color w:val="0D0D0D"/>
          <w:kern w:val="0"/>
          <w:szCs w:val="21"/>
        </w:rPr>
        <w:t>（一）投标货物介绍</w:t>
      </w:r>
    </w:p>
    <w:p>
      <w:pPr>
        <w:tabs>
          <w:tab w:val="left" w:pos="426"/>
          <w:tab w:val="left" w:pos="709"/>
        </w:tabs>
        <w:autoSpaceDE w:val="0"/>
        <w:autoSpaceDN w:val="0"/>
        <w:adjustRightInd w:val="0"/>
        <w:ind w:firstLine="283" w:firstLineChars="135"/>
        <w:rPr>
          <w:rFonts w:hint="eastAsia" w:ascii="宋体" w:hAnsi="宋体" w:eastAsia="宋体" w:cs="宋体"/>
          <w:color w:val="0D0D0D"/>
          <w:kern w:val="0"/>
          <w:szCs w:val="21"/>
        </w:rPr>
      </w:pPr>
      <w:r>
        <w:rPr>
          <w:rFonts w:hint="eastAsia" w:ascii="宋体" w:hAnsi="宋体" w:eastAsia="宋体" w:cs="宋体"/>
          <w:color w:val="0D0D0D"/>
          <w:kern w:val="0"/>
          <w:szCs w:val="21"/>
        </w:rPr>
        <w:t>1)</w:t>
      </w:r>
      <w:r>
        <w:rPr>
          <w:rFonts w:hint="eastAsia" w:ascii="宋体" w:hAnsi="宋体" w:eastAsia="宋体" w:cs="宋体"/>
          <w:color w:val="0D0D0D"/>
          <w:kern w:val="0"/>
          <w:szCs w:val="21"/>
        </w:rPr>
        <w:tab/>
      </w:r>
      <w:r>
        <w:rPr>
          <w:rFonts w:hint="eastAsia" w:ascii="宋体" w:hAnsi="宋体" w:eastAsia="宋体" w:cs="宋体"/>
          <w:color w:val="0D0D0D"/>
          <w:kern w:val="0"/>
          <w:szCs w:val="21"/>
        </w:rPr>
        <w:t>供货范围</w:t>
      </w:r>
    </w:p>
    <w:p>
      <w:pPr>
        <w:tabs>
          <w:tab w:val="left" w:pos="426"/>
          <w:tab w:val="left" w:pos="709"/>
        </w:tabs>
        <w:autoSpaceDE w:val="0"/>
        <w:autoSpaceDN w:val="0"/>
        <w:adjustRightInd w:val="0"/>
        <w:ind w:firstLine="283" w:firstLineChars="135"/>
        <w:rPr>
          <w:rFonts w:hint="eastAsia" w:ascii="宋体" w:hAnsi="宋体" w:eastAsia="宋体" w:cs="宋体"/>
          <w:color w:val="0D0D0D"/>
          <w:kern w:val="0"/>
          <w:szCs w:val="21"/>
        </w:rPr>
      </w:pPr>
      <w:r>
        <w:rPr>
          <w:rFonts w:hint="eastAsia" w:ascii="宋体" w:hAnsi="宋体" w:eastAsia="宋体" w:cs="宋体"/>
          <w:color w:val="0D0D0D"/>
          <w:kern w:val="0"/>
          <w:szCs w:val="21"/>
        </w:rPr>
        <w:t>2)</w:t>
      </w:r>
      <w:r>
        <w:rPr>
          <w:rFonts w:hint="eastAsia" w:ascii="宋体" w:hAnsi="宋体" w:eastAsia="宋体" w:cs="宋体"/>
          <w:color w:val="0D0D0D"/>
          <w:kern w:val="0"/>
          <w:szCs w:val="21"/>
        </w:rPr>
        <w:tab/>
      </w:r>
      <w:r>
        <w:rPr>
          <w:rFonts w:hint="eastAsia" w:ascii="宋体" w:hAnsi="宋体" w:eastAsia="宋体" w:cs="宋体"/>
          <w:color w:val="0D0D0D"/>
          <w:kern w:val="0"/>
          <w:szCs w:val="21"/>
        </w:rPr>
        <w:t>货物名称、型号、规格、数量、技术性能、特点</w:t>
      </w:r>
    </w:p>
    <w:p>
      <w:pPr>
        <w:tabs>
          <w:tab w:val="left" w:pos="426"/>
          <w:tab w:val="left" w:pos="709"/>
        </w:tabs>
        <w:autoSpaceDE w:val="0"/>
        <w:autoSpaceDN w:val="0"/>
        <w:adjustRightInd w:val="0"/>
        <w:ind w:firstLine="283" w:firstLineChars="135"/>
        <w:rPr>
          <w:rFonts w:hint="eastAsia" w:ascii="宋体" w:hAnsi="宋体" w:eastAsia="宋体" w:cs="宋体"/>
          <w:color w:val="0D0D0D"/>
          <w:kern w:val="0"/>
          <w:szCs w:val="21"/>
        </w:rPr>
      </w:pPr>
      <w:r>
        <w:rPr>
          <w:rFonts w:hint="eastAsia" w:ascii="宋体" w:hAnsi="宋体" w:eastAsia="宋体" w:cs="宋体"/>
          <w:color w:val="0D0D0D"/>
          <w:kern w:val="0"/>
          <w:szCs w:val="21"/>
        </w:rPr>
        <w:t>3)</w:t>
      </w:r>
      <w:r>
        <w:rPr>
          <w:rFonts w:hint="eastAsia" w:ascii="宋体" w:hAnsi="宋体" w:eastAsia="宋体" w:cs="宋体"/>
          <w:color w:val="0D0D0D"/>
          <w:kern w:val="0"/>
          <w:szCs w:val="21"/>
        </w:rPr>
        <w:tab/>
      </w:r>
      <w:r>
        <w:rPr>
          <w:rFonts w:hint="eastAsia" w:ascii="宋体" w:hAnsi="宋体" w:eastAsia="宋体" w:cs="宋体"/>
          <w:color w:val="0D0D0D"/>
          <w:kern w:val="0"/>
          <w:szCs w:val="21"/>
        </w:rPr>
        <w:t>货物制造、检验、验收执行的标准</w:t>
      </w:r>
    </w:p>
    <w:p>
      <w:pPr>
        <w:tabs>
          <w:tab w:val="left" w:pos="426"/>
          <w:tab w:val="left" w:pos="709"/>
        </w:tabs>
        <w:autoSpaceDE w:val="0"/>
        <w:autoSpaceDN w:val="0"/>
        <w:adjustRightInd w:val="0"/>
        <w:ind w:firstLine="283" w:firstLineChars="135"/>
        <w:rPr>
          <w:rFonts w:hint="eastAsia" w:ascii="宋体" w:hAnsi="宋体" w:eastAsia="宋体" w:cs="宋体"/>
          <w:color w:val="0D0D0D"/>
          <w:kern w:val="0"/>
          <w:szCs w:val="21"/>
        </w:rPr>
      </w:pPr>
      <w:r>
        <w:rPr>
          <w:rFonts w:hint="eastAsia" w:ascii="宋体" w:hAnsi="宋体" w:eastAsia="宋体" w:cs="宋体"/>
          <w:color w:val="0D0D0D"/>
          <w:kern w:val="0"/>
          <w:szCs w:val="21"/>
        </w:rPr>
        <w:t>4)</w:t>
      </w:r>
      <w:r>
        <w:rPr>
          <w:rFonts w:hint="eastAsia" w:ascii="宋体" w:hAnsi="宋体" w:eastAsia="宋体" w:cs="宋体"/>
          <w:color w:val="0D0D0D"/>
          <w:kern w:val="0"/>
          <w:szCs w:val="21"/>
        </w:rPr>
        <w:tab/>
      </w:r>
      <w:r>
        <w:rPr>
          <w:rFonts w:hint="eastAsia" w:ascii="宋体" w:hAnsi="宋体" w:eastAsia="宋体" w:cs="宋体"/>
          <w:color w:val="0D0D0D"/>
          <w:kern w:val="0"/>
          <w:szCs w:val="21"/>
        </w:rPr>
        <w:t>质量保证措施</w:t>
      </w:r>
    </w:p>
    <w:p>
      <w:pPr>
        <w:tabs>
          <w:tab w:val="left" w:pos="426"/>
          <w:tab w:val="left" w:pos="709"/>
        </w:tabs>
        <w:autoSpaceDE w:val="0"/>
        <w:autoSpaceDN w:val="0"/>
        <w:adjustRightInd w:val="0"/>
        <w:ind w:firstLine="283" w:firstLineChars="135"/>
        <w:rPr>
          <w:rFonts w:hint="eastAsia" w:ascii="宋体" w:hAnsi="宋体" w:eastAsia="宋体" w:cs="宋体"/>
          <w:color w:val="0D0D0D"/>
          <w:kern w:val="0"/>
          <w:szCs w:val="21"/>
        </w:rPr>
      </w:pPr>
      <w:r>
        <w:rPr>
          <w:rFonts w:hint="eastAsia" w:ascii="宋体" w:hAnsi="宋体" w:eastAsia="宋体" w:cs="宋体"/>
          <w:color w:val="0D0D0D"/>
          <w:kern w:val="0"/>
          <w:szCs w:val="21"/>
        </w:rPr>
        <w:t>5)</w:t>
      </w:r>
      <w:r>
        <w:rPr>
          <w:rFonts w:hint="eastAsia" w:ascii="宋体" w:hAnsi="宋体" w:eastAsia="宋体" w:cs="宋体"/>
          <w:color w:val="0D0D0D"/>
          <w:kern w:val="0"/>
          <w:szCs w:val="21"/>
        </w:rPr>
        <w:tab/>
      </w:r>
      <w:r>
        <w:rPr>
          <w:rFonts w:hint="eastAsia" w:ascii="宋体" w:hAnsi="宋体" w:eastAsia="宋体" w:cs="宋体"/>
          <w:color w:val="0D0D0D"/>
          <w:kern w:val="0"/>
          <w:szCs w:val="21"/>
        </w:rPr>
        <w:t>采用新技术、新工艺、新材料的情况</w:t>
      </w:r>
    </w:p>
    <w:p>
      <w:pPr>
        <w:autoSpaceDE w:val="0"/>
        <w:autoSpaceDN w:val="0"/>
        <w:adjustRightInd w:val="0"/>
        <w:rPr>
          <w:rFonts w:hint="eastAsia" w:ascii="宋体" w:hAnsi="宋体" w:eastAsia="宋体" w:cs="宋体"/>
          <w:b/>
          <w:color w:val="0D0D0D"/>
          <w:kern w:val="0"/>
          <w:szCs w:val="21"/>
        </w:rPr>
      </w:pPr>
      <w:r>
        <w:rPr>
          <w:rFonts w:hint="eastAsia" w:ascii="宋体" w:hAnsi="宋体" w:eastAsia="宋体" w:cs="宋体"/>
          <w:b/>
          <w:color w:val="0D0D0D"/>
          <w:kern w:val="0"/>
          <w:szCs w:val="21"/>
        </w:rPr>
        <w:t>（二）投标货物主要技术资料</w:t>
      </w:r>
    </w:p>
    <w:p>
      <w:pPr>
        <w:tabs>
          <w:tab w:val="left" w:pos="426"/>
          <w:tab w:val="left" w:pos="709"/>
        </w:tabs>
        <w:autoSpaceDE w:val="0"/>
        <w:autoSpaceDN w:val="0"/>
        <w:adjustRightInd w:val="0"/>
        <w:ind w:firstLine="283" w:firstLineChars="135"/>
        <w:rPr>
          <w:rFonts w:hint="eastAsia" w:ascii="宋体" w:hAnsi="宋体" w:eastAsia="宋体" w:cs="宋体"/>
          <w:color w:val="0D0D0D"/>
          <w:kern w:val="0"/>
          <w:szCs w:val="21"/>
        </w:rPr>
      </w:pPr>
      <w:r>
        <w:rPr>
          <w:rFonts w:hint="eastAsia" w:ascii="宋体" w:hAnsi="宋体" w:eastAsia="宋体" w:cs="宋体"/>
          <w:color w:val="0D0D0D"/>
          <w:kern w:val="0"/>
          <w:szCs w:val="21"/>
        </w:rPr>
        <w:t>1)</w:t>
      </w:r>
      <w:r>
        <w:rPr>
          <w:rFonts w:hint="eastAsia" w:ascii="宋体" w:hAnsi="宋体" w:eastAsia="宋体" w:cs="宋体"/>
          <w:color w:val="0D0D0D"/>
          <w:kern w:val="0"/>
          <w:szCs w:val="21"/>
        </w:rPr>
        <w:tab/>
      </w:r>
      <w:r>
        <w:rPr>
          <w:rFonts w:hint="eastAsia" w:ascii="宋体" w:hAnsi="宋体" w:eastAsia="宋体" w:cs="宋体"/>
          <w:color w:val="0D0D0D"/>
          <w:kern w:val="0"/>
          <w:szCs w:val="21"/>
        </w:rPr>
        <w:t>货物样本、使用保养说明书、图纸等技术资料</w:t>
      </w:r>
    </w:p>
    <w:p>
      <w:pPr>
        <w:tabs>
          <w:tab w:val="left" w:pos="426"/>
          <w:tab w:val="left" w:pos="709"/>
        </w:tabs>
        <w:autoSpaceDE w:val="0"/>
        <w:autoSpaceDN w:val="0"/>
        <w:adjustRightInd w:val="0"/>
        <w:ind w:left="695" w:leftChars="130" w:hanging="422" w:hangingChars="201"/>
        <w:rPr>
          <w:rFonts w:hint="eastAsia" w:ascii="宋体" w:hAnsi="宋体" w:eastAsia="宋体" w:cs="宋体"/>
          <w:color w:val="0D0D0D"/>
          <w:kern w:val="0"/>
          <w:szCs w:val="21"/>
        </w:rPr>
      </w:pPr>
      <w:r>
        <w:rPr>
          <w:rFonts w:hint="eastAsia" w:ascii="宋体" w:hAnsi="宋体" w:eastAsia="宋体" w:cs="宋体"/>
          <w:color w:val="0D0D0D"/>
          <w:kern w:val="0"/>
          <w:szCs w:val="21"/>
        </w:rPr>
        <w:t>2)</w:t>
      </w:r>
      <w:r>
        <w:rPr>
          <w:rFonts w:hint="eastAsia" w:ascii="宋体" w:hAnsi="宋体" w:eastAsia="宋体" w:cs="宋体"/>
          <w:color w:val="0D0D0D"/>
          <w:kern w:val="0"/>
          <w:szCs w:val="21"/>
        </w:rPr>
        <w:tab/>
      </w:r>
      <w:r>
        <w:rPr>
          <w:rFonts w:hint="eastAsia" w:ascii="宋体" w:hAnsi="宋体" w:eastAsia="宋体" w:cs="宋体"/>
          <w:color w:val="0D0D0D"/>
          <w:kern w:val="0"/>
          <w:szCs w:val="21"/>
        </w:rPr>
        <w:t>投标人应根据国家有关规定和招标文件要求提供制造商和货物相关的：生产许可证（如有）、产品注册证（如有）、企业相关认证情况、3C认证（如有）、检测报告（如有）、获奖证书（如有）等</w:t>
      </w:r>
    </w:p>
    <w:p>
      <w:pPr>
        <w:autoSpaceDE w:val="0"/>
        <w:autoSpaceDN w:val="0"/>
        <w:adjustRightInd w:val="0"/>
        <w:rPr>
          <w:rFonts w:hint="eastAsia" w:ascii="宋体" w:hAnsi="宋体" w:eastAsia="宋体" w:cs="宋体"/>
          <w:b/>
          <w:color w:val="0D0D0D"/>
          <w:kern w:val="0"/>
          <w:szCs w:val="21"/>
        </w:rPr>
      </w:pPr>
      <w:r>
        <w:rPr>
          <w:rFonts w:hint="eastAsia" w:ascii="宋体" w:hAnsi="宋体" w:eastAsia="宋体" w:cs="宋体"/>
          <w:b/>
          <w:color w:val="0D0D0D"/>
          <w:kern w:val="0"/>
          <w:szCs w:val="21"/>
        </w:rPr>
        <w:t>（三）生产、配送、安装调试、培训及售后服务</w:t>
      </w:r>
    </w:p>
    <w:p>
      <w:pPr>
        <w:tabs>
          <w:tab w:val="left" w:pos="709"/>
        </w:tabs>
        <w:autoSpaceDE w:val="0"/>
        <w:autoSpaceDN w:val="0"/>
        <w:adjustRightInd w:val="0"/>
        <w:ind w:firstLine="283" w:firstLineChars="135"/>
        <w:rPr>
          <w:rFonts w:hint="eastAsia" w:ascii="宋体" w:hAnsi="宋体" w:eastAsia="宋体" w:cs="宋体"/>
          <w:color w:val="0D0D0D"/>
          <w:kern w:val="0"/>
          <w:szCs w:val="21"/>
        </w:rPr>
      </w:pPr>
      <w:r>
        <w:rPr>
          <w:rFonts w:hint="eastAsia" w:ascii="宋体" w:hAnsi="宋体" w:eastAsia="宋体" w:cs="宋体"/>
          <w:color w:val="0D0D0D"/>
          <w:kern w:val="0"/>
          <w:szCs w:val="21"/>
        </w:rPr>
        <w:t>1)</w:t>
      </w:r>
      <w:r>
        <w:rPr>
          <w:rFonts w:hint="eastAsia" w:ascii="宋体" w:hAnsi="宋体" w:eastAsia="宋体" w:cs="宋体"/>
          <w:color w:val="0D0D0D"/>
          <w:kern w:val="0"/>
          <w:szCs w:val="21"/>
        </w:rPr>
        <w:tab/>
      </w:r>
      <w:r>
        <w:rPr>
          <w:rFonts w:hint="eastAsia" w:ascii="宋体" w:hAnsi="宋体" w:eastAsia="宋体" w:cs="宋体"/>
          <w:color w:val="0D0D0D"/>
          <w:kern w:val="0"/>
          <w:szCs w:val="21"/>
        </w:rPr>
        <w:t>组织生产及配送、安装措施，供货计划（必要时提供生产计划周期表）</w:t>
      </w:r>
    </w:p>
    <w:p>
      <w:pPr>
        <w:tabs>
          <w:tab w:val="left" w:pos="709"/>
        </w:tabs>
        <w:autoSpaceDE w:val="0"/>
        <w:autoSpaceDN w:val="0"/>
        <w:adjustRightInd w:val="0"/>
        <w:ind w:left="694" w:leftChars="129" w:hanging="424" w:hangingChars="202"/>
        <w:rPr>
          <w:rFonts w:hint="eastAsia" w:ascii="宋体" w:hAnsi="宋体" w:eastAsia="宋体" w:cs="宋体"/>
          <w:color w:val="0D0D0D"/>
          <w:kern w:val="0"/>
          <w:szCs w:val="21"/>
        </w:rPr>
      </w:pPr>
      <w:r>
        <w:rPr>
          <w:rFonts w:hint="eastAsia" w:ascii="宋体" w:hAnsi="宋体" w:eastAsia="宋体" w:cs="宋体"/>
          <w:color w:val="0D0D0D"/>
          <w:kern w:val="0"/>
          <w:szCs w:val="21"/>
        </w:rPr>
        <w:t>2)</w:t>
      </w:r>
      <w:r>
        <w:rPr>
          <w:rFonts w:hint="eastAsia" w:ascii="宋体" w:hAnsi="宋体" w:eastAsia="宋体" w:cs="宋体"/>
          <w:color w:val="0D0D0D"/>
          <w:kern w:val="0"/>
          <w:szCs w:val="21"/>
        </w:rPr>
        <w:tab/>
      </w:r>
      <w:r>
        <w:rPr>
          <w:rFonts w:hint="eastAsia" w:ascii="宋体" w:hAnsi="宋体" w:eastAsia="宋体" w:cs="宋体"/>
          <w:color w:val="0D0D0D"/>
          <w:kern w:val="0"/>
          <w:szCs w:val="21"/>
        </w:rPr>
        <w:t>调试与验收方案（至少包括：1、对合同执行过程中各个阶段的调试与验收提出详细建议，包括但不限于调试、验收的项目、标准、方案、程序、要求和时间；2、应注明需要采购人参加的项目、时间等）</w:t>
      </w:r>
    </w:p>
    <w:p>
      <w:pPr>
        <w:tabs>
          <w:tab w:val="left" w:pos="709"/>
        </w:tabs>
        <w:autoSpaceDE w:val="0"/>
        <w:autoSpaceDN w:val="0"/>
        <w:adjustRightInd w:val="0"/>
        <w:ind w:firstLine="283" w:firstLineChars="135"/>
        <w:rPr>
          <w:rFonts w:hint="eastAsia" w:ascii="宋体" w:hAnsi="宋体" w:eastAsia="宋体" w:cs="宋体"/>
          <w:color w:val="0D0D0D"/>
          <w:kern w:val="0"/>
          <w:szCs w:val="21"/>
        </w:rPr>
      </w:pPr>
      <w:r>
        <w:rPr>
          <w:rFonts w:hint="eastAsia" w:ascii="宋体" w:hAnsi="宋体" w:eastAsia="宋体" w:cs="宋体"/>
          <w:color w:val="0D0D0D"/>
          <w:kern w:val="0"/>
          <w:szCs w:val="21"/>
        </w:rPr>
        <w:t>3)</w:t>
      </w:r>
      <w:r>
        <w:rPr>
          <w:rFonts w:hint="eastAsia" w:ascii="宋体" w:hAnsi="宋体" w:eastAsia="宋体" w:cs="宋体"/>
          <w:color w:val="0D0D0D"/>
          <w:kern w:val="0"/>
          <w:szCs w:val="21"/>
        </w:rPr>
        <w:tab/>
      </w:r>
      <w:r>
        <w:rPr>
          <w:rFonts w:hint="eastAsia" w:ascii="宋体" w:hAnsi="宋体" w:eastAsia="宋体" w:cs="宋体"/>
          <w:color w:val="0D0D0D"/>
          <w:kern w:val="0"/>
          <w:szCs w:val="21"/>
        </w:rPr>
        <w:t>人员培训计划及方案（说明对买方人员的培训安排、培训目的、培训计划）</w:t>
      </w:r>
    </w:p>
    <w:p>
      <w:pPr>
        <w:tabs>
          <w:tab w:val="left" w:pos="709"/>
        </w:tabs>
        <w:autoSpaceDE w:val="0"/>
        <w:autoSpaceDN w:val="0"/>
        <w:adjustRightInd w:val="0"/>
        <w:ind w:left="694" w:leftChars="129" w:hanging="424" w:hangingChars="202"/>
        <w:rPr>
          <w:rFonts w:hint="eastAsia" w:ascii="宋体" w:hAnsi="宋体" w:eastAsia="宋体" w:cs="宋体"/>
          <w:color w:val="0D0D0D"/>
          <w:kern w:val="0"/>
          <w:szCs w:val="21"/>
        </w:rPr>
      </w:pPr>
      <w:r>
        <w:rPr>
          <w:rFonts w:hint="eastAsia" w:ascii="宋体" w:hAnsi="宋体" w:eastAsia="宋体" w:cs="宋体"/>
          <w:color w:val="0D0D0D"/>
          <w:kern w:val="0"/>
          <w:szCs w:val="21"/>
        </w:rPr>
        <w:t>4)</w:t>
      </w:r>
      <w:r>
        <w:rPr>
          <w:rFonts w:hint="eastAsia" w:ascii="宋体" w:hAnsi="宋体" w:eastAsia="宋体" w:cs="宋体"/>
          <w:color w:val="0D0D0D"/>
          <w:kern w:val="0"/>
          <w:szCs w:val="21"/>
        </w:rPr>
        <w:tab/>
      </w:r>
      <w:r>
        <w:rPr>
          <w:rFonts w:hint="eastAsia" w:ascii="宋体" w:hAnsi="宋体" w:eastAsia="宋体" w:cs="宋体"/>
          <w:color w:val="0D0D0D"/>
          <w:kern w:val="0"/>
          <w:szCs w:val="21"/>
        </w:rPr>
        <w:t>售前、售后服务内容，包括提供各种技术配合、技术支持、技术培训、正常维护和应急措施等，售后服务机构的名称、地址、性质、人员配置及数量、所从事的专业等，说明质保期内和质保期满后的正常维护和应急措施等售后服务措施等</w:t>
      </w:r>
    </w:p>
    <w:p>
      <w:pPr>
        <w:tabs>
          <w:tab w:val="left" w:pos="709"/>
        </w:tabs>
        <w:autoSpaceDE w:val="0"/>
        <w:autoSpaceDN w:val="0"/>
        <w:adjustRightInd w:val="0"/>
        <w:ind w:left="694" w:leftChars="129" w:hanging="424" w:hangingChars="202"/>
        <w:rPr>
          <w:rFonts w:hint="eastAsia" w:ascii="宋体" w:hAnsi="宋体" w:eastAsia="宋体" w:cs="宋体"/>
          <w:color w:val="0D0D0D"/>
          <w:kern w:val="0"/>
          <w:szCs w:val="21"/>
        </w:rPr>
      </w:pPr>
      <w:r>
        <w:rPr>
          <w:rFonts w:hint="eastAsia" w:ascii="宋体" w:hAnsi="宋体" w:eastAsia="宋体" w:cs="宋体"/>
          <w:color w:val="0D0D0D"/>
          <w:kern w:val="0"/>
          <w:szCs w:val="21"/>
        </w:rPr>
        <w:t>5)</w:t>
      </w:r>
      <w:r>
        <w:rPr>
          <w:rFonts w:hint="eastAsia" w:ascii="宋体" w:hAnsi="宋体" w:eastAsia="宋体" w:cs="宋体"/>
          <w:color w:val="0D0D0D"/>
          <w:kern w:val="0"/>
          <w:szCs w:val="21"/>
        </w:rPr>
        <w:tab/>
      </w:r>
      <w:r>
        <w:rPr>
          <w:rFonts w:hint="eastAsia" w:ascii="宋体" w:hAnsi="宋体" w:eastAsia="宋体" w:cs="宋体"/>
          <w:color w:val="0D0D0D"/>
          <w:kern w:val="0"/>
          <w:szCs w:val="21"/>
        </w:rPr>
        <w:t>保证货物正常和连续运转期间所需要的所有备品、备件和专用工具的详细清单，包括其价格和供货来源等资料，说明备品、备件等的长期供应方式和条件的承诺</w:t>
      </w:r>
    </w:p>
    <w:p>
      <w:pPr>
        <w:autoSpaceDE w:val="0"/>
        <w:autoSpaceDN w:val="0"/>
        <w:adjustRightInd w:val="0"/>
        <w:ind w:firstLine="420" w:firstLineChars="200"/>
        <w:rPr>
          <w:rFonts w:hint="eastAsia" w:ascii="宋体" w:hAnsi="宋体" w:eastAsia="宋体" w:cs="宋体"/>
          <w:color w:val="0D0D0D"/>
          <w:kern w:val="0"/>
          <w:szCs w:val="21"/>
        </w:rPr>
      </w:pPr>
    </w:p>
    <w:p>
      <w:pPr>
        <w:autoSpaceDE w:val="0"/>
        <w:autoSpaceDN w:val="0"/>
        <w:adjustRightInd w:val="0"/>
        <w:rPr>
          <w:rFonts w:hint="eastAsia" w:ascii="宋体" w:hAnsi="宋体" w:eastAsia="宋体" w:cs="宋体"/>
          <w:color w:val="0D0D0D"/>
          <w:kern w:val="0"/>
          <w:szCs w:val="21"/>
        </w:rPr>
      </w:pPr>
      <w:r>
        <w:rPr>
          <w:rFonts w:hint="eastAsia" w:ascii="宋体" w:hAnsi="宋体" w:eastAsia="宋体" w:cs="宋体"/>
          <w:b/>
          <w:color w:val="0D0D0D"/>
          <w:kern w:val="0"/>
          <w:szCs w:val="21"/>
        </w:rPr>
        <w:t>（四）招标文件要求或投标人认为需提供的其他材料或情况说明（</w:t>
      </w:r>
      <w:r>
        <w:rPr>
          <w:rFonts w:hint="eastAsia" w:ascii="宋体" w:hAnsi="宋体" w:eastAsia="宋体" w:cs="宋体"/>
          <w:b/>
          <w:color w:val="FF0000"/>
          <w:kern w:val="0"/>
          <w:szCs w:val="21"/>
        </w:rPr>
        <w:t>如有</w:t>
      </w:r>
      <w:r>
        <w:rPr>
          <w:rFonts w:hint="eastAsia" w:ascii="宋体" w:hAnsi="宋体" w:eastAsia="宋体" w:cs="宋体"/>
          <w:b/>
          <w:color w:val="0D0D0D"/>
          <w:kern w:val="0"/>
          <w:szCs w:val="21"/>
        </w:rPr>
        <w:t>）</w:t>
      </w:r>
    </w:p>
    <w:p>
      <w:pPr>
        <w:ind w:firstLine="420"/>
        <w:rPr>
          <w:rFonts w:hint="eastAsia" w:ascii="宋体" w:hAnsi="宋体" w:eastAsia="宋体" w:cs="宋体"/>
          <w:szCs w:val="21"/>
        </w:rPr>
        <w:sectPr>
          <w:pgSz w:w="11906" w:h="16838"/>
          <w:pgMar w:top="1134" w:right="1191" w:bottom="1134" w:left="1191" w:header="851" w:footer="583" w:gutter="0"/>
          <w:cols w:space="720" w:num="1"/>
          <w:docGrid w:type="linesAndChars" w:linePitch="312" w:charSpace="0"/>
        </w:sectPr>
      </w:pPr>
      <w:r>
        <w:rPr>
          <w:rFonts w:hint="eastAsia" w:ascii="宋体" w:hAnsi="宋体" w:eastAsia="宋体" w:cs="宋体"/>
          <w:szCs w:val="21"/>
        </w:rPr>
        <w:br w:type="page"/>
      </w:r>
    </w:p>
    <w:p>
      <w:pPr>
        <w:pStyle w:val="29"/>
        <w:numPr>
          <w:ilvl w:val="0"/>
          <w:numId w:val="106"/>
        </w:numPr>
        <w:spacing w:line="276" w:lineRule="auto"/>
        <w:ind w:firstLineChars="0"/>
        <w:outlineLvl w:val="2"/>
        <w:rPr>
          <w:rFonts w:hint="eastAsia" w:ascii="宋体" w:hAnsi="宋体" w:eastAsia="宋体" w:cs="宋体"/>
          <w:szCs w:val="21"/>
        </w:rPr>
      </w:pPr>
      <w:r>
        <w:rPr>
          <w:rFonts w:hint="eastAsia" w:ascii="宋体" w:hAnsi="宋体" w:eastAsia="宋体" w:cs="宋体"/>
          <w:color w:val="0D0D0D"/>
          <w:szCs w:val="21"/>
        </w:rPr>
        <w:t>技术、</w:t>
      </w:r>
      <w:r>
        <w:rPr>
          <w:rFonts w:hint="eastAsia" w:ascii="宋体" w:hAnsi="宋体" w:eastAsia="宋体" w:cs="宋体"/>
          <w:szCs w:val="21"/>
        </w:rPr>
        <w:t>服务及商务要求响应、偏离说明表</w:t>
      </w:r>
    </w:p>
    <w:p>
      <w:pPr>
        <w:widowControl/>
        <w:jc w:val="center"/>
        <w:rPr>
          <w:rFonts w:hint="eastAsia" w:ascii="宋体" w:hAnsi="宋体" w:eastAsia="宋体" w:cs="宋体"/>
          <w:b/>
          <w:szCs w:val="21"/>
        </w:rPr>
      </w:pPr>
      <w:r>
        <w:rPr>
          <w:rFonts w:hint="eastAsia" w:ascii="宋体" w:hAnsi="宋体" w:eastAsia="宋体" w:cs="宋体"/>
          <w:b/>
          <w:color w:val="0D0D0D"/>
          <w:szCs w:val="21"/>
        </w:rPr>
        <w:t>技术、</w:t>
      </w:r>
      <w:r>
        <w:rPr>
          <w:rFonts w:hint="eastAsia" w:ascii="宋体" w:hAnsi="宋体" w:eastAsia="宋体" w:cs="宋体"/>
          <w:b/>
          <w:szCs w:val="21"/>
        </w:rPr>
        <w:t>服务及商务要求响应、偏离说明表</w:t>
      </w:r>
    </w:p>
    <w:p>
      <w:pPr>
        <w:spacing w:line="276" w:lineRule="auto"/>
        <w:ind w:left="420"/>
        <w:jc w:val="left"/>
        <w:rPr>
          <w:rFonts w:hint="eastAsia" w:ascii="宋体" w:hAnsi="宋体" w:eastAsia="宋体" w:cs="宋体"/>
          <w:szCs w:val="21"/>
        </w:rPr>
      </w:pPr>
      <w:r>
        <w:rPr>
          <w:rFonts w:hint="eastAsia" w:ascii="宋体" w:hAnsi="宋体" w:eastAsia="宋体" w:cs="宋体"/>
          <w:szCs w:val="21"/>
        </w:rPr>
        <w:t>投 标 人：</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spacing w:line="276" w:lineRule="auto"/>
        <w:ind w:left="420"/>
        <w:jc w:val="left"/>
        <w:rPr>
          <w:rFonts w:hint="eastAsia" w:ascii="宋体" w:hAnsi="宋体" w:eastAsia="宋体" w:cs="宋体"/>
          <w:b/>
          <w:szCs w:val="21"/>
        </w:rPr>
      </w:pPr>
      <w:r>
        <w:rPr>
          <w:rFonts w:hint="eastAsia" w:ascii="宋体" w:hAnsi="宋体" w:eastAsia="宋体" w:cs="宋体"/>
          <w:szCs w:val="21"/>
          <w:lang w:val="zh-CN"/>
        </w:rPr>
        <w:t>项目编号/包号：</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r>
        <w:rPr>
          <w:rFonts w:hint="eastAsia" w:ascii="宋体" w:hAnsi="宋体" w:eastAsia="宋体" w:cs="宋体"/>
          <w:bCs/>
          <w:szCs w:val="21"/>
          <w:lang w:val="zh-CN"/>
        </w:rPr>
        <w:t xml:space="preserve">       项目名称：</w:t>
      </w:r>
      <w:r>
        <w:rPr>
          <w:rFonts w:hint="eastAsia" w:ascii="宋体" w:hAnsi="宋体" w:eastAsia="宋体" w:cs="宋体"/>
          <w:bCs/>
          <w:szCs w:val="21"/>
          <w:u w:val="single"/>
          <w:lang w:val="zh-CN"/>
        </w:rPr>
        <w:t xml:space="preserve">                           </w:t>
      </w:r>
    </w:p>
    <w:tbl>
      <w:tblPr>
        <w:tblStyle w:val="2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5"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序号</w:t>
            </w:r>
          </w:p>
        </w:tc>
        <w:tc>
          <w:tcPr>
            <w:tcW w:w="3031"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技术、服务及商务要求条款</w:t>
            </w:r>
          </w:p>
        </w:tc>
        <w:tc>
          <w:tcPr>
            <w:tcW w:w="2755"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响应内容对应简述</w:t>
            </w:r>
          </w:p>
        </w:tc>
        <w:tc>
          <w:tcPr>
            <w:tcW w:w="1364"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偏离说明</w:t>
            </w:r>
          </w:p>
        </w:tc>
        <w:tc>
          <w:tcPr>
            <w:tcW w:w="1619"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1</w:t>
            </w:r>
          </w:p>
        </w:tc>
        <w:tc>
          <w:tcPr>
            <w:tcW w:w="303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275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36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2</w:t>
            </w:r>
          </w:p>
        </w:tc>
        <w:tc>
          <w:tcPr>
            <w:tcW w:w="303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275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36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3</w:t>
            </w:r>
          </w:p>
        </w:tc>
        <w:tc>
          <w:tcPr>
            <w:tcW w:w="303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275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36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4</w:t>
            </w:r>
          </w:p>
        </w:tc>
        <w:tc>
          <w:tcPr>
            <w:tcW w:w="303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275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36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5</w:t>
            </w:r>
          </w:p>
        </w:tc>
        <w:tc>
          <w:tcPr>
            <w:tcW w:w="303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275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36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6</w:t>
            </w:r>
          </w:p>
        </w:tc>
        <w:tc>
          <w:tcPr>
            <w:tcW w:w="303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275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36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w:t>
            </w:r>
          </w:p>
        </w:tc>
        <w:tc>
          <w:tcPr>
            <w:tcW w:w="303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275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36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bl>
    <w:p>
      <w:pPr>
        <w:spacing w:line="276" w:lineRule="auto"/>
        <w:ind w:left="1016" w:leftChars="203" w:hanging="590" w:hangingChars="281"/>
        <w:jc w:val="left"/>
        <w:rPr>
          <w:rFonts w:hint="eastAsia" w:ascii="宋体" w:hAnsi="宋体" w:eastAsia="宋体" w:cs="宋体"/>
          <w:szCs w:val="21"/>
        </w:rPr>
      </w:pPr>
      <w:r>
        <w:rPr>
          <w:rFonts w:hint="eastAsia" w:ascii="宋体" w:hAnsi="宋体" w:eastAsia="宋体" w:cs="宋体"/>
          <w:szCs w:val="21"/>
        </w:rPr>
        <w:t>说明：投标人应对照招标文件第三章项目技术、服务及商务要求中条款逐项说明是否满足，并注明证明材料对应页码。如有偏离应详细说明。特别对有具体参数要求的指标，投标人必须提供相应具体数值，未按照要求填写此表或仅注明“符合”、“满足”的，导致的后果由投标人自行承担。</w:t>
      </w:r>
    </w:p>
    <w:p>
      <w:pPr>
        <w:spacing w:line="276" w:lineRule="auto"/>
        <w:ind w:left="955" w:hanging="955" w:hangingChars="455"/>
        <w:jc w:val="left"/>
        <w:rPr>
          <w:rFonts w:hint="eastAsia" w:ascii="宋体" w:hAnsi="宋体" w:eastAsia="宋体" w:cs="宋体"/>
          <w:szCs w:val="21"/>
        </w:rPr>
      </w:pPr>
    </w:p>
    <w:p>
      <w:pPr>
        <w:spacing w:before="100" w:beforeAutospacing="1" w:after="100" w:afterAutospacing="1" w:line="276" w:lineRule="auto"/>
        <w:ind w:firstLine="2902" w:firstLineChars="1382"/>
        <w:rPr>
          <w:rFonts w:hint="eastAsia" w:ascii="宋体" w:hAnsi="宋体" w:eastAsia="宋体" w:cs="宋体"/>
          <w:bCs/>
          <w:szCs w:val="21"/>
        </w:rPr>
      </w:pPr>
    </w:p>
    <w:p>
      <w:pPr>
        <w:spacing w:before="100" w:beforeAutospacing="1" w:after="100" w:afterAutospacing="1" w:line="276" w:lineRule="auto"/>
        <w:ind w:firstLine="2902" w:firstLineChars="1382"/>
        <w:rPr>
          <w:rFonts w:hint="eastAsia" w:ascii="宋体" w:hAnsi="宋体" w:eastAsia="宋体" w:cs="宋体"/>
          <w:bCs/>
          <w:szCs w:val="21"/>
          <w:u w:val="single"/>
        </w:rPr>
      </w:pPr>
      <w:r>
        <w:rPr>
          <w:rFonts w:hint="eastAsia" w:ascii="宋体" w:hAnsi="宋体" w:eastAsia="宋体" w:cs="宋体"/>
          <w:bCs/>
          <w:szCs w:val="21"/>
        </w:rPr>
        <w:t>投标人名称（公章）：</w:t>
      </w:r>
      <w:r>
        <w:rPr>
          <w:rFonts w:hint="eastAsia" w:ascii="宋体" w:hAnsi="宋体" w:eastAsia="宋体" w:cs="宋体"/>
          <w:bCs/>
          <w:szCs w:val="21"/>
          <w:u w:val="single"/>
        </w:rPr>
        <w:t xml:space="preserve">                          </w:t>
      </w:r>
    </w:p>
    <w:p>
      <w:pPr>
        <w:spacing w:before="100" w:beforeAutospacing="1" w:after="100" w:afterAutospacing="1" w:line="276" w:lineRule="auto"/>
        <w:ind w:firstLine="2902" w:firstLineChars="1382"/>
        <w:rPr>
          <w:rFonts w:hint="eastAsia" w:ascii="宋体" w:hAnsi="宋体" w:eastAsia="宋体" w:cs="宋体"/>
          <w:szCs w:val="21"/>
        </w:rPr>
      </w:pPr>
      <w:r>
        <w:rPr>
          <w:rFonts w:hint="eastAsia" w:ascii="宋体" w:hAnsi="宋体" w:eastAsia="宋体" w:cs="宋体"/>
          <w:bCs/>
          <w:szCs w:val="21"/>
          <w:lang w:val="zh-CN"/>
        </w:rPr>
        <w:t>日期</w:t>
      </w:r>
      <w:r>
        <w:rPr>
          <w:rFonts w:hint="eastAsia" w:ascii="宋体" w:hAnsi="宋体" w:eastAsia="宋体" w:cs="宋体"/>
          <w:bCs/>
          <w:szCs w:val="21"/>
        </w:rPr>
        <w:t>：</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pPr>
        <w:widowControl/>
        <w:jc w:val="left"/>
        <w:rPr>
          <w:rFonts w:hint="eastAsia" w:ascii="宋体" w:hAnsi="宋体" w:eastAsia="宋体" w:cs="宋体"/>
          <w:szCs w:val="21"/>
        </w:rPr>
      </w:pPr>
    </w:p>
    <w:p>
      <w:pPr>
        <w:widowControl/>
        <w:jc w:val="left"/>
        <w:rPr>
          <w:rFonts w:hint="eastAsia" w:ascii="宋体" w:hAnsi="宋体" w:eastAsia="宋体" w:cs="宋体"/>
          <w:szCs w:val="21"/>
        </w:rPr>
      </w:pPr>
      <w:r>
        <w:rPr>
          <w:rFonts w:hint="eastAsia" w:ascii="宋体" w:hAnsi="宋体" w:eastAsia="宋体" w:cs="宋体"/>
          <w:szCs w:val="21"/>
        </w:rPr>
        <w:br w:type="page"/>
      </w:r>
    </w:p>
    <w:p>
      <w:pPr>
        <w:pStyle w:val="29"/>
        <w:numPr>
          <w:ilvl w:val="0"/>
          <w:numId w:val="106"/>
        </w:numPr>
        <w:spacing w:line="276" w:lineRule="auto"/>
        <w:ind w:firstLineChars="0"/>
        <w:outlineLvl w:val="2"/>
        <w:rPr>
          <w:rFonts w:hint="eastAsia" w:ascii="宋体" w:hAnsi="宋体" w:eastAsia="宋体" w:cs="宋体"/>
          <w:szCs w:val="21"/>
        </w:rPr>
      </w:pPr>
      <w:r>
        <w:rPr>
          <w:rFonts w:hint="eastAsia" w:ascii="宋体" w:hAnsi="宋体" w:eastAsia="宋体" w:cs="宋体"/>
          <w:szCs w:val="21"/>
        </w:rPr>
        <w:t>资格审查对照表</w:t>
      </w:r>
    </w:p>
    <w:p>
      <w:pPr>
        <w:spacing w:line="276" w:lineRule="auto"/>
        <w:jc w:val="center"/>
        <w:rPr>
          <w:rFonts w:hint="eastAsia" w:ascii="宋体" w:hAnsi="宋体" w:eastAsia="宋体" w:cs="宋体"/>
          <w:b/>
          <w:szCs w:val="21"/>
        </w:rPr>
      </w:pPr>
      <w:r>
        <w:rPr>
          <w:rFonts w:hint="eastAsia" w:ascii="宋体" w:hAnsi="宋体" w:eastAsia="宋体" w:cs="宋体"/>
          <w:b/>
          <w:szCs w:val="21"/>
        </w:rPr>
        <w:t>资格审查对照表</w:t>
      </w:r>
    </w:p>
    <w:p>
      <w:pPr>
        <w:spacing w:line="276" w:lineRule="auto"/>
        <w:jc w:val="left"/>
        <w:rPr>
          <w:rFonts w:hint="eastAsia" w:ascii="宋体" w:hAnsi="宋体" w:eastAsia="宋体" w:cs="宋体"/>
          <w:szCs w:val="21"/>
        </w:rPr>
      </w:pPr>
      <w:r>
        <w:rPr>
          <w:rFonts w:hint="eastAsia" w:ascii="宋体" w:hAnsi="宋体" w:eastAsia="宋体" w:cs="宋体"/>
          <w:szCs w:val="21"/>
        </w:rPr>
        <w:t>投 标 人：</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spacing w:line="276" w:lineRule="auto"/>
        <w:jc w:val="left"/>
        <w:rPr>
          <w:rFonts w:hint="eastAsia" w:ascii="宋体" w:hAnsi="宋体" w:eastAsia="宋体" w:cs="宋体"/>
          <w:szCs w:val="21"/>
        </w:rPr>
      </w:pPr>
      <w:r>
        <w:rPr>
          <w:rFonts w:hint="eastAsia" w:ascii="宋体" w:hAnsi="宋体" w:eastAsia="宋体" w:cs="宋体"/>
          <w:szCs w:val="21"/>
          <w:lang w:val="zh-CN"/>
        </w:rPr>
        <w:t>项目编号/标段编号：</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r>
        <w:rPr>
          <w:rFonts w:hint="eastAsia" w:ascii="宋体" w:hAnsi="宋体" w:eastAsia="宋体" w:cs="宋体"/>
          <w:bCs/>
          <w:szCs w:val="21"/>
          <w:lang w:val="zh-CN"/>
        </w:rPr>
        <w:t xml:space="preserve">                项目名称：</w:t>
      </w:r>
      <w:r>
        <w:rPr>
          <w:rFonts w:hint="eastAsia" w:ascii="宋体" w:hAnsi="宋体" w:eastAsia="宋体" w:cs="宋体"/>
          <w:bCs/>
          <w:szCs w:val="21"/>
          <w:u w:val="single"/>
          <w:lang w:val="zh-CN"/>
        </w:rPr>
        <w:t xml:space="preserve">                        </w:t>
      </w:r>
    </w:p>
    <w:tbl>
      <w:tblPr>
        <w:tblStyle w:val="26"/>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339"/>
        <w:gridCol w:w="197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53"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序号</w:t>
            </w:r>
          </w:p>
        </w:tc>
        <w:tc>
          <w:tcPr>
            <w:tcW w:w="3032"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资格审查条款</w:t>
            </w:r>
          </w:p>
        </w:tc>
        <w:tc>
          <w:tcPr>
            <w:tcW w:w="2339"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投标内容对应简述</w:t>
            </w:r>
          </w:p>
        </w:tc>
        <w:tc>
          <w:tcPr>
            <w:tcW w:w="1970"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偏离说明</w:t>
            </w:r>
          </w:p>
        </w:tc>
        <w:tc>
          <w:tcPr>
            <w:tcW w:w="1574"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1</w:t>
            </w:r>
          </w:p>
        </w:tc>
        <w:tc>
          <w:tcPr>
            <w:tcW w:w="30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2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2</w:t>
            </w:r>
          </w:p>
        </w:tc>
        <w:tc>
          <w:tcPr>
            <w:tcW w:w="30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2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3</w:t>
            </w:r>
          </w:p>
        </w:tc>
        <w:tc>
          <w:tcPr>
            <w:tcW w:w="30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2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4</w:t>
            </w:r>
          </w:p>
        </w:tc>
        <w:tc>
          <w:tcPr>
            <w:tcW w:w="30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2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5</w:t>
            </w:r>
          </w:p>
        </w:tc>
        <w:tc>
          <w:tcPr>
            <w:tcW w:w="30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2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6</w:t>
            </w:r>
          </w:p>
        </w:tc>
        <w:tc>
          <w:tcPr>
            <w:tcW w:w="30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2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w:t>
            </w:r>
          </w:p>
        </w:tc>
        <w:tc>
          <w:tcPr>
            <w:tcW w:w="303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2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5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bl>
    <w:p>
      <w:pPr>
        <w:spacing w:line="276" w:lineRule="auto"/>
        <w:ind w:left="955" w:hanging="955" w:hangingChars="455"/>
        <w:jc w:val="left"/>
        <w:rPr>
          <w:rFonts w:hint="eastAsia" w:ascii="宋体" w:hAnsi="宋体" w:eastAsia="宋体" w:cs="宋体"/>
          <w:b/>
          <w:szCs w:val="21"/>
        </w:rPr>
      </w:pPr>
      <w:r>
        <w:rPr>
          <w:rFonts w:hint="eastAsia" w:ascii="宋体" w:hAnsi="宋体" w:eastAsia="宋体" w:cs="宋体"/>
          <w:szCs w:val="21"/>
        </w:rPr>
        <w:t>说明：1．投标人应按招标文件第四章中“资格审查表”逐项说明是否满足要求，如有偏离,投标人应详细说明。</w:t>
      </w:r>
    </w:p>
    <w:p>
      <w:pPr>
        <w:spacing w:line="276" w:lineRule="auto"/>
        <w:ind w:left="1018" w:leftChars="270" w:hanging="451" w:hangingChars="215"/>
        <w:jc w:val="left"/>
        <w:rPr>
          <w:rFonts w:hint="eastAsia" w:ascii="宋体" w:hAnsi="宋体" w:eastAsia="宋体" w:cs="宋体"/>
          <w:szCs w:val="21"/>
        </w:rPr>
      </w:pPr>
      <w:r>
        <w:rPr>
          <w:rFonts w:hint="eastAsia" w:ascii="宋体" w:hAnsi="宋体" w:eastAsia="宋体" w:cs="宋体"/>
          <w:szCs w:val="21"/>
        </w:rPr>
        <w:t>2．相关证明材料对应的页码填写到上表“对应页码”中。</w:t>
      </w:r>
    </w:p>
    <w:p>
      <w:pPr>
        <w:spacing w:before="100" w:beforeAutospacing="1" w:after="100" w:afterAutospacing="1" w:line="276" w:lineRule="auto"/>
        <w:ind w:firstLine="3334" w:firstLineChars="1588"/>
        <w:rPr>
          <w:rFonts w:hint="eastAsia" w:ascii="宋体" w:hAnsi="宋体" w:eastAsia="宋体" w:cs="宋体"/>
          <w:b/>
          <w:bCs/>
          <w:szCs w:val="21"/>
          <w:lang w:val="zh-CN"/>
        </w:rPr>
      </w:pPr>
    </w:p>
    <w:p>
      <w:pPr>
        <w:spacing w:before="100" w:beforeAutospacing="1" w:after="100" w:afterAutospacing="1" w:line="276" w:lineRule="auto"/>
        <w:ind w:firstLine="2902" w:firstLineChars="1382"/>
        <w:rPr>
          <w:rFonts w:hint="eastAsia" w:ascii="宋体" w:hAnsi="宋体" w:eastAsia="宋体" w:cs="宋体"/>
          <w:bCs/>
          <w:szCs w:val="21"/>
          <w:u w:val="single"/>
        </w:rPr>
      </w:pPr>
      <w:r>
        <w:rPr>
          <w:rFonts w:hint="eastAsia" w:ascii="宋体" w:hAnsi="宋体" w:eastAsia="宋体" w:cs="宋体"/>
          <w:bCs/>
          <w:szCs w:val="21"/>
        </w:rPr>
        <w:t>投标人名称（公章）：</w:t>
      </w:r>
      <w:r>
        <w:rPr>
          <w:rFonts w:hint="eastAsia" w:ascii="宋体" w:hAnsi="宋体" w:eastAsia="宋体" w:cs="宋体"/>
          <w:bCs/>
          <w:szCs w:val="21"/>
          <w:u w:val="single"/>
        </w:rPr>
        <w:t xml:space="preserve">                          </w:t>
      </w:r>
    </w:p>
    <w:p>
      <w:pPr>
        <w:spacing w:line="276" w:lineRule="auto"/>
        <w:ind w:firstLine="2940" w:firstLineChars="1400"/>
        <w:rPr>
          <w:rFonts w:hint="eastAsia" w:ascii="宋体" w:hAnsi="宋体" w:eastAsia="宋体" w:cs="宋体"/>
          <w:szCs w:val="21"/>
        </w:rPr>
      </w:pPr>
      <w:r>
        <w:rPr>
          <w:rFonts w:hint="eastAsia" w:ascii="宋体" w:hAnsi="宋体" w:eastAsia="宋体" w:cs="宋体"/>
          <w:bCs/>
          <w:szCs w:val="21"/>
          <w:lang w:val="zh-CN"/>
        </w:rPr>
        <w:t>日期</w:t>
      </w:r>
      <w:r>
        <w:rPr>
          <w:rFonts w:hint="eastAsia" w:ascii="宋体" w:hAnsi="宋体" w:eastAsia="宋体" w:cs="宋体"/>
          <w:bCs/>
          <w:szCs w:val="21"/>
        </w:rPr>
        <w:t>：</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pPr>
        <w:widowControl/>
        <w:jc w:val="left"/>
        <w:rPr>
          <w:rFonts w:hint="eastAsia" w:ascii="宋体" w:hAnsi="宋体" w:eastAsia="宋体" w:cs="宋体"/>
          <w:kern w:val="0"/>
          <w:szCs w:val="21"/>
        </w:rPr>
      </w:pPr>
      <w:r>
        <w:rPr>
          <w:rFonts w:hint="eastAsia" w:ascii="宋体" w:hAnsi="宋体" w:eastAsia="宋体" w:cs="宋体"/>
          <w:kern w:val="0"/>
          <w:szCs w:val="21"/>
        </w:rPr>
        <w:br w:type="page"/>
      </w:r>
    </w:p>
    <w:p>
      <w:pPr>
        <w:pStyle w:val="29"/>
        <w:numPr>
          <w:ilvl w:val="0"/>
          <w:numId w:val="106"/>
        </w:numPr>
        <w:spacing w:line="276" w:lineRule="auto"/>
        <w:ind w:firstLineChars="0"/>
        <w:outlineLvl w:val="2"/>
        <w:rPr>
          <w:rFonts w:hint="eastAsia" w:ascii="宋体" w:hAnsi="宋体" w:eastAsia="宋体" w:cs="宋体"/>
          <w:szCs w:val="21"/>
        </w:rPr>
      </w:pPr>
      <w:r>
        <w:rPr>
          <w:rFonts w:hint="eastAsia" w:ascii="宋体" w:hAnsi="宋体" w:eastAsia="宋体" w:cs="宋体"/>
          <w:szCs w:val="21"/>
        </w:rPr>
        <w:t>符合性审查对照表</w:t>
      </w:r>
    </w:p>
    <w:p>
      <w:pPr>
        <w:spacing w:line="276" w:lineRule="auto"/>
        <w:jc w:val="center"/>
        <w:rPr>
          <w:rFonts w:hint="eastAsia" w:ascii="宋体" w:hAnsi="宋体" w:eastAsia="宋体" w:cs="宋体"/>
          <w:b/>
          <w:szCs w:val="21"/>
        </w:rPr>
      </w:pPr>
      <w:r>
        <w:rPr>
          <w:rFonts w:hint="eastAsia" w:ascii="宋体" w:hAnsi="宋体" w:eastAsia="宋体" w:cs="宋体"/>
          <w:b/>
          <w:szCs w:val="21"/>
        </w:rPr>
        <w:t>符合性审查对照表</w:t>
      </w:r>
    </w:p>
    <w:p>
      <w:pPr>
        <w:spacing w:line="276" w:lineRule="auto"/>
        <w:jc w:val="left"/>
        <w:rPr>
          <w:rFonts w:hint="eastAsia" w:ascii="宋体" w:hAnsi="宋体" w:eastAsia="宋体" w:cs="宋体"/>
          <w:szCs w:val="21"/>
        </w:rPr>
      </w:pPr>
      <w:r>
        <w:rPr>
          <w:rFonts w:hint="eastAsia" w:ascii="宋体" w:hAnsi="宋体" w:eastAsia="宋体" w:cs="宋体"/>
          <w:szCs w:val="21"/>
        </w:rPr>
        <w:t>投 标 人：</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spacing w:line="276" w:lineRule="auto"/>
        <w:jc w:val="left"/>
        <w:rPr>
          <w:rFonts w:hint="eastAsia" w:ascii="宋体" w:hAnsi="宋体" w:eastAsia="宋体" w:cs="宋体"/>
          <w:szCs w:val="21"/>
        </w:rPr>
      </w:pPr>
      <w:r>
        <w:rPr>
          <w:rFonts w:hint="eastAsia" w:ascii="宋体" w:hAnsi="宋体" w:eastAsia="宋体" w:cs="宋体"/>
          <w:szCs w:val="21"/>
          <w:lang w:val="zh-CN"/>
        </w:rPr>
        <w:t>项目编号/标段编号：</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r>
        <w:rPr>
          <w:rFonts w:hint="eastAsia" w:ascii="宋体" w:hAnsi="宋体" w:eastAsia="宋体" w:cs="宋体"/>
          <w:bCs/>
          <w:szCs w:val="21"/>
          <w:lang w:val="zh-CN"/>
        </w:rPr>
        <w:t xml:space="preserve">                项目名称：</w:t>
      </w:r>
      <w:r>
        <w:rPr>
          <w:rFonts w:hint="eastAsia" w:ascii="宋体" w:hAnsi="宋体" w:eastAsia="宋体" w:cs="宋体"/>
          <w:bCs/>
          <w:szCs w:val="21"/>
          <w:u w:val="single"/>
          <w:lang w:val="zh-CN"/>
        </w:rPr>
        <w:t xml:space="preserve">                   </w:t>
      </w:r>
    </w:p>
    <w:tbl>
      <w:tblPr>
        <w:tblStyle w:val="26"/>
        <w:tblW w:w="97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229"/>
        <w:gridCol w:w="3398"/>
        <w:gridCol w:w="117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02"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序号</w:t>
            </w:r>
          </w:p>
        </w:tc>
        <w:tc>
          <w:tcPr>
            <w:tcW w:w="3229"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符合性审查条款</w:t>
            </w:r>
          </w:p>
        </w:tc>
        <w:tc>
          <w:tcPr>
            <w:tcW w:w="3398"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响应情况</w:t>
            </w:r>
          </w:p>
        </w:tc>
        <w:tc>
          <w:tcPr>
            <w:tcW w:w="1174"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偏离说明</w:t>
            </w:r>
          </w:p>
        </w:tc>
        <w:tc>
          <w:tcPr>
            <w:tcW w:w="1174"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8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1</w:t>
            </w:r>
          </w:p>
        </w:tc>
        <w:tc>
          <w:tcPr>
            <w:tcW w:w="32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339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8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2</w:t>
            </w:r>
          </w:p>
        </w:tc>
        <w:tc>
          <w:tcPr>
            <w:tcW w:w="32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339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8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3</w:t>
            </w:r>
          </w:p>
        </w:tc>
        <w:tc>
          <w:tcPr>
            <w:tcW w:w="32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339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8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4</w:t>
            </w:r>
          </w:p>
        </w:tc>
        <w:tc>
          <w:tcPr>
            <w:tcW w:w="32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339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8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5</w:t>
            </w:r>
          </w:p>
        </w:tc>
        <w:tc>
          <w:tcPr>
            <w:tcW w:w="32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339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8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6</w:t>
            </w:r>
          </w:p>
        </w:tc>
        <w:tc>
          <w:tcPr>
            <w:tcW w:w="32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339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80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w:t>
            </w:r>
          </w:p>
        </w:tc>
        <w:tc>
          <w:tcPr>
            <w:tcW w:w="322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339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bl>
    <w:p>
      <w:pPr>
        <w:spacing w:line="276" w:lineRule="auto"/>
        <w:ind w:left="952" w:leftChars="135" w:hanging="669" w:hangingChars="319"/>
        <w:jc w:val="left"/>
        <w:rPr>
          <w:rFonts w:hint="eastAsia" w:ascii="宋体" w:hAnsi="宋体" w:eastAsia="宋体" w:cs="宋体"/>
          <w:szCs w:val="21"/>
        </w:rPr>
      </w:pPr>
      <w:r>
        <w:rPr>
          <w:rFonts w:hint="eastAsia" w:ascii="宋体" w:hAnsi="宋体" w:eastAsia="宋体" w:cs="宋体"/>
          <w:szCs w:val="21"/>
        </w:rPr>
        <w:t>说明：投标人应按招标文件第五章中“符合性审查表”逐项说明是否满足要求，如有偏离,投标人应详细说明。未按照要求详细完整填写此表的后果由投标人自行承担。</w:t>
      </w:r>
    </w:p>
    <w:p>
      <w:pPr>
        <w:spacing w:line="276" w:lineRule="auto"/>
        <w:ind w:left="1017" w:leftChars="339" w:hanging="306" w:hangingChars="146"/>
        <w:jc w:val="left"/>
        <w:rPr>
          <w:rFonts w:hint="eastAsia" w:ascii="宋体" w:hAnsi="宋体" w:eastAsia="宋体" w:cs="宋体"/>
          <w:b/>
          <w:szCs w:val="21"/>
        </w:rPr>
      </w:pPr>
    </w:p>
    <w:p>
      <w:pPr>
        <w:spacing w:line="276" w:lineRule="auto"/>
        <w:ind w:left="959" w:hanging="955" w:hangingChars="455"/>
        <w:jc w:val="left"/>
        <w:rPr>
          <w:rFonts w:hint="eastAsia" w:ascii="宋体" w:hAnsi="宋体" w:eastAsia="宋体" w:cs="宋体"/>
          <w:b/>
          <w:szCs w:val="21"/>
        </w:rPr>
      </w:pPr>
    </w:p>
    <w:p>
      <w:pPr>
        <w:spacing w:before="100" w:beforeAutospacing="1" w:after="100" w:afterAutospacing="1" w:line="276" w:lineRule="auto"/>
        <w:ind w:firstLine="3334" w:firstLineChars="1588"/>
        <w:rPr>
          <w:rFonts w:hint="eastAsia" w:ascii="宋体" w:hAnsi="宋体" w:eastAsia="宋体" w:cs="宋体"/>
          <w:b/>
          <w:bCs/>
          <w:szCs w:val="21"/>
          <w:lang w:val="zh-CN"/>
        </w:rPr>
      </w:pPr>
    </w:p>
    <w:p>
      <w:pPr>
        <w:spacing w:before="100" w:beforeAutospacing="1" w:after="100" w:afterAutospacing="1" w:line="276" w:lineRule="auto"/>
        <w:ind w:firstLine="2902" w:firstLineChars="1382"/>
        <w:rPr>
          <w:rFonts w:hint="eastAsia" w:ascii="宋体" w:hAnsi="宋体" w:eastAsia="宋体" w:cs="宋体"/>
          <w:bCs/>
          <w:szCs w:val="21"/>
          <w:u w:val="single"/>
        </w:rPr>
      </w:pPr>
      <w:r>
        <w:rPr>
          <w:rFonts w:hint="eastAsia" w:ascii="宋体" w:hAnsi="宋体" w:eastAsia="宋体" w:cs="宋体"/>
          <w:bCs/>
          <w:szCs w:val="21"/>
        </w:rPr>
        <w:t>投标人名称（公章）：</w:t>
      </w:r>
      <w:r>
        <w:rPr>
          <w:rFonts w:hint="eastAsia" w:ascii="宋体" w:hAnsi="宋体" w:eastAsia="宋体" w:cs="宋体"/>
          <w:bCs/>
          <w:szCs w:val="21"/>
          <w:u w:val="single"/>
        </w:rPr>
        <w:t xml:space="preserve">                          </w:t>
      </w:r>
    </w:p>
    <w:p>
      <w:pPr>
        <w:spacing w:line="276" w:lineRule="auto"/>
        <w:ind w:firstLine="2940" w:firstLineChars="1400"/>
        <w:rPr>
          <w:rFonts w:hint="eastAsia" w:ascii="宋体" w:hAnsi="宋体" w:eastAsia="宋体" w:cs="宋体"/>
          <w:szCs w:val="21"/>
        </w:rPr>
      </w:pPr>
      <w:r>
        <w:rPr>
          <w:rFonts w:hint="eastAsia" w:ascii="宋体" w:hAnsi="宋体" w:eastAsia="宋体" w:cs="宋体"/>
          <w:bCs/>
          <w:szCs w:val="21"/>
          <w:lang w:val="zh-CN"/>
        </w:rPr>
        <w:t>日期</w:t>
      </w:r>
      <w:r>
        <w:rPr>
          <w:rFonts w:hint="eastAsia" w:ascii="宋体" w:hAnsi="宋体" w:eastAsia="宋体" w:cs="宋体"/>
          <w:bCs/>
          <w:szCs w:val="21"/>
        </w:rPr>
        <w:t>：</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pPr>
        <w:ind w:firstLine="420"/>
        <w:rPr>
          <w:rFonts w:hint="eastAsia" w:ascii="宋体" w:hAnsi="宋体" w:eastAsia="宋体" w:cs="宋体"/>
          <w:kern w:val="0"/>
          <w:szCs w:val="21"/>
        </w:rPr>
      </w:pPr>
      <w:r>
        <w:rPr>
          <w:rFonts w:hint="eastAsia" w:ascii="宋体" w:hAnsi="宋体" w:eastAsia="宋体" w:cs="宋体"/>
          <w:kern w:val="0"/>
          <w:szCs w:val="21"/>
        </w:rPr>
        <w:br w:type="page"/>
      </w:r>
    </w:p>
    <w:p>
      <w:pPr>
        <w:pStyle w:val="29"/>
        <w:numPr>
          <w:ilvl w:val="0"/>
          <w:numId w:val="106"/>
        </w:numPr>
        <w:spacing w:line="276" w:lineRule="auto"/>
        <w:ind w:firstLineChars="0"/>
        <w:outlineLvl w:val="2"/>
        <w:rPr>
          <w:rFonts w:hint="eastAsia" w:ascii="宋体" w:hAnsi="宋体" w:eastAsia="宋体" w:cs="宋体"/>
          <w:szCs w:val="21"/>
        </w:rPr>
      </w:pPr>
      <w:r>
        <w:rPr>
          <w:rFonts w:hint="eastAsia" w:ascii="宋体" w:hAnsi="宋体" w:eastAsia="宋体" w:cs="宋体"/>
          <w:szCs w:val="21"/>
        </w:rPr>
        <w:t>技术、服务及商务评议对照表</w:t>
      </w:r>
    </w:p>
    <w:p>
      <w:pPr>
        <w:spacing w:line="276" w:lineRule="auto"/>
        <w:jc w:val="center"/>
        <w:rPr>
          <w:rFonts w:hint="eastAsia" w:ascii="宋体" w:hAnsi="宋体" w:eastAsia="宋体" w:cs="宋体"/>
          <w:b/>
          <w:szCs w:val="21"/>
        </w:rPr>
      </w:pPr>
      <w:r>
        <w:rPr>
          <w:rFonts w:hint="eastAsia" w:ascii="宋体" w:hAnsi="宋体" w:eastAsia="宋体" w:cs="宋体"/>
          <w:b/>
          <w:szCs w:val="21"/>
        </w:rPr>
        <w:t>技术、服务及商务评议对照表</w:t>
      </w:r>
    </w:p>
    <w:p>
      <w:pPr>
        <w:spacing w:line="276" w:lineRule="auto"/>
        <w:jc w:val="left"/>
        <w:rPr>
          <w:rFonts w:hint="eastAsia" w:ascii="宋体" w:hAnsi="宋体" w:eastAsia="宋体" w:cs="宋体"/>
          <w:szCs w:val="21"/>
        </w:rPr>
      </w:pPr>
      <w:r>
        <w:rPr>
          <w:rFonts w:hint="eastAsia" w:ascii="宋体" w:hAnsi="宋体" w:eastAsia="宋体" w:cs="宋体"/>
          <w:szCs w:val="21"/>
        </w:rPr>
        <w:t>投 标 人：</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p>
    <w:p>
      <w:pPr>
        <w:spacing w:line="276" w:lineRule="auto"/>
        <w:jc w:val="left"/>
        <w:rPr>
          <w:rFonts w:hint="eastAsia" w:ascii="宋体" w:hAnsi="宋体" w:eastAsia="宋体" w:cs="宋体"/>
          <w:szCs w:val="21"/>
        </w:rPr>
      </w:pPr>
      <w:r>
        <w:rPr>
          <w:rFonts w:hint="eastAsia" w:ascii="宋体" w:hAnsi="宋体" w:eastAsia="宋体" w:cs="宋体"/>
          <w:szCs w:val="21"/>
          <w:lang w:val="zh-CN"/>
        </w:rPr>
        <w:t>项目编号/标段编号：</w:t>
      </w:r>
      <w:r>
        <w:rPr>
          <w:rFonts w:hint="eastAsia" w:ascii="宋体" w:hAnsi="宋体" w:eastAsia="宋体" w:cs="宋体"/>
          <w:szCs w:val="21"/>
          <w:u w:val="single"/>
          <w:lang w:val="zh-CN"/>
        </w:rPr>
        <w:t xml:space="preserve">                     </w:t>
      </w:r>
      <w:r>
        <w:rPr>
          <w:rFonts w:hint="eastAsia" w:ascii="宋体" w:hAnsi="宋体" w:eastAsia="宋体" w:cs="宋体"/>
          <w:szCs w:val="21"/>
          <w:lang w:val="zh-CN"/>
        </w:rPr>
        <w:t xml:space="preserve">     </w:t>
      </w:r>
      <w:r>
        <w:rPr>
          <w:rFonts w:hint="eastAsia" w:ascii="宋体" w:hAnsi="宋体" w:eastAsia="宋体" w:cs="宋体"/>
          <w:bCs/>
          <w:szCs w:val="21"/>
          <w:lang w:val="zh-CN"/>
        </w:rPr>
        <w:t xml:space="preserve">                项目名称：</w:t>
      </w:r>
      <w:r>
        <w:rPr>
          <w:rFonts w:hint="eastAsia" w:ascii="宋体" w:hAnsi="宋体" w:eastAsia="宋体" w:cs="宋体"/>
          <w:bCs/>
          <w:szCs w:val="21"/>
          <w:u w:val="single"/>
          <w:lang w:val="zh-CN"/>
        </w:rPr>
        <w:t xml:space="preserve">                        </w:t>
      </w:r>
    </w:p>
    <w:tbl>
      <w:tblPr>
        <w:tblStyle w:val="26"/>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3182"/>
        <w:gridCol w:w="1698"/>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2"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序号</w:t>
            </w:r>
          </w:p>
        </w:tc>
        <w:tc>
          <w:tcPr>
            <w:tcW w:w="2767"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评分条款序号及内容</w:t>
            </w:r>
          </w:p>
        </w:tc>
        <w:tc>
          <w:tcPr>
            <w:tcW w:w="3182"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响应内容对应简述</w:t>
            </w:r>
          </w:p>
        </w:tc>
        <w:tc>
          <w:tcPr>
            <w:tcW w:w="1698"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偏离说明</w:t>
            </w:r>
          </w:p>
        </w:tc>
        <w:tc>
          <w:tcPr>
            <w:tcW w:w="1279" w:type="dxa"/>
            <w:tcBorders>
              <w:top w:val="single" w:color="auto" w:sz="4" w:space="0"/>
              <w:left w:val="single" w:color="auto" w:sz="4" w:space="0"/>
              <w:bottom w:val="single" w:color="auto" w:sz="4" w:space="0"/>
              <w:right w:val="single" w:color="auto" w:sz="4" w:space="0"/>
            </w:tcBorders>
            <w:shd w:val="clear" w:color="auto" w:fill="F1F1F1"/>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1</w:t>
            </w:r>
          </w:p>
        </w:tc>
        <w:tc>
          <w:tcPr>
            <w:tcW w:w="27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31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2</w:t>
            </w:r>
          </w:p>
        </w:tc>
        <w:tc>
          <w:tcPr>
            <w:tcW w:w="27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31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3</w:t>
            </w:r>
          </w:p>
        </w:tc>
        <w:tc>
          <w:tcPr>
            <w:tcW w:w="27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31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4</w:t>
            </w:r>
          </w:p>
        </w:tc>
        <w:tc>
          <w:tcPr>
            <w:tcW w:w="27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31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5</w:t>
            </w:r>
          </w:p>
        </w:tc>
        <w:tc>
          <w:tcPr>
            <w:tcW w:w="27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31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6</w:t>
            </w:r>
          </w:p>
        </w:tc>
        <w:tc>
          <w:tcPr>
            <w:tcW w:w="27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31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7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r>
              <w:rPr>
                <w:rFonts w:hint="eastAsia" w:ascii="宋体" w:hAnsi="宋体" w:eastAsia="宋体" w:cs="宋体"/>
                <w:szCs w:val="21"/>
              </w:rPr>
              <w:t>…</w:t>
            </w:r>
          </w:p>
        </w:tc>
        <w:tc>
          <w:tcPr>
            <w:tcW w:w="276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318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c>
          <w:tcPr>
            <w:tcW w:w="127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eastAsia="宋体" w:cs="宋体"/>
                <w:szCs w:val="21"/>
              </w:rPr>
            </w:pPr>
          </w:p>
        </w:tc>
      </w:tr>
    </w:tbl>
    <w:p>
      <w:pPr>
        <w:spacing w:line="276" w:lineRule="auto"/>
        <w:ind w:left="955" w:hanging="955" w:hangingChars="455"/>
        <w:jc w:val="left"/>
        <w:rPr>
          <w:rFonts w:hint="eastAsia" w:ascii="宋体" w:hAnsi="宋体" w:eastAsia="宋体" w:cs="宋体"/>
          <w:szCs w:val="21"/>
        </w:rPr>
      </w:pPr>
      <w:r>
        <w:rPr>
          <w:rFonts w:hint="eastAsia" w:ascii="宋体" w:hAnsi="宋体" w:eastAsia="宋体" w:cs="宋体"/>
          <w:szCs w:val="21"/>
        </w:rPr>
        <w:t>说明：1．投标人应按招标文件第五章中“评审因素及评分标准”条款逐项说明是否满足要求，如有偏离,投标人应详细说明。未按照要求填写此表或仅注明“符合”、“满足”的，导致的后果由投标人自行承担。</w:t>
      </w:r>
    </w:p>
    <w:p>
      <w:pPr>
        <w:spacing w:line="276" w:lineRule="auto"/>
        <w:jc w:val="left"/>
        <w:rPr>
          <w:rFonts w:hint="eastAsia" w:ascii="宋体" w:hAnsi="宋体" w:eastAsia="宋体" w:cs="宋体"/>
          <w:szCs w:val="21"/>
        </w:rPr>
      </w:pPr>
      <w:r>
        <w:rPr>
          <w:rFonts w:hint="eastAsia" w:ascii="宋体" w:hAnsi="宋体" w:eastAsia="宋体" w:cs="宋体"/>
          <w:szCs w:val="21"/>
        </w:rPr>
        <w:t xml:space="preserve">      2. 相关证明材料对应的页码填写到上表“对应页码”中。</w:t>
      </w:r>
    </w:p>
    <w:p>
      <w:pPr>
        <w:adjustRightInd w:val="0"/>
        <w:snapToGrid w:val="0"/>
        <w:spacing w:line="276" w:lineRule="auto"/>
        <w:ind w:left="751" w:leftChars="258" w:hanging="210" w:hangingChars="100"/>
        <w:rPr>
          <w:rFonts w:hint="eastAsia" w:ascii="宋体" w:hAnsi="宋体" w:eastAsia="宋体" w:cs="宋体"/>
          <w:szCs w:val="21"/>
        </w:rPr>
      </w:pPr>
    </w:p>
    <w:p>
      <w:pPr>
        <w:adjustRightInd w:val="0"/>
        <w:snapToGrid w:val="0"/>
        <w:spacing w:line="276" w:lineRule="auto"/>
        <w:ind w:left="751" w:leftChars="258" w:hanging="210" w:hangingChars="100"/>
        <w:rPr>
          <w:rFonts w:hint="eastAsia" w:ascii="宋体" w:hAnsi="宋体" w:eastAsia="宋体" w:cs="宋体"/>
          <w:szCs w:val="21"/>
        </w:rPr>
      </w:pPr>
    </w:p>
    <w:p>
      <w:pPr>
        <w:spacing w:before="100" w:beforeAutospacing="1" w:after="100" w:afterAutospacing="1" w:line="276" w:lineRule="auto"/>
        <w:ind w:firstLine="2902" w:firstLineChars="1382"/>
        <w:rPr>
          <w:rFonts w:hint="eastAsia" w:ascii="宋体" w:hAnsi="宋体" w:eastAsia="宋体" w:cs="宋体"/>
          <w:bCs/>
          <w:szCs w:val="21"/>
          <w:u w:val="single"/>
        </w:rPr>
      </w:pPr>
      <w:r>
        <w:rPr>
          <w:rFonts w:hint="eastAsia" w:ascii="宋体" w:hAnsi="宋体" w:eastAsia="宋体" w:cs="宋体"/>
          <w:bCs/>
          <w:szCs w:val="21"/>
        </w:rPr>
        <w:t>投标人名称（公章）：</w:t>
      </w:r>
      <w:r>
        <w:rPr>
          <w:rFonts w:hint="eastAsia" w:ascii="宋体" w:hAnsi="宋体" w:eastAsia="宋体" w:cs="宋体"/>
          <w:bCs/>
          <w:szCs w:val="21"/>
          <w:u w:val="single"/>
        </w:rPr>
        <w:t xml:space="preserve">                          </w:t>
      </w:r>
    </w:p>
    <w:p>
      <w:pPr>
        <w:spacing w:before="100" w:beforeAutospacing="1" w:after="100" w:afterAutospacing="1" w:line="276" w:lineRule="auto"/>
        <w:ind w:firstLine="2902" w:firstLineChars="1382"/>
        <w:rPr>
          <w:rFonts w:hint="eastAsia" w:ascii="宋体" w:hAnsi="宋体" w:eastAsia="宋体" w:cs="宋体"/>
          <w:szCs w:val="21"/>
        </w:rPr>
      </w:pPr>
      <w:r>
        <w:rPr>
          <w:rFonts w:hint="eastAsia" w:ascii="宋体" w:hAnsi="宋体" w:eastAsia="宋体" w:cs="宋体"/>
          <w:bCs/>
          <w:szCs w:val="21"/>
          <w:lang w:val="zh-CN"/>
        </w:rPr>
        <w:t>日期</w:t>
      </w:r>
      <w:r>
        <w:rPr>
          <w:rFonts w:hint="eastAsia" w:ascii="宋体" w:hAnsi="宋体" w:eastAsia="宋体" w:cs="宋体"/>
          <w:bCs/>
          <w:szCs w:val="21"/>
        </w:rPr>
        <w:t>：</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ascii="宋体" w:hAnsi="宋体" w:eastAsia="宋体" w:cs="宋体"/>
          <w:szCs w:val="21"/>
        </w:rPr>
      </w:pPr>
    </w:p>
    <w:p>
      <w:pPr>
        <w:rPr>
          <w:rFonts w:hint="eastAsia" w:ascii="宋体" w:hAnsi="宋体" w:eastAsia="宋体" w:cs="宋体"/>
        </w:rPr>
      </w:pPr>
    </w:p>
    <w:sectPr>
      <w:footerReference r:id="rId13" w:type="default"/>
      <w:type w:val="continuous"/>
      <w:pgSz w:w="11906" w:h="16838"/>
      <w:pgMar w:top="1134" w:right="1191" w:bottom="1134" w:left="1191" w:header="851" w:footer="62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体">
    <w:altName w:val="仿宋"/>
    <w:panose1 w:val="00000000000000000000"/>
    <w:charset w:val="86"/>
    <w:family w:val="auto"/>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FFFFFFFF" w:usb1="E9FFFFFF" w:usb2="0000003F" w:usb3="00000000" w:csb0="603F01FF" w:csb1="FFFF0000"/>
  </w:font>
  <w:font w:name="Noto Sans Mono CJK JP Regular">
    <w:altName w:val="Arial"/>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pPr>
    <w:r>
      <w:fldChar w:fldCharType="begin"/>
    </w:r>
    <w:r>
      <w:instrText xml:space="preserve">PAGE   \* MERGEFORMAT</w:instrText>
    </w:r>
    <w:r>
      <w:fldChar w:fldCharType="separate"/>
    </w:r>
    <w:r>
      <w:rPr>
        <w:lang w:val="zh-CN"/>
      </w:rPr>
      <w:t>16</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right"/>
    </w:pPr>
    <w:r>
      <w:fldChar w:fldCharType="begin"/>
    </w:r>
    <w:r>
      <w:instrText xml:space="preserve">PAGE   \* MERGEFORMAT</w:instrText>
    </w:r>
    <w:r>
      <w:fldChar w:fldCharType="separate"/>
    </w:r>
    <w:r>
      <w:rPr>
        <w:lang w:val="zh-CN"/>
      </w:rPr>
      <w:t>69</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center"/>
    </w:pPr>
    <w:r>
      <w:rPr>
        <w:lang w:val="zh-CN"/>
      </w:rPr>
      <w:t xml:space="preserve"> </w:t>
    </w:r>
    <w:r>
      <w:rPr>
        <w:b/>
        <w:bCs/>
      </w:rPr>
      <w:fldChar w:fldCharType="begin"/>
    </w:r>
    <w:r>
      <w:rPr>
        <w:b/>
        <w:bCs/>
      </w:rPr>
      <w:instrText xml:space="preserve">PAGE</w:instrText>
    </w:r>
    <w:r>
      <w:rPr>
        <w:b/>
        <w:bCs/>
      </w:rPr>
      <w:fldChar w:fldCharType="separate"/>
    </w:r>
    <w:r>
      <w:rPr>
        <w:b/>
        <w:bCs/>
      </w:rPr>
      <w:t>84</w:t>
    </w:r>
    <w:r>
      <w:rPr>
        <w:b/>
        <w:bCs/>
      </w:rPr>
      <w:fldChar w:fldCharType="end"/>
    </w:r>
    <w:r>
      <w:rPr>
        <w:lang w:val="zh-CN"/>
      </w:rPr>
      <w:t xml:space="preserve"> </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8937669">
    <w:nsid w:val="16962145"/>
    <w:multiLevelType w:val="multilevel"/>
    <w:tmpl w:val="16962145"/>
    <w:lvl w:ilvl="0" w:tentative="1">
      <w:start w:val="1"/>
      <w:numFmt w:val="decimal"/>
      <w:lvlText w:val="2.%1"/>
      <w:lvlJc w:val="left"/>
      <w:pPr>
        <w:ind w:left="420" w:hanging="420"/>
      </w:pPr>
      <w:rPr>
        <w:rFonts w:hint="eastAsia" w:ascii="宋体" w:hAnsi="宋体" w:eastAsia="宋体"/>
        <w:b w:val="0"/>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6808796">
    <w:nsid w:val="0EB600DC"/>
    <w:multiLevelType w:val="multilevel"/>
    <w:tmpl w:val="0EB600DC"/>
    <w:lvl w:ilvl="0" w:tentative="1">
      <w:start w:val="1"/>
      <w:numFmt w:val="decimal"/>
      <w:lvlText w:val="26.%1"/>
      <w:lvlJc w:val="left"/>
      <w:pPr>
        <w:ind w:left="420" w:hanging="420"/>
      </w:pPr>
      <w:rPr>
        <w:rFonts w:hint="eastAsia"/>
        <w:b w:val="0"/>
        <w:strike w:val="0"/>
        <w:dstrike w:val="0"/>
        <w:color w:val="auto"/>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17170739">
    <w:nsid w:val="2ABF2833"/>
    <w:multiLevelType w:val="multilevel"/>
    <w:tmpl w:val="2ABF2833"/>
    <w:lvl w:ilvl="0" w:tentative="1">
      <w:start w:val="1"/>
      <w:numFmt w:val="decimal"/>
      <w:lvlText w:val="12.%1"/>
      <w:lvlJc w:val="left"/>
      <w:pPr>
        <w:ind w:left="420" w:hanging="420"/>
      </w:pPr>
      <w:rPr>
        <w:rFonts w:hint="eastAsia" w:ascii="宋体" w:hAnsi="宋体" w:eastAsia="宋体"/>
        <w:b w:val="0"/>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3736321">
    <w:nsid w:val="0A5B0181"/>
    <w:multiLevelType w:val="multilevel"/>
    <w:tmpl w:val="0A5B0181"/>
    <w:lvl w:ilvl="0" w:tentative="1">
      <w:start w:val="1"/>
      <w:numFmt w:val="decimal"/>
      <w:lvlText w:val="%1)"/>
      <w:lvlJc w:val="left"/>
      <w:pPr>
        <w:ind w:left="643" w:hanging="420"/>
      </w:pPr>
      <w:rPr>
        <w:rFonts w:hint="eastAsia"/>
        <w:b w:val="0"/>
        <w:strike w:val="0"/>
        <w:dstrike w:val="0"/>
        <w:color w:val="auto"/>
        <w:u w:val="none"/>
      </w:rPr>
    </w:lvl>
    <w:lvl w:ilvl="1" w:tentative="1">
      <w:start w:val="1"/>
      <w:numFmt w:val="lowerLetter"/>
      <w:lvlText w:val="%2)"/>
      <w:lvlJc w:val="left"/>
      <w:pPr>
        <w:ind w:left="1063" w:hanging="420"/>
      </w:pPr>
    </w:lvl>
    <w:lvl w:ilvl="2" w:tentative="1">
      <w:start w:val="1"/>
      <w:numFmt w:val="lowerRoman"/>
      <w:lvlText w:val="%3."/>
      <w:lvlJc w:val="right"/>
      <w:pPr>
        <w:ind w:left="1483" w:hanging="420"/>
      </w:pPr>
    </w:lvl>
    <w:lvl w:ilvl="3" w:tentative="1">
      <w:start w:val="1"/>
      <w:numFmt w:val="decimal"/>
      <w:lvlText w:val="%4."/>
      <w:lvlJc w:val="left"/>
      <w:pPr>
        <w:ind w:left="1903" w:hanging="420"/>
      </w:pPr>
    </w:lvl>
    <w:lvl w:ilvl="4" w:tentative="1">
      <w:start w:val="1"/>
      <w:numFmt w:val="lowerLetter"/>
      <w:lvlText w:val="%5)"/>
      <w:lvlJc w:val="left"/>
      <w:pPr>
        <w:ind w:left="2323" w:hanging="420"/>
      </w:pPr>
    </w:lvl>
    <w:lvl w:ilvl="5" w:tentative="1">
      <w:start w:val="1"/>
      <w:numFmt w:val="lowerRoman"/>
      <w:lvlText w:val="%6."/>
      <w:lvlJc w:val="right"/>
      <w:pPr>
        <w:ind w:left="2743" w:hanging="420"/>
      </w:pPr>
    </w:lvl>
    <w:lvl w:ilvl="6" w:tentative="1">
      <w:start w:val="1"/>
      <w:numFmt w:val="decimal"/>
      <w:lvlText w:val="%7."/>
      <w:lvlJc w:val="left"/>
      <w:pPr>
        <w:ind w:left="3163" w:hanging="420"/>
      </w:pPr>
    </w:lvl>
    <w:lvl w:ilvl="7" w:tentative="1">
      <w:start w:val="1"/>
      <w:numFmt w:val="lowerLetter"/>
      <w:lvlText w:val="%8)"/>
      <w:lvlJc w:val="left"/>
      <w:pPr>
        <w:ind w:left="3583" w:hanging="420"/>
      </w:pPr>
    </w:lvl>
    <w:lvl w:ilvl="8" w:tentative="1">
      <w:start w:val="1"/>
      <w:numFmt w:val="lowerRoman"/>
      <w:lvlText w:val="%9."/>
      <w:lvlJc w:val="right"/>
      <w:pPr>
        <w:ind w:left="4003" w:hanging="420"/>
      </w:pPr>
    </w:lvl>
  </w:abstractNum>
  <w:abstractNum w:abstractNumId="140738312">
    <w:nsid w:val="08637F08"/>
    <w:multiLevelType w:val="multilevel"/>
    <w:tmpl w:val="08637F08"/>
    <w:lvl w:ilvl="0" w:tentative="1">
      <w:start w:val="6"/>
      <w:numFmt w:val="decimal"/>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59154975">
    <w:nsid w:val="1B5E261F"/>
    <w:multiLevelType w:val="multilevel"/>
    <w:tmpl w:val="1B5E261F"/>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93384378">
    <w:nsid w:val="1D6872BA"/>
    <w:multiLevelType w:val="singleLevel"/>
    <w:tmpl w:val="1D6872BA"/>
    <w:lvl w:ilvl="0" w:tentative="1">
      <w:start w:val="1"/>
      <w:numFmt w:val="decimal"/>
      <w:lvlText w:val="%1."/>
      <w:lvlJc w:val="left"/>
      <w:pPr>
        <w:ind w:left="425" w:hanging="425"/>
      </w:pPr>
      <w:rPr>
        <w:rFonts w:hint="default"/>
      </w:rPr>
    </w:lvl>
  </w:abstractNum>
  <w:abstractNum w:abstractNumId="216819084">
    <w:nsid w:val="0CEC658C"/>
    <w:multiLevelType w:val="multilevel"/>
    <w:tmpl w:val="0CEC658C"/>
    <w:lvl w:ilvl="0" w:tentative="1">
      <w:start w:val="1"/>
      <w:numFmt w:val="decimal"/>
      <w:lvlText w:val="%1）"/>
      <w:lvlJc w:val="left"/>
      <w:pPr>
        <w:ind w:left="420" w:hanging="420"/>
      </w:pPr>
      <w:rPr>
        <w:rFonts w:hint="eastAsia"/>
        <w:b w:val="0"/>
        <w:i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7920927">
    <w:nsid w:val="12F3169F"/>
    <w:multiLevelType w:val="multilevel"/>
    <w:tmpl w:val="12F3169F"/>
    <w:lvl w:ilvl="0" w:tentative="1">
      <w:start w:val="1"/>
      <w:numFmt w:val="decimal"/>
      <w:lvlText w:val="18.%1"/>
      <w:lvlJc w:val="left"/>
      <w:pPr>
        <w:ind w:left="420" w:hanging="420"/>
      </w:pPr>
      <w:rPr>
        <w:rFonts w:hint="eastAsia" w:ascii="宋体" w:hAnsi="宋体" w:eastAsia="宋体"/>
        <w:b w:val="0"/>
        <w:strike w:val="0"/>
        <w:dstrike w:val="0"/>
        <w:color w:val="auto"/>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22807548">
    <w:nsid w:val="251F49FC"/>
    <w:multiLevelType w:val="multilevel"/>
    <w:tmpl w:val="251F49FC"/>
    <w:lvl w:ilvl="0" w:tentative="1">
      <w:start w:val="1"/>
      <w:numFmt w:val="decimal"/>
      <w:lvlText w:val="%1."/>
      <w:lvlJc w:val="left"/>
      <w:pPr>
        <w:ind w:left="902" w:hanging="420"/>
      </w:pPr>
      <w:rPr>
        <w:rFonts w:hint="eastAsia" w:ascii="宋体" w:hAnsi="宋体" w:eastAsia="宋体"/>
        <w:b w:val="0"/>
        <w:color w:val="auto"/>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674841128">
    <w:nsid w:val="28394228"/>
    <w:multiLevelType w:val="multilevel"/>
    <w:tmpl w:val="28394228"/>
    <w:lvl w:ilvl="0" w:tentative="1">
      <w:start w:val="1"/>
      <w:numFmt w:val="decimal"/>
      <w:lvlText w:val="%1"/>
      <w:lvlJc w:val="center"/>
      <w:pPr>
        <w:ind w:left="420" w:hanging="420"/>
      </w:pPr>
      <w:rPr>
        <w:b w:val="0"/>
        <w:i w:val="0"/>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22537580">
    <w:nsid w:val="251B2B6C"/>
    <w:multiLevelType w:val="multilevel"/>
    <w:tmpl w:val="251B2B6C"/>
    <w:lvl w:ilvl="0" w:tentative="1">
      <w:start w:val="1"/>
      <w:numFmt w:val="chineseCountingThousand"/>
      <w:lvlText w:val="（%1） "/>
      <w:lvlJc w:val="left"/>
      <w:pPr>
        <w:ind w:left="902" w:hanging="420"/>
      </w:pPr>
      <w:rPr>
        <w:b/>
        <w:strike w:val="0"/>
        <w:dstrike w:val="0"/>
        <w:u w:val="none"/>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695425785">
    <w:nsid w:val="29735AF9"/>
    <w:multiLevelType w:val="multilevel"/>
    <w:tmpl w:val="29735AF9"/>
    <w:lvl w:ilvl="0" w:tentative="1">
      <w:start w:val="1"/>
      <w:numFmt w:val="decimal"/>
      <w:lvlText w:val="11.%1"/>
      <w:lvlJc w:val="left"/>
      <w:pPr>
        <w:ind w:left="420" w:hanging="420"/>
      </w:pPr>
      <w:rPr>
        <w:rFonts w:hint="eastAsia" w:ascii="宋体" w:hAnsi="宋体" w:eastAsia="宋体"/>
        <w:b w:val="0"/>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3274296">
    <w:nsid w:val="0FB13F38"/>
    <w:multiLevelType w:val="multilevel"/>
    <w:tmpl w:val="0FB13F38"/>
    <w:lvl w:ilvl="0" w:tentative="1">
      <w:start w:val="1"/>
      <w:numFmt w:val="decimal"/>
      <w:lvlText w:val="%1）"/>
      <w:lvlJc w:val="left"/>
      <w:pPr>
        <w:ind w:left="420" w:hanging="420"/>
      </w:pPr>
      <w:rPr>
        <w:rFonts w:hint="eastAsia"/>
        <w:b w:val="0"/>
        <w:i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64435023">
    <w:nsid w:val="279A794F"/>
    <w:multiLevelType w:val="multilevel"/>
    <w:tmpl w:val="279A794F"/>
    <w:lvl w:ilvl="0" w:tentative="1">
      <w:start w:val="1"/>
      <w:numFmt w:val="decimal"/>
      <w:lvlText w:val="3.%1 "/>
      <w:lvlJc w:val="left"/>
      <w:pPr>
        <w:ind w:left="3681" w:hanging="420"/>
      </w:pPr>
      <w:rPr>
        <w:rFonts w:hint="eastAsia" w:ascii="宋体" w:hAnsi="宋体" w:eastAsia="宋体"/>
        <w:b w:val="0"/>
        <w:strike w:val="0"/>
        <w:dstrike w:val="0"/>
        <w:color w:val="auto"/>
        <w:u w:val="none"/>
      </w:rPr>
    </w:lvl>
    <w:lvl w:ilvl="1" w:tentative="1">
      <w:start w:val="1"/>
      <w:numFmt w:val="lowerLetter"/>
      <w:lvlText w:val="%2)"/>
      <w:lvlJc w:val="left"/>
      <w:pPr>
        <w:ind w:left="3643" w:hanging="420"/>
      </w:pPr>
    </w:lvl>
    <w:lvl w:ilvl="2" w:tentative="1">
      <w:start w:val="1"/>
      <w:numFmt w:val="lowerRoman"/>
      <w:lvlText w:val="%3."/>
      <w:lvlJc w:val="right"/>
      <w:pPr>
        <w:ind w:left="4063" w:hanging="420"/>
      </w:pPr>
    </w:lvl>
    <w:lvl w:ilvl="3" w:tentative="1">
      <w:start w:val="1"/>
      <w:numFmt w:val="decimal"/>
      <w:lvlText w:val="%4."/>
      <w:lvlJc w:val="left"/>
      <w:pPr>
        <w:ind w:left="4483" w:hanging="420"/>
      </w:pPr>
    </w:lvl>
    <w:lvl w:ilvl="4" w:tentative="1">
      <w:start w:val="1"/>
      <w:numFmt w:val="lowerLetter"/>
      <w:lvlText w:val="%5)"/>
      <w:lvlJc w:val="left"/>
      <w:pPr>
        <w:ind w:left="4903" w:hanging="420"/>
      </w:pPr>
    </w:lvl>
    <w:lvl w:ilvl="5" w:tentative="1">
      <w:start w:val="1"/>
      <w:numFmt w:val="lowerRoman"/>
      <w:lvlText w:val="%6."/>
      <w:lvlJc w:val="right"/>
      <w:pPr>
        <w:ind w:left="5323" w:hanging="420"/>
      </w:pPr>
    </w:lvl>
    <w:lvl w:ilvl="6" w:tentative="1">
      <w:start w:val="1"/>
      <w:numFmt w:val="decimal"/>
      <w:lvlText w:val="%7."/>
      <w:lvlJc w:val="left"/>
      <w:pPr>
        <w:ind w:left="5743" w:hanging="420"/>
      </w:pPr>
    </w:lvl>
    <w:lvl w:ilvl="7" w:tentative="1">
      <w:start w:val="1"/>
      <w:numFmt w:val="lowerLetter"/>
      <w:lvlText w:val="%8)"/>
      <w:lvlJc w:val="left"/>
      <w:pPr>
        <w:ind w:left="6163" w:hanging="420"/>
      </w:pPr>
    </w:lvl>
    <w:lvl w:ilvl="8" w:tentative="1">
      <w:start w:val="1"/>
      <w:numFmt w:val="lowerRoman"/>
      <w:lvlText w:val="%9."/>
      <w:lvlJc w:val="right"/>
      <w:pPr>
        <w:ind w:left="6583" w:hanging="420"/>
      </w:pPr>
    </w:lvl>
  </w:abstractNum>
  <w:abstractNum w:abstractNumId="565196277">
    <w:nsid w:val="21B035F5"/>
    <w:multiLevelType w:val="singleLevel"/>
    <w:tmpl w:val="21B035F5"/>
    <w:lvl w:ilvl="0" w:tentative="1">
      <w:start w:val="2"/>
      <w:numFmt w:val="decimal"/>
      <w:suff w:val="nothing"/>
      <w:lvlText w:val="%1．"/>
      <w:lvlJc w:val="left"/>
      <w:pPr>
        <w:ind w:left="0" w:firstLine="403"/>
      </w:pPr>
      <w:rPr>
        <w:rFonts w:hint="default"/>
      </w:rPr>
    </w:lvl>
  </w:abstractNum>
  <w:abstractNum w:abstractNumId="494224478">
    <w:nsid w:val="1D75445E"/>
    <w:multiLevelType w:val="multilevel"/>
    <w:tmpl w:val="1D75445E"/>
    <w:lvl w:ilvl="0" w:tentative="1">
      <w:start w:val="1"/>
      <w:numFmt w:val="decimal"/>
      <w:lvlText w:val="%1)"/>
      <w:lvlJc w:val="left"/>
      <w:pPr>
        <w:ind w:left="-169" w:hanging="420"/>
      </w:pPr>
      <w:rPr>
        <w:strike w:val="0"/>
        <w:dstrike w:val="0"/>
        <w:u w:val="none"/>
      </w:rPr>
    </w:lvl>
    <w:lvl w:ilvl="1" w:tentative="1">
      <w:start w:val="1"/>
      <w:numFmt w:val="lowerLetter"/>
      <w:lvlText w:val="%2)"/>
      <w:lvlJc w:val="left"/>
      <w:pPr>
        <w:ind w:left="251" w:hanging="420"/>
      </w:pPr>
    </w:lvl>
    <w:lvl w:ilvl="2" w:tentative="1">
      <w:start w:val="1"/>
      <w:numFmt w:val="lowerRoman"/>
      <w:lvlText w:val="%3."/>
      <w:lvlJc w:val="right"/>
      <w:pPr>
        <w:ind w:left="671" w:hanging="420"/>
      </w:pPr>
    </w:lvl>
    <w:lvl w:ilvl="3" w:tentative="1">
      <w:start w:val="1"/>
      <w:numFmt w:val="decimal"/>
      <w:lvlText w:val="%4."/>
      <w:lvlJc w:val="left"/>
      <w:pPr>
        <w:ind w:left="1091" w:hanging="420"/>
      </w:pPr>
    </w:lvl>
    <w:lvl w:ilvl="4" w:tentative="1">
      <w:start w:val="1"/>
      <w:numFmt w:val="lowerLetter"/>
      <w:lvlText w:val="%5)"/>
      <w:lvlJc w:val="left"/>
      <w:pPr>
        <w:ind w:left="1511" w:hanging="420"/>
      </w:pPr>
    </w:lvl>
    <w:lvl w:ilvl="5" w:tentative="1">
      <w:start w:val="1"/>
      <w:numFmt w:val="lowerRoman"/>
      <w:lvlText w:val="%6."/>
      <w:lvlJc w:val="right"/>
      <w:pPr>
        <w:ind w:left="1931" w:hanging="420"/>
      </w:pPr>
    </w:lvl>
    <w:lvl w:ilvl="6" w:tentative="1">
      <w:start w:val="1"/>
      <w:numFmt w:val="decimal"/>
      <w:lvlText w:val="%7."/>
      <w:lvlJc w:val="left"/>
      <w:pPr>
        <w:ind w:left="2351" w:hanging="420"/>
      </w:pPr>
    </w:lvl>
    <w:lvl w:ilvl="7" w:tentative="1">
      <w:start w:val="1"/>
      <w:numFmt w:val="lowerLetter"/>
      <w:lvlText w:val="%8)"/>
      <w:lvlJc w:val="left"/>
      <w:pPr>
        <w:ind w:left="2771" w:hanging="420"/>
      </w:pPr>
    </w:lvl>
    <w:lvl w:ilvl="8" w:tentative="1">
      <w:start w:val="1"/>
      <w:numFmt w:val="lowerRoman"/>
      <w:lvlText w:val="%9."/>
      <w:lvlJc w:val="right"/>
      <w:pPr>
        <w:ind w:left="3191" w:hanging="420"/>
      </w:pPr>
    </w:lvl>
  </w:abstractNum>
  <w:abstractNum w:abstractNumId="371096554">
    <w:nsid w:val="161E7BEA"/>
    <w:multiLevelType w:val="singleLevel"/>
    <w:tmpl w:val="161E7BEA"/>
    <w:lvl w:ilvl="0" w:tentative="1">
      <w:start w:val="1"/>
      <w:numFmt w:val="decimal"/>
      <w:suff w:val="nothing"/>
      <w:lvlText w:val="%1．"/>
      <w:lvlJc w:val="left"/>
      <w:pPr>
        <w:ind w:left="0" w:firstLine="400"/>
      </w:pPr>
      <w:rPr>
        <w:rFonts w:hint="default"/>
      </w:rPr>
    </w:lvl>
  </w:abstractNum>
  <w:abstractNum w:abstractNumId="627590515">
    <w:nsid w:val="25684573"/>
    <w:multiLevelType w:val="multilevel"/>
    <w:tmpl w:val="25684573"/>
    <w:lvl w:ilvl="0" w:tentative="1">
      <w:start w:val="1"/>
      <w:numFmt w:val="decimal"/>
      <w:lvlText w:val="%1）"/>
      <w:lvlJc w:val="left"/>
      <w:pPr>
        <w:ind w:left="420" w:hanging="420"/>
      </w:pPr>
      <w:rPr>
        <w:rFonts w:hint="eastAsia"/>
        <w:b w:val="0"/>
        <w:i w:val="0"/>
        <w:color w:val="FF000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3955217">
    <w:nsid w:val="092D2B91"/>
    <w:multiLevelType w:val="multilevel"/>
    <w:tmpl w:val="092D2B91"/>
    <w:lvl w:ilvl="0" w:tentative="1">
      <w:start w:val="1"/>
      <w:numFmt w:val="decimal"/>
      <w:lvlText w:val="3.%1"/>
      <w:lvlJc w:val="left"/>
      <w:pPr>
        <w:ind w:left="420" w:hanging="420"/>
      </w:pPr>
      <w:rPr>
        <w:rFonts w:hint="eastAsia" w:ascii="宋体" w:hAnsi="宋体" w:eastAsia="宋体"/>
        <w:b w:val="0"/>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42123758">
    <w:nsid w:val="264607EE"/>
    <w:multiLevelType w:val="multilevel"/>
    <w:tmpl w:val="264607EE"/>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15995747">
    <w:nsid w:val="A1E2CE63"/>
    <w:multiLevelType w:val="singleLevel"/>
    <w:tmpl w:val="A1E2CE63"/>
    <w:lvl w:ilvl="0" w:tentative="1">
      <w:start w:val="1"/>
      <w:numFmt w:val="decimal"/>
      <w:lvlText w:val="(%1)"/>
      <w:lvlJc w:val="left"/>
      <w:pPr>
        <w:ind w:left="425" w:hanging="425"/>
      </w:pPr>
      <w:rPr>
        <w:rFonts w:hint="default"/>
      </w:rPr>
    </w:lvl>
  </w:abstractNum>
  <w:abstractNum w:abstractNumId="3331212440">
    <w:nsid w:val="C68E4498"/>
    <w:multiLevelType w:val="multilevel"/>
    <w:tmpl w:val="C68E4498"/>
    <w:lvl w:ilvl="0" w:tentative="1">
      <w:start w:val="1"/>
      <w:numFmt w:val="none"/>
      <w:lvlText w:val="2.4.1"/>
      <w:lvlJc w:val="left"/>
      <w:pPr>
        <w:ind w:left="756" w:hanging="420"/>
      </w:pPr>
      <w:rPr>
        <w:rFonts w:hint="default" w:ascii="宋体" w:hAnsi="宋体" w:eastAsia="宋体" w:cs="宋体"/>
      </w:rPr>
    </w:lvl>
    <w:lvl w:ilvl="1" w:tentative="1">
      <w:start w:val="1"/>
      <w:numFmt w:val="decimal"/>
      <w:lvlText w:val="%2."/>
      <w:lvlJc w:val="left"/>
      <w:pPr>
        <w:tabs>
          <w:tab w:val="left" w:pos="1440"/>
        </w:tabs>
        <w:ind w:left="1356" w:hanging="360"/>
      </w:pPr>
    </w:lvl>
    <w:lvl w:ilvl="2" w:tentative="1">
      <w:start w:val="1"/>
      <w:numFmt w:val="decimal"/>
      <w:lvlText w:val="%3."/>
      <w:lvlJc w:val="left"/>
      <w:pPr>
        <w:tabs>
          <w:tab w:val="left" w:pos="2160"/>
        </w:tabs>
        <w:ind w:left="2076" w:hanging="360"/>
      </w:pPr>
    </w:lvl>
    <w:lvl w:ilvl="3" w:tentative="1">
      <w:start w:val="1"/>
      <w:numFmt w:val="decimal"/>
      <w:lvlText w:val="%4."/>
      <w:lvlJc w:val="left"/>
      <w:pPr>
        <w:tabs>
          <w:tab w:val="left" w:pos="2880"/>
        </w:tabs>
        <w:ind w:left="2796" w:hanging="360"/>
      </w:pPr>
    </w:lvl>
    <w:lvl w:ilvl="4" w:tentative="1">
      <w:start w:val="1"/>
      <w:numFmt w:val="decimal"/>
      <w:lvlText w:val="%5."/>
      <w:lvlJc w:val="left"/>
      <w:pPr>
        <w:tabs>
          <w:tab w:val="left" w:pos="3600"/>
        </w:tabs>
        <w:ind w:left="3516" w:hanging="360"/>
      </w:pPr>
    </w:lvl>
    <w:lvl w:ilvl="5" w:tentative="1">
      <w:start w:val="1"/>
      <w:numFmt w:val="decimal"/>
      <w:lvlText w:val="%6."/>
      <w:lvlJc w:val="left"/>
      <w:pPr>
        <w:tabs>
          <w:tab w:val="left" w:pos="4320"/>
        </w:tabs>
        <w:ind w:left="4236" w:hanging="360"/>
      </w:pPr>
    </w:lvl>
    <w:lvl w:ilvl="6" w:tentative="1">
      <w:start w:val="1"/>
      <w:numFmt w:val="decimal"/>
      <w:lvlText w:val="%7."/>
      <w:lvlJc w:val="left"/>
      <w:pPr>
        <w:tabs>
          <w:tab w:val="left" w:pos="5040"/>
        </w:tabs>
        <w:ind w:left="4956" w:hanging="360"/>
      </w:pPr>
    </w:lvl>
    <w:lvl w:ilvl="7" w:tentative="1">
      <w:start w:val="1"/>
      <w:numFmt w:val="decimal"/>
      <w:lvlText w:val="%8."/>
      <w:lvlJc w:val="left"/>
      <w:pPr>
        <w:tabs>
          <w:tab w:val="left" w:pos="5760"/>
        </w:tabs>
        <w:ind w:left="5676" w:hanging="360"/>
      </w:pPr>
    </w:lvl>
    <w:lvl w:ilvl="8" w:tentative="1">
      <w:start w:val="1"/>
      <w:numFmt w:val="decimal"/>
      <w:lvlText w:val="%9."/>
      <w:lvlJc w:val="left"/>
      <w:pPr>
        <w:tabs>
          <w:tab w:val="left" w:pos="6480"/>
        </w:tabs>
        <w:ind w:left="6396" w:hanging="360"/>
      </w:pPr>
    </w:lvl>
  </w:abstractNum>
  <w:abstractNum w:abstractNumId="5060499">
    <w:nsid w:val="004D3793"/>
    <w:multiLevelType w:val="singleLevel"/>
    <w:tmpl w:val="004D3793"/>
    <w:lvl w:ilvl="0" w:tentative="1">
      <w:start w:val="1"/>
      <w:numFmt w:val="decimal"/>
      <w:suff w:val="nothing"/>
      <w:lvlText w:val="%1．"/>
      <w:lvlJc w:val="left"/>
      <w:pPr>
        <w:ind w:left="0" w:firstLine="400"/>
      </w:pPr>
      <w:rPr>
        <w:rFonts w:hint="default"/>
      </w:rPr>
    </w:lvl>
  </w:abstractNum>
  <w:abstractNum w:abstractNumId="6836382">
    <w:nsid w:val="0068509E"/>
    <w:multiLevelType w:val="multilevel"/>
    <w:tmpl w:val="0068509E"/>
    <w:lvl w:ilvl="0" w:tentative="1">
      <w:start w:val="1"/>
      <w:numFmt w:val="decimal"/>
      <w:lvlText w:val="34.%1"/>
      <w:lvlJc w:val="left"/>
      <w:pPr>
        <w:ind w:left="420" w:hanging="420"/>
      </w:pPr>
      <w:rPr>
        <w:rFonts w:hint="eastAsia"/>
        <w:b w:val="0"/>
        <w:strike w:val="0"/>
        <w:dstrike w:val="0"/>
        <w:color w:val="auto"/>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3686999">
    <w:nsid w:val="0A5A40D7"/>
    <w:multiLevelType w:val="multilevel"/>
    <w:tmpl w:val="0A5A40D7"/>
    <w:lvl w:ilvl="0" w:tentative="1">
      <w:start w:val="1"/>
      <w:numFmt w:val="decimal"/>
      <w:lvlText w:val="%1."/>
      <w:lvlJc w:val="left"/>
      <w:pPr>
        <w:ind w:left="910" w:hanging="420"/>
      </w:pPr>
      <w:rPr>
        <w:b w:val="0"/>
        <w:i w:val="0"/>
        <w:color w:val="auto"/>
      </w:rPr>
    </w:lvl>
    <w:lvl w:ilvl="1" w:tentative="1">
      <w:start w:val="1"/>
      <w:numFmt w:val="lowerLetter"/>
      <w:lvlText w:val="%2)"/>
      <w:lvlJc w:val="left"/>
      <w:pPr>
        <w:ind w:left="1330" w:hanging="420"/>
      </w:pPr>
    </w:lvl>
    <w:lvl w:ilvl="2" w:tentative="1">
      <w:start w:val="1"/>
      <w:numFmt w:val="lowerRoman"/>
      <w:lvlText w:val="%3."/>
      <w:lvlJc w:val="right"/>
      <w:pPr>
        <w:ind w:left="1750" w:hanging="420"/>
      </w:pPr>
    </w:lvl>
    <w:lvl w:ilvl="3" w:tentative="1">
      <w:start w:val="1"/>
      <w:numFmt w:val="decimal"/>
      <w:lvlText w:val="%4."/>
      <w:lvlJc w:val="left"/>
      <w:pPr>
        <w:ind w:left="2170" w:hanging="420"/>
      </w:pPr>
    </w:lvl>
    <w:lvl w:ilvl="4" w:tentative="1">
      <w:start w:val="1"/>
      <w:numFmt w:val="lowerLetter"/>
      <w:lvlText w:val="%5)"/>
      <w:lvlJc w:val="left"/>
      <w:pPr>
        <w:ind w:left="2590" w:hanging="420"/>
      </w:pPr>
    </w:lvl>
    <w:lvl w:ilvl="5" w:tentative="1">
      <w:start w:val="1"/>
      <w:numFmt w:val="lowerRoman"/>
      <w:lvlText w:val="%6."/>
      <w:lvlJc w:val="right"/>
      <w:pPr>
        <w:ind w:left="3010" w:hanging="420"/>
      </w:pPr>
    </w:lvl>
    <w:lvl w:ilvl="6" w:tentative="1">
      <w:start w:val="1"/>
      <w:numFmt w:val="decimal"/>
      <w:lvlText w:val="%7."/>
      <w:lvlJc w:val="left"/>
      <w:pPr>
        <w:ind w:left="3430" w:hanging="420"/>
      </w:pPr>
    </w:lvl>
    <w:lvl w:ilvl="7" w:tentative="1">
      <w:start w:val="1"/>
      <w:numFmt w:val="lowerLetter"/>
      <w:lvlText w:val="%8)"/>
      <w:lvlJc w:val="left"/>
      <w:pPr>
        <w:ind w:left="3850" w:hanging="420"/>
      </w:pPr>
    </w:lvl>
    <w:lvl w:ilvl="8" w:tentative="1">
      <w:start w:val="1"/>
      <w:numFmt w:val="lowerRoman"/>
      <w:lvlText w:val="%9."/>
      <w:lvlJc w:val="right"/>
      <w:pPr>
        <w:ind w:left="4270" w:hanging="420"/>
      </w:pPr>
    </w:lvl>
  </w:abstractNum>
  <w:abstractNum w:abstractNumId="3206497920">
    <w:nsid w:val="BF1F4680"/>
    <w:multiLevelType w:val="singleLevel"/>
    <w:tmpl w:val="BF1F4680"/>
    <w:lvl w:ilvl="0" w:tentative="1">
      <w:start w:val="8"/>
      <w:numFmt w:val="decimal"/>
      <w:suff w:val="nothing"/>
      <w:lvlText w:val="%1．"/>
      <w:lvlJc w:val="left"/>
      <w:pPr>
        <w:ind w:left="0" w:firstLine="403"/>
      </w:pPr>
      <w:rPr>
        <w:rFonts w:hint="default"/>
      </w:rPr>
    </w:lvl>
  </w:abstractNum>
  <w:abstractNum w:abstractNumId="134838722">
    <w:nsid w:val="080979C2"/>
    <w:multiLevelType w:val="multilevel"/>
    <w:tmpl w:val="080979C2"/>
    <w:lvl w:ilvl="0" w:tentative="1">
      <w:start w:val="1"/>
      <w:numFmt w:val="decimal"/>
      <w:lvlText w:val="%1)"/>
      <w:lvlJc w:val="left"/>
      <w:pPr>
        <w:ind w:left="643" w:hanging="420"/>
      </w:pPr>
      <w:rPr>
        <w:rFonts w:hint="eastAsia"/>
        <w:b w:val="0"/>
        <w:strike w:val="0"/>
        <w:dstrike w:val="0"/>
        <w:color w:val="auto"/>
        <w:u w:val="none"/>
      </w:rPr>
    </w:lvl>
    <w:lvl w:ilvl="1" w:tentative="1">
      <w:start w:val="1"/>
      <w:numFmt w:val="lowerLetter"/>
      <w:lvlText w:val="%2)"/>
      <w:lvlJc w:val="left"/>
      <w:pPr>
        <w:ind w:left="1063" w:hanging="420"/>
      </w:pPr>
    </w:lvl>
    <w:lvl w:ilvl="2" w:tentative="1">
      <w:start w:val="1"/>
      <w:numFmt w:val="lowerRoman"/>
      <w:lvlText w:val="%3."/>
      <w:lvlJc w:val="right"/>
      <w:pPr>
        <w:ind w:left="1483" w:hanging="420"/>
      </w:pPr>
    </w:lvl>
    <w:lvl w:ilvl="3" w:tentative="1">
      <w:start w:val="1"/>
      <w:numFmt w:val="decimal"/>
      <w:lvlText w:val="%4."/>
      <w:lvlJc w:val="left"/>
      <w:pPr>
        <w:ind w:left="1903" w:hanging="420"/>
      </w:pPr>
    </w:lvl>
    <w:lvl w:ilvl="4" w:tentative="1">
      <w:start w:val="1"/>
      <w:numFmt w:val="lowerLetter"/>
      <w:lvlText w:val="%5)"/>
      <w:lvlJc w:val="left"/>
      <w:pPr>
        <w:ind w:left="2323" w:hanging="420"/>
      </w:pPr>
    </w:lvl>
    <w:lvl w:ilvl="5" w:tentative="1">
      <w:start w:val="1"/>
      <w:numFmt w:val="lowerRoman"/>
      <w:lvlText w:val="%6."/>
      <w:lvlJc w:val="right"/>
      <w:pPr>
        <w:ind w:left="2743" w:hanging="420"/>
      </w:pPr>
    </w:lvl>
    <w:lvl w:ilvl="6" w:tentative="1">
      <w:start w:val="1"/>
      <w:numFmt w:val="decimal"/>
      <w:lvlText w:val="%7."/>
      <w:lvlJc w:val="left"/>
      <w:pPr>
        <w:ind w:left="3163" w:hanging="420"/>
      </w:pPr>
    </w:lvl>
    <w:lvl w:ilvl="7" w:tentative="1">
      <w:start w:val="1"/>
      <w:numFmt w:val="lowerLetter"/>
      <w:lvlText w:val="%8)"/>
      <w:lvlJc w:val="left"/>
      <w:pPr>
        <w:ind w:left="3583" w:hanging="420"/>
      </w:pPr>
    </w:lvl>
    <w:lvl w:ilvl="8" w:tentative="1">
      <w:start w:val="1"/>
      <w:numFmt w:val="lowerRoman"/>
      <w:lvlText w:val="%9."/>
      <w:lvlJc w:val="right"/>
      <w:pPr>
        <w:ind w:left="4003" w:hanging="420"/>
      </w:pPr>
    </w:lvl>
  </w:abstractNum>
  <w:abstractNum w:abstractNumId="3493703960">
    <w:nsid w:val="D03DB118"/>
    <w:multiLevelType w:val="singleLevel"/>
    <w:tmpl w:val="D03DB118"/>
    <w:lvl w:ilvl="0" w:tentative="1">
      <w:start w:val="1"/>
      <w:numFmt w:val="decimal"/>
      <w:suff w:val="nothing"/>
      <w:lvlText w:val="%1．"/>
      <w:lvlJc w:val="left"/>
      <w:pPr>
        <w:ind w:left="0" w:firstLine="400"/>
      </w:pPr>
      <w:rPr>
        <w:rFonts w:hint="default"/>
      </w:rPr>
    </w:lvl>
  </w:abstractNum>
  <w:abstractNum w:abstractNumId="2371645227">
    <w:nsid w:val="8D5C6F2B"/>
    <w:multiLevelType w:val="singleLevel"/>
    <w:tmpl w:val="8D5C6F2B"/>
    <w:lvl w:ilvl="0" w:tentative="1">
      <w:start w:val="1"/>
      <w:numFmt w:val="decimal"/>
      <w:lvlText w:val="%1."/>
      <w:lvlJc w:val="left"/>
      <w:pPr>
        <w:ind w:left="425" w:hanging="425"/>
      </w:pPr>
      <w:rPr>
        <w:rFonts w:hint="default"/>
      </w:rPr>
    </w:lvl>
  </w:abstractNum>
  <w:abstractNum w:abstractNumId="58720456">
    <w:nsid w:val="038000C8"/>
    <w:multiLevelType w:val="multilevel"/>
    <w:tmpl w:val="038000C8"/>
    <w:lvl w:ilvl="0" w:tentative="1">
      <w:start w:val="1"/>
      <w:numFmt w:val="decimal"/>
      <w:lvlText w:val="%1"/>
      <w:lvlJc w:val="center"/>
      <w:pPr>
        <w:ind w:left="420" w:hanging="420"/>
      </w:pPr>
      <w:rPr>
        <w:b w:val="0"/>
        <w:i w:val="0"/>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164955809">
    <w:nsid w:val="F8402EA1"/>
    <w:multiLevelType w:val="singleLevel"/>
    <w:tmpl w:val="F8402EA1"/>
    <w:lvl w:ilvl="0" w:tentative="1">
      <w:start w:val="1"/>
      <w:numFmt w:val="decimal"/>
      <w:suff w:val="nothing"/>
      <w:lvlText w:val="%1．"/>
      <w:lvlJc w:val="left"/>
      <w:pPr>
        <w:ind w:left="-116" w:firstLine="400"/>
      </w:pPr>
      <w:rPr>
        <w:rFonts w:hint="default"/>
      </w:rPr>
    </w:lvl>
  </w:abstractNum>
  <w:abstractNum w:abstractNumId="3078348322">
    <w:nsid w:val="B77BDE22"/>
    <w:multiLevelType w:val="singleLevel"/>
    <w:tmpl w:val="B77BDE22"/>
    <w:lvl w:ilvl="0" w:tentative="1">
      <w:start w:val="1"/>
      <w:numFmt w:val="decimal"/>
      <w:lvlText w:val="(%1)"/>
      <w:lvlJc w:val="left"/>
      <w:pPr>
        <w:ind w:left="425" w:hanging="425"/>
      </w:pPr>
      <w:rPr>
        <w:rFonts w:hint="default"/>
      </w:rPr>
    </w:lvl>
  </w:abstractNum>
  <w:abstractNum w:abstractNumId="2534042103">
    <w:nsid w:val="970A69F7"/>
    <w:multiLevelType w:val="multilevel"/>
    <w:tmpl w:val="970A69F7"/>
    <w:lvl w:ilvl="0" w:tentative="1">
      <w:start w:val="3"/>
      <w:numFmt w:val="decimal"/>
      <w:suff w:val="space"/>
      <w:lvlText w:val="%1."/>
      <w:lvlJc w:val="left"/>
      <w:pPr>
        <w:ind w:left="0" w:firstLine="0"/>
      </w:pPr>
      <w:rPr>
        <w:rFonts w:hint="eastAsia"/>
      </w:rPr>
    </w:lvl>
    <w:lvl w:ilvl="1" w:tentative="1">
      <w:start w:val="4"/>
      <w:numFmt w:val="decimal"/>
      <w:isLgl/>
      <w:lvlText w:val="%1.%2"/>
      <w:lvlJc w:val="left"/>
      <w:pPr>
        <w:ind w:left="1044" w:hanging="1044"/>
      </w:pPr>
      <w:rPr>
        <w:rFonts w:hint="eastAsia"/>
      </w:rPr>
    </w:lvl>
    <w:lvl w:ilvl="2" w:tentative="1">
      <w:start w:val="1"/>
      <w:numFmt w:val="decimal"/>
      <w:isLgl/>
      <w:lvlText w:val="%1.%2.%3"/>
      <w:lvlJc w:val="left"/>
      <w:pPr>
        <w:ind w:left="1044" w:hanging="1044"/>
      </w:pPr>
      <w:rPr>
        <w:rFonts w:hint="eastAsia"/>
      </w:rPr>
    </w:lvl>
    <w:lvl w:ilvl="3" w:tentative="1">
      <w:start w:val="5"/>
      <w:numFmt w:val="decimal"/>
      <w:isLgl/>
      <w:lvlText w:val="%1.%2.%3.%4"/>
      <w:lvlJc w:val="left"/>
      <w:pPr>
        <w:ind w:left="1080" w:hanging="1080"/>
      </w:pPr>
      <w:rPr>
        <w:rFonts w:hint="eastAsia"/>
      </w:rPr>
    </w:lvl>
    <w:lvl w:ilvl="4" w:tentative="1">
      <w:start w:val="1"/>
      <w:numFmt w:val="decimal"/>
      <w:isLgl/>
      <w:lvlText w:val="%1.%2.%3.%4.%5"/>
      <w:lvlJc w:val="left"/>
      <w:pPr>
        <w:ind w:left="1080" w:hanging="1080"/>
      </w:pPr>
      <w:rPr>
        <w:rFonts w:hint="eastAsia"/>
      </w:rPr>
    </w:lvl>
    <w:lvl w:ilvl="5" w:tentative="1">
      <w:start w:val="1"/>
      <w:numFmt w:val="decimal"/>
      <w:isLgl/>
      <w:lvlText w:val="%1.%2.%3.%4.%5.%6"/>
      <w:lvlJc w:val="left"/>
      <w:pPr>
        <w:ind w:left="1440" w:hanging="1440"/>
      </w:pPr>
      <w:rPr>
        <w:rFonts w:hint="eastAsia"/>
      </w:rPr>
    </w:lvl>
    <w:lvl w:ilvl="6" w:tentative="1">
      <w:start w:val="1"/>
      <w:numFmt w:val="decimal"/>
      <w:isLgl/>
      <w:lvlText w:val="%1.%2.%3.%4.%5.%6.%7"/>
      <w:lvlJc w:val="left"/>
      <w:pPr>
        <w:ind w:left="1440" w:hanging="1440"/>
      </w:pPr>
      <w:rPr>
        <w:rFonts w:hint="eastAsia"/>
      </w:rPr>
    </w:lvl>
    <w:lvl w:ilvl="7" w:tentative="1">
      <w:start w:val="1"/>
      <w:numFmt w:val="decimal"/>
      <w:isLgl/>
      <w:lvlText w:val="%1.%2.%3.%4.%5.%6.%7.%8"/>
      <w:lvlJc w:val="left"/>
      <w:pPr>
        <w:ind w:left="1800" w:hanging="1800"/>
      </w:pPr>
      <w:rPr>
        <w:rFonts w:hint="eastAsia"/>
      </w:rPr>
    </w:lvl>
    <w:lvl w:ilvl="8" w:tentative="1">
      <w:start w:val="1"/>
      <w:numFmt w:val="decimal"/>
      <w:isLgl/>
      <w:lvlText w:val="%1.%2.%3.%4.%5.%6.%7.%8.%9"/>
      <w:lvlJc w:val="left"/>
      <w:pPr>
        <w:ind w:left="1800" w:hanging="1800"/>
      </w:pPr>
      <w:rPr>
        <w:rFonts w:hint="eastAsia"/>
      </w:rPr>
    </w:lvl>
  </w:abstractNum>
  <w:abstractNum w:abstractNumId="3241864">
    <w:nsid w:val="00317788"/>
    <w:multiLevelType w:val="multilevel"/>
    <w:tmpl w:val="00317788"/>
    <w:lvl w:ilvl="0" w:tentative="1">
      <w:start w:val="1"/>
      <w:numFmt w:val="decimal"/>
      <w:lvlText w:val="2.%1"/>
      <w:lvlJc w:val="left"/>
      <w:pPr>
        <w:ind w:left="3681" w:hanging="420"/>
      </w:pPr>
      <w:rPr>
        <w:rFonts w:hint="eastAsia"/>
        <w:b w:val="0"/>
        <w:strike w:val="0"/>
        <w:dstrike w:val="0"/>
        <w:color w:val="auto"/>
        <w:u w:val="none"/>
      </w:rPr>
    </w:lvl>
    <w:lvl w:ilvl="1" w:tentative="1">
      <w:start w:val="1"/>
      <w:numFmt w:val="lowerLetter"/>
      <w:lvlText w:val="%2)"/>
      <w:lvlJc w:val="left"/>
      <w:pPr>
        <w:ind w:left="3643" w:hanging="420"/>
      </w:pPr>
    </w:lvl>
    <w:lvl w:ilvl="2" w:tentative="1">
      <w:start w:val="1"/>
      <w:numFmt w:val="lowerRoman"/>
      <w:lvlText w:val="%3."/>
      <w:lvlJc w:val="right"/>
      <w:pPr>
        <w:ind w:left="4063" w:hanging="420"/>
      </w:pPr>
    </w:lvl>
    <w:lvl w:ilvl="3" w:tentative="1">
      <w:start w:val="1"/>
      <w:numFmt w:val="decimal"/>
      <w:lvlText w:val="%4."/>
      <w:lvlJc w:val="left"/>
      <w:pPr>
        <w:ind w:left="4483" w:hanging="420"/>
      </w:pPr>
    </w:lvl>
    <w:lvl w:ilvl="4" w:tentative="1">
      <w:start w:val="1"/>
      <w:numFmt w:val="lowerLetter"/>
      <w:lvlText w:val="%5)"/>
      <w:lvlJc w:val="left"/>
      <w:pPr>
        <w:ind w:left="4903" w:hanging="420"/>
      </w:pPr>
    </w:lvl>
    <w:lvl w:ilvl="5" w:tentative="1">
      <w:start w:val="1"/>
      <w:numFmt w:val="lowerRoman"/>
      <w:lvlText w:val="%6."/>
      <w:lvlJc w:val="right"/>
      <w:pPr>
        <w:ind w:left="5323" w:hanging="420"/>
      </w:pPr>
    </w:lvl>
    <w:lvl w:ilvl="6" w:tentative="1">
      <w:start w:val="1"/>
      <w:numFmt w:val="decimal"/>
      <w:lvlText w:val="%7."/>
      <w:lvlJc w:val="left"/>
      <w:pPr>
        <w:ind w:left="5743" w:hanging="420"/>
      </w:pPr>
    </w:lvl>
    <w:lvl w:ilvl="7" w:tentative="1">
      <w:start w:val="1"/>
      <w:numFmt w:val="lowerLetter"/>
      <w:lvlText w:val="%8)"/>
      <w:lvlJc w:val="left"/>
      <w:pPr>
        <w:ind w:left="6163" w:hanging="420"/>
      </w:pPr>
    </w:lvl>
    <w:lvl w:ilvl="8" w:tentative="1">
      <w:start w:val="1"/>
      <w:numFmt w:val="lowerRoman"/>
      <w:lvlText w:val="%9."/>
      <w:lvlJc w:val="right"/>
      <w:pPr>
        <w:ind w:left="6583" w:hanging="420"/>
      </w:pPr>
    </w:lvl>
  </w:abstractNum>
  <w:abstractNum w:abstractNumId="2828421425">
    <w:nsid w:val="A8964931"/>
    <w:multiLevelType w:val="singleLevel"/>
    <w:tmpl w:val="A8964931"/>
    <w:lvl w:ilvl="0" w:tentative="1">
      <w:start w:val="1"/>
      <w:numFmt w:val="decimal"/>
      <w:lvlText w:val="(%1)"/>
      <w:lvlJc w:val="left"/>
      <w:pPr>
        <w:ind w:left="635" w:hanging="425"/>
      </w:pPr>
      <w:rPr>
        <w:rFonts w:hint="default"/>
      </w:rPr>
    </w:lvl>
  </w:abstractNum>
  <w:abstractNum w:abstractNumId="4279100400">
    <w:nsid w:val="FF0DE3F0"/>
    <w:multiLevelType w:val="singleLevel"/>
    <w:tmpl w:val="FF0DE3F0"/>
    <w:lvl w:ilvl="0" w:tentative="1">
      <w:start w:val="1"/>
      <w:numFmt w:val="decimal"/>
      <w:lvlText w:val="(%1)"/>
      <w:lvlJc w:val="left"/>
      <w:pPr>
        <w:ind w:left="425" w:hanging="425"/>
      </w:pPr>
      <w:rPr>
        <w:rFonts w:hint="default"/>
      </w:rPr>
    </w:lvl>
  </w:abstractNum>
  <w:abstractNum w:abstractNumId="29115450">
    <w:nsid w:val="01BC443A"/>
    <w:multiLevelType w:val="multilevel"/>
    <w:tmpl w:val="01BC443A"/>
    <w:lvl w:ilvl="0" w:tentative="1">
      <w:start w:val="1"/>
      <w:numFmt w:val="chineseCountingThousand"/>
      <w:lvlText w:val="%1、"/>
      <w:lvlJc w:val="left"/>
      <w:pPr>
        <w:ind w:left="420" w:hanging="420"/>
      </w:pPr>
      <w:rPr>
        <w:rFonts w:hint="eastAsia" w:ascii="宋体" w:hAnsi="宋体" w:eastAsia="宋体"/>
        <w:b/>
        <w:color w:val="auto"/>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3322069">
    <w:nsid w:val="0F196355"/>
    <w:multiLevelType w:val="multilevel"/>
    <w:tmpl w:val="0F196355"/>
    <w:lvl w:ilvl="0" w:tentative="1">
      <w:start w:val="1"/>
      <w:numFmt w:val="decimal"/>
      <w:lvlText w:val="15.%1"/>
      <w:lvlJc w:val="left"/>
      <w:pPr>
        <w:ind w:left="420" w:hanging="420"/>
      </w:pPr>
      <w:rPr>
        <w:rFonts w:hint="eastAsia" w:ascii="宋体" w:hAnsi="宋体" w:eastAsia="宋体"/>
        <w:b w:val="0"/>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9531492">
    <w:nsid w:val="130BA9E4"/>
    <w:multiLevelType w:val="singleLevel"/>
    <w:tmpl w:val="130BA9E4"/>
    <w:lvl w:ilvl="0" w:tentative="1">
      <w:start w:val="1"/>
      <w:numFmt w:val="decimal"/>
      <w:suff w:val="nothing"/>
      <w:lvlText w:val="%1．"/>
      <w:lvlJc w:val="left"/>
      <w:pPr>
        <w:ind w:left="0" w:firstLine="400"/>
      </w:pPr>
      <w:rPr>
        <w:rFonts w:hint="default"/>
      </w:rPr>
    </w:lvl>
  </w:abstractNum>
  <w:abstractNum w:abstractNumId="368533632">
    <w:nsid w:val="15F76080"/>
    <w:multiLevelType w:val="multilevel"/>
    <w:tmpl w:val="15F76080"/>
    <w:lvl w:ilvl="0" w:tentative="1">
      <w:start w:val="1"/>
      <w:numFmt w:val="decimal"/>
      <w:lvlText w:val="3.%1"/>
      <w:lvlJc w:val="left"/>
      <w:pPr>
        <w:ind w:left="3681" w:hanging="420"/>
      </w:pPr>
      <w:rPr>
        <w:rFonts w:hint="eastAsia" w:ascii="宋体" w:hAnsi="宋体" w:eastAsia="宋体"/>
        <w:b w:val="0"/>
        <w:strike w:val="0"/>
        <w:dstrike w:val="0"/>
        <w:color w:val="auto"/>
        <w:u w:val="none"/>
      </w:rPr>
    </w:lvl>
    <w:lvl w:ilvl="1" w:tentative="1">
      <w:start w:val="1"/>
      <w:numFmt w:val="lowerLetter"/>
      <w:lvlText w:val="%2)"/>
      <w:lvlJc w:val="left"/>
      <w:pPr>
        <w:ind w:left="3643" w:hanging="420"/>
      </w:pPr>
    </w:lvl>
    <w:lvl w:ilvl="2" w:tentative="1">
      <w:start w:val="1"/>
      <w:numFmt w:val="lowerRoman"/>
      <w:lvlText w:val="%3."/>
      <w:lvlJc w:val="right"/>
      <w:pPr>
        <w:ind w:left="4063" w:hanging="420"/>
      </w:pPr>
    </w:lvl>
    <w:lvl w:ilvl="3" w:tentative="1">
      <w:start w:val="1"/>
      <w:numFmt w:val="decimal"/>
      <w:lvlText w:val="%4."/>
      <w:lvlJc w:val="left"/>
      <w:pPr>
        <w:ind w:left="4483" w:hanging="420"/>
      </w:pPr>
    </w:lvl>
    <w:lvl w:ilvl="4" w:tentative="1">
      <w:start w:val="1"/>
      <w:numFmt w:val="lowerLetter"/>
      <w:lvlText w:val="%5)"/>
      <w:lvlJc w:val="left"/>
      <w:pPr>
        <w:ind w:left="4903" w:hanging="420"/>
      </w:pPr>
    </w:lvl>
    <w:lvl w:ilvl="5" w:tentative="1">
      <w:start w:val="1"/>
      <w:numFmt w:val="lowerRoman"/>
      <w:lvlText w:val="%6."/>
      <w:lvlJc w:val="right"/>
      <w:pPr>
        <w:ind w:left="5323" w:hanging="420"/>
      </w:pPr>
    </w:lvl>
    <w:lvl w:ilvl="6" w:tentative="1">
      <w:start w:val="1"/>
      <w:numFmt w:val="decimal"/>
      <w:lvlText w:val="%7."/>
      <w:lvlJc w:val="left"/>
      <w:pPr>
        <w:ind w:left="5743" w:hanging="420"/>
      </w:pPr>
    </w:lvl>
    <w:lvl w:ilvl="7" w:tentative="1">
      <w:start w:val="1"/>
      <w:numFmt w:val="lowerLetter"/>
      <w:lvlText w:val="%8)"/>
      <w:lvlJc w:val="left"/>
      <w:pPr>
        <w:ind w:left="6163" w:hanging="420"/>
      </w:pPr>
    </w:lvl>
    <w:lvl w:ilvl="8" w:tentative="1">
      <w:start w:val="1"/>
      <w:numFmt w:val="lowerRoman"/>
      <w:lvlText w:val="%9."/>
      <w:lvlJc w:val="right"/>
      <w:pPr>
        <w:ind w:left="6583" w:hanging="420"/>
      </w:pPr>
    </w:lvl>
  </w:abstractNum>
  <w:abstractNum w:abstractNumId="381292673">
    <w:nsid w:val="16BA1081"/>
    <w:multiLevelType w:val="multilevel"/>
    <w:tmpl w:val="16BA1081"/>
    <w:lvl w:ilvl="0" w:tentative="1">
      <w:start w:val="1"/>
      <w:numFmt w:val="low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96253620">
    <w:nsid w:val="E83C1CB4"/>
    <w:multiLevelType w:val="singleLevel"/>
    <w:tmpl w:val="E83C1CB4"/>
    <w:lvl w:ilvl="0" w:tentative="1">
      <w:start w:val="1"/>
      <w:numFmt w:val="decimal"/>
      <w:lvlText w:val="(%1)"/>
      <w:lvlJc w:val="left"/>
      <w:pPr>
        <w:ind w:left="425" w:hanging="425"/>
      </w:pPr>
      <w:rPr>
        <w:rFonts w:hint="default"/>
      </w:rPr>
    </w:lvl>
  </w:abstractNum>
  <w:abstractNum w:abstractNumId="620844053">
    <w:nsid w:val="25015415"/>
    <w:multiLevelType w:val="multilevel"/>
    <w:tmpl w:val="25015415"/>
    <w:lvl w:ilvl="0" w:tentative="1">
      <w:start w:val="1"/>
      <w:numFmt w:val="decimal"/>
      <w:lvlText w:val="%1. "/>
      <w:lvlJc w:val="left"/>
      <w:pPr>
        <w:ind w:left="2121" w:hanging="420"/>
      </w:pPr>
      <w:rPr>
        <w:rFonts w:hint="eastAsia" w:ascii="宋体" w:hAnsi="宋体" w:eastAsia="宋体"/>
        <w:b w:val="0"/>
        <w:strike w:val="0"/>
        <w:dstrike w:val="0"/>
        <w:color w:val="auto"/>
        <w:u w:val="none"/>
      </w:rPr>
    </w:lvl>
    <w:lvl w:ilvl="1" w:tentative="1">
      <w:start w:val="1"/>
      <w:numFmt w:val="lowerLetter"/>
      <w:lvlText w:val="%2)"/>
      <w:lvlJc w:val="left"/>
      <w:pPr>
        <w:ind w:left="2881" w:hanging="420"/>
      </w:pPr>
    </w:lvl>
    <w:lvl w:ilvl="2" w:tentative="1">
      <w:start w:val="1"/>
      <w:numFmt w:val="lowerRoman"/>
      <w:lvlText w:val="%3."/>
      <w:lvlJc w:val="right"/>
      <w:pPr>
        <w:ind w:left="3301" w:hanging="420"/>
      </w:pPr>
    </w:lvl>
    <w:lvl w:ilvl="3" w:tentative="1">
      <w:start w:val="1"/>
      <w:numFmt w:val="decimal"/>
      <w:lvlText w:val="%4."/>
      <w:lvlJc w:val="left"/>
      <w:pPr>
        <w:ind w:left="3721" w:hanging="420"/>
      </w:pPr>
    </w:lvl>
    <w:lvl w:ilvl="4" w:tentative="1">
      <w:start w:val="1"/>
      <w:numFmt w:val="lowerLetter"/>
      <w:lvlText w:val="%5)"/>
      <w:lvlJc w:val="left"/>
      <w:pPr>
        <w:ind w:left="4141" w:hanging="420"/>
      </w:pPr>
    </w:lvl>
    <w:lvl w:ilvl="5" w:tentative="1">
      <w:start w:val="1"/>
      <w:numFmt w:val="lowerRoman"/>
      <w:lvlText w:val="%6."/>
      <w:lvlJc w:val="right"/>
      <w:pPr>
        <w:ind w:left="4561" w:hanging="420"/>
      </w:pPr>
    </w:lvl>
    <w:lvl w:ilvl="6" w:tentative="1">
      <w:start w:val="1"/>
      <w:numFmt w:val="decimal"/>
      <w:lvlText w:val="%7."/>
      <w:lvlJc w:val="left"/>
      <w:pPr>
        <w:ind w:left="4981" w:hanging="420"/>
      </w:pPr>
    </w:lvl>
    <w:lvl w:ilvl="7" w:tentative="1">
      <w:start w:val="1"/>
      <w:numFmt w:val="lowerLetter"/>
      <w:lvlText w:val="%8)"/>
      <w:lvlJc w:val="left"/>
      <w:pPr>
        <w:ind w:left="5401" w:hanging="420"/>
      </w:pPr>
    </w:lvl>
    <w:lvl w:ilvl="8" w:tentative="1">
      <w:start w:val="1"/>
      <w:numFmt w:val="lowerRoman"/>
      <w:lvlText w:val="%9."/>
      <w:lvlJc w:val="right"/>
      <w:pPr>
        <w:ind w:left="5821" w:hanging="420"/>
      </w:pPr>
    </w:lvl>
  </w:abstractNum>
  <w:abstractNum w:abstractNumId="3559274005">
    <w:nsid w:val="D4263615"/>
    <w:multiLevelType w:val="singleLevel"/>
    <w:tmpl w:val="D4263615"/>
    <w:lvl w:ilvl="0" w:tentative="1">
      <w:start w:val="1"/>
      <w:numFmt w:val="decimal"/>
      <w:suff w:val="nothing"/>
      <w:lvlText w:val="%1、"/>
      <w:lvlJc w:val="left"/>
    </w:lvl>
  </w:abstractNum>
  <w:abstractNum w:abstractNumId="131867148">
    <w:nsid w:val="07DC220C"/>
    <w:multiLevelType w:val="multilevel"/>
    <w:tmpl w:val="07DC220C"/>
    <w:lvl w:ilvl="0" w:tentative="1">
      <w:start w:val="1"/>
      <w:numFmt w:val="decimal"/>
      <w:lvlText w:val="%1."/>
      <w:lvlJc w:val="left"/>
      <w:pPr>
        <w:ind w:left="630" w:hanging="420"/>
      </w:pPr>
    </w:lvl>
    <w:lvl w:ilvl="1" w:tentative="1">
      <w:start w:val="1"/>
      <w:numFmt w:val="lowerLetter"/>
      <w:lvlText w:val="%2)"/>
      <w:lvlJc w:val="left"/>
      <w:pPr>
        <w:ind w:left="1050" w:hanging="420"/>
      </w:pPr>
    </w:lvl>
    <w:lvl w:ilvl="2" w:tentative="1">
      <w:start w:val="1"/>
      <w:numFmt w:val="lowerRoman"/>
      <w:lvlText w:val="%3."/>
      <w:lvlJc w:val="right"/>
      <w:pPr>
        <w:ind w:left="1470" w:hanging="420"/>
      </w:pPr>
    </w:lvl>
    <w:lvl w:ilvl="3" w:tentative="1">
      <w:start w:val="1"/>
      <w:numFmt w:val="decimal"/>
      <w:lvlText w:val="%4."/>
      <w:lvlJc w:val="left"/>
      <w:pPr>
        <w:ind w:left="1890" w:hanging="420"/>
      </w:pPr>
    </w:lvl>
    <w:lvl w:ilvl="4" w:tentative="1">
      <w:start w:val="1"/>
      <w:numFmt w:val="lowerLetter"/>
      <w:lvlText w:val="%5)"/>
      <w:lvlJc w:val="left"/>
      <w:pPr>
        <w:ind w:left="2310" w:hanging="420"/>
      </w:pPr>
    </w:lvl>
    <w:lvl w:ilvl="5" w:tentative="1">
      <w:start w:val="1"/>
      <w:numFmt w:val="lowerRoman"/>
      <w:lvlText w:val="%6."/>
      <w:lvlJc w:val="right"/>
      <w:pPr>
        <w:ind w:left="2730" w:hanging="420"/>
      </w:pPr>
    </w:lvl>
    <w:lvl w:ilvl="6" w:tentative="1">
      <w:start w:val="1"/>
      <w:numFmt w:val="decimal"/>
      <w:lvlText w:val="%7."/>
      <w:lvlJc w:val="left"/>
      <w:pPr>
        <w:ind w:left="3150" w:hanging="420"/>
      </w:pPr>
    </w:lvl>
    <w:lvl w:ilvl="7" w:tentative="1">
      <w:start w:val="1"/>
      <w:numFmt w:val="lowerLetter"/>
      <w:lvlText w:val="%8)"/>
      <w:lvlJc w:val="left"/>
      <w:pPr>
        <w:ind w:left="3570" w:hanging="420"/>
      </w:pPr>
    </w:lvl>
    <w:lvl w:ilvl="8" w:tentative="1">
      <w:start w:val="1"/>
      <w:numFmt w:val="lowerRoman"/>
      <w:lvlText w:val="%9."/>
      <w:lvlJc w:val="right"/>
      <w:pPr>
        <w:ind w:left="3990" w:hanging="420"/>
      </w:pPr>
    </w:lvl>
  </w:abstractNum>
  <w:abstractNum w:abstractNumId="135341056">
    <w:nsid w:val="08112400"/>
    <w:multiLevelType w:val="multilevel"/>
    <w:tmpl w:val="08112400"/>
    <w:lvl w:ilvl="0" w:tentative="1">
      <w:start w:val="1"/>
      <w:numFmt w:val="decimal"/>
      <w:lvlText w:val="8.%1"/>
      <w:lvlJc w:val="left"/>
      <w:pPr>
        <w:ind w:left="988" w:hanging="420"/>
      </w:pPr>
      <w:rPr>
        <w:rFonts w:hint="eastAsia" w:ascii="宋体" w:hAnsi="宋体" w:eastAsia="宋体"/>
        <w:b w:val="0"/>
        <w:color w:val="auto"/>
      </w:rPr>
    </w:lvl>
    <w:lvl w:ilvl="1" w:tentative="1">
      <w:start w:val="1"/>
      <w:numFmt w:val="lowerLetter"/>
      <w:lvlText w:val="%2)"/>
      <w:lvlJc w:val="left"/>
      <w:pPr>
        <w:ind w:left="1408" w:hanging="420"/>
      </w:pPr>
    </w:lvl>
    <w:lvl w:ilvl="2" w:tentative="1">
      <w:start w:val="1"/>
      <w:numFmt w:val="lowerRoman"/>
      <w:lvlText w:val="%3."/>
      <w:lvlJc w:val="right"/>
      <w:pPr>
        <w:ind w:left="1828" w:hanging="420"/>
      </w:pPr>
    </w:lvl>
    <w:lvl w:ilvl="3" w:tentative="1">
      <w:start w:val="1"/>
      <w:numFmt w:val="decimal"/>
      <w:lvlText w:val="%4."/>
      <w:lvlJc w:val="left"/>
      <w:pPr>
        <w:ind w:left="2248" w:hanging="420"/>
      </w:pPr>
    </w:lvl>
    <w:lvl w:ilvl="4" w:tentative="1">
      <w:start w:val="1"/>
      <w:numFmt w:val="lowerLetter"/>
      <w:lvlText w:val="%5)"/>
      <w:lvlJc w:val="left"/>
      <w:pPr>
        <w:ind w:left="2668" w:hanging="420"/>
      </w:pPr>
    </w:lvl>
    <w:lvl w:ilvl="5" w:tentative="1">
      <w:start w:val="1"/>
      <w:numFmt w:val="lowerRoman"/>
      <w:lvlText w:val="%6."/>
      <w:lvlJc w:val="right"/>
      <w:pPr>
        <w:ind w:left="3088" w:hanging="420"/>
      </w:pPr>
    </w:lvl>
    <w:lvl w:ilvl="6" w:tentative="1">
      <w:start w:val="1"/>
      <w:numFmt w:val="decimal"/>
      <w:lvlText w:val="%7."/>
      <w:lvlJc w:val="left"/>
      <w:pPr>
        <w:ind w:left="3508" w:hanging="420"/>
      </w:pPr>
    </w:lvl>
    <w:lvl w:ilvl="7" w:tentative="1">
      <w:start w:val="1"/>
      <w:numFmt w:val="lowerLetter"/>
      <w:lvlText w:val="%8)"/>
      <w:lvlJc w:val="left"/>
      <w:pPr>
        <w:ind w:left="3928" w:hanging="420"/>
      </w:pPr>
    </w:lvl>
    <w:lvl w:ilvl="8" w:tentative="1">
      <w:start w:val="1"/>
      <w:numFmt w:val="lowerRoman"/>
      <w:lvlText w:val="%9."/>
      <w:lvlJc w:val="right"/>
      <w:pPr>
        <w:ind w:left="4348" w:hanging="420"/>
      </w:pPr>
    </w:lvl>
  </w:abstractNum>
  <w:abstractNum w:abstractNumId="2246730360">
    <w:nsid w:val="85EA6278"/>
    <w:multiLevelType w:val="singleLevel"/>
    <w:tmpl w:val="85EA6278"/>
    <w:lvl w:ilvl="0" w:tentative="1">
      <w:start w:val="1"/>
      <w:numFmt w:val="decimal"/>
      <w:suff w:val="nothing"/>
      <w:lvlText w:val="%1．"/>
      <w:lvlJc w:val="left"/>
      <w:pPr>
        <w:ind w:left="0" w:firstLine="400"/>
      </w:pPr>
      <w:rPr>
        <w:rFonts w:hint="default"/>
      </w:rPr>
    </w:lvl>
  </w:abstractNum>
  <w:abstractNum w:abstractNumId="1670338161">
    <w:nsid w:val="638F5671"/>
    <w:multiLevelType w:val="singleLevel"/>
    <w:tmpl w:val="638F5671"/>
    <w:lvl w:ilvl="0" w:tentative="1">
      <w:start w:val="1"/>
      <w:numFmt w:val="decimal"/>
      <w:suff w:val="nothing"/>
      <w:lvlText w:val="%1、"/>
      <w:lvlJc w:val="left"/>
    </w:lvl>
  </w:abstractNum>
  <w:abstractNum w:abstractNumId="1141383669">
    <w:nsid w:val="440821F5"/>
    <w:multiLevelType w:val="multilevel"/>
    <w:tmpl w:val="440821F5"/>
    <w:lvl w:ilvl="0" w:tentative="1">
      <w:start w:val="1"/>
      <w:numFmt w:val="decimal"/>
      <w:lvlText w:val="%1."/>
      <w:lvlJc w:val="left"/>
      <w:pPr>
        <w:ind w:left="420" w:hanging="420"/>
      </w:pPr>
      <w:rPr>
        <w:rFonts w:hint="eastAsia" w:ascii="宋体" w:hAnsi="宋体" w:eastAsia="宋体"/>
        <w:b/>
        <w:strike w:val="0"/>
        <w:dstrike w:val="0"/>
        <w:color w:val="auto"/>
        <w:sz w:val="21"/>
        <w:szCs w:val="21"/>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27233977">
    <w:nsid w:val="7ECB03B9"/>
    <w:multiLevelType w:val="multilevel"/>
    <w:tmpl w:val="7ECB03B9"/>
    <w:lvl w:ilvl="0" w:tentative="1">
      <w:start w:val="1"/>
      <w:numFmt w:val="decimal"/>
      <w:lvlText w:val="%1. "/>
      <w:lvlJc w:val="left"/>
      <w:pPr>
        <w:ind w:left="2121" w:hanging="420"/>
      </w:pPr>
      <w:rPr>
        <w:rFonts w:hint="eastAsia" w:ascii="宋体" w:hAnsi="宋体" w:eastAsia="宋体"/>
        <w:b w:val="0"/>
        <w:strike w:val="0"/>
        <w:dstrike w:val="0"/>
        <w:color w:val="auto"/>
        <w:u w:val="none"/>
      </w:rPr>
    </w:lvl>
    <w:lvl w:ilvl="1" w:tentative="1">
      <w:start w:val="1"/>
      <w:numFmt w:val="lowerLetter"/>
      <w:lvlText w:val="%2)"/>
      <w:lvlJc w:val="left"/>
      <w:pPr>
        <w:ind w:left="2881" w:hanging="420"/>
      </w:pPr>
    </w:lvl>
    <w:lvl w:ilvl="2" w:tentative="1">
      <w:start w:val="1"/>
      <w:numFmt w:val="lowerRoman"/>
      <w:lvlText w:val="%3."/>
      <w:lvlJc w:val="right"/>
      <w:pPr>
        <w:ind w:left="3301" w:hanging="420"/>
      </w:pPr>
    </w:lvl>
    <w:lvl w:ilvl="3" w:tentative="1">
      <w:start w:val="1"/>
      <w:numFmt w:val="decimal"/>
      <w:lvlText w:val="%4."/>
      <w:lvlJc w:val="left"/>
      <w:pPr>
        <w:ind w:left="3721" w:hanging="420"/>
      </w:pPr>
    </w:lvl>
    <w:lvl w:ilvl="4" w:tentative="1">
      <w:start w:val="1"/>
      <w:numFmt w:val="lowerLetter"/>
      <w:lvlText w:val="%5)"/>
      <w:lvlJc w:val="left"/>
      <w:pPr>
        <w:ind w:left="4141" w:hanging="420"/>
      </w:pPr>
    </w:lvl>
    <w:lvl w:ilvl="5" w:tentative="1">
      <w:start w:val="1"/>
      <w:numFmt w:val="lowerRoman"/>
      <w:lvlText w:val="%6."/>
      <w:lvlJc w:val="right"/>
      <w:pPr>
        <w:ind w:left="4561" w:hanging="420"/>
      </w:pPr>
    </w:lvl>
    <w:lvl w:ilvl="6" w:tentative="1">
      <w:start w:val="1"/>
      <w:numFmt w:val="decimal"/>
      <w:lvlText w:val="%7."/>
      <w:lvlJc w:val="left"/>
      <w:pPr>
        <w:ind w:left="4981" w:hanging="420"/>
      </w:pPr>
    </w:lvl>
    <w:lvl w:ilvl="7" w:tentative="1">
      <w:start w:val="1"/>
      <w:numFmt w:val="lowerLetter"/>
      <w:lvlText w:val="%8)"/>
      <w:lvlJc w:val="left"/>
      <w:pPr>
        <w:ind w:left="5401" w:hanging="420"/>
      </w:pPr>
    </w:lvl>
    <w:lvl w:ilvl="8" w:tentative="1">
      <w:start w:val="1"/>
      <w:numFmt w:val="lowerRoman"/>
      <w:lvlText w:val="%9."/>
      <w:lvlJc w:val="right"/>
      <w:pPr>
        <w:ind w:left="5821" w:hanging="420"/>
      </w:pPr>
    </w:lvl>
  </w:abstractNum>
  <w:abstractNum w:abstractNumId="1903368984">
    <w:nsid w:val="71731B18"/>
    <w:multiLevelType w:val="multilevel"/>
    <w:tmpl w:val="71731B18"/>
    <w:lvl w:ilvl="0" w:tentative="1">
      <w:start w:val="1"/>
      <w:numFmt w:val="decimal"/>
      <w:lvlText w:val="27.%1"/>
      <w:lvlJc w:val="left"/>
      <w:pPr>
        <w:ind w:left="420" w:hanging="420"/>
      </w:pPr>
      <w:rPr>
        <w:rFonts w:hint="eastAsia"/>
        <w:b w:val="0"/>
        <w:strike w:val="0"/>
        <w:dstrike w:val="0"/>
        <w:color w:val="auto"/>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43729043">
    <w:nsid w:val="61F95093"/>
    <w:multiLevelType w:val="multilevel"/>
    <w:tmpl w:val="61F95093"/>
    <w:lvl w:ilvl="0" w:tentative="1">
      <w:start w:val="1"/>
      <w:numFmt w:val="decimal"/>
      <w:lvlText w:val="29.%1"/>
      <w:lvlJc w:val="left"/>
      <w:pPr>
        <w:ind w:left="420" w:hanging="420"/>
      </w:pPr>
      <w:rPr>
        <w:rFonts w:hint="eastAsia"/>
        <w:b w:val="0"/>
        <w:strike w:val="0"/>
        <w:dstrike w:val="0"/>
        <w:color w:val="auto"/>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70231502">
    <w:nsid w:val="638DB5CE"/>
    <w:multiLevelType w:val="singleLevel"/>
    <w:tmpl w:val="638DB5CE"/>
    <w:lvl w:ilvl="0" w:tentative="1">
      <w:start w:val="1"/>
      <w:numFmt w:val="decimal"/>
      <w:suff w:val="nothing"/>
      <w:lvlText w:val="7.%1 "/>
      <w:lvlJc w:val="left"/>
      <w:pPr>
        <w:tabs>
          <w:tab w:val="left" w:pos="0"/>
        </w:tabs>
        <w:ind w:left="0" w:firstLine="400"/>
      </w:pPr>
      <w:rPr>
        <w:rFonts w:hint="default" w:ascii="宋体" w:hAnsi="宋体" w:eastAsia="宋体" w:cs="宋体"/>
      </w:rPr>
    </w:lvl>
  </w:abstractNum>
  <w:abstractNum w:abstractNumId="1188131961">
    <w:nsid w:val="46D17479"/>
    <w:multiLevelType w:val="multilevel"/>
    <w:tmpl w:val="46D17479"/>
    <w:lvl w:ilvl="0" w:tentative="1">
      <w:start w:val="1"/>
      <w:numFmt w:val="decimal"/>
      <w:lvlText w:val="14.%1"/>
      <w:lvlJc w:val="left"/>
      <w:pPr>
        <w:ind w:left="420" w:hanging="420"/>
      </w:pPr>
      <w:rPr>
        <w:rFonts w:hint="eastAsia"/>
        <w:b w:val="0"/>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46264180">
    <w:nsid w:val="4A487B74"/>
    <w:multiLevelType w:val="multilevel"/>
    <w:tmpl w:val="4A487B74"/>
    <w:lvl w:ilvl="0" w:tentative="1">
      <w:start w:val="1"/>
      <w:numFmt w:val="decimal"/>
      <w:lvlText w:val="%1)"/>
      <w:lvlJc w:val="left"/>
      <w:pPr>
        <w:ind w:left="643" w:hanging="420"/>
      </w:pPr>
      <w:rPr>
        <w:rFonts w:hint="eastAsia"/>
        <w:b w:val="0"/>
        <w:strike w:val="0"/>
        <w:dstrike w:val="0"/>
        <w:color w:val="auto"/>
        <w:u w:val="none"/>
      </w:rPr>
    </w:lvl>
    <w:lvl w:ilvl="1" w:tentative="1">
      <w:start w:val="1"/>
      <w:numFmt w:val="lowerLetter"/>
      <w:lvlText w:val="%2)"/>
      <w:lvlJc w:val="left"/>
      <w:pPr>
        <w:ind w:left="1063" w:hanging="420"/>
      </w:pPr>
    </w:lvl>
    <w:lvl w:ilvl="2" w:tentative="1">
      <w:start w:val="1"/>
      <w:numFmt w:val="lowerRoman"/>
      <w:lvlText w:val="%3."/>
      <w:lvlJc w:val="right"/>
      <w:pPr>
        <w:ind w:left="1483" w:hanging="420"/>
      </w:pPr>
    </w:lvl>
    <w:lvl w:ilvl="3" w:tentative="1">
      <w:start w:val="1"/>
      <w:numFmt w:val="decimal"/>
      <w:lvlText w:val="%4."/>
      <w:lvlJc w:val="left"/>
      <w:pPr>
        <w:ind w:left="1903" w:hanging="420"/>
      </w:pPr>
    </w:lvl>
    <w:lvl w:ilvl="4" w:tentative="1">
      <w:start w:val="1"/>
      <w:numFmt w:val="lowerLetter"/>
      <w:lvlText w:val="%5)"/>
      <w:lvlJc w:val="left"/>
      <w:pPr>
        <w:ind w:left="2323" w:hanging="420"/>
      </w:pPr>
    </w:lvl>
    <w:lvl w:ilvl="5" w:tentative="1">
      <w:start w:val="1"/>
      <w:numFmt w:val="lowerRoman"/>
      <w:lvlText w:val="%6."/>
      <w:lvlJc w:val="right"/>
      <w:pPr>
        <w:ind w:left="2743" w:hanging="420"/>
      </w:pPr>
    </w:lvl>
    <w:lvl w:ilvl="6" w:tentative="1">
      <w:start w:val="1"/>
      <w:numFmt w:val="decimal"/>
      <w:lvlText w:val="%7."/>
      <w:lvlJc w:val="left"/>
      <w:pPr>
        <w:ind w:left="3163" w:hanging="420"/>
      </w:pPr>
    </w:lvl>
    <w:lvl w:ilvl="7" w:tentative="1">
      <w:start w:val="1"/>
      <w:numFmt w:val="lowerLetter"/>
      <w:lvlText w:val="%8)"/>
      <w:lvlJc w:val="left"/>
      <w:pPr>
        <w:ind w:left="3583" w:hanging="420"/>
      </w:pPr>
    </w:lvl>
    <w:lvl w:ilvl="8" w:tentative="1">
      <w:start w:val="1"/>
      <w:numFmt w:val="lowerRoman"/>
      <w:lvlText w:val="%9."/>
      <w:lvlJc w:val="right"/>
      <w:pPr>
        <w:ind w:left="4003" w:hanging="420"/>
      </w:pPr>
    </w:lvl>
  </w:abstractNum>
  <w:abstractNum w:abstractNumId="1821268259">
    <w:nsid w:val="6C8E5923"/>
    <w:multiLevelType w:val="multilevel"/>
    <w:tmpl w:val="6C8E5923"/>
    <w:lvl w:ilvl="0" w:tentative="1">
      <w:start w:val="1"/>
      <w:numFmt w:val="decimal"/>
      <w:lvlText w:val="%1"/>
      <w:lvlJc w:val="left"/>
      <w:pPr>
        <w:tabs>
          <w:tab w:val="left" w:pos="680"/>
        </w:tabs>
        <w:ind w:left="680" w:hanging="51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66165935">
    <w:nsid w:val="6F3B6EAF"/>
    <w:multiLevelType w:val="multilevel"/>
    <w:tmpl w:val="6F3B6EAF"/>
    <w:lvl w:ilvl="0" w:tentative="1">
      <w:start w:val="1"/>
      <w:numFmt w:val="decimal"/>
      <w:lvlText w:val="%1."/>
      <w:lvlJc w:val="left"/>
      <w:pPr>
        <w:ind w:left="630" w:hanging="420"/>
      </w:pPr>
    </w:lvl>
    <w:lvl w:ilvl="1" w:tentative="1">
      <w:start w:val="1"/>
      <w:numFmt w:val="lowerLetter"/>
      <w:lvlText w:val="%2)"/>
      <w:lvlJc w:val="left"/>
      <w:pPr>
        <w:ind w:left="1050" w:hanging="420"/>
      </w:pPr>
    </w:lvl>
    <w:lvl w:ilvl="2" w:tentative="1">
      <w:start w:val="1"/>
      <w:numFmt w:val="lowerRoman"/>
      <w:lvlText w:val="%3."/>
      <w:lvlJc w:val="right"/>
      <w:pPr>
        <w:ind w:left="1470" w:hanging="420"/>
      </w:pPr>
    </w:lvl>
    <w:lvl w:ilvl="3" w:tentative="1">
      <w:start w:val="1"/>
      <w:numFmt w:val="decimal"/>
      <w:lvlText w:val="%4."/>
      <w:lvlJc w:val="left"/>
      <w:pPr>
        <w:ind w:left="1890" w:hanging="420"/>
      </w:pPr>
    </w:lvl>
    <w:lvl w:ilvl="4" w:tentative="1">
      <w:start w:val="1"/>
      <w:numFmt w:val="lowerLetter"/>
      <w:lvlText w:val="%5)"/>
      <w:lvlJc w:val="left"/>
      <w:pPr>
        <w:ind w:left="2310" w:hanging="420"/>
      </w:pPr>
    </w:lvl>
    <w:lvl w:ilvl="5" w:tentative="1">
      <w:start w:val="1"/>
      <w:numFmt w:val="lowerRoman"/>
      <w:lvlText w:val="%6."/>
      <w:lvlJc w:val="right"/>
      <w:pPr>
        <w:ind w:left="2730" w:hanging="420"/>
      </w:pPr>
    </w:lvl>
    <w:lvl w:ilvl="6" w:tentative="1">
      <w:start w:val="1"/>
      <w:numFmt w:val="decimal"/>
      <w:lvlText w:val="%7."/>
      <w:lvlJc w:val="left"/>
      <w:pPr>
        <w:ind w:left="3150" w:hanging="420"/>
      </w:pPr>
    </w:lvl>
    <w:lvl w:ilvl="7" w:tentative="1">
      <w:start w:val="1"/>
      <w:numFmt w:val="lowerLetter"/>
      <w:lvlText w:val="%8)"/>
      <w:lvlJc w:val="left"/>
      <w:pPr>
        <w:ind w:left="3570" w:hanging="420"/>
      </w:pPr>
    </w:lvl>
    <w:lvl w:ilvl="8" w:tentative="1">
      <w:start w:val="1"/>
      <w:numFmt w:val="lowerRoman"/>
      <w:lvlText w:val="%9."/>
      <w:lvlJc w:val="right"/>
      <w:pPr>
        <w:ind w:left="3990" w:hanging="420"/>
      </w:pPr>
    </w:lvl>
  </w:abstractNum>
  <w:abstractNum w:abstractNumId="1286280231">
    <w:nsid w:val="4CAB1427"/>
    <w:multiLevelType w:val="multilevel"/>
    <w:tmpl w:val="4CAB1427"/>
    <w:lvl w:ilvl="0" w:tentative="1">
      <w:start w:val="1"/>
      <w:numFmt w:val="decimal"/>
      <w:lvlText w:val="%1."/>
      <w:lvlJc w:val="left"/>
      <w:pPr>
        <w:ind w:left="636" w:hanging="420"/>
      </w:pPr>
      <w:rPr>
        <w:b w:val="0"/>
      </w:rPr>
    </w:lvl>
    <w:lvl w:ilvl="1" w:tentative="1">
      <w:start w:val="1"/>
      <w:numFmt w:val="lowerLetter"/>
      <w:lvlText w:val="%2)"/>
      <w:lvlJc w:val="left"/>
      <w:pPr>
        <w:ind w:left="1056" w:hanging="420"/>
      </w:pPr>
    </w:lvl>
    <w:lvl w:ilvl="2" w:tentative="1">
      <w:start w:val="1"/>
      <w:numFmt w:val="lowerRoman"/>
      <w:lvlText w:val="%3."/>
      <w:lvlJc w:val="right"/>
      <w:pPr>
        <w:ind w:left="1476" w:hanging="420"/>
      </w:pPr>
    </w:lvl>
    <w:lvl w:ilvl="3" w:tentative="1">
      <w:start w:val="1"/>
      <w:numFmt w:val="decimal"/>
      <w:lvlText w:val="%4."/>
      <w:lvlJc w:val="left"/>
      <w:pPr>
        <w:ind w:left="1896" w:hanging="420"/>
      </w:pPr>
    </w:lvl>
    <w:lvl w:ilvl="4" w:tentative="1">
      <w:start w:val="1"/>
      <w:numFmt w:val="lowerLetter"/>
      <w:lvlText w:val="%5)"/>
      <w:lvlJc w:val="left"/>
      <w:pPr>
        <w:ind w:left="2316" w:hanging="420"/>
      </w:pPr>
    </w:lvl>
    <w:lvl w:ilvl="5" w:tentative="1">
      <w:start w:val="1"/>
      <w:numFmt w:val="lowerRoman"/>
      <w:lvlText w:val="%6."/>
      <w:lvlJc w:val="right"/>
      <w:pPr>
        <w:ind w:left="2736" w:hanging="420"/>
      </w:pPr>
    </w:lvl>
    <w:lvl w:ilvl="6" w:tentative="1">
      <w:start w:val="1"/>
      <w:numFmt w:val="decimal"/>
      <w:lvlText w:val="%7."/>
      <w:lvlJc w:val="left"/>
      <w:pPr>
        <w:ind w:left="3156" w:hanging="420"/>
      </w:pPr>
    </w:lvl>
    <w:lvl w:ilvl="7" w:tentative="1">
      <w:start w:val="1"/>
      <w:numFmt w:val="lowerLetter"/>
      <w:lvlText w:val="%8)"/>
      <w:lvlJc w:val="left"/>
      <w:pPr>
        <w:ind w:left="3576" w:hanging="420"/>
      </w:pPr>
    </w:lvl>
    <w:lvl w:ilvl="8" w:tentative="1">
      <w:start w:val="1"/>
      <w:numFmt w:val="lowerRoman"/>
      <w:lvlText w:val="%9."/>
      <w:lvlJc w:val="right"/>
      <w:pPr>
        <w:ind w:left="3996" w:hanging="420"/>
      </w:pPr>
    </w:lvl>
  </w:abstractNum>
  <w:abstractNum w:abstractNumId="1429695100">
    <w:nsid w:val="55376A7C"/>
    <w:multiLevelType w:val="multilevel"/>
    <w:tmpl w:val="55376A7C"/>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92606099">
    <w:nsid w:val="64E31E93"/>
    <w:multiLevelType w:val="multilevel"/>
    <w:tmpl w:val="64E31E93"/>
    <w:lvl w:ilvl="0" w:tentative="1">
      <w:start w:val="1"/>
      <w:numFmt w:val="decimal"/>
      <w:lvlText w:val="28.%1"/>
      <w:lvlJc w:val="left"/>
      <w:pPr>
        <w:ind w:left="420" w:hanging="420"/>
      </w:pPr>
      <w:rPr>
        <w:rFonts w:hint="eastAsia"/>
        <w:b w:val="0"/>
        <w:strike w:val="0"/>
        <w:dstrike w:val="0"/>
        <w:color w:val="auto"/>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30423515">
    <w:nsid w:val="2B8960DB"/>
    <w:multiLevelType w:val="multilevel"/>
    <w:tmpl w:val="2B8960DB"/>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68192035">
    <w:nsid w:val="69647823"/>
    <w:multiLevelType w:val="multilevel"/>
    <w:tmpl w:val="69647823"/>
    <w:lvl w:ilvl="0" w:tentative="1">
      <w:start w:val="1"/>
      <w:numFmt w:val="decimal"/>
      <w:lvlText w:val="33.%1"/>
      <w:lvlJc w:val="left"/>
      <w:pPr>
        <w:ind w:left="420" w:hanging="420"/>
      </w:pPr>
      <w:rPr>
        <w:rFonts w:hint="eastAsia"/>
        <w:b w:val="0"/>
        <w:strike w:val="0"/>
        <w:dstrike w:val="0"/>
        <w:color w:val="auto"/>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81590474">
    <w:nsid w:val="643B08CA"/>
    <w:multiLevelType w:val="multilevel"/>
    <w:tmpl w:val="643B08CA"/>
    <w:lvl w:ilvl="0" w:tentative="1">
      <w:start w:val="1"/>
      <w:numFmt w:val="decimal"/>
      <w:lvlText w:val="%1）"/>
      <w:lvlJc w:val="left"/>
      <w:pPr>
        <w:ind w:left="643" w:hanging="420"/>
      </w:pPr>
      <w:rPr>
        <w:rFonts w:hint="eastAsia"/>
        <w:b w:val="0"/>
        <w:i w:val="0"/>
        <w:strike w:val="0"/>
        <w:dstrike w:val="0"/>
        <w:color w:val="auto"/>
        <w:u w:val="none"/>
      </w:rPr>
    </w:lvl>
    <w:lvl w:ilvl="1" w:tentative="1">
      <w:start w:val="1"/>
      <w:numFmt w:val="lowerLetter"/>
      <w:lvlText w:val="%2)"/>
      <w:lvlJc w:val="left"/>
      <w:pPr>
        <w:ind w:left="1063" w:hanging="420"/>
      </w:pPr>
    </w:lvl>
    <w:lvl w:ilvl="2" w:tentative="1">
      <w:start w:val="1"/>
      <w:numFmt w:val="lowerRoman"/>
      <w:lvlText w:val="%3."/>
      <w:lvlJc w:val="right"/>
      <w:pPr>
        <w:ind w:left="1483" w:hanging="420"/>
      </w:pPr>
    </w:lvl>
    <w:lvl w:ilvl="3" w:tentative="1">
      <w:start w:val="1"/>
      <w:numFmt w:val="decimal"/>
      <w:lvlText w:val="%4."/>
      <w:lvlJc w:val="left"/>
      <w:pPr>
        <w:ind w:left="1903" w:hanging="420"/>
      </w:pPr>
    </w:lvl>
    <w:lvl w:ilvl="4" w:tentative="1">
      <w:start w:val="1"/>
      <w:numFmt w:val="lowerLetter"/>
      <w:lvlText w:val="%5)"/>
      <w:lvlJc w:val="left"/>
      <w:pPr>
        <w:ind w:left="2323" w:hanging="420"/>
      </w:pPr>
    </w:lvl>
    <w:lvl w:ilvl="5" w:tentative="1">
      <w:start w:val="1"/>
      <w:numFmt w:val="lowerRoman"/>
      <w:lvlText w:val="%6."/>
      <w:lvlJc w:val="right"/>
      <w:pPr>
        <w:ind w:left="2743" w:hanging="420"/>
      </w:pPr>
    </w:lvl>
    <w:lvl w:ilvl="6" w:tentative="1">
      <w:start w:val="1"/>
      <w:numFmt w:val="decimal"/>
      <w:lvlText w:val="%7."/>
      <w:lvlJc w:val="left"/>
      <w:pPr>
        <w:ind w:left="3163" w:hanging="420"/>
      </w:pPr>
    </w:lvl>
    <w:lvl w:ilvl="7" w:tentative="1">
      <w:start w:val="1"/>
      <w:numFmt w:val="lowerLetter"/>
      <w:lvlText w:val="%8)"/>
      <w:lvlJc w:val="left"/>
      <w:pPr>
        <w:ind w:left="3583" w:hanging="420"/>
      </w:pPr>
    </w:lvl>
    <w:lvl w:ilvl="8" w:tentative="1">
      <w:start w:val="1"/>
      <w:numFmt w:val="lowerRoman"/>
      <w:lvlText w:val="%9."/>
      <w:lvlJc w:val="right"/>
      <w:pPr>
        <w:ind w:left="4003" w:hanging="420"/>
      </w:pPr>
    </w:lvl>
  </w:abstractNum>
  <w:abstractNum w:abstractNumId="2038695702">
    <w:nsid w:val="79840716"/>
    <w:multiLevelType w:val="multilevel"/>
    <w:tmpl w:val="79840716"/>
    <w:lvl w:ilvl="0" w:tentative="1">
      <w:start w:val="1"/>
      <w:numFmt w:val="decimal"/>
      <w:lvlText w:val="9.%1"/>
      <w:lvlJc w:val="left"/>
      <w:pPr>
        <w:ind w:left="988" w:hanging="420"/>
      </w:pPr>
      <w:rPr>
        <w:rFonts w:hint="eastAsia" w:ascii="宋体" w:hAnsi="宋体" w:eastAsia="宋体"/>
        <w:b w:val="0"/>
        <w:color w:val="auto"/>
      </w:rPr>
    </w:lvl>
    <w:lvl w:ilvl="1" w:tentative="1">
      <w:start w:val="1"/>
      <w:numFmt w:val="lowerLetter"/>
      <w:lvlText w:val="%2)"/>
      <w:lvlJc w:val="left"/>
      <w:pPr>
        <w:ind w:left="1408" w:hanging="420"/>
      </w:pPr>
    </w:lvl>
    <w:lvl w:ilvl="2" w:tentative="1">
      <w:start w:val="1"/>
      <w:numFmt w:val="lowerRoman"/>
      <w:lvlText w:val="%3."/>
      <w:lvlJc w:val="right"/>
      <w:pPr>
        <w:ind w:left="1828" w:hanging="420"/>
      </w:pPr>
    </w:lvl>
    <w:lvl w:ilvl="3" w:tentative="1">
      <w:start w:val="1"/>
      <w:numFmt w:val="decimal"/>
      <w:lvlText w:val="%4."/>
      <w:lvlJc w:val="left"/>
      <w:pPr>
        <w:ind w:left="2248" w:hanging="420"/>
      </w:pPr>
    </w:lvl>
    <w:lvl w:ilvl="4" w:tentative="1">
      <w:start w:val="1"/>
      <w:numFmt w:val="lowerLetter"/>
      <w:lvlText w:val="%5)"/>
      <w:lvlJc w:val="left"/>
      <w:pPr>
        <w:ind w:left="2668" w:hanging="420"/>
      </w:pPr>
    </w:lvl>
    <w:lvl w:ilvl="5" w:tentative="1">
      <w:start w:val="1"/>
      <w:numFmt w:val="lowerRoman"/>
      <w:lvlText w:val="%6."/>
      <w:lvlJc w:val="right"/>
      <w:pPr>
        <w:ind w:left="3088" w:hanging="420"/>
      </w:pPr>
    </w:lvl>
    <w:lvl w:ilvl="6" w:tentative="1">
      <w:start w:val="1"/>
      <w:numFmt w:val="decimal"/>
      <w:lvlText w:val="%7."/>
      <w:lvlJc w:val="left"/>
      <w:pPr>
        <w:ind w:left="3508" w:hanging="420"/>
      </w:pPr>
    </w:lvl>
    <w:lvl w:ilvl="7" w:tentative="1">
      <w:start w:val="1"/>
      <w:numFmt w:val="lowerLetter"/>
      <w:lvlText w:val="%8)"/>
      <w:lvlJc w:val="left"/>
      <w:pPr>
        <w:ind w:left="3928" w:hanging="420"/>
      </w:pPr>
    </w:lvl>
    <w:lvl w:ilvl="8" w:tentative="1">
      <w:start w:val="1"/>
      <w:numFmt w:val="lowerRoman"/>
      <w:lvlText w:val="%9."/>
      <w:lvlJc w:val="right"/>
      <w:pPr>
        <w:ind w:left="4348" w:hanging="420"/>
      </w:pPr>
    </w:lvl>
  </w:abstractNum>
  <w:abstractNum w:abstractNumId="1570657013">
    <w:nsid w:val="5D9E52F5"/>
    <w:multiLevelType w:val="multilevel"/>
    <w:tmpl w:val="5D9E52F5"/>
    <w:lvl w:ilvl="0" w:tentative="1">
      <w:start w:val="1"/>
      <w:numFmt w:val="decimal"/>
      <w:lvlText w:val="%1、"/>
      <w:lvlJc w:val="left"/>
      <w:pPr>
        <w:ind w:left="420" w:hanging="420"/>
      </w:pPr>
      <w:rPr>
        <w:rFonts w:hint="eastAsia" w:ascii="宋体" w:hAnsi="宋体" w:eastAsia="宋体" w:cs="Calibri"/>
        <w:b w:val="0"/>
        <w:i w:val="0"/>
        <w:strike w:val="0"/>
        <w:dstrike w:val="0"/>
        <w:color w:val="000000"/>
        <w:sz w:val="21"/>
        <w:szCs w:val="21"/>
        <w:u w:val="none" w:color="00000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20567701">
    <w:nsid w:val="54AC2495"/>
    <w:multiLevelType w:val="multilevel"/>
    <w:tmpl w:val="54AC2495"/>
    <w:lvl w:ilvl="0" w:tentative="1">
      <w:start w:val="1"/>
      <w:numFmt w:val="decimal"/>
      <w:lvlText w:val="25.%1"/>
      <w:lvlJc w:val="left"/>
      <w:pPr>
        <w:ind w:left="420" w:hanging="420"/>
      </w:pPr>
      <w:rPr>
        <w:rFonts w:hint="eastAsia"/>
        <w:b w:val="0"/>
        <w:strike w:val="0"/>
        <w:dstrike w:val="0"/>
        <w:color w:val="auto"/>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03782279">
    <w:nsid w:val="47C04287"/>
    <w:multiLevelType w:val="multilevel"/>
    <w:tmpl w:val="47C04287"/>
    <w:lvl w:ilvl="0" w:tentative="1">
      <w:start w:val="1"/>
      <w:numFmt w:val="decimal"/>
      <w:lvlText w:val="%1."/>
      <w:lvlJc w:val="left"/>
      <w:pPr>
        <w:ind w:left="636" w:hanging="420"/>
      </w:pPr>
      <w:rPr>
        <w:b w:val="0"/>
      </w:rPr>
    </w:lvl>
    <w:lvl w:ilvl="1" w:tentative="1">
      <w:start w:val="1"/>
      <w:numFmt w:val="lowerLetter"/>
      <w:lvlText w:val="%2)"/>
      <w:lvlJc w:val="left"/>
      <w:pPr>
        <w:ind w:left="1056" w:hanging="420"/>
      </w:pPr>
    </w:lvl>
    <w:lvl w:ilvl="2" w:tentative="1">
      <w:start w:val="1"/>
      <w:numFmt w:val="lowerRoman"/>
      <w:lvlText w:val="%3."/>
      <w:lvlJc w:val="right"/>
      <w:pPr>
        <w:ind w:left="1476" w:hanging="420"/>
      </w:pPr>
    </w:lvl>
    <w:lvl w:ilvl="3" w:tentative="1">
      <w:start w:val="1"/>
      <w:numFmt w:val="decimal"/>
      <w:lvlText w:val="%4."/>
      <w:lvlJc w:val="left"/>
      <w:pPr>
        <w:ind w:left="1896" w:hanging="420"/>
      </w:pPr>
    </w:lvl>
    <w:lvl w:ilvl="4" w:tentative="1">
      <w:start w:val="1"/>
      <w:numFmt w:val="lowerLetter"/>
      <w:lvlText w:val="%5)"/>
      <w:lvlJc w:val="left"/>
      <w:pPr>
        <w:ind w:left="2316" w:hanging="420"/>
      </w:pPr>
    </w:lvl>
    <w:lvl w:ilvl="5" w:tentative="1">
      <w:start w:val="1"/>
      <w:numFmt w:val="lowerRoman"/>
      <w:lvlText w:val="%6."/>
      <w:lvlJc w:val="right"/>
      <w:pPr>
        <w:ind w:left="2736" w:hanging="420"/>
      </w:pPr>
    </w:lvl>
    <w:lvl w:ilvl="6" w:tentative="1">
      <w:start w:val="1"/>
      <w:numFmt w:val="decimal"/>
      <w:lvlText w:val="%7."/>
      <w:lvlJc w:val="left"/>
      <w:pPr>
        <w:ind w:left="3156" w:hanging="420"/>
      </w:pPr>
    </w:lvl>
    <w:lvl w:ilvl="7" w:tentative="1">
      <w:start w:val="1"/>
      <w:numFmt w:val="lowerLetter"/>
      <w:lvlText w:val="%8)"/>
      <w:lvlJc w:val="left"/>
      <w:pPr>
        <w:ind w:left="3576" w:hanging="420"/>
      </w:pPr>
    </w:lvl>
    <w:lvl w:ilvl="8" w:tentative="1">
      <w:start w:val="1"/>
      <w:numFmt w:val="lowerRoman"/>
      <w:lvlText w:val="%9."/>
      <w:lvlJc w:val="right"/>
      <w:pPr>
        <w:ind w:left="3996" w:hanging="420"/>
      </w:pPr>
    </w:lvl>
  </w:abstractNum>
  <w:abstractNum w:abstractNumId="1860003004">
    <w:nsid w:val="6EDD64BC"/>
    <w:multiLevelType w:val="multilevel"/>
    <w:tmpl w:val="6EDD64BC"/>
    <w:lvl w:ilvl="0" w:tentative="1">
      <w:start w:val="1"/>
      <w:numFmt w:val="decimal"/>
      <w:lvlText w:val="13.%1"/>
      <w:lvlJc w:val="left"/>
      <w:pPr>
        <w:ind w:left="420" w:hanging="420"/>
      </w:pPr>
      <w:rPr>
        <w:rFonts w:hint="eastAsia" w:ascii="宋体" w:hAnsi="宋体" w:eastAsia="宋体"/>
        <w:b w:val="0"/>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53688720">
    <w:nsid w:val="5C9B6890"/>
    <w:multiLevelType w:val="multilevel"/>
    <w:tmpl w:val="5C9B6890"/>
    <w:lvl w:ilvl="0" w:tentative="1">
      <w:start w:val="1"/>
      <w:numFmt w:val="decimal"/>
      <w:lvlText w:val="%1)"/>
      <w:lvlJc w:val="left"/>
      <w:pPr>
        <w:ind w:left="643" w:hanging="420"/>
      </w:pPr>
      <w:rPr>
        <w:rFonts w:hint="eastAsia"/>
        <w:b w:val="0"/>
        <w:strike w:val="0"/>
        <w:dstrike w:val="0"/>
        <w:color w:val="auto"/>
        <w:u w:val="none"/>
      </w:rPr>
    </w:lvl>
    <w:lvl w:ilvl="1" w:tentative="1">
      <w:start w:val="1"/>
      <w:numFmt w:val="lowerLetter"/>
      <w:lvlText w:val="%2)"/>
      <w:lvlJc w:val="left"/>
      <w:pPr>
        <w:ind w:left="1063" w:hanging="420"/>
      </w:pPr>
    </w:lvl>
    <w:lvl w:ilvl="2" w:tentative="1">
      <w:start w:val="1"/>
      <w:numFmt w:val="lowerRoman"/>
      <w:lvlText w:val="%3."/>
      <w:lvlJc w:val="right"/>
      <w:pPr>
        <w:ind w:left="1483" w:hanging="420"/>
      </w:pPr>
    </w:lvl>
    <w:lvl w:ilvl="3" w:tentative="1">
      <w:start w:val="1"/>
      <w:numFmt w:val="decimal"/>
      <w:lvlText w:val="%4."/>
      <w:lvlJc w:val="left"/>
      <w:pPr>
        <w:ind w:left="1903" w:hanging="420"/>
      </w:pPr>
    </w:lvl>
    <w:lvl w:ilvl="4" w:tentative="1">
      <w:start w:val="1"/>
      <w:numFmt w:val="lowerLetter"/>
      <w:lvlText w:val="%5)"/>
      <w:lvlJc w:val="left"/>
      <w:pPr>
        <w:ind w:left="2323" w:hanging="420"/>
      </w:pPr>
    </w:lvl>
    <w:lvl w:ilvl="5" w:tentative="1">
      <w:start w:val="1"/>
      <w:numFmt w:val="lowerRoman"/>
      <w:lvlText w:val="%6."/>
      <w:lvlJc w:val="right"/>
      <w:pPr>
        <w:ind w:left="2743" w:hanging="420"/>
      </w:pPr>
    </w:lvl>
    <w:lvl w:ilvl="6" w:tentative="1">
      <w:start w:val="1"/>
      <w:numFmt w:val="decimal"/>
      <w:lvlText w:val="%7."/>
      <w:lvlJc w:val="left"/>
      <w:pPr>
        <w:ind w:left="3163" w:hanging="420"/>
      </w:pPr>
    </w:lvl>
    <w:lvl w:ilvl="7" w:tentative="1">
      <w:start w:val="1"/>
      <w:numFmt w:val="lowerLetter"/>
      <w:lvlText w:val="%8)"/>
      <w:lvlJc w:val="left"/>
      <w:pPr>
        <w:ind w:left="3583" w:hanging="420"/>
      </w:pPr>
    </w:lvl>
    <w:lvl w:ilvl="8" w:tentative="1">
      <w:start w:val="1"/>
      <w:numFmt w:val="lowerRoman"/>
      <w:lvlText w:val="%9."/>
      <w:lvlJc w:val="right"/>
      <w:pPr>
        <w:ind w:left="4003" w:hanging="420"/>
      </w:pPr>
    </w:lvl>
  </w:abstractNum>
  <w:abstractNum w:abstractNumId="1583176288">
    <w:nsid w:val="5E5D5A60"/>
    <w:multiLevelType w:val="multilevel"/>
    <w:tmpl w:val="5E5D5A60"/>
    <w:lvl w:ilvl="0" w:tentative="1">
      <w:start w:val="1"/>
      <w:numFmt w:val="decimal"/>
      <w:lvlText w:val="%1"/>
      <w:lvlJc w:val="left"/>
      <w:pPr>
        <w:tabs>
          <w:tab w:val="left" w:pos="680"/>
        </w:tabs>
        <w:ind w:left="680" w:hanging="51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01597698">
    <w:nsid w:val="71581402"/>
    <w:multiLevelType w:val="multilevel"/>
    <w:tmpl w:val="71581402"/>
    <w:lvl w:ilvl="0" w:tentative="1">
      <w:start w:val="1"/>
      <w:numFmt w:val="decimal"/>
      <w:lvlText w:val="23.%1"/>
      <w:lvlJc w:val="left"/>
      <w:pPr>
        <w:ind w:left="420" w:hanging="420"/>
      </w:pPr>
      <w:rPr>
        <w:rFonts w:hint="eastAsia"/>
        <w:b w:val="0"/>
        <w:strike w:val="0"/>
        <w:dstrike w:val="0"/>
        <w:color w:val="auto"/>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65868520">
    <w:nsid w:val="5D5541E8"/>
    <w:multiLevelType w:val="multilevel"/>
    <w:tmpl w:val="5D5541E8"/>
    <w:lvl w:ilvl="0" w:tentative="1">
      <w:start w:val="1"/>
      <w:numFmt w:val="decimal"/>
      <w:lvlText w:val="3.%1"/>
      <w:lvlJc w:val="left"/>
      <w:pPr>
        <w:ind w:left="1130" w:hanging="420"/>
      </w:pPr>
      <w:rPr>
        <w:rFonts w:hint="eastAsia"/>
        <w:b w:val="0"/>
        <w:strike w:val="0"/>
        <w:dstrike w:val="0"/>
        <w:color w:val="auto"/>
        <w:u w:val="none"/>
      </w:rPr>
    </w:lvl>
    <w:lvl w:ilvl="1" w:tentative="1">
      <w:start w:val="1"/>
      <w:numFmt w:val="lowerLetter"/>
      <w:lvlText w:val="%2)"/>
      <w:lvlJc w:val="left"/>
      <w:pPr>
        <w:ind w:left="1092" w:hanging="420"/>
      </w:pPr>
    </w:lvl>
    <w:lvl w:ilvl="2" w:tentative="1">
      <w:start w:val="1"/>
      <w:numFmt w:val="lowerRoman"/>
      <w:lvlText w:val="%3."/>
      <w:lvlJc w:val="right"/>
      <w:pPr>
        <w:ind w:left="1512" w:hanging="420"/>
      </w:pPr>
    </w:lvl>
    <w:lvl w:ilvl="3" w:tentative="1">
      <w:start w:val="1"/>
      <w:numFmt w:val="decimal"/>
      <w:lvlText w:val="%4."/>
      <w:lvlJc w:val="left"/>
      <w:pPr>
        <w:ind w:left="1932" w:hanging="420"/>
      </w:pPr>
    </w:lvl>
    <w:lvl w:ilvl="4" w:tentative="1">
      <w:start w:val="1"/>
      <w:numFmt w:val="lowerLetter"/>
      <w:lvlText w:val="%5)"/>
      <w:lvlJc w:val="left"/>
      <w:pPr>
        <w:ind w:left="2352" w:hanging="420"/>
      </w:pPr>
    </w:lvl>
    <w:lvl w:ilvl="5" w:tentative="1">
      <w:start w:val="1"/>
      <w:numFmt w:val="lowerRoman"/>
      <w:lvlText w:val="%6."/>
      <w:lvlJc w:val="right"/>
      <w:pPr>
        <w:ind w:left="2772" w:hanging="420"/>
      </w:pPr>
    </w:lvl>
    <w:lvl w:ilvl="6" w:tentative="1">
      <w:start w:val="1"/>
      <w:numFmt w:val="decimal"/>
      <w:lvlText w:val="%7."/>
      <w:lvlJc w:val="left"/>
      <w:pPr>
        <w:ind w:left="3192" w:hanging="420"/>
      </w:pPr>
    </w:lvl>
    <w:lvl w:ilvl="7" w:tentative="1">
      <w:start w:val="1"/>
      <w:numFmt w:val="lowerLetter"/>
      <w:lvlText w:val="%8)"/>
      <w:lvlJc w:val="left"/>
      <w:pPr>
        <w:ind w:left="3612" w:hanging="420"/>
      </w:pPr>
    </w:lvl>
    <w:lvl w:ilvl="8" w:tentative="1">
      <w:start w:val="1"/>
      <w:numFmt w:val="lowerRoman"/>
      <w:lvlText w:val="%9."/>
      <w:lvlJc w:val="right"/>
      <w:pPr>
        <w:ind w:left="4032" w:hanging="420"/>
      </w:pPr>
    </w:lvl>
  </w:abstractNum>
  <w:abstractNum w:abstractNumId="1467747207">
    <w:nsid w:val="577C0B87"/>
    <w:multiLevelType w:val="multilevel"/>
    <w:tmpl w:val="577C0B87"/>
    <w:lvl w:ilvl="0" w:tentative="1">
      <w:start w:val="1"/>
      <w:numFmt w:val="chineseCountingThousand"/>
      <w:lvlText w:val="%1、"/>
      <w:lvlJc w:val="left"/>
      <w:pPr>
        <w:ind w:left="420" w:hanging="420"/>
      </w:pPr>
      <w:rPr>
        <w:sz w:val="21"/>
        <w:szCs w:val="21"/>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70231543">
    <w:nsid w:val="638DB5F7"/>
    <w:multiLevelType w:val="singleLevel"/>
    <w:tmpl w:val="638DB5F7"/>
    <w:lvl w:ilvl="0" w:tentative="1">
      <w:start w:val="1"/>
      <w:numFmt w:val="decimal"/>
      <w:suff w:val="nothing"/>
      <w:lvlText w:val="10.%1 "/>
      <w:lvlJc w:val="left"/>
      <w:pPr>
        <w:tabs>
          <w:tab w:val="left" w:pos="0"/>
        </w:tabs>
        <w:ind w:left="0" w:firstLine="400"/>
      </w:pPr>
      <w:rPr>
        <w:rFonts w:hint="default" w:ascii="宋体" w:hAnsi="宋体" w:eastAsia="宋体" w:cs="宋体"/>
      </w:rPr>
    </w:lvl>
  </w:abstractNum>
  <w:abstractNum w:abstractNumId="1799567255">
    <w:nsid w:val="6B433797"/>
    <w:multiLevelType w:val="singleLevel"/>
    <w:tmpl w:val="6B433797"/>
    <w:lvl w:ilvl="0" w:tentative="1">
      <w:start w:val="1"/>
      <w:numFmt w:val="decimal"/>
      <w:suff w:val="nothing"/>
      <w:lvlText w:val="%1．"/>
      <w:lvlJc w:val="left"/>
      <w:pPr>
        <w:ind w:left="0" w:firstLine="400"/>
      </w:pPr>
      <w:rPr>
        <w:rFonts w:hint="default"/>
      </w:rPr>
    </w:lvl>
  </w:abstractNum>
  <w:abstractNum w:abstractNumId="1670231523">
    <w:nsid w:val="638DB5E3"/>
    <w:multiLevelType w:val="singleLevel"/>
    <w:tmpl w:val="638DB5E3"/>
    <w:lvl w:ilvl="0" w:tentative="1">
      <w:start w:val="1"/>
      <w:numFmt w:val="decimal"/>
      <w:suff w:val="nothing"/>
      <w:lvlText w:val="9.%1 "/>
      <w:lvlJc w:val="left"/>
      <w:pPr>
        <w:tabs>
          <w:tab w:val="left" w:pos="0"/>
        </w:tabs>
        <w:ind w:left="0" w:firstLine="400"/>
      </w:pPr>
      <w:rPr>
        <w:rFonts w:hint="default" w:ascii="宋体" w:hAnsi="宋体" w:eastAsia="宋体" w:cs="宋体"/>
      </w:rPr>
    </w:lvl>
  </w:abstractNum>
  <w:abstractNum w:abstractNumId="1864440425">
    <w:nsid w:val="6F211A69"/>
    <w:multiLevelType w:val="multilevel"/>
    <w:tmpl w:val="6F211A69"/>
    <w:lvl w:ilvl="0" w:tentative="1">
      <w:start w:val="1"/>
      <w:numFmt w:val="decimal"/>
      <w:lvlText w:val="30.%1"/>
      <w:lvlJc w:val="left"/>
      <w:pPr>
        <w:ind w:left="420" w:hanging="420"/>
      </w:pPr>
      <w:rPr>
        <w:rFonts w:hint="eastAsia"/>
        <w:b w:val="0"/>
        <w:strike w:val="0"/>
        <w:dstrike w:val="0"/>
        <w:color w:val="auto"/>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04203450">
    <w:nsid w:val="59A852BA"/>
    <w:multiLevelType w:val="multilevel"/>
    <w:tmpl w:val="59A852BA"/>
    <w:lvl w:ilvl="0" w:tentative="1">
      <w:start w:val="1"/>
      <w:numFmt w:val="decimal"/>
      <w:lvlText w:val="6.%1"/>
      <w:lvlJc w:val="left"/>
      <w:pPr>
        <w:ind w:left="846" w:hanging="420"/>
      </w:pPr>
      <w:rPr>
        <w:rFonts w:hint="eastAsia" w:ascii="宋体" w:hAnsi="宋体" w:eastAsia="宋体"/>
        <w:b w:val="0"/>
        <w:color w:val="auto"/>
      </w:rPr>
    </w:lvl>
    <w:lvl w:ilvl="1" w:tentative="1">
      <w:start w:val="1"/>
      <w:numFmt w:val="lowerLetter"/>
      <w:lvlText w:val="%2)"/>
      <w:lvlJc w:val="left"/>
      <w:pPr>
        <w:ind w:left="1408" w:hanging="420"/>
      </w:pPr>
    </w:lvl>
    <w:lvl w:ilvl="2" w:tentative="1">
      <w:start w:val="1"/>
      <w:numFmt w:val="lowerRoman"/>
      <w:lvlText w:val="%3."/>
      <w:lvlJc w:val="right"/>
      <w:pPr>
        <w:ind w:left="1828" w:hanging="420"/>
      </w:pPr>
    </w:lvl>
    <w:lvl w:ilvl="3" w:tentative="1">
      <w:start w:val="1"/>
      <w:numFmt w:val="decimal"/>
      <w:lvlText w:val="%4."/>
      <w:lvlJc w:val="left"/>
      <w:pPr>
        <w:ind w:left="2248" w:hanging="420"/>
      </w:pPr>
    </w:lvl>
    <w:lvl w:ilvl="4" w:tentative="1">
      <w:start w:val="1"/>
      <w:numFmt w:val="lowerLetter"/>
      <w:lvlText w:val="%5)"/>
      <w:lvlJc w:val="left"/>
      <w:pPr>
        <w:ind w:left="2668" w:hanging="420"/>
      </w:pPr>
    </w:lvl>
    <w:lvl w:ilvl="5" w:tentative="1">
      <w:start w:val="1"/>
      <w:numFmt w:val="lowerRoman"/>
      <w:lvlText w:val="%6."/>
      <w:lvlJc w:val="right"/>
      <w:pPr>
        <w:ind w:left="3088" w:hanging="420"/>
      </w:pPr>
    </w:lvl>
    <w:lvl w:ilvl="6" w:tentative="1">
      <w:start w:val="1"/>
      <w:numFmt w:val="decimal"/>
      <w:lvlText w:val="%7."/>
      <w:lvlJc w:val="left"/>
      <w:pPr>
        <w:ind w:left="3508" w:hanging="420"/>
      </w:pPr>
    </w:lvl>
    <w:lvl w:ilvl="7" w:tentative="1">
      <w:start w:val="1"/>
      <w:numFmt w:val="lowerLetter"/>
      <w:lvlText w:val="%8)"/>
      <w:lvlJc w:val="left"/>
      <w:pPr>
        <w:ind w:left="3928" w:hanging="420"/>
      </w:pPr>
    </w:lvl>
    <w:lvl w:ilvl="8" w:tentative="1">
      <w:start w:val="1"/>
      <w:numFmt w:val="lowerRoman"/>
      <w:lvlText w:val="%9."/>
      <w:lvlJc w:val="right"/>
      <w:pPr>
        <w:ind w:left="4348" w:hanging="420"/>
      </w:pPr>
    </w:lvl>
  </w:abstractNum>
  <w:abstractNum w:abstractNumId="1961493970">
    <w:nsid w:val="74EA05D2"/>
    <w:multiLevelType w:val="singleLevel"/>
    <w:tmpl w:val="74EA05D2"/>
    <w:lvl w:ilvl="0" w:tentative="1">
      <w:start w:val="1"/>
      <w:numFmt w:val="decimal"/>
      <w:lvlText w:val="(%1)"/>
      <w:lvlJc w:val="left"/>
      <w:pPr>
        <w:ind w:left="425" w:hanging="425"/>
      </w:pPr>
      <w:rPr>
        <w:rFonts w:hint="default"/>
      </w:rPr>
    </w:lvl>
  </w:abstractNum>
  <w:abstractNum w:abstractNumId="2392518263">
    <w:nsid w:val="8E9AEE77"/>
    <w:multiLevelType w:val="singleLevel"/>
    <w:tmpl w:val="8E9AEE77"/>
    <w:lvl w:ilvl="0" w:tentative="1">
      <w:start w:val="1"/>
      <w:numFmt w:val="decimal"/>
      <w:lvlText w:val="(%1)"/>
      <w:lvlJc w:val="left"/>
      <w:pPr>
        <w:ind w:left="425" w:hanging="425"/>
      </w:pPr>
      <w:rPr>
        <w:rFonts w:hint="default"/>
      </w:rPr>
    </w:lvl>
  </w:abstractNum>
  <w:abstractNum w:abstractNumId="2020307713">
    <w:nsid w:val="786B7301"/>
    <w:multiLevelType w:val="multilevel"/>
    <w:tmpl w:val="786B7301"/>
    <w:lvl w:ilvl="0" w:tentative="1">
      <w:start w:val="1"/>
      <w:numFmt w:val="decimal"/>
      <w:lvlText w:val="24.%1"/>
      <w:lvlJc w:val="left"/>
      <w:pPr>
        <w:ind w:left="846" w:hanging="420"/>
      </w:pPr>
      <w:rPr>
        <w:rFonts w:hint="eastAsia"/>
        <w:b w:val="0"/>
        <w:strike w:val="0"/>
        <w:dstrike w:val="0"/>
        <w:color w:val="auto"/>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22567782">
    <w:nsid w:val="90657366"/>
    <w:multiLevelType w:val="singleLevel"/>
    <w:tmpl w:val="90657366"/>
    <w:lvl w:ilvl="0" w:tentative="1">
      <w:start w:val="3"/>
      <w:numFmt w:val="decimal"/>
      <w:lvlText w:val="(%1)"/>
      <w:lvlJc w:val="left"/>
      <w:pPr>
        <w:tabs>
          <w:tab w:val="left" w:pos="420"/>
        </w:tabs>
        <w:ind w:left="425" w:hanging="425"/>
      </w:pPr>
      <w:rPr>
        <w:rFonts w:hint="default"/>
      </w:rPr>
    </w:lvl>
  </w:abstractNum>
  <w:abstractNum w:abstractNumId="955647682">
    <w:nsid w:val="38F606C2"/>
    <w:multiLevelType w:val="multilevel"/>
    <w:tmpl w:val="38F606C2"/>
    <w:lvl w:ilvl="0" w:tentative="1">
      <w:start w:val="1"/>
      <w:numFmt w:val="chineseCountingThousand"/>
      <w:lvlText w:val="%1、"/>
      <w:lvlJc w:val="left"/>
      <w:pPr>
        <w:ind w:left="420" w:hanging="420"/>
      </w:pPr>
      <w:rPr>
        <w:sz w:val="21"/>
        <w:szCs w:val="21"/>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35408319">
    <w:nsid w:val="37C132BF"/>
    <w:multiLevelType w:val="multilevel"/>
    <w:tmpl w:val="37C132BF"/>
    <w:lvl w:ilvl="0" w:tentative="1">
      <w:start w:val="1"/>
      <w:numFmt w:val="decimal"/>
      <w:lvlText w:val="4.%1"/>
      <w:lvlJc w:val="left"/>
      <w:pPr>
        <w:ind w:left="420" w:hanging="420"/>
      </w:pPr>
      <w:rPr>
        <w:rFonts w:hint="eastAsia" w:ascii="宋体" w:hAnsi="宋体" w:eastAsia="宋体"/>
        <w:b w:val="0"/>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12713890">
    <w:nsid w:val="3C5CC9A2"/>
    <w:multiLevelType w:val="singleLevel"/>
    <w:tmpl w:val="3C5CC9A2"/>
    <w:lvl w:ilvl="0" w:tentative="1">
      <w:start w:val="1"/>
      <w:numFmt w:val="decimal"/>
      <w:suff w:val="nothing"/>
      <w:lvlText w:val="%1．"/>
      <w:lvlJc w:val="left"/>
      <w:pPr>
        <w:ind w:left="0" w:firstLine="400"/>
      </w:pPr>
      <w:rPr>
        <w:rFonts w:hint="default"/>
      </w:rPr>
    </w:lvl>
  </w:abstractNum>
  <w:abstractNum w:abstractNumId="1223374094">
    <w:nsid w:val="48EB350E"/>
    <w:multiLevelType w:val="multilevel"/>
    <w:tmpl w:val="48EB350E"/>
    <w:lvl w:ilvl="0" w:tentative="1">
      <w:start w:val="1"/>
      <w:numFmt w:val="decimal"/>
      <w:lvlText w:val="%1)"/>
      <w:lvlJc w:val="left"/>
      <w:pPr>
        <w:ind w:left="643" w:hanging="420"/>
      </w:pPr>
      <w:rPr>
        <w:rFonts w:hint="eastAsia"/>
        <w:b w:val="0"/>
        <w:strike w:val="0"/>
        <w:dstrike w:val="0"/>
        <w:color w:val="auto"/>
        <w:u w:val="none"/>
      </w:rPr>
    </w:lvl>
    <w:lvl w:ilvl="1" w:tentative="1">
      <w:start w:val="1"/>
      <w:numFmt w:val="lowerLetter"/>
      <w:lvlText w:val="%2)"/>
      <w:lvlJc w:val="left"/>
      <w:pPr>
        <w:ind w:left="1063" w:hanging="420"/>
      </w:pPr>
    </w:lvl>
    <w:lvl w:ilvl="2" w:tentative="1">
      <w:start w:val="1"/>
      <w:numFmt w:val="lowerRoman"/>
      <w:lvlText w:val="%3."/>
      <w:lvlJc w:val="right"/>
      <w:pPr>
        <w:ind w:left="1483" w:hanging="420"/>
      </w:pPr>
    </w:lvl>
    <w:lvl w:ilvl="3" w:tentative="1">
      <w:start w:val="1"/>
      <w:numFmt w:val="decimal"/>
      <w:lvlText w:val="%4."/>
      <w:lvlJc w:val="left"/>
      <w:pPr>
        <w:ind w:left="1903" w:hanging="420"/>
      </w:pPr>
    </w:lvl>
    <w:lvl w:ilvl="4" w:tentative="1">
      <w:start w:val="1"/>
      <w:numFmt w:val="lowerLetter"/>
      <w:lvlText w:val="%5)"/>
      <w:lvlJc w:val="left"/>
      <w:pPr>
        <w:ind w:left="2323" w:hanging="420"/>
      </w:pPr>
    </w:lvl>
    <w:lvl w:ilvl="5" w:tentative="1">
      <w:start w:val="1"/>
      <w:numFmt w:val="lowerRoman"/>
      <w:lvlText w:val="%6."/>
      <w:lvlJc w:val="right"/>
      <w:pPr>
        <w:ind w:left="2743" w:hanging="420"/>
      </w:pPr>
    </w:lvl>
    <w:lvl w:ilvl="6" w:tentative="1">
      <w:start w:val="1"/>
      <w:numFmt w:val="decimal"/>
      <w:lvlText w:val="%7."/>
      <w:lvlJc w:val="left"/>
      <w:pPr>
        <w:ind w:left="3163" w:hanging="420"/>
      </w:pPr>
    </w:lvl>
    <w:lvl w:ilvl="7" w:tentative="1">
      <w:start w:val="1"/>
      <w:numFmt w:val="lowerLetter"/>
      <w:lvlText w:val="%8)"/>
      <w:lvlJc w:val="left"/>
      <w:pPr>
        <w:ind w:left="3583" w:hanging="420"/>
      </w:pPr>
    </w:lvl>
    <w:lvl w:ilvl="8" w:tentative="1">
      <w:start w:val="1"/>
      <w:numFmt w:val="lowerRoman"/>
      <w:lvlText w:val="%9."/>
      <w:lvlJc w:val="right"/>
      <w:pPr>
        <w:ind w:left="4003" w:hanging="420"/>
      </w:pPr>
    </w:lvl>
  </w:abstractNum>
  <w:abstractNum w:abstractNumId="1097290376">
    <w:nsid w:val="41675288"/>
    <w:multiLevelType w:val="singleLevel"/>
    <w:tmpl w:val="41675288"/>
    <w:lvl w:ilvl="0" w:tentative="1">
      <w:start w:val="1"/>
      <w:numFmt w:val="decimal"/>
      <w:lvlText w:val="(%1)"/>
      <w:lvlJc w:val="left"/>
      <w:pPr>
        <w:ind w:left="425" w:hanging="425"/>
      </w:pPr>
      <w:rPr>
        <w:rFonts w:hint="default"/>
      </w:rPr>
    </w:lvl>
  </w:abstractNum>
  <w:abstractNum w:abstractNumId="756514737">
    <w:nsid w:val="2D177FB1"/>
    <w:multiLevelType w:val="multilevel"/>
    <w:tmpl w:val="2D177FB1"/>
    <w:lvl w:ilvl="0" w:tentative="1">
      <w:start w:val="1"/>
      <w:numFmt w:val="decimal"/>
      <w:lvlText w:val="10.%1"/>
      <w:lvlJc w:val="left"/>
      <w:pPr>
        <w:ind w:left="988" w:hanging="420"/>
      </w:pPr>
      <w:rPr>
        <w:rFonts w:hint="eastAsia"/>
        <w:b w:val="0"/>
        <w:color w:val="auto"/>
      </w:rPr>
    </w:lvl>
    <w:lvl w:ilvl="1" w:tentative="1">
      <w:start w:val="1"/>
      <w:numFmt w:val="lowerLetter"/>
      <w:lvlText w:val="%2)"/>
      <w:lvlJc w:val="left"/>
      <w:pPr>
        <w:ind w:left="1408" w:hanging="420"/>
      </w:pPr>
    </w:lvl>
    <w:lvl w:ilvl="2" w:tentative="1">
      <w:start w:val="1"/>
      <w:numFmt w:val="lowerRoman"/>
      <w:lvlText w:val="%3."/>
      <w:lvlJc w:val="right"/>
      <w:pPr>
        <w:ind w:left="1828" w:hanging="420"/>
      </w:pPr>
    </w:lvl>
    <w:lvl w:ilvl="3" w:tentative="1">
      <w:start w:val="1"/>
      <w:numFmt w:val="decimal"/>
      <w:lvlText w:val="%4."/>
      <w:lvlJc w:val="left"/>
      <w:pPr>
        <w:ind w:left="2248" w:hanging="420"/>
      </w:pPr>
    </w:lvl>
    <w:lvl w:ilvl="4" w:tentative="1">
      <w:start w:val="1"/>
      <w:numFmt w:val="lowerLetter"/>
      <w:lvlText w:val="%5)"/>
      <w:lvlJc w:val="left"/>
      <w:pPr>
        <w:ind w:left="2668" w:hanging="420"/>
      </w:pPr>
    </w:lvl>
    <w:lvl w:ilvl="5" w:tentative="1">
      <w:start w:val="1"/>
      <w:numFmt w:val="lowerRoman"/>
      <w:lvlText w:val="%6."/>
      <w:lvlJc w:val="right"/>
      <w:pPr>
        <w:ind w:left="3088" w:hanging="420"/>
      </w:pPr>
    </w:lvl>
    <w:lvl w:ilvl="6" w:tentative="1">
      <w:start w:val="1"/>
      <w:numFmt w:val="decimal"/>
      <w:lvlText w:val="%7."/>
      <w:lvlJc w:val="left"/>
      <w:pPr>
        <w:ind w:left="3508" w:hanging="420"/>
      </w:pPr>
    </w:lvl>
    <w:lvl w:ilvl="7" w:tentative="1">
      <w:start w:val="1"/>
      <w:numFmt w:val="lowerLetter"/>
      <w:lvlText w:val="%8)"/>
      <w:lvlJc w:val="left"/>
      <w:pPr>
        <w:ind w:left="3928" w:hanging="420"/>
      </w:pPr>
    </w:lvl>
    <w:lvl w:ilvl="8" w:tentative="1">
      <w:start w:val="1"/>
      <w:numFmt w:val="lowerRoman"/>
      <w:lvlText w:val="%9."/>
      <w:lvlJc w:val="right"/>
      <w:pPr>
        <w:ind w:left="4348" w:hanging="420"/>
      </w:pPr>
    </w:lvl>
  </w:abstractNum>
  <w:abstractNum w:abstractNumId="1977539330">
    <w:nsid w:val="75DEDB02"/>
    <w:multiLevelType w:val="multilevel"/>
    <w:tmpl w:val="75DEDB02"/>
    <w:lvl w:ilvl="0" w:tentative="1">
      <w:start w:val="1"/>
      <w:numFmt w:val="decimal"/>
      <w:lvlText w:val="%1"/>
      <w:lvlJc w:val="left"/>
      <w:pPr>
        <w:ind w:left="360" w:hanging="360"/>
      </w:pPr>
      <w:rPr>
        <w:rFonts w:hint="default" w:ascii="宋体" w:hAnsi="宋体" w:eastAsia="宋体" w:cs="宋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997577627">
    <w:nsid w:val="EE46319B"/>
    <w:multiLevelType w:val="singleLevel"/>
    <w:tmpl w:val="EE46319B"/>
    <w:lvl w:ilvl="0" w:tentative="1">
      <w:start w:val="1"/>
      <w:numFmt w:val="decimal"/>
      <w:suff w:val="nothing"/>
      <w:lvlText w:val="%1．"/>
      <w:lvlJc w:val="left"/>
      <w:pPr>
        <w:ind w:left="0" w:firstLine="400"/>
      </w:pPr>
      <w:rPr>
        <w:rFonts w:hint="default"/>
      </w:rPr>
    </w:lvl>
  </w:abstractNum>
  <w:abstractNum w:abstractNumId="852769073">
    <w:nsid w:val="32D43931"/>
    <w:multiLevelType w:val="multilevel"/>
    <w:tmpl w:val="32D43931"/>
    <w:lvl w:ilvl="0" w:tentative="1">
      <w:start w:val="1"/>
      <w:numFmt w:val="lowerLetter"/>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01501217">
    <w:nsid w:val="774C7C21"/>
    <w:multiLevelType w:val="multilevel"/>
    <w:tmpl w:val="774C7C21"/>
    <w:lvl w:ilvl="0" w:tentative="1">
      <w:start w:val="1"/>
      <w:numFmt w:val="decimal"/>
      <w:lvlText w:val="16.%1"/>
      <w:lvlJc w:val="left"/>
      <w:pPr>
        <w:ind w:left="420" w:hanging="420"/>
      </w:pPr>
      <w:rPr>
        <w:rFonts w:hint="eastAsia" w:ascii="宋体" w:hAnsi="宋体" w:eastAsia="宋体"/>
        <w:b w:val="0"/>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28328762">
    <w:nsid w:val="315F4B3A"/>
    <w:multiLevelType w:val="multilevel"/>
    <w:tmpl w:val="315F4B3A"/>
    <w:lvl w:ilvl="0" w:tentative="1">
      <w:start w:val="1"/>
      <w:numFmt w:val="decimal"/>
      <w:lvlText w:val="7.%1"/>
      <w:lvlJc w:val="left"/>
      <w:pPr>
        <w:ind w:left="988" w:hanging="420"/>
      </w:pPr>
      <w:rPr>
        <w:rFonts w:hint="eastAsia" w:ascii="宋体" w:hAnsi="宋体" w:eastAsia="宋体"/>
        <w:b w:val="0"/>
        <w:color w:val="auto"/>
      </w:rPr>
    </w:lvl>
    <w:lvl w:ilvl="1" w:tentative="1">
      <w:start w:val="1"/>
      <w:numFmt w:val="lowerLetter"/>
      <w:lvlText w:val="%2)"/>
      <w:lvlJc w:val="left"/>
      <w:pPr>
        <w:ind w:left="1408" w:hanging="420"/>
      </w:pPr>
    </w:lvl>
    <w:lvl w:ilvl="2" w:tentative="1">
      <w:start w:val="1"/>
      <w:numFmt w:val="lowerRoman"/>
      <w:lvlText w:val="%3."/>
      <w:lvlJc w:val="right"/>
      <w:pPr>
        <w:ind w:left="1828" w:hanging="420"/>
      </w:pPr>
    </w:lvl>
    <w:lvl w:ilvl="3" w:tentative="1">
      <w:start w:val="1"/>
      <w:numFmt w:val="decimal"/>
      <w:lvlText w:val="%4."/>
      <w:lvlJc w:val="left"/>
      <w:pPr>
        <w:ind w:left="2248" w:hanging="420"/>
      </w:pPr>
    </w:lvl>
    <w:lvl w:ilvl="4" w:tentative="1">
      <w:start w:val="1"/>
      <w:numFmt w:val="lowerLetter"/>
      <w:lvlText w:val="%5)"/>
      <w:lvlJc w:val="left"/>
      <w:pPr>
        <w:ind w:left="2668" w:hanging="420"/>
      </w:pPr>
    </w:lvl>
    <w:lvl w:ilvl="5" w:tentative="1">
      <w:start w:val="1"/>
      <w:numFmt w:val="lowerRoman"/>
      <w:lvlText w:val="%6."/>
      <w:lvlJc w:val="right"/>
      <w:pPr>
        <w:ind w:left="3088" w:hanging="420"/>
      </w:pPr>
    </w:lvl>
    <w:lvl w:ilvl="6" w:tentative="1">
      <w:start w:val="1"/>
      <w:numFmt w:val="decimal"/>
      <w:lvlText w:val="%7."/>
      <w:lvlJc w:val="left"/>
      <w:pPr>
        <w:ind w:left="3508" w:hanging="420"/>
      </w:pPr>
    </w:lvl>
    <w:lvl w:ilvl="7" w:tentative="1">
      <w:start w:val="1"/>
      <w:numFmt w:val="lowerLetter"/>
      <w:lvlText w:val="%8)"/>
      <w:lvlJc w:val="left"/>
      <w:pPr>
        <w:ind w:left="3928" w:hanging="420"/>
      </w:pPr>
    </w:lvl>
    <w:lvl w:ilvl="8" w:tentative="1">
      <w:start w:val="1"/>
      <w:numFmt w:val="lowerRoman"/>
      <w:lvlText w:val="%9."/>
      <w:lvlJc w:val="right"/>
      <w:pPr>
        <w:ind w:left="4348" w:hanging="420"/>
      </w:pPr>
    </w:lvl>
  </w:abstractNum>
  <w:abstractNum w:abstractNumId="2173057572">
    <w:nsid w:val="81863A24"/>
    <w:multiLevelType w:val="singleLevel"/>
    <w:tmpl w:val="81863A24"/>
    <w:lvl w:ilvl="0" w:tentative="1">
      <w:start w:val="7"/>
      <w:numFmt w:val="decimal"/>
      <w:suff w:val="nothing"/>
      <w:lvlText w:val="%1．"/>
      <w:lvlJc w:val="left"/>
      <w:pPr>
        <w:ind w:left="0" w:firstLine="403"/>
      </w:pPr>
      <w:rPr>
        <w:rFonts w:hint="default"/>
      </w:rPr>
    </w:lvl>
  </w:abstractNum>
  <w:abstractNum w:abstractNumId="995651883">
    <w:nsid w:val="3B58712B"/>
    <w:multiLevelType w:val="multilevel"/>
    <w:tmpl w:val="3B58712B"/>
    <w:lvl w:ilvl="0" w:tentative="1">
      <w:start w:val="1"/>
      <w:numFmt w:val="chineseCountingThousand"/>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13014853">
    <w:nsid w:val="42574245"/>
    <w:multiLevelType w:val="multilevel"/>
    <w:tmpl w:val="42574245"/>
    <w:lvl w:ilvl="0" w:tentative="1">
      <w:start w:val="1"/>
      <w:numFmt w:val="decimal"/>
      <w:lvlText w:val="%1. "/>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51514376">
    <w:nsid w:val="2CCB3308"/>
    <w:multiLevelType w:val="multilevel"/>
    <w:tmpl w:val="2CCB3308"/>
    <w:lvl w:ilvl="0" w:tentative="1">
      <w:start w:val="1"/>
      <w:numFmt w:val="decimal"/>
      <w:lvlText w:val="%1、"/>
      <w:lvlJc w:val="left"/>
      <w:pPr>
        <w:ind w:left="720" w:hanging="720"/>
      </w:pPr>
      <w:rPr>
        <w:rFonts w:hint="default" w:hAnsi="宋体" w:cs="宋体"/>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59689444">
    <w:nsid w:val="570117E4"/>
    <w:multiLevelType w:val="multilevel"/>
    <w:tmpl w:val="570117E4"/>
    <w:lvl w:ilvl="0" w:tentative="1">
      <w:start w:val="1"/>
      <w:numFmt w:val="decimal"/>
      <w:lvlText w:val="22.%1"/>
      <w:lvlJc w:val="left"/>
      <w:pPr>
        <w:ind w:left="420" w:hanging="420"/>
      </w:pPr>
      <w:rPr>
        <w:rFonts w:hint="eastAsia"/>
        <w:b w:val="0"/>
        <w:strike w:val="0"/>
        <w:dstrike w:val="0"/>
        <w:color w:val="auto"/>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03672355">
    <w:nsid w:val="53AA5723"/>
    <w:multiLevelType w:val="multilevel"/>
    <w:tmpl w:val="53AA5723"/>
    <w:lvl w:ilvl="0" w:tentative="1">
      <w:start w:val="1"/>
      <w:numFmt w:val="decimal"/>
      <w:lvlText w:val="%1."/>
      <w:lvlJc w:val="left"/>
      <w:pPr>
        <w:ind w:left="902" w:hanging="420"/>
      </w:pPr>
      <w:rPr>
        <w:rFonts w:hint="eastAsia" w:ascii="宋体" w:hAnsi="宋体" w:eastAsia="宋体"/>
        <w:b w:val="0"/>
        <w:color w:val="auto"/>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1974290832">
    <w:nsid w:val="75AD4990"/>
    <w:multiLevelType w:val="multilevel"/>
    <w:tmpl w:val="75AD4990"/>
    <w:lvl w:ilvl="0" w:tentative="1">
      <w:start w:val="1"/>
      <w:numFmt w:val="decimal"/>
      <w:lvlText w:val="%1."/>
      <w:lvlJc w:val="left"/>
      <w:pPr>
        <w:ind w:left="902" w:hanging="420"/>
      </w:pPr>
      <w:rPr>
        <w:rFonts w:hint="eastAsia" w:ascii="宋体" w:hAnsi="宋体" w:eastAsia="宋体"/>
        <w:b w:val="0"/>
        <w:color w:val="auto"/>
      </w:rPr>
    </w:lvl>
    <w:lvl w:ilvl="1" w:tentative="1">
      <w:start w:val="1"/>
      <w:numFmt w:val="lowerLetter"/>
      <w:lvlText w:val="%2)"/>
      <w:lvlJc w:val="left"/>
      <w:pPr>
        <w:ind w:left="1322" w:hanging="420"/>
      </w:pPr>
    </w:lvl>
    <w:lvl w:ilvl="2" w:tentative="1">
      <w:start w:val="1"/>
      <w:numFmt w:val="lowerRoman"/>
      <w:lvlText w:val="%3."/>
      <w:lvlJc w:val="right"/>
      <w:pPr>
        <w:ind w:left="1742" w:hanging="420"/>
      </w:pPr>
    </w:lvl>
    <w:lvl w:ilvl="3" w:tentative="1">
      <w:start w:val="1"/>
      <w:numFmt w:val="decimal"/>
      <w:lvlText w:val="%4."/>
      <w:lvlJc w:val="left"/>
      <w:pPr>
        <w:ind w:left="2162" w:hanging="420"/>
      </w:pPr>
    </w:lvl>
    <w:lvl w:ilvl="4" w:tentative="1">
      <w:start w:val="1"/>
      <w:numFmt w:val="lowerLetter"/>
      <w:lvlText w:val="%5)"/>
      <w:lvlJc w:val="left"/>
      <w:pPr>
        <w:ind w:left="2582" w:hanging="420"/>
      </w:pPr>
    </w:lvl>
    <w:lvl w:ilvl="5" w:tentative="1">
      <w:start w:val="1"/>
      <w:numFmt w:val="lowerRoman"/>
      <w:lvlText w:val="%6."/>
      <w:lvlJc w:val="right"/>
      <w:pPr>
        <w:ind w:left="3002" w:hanging="420"/>
      </w:pPr>
    </w:lvl>
    <w:lvl w:ilvl="6" w:tentative="1">
      <w:start w:val="1"/>
      <w:numFmt w:val="decimal"/>
      <w:lvlText w:val="%7."/>
      <w:lvlJc w:val="left"/>
      <w:pPr>
        <w:ind w:left="3422" w:hanging="420"/>
      </w:pPr>
    </w:lvl>
    <w:lvl w:ilvl="7" w:tentative="1">
      <w:start w:val="1"/>
      <w:numFmt w:val="lowerLetter"/>
      <w:lvlText w:val="%8)"/>
      <w:lvlJc w:val="left"/>
      <w:pPr>
        <w:ind w:left="3842" w:hanging="420"/>
      </w:pPr>
    </w:lvl>
    <w:lvl w:ilvl="8" w:tentative="1">
      <w:start w:val="1"/>
      <w:numFmt w:val="lowerRoman"/>
      <w:lvlText w:val="%9."/>
      <w:lvlJc w:val="right"/>
      <w:pPr>
        <w:ind w:left="4262" w:hanging="420"/>
      </w:pPr>
    </w:lvl>
  </w:abstractNum>
  <w:abstractNum w:abstractNumId="52585494">
    <w:nsid w:val="03226416"/>
    <w:multiLevelType w:val="multilevel"/>
    <w:tmpl w:val="03226416"/>
    <w:lvl w:ilvl="0" w:tentative="1">
      <w:start w:val="1"/>
      <w:numFmt w:val="chineseCountingThousand"/>
      <w:lvlText w:val="%1、"/>
      <w:lvlJc w:val="left"/>
      <w:pPr>
        <w:ind w:left="420" w:hanging="420"/>
      </w:pPr>
      <w:rPr>
        <w:sz w:val="21"/>
        <w:szCs w:val="21"/>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78317151">
    <w:nsid w:val="75EAB95F"/>
    <w:multiLevelType w:val="singleLevel"/>
    <w:tmpl w:val="75EAB95F"/>
    <w:lvl w:ilvl="0" w:tentative="1">
      <w:start w:val="1"/>
      <w:numFmt w:val="decimal"/>
      <w:suff w:val="nothing"/>
      <w:lvlText w:val="%1．"/>
      <w:lvlJc w:val="left"/>
      <w:pPr>
        <w:ind w:left="0" w:firstLine="400"/>
      </w:pPr>
      <w:rPr>
        <w:rFonts w:hint="default"/>
      </w:rPr>
    </w:lvl>
  </w:abstractNum>
  <w:abstractNum w:abstractNumId="2779742304">
    <w:nsid w:val="A5AF8060"/>
    <w:multiLevelType w:val="singleLevel"/>
    <w:tmpl w:val="A5AF8060"/>
    <w:lvl w:ilvl="0" w:tentative="1">
      <w:start w:val="1"/>
      <w:numFmt w:val="decimal"/>
      <w:lvlText w:val="%1."/>
      <w:lvlJc w:val="left"/>
      <w:pPr>
        <w:ind w:left="425" w:hanging="425"/>
      </w:pPr>
      <w:rPr>
        <w:rFonts w:hint="default"/>
      </w:rPr>
    </w:lvl>
  </w:abstractNum>
  <w:abstractNum w:abstractNumId="3032117230">
    <w:nsid w:val="B4BA6FEE"/>
    <w:multiLevelType w:val="singleLevel"/>
    <w:tmpl w:val="B4BA6FEE"/>
    <w:lvl w:ilvl="0" w:tentative="1">
      <w:start w:val="8"/>
      <w:numFmt w:val="decimal"/>
      <w:suff w:val="nothing"/>
      <w:lvlText w:val="%1．"/>
      <w:lvlJc w:val="left"/>
      <w:pPr>
        <w:ind w:left="0" w:firstLine="403"/>
      </w:pPr>
      <w:rPr>
        <w:rFonts w:hint="default"/>
      </w:rPr>
    </w:lvl>
  </w:abstractNum>
  <w:abstractNum w:abstractNumId="806236824">
    <w:nsid w:val="300E3298"/>
    <w:multiLevelType w:val="multilevel"/>
    <w:tmpl w:val="300E3298"/>
    <w:lvl w:ilvl="0" w:tentative="1">
      <w:start w:val="1"/>
      <w:numFmt w:val="decimal"/>
      <w:lvlText w:val="%1）"/>
      <w:lvlJc w:val="left"/>
      <w:pPr>
        <w:ind w:left="420" w:hanging="420"/>
      </w:pPr>
      <w:rPr>
        <w:rFonts w:hint="eastAsia"/>
        <w:b w:val="0"/>
        <w:i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51196676">
    <w:nsid w:val="2CC65A04"/>
    <w:multiLevelType w:val="multilevel"/>
    <w:tmpl w:val="2CC65A04"/>
    <w:lvl w:ilvl="0" w:tentative="1">
      <w:start w:val="1"/>
      <w:numFmt w:val="decimal"/>
      <w:lvlText w:val="31.%1"/>
      <w:lvlJc w:val="left"/>
      <w:pPr>
        <w:ind w:left="420" w:hanging="420"/>
      </w:pPr>
      <w:rPr>
        <w:rFonts w:hint="eastAsia"/>
        <w:b w:val="0"/>
        <w:strike w:val="0"/>
        <w:dstrike w:val="0"/>
        <w:color w:val="auto"/>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6847139">
    <w:nsid w:val="052D2EA3"/>
    <w:multiLevelType w:val="multilevel"/>
    <w:tmpl w:val="052D2EA3"/>
    <w:lvl w:ilvl="0" w:tentative="1">
      <w:start w:val="1"/>
      <w:numFmt w:val="decimal"/>
      <w:lvlText w:val="%1)"/>
      <w:lvlJc w:val="left"/>
      <w:pPr>
        <w:ind w:left="643" w:hanging="420"/>
      </w:pPr>
      <w:rPr>
        <w:rFonts w:hint="eastAsia"/>
        <w:b w:val="0"/>
        <w:strike w:val="0"/>
        <w:dstrike w:val="0"/>
        <w:color w:val="auto"/>
        <w:u w:val="none"/>
      </w:rPr>
    </w:lvl>
    <w:lvl w:ilvl="1" w:tentative="1">
      <w:start w:val="1"/>
      <w:numFmt w:val="lowerLetter"/>
      <w:lvlText w:val="%2)"/>
      <w:lvlJc w:val="left"/>
      <w:pPr>
        <w:ind w:left="1063" w:hanging="420"/>
      </w:pPr>
    </w:lvl>
    <w:lvl w:ilvl="2" w:tentative="1">
      <w:start w:val="1"/>
      <w:numFmt w:val="lowerRoman"/>
      <w:lvlText w:val="%3."/>
      <w:lvlJc w:val="right"/>
      <w:pPr>
        <w:ind w:left="1483" w:hanging="420"/>
      </w:pPr>
    </w:lvl>
    <w:lvl w:ilvl="3" w:tentative="1">
      <w:start w:val="1"/>
      <w:numFmt w:val="decimal"/>
      <w:lvlText w:val="%4."/>
      <w:lvlJc w:val="left"/>
      <w:pPr>
        <w:ind w:left="1903" w:hanging="420"/>
      </w:pPr>
    </w:lvl>
    <w:lvl w:ilvl="4" w:tentative="1">
      <w:start w:val="1"/>
      <w:numFmt w:val="lowerLetter"/>
      <w:lvlText w:val="%5)"/>
      <w:lvlJc w:val="left"/>
      <w:pPr>
        <w:ind w:left="2323" w:hanging="420"/>
      </w:pPr>
    </w:lvl>
    <w:lvl w:ilvl="5" w:tentative="1">
      <w:start w:val="1"/>
      <w:numFmt w:val="lowerRoman"/>
      <w:lvlText w:val="%6."/>
      <w:lvlJc w:val="right"/>
      <w:pPr>
        <w:ind w:left="2743" w:hanging="420"/>
      </w:pPr>
    </w:lvl>
    <w:lvl w:ilvl="6" w:tentative="1">
      <w:start w:val="1"/>
      <w:numFmt w:val="decimal"/>
      <w:lvlText w:val="%7."/>
      <w:lvlJc w:val="left"/>
      <w:pPr>
        <w:ind w:left="3163" w:hanging="420"/>
      </w:pPr>
    </w:lvl>
    <w:lvl w:ilvl="7" w:tentative="1">
      <w:start w:val="1"/>
      <w:numFmt w:val="lowerLetter"/>
      <w:lvlText w:val="%8)"/>
      <w:lvlJc w:val="left"/>
      <w:pPr>
        <w:ind w:left="3583" w:hanging="420"/>
      </w:pPr>
    </w:lvl>
    <w:lvl w:ilvl="8" w:tentative="1">
      <w:start w:val="1"/>
      <w:numFmt w:val="lowerRoman"/>
      <w:lvlText w:val="%9."/>
      <w:lvlJc w:val="right"/>
      <w:pPr>
        <w:ind w:left="4003" w:hanging="420"/>
      </w:pPr>
    </w:lvl>
  </w:abstractNum>
  <w:abstractNum w:abstractNumId="2913420274">
    <w:nsid w:val="ADA743F2"/>
    <w:multiLevelType w:val="singleLevel"/>
    <w:tmpl w:val="ADA743F2"/>
    <w:lvl w:ilvl="0" w:tentative="1">
      <w:start w:val="1"/>
      <w:numFmt w:val="decimal"/>
      <w:lvlText w:val="%1."/>
      <w:lvlJc w:val="left"/>
      <w:pPr>
        <w:ind w:left="425" w:hanging="425"/>
      </w:pPr>
      <w:rPr>
        <w:rFonts w:hint="default"/>
      </w:rPr>
    </w:lvl>
  </w:abstractNum>
  <w:abstractNum w:abstractNumId="1237398002">
    <w:nsid w:val="49C131F2"/>
    <w:multiLevelType w:val="multilevel"/>
    <w:tmpl w:val="49C131F2"/>
    <w:lvl w:ilvl="0" w:tentative="1">
      <w:start w:val="1"/>
      <w:numFmt w:val="decimal"/>
      <w:lvlText w:val="17.%1"/>
      <w:lvlJc w:val="left"/>
      <w:pPr>
        <w:ind w:left="420" w:hanging="420"/>
      </w:pPr>
      <w:rPr>
        <w:rFonts w:hint="eastAsia" w:ascii="宋体" w:hAnsi="宋体" w:eastAsia="宋体"/>
        <w:b w:val="0"/>
        <w:strike w:val="0"/>
        <w:dstrike w:val="0"/>
        <w:color w:val="auto"/>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21353220">
    <w:nsid w:val="2AFEFA04"/>
    <w:multiLevelType w:val="singleLevel"/>
    <w:tmpl w:val="2AFEFA04"/>
    <w:lvl w:ilvl="0" w:tentative="1">
      <w:start w:val="1"/>
      <w:numFmt w:val="decimal"/>
      <w:lvlText w:val="(%1)"/>
      <w:lvlJc w:val="left"/>
      <w:pPr>
        <w:ind w:left="425" w:hanging="425"/>
      </w:pPr>
      <w:rPr>
        <w:rFonts w:hint="default"/>
      </w:rPr>
    </w:lvl>
  </w:abstractNum>
  <w:num w:numId="1">
    <w:abstractNumId w:val="29115450"/>
    <w:lvlOverride w:ilvl="0">
      <w:startOverride w:val="1"/>
    </w:lvlOverride>
  </w:num>
  <w:num w:numId="2">
    <w:abstractNumId w:val="173686999"/>
    <w:lvlOverride w:ilvl="0">
      <w:startOverride w:val="1"/>
    </w:lvlOverride>
  </w:num>
  <w:num w:numId="3">
    <w:abstractNumId w:val="622807548"/>
    <w:lvlOverride w:ilvl="0">
      <w:startOverride w:val="1"/>
    </w:lvlOverride>
  </w:num>
  <w:num w:numId="4">
    <w:abstractNumId w:val="1974290832"/>
    <w:lvlOverride w:ilvl="0">
      <w:startOverride w:val="1"/>
    </w:lvlOverride>
  </w:num>
  <w:num w:numId="5">
    <w:abstractNumId w:val="1403672355"/>
    <w:lvlOverride w:ilvl="0">
      <w:startOverride w:val="1"/>
    </w:lvlOverride>
  </w:num>
  <w:num w:numId="6">
    <w:abstractNumId w:val="1866165935"/>
    <w:lvlOverride w:ilvl="0">
      <w:startOverride w:val="1"/>
    </w:lvlOverride>
  </w:num>
  <w:num w:numId="7">
    <w:abstractNumId w:val="131867148"/>
    <w:lvlOverride w:ilvl="0">
      <w:startOverride w:val="1"/>
    </w:lvlOverride>
  </w:num>
  <w:num w:numId="8">
    <w:abstractNumId w:val="52585494"/>
    <w:lvlOverride w:ilvl="0">
      <w:startOverride w:val="1"/>
    </w:lvlOverride>
  </w:num>
  <w:num w:numId="9">
    <w:abstractNumId w:val="1141383669"/>
    <w:lvlOverride w:ilvl="0">
      <w:startOverride w:val="1"/>
    </w:lvlOverride>
  </w:num>
  <w:num w:numId="10">
    <w:abstractNumId w:val="378937669"/>
    <w:lvlOverride w:ilvl="0">
      <w:startOverride w:val="1"/>
    </w:lvlOverride>
  </w:num>
  <w:num w:numId="11">
    <w:abstractNumId w:val="153955217"/>
    <w:lvlOverride w:ilvl="0">
      <w:startOverride w:val="1"/>
    </w:lvlOverride>
  </w:num>
  <w:num w:numId="12">
    <w:abstractNumId w:val="1681590474"/>
  </w:num>
  <w:num w:numId="13">
    <w:abstractNumId w:val="935408319"/>
    <w:lvlOverride w:ilvl="0">
      <w:startOverride w:val="1"/>
    </w:lvlOverride>
  </w:num>
  <w:num w:numId="14">
    <w:abstractNumId w:val="1504203450"/>
    <w:lvlOverride w:ilvl="0">
      <w:startOverride w:val="1"/>
    </w:lvlOverride>
  </w:num>
  <w:num w:numId="15">
    <w:abstractNumId w:val="828328762"/>
    <w:lvlOverride w:ilvl="0">
      <w:startOverride w:val="1"/>
    </w:lvlOverride>
  </w:num>
  <w:num w:numId="16">
    <w:abstractNumId w:val="135341056"/>
    <w:lvlOverride w:ilvl="0">
      <w:startOverride w:val="1"/>
    </w:lvlOverride>
  </w:num>
  <w:num w:numId="17">
    <w:abstractNumId w:val="2038695702"/>
    <w:lvlOverride w:ilvl="0">
      <w:startOverride w:val="1"/>
    </w:lvlOverride>
  </w:num>
  <w:num w:numId="18">
    <w:abstractNumId w:val="756514737"/>
  </w:num>
  <w:num w:numId="19">
    <w:abstractNumId w:val="695425785"/>
    <w:lvlOverride w:ilvl="0">
      <w:startOverride w:val="1"/>
    </w:lvlOverride>
  </w:num>
  <w:num w:numId="20">
    <w:abstractNumId w:val="717170739"/>
    <w:lvlOverride w:ilvl="0">
      <w:startOverride w:val="1"/>
    </w:lvlOverride>
  </w:num>
  <w:num w:numId="21">
    <w:abstractNumId w:val="1860003004"/>
    <w:lvlOverride w:ilvl="0">
      <w:startOverride w:val="1"/>
    </w:lvlOverride>
  </w:num>
  <w:num w:numId="22">
    <w:abstractNumId w:val="1188131961"/>
    <w:lvlOverride w:ilvl="0">
      <w:startOverride w:val="1"/>
    </w:lvlOverride>
  </w:num>
  <w:num w:numId="23">
    <w:abstractNumId w:val="253322069"/>
    <w:lvlOverride w:ilvl="0">
      <w:startOverride w:val="1"/>
    </w:lvlOverride>
  </w:num>
  <w:num w:numId="24">
    <w:abstractNumId w:val="2001501217"/>
    <w:lvlOverride w:ilvl="0">
      <w:startOverride w:val="1"/>
    </w:lvlOverride>
  </w:num>
  <w:num w:numId="25">
    <w:abstractNumId w:val="1237398002"/>
    <w:lvlOverride w:ilvl="0">
      <w:startOverride w:val="1"/>
    </w:lvlOverride>
  </w:num>
  <w:num w:numId="26">
    <w:abstractNumId w:val="173736321"/>
    <w:lvlOverride w:ilvl="0">
      <w:startOverride w:val="1"/>
    </w:lvlOverride>
  </w:num>
  <w:num w:numId="27">
    <w:abstractNumId w:val="134838722"/>
  </w:num>
  <w:num w:numId="28">
    <w:abstractNumId w:val="317920927"/>
    <w:lvlOverride w:ilvl="0">
      <w:startOverride w:val="1"/>
    </w:lvlOverride>
  </w:num>
  <w:num w:numId="29">
    <w:abstractNumId w:val="1246264180"/>
  </w:num>
  <w:num w:numId="30">
    <w:abstractNumId w:val="1223374094"/>
  </w:num>
  <w:num w:numId="31">
    <w:abstractNumId w:val="1459689444"/>
  </w:num>
  <w:num w:numId="32">
    <w:abstractNumId w:val="1901597698"/>
  </w:num>
  <w:num w:numId="33">
    <w:abstractNumId w:val="2020307713"/>
  </w:num>
  <w:num w:numId="34">
    <w:abstractNumId w:val="1420567701"/>
  </w:num>
  <w:num w:numId="35">
    <w:abstractNumId w:val="246808796"/>
  </w:num>
  <w:num w:numId="36">
    <w:abstractNumId w:val="86847139"/>
  </w:num>
  <w:num w:numId="37">
    <w:abstractNumId w:val="1903368984"/>
  </w:num>
  <w:num w:numId="38">
    <w:abstractNumId w:val="1692606099"/>
  </w:num>
  <w:num w:numId="39">
    <w:abstractNumId w:val="1553688720"/>
  </w:num>
  <w:num w:numId="40">
    <w:abstractNumId w:val="1643729043"/>
  </w:num>
  <w:num w:numId="41">
    <w:abstractNumId w:val="1864440425"/>
  </w:num>
  <w:num w:numId="42">
    <w:abstractNumId w:val="751196676"/>
  </w:num>
  <w:num w:numId="43">
    <w:abstractNumId w:val="1768192035"/>
  </w:num>
  <w:num w:numId="44">
    <w:abstractNumId w:val="6836382"/>
  </w:num>
  <w:num w:numId="45">
    <w:abstractNumId w:val="3559274005"/>
  </w:num>
  <w:num w:numId="46">
    <w:abstractNumId w:val="2534042103"/>
  </w:num>
  <w:num w:numId="47">
    <w:abstractNumId w:val="1977539330"/>
  </w:num>
  <w:num w:numId="48">
    <w:abstractNumId w:val="1429695100"/>
  </w:num>
  <w:num w:numId="49">
    <w:abstractNumId w:val="4164955809"/>
  </w:num>
  <w:num w:numId="50">
    <w:abstractNumId w:val="1012713890"/>
  </w:num>
  <w:num w:numId="51">
    <w:abstractNumId w:val="2779742304"/>
  </w:num>
  <w:num w:numId="52">
    <w:abstractNumId w:val="319531492"/>
  </w:num>
  <w:num w:numId="53">
    <w:abstractNumId w:val="3997577627"/>
  </w:num>
  <w:num w:numId="54">
    <w:abstractNumId w:val="381292673"/>
  </w:num>
  <w:num w:numId="55">
    <w:abstractNumId w:val="852769073"/>
  </w:num>
  <w:num w:numId="56">
    <w:abstractNumId w:val="1978317151"/>
  </w:num>
  <w:num w:numId="57">
    <w:abstractNumId w:val="730423515"/>
  </w:num>
  <w:num w:numId="58">
    <w:abstractNumId w:val="371096554"/>
  </w:num>
  <w:num w:numId="59">
    <w:abstractNumId w:val="459154975"/>
  </w:num>
  <w:num w:numId="60">
    <w:abstractNumId w:val="2246730360"/>
  </w:num>
  <w:num w:numId="61">
    <w:abstractNumId w:val="3032117230"/>
  </w:num>
  <w:num w:numId="62">
    <w:abstractNumId w:val="5060499"/>
  </w:num>
  <w:num w:numId="63">
    <w:abstractNumId w:val="1799567255"/>
  </w:num>
  <w:num w:numId="64">
    <w:abstractNumId w:val="3493703960"/>
  </w:num>
  <w:num w:numId="65">
    <w:abstractNumId w:val="3896253620"/>
  </w:num>
  <w:num w:numId="66">
    <w:abstractNumId w:val="565196277"/>
  </w:num>
  <w:num w:numId="67">
    <w:abstractNumId w:val="4279100400"/>
  </w:num>
  <w:num w:numId="68">
    <w:abstractNumId w:val="2392518263"/>
  </w:num>
  <w:num w:numId="69">
    <w:abstractNumId w:val="1097290376"/>
  </w:num>
  <w:num w:numId="70">
    <w:abstractNumId w:val="721353220"/>
  </w:num>
  <w:num w:numId="71">
    <w:abstractNumId w:val="2715995747"/>
  </w:num>
  <w:num w:numId="72">
    <w:abstractNumId w:val="2173057572"/>
  </w:num>
  <w:num w:numId="73">
    <w:abstractNumId w:val="3078348322"/>
  </w:num>
  <w:num w:numId="74">
    <w:abstractNumId w:val="3206497920"/>
  </w:num>
  <w:num w:numId="75">
    <w:abstractNumId w:val="1961493970"/>
  </w:num>
  <w:num w:numId="76">
    <w:abstractNumId w:val="2828421425"/>
  </w:num>
  <w:num w:numId="77">
    <w:abstractNumId w:val="2422567782"/>
  </w:num>
  <w:num w:numId="78">
    <w:abstractNumId w:val="493384378"/>
  </w:num>
  <w:num w:numId="79">
    <w:abstractNumId w:val="2913420274"/>
  </w:num>
  <w:num w:numId="80">
    <w:abstractNumId w:val="3331212440"/>
  </w:num>
  <w:num w:numId="81">
    <w:abstractNumId w:val="2371645227"/>
  </w:num>
  <w:num w:numId="82">
    <w:abstractNumId w:val="140738312"/>
  </w:num>
  <w:num w:numId="83">
    <w:abstractNumId w:val="1670231502"/>
  </w:num>
  <w:num w:numId="84">
    <w:abstractNumId w:val="1670231523"/>
  </w:num>
  <w:num w:numId="85">
    <w:abstractNumId w:val="1670231543"/>
  </w:num>
  <w:num w:numId="86">
    <w:abstractNumId w:val="1467747207"/>
    <w:lvlOverride w:ilvl="0">
      <w:startOverride w:val="1"/>
    </w:lvlOverride>
  </w:num>
  <w:num w:numId="87">
    <w:abstractNumId w:val="263274296"/>
  </w:num>
  <w:num w:numId="88">
    <w:abstractNumId w:val="216819084"/>
  </w:num>
  <w:num w:numId="89">
    <w:abstractNumId w:val="806236824"/>
  </w:num>
  <w:num w:numId="90">
    <w:abstractNumId w:val="627590515"/>
  </w:num>
  <w:num w:numId="91">
    <w:abstractNumId w:val="1565868520"/>
  </w:num>
  <w:num w:numId="92">
    <w:abstractNumId w:val="955647682"/>
    <w:lvlOverride w:ilvl="0">
      <w:startOverride w:val="1"/>
    </w:lvlOverride>
  </w:num>
  <w:num w:numId="93">
    <w:abstractNumId w:val="622537580"/>
    <w:lvlOverride w:ilvl="0">
      <w:startOverride w:val="1"/>
    </w:lvlOverride>
  </w:num>
  <w:num w:numId="94">
    <w:abstractNumId w:val="2127233977"/>
    <w:lvlOverride w:ilvl="0">
      <w:startOverride w:val="1"/>
    </w:lvlOverride>
  </w:num>
  <w:num w:numId="95">
    <w:abstractNumId w:val="664435023"/>
    <w:lvlOverride w:ilvl="0">
      <w:startOverride w:val="1"/>
    </w:lvlOverride>
  </w:num>
  <w:num w:numId="96">
    <w:abstractNumId w:val="620844053"/>
    <w:lvlOverride w:ilvl="0">
      <w:startOverride w:val="1"/>
    </w:lvlOverride>
  </w:num>
  <w:num w:numId="97">
    <w:abstractNumId w:val="3241864"/>
  </w:num>
  <w:num w:numId="98">
    <w:abstractNumId w:val="494224478"/>
  </w:num>
  <w:num w:numId="99">
    <w:abstractNumId w:val="368533632"/>
  </w:num>
  <w:num w:numId="100">
    <w:abstractNumId w:val="1203782279"/>
    <w:lvlOverride w:ilvl="0">
      <w:startOverride w:val="1"/>
    </w:lvlOverride>
  </w:num>
  <w:num w:numId="101">
    <w:abstractNumId w:val="1286280231"/>
  </w:num>
  <w:num w:numId="102">
    <w:abstractNumId w:val="1670338161"/>
  </w:num>
  <w:num w:numId="103">
    <w:abstractNumId w:val="642123758"/>
  </w:num>
  <w:num w:numId="104">
    <w:abstractNumId w:val="751514376"/>
  </w:num>
  <w:num w:numId="105">
    <w:abstractNumId w:val="1113014853"/>
  </w:num>
  <w:num w:numId="106">
    <w:abstractNumId w:val="1570657013"/>
  </w:num>
  <w:num w:numId="107">
    <w:abstractNumId w:val="995651883"/>
  </w:num>
  <w:num w:numId="108">
    <w:abstractNumId w:val="58720456"/>
    <w:lvlOverride w:ilvl="0">
      <w:startOverride w:val="1"/>
    </w:lvlOverride>
  </w:num>
  <w:num w:numId="109">
    <w:abstractNumId w:val="674841128"/>
    <w:lvlOverride w:ilvl="0">
      <w:startOverride w:val="1"/>
    </w:lvlOverride>
  </w:num>
  <w:num w:numId="110">
    <w:abstractNumId w:val="1583176288"/>
    <w:lvlOverride w:ilvl="0">
      <w:startOverride w:val="1"/>
    </w:lvlOverride>
  </w:num>
  <w:num w:numId="111">
    <w:abstractNumId w:val="182126825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ZmZTE5YzU2YzA1ODRjNjAwNDI1YTg5ZDM4MzJiOTMifQ=="/>
  </w:docVars>
  <w:rsids>
    <w:rsidRoot w:val="005E67E3"/>
    <w:rsid w:val="00001319"/>
    <w:rsid w:val="00001CDB"/>
    <w:rsid w:val="000059AE"/>
    <w:rsid w:val="00012DFF"/>
    <w:rsid w:val="000132E8"/>
    <w:rsid w:val="0001502E"/>
    <w:rsid w:val="000240AA"/>
    <w:rsid w:val="000273D1"/>
    <w:rsid w:val="000303BC"/>
    <w:rsid w:val="000311B7"/>
    <w:rsid w:val="00031B6A"/>
    <w:rsid w:val="00041023"/>
    <w:rsid w:val="00041344"/>
    <w:rsid w:val="00043651"/>
    <w:rsid w:val="00046305"/>
    <w:rsid w:val="0004663E"/>
    <w:rsid w:val="00050828"/>
    <w:rsid w:val="00052E3E"/>
    <w:rsid w:val="000549D1"/>
    <w:rsid w:val="0006039B"/>
    <w:rsid w:val="00061849"/>
    <w:rsid w:val="0006302D"/>
    <w:rsid w:val="0006304E"/>
    <w:rsid w:val="00063711"/>
    <w:rsid w:val="0006472C"/>
    <w:rsid w:val="00064BE8"/>
    <w:rsid w:val="0008143E"/>
    <w:rsid w:val="00086EA9"/>
    <w:rsid w:val="00091805"/>
    <w:rsid w:val="00092955"/>
    <w:rsid w:val="00092D2A"/>
    <w:rsid w:val="000949CF"/>
    <w:rsid w:val="000951EA"/>
    <w:rsid w:val="00095A31"/>
    <w:rsid w:val="00097802"/>
    <w:rsid w:val="000A291A"/>
    <w:rsid w:val="000A2FEA"/>
    <w:rsid w:val="000A7639"/>
    <w:rsid w:val="000B0B26"/>
    <w:rsid w:val="000B4821"/>
    <w:rsid w:val="000C34C3"/>
    <w:rsid w:val="000C41F1"/>
    <w:rsid w:val="000C6D48"/>
    <w:rsid w:val="000D13BD"/>
    <w:rsid w:val="000D1705"/>
    <w:rsid w:val="000D43FB"/>
    <w:rsid w:val="000D49FC"/>
    <w:rsid w:val="000D4FF3"/>
    <w:rsid w:val="000E15D6"/>
    <w:rsid w:val="000F1901"/>
    <w:rsid w:val="000F27B7"/>
    <w:rsid w:val="000F76F7"/>
    <w:rsid w:val="000F7B31"/>
    <w:rsid w:val="00100025"/>
    <w:rsid w:val="0010095C"/>
    <w:rsid w:val="001034D8"/>
    <w:rsid w:val="001038AA"/>
    <w:rsid w:val="00110ABB"/>
    <w:rsid w:val="00114FC7"/>
    <w:rsid w:val="001171BF"/>
    <w:rsid w:val="00122BA0"/>
    <w:rsid w:val="001246AB"/>
    <w:rsid w:val="00125D80"/>
    <w:rsid w:val="0012774E"/>
    <w:rsid w:val="00130B03"/>
    <w:rsid w:val="00131FBC"/>
    <w:rsid w:val="00133844"/>
    <w:rsid w:val="00133E1C"/>
    <w:rsid w:val="00136ECF"/>
    <w:rsid w:val="00140238"/>
    <w:rsid w:val="00141746"/>
    <w:rsid w:val="0015056A"/>
    <w:rsid w:val="00152DCB"/>
    <w:rsid w:val="00157E6F"/>
    <w:rsid w:val="00160CF4"/>
    <w:rsid w:val="0016135F"/>
    <w:rsid w:val="0017029B"/>
    <w:rsid w:val="001704FA"/>
    <w:rsid w:val="00170615"/>
    <w:rsid w:val="0017479B"/>
    <w:rsid w:val="001757C1"/>
    <w:rsid w:val="0017654E"/>
    <w:rsid w:val="00180732"/>
    <w:rsid w:val="00183641"/>
    <w:rsid w:val="001837FD"/>
    <w:rsid w:val="001869A6"/>
    <w:rsid w:val="00193390"/>
    <w:rsid w:val="001948F8"/>
    <w:rsid w:val="00195A1B"/>
    <w:rsid w:val="001A3A7A"/>
    <w:rsid w:val="001B1D48"/>
    <w:rsid w:val="001B27F8"/>
    <w:rsid w:val="001B57D0"/>
    <w:rsid w:val="001C37C9"/>
    <w:rsid w:val="001C7521"/>
    <w:rsid w:val="001D2650"/>
    <w:rsid w:val="001E0022"/>
    <w:rsid w:val="001E2855"/>
    <w:rsid w:val="001E5D77"/>
    <w:rsid w:val="001E6928"/>
    <w:rsid w:val="001F5464"/>
    <w:rsid w:val="001F74B8"/>
    <w:rsid w:val="001F7A20"/>
    <w:rsid w:val="00201784"/>
    <w:rsid w:val="00203573"/>
    <w:rsid w:val="002061A3"/>
    <w:rsid w:val="002072C7"/>
    <w:rsid w:val="002121AD"/>
    <w:rsid w:val="00216071"/>
    <w:rsid w:val="0021684D"/>
    <w:rsid w:val="002214B5"/>
    <w:rsid w:val="00226FE0"/>
    <w:rsid w:val="00230473"/>
    <w:rsid w:val="0023116F"/>
    <w:rsid w:val="0023262D"/>
    <w:rsid w:val="00232BB4"/>
    <w:rsid w:val="002368F8"/>
    <w:rsid w:val="00237420"/>
    <w:rsid w:val="00240D2E"/>
    <w:rsid w:val="00244924"/>
    <w:rsid w:val="00246330"/>
    <w:rsid w:val="00253DBA"/>
    <w:rsid w:val="00260A5D"/>
    <w:rsid w:val="002655C2"/>
    <w:rsid w:val="00267530"/>
    <w:rsid w:val="00270595"/>
    <w:rsid w:val="00270EDA"/>
    <w:rsid w:val="00273E57"/>
    <w:rsid w:val="002763E8"/>
    <w:rsid w:val="002805F4"/>
    <w:rsid w:val="0028563F"/>
    <w:rsid w:val="00291975"/>
    <w:rsid w:val="00291E27"/>
    <w:rsid w:val="002920C2"/>
    <w:rsid w:val="00293DA7"/>
    <w:rsid w:val="0029557D"/>
    <w:rsid w:val="002A031D"/>
    <w:rsid w:val="002A702B"/>
    <w:rsid w:val="002B05F5"/>
    <w:rsid w:val="002B1FDF"/>
    <w:rsid w:val="002D492F"/>
    <w:rsid w:val="002E0257"/>
    <w:rsid w:val="002E6679"/>
    <w:rsid w:val="002E6B15"/>
    <w:rsid w:val="002E7CED"/>
    <w:rsid w:val="002F4789"/>
    <w:rsid w:val="002F737C"/>
    <w:rsid w:val="00301A65"/>
    <w:rsid w:val="003050B8"/>
    <w:rsid w:val="003055DD"/>
    <w:rsid w:val="003068F0"/>
    <w:rsid w:val="003100D3"/>
    <w:rsid w:val="00310D9F"/>
    <w:rsid w:val="00311951"/>
    <w:rsid w:val="00312211"/>
    <w:rsid w:val="003222FD"/>
    <w:rsid w:val="003235FD"/>
    <w:rsid w:val="003258C7"/>
    <w:rsid w:val="00337CB5"/>
    <w:rsid w:val="00342BEF"/>
    <w:rsid w:val="00346801"/>
    <w:rsid w:val="00350BEF"/>
    <w:rsid w:val="003560C3"/>
    <w:rsid w:val="00356E6A"/>
    <w:rsid w:val="00360A6D"/>
    <w:rsid w:val="00360D44"/>
    <w:rsid w:val="00360D82"/>
    <w:rsid w:val="003645BD"/>
    <w:rsid w:val="00371F76"/>
    <w:rsid w:val="00372E8F"/>
    <w:rsid w:val="003730FE"/>
    <w:rsid w:val="003740F5"/>
    <w:rsid w:val="00380DAA"/>
    <w:rsid w:val="0038678E"/>
    <w:rsid w:val="003A012C"/>
    <w:rsid w:val="003A2AF8"/>
    <w:rsid w:val="003B0B02"/>
    <w:rsid w:val="003B334D"/>
    <w:rsid w:val="003B7258"/>
    <w:rsid w:val="003C7B18"/>
    <w:rsid w:val="003D0CA4"/>
    <w:rsid w:val="003D5900"/>
    <w:rsid w:val="003D647A"/>
    <w:rsid w:val="003E3047"/>
    <w:rsid w:val="003E30EC"/>
    <w:rsid w:val="003F56BD"/>
    <w:rsid w:val="003F711B"/>
    <w:rsid w:val="00401462"/>
    <w:rsid w:val="00410603"/>
    <w:rsid w:val="004174CC"/>
    <w:rsid w:val="004176BA"/>
    <w:rsid w:val="004215D5"/>
    <w:rsid w:val="00422046"/>
    <w:rsid w:val="00427C55"/>
    <w:rsid w:val="0043644F"/>
    <w:rsid w:val="0045116E"/>
    <w:rsid w:val="00452008"/>
    <w:rsid w:val="004650E6"/>
    <w:rsid w:val="00465AC1"/>
    <w:rsid w:val="00465EBB"/>
    <w:rsid w:val="00466C95"/>
    <w:rsid w:val="00474F9A"/>
    <w:rsid w:val="00476519"/>
    <w:rsid w:val="004773F2"/>
    <w:rsid w:val="00480906"/>
    <w:rsid w:val="00481C3A"/>
    <w:rsid w:val="00481DC3"/>
    <w:rsid w:val="00482C3E"/>
    <w:rsid w:val="00482EB3"/>
    <w:rsid w:val="00483203"/>
    <w:rsid w:val="0048684E"/>
    <w:rsid w:val="00496ABA"/>
    <w:rsid w:val="004A15E5"/>
    <w:rsid w:val="004A3249"/>
    <w:rsid w:val="004A426E"/>
    <w:rsid w:val="004A4A67"/>
    <w:rsid w:val="004A544B"/>
    <w:rsid w:val="004A628B"/>
    <w:rsid w:val="004C5EB8"/>
    <w:rsid w:val="004C6E1A"/>
    <w:rsid w:val="004D28C0"/>
    <w:rsid w:val="004D631A"/>
    <w:rsid w:val="004E142E"/>
    <w:rsid w:val="004E54D5"/>
    <w:rsid w:val="004E5589"/>
    <w:rsid w:val="004E79E8"/>
    <w:rsid w:val="004F31BD"/>
    <w:rsid w:val="004F5A77"/>
    <w:rsid w:val="0050099F"/>
    <w:rsid w:val="00501CAB"/>
    <w:rsid w:val="00502953"/>
    <w:rsid w:val="0050663D"/>
    <w:rsid w:val="005119F8"/>
    <w:rsid w:val="00513394"/>
    <w:rsid w:val="00515CF0"/>
    <w:rsid w:val="00521C7B"/>
    <w:rsid w:val="0052304F"/>
    <w:rsid w:val="005279C0"/>
    <w:rsid w:val="00527DB3"/>
    <w:rsid w:val="00535D03"/>
    <w:rsid w:val="00541F11"/>
    <w:rsid w:val="005430E7"/>
    <w:rsid w:val="00545241"/>
    <w:rsid w:val="00553793"/>
    <w:rsid w:val="0055612D"/>
    <w:rsid w:val="00557A1A"/>
    <w:rsid w:val="0056188F"/>
    <w:rsid w:val="00561CEF"/>
    <w:rsid w:val="005677CF"/>
    <w:rsid w:val="00571AE5"/>
    <w:rsid w:val="00573B3F"/>
    <w:rsid w:val="005741FE"/>
    <w:rsid w:val="005743A8"/>
    <w:rsid w:val="0057591F"/>
    <w:rsid w:val="00575E70"/>
    <w:rsid w:val="0059216F"/>
    <w:rsid w:val="00593D21"/>
    <w:rsid w:val="00593D46"/>
    <w:rsid w:val="00594215"/>
    <w:rsid w:val="005978D7"/>
    <w:rsid w:val="005A01F1"/>
    <w:rsid w:val="005A27D7"/>
    <w:rsid w:val="005A59D0"/>
    <w:rsid w:val="005B5DD4"/>
    <w:rsid w:val="005B6B7C"/>
    <w:rsid w:val="005C338E"/>
    <w:rsid w:val="005C5EEB"/>
    <w:rsid w:val="005C7246"/>
    <w:rsid w:val="005D0DA6"/>
    <w:rsid w:val="005D1135"/>
    <w:rsid w:val="005D1A50"/>
    <w:rsid w:val="005D71FD"/>
    <w:rsid w:val="005E1418"/>
    <w:rsid w:val="005E67E3"/>
    <w:rsid w:val="005F037F"/>
    <w:rsid w:val="005F0E05"/>
    <w:rsid w:val="005F11F2"/>
    <w:rsid w:val="005F56CD"/>
    <w:rsid w:val="006028B1"/>
    <w:rsid w:val="00603F70"/>
    <w:rsid w:val="00605F53"/>
    <w:rsid w:val="00606E45"/>
    <w:rsid w:val="0061113D"/>
    <w:rsid w:val="00620A94"/>
    <w:rsid w:val="00630B8B"/>
    <w:rsid w:val="00635A3C"/>
    <w:rsid w:val="00636794"/>
    <w:rsid w:val="00637156"/>
    <w:rsid w:val="00637218"/>
    <w:rsid w:val="006458CE"/>
    <w:rsid w:val="00651322"/>
    <w:rsid w:val="00654575"/>
    <w:rsid w:val="00657B69"/>
    <w:rsid w:val="00665895"/>
    <w:rsid w:val="00666F1E"/>
    <w:rsid w:val="006704E1"/>
    <w:rsid w:val="0067166E"/>
    <w:rsid w:val="00673908"/>
    <w:rsid w:val="00675059"/>
    <w:rsid w:val="006772A2"/>
    <w:rsid w:val="00677493"/>
    <w:rsid w:val="00680531"/>
    <w:rsid w:val="006901C5"/>
    <w:rsid w:val="00691C7B"/>
    <w:rsid w:val="00692843"/>
    <w:rsid w:val="006933AA"/>
    <w:rsid w:val="00693D7B"/>
    <w:rsid w:val="00694B83"/>
    <w:rsid w:val="00697575"/>
    <w:rsid w:val="006A26B9"/>
    <w:rsid w:val="006A2722"/>
    <w:rsid w:val="006A32E7"/>
    <w:rsid w:val="006A5427"/>
    <w:rsid w:val="006A5BD5"/>
    <w:rsid w:val="006B614F"/>
    <w:rsid w:val="006C5CEF"/>
    <w:rsid w:val="006C6299"/>
    <w:rsid w:val="006D1CDF"/>
    <w:rsid w:val="006E0D0C"/>
    <w:rsid w:val="006E353D"/>
    <w:rsid w:val="006E4E35"/>
    <w:rsid w:val="006E6CB5"/>
    <w:rsid w:val="00702C24"/>
    <w:rsid w:val="00705932"/>
    <w:rsid w:val="007150B4"/>
    <w:rsid w:val="00721340"/>
    <w:rsid w:val="00721416"/>
    <w:rsid w:val="00740340"/>
    <w:rsid w:val="007471E3"/>
    <w:rsid w:val="00753F64"/>
    <w:rsid w:val="00765103"/>
    <w:rsid w:val="00770F26"/>
    <w:rsid w:val="00772525"/>
    <w:rsid w:val="00773A3A"/>
    <w:rsid w:val="0077603C"/>
    <w:rsid w:val="00776639"/>
    <w:rsid w:val="007848C7"/>
    <w:rsid w:val="007914B8"/>
    <w:rsid w:val="00796F26"/>
    <w:rsid w:val="007A0A6E"/>
    <w:rsid w:val="007A37AE"/>
    <w:rsid w:val="007A4FF1"/>
    <w:rsid w:val="007B3D0F"/>
    <w:rsid w:val="007C0B8B"/>
    <w:rsid w:val="007C326E"/>
    <w:rsid w:val="007D1666"/>
    <w:rsid w:val="007E3D0D"/>
    <w:rsid w:val="007E4F07"/>
    <w:rsid w:val="007F4AE8"/>
    <w:rsid w:val="007F582E"/>
    <w:rsid w:val="007F5F93"/>
    <w:rsid w:val="00800F86"/>
    <w:rsid w:val="00806692"/>
    <w:rsid w:val="0081135F"/>
    <w:rsid w:val="00813148"/>
    <w:rsid w:val="008135F4"/>
    <w:rsid w:val="008317F3"/>
    <w:rsid w:val="00832ECB"/>
    <w:rsid w:val="00833276"/>
    <w:rsid w:val="00840A74"/>
    <w:rsid w:val="008448A2"/>
    <w:rsid w:val="00844FE6"/>
    <w:rsid w:val="00845A53"/>
    <w:rsid w:val="00846263"/>
    <w:rsid w:val="00846A2F"/>
    <w:rsid w:val="00847B4C"/>
    <w:rsid w:val="00850189"/>
    <w:rsid w:val="008511A6"/>
    <w:rsid w:val="00853993"/>
    <w:rsid w:val="00861D4A"/>
    <w:rsid w:val="00862A8A"/>
    <w:rsid w:val="008643F9"/>
    <w:rsid w:val="00864F4B"/>
    <w:rsid w:val="00872EDE"/>
    <w:rsid w:val="00873FD6"/>
    <w:rsid w:val="0088301E"/>
    <w:rsid w:val="008914A4"/>
    <w:rsid w:val="00893775"/>
    <w:rsid w:val="00895E0C"/>
    <w:rsid w:val="008A773E"/>
    <w:rsid w:val="008B0A78"/>
    <w:rsid w:val="008B1EE5"/>
    <w:rsid w:val="008B33A3"/>
    <w:rsid w:val="008B3AFF"/>
    <w:rsid w:val="008C1922"/>
    <w:rsid w:val="008D0813"/>
    <w:rsid w:val="008D5472"/>
    <w:rsid w:val="008D6D41"/>
    <w:rsid w:val="008D6F99"/>
    <w:rsid w:val="008E2A8D"/>
    <w:rsid w:val="008E5B1C"/>
    <w:rsid w:val="008E60C7"/>
    <w:rsid w:val="008F0F73"/>
    <w:rsid w:val="00900A60"/>
    <w:rsid w:val="00907AC4"/>
    <w:rsid w:val="0091078D"/>
    <w:rsid w:val="009204DB"/>
    <w:rsid w:val="00935D8A"/>
    <w:rsid w:val="0094193C"/>
    <w:rsid w:val="00943D61"/>
    <w:rsid w:val="00944AD0"/>
    <w:rsid w:val="00944E85"/>
    <w:rsid w:val="00952F3F"/>
    <w:rsid w:val="00954E55"/>
    <w:rsid w:val="00956354"/>
    <w:rsid w:val="00960866"/>
    <w:rsid w:val="009648FD"/>
    <w:rsid w:val="00964983"/>
    <w:rsid w:val="00966D78"/>
    <w:rsid w:val="009717FF"/>
    <w:rsid w:val="00974997"/>
    <w:rsid w:val="00975E88"/>
    <w:rsid w:val="00977F05"/>
    <w:rsid w:val="00984056"/>
    <w:rsid w:val="0098484C"/>
    <w:rsid w:val="009860F7"/>
    <w:rsid w:val="00990913"/>
    <w:rsid w:val="00997255"/>
    <w:rsid w:val="009A2EA9"/>
    <w:rsid w:val="009B105F"/>
    <w:rsid w:val="009C511C"/>
    <w:rsid w:val="009C68B5"/>
    <w:rsid w:val="009C6CB9"/>
    <w:rsid w:val="009D2B49"/>
    <w:rsid w:val="009D3578"/>
    <w:rsid w:val="009D4BBC"/>
    <w:rsid w:val="009D5C2A"/>
    <w:rsid w:val="009E2770"/>
    <w:rsid w:val="009E3DAA"/>
    <w:rsid w:val="009E461B"/>
    <w:rsid w:val="009E4B48"/>
    <w:rsid w:val="009E786A"/>
    <w:rsid w:val="009F421B"/>
    <w:rsid w:val="00A0551C"/>
    <w:rsid w:val="00A12058"/>
    <w:rsid w:val="00A2110F"/>
    <w:rsid w:val="00A244A2"/>
    <w:rsid w:val="00A3444F"/>
    <w:rsid w:val="00A35441"/>
    <w:rsid w:val="00A36835"/>
    <w:rsid w:val="00A37B47"/>
    <w:rsid w:val="00A40CC1"/>
    <w:rsid w:val="00A438A2"/>
    <w:rsid w:val="00A43B2D"/>
    <w:rsid w:val="00A46F07"/>
    <w:rsid w:val="00A53803"/>
    <w:rsid w:val="00A57CEA"/>
    <w:rsid w:val="00A6217B"/>
    <w:rsid w:val="00A64BAD"/>
    <w:rsid w:val="00A725A5"/>
    <w:rsid w:val="00A735D0"/>
    <w:rsid w:val="00A807B6"/>
    <w:rsid w:val="00A822A9"/>
    <w:rsid w:val="00A839DB"/>
    <w:rsid w:val="00A851A9"/>
    <w:rsid w:val="00A86A77"/>
    <w:rsid w:val="00A9267C"/>
    <w:rsid w:val="00A95042"/>
    <w:rsid w:val="00A97A27"/>
    <w:rsid w:val="00AA13E6"/>
    <w:rsid w:val="00AA2D3F"/>
    <w:rsid w:val="00AA537F"/>
    <w:rsid w:val="00AB0DDB"/>
    <w:rsid w:val="00AB4F30"/>
    <w:rsid w:val="00AB55DA"/>
    <w:rsid w:val="00AB5C34"/>
    <w:rsid w:val="00AC47C1"/>
    <w:rsid w:val="00AC505B"/>
    <w:rsid w:val="00AC5BEC"/>
    <w:rsid w:val="00AC77D8"/>
    <w:rsid w:val="00AD0A45"/>
    <w:rsid w:val="00AE0C6A"/>
    <w:rsid w:val="00AF7A98"/>
    <w:rsid w:val="00B00946"/>
    <w:rsid w:val="00B014EC"/>
    <w:rsid w:val="00B03C82"/>
    <w:rsid w:val="00B06A1D"/>
    <w:rsid w:val="00B06EDE"/>
    <w:rsid w:val="00B07F2D"/>
    <w:rsid w:val="00B1682A"/>
    <w:rsid w:val="00B17B20"/>
    <w:rsid w:val="00B23F2D"/>
    <w:rsid w:val="00B23F7D"/>
    <w:rsid w:val="00B257D6"/>
    <w:rsid w:val="00B278BF"/>
    <w:rsid w:val="00B357C7"/>
    <w:rsid w:val="00B367AA"/>
    <w:rsid w:val="00B37309"/>
    <w:rsid w:val="00B427C7"/>
    <w:rsid w:val="00B42AAD"/>
    <w:rsid w:val="00B43F1A"/>
    <w:rsid w:val="00B45665"/>
    <w:rsid w:val="00B46FE2"/>
    <w:rsid w:val="00B471D9"/>
    <w:rsid w:val="00B50337"/>
    <w:rsid w:val="00B51355"/>
    <w:rsid w:val="00B537B5"/>
    <w:rsid w:val="00B55484"/>
    <w:rsid w:val="00B563F8"/>
    <w:rsid w:val="00B618F8"/>
    <w:rsid w:val="00B62D46"/>
    <w:rsid w:val="00B72D69"/>
    <w:rsid w:val="00B7437A"/>
    <w:rsid w:val="00B82344"/>
    <w:rsid w:val="00B84429"/>
    <w:rsid w:val="00B861D6"/>
    <w:rsid w:val="00B912BF"/>
    <w:rsid w:val="00B9343C"/>
    <w:rsid w:val="00B97CEE"/>
    <w:rsid w:val="00BA5F55"/>
    <w:rsid w:val="00BB2E35"/>
    <w:rsid w:val="00BC13E1"/>
    <w:rsid w:val="00BC13F3"/>
    <w:rsid w:val="00BC6EDB"/>
    <w:rsid w:val="00BC7C95"/>
    <w:rsid w:val="00BD7693"/>
    <w:rsid w:val="00BE3649"/>
    <w:rsid w:val="00BE57EB"/>
    <w:rsid w:val="00BE6A54"/>
    <w:rsid w:val="00BF08CC"/>
    <w:rsid w:val="00BF1F6D"/>
    <w:rsid w:val="00BF45EA"/>
    <w:rsid w:val="00BF7540"/>
    <w:rsid w:val="00C07F0F"/>
    <w:rsid w:val="00C174BE"/>
    <w:rsid w:val="00C20118"/>
    <w:rsid w:val="00C234E8"/>
    <w:rsid w:val="00C23913"/>
    <w:rsid w:val="00C25539"/>
    <w:rsid w:val="00C26357"/>
    <w:rsid w:val="00C26370"/>
    <w:rsid w:val="00C2785E"/>
    <w:rsid w:val="00C31829"/>
    <w:rsid w:val="00C333A0"/>
    <w:rsid w:val="00C3558D"/>
    <w:rsid w:val="00C40BD9"/>
    <w:rsid w:val="00C441DB"/>
    <w:rsid w:val="00C449C4"/>
    <w:rsid w:val="00C44C16"/>
    <w:rsid w:val="00C459C8"/>
    <w:rsid w:val="00C45D04"/>
    <w:rsid w:val="00C5464A"/>
    <w:rsid w:val="00C61DA5"/>
    <w:rsid w:val="00C71EB1"/>
    <w:rsid w:val="00C7289E"/>
    <w:rsid w:val="00C76B02"/>
    <w:rsid w:val="00C846FB"/>
    <w:rsid w:val="00C879E1"/>
    <w:rsid w:val="00C921D5"/>
    <w:rsid w:val="00C953DC"/>
    <w:rsid w:val="00CA4DED"/>
    <w:rsid w:val="00CA51BC"/>
    <w:rsid w:val="00CA5E60"/>
    <w:rsid w:val="00CB3FAE"/>
    <w:rsid w:val="00CD0480"/>
    <w:rsid w:val="00CD130F"/>
    <w:rsid w:val="00CD33FC"/>
    <w:rsid w:val="00CD6601"/>
    <w:rsid w:val="00CD668D"/>
    <w:rsid w:val="00CD71A3"/>
    <w:rsid w:val="00CE11E8"/>
    <w:rsid w:val="00CF30A4"/>
    <w:rsid w:val="00CF404C"/>
    <w:rsid w:val="00CF4ACC"/>
    <w:rsid w:val="00D0143B"/>
    <w:rsid w:val="00D01C91"/>
    <w:rsid w:val="00D0466D"/>
    <w:rsid w:val="00D05F73"/>
    <w:rsid w:val="00D10127"/>
    <w:rsid w:val="00D136DA"/>
    <w:rsid w:val="00D1484D"/>
    <w:rsid w:val="00D20D91"/>
    <w:rsid w:val="00D20F4F"/>
    <w:rsid w:val="00D43EF7"/>
    <w:rsid w:val="00D467B6"/>
    <w:rsid w:val="00D5314E"/>
    <w:rsid w:val="00D67A70"/>
    <w:rsid w:val="00D71139"/>
    <w:rsid w:val="00D745D4"/>
    <w:rsid w:val="00D75011"/>
    <w:rsid w:val="00D77512"/>
    <w:rsid w:val="00D80643"/>
    <w:rsid w:val="00D82040"/>
    <w:rsid w:val="00D83C2A"/>
    <w:rsid w:val="00D87AED"/>
    <w:rsid w:val="00D87D14"/>
    <w:rsid w:val="00D9088C"/>
    <w:rsid w:val="00D92498"/>
    <w:rsid w:val="00D93A5E"/>
    <w:rsid w:val="00D965EF"/>
    <w:rsid w:val="00D97523"/>
    <w:rsid w:val="00DA041B"/>
    <w:rsid w:val="00DA4B2F"/>
    <w:rsid w:val="00DA6F20"/>
    <w:rsid w:val="00DB02F2"/>
    <w:rsid w:val="00DB259D"/>
    <w:rsid w:val="00DC4709"/>
    <w:rsid w:val="00DC5C45"/>
    <w:rsid w:val="00DD39C9"/>
    <w:rsid w:val="00DD3B7C"/>
    <w:rsid w:val="00DE1BD5"/>
    <w:rsid w:val="00DE2E70"/>
    <w:rsid w:val="00DE58CA"/>
    <w:rsid w:val="00E01A8C"/>
    <w:rsid w:val="00E04B23"/>
    <w:rsid w:val="00E109D5"/>
    <w:rsid w:val="00E1518D"/>
    <w:rsid w:val="00E15C16"/>
    <w:rsid w:val="00E1712C"/>
    <w:rsid w:val="00E2073A"/>
    <w:rsid w:val="00E316A2"/>
    <w:rsid w:val="00E319FA"/>
    <w:rsid w:val="00E32C2F"/>
    <w:rsid w:val="00E33699"/>
    <w:rsid w:val="00E4077E"/>
    <w:rsid w:val="00E40901"/>
    <w:rsid w:val="00E4136E"/>
    <w:rsid w:val="00E41C43"/>
    <w:rsid w:val="00E52D16"/>
    <w:rsid w:val="00E55672"/>
    <w:rsid w:val="00E5671E"/>
    <w:rsid w:val="00E60750"/>
    <w:rsid w:val="00E612D8"/>
    <w:rsid w:val="00E64DD8"/>
    <w:rsid w:val="00E67397"/>
    <w:rsid w:val="00E71D0A"/>
    <w:rsid w:val="00E71EAA"/>
    <w:rsid w:val="00E805CD"/>
    <w:rsid w:val="00E83AD2"/>
    <w:rsid w:val="00E97C27"/>
    <w:rsid w:val="00E97E79"/>
    <w:rsid w:val="00EA3E09"/>
    <w:rsid w:val="00EA5C3C"/>
    <w:rsid w:val="00EA5FF6"/>
    <w:rsid w:val="00EA7186"/>
    <w:rsid w:val="00EB09BF"/>
    <w:rsid w:val="00EB131A"/>
    <w:rsid w:val="00EB4BDF"/>
    <w:rsid w:val="00EB5E45"/>
    <w:rsid w:val="00EC11D5"/>
    <w:rsid w:val="00EC1E91"/>
    <w:rsid w:val="00EC4E68"/>
    <w:rsid w:val="00ED32D0"/>
    <w:rsid w:val="00ED624F"/>
    <w:rsid w:val="00ED699F"/>
    <w:rsid w:val="00ED7A3E"/>
    <w:rsid w:val="00EE0664"/>
    <w:rsid w:val="00EE1374"/>
    <w:rsid w:val="00EE4EDC"/>
    <w:rsid w:val="00EE5456"/>
    <w:rsid w:val="00EE70A4"/>
    <w:rsid w:val="00EE7B46"/>
    <w:rsid w:val="00EF0566"/>
    <w:rsid w:val="00EF2340"/>
    <w:rsid w:val="00EF5F3E"/>
    <w:rsid w:val="00F01D75"/>
    <w:rsid w:val="00F02870"/>
    <w:rsid w:val="00F02C67"/>
    <w:rsid w:val="00F03619"/>
    <w:rsid w:val="00F04E5D"/>
    <w:rsid w:val="00F060D4"/>
    <w:rsid w:val="00F142EC"/>
    <w:rsid w:val="00F166C7"/>
    <w:rsid w:val="00F16B8F"/>
    <w:rsid w:val="00F209ED"/>
    <w:rsid w:val="00F213BD"/>
    <w:rsid w:val="00F30084"/>
    <w:rsid w:val="00F370F3"/>
    <w:rsid w:val="00F4393E"/>
    <w:rsid w:val="00F537C3"/>
    <w:rsid w:val="00F57E23"/>
    <w:rsid w:val="00F63704"/>
    <w:rsid w:val="00F7242A"/>
    <w:rsid w:val="00F73BEE"/>
    <w:rsid w:val="00F76B1F"/>
    <w:rsid w:val="00F77C64"/>
    <w:rsid w:val="00F813BD"/>
    <w:rsid w:val="00F82001"/>
    <w:rsid w:val="00F83263"/>
    <w:rsid w:val="00F844CC"/>
    <w:rsid w:val="00F855B9"/>
    <w:rsid w:val="00F85942"/>
    <w:rsid w:val="00F859BC"/>
    <w:rsid w:val="00F85E0A"/>
    <w:rsid w:val="00F9230B"/>
    <w:rsid w:val="00F95AB6"/>
    <w:rsid w:val="00FA4CAF"/>
    <w:rsid w:val="00FB10C0"/>
    <w:rsid w:val="00FC483E"/>
    <w:rsid w:val="00FD4E08"/>
    <w:rsid w:val="00FD5FA9"/>
    <w:rsid w:val="00FD6969"/>
    <w:rsid w:val="00FD6B8A"/>
    <w:rsid w:val="00FE0CBC"/>
    <w:rsid w:val="00FE1746"/>
    <w:rsid w:val="00FE5429"/>
    <w:rsid w:val="00FE7796"/>
    <w:rsid w:val="00FF755C"/>
    <w:rsid w:val="01847967"/>
    <w:rsid w:val="06F96CAA"/>
    <w:rsid w:val="083064A5"/>
    <w:rsid w:val="09620346"/>
    <w:rsid w:val="09EB00F0"/>
    <w:rsid w:val="0E00086F"/>
    <w:rsid w:val="0E714FAE"/>
    <w:rsid w:val="0F2C631A"/>
    <w:rsid w:val="11145B6E"/>
    <w:rsid w:val="119638E7"/>
    <w:rsid w:val="13A12370"/>
    <w:rsid w:val="144F4B09"/>
    <w:rsid w:val="19397AAF"/>
    <w:rsid w:val="1AC47EBF"/>
    <w:rsid w:val="1D504023"/>
    <w:rsid w:val="1F72416F"/>
    <w:rsid w:val="20AB796D"/>
    <w:rsid w:val="2126581F"/>
    <w:rsid w:val="241B0C8D"/>
    <w:rsid w:val="263E35BA"/>
    <w:rsid w:val="2677303F"/>
    <w:rsid w:val="270829F1"/>
    <w:rsid w:val="27111A2A"/>
    <w:rsid w:val="28F019EF"/>
    <w:rsid w:val="2C3B6C38"/>
    <w:rsid w:val="2E840181"/>
    <w:rsid w:val="2FDA244D"/>
    <w:rsid w:val="35280841"/>
    <w:rsid w:val="35287A2B"/>
    <w:rsid w:val="3788350C"/>
    <w:rsid w:val="3B3D1806"/>
    <w:rsid w:val="3E6B02F5"/>
    <w:rsid w:val="3ED2798E"/>
    <w:rsid w:val="401976B4"/>
    <w:rsid w:val="40973487"/>
    <w:rsid w:val="41FB70F3"/>
    <w:rsid w:val="426A44DC"/>
    <w:rsid w:val="432A7D99"/>
    <w:rsid w:val="443D1DF4"/>
    <w:rsid w:val="454D625D"/>
    <w:rsid w:val="45AA3D67"/>
    <w:rsid w:val="481C63C7"/>
    <w:rsid w:val="498176A7"/>
    <w:rsid w:val="4A344A0B"/>
    <w:rsid w:val="4BB77DA2"/>
    <w:rsid w:val="4ED679DD"/>
    <w:rsid w:val="50532D22"/>
    <w:rsid w:val="508E2F16"/>
    <w:rsid w:val="51A95109"/>
    <w:rsid w:val="51EE06FB"/>
    <w:rsid w:val="521A4338"/>
    <w:rsid w:val="52985150"/>
    <w:rsid w:val="52AF7CFA"/>
    <w:rsid w:val="53531CCD"/>
    <w:rsid w:val="55044303"/>
    <w:rsid w:val="56F71D77"/>
    <w:rsid w:val="5E133D6F"/>
    <w:rsid w:val="60913C25"/>
    <w:rsid w:val="627F2323"/>
    <w:rsid w:val="634721B5"/>
    <w:rsid w:val="63C64754"/>
    <w:rsid w:val="64B17EC2"/>
    <w:rsid w:val="658C31A6"/>
    <w:rsid w:val="66060E74"/>
    <w:rsid w:val="66412361"/>
    <w:rsid w:val="66DE6A5F"/>
    <w:rsid w:val="6803112E"/>
    <w:rsid w:val="6CD66B93"/>
    <w:rsid w:val="72DC3DCF"/>
    <w:rsid w:val="73180F64"/>
    <w:rsid w:val="75A7245E"/>
    <w:rsid w:val="77D8682E"/>
    <w:rsid w:val="784318B8"/>
    <w:rsid w:val="78841A8D"/>
    <w:rsid w:val="79763B52"/>
    <w:rsid w:val="79AF7203"/>
    <w:rsid w:val="7A5C1FA2"/>
    <w:rsid w:val="7DC44918"/>
    <w:rsid w:val="7F1F201E"/>
    <w:rsid w:val="7F3A49D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46"/>
    <w:qFormat/>
    <w:uiPriority w:val="1"/>
    <w:pPr>
      <w:keepNext/>
      <w:keepLines/>
      <w:spacing w:before="340" w:after="330" w:line="576" w:lineRule="auto"/>
      <w:outlineLvl w:val="0"/>
    </w:pPr>
    <w:rPr>
      <w:b/>
      <w:bCs/>
      <w:kern w:val="44"/>
      <w:sz w:val="44"/>
      <w:szCs w:val="44"/>
    </w:rPr>
  </w:style>
  <w:style w:type="paragraph" w:styleId="4">
    <w:name w:val="heading 2"/>
    <w:basedOn w:val="1"/>
    <w:next w:val="1"/>
    <w:link w:val="47"/>
    <w:unhideWhenUsed/>
    <w:qFormat/>
    <w:uiPriority w:val="9"/>
    <w:pPr>
      <w:keepNext/>
      <w:keepLines/>
      <w:spacing w:before="260" w:after="260" w:line="415" w:lineRule="auto"/>
      <w:outlineLvl w:val="1"/>
    </w:pPr>
    <w:rPr>
      <w:rFonts w:ascii="Cambria" w:hAnsi="Cambria"/>
      <w:b/>
      <w:bCs/>
      <w:kern w:val="0"/>
      <w:sz w:val="32"/>
      <w:szCs w:val="32"/>
    </w:rPr>
  </w:style>
  <w:style w:type="paragraph" w:styleId="5">
    <w:name w:val="heading 3"/>
    <w:basedOn w:val="1"/>
    <w:next w:val="1"/>
    <w:link w:val="48"/>
    <w:unhideWhenUsed/>
    <w:qFormat/>
    <w:uiPriority w:val="9"/>
    <w:pPr>
      <w:keepNext/>
      <w:keepLines/>
      <w:spacing w:before="260" w:after="260" w:line="415" w:lineRule="auto"/>
      <w:outlineLvl w:val="2"/>
    </w:pPr>
    <w:rPr>
      <w:b/>
      <w:bCs/>
      <w:sz w:val="32"/>
      <w:szCs w:val="32"/>
    </w:rPr>
  </w:style>
  <w:style w:type="character" w:default="1" w:styleId="19">
    <w:name w:val="Default Paragraph Font"/>
    <w:unhideWhenUsed/>
    <w:qFormat/>
    <w:uiPriority w:val="1"/>
  </w:style>
  <w:style w:type="table" w:default="1" w:styleId="26">
    <w:name w:val="Normal Table"/>
    <w:unhideWhenUsed/>
    <w:uiPriority w:val="99"/>
    <w:tblPr>
      <w:tblStyle w:val="26"/>
      <w:tblLayout w:type="fixed"/>
      <w:tblCellMar>
        <w:top w:w="0" w:type="dxa"/>
        <w:left w:w="108" w:type="dxa"/>
        <w:bottom w:w="0" w:type="dxa"/>
        <w:right w:w="108" w:type="dxa"/>
      </w:tblCellMar>
    </w:tblPr>
  </w:style>
  <w:style w:type="paragraph" w:styleId="2">
    <w:name w:val="Body Text"/>
    <w:basedOn w:val="1"/>
    <w:link w:val="55"/>
    <w:unhideWhenUsed/>
    <w:qFormat/>
    <w:uiPriority w:val="99"/>
    <w:pPr>
      <w:widowControl/>
      <w:spacing w:after="160"/>
      <w:jc w:val="left"/>
    </w:pPr>
    <w:rPr>
      <w:rFonts w:ascii="仿宋体" w:eastAsia="仿宋体"/>
      <w:kern w:val="0"/>
      <w:sz w:val="20"/>
      <w:lang w:eastAsia="en-US"/>
    </w:rPr>
  </w:style>
  <w:style w:type="paragraph" w:styleId="6">
    <w:name w:val="annotation subject"/>
    <w:basedOn w:val="7"/>
    <w:next w:val="7"/>
    <w:link w:val="57"/>
    <w:unhideWhenUsed/>
    <w:qFormat/>
    <w:uiPriority w:val="99"/>
    <w:rPr>
      <w:rFonts w:ascii="等线" w:hAnsi="等线" w:cs="黑体"/>
      <w:b/>
      <w:bCs/>
    </w:rPr>
  </w:style>
  <w:style w:type="paragraph" w:styleId="7">
    <w:name w:val="annotation text"/>
    <w:basedOn w:val="1"/>
    <w:link w:val="50"/>
    <w:unhideWhenUsed/>
    <w:qFormat/>
    <w:uiPriority w:val="99"/>
    <w:pPr>
      <w:jc w:val="left"/>
    </w:pPr>
  </w:style>
  <w:style w:type="paragraph" w:styleId="8">
    <w:name w:val="Normal Indent"/>
    <w:basedOn w:val="1"/>
    <w:link w:val="49"/>
    <w:unhideWhenUsed/>
    <w:qFormat/>
    <w:uiPriority w:val="0"/>
    <w:pPr>
      <w:ind w:firstLine="420"/>
    </w:pPr>
    <w:rPr>
      <w:rFonts w:ascii="等线" w:hAnsi="等线" w:cs="黑体"/>
    </w:rPr>
  </w:style>
  <w:style w:type="paragraph" w:styleId="9">
    <w:name w:val="Plain Text"/>
    <w:basedOn w:val="1"/>
    <w:link w:val="56"/>
    <w:unhideWhenUsed/>
    <w:qFormat/>
    <w:uiPriority w:val="99"/>
    <w:rPr>
      <w:rFonts w:ascii="宋体" w:hAnsi="Courier New" w:cs="Courier New"/>
      <w:szCs w:val="21"/>
    </w:rPr>
  </w:style>
  <w:style w:type="paragraph" w:styleId="10">
    <w:name w:val="endnote text"/>
    <w:basedOn w:val="1"/>
    <w:link w:val="54"/>
    <w:unhideWhenUsed/>
    <w:qFormat/>
    <w:uiPriority w:val="99"/>
    <w:pPr>
      <w:snapToGrid w:val="0"/>
      <w:jc w:val="left"/>
    </w:pPr>
    <w:rPr>
      <w:rFonts w:ascii="等线" w:hAnsi="等线" w:cs="黑体"/>
    </w:rPr>
  </w:style>
  <w:style w:type="paragraph" w:styleId="11">
    <w:name w:val="Balloon Text"/>
    <w:basedOn w:val="1"/>
    <w:link w:val="58"/>
    <w:unhideWhenUsed/>
    <w:qFormat/>
    <w:uiPriority w:val="99"/>
    <w:rPr>
      <w:rFonts w:ascii="等线" w:hAnsi="等线" w:cs="黑体"/>
      <w:sz w:val="18"/>
      <w:szCs w:val="18"/>
    </w:rPr>
  </w:style>
  <w:style w:type="paragraph" w:styleId="12">
    <w:name w:val="footer"/>
    <w:basedOn w:val="1"/>
    <w:link w:val="53"/>
    <w:unhideWhenUsed/>
    <w:qFormat/>
    <w:uiPriority w:val="99"/>
    <w:pPr>
      <w:tabs>
        <w:tab w:val="center" w:pos="4153"/>
        <w:tab w:val="right" w:pos="8306"/>
      </w:tabs>
      <w:snapToGrid w:val="0"/>
      <w:jc w:val="left"/>
    </w:pPr>
    <w:rPr>
      <w:rFonts w:ascii="等线" w:hAnsi="等线" w:cs="黑体"/>
      <w:sz w:val="18"/>
      <w:szCs w:val="18"/>
    </w:rPr>
  </w:style>
  <w:style w:type="paragraph" w:styleId="13">
    <w:name w:val="header"/>
    <w:basedOn w:val="1"/>
    <w:next w:val="1"/>
    <w:link w:val="52"/>
    <w:unhideWhenUsed/>
    <w:qFormat/>
    <w:uiPriority w:val="99"/>
    <w:pPr>
      <w:pBdr>
        <w:bottom w:val="single" w:color="auto" w:sz="6" w:space="1"/>
      </w:pBdr>
      <w:tabs>
        <w:tab w:val="center" w:pos="4153"/>
        <w:tab w:val="right" w:pos="8306"/>
      </w:tabs>
      <w:snapToGrid w:val="0"/>
      <w:jc w:val="center"/>
    </w:pPr>
    <w:rPr>
      <w:rFonts w:ascii="等线" w:hAnsi="等线" w:cs="黑体"/>
      <w:sz w:val="18"/>
      <w:szCs w:val="18"/>
    </w:rPr>
  </w:style>
  <w:style w:type="paragraph" w:styleId="14">
    <w:name w:val="toc 1"/>
    <w:basedOn w:val="15"/>
    <w:next w:val="3"/>
    <w:unhideWhenUsed/>
    <w:qFormat/>
    <w:uiPriority w:val="39"/>
    <w:pPr>
      <w:widowControl/>
      <w:tabs>
        <w:tab w:val="right" w:leader="dot" w:pos="9514"/>
      </w:tabs>
      <w:spacing w:line="440" w:lineRule="exact"/>
      <w:jc w:val="center"/>
    </w:pPr>
    <w:rPr>
      <w:rFonts w:eastAsia="黑体"/>
      <w:b/>
      <w:i w:val="0"/>
      <w:sz w:val="24"/>
      <w:szCs w:val="24"/>
    </w:rPr>
  </w:style>
  <w:style w:type="paragraph" w:customStyle="1" w:styleId="15">
    <w:name w:val="引用1"/>
    <w:basedOn w:val="1"/>
    <w:next w:val="1"/>
    <w:link w:val="59"/>
    <w:qFormat/>
    <w:uiPriority w:val="29"/>
    <w:rPr>
      <w:rFonts w:ascii="等线" w:hAnsi="等线" w:cs="黑体"/>
      <w:i/>
      <w:iCs/>
      <w:color w:val="000000"/>
    </w:rPr>
  </w:style>
  <w:style w:type="paragraph" w:styleId="16">
    <w:name w:val="toc 4"/>
    <w:basedOn w:val="1"/>
    <w:next w:val="1"/>
    <w:unhideWhenUsed/>
    <w:qFormat/>
    <w:uiPriority w:val="39"/>
    <w:pPr>
      <w:ind w:left="1260" w:leftChars="600"/>
    </w:pPr>
  </w:style>
  <w:style w:type="paragraph" w:styleId="17">
    <w:name w:val="toc 2"/>
    <w:basedOn w:val="15"/>
    <w:next w:val="4"/>
    <w:unhideWhenUsed/>
    <w:qFormat/>
    <w:uiPriority w:val="39"/>
    <w:pPr>
      <w:widowControl/>
      <w:tabs>
        <w:tab w:val="left" w:pos="756"/>
        <w:tab w:val="left" w:pos="966"/>
        <w:tab w:val="left" w:pos="1204"/>
        <w:tab w:val="right" w:leader="dot" w:pos="9514"/>
      </w:tabs>
      <w:spacing w:line="276" w:lineRule="auto"/>
      <w:ind w:left="220"/>
      <w:jc w:val="left"/>
    </w:pPr>
    <w:rPr>
      <w:rFonts w:ascii="宋体" w:hAnsi="宋体"/>
      <w:i w:val="0"/>
      <w:sz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20">
    <w:name w:val="Strong"/>
    <w:basedOn w:val="19"/>
    <w:qFormat/>
    <w:uiPriority w:val="22"/>
    <w:rPr>
      <w:b/>
      <w:sz w:val="24"/>
      <w:szCs w:val="24"/>
    </w:rPr>
  </w:style>
  <w:style w:type="character" w:styleId="21">
    <w:name w:val="FollowedHyperlink"/>
    <w:basedOn w:val="19"/>
    <w:unhideWhenUsed/>
    <w:qFormat/>
    <w:uiPriority w:val="99"/>
    <w:rPr>
      <w:color w:val="954F72"/>
      <w:u w:val="single"/>
    </w:rPr>
  </w:style>
  <w:style w:type="character" w:styleId="22">
    <w:name w:val="Emphasis"/>
    <w:qFormat/>
    <w:uiPriority w:val="20"/>
    <w:rPr>
      <w:i/>
      <w:iCs/>
    </w:rPr>
  </w:style>
  <w:style w:type="character" w:styleId="23">
    <w:name w:val="Hyperlink"/>
    <w:unhideWhenUsed/>
    <w:qFormat/>
    <w:uiPriority w:val="99"/>
    <w:rPr>
      <w:color w:val="0000FF"/>
      <w:u w:val="single"/>
    </w:rPr>
  </w:style>
  <w:style w:type="character" w:styleId="24">
    <w:name w:val="annotation reference"/>
    <w:basedOn w:val="19"/>
    <w:unhideWhenUsed/>
    <w:qFormat/>
    <w:uiPriority w:val="99"/>
    <w:rPr>
      <w:sz w:val="21"/>
      <w:szCs w:val="21"/>
    </w:rPr>
  </w:style>
  <w:style w:type="character" w:styleId="25">
    <w:name w:val="HTML Cite"/>
    <w:basedOn w:val="19"/>
    <w:unhideWhenUsed/>
    <w:qFormat/>
    <w:uiPriority w:val="99"/>
    <w:rPr>
      <w:sz w:val="24"/>
      <w:szCs w:val="24"/>
    </w:rPr>
  </w:style>
  <w:style w:type="table" w:styleId="27">
    <w:name w:val="Table Grid"/>
    <w:basedOn w:val="26"/>
    <w:qFormat/>
    <w:uiPriority w:val="59"/>
    <w:pPr>
      <w:widowControl w:val="0"/>
      <w:jc w:val="both"/>
    </w:p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msonormal"/>
    <w:basedOn w:val="1"/>
    <w:qFormat/>
    <w:uiPriority w:val="99"/>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29">
    <w:name w:val="列出段落1"/>
    <w:basedOn w:val="1"/>
    <w:link w:val="64"/>
    <w:qFormat/>
    <w:uiPriority w:val="34"/>
    <w:pPr>
      <w:ind w:firstLine="420" w:firstLineChars="200"/>
    </w:pPr>
  </w:style>
  <w:style w:type="paragraph" w:customStyle="1" w:styleId="30">
    <w:name w:val="列出段落11"/>
    <w:basedOn w:val="1"/>
    <w:qFormat/>
    <w:uiPriority w:val="34"/>
    <w:pPr>
      <w:ind w:firstLine="420" w:firstLineChars="200"/>
    </w:pPr>
  </w:style>
  <w:style w:type="paragraph" w:customStyle="1" w:styleId="31">
    <w:name w:val="TOC 标题1"/>
    <w:basedOn w:val="3"/>
    <w:next w:val="1"/>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32">
    <w:name w:val="列出段落2"/>
    <w:basedOn w:val="1"/>
    <w:qFormat/>
    <w:uiPriority w:val="34"/>
    <w:pPr>
      <w:ind w:firstLine="420" w:firstLineChars="200"/>
    </w:pPr>
  </w:style>
  <w:style w:type="paragraph" w:customStyle="1" w:styleId="33">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段落"/>
    <w:basedOn w:val="1"/>
    <w:qFormat/>
    <w:uiPriority w:val="99"/>
    <w:pPr>
      <w:shd w:val="clear" w:color="auto" w:fill="FFFFFF"/>
      <w:spacing w:line="360" w:lineRule="auto"/>
      <w:ind w:firstLine="480" w:firstLineChars="200"/>
    </w:pPr>
    <w:rPr>
      <w:rFonts w:ascii="Calibri" w:hAnsi="Calibri" w:cs="黑体"/>
      <w:sz w:val="24"/>
    </w:rPr>
  </w:style>
  <w:style w:type="paragraph" w:customStyle="1" w:styleId="35">
    <w:name w:val="Default"/>
    <w:qFormat/>
    <w:uiPriority w:val="99"/>
    <w:pPr>
      <w:widowControl w:val="0"/>
      <w:autoSpaceDE w:val="0"/>
      <w:autoSpaceDN w:val="0"/>
      <w:adjustRightInd w:val="0"/>
    </w:pPr>
    <w:rPr>
      <w:rFonts w:ascii="Arial Unicode MS" w:hAnsi="Arial Unicode MS" w:eastAsia="Arial Unicode MS" w:cs="Times New Roman"/>
      <w:color w:val="000000"/>
      <w:sz w:val="24"/>
      <w:lang w:val="en-US" w:eastAsia="zh-CN" w:bidi="ar-SA"/>
    </w:rPr>
  </w:style>
  <w:style w:type="paragraph" w:customStyle="1" w:styleId="36">
    <w:name w:val="样式 标题 1 + 四号 居中 段前: 12 磅 段后: 12 磅 行距: 单倍行距"/>
    <w:basedOn w:val="3"/>
    <w:qFormat/>
    <w:uiPriority w:val="99"/>
    <w:pPr>
      <w:spacing w:before="240" w:after="240" w:line="240" w:lineRule="auto"/>
      <w:ind w:firstLine="288"/>
      <w:jc w:val="center"/>
    </w:pPr>
    <w:rPr>
      <w:rFonts w:ascii="Calibri" w:hAnsi="Calibri" w:cs="宋体"/>
      <w:sz w:val="28"/>
      <w:szCs w:val="20"/>
    </w:rPr>
  </w:style>
  <w:style w:type="paragraph" w:customStyle="1" w:styleId="37">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样式 标题 3 + (中文) 黑体 小四 非加粗 段前: 7.8 磅 段后: 0 磅 行距: 固定值 20 磅"/>
    <w:basedOn w:val="5"/>
    <w:qFormat/>
    <w:uiPriority w:val="99"/>
    <w:pPr>
      <w:spacing w:before="0" w:after="0" w:line="400" w:lineRule="exact"/>
    </w:pPr>
    <w:rPr>
      <w:rFonts w:ascii="Calibri" w:hAnsi="Calibri" w:eastAsia="黑体" w:cs="宋体"/>
      <w:b w:val="0"/>
      <w:sz w:val="24"/>
      <w:szCs w:val="20"/>
    </w:rPr>
  </w:style>
  <w:style w:type="paragraph" w:customStyle="1" w:styleId="39">
    <w:name w:val="Table Paragraph"/>
    <w:basedOn w:val="1"/>
    <w:qFormat/>
    <w:uiPriority w:val="99"/>
    <w:pPr>
      <w:widowControl/>
      <w:autoSpaceDE w:val="0"/>
      <w:autoSpaceDN w:val="0"/>
      <w:jc w:val="left"/>
    </w:pPr>
    <w:rPr>
      <w:rFonts w:ascii="Noto Sans Mono CJK JP Regular" w:hAnsi="Noto Sans Mono CJK JP Regular" w:cs="Noto Sans Mono CJK JP Regular"/>
      <w:kern w:val="0"/>
      <w:sz w:val="22"/>
      <w:lang w:val="zh-CN"/>
    </w:rPr>
  </w:style>
  <w:style w:type="paragraph" w:customStyle="1" w:styleId="40">
    <w:name w:val="纯文本1"/>
    <w:basedOn w:val="1"/>
    <w:qFormat/>
    <w:uiPriority w:val="99"/>
    <w:pPr>
      <w:widowControl/>
      <w:spacing w:after="200" w:line="276" w:lineRule="auto"/>
      <w:jc w:val="left"/>
    </w:pPr>
    <w:rPr>
      <w:rFonts w:ascii="宋体" w:hAnsi="Courier New"/>
      <w:kern w:val="0"/>
      <w:sz w:val="22"/>
      <w:szCs w:val="21"/>
    </w:rPr>
  </w:style>
  <w:style w:type="paragraph" w:customStyle="1" w:styleId="41">
    <w:name w:val="footnote description"/>
    <w:next w:val="1"/>
    <w:link w:val="60"/>
    <w:qFormat/>
    <w:uiPriority w:val="0"/>
    <w:pPr>
      <w:spacing w:line="256" w:lineRule="auto"/>
      <w:ind w:left="14"/>
    </w:pPr>
    <w:rPr>
      <w:rFonts w:ascii="宋体" w:hAnsi="宋体" w:eastAsia="宋体" w:cs="宋体"/>
      <w:color w:val="000000"/>
      <w:kern w:val="2"/>
      <w:sz w:val="18"/>
      <w:szCs w:val="22"/>
      <w:lang w:val="en-US" w:eastAsia="zh-CN" w:bidi="ar-SA"/>
    </w:rPr>
  </w:style>
  <w:style w:type="paragraph" w:customStyle="1" w:styleId="42">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43">
    <w:name w:val="表格字体"/>
    <w:basedOn w:val="1"/>
    <w:qFormat/>
    <w:uiPriority w:val="0"/>
    <w:pPr>
      <w:widowControl/>
      <w:spacing w:line="400" w:lineRule="exact"/>
    </w:pPr>
    <w:rPr>
      <w:rFonts w:hint="eastAsia" w:cs="宋体"/>
      <w:bCs/>
      <w:color w:val="000000"/>
      <w:kern w:val="0"/>
      <w:sz w:val="24"/>
      <w:szCs w:val="18"/>
    </w:rPr>
  </w:style>
  <w:style w:type="paragraph" w:customStyle="1" w:styleId="44">
    <w:name w:val="列出段落111"/>
    <w:basedOn w:val="1"/>
    <w:qFormat/>
    <w:uiPriority w:val="99"/>
    <w:pPr>
      <w:ind w:firstLine="420" w:firstLineChars="200"/>
    </w:pPr>
  </w:style>
  <w:style w:type="paragraph" w:customStyle="1" w:styleId="45">
    <w:name w:val="List Paragraph"/>
    <w:basedOn w:val="1"/>
    <w:qFormat/>
    <w:uiPriority w:val="34"/>
    <w:pPr>
      <w:ind w:firstLine="420" w:firstLineChars="200"/>
    </w:pPr>
    <w:rPr>
      <w:rFonts w:ascii="Times New Roman" w:hAnsi="Times New Roman" w:eastAsia="宋体" w:cs="Times New Roman"/>
      <w:szCs w:val="24"/>
    </w:rPr>
  </w:style>
  <w:style w:type="character" w:customStyle="1" w:styleId="46">
    <w:name w:val="标题 1 字符"/>
    <w:basedOn w:val="19"/>
    <w:link w:val="3"/>
    <w:qFormat/>
    <w:uiPriority w:val="1"/>
    <w:rPr>
      <w:rFonts w:ascii="Times New Roman" w:hAnsi="Times New Roman" w:eastAsia="宋体" w:cs="Times New Roman"/>
      <w:b/>
      <w:bCs/>
      <w:kern w:val="44"/>
      <w:sz w:val="44"/>
      <w:szCs w:val="44"/>
    </w:rPr>
  </w:style>
  <w:style w:type="character" w:customStyle="1" w:styleId="47">
    <w:name w:val="标题 2 字符"/>
    <w:basedOn w:val="19"/>
    <w:link w:val="4"/>
    <w:semiHidden/>
    <w:qFormat/>
    <w:uiPriority w:val="9"/>
    <w:rPr>
      <w:rFonts w:ascii="Cambria" w:hAnsi="Cambria" w:eastAsia="宋体" w:cs="Times New Roman"/>
      <w:b/>
      <w:bCs/>
      <w:kern w:val="0"/>
      <w:sz w:val="32"/>
      <w:szCs w:val="32"/>
    </w:rPr>
  </w:style>
  <w:style w:type="character" w:customStyle="1" w:styleId="48">
    <w:name w:val="标题 3 字符"/>
    <w:basedOn w:val="19"/>
    <w:link w:val="5"/>
    <w:semiHidden/>
    <w:qFormat/>
    <w:uiPriority w:val="9"/>
    <w:rPr>
      <w:rFonts w:ascii="Times New Roman" w:hAnsi="Times New Roman" w:eastAsia="宋体" w:cs="Times New Roman"/>
      <w:b/>
      <w:bCs/>
      <w:sz w:val="32"/>
      <w:szCs w:val="32"/>
    </w:rPr>
  </w:style>
  <w:style w:type="character" w:customStyle="1" w:styleId="49">
    <w:name w:val="正文缩进 字符"/>
    <w:link w:val="8"/>
    <w:semiHidden/>
    <w:qFormat/>
    <w:locked/>
    <w:uiPriority w:val="0"/>
  </w:style>
  <w:style w:type="character" w:customStyle="1" w:styleId="50">
    <w:name w:val="批注文字 字符1"/>
    <w:basedOn w:val="19"/>
    <w:link w:val="7"/>
    <w:semiHidden/>
    <w:qFormat/>
    <w:locked/>
    <w:uiPriority w:val="99"/>
    <w:rPr>
      <w:rFonts w:ascii="Times New Roman" w:hAnsi="Times New Roman" w:eastAsia="宋体" w:cs="Times New Roman"/>
    </w:rPr>
  </w:style>
  <w:style w:type="character" w:customStyle="1" w:styleId="51">
    <w:name w:val="批注文字 字符"/>
    <w:basedOn w:val="19"/>
    <w:semiHidden/>
    <w:qFormat/>
    <w:uiPriority w:val="99"/>
    <w:rPr>
      <w:rFonts w:ascii="Times New Roman" w:hAnsi="Times New Roman" w:eastAsia="宋体" w:cs="Times New Roman"/>
    </w:rPr>
  </w:style>
  <w:style w:type="character" w:customStyle="1" w:styleId="52">
    <w:name w:val="页眉 字符"/>
    <w:basedOn w:val="19"/>
    <w:link w:val="13"/>
    <w:qFormat/>
    <w:uiPriority w:val="99"/>
    <w:rPr>
      <w:sz w:val="18"/>
      <w:szCs w:val="18"/>
    </w:rPr>
  </w:style>
  <w:style w:type="character" w:customStyle="1" w:styleId="53">
    <w:name w:val="页脚 字符"/>
    <w:basedOn w:val="19"/>
    <w:link w:val="12"/>
    <w:qFormat/>
    <w:uiPriority w:val="99"/>
    <w:rPr>
      <w:sz w:val="18"/>
      <w:szCs w:val="18"/>
    </w:rPr>
  </w:style>
  <w:style w:type="character" w:customStyle="1" w:styleId="54">
    <w:name w:val="尾注文本 字符"/>
    <w:basedOn w:val="19"/>
    <w:link w:val="10"/>
    <w:semiHidden/>
    <w:qFormat/>
    <w:uiPriority w:val="99"/>
    <w:rPr/>
  </w:style>
  <w:style w:type="character" w:customStyle="1" w:styleId="55">
    <w:name w:val="正文文本 字符"/>
    <w:basedOn w:val="19"/>
    <w:link w:val="2"/>
    <w:semiHidden/>
    <w:qFormat/>
    <w:uiPriority w:val="99"/>
    <w:rPr>
      <w:rFonts w:ascii="仿宋体" w:hAnsi="Times New Roman" w:eastAsia="仿宋体" w:cs="Times New Roman"/>
      <w:kern w:val="0"/>
      <w:sz w:val="20"/>
      <w:lang w:eastAsia="en-US"/>
    </w:rPr>
  </w:style>
  <w:style w:type="character" w:customStyle="1" w:styleId="56">
    <w:name w:val="纯文本 字符"/>
    <w:basedOn w:val="19"/>
    <w:link w:val="9"/>
    <w:semiHidden/>
    <w:qFormat/>
    <w:uiPriority w:val="99"/>
    <w:rPr>
      <w:rFonts w:ascii="宋体" w:hAnsi="Courier New" w:cs="Courier New"/>
      <w:szCs w:val="21"/>
    </w:rPr>
  </w:style>
  <w:style w:type="character" w:customStyle="1" w:styleId="57">
    <w:name w:val="批注主题 字符"/>
    <w:basedOn w:val="51"/>
    <w:link w:val="6"/>
    <w:semiHidden/>
    <w:qFormat/>
    <w:uiPriority w:val="99"/>
    <w:rPr>
      <w:rFonts w:ascii="Times New Roman" w:hAnsi="Times New Roman" w:eastAsia="宋体" w:cs="Times New Roman"/>
      <w:b/>
      <w:bCs/>
    </w:rPr>
  </w:style>
  <w:style w:type="character" w:customStyle="1" w:styleId="58">
    <w:name w:val="批注框文本 字符"/>
    <w:basedOn w:val="19"/>
    <w:link w:val="11"/>
    <w:semiHidden/>
    <w:qFormat/>
    <w:uiPriority w:val="99"/>
    <w:rPr>
      <w:sz w:val="18"/>
      <w:szCs w:val="18"/>
    </w:rPr>
  </w:style>
  <w:style w:type="character" w:customStyle="1" w:styleId="59">
    <w:name w:val="引用 Char"/>
    <w:link w:val="15"/>
    <w:qFormat/>
    <w:locked/>
    <w:uiPriority w:val="29"/>
    <w:rPr>
      <w:i/>
      <w:iCs/>
      <w:color w:val="000000"/>
    </w:rPr>
  </w:style>
  <w:style w:type="character" w:customStyle="1" w:styleId="60">
    <w:name w:val="footnote description Char"/>
    <w:link w:val="41"/>
    <w:qFormat/>
    <w:locked/>
    <w:uiPriority w:val="0"/>
    <w:rPr>
      <w:rFonts w:ascii="宋体" w:hAnsi="宋体" w:eastAsia="宋体" w:cs="宋体"/>
      <w:color w:val="000000"/>
      <w:sz w:val="18"/>
    </w:rPr>
  </w:style>
  <w:style w:type="character" w:customStyle="1" w:styleId="61">
    <w:name w:val="font01"/>
    <w:qFormat/>
    <w:uiPriority w:val="0"/>
    <w:rPr>
      <w:rFonts w:hint="eastAsia" w:ascii="宋体" w:hAnsi="宋体" w:eastAsia="宋体" w:cs="宋体"/>
      <w:color w:val="000000"/>
      <w:sz w:val="20"/>
      <w:szCs w:val="20"/>
      <w:u w:val="none"/>
    </w:rPr>
  </w:style>
  <w:style w:type="character" w:customStyle="1" w:styleId="62">
    <w:name w:val="font21"/>
    <w:qFormat/>
    <w:uiPriority w:val="0"/>
    <w:rPr>
      <w:rFonts w:hint="eastAsia" w:ascii="宋体" w:hAnsi="宋体" w:eastAsia="宋体"/>
      <w:color w:val="000000"/>
      <w:sz w:val="20"/>
      <w:szCs w:val="20"/>
      <w:u w:val="none"/>
    </w:rPr>
  </w:style>
  <w:style w:type="character" w:customStyle="1" w:styleId="63">
    <w:name w:val="纯文本 字符1"/>
    <w:basedOn w:val="19"/>
    <w:qFormat/>
    <w:uiPriority w:val="0"/>
    <w:rPr>
      <w:rFonts w:hint="eastAsia" w:ascii="宋体" w:hAnsi="Courier New" w:eastAsia="等线" w:cs="Courier New"/>
    </w:rPr>
  </w:style>
  <w:style w:type="character" w:customStyle="1" w:styleId="64">
    <w:name w:val="列出段落 字符"/>
    <w:link w:val="29"/>
    <w:qFormat/>
    <w:uiPriority w:val="34"/>
    <w:rPr>
      <w:rFonts w:ascii="Times New Roman" w:hAnsi="Times New Roman" w:eastAsia="宋体" w:cs="Times New Roman"/>
    </w:rPr>
  </w:style>
  <w:style w:type="character" w:customStyle="1" w:styleId="65">
    <w:name w:val="页脚 字符1"/>
    <w:basedOn w:val="19"/>
    <w:semiHidden/>
    <w:qFormat/>
    <w:uiPriority w:val="99"/>
    <w:rPr>
      <w:rFonts w:hint="default" w:ascii="Times New Roman" w:hAnsi="Times New Roman" w:eastAsia="宋体" w:cs="Times New Roman"/>
      <w:sz w:val="18"/>
      <w:szCs w:val="18"/>
    </w:rPr>
  </w:style>
  <w:style w:type="character" w:customStyle="1" w:styleId="66">
    <w:name w:val="尾注文本 字符1"/>
    <w:basedOn w:val="19"/>
    <w:semiHidden/>
    <w:qFormat/>
    <w:uiPriority w:val="99"/>
    <w:rPr>
      <w:rFonts w:hint="default" w:ascii="Times New Roman" w:hAnsi="Times New Roman" w:eastAsia="宋体" w:cs="Times New Roman"/>
    </w:rPr>
  </w:style>
  <w:style w:type="character" w:customStyle="1" w:styleId="67">
    <w:name w:val="批注主题 字符1"/>
    <w:basedOn w:val="51"/>
    <w:semiHidden/>
    <w:qFormat/>
    <w:uiPriority w:val="99"/>
    <w:rPr>
      <w:rFonts w:hint="default" w:ascii="Times New Roman" w:hAnsi="Times New Roman" w:eastAsia="宋体" w:cs="Times New Roman"/>
      <w:b/>
      <w:bCs/>
    </w:rPr>
  </w:style>
  <w:style w:type="character" w:customStyle="1" w:styleId="68">
    <w:name w:val="批注框文本 字符1"/>
    <w:basedOn w:val="19"/>
    <w:semiHidden/>
    <w:qFormat/>
    <w:uiPriority w:val="99"/>
    <w:rPr>
      <w:rFonts w:hint="default" w:ascii="Times New Roman" w:hAnsi="Times New Roman" w:eastAsia="宋体" w:cs="Times New Roman"/>
      <w:sz w:val="18"/>
      <w:szCs w:val="18"/>
    </w:rPr>
  </w:style>
  <w:style w:type="table" w:customStyle="1" w:styleId="69">
    <w:name w:val="网格型1"/>
    <w:basedOn w:val="26"/>
    <w:qFormat/>
    <w:uiPriority w:val="59"/>
    <w:pPr>
      <w:widowControl w:val="0"/>
      <w:jc w:val="both"/>
    </w:p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80</Pages>
  <Words>48415</Words>
  <Characters>54709</Characters>
  <Lines>452</Lines>
  <Paragraphs>127</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2021-05-26T06:10:00Z</dcterms:created>
  <dc:creator>WG</dc:creator>
  <cp:lastModifiedBy>w</cp:lastModifiedBy>
  <cp:lastPrinted>2021-06-18T01:38:00Z</cp:lastPrinted>
  <dcterms:modified xsi:type="dcterms:W3CDTF">2022-12-06T14:37:18Z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76DD6B1573CE4F32B31D55B8FE87BC1A</vt:lpwstr>
  </property>
</Properties>
</file>