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s="宋体"/>
          <w:b/>
          <w:color w:val="auto"/>
          <w:spacing w:val="60"/>
          <w:sz w:val="72"/>
          <w:highlight w:val="none"/>
        </w:rPr>
      </w:pPr>
    </w:p>
    <w:p>
      <w:pPr>
        <w:spacing w:line="500" w:lineRule="exact"/>
        <w:rPr>
          <w:rFonts w:hint="eastAsia" w:ascii="宋体" w:hAnsi="宋体" w:cs="宋体"/>
          <w:b/>
          <w:color w:val="auto"/>
          <w:spacing w:val="60"/>
          <w:sz w:val="72"/>
          <w:highlight w:val="none"/>
        </w:rPr>
      </w:pPr>
    </w:p>
    <w:p>
      <w:pPr>
        <w:spacing w:line="500" w:lineRule="exact"/>
        <w:rPr>
          <w:rFonts w:hint="eastAsia" w:ascii="宋体" w:hAnsi="宋体" w:cs="宋体"/>
          <w:b/>
          <w:color w:val="auto"/>
          <w:spacing w:val="60"/>
          <w:sz w:val="72"/>
          <w:highlight w:val="none"/>
        </w:rPr>
      </w:pPr>
    </w:p>
    <w:p>
      <w:pPr>
        <w:spacing w:line="500" w:lineRule="exact"/>
        <w:rPr>
          <w:rFonts w:hint="eastAsia" w:ascii="宋体" w:hAnsi="宋体" w:cs="宋体"/>
          <w:b/>
          <w:color w:val="auto"/>
          <w:spacing w:val="60"/>
          <w:sz w:val="72"/>
          <w:highlight w:val="none"/>
        </w:rPr>
      </w:pPr>
    </w:p>
    <w:p>
      <w:pPr>
        <w:spacing w:line="500" w:lineRule="exact"/>
        <w:jc w:val="center"/>
        <w:rPr>
          <w:rFonts w:hint="eastAsia" w:ascii="宋体" w:hAnsi="宋体"/>
          <w:b/>
          <w:color w:val="auto"/>
          <w:sz w:val="52"/>
          <w:szCs w:val="52"/>
          <w:highlight w:val="none"/>
        </w:rPr>
      </w:pPr>
      <w:r>
        <w:rPr>
          <w:rFonts w:hint="eastAsia" w:ascii="宋体" w:hAnsi="宋体"/>
          <w:b/>
          <w:color w:val="auto"/>
          <w:sz w:val="52"/>
          <w:szCs w:val="52"/>
          <w:highlight w:val="none"/>
        </w:rPr>
        <w:t>大连理工大学货物采购</w:t>
      </w:r>
    </w:p>
    <w:p>
      <w:pPr>
        <w:jc w:val="center"/>
        <w:rPr>
          <w:rFonts w:hint="eastAsia" w:ascii="宋体" w:hAnsi="宋体"/>
          <w:b/>
          <w:color w:val="auto"/>
          <w:spacing w:val="60"/>
          <w:sz w:val="72"/>
          <w:highlight w:val="none"/>
        </w:rPr>
      </w:pPr>
    </w:p>
    <w:p>
      <w:pPr>
        <w:jc w:val="center"/>
        <w:rPr>
          <w:rFonts w:hint="eastAsia" w:ascii="宋体" w:hAnsi="宋体"/>
          <w:b/>
          <w:color w:val="auto"/>
          <w:spacing w:val="60"/>
          <w:sz w:val="72"/>
          <w:highlight w:val="none"/>
        </w:rPr>
      </w:pPr>
    </w:p>
    <w:p>
      <w:pPr>
        <w:jc w:val="center"/>
        <w:rPr>
          <w:rFonts w:ascii="宋体" w:hAnsi="宋体"/>
          <w:b/>
          <w:color w:val="auto"/>
          <w:spacing w:val="60"/>
          <w:sz w:val="84"/>
          <w:szCs w:val="84"/>
          <w:highlight w:val="none"/>
        </w:rPr>
      </w:pPr>
      <w:r>
        <w:rPr>
          <w:rFonts w:hint="eastAsia" w:ascii="宋体" w:hAnsi="宋体"/>
          <w:b/>
          <w:color w:val="auto"/>
          <w:spacing w:val="60"/>
          <w:sz w:val="84"/>
          <w:szCs w:val="84"/>
          <w:highlight w:val="none"/>
        </w:rPr>
        <w:t>竞争性磋商文件</w:t>
      </w: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jc w:val="center"/>
        <w:rPr>
          <w:rFonts w:hint="eastAsia" w:ascii="宋体" w:hAnsi="宋体"/>
          <w:color w:val="auto"/>
          <w:highlight w:val="none"/>
        </w:rPr>
      </w:pPr>
    </w:p>
    <w:p>
      <w:pPr>
        <w:jc w:val="center"/>
        <w:rPr>
          <w:rFonts w:hint="eastAsia" w:ascii="宋体" w:hAnsi="宋体"/>
          <w:color w:val="auto"/>
          <w:highlight w:val="none"/>
        </w:rPr>
      </w:pPr>
    </w:p>
    <w:p>
      <w:pPr>
        <w:jc w:val="center"/>
        <w:rPr>
          <w:rFonts w:hint="eastAsia" w:ascii="宋体" w:hAnsi="宋体"/>
          <w:color w:val="auto"/>
          <w:highlight w:val="none"/>
        </w:rPr>
      </w:pPr>
    </w:p>
    <w:p>
      <w:pPr>
        <w:jc w:val="center"/>
        <w:rPr>
          <w:rFonts w:hint="eastAsia" w:ascii="宋体" w:hAnsi="宋体"/>
          <w:color w:val="auto"/>
          <w:highlight w:val="none"/>
        </w:rPr>
      </w:pPr>
    </w:p>
    <w:p>
      <w:pP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spacing w:line="500" w:lineRule="exact"/>
        <w:ind w:firstLine="1920"/>
        <w:rPr>
          <w:rFonts w:hint="eastAsia" w:ascii="宋体" w:hAnsi="宋体" w:cs="宋体"/>
          <w:color w:val="auto"/>
          <w:sz w:val="32"/>
          <w:highlight w:val="none"/>
        </w:rPr>
      </w:pPr>
    </w:p>
    <w:p>
      <w:pPr>
        <w:jc w:val="center"/>
        <w:rPr>
          <w:rFonts w:hint="eastAsia" w:ascii="宋体" w:hAnsi="宋体" w:cs="宋体"/>
          <w:color w:val="auto"/>
          <w:highlight w:val="none"/>
        </w:rPr>
      </w:pPr>
    </w:p>
    <w:p>
      <w:pPr>
        <w:spacing w:line="360" w:lineRule="auto"/>
        <w:ind w:left="1461" w:hanging="1461" w:hangingChars="485"/>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大连理工大学超高速视频级原子力显微镜采购项目</w:t>
      </w:r>
    </w:p>
    <w:p>
      <w:pPr>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HYPERLINK "http://agent.yuncaitong.cn:5099/agent/e?page=psms.agenttender.agent.detail.access&amp;businessCode=psms5_tender&amp;businessId=e3cdd461d2c903e0de339e9354e0b5d2" \o "[DUTASC-2022528] - 气质联用酶学检测分析" \t "http://agent.yuncaitong.cn:5099/agent/newblank" </w:instrText>
      </w:r>
      <w:r>
        <w:rPr>
          <w:rFonts w:hint="eastAsia" w:ascii="宋体" w:hAnsi="宋体" w:cs="宋体"/>
          <w:b/>
          <w:color w:val="auto"/>
          <w:sz w:val="30"/>
          <w:szCs w:val="30"/>
          <w:highlight w:val="none"/>
        </w:rPr>
        <w:fldChar w:fldCharType="separate"/>
      </w:r>
      <w:r>
        <w:rPr>
          <w:rFonts w:hint="eastAsia" w:ascii="宋体" w:hAnsi="宋体" w:cs="宋体"/>
          <w:b/>
          <w:color w:val="auto"/>
          <w:sz w:val="30"/>
          <w:szCs w:val="30"/>
          <w:highlight w:val="none"/>
          <w:lang w:eastAsia="zh-CN"/>
        </w:rPr>
        <w:t>DUTASC-2022417</w:t>
      </w:r>
      <w:r>
        <w:rPr>
          <w:rFonts w:hint="eastAsia" w:ascii="宋体" w:hAnsi="宋体" w:cs="宋体"/>
          <w:b/>
          <w:color w:val="auto"/>
          <w:sz w:val="30"/>
          <w:szCs w:val="30"/>
          <w:highlight w:val="none"/>
        </w:rPr>
        <w:fldChar w:fldCharType="end"/>
      </w:r>
    </w:p>
    <w:p>
      <w:pPr>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采 购 人：大连理工大学</w:t>
      </w:r>
    </w:p>
    <w:p>
      <w:pPr>
        <w:tabs>
          <w:tab w:val="left" w:pos="1843"/>
        </w:tabs>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采购代理</w:t>
      </w:r>
      <w:r>
        <w:rPr>
          <w:rFonts w:hint="eastAsia" w:ascii="宋体" w:hAnsi="宋体"/>
          <w:b/>
          <w:bCs/>
          <w:color w:val="auto"/>
          <w:sz w:val="30"/>
          <w:szCs w:val="30"/>
          <w:highlight w:val="none"/>
          <w:lang w:val="en-US" w:eastAsia="zh-CN"/>
        </w:rPr>
        <w:t>机构</w:t>
      </w:r>
      <w:r>
        <w:rPr>
          <w:rFonts w:hint="eastAsia" w:ascii="宋体" w:hAnsi="宋体"/>
          <w:b/>
          <w:bCs/>
          <w:color w:val="auto"/>
          <w:sz w:val="30"/>
          <w:szCs w:val="30"/>
          <w:highlight w:val="none"/>
        </w:rPr>
        <w:t>：</w:t>
      </w:r>
      <w:r>
        <w:rPr>
          <w:rFonts w:hint="eastAsia" w:ascii="宋体" w:hAnsi="宋体" w:cs="宋体"/>
          <w:b/>
          <w:color w:val="auto"/>
          <w:kern w:val="0"/>
          <w:sz w:val="30"/>
          <w:szCs w:val="30"/>
          <w:highlight w:val="none"/>
        </w:rPr>
        <w:t>大连佳沐项目管理有限公司</w:t>
      </w:r>
      <w:r>
        <w:rPr>
          <w:rFonts w:hint="eastAsia" w:ascii="宋体" w:hAnsi="宋体"/>
          <w:b/>
          <w:bCs/>
          <w:color w:val="auto"/>
          <w:sz w:val="30"/>
          <w:szCs w:val="30"/>
          <w:highlight w:val="none"/>
        </w:rPr>
        <w:t xml:space="preserve"> </w:t>
      </w:r>
    </w:p>
    <w:p>
      <w:pPr>
        <w:spacing w:line="360" w:lineRule="auto"/>
        <w:rPr>
          <w:rFonts w:hint="eastAsia" w:ascii="宋体" w:hAnsi="宋体" w:cs="宋体"/>
          <w:b/>
          <w:color w:val="auto"/>
          <w:sz w:val="32"/>
          <w:szCs w:val="32"/>
          <w:highlight w:val="none"/>
        </w:rPr>
      </w:pPr>
    </w:p>
    <w:p>
      <w:pPr>
        <w:jc w:val="center"/>
        <w:rPr>
          <w:rFonts w:hint="eastAsia" w:ascii="宋体" w:hAnsi="宋体" w:cs="宋体"/>
          <w:color w:val="auto"/>
          <w:highlight w:val="none"/>
        </w:rPr>
      </w:pPr>
    </w:p>
    <w:p>
      <w:pPr>
        <w:spacing w:line="360" w:lineRule="auto"/>
        <w:jc w:val="center"/>
        <w:rPr>
          <w:rFonts w:hint="eastAsia" w:ascii="宋体" w:hAnsi="宋体" w:cs="宋体"/>
          <w:b/>
          <w:color w:val="auto"/>
          <w:spacing w:val="22"/>
          <w:sz w:val="32"/>
          <w:highlight w:val="none"/>
        </w:rPr>
      </w:pPr>
      <w:r>
        <w:rPr>
          <w:rFonts w:hint="eastAsia" w:ascii="宋体" w:hAnsi="宋体" w:cs="宋体"/>
          <w:b/>
          <w:color w:val="auto"/>
          <w:spacing w:val="22"/>
          <w:sz w:val="32"/>
          <w:highlight w:val="none"/>
        </w:rPr>
        <w:t>2022年1</w:t>
      </w:r>
      <w:r>
        <w:rPr>
          <w:rFonts w:hint="eastAsia" w:ascii="宋体" w:hAnsi="宋体" w:cs="宋体"/>
          <w:b/>
          <w:color w:val="auto"/>
          <w:spacing w:val="22"/>
          <w:sz w:val="32"/>
          <w:highlight w:val="none"/>
          <w:lang w:val="en-US" w:eastAsia="zh-CN"/>
        </w:rPr>
        <w:t>2</w:t>
      </w:r>
      <w:r>
        <w:rPr>
          <w:rFonts w:hint="eastAsia" w:ascii="宋体" w:hAnsi="宋体" w:cs="宋体"/>
          <w:b/>
          <w:color w:val="auto"/>
          <w:spacing w:val="22"/>
          <w:sz w:val="32"/>
          <w:highlight w:val="none"/>
        </w:rPr>
        <w:t>月</w:t>
      </w:r>
    </w:p>
    <w:p>
      <w:pPr>
        <w:spacing w:line="360" w:lineRule="auto"/>
        <w:rPr>
          <w:rFonts w:hint="eastAsia" w:ascii="宋体" w:hAnsi="宋体" w:cs="宋体"/>
          <w:b/>
          <w:bCs/>
          <w:color w:val="auto"/>
          <w:sz w:val="44"/>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851" w:footer="992" w:gutter="0"/>
          <w:pgNumType w:start="1"/>
          <w:cols w:space="720" w:num="1"/>
          <w:titlePg/>
          <w:docGrid w:linePitch="312" w:charSpace="0"/>
        </w:sectPr>
      </w:pPr>
    </w:p>
    <w:p>
      <w:pPr>
        <w:pStyle w:val="489"/>
        <w:ind w:left="420" w:hanging="420"/>
        <w:jc w:val="center"/>
        <w:rPr>
          <w:rFonts w:hint="eastAsia" w:ascii="宋体" w:hAnsi="宋体" w:cs="宋体"/>
          <w:color w:val="auto"/>
          <w:highlight w:val="none"/>
        </w:rPr>
      </w:pPr>
      <w:bookmarkStart w:id="0" w:name="_Toc168799393"/>
      <w:bookmarkStart w:id="1" w:name="_Toc168800593"/>
      <w:r>
        <w:rPr>
          <w:rFonts w:hint="eastAsia" w:ascii="宋体" w:hAnsi="宋体" w:cs="宋体"/>
          <w:color w:val="auto"/>
          <w:highlight w:val="none"/>
          <w:lang w:val="zh-CN"/>
        </w:rPr>
        <w:t>目  录</w:t>
      </w:r>
    </w:p>
    <w:p>
      <w:pPr>
        <w:pStyle w:val="60"/>
        <w:tabs>
          <w:tab w:val="right" w:leader="dot" w:pos="8303"/>
        </w:tabs>
        <w:spacing w:line="360" w:lineRule="auto"/>
        <w:ind w:left="523" w:leftChars="249" w:firstLine="0" w:firstLineChars="0"/>
        <w:rPr>
          <w:rFonts w:ascii="Calibri" w:hAnsi="Calibri" w:eastAsia="宋体"/>
          <w:b/>
          <w:bCs w:val="0"/>
          <w:color w:val="auto"/>
          <w:kern w:val="2"/>
          <w:sz w:val="22"/>
          <w:szCs w:val="22"/>
          <w:highlight w:val="none"/>
        </w:rPr>
      </w:pPr>
      <w:r>
        <w:rPr>
          <w:rFonts w:hint="eastAsia" w:ascii="宋体" w:hAnsi="宋体" w:eastAsia="宋体" w:cs="宋体"/>
          <w:b/>
          <w:color w:val="auto"/>
          <w:sz w:val="32"/>
          <w:szCs w:val="28"/>
          <w:highlight w:val="none"/>
        </w:rPr>
        <w:fldChar w:fldCharType="begin"/>
      </w:r>
      <w:r>
        <w:rPr>
          <w:rFonts w:hint="eastAsia" w:ascii="宋体" w:hAnsi="宋体" w:eastAsia="宋体" w:cs="宋体"/>
          <w:b/>
          <w:color w:val="auto"/>
          <w:sz w:val="32"/>
          <w:szCs w:val="28"/>
          <w:highlight w:val="none"/>
        </w:rPr>
        <w:instrText xml:space="preserve"> TOC \o "1-3" \h \z \u </w:instrText>
      </w:r>
      <w:r>
        <w:rPr>
          <w:rFonts w:hint="eastAsia" w:ascii="宋体" w:hAnsi="宋体" w:eastAsia="宋体" w:cs="宋体"/>
          <w:b/>
          <w:color w:val="auto"/>
          <w:sz w:val="32"/>
          <w:szCs w:val="28"/>
          <w:highlight w:val="none"/>
        </w:rPr>
        <w:fldChar w:fldCharType="separate"/>
      </w: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"_Toc477935920"</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kern w:val="44"/>
          <w:sz w:val="28"/>
          <w:highlight w:val="none"/>
        </w:rPr>
        <w:t>竞争性磋商公告</w:t>
      </w:r>
      <w:r>
        <w:rPr>
          <w:b/>
          <w:color w:val="auto"/>
          <w:sz w:val="28"/>
          <w:highlight w:val="none"/>
        </w:rPr>
        <w:tab/>
      </w:r>
      <w:r>
        <w:rPr>
          <w:b/>
          <w:color w:val="auto"/>
          <w:sz w:val="28"/>
          <w:highlight w:val="none"/>
        </w:rPr>
        <w:fldChar w:fldCharType="begin"/>
      </w:r>
      <w:r>
        <w:rPr>
          <w:b/>
          <w:color w:val="auto"/>
          <w:sz w:val="28"/>
          <w:highlight w:val="none"/>
        </w:rPr>
        <w:instrText xml:space="preserve"> PAGEREF _Toc477935920 \h </w:instrText>
      </w:r>
      <w:r>
        <w:rPr>
          <w:b/>
          <w:color w:val="auto"/>
          <w:sz w:val="28"/>
          <w:highlight w:val="none"/>
        </w:rPr>
        <w:fldChar w:fldCharType="separate"/>
      </w:r>
      <w:r>
        <w:rPr>
          <w:b/>
          <w:color w:val="auto"/>
          <w:sz w:val="28"/>
          <w:highlight w:val="none"/>
        </w:rPr>
        <w:t>2</w:t>
      </w:r>
      <w:r>
        <w:rPr>
          <w:b/>
          <w:color w:val="auto"/>
          <w:sz w:val="28"/>
          <w:highlight w:val="none"/>
        </w:rPr>
        <w:fldChar w:fldCharType="end"/>
      </w:r>
      <w:r>
        <w:rPr>
          <w:b/>
          <w:color w:val="auto"/>
          <w:sz w:val="28"/>
          <w:highlight w:val="none"/>
        </w:rPr>
        <w:fldChar w:fldCharType="end"/>
      </w:r>
    </w:p>
    <w:p>
      <w:pPr>
        <w:pStyle w:val="60"/>
        <w:tabs>
          <w:tab w:val="right" w:leader="dot" w:pos="8303"/>
        </w:tabs>
        <w:spacing w:line="360" w:lineRule="auto"/>
        <w:ind w:firstLine="562"/>
        <w:rPr>
          <w:rFonts w:ascii="Calibri" w:hAnsi="Calibri" w:eastAsia="宋体"/>
          <w:b/>
          <w:bCs w:val="0"/>
          <w:color w:val="auto"/>
          <w:kern w:val="2"/>
          <w:sz w:val="22"/>
          <w:szCs w:val="22"/>
          <w:highlight w:val="none"/>
        </w:rPr>
      </w:pP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"_Toc477935921"</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kern w:val="44"/>
          <w:sz w:val="28"/>
          <w:highlight w:val="none"/>
        </w:rPr>
        <w:t>第一章 供应商须知及前附表</w:t>
      </w:r>
      <w:r>
        <w:rPr>
          <w:b/>
          <w:color w:val="auto"/>
          <w:sz w:val="28"/>
          <w:highlight w:val="none"/>
        </w:rPr>
        <w:tab/>
      </w:r>
      <w:r>
        <w:rPr>
          <w:rFonts w:hint="eastAsia"/>
          <w:b/>
          <w:color w:val="auto"/>
          <w:sz w:val="28"/>
          <w:highlight w:val="none"/>
        </w:rPr>
        <w:t>5</w:t>
      </w:r>
      <w:r>
        <w:rPr>
          <w:b/>
          <w:color w:val="auto"/>
          <w:sz w:val="28"/>
          <w:highlight w:val="none"/>
        </w:rPr>
        <w:fldChar w:fldCharType="end"/>
      </w:r>
    </w:p>
    <w:p>
      <w:pPr>
        <w:pStyle w:val="60"/>
        <w:tabs>
          <w:tab w:val="right" w:leader="dot" w:pos="8303"/>
        </w:tabs>
        <w:spacing w:line="360" w:lineRule="auto"/>
        <w:ind w:firstLine="562"/>
        <w:rPr>
          <w:rFonts w:hint="eastAsia" w:ascii="Calibri" w:hAnsi="Calibri"/>
          <w:b/>
          <w:bCs w:val="0"/>
          <w:color w:val="auto"/>
          <w:kern w:val="2"/>
          <w:sz w:val="22"/>
          <w:szCs w:val="22"/>
          <w:highlight w:val="none"/>
        </w:rPr>
      </w:pP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"_Toc477935922"</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sz w:val="28"/>
          <w:highlight w:val="none"/>
        </w:rPr>
        <w:t>第二章 合同格式及前附表</w:t>
      </w:r>
      <w:r>
        <w:rPr>
          <w:b/>
          <w:color w:val="auto"/>
          <w:sz w:val="28"/>
          <w:highlight w:val="none"/>
        </w:rPr>
        <w:tab/>
      </w:r>
      <w:r>
        <w:rPr>
          <w:rFonts w:hint="eastAsia"/>
          <w:b/>
          <w:color w:val="auto"/>
          <w:sz w:val="28"/>
          <w:highlight w:val="none"/>
        </w:rPr>
        <w:t>1</w:t>
      </w:r>
      <w:r>
        <w:rPr>
          <w:b/>
          <w:color w:val="auto"/>
          <w:sz w:val="28"/>
          <w:highlight w:val="none"/>
        </w:rPr>
        <w:fldChar w:fldCharType="end"/>
      </w:r>
      <w:r>
        <w:rPr>
          <w:rFonts w:hint="eastAsia"/>
          <w:b/>
          <w:color w:val="auto"/>
          <w:sz w:val="28"/>
          <w:highlight w:val="none"/>
        </w:rPr>
        <w:t>9</w:t>
      </w:r>
    </w:p>
    <w:p>
      <w:pPr>
        <w:pStyle w:val="60"/>
        <w:tabs>
          <w:tab w:val="left" w:pos="1680"/>
          <w:tab w:val="right" w:leader="dot" w:pos="8303"/>
        </w:tabs>
        <w:spacing w:line="360" w:lineRule="auto"/>
        <w:ind w:firstLine="562"/>
        <w:rPr>
          <w:rFonts w:hint="eastAsia" w:ascii="Calibri" w:hAnsi="Calibri"/>
          <w:b/>
          <w:bCs w:val="0"/>
          <w:color w:val="auto"/>
          <w:kern w:val="2"/>
          <w:sz w:val="22"/>
          <w:szCs w:val="22"/>
          <w:highlight w:val="none"/>
        </w:rPr>
      </w:pP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"_Toc477935925"</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sz w:val="28"/>
          <w:highlight w:val="none"/>
        </w:rPr>
        <w:t>第三章</w:t>
      </w:r>
      <w:r>
        <w:rPr>
          <w:rFonts w:ascii="Calibri" w:hAnsi="Calibri" w:eastAsia="宋体"/>
          <w:b/>
          <w:bCs w:val="0"/>
          <w:color w:val="auto"/>
          <w:kern w:val="2"/>
          <w:sz w:val="22"/>
          <w:szCs w:val="22"/>
          <w:highlight w:val="none"/>
        </w:rPr>
        <w:tab/>
      </w:r>
      <w:r>
        <w:rPr>
          <w:rStyle w:val="98"/>
          <w:rFonts w:hint="eastAsia" w:ascii="宋体" w:hAnsi="宋体" w:cs="宋体"/>
          <w:b/>
          <w:color w:val="auto"/>
          <w:sz w:val="28"/>
          <w:highlight w:val="none"/>
        </w:rPr>
        <w:t>用户需求书</w:t>
      </w:r>
      <w:r>
        <w:rPr>
          <w:b/>
          <w:color w:val="auto"/>
          <w:sz w:val="28"/>
          <w:highlight w:val="none"/>
        </w:rPr>
        <w:tab/>
      </w:r>
      <w:r>
        <w:rPr>
          <w:rFonts w:hint="eastAsia"/>
          <w:b/>
          <w:color w:val="auto"/>
          <w:sz w:val="28"/>
          <w:highlight w:val="none"/>
        </w:rPr>
        <w:t>2</w:t>
      </w:r>
      <w:r>
        <w:rPr>
          <w:b/>
          <w:color w:val="auto"/>
          <w:sz w:val="28"/>
          <w:highlight w:val="none"/>
        </w:rPr>
        <w:fldChar w:fldCharType="end"/>
      </w:r>
      <w:r>
        <w:rPr>
          <w:rFonts w:hint="eastAsia"/>
          <w:b/>
          <w:color w:val="auto"/>
          <w:sz w:val="28"/>
          <w:highlight w:val="none"/>
        </w:rPr>
        <w:t>6</w:t>
      </w:r>
    </w:p>
    <w:p>
      <w:pPr>
        <w:pStyle w:val="60"/>
        <w:tabs>
          <w:tab w:val="left" w:pos="1680"/>
          <w:tab w:val="right" w:leader="dot" w:pos="8303"/>
        </w:tabs>
        <w:spacing w:line="360" w:lineRule="auto"/>
        <w:ind w:firstLine="562"/>
        <w:rPr>
          <w:rFonts w:ascii="Calibri" w:hAnsi="Calibri" w:eastAsia="宋体"/>
          <w:b/>
          <w:bCs w:val="0"/>
          <w:color w:val="auto"/>
          <w:kern w:val="2"/>
          <w:sz w:val="22"/>
          <w:szCs w:val="22"/>
          <w:highlight w:val="none"/>
        </w:rPr>
      </w:pP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"_Toc477935926"</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sz w:val="28"/>
          <w:highlight w:val="none"/>
        </w:rPr>
        <w:t>第四章</w:t>
      </w:r>
      <w:r>
        <w:rPr>
          <w:rFonts w:ascii="Calibri" w:hAnsi="Calibri" w:eastAsia="宋体"/>
          <w:b/>
          <w:bCs w:val="0"/>
          <w:color w:val="auto"/>
          <w:kern w:val="2"/>
          <w:sz w:val="22"/>
          <w:szCs w:val="22"/>
          <w:highlight w:val="none"/>
        </w:rPr>
        <w:tab/>
      </w:r>
      <w:r>
        <w:rPr>
          <w:rStyle w:val="98"/>
          <w:rFonts w:hint="eastAsia" w:ascii="宋体" w:hAnsi="宋体" w:cs="宋体"/>
          <w:b/>
          <w:color w:val="auto"/>
          <w:sz w:val="28"/>
          <w:highlight w:val="none"/>
        </w:rPr>
        <w:t>响应文件格式</w:t>
      </w:r>
      <w:r>
        <w:rPr>
          <w:b/>
          <w:color w:val="auto"/>
          <w:sz w:val="28"/>
          <w:highlight w:val="none"/>
        </w:rPr>
        <w:tab/>
      </w:r>
      <w:r>
        <w:rPr>
          <w:rFonts w:hint="eastAsia"/>
          <w:b/>
          <w:color w:val="auto"/>
          <w:sz w:val="28"/>
          <w:highlight w:val="none"/>
        </w:rPr>
        <w:t>3</w:t>
      </w:r>
      <w:r>
        <w:rPr>
          <w:b/>
          <w:color w:val="auto"/>
          <w:sz w:val="28"/>
          <w:highlight w:val="none"/>
        </w:rPr>
        <w:fldChar w:fldCharType="end"/>
      </w:r>
      <w:r>
        <w:rPr>
          <w:rFonts w:hint="eastAsia"/>
          <w:b/>
          <w:color w:val="auto"/>
          <w:sz w:val="28"/>
          <w:highlight w:val="none"/>
          <w:lang w:val="en-US" w:eastAsia="zh-CN"/>
        </w:rPr>
        <w:t>5</w:t>
      </w: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"_Toc477935927"</w:instrText>
      </w:r>
      <w:r>
        <w:rPr>
          <w:rStyle w:val="98"/>
          <w:b/>
          <w:color w:val="auto"/>
          <w:sz w:val="28"/>
          <w:highlight w:val="none"/>
        </w:rPr>
        <w:instrText xml:space="preserve"> </w:instrText>
      </w:r>
      <w:r>
        <w:rPr>
          <w:b/>
          <w:color w:val="auto"/>
          <w:sz w:val="28"/>
          <w:highlight w:val="none"/>
        </w:rPr>
        <w:fldChar w:fldCharType="separate"/>
      </w:r>
      <w:r>
        <w:rPr>
          <w:b/>
          <w:color w:val="auto"/>
          <w:sz w:val="28"/>
          <w:highlight w:val="none"/>
        </w:rPr>
        <w:fldChar w:fldCharType="end"/>
      </w:r>
    </w:p>
    <w:p>
      <w:pPr>
        <w:pStyle w:val="60"/>
        <w:tabs>
          <w:tab w:val="right" w:leader="dot" w:pos="8303"/>
        </w:tabs>
        <w:spacing w:line="360" w:lineRule="auto"/>
        <w:ind w:firstLine="562"/>
        <w:rPr>
          <w:rFonts w:hint="default" w:eastAsia="仿宋_GB2312"/>
          <w:b/>
          <w:color w:val="auto"/>
          <w:sz w:val="28"/>
          <w:highlight w:val="none"/>
          <w:lang w:val="en-US" w:eastAsia="zh-CN"/>
        </w:rPr>
      </w:pPr>
      <w:r>
        <w:rPr>
          <w:b/>
          <w:color w:val="auto"/>
          <w:sz w:val="28"/>
          <w:highlight w:val="none"/>
        </w:rPr>
        <w:fldChar w:fldCharType="begin"/>
      </w:r>
      <w:r>
        <w:rPr>
          <w:rStyle w:val="98"/>
          <w:b/>
          <w:color w:val="auto"/>
          <w:sz w:val="28"/>
          <w:highlight w:val="none"/>
        </w:rPr>
        <w:instrText xml:space="preserve"> </w:instrText>
      </w:r>
      <w:r>
        <w:rPr>
          <w:b/>
          <w:color w:val="auto"/>
          <w:sz w:val="28"/>
          <w:highlight w:val="none"/>
        </w:rPr>
        <w:instrText xml:space="preserve">HYPERLINK \l "_Toc477935928"</w:instrText>
      </w:r>
      <w:r>
        <w:rPr>
          <w:rStyle w:val="98"/>
          <w:b/>
          <w:color w:val="auto"/>
          <w:sz w:val="28"/>
          <w:highlight w:val="none"/>
        </w:rPr>
        <w:instrText xml:space="preserve"> </w:instrText>
      </w:r>
      <w:r>
        <w:rPr>
          <w:b/>
          <w:color w:val="auto"/>
          <w:sz w:val="28"/>
          <w:highlight w:val="none"/>
        </w:rPr>
        <w:fldChar w:fldCharType="separate"/>
      </w:r>
      <w:r>
        <w:rPr>
          <w:rStyle w:val="98"/>
          <w:rFonts w:hint="eastAsia" w:ascii="宋体" w:hAnsi="宋体" w:cs="宋体"/>
          <w:b/>
          <w:color w:val="auto"/>
          <w:sz w:val="28"/>
          <w:highlight w:val="none"/>
        </w:rPr>
        <w:t>附件</w:t>
      </w:r>
      <w:r>
        <w:rPr>
          <w:b/>
          <w:color w:val="auto"/>
          <w:sz w:val="28"/>
          <w:highlight w:val="none"/>
        </w:rPr>
        <w:tab/>
      </w:r>
      <w:r>
        <w:rPr>
          <w:b/>
          <w:color w:val="auto"/>
          <w:sz w:val="28"/>
          <w:highlight w:val="none"/>
        </w:rPr>
        <w:fldChar w:fldCharType="end"/>
      </w:r>
      <w:r>
        <w:rPr>
          <w:rFonts w:hint="eastAsia"/>
          <w:b/>
          <w:color w:val="auto"/>
          <w:sz w:val="28"/>
          <w:highlight w:val="none"/>
          <w:lang w:val="en-US" w:eastAsia="zh-CN"/>
        </w:rPr>
        <w:t>75</w:t>
      </w:r>
    </w:p>
    <w:p>
      <w:pPr>
        <w:rPr>
          <w:color w:val="auto"/>
          <w:highlight w:val="none"/>
        </w:rPr>
      </w:pPr>
    </w:p>
    <w:p>
      <w:pPr>
        <w:adjustRightInd w:val="0"/>
        <w:snapToGrid w:val="0"/>
        <w:spacing w:line="360" w:lineRule="auto"/>
        <w:rPr>
          <w:rFonts w:hint="eastAsia" w:ascii="宋体" w:hAnsi="宋体" w:cs="宋体"/>
          <w:color w:val="auto"/>
          <w:sz w:val="32"/>
          <w:szCs w:val="28"/>
          <w:highlight w:val="none"/>
        </w:rPr>
      </w:pPr>
      <w:r>
        <w:rPr>
          <w:rFonts w:hint="eastAsia" w:ascii="宋体" w:hAnsi="宋体" w:cs="宋体"/>
          <w:b/>
          <w:bCs/>
          <w:color w:val="auto"/>
          <w:sz w:val="32"/>
          <w:szCs w:val="28"/>
          <w:highlight w:val="none"/>
          <w:lang w:val="zh-CN"/>
        </w:rPr>
        <w:fldChar w:fldCharType="end"/>
      </w:r>
    </w:p>
    <w:p>
      <w:pPr>
        <w:spacing w:line="360" w:lineRule="auto"/>
        <w:jc w:val="center"/>
        <w:rPr>
          <w:rFonts w:hint="eastAsia" w:ascii="宋体" w:hAnsi="宋体" w:cs="宋体"/>
          <w:b/>
          <w:bCs/>
          <w:color w:val="auto"/>
          <w:sz w:val="44"/>
          <w:highlight w:val="none"/>
        </w:rPr>
        <w:sectPr>
          <w:type w:val="oddPage"/>
          <w:pgSz w:w="11907" w:h="16840"/>
          <w:pgMar w:top="1440" w:right="1797" w:bottom="1440" w:left="1797" w:header="851" w:footer="992" w:gutter="0"/>
          <w:pgNumType w:start="1"/>
          <w:cols w:space="720" w:num="1"/>
          <w:titlePg/>
          <w:docGrid w:linePitch="312" w:charSpace="0"/>
        </w:sectPr>
      </w:pPr>
    </w:p>
    <w:p>
      <w:pPr>
        <w:pStyle w:val="4"/>
        <w:tabs>
          <w:tab w:val="left" w:pos="0"/>
        </w:tabs>
        <w:autoSpaceDE w:val="0"/>
        <w:autoSpaceDN w:val="0"/>
        <w:adjustRightInd w:val="0"/>
        <w:spacing w:line="360" w:lineRule="auto"/>
        <w:jc w:val="center"/>
        <w:rPr>
          <w:rFonts w:hint="eastAsia" w:ascii="宋体" w:hAnsi="宋体"/>
          <w:color w:val="auto"/>
          <w:sz w:val="32"/>
          <w:szCs w:val="32"/>
          <w:highlight w:val="none"/>
        </w:rPr>
      </w:pPr>
      <w:bookmarkStart w:id="2" w:name="_Toc477935920"/>
      <w:bookmarkStart w:id="3" w:name="_Toc388880910"/>
      <w:r>
        <w:rPr>
          <w:rFonts w:hint="eastAsia" w:ascii="宋体" w:hAnsi="宋体"/>
          <w:color w:val="auto"/>
          <w:sz w:val="32"/>
          <w:szCs w:val="32"/>
          <w:highlight w:val="none"/>
          <w:lang w:eastAsia="zh-CN"/>
        </w:rPr>
        <w:t>大连理工大学超高速视频级原子力显微镜采购项目</w:t>
      </w:r>
      <w:r>
        <w:rPr>
          <w:rFonts w:hint="eastAsia" w:ascii="宋体" w:hAnsi="宋体"/>
          <w:color w:val="auto"/>
          <w:sz w:val="32"/>
          <w:szCs w:val="32"/>
          <w:highlight w:val="none"/>
        </w:rPr>
        <w:t xml:space="preserve"> </w:t>
      </w:r>
    </w:p>
    <w:p>
      <w:pPr>
        <w:pStyle w:val="4"/>
        <w:tabs>
          <w:tab w:val="left" w:pos="0"/>
        </w:tabs>
        <w:autoSpaceDE w:val="0"/>
        <w:autoSpaceDN w:val="0"/>
        <w:adjustRightIn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大连理工大学超高速视频级原子力显微镜采购项目</w:t>
      </w:r>
      <w:r>
        <w:rPr>
          <w:rFonts w:hint="eastAsia" w:ascii="宋体" w:hAnsi="宋体"/>
          <w:color w:val="auto"/>
          <w:sz w:val="24"/>
          <w:highlight w:val="none"/>
        </w:rPr>
        <w:t>的潜在供应商应在</w:t>
      </w:r>
      <w:r>
        <w:rPr>
          <w:rFonts w:hint="eastAsia" w:ascii="宋体" w:hAnsi="宋体" w:cs="宋体"/>
          <w:color w:val="auto"/>
          <w:kern w:val="0"/>
          <w:sz w:val="24"/>
          <w:highlight w:val="none"/>
          <w:u w:val="single"/>
        </w:rPr>
        <w:t>大连佳沐项目管理有限公司（大连甘井子区辛康园19号2楼）</w:t>
      </w:r>
      <w:r>
        <w:rPr>
          <w:rFonts w:hint="eastAsia" w:ascii="宋体" w:hAnsi="宋体"/>
          <w:color w:val="auto"/>
          <w:sz w:val="24"/>
          <w:highlight w:val="none"/>
        </w:rPr>
        <w:t>获取采购文件，并于</w:t>
      </w:r>
      <w:r>
        <w:rPr>
          <w:rFonts w:hint="eastAsia" w:ascii="宋体" w:hAnsi="宋体"/>
          <w:color w:val="auto"/>
          <w:sz w:val="24"/>
          <w:highlight w:val="none"/>
          <w:u w:val="single"/>
        </w:rPr>
        <w:t>2022年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22</w:t>
      </w:r>
      <w:r>
        <w:rPr>
          <w:rFonts w:ascii="宋体" w:hAnsi="宋体"/>
          <w:color w:val="auto"/>
          <w:sz w:val="24"/>
          <w:highlight w:val="none"/>
          <w:u w:val="single"/>
        </w:rPr>
        <w:t xml:space="preserve"> </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09</w:t>
      </w:r>
      <w:r>
        <w:rPr>
          <w:rFonts w:ascii="宋体" w:hAnsi="宋体"/>
          <w:color w:val="auto"/>
          <w:sz w:val="24"/>
          <w:highlight w:val="none"/>
          <w:u w:val="single"/>
        </w:rPr>
        <w:t xml:space="preserve"> </w:t>
      </w:r>
      <w:r>
        <w:rPr>
          <w:rFonts w:hint="eastAsia" w:ascii="宋体" w:hAnsi="宋体"/>
          <w:color w:val="auto"/>
          <w:sz w:val="24"/>
          <w:highlight w:val="none"/>
          <w:u w:val="single"/>
        </w:rPr>
        <w:t>点</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分</w:t>
      </w:r>
      <w:r>
        <w:rPr>
          <w:rFonts w:hint="eastAsia" w:ascii="宋体" w:hAnsi="宋体"/>
          <w:bCs/>
          <w:color w:val="auto"/>
          <w:sz w:val="24"/>
          <w:highlight w:val="none"/>
        </w:rPr>
        <w:t>（北京时间）前提交响应</w:t>
      </w:r>
      <w:r>
        <w:rPr>
          <w:rFonts w:ascii="宋体" w:hAnsi="宋体"/>
          <w:bCs/>
          <w:color w:val="auto"/>
          <w:sz w:val="24"/>
          <w:highlight w:val="none"/>
        </w:rPr>
        <w:t>文件</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5"/>
        <w:spacing w:line="360" w:lineRule="auto"/>
        <w:rPr>
          <w:rFonts w:ascii="宋体" w:hAnsi="宋体" w:cs="宋体"/>
          <w:bCs w:val="0"/>
          <w:color w:val="auto"/>
          <w:sz w:val="24"/>
          <w:highlight w:val="none"/>
        </w:rPr>
      </w:pPr>
      <w:bookmarkStart w:id="4" w:name="_Toc35393798"/>
      <w:bookmarkStart w:id="5" w:name="_Toc28359012"/>
      <w:bookmarkStart w:id="6" w:name="_Toc35393629"/>
      <w:bookmarkStart w:id="7" w:name="_Toc28359089"/>
      <w:r>
        <w:rPr>
          <w:rFonts w:hint="eastAsia" w:ascii="宋体" w:hAnsi="宋体" w:cs="宋体"/>
          <w:bCs w:val="0"/>
          <w:color w:val="auto"/>
          <w:sz w:val="24"/>
          <w:highlight w:val="none"/>
        </w:rPr>
        <w:t>一、项目基本情况</w:t>
      </w:r>
      <w:bookmarkEnd w:id="4"/>
      <w:bookmarkEnd w:id="5"/>
      <w:bookmarkEnd w:id="6"/>
      <w:bookmarkEnd w:id="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"http://agent.yuncaitong.cn:5099/agent/e?page=psms.agenttender.agent.detail.access&amp;businessCode=psms5_tender&amp;businessId=e3cdd461d2c903e0de339e9354e0b5d2" \o "[DUTASC-2022528] - 气质联用酶学检测分析" \t "http://agent.yuncaitong.cn:5099/agent/newblank" </w:instrText>
      </w:r>
      <w:r>
        <w:rPr>
          <w:rFonts w:hint="eastAsia" w:ascii="宋体" w:hAnsi="宋体"/>
          <w:color w:val="auto"/>
          <w:sz w:val="24"/>
          <w:highlight w:val="none"/>
        </w:rPr>
        <w:fldChar w:fldCharType="separate"/>
      </w:r>
      <w:r>
        <w:rPr>
          <w:rFonts w:hint="eastAsia" w:ascii="宋体" w:hAnsi="宋体"/>
          <w:color w:val="auto"/>
          <w:sz w:val="24"/>
          <w:highlight w:val="none"/>
          <w:lang w:eastAsia="zh-CN"/>
        </w:rPr>
        <w:t>DUTASC-2022417</w:t>
      </w:r>
      <w:r>
        <w:rPr>
          <w:rFonts w:hint="eastAsia" w:ascii="宋体" w:hAnsi="宋体"/>
          <w:color w:val="auto"/>
          <w:sz w:val="24"/>
          <w:highlight w:val="none"/>
        </w:rPr>
        <w:fldChar w:fldCharType="end"/>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大连理工大学超高速视频级原子力显微镜采购项目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pPr>
        <w:spacing w:line="360" w:lineRule="auto"/>
        <w:ind w:firstLine="480" w:firstLineChars="200"/>
        <w:rPr>
          <w:rFonts w:ascii="宋体" w:hAnsi="宋体"/>
          <w:b w:val="0"/>
          <w:bCs w:val="0"/>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lang w:val="en-US" w:eastAsia="zh-CN"/>
        </w:rPr>
        <w:t>350</w:t>
      </w:r>
      <w:r>
        <w:rPr>
          <w:rFonts w:hint="eastAsia" w:ascii="宋体" w:hAnsi="宋体"/>
          <w:color w:val="auto"/>
          <w:sz w:val="24"/>
          <w:highlight w:val="none"/>
        </w:rPr>
        <w:t>万元</w:t>
      </w:r>
      <w:r>
        <w:rPr>
          <w:rFonts w:hint="eastAsia" w:ascii="宋体" w:hAnsi="宋体"/>
          <w:b w:val="0"/>
          <w:bCs w:val="0"/>
          <w:color w:val="auto"/>
          <w:sz w:val="24"/>
          <w:highlight w:val="none"/>
        </w:rPr>
        <w:t>（</w:t>
      </w:r>
      <w:r>
        <w:rPr>
          <w:rFonts w:hint="eastAsia" w:ascii="宋体" w:hAnsi="宋体" w:cs="宋体"/>
          <w:b w:val="0"/>
          <w:bCs w:val="0"/>
          <w:color w:val="auto"/>
          <w:kern w:val="0"/>
          <w:sz w:val="24"/>
          <w:highlight w:val="none"/>
        </w:rPr>
        <w:t>人民币</w:t>
      </w:r>
      <w:r>
        <w:rPr>
          <w:rFonts w:hint="eastAsia" w:ascii="宋体" w:hAnsi="宋体"/>
          <w:b w:val="0"/>
          <w:bCs w:val="0"/>
          <w:color w:val="auto"/>
          <w:sz w:val="24"/>
          <w:highlight w:val="none"/>
        </w:rPr>
        <w:t>）</w:t>
      </w:r>
    </w:p>
    <w:p>
      <w:pPr>
        <w:spacing w:line="360" w:lineRule="auto"/>
        <w:ind w:firstLine="480" w:firstLineChars="200"/>
        <w:rPr>
          <w:rFonts w:ascii="宋体" w:hAnsi="宋体"/>
          <w:b w:val="0"/>
          <w:bCs w:val="0"/>
          <w:color w:val="auto"/>
          <w:sz w:val="24"/>
          <w:highlight w:val="none"/>
        </w:rPr>
      </w:pPr>
      <w:r>
        <w:rPr>
          <w:rFonts w:hint="eastAsia" w:ascii="宋体" w:hAnsi="宋体"/>
          <w:b w:val="0"/>
          <w:bCs w:val="0"/>
          <w:color w:val="auto"/>
          <w:sz w:val="24"/>
          <w:highlight w:val="none"/>
        </w:rPr>
        <w:t>最高限价：</w:t>
      </w:r>
      <w:r>
        <w:rPr>
          <w:rFonts w:hint="eastAsia" w:ascii="宋体" w:hAnsi="宋体"/>
          <w:b w:val="0"/>
          <w:bCs w:val="0"/>
          <w:color w:val="auto"/>
          <w:sz w:val="24"/>
          <w:highlight w:val="none"/>
          <w:lang w:val="en-US" w:eastAsia="zh-CN"/>
        </w:rPr>
        <w:t>350</w:t>
      </w:r>
      <w:r>
        <w:rPr>
          <w:rFonts w:hint="eastAsia" w:ascii="宋体" w:hAnsi="宋体"/>
          <w:b w:val="0"/>
          <w:bCs w:val="0"/>
          <w:color w:val="auto"/>
          <w:sz w:val="24"/>
          <w:highlight w:val="none"/>
        </w:rPr>
        <w:t>万元（</w:t>
      </w:r>
      <w:r>
        <w:rPr>
          <w:rFonts w:hint="eastAsia" w:ascii="宋体" w:hAnsi="宋体" w:cs="宋体"/>
          <w:b w:val="0"/>
          <w:bCs w:val="0"/>
          <w:color w:val="auto"/>
          <w:kern w:val="0"/>
          <w:sz w:val="24"/>
          <w:highlight w:val="none"/>
        </w:rPr>
        <w:t>人民币</w:t>
      </w:r>
      <w:r>
        <w:rPr>
          <w:rFonts w:hint="eastAsia" w:ascii="宋体" w:hAnsi="宋体"/>
          <w:b w:val="0"/>
          <w:bCs w:val="0"/>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val="en-US" w:eastAsia="zh-CN"/>
        </w:rPr>
        <w:t>本项目拟采购</w:t>
      </w:r>
      <w:r>
        <w:rPr>
          <w:rFonts w:hint="eastAsia" w:ascii="宋体" w:hAnsi="宋体"/>
          <w:color w:val="auto"/>
          <w:sz w:val="24"/>
        </w:rPr>
        <w:t>超高速视频级原子力显微镜1套，主要用于如蛋白结构分析、分子互作，细胞动态结构观测，生物大分子动力学，材料动态组装等方面的研究</w:t>
      </w:r>
      <w:r>
        <w:rPr>
          <w:rFonts w:hint="eastAsia" w:ascii="宋体" w:hAnsi="宋体"/>
          <w:color w:val="auto"/>
          <w:sz w:val="24"/>
          <w:highlight w:val="none"/>
        </w:rPr>
        <w:t>，具体要求详见磋商文件。</w:t>
      </w:r>
    </w:p>
    <w:p>
      <w:pPr>
        <w:snapToGrid w:val="0"/>
        <w:spacing w:line="360" w:lineRule="auto"/>
        <w:ind w:firstLine="480" w:firstLineChars="200"/>
        <w:rPr>
          <w:rFonts w:hint="eastAsia" w:ascii="宋体" w:hAnsi="宋体"/>
          <w:color w:val="auto"/>
          <w:sz w:val="24"/>
          <w:highlight w:val="none"/>
        </w:rPr>
      </w:pPr>
      <w:r>
        <w:rPr>
          <w:rFonts w:hint="eastAsia" w:ascii="宋体" w:hAnsi="宋体" w:cs="Times New Roman"/>
          <w:color w:val="auto"/>
          <w:kern w:val="2"/>
          <w:sz w:val="24"/>
          <w:highlight w:val="none"/>
        </w:rPr>
        <w:t xml:space="preserve"> 注：</w:t>
      </w:r>
      <w:r>
        <w:rPr>
          <w:rFonts w:hint="eastAsia" w:ascii="宋体" w:hAnsi="宋体" w:eastAsia="宋体" w:cs="宋体"/>
          <w:color w:val="auto"/>
          <w:kern w:val="0"/>
          <w:sz w:val="24"/>
          <w:szCs w:val="24"/>
          <w:highlight w:val="none"/>
          <w:lang w:val="en-US" w:eastAsia="zh-CN" w:bidi="ar-SA"/>
        </w:rPr>
        <w:t>本项目已经财政部门审核，接受进口产品投标，本文件所称进口产品是指通过中国海关报关验放进入中国境内且产自关境外的产品</w:t>
      </w:r>
      <w:r>
        <w:rPr>
          <w:rFonts w:hint="eastAsia" w:ascii="宋体" w:hAnsi="宋体" w:cs="Times New Roman"/>
          <w:color w:val="auto"/>
          <w:kern w:val="2"/>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olor w:val="auto"/>
          <w:sz w:val="24"/>
          <w:highlight w:val="none"/>
        </w:rPr>
        <w:t>合同履行期限：</w:t>
      </w:r>
      <w:r>
        <w:rPr>
          <w:rFonts w:hint="eastAsia" w:ascii="宋体" w:hAnsi="宋体" w:cs="宋体"/>
          <w:color w:val="auto"/>
          <w:kern w:val="0"/>
          <w:sz w:val="24"/>
          <w:highlight w:val="none"/>
        </w:rPr>
        <w:t>自签订合同之日起，接到采购人供货通知后1</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个日历日内货到采购人指定地点安装调试验收合格。</w:t>
      </w:r>
      <w:r>
        <w:rPr>
          <w:rFonts w:hint="eastAsia" w:ascii="宋体" w:hAnsi="宋体" w:cs="宋体"/>
          <w:color w:val="auto"/>
          <w:kern w:val="0"/>
          <w:sz w:val="24"/>
          <w:highlight w:val="none"/>
          <w:lang w:val="en-US" w:eastAsia="zh-CN"/>
        </w:rPr>
        <w:t>质保期：</w:t>
      </w:r>
      <w:r>
        <w:rPr>
          <w:rFonts w:hint="eastAsia" w:ascii="宋体" w:hAnsi="宋体"/>
          <w:color w:val="auto"/>
          <w:sz w:val="24"/>
          <w:highlight w:val="none"/>
        </w:rPr>
        <w:t>货到采购方指定地点安装调试验收合格之日起，免费质保</w:t>
      </w:r>
      <w:r>
        <w:rPr>
          <w:rFonts w:hint="eastAsia" w:ascii="宋体" w:hAnsi="宋体"/>
          <w:color w:val="auto"/>
          <w:sz w:val="24"/>
          <w:highlight w:val="none"/>
          <w:lang w:val="en-US" w:eastAsia="zh-CN"/>
        </w:rPr>
        <w:t>期3</w:t>
      </w:r>
      <w:r>
        <w:rPr>
          <w:rFonts w:hint="eastAsia" w:ascii="宋体" w:hAnsi="宋体"/>
          <w:color w:val="auto"/>
          <w:sz w:val="24"/>
          <w:highlight w:val="none"/>
        </w:rPr>
        <w:t>年，质保期内每年提供至少两次上门巡检</w:t>
      </w:r>
      <w:r>
        <w:rPr>
          <w:rFonts w:hint="eastAsia" w:ascii="宋体" w:hAnsi="宋体" w:cs="宋体"/>
          <w:color w:val="auto"/>
          <w:kern w:val="0"/>
          <w:sz w:val="24"/>
          <w:highlight w:val="none"/>
          <w:lang w:val="en-US"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本项目（不接受）联合体磋商。</w:t>
      </w:r>
    </w:p>
    <w:p>
      <w:pPr>
        <w:pStyle w:val="5"/>
        <w:spacing w:line="360" w:lineRule="auto"/>
        <w:rPr>
          <w:rFonts w:ascii="宋体" w:hAnsi="宋体" w:cs="宋体"/>
          <w:bCs w:val="0"/>
          <w:color w:val="auto"/>
          <w:sz w:val="24"/>
          <w:highlight w:val="none"/>
        </w:rPr>
      </w:pPr>
      <w:bookmarkStart w:id="8" w:name="_Toc28359013"/>
      <w:bookmarkStart w:id="9" w:name="_Toc28359090"/>
      <w:bookmarkStart w:id="10" w:name="_Toc35393799"/>
      <w:bookmarkStart w:id="11" w:name="_Toc35393630"/>
      <w:r>
        <w:rPr>
          <w:rFonts w:hint="eastAsia" w:ascii="宋体" w:hAnsi="宋体" w:cs="宋体"/>
          <w:bCs w:val="0"/>
          <w:color w:val="auto"/>
          <w:sz w:val="24"/>
          <w:highlight w:val="none"/>
        </w:rPr>
        <w:t>二、申请人的资格要求：</w:t>
      </w:r>
      <w:bookmarkEnd w:id="8"/>
      <w:bookmarkEnd w:id="9"/>
      <w:bookmarkEnd w:id="10"/>
      <w:bookmarkEnd w:id="1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1.满足《中华人民共和国政府采购法》第二十二条规定；</w:t>
      </w:r>
      <w:bookmarkStart w:id="12" w:name="_Toc28359014"/>
      <w:bookmarkStart w:id="13" w:name="_Toc2835909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2.落实政府采购政策需满足的资格要求：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非</w:t>
      </w:r>
      <w:r>
        <w:rPr>
          <w:rFonts w:hint="eastAsia" w:ascii="宋体" w:hAnsi="宋体"/>
          <w:color w:val="auto"/>
          <w:sz w:val="24"/>
          <w:highlight w:val="none"/>
        </w:rPr>
        <w:t>专门面向中小企业采购项目；</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iCs/>
          <w:color w:val="auto"/>
          <w:kern w:val="0"/>
          <w:sz w:val="24"/>
          <w:highlight w:val="none"/>
        </w:rPr>
        <w:t>中小微企业、监狱企业、残疾人福利性单位、节能、环保产品优</w:t>
      </w:r>
      <w:r>
        <w:rPr>
          <w:rFonts w:hint="eastAsia" w:ascii="宋体" w:hAnsi="宋体" w:cs="宋体"/>
          <w:color w:val="auto"/>
          <w:kern w:val="0"/>
          <w:sz w:val="24"/>
          <w:highlight w:val="none"/>
        </w:rPr>
        <w:t>先采购等；</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3）截至开标时间，经“信用中国”网站（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“中国政府采购网”网站（</w:t>
      </w:r>
      <w:r>
        <w:rPr>
          <w:rFonts w:ascii="宋体" w:hAnsi="宋体" w:cs="宋体"/>
          <w:color w:val="auto"/>
          <w:kern w:val="0"/>
          <w:sz w:val="24"/>
          <w:highlight w:val="none"/>
        </w:rPr>
        <w:t>www.ccgp.gov.cn）查询，被列入失信被执行人、重大税收违法案件当事人名单、政府采购严重违法失信行为记录名单的不得参加本采购项目，</w:t>
      </w:r>
      <w:r>
        <w:rPr>
          <w:rFonts w:hint="eastAsia" w:ascii="宋体" w:hAnsi="宋体" w:cs="宋体"/>
          <w:color w:val="auto"/>
          <w:kern w:val="0"/>
          <w:sz w:val="24"/>
          <w:highlight w:val="none"/>
        </w:rPr>
        <w:t>查询结果以评审过程中现场网络截图为准；</w:t>
      </w:r>
    </w:p>
    <w:p>
      <w:pPr>
        <w:widowControl/>
        <w:spacing w:line="360" w:lineRule="auto"/>
        <w:ind w:firstLine="480" w:firstLineChars="200"/>
        <w:rPr>
          <w:rFonts w:hint="eastAsia"/>
          <w:color w:val="auto"/>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3.本项目的特定资格要求：</w:t>
      </w:r>
      <w:r>
        <w:rPr>
          <w:rFonts w:hint="eastAsia" w:ascii="宋体" w:hAnsi="宋体" w:cs="宋体"/>
          <w:color w:val="auto"/>
          <w:kern w:val="0"/>
          <w:sz w:val="24"/>
          <w:highlight w:val="none"/>
        </w:rPr>
        <w:t>代理商须提供制造商合法有效授权复印件加盖公章（进口设备需提供，国产设备无需提供授权）。</w:t>
      </w:r>
    </w:p>
    <w:p>
      <w:pPr>
        <w:pStyle w:val="5"/>
        <w:tabs>
          <w:tab w:val="left" w:pos="4260"/>
        </w:tabs>
        <w:spacing w:line="360" w:lineRule="auto"/>
        <w:rPr>
          <w:rFonts w:ascii="宋体" w:hAnsi="宋体" w:cs="宋体"/>
          <w:b w:val="0"/>
          <w:color w:val="auto"/>
          <w:sz w:val="24"/>
          <w:highlight w:val="none"/>
        </w:rPr>
      </w:pPr>
      <w:bookmarkStart w:id="14" w:name="_Toc35393631"/>
      <w:bookmarkStart w:id="15" w:name="_Toc35393800"/>
      <w:r>
        <w:rPr>
          <w:rFonts w:hint="eastAsia" w:ascii="宋体" w:hAnsi="宋体" w:cs="宋体"/>
          <w:bCs w:val="0"/>
          <w:color w:val="auto"/>
          <w:sz w:val="24"/>
          <w:highlight w:val="none"/>
        </w:rPr>
        <w:t>三、获取采购文件</w:t>
      </w:r>
      <w:bookmarkEnd w:id="12"/>
      <w:bookmarkEnd w:id="13"/>
      <w:bookmarkEnd w:id="14"/>
      <w:bookmarkEnd w:id="15"/>
      <w:r>
        <w:rPr>
          <w:rFonts w:ascii="宋体" w:hAnsi="宋体" w:cs="宋体"/>
          <w:b w:val="0"/>
          <w:color w:val="auto"/>
          <w:sz w:val="24"/>
          <w:highlight w:val="none"/>
        </w:rPr>
        <w:tab/>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日至 2022 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日，每天上午8:00至11:30，下午13:00至17:00（北京时间，法定节假日除外）</w:t>
      </w:r>
    </w:p>
    <w:p>
      <w:pPr>
        <w:spacing w:line="360" w:lineRule="auto"/>
        <w:ind w:firstLine="540"/>
        <w:rPr>
          <w:rFonts w:hint="eastAsia" w:ascii="宋体" w:hAnsi="宋体" w:cs="宋体"/>
          <w:color w:val="auto"/>
          <w:sz w:val="24"/>
          <w:highlight w:val="none"/>
          <w:u w:val="single"/>
        </w:rPr>
      </w:pPr>
      <w:bookmarkStart w:id="16" w:name="_Toc35393801"/>
      <w:bookmarkStart w:id="17" w:name="_Toc35393632"/>
      <w:bookmarkStart w:id="18" w:name="_Toc28359015"/>
      <w:bookmarkStart w:id="19" w:name="_Toc28359092"/>
      <w:r>
        <w:rPr>
          <w:rFonts w:hint="eastAsia" w:ascii="宋体" w:hAnsi="宋体" w:cs="宋体"/>
          <w:color w:val="auto"/>
          <w:sz w:val="24"/>
          <w:highlight w:val="none"/>
        </w:rPr>
        <w:t xml:space="preserve">地点： </w:t>
      </w:r>
      <w:r>
        <w:rPr>
          <w:rFonts w:hint="eastAsia" w:ascii="宋体" w:hAnsi="宋体" w:cs="宋体"/>
          <w:color w:val="auto"/>
          <w:sz w:val="24"/>
          <w:highlight w:val="none"/>
          <w:u w:val="single"/>
        </w:rPr>
        <w:t>大连甘井子区辛康园19号2楼（或电子邮箱）</w:t>
      </w:r>
    </w:p>
    <w:p>
      <w:pPr>
        <w:widowControl/>
        <w:snapToGrid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sz w:val="24"/>
          <w:highlight w:val="none"/>
        </w:rPr>
        <w:t xml:space="preserve">方式： </w:t>
      </w:r>
      <w:r>
        <w:rPr>
          <w:rFonts w:hint="eastAsia" w:ascii="宋体" w:hAnsi="宋体" w:cs="宋体"/>
          <w:color w:val="auto"/>
          <w:kern w:val="0"/>
          <w:sz w:val="24"/>
          <w:highlight w:val="none"/>
        </w:rPr>
        <w:t>①现场购买：携带营业执照副本复印件（加盖公章）到大连佳沐项目管理有限公司购买。②网上购买：将营业执照副本扫描件发送至jiamudl@163.com邮箱（注明项目名称、</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名称、联系人及联系方式）。</w:t>
      </w:r>
    </w:p>
    <w:p>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售价：300元，本公告包含的磋商文件售价总和。</w:t>
      </w:r>
    </w:p>
    <w:p>
      <w:pPr>
        <w:pStyle w:val="5"/>
        <w:spacing w:line="360" w:lineRule="auto"/>
        <w:rPr>
          <w:rFonts w:ascii="宋体" w:hAnsi="宋体" w:cs="宋体"/>
          <w:bCs w:val="0"/>
          <w:color w:val="auto"/>
          <w:sz w:val="24"/>
          <w:highlight w:val="none"/>
        </w:rPr>
      </w:pPr>
      <w:r>
        <w:rPr>
          <w:rFonts w:hint="eastAsia" w:ascii="宋体" w:hAnsi="宋体" w:cs="宋体"/>
          <w:bCs w:val="0"/>
          <w:color w:val="auto"/>
          <w:sz w:val="24"/>
          <w:highlight w:val="none"/>
        </w:rPr>
        <w:t>四、响应文件提交</w:t>
      </w:r>
      <w:bookmarkEnd w:id="16"/>
      <w:bookmarkEnd w:id="17"/>
      <w:bookmarkEnd w:id="18"/>
      <w:bookmarkEnd w:id="19"/>
    </w:p>
    <w:p>
      <w:pPr>
        <w:spacing w:line="360" w:lineRule="auto"/>
        <w:ind w:firstLine="480" w:firstLineChars="200"/>
        <w:rPr>
          <w:rFonts w:hint="eastAsia" w:ascii="宋体" w:hAnsi="宋体" w:cs="宋体"/>
          <w:iCs/>
          <w:color w:val="auto"/>
          <w:sz w:val="24"/>
          <w:highlight w:val="none"/>
          <w:u w:val="single"/>
        </w:rPr>
      </w:pPr>
      <w:r>
        <w:rPr>
          <w:rFonts w:hint="eastAsia" w:ascii="宋体" w:hAnsi="宋体"/>
          <w:color w:val="auto"/>
          <w:sz w:val="24"/>
          <w:highlight w:val="none"/>
        </w:rPr>
        <w:t>截止时间：</w:t>
      </w:r>
      <w:r>
        <w:rPr>
          <w:rFonts w:hint="eastAsia" w:ascii="宋体" w:hAnsi="宋体"/>
          <w:color w:val="auto"/>
          <w:sz w:val="24"/>
          <w:highlight w:val="none"/>
          <w:u w:val="single"/>
        </w:rPr>
        <w:t>2022</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12</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22</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rPr>
        <w:t>分</w:t>
      </w:r>
      <w:r>
        <w:rPr>
          <w:rFonts w:hint="eastAsia" w:ascii="宋体" w:hAnsi="宋体"/>
          <w:bCs/>
          <w:color w:val="auto"/>
          <w:sz w:val="24"/>
          <w:highlight w:val="none"/>
        </w:rPr>
        <w:t>（北京时间）</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地点：</w:t>
      </w:r>
      <w:r>
        <w:rPr>
          <w:rFonts w:hint="eastAsia" w:ascii="宋体" w:hAnsi="宋体" w:cs="宋体"/>
          <w:color w:val="auto"/>
          <w:kern w:val="0"/>
          <w:sz w:val="24"/>
          <w:highlight w:val="none"/>
          <w:u w:val="none"/>
        </w:rPr>
        <w:t>大连甘井子区辛康园19号</w:t>
      </w:r>
      <w:r>
        <w:rPr>
          <w:rFonts w:hint="eastAsia" w:ascii="宋体" w:hAnsi="宋体" w:cs="宋体"/>
          <w:color w:val="auto"/>
          <w:kern w:val="0"/>
          <w:sz w:val="24"/>
          <w:highlight w:val="none"/>
          <w:u w:val="none"/>
          <w:lang w:val="en-US" w:eastAsia="zh-CN"/>
        </w:rPr>
        <w:t>2</w:t>
      </w:r>
      <w:r>
        <w:rPr>
          <w:rFonts w:hint="eastAsia" w:ascii="宋体" w:hAnsi="宋体" w:cs="宋体"/>
          <w:color w:val="auto"/>
          <w:kern w:val="0"/>
          <w:sz w:val="24"/>
          <w:highlight w:val="none"/>
          <w:u w:val="none"/>
        </w:rPr>
        <w:t>楼</w:t>
      </w:r>
      <w:r>
        <w:rPr>
          <w:rFonts w:hint="eastAsia" w:ascii="宋体" w:hAnsi="宋体" w:cs="宋体"/>
          <w:color w:val="auto"/>
          <w:kern w:val="0"/>
          <w:sz w:val="24"/>
          <w:highlight w:val="none"/>
          <w:u w:val="none"/>
          <w:lang w:val="en-US" w:eastAsia="zh-CN"/>
        </w:rPr>
        <w:t>评标室</w:t>
      </w:r>
      <w:r>
        <w:rPr>
          <w:rFonts w:hint="eastAsia" w:ascii="宋体" w:hAnsi="宋体" w:cs="宋体"/>
          <w:bCs/>
          <w:color w:val="auto"/>
          <w:sz w:val="24"/>
          <w:highlight w:val="none"/>
        </w:rPr>
        <w:t xml:space="preserve"> </w:t>
      </w:r>
    </w:p>
    <w:p>
      <w:pPr>
        <w:pStyle w:val="5"/>
        <w:spacing w:line="360" w:lineRule="auto"/>
        <w:rPr>
          <w:rFonts w:ascii="宋体" w:hAnsi="宋体" w:cs="宋体"/>
          <w:bCs w:val="0"/>
          <w:color w:val="auto"/>
          <w:sz w:val="24"/>
          <w:highlight w:val="none"/>
        </w:rPr>
      </w:pPr>
      <w:bookmarkStart w:id="20" w:name="_Toc35393802"/>
      <w:bookmarkStart w:id="21" w:name="_Toc28359093"/>
      <w:bookmarkStart w:id="22" w:name="_Toc28359016"/>
      <w:bookmarkStart w:id="23" w:name="_Toc35393633"/>
      <w:r>
        <w:rPr>
          <w:rFonts w:hint="eastAsia" w:ascii="宋体" w:hAnsi="宋体" w:cs="宋体"/>
          <w:bCs w:val="0"/>
          <w:color w:val="auto"/>
          <w:sz w:val="24"/>
          <w:highlight w:val="none"/>
        </w:rPr>
        <w:t>五、开启</w:t>
      </w:r>
      <w:bookmarkEnd w:id="20"/>
      <w:bookmarkEnd w:id="21"/>
      <w:bookmarkEnd w:id="22"/>
      <w:bookmarkEnd w:id="23"/>
    </w:p>
    <w:p>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时间：</w:t>
      </w:r>
      <w:r>
        <w:rPr>
          <w:rFonts w:hint="eastAsia" w:ascii="宋体" w:hAnsi="宋体"/>
          <w:color w:val="auto"/>
          <w:sz w:val="24"/>
          <w:highlight w:val="none"/>
          <w:u w:val="single"/>
        </w:rPr>
        <w:t>2022</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12</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22</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rPr>
        <w:t>分</w:t>
      </w:r>
      <w:r>
        <w:rPr>
          <w:rFonts w:hint="eastAsia" w:ascii="宋体" w:hAnsi="宋体"/>
          <w:bCs/>
          <w:color w:val="auto"/>
          <w:sz w:val="24"/>
          <w:highlight w:val="none"/>
        </w:rPr>
        <w:t>（北京时间）</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地点：</w:t>
      </w:r>
      <w:r>
        <w:rPr>
          <w:rFonts w:hint="eastAsia" w:ascii="宋体" w:hAnsi="宋体" w:cs="宋体"/>
          <w:color w:val="auto"/>
          <w:kern w:val="0"/>
          <w:sz w:val="24"/>
          <w:highlight w:val="none"/>
          <w:u w:val="none"/>
        </w:rPr>
        <w:t>大连甘井子区辛康园19号</w:t>
      </w:r>
      <w:r>
        <w:rPr>
          <w:rFonts w:hint="eastAsia" w:ascii="宋体" w:hAnsi="宋体" w:cs="宋体"/>
          <w:color w:val="auto"/>
          <w:kern w:val="0"/>
          <w:sz w:val="24"/>
          <w:highlight w:val="none"/>
          <w:u w:val="none"/>
          <w:lang w:val="en-US" w:eastAsia="zh-CN"/>
        </w:rPr>
        <w:t>2</w:t>
      </w:r>
      <w:r>
        <w:rPr>
          <w:rFonts w:hint="eastAsia" w:ascii="宋体" w:hAnsi="宋体" w:cs="宋体"/>
          <w:color w:val="auto"/>
          <w:kern w:val="0"/>
          <w:sz w:val="24"/>
          <w:highlight w:val="none"/>
          <w:u w:val="none"/>
        </w:rPr>
        <w:t>楼</w:t>
      </w:r>
      <w:r>
        <w:rPr>
          <w:rFonts w:hint="eastAsia" w:ascii="宋体" w:hAnsi="宋体" w:cs="宋体"/>
          <w:color w:val="auto"/>
          <w:kern w:val="0"/>
          <w:sz w:val="24"/>
          <w:highlight w:val="none"/>
          <w:u w:val="none"/>
          <w:lang w:val="en-US" w:eastAsia="zh-CN"/>
        </w:rPr>
        <w:t>评标室</w:t>
      </w:r>
    </w:p>
    <w:p>
      <w:pPr>
        <w:pStyle w:val="5"/>
        <w:spacing w:line="360" w:lineRule="auto"/>
        <w:rPr>
          <w:rFonts w:ascii="宋体" w:hAnsi="宋体" w:cs="宋体"/>
          <w:bCs w:val="0"/>
          <w:color w:val="auto"/>
          <w:sz w:val="24"/>
          <w:highlight w:val="none"/>
        </w:rPr>
      </w:pPr>
      <w:bookmarkStart w:id="24" w:name="_Toc28359017"/>
      <w:bookmarkStart w:id="25" w:name="_Toc28359094"/>
      <w:bookmarkStart w:id="26" w:name="_Toc35393634"/>
      <w:bookmarkStart w:id="27" w:name="_Toc35393803"/>
      <w:r>
        <w:rPr>
          <w:rFonts w:hint="eastAsia" w:ascii="宋体" w:hAnsi="宋体" w:cs="宋体"/>
          <w:bCs w:val="0"/>
          <w:color w:val="auto"/>
          <w:sz w:val="24"/>
          <w:highlight w:val="none"/>
        </w:rPr>
        <w:t>六、公告期限</w:t>
      </w:r>
      <w:bookmarkEnd w:id="24"/>
      <w:bookmarkEnd w:id="25"/>
      <w:bookmarkEnd w:id="26"/>
      <w:bookmarkEnd w:id="27"/>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pStyle w:val="5"/>
        <w:spacing w:line="360" w:lineRule="auto"/>
        <w:rPr>
          <w:rFonts w:ascii="宋体" w:hAnsi="宋体" w:cs="宋体"/>
          <w:bCs w:val="0"/>
          <w:color w:val="auto"/>
          <w:sz w:val="24"/>
          <w:highlight w:val="none"/>
        </w:rPr>
      </w:pPr>
      <w:bookmarkStart w:id="28" w:name="_Toc35393635"/>
      <w:bookmarkStart w:id="29" w:name="_Toc35393804"/>
      <w:r>
        <w:rPr>
          <w:rFonts w:hint="eastAsia" w:ascii="宋体" w:hAnsi="宋体" w:cs="宋体"/>
          <w:bCs w:val="0"/>
          <w:color w:val="auto"/>
          <w:sz w:val="24"/>
          <w:highlight w:val="none"/>
        </w:rPr>
        <w:t>七、其他补充事宜</w:t>
      </w:r>
      <w:bookmarkEnd w:id="28"/>
      <w:bookmarkEnd w:id="29"/>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无。</w:t>
      </w:r>
    </w:p>
    <w:p>
      <w:pPr>
        <w:pStyle w:val="5"/>
        <w:spacing w:line="360" w:lineRule="auto"/>
        <w:rPr>
          <w:rFonts w:ascii="宋体" w:hAnsi="宋体" w:cs="宋体"/>
          <w:bCs w:val="0"/>
          <w:color w:val="auto"/>
          <w:sz w:val="24"/>
          <w:highlight w:val="none"/>
        </w:rPr>
      </w:pPr>
      <w:bookmarkStart w:id="30" w:name="_Toc28359018"/>
      <w:bookmarkStart w:id="31" w:name="_Toc35393636"/>
      <w:bookmarkStart w:id="32" w:name="_Toc35393805"/>
      <w:bookmarkStart w:id="33" w:name="_Toc28359095"/>
      <w:r>
        <w:rPr>
          <w:rFonts w:hint="eastAsia" w:ascii="宋体" w:hAnsi="宋体" w:cs="宋体"/>
          <w:bCs w:val="0"/>
          <w:color w:val="auto"/>
          <w:sz w:val="24"/>
          <w:highlight w:val="none"/>
        </w:rPr>
        <w:t>八、凡对本次采购提出询问，请按</w:t>
      </w:r>
      <w:r>
        <w:rPr>
          <w:rFonts w:ascii="宋体" w:hAnsi="宋体" w:cs="宋体"/>
          <w:bCs w:val="0"/>
          <w:color w:val="auto"/>
          <w:sz w:val="24"/>
          <w:highlight w:val="none"/>
        </w:rPr>
        <w:t>以下方式</w:t>
      </w:r>
      <w:r>
        <w:rPr>
          <w:rFonts w:hint="eastAsia" w:ascii="宋体" w:hAnsi="宋体" w:cs="宋体"/>
          <w:bCs w:val="0"/>
          <w:color w:val="auto"/>
          <w:sz w:val="24"/>
          <w:highlight w:val="none"/>
        </w:rPr>
        <w:t>联系。</w:t>
      </w:r>
      <w:bookmarkEnd w:id="30"/>
      <w:bookmarkEnd w:id="31"/>
      <w:bookmarkEnd w:id="32"/>
      <w:bookmarkEnd w:id="33"/>
    </w:p>
    <w:bookmarkEnd w:id="2"/>
    <w:bookmarkEnd w:id="3"/>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名称：大连理工大学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地址：辽宁省大连市高新园区凌工路2号大连理工大学科技园大厦C座4</w:t>
      </w:r>
      <w:r>
        <w:rPr>
          <w:rFonts w:ascii="宋体" w:hAnsi="宋体" w:cs="宋体"/>
          <w:color w:val="auto"/>
          <w:kern w:val="0"/>
          <w:sz w:val="24"/>
          <w:highlight w:val="none"/>
        </w:rPr>
        <w:t>11</w:t>
      </w:r>
      <w:r>
        <w:rPr>
          <w:rFonts w:hint="eastAsia" w:ascii="宋体" w:hAnsi="宋体" w:cs="宋体"/>
          <w:color w:val="auto"/>
          <w:kern w:val="0"/>
          <w:sz w:val="24"/>
          <w:highlight w:val="none"/>
        </w:rPr>
        <w:t>室。</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联系方式：</w:t>
      </w:r>
      <w:bookmarkStart w:id="34" w:name="_Toc28359086"/>
      <w:bookmarkStart w:id="35" w:name="_Toc28359009"/>
      <w:r>
        <w:rPr>
          <w:rFonts w:hint="eastAsia" w:ascii="宋体" w:hAnsi="宋体" w:cs="宋体"/>
          <w:color w:val="auto"/>
          <w:kern w:val="0"/>
          <w:sz w:val="24"/>
          <w:highlight w:val="none"/>
        </w:rPr>
        <w:t>李老师/孙老师；0411-8470996</w:t>
      </w:r>
      <w:r>
        <w:rPr>
          <w:rFonts w:ascii="宋体" w:hAnsi="宋体" w:cs="宋体"/>
          <w:color w:val="auto"/>
          <w:kern w:val="0"/>
          <w:sz w:val="24"/>
          <w:highlight w:val="none"/>
        </w:rPr>
        <w:t>9/84706297</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34"/>
      <w:bookmarkEnd w:id="35"/>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名称：大连佳沐项目管理有限公司</w:t>
      </w:r>
      <w:r>
        <w:rPr>
          <w:rFonts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地址：大连甘井子区辛康园19号</w:t>
      </w:r>
      <w:r>
        <w:rPr>
          <w:rFonts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联系方式：</w:t>
      </w:r>
      <w:bookmarkStart w:id="36" w:name="_Toc28359010"/>
      <w:bookmarkStart w:id="37" w:name="_Toc28359087"/>
      <w:r>
        <w:rPr>
          <w:rFonts w:hint="eastAsia" w:ascii="宋体" w:hAnsi="宋体" w:cs="宋体"/>
          <w:color w:val="auto"/>
          <w:kern w:val="0"/>
          <w:sz w:val="24"/>
          <w:highlight w:val="none"/>
        </w:rPr>
        <w:t>0411-86306211</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36"/>
      <w:bookmarkEnd w:id="37"/>
      <w:r>
        <w:rPr>
          <w:rFonts w:hint="eastAsia" w:ascii="宋体" w:hAnsi="宋体" w:cs="宋体"/>
          <w:color w:val="auto"/>
          <w:kern w:val="0"/>
          <w:sz w:val="24"/>
          <w:highlight w:val="none"/>
        </w:rPr>
        <w:t>：</w:t>
      </w:r>
    </w:p>
    <w:p>
      <w:pPr>
        <w:pStyle w:val="46"/>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项目联系人：张恒</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电话：0411-86306211</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jc w:val="left"/>
        <w:rPr>
          <w:rFonts w:hint="eastAsia" w:ascii="宋体" w:hAnsi="宋体" w:cs="宋体"/>
          <w:color w:val="auto"/>
          <w:kern w:val="0"/>
          <w:sz w:val="24"/>
          <w:highlight w:val="none"/>
        </w:rPr>
      </w:pPr>
    </w:p>
    <w:bookmarkEnd w:id="0"/>
    <w:bookmarkEnd w:id="1"/>
    <w:p>
      <w:pPr>
        <w:numPr>
          <w:ilvl w:val="0"/>
          <w:numId w:val="12"/>
        </w:numPr>
        <w:tabs>
          <w:tab w:val="left" w:pos="1260"/>
          <w:tab w:val="left" w:pos="1440"/>
          <w:tab w:val="clear" w:pos="0"/>
        </w:tabs>
        <w:spacing w:after="120" w:afterLines="50" w:line="360" w:lineRule="auto"/>
        <w:jc w:val="center"/>
        <w:outlineLvl w:val="0"/>
        <w:rPr>
          <w:rStyle w:val="101"/>
          <w:rFonts w:hint="eastAsia" w:ascii="宋体" w:hAnsi="宋体" w:cs="宋体"/>
          <w:color w:val="auto"/>
          <w:highlight w:val="none"/>
        </w:rPr>
      </w:pPr>
      <w:bookmarkStart w:id="38" w:name="_Toc168800594"/>
      <w:r>
        <w:rPr>
          <w:rFonts w:ascii="宋体" w:hAnsi="宋体" w:cs="宋体"/>
          <w:color w:val="auto"/>
          <w:sz w:val="28"/>
          <w:szCs w:val="28"/>
          <w:highlight w:val="none"/>
        </w:rPr>
        <w:br w:type="page"/>
      </w:r>
      <w:bookmarkStart w:id="39" w:name="_Toc477935921"/>
      <w:r>
        <w:rPr>
          <w:rFonts w:hint="eastAsia" w:ascii="宋体" w:hAnsi="宋体" w:cs="宋体"/>
          <w:color w:val="auto"/>
          <w:sz w:val="28"/>
          <w:szCs w:val="28"/>
          <w:highlight w:val="none"/>
        </w:rPr>
        <w:t xml:space="preserve"> </w:t>
      </w:r>
      <w:r>
        <w:rPr>
          <w:rStyle w:val="101"/>
          <w:rFonts w:hint="eastAsia" w:ascii="宋体" w:hAnsi="宋体" w:cs="宋体"/>
          <w:color w:val="auto"/>
          <w:highlight w:val="none"/>
        </w:rPr>
        <w:t>供应商须知及前附表</w:t>
      </w:r>
      <w:bookmarkEnd w:id="38"/>
      <w:bookmarkEnd w:id="39"/>
    </w:p>
    <w:p>
      <w:pPr>
        <w:spacing w:line="312"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供应商须知前附表</w:t>
      </w:r>
    </w:p>
    <w:tbl>
      <w:tblPr>
        <w:tblStyle w:val="89"/>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935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大连理工大学超高速视频级原子力显微镜采购项目</w:t>
            </w:r>
            <w:r>
              <w:rPr>
                <w:rFonts w:hint="eastAsia"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采购人：大连理工大学</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采购代理机构：大连佳沐项目管理有限公司</w:t>
            </w:r>
            <w:r>
              <w:rPr>
                <w:rFonts w:hint="default" w:ascii="宋体" w:hAnsi="宋体" w:cs="宋体"/>
                <w:color w:val="auto"/>
                <w:kern w:val="0"/>
                <w:sz w:val="24"/>
                <w:highlight w:val="none"/>
              </w:rPr>
              <w:t xml:space="preserve"> </w:t>
            </w:r>
            <w:r>
              <w:rPr>
                <w:rFonts w:hint="eastAsia"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供应商须具备《中华人民共和国政府采购法》第二十二条关于供应商条件的规定：</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（6）法律、行政法规规定的其他条件；</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宋体" w:hAnsi="宋体" w:cs="宋体"/>
                <w:color w:val="auto"/>
                <w:kern w:val="0"/>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val="en-US" w:eastAsia="zh-CN"/>
              </w:rPr>
              <w:t>非</w:t>
            </w:r>
            <w:r>
              <w:rPr>
                <w:rFonts w:hint="eastAsia" w:ascii="宋体" w:hAnsi="宋体"/>
                <w:color w:val="auto"/>
                <w:sz w:val="24"/>
                <w:highlight w:val="none"/>
              </w:rPr>
              <w:t>专门面向中小企业采购项目</w:t>
            </w:r>
            <w:r>
              <w:rPr>
                <w:rFonts w:hint="eastAsia" w:ascii="宋体" w:hAnsi="宋体" w:cs="Times New Roman"/>
                <w:color w:val="auto"/>
                <w:sz w:val="24"/>
                <w:highlight w:val="none"/>
              </w:rPr>
              <w:t>；</w:t>
            </w:r>
          </w:p>
          <w:p>
            <w:pPr>
              <w:keepNext w:val="0"/>
              <w:keepLines w:val="0"/>
              <w:widowControl/>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（2）中小微企业、监狱企业、残疾人福利性单位、节能、环保产品优先采购等；</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（3）截至开标时间，经“信用中国”网站（</w:t>
            </w:r>
            <w:r>
              <w:rPr>
                <w:rFonts w:hint="default" w:ascii="宋体" w:hAnsi="宋体" w:cs="宋体"/>
                <w:color w:val="auto"/>
                <w:kern w:val="0"/>
                <w:sz w:val="24"/>
                <w:highlight w:val="none"/>
              </w:rPr>
              <w:t xml:space="preserve">www.creditchina.gov.cn）、 </w:t>
            </w:r>
            <w:r>
              <w:rPr>
                <w:rFonts w:hint="eastAsia" w:ascii="宋体" w:hAnsi="宋体" w:cs="宋体"/>
                <w:color w:val="auto"/>
                <w:kern w:val="0"/>
                <w:sz w:val="24"/>
                <w:highlight w:val="none"/>
              </w:rPr>
              <w:t>“中国政府采购网”网站（</w:t>
            </w:r>
            <w:r>
              <w:rPr>
                <w:rFonts w:hint="default" w:ascii="宋体" w:hAnsi="宋体" w:cs="宋体"/>
                <w:color w:val="auto"/>
                <w:kern w:val="0"/>
                <w:sz w:val="24"/>
                <w:highlight w:val="none"/>
              </w:rPr>
              <w:t>www.ccgp.gov.cn）查询，被列入失信被执行人、重大税收违法案件当事人名单、政府采购严重违法失信行为记录名单的不得参加本采购项目，</w:t>
            </w:r>
            <w:r>
              <w:rPr>
                <w:rFonts w:hint="eastAsia" w:ascii="宋体" w:hAnsi="宋体" w:cs="宋体"/>
                <w:color w:val="auto"/>
                <w:kern w:val="0"/>
                <w:sz w:val="24"/>
                <w:highlight w:val="none"/>
              </w:rPr>
              <w:t>查询结果以评审过程中现场网络截图为准；</w:t>
            </w:r>
          </w:p>
          <w:p>
            <w:pPr>
              <w:keepNext w:val="0"/>
              <w:keepLines w:val="0"/>
              <w:widowControl/>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default" w:ascii="宋体" w:hAnsi="宋体" w:cs="宋体"/>
                <w:color w:val="auto"/>
                <w:kern w:val="0"/>
                <w:sz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pPr>
              <w:keepNext w:val="0"/>
              <w:keepLines w:val="0"/>
              <w:suppressLineNumbers w:val="0"/>
              <w:snapToGrid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本项目的特定资格要求：</w:t>
            </w:r>
            <w:r>
              <w:rPr>
                <w:rFonts w:hint="eastAsia" w:ascii="宋体" w:hAnsi="宋体" w:cs="宋体"/>
                <w:color w:val="auto"/>
                <w:kern w:val="0"/>
                <w:sz w:val="24"/>
                <w:highlight w:val="none"/>
              </w:rPr>
              <w:t>代理商须提供制造商合法有效授权复印件加盖公章（进口设备需提供，国产设备无需提供授权）。</w:t>
            </w:r>
          </w:p>
          <w:p>
            <w:pPr>
              <w:keepNext w:val="0"/>
              <w:keepLines w:val="0"/>
              <w:widowControl/>
              <w:suppressLineNumbers w:val="0"/>
              <w:spacing w:before="0" w:beforeAutospacing="0" w:after="0" w:afterAutospacing="0" w:line="360" w:lineRule="auto"/>
              <w:ind w:left="0" w:right="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注：1.本项目不接受联合体磋商。</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2.截至响应文件截止时间，经“信用中国”网站（www.creditchina.gov.cn）、 “中国政府采购网”网站（www.ccgp.gov.cn）查询，被列入失信被执行人、重大税收违法案件当事人名单、政府采购严重违法失信行为记录名单的不得参加本采购项目，查询结果以评审过程中现场网络截图为准。</w:t>
            </w:r>
          </w:p>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3.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9355" w:type="dxa"/>
            <w:noWrap w:val="0"/>
            <w:vAlign w:val="center"/>
          </w:tcPr>
          <w:p>
            <w:pPr>
              <w:keepNext w:val="0"/>
              <w:keepLines w:val="0"/>
              <w:suppressLineNumbers w:val="0"/>
              <w:tabs>
                <w:tab w:val="left" w:pos="-288"/>
              </w:tabs>
              <w:spacing w:before="0" w:beforeAutospacing="0" w:after="0" w:afterAutospacing="0" w:line="360" w:lineRule="auto"/>
              <w:ind w:left="34" w:right="0"/>
              <w:rPr>
                <w:rFonts w:hint="default" w:ascii="宋体" w:hAnsi="宋体" w:cs="宋体"/>
                <w:color w:val="auto"/>
                <w:sz w:val="24"/>
                <w:highlight w:val="none"/>
              </w:rPr>
            </w:pPr>
            <w:r>
              <w:rPr>
                <w:rFonts w:hint="eastAsia" w:ascii="宋体" w:hAnsi="宋体" w:cs="宋体"/>
                <w:color w:val="auto"/>
                <w:kern w:val="0"/>
                <w:sz w:val="24"/>
                <w:szCs w:val="22"/>
                <w:highlight w:val="none"/>
              </w:rPr>
              <w:t>★</w:t>
            </w:r>
            <w:r>
              <w:rPr>
                <w:rFonts w:hint="eastAsia" w:ascii="宋体" w:hAnsi="宋体" w:cs="宋体"/>
                <w:color w:val="auto"/>
                <w:sz w:val="24"/>
                <w:highlight w:val="none"/>
              </w:rPr>
              <w:t>交货地点：</w:t>
            </w:r>
            <w:r>
              <w:rPr>
                <w:rFonts w:hint="eastAsia" w:ascii="宋体" w:hAnsi="宋体" w:cs="宋体"/>
                <w:color w:val="auto"/>
                <w:kern w:val="0"/>
                <w:sz w:val="24"/>
                <w:highlight w:val="none"/>
              </w:rPr>
              <w:t>大连理工大学</w:t>
            </w:r>
            <w:r>
              <w:rPr>
                <w:rFonts w:hint="eastAsia" w:ascii="宋体" w:hAnsi="宋体" w:cs="宋体"/>
                <w:color w:val="auto"/>
                <w:sz w:val="24"/>
                <w:highlight w:val="none"/>
              </w:rPr>
              <w:t>。</w:t>
            </w:r>
          </w:p>
          <w:p>
            <w:pPr>
              <w:keepNext w:val="0"/>
              <w:keepLines w:val="0"/>
              <w:suppressLineNumbers w:val="0"/>
              <w:tabs>
                <w:tab w:val="left" w:pos="-288"/>
              </w:tabs>
              <w:spacing w:before="0" w:beforeAutospacing="0" w:after="0" w:afterAutospacing="0" w:line="360" w:lineRule="auto"/>
              <w:ind w:left="34" w:right="0"/>
              <w:rPr>
                <w:rFonts w:hint="eastAsia" w:ascii="宋体" w:hAnsi="宋体" w:cs="宋体"/>
                <w:color w:val="auto"/>
                <w:sz w:val="24"/>
                <w:highlight w:val="none"/>
              </w:rPr>
            </w:pPr>
            <w:r>
              <w:rPr>
                <w:rFonts w:hint="eastAsia" w:ascii="宋体" w:hAnsi="宋体" w:cs="宋体"/>
                <w:color w:val="auto"/>
                <w:sz w:val="24"/>
                <w:highlight w:val="none"/>
              </w:rPr>
              <w:t>★供货期：</w:t>
            </w:r>
            <w:r>
              <w:rPr>
                <w:rFonts w:hint="eastAsia" w:ascii="宋体" w:hAnsi="宋体" w:cs="宋体"/>
                <w:color w:val="auto"/>
                <w:kern w:val="0"/>
                <w:sz w:val="24"/>
                <w:highlight w:val="none"/>
              </w:rPr>
              <w:t>自签订合同之日起，接到采购人供货通知后</w:t>
            </w:r>
            <w:r>
              <w:rPr>
                <w:rFonts w:hint="eastAsia" w:ascii="宋体" w:hAnsi="宋体" w:cs="宋体"/>
                <w:color w:val="auto"/>
                <w:kern w:val="0"/>
                <w:sz w:val="24"/>
                <w:highlight w:val="none"/>
                <w:lang w:eastAsia="zh-CN"/>
              </w:rPr>
              <w:t>150</w:t>
            </w:r>
            <w:r>
              <w:rPr>
                <w:rFonts w:hint="eastAsia" w:ascii="宋体" w:hAnsi="宋体" w:cs="宋体"/>
                <w:color w:val="auto"/>
                <w:kern w:val="0"/>
                <w:sz w:val="24"/>
                <w:highlight w:val="none"/>
              </w:rPr>
              <w:t>个日历日内货到采购人指定地点安装调试验收合格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b/>
                <w:color w:val="auto"/>
                <w:kern w:val="0"/>
                <w:sz w:val="24"/>
                <w:highlight w:val="none"/>
              </w:rPr>
            </w:pPr>
            <w:r>
              <w:rPr>
                <w:rFonts w:hint="eastAsia" w:ascii="宋体" w:hAnsi="宋体" w:cs="宋体"/>
                <w:color w:val="auto"/>
                <w:kern w:val="0"/>
                <w:sz w:val="24"/>
                <w:highlight w:val="none"/>
              </w:rPr>
              <w:t>供应商提交的响应文件以及供应商与采购人就有关招响应的所有来往函电均应使用中文。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b/>
                <w:color w:val="auto"/>
                <w:kern w:val="0"/>
                <w:sz w:val="24"/>
                <w:highlight w:val="none"/>
              </w:rPr>
            </w:pPr>
            <w:r>
              <w:rPr>
                <w:rFonts w:hint="eastAsia" w:ascii="宋体" w:hAnsi="宋体" w:cs="宋体"/>
                <w:b/>
                <w:color w:val="auto"/>
                <w:kern w:val="0"/>
                <w:sz w:val="24"/>
                <w:highlight w:val="none"/>
              </w:rPr>
              <w:t>供应商从中华人民共和国提供的货物和服务应以人民币报价。</w:t>
            </w:r>
          </w:p>
          <w:p>
            <w:pPr>
              <w:keepNext w:val="0"/>
              <w:keepLines w:val="0"/>
              <w:widowControl/>
              <w:suppressLineNumbers w:val="0"/>
              <w:spacing w:before="0" w:beforeAutospacing="0" w:after="0" w:afterAutospacing="0" w:line="360" w:lineRule="auto"/>
              <w:ind w:left="0" w:right="0"/>
              <w:rPr>
                <w:rFonts w:hint="eastAsia" w:ascii="宋体" w:hAnsi="宋体" w:cs="宋体"/>
                <w:b/>
                <w:color w:val="auto"/>
                <w:kern w:val="0"/>
                <w:sz w:val="24"/>
                <w:highlight w:val="none"/>
              </w:rPr>
            </w:pPr>
            <w:r>
              <w:rPr>
                <w:rFonts w:hint="eastAsia" w:ascii="宋体" w:hAnsi="宋体" w:cs="宋体"/>
                <w:b/>
                <w:color w:val="auto"/>
                <w:kern w:val="0"/>
                <w:sz w:val="24"/>
                <w:highlight w:val="none"/>
              </w:rPr>
              <w:t>响应报价应是本项目所有费用的最终报价。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9355" w:type="dxa"/>
            <w:noWrap w:val="0"/>
            <w:vAlign w:val="center"/>
          </w:tcPr>
          <w:p>
            <w:pPr>
              <w:keepNext w:val="0"/>
              <w:keepLines w:val="0"/>
              <w:widowControl/>
              <w:suppressLineNumbers w:val="0"/>
              <w:tabs>
                <w:tab w:val="left" w:pos="4045"/>
              </w:tabs>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1.磋商保证金：</w:t>
            </w:r>
            <w:r>
              <w:rPr>
                <w:rFonts w:hint="eastAsia" w:ascii="宋体" w:hAnsi="宋体" w:cs="宋体"/>
                <w:bCs/>
                <w:color w:val="auto"/>
                <w:sz w:val="24"/>
                <w:highlight w:val="none"/>
              </w:rPr>
              <w:t>人民币</w:t>
            </w:r>
            <w:r>
              <w:rPr>
                <w:rFonts w:hint="eastAsia" w:ascii="宋体" w:hAnsi="宋体" w:cs="宋体"/>
                <w:color w:val="auto"/>
                <w:kern w:val="0"/>
                <w:sz w:val="24"/>
                <w:highlight w:val="none"/>
                <w:u w:val="single"/>
                <w:lang w:val="en-US" w:eastAsia="zh-CN"/>
              </w:rPr>
              <w:t>6000</w:t>
            </w:r>
            <w:r>
              <w:rPr>
                <w:rFonts w:hint="eastAsia" w:ascii="宋体" w:hAnsi="宋体" w:cs="宋体"/>
                <w:color w:val="auto"/>
                <w:kern w:val="0"/>
                <w:sz w:val="24"/>
                <w:highlight w:val="none"/>
                <w:u w:val="single"/>
              </w:rPr>
              <w:t>0.00</w:t>
            </w:r>
            <w:r>
              <w:rPr>
                <w:rFonts w:hint="eastAsia" w:ascii="宋体" w:hAnsi="宋体" w:cs="宋体"/>
                <w:bCs/>
                <w:color w:val="auto"/>
                <w:sz w:val="24"/>
                <w:highlight w:val="none"/>
              </w:rPr>
              <w:t>元（大写</w:t>
            </w:r>
            <w:r>
              <w:rPr>
                <w:rFonts w:hint="eastAsia" w:ascii="宋体" w:hAnsi="宋体" w:cs="宋体"/>
                <w:color w:val="auto"/>
                <w:kern w:val="0"/>
                <w:sz w:val="24"/>
                <w:highlight w:val="none"/>
                <w:u w:val="single"/>
                <w:lang w:val="en-US" w:eastAsia="zh-CN"/>
              </w:rPr>
              <w:t>陆万元</w:t>
            </w:r>
            <w:r>
              <w:rPr>
                <w:rFonts w:hint="eastAsia" w:ascii="宋体" w:hAnsi="宋体" w:cs="宋体"/>
                <w:color w:val="auto"/>
                <w:kern w:val="0"/>
                <w:sz w:val="24"/>
                <w:highlight w:val="none"/>
                <w:u w:val="single"/>
              </w:rPr>
              <w:t>整</w:t>
            </w:r>
            <w:r>
              <w:rPr>
                <w:rFonts w:hint="eastAsia" w:ascii="宋体" w:hAnsi="宋体" w:cs="宋体"/>
                <w:bCs/>
                <w:color w:val="auto"/>
                <w:sz w:val="24"/>
                <w:highlight w:val="none"/>
              </w:rPr>
              <w:t>）</w:t>
            </w:r>
            <w:r>
              <w:rPr>
                <w:rFonts w:hint="eastAsia" w:ascii="宋体" w:hAnsi="宋体" w:cs="宋体"/>
                <w:color w:val="auto"/>
                <w:kern w:val="0"/>
                <w:sz w:val="24"/>
                <w:highlight w:val="none"/>
              </w:rPr>
              <w:t>。</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2.磋商保证金采用下列形式之一种：</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（1）支票；</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（2）汇票；</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（3）本票或者金融机构、担保机构出具的保函；</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（4）电汇；</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（注：本项目不接受现金形式以及个人名头汇款的磋商保证金。）</w:t>
            </w:r>
          </w:p>
          <w:p>
            <w:pPr>
              <w:keepNext w:val="0"/>
              <w:keepLines w:val="0"/>
              <w:widowControl/>
              <w:numPr>
                <w:ilvl w:val="0"/>
                <w:numId w:val="13"/>
              </w:numPr>
              <w:suppressLineNumbers w:val="0"/>
              <w:spacing w:before="0" w:beforeAutospacing="0" w:after="0" w:afterAutospacing="0" w:line="360" w:lineRule="auto"/>
              <w:ind w:left="0" w:right="0"/>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磋商保证金的递交时间及地点：供应商应在响应文件递交截止时间前将磋商保证金递交至</w:t>
            </w:r>
            <w:r>
              <w:rPr>
                <w:rFonts w:hint="eastAsia" w:ascii="宋体" w:hAnsi="宋体" w:cs="宋体"/>
                <w:color w:val="auto"/>
                <w:kern w:val="0"/>
                <w:sz w:val="24"/>
                <w:highlight w:val="none"/>
                <w:u w:val="single"/>
              </w:rPr>
              <w:t>大连佳沐项目管理有限公司财务室（大连市甘井子区中冶商务园B13-1）</w:t>
            </w:r>
            <w:r>
              <w:rPr>
                <w:rFonts w:hint="eastAsia" w:ascii="宋体" w:hAnsi="宋体" w:cs="宋体"/>
                <w:color w:val="auto"/>
                <w:kern w:val="0"/>
                <w:sz w:val="24"/>
                <w:highlight w:val="none"/>
              </w:rPr>
              <w:t>。</w:t>
            </w:r>
          </w:p>
          <w:p>
            <w:pPr>
              <w:keepNext w:val="0"/>
              <w:keepLines w:val="0"/>
              <w:widowControl/>
              <w:suppressLineNumbers w:val="0"/>
              <w:spacing w:before="0" w:beforeAutospacing="0" w:after="0" w:afterAutospacing="0" w:line="360" w:lineRule="auto"/>
              <w:ind w:left="0" w:right="0"/>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企业若要汇款，请汇至：</w:t>
            </w:r>
          </w:p>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开户行：招商银行大连分行大连万达广场支行</w:t>
            </w:r>
            <w:r>
              <w:rPr>
                <w:rFonts w:hint="eastAsia" w:ascii="宋体" w:hAnsi="宋体" w:cs="宋体"/>
                <w:color w:val="auto"/>
                <w:kern w:val="0"/>
                <w:sz w:val="24"/>
                <w:highlight w:val="none"/>
                <w:lang w:eastAsia="zh-CN"/>
              </w:rPr>
              <w:t>；</w:t>
            </w:r>
          </w:p>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账号：411909168110706</w:t>
            </w:r>
            <w:r>
              <w:rPr>
                <w:rFonts w:hint="eastAsia" w:ascii="宋体" w:hAnsi="宋体" w:cs="宋体"/>
                <w:color w:val="auto"/>
                <w:kern w:val="0"/>
                <w:sz w:val="24"/>
                <w:highlight w:val="none"/>
                <w:lang w:eastAsia="zh-CN"/>
              </w:rPr>
              <w:t>；。</w:t>
            </w:r>
          </w:p>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行号：308222027251</w:t>
            </w:r>
          </w:p>
          <w:p>
            <w:pPr>
              <w:keepNext w:val="0"/>
              <w:keepLines w:val="0"/>
              <w:widowControl/>
              <w:suppressLineNumbers w:val="0"/>
              <w:tabs>
                <w:tab w:val="left" w:pos="4045"/>
              </w:tabs>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cs="宋体"/>
                <w:color w:val="auto"/>
                <w:kern w:val="0"/>
                <w:sz w:val="24"/>
                <w:highlight w:val="none"/>
              </w:rPr>
              <w:t>4.供应商的磋商保证金须从开户行基本存款账户汇出，磋商保证金以到账时间为准，</w:t>
            </w:r>
            <w:r>
              <w:rPr>
                <w:rFonts w:hint="eastAsia" w:ascii="宋体" w:hAnsi="宋体" w:cs="Times New Roman"/>
                <w:b/>
                <w:color w:val="auto"/>
                <w:sz w:val="24"/>
                <w:highlight w:val="none"/>
              </w:rPr>
              <w:t>将磋商保证金汇款凭证及</w:t>
            </w:r>
            <w:r>
              <w:rPr>
                <w:rFonts w:hint="eastAsia" w:ascii="宋体" w:hAnsi="宋体" w:cs="宋体"/>
                <w:b/>
                <w:bCs/>
                <w:color w:val="auto"/>
                <w:sz w:val="24"/>
                <w:highlight w:val="none"/>
              </w:rPr>
              <w:t>开户行基本存款账户证明材料的复印件（如开户许可证等）</w:t>
            </w:r>
            <w:r>
              <w:rPr>
                <w:rFonts w:hint="eastAsia" w:ascii="宋体" w:hAnsi="宋体" w:cs="Times New Roman"/>
                <w:b/>
                <w:color w:val="auto"/>
                <w:sz w:val="24"/>
                <w:highlight w:val="none"/>
              </w:rPr>
              <w:t>附在响应文件中</w:t>
            </w:r>
            <w:r>
              <w:rPr>
                <w:rFonts w:hint="eastAsia" w:ascii="宋体" w:hAnsi="宋体" w:cs="Times New Roman"/>
                <w:color w:val="auto"/>
                <w:sz w:val="24"/>
                <w:highlight w:val="none"/>
              </w:rPr>
              <w:t>，以证明保证金的递交符合文件要求，否则将导致响应无效。</w:t>
            </w:r>
            <w:r>
              <w:rPr>
                <w:rFonts w:hint="eastAsia" w:ascii="宋体" w:hAnsi="宋体" w:cs="宋体"/>
                <w:color w:val="auto"/>
                <w:kern w:val="0"/>
                <w:sz w:val="24"/>
                <w:highlight w:val="none"/>
              </w:rPr>
              <w:t>若在响应文件递交截止时间前没有收到任何形式的磋商保证金，则视为自动放弃此次磋商。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9355"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响应有效期：90日历日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9355"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响应文件份数：正本1份；副本5份，电子版光盘或U盘3份。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9355" w:type="dxa"/>
            <w:noWrap w:val="0"/>
            <w:vAlign w:val="center"/>
          </w:tcPr>
          <w:p>
            <w:pPr>
              <w:widowControl/>
              <w:spacing w:line="360" w:lineRule="auto"/>
              <w:contextualSpacing/>
              <w:rPr>
                <w:rFonts w:ascii="宋体" w:hAnsi="宋体" w:cs="宋体"/>
                <w:kern w:val="0"/>
                <w:sz w:val="24"/>
                <w:highlight w:val="none"/>
              </w:rPr>
            </w:pPr>
            <w:r>
              <w:rPr>
                <w:rFonts w:hint="eastAsia" w:ascii="宋体" w:hAnsi="宋体" w:cs="宋体"/>
                <w:kern w:val="0"/>
                <w:sz w:val="24"/>
                <w:highlight w:val="none"/>
                <w:lang w:val="en-US" w:eastAsia="zh-CN"/>
              </w:rPr>
              <w:t>响应</w:t>
            </w:r>
            <w:r>
              <w:rPr>
                <w:rFonts w:hint="eastAsia" w:ascii="宋体" w:hAnsi="宋体" w:cs="宋体"/>
                <w:kern w:val="0"/>
                <w:sz w:val="24"/>
                <w:highlight w:val="none"/>
              </w:rPr>
              <w:t>文件递交方式、时间：</w:t>
            </w:r>
          </w:p>
          <w:p>
            <w:pPr>
              <w:widowControl/>
              <w:spacing w:line="360" w:lineRule="auto"/>
              <w:contextualSpacing/>
              <w:rPr>
                <w:rFonts w:ascii="宋体" w:hAnsi="宋体" w:cs="宋体"/>
                <w:kern w:val="0"/>
                <w:sz w:val="24"/>
                <w:highlight w:val="none"/>
              </w:rPr>
            </w:pPr>
            <w:r>
              <w:rPr>
                <w:rFonts w:hint="eastAsia" w:ascii="宋体" w:hAnsi="宋体" w:cs="宋体"/>
                <w:kern w:val="0"/>
                <w:sz w:val="24"/>
                <w:highlight w:val="none"/>
              </w:rPr>
              <w:t>递交方式：邮寄方式</w:t>
            </w:r>
          </w:p>
          <w:p>
            <w:pPr>
              <w:widowControl/>
              <w:spacing w:line="360" w:lineRule="auto"/>
              <w:contextualSpacing/>
              <w:rPr>
                <w:rFonts w:ascii="宋体" w:hAnsi="宋体" w:cs="宋体"/>
                <w:kern w:val="0"/>
                <w:sz w:val="24"/>
                <w:highlight w:val="none"/>
              </w:rPr>
            </w:pPr>
            <w:r>
              <w:rPr>
                <w:rFonts w:hint="eastAsia" w:ascii="宋体" w:hAnsi="宋体" w:cs="宋体"/>
                <w:kern w:val="0"/>
                <w:sz w:val="24"/>
                <w:highlight w:val="none"/>
              </w:rPr>
              <w:t>递交时间：2022年</w:t>
            </w:r>
            <w:r>
              <w:rPr>
                <w:rFonts w:ascii="宋体" w:hAnsi="宋体" w:cs="宋体"/>
                <w:kern w:val="0"/>
                <w:sz w:val="24"/>
                <w:highlight w:val="none"/>
              </w:rPr>
              <w:t xml:space="preserve"> </w:t>
            </w:r>
            <w:r>
              <w:rPr>
                <w:rFonts w:hint="eastAsia" w:ascii="宋体" w:hAnsi="宋体" w:cs="宋体"/>
                <w:kern w:val="0"/>
                <w:sz w:val="24"/>
                <w:highlight w:val="none"/>
              </w:rPr>
              <w:t>12月</w:t>
            </w:r>
            <w:r>
              <w:rPr>
                <w:rFonts w:hint="eastAsia" w:ascii="宋体" w:hAnsi="宋体" w:cs="宋体"/>
                <w:kern w:val="0"/>
                <w:sz w:val="24"/>
                <w:highlight w:val="none"/>
                <w:lang w:val="en-US" w:eastAsia="zh-CN"/>
              </w:rPr>
              <w:t>22</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00</w:t>
            </w:r>
            <w:r>
              <w:rPr>
                <w:rFonts w:hint="eastAsia" w:ascii="宋体" w:hAnsi="宋体" w:cs="宋体"/>
                <w:kern w:val="0"/>
                <w:sz w:val="24"/>
                <w:highlight w:val="none"/>
              </w:rPr>
              <w:t>-</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30</w:t>
            </w:r>
            <w:r>
              <w:rPr>
                <w:rFonts w:hint="eastAsia" w:ascii="宋体" w:hAnsi="宋体" w:cs="宋体"/>
                <w:kern w:val="0"/>
                <w:sz w:val="24"/>
                <w:highlight w:val="none"/>
              </w:rPr>
              <w:t>(北京时间)</w:t>
            </w:r>
          </w:p>
          <w:p>
            <w:pPr>
              <w:widowControl/>
              <w:spacing w:line="360" w:lineRule="auto"/>
              <w:contextualSpacing/>
              <w:rPr>
                <w:rFonts w:ascii="宋体" w:hAnsi="宋体" w:cs="宋体"/>
                <w:bCs/>
                <w:kern w:val="0"/>
                <w:sz w:val="24"/>
                <w:highlight w:val="none"/>
              </w:rPr>
            </w:pPr>
            <w:r>
              <w:rPr>
                <w:rFonts w:hint="eastAsia" w:ascii="宋体" w:hAnsi="宋体" w:cs="宋体"/>
                <w:kern w:val="0"/>
                <w:sz w:val="24"/>
                <w:highlight w:val="none"/>
              </w:rPr>
              <w:t>递交截止时间：2022年12月</w:t>
            </w:r>
            <w:r>
              <w:rPr>
                <w:rFonts w:hint="eastAsia" w:ascii="宋体" w:hAnsi="宋体" w:cs="宋体"/>
                <w:kern w:val="0"/>
                <w:sz w:val="24"/>
                <w:highlight w:val="none"/>
                <w:lang w:val="en-US" w:eastAsia="zh-CN"/>
              </w:rPr>
              <w:t>22</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bCs/>
                <w:kern w:val="0"/>
                <w:sz w:val="24"/>
                <w:highlight w:val="none"/>
              </w:rPr>
              <w:t>:</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0（北京时间），逾期送达的</w:t>
            </w:r>
            <w:r>
              <w:rPr>
                <w:rFonts w:hint="eastAsia" w:ascii="宋体" w:hAnsi="宋体" w:cs="宋体"/>
                <w:bCs/>
                <w:kern w:val="0"/>
                <w:sz w:val="24"/>
                <w:highlight w:val="none"/>
                <w:lang w:val="en-US" w:eastAsia="zh-CN"/>
              </w:rPr>
              <w:t>响应</w:t>
            </w:r>
            <w:r>
              <w:rPr>
                <w:rFonts w:hint="eastAsia" w:ascii="宋体" w:hAnsi="宋体" w:cs="宋体"/>
                <w:bCs/>
                <w:kern w:val="0"/>
                <w:sz w:val="24"/>
                <w:highlight w:val="none"/>
              </w:rPr>
              <w:t>文件恕不接受</w:t>
            </w:r>
          </w:p>
          <w:p>
            <w:pPr>
              <w:keepNext w:val="0"/>
              <w:keepLines w:val="0"/>
              <w:widowControl/>
              <w:suppressLineNumbers w:val="0"/>
              <w:spacing w:before="0" w:beforeAutospacing="0" w:after="0" w:afterAutospacing="0" w:line="360" w:lineRule="auto"/>
              <w:ind w:left="0" w:right="0"/>
              <w:contextualSpacing/>
              <w:rPr>
                <w:rFonts w:hint="eastAsia" w:ascii="宋体" w:hAnsi="宋体" w:cs="宋体"/>
                <w:kern w:val="0"/>
                <w:sz w:val="24"/>
                <w:highlight w:val="none"/>
              </w:rPr>
            </w:pPr>
            <w:r>
              <w:rPr>
                <w:rFonts w:hint="eastAsia" w:ascii="宋体" w:hAnsi="宋体" w:cs="宋体"/>
                <w:kern w:val="0"/>
                <w:sz w:val="24"/>
                <w:highlight w:val="none"/>
              </w:rPr>
              <w:t>递交地址：大连甘井子区辛康园19号</w:t>
            </w:r>
            <w:r>
              <w:rPr>
                <w:rFonts w:hint="eastAsia" w:ascii="宋体" w:hAnsi="宋体" w:cs="宋体"/>
                <w:kern w:val="0"/>
                <w:sz w:val="24"/>
                <w:highlight w:val="none"/>
                <w:lang w:val="en-US" w:eastAsia="zh-CN"/>
              </w:rPr>
              <w:t>2</w:t>
            </w:r>
            <w:r>
              <w:rPr>
                <w:rFonts w:hint="eastAsia" w:ascii="宋体" w:hAnsi="宋体" w:cs="宋体"/>
                <w:kern w:val="0"/>
                <w:sz w:val="24"/>
                <w:highlight w:val="none"/>
              </w:rPr>
              <w:t>楼</w:t>
            </w:r>
            <w:r>
              <w:rPr>
                <w:rFonts w:hint="eastAsia" w:ascii="宋体" w:hAnsi="宋体" w:cs="宋体"/>
                <w:kern w:val="0"/>
                <w:sz w:val="24"/>
                <w:highlight w:val="none"/>
                <w:lang w:val="en-US" w:eastAsia="zh-CN"/>
              </w:rPr>
              <w:t>评</w:t>
            </w:r>
            <w:r>
              <w:rPr>
                <w:rFonts w:hint="eastAsia" w:ascii="宋体" w:hAnsi="宋体" w:cs="宋体"/>
                <w:kern w:val="0"/>
                <w:sz w:val="24"/>
                <w:highlight w:val="none"/>
              </w:rPr>
              <w:t>标室。</w:t>
            </w:r>
          </w:p>
          <w:p>
            <w:pPr>
              <w:spacing w:line="360" w:lineRule="auto"/>
              <w:contextualSpacing/>
              <w:rPr>
                <w:rFonts w:hint="eastAsia" w:ascii="宋体" w:hAnsi="宋体" w:eastAsia="宋体" w:cs="宋体"/>
                <w:bCs/>
                <w:i w:val="0"/>
                <w:iCs w:val="0"/>
                <w:caps w:val="0"/>
                <w:spacing w:val="0"/>
                <w:kern w:val="0"/>
                <w:sz w:val="24"/>
                <w:szCs w:val="24"/>
                <w:highlight w:val="none"/>
              </w:rPr>
            </w:pPr>
            <w:r>
              <w:rPr>
                <w:rFonts w:hint="eastAsia" w:ascii="宋体" w:hAnsi="宋体" w:eastAsia="宋体" w:cs="宋体"/>
                <w:bCs/>
                <w:i w:val="0"/>
                <w:iCs w:val="0"/>
                <w:caps w:val="0"/>
                <w:spacing w:val="0"/>
                <w:kern w:val="0"/>
                <w:sz w:val="24"/>
                <w:szCs w:val="24"/>
                <w:highlight w:val="none"/>
                <w:shd w:val="clear"/>
                <w:vertAlign w:val="baseline"/>
              </w:rPr>
              <w:t>邮寄地址：大连佳沐项目管理有限公司（辽宁省大连市甘井子区中冶商务园A区A32号楼）。</w:t>
            </w:r>
          </w:p>
          <w:p>
            <w:pPr>
              <w:spacing w:line="360" w:lineRule="auto"/>
              <w:contextualSpacing/>
              <w:rPr>
                <w:rFonts w:hint="eastAsia" w:ascii="宋体" w:hAnsi="宋体" w:eastAsia="宋体" w:cs="宋体"/>
                <w:bCs/>
                <w:i w:val="0"/>
                <w:iCs w:val="0"/>
                <w:caps w:val="0"/>
                <w:spacing w:val="0"/>
                <w:kern w:val="0"/>
                <w:sz w:val="24"/>
                <w:szCs w:val="24"/>
                <w:highlight w:val="none"/>
              </w:rPr>
            </w:pPr>
            <w:r>
              <w:rPr>
                <w:rFonts w:hint="eastAsia" w:ascii="宋体" w:hAnsi="宋体" w:eastAsia="宋体" w:cs="宋体"/>
                <w:bCs/>
                <w:i w:val="0"/>
                <w:iCs w:val="0"/>
                <w:caps w:val="0"/>
                <w:spacing w:val="0"/>
                <w:kern w:val="0"/>
                <w:sz w:val="24"/>
                <w:szCs w:val="24"/>
                <w:highlight w:val="none"/>
                <w:shd w:val="clear"/>
                <w:vertAlign w:val="baseline"/>
              </w:rPr>
              <w:t>联系人及联系电话：张工，0411-86306211。</w:t>
            </w:r>
          </w:p>
          <w:p>
            <w:pPr>
              <w:keepNext w:val="0"/>
              <w:keepLines w:val="0"/>
              <w:widowControl/>
              <w:suppressLineNumbers w:val="0"/>
              <w:spacing w:before="0" w:beforeAutospacing="0" w:after="0" w:afterAutospacing="0" w:line="360" w:lineRule="auto"/>
              <w:ind w:left="0" w:right="0"/>
              <w:contextualSpacing/>
              <w:rPr>
                <w:rFonts w:hint="default" w:ascii="宋体" w:hAnsi="宋体" w:cs="宋体"/>
                <w:color w:val="auto"/>
                <w:kern w:val="0"/>
                <w:sz w:val="24"/>
                <w:highlight w:val="none"/>
              </w:rPr>
            </w:pPr>
            <w:r>
              <w:rPr>
                <w:rFonts w:hint="eastAsia" w:ascii="宋体" w:hAnsi="宋体" w:eastAsia="宋体" w:cs="宋体"/>
                <w:bCs/>
                <w:i w:val="0"/>
                <w:iCs w:val="0"/>
                <w:caps w:val="0"/>
                <w:spacing w:val="0"/>
                <w:kern w:val="0"/>
                <w:sz w:val="24"/>
                <w:szCs w:val="24"/>
                <w:highlight w:val="none"/>
                <w:shd w:val="clear"/>
                <w:vertAlign w:val="baseline"/>
              </w:rPr>
              <w:t>注：</w:t>
            </w:r>
            <w:r>
              <w:rPr>
                <w:rFonts w:hint="eastAsia" w:ascii="宋体" w:hAnsi="宋体" w:eastAsia="宋体" w:cs="宋体"/>
                <w:bCs/>
                <w:i w:val="0"/>
                <w:iCs w:val="0"/>
                <w:caps w:val="0"/>
                <w:spacing w:val="0"/>
                <w:kern w:val="0"/>
                <w:sz w:val="24"/>
                <w:szCs w:val="24"/>
                <w:highlight w:val="none"/>
                <w:shd w:val="clear"/>
                <w:vertAlign w:val="baseline"/>
                <w:lang w:val="en-US" w:eastAsia="zh-CN"/>
              </w:rPr>
              <w:t>响应</w:t>
            </w:r>
            <w:r>
              <w:rPr>
                <w:rFonts w:hint="eastAsia" w:ascii="宋体" w:hAnsi="宋体" w:eastAsia="宋体" w:cs="宋体"/>
                <w:bCs/>
                <w:i w:val="0"/>
                <w:iCs w:val="0"/>
                <w:caps w:val="0"/>
                <w:spacing w:val="0"/>
                <w:kern w:val="0"/>
                <w:sz w:val="24"/>
                <w:szCs w:val="24"/>
                <w:highlight w:val="none"/>
                <w:shd w:val="clear"/>
                <w:vertAlign w:val="baseline"/>
              </w:rPr>
              <w:t>文件、电子版文件按</w:t>
            </w:r>
            <w:r>
              <w:rPr>
                <w:rFonts w:hint="eastAsia" w:ascii="宋体" w:hAnsi="宋体" w:eastAsia="宋体" w:cs="宋体"/>
                <w:bCs/>
                <w:i w:val="0"/>
                <w:iCs w:val="0"/>
                <w:caps w:val="0"/>
                <w:spacing w:val="0"/>
                <w:kern w:val="0"/>
                <w:sz w:val="24"/>
                <w:szCs w:val="24"/>
                <w:highlight w:val="none"/>
                <w:shd w:val="clear"/>
                <w:vertAlign w:val="baseline"/>
                <w:lang w:val="en-US" w:eastAsia="zh-CN"/>
              </w:rPr>
              <w:t>磋商</w:t>
            </w:r>
            <w:r>
              <w:rPr>
                <w:rFonts w:hint="eastAsia" w:ascii="宋体" w:hAnsi="宋体" w:eastAsia="宋体" w:cs="宋体"/>
                <w:bCs/>
                <w:i w:val="0"/>
                <w:iCs w:val="0"/>
                <w:caps w:val="0"/>
                <w:spacing w:val="0"/>
                <w:kern w:val="0"/>
                <w:sz w:val="24"/>
                <w:szCs w:val="24"/>
                <w:highlight w:val="none"/>
                <w:shd w:val="clear"/>
                <w:vertAlign w:val="baseline"/>
              </w:rPr>
              <w:t>文件要求包装，最后统一密封于一个箱中，快递包装为二次包装，不得以快递包装直接作为</w:t>
            </w:r>
            <w:r>
              <w:rPr>
                <w:rFonts w:hint="eastAsia" w:ascii="宋体" w:hAnsi="宋体" w:eastAsia="宋体" w:cs="宋体"/>
                <w:bCs/>
                <w:i w:val="0"/>
                <w:iCs w:val="0"/>
                <w:caps w:val="0"/>
                <w:spacing w:val="0"/>
                <w:kern w:val="0"/>
                <w:sz w:val="24"/>
                <w:szCs w:val="24"/>
                <w:highlight w:val="none"/>
                <w:shd w:val="clear"/>
                <w:vertAlign w:val="baseline"/>
                <w:lang w:val="en-US" w:eastAsia="zh-CN"/>
              </w:rPr>
              <w:t>响应</w:t>
            </w:r>
            <w:r>
              <w:rPr>
                <w:rFonts w:hint="eastAsia" w:ascii="宋体" w:hAnsi="宋体" w:eastAsia="宋体" w:cs="宋体"/>
                <w:bCs/>
                <w:i w:val="0"/>
                <w:iCs w:val="0"/>
                <w:caps w:val="0"/>
                <w:spacing w:val="0"/>
                <w:kern w:val="0"/>
                <w:sz w:val="24"/>
                <w:szCs w:val="24"/>
                <w:highlight w:val="none"/>
                <w:shd w:val="clear"/>
                <w:vertAlign w:val="baseline"/>
              </w:rPr>
              <w:t>文件的密封包装。</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应对快递进行保价，若快递于非工作日到货及时协调快递员改派并要求快递员进行面对面派送，以防丢失，邮费自理。在快递发出后须将快递名称和单号发送至jiamudl@163.com邮箱，</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应保证寄出快递的完整性，采购代理机构收到快递后将对快递外包装情况进行反馈，如有破损情况出现将拒绝接收，并退回</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供应商单位</w:t>
            </w:r>
            <w:r>
              <w:rPr>
                <w:rFonts w:hint="eastAsia" w:ascii="宋体" w:hAnsi="宋体" w:eastAsia="宋体" w:cs="宋体"/>
                <w:bCs/>
                <w:i w:val="0"/>
                <w:iCs w:val="0"/>
                <w:caps w:val="0"/>
                <w:spacing w:val="0"/>
                <w:kern w:val="0"/>
                <w:sz w:val="24"/>
                <w:szCs w:val="24"/>
                <w:highlight w:val="none"/>
                <w:shd w:val="clear"/>
                <w:vertAlign w:val="baseline"/>
              </w:rPr>
              <w:t>。</w:t>
            </w: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时间之后收到的快递将被拒收。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9355" w:type="dxa"/>
            <w:noWrap w:val="0"/>
            <w:vAlign w:val="center"/>
          </w:tcPr>
          <w:p>
            <w:pPr>
              <w:spacing w:before="0" w:after="0" w:line="360" w:lineRule="auto"/>
              <w:contextualSpacing/>
              <w:rPr>
                <w:rFonts w:hint="eastAsia" w:ascii="宋体" w:hAnsi="宋体" w:eastAsia="宋体" w:cs="宋体"/>
                <w:bCs/>
                <w:i w:val="0"/>
                <w:iCs w:val="0"/>
                <w:caps w:val="0"/>
                <w:spacing w:val="0"/>
                <w:kern w:val="0"/>
                <w:sz w:val="24"/>
                <w:szCs w:val="24"/>
                <w:highlight w:val="none"/>
                <w:shd w:val="clear"/>
                <w:lang w:val="en-US" w:eastAsia="zh-CN"/>
              </w:rPr>
            </w:pPr>
            <w:r>
              <w:rPr>
                <w:rFonts w:hint="eastAsia" w:ascii="宋体" w:hAnsi="宋体" w:eastAsia="宋体" w:cs="宋体"/>
                <w:bCs/>
                <w:i w:val="0"/>
                <w:iCs w:val="0"/>
                <w:caps w:val="0"/>
                <w:spacing w:val="0"/>
                <w:kern w:val="0"/>
                <w:sz w:val="24"/>
                <w:szCs w:val="24"/>
                <w:highlight w:val="none"/>
                <w:shd w:val="clear"/>
              </w:rPr>
              <w:t>本项目以“不见面”方式进行</w:t>
            </w:r>
            <w:r>
              <w:rPr>
                <w:rFonts w:hint="eastAsia" w:ascii="宋体" w:hAnsi="宋体" w:eastAsia="宋体" w:cs="宋体"/>
                <w:bCs/>
                <w:i w:val="0"/>
                <w:iCs w:val="0"/>
                <w:caps w:val="0"/>
                <w:spacing w:val="0"/>
                <w:kern w:val="0"/>
                <w:sz w:val="24"/>
                <w:szCs w:val="24"/>
                <w:highlight w:val="none"/>
                <w:shd w:val="clear"/>
                <w:lang w:val="en-US" w:eastAsia="zh-CN"/>
              </w:rPr>
              <w:t>谈判</w:t>
            </w:r>
          </w:p>
          <w:p>
            <w:pPr>
              <w:spacing w:before="0" w:after="0" w:line="360" w:lineRule="auto"/>
              <w:contextualSpacing/>
              <w:rPr>
                <w:rFonts w:hint="eastAsia" w:ascii="宋体" w:hAnsi="宋体" w:eastAsia="宋体" w:cs="宋体"/>
                <w:bCs/>
                <w:i w:val="0"/>
                <w:iCs w:val="0"/>
                <w:caps w:val="0"/>
                <w:spacing w:val="0"/>
                <w:kern w:val="0"/>
                <w:sz w:val="24"/>
                <w:szCs w:val="24"/>
                <w:highlight w:val="none"/>
              </w:rPr>
            </w:pP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时间：2022年12月</w:t>
            </w:r>
            <w:r>
              <w:rPr>
                <w:rFonts w:hint="eastAsia" w:ascii="宋体" w:hAnsi="宋体" w:eastAsia="宋体" w:cs="宋体"/>
                <w:bCs/>
                <w:i w:val="0"/>
                <w:iCs w:val="0"/>
                <w:caps w:val="0"/>
                <w:spacing w:val="0"/>
                <w:kern w:val="0"/>
                <w:sz w:val="24"/>
                <w:szCs w:val="24"/>
                <w:highlight w:val="none"/>
                <w:shd w:val="clear"/>
                <w:vertAlign w:val="baseline"/>
                <w:lang w:val="en-US" w:eastAsia="zh-CN"/>
              </w:rPr>
              <w:t>22</w:t>
            </w:r>
            <w:r>
              <w:rPr>
                <w:rFonts w:hint="eastAsia" w:ascii="宋体" w:hAnsi="宋体" w:eastAsia="宋体" w:cs="宋体"/>
                <w:bCs/>
                <w:i w:val="0"/>
                <w:iCs w:val="0"/>
                <w:caps w:val="0"/>
                <w:spacing w:val="0"/>
                <w:kern w:val="0"/>
                <w:sz w:val="24"/>
                <w:szCs w:val="24"/>
                <w:highlight w:val="none"/>
                <w:shd w:val="clear"/>
                <w:vertAlign w:val="baseline"/>
              </w:rPr>
              <w:t>日</w:t>
            </w:r>
            <w:r>
              <w:rPr>
                <w:rFonts w:hint="eastAsia" w:ascii="宋体" w:hAnsi="宋体" w:eastAsia="宋体" w:cs="宋体"/>
                <w:bCs/>
                <w:i w:val="0"/>
                <w:iCs w:val="0"/>
                <w:caps w:val="0"/>
                <w:spacing w:val="0"/>
                <w:kern w:val="0"/>
                <w:sz w:val="24"/>
                <w:szCs w:val="24"/>
                <w:highlight w:val="none"/>
                <w:shd w:val="clear"/>
                <w:vertAlign w:val="baseline"/>
                <w:lang w:val="en-US" w:eastAsia="zh-CN"/>
              </w:rPr>
              <w:t>09</w:t>
            </w:r>
            <w:r>
              <w:rPr>
                <w:rFonts w:hint="eastAsia" w:ascii="宋体" w:hAnsi="宋体" w:eastAsia="宋体" w:cs="宋体"/>
                <w:bCs/>
                <w:i w:val="0"/>
                <w:iCs w:val="0"/>
                <w:caps w:val="0"/>
                <w:spacing w:val="0"/>
                <w:kern w:val="0"/>
                <w:sz w:val="24"/>
                <w:szCs w:val="24"/>
                <w:highlight w:val="none"/>
                <w:shd w:val="clear"/>
                <w:vertAlign w:val="baseline"/>
              </w:rPr>
              <w:t>:30时(北京时间)</w:t>
            </w:r>
          </w:p>
          <w:p>
            <w:pPr>
              <w:spacing w:before="0" w:after="0" w:line="360" w:lineRule="auto"/>
              <w:contextualSpacing/>
              <w:rPr>
                <w:rFonts w:hint="eastAsia" w:ascii="宋体" w:hAnsi="宋体" w:eastAsia="宋体" w:cs="宋体"/>
                <w:bCs/>
                <w:i w:val="0"/>
                <w:iCs w:val="0"/>
                <w:caps w:val="0"/>
                <w:spacing w:val="0"/>
                <w:kern w:val="0"/>
                <w:sz w:val="24"/>
                <w:szCs w:val="24"/>
                <w:highlight w:val="none"/>
              </w:rPr>
            </w:pP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地点：</w:t>
            </w:r>
            <w:r>
              <w:rPr>
                <w:rFonts w:hint="eastAsia" w:ascii="宋体" w:hAnsi="宋体" w:cs="宋体"/>
                <w:kern w:val="0"/>
                <w:sz w:val="24"/>
                <w:highlight w:val="none"/>
              </w:rPr>
              <w:t>大连甘井子区辛康园19号</w:t>
            </w:r>
            <w:r>
              <w:rPr>
                <w:rFonts w:hint="eastAsia" w:ascii="宋体" w:hAnsi="宋体" w:cs="宋体"/>
                <w:kern w:val="0"/>
                <w:sz w:val="24"/>
                <w:highlight w:val="none"/>
                <w:lang w:val="en-US" w:eastAsia="zh-CN"/>
              </w:rPr>
              <w:t>2</w:t>
            </w:r>
            <w:r>
              <w:rPr>
                <w:rFonts w:hint="eastAsia" w:ascii="宋体" w:hAnsi="宋体" w:cs="宋体"/>
                <w:kern w:val="0"/>
                <w:sz w:val="24"/>
                <w:highlight w:val="none"/>
              </w:rPr>
              <w:t>楼</w:t>
            </w:r>
            <w:r>
              <w:rPr>
                <w:rFonts w:hint="eastAsia" w:ascii="宋体" w:hAnsi="宋体" w:cs="宋体"/>
                <w:kern w:val="0"/>
                <w:sz w:val="24"/>
                <w:highlight w:val="none"/>
                <w:lang w:val="en-US" w:eastAsia="zh-CN"/>
              </w:rPr>
              <w:t>评</w:t>
            </w:r>
            <w:r>
              <w:rPr>
                <w:rFonts w:hint="eastAsia" w:ascii="宋体" w:hAnsi="宋体" w:cs="宋体"/>
                <w:kern w:val="0"/>
                <w:sz w:val="24"/>
                <w:highlight w:val="none"/>
              </w:rPr>
              <w:t>标室</w:t>
            </w:r>
            <w:r>
              <w:rPr>
                <w:rFonts w:hint="eastAsia" w:ascii="宋体" w:hAnsi="宋体" w:eastAsia="宋体" w:cs="宋体"/>
                <w:bCs/>
                <w:i w:val="0"/>
                <w:iCs w:val="0"/>
                <w:caps w:val="0"/>
                <w:spacing w:val="0"/>
                <w:kern w:val="0"/>
                <w:sz w:val="24"/>
                <w:szCs w:val="24"/>
                <w:highlight w:val="none"/>
                <w:shd w:val="clear"/>
                <w:vertAlign w:val="baseline"/>
              </w:rPr>
              <w:t>及腾讯会议系统。</w:t>
            </w:r>
          </w:p>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cs="Times New Roman"/>
                <w:bCs/>
                <w:color w:val="auto"/>
                <w:sz w:val="24"/>
                <w:highlight w:val="none"/>
              </w:rPr>
            </w:pP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法人代表或其授权委托人在</w:t>
            </w: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期间保持手机畅通，登录腾讯会议室并保持全程在线。各</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须准备电脑、摄像头、麦</w:t>
            </w:r>
            <w:bookmarkStart w:id="109" w:name="_GoBack"/>
            <w:bookmarkEnd w:id="109"/>
            <w:r>
              <w:rPr>
                <w:rFonts w:hint="eastAsia" w:ascii="宋体" w:hAnsi="宋体" w:eastAsia="宋体" w:cs="宋体"/>
                <w:bCs/>
                <w:i w:val="0"/>
                <w:iCs w:val="0"/>
                <w:caps w:val="0"/>
                <w:spacing w:val="0"/>
                <w:kern w:val="0"/>
                <w:sz w:val="24"/>
                <w:szCs w:val="24"/>
                <w:highlight w:val="none"/>
                <w:shd w:val="clear"/>
                <w:vertAlign w:val="baseline"/>
              </w:rPr>
              <w:t>克风和打印机，提前下载腾讯会议（https://meeting.tencent.com/免费下载），熟悉操作流程。会议ID在</w:t>
            </w: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前约15分钟以电子邮件形式发送至各</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的法人代表或其授权委托人邮箱，加入会议时姓名请填写</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单位名称，</w:t>
            </w:r>
            <w:r>
              <w:rPr>
                <w:rFonts w:hint="eastAsia" w:ascii="宋体" w:hAnsi="宋体" w:eastAsia="宋体" w:cs="宋体"/>
                <w:bCs/>
                <w:i w:val="0"/>
                <w:iCs w:val="0"/>
                <w:caps w:val="0"/>
                <w:spacing w:val="0"/>
                <w:kern w:val="0"/>
                <w:sz w:val="24"/>
                <w:szCs w:val="24"/>
                <w:highlight w:val="none"/>
                <w:shd w:val="clear"/>
                <w:vertAlign w:val="baseline"/>
                <w:lang w:val="en-US" w:eastAsia="zh-CN"/>
              </w:rPr>
              <w:t>供应商</w:t>
            </w:r>
            <w:r>
              <w:rPr>
                <w:rFonts w:hint="eastAsia" w:ascii="宋体" w:hAnsi="宋体" w:eastAsia="宋体" w:cs="宋体"/>
                <w:bCs/>
                <w:i w:val="0"/>
                <w:iCs w:val="0"/>
                <w:caps w:val="0"/>
                <w:spacing w:val="0"/>
                <w:kern w:val="0"/>
                <w:sz w:val="24"/>
                <w:szCs w:val="24"/>
                <w:highlight w:val="none"/>
                <w:shd w:val="clear"/>
                <w:vertAlign w:val="baseline"/>
              </w:rPr>
              <w:t>未参加视频</w:t>
            </w:r>
            <w:r>
              <w:rPr>
                <w:rFonts w:hint="eastAsia" w:ascii="宋体" w:hAnsi="宋体" w:eastAsia="宋体" w:cs="宋体"/>
                <w:bCs/>
                <w:i w:val="0"/>
                <w:iCs w:val="0"/>
                <w:caps w:val="0"/>
                <w:spacing w:val="0"/>
                <w:kern w:val="0"/>
                <w:sz w:val="24"/>
                <w:szCs w:val="24"/>
                <w:highlight w:val="none"/>
                <w:shd w:val="clear"/>
                <w:vertAlign w:val="baseline"/>
                <w:lang w:val="en-US" w:eastAsia="zh-CN"/>
              </w:rPr>
              <w:t>谈判</w:t>
            </w:r>
            <w:r>
              <w:rPr>
                <w:rFonts w:hint="eastAsia" w:ascii="宋体" w:hAnsi="宋体" w:eastAsia="宋体" w:cs="宋体"/>
                <w:bCs/>
                <w:i w:val="0"/>
                <w:iCs w:val="0"/>
                <w:caps w:val="0"/>
                <w:spacing w:val="0"/>
                <w:kern w:val="0"/>
                <w:sz w:val="24"/>
                <w:szCs w:val="24"/>
                <w:highlight w:val="none"/>
                <w:shd w:val="clear"/>
                <w:vertAlign w:val="baseline"/>
              </w:rPr>
              <w:t>会议的，视同</w:t>
            </w:r>
            <w:r>
              <w:rPr>
                <w:rFonts w:hint="eastAsia" w:ascii="宋体" w:hAnsi="宋体" w:eastAsia="宋体" w:cs="宋体"/>
                <w:bCs/>
                <w:i w:val="0"/>
                <w:iCs w:val="0"/>
                <w:caps w:val="0"/>
                <w:spacing w:val="0"/>
                <w:kern w:val="0"/>
                <w:sz w:val="24"/>
                <w:szCs w:val="24"/>
                <w:highlight w:val="none"/>
                <w:shd w:val="clear"/>
                <w:vertAlign w:val="baseline"/>
                <w:lang w:val="en-US" w:eastAsia="zh-CN"/>
              </w:rPr>
              <w:t>放弃谈判</w:t>
            </w:r>
            <w:r>
              <w:rPr>
                <w:rFonts w:hint="eastAsia" w:ascii="宋体" w:hAnsi="宋体" w:eastAsia="宋体" w:cs="宋体"/>
                <w:bCs/>
                <w:i w:val="0"/>
                <w:iCs w:val="0"/>
                <w:caps w:val="0"/>
                <w:spacing w:val="0"/>
                <w:kern w:val="0"/>
                <w:sz w:val="24"/>
                <w:szCs w:val="24"/>
                <w:highlight w:val="none"/>
                <w:shd w:val="clear"/>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9355" w:type="dxa"/>
            <w:noWrap w:val="0"/>
            <w:vAlign w:val="center"/>
          </w:tcPr>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cs="Times New Roman"/>
                <w:bCs/>
                <w:color w:val="auto"/>
                <w:sz w:val="24"/>
                <w:highlight w:val="none"/>
              </w:rPr>
            </w:pPr>
            <w:r>
              <w:rPr>
                <w:rFonts w:hint="eastAsia" w:ascii="宋体" w:hAnsi="宋体" w:cs="Times New Roman"/>
                <w:bCs/>
                <w:color w:val="auto"/>
                <w:sz w:val="24"/>
                <w:highlight w:val="none"/>
              </w:rPr>
              <w:t>本项目磋商代理服务费由成交供应商支付，不单独列项，收费标准见附件二。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9355" w:type="dxa"/>
            <w:noWrap w:val="0"/>
            <w:vAlign w:val="center"/>
          </w:tcPr>
          <w:p>
            <w:pPr>
              <w:keepNext w:val="0"/>
              <w:keepLines w:val="0"/>
              <w:suppressLineNumbers w:val="0"/>
              <w:spacing w:before="0" w:beforeAutospacing="0" w:after="0" w:afterAutospacing="0" w:line="360" w:lineRule="auto"/>
              <w:ind w:left="0" w:right="0"/>
              <w:contextualSpacing/>
              <w:rPr>
                <w:rFonts w:hint="eastAsia" w:ascii="宋体" w:hAnsi="宋体" w:cs="Times New Roman"/>
                <w:bCs/>
                <w:color w:val="auto"/>
                <w:sz w:val="24"/>
                <w:highlight w:val="none"/>
              </w:rPr>
            </w:pPr>
            <w:r>
              <w:rPr>
                <w:rFonts w:hint="eastAsia" w:ascii="宋体" w:hAnsi="宋体" w:cs="宋体"/>
                <w:b/>
                <w:color w:val="auto"/>
                <w:kern w:val="0"/>
                <w:sz w:val="24"/>
                <w:highlight w:val="none"/>
              </w:rPr>
              <w:t>履约担保：</w:t>
            </w:r>
            <w:r>
              <w:rPr>
                <w:rFonts w:hint="eastAsia" w:ascii="宋体" w:hAnsi="宋体" w:cs="宋体"/>
                <w:color w:val="auto"/>
                <w:kern w:val="0"/>
                <w:sz w:val="24"/>
                <w:highlight w:val="none"/>
              </w:rPr>
              <w:t>货到甲方指定地点后，乙方向甲方提供合同总金额10%的履约保函，履约保函有效期至质保期结束；</w:t>
            </w:r>
            <w:r>
              <w:rPr>
                <w:rFonts w:hint="eastAsia" w:ascii="Times New Roman" w:hAnsi="宋体" w:cs="宋体"/>
                <w:color w:val="auto"/>
                <w:kern w:val="0"/>
                <w:sz w:val="24"/>
                <w:highlight w:val="none"/>
              </w:rPr>
              <w:t>（</w:t>
            </w:r>
            <w:r>
              <w:rPr>
                <w:rFonts w:hint="eastAsia" w:hAnsi="宋体" w:cs="宋体"/>
                <w:color w:val="auto"/>
                <w:kern w:val="0"/>
                <w:sz w:val="24"/>
                <w:highlight w:val="none"/>
                <w:lang w:val="en-US" w:eastAsia="zh-CN"/>
              </w:rPr>
              <w:t>本项目不适用</w:t>
            </w:r>
            <w:r>
              <w:rPr>
                <w:rFonts w:hint="eastAsia" w:ascii="Times New Roman"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4</w:t>
            </w:r>
          </w:p>
        </w:tc>
        <w:tc>
          <w:tcPr>
            <w:tcW w:w="9355"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bCs/>
                <w:color w:val="auto"/>
                <w:sz w:val="24"/>
                <w:highlight w:val="none"/>
              </w:rPr>
            </w:pPr>
            <w:r>
              <w:rPr>
                <w:rFonts w:hint="eastAsia" w:ascii="宋体" w:hAnsi="宋体" w:cs="Times New Roman"/>
                <w:bCs/>
                <w:color w:val="auto"/>
                <w:sz w:val="24"/>
                <w:highlight w:val="none"/>
              </w:rPr>
              <w:t>1</w:t>
            </w:r>
            <w:r>
              <w:rPr>
                <w:rFonts w:hint="eastAsia" w:ascii="宋体" w:hAnsi="宋体" w:cs="Arial"/>
                <w:color w:val="auto"/>
                <w:sz w:val="24"/>
                <w:highlight w:val="none"/>
              </w:rPr>
              <w:t>.</w:t>
            </w:r>
            <w:r>
              <w:rPr>
                <w:rFonts w:hint="eastAsia" w:ascii="宋体" w:hAnsi="宋体" w:cs="Arial"/>
                <w:b/>
                <w:color w:val="auto"/>
                <w:sz w:val="24"/>
                <w:highlight w:val="none"/>
              </w:rPr>
              <w:t>本项目对应的中小企业划分标准所属行业为：</w:t>
            </w:r>
            <w:r>
              <w:rPr>
                <w:rFonts w:hint="eastAsia" w:ascii="宋体" w:hAnsi="宋体" w:cs="宋体"/>
                <w:b/>
                <w:bCs/>
                <w:color w:val="auto"/>
                <w:sz w:val="24"/>
                <w:szCs w:val="24"/>
                <w:highlight w:val="none"/>
                <w:lang w:val="en-US" w:eastAsia="zh-CN"/>
              </w:rPr>
              <w:t>工业</w:t>
            </w:r>
            <w:r>
              <w:rPr>
                <w:rFonts w:hint="eastAsia" w:ascii="宋体" w:hAnsi="宋体" w:cs="Times New Roman"/>
                <w:b/>
                <w:bCs/>
                <w:color w:val="auto"/>
                <w:sz w:val="24"/>
                <w:highlight w:val="none"/>
              </w:rPr>
              <w:t>。</w:t>
            </w:r>
          </w:p>
          <w:p>
            <w:pPr>
              <w:keepNext w:val="0"/>
              <w:keepLines w:val="0"/>
              <w:widowControl/>
              <w:suppressLineNumbers w:val="0"/>
              <w:tabs>
                <w:tab w:val="left" w:pos="4045"/>
              </w:tabs>
              <w:snapToGrid w:val="0"/>
              <w:spacing w:before="0" w:beforeAutospacing="0" w:after="0" w:afterAutospacing="0" w:line="360" w:lineRule="auto"/>
              <w:ind w:left="0" w:right="0"/>
              <w:contextualSpacing/>
              <w:rPr>
                <w:rFonts w:hint="default" w:ascii="宋体" w:hAnsi="宋体" w:cs="宋体"/>
                <w:bCs/>
                <w:color w:val="auto"/>
                <w:kern w:val="0"/>
                <w:sz w:val="24"/>
                <w:highlight w:val="none"/>
              </w:rPr>
            </w:pPr>
            <w:r>
              <w:rPr>
                <w:rFonts w:hint="eastAsia" w:ascii="宋体" w:hAnsi="宋体" w:cs="宋体"/>
                <w:color w:val="auto"/>
                <w:kern w:val="0"/>
                <w:sz w:val="24"/>
                <w:highlight w:val="none"/>
              </w:rPr>
              <w:t>2.</w:t>
            </w:r>
            <w:r>
              <w:rPr>
                <w:rFonts w:hint="eastAsia" w:ascii="宋体" w:hAnsi="宋体" w:cs="宋体"/>
                <w:bCs/>
                <w:color w:val="auto"/>
                <w:kern w:val="0"/>
                <w:sz w:val="24"/>
                <w:highlight w:val="none"/>
              </w:rPr>
              <w:t>根据财政部发布的《政府采购促进中小企业发展管理办法》规定，本项目对小型和微型企业产品的价格给予10%的扣除。</w:t>
            </w:r>
          </w:p>
          <w:p>
            <w:pPr>
              <w:keepNext w:val="0"/>
              <w:keepLines w:val="0"/>
              <w:widowControl/>
              <w:suppressLineNumbers w:val="0"/>
              <w:tabs>
                <w:tab w:val="left" w:pos="4045"/>
              </w:tabs>
              <w:snapToGrid w:val="0"/>
              <w:spacing w:before="0" w:beforeAutospacing="0" w:after="0" w:afterAutospacing="0" w:line="360" w:lineRule="auto"/>
              <w:ind w:left="0" w:right="0"/>
              <w:contextualSpacing/>
              <w:rPr>
                <w:rFonts w:hint="default" w:ascii="宋体" w:hAnsi="宋体" w:cs="宋体"/>
                <w:bCs/>
                <w:color w:val="auto"/>
                <w:kern w:val="0"/>
                <w:sz w:val="24"/>
                <w:highlight w:val="none"/>
              </w:rPr>
            </w:pPr>
            <w:r>
              <w:rPr>
                <w:rFonts w:hint="eastAsia" w:ascii="宋体" w:hAnsi="宋体" w:cs="宋体"/>
                <w:bCs/>
                <w:color w:val="auto"/>
                <w:kern w:val="0"/>
                <w:sz w:val="24"/>
                <w:highlight w:val="none"/>
              </w:rPr>
              <w:t>3.根据财政部发布的《关于政府采购支持监狱企业发展有关问题的通知》规定，本项目对监狱企业产品的价格给予10%的扣除。</w:t>
            </w:r>
          </w:p>
          <w:p>
            <w:pPr>
              <w:keepNext w:val="0"/>
              <w:keepLines w:val="0"/>
              <w:widowControl/>
              <w:suppressLineNumbers w:val="0"/>
              <w:tabs>
                <w:tab w:val="left" w:pos="4045"/>
              </w:tabs>
              <w:snapToGrid w:val="0"/>
              <w:spacing w:before="0" w:beforeAutospacing="0" w:after="0" w:afterAutospacing="0" w:line="360" w:lineRule="auto"/>
              <w:ind w:left="0" w:right="0"/>
              <w:contextualSpacing/>
              <w:rPr>
                <w:rFonts w:hint="default" w:ascii="宋体" w:hAnsi="宋体" w:cs="宋体"/>
                <w:bCs/>
                <w:color w:val="auto"/>
                <w:kern w:val="0"/>
                <w:sz w:val="24"/>
                <w:highlight w:val="none"/>
              </w:rPr>
            </w:pPr>
            <w:r>
              <w:rPr>
                <w:rFonts w:hint="eastAsia" w:ascii="宋体" w:hAnsi="宋体" w:cs="宋体"/>
                <w:bCs/>
                <w:color w:val="auto"/>
                <w:kern w:val="0"/>
                <w:sz w:val="24"/>
                <w:highlight w:val="none"/>
              </w:rPr>
              <w:t>4.根据财政部发布的《关于促进残疾人就业政府采购政策的通知》规定，本项目对残疾人福利性单位产品的价格给予10%的扣除。</w:t>
            </w:r>
          </w:p>
          <w:p>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cs="Arial"/>
                <w:color w:val="auto"/>
                <w:sz w:val="24"/>
                <w:highlight w:val="none"/>
              </w:rPr>
            </w:pPr>
            <w:r>
              <w:rPr>
                <w:rFonts w:hint="eastAsia" w:ascii="宋体" w:hAnsi="宋体" w:cs="宋体"/>
                <w:bCs/>
                <w:color w:val="auto"/>
                <w:kern w:val="0"/>
                <w:sz w:val="24"/>
                <w:highlight w:val="none"/>
              </w:rPr>
              <w:t>注：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p>
        </w:tc>
        <w:tc>
          <w:tcPr>
            <w:tcW w:w="9355"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Cs/>
                <w:color w:val="auto"/>
                <w:sz w:val="24"/>
                <w:highlight w:val="none"/>
              </w:rPr>
            </w:pPr>
            <w:r>
              <w:rPr>
                <w:rFonts w:hint="eastAsia" w:ascii="宋体" w:hAnsi="宋体" w:cs="Times New Roman"/>
                <w:bCs/>
                <w:color w:val="auto"/>
                <w:sz w:val="24"/>
                <w:highlight w:val="none"/>
              </w:rPr>
              <w:t>合同计价方式：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Cs/>
                <w:color w:val="auto"/>
                <w:sz w:val="24"/>
                <w:highlight w:val="none"/>
              </w:rPr>
            </w:pPr>
            <w:r>
              <w:rPr>
                <w:rFonts w:hint="eastAsia" w:ascii="宋体" w:hAnsi="宋体" w:cs="Times New Roman"/>
                <w:bCs/>
                <w:color w:val="auto"/>
                <w:sz w:val="24"/>
                <w:highlight w:val="none"/>
              </w:rPr>
              <w:t>1.本项目采用固定总价合同。响应报价除货物（服务）价格外还应包括全部货物（服务）的深化设计、材料费、安装费、运输费、保险费、装卸费、调试费、弱电安装费、有关部门检测验收费、售后技术服务、必不可少的部件、附件、标准备件、专用工具、踏勘费、及相关专业配合等费用。供应商还应充分考虑水、电及与本项目有关的其他一切费用，一并报入总价中，采购人不再支付除合同价款以外的任何费用。</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Times New Roman"/>
                <w:bCs/>
                <w:color w:val="auto"/>
                <w:sz w:val="24"/>
                <w:highlight w:val="none"/>
                <w:lang w:eastAsia="zh-CN"/>
              </w:rPr>
            </w:pPr>
            <w:r>
              <w:rPr>
                <w:rFonts w:hint="eastAsia" w:ascii="宋体" w:hAnsi="宋体" w:cs="Times New Roman"/>
                <w:bCs/>
                <w:color w:val="auto"/>
                <w:sz w:val="24"/>
                <w:highlight w:val="none"/>
              </w:rPr>
              <w:t>2.响应报价表成交明确的价格在合同执行过程中是固定不变的，不得以任何理由予以变更。供应商在报价时应充分考虑本次竞争性磋商的各种风险（包括漏项风险），在合同执行期间成交价不再实行政策性调整和变动。以可调整的价格提交的响应文件将作为非实质性响应而予以拒绝</w:t>
            </w:r>
            <w:r>
              <w:rPr>
                <w:rFonts w:hint="eastAsia" w:ascii="宋体" w:hAnsi="宋体" w:cs="Times New Roman"/>
                <w:bCs/>
                <w:color w:val="auto"/>
                <w:sz w:val="24"/>
                <w:highlight w:val="none"/>
                <w:lang w:eastAsia="zh-CN"/>
              </w:rPr>
              <w:t>。</w:t>
            </w: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cs="Times New Roman"/>
                <w:bCs w:val="0"/>
                <w:color w:val="auto"/>
                <w:sz w:val="21"/>
                <w:highlight w:val="none"/>
              </w:rPr>
            </w:pPr>
            <w:r>
              <w:rPr>
                <w:rFonts w:hint="eastAsia" w:ascii="宋体" w:hAnsi="宋体" w:cs="Times New Roman"/>
                <w:bCs/>
                <w:color w:val="auto"/>
                <w:sz w:val="24"/>
                <w:highlight w:val="none"/>
              </w:rPr>
              <w:t>3.如投标人所投进口货物属于免税范围内，投标报价应为全包价（包含货物的到岸价格、外贸代理服务费、招标代理服务费、清关费、运费、杂费等所有费用），进口免税事宜及费用由校方指定外贸代理公司办理。如投标人所投进口货物不属于免税范围内，投标报价应在上述基础上，包含增值税及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4" w:hRule="exac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6</w:t>
            </w:r>
          </w:p>
        </w:tc>
        <w:tc>
          <w:tcPr>
            <w:tcW w:w="9355"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rPr>
              <w:t>★</w:t>
            </w:r>
            <w:r>
              <w:rPr>
                <w:rFonts w:hint="eastAsia" w:ascii="宋体" w:hAnsi="宋体" w:cs="Times New Roman"/>
                <w:b/>
                <w:color w:val="auto"/>
                <w:sz w:val="24"/>
                <w:highlight w:val="none"/>
                <w:lang w:val="en-US" w:eastAsia="zh-CN"/>
              </w:rPr>
              <w:t>付款方式：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
                <w:color w:val="auto"/>
                <w:sz w:val="24"/>
                <w:highlight w:val="none"/>
              </w:rPr>
              <w:t>国产产品：</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 w:val="0"/>
                <w:bCs/>
                <w:color w:val="auto"/>
                <w:sz w:val="24"/>
                <w:highlight w:val="none"/>
              </w:rPr>
              <w:t>合同签定后5日内，乙方向甲方提供合同金额90%的预付款保函，预付款保函有效期至货到甲方指定地点安装调试验收合格；甲方收到预付款保函后，向乙方支付合同总金额90%的预付款；货到甲方指定地点后，乙方向甲方提供合同总金额10%的履约保函，履约保函有效期至质保期结束；安装调试验收合格、甲方收到履约保函后，甲方凭验收合格报告向乙方支付合同总金额10%的尾款</w:t>
            </w:r>
            <w:r>
              <w:rPr>
                <w:rFonts w:hint="eastAsia" w:ascii="宋体" w:hAnsi="宋体" w:cs="Times New Roman"/>
                <w:b/>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
                <w:color w:val="auto"/>
                <w:sz w:val="24"/>
                <w:highlight w:val="none"/>
              </w:rPr>
              <w:t>进口产品：</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Times New Roman"/>
                <w:bCs/>
                <w:color w:val="auto"/>
                <w:sz w:val="24"/>
                <w:highlight w:val="none"/>
              </w:rPr>
              <w:t>外贸合同签订后，甲方委托的外贸代理公司向乙方提供合同金额90%的不可撤销信用证，乙方凭发货运单承兑；甲方委托的外贸代理公司凭乙方提供的大连理工大学资产与实验室管理处签字的验收合格报告向乙方电汇支付10%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p>
        </w:tc>
        <w:tc>
          <w:tcPr>
            <w:tcW w:w="935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Cs/>
                <w:color w:val="auto"/>
                <w:sz w:val="24"/>
                <w:highlight w:val="none"/>
              </w:rPr>
              <w:t>项目验收：安装、调试完毕后10个工作日内验收。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p>
        </w:tc>
        <w:tc>
          <w:tcPr>
            <w:tcW w:w="9355" w:type="dxa"/>
            <w:noWrap w:val="0"/>
            <w:vAlign w:val="center"/>
          </w:tcPr>
          <w:p>
            <w:pPr>
              <w:keepNext w:val="0"/>
              <w:keepLines w:val="0"/>
              <w:widowControl/>
              <w:suppressLineNumbers w:val="0"/>
              <w:tabs>
                <w:tab w:val="left" w:pos="4045"/>
              </w:tabs>
              <w:adjustRightInd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b/>
                <w:color w:val="auto"/>
                <w:kern w:val="0"/>
                <w:sz w:val="24"/>
                <w:highlight w:val="none"/>
              </w:rPr>
              <w:t>本项目采用综合评分法评审。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default" w:ascii="宋体" w:hAnsi="宋体" w:cs="宋体"/>
                <w:color w:val="auto"/>
                <w:kern w:val="0"/>
                <w:sz w:val="24"/>
                <w:highlight w:val="none"/>
              </w:rPr>
              <w:t>1</w:t>
            </w:r>
            <w:r>
              <w:rPr>
                <w:rFonts w:hint="eastAsia" w:ascii="宋体" w:hAnsi="宋体" w:cs="宋体"/>
                <w:color w:val="auto"/>
                <w:kern w:val="0"/>
                <w:sz w:val="24"/>
                <w:highlight w:val="none"/>
                <w:lang w:val="en-US" w:eastAsia="zh-CN"/>
              </w:rPr>
              <w:t>9</w:t>
            </w:r>
          </w:p>
        </w:tc>
        <w:tc>
          <w:tcPr>
            <w:tcW w:w="9355" w:type="dxa"/>
            <w:noWrap w:val="0"/>
            <w:vAlign w:val="center"/>
          </w:tcPr>
          <w:p>
            <w:pPr>
              <w:keepNext w:val="0"/>
              <w:keepLines w:val="0"/>
              <w:widowControl/>
              <w:suppressLineNumbers w:val="0"/>
              <w:tabs>
                <w:tab w:val="left" w:pos="4045"/>
              </w:tabs>
              <w:adjustRightInd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合同签订时间、地点另行通知。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9355" w:type="dxa"/>
            <w:noWrap w:val="0"/>
            <w:vAlign w:val="center"/>
          </w:tcPr>
          <w:p>
            <w:pPr>
              <w:keepNext w:val="0"/>
              <w:keepLines w:val="0"/>
              <w:widowControl/>
              <w:suppressLineNumbers w:val="0"/>
              <w:tabs>
                <w:tab w:val="left" w:pos="4045"/>
              </w:tabs>
              <w:adjustRightInd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其他要求：</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Cs/>
                <w:color w:val="auto"/>
                <w:sz w:val="24"/>
                <w:highlight w:val="none"/>
              </w:rPr>
            </w:pPr>
            <w:r>
              <w:rPr>
                <w:rFonts w:hint="eastAsia" w:ascii="宋体" w:hAnsi="宋体" w:cs="Times New Roman"/>
                <w:bCs/>
                <w:color w:val="auto"/>
                <w:sz w:val="24"/>
                <w:highlight w:val="none"/>
              </w:rPr>
              <w:t>1.供应商应保证提供的产品均来源于正规厂家，并且是全新的合格产品。如提供的产品经采购人或相关部门检验不合格，所产生的一切后果由供应商自行承担，并追究其相关责任。</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Cs/>
                <w:color w:val="auto"/>
                <w:sz w:val="24"/>
                <w:highlight w:val="none"/>
              </w:rPr>
            </w:pPr>
            <w:r>
              <w:rPr>
                <w:rFonts w:hint="eastAsia" w:ascii="宋体" w:hAnsi="宋体" w:cs="Times New Roman"/>
                <w:bCs/>
                <w:color w:val="auto"/>
                <w:sz w:val="24"/>
                <w:highlight w:val="none"/>
              </w:rPr>
              <w:t>2.“★”条款为必须满足条款，如不能满足，视为无效磋商。</w:t>
            </w:r>
          </w:p>
          <w:p>
            <w:pPr>
              <w:keepNext w:val="0"/>
              <w:keepLines w:val="0"/>
              <w:widowControl/>
              <w:suppressLineNumbers w:val="0"/>
              <w:tabs>
                <w:tab w:val="left" w:pos="4045"/>
              </w:tabs>
              <w:adjustRightInd w:val="0"/>
              <w:snapToGrid w:val="0"/>
              <w:spacing w:before="0" w:beforeAutospacing="0" w:after="0" w:afterAutospacing="0" w:line="360" w:lineRule="auto"/>
              <w:ind w:left="0" w:right="0"/>
              <w:rPr>
                <w:rFonts w:hint="eastAsia" w:ascii="宋体" w:hAnsi="宋体" w:cs="Times New Roman"/>
                <w:bCs/>
                <w:color w:val="auto"/>
                <w:sz w:val="24"/>
                <w:highlight w:val="none"/>
              </w:rPr>
            </w:pPr>
            <w:r>
              <w:rPr>
                <w:rFonts w:hint="eastAsia" w:ascii="宋体" w:hAnsi="宋体" w:cs="Times New Roman"/>
                <w:bCs/>
                <w:color w:val="auto"/>
                <w:sz w:val="24"/>
                <w:highlight w:val="none"/>
              </w:rPr>
              <w:t>3.磋商文件的技术和商务条款中未标记“★”号的为非实质性要求，未响应非实质性要求的磋商响应文件仍为有效，但可能影响评分。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eastAsia="zh-CN"/>
              </w:rPr>
            </w:pPr>
            <w:r>
              <w:rPr>
                <w:rFonts w:hint="default" w:ascii="宋体" w:hAnsi="宋体" w:cs="宋体"/>
                <w:color w:val="auto"/>
                <w:kern w:val="0"/>
                <w:sz w:val="24"/>
                <w:highlight w:val="none"/>
              </w:rPr>
              <w:t>2</w:t>
            </w:r>
            <w:r>
              <w:rPr>
                <w:rFonts w:hint="eastAsia" w:ascii="宋体" w:hAnsi="宋体" w:cs="宋体"/>
                <w:color w:val="auto"/>
                <w:kern w:val="0"/>
                <w:sz w:val="24"/>
                <w:highlight w:val="none"/>
                <w:lang w:val="en-US" w:eastAsia="zh-CN"/>
              </w:rPr>
              <w:t>1</w:t>
            </w:r>
          </w:p>
        </w:tc>
        <w:tc>
          <w:tcPr>
            <w:tcW w:w="9355" w:type="dxa"/>
            <w:noWrap w:val="0"/>
            <w:vAlign w:val="center"/>
          </w:tcPr>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1.磋商文件澄清截止时间：</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宋体"/>
                <w:color w:val="auto"/>
                <w:kern w:val="0"/>
                <w:sz w:val="24"/>
                <w:highlight w:val="none"/>
              </w:rPr>
              <w:t>获取磋商文件的潜在供应商，如对磋商文件有疑问，请于答疑截止时间前将需澄清的问题以书面形式发到</w:t>
            </w:r>
            <w:r>
              <w:rPr>
                <w:rFonts w:hint="default" w:ascii="Times New Roman" w:hAnsi="Times New Roman" w:cs="Times New Roman"/>
                <w:color w:val="auto"/>
                <w:highlight w:val="none"/>
                <w:u w:val="single"/>
              </w:rPr>
              <w:fldChar w:fldCharType="begin"/>
            </w:r>
            <w:r>
              <w:rPr>
                <w:rFonts w:hint="default" w:ascii="Times New Roman" w:hAnsi="Times New Roman" w:cs="Times New Roman"/>
                <w:color w:val="auto"/>
                <w:highlight w:val="none"/>
                <w:u w:val="single"/>
              </w:rPr>
              <w:instrText xml:space="preserve"> HYPERLINK "mailto:jiamudl@163.com" </w:instrText>
            </w:r>
            <w:r>
              <w:rPr>
                <w:rFonts w:hint="default" w:ascii="Times New Roman" w:hAnsi="Times New Roman" w:cs="Times New Roman"/>
                <w:color w:val="auto"/>
                <w:highlight w:val="none"/>
                <w:u w:val="single"/>
              </w:rPr>
              <w:fldChar w:fldCharType="separate"/>
            </w:r>
            <w:r>
              <w:rPr>
                <w:rFonts w:hint="eastAsia" w:ascii="宋体" w:hAnsi="宋体" w:cs="宋体"/>
                <w:color w:val="auto"/>
                <w:kern w:val="0"/>
                <w:sz w:val="24"/>
                <w:highlight w:val="none"/>
                <w:u w:val="single"/>
              </w:rPr>
              <w:t>jiamudl@163.com</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邮箱，由采购人进行统一解答澄清；（邮件题目统一定为：</w:t>
            </w:r>
            <w:r>
              <w:rPr>
                <w:rFonts w:hint="eastAsia" w:ascii="宋体" w:hAnsi="宋体" w:cs="宋体"/>
                <w:color w:val="auto"/>
                <w:kern w:val="0"/>
                <w:sz w:val="24"/>
                <w:highlight w:val="none"/>
                <w:lang w:eastAsia="zh-CN"/>
              </w:rPr>
              <w:t>大连理工大学超高速视频级原子力显微镜采购项目</w:t>
            </w:r>
            <w:r>
              <w:rPr>
                <w:rFonts w:hint="eastAsia" w:ascii="宋体" w:hAnsi="宋体" w:cs="宋体"/>
                <w:color w:val="auto"/>
                <w:kern w:val="0"/>
                <w:sz w:val="24"/>
                <w:highlight w:val="none"/>
              </w:rPr>
              <w:t>澄清+供应商名称）</w:t>
            </w:r>
          </w:p>
          <w:p>
            <w:pPr>
              <w:keepNext w:val="0"/>
              <w:keepLines w:val="0"/>
              <w:suppressLineNumbers w:val="0"/>
              <w:spacing w:before="0" w:beforeAutospacing="0" w:after="0" w:afterAutospacing="0" w:line="360" w:lineRule="auto"/>
              <w:ind w:left="0" w:right="0"/>
              <w:rPr>
                <w:rFonts w:hint="default" w:ascii="宋体" w:hAnsi="宋体" w:cs="Times New Roman"/>
                <w:color w:val="auto"/>
                <w:sz w:val="24"/>
                <w:highlight w:val="none"/>
              </w:rPr>
            </w:pPr>
            <w:r>
              <w:rPr>
                <w:rFonts w:hint="eastAsia" w:ascii="宋体" w:hAnsi="宋体" w:cs="Times New Roman"/>
                <w:color w:val="auto"/>
                <w:sz w:val="24"/>
                <w:highlight w:val="none"/>
              </w:rPr>
              <w:t>2</w:t>
            </w:r>
            <w:r>
              <w:rPr>
                <w:rFonts w:hint="default" w:ascii="宋体" w:hAnsi="宋体" w:cs="Times New Roman"/>
                <w:color w:val="auto"/>
                <w:sz w:val="24"/>
                <w:highlight w:val="none"/>
              </w:rPr>
              <w:t>．</w:t>
            </w:r>
            <w:r>
              <w:rPr>
                <w:rFonts w:hint="eastAsia" w:ascii="宋体" w:hAnsi="宋体" w:cs="Times New Roman"/>
                <w:color w:val="auto"/>
                <w:sz w:val="24"/>
                <w:highlight w:val="none"/>
              </w:rPr>
              <w:t>供应商</w:t>
            </w:r>
            <w:r>
              <w:rPr>
                <w:rFonts w:hint="default" w:ascii="宋体" w:hAnsi="宋体" w:cs="Times New Roman"/>
                <w:color w:val="auto"/>
                <w:sz w:val="24"/>
                <w:highlight w:val="none"/>
              </w:rPr>
              <w:t>认为</w:t>
            </w:r>
            <w:r>
              <w:rPr>
                <w:rFonts w:hint="eastAsia" w:ascii="宋体" w:hAnsi="宋体" w:cs="宋体"/>
                <w:color w:val="auto"/>
                <w:kern w:val="0"/>
                <w:sz w:val="24"/>
                <w:highlight w:val="none"/>
              </w:rPr>
              <w:t>磋商</w:t>
            </w:r>
            <w:r>
              <w:rPr>
                <w:rFonts w:hint="default" w:ascii="宋体" w:hAnsi="宋体" w:cs="Times New Roman"/>
                <w:color w:val="auto"/>
                <w:sz w:val="24"/>
                <w:highlight w:val="none"/>
              </w:rPr>
              <w:t>文件、磋商过程、</w:t>
            </w:r>
            <w:r>
              <w:rPr>
                <w:rFonts w:hint="eastAsia" w:ascii="宋体" w:hAnsi="宋体" w:cs="Times New Roman"/>
                <w:color w:val="auto"/>
                <w:sz w:val="24"/>
                <w:highlight w:val="none"/>
              </w:rPr>
              <w:t>成交</w:t>
            </w:r>
            <w:r>
              <w:rPr>
                <w:rFonts w:hint="default" w:ascii="宋体" w:hAnsi="宋体" w:cs="Times New Roman"/>
                <w:color w:val="auto"/>
                <w:sz w:val="24"/>
                <w:highlight w:val="none"/>
              </w:rPr>
              <w:t>结果使得自己的权益受到损害的，可以在知道或者应知其权益受到损害之日起7个工作日内，以书面形式向</w:t>
            </w:r>
            <w:r>
              <w:rPr>
                <w:rFonts w:hint="eastAsia" w:ascii="宋体" w:hAnsi="宋体" w:cs="Times New Roman"/>
                <w:color w:val="auto"/>
                <w:sz w:val="24"/>
                <w:highlight w:val="none"/>
              </w:rPr>
              <w:t>采购</w:t>
            </w:r>
            <w:r>
              <w:rPr>
                <w:rFonts w:hint="default" w:ascii="宋体" w:hAnsi="宋体" w:cs="Times New Roman"/>
                <w:color w:val="auto"/>
                <w:sz w:val="24"/>
                <w:highlight w:val="none"/>
              </w:rPr>
              <w:t>人、</w:t>
            </w:r>
            <w:r>
              <w:rPr>
                <w:rFonts w:hint="eastAsia" w:ascii="宋体" w:hAnsi="宋体" w:cs="Times New Roman"/>
                <w:color w:val="auto"/>
                <w:sz w:val="24"/>
                <w:highlight w:val="none"/>
              </w:rPr>
              <w:t>采购</w:t>
            </w:r>
            <w:r>
              <w:rPr>
                <w:rFonts w:hint="default" w:ascii="宋体" w:hAnsi="宋体" w:cs="Times New Roman"/>
                <w:color w:val="auto"/>
                <w:sz w:val="24"/>
                <w:highlight w:val="none"/>
              </w:rPr>
              <w:t>代理机构提出质疑。</w:t>
            </w:r>
            <w:r>
              <w:rPr>
                <w:rFonts w:hint="eastAsia" w:ascii="宋体" w:hAnsi="宋体" w:cs="Times New Roman"/>
                <w:color w:val="auto"/>
                <w:sz w:val="24"/>
                <w:highlight w:val="none"/>
              </w:rPr>
              <w:t>供应商</w:t>
            </w:r>
            <w:r>
              <w:rPr>
                <w:rFonts w:hint="default" w:ascii="宋体" w:hAnsi="宋体" w:cs="Times New Roman"/>
                <w:color w:val="auto"/>
                <w:sz w:val="24"/>
                <w:highlight w:val="none"/>
              </w:rPr>
              <w:t xml:space="preserve">在法定质疑期内须一次性提出针对同一采购程序环节的质疑，重复针对同一采购程序环节提出的质疑将不予受理。 </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3. 供应商提出质疑应当提交质疑函和必要的证明材料。质疑函应当包括下列内容：</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（1）供应商的姓名或者名称、地址、邮编、联系人及联系电话；</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（2）质疑项目的名称、编号；</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（3）具体、明确的质疑事项和与质疑事项相关的请求；</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（4）事实依据；</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（5）必要的法律依据；</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（6）提出质疑的日期。</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　　供应商为自然人的，应当由本人签字；供应商为法人或者其他组织的，应当由法定代表人、主要负责人或者其授权代表签字或者盖章，并加盖公章。未按要求签署的质疑函采购人及采购代理机构不予受理。</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（1）接收质疑函的方式：质疑函原件书面送达采购代理机构，如采用邮寄的方式寄送质疑函以采购代理机构签收函件时间为准。</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highlight w:val="none"/>
              </w:rPr>
            </w:pPr>
            <w:r>
              <w:rPr>
                <w:rFonts w:hint="eastAsia" w:ascii="宋体" w:hAnsi="宋体" w:cs="Times New Roman"/>
                <w:color w:val="auto"/>
                <w:sz w:val="24"/>
                <w:highlight w:val="none"/>
              </w:rPr>
              <w:t>（2）联系人及电话：</w:t>
            </w:r>
            <w:r>
              <w:rPr>
                <w:rFonts w:hint="eastAsia" w:ascii="宋体" w:hAnsi="宋体" w:cs="宋体"/>
                <w:color w:val="auto"/>
                <w:kern w:val="0"/>
                <w:sz w:val="24"/>
                <w:highlight w:val="none"/>
              </w:rPr>
              <w:t>张工  0411-86306211</w:t>
            </w:r>
            <w:r>
              <w:rPr>
                <w:rFonts w:hint="default" w:ascii="宋体" w:hAnsi="宋体" w:cs="Times New Roman"/>
                <w:color w:val="auto"/>
                <w:sz w:val="24"/>
                <w:highlight w:val="none"/>
              </w:rPr>
              <w:t xml:space="preserve"> </w:t>
            </w:r>
          </w:p>
          <w:p>
            <w:pPr>
              <w:keepNext w:val="0"/>
              <w:keepLines w:val="0"/>
              <w:widowControl/>
              <w:suppressLineNumbers w:val="0"/>
              <w:tabs>
                <w:tab w:val="left" w:pos="4045"/>
              </w:tabs>
              <w:adjustRightInd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Times New Roman"/>
                <w:color w:val="auto"/>
                <w:sz w:val="24"/>
                <w:highlight w:val="none"/>
              </w:rPr>
              <w:t xml:space="preserve">（3）通信地址： </w:t>
            </w:r>
            <w:r>
              <w:rPr>
                <w:rFonts w:hint="eastAsia" w:ascii="宋体" w:hAnsi="宋体" w:cs="宋体"/>
                <w:color w:val="auto"/>
                <w:kern w:val="0"/>
                <w:sz w:val="24"/>
                <w:highlight w:val="none"/>
              </w:rPr>
              <w:t>辽宁省大连甘井子区辛康园19号2楼。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08" w:type="dxa"/>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lang w:eastAsia="zh-CN"/>
              </w:rPr>
            </w:pPr>
            <w:r>
              <w:rPr>
                <w:rFonts w:hint="default" w:ascii="宋体" w:hAnsi="宋体" w:cs="Times New Roman"/>
                <w:color w:val="auto"/>
                <w:sz w:val="24"/>
                <w:highlight w:val="none"/>
              </w:rPr>
              <w:t>2</w:t>
            </w:r>
            <w:r>
              <w:rPr>
                <w:rFonts w:hint="eastAsia" w:ascii="宋体" w:hAnsi="宋体" w:cs="Times New Roman"/>
                <w:color w:val="auto"/>
                <w:sz w:val="24"/>
                <w:highlight w:val="none"/>
                <w:lang w:val="en-US" w:eastAsia="zh-CN"/>
              </w:rPr>
              <w:t>2</w:t>
            </w:r>
          </w:p>
        </w:tc>
        <w:tc>
          <w:tcPr>
            <w:tcW w:w="9355" w:type="dxa"/>
            <w:tcBorders>
              <w:bottom w:val="single" w:color="auto" w:sz="4" w:space="0"/>
            </w:tcBorders>
            <w:noWrap w:val="0"/>
            <w:vAlign w:val="center"/>
          </w:tcPr>
          <w:p>
            <w:pPr>
              <w:keepNext w:val="0"/>
              <w:keepLines w:val="0"/>
              <w:widowControl/>
              <w:suppressLineNumbers w:val="0"/>
              <w:tabs>
                <w:tab w:val="left" w:pos="4045"/>
              </w:tabs>
              <w:spacing w:before="0" w:beforeAutospacing="0" w:after="0" w:afterAutospacing="0" w:line="360" w:lineRule="auto"/>
              <w:ind w:left="0" w:right="0"/>
              <w:contextualSpacing/>
              <w:rPr>
                <w:rFonts w:hint="eastAsia" w:ascii="宋体" w:hAnsi="宋体" w:cs="宋体"/>
                <w:bCs/>
                <w:color w:val="auto"/>
                <w:sz w:val="24"/>
                <w:highlight w:val="none"/>
              </w:rPr>
            </w:pPr>
            <w:r>
              <w:rPr>
                <w:rFonts w:hint="eastAsia" w:ascii="宋体" w:hAnsi="宋体" w:cs="宋体"/>
                <w:bCs/>
                <w:color w:val="auto"/>
                <w:sz w:val="24"/>
                <w:highlight w:val="none"/>
              </w:rPr>
              <w:t>对于响应文件中含义不明确、同类问题表述不一致或者有明显文字和计算错误的内容，磋商小组应当以书面形式要求供应商在规定时间内作出必要的澄清、说明或者补正。</w:t>
            </w:r>
          </w:p>
          <w:p>
            <w:pPr>
              <w:keepNext w:val="0"/>
              <w:keepLines w:val="0"/>
              <w:widowControl/>
              <w:suppressLineNumbers w:val="0"/>
              <w:tabs>
                <w:tab w:val="left" w:pos="4045"/>
              </w:tabs>
              <w:spacing w:before="0" w:beforeAutospacing="0" w:after="0" w:afterAutospacing="0" w:line="360" w:lineRule="auto"/>
              <w:ind w:left="0" w:right="0"/>
              <w:contextualSpacing/>
              <w:rPr>
                <w:rFonts w:hint="default" w:ascii="宋体" w:hAnsi="宋体" w:cs="宋体"/>
                <w:bCs/>
                <w:color w:val="auto"/>
                <w:sz w:val="24"/>
                <w:highlight w:val="none"/>
              </w:rPr>
            </w:pPr>
            <w:r>
              <w:rPr>
                <w:rFonts w:hint="eastAsia" w:ascii="宋体" w:hAnsi="宋体" w:cs="宋体"/>
                <w:bCs/>
                <w:color w:val="auto"/>
                <w:sz w:val="24"/>
                <w:highlight w:val="none"/>
              </w:rPr>
              <w:t>供应商的澄清、说明或者补正应当采用书面形式，并加盖公章或者由法定代表人或其授权的代表签字。供应商的澄清、说明或者补正不得超出响应文件的范围或者改变响应文件的实质性内容。如供应商不能在规定时间内做出澄清、说明或者补正，则相关内容不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lang w:eastAsia="zh-CN"/>
              </w:rPr>
            </w:pPr>
            <w:r>
              <w:rPr>
                <w:rFonts w:hint="default" w:ascii="宋体" w:hAnsi="宋体" w:cs="Times New Roman"/>
                <w:color w:val="auto"/>
                <w:sz w:val="24"/>
                <w:highlight w:val="none"/>
              </w:rPr>
              <w:t>2</w:t>
            </w:r>
            <w:r>
              <w:rPr>
                <w:rFonts w:hint="eastAsia" w:ascii="宋体" w:hAnsi="宋体" w:cs="Times New Roman"/>
                <w:color w:val="auto"/>
                <w:sz w:val="24"/>
                <w:highlight w:val="none"/>
                <w:lang w:val="en-US" w:eastAsia="zh-CN"/>
              </w:rPr>
              <w:t>3</w:t>
            </w:r>
          </w:p>
        </w:tc>
        <w:tc>
          <w:tcPr>
            <w:tcW w:w="9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bCs/>
                <w:color w:val="auto"/>
                <w:sz w:val="24"/>
                <w:highlight w:val="none"/>
              </w:rPr>
            </w:pPr>
            <w:r>
              <w:rPr>
                <w:rFonts w:hint="eastAsia" w:ascii="宋体" w:hAnsi="宋体" w:cs="宋体"/>
                <w:bCs/>
                <w:color w:val="auto"/>
                <w:sz w:val="24"/>
                <w:highlight w:val="none"/>
              </w:rPr>
              <w:t>违约赔偿：</w:t>
            </w:r>
            <w:r>
              <w:rPr>
                <w:rFonts w:hint="eastAsia" w:ascii="宋体" w:hAnsi="宋体" w:cs="宋体"/>
                <w:color w:val="auto"/>
                <w:kern w:val="0"/>
                <w:sz w:val="24"/>
                <w:highlight w:val="none"/>
              </w:rPr>
              <w:t>如果乙方没有按照合同规定的时间交货和提供服务,甲方按合同金额的3‰按日收取违约金。</w:t>
            </w:r>
          </w:p>
        </w:tc>
      </w:tr>
    </w:tbl>
    <w:p>
      <w:pPr>
        <w:spacing w:line="360" w:lineRule="auto"/>
        <w:jc w:val="center"/>
        <w:rPr>
          <w:rFonts w:hint="eastAsia" w:ascii="宋体" w:hAnsi="宋体" w:cs="宋体"/>
          <w:b/>
          <w:color w:val="auto"/>
          <w:sz w:val="44"/>
          <w:szCs w:val="44"/>
          <w:highlight w:val="none"/>
        </w:rPr>
      </w:pPr>
      <w:r>
        <w:rPr>
          <w:rFonts w:hint="eastAsia" w:ascii="宋体" w:hAnsi="宋体" w:cs="宋体"/>
          <w:b/>
          <w:bCs/>
          <w:color w:val="auto"/>
          <w:sz w:val="32"/>
          <w:highlight w:val="none"/>
        </w:rPr>
        <w:br w:type="page"/>
      </w:r>
      <w:bookmarkStart w:id="40" w:name="_Toc168800659"/>
      <w:r>
        <w:rPr>
          <w:rFonts w:hint="eastAsia" w:ascii="宋体" w:hAnsi="宋体" w:cs="宋体"/>
          <w:b/>
          <w:color w:val="auto"/>
          <w:sz w:val="44"/>
          <w:szCs w:val="44"/>
          <w:highlight w:val="none"/>
        </w:rPr>
        <w:t>供应商须知</w:t>
      </w:r>
    </w:p>
    <w:p>
      <w:pPr>
        <w:adjustRightInd w:val="0"/>
        <w:spacing w:line="360" w:lineRule="auto"/>
        <w:jc w:val="center"/>
        <w:rPr>
          <w:rFonts w:hint="eastAsia" w:ascii="宋体" w:hAnsi="宋体" w:cs="宋体"/>
          <w:color w:val="auto"/>
          <w:sz w:val="28"/>
          <w:szCs w:val="28"/>
          <w:highlight w:val="none"/>
        </w:rPr>
      </w:pPr>
      <w:bookmarkStart w:id="41" w:name="_Toc168800595"/>
      <w:r>
        <w:rPr>
          <w:rFonts w:hint="eastAsia" w:ascii="宋体" w:hAnsi="宋体" w:cs="宋体"/>
          <w:color w:val="auto"/>
          <w:sz w:val="28"/>
          <w:szCs w:val="28"/>
          <w:highlight w:val="none"/>
        </w:rPr>
        <w:t>一、总  则</w:t>
      </w:r>
      <w:bookmarkEnd w:id="41"/>
    </w:p>
    <w:p>
      <w:pPr>
        <w:spacing w:line="360" w:lineRule="auto"/>
        <w:ind w:firstLine="480" w:firstLineChars="200"/>
        <w:rPr>
          <w:rFonts w:hint="eastAsia" w:ascii="宋体" w:hAnsi="宋体" w:cs="宋体"/>
          <w:color w:val="auto"/>
          <w:sz w:val="24"/>
          <w:highlight w:val="none"/>
        </w:rPr>
      </w:pPr>
      <w:bookmarkStart w:id="42" w:name="_Toc168800596"/>
      <w:r>
        <w:rPr>
          <w:rFonts w:hint="eastAsia" w:ascii="宋体" w:hAnsi="宋体" w:cs="宋体"/>
          <w:color w:val="auto"/>
          <w:sz w:val="24"/>
          <w:highlight w:val="none"/>
        </w:rPr>
        <w:t>1.资金来源</w:t>
      </w:r>
      <w:bookmarkEnd w:id="42"/>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1.1.采购人已具备用于支付“供应商须知前附表”所述项目费用的能力，能够支付本次磋商后所签订的合同项下的款项。</w:t>
      </w:r>
      <w:bookmarkStart w:id="43" w:name="_Toc16880059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2.合格的供应商、合格的货物与服务</w:t>
      </w:r>
      <w:bookmarkEnd w:id="43"/>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 </w:t>
      </w:r>
      <w:r>
        <w:rPr>
          <w:rFonts w:hint="eastAsia" w:ascii="宋体" w:hAnsi="宋体" w:cs="宋体"/>
          <w:color w:val="auto"/>
          <w:kern w:val="0"/>
          <w:sz w:val="24"/>
          <w:highlight w:val="none"/>
          <w:lang w:bidi="ar"/>
        </w:rPr>
        <w:t>供应商须具备《中华人民共和国政府采购法》第二十二条关于供应商条件的规定：</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非</w:t>
      </w:r>
      <w:r>
        <w:rPr>
          <w:rFonts w:hint="eastAsia" w:ascii="宋体" w:hAnsi="宋体"/>
          <w:color w:val="auto"/>
          <w:sz w:val="24"/>
          <w:highlight w:val="none"/>
        </w:rPr>
        <w:t>专门面向中小企业采购项目</w:t>
      </w:r>
      <w:r>
        <w:rPr>
          <w:rFonts w:hint="eastAsia" w:ascii="宋体" w:hAnsi="宋体" w:cs="宋体"/>
          <w:color w:val="auto"/>
          <w:sz w:val="24"/>
          <w:highlight w:val="none"/>
        </w:rPr>
        <w:t>；</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（2）根据财政部发布的《政府采购促进中小企业发展管理办法》规定，本项目对小型和微型企业产品的价格给予10%的扣除。</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（3）根据财政部发布的《关于政府采购支持监狱企业发展有关问题的通知》规定，本项目对监狱企业产品的价格给予10%的扣除。</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（4）根据财政部发布的《关于促进残疾人就业政府采购政策的通知》规定，本项目对残疾人福利性单位产品的价格给予10%的扣除。</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代理商须提供制造商合法有效授权复印件加盖公章（进口设备需提供，国产设备无需提供授权）</w:t>
      </w:r>
      <w:r>
        <w:rPr>
          <w:rFonts w:hint="eastAsia" w:ascii="宋体" w:hAnsi="宋体" w:cs="宋体"/>
          <w:color w:val="auto"/>
          <w:sz w:val="24"/>
          <w:highlight w:val="none"/>
        </w:rPr>
        <w:t>。</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1）本项目不接受联合体磋商。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2）截至响应文件递交截止时间，经“信用中国”网站（www.creditchina.gov.cn）、 “中国政府采购网”网站（www.ccgp.gov.cn）查询，被列入失信被执行人、重大税收违法案件当事人名单、政府采购严重违法失信行为记录名单的不得参加本采购项目，查询结果以评审过程中现场网络截图为准。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合同中提供的所有货物及其有关服务，均应来自中华人民共和国境内或是与中华人民共和国有正常贸易往来的国家和地区(以下简称“合格来源国”)，本合同的支付也仅限于这些货物和服务；</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2.3.供应商必须满足采购公告所述项目要求；</w:t>
      </w:r>
    </w:p>
    <w:p>
      <w:pPr>
        <w:spacing w:line="360" w:lineRule="auto"/>
        <w:ind w:firstLine="480" w:firstLineChars="200"/>
        <w:rPr>
          <w:rFonts w:hint="eastAsia" w:ascii="宋体" w:hAnsi="宋体" w:cs="宋体"/>
          <w:color w:val="auto"/>
          <w:sz w:val="24"/>
          <w:highlight w:val="none"/>
        </w:rPr>
      </w:pPr>
      <w:bookmarkStart w:id="44" w:name="_Toc168800598"/>
      <w:r>
        <w:rPr>
          <w:rFonts w:hint="eastAsia" w:ascii="宋体" w:hAnsi="宋体" w:cs="宋体"/>
          <w:color w:val="auto"/>
          <w:sz w:val="24"/>
          <w:highlight w:val="none"/>
        </w:rPr>
        <w:t>3.响应费用</w:t>
      </w:r>
      <w:bookmarkEnd w:id="44"/>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供应商应承担所有参与此次响应活动所发生的相关费用，不论响应的结果如何，采购人将不承担任何费用。</w:t>
      </w:r>
    </w:p>
    <w:p>
      <w:pPr>
        <w:spacing w:line="360" w:lineRule="auto"/>
        <w:jc w:val="center"/>
        <w:rPr>
          <w:rFonts w:hint="eastAsia" w:ascii="宋体" w:hAnsi="宋体" w:cs="宋体"/>
          <w:color w:val="auto"/>
          <w:sz w:val="24"/>
          <w:highlight w:val="none"/>
        </w:rPr>
      </w:pPr>
      <w:bookmarkStart w:id="45" w:name="_Toc168800599"/>
      <w:r>
        <w:rPr>
          <w:rFonts w:hint="eastAsia" w:ascii="宋体" w:hAnsi="宋体" w:cs="宋体"/>
          <w:color w:val="auto"/>
          <w:sz w:val="24"/>
          <w:highlight w:val="none"/>
        </w:rPr>
        <w:t>二、磋商文件</w:t>
      </w:r>
      <w:bookmarkEnd w:id="45"/>
    </w:p>
    <w:p>
      <w:pPr>
        <w:spacing w:line="360" w:lineRule="auto"/>
        <w:ind w:firstLine="480" w:firstLineChars="200"/>
        <w:rPr>
          <w:rFonts w:hint="eastAsia" w:ascii="宋体" w:hAnsi="宋体" w:cs="宋体"/>
          <w:color w:val="auto"/>
          <w:sz w:val="24"/>
          <w:highlight w:val="none"/>
        </w:rPr>
      </w:pPr>
      <w:bookmarkStart w:id="46" w:name="_Toc168800600"/>
      <w:r>
        <w:rPr>
          <w:rFonts w:hint="eastAsia" w:ascii="宋体" w:hAnsi="宋体" w:cs="宋体"/>
          <w:color w:val="auto"/>
          <w:sz w:val="24"/>
          <w:highlight w:val="none"/>
        </w:rPr>
        <w:t>4.磋商文件构成</w:t>
      </w:r>
      <w:bookmarkEnd w:id="46"/>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磋商文件包括：</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4.1.1.竞争性磋商公告</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4.1.2.供应商须知及前附表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4.1.3.合同格式及前附表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4.1.4.用户需求书</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4.1.5.响应文件格式</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4.1.6.资格证明文件</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4.1.7.评审办法</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4.1.8.附件</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供应商应认真阅读磋商文件中所有的事项、格式、条款、项目任务等要求。如果供应商没有按照磋商文件要求提交全部资料或者响应文件没有按照磋商文件要求做出实质性响应，根据规定，没有实质上响应磋商文件要求的响应文件将视为无效。</w:t>
      </w:r>
    </w:p>
    <w:p>
      <w:pPr>
        <w:spacing w:line="360" w:lineRule="auto"/>
        <w:ind w:firstLine="480" w:firstLineChars="200"/>
        <w:rPr>
          <w:rFonts w:hint="eastAsia" w:ascii="宋体" w:hAnsi="宋体" w:cs="宋体"/>
          <w:color w:val="auto"/>
          <w:sz w:val="24"/>
          <w:highlight w:val="none"/>
        </w:rPr>
      </w:pPr>
      <w:bookmarkStart w:id="47" w:name="_Toc168800601"/>
      <w:r>
        <w:rPr>
          <w:rFonts w:hint="eastAsia" w:ascii="宋体" w:hAnsi="宋体" w:cs="宋体"/>
          <w:color w:val="auto"/>
          <w:sz w:val="24"/>
          <w:highlight w:val="none"/>
        </w:rPr>
        <w:t>5.磋商文件的澄清</w:t>
      </w:r>
      <w:bookmarkEnd w:id="47"/>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 供应商需要对磋商文件进行澄清的，应在法定截止时间前按磋商文件中的通讯地址以书面形式转至招标代理，采购人对此要求将以书面形式予以答复，同时将书面答复寄送给每位获取磋商文件的供应商，但不说明问题的来源。</w:t>
      </w:r>
    </w:p>
    <w:p>
      <w:pPr>
        <w:spacing w:line="360" w:lineRule="auto"/>
        <w:ind w:firstLine="480" w:firstLineChars="200"/>
        <w:rPr>
          <w:rFonts w:hint="eastAsia" w:ascii="宋体" w:hAnsi="宋体" w:cs="宋体"/>
          <w:color w:val="auto"/>
          <w:sz w:val="24"/>
          <w:highlight w:val="none"/>
        </w:rPr>
      </w:pPr>
      <w:bookmarkStart w:id="48" w:name="_Toc168800602"/>
      <w:r>
        <w:rPr>
          <w:rFonts w:hint="eastAsia" w:ascii="宋体" w:hAnsi="宋体" w:cs="宋体"/>
          <w:color w:val="auto"/>
          <w:sz w:val="24"/>
          <w:highlight w:val="none"/>
        </w:rPr>
        <w:t>6.磋商文件的修改</w:t>
      </w:r>
      <w:bookmarkEnd w:id="48"/>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6.1.在响应截止时间前，采购人依法可主动地或在解答供应商提出的澄清问题时对磋商文件进行修改。</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6.2.采购人对磋商文件的修改或澄清将以澄清函形式书面通知所有供应商。澄清函与磋商文件具有同等约束力。供应商接到澄清函后应立即以书面形式进行确认。</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 为使供应商编写响应文件时有充分时间对磋商文件的修改部分进行研究，采购人可视情况酌情延长响应文件递交截止时间。</w:t>
      </w:r>
    </w:p>
    <w:p>
      <w:pPr>
        <w:spacing w:line="360" w:lineRule="auto"/>
        <w:ind w:firstLine="480" w:firstLineChars="200"/>
        <w:jc w:val="center"/>
        <w:rPr>
          <w:rFonts w:hint="eastAsia" w:ascii="宋体" w:hAnsi="宋体" w:cs="宋体"/>
          <w:color w:val="auto"/>
          <w:sz w:val="24"/>
          <w:highlight w:val="none"/>
        </w:rPr>
      </w:pPr>
      <w:bookmarkStart w:id="49" w:name="_Toc168800603"/>
      <w:r>
        <w:rPr>
          <w:rFonts w:hint="eastAsia" w:ascii="宋体" w:hAnsi="宋体" w:cs="宋体"/>
          <w:color w:val="auto"/>
          <w:sz w:val="24"/>
          <w:highlight w:val="none"/>
        </w:rPr>
        <w:t>三、响应文件的编制</w:t>
      </w:r>
      <w:bookmarkEnd w:id="49"/>
    </w:p>
    <w:p>
      <w:pPr>
        <w:spacing w:line="360" w:lineRule="auto"/>
        <w:ind w:firstLine="480" w:firstLineChars="200"/>
        <w:rPr>
          <w:rFonts w:hint="eastAsia" w:ascii="宋体" w:hAnsi="宋体" w:cs="宋体"/>
          <w:color w:val="auto"/>
          <w:sz w:val="24"/>
          <w:highlight w:val="none"/>
        </w:rPr>
      </w:pPr>
      <w:bookmarkStart w:id="50" w:name="_Toc168800604"/>
      <w:r>
        <w:rPr>
          <w:rFonts w:hint="eastAsia" w:ascii="宋体" w:hAnsi="宋体" w:cs="宋体"/>
          <w:color w:val="auto"/>
          <w:sz w:val="24"/>
          <w:highlight w:val="none"/>
        </w:rPr>
        <w:t>7.响应的语言</w:t>
      </w:r>
      <w:bookmarkEnd w:id="50"/>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供应商提交的响应文件以及供应商与采购人就有关响应的所有来往函电均应使用“供应商须知前附表”规定的语言书写。供应商提交的支持文件的印制的文献可以用另一种语言，但相应内容应附有“供应商须知前附表”规定语言的翻译本，在解释响应文件时以翻译本为准。</w:t>
      </w:r>
    </w:p>
    <w:p>
      <w:pPr>
        <w:spacing w:line="360" w:lineRule="auto"/>
        <w:ind w:firstLine="480" w:firstLineChars="200"/>
        <w:rPr>
          <w:rFonts w:hint="eastAsia" w:ascii="宋体" w:hAnsi="宋体" w:cs="宋体"/>
          <w:color w:val="auto"/>
          <w:sz w:val="24"/>
          <w:highlight w:val="none"/>
        </w:rPr>
      </w:pPr>
      <w:bookmarkStart w:id="51" w:name="_Toc168800605"/>
      <w:r>
        <w:rPr>
          <w:rFonts w:hint="eastAsia" w:ascii="宋体" w:hAnsi="宋体" w:cs="宋体"/>
          <w:color w:val="auto"/>
          <w:sz w:val="24"/>
          <w:highlight w:val="none"/>
        </w:rPr>
        <w:t>8.响应文件构成</w:t>
      </w:r>
      <w:bookmarkEnd w:id="51"/>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8.1.供应商编写的响应文件应包括下列部分：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8.1.1.按照要求填写的响应函格式和响应报价表；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8.1.2.按照要求出具的资格证明文件，证明供应商是合格的，成交后有能力履行合同；</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8.1.3.按照要求出具的证明文件，证明供应商提供的货物及其服务是合格的且符合磋商文件规定；</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8.1.4.按照第三章要求提供的需求响应偏离表；</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8.1.5.其他磋商文件要求的内容。</w:t>
      </w:r>
    </w:p>
    <w:p>
      <w:pPr>
        <w:spacing w:line="360" w:lineRule="auto"/>
        <w:ind w:firstLine="480" w:firstLineChars="200"/>
        <w:rPr>
          <w:rFonts w:hint="eastAsia" w:ascii="宋体" w:hAnsi="宋体" w:cs="宋体"/>
          <w:color w:val="auto"/>
          <w:sz w:val="24"/>
          <w:highlight w:val="none"/>
        </w:rPr>
      </w:pPr>
      <w:bookmarkStart w:id="52" w:name="_Toc168800606"/>
      <w:r>
        <w:rPr>
          <w:rFonts w:hint="eastAsia" w:ascii="宋体" w:hAnsi="宋体" w:cs="宋体"/>
          <w:color w:val="auto"/>
          <w:sz w:val="24"/>
          <w:highlight w:val="none"/>
        </w:rPr>
        <w:t>9.响应函格式</w:t>
      </w:r>
      <w:bookmarkEnd w:id="52"/>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 供应商应完整地填写磋商文件中的响应函格式和响应报价表及其附件，说明所提供的货物和服务、简介、来源、数量及价格。</w:t>
      </w:r>
    </w:p>
    <w:p>
      <w:pPr>
        <w:spacing w:line="360" w:lineRule="auto"/>
        <w:ind w:firstLine="480" w:firstLineChars="200"/>
        <w:rPr>
          <w:rFonts w:hint="eastAsia" w:ascii="宋体" w:hAnsi="宋体" w:cs="宋体"/>
          <w:color w:val="auto"/>
          <w:sz w:val="24"/>
          <w:highlight w:val="none"/>
        </w:rPr>
      </w:pPr>
      <w:bookmarkStart w:id="53" w:name="_Toc168800607"/>
      <w:r>
        <w:rPr>
          <w:rFonts w:hint="eastAsia" w:ascii="宋体" w:hAnsi="宋体" w:cs="宋体"/>
          <w:color w:val="auto"/>
          <w:sz w:val="24"/>
          <w:highlight w:val="none"/>
        </w:rPr>
        <w:t>10.响应报价</w:t>
      </w:r>
      <w:bookmarkEnd w:id="53"/>
      <w:r>
        <w:rPr>
          <w:rFonts w:hint="eastAsia" w:ascii="宋体" w:hAnsi="宋体" w:cs="宋体"/>
          <w:color w:val="auto"/>
          <w:sz w:val="24"/>
          <w:highlight w:val="none"/>
        </w:rPr>
        <w:t>、响应货币</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10.1.供应商应在适当的响应报价表上标明，本合同拟提供服务的单价(适用时)和总价。</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10.2.供应商所报的响应价在合同执行过程中是固定不变的，不得以任何理由予以变更。根据供应商须知的规定，以可调整的价格提交的响应文件将作为非响应性响应而予以拒绝。</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10.3.所有响应内容应按“供应商须知前附表”规定的货币报价。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磋商保证金</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11.1.供应商应按“供应商须知前附表”要求交纳磋商保证金。</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采购人有权拒绝未能按照要求提交磋商保证金的响应文件。</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11.3.未成交供应商的磋商保证金将在成交通知书发出后五日内予以退还；成交供应商的磋商保证金将在成交供应商与采购人签署合同后五日内予以退还；</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11.4.如有下列情况之一，供应商的磋商保证金将不予以退还：</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11.4.1.弄虚作假或与其他供应商串通骗取成交的</w:t>
      </w:r>
      <w:r>
        <w:rPr>
          <w:rFonts w:hint="eastAsia" w:ascii="宋体" w:hAnsi="宋体" w:cs="宋体"/>
          <w:color w:val="auto"/>
          <w:sz w:val="24"/>
          <w:highlight w:val="none"/>
        </w:rPr>
        <w:t>；</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11.4.2.磋商截止之后至磋商有效期终止期间撤回其磋商响应文件</w:t>
      </w:r>
      <w:r>
        <w:rPr>
          <w:rFonts w:hint="eastAsia" w:ascii="宋体" w:hAnsi="宋体" w:cs="宋体"/>
          <w:color w:val="auto"/>
          <w:sz w:val="24"/>
          <w:highlight w:val="none"/>
        </w:rPr>
        <w:t>。</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11.4.3.因成交人过错被废除成交的</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11.4.4.成交人未能在规定期限内提交履约保证金或签订合同协议</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11.4.5.法律法规规定其它损害采购人利益的情形</w:t>
      </w:r>
    </w:p>
    <w:p>
      <w:pPr>
        <w:spacing w:line="360" w:lineRule="auto"/>
        <w:ind w:firstLine="480" w:firstLineChars="200"/>
        <w:rPr>
          <w:rFonts w:hint="eastAsia" w:ascii="宋体" w:hAnsi="宋体" w:cs="宋体"/>
          <w:color w:val="auto"/>
          <w:sz w:val="24"/>
          <w:highlight w:val="none"/>
        </w:rPr>
      </w:pPr>
      <w:bookmarkStart w:id="54" w:name="_Toc168800609"/>
      <w:r>
        <w:rPr>
          <w:rFonts w:hint="eastAsia" w:ascii="宋体" w:hAnsi="宋体" w:cs="宋体"/>
          <w:color w:val="auto"/>
          <w:sz w:val="24"/>
          <w:highlight w:val="none"/>
        </w:rPr>
        <w:t>12.证明供应商合格和资格的文件</w:t>
      </w:r>
      <w:bookmarkEnd w:id="54"/>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按照规定，供应商应提交证明其有资格参加响应和成交后有能力履行合同的文件，并作为其响应文件的组成部分；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 供应商提交的成交后履行合同的资格证明文件应满足下列要求：</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12.2.1供应商必须具备履行合同所需的财务、技术和服务能力；</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12.2.2.供应商应有能力履行合同条款中对所提供的服务所承担的储存、运输、安装和调换的义务。</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12.3供应商应按要求填写并提交磋商文件上所附的“资格证明文件”。</w:t>
      </w:r>
    </w:p>
    <w:p>
      <w:pPr>
        <w:spacing w:line="360" w:lineRule="auto"/>
        <w:ind w:firstLine="480" w:firstLineChars="200"/>
        <w:rPr>
          <w:rFonts w:ascii="宋体" w:hAnsi="宋体" w:cs="宋体"/>
          <w:color w:val="auto"/>
          <w:sz w:val="24"/>
          <w:highlight w:val="none"/>
        </w:rPr>
      </w:pPr>
      <w:bookmarkStart w:id="55" w:name="_Toc168800610"/>
      <w:r>
        <w:rPr>
          <w:rFonts w:hint="eastAsia" w:ascii="宋体" w:hAnsi="宋体" w:cs="宋体"/>
          <w:color w:val="auto"/>
          <w:sz w:val="24"/>
          <w:highlight w:val="none"/>
        </w:rPr>
        <w:t>13.证明服务的合格性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13.1.供应商应提交证明文件，证明其采购内容符合磋商文件规定。该证明文件是响应文件的一部分。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13.2.上条所述的证明文件，可以是文字资料、图纸和数据。</w:t>
      </w:r>
    </w:p>
    <w:bookmarkEnd w:id="55"/>
    <w:p>
      <w:pPr>
        <w:spacing w:line="360" w:lineRule="auto"/>
        <w:ind w:firstLine="480" w:firstLineChars="200"/>
        <w:rPr>
          <w:rFonts w:hint="eastAsia" w:ascii="宋体" w:hAnsi="宋体" w:cs="宋体"/>
          <w:color w:val="auto"/>
          <w:sz w:val="24"/>
          <w:highlight w:val="none"/>
        </w:rPr>
      </w:pPr>
      <w:bookmarkStart w:id="56" w:name="_Toc168800612"/>
      <w:r>
        <w:rPr>
          <w:rFonts w:hint="eastAsia" w:ascii="宋体" w:hAnsi="宋体" w:cs="宋体"/>
          <w:color w:val="auto"/>
          <w:sz w:val="24"/>
          <w:highlight w:val="none"/>
        </w:rPr>
        <w:t>14.响应有效期</w:t>
      </w:r>
      <w:bookmarkEnd w:id="56"/>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14.1.所有响应应从规定的磋商之日起，在“供应商须知前附表”所规定的以日历日计算的响应有效期内有效。</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在特殊情况下，在原响应有效期期满之前，采购人可征得供应商同意延长响应有效期。这种要求与答复均应以信函、电子邮件形式等进行。供应商可以拒绝采购人的这种要求，同意延长的供应商不允许修改其响应文件。</w:t>
      </w:r>
    </w:p>
    <w:p>
      <w:pPr>
        <w:spacing w:line="360" w:lineRule="auto"/>
        <w:ind w:firstLine="480" w:firstLineChars="200"/>
        <w:rPr>
          <w:rFonts w:hint="eastAsia" w:ascii="宋体" w:hAnsi="宋体" w:cs="宋体"/>
          <w:color w:val="auto"/>
          <w:sz w:val="24"/>
          <w:highlight w:val="none"/>
        </w:rPr>
      </w:pPr>
      <w:bookmarkStart w:id="57" w:name="_Toc168800613"/>
      <w:r>
        <w:rPr>
          <w:rFonts w:hint="eastAsia" w:ascii="宋体" w:hAnsi="宋体" w:cs="宋体"/>
          <w:color w:val="auto"/>
          <w:sz w:val="24"/>
          <w:highlight w:val="none"/>
        </w:rPr>
        <w:t>15.响应文件的式样和签署</w:t>
      </w:r>
      <w:bookmarkEnd w:id="57"/>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15.1.供应商按“供应商须知前附表”规定的数目递交响应文件，每套响应文件须清楚地标明“正本”或“副本”。一旦正本和副本不符，以正本为准。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15.2.响应文件的正本和所有的副本均需打印并由供应商法定代表人或法人授权代表签字或盖章。授权代表须将以书面形式出具的“授权证书”附在响应文件中。</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15.3.除供应商对错处做必要修改外，响应文件不得行间插字，涂改和增删，如有修改错漏处，必须由供应商法定代表人或其授权代表签字或盖章。</w:t>
      </w:r>
    </w:p>
    <w:p>
      <w:pPr>
        <w:spacing w:line="360" w:lineRule="auto"/>
        <w:jc w:val="center"/>
        <w:rPr>
          <w:rFonts w:hint="eastAsia" w:ascii="宋体" w:hAnsi="宋体" w:cs="宋体"/>
          <w:color w:val="auto"/>
          <w:sz w:val="24"/>
          <w:highlight w:val="none"/>
        </w:rPr>
      </w:pPr>
      <w:bookmarkStart w:id="58" w:name="_Toc168800614"/>
      <w:r>
        <w:rPr>
          <w:rFonts w:hint="eastAsia" w:ascii="宋体" w:hAnsi="宋体" w:cs="宋体"/>
          <w:color w:val="auto"/>
          <w:sz w:val="24"/>
          <w:highlight w:val="none"/>
        </w:rPr>
        <w:t>四、响应文件的递交</w:t>
      </w:r>
      <w:bookmarkEnd w:id="58"/>
    </w:p>
    <w:p>
      <w:pPr>
        <w:spacing w:line="360" w:lineRule="auto"/>
        <w:ind w:firstLine="480" w:firstLineChars="200"/>
        <w:rPr>
          <w:rFonts w:hint="eastAsia" w:ascii="宋体" w:hAnsi="宋体" w:cs="宋体"/>
          <w:color w:val="auto"/>
          <w:sz w:val="24"/>
          <w:highlight w:val="none"/>
        </w:rPr>
      </w:pPr>
      <w:bookmarkStart w:id="59" w:name="_Toc168800615"/>
      <w:r>
        <w:rPr>
          <w:rFonts w:hint="eastAsia" w:ascii="宋体" w:hAnsi="宋体" w:cs="宋体"/>
          <w:color w:val="auto"/>
          <w:sz w:val="24"/>
          <w:highlight w:val="none"/>
        </w:rPr>
        <w:t>16.响应文件的密封和标记</w:t>
      </w:r>
      <w:bookmarkEnd w:id="59"/>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16.1.响应文件须按以下方法装袋密封：</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响应文件密封袋内装响应文件正、副本。封口处应有供应商法定代表人或是其授权代表的签字及供应商的公章。封皮上写明项目名称、包号、供应商名称，并注明</w:t>
      </w:r>
      <w:r>
        <w:rPr>
          <w:rFonts w:hint="eastAsia" w:ascii="宋体" w:hAnsi="宋体" w:cs="宋体"/>
          <w:b/>
          <w:color w:val="auto"/>
          <w:sz w:val="24"/>
          <w:highlight w:val="none"/>
        </w:rPr>
        <w:t>“xx年x月x日x时前不得开启”</w:t>
      </w:r>
      <w:r>
        <w:rPr>
          <w:rFonts w:hint="eastAsia" w:ascii="宋体" w:hAnsi="宋体" w:cs="宋体"/>
          <w:color w:val="auto"/>
          <w:sz w:val="24"/>
          <w:highlight w:val="none"/>
        </w:rPr>
        <w:t>字样。</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16.2.如果响应文件外包装未按要求密封和加写标记，采购人对误投或过早启封概不负责。对由此造成提前开封的响应文件，采购人将予以拒绝，并退回供应商。</w:t>
      </w:r>
    </w:p>
    <w:p>
      <w:pPr>
        <w:spacing w:line="360" w:lineRule="auto"/>
        <w:ind w:firstLine="480" w:firstLineChars="200"/>
        <w:rPr>
          <w:rFonts w:hint="eastAsia" w:ascii="宋体" w:hAnsi="宋体" w:cs="宋体"/>
          <w:color w:val="auto"/>
          <w:sz w:val="24"/>
          <w:highlight w:val="none"/>
        </w:rPr>
      </w:pPr>
      <w:bookmarkStart w:id="60" w:name="_Toc168800616"/>
      <w:r>
        <w:rPr>
          <w:rFonts w:hint="eastAsia" w:ascii="宋体" w:hAnsi="宋体" w:cs="宋体"/>
          <w:color w:val="auto"/>
          <w:sz w:val="24"/>
          <w:highlight w:val="none"/>
        </w:rPr>
        <w:t>17.响应截止</w:t>
      </w:r>
      <w:bookmarkEnd w:id="60"/>
      <w:r>
        <w:rPr>
          <w:rFonts w:hint="eastAsia" w:ascii="宋体" w:hAnsi="宋体" w:cs="宋体"/>
          <w:color w:val="auto"/>
          <w:sz w:val="24"/>
          <w:highlight w:val="none"/>
        </w:rPr>
        <w:t>时间</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供应商应在采购公告规定的响应截止时间前送达响应文件，响应截止时间后送达的响应文件将被拒绝。</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采购人可以按规定，通过修改磋商文件而酌情延长响应截止时间。在此情况下，采购人和供应商受响应截止时间制约的所有权利和义务均应延长至新的响应截止时间。</w:t>
      </w:r>
    </w:p>
    <w:p>
      <w:pPr>
        <w:spacing w:line="360" w:lineRule="auto"/>
        <w:ind w:firstLine="480" w:firstLineChars="200"/>
        <w:rPr>
          <w:rFonts w:hint="eastAsia" w:ascii="宋体" w:hAnsi="宋体" w:cs="宋体"/>
          <w:color w:val="auto"/>
          <w:sz w:val="24"/>
          <w:highlight w:val="none"/>
        </w:rPr>
      </w:pPr>
      <w:bookmarkStart w:id="61" w:name="_Toc168800617"/>
      <w:r>
        <w:rPr>
          <w:rFonts w:hint="eastAsia" w:ascii="宋体" w:hAnsi="宋体" w:cs="宋体"/>
          <w:color w:val="auto"/>
          <w:sz w:val="24"/>
          <w:highlight w:val="none"/>
        </w:rPr>
        <w:t>18.迟交的响应文件</w:t>
      </w:r>
      <w:bookmarkEnd w:id="61"/>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采购人将拒绝响应截止时间后送达的响应文件。</w:t>
      </w:r>
      <w:bookmarkStart w:id="62" w:name="_Toc16880061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19.响应文件的修改和撤回</w:t>
      </w:r>
      <w:bookmarkEnd w:id="62"/>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19.1. 截止时间前，供应商可以修改或撤回其响应文件，但必须以书面形式通知采购人。</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19.2. 供应商的修改或撤回通知书应按规定编制、密封、标记和发送，并应在内层封套上加注“修改”或“撤回”字样。</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19.3.在响应截止时间之后，供应商不得对其响应文件做任何修改。</w:t>
      </w:r>
    </w:p>
    <w:p>
      <w:pPr>
        <w:adjustRightInd w:val="0"/>
        <w:spacing w:line="360" w:lineRule="auto"/>
        <w:ind w:firstLine="480" w:firstLineChars="200"/>
        <w:jc w:val="center"/>
        <w:rPr>
          <w:rFonts w:hint="eastAsia" w:ascii="宋体" w:hAnsi="宋体" w:cs="宋体"/>
          <w:color w:val="auto"/>
          <w:sz w:val="24"/>
          <w:highlight w:val="none"/>
        </w:rPr>
      </w:pPr>
      <w:bookmarkStart w:id="63" w:name="_Toc168800619"/>
      <w:r>
        <w:rPr>
          <w:rFonts w:hint="eastAsia" w:ascii="宋体" w:hAnsi="宋体" w:cs="宋体"/>
          <w:color w:val="auto"/>
          <w:sz w:val="24"/>
          <w:highlight w:val="none"/>
        </w:rPr>
        <w:t>五、</w:t>
      </w:r>
      <w:bookmarkEnd w:id="63"/>
      <w:r>
        <w:rPr>
          <w:rFonts w:hint="eastAsia" w:ascii="宋体" w:hAnsi="宋体" w:cs="宋体"/>
          <w:color w:val="auto"/>
          <w:sz w:val="24"/>
          <w:highlight w:val="none"/>
        </w:rPr>
        <w:t>磋商与评审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20.磋商</w:t>
      </w: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pStyle w:val="191"/>
        <w:numPr>
          <w:ilvl w:val="0"/>
          <w:numId w:val="14"/>
        </w:numPr>
        <w:adjustRightInd w:val="0"/>
        <w:spacing w:line="360" w:lineRule="auto"/>
        <w:ind w:firstLine="480"/>
        <w:rPr>
          <w:rFonts w:hint="eastAsia" w:ascii="宋体" w:hAnsi="宋体" w:cs="宋体"/>
          <w:vanish/>
          <w:color w:val="auto"/>
          <w:sz w:val="24"/>
          <w:szCs w:val="24"/>
          <w:highlight w:val="none"/>
        </w:rPr>
      </w:pP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20.1.采购人将在“供应商须知前附表”规定的时间和地点组织磋商。</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20.2.按照规定，提交了可接受的“撤回”通知的响应文件将不予开封。</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20.3.磋商小组在对响应文件的有效性、完整性和响应程度进行审查时，可以要求供应商对响应文件中含义不明确、同类问题表述不一致或者有明显文字和计算错误的内容等作出必要的澄清、说明或者更正。</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20.5.磋商小组所有成员应当集中与单一供应商分别进行磋商，并给予所有参加磋商的供应商平等的磋商机会。</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20.6.在磋商过程中，磋商小组可以根据竞争性磋商文件和磋商情况实质性变动采购需求中的技术、服务要求以及合同草案条款。对竞争性磋商文件作出的实质性变动是竞争性磋商文件的有效组成部分，磋商小组应当及时以书面形式同时通知所有参加磋商的供应商。</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20.7.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20.8.竞争性磋商文件能够详细列明采购标的的技术、服务要求的，磋商结束后，磋商小组应当要求所有实质性响应的供应商在规定时间内提交最后报价，提交最后报价的供应商不得少于</w:t>
      </w:r>
      <w:r>
        <w:rPr>
          <w:rFonts w:ascii="宋体" w:hAnsi="宋体"/>
          <w:color w:val="auto"/>
          <w:sz w:val="24"/>
          <w:highlight w:val="none"/>
        </w:rPr>
        <w:t>3</w:t>
      </w:r>
      <w:r>
        <w:rPr>
          <w:rFonts w:hint="eastAsia" w:ascii="宋体" w:hAnsi="宋体"/>
          <w:color w:val="auto"/>
          <w:sz w:val="24"/>
          <w:highlight w:val="none"/>
        </w:rPr>
        <w:t>家。</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20.9.竞争性磋商文件不能详细列明采购标的的技术、服务要求，需经磋商由供应商提供最终设计方案或解决方案的，磋商结束后，磋商小组应当按照少数服从多数的原则投票推荐</w:t>
      </w:r>
      <w:r>
        <w:rPr>
          <w:rFonts w:ascii="宋体" w:hAnsi="宋体"/>
          <w:color w:val="auto"/>
          <w:sz w:val="24"/>
          <w:highlight w:val="none"/>
        </w:rPr>
        <w:t>3</w:t>
      </w:r>
      <w:r>
        <w:rPr>
          <w:rFonts w:hint="eastAsia" w:ascii="宋体" w:hAnsi="宋体"/>
          <w:color w:val="auto"/>
          <w:sz w:val="24"/>
          <w:highlight w:val="none"/>
        </w:rPr>
        <w:t>家以上供应商的设计方案或者解决方案，并要求其在规定时间内提交最后报价。</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20.10.最后报价是供应商响应文件的有效组成部分。</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20.11.已提交响应文件的供应商，在提交最后报价之前，可以根据磋商情况退出磋商。采购人、采购代理机构应当退还退出磋商的供应商的磋商保证金。</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20.12.经磋商确定最终采购需求和提交最后报价的供应商后，由磋商小组采用综合评分法对提交最后报价的供应商的响应文件和最后报价进行综合评分</w:t>
      </w:r>
      <w:r>
        <w:rPr>
          <w:rFonts w:hint="eastAsia" w:ascii="宋体" w:hAnsi="宋体"/>
          <w:bCs/>
          <w:snapToGrid w:val="0"/>
          <w:color w:val="auto"/>
          <w:kern w:val="0"/>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20.13.</w:t>
      </w:r>
      <w:r>
        <w:rPr>
          <w:rFonts w:ascii="宋体" w:hAnsi="宋体"/>
          <w:bCs/>
          <w:color w:val="auto"/>
          <w:sz w:val="24"/>
          <w:highlight w:val="none"/>
        </w:rPr>
        <w:t>开启</w:t>
      </w:r>
      <w:r>
        <w:rPr>
          <w:rFonts w:hint="eastAsia" w:ascii="宋体" w:hAnsi="宋体"/>
          <w:bCs/>
          <w:color w:val="auto"/>
          <w:sz w:val="24"/>
          <w:highlight w:val="none"/>
        </w:rPr>
        <w:t>磋商响应文件</w:t>
      </w:r>
      <w:r>
        <w:rPr>
          <w:rFonts w:ascii="宋体" w:hAnsi="宋体"/>
          <w:bCs/>
          <w:color w:val="auto"/>
          <w:sz w:val="24"/>
          <w:highlight w:val="none"/>
        </w:rPr>
        <w:t>前，经确认存在下列情况之一的</w:t>
      </w:r>
      <w:r>
        <w:rPr>
          <w:rFonts w:hint="eastAsia" w:ascii="宋体" w:hAnsi="宋体"/>
          <w:bCs/>
          <w:color w:val="auto"/>
          <w:sz w:val="24"/>
          <w:highlight w:val="none"/>
        </w:rPr>
        <w:t>供应商</w:t>
      </w:r>
      <w:r>
        <w:rPr>
          <w:rFonts w:ascii="宋体" w:hAnsi="宋体"/>
          <w:bCs/>
          <w:color w:val="auto"/>
          <w:sz w:val="24"/>
          <w:highlight w:val="none"/>
        </w:rPr>
        <w:t>将被</w:t>
      </w:r>
      <w:r>
        <w:rPr>
          <w:rFonts w:hint="eastAsia" w:ascii="宋体" w:hAnsi="宋体"/>
          <w:bCs/>
          <w:color w:val="auto"/>
          <w:sz w:val="24"/>
          <w:highlight w:val="none"/>
        </w:rPr>
        <w:t>拒绝</w:t>
      </w:r>
      <w:r>
        <w:rPr>
          <w:rFonts w:ascii="宋体" w:hAnsi="宋体"/>
          <w:bCs/>
          <w:color w:val="auto"/>
          <w:sz w:val="24"/>
          <w:highlight w:val="none"/>
        </w:rPr>
        <w:t>接收</w:t>
      </w:r>
      <w:r>
        <w:rPr>
          <w:rFonts w:hint="eastAsia" w:ascii="宋体" w:hAnsi="宋体"/>
          <w:bCs/>
          <w:color w:val="auto"/>
          <w:sz w:val="24"/>
          <w:highlight w:val="none"/>
        </w:rPr>
        <w:t>磋商响应</w:t>
      </w:r>
      <w:r>
        <w:rPr>
          <w:rFonts w:ascii="宋体" w:hAnsi="宋体"/>
          <w:bCs/>
          <w:color w:val="auto"/>
          <w:sz w:val="24"/>
          <w:highlight w:val="none"/>
        </w:rPr>
        <w:t>文件</w:t>
      </w:r>
      <w:r>
        <w:rPr>
          <w:rFonts w:hint="eastAsia" w:ascii="宋体" w:hAnsi="宋体"/>
          <w:color w:val="auto"/>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20.13.1.磋商响应文件</w:t>
      </w:r>
      <w:r>
        <w:rPr>
          <w:rFonts w:ascii="宋体" w:hAnsi="宋体"/>
          <w:bCs/>
          <w:color w:val="auto"/>
          <w:sz w:val="24"/>
          <w:highlight w:val="none"/>
        </w:rPr>
        <w:t>未能于</w:t>
      </w:r>
      <w:r>
        <w:rPr>
          <w:rFonts w:hint="eastAsia" w:ascii="宋体" w:hAnsi="宋体"/>
          <w:bCs/>
          <w:color w:val="auto"/>
          <w:sz w:val="24"/>
          <w:highlight w:val="none"/>
        </w:rPr>
        <w:t>磋商</w:t>
      </w:r>
      <w:r>
        <w:rPr>
          <w:rFonts w:ascii="宋体" w:hAnsi="宋体"/>
          <w:bCs/>
          <w:color w:val="auto"/>
          <w:sz w:val="24"/>
          <w:highlight w:val="none"/>
        </w:rPr>
        <w:t>截止时间之前递交至指定地点及指定接收人</w:t>
      </w:r>
      <w:r>
        <w:rPr>
          <w:rFonts w:hint="eastAsia" w:ascii="宋体" w:hAnsi="宋体"/>
          <w:color w:val="auto"/>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20.13.2.磋商响应文件</w:t>
      </w:r>
      <w:r>
        <w:rPr>
          <w:rFonts w:ascii="宋体" w:hAnsi="宋体"/>
          <w:bCs/>
          <w:color w:val="auto"/>
          <w:sz w:val="24"/>
          <w:highlight w:val="none"/>
        </w:rPr>
        <w:t>未按</w:t>
      </w:r>
      <w:r>
        <w:rPr>
          <w:rFonts w:hint="eastAsia" w:ascii="宋体" w:hAnsi="宋体"/>
          <w:bCs/>
          <w:color w:val="auto"/>
          <w:sz w:val="24"/>
          <w:highlight w:val="none"/>
        </w:rPr>
        <w:t>磋商</w:t>
      </w:r>
      <w:r>
        <w:rPr>
          <w:rFonts w:ascii="宋体" w:hAnsi="宋体"/>
          <w:bCs/>
          <w:color w:val="auto"/>
          <w:sz w:val="24"/>
          <w:highlight w:val="none"/>
        </w:rPr>
        <w:t>文件规定要求进行密封</w:t>
      </w:r>
      <w:r>
        <w:rPr>
          <w:rFonts w:hint="eastAsia" w:ascii="宋体" w:hAnsi="宋体"/>
          <w:color w:val="auto"/>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20.13.3.法律</w:t>
      </w:r>
      <w:r>
        <w:rPr>
          <w:rFonts w:ascii="宋体" w:hAnsi="宋体"/>
          <w:bCs/>
          <w:color w:val="auto"/>
          <w:sz w:val="24"/>
          <w:highlight w:val="none"/>
        </w:rPr>
        <w:t>、法规规定的其它情形</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20.14.供应商不足三家时不能磋商，符合国家规定的情形除外。</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20.15.如供应商对磋商有异议的须在现场提出，采购人现场予以答复。</w:t>
      </w:r>
      <w:bookmarkStart w:id="64" w:name="_Toc168800621"/>
    </w:p>
    <w:p>
      <w:pPr>
        <w:adjustRightInd w:val="0"/>
        <w:spacing w:line="360" w:lineRule="auto"/>
        <w:ind w:firstLine="480" w:firstLineChars="200"/>
        <w:rPr>
          <w:rFonts w:hint="eastAsia" w:ascii="宋体" w:hAnsi="宋体" w:cs="Lucida Sans Unicode"/>
          <w:color w:val="auto"/>
          <w:sz w:val="24"/>
          <w:highlight w:val="none"/>
        </w:rPr>
      </w:pPr>
      <w:r>
        <w:rPr>
          <w:rFonts w:hint="eastAsia" w:ascii="宋体" w:hAnsi="宋体"/>
          <w:color w:val="auto"/>
          <w:sz w:val="24"/>
          <w:highlight w:val="none"/>
        </w:rPr>
        <w:t>21.</w:t>
      </w:r>
      <w:r>
        <w:rPr>
          <w:rFonts w:hint="eastAsia" w:ascii="宋体" w:hAnsi="宋体" w:cs="Lucida Sans Unicode"/>
          <w:color w:val="auto"/>
          <w:sz w:val="24"/>
          <w:highlight w:val="none"/>
        </w:rPr>
        <w:t>评审小组的组成</w:t>
      </w:r>
      <w:bookmarkEnd w:id="64"/>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21.1.采购人依法组建评审小组。</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21.2.评审小组由相关专家和采购方代表组成。</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21.3.与供应商有利害关系的人不得进入评审小组。</w:t>
      </w:r>
    </w:p>
    <w:p>
      <w:pPr>
        <w:spacing w:line="360" w:lineRule="auto"/>
        <w:ind w:firstLine="480" w:firstLineChars="200"/>
        <w:rPr>
          <w:rFonts w:hint="eastAsia" w:ascii="宋体" w:hAnsi="宋体" w:cs="Lucida Sans Unicode"/>
          <w:color w:val="auto"/>
          <w:sz w:val="24"/>
          <w:highlight w:val="none"/>
        </w:rPr>
      </w:pPr>
      <w:bookmarkStart w:id="65" w:name="_Toc168800622"/>
      <w:r>
        <w:rPr>
          <w:rFonts w:hint="eastAsia" w:ascii="宋体" w:hAnsi="宋体" w:cs="Lucida Sans Unicode"/>
          <w:color w:val="auto"/>
          <w:sz w:val="24"/>
          <w:highlight w:val="none"/>
        </w:rPr>
        <w:t>22.评审过程的保密性</w:t>
      </w:r>
      <w:bookmarkEnd w:id="65"/>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22.1.磋商后直至向成交的供应商授予合同时止，凡与审查、澄清、评价和比较磋商的有关资料以及授标意见等，均不得向其它供应商及与评审无关的其他人透露。</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22.2. 在评审过程中，如果供应商试图在响应文件审查、澄清、比较及授予合同方面向采购人施加任何影响，其响应文件将被拒绝。</w:t>
      </w:r>
      <w:bookmarkStart w:id="66" w:name="_Toc168800623"/>
    </w:p>
    <w:p>
      <w:pPr>
        <w:adjustRightInd w:val="0"/>
        <w:spacing w:line="360" w:lineRule="auto"/>
        <w:ind w:firstLine="480" w:firstLineChars="200"/>
        <w:rPr>
          <w:rFonts w:hint="eastAsia" w:ascii="宋体" w:hAnsi="宋体" w:cs="Lucida Sans Unicode"/>
          <w:color w:val="auto"/>
          <w:sz w:val="24"/>
          <w:highlight w:val="none"/>
        </w:rPr>
      </w:pPr>
      <w:r>
        <w:rPr>
          <w:rFonts w:hint="eastAsia" w:ascii="宋体" w:hAnsi="宋体"/>
          <w:color w:val="auto"/>
          <w:sz w:val="24"/>
          <w:highlight w:val="none"/>
        </w:rPr>
        <w:t>23.</w:t>
      </w:r>
      <w:r>
        <w:rPr>
          <w:rFonts w:hint="eastAsia" w:ascii="宋体" w:hAnsi="宋体" w:cs="Lucida Sans Unicode"/>
          <w:color w:val="auto"/>
          <w:sz w:val="24"/>
          <w:highlight w:val="none"/>
        </w:rPr>
        <w:t>响应文件的澄清</w:t>
      </w:r>
      <w:bookmarkEnd w:id="66"/>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23.1.为有助于对响应文件的审查、评价和比较，评审小组可要求供应商对其响应文件进行澄清，有关澄清的要求和答复应以书面形式提交。</w:t>
      </w:r>
    </w:p>
    <w:p>
      <w:pPr>
        <w:spacing w:line="360" w:lineRule="auto"/>
        <w:ind w:firstLine="480" w:firstLineChars="200"/>
        <w:rPr>
          <w:rFonts w:hint="eastAsia" w:ascii="宋体" w:hAnsi="宋体" w:cs="Lucida Sans Unicode"/>
          <w:color w:val="auto"/>
          <w:sz w:val="24"/>
          <w:highlight w:val="none"/>
        </w:rPr>
      </w:pPr>
      <w:bookmarkStart w:id="67" w:name="_Toc168800624"/>
      <w:r>
        <w:rPr>
          <w:rFonts w:hint="eastAsia" w:ascii="宋体" w:hAnsi="宋体" w:cs="Lucida Sans Unicode"/>
          <w:color w:val="auto"/>
          <w:sz w:val="24"/>
          <w:highlight w:val="none"/>
        </w:rPr>
        <w:t>24.响应文件的</w:t>
      </w:r>
      <w:bookmarkEnd w:id="67"/>
      <w:r>
        <w:rPr>
          <w:rFonts w:hint="eastAsia" w:ascii="宋体" w:hAnsi="宋体" w:cs="Lucida Sans Unicode"/>
          <w:color w:val="auto"/>
          <w:sz w:val="24"/>
          <w:highlight w:val="none"/>
        </w:rPr>
        <w:t>审查</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24.1.评审小组审查响应文件是否完整，有无计算上的错误，文件签署是否合格，响应文件是否编排有序。</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24.2.在详细评审之前，评审小组将进行符合性审查，审查每一响应文件是否对磋商文件提出的所有实质性要求和条件做出响应，有无显著的差异或保留，磋商报价是否合理。</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24.3.响应文件有下列情形之一的视为符合性评审不合格：</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24.3.1.磋商响应文件未按</w:t>
      </w:r>
      <w:r>
        <w:rPr>
          <w:rFonts w:ascii="宋体" w:hAnsi="宋体"/>
          <w:bCs/>
          <w:color w:val="auto"/>
          <w:sz w:val="24"/>
          <w:highlight w:val="none"/>
        </w:rPr>
        <w:t>磋商文件</w:t>
      </w:r>
      <w:r>
        <w:rPr>
          <w:rFonts w:hint="eastAsia" w:ascii="宋体" w:hAnsi="宋体"/>
          <w:color w:val="auto"/>
          <w:sz w:val="24"/>
          <w:highlight w:val="none"/>
        </w:rPr>
        <w:t>的要求经供应商法定代表人或其委托代理人签署（或盖章），未加盖供应商公章；</w:t>
      </w:r>
      <w:r>
        <w:rPr>
          <w:rFonts w:ascii="宋体" w:hAnsi="宋体"/>
          <w:color w:val="auto"/>
          <w:sz w:val="24"/>
          <w:highlight w:val="none"/>
        </w:rPr>
        <w:t xml:space="preserve"> </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24.3.2.</w:t>
      </w:r>
      <w:r>
        <w:rPr>
          <w:rFonts w:ascii="宋体" w:hAnsi="宋体"/>
          <w:bCs/>
          <w:color w:val="auto"/>
          <w:sz w:val="24"/>
          <w:highlight w:val="none"/>
        </w:rPr>
        <w:t>磋商响应文件正本或副本数目不足，重要内容不全或关键字迹模糊不清；磋商响应文件</w:t>
      </w:r>
      <w:r>
        <w:rPr>
          <w:rFonts w:hAnsi="宋体"/>
          <w:bCs/>
          <w:color w:val="auto"/>
          <w:sz w:val="24"/>
          <w:highlight w:val="none"/>
        </w:rPr>
        <w:t>明显不符合</w:t>
      </w:r>
      <w:r>
        <w:rPr>
          <w:rFonts w:hint="eastAsia" w:hAnsi="宋体"/>
          <w:bCs/>
          <w:color w:val="auto"/>
          <w:sz w:val="24"/>
          <w:highlight w:val="none"/>
        </w:rPr>
        <w:t>磋商</w:t>
      </w:r>
      <w:r>
        <w:rPr>
          <w:rFonts w:hAnsi="宋体"/>
          <w:bCs/>
          <w:color w:val="auto"/>
          <w:sz w:val="24"/>
          <w:highlight w:val="none"/>
        </w:rPr>
        <w:t>文件规定的报价、合同期限、质量标准、技术标准或其它实质性要求</w:t>
      </w:r>
      <w:r>
        <w:rPr>
          <w:rFonts w:hint="eastAsia" w:ascii="宋体" w:hAnsi="宋体"/>
          <w:color w:val="auto"/>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24.3.3.资格不符合要求的；或</w:t>
      </w:r>
      <w:r>
        <w:rPr>
          <w:rFonts w:ascii="宋体" w:hAnsi="宋体"/>
          <w:bCs/>
          <w:color w:val="auto"/>
          <w:sz w:val="24"/>
          <w:highlight w:val="none"/>
        </w:rPr>
        <w:t>没有提供有效的资质证明、</w:t>
      </w:r>
      <w:r>
        <w:rPr>
          <w:rFonts w:hint="eastAsia" w:ascii="宋体" w:hAnsi="宋体"/>
          <w:bCs/>
          <w:color w:val="auto"/>
          <w:sz w:val="24"/>
          <w:highlight w:val="none"/>
        </w:rPr>
        <w:t>磋商</w:t>
      </w:r>
      <w:r>
        <w:rPr>
          <w:rFonts w:ascii="宋体" w:hAnsi="宋体"/>
          <w:bCs/>
          <w:color w:val="auto"/>
          <w:sz w:val="24"/>
          <w:highlight w:val="none"/>
        </w:rPr>
        <w:t>承诺书</w:t>
      </w:r>
      <w:r>
        <w:rPr>
          <w:rFonts w:hint="eastAsia" w:ascii="宋体" w:hAnsi="宋体"/>
          <w:bCs/>
          <w:color w:val="auto"/>
          <w:sz w:val="24"/>
          <w:highlight w:val="none"/>
        </w:rPr>
        <w:t>等</w:t>
      </w:r>
      <w:r>
        <w:rPr>
          <w:rFonts w:ascii="宋体" w:hAnsi="宋体"/>
          <w:bCs/>
          <w:color w:val="auto"/>
          <w:sz w:val="24"/>
          <w:highlight w:val="none"/>
        </w:rPr>
        <w:t>磋商文件中已明确要求提供的资料</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24.3.4.供应商递交两份或多份内容不同的</w:t>
      </w:r>
      <w:r>
        <w:rPr>
          <w:rFonts w:hint="eastAsia" w:ascii="宋体" w:hAnsi="宋体"/>
          <w:color w:val="auto"/>
          <w:spacing w:val="-4"/>
          <w:sz w:val="24"/>
          <w:highlight w:val="none"/>
        </w:rPr>
        <w:t>响应</w:t>
      </w:r>
      <w:r>
        <w:rPr>
          <w:rFonts w:hint="eastAsia" w:ascii="宋体" w:hAnsi="宋体"/>
          <w:color w:val="auto"/>
          <w:sz w:val="24"/>
          <w:highlight w:val="none"/>
        </w:rPr>
        <w:t>文件，或在一份</w:t>
      </w:r>
      <w:r>
        <w:rPr>
          <w:rFonts w:hint="eastAsia" w:ascii="宋体" w:hAnsi="宋体"/>
          <w:color w:val="auto"/>
          <w:spacing w:val="-4"/>
          <w:sz w:val="24"/>
          <w:highlight w:val="none"/>
        </w:rPr>
        <w:t>响应</w:t>
      </w:r>
      <w:r>
        <w:rPr>
          <w:rFonts w:hint="eastAsia" w:ascii="宋体" w:hAnsi="宋体"/>
          <w:color w:val="auto"/>
          <w:sz w:val="24"/>
          <w:highlight w:val="none"/>
        </w:rPr>
        <w:t>文件中对同一项报有两个或多个报价，且未声明哪一个有效的（按磋商文件规定提交备选方案的除外），</w:t>
      </w:r>
      <w:r>
        <w:rPr>
          <w:rFonts w:hint="eastAsia" w:ascii="宋体" w:hAnsi="宋体"/>
          <w:color w:val="auto"/>
          <w:spacing w:val="-4"/>
          <w:sz w:val="24"/>
          <w:highlight w:val="none"/>
        </w:rPr>
        <w:t>响应</w:t>
      </w:r>
      <w:r>
        <w:rPr>
          <w:rFonts w:hint="eastAsia" w:ascii="宋体" w:hAnsi="宋体"/>
          <w:color w:val="auto"/>
          <w:sz w:val="24"/>
          <w:highlight w:val="none"/>
        </w:rPr>
        <w:t>报价超出最高限价；</w:t>
      </w:r>
    </w:p>
    <w:p>
      <w:pPr>
        <w:adjustRightInd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24.3.5.</w:t>
      </w:r>
      <w:r>
        <w:rPr>
          <w:rFonts w:ascii="宋体" w:hAnsi="宋体"/>
          <w:bCs/>
          <w:color w:val="auto"/>
          <w:sz w:val="24"/>
          <w:highlight w:val="none"/>
        </w:rPr>
        <w:t>响应文件中存在</w:t>
      </w:r>
      <w:r>
        <w:rPr>
          <w:rFonts w:hint="eastAsia" w:ascii="宋体" w:hAnsi="宋体"/>
          <w:bCs/>
          <w:color w:val="auto"/>
          <w:sz w:val="24"/>
          <w:highlight w:val="none"/>
        </w:rPr>
        <w:t>采购</w:t>
      </w:r>
      <w:r>
        <w:rPr>
          <w:rFonts w:ascii="宋体" w:hAnsi="宋体"/>
          <w:bCs/>
          <w:color w:val="auto"/>
          <w:sz w:val="24"/>
          <w:highlight w:val="none"/>
        </w:rPr>
        <w:t>人不能接受的其它实质性条件或存在其他重大偏差的</w:t>
      </w:r>
      <w:r>
        <w:rPr>
          <w:rFonts w:hint="eastAsia" w:ascii="宋体" w:hAnsi="宋体"/>
          <w:color w:val="auto"/>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24.3.6.未按要求递交磋商保证金的</w:t>
      </w:r>
      <w:r>
        <w:rPr>
          <w:rFonts w:hint="eastAsia" w:ascii="宋体" w:hAnsi="宋体"/>
          <w:color w:val="auto"/>
          <w:sz w:val="24"/>
          <w:highlight w:val="none"/>
        </w:rPr>
        <w:t>；</w:t>
      </w:r>
    </w:p>
    <w:p>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24.3.7.未对“★”条款做出实质性响应，发生负偏离；</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24.3.8.磋商响应文件载明的项目服务期限不满足磋商文件规定的期限；</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24.3.9.截至磋商日，经“信用中国”网站（www.creditchina.gov.cn）、“中国政府采购网”网站（www.ccgp.gov.cn）查询，</w:t>
      </w:r>
      <w:r>
        <w:rPr>
          <w:rFonts w:hint="eastAsia" w:ascii="宋体" w:hAnsi="宋体"/>
          <w:color w:val="auto"/>
          <w:sz w:val="24"/>
          <w:highlight w:val="none"/>
        </w:rPr>
        <w:t>供应商被列入失信被执行人</w:t>
      </w:r>
      <w:r>
        <w:rPr>
          <w:rFonts w:hint="eastAsia" w:ascii="宋体" w:hAnsi="宋体"/>
          <w:bCs/>
          <w:color w:val="auto"/>
          <w:sz w:val="24"/>
          <w:highlight w:val="none"/>
        </w:rPr>
        <w:t>、重大税收违法案件当事人名单、政府采购严重违法失信行为记录名单的；</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24.3.10.不符合磋商文件及法律、法规规定的其它实质性要求。</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24.4.如果响应文件没有满足竞争性磋商文件的实质性要求，评审小组将予以拒绝。</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24.5.在磋商过程中，评审小组如发现供应商以他人的名义磋商、串通或以其它弄虚作假方式磋商的，该供应商的磋商作无效响应处理并进行相关处罚。</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24.6.评审小组将对确定为实质上响应的响应文件进行审核，看其是否有计算上和累加上的算术错误，修正错误的原则如下：</w:t>
      </w:r>
    </w:p>
    <w:p>
      <w:pPr>
        <w:adjustRightInd w:val="0"/>
        <w:spacing w:line="360" w:lineRule="auto"/>
        <w:ind w:firstLine="480" w:firstLineChars="200"/>
        <w:rPr>
          <w:rFonts w:hint="eastAsia" w:ascii="宋体" w:hAnsi="宋体"/>
          <w:color w:val="auto"/>
          <w:spacing w:val="-6"/>
          <w:sz w:val="24"/>
          <w:highlight w:val="none"/>
        </w:rPr>
      </w:pPr>
      <w:r>
        <w:rPr>
          <w:rFonts w:hint="eastAsia" w:ascii="宋体" w:hAnsi="宋体"/>
          <w:bCs/>
          <w:color w:val="auto"/>
          <w:sz w:val="24"/>
          <w:highlight w:val="none"/>
        </w:rPr>
        <w:t>24.6.1.磋商响应文件中磋商响应函内容与磋商响应文件中相应内容不一致的，以磋商响应函为准</w:t>
      </w:r>
      <w:r>
        <w:rPr>
          <w:rFonts w:hint="eastAsia" w:ascii="宋体" w:hAnsi="宋体"/>
          <w:color w:val="auto"/>
          <w:spacing w:val="-6"/>
          <w:sz w:val="24"/>
          <w:highlight w:val="none"/>
        </w:rPr>
        <w:t>。</w:t>
      </w:r>
    </w:p>
    <w:p>
      <w:pPr>
        <w:adjustRightIn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24.6.2.大写金额和小写金额不一致的，以大写金额为准</w:t>
      </w:r>
      <w:r>
        <w:rPr>
          <w:rFonts w:hint="eastAsia" w:ascii="宋体" w:hAnsi="宋体"/>
          <w:color w:val="auto"/>
          <w:sz w:val="24"/>
          <w:highlight w:val="none"/>
        </w:rPr>
        <w:t>。</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24.6.3.单价金额小数点或者百分比有明显错位的，以磋商响应函的总价为准，并修改单价。</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24.6.4.总价金额与按单价汇总金额不一致的，以单价金额计算结果为准。</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24.6.5.优惠折扣与最终响应总价不一致的，以最终响应总价为准，并修改优惠折扣。</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25.评审小组将按上述修正错误的方法调整响应文件中的磋商报价，调整后的价格应对供应商具有约束力。如果供应商不接受修正后的价格，则其响应文件为无效。</w:t>
      </w:r>
    </w:p>
    <w:p>
      <w:pPr>
        <w:adjustRightInd w:val="0"/>
        <w:spacing w:line="360" w:lineRule="auto"/>
        <w:ind w:firstLine="480" w:firstLineChars="200"/>
        <w:rPr>
          <w:rFonts w:hint="eastAsia" w:ascii="宋体" w:hAnsi="宋体"/>
          <w:bCs/>
          <w:color w:val="auto"/>
          <w:sz w:val="24"/>
          <w:highlight w:val="none"/>
        </w:rPr>
      </w:pPr>
      <w:bookmarkStart w:id="68" w:name="_Toc168800625"/>
      <w:r>
        <w:rPr>
          <w:rFonts w:hint="eastAsia" w:ascii="宋体" w:hAnsi="宋体"/>
          <w:bCs/>
          <w:color w:val="auto"/>
          <w:sz w:val="24"/>
          <w:highlight w:val="none"/>
        </w:rPr>
        <w:t>26.成交候选人的推荐</w:t>
      </w:r>
      <w:bookmarkEnd w:id="68"/>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26.1.评审小组依据最后报价由低到高的排序选择不低于3家供应商进行综合打分。即以竞争性磋商文件为依据，对价格入围且所有实质上响应的响应文件依据评分标准进行综合打分。</w:t>
      </w:r>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26.2.成交供应商的确定</w:t>
      </w:r>
    </w:p>
    <w:p>
      <w:pPr>
        <w:adjustRightInd w:val="0"/>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26.2.1.评审小组对进入综合评分环节的供应商的响应文件进行详细评审和比较，并按竞争性磋商文件规定进行打分，按分值由高到低进行排序，采购人授权评审小组确定成交供应商。</w:t>
      </w:r>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26.2.2.评审小组依据国家有关定标规定，并按下述定标原则确定成交供应商：</w:t>
      </w:r>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 对竞争性磋商文件作出实质性响应的；</w:t>
      </w:r>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 具有良好的履行合同的能力和条件；</w:t>
      </w:r>
    </w:p>
    <w:p>
      <w:pPr>
        <w:adjustRightIn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 按竞争性磋商文件规定的报价和打分原则，综合得分高低排序进入前列的供应商。</w:t>
      </w:r>
    </w:p>
    <w:p>
      <w:pPr>
        <w:spacing w:line="360" w:lineRule="auto"/>
        <w:ind w:firstLine="480" w:firstLineChars="200"/>
        <w:rPr>
          <w:rFonts w:hint="eastAsia" w:ascii="宋体" w:hAnsi="宋体" w:cs="Lucida Sans Unicode"/>
          <w:color w:val="auto"/>
          <w:sz w:val="24"/>
          <w:highlight w:val="none"/>
        </w:rPr>
      </w:pPr>
      <w:r>
        <w:rPr>
          <w:rFonts w:hint="eastAsia" w:ascii="宋体" w:hAnsi="宋体" w:cs="Lucida Sans Unicode"/>
          <w:color w:val="auto"/>
          <w:sz w:val="24"/>
          <w:highlight w:val="none"/>
        </w:rPr>
        <w:t>27.成交公示及成交通知书签发</w:t>
      </w: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pStyle w:val="191"/>
        <w:numPr>
          <w:ilvl w:val="0"/>
          <w:numId w:val="15"/>
        </w:numPr>
        <w:adjustRightInd w:val="0"/>
        <w:spacing w:line="360" w:lineRule="auto"/>
        <w:ind w:firstLine="480"/>
        <w:rPr>
          <w:rFonts w:hint="eastAsia" w:ascii="宋体" w:hAnsi="宋体" w:cs="Calibri"/>
          <w:vanish/>
          <w:color w:val="auto"/>
          <w:sz w:val="24"/>
          <w:szCs w:val="24"/>
          <w:highlight w:val="none"/>
        </w:rPr>
      </w:pP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27.1.成交供应商确定后，采购人将在大连理工大学采购与招标信息网上公示磋商结果（</w:t>
      </w:r>
      <w:r>
        <w:rPr>
          <w:rFonts w:hint="eastAsia" w:ascii="宋体" w:hAnsi="宋体" w:cs="宋体"/>
          <w:color w:val="auto"/>
          <w:kern w:val="0"/>
          <w:sz w:val="24"/>
          <w:highlight w:val="none"/>
        </w:rPr>
        <w:t>成交供应商享受中小企业扶持政策的，随成交结果公开成交供应商的《中小企业声明函》</w:t>
      </w:r>
      <w:r>
        <w:rPr>
          <w:rFonts w:hint="eastAsia" w:ascii="宋体" w:hAnsi="宋体"/>
          <w:color w:val="auto"/>
          <w:sz w:val="24"/>
          <w:highlight w:val="none"/>
        </w:rPr>
        <w:t>），同时向成交供应商签发《成交通知书》。</w:t>
      </w:r>
    </w:p>
    <w:p>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六、授予合同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28.合同授予标准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采购人将合同授予被确定的成交供应商。</w:t>
      </w:r>
      <w:bookmarkStart w:id="69" w:name="_Toc168800628"/>
      <w:r>
        <w:rPr>
          <w:rFonts w:hint="eastAsia" w:ascii="宋体" w:hAnsi="宋体" w:cs="宋体"/>
          <w:color w:val="auto"/>
          <w:sz w:val="24"/>
          <w:highlight w:val="none"/>
        </w:rPr>
        <w:t xml:space="preserve"> </w:t>
      </w:r>
      <w:bookmarkEnd w:id="69"/>
    </w:p>
    <w:p>
      <w:pPr>
        <w:spacing w:line="360" w:lineRule="auto"/>
        <w:ind w:firstLine="480" w:firstLineChars="200"/>
        <w:rPr>
          <w:rFonts w:hint="eastAsia" w:ascii="宋体" w:hAnsi="宋体" w:cs="宋体"/>
          <w:color w:val="auto"/>
          <w:sz w:val="24"/>
          <w:highlight w:val="none"/>
        </w:rPr>
      </w:pPr>
      <w:bookmarkStart w:id="70" w:name="_Toc168800630"/>
      <w:bookmarkStart w:id="71" w:name="_Toc168800633"/>
      <w:r>
        <w:rPr>
          <w:rFonts w:hint="eastAsia" w:ascii="宋体" w:hAnsi="宋体" w:cs="宋体"/>
          <w:color w:val="auto"/>
          <w:sz w:val="24"/>
          <w:highlight w:val="none"/>
        </w:rPr>
        <w:t>29.采购人授标时更改采购货物数量的权利</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采购人在授予合同时，可根据情况对货物数量进行追加，但不得变更配置，追加金额不得超过成交总金额的10%。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30.签订合同</w:t>
      </w:r>
      <w:bookmarkEnd w:id="70"/>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30.1.成交供应商在收到成交通知书后，按采购人规定的时间和地点与采购人签订书面合同。磋商文件、成交供应商的响应文件及磋商过程中有关澄清文件均作为该书面合同的附件。</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30.2.如果成交供应商没有按照规定执行，取消其成交资格，在此情况下重新磋商。</w:t>
      </w:r>
    </w:p>
    <w:p>
      <w:pPr>
        <w:spacing w:line="360" w:lineRule="auto"/>
        <w:ind w:firstLine="480" w:firstLineChars="200"/>
        <w:rPr>
          <w:rFonts w:hint="eastAsia" w:ascii="宋体" w:hAnsi="宋体" w:cs="宋体"/>
          <w:color w:val="auto"/>
          <w:sz w:val="24"/>
          <w:highlight w:val="none"/>
        </w:rPr>
      </w:pPr>
      <w:bookmarkStart w:id="72" w:name="_Toc168800631"/>
      <w:r>
        <w:rPr>
          <w:rFonts w:hint="eastAsia" w:ascii="宋体" w:hAnsi="宋体" w:cs="宋体"/>
          <w:color w:val="auto"/>
          <w:sz w:val="24"/>
          <w:highlight w:val="none"/>
        </w:rPr>
        <w:t>31.腐败和欺诈行为</w:t>
      </w:r>
      <w:bookmarkEnd w:id="72"/>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31.1.此合同项下的采购人和供应商在合同采购和实施过程中应遵守最高的道德标准。</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31.1.1.为此目的，定义：(a)“腐败行为”是指提供、给予任何有价值的东西来影响采购人在采购过程或合同实施过程中的行为；(b)“欺诈行为”是指为了影响采购过程或合同实施过程而谎报事实，损害采购人的利益，包括供应商之间串通响应(递交响应文件之前和之后)，人为地使响应丧失竞争性，剥夺采购人从自由公开竞争所能获得的权益。</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31.1.2如果采购人认为磋商小组所推荐的成交候选人在本项目的竞争中有腐败和欺诈行为，则拒绝接受该授标建议。</w:t>
      </w:r>
    </w:p>
    <w:p>
      <w:pPr>
        <w:adjustRightInd w:val="0"/>
        <w:spacing w:line="360" w:lineRule="auto"/>
        <w:ind w:firstLine="480" w:firstLineChars="200"/>
        <w:rPr>
          <w:rFonts w:ascii="宋体" w:hAnsi="宋体" w:cs="Lucida Sans Unicode"/>
          <w:color w:val="auto"/>
          <w:sz w:val="24"/>
          <w:highlight w:val="none"/>
        </w:rPr>
      </w:pPr>
      <w:r>
        <w:rPr>
          <w:rFonts w:hint="eastAsia" w:ascii="宋体" w:hAnsi="宋体" w:cs="宋体"/>
          <w:color w:val="auto"/>
          <w:sz w:val="24"/>
          <w:highlight w:val="none"/>
        </w:rPr>
        <w:t>32.</w:t>
      </w:r>
      <w:r>
        <w:rPr>
          <w:rFonts w:hint="eastAsia" w:ascii="宋体" w:hAnsi="宋体" w:cs="Lucida Sans Unicode"/>
          <w:color w:val="auto"/>
          <w:sz w:val="24"/>
          <w:highlight w:val="none"/>
        </w:rPr>
        <w:t>采购</w:t>
      </w:r>
      <w:r>
        <w:rPr>
          <w:rFonts w:ascii="宋体" w:hAnsi="宋体" w:cs="Lucida Sans Unicode"/>
          <w:color w:val="auto"/>
          <w:sz w:val="24"/>
          <w:highlight w:val="none"/>
        </w:rPr>
        <w:t>代理服务费</w:t>
      </w:r>
    </w:p>
    <w:p>
      <w:pPr>
        <w:adjustRightInd w:val="0"/>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32.1.本项目采购</w:t>
      </w:r>
      <w:r>
        <w:rPr>
          <w:rFonts w:ascii="宋体" w:hAnsi="宋体" w:cs="Arial"/>
          <w:b/>
          <w:color w:val="auto"/>
          <w:sz w:val="24"/>
          <w:highlight w:val="none"/>
        </w:rPr>
        <w:t>代理服务费由成交供应商支付。</w:t>
      </w:r>
      <w:r>
        <w:rPr>
          <w:rFonts w:hint="eastAsia" w:ascii="宋体" w:hAnsi="宋体" w:cs="Arial"/>
          <w:b/>
          <w:color w:val="auto"/>
          <w:sz w:val="24"/>
          <w:highlight w:val="none"/>
        </w:rPr>
        <w:t>代理费须包含在</w:t>
      </w:r>
      <w:r>
        <w:rPr>
          <w:rFonts w:hint="eastAsia" w:ascii="宋体" w:hAnsi="宋体" w:cs="宋体"/>
          <w:b/>
          <w:color w:val="auto"/>
          <w:kern w:val="0"/>
          <w:sz w:val="24"/>
          <w:highlight w:val="none"/>
        </w:rPr>
        <w:t>响应</w:t>
      </w:r>
      <w:r>
        <w:rPr>
          <w:rFonts w:hint="eastAsia" w:ascii="宋体" w:hAnsi="宋体" w:cs="Arial"/>
          <w:b/>
          <w:color w:val="auto"/>
          <w:sz w:val="24"/>
          <w:highlight w:val="none"/>
        </w:rPr>
        <w:t>报价中，不单独列项。</w:t>
      </w:r>
    </w:p>
    <w:p>
      <w:pPr>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32.2.</w:t>
      </w:r>
      <w:r>
        <w:rPr>
          <w:rFonts w:ascii="宋体" w:hAnsi="宋体" w:cs="Arial"/>
          <w:color w:val="auto"/>
          <w:sz w:val="24"/>
          <w:highlight w:val="none"/>
        </w:rPr>
        <w:t>成交供应商在领取“</w:t>
      </w:r>
      <w:r>
        <w:rPr>
          <w:rFonts w:hint="eastAsia" w:ascii="宋体" w:hAnsi="宋体" w:cs="Arial"/>
          <w:color w:val="auto"/>
          <w:sz w:val="24"/>
          <w:highlight w:val="none"/>
        </w:rPr>
        <w:t>成交</w:t>
      </w:r>
      <w:r>
        <w:rPr>
          <w:rFonts w:ascii="宋体" w:hAnsi="宋体" w:cs="Arial"/>
          <w:color w:val="auto"/>
          <w:sz w:val="24"/>
          <w:highlight w:val="none"/>
        </w:rPr>
        <w:t>通知书”</w:t>
      </w:r>
      <w:r>
        <w:rPr>
          <w:rFonts w:hint="eastAsia" w:ascii="宋体" w:hAnsi="宋体" w:cs="Arial"/>
          <w:color w:val="auto"/>
          <w:sz w:val="24"/>
          <w:highlight w:val="none"/>
        </w:rPr>
        <w:t>前</w:t>
      </w:r>
      <w:r>
        <w:rPr>
          <w:rFonts w:ascii="宋体" w:hAnsi="宋体" w:cs="Arial"/>
          <w:color w:val="auto"/>
          <w:sz w:val="24"/>
          <w:highlight w:val="none"/>
        </w:rPr>
        <w:t>，须向大连</w:t>
      </w:r>
      <w:r>
        <w:rPr>
          <w:rFonts w:hint="eastAsia" w:ascii="宋体" w:hAnsi="宋体" w:cs="Arial"/>
          <w:color w:val="auto"/>
          <w:sz w:val="24"/>
          <w:highlight w:val="none"/>
        </w:rPr>
        <w:t>佳沐项目管理有限公司</w:t>
      </w:r>
      <w:r>
        <w:rPr>
          <w:rFonts w:ascii="宋体" w:hAnsi="宋体" w:cs="Arial"/>
          <w:color w:val="auto"/>
          <w:sz w:val="24"/>
          <w:highlight w:val="none"/>
        </w:rPr>
        <w:t>缴纳代理服务费。</w:t>
      </w:r>
      <w:bookmarkStart w:id="73" w:name="_Toc480304971"/>
      <w:bookmarkStart w:id="74" w:name="_Toc482202633"/>
    </w:p>
    <w:p>
      <w:pPr>
        <w:snapToGrid w:val="0"/>
        <w:spacing w:line="360" w:lineRule="auto"/>
        <w:ind w:firstLine="480" w:firstLineChars="200"/>
        <w:rPr>
          <w:rFonts w:hint="eastAsia" w:ascii="宋体" w:hAnsi="宋体"/>
          <w:color w:val="auto"/>
          <w:sz w:val="24"/>
          <w:highlight w:val="none"/>
        </w:rPr>
      </w:pPr>
      <w:r>
        <w:rPr>
          <w:rFonts w:hint="eastAsia" w:ascii="宋体" w:hAnsi="宋体" w:cs="Arial"/>
          <w:color w:val="auto"/>
          <w:sz w:val="24"/>
          <w:highlight w:val="none"/>
        </w:rPr>
        <w:t>32.3.采购</w:t>
      </w:r>
      <w:r>
        <w:rPr>
          <w:rFonts w:ascii="宋体" w:hAnsi="宋体" w:cs="Arial"/>
          <w:color w:val="auto"/>
          <w:sz w:val="24"/>
          <w:highlight w:val="none"/>
        </w:rPr>
        <w:t>代理服务收费标准</w:t>
      </w:r>
      <w:bookmarkEnd w:id="73"/>
      <w:bookmarkEnd w:id="74"/>
      <w:r>
        <w:rPr>
          <w:rFonts w:hint="eastAsia" w:ascii="宋体" w:hAnsi="宋体" w:cs="Arial"/>
          <w:color w:val="auto"/>
          <w:sz w:val="24"/>
          <w:highlight w:val="none"/>
        </w:rPr>
        <w:t>见附件二。</w:t>
      </w:r>
    </w:p>
    <w:p>
      <w:pPr>
        <w:snapToGrid w:val="0"/>
        <w:spacing w:line="360" w:lineRule="auto"/>
        <w:rPr>
          <w:rFonts w:hint="eastAsia" w:ascii="宋体" w:hAnsi="宋体" w:cs="Arial"/>
          <w:color w:val="auto"/>
          <w:sz w:val="24"/>
          <w:highlight w:val="none"/>
        </w:rPr>
      </w:pPr>
      <w:r>
        <w:rPr>
          <w:rFonts w:ascii="宋体" w:hAnsi="宋体" w:cs="Arial"/>
          <w:color w:val="auto"/>
          <w:sz w:val="24"/>
          <w:highlight w:val="none"/>
        </w:rPr>
        <w:br w:type="page"/>
      </w:r>
    </w:p>
    <w:p>
      <w:pPr>
        <w:pStyle w:val="4"/>
        <w:numPr>
          <w:ilvl w:val="0"/>
          <w:numId w:val="16"/>
        </w:numPr>
        <w:tabs>
          <w:tab w:val="left" w:pos="1652"/>
        </w:tabs>
        <w:spacing w:after="0" w:line="339" w:lineRule="auto"/>
        <w:jc w:val="center"/>
        <w:rPr>
          <w:rFonts w:hint="eastAsia" w:ascii="宋体" w:hAnsi="宋体" w:cs="宋体"/>
          <w:b w:val="0"/>
          <w:bCs w:val="0"/>
          <w:color w:val="auto"/>
          <w:highlight w:val="none"/>
        </w:rPr>
      </w:pPr>
      <w:bookmarkStart w:id="75" w:name="_Toc359589854"/>
      <w:bookmarkStart w:id="76" w:name="_Toc477935922"/>
      <w:r>
        <w:rPr>
          <w:rStyle w:val="101"/>
          <w:rFonts w:hint="eastAsia" w:ascii="宋体" w:hAnsi="宋体" w:cs="宋体"/>
          <w:b w:val="0"/>
          <w:bCs w:val="0"/>
          <w:color w:val="auto"/>
          <w:highlight w:val="none"/>
        </w:rPr>
        <w:t xml:space="preserve"> </w:t>
      </w:r>
      <w:r>
        <w:rPr>
          <w:rStyle w:val="101"/>
          <w:rFonts w:hint="eastAsia" w:ascii="宋体" w:hAnsi="宋体" w:cs="宋体"/>
          <w:b/>
          <w:bCs w:val="0"/>
          <w:color w:val="auto"/>
          <w:highlight w:val="none"/>
        </w:rPr>
        <w:t>合同格式及前附表</w:t>
      </w:r>
      <w:bookmarkEnd w:id="71"/>
      <w:bookmarkEnd w:id="75"/>
      <w:bookmarkEnd w:id="76"/>
    </w:p>
    <w:bookmarkEnd w:id="40"/>
    <w:p>
      <w:pPr>
        <w:widowControl/>
        <w:adjustRightInd w:val="0"/>
        <w:snapToGrid w:val="0"/>
        <w:spacing w:after="200"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合同格式前附表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right="0"/>
              <w:jc w:val="center"/>
              <w:rPr>
                <w:rFonts w:hint="eastAsia" w:ascii="宋体" w:hAnsi="宋体" w:cs="宋体"/>
                <w:b/>
                <w:color w:val="auto"/>
                <w:kern w:val="0"/>
                <w:sz w:val="24"/>
                <w:szCs w:val="22"/>
                <w:highlight w:val="none"/>
              </w:rPr>
            </w:pPr>
            <w:r>
              <w:rPr>
                <w:rFonts w:hint="eastAsia" w:ascii="宋体" w:hAnsi="宋体" w:cs="宋体"/>
                <w:b/>
                <w:color w:val="auto"/>
                <w:kern w:val="0"/>
                <w:sz w:val="24"/>
                <w:szCs w:val="22"/>
                <w:highlight w:val="none"/>
              </w:rPr>
              <w:t>序号</w:t>
            </w:r>
          </w:p>
        </w:tc>
        <w:tc>
          <w:tcPr>
            <w:tcW w:w="7797" w:type="dxa"/>
            <w:noWrap w:val="0"/>
            <w:vAlign w:val="center"/>
          </w:tcPr>
          <w:p>
            <w:pPr>
              <w:keepNext w:val="0"/>
              <w:keepLines w:val="0"/>
              <w:widowControl/>
              <w:suppressLineNumbers w:val="0"/>
              <w:spacing w:before="0" w:beforeAutospacing="0" w:after="200" w:afterAutospacing="0" w:line="360" w:lineRule="auto"/>
              <w:ind w:left="0" w:right="0"/>
              <w:jc w:val="center"/>
              <w:rPr>
                <w:rFonts w:hint="eastAsia" w:ascii="宋体" w:hAnsi="宋体" w:cs="宋体"/>
                <w:b/>
                <w:color w:val="auto"/>
                <w:kern w:val="0"/>
                <w:sz w:val="24"/>
                <w:szCs w:val="22"/>
                <w:highlight w:val="none"/>
              </w:rPr>
            </w:pPr>
            <w:r>
              <w:rPr>
                <w:rFonts w:hint="eastAsia" w:ascii="宋体" w:hAnsi="宋体" w:cs="宋体"/>
                <w:b/>
                <w:color w:val="auto"/>
                <w:kern w:val="0"/>
                <w:sz w:val="24"/>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w:t>
            </w:r>
          </w:p>
        </w:tc>
        <w:tc>
          <w:tcPr>
            <w:tcW w:w="7797" w:type="dxa"/>
            <w:noWrap w:val="0"/>
            <w:vAlign w:val="center"/>
          </w:tcPr>
          <w:p>
            <w:pPr>
              <w:keepNext w:val="0"/>
              <w:keepLines w:val="0"/>
              <w:widowControl/>
              <w:suppressLineNumbers w:val="0"/>
              <w:spacing w:before="0" w:beforeAutospacing="0" w:after="200" w:afterAutospacing="0" w:line="360" w:lineRule="auto"/>
              <w:ind w:left="0" w:right="0"/>
              <w:jc w:val="left"/>
              <w:rPr>
                <w:rFonts w:hint="default" w:ascii="宋体" w:hAnsi="宋体" w:cs="宋体"/>
                <w:color w:val="auto"/>
                <w:kern w:val="0"/>
                <w:sz w:val="24"/>
                <w:szCs w:val="22"/>
                <w:highlight w:val="none"/>
              </w:rPr>
            </w:pPr>
            <w:r>
              <w:rPr>
                <w:rFonts w:hint="eastAsia" w:ascii="宋体" w:hAnsi="宋体" w:cs="宋体"/>
                <w:color w:val="auto"/>
                <w:kern w:val="0"/>
                <w:sz w:val="24"/>
                <w:szCs w:val="22"/>
                <w:highlight w:val="none"/>
              </w:rPr>
              <w:t>★交货地点：大连理工大学。</w:t>
            </w:r>
          </w:p>
          <w:p>
            <w:pPr>
              <w:keepNext w:val="0"/>
              <w:keepLines w:val="0"/>
              <w:widowControl/>
              <w:suppressLineNumbers w:val="0"/>
              <w:spacing w:before="0" w:beforeAutospacing="0" w:after="200" w:afterAutospacing="0" w:line="360" w:lineRule="auto"/>
              <w:ind w:left="0" w:right="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w:t>
            </w:r>
            <w:r>
              <w:rPr>
                <w:rFonts w:hint="eastAsia" w:ascii="宋体" w:hAnsi="宋体" w:cs="Times New Roman"/>
                <w:bCs/>
                <w:color w:val="auto"/>
                <w:sz w:val="24"/>
                <w:highlight w:val="none"/>
              </w:rPr>
              <w:t>供货期限</w:t>
            </w:r>
            <w:r>
              <w:rPr>
                <w:rFonts w:hint="eastAsia" w:ascii="宋体" w:hAnsi="宋体" w:cs="宋体"/>
                <w:color w:val="auto"/>
                <w:kern w:val="0"/>
                <w:sz w:val="24"/>
                <w:szCs w:val="22"/>
                <w:highlight w:val="none"/>
              </w:rPr>
              <w:t>：</w:t>
            </w:r>
            <w:r>
              <w:rPr>
                <w:rFonts w:hint="eastAsia" w:ascii="宋体" w:hAnsi="宋体" w:cs="宋体"/>
                <w:color w:val="auto"/>
                <w:kern w:val="0"/>
                <w:sz w:val="24"/>
                <w:highlight w:val="none"/>
              </w:rPr>
              <w:t>自签订合同之日起，接到采购人供货通知后</w:t>
            </w:r>
            <w:r>
              <w:rPr>
                <w:rFonts w:hint="eastAsia" w:ascii="宋体" w:hAnsi="宋体" w:cs="宋体"/>
                <w:color w:val="auto"/>
                <w:kern w:val="0"/>
                <w:sz w:val="24"/>
                <w:highlight w:val="none"/>
                <w:lang w:eastAsia="zh-CN"/>
              </w:rPr>
              <w:t>150</w:t>
            </w:r>
            <w:r>
              <w:rPr>
                <w:rFonts w:hint="eastAsia" w:ascii="宋体" w:hAnsi="宋体" w:cs="宋体"/>
                <w:color w:val="auto"/>
                <w:kern w:val="0"/>
                <w:sz w:val="24"/>
                <w:highlight w:val="none"/>
              </w:rPr>
              <w:t>个日历日内货到采购人指定地点安装调试验收合格。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w:t>
            </w:r>
          </w:p>
        </w:tc>
        <w:tc>
          <w:tcPr>
            <w:tcW w:w="7797" w:type="dxa"/>
            <w:noWrap w:val="0"/>
            <w:vAlign w:val="center"/>
          </w:tcPr>
          <w:p>
            <w:pPr>
              <w:keepNext w:val="0"/>
              <w:keepLines w:val="0"/>
              <w:widowControl/>
              <w:suppressLineNumbers w:val="0"/>
              <w:spacing w:before="0" w:beforeAutospacing="0" w:after="200" w:afterAutospacing="0" w:line="360" w:lineRule="auto"/>
              <w:ind w:left="0" w:right="0"/>
              <w:jc w:val="left"/>
              <w:rPr>
                <w:rFonts w:hint="eastAsia" w:ascii="宋体" w:hAnsi="宋体" w:cs="宋体"/>
                <w:color w:val="auto"/>
                <w:kern w:val="0"/>
                <w:sz w:val="24"/>
                <w:szCs w:val="22"/>
                <w:highlight w:val="none"/>
              </w:rPr>
            </w:pPr>
            <w:r>
              <w:rPr>
                <w:rFonts w:hint="eastAsia" w:ascii="宋体" w:hAnsi="宋体" w:cs="宋体"/>
                <w:color w:val="auto"/>
                <w:kern w:val="0"/>
                <w:sz w:val="24"/>
                <w:highlight w:val="none"/>
              </w:rPr>
              <w:t>保险费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乙方应以人民币办理的按照发票金额的100%的“一切险”保险</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leftChars="0" w:right="0" w:rightChars="0"/>
              <w:jc w:val="center"/>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rPr>
              <w:t>3</w:t>
            </w:r>
          </w:p>
        </w:tc>
        <w:tc>
          <w:tcPr>
            <w:tcW w:w="7797" w:type="dxa"/>
            <w:noWrap w:val="0"/>
            <w:vAlign w:val="center"/>
          </w:tcPr>
          <w:p>
            <w:pPr>
              <w:keepNext w:val="0"/>
              <w:keepLines w:val="0"/>
              <w:widowControl/>
              <w:suppressLineNumbers w:val="0"/>
              <w:spacing w:before="0" w:beforeAutospacing="0" w:after="200" w:afterAutospacing="0" w:line="360" w:lineRule="auto"/>
              <w:ind w:left="0" w:right="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支付货币：人民币。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leftChars="0" w:right="0" w:rightChars="0"/>
              <w:jc w:val="center"/>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rPr>
              <w:t>4</w:t>
            </w:r>
          </w:p>
        </w:tc>
        <w:tc>
          <w:tcPr>
            <w:tcW w:w="7797" w:type="dxa"/>
            <w:noWrap w:val="0"/>
            <w:vAlign w:val="center"/>
          </w:tcPr>
          <w:p>
            <w:pPr>
              <w:keepNext w:val="0"/>
              <w:keepLines w:val="0"/>
              <w:widowControl/>
              <w:suppressLineNumbers w:val="0"/>
              <w:adjustRightInd/>
              <w:snapToGrid/>
              <w:spacing w:before="0" w:beforeAutospacing="0" w:after="0" w:afterAutospacing="0" w:line="360" w:lineRule="auto"/>
              <w:ind w:left="0" w:right="0"/>
              <w:jc w:val="left"/>
              <w:rPr>
                <w:rFonts w:hint="eastAsia" w:ascii="宋体" w:hAnsi="宋体" w:cs="Times New Roman"/>
                <w:b/>
                <w:color w:val="auto"/>
                <w:sz w:val="24"/>
                <w:highlight w:val="none"/>
              </w:rPr>
            </w:pPr>
            <w:r>
              <w:rPr>
                <w:rFonts w:hint="eastAsia" w:ascii="宋体" w:hAnsi="宋体" w:cs="宋体"/>
                <w:color w:val="auto"/>
                <w:kern w:val="0"/>
                <w:sz w:val="24"/>
                <w:highlight w:val="none"/>
              </w:rPr>
              <w:t>★付款方式：</w:t>
            </w:r>
          </w:p>
          <w:p>
            <w:pPr>
              <w:keepNext w:val="0"/>
              <w:keepLines w:val="0"/>
              <w:widowControl/>
              <w:suppressLineNumbers w:val="0"/>
              <w:adjustRightInd/>
              <w:snapToGrid/>
              <w:spacing w:before="0" w:beforeAutospacing="0" w:after="0" w:afterAutospacing="0" w:line="360" w:lineRule="auto"/>
              <w:ind w:left="0" w:right="0"/>
              <w:jc w:val="left"/>
              <w:rPr>
                <w:rFonts w:hint="eastAsia" w:ascii="宋体" w:hAnsi="宋体" w:cs="Times New Roman"/>
                <w:b/>
                <w:color w:val="auto"/>
                <w:sz w:val="24"/>
                <w:highlight w:val="none"/>
              </w:rPr>
            </w:pPr>
            <w:r>
              <w:rPr>
                <w:rFonts w:hint="eastAsia" w:ascii="宋体" w:hAnsi="宋体" w:cs="Times New Roman"/>
                <w:b/>
                <w:color w:val="auto"/>
                <w:sz w:val="24"/>
                <w:highlight w:val="none"/>
              </w:rPr>
              <w:t>国产产品：</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 w:val="0"/>
                <w:bCs/>
                <w:color w:val="auto"/>
                <w:sz w:val="24"/>
                <w:highlight w:val="none"/>
              </w:rPr>
              <w:t>合同签定后5日内，乙方向甲方提供合同金额90%的预付款保函，预付款保函有效期至货到甲方指定地点安装调试验收合格；甲方收到预付款保函后，向乙方支付合同总金额90%的预付款；货到甲方指定地点后，乙方向甲方提供合同总金额10%的履约保函，履约保函有效期至质保期结束；安装调试验收合格、甲方收到履约保函后，甲方凭验收合格报告向乙方支付合同总金额10%的尾款</w:t>
            </w:r>
            <w:r>
              <w:rPr>
                <w:rFonts w:hint="eastAsia" w:ascii="宋体" w:hAnsi="宋体" w:cs="Times New Roman"/>
                <w:b/>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
                <w:color w:val="auto"/>
                <w:sz w:val="24"/>
                <w:highlight w:val="none"/>
              </w:rPr>
            </w:pPr>
            <w:r>
              <w:rPr>
                <w:rFonts w:hint="eastAsia" w:ascii="宋体" w:hAnsi="宋体" w:cs="Times New Roman"/>
                <w:b/>
                <w:color w:val="auto"/>
                <w:sz w:val="24"/>
                <w:highlight w:val="none"/>
              </w:rPr>
              <w:t>进口产品：</w:t>
            </w: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cs="Times New Roman"/>
                <w:color w:val="auto"/>
                <w:highlight w:val="none"/>
              </w:rPr>
            </w:pPr>
            <w:r>
              <w:rPr>
                <w:rFonts w:hint="eastAsia" w:ascii="宋体" w:hAnsi="宋体" w:cs="Times New Roman"/>
                <w:bCs/>
                <w:color w:val="auto"/>
                <w:sz w:val="24"/>
                <w:highlight w:val="none"/>
              </w:rPr>
              <w:t>外贸合同签订后，甲方委托的外贸代理公司向乙方提供合同金额90%的不可撤销信用证，乙方凭发货运单承兑；甲方委托的外贸代理公司凭乙方提供的大连理工大学资产与实验室管理处签字的验收合格报告向乙方电汇支付10%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leftChars="0" w:right="0" w:rightChars="0"/>
              <w:jc w:val="center"/>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rPr>
              <w:t>5</w:t>
            </w:r>
          </w:p>
        </w:tc>
        <w:tc>
          <w:tcPr>
            <w:tcW w:w="7797"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kern w:val="0"/>
                <w:sz w:val="24"/>
                <w:szCs w:val="22"/>
                <w:highlight w:val="none"/>
              </w:rPr>
            </w:pPr>
            <w:r>
              <w:rPr>
                <w:rFonts w:hint="eastAsia" w:ascii="宋体" w:hAnsi="宋体" w:cs="宋体"/>
                <w:color w:val="auto"/>
                <w:kern w:val="0"/>
                <w:sz w:val="24"/>
                <w:highlight w:val="none"/>
              </w:rPr>
              <w:t>质保期：</w:t>
            </w:r>
            <w:r>
              <w:rPr>
                <w:rFonts w:hint="eastAsia" w:ascii="宋体" w:hAnsi="宋体"/>
                <w:color w:val="auto"/>
                <w:sz w:val="24"/>
                <w:highlight w:val="none"/>
              </w:rPr>
              <w:t xml:space="preserve">货到采购方指定地点安装调试验收合格之日起，免费质保期 </w:t>
            </w:r>
            <w:r>
              <w:rPr>
                <w:rFonts w:hint="eastAsia" w:ascii="宋体" w:hAnsi="宋体"/>
                <w:color w:val="auto"/>
                <w:sz w:val="24"/>
                <w:highlight w:val="none"/>
                <w:lang w:val="en-US" w:eastAsia="zh-CN"/>
              </w:rPr>
              <w:t>3</w:t>
            </w:r>
            <w:r>
              <w:rPr>
                <w:rFonts w:hint="eastAsia" w:ascii="宋体" w:hAnsi="宋体"/>
                <w:color w:val="auto"/>
                <w:sz w:val="24"/>
                <w:highlight w:val="none"/>
              </w:rPr>
              <w:t>年，质保期内每年提供至少两次上门巡检</w:t>
            </w:r>
            <w:r>
              <w:rPr>
                <w:rFonts w:hint="eastAsia" w:ascii="宋体" w:hAnsi="宋体" w:cs="宋体"/>
                <w:color w:val="auto"/>
                <w:kern w:val="0"/>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leftChars="0" w:right="0" w:rightChars="0"/>
              <w:jc w:val="center"/>
              <w:rPr>
                <w:rFonts w:hint="eastAsia" w:ascii="宋体" w:hAnsi="宋体" w:eastAsia="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6</w:t>
            </w:r>
          </w:p>
        </w:tc>
        <w:tc>
          <w:tcPr>
            <w:tcW w:w="7797"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验收期：</w:t>
            </w:r>
            <w:r>
              <w:rPr>
                <w:rFonts w:hint="eastAsia" w:ascii="宋体" w:hAnsi="宋体" w:cs="宋体"/>
                <w:color w:val="auto"/>
                <w:kern w:val="0"/>
                <w:sz w:val="24"/>
                <w:highlight w:val="none"/>
              </w:rPr>
              <w:t>安装、调试完毕后10个工作日内验收</w:t>
            </w:r>
            <w:r>
              <w:rPr>
                <w:rFonts w:hint="eastAsia"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6" w:type="dxa"/>
            <w:noWrap w:val="0"/>
            <w:vAlign w:val="center"/>
          </w:tcPr>
          <w:p>
            <w:pPr>
              <w:keepNext w:val="0"/>
              <w:keepLines w:val="0"/>
              <w:widowControl/>
              <w:suppressLineNumbers w:val="0"/>
              <w:spacing w:before="0" w:beforeAutospacing="0" w:after="200" w:afterAutospacing="0" w:line="360" w:lineRule="auto"/>
              <w:ind w:left="0" w:right="0"/>
              <w:jc w:val="center"/>
              <w:rPr>
                <w:rFonts w:hint="eastAsia" w:ascii="宋体" w:hAnsi="宋体" w:eastAsia="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7</w:t>
            </w:r>
          </w:p>
        </w:tc>
        <w:tc>
          <w:tcPr>
            <w:tcW w:w="7797" w:type="dxa"/>
            <w:noWrap w:val="0"/>
            <w:vAlign w:val="center"/>
          </w:tcPr>
          <w:p>
            <w:pPr>
              <w:keepNext w:val="0"/>
              <w:keepLines w:val="0"/>
              <w:widowControl/>
              <w:suppressLineNumbers w:val="0"/>
              <w:spacing w:before="0" w:beforeAutospacing="0" w:after="0" w:afterAutospacing="0" w:line="360" w:lineRule="auto"/>
              <w:ind w:left="0" w:right="0"/>
              <w:contextualSpacing/>
              <w:jc w:val="left"/>
              <w:rPr>
                <w:rFonts w:hint="eastAsia" w:ascii="宋体" w:hAnsi="宋体" w:cs="宋体"/>
                <w:color w:val="auto"/>
                <w:sz w:val="24"/>
                <w:highlight w:val="none"/>
              </w:rPr>
            </w:pPr>
            <w:r>
              <w:rPr>
                <w:rFonts w:hint="eastAsia" w:ascii="宋体" w:hAnsi="宋体" w:cs="宋体"/>
                <w:color w:val="auto"/>
                <w:kern w:val="0"/>
                <w:sz w:val="24"/>
                <w:szCs w:val="22"/>
                <w:highlight w:val="none"/>
              </w:rPr>
              <w:t>违约赔偿：</w:t>
            </w:r>
            <w:r>
              <w:rPr>
                <w:rFonts w:hint="eastAsia" w:ascii="宋体" w:hAnsi="宋体" w:cs="宋体"/>
                <w:color w:val="auto"/>
                <w:kern w:val="0"/>
                <w:sz w:val="24"/>
                <w:highlight w:val="none"/>
              </w:rPr>
              <w:t>如果乙方没有按照合同规定的时间交货和提供服务,甲方按合同金额的3‰按日收取违约金。</w:t>
            </w:r>
          </w:p>
        </w:tc>
      </w:tr>
    </w:tbl>
    <w:p>
      <w:pPr>
        <w:widowControl/>
        <w:spacing w:after="200" w:line="312" w:lineRule="auto"/>
        <w:jc w:val="left"/>
        <w:rPr>
          <w:rFonts w:hint="eastAsia" w:ascii="宋体" w:hAnsi="宋体" w:cs="宋体"/>
          <w:color w:val="auto"/>
          <w:kern w:val="0"/>
          <w:sz w:val="24"/>
          <w:szCs w:val="22"/>
          <w:highlight w:val="none"/>
        </w:rPr>
      </w:pPr>
    </w:p>
    <w:p>
      <w:pPr>
        <w:spacing w:before="0" w:beforeLines="-2147483648" w:after="0" w:afterLines="-2147483648" w:line="240" w:lineRule="auto"/>
        <w:jc w:val="left"/>
        <w:rPr>
          <w:rFonts w:hint="eastAsia" w:ascii="宋体" w:hAnsi="宋体" w:cs="宋体"/>
          <w:b/>
          <w:bCs/>
          <w:color w:val="auto"/>
          <w:sz w:val="32"/>
          <w:szCs w:val="32"/>
          <w:highlight w:val="none"/>
        </w:rPr>
      </w:pPr>
      <w:bookmarkStart w:id="77" w:name="_Toc1521_WPSOffice_Level3"/>
      <w:bookmarkStart w:id="78" w:name="_Toc477935925"/>
      <w:bookmarkStart w:id="79" w:name="_Toc359589856"/>
    </w:p>
    <w:p>
      <w:pPr>
        <w:spacing w:before="120" w:beforeLines="50" w:after="240" w:afterLines="100" w:line="44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合同一般格式</w:t>
      </w:r>
    </w:p>
    <w:p>
      <w:pPr>
        <w:adjustRightInd w:val="0"/>
        <w:snapToGrid w:val="0"/>
        <w:spacing w:line="360" w:lineRule="auto"/>
        <w:jc w:val="center"/>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（内贸合同参考模板）</w:t>
      </w:r>
    </w:p>
    <w:p>
      <w:pPr>
        <w:pStyle w:val="2"/>
        <w:rPr>
          <w:color w:val="auto"/>
          <w:highlight w:val="none"/>
        </w:rPr>
      </w:pPr>
    </w:p>
    <w:p>
      <w:pPr>
        <w:adjustRightInd w:val="0"/>
        <w:snapToGrid w:val="0"/>
        <w:spacing w:line="360" w:lineRule="auto"/>
        <w:ind w:firstLine="562"/>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大连理工大学超高速视频级原子力显微镜采购项目</w:t>
      </w:r>
      <w:r>
        <w:rPr>
          <w:rFonts w:hint="eastAsia" w:ascii="宋体" w:hAnsi="宋体" w:cs="宋体"/>
          <w:b/>
          <w:bCs/>
          <w:color w:val="auto"/>
          <w:kern w:val="0"/>
          <w:sz w:val="28"/>
          <w:szCs w:val="28"/>
          <w:highlight w:val="none"/>
        </w:rPr>
        <w:t>采购合同</w:t>
      </w:r>
    </w:p>
    <w:p>
      <w:pP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采购方（甲方）：                                    合同编号：</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供应商（乙方）：                                    签约地：</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甲乙双方本着诚实守信、平等互利的原则，按照《中华人民共和国民法典（合同编）》,经过友好协商，确立本合同。</w:t>
      </w:r>
    </w:p>
    <w:p>
      <w:pPr>
        <w:pStyle w:val="36"/>
        <w:widowControl/>
        <w:numPr>
          <w:ilvl w:val="0"/>
          <w:numId w:val="17"/>
        </w:numPr>
        <w:tabs>
          <w:tab w:val="left" w:pos="720"/>
        </w:tabs>
        <w:snapToGrid w:val="0"/>
        <w:spacing w:line="360" w:lineRule="auto"/>
        <w:ind w:left="0" w:leftChars="0" w:firstLine="482" w:firstLineChars="200"/>
        <w:jc w:val="left"/>
        <w:rPr>
          <w:rFonts w:ascii="宋体" w:hAnsi="宋体" w:eastAsia="宋体" w:cs="宋体"/>
          <w:b/>
          <w:bCs/>
          <w:color w:val="auto"/>
          <w:highlight w:val="none"/>
        </w:rPr>
      </w:pPr>
      <w:r>
        <w:rPr>
          <w:rFonts w:hint="eastAsia" w:ascii="宋体" w:hAnsi="宋体" w:eastAsia="宋体" w:cs="宋体"/>
          <w:b/>
          <w:bCs/>
          <w:color w:val="auto"/>
          <w:highlight w:val="none"/>
        </w:rPr>
        <w:t>合同标的</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1.供货一览表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5"/>
        <w:gridCol w:w="1252"/>
        <w:gridCol w:w="1300"/>
        <w:gridCol w:w="1317"/>
        <w:gridCol w:w="884"/>
        <w:gridCol w:w="103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序号</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产品名称</w:t>
            </w: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商标品牌</w:t>
            </w:r>
          </w:p>
        </w:tc>
        <w:tc>
          <w:tcPr>
            <w:tcW w:w="1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8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数量</w:t>
            </w: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单价</w:t>
            </w: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default" w:ascii="宋体" w:hAnsi="宋体" w:cs="宋体"/>
                <w:color w:val="auto"/>
                <w:kern w:val="0"/>
                <w:sz w:val="24"/>
                <w:highlight w:val="none"/>
              </w:rPr>
            </w:pPr>
          </w:p>
        </w:tc>
      </w:tr>
    </w:tbl>
    <w:p>
      <w:pPr>
        <w:snapToGrid w:val="0"/>
        <w:spacing w:line="360" w:lineRule="auto"/>
        <w:ind w:firstLine="480" w:firstLineChars="200"/>
        <w:rPr>
          <w:rFonts w:ascii="宋体" w:hAnsi="宋体" w:cs="宋体"/>
          <w:color w:val="auto"/>
          <w:kern w:val="0"/>
          <w:sz w:val="24"/>
          <w:highlight w:val="none"/>
        </w:rPr>
      </w:pP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2.合同总金额：</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ascii="宋体" w:hAnsi="宋体" w:cs="宋体"/>
          <w:b/>
          <w:bCs/>
          <w:color w:val="auto"/>
          <w:kern w:val="0"/>
          <w:sz w:val="24"/>
          <w:highlight w:val="none"/>
        </w:rPr>
        <w:t xml:space="preserve"> </w:t>
      </w:r>
      <w:r>
        <w:rPr>
          <w:rFonts w:hint="eastAsia" w:ascii="宋体" w:hAnsi="宋体" w:cs="宋体"/>
          <w:b/>
          <w:bCs/>
          <w:color w:val="auto"/>
          <w:kern w:val="0"/>
          <w:sz w:val="24"/>
          <w:highlight w:val="none"/>
        </w:rPr>
        <w:t>，(大写)</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r>
        <w:rPr>
          <w:rFonts w:hint="eastAsia" w:ascii="宋体" w:hAnsi="宋体" w:cs="宋体"/>
          <w:bCs/>
          <w:color w:val="auto"/>
          <w:kern w:val="0"/>
          <w:sz w:val="24"/>
          <w:highlight w:val="none"/>
        </w:rPr>
        <w:t>。</w:t>
      </w:r>
      <w:r>
        <w:rPr>
          <w:rFonts w:ascii="宋体" w:hAnsi="宋体" w:cs="宋体"/>
          <w:b/>
          <w:bCs/>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3.合同总金额包括货物价款、附件、专用工具、安装、调试、检验、技术培训及技术资料和包装、运输、保险等全部费用，如果招、投标文件对其另有规定的，从其规定。</w:t>
      </w:r>
    </w:p>
    <w:p>
      <w:pPr>
        <w:pStyle w:val="36"/>
        <w:widowControl/>
        <w:numPr>
          <w:ilvl w:val="0"/>
          <w:numId w:val="17"/>
        </w:numPr>
        <w:tabs>
          <w:tab w:val="left" w:pos="720"/>
        </w:tabs>
        <w:snapToGrid w:val="0"/>
        <w:spacing w:line="360" w:lineRule="auto"/>
        <w:ind w:left="0" w:leftChars="0" w:firstLine="482" w:firstLineChars="200"/>
        <w:jc w:val="left"/>
        <w:rPr>
          <w:rFonts w:ascii="宋体" w:hAnsi="宋体" w:eastAsia="宋体" w:cs="宋体"/>
          <w:b/>
          <w:bCs/>
          <w:color w:val="auto"/>
          <w:highlight w:val="none"/>
        </w:rPr>
      </w:pPr>
      <w:r>
        <w:rPr>
          <w:rFonts w:hint="eastAsia" w:ascii="宋体" w:hAnsi="宋体" w:eastAsia="宋体" w:cs="宋体"/>
          <w:b/>
          <w:bCs/>
          <w:color w:val="auto"/>
          <w:highlight w:val="none"/>
        </w:rPr>
        <w:t>质量要求</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1.乙方所提供的货物必须符合中华人民共和国国家安全、环保、节能、卫生标准，国家及有关行业产品质量认证标准，磋商文件的质量要求及双方签字确认的相关承诺及协议。</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所提供的货物必须是全新、未使用的原装产品，且在正常安装、使用和保养条件下，其使用寿命期内各项指标均达到本条第1款的质量要求。在货物最终验收后规定的质量保证期内，乙方应对因货物质量缺陷造成的任何不足负责修补或调换，并承担相应费用。</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3.在供货时附出厂合格证书，作为本合同的有效附件。</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提供的货物及其配件、材料或安装不能通过验收合格，甲方有权可以拒收并退货，并要求乙方返还甲方已付的货款，由此而产生的费用和风险由乙方承担。所有拒收退回的货物乙方在甲方通知后7个日历日内提走，否则，视为乙方放弃所有货物的所有权，甲方有权任意处置这些货物，并且甲方有权要求乙方支付处置这些货物所需的费用（包括但不限于运费）。</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须对交付的产品质量负责，产品在交付机房或投入使用后，凡因产品质量不符合本合同约定或有其它质量瑕疵或安装不符合相关技术要求，而给甲方或任何第三方造成人身损害和财产损失的，均由乙方承担赔偿责任。</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付款方式</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Times New Roman"/>
          <w:b w:val="0"/>
          <w:bCs/>
          <w:color w:val="auto"/>
          <w:sz w:val="24"/>
          <w:highlight w:val="none"/>
        </w:rPr>
        <w:t>合同签定后5日内，乙方向甲方提供合同金额90%的预付款保函，预付款保函有效期至货到甲方指定地点安装调试验收合格；甲方收到预付款保函后，向乙方支付合同总金额90%的预付款；货到甲方指定地点后，乙方向甲方提供合同总金额10%的履约保函，履约保函有效期至质保期结束；安装调试验收合格、甲方收到履约保函后，甲方凭验收合格报告向乙方支付合同总金额10%的尾款</w:t>
      </w:r>
      <w:r>
        <w:rPr>
          <w:rFonts w:hint="eastAsia" w:ascii="宋体" w:hAnsi="宋体" w:cs="宋体"/>
          <w:color w:val="auto"/>
          <w:kern w:val="0"/>
          <w:sz w:val="24"/>
          <w:highlight w:val="none"/>
        </w:rPr>
        <w:t>。</w:t>
      </w:r>
    </w:p>
    <w:p>
      <w:pPr>
        <w:pStyle w:val="36"/>
        <w:widowControl/>
        <w:numPr>
          <w:ilvl w:val="0"/>
          <w:numId w:val="17"/>
        </w:numPr>
        <w:tabs>
          <w:tab w:val="left" w:pos="720"/>
        </w:tabs>
        <w:snapToGrid w:val="0"/>
        <w:spacing w:line="360" w:lineRule="auto"/>
        <w:ind w:left="0" w:leftChars="0" w:firstLine="482" w:firstLineChars="200"/>
        <w:jc w:val="left"/>
        <w:rPr>
          <w:rFonts w:ascii="宋体" w:hAnsi="宋体" w:eastAsia="宋体" w:cs="宋体"/>
          <w:b/>
          <w:bCs/>
          <w:color w:val="auto"/>
          <w:highlight w:val="none"/>
        </w:rPr>
      </w:pPr>
      <w:r>
        <w:rPr>
          <w:rFonts w:hint="eastAsia" w:ascii="宋体" w:hAnsi="宋体" w:eastAsia="宋体" w:cs="宋体"/>
          <w:b/>
          <w:bCs/>
          <w:color w:val="auto"/>
          <w:highlight w:val="none"/>
        </w:rPr>
        <w:t>包装和运输</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在设备发运前自费对其进行满足于运输距离、防震、防锈和防破损以及装卸要求的包装，以保证货物安全运输到达甲方指定地点。乙方应承担由于其包装或其防护措施不妥而引起的货物锈蚀、损坏及丢失所造成的责任及费用。</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负责运输并承担装卸、运输、保险费（乙方应以人民币办理的按照发票金额的100%的“一切险”保险），并应于货物装载完成24小时内通知甲方货物名称、数量、毛重、体积、发票金额、运输工具名称和启运日期及预计到达目的地的日期。</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3.乙方装运的货物必须符合合同规定的货物名称、型号规格、数量；包装上注明货物品种及数量；使用说明书、质量检验证明书、随配附件和工具以及清单与设备一起装箱发送。</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4.乙方应按交付规定将货物运送到指定交货地点。</w:t>
      </w:r>
    </w:p>
    <w:p>
      <w:pPr>
        <w:pStyle w:val="36"/>
        <w:widowControl/>
        <w:numPr>
          <w:ilvl w:val="0"/>
          <w:numId w:val="17"/>
        </w:numPr>
        <w:tabs>
          <w:tab w:val="left" w:pos="720"/>
        </w:tabs>
        <w:snapToGrid w:val="0"/>
        <w:spacing w:line="360" w:lineRule="auto"/>
        <w:ind w:left="0" w:leftChars="0" w:firstLine="482" w:firstLineChars="200"/>
        <w:jc w:val="left"/>
        <w:rPr>
          <w:rFonts w:ascii="宋体" w:hAnsi="宋体" w:eastAsia="宋体" w:cs="宋体"/>
          <w:b/>
          <w:bCs/>
          <w:color w:val="auto"/>
          <w:highlight w:val="none"/>
        </w:rPr>
      </w:pPr>
      <w:r>
        <w:rPr>
          <w:rFonts w:hint="eastAsia" w:ascii="宋体" w:hAnsi="宋体" w:eastAsia="宋体" w:cs="宋体"/>
          <w:b/>
          <w:bCs/>
          <w:color w:val="auto"/>
          <w:highlight w:val="none"/>
        </w:rPr>
        <w:t>交付和验收</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1.供货期：自签订合同之日起，接到采购人供货通知后</w:t>
      </w:r>
      <w:r>
        <w:rPr>
          <w:rFonts w:hint="eastAsia" w:ascii="宋体" w:hAnsi="宋体" w:cs="宋体"/>
          <w:color w:val="auto"/>
          <w:kern w:val="0"/>
          <w:sz w:val="24"/>
          <w:highlight w:val="none"/>
          <w:lang w:eastAsia="zh-CN"/>
        </w:rPr>
        <w:t>150</w:t>
      </w:r>
      <w:r>
        <w:rPr>
          <w:rFonts w:hint="eastAsia" w:ascii="宋体" w:hAnsi="宋体" w:cs="宋体"/>
          <w:color w:val="auto"/>
          <w:kern w:val="0"/>
          <w:sz w:val="24"/>
          <w:highlight w:val="none"/>
        </w:rPr>
        <w:t>个日历日内货到采购人指定地点安装调试验收合格。</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2.交货地点为</w:t>
      </w:r>
      <w:r>
        <w:rPr>
          <w:rFonts w:hint="eastAsia" w:ascii="宋体" w:hAnsi="宋体" w:cs="宋体"/>
          <w:color w:val="auto"/>
          <w:kern w:val="0"/>
          <w:sz w:val="24"/>
          <w:highlight w:val="none"/>
          <w:u w:val="single"/>
        </w:rPr>
        <w:t>采购人指定地点。</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3.乙方应提前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5</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向甲方提出交货检验。若发现包装物破损或货物品名及数量与合同内容不符，甲方有权拒收货物，并有权要求乙方按照甲方指定地点、数量在规定的时间将合格的货物送达。乙方应将所提供货物的装箱清单、用户手册、原厂保修卡、随机资料、工具和备品、备件等交付给甲方，如有缺失应及时补齐，否则视为逾期交货。</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4.乙方负责安装调试，甲方提供必要的工作条件（如场地、电源、水源等）。</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5.乙方应在货物安装、调试完成后提前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5</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个工作日通知甲方验收，甲方在接到通知后的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个工作日内组织验收。甲方对乙方所交设备依照国家有关技术标准和双方确认的技术标准进行现场验收。性能达到技术要求的，验收通过；验收不合格的，限期整改；整改仍达不到要求的，作退货处理。验收合格后由甲乙双方签收货物验收报告并加盖采购单位公章，甲乙双方各执</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壹</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份。</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培训</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乙方负责免费对甲方有关人员进行培训。</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培训内容应至少包括：（1）设备的操作使用和保养；（2）设备安全注意事项；（3）设备简易故障排除。</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培训内容：</w:t>
      </w:r>
      <w:r>
        <w:rPr>
          <w:rFonts w:hint="eastAsia" w:ascii="宋体" w:hAnsi="宋体" w:cs="宋体"/>
          <w:color w:val="auto"/>
          <w:kern w:val="0"/>
          <w:sz w:val="24"/>
          <w:highlight w:val="none"/>
          <w:u w:val="single"/>
        </w:rPr>
        <w:t>设备的使用要求和注意事项</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培训时间：</w:t>
      </w:r>
      <w:r>
        <w:rPr>
          <w:rFonts w:hint="eastAsia"/>
          <w:color w:val="auto"/>
          <w:sz w:val="24"/>
          <w:highlight w:val="none"/>
          <w:u w:val="single"/>
        </w:rPr>
        <w:t>调试合格后立即安排培训</w:t>
      </w:r>
      <w:r>
        <w:rPr>
          <w:color w:val="auto"/>
          <w:sz w:val="24"/>
          <w:highlight w:val="none"/>
          <w:u w:val="single"/>
        </w:rPr>
        <w:t>3</w:t>
      </w:r>
      <w:r>
        <w:rPr>
          <w:rFonts w:hint="eastAsia"/>
          <w:color w:val="auto"/>
          <w:sz w:val="24"/>
          <w:highlight w:val="none"/>
          <w:u w:val="single"/>
        </w:rPr>
        <w:t>天</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培训地点：</w:t>
      </w:r>
      <w:r>
        <w:rPr>
          <w:rFonts w:hint="eastAsia" w:ascii="宋体" w:hAnsi="宋体" w:cs="宋体"/>
          <w:color w:val="auto"/>
          <w:kern w:val="0"/>
          <w:sz w:val="24"/>
          <w:highlight w:val="none"/>
          <w:u w:val="single"/>
        </w:rPr>
        <w:t>设备所在实验室</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 xml:space="preserve"> 售后服务</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1.乙方应按照国家有关法律法规和“三包”规定以及招、投标文件约定的服务条款及乙方投标文件的规定为甲方提供令甲方满意的售后服务。</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2.乙方的产品质保期：</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货到采购方指定地点安装调试验收合格之日起，免费质保期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年，质保期内每年提供至少两次上门巡检。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在质保期内，乙方应对由于设计、制造工艺、材料和安装所造成的质量缺陷或质量问题负责，并免费进行修理、更换零部件或退换，并须对设备出现的有关技术性问题或安全问题负责处理、解决，同时乙方应相应延长被更换货物的质保期。</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4.如乙方拒绝承担未到期的售后服务责任，甲方有权提出索赔要求。</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 xml:space="preserve"> 索赔</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1.如果到场货物的质量经甲方自行或委托检验单位检验发现与合同及乙方提供的货物样品不符，或在质保期内证实货物是有缺陷的，甲方有权向乙方提出索赔。</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2.如涉及保险公司或运输部门的赔偿问题，应由乙方负责办理有关索赔事宜。</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3.在合同规定的质保期内，如果乙方对甲方提出的索赔事件负有责任，乙方应按照甲方同意的下列一种或多种方式解决索赔事宜。</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⑴乙方同意甲方退货，并用合同中规定的同种货币将货款退还给甲方，并承担由此发生的一切损失和费用，包括利息、银行手续费、运费、保险费、检验费、仓储费、装卸费以及为保护拒收的货物所需的其他必要费用。</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⑵根据货物缺陷程度、损坏程度以及甲方所遭受损失的数额，经甲乙双方商定同意核减货物的价格。</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⑶用符合质量要求的新货物更换有缺陷的部分，乙方应承担一切费用和风险并附带甲方所遭受的一切直接损失费用。</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4.如果甲方发出的索赔通知后10个工作日内，乙方未做答复，上述索赔应视为已被乙方接受。</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不可抗力</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订立合同时无法控制、不可预见的事件如：战争、水灾、地震，异常恶劣天气以及双方同意的事件为不可抗力事件。乙方需自行对可能发生的此类事件所造成货物灭失或损坏进行保险；当因不可抗力事件发生致使履约延迟时，履行合同的期限可相应延长，但乙方应继续履行合同。</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双方义务及违约责任</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1.甲乙双方不履行合同约定的义务即为违约。</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2.如乙方不能按期交货，除经甲方认可的不可抗拒原因外（以书面通知为准），交货日期每延长一天，甲方按合同总金额的3‰按日收取延迟交货违约金，违约金最高不超过合同总金额5%。</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3.由于乙方原因不能按照约定交货的，在甲方通知后10日内乙方仍未履行或采取补救措施的，甲方有权终止合同，乙方须按合同总金额的30%向甲方支付违约赔偿金，并全额退还甲方已付给乙方的货款。</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4.乙方所交付的设备品种、型号、规格、质量不符合合同约定、国家标准，所供设备达不到约定技术要求的，乙方必须无条件退回全部货款，并向甲方支付合同总金额的20%的赔偿金。</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5.甲方无正当理由逾期付款，每延长一天，按未付金额的3‰作为违约金，在逾期三十天内时适用（如有特殊情况，甲方需在乙方发货前以书面形式通知），违约金最多不超过合同总金额的5%。</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6.甲方在以下情况下可向乙方发出书面通知，终止部分或全部合同：</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⑴乙方未能在合同规定的期限或甲方同意延长的限期内提供全部或部分货物。</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⑵如果乙方未能履行合同规定的其他义务，乙方在收到甲方发出的违约通知后10天内，或经甲方书面认可延长的时间内未能纠正其过失。</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7.在甲方根据上款规定，终止了全部或部分合同，甲方可以依其认为适当的条件和方法购买与未交货类似的货物，乙方应对购买类似货物所超出的费用负责。并且乙方还应继续执行合同中未终止的部分。</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合同修改</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对合同约定不明确的或者需要对本合同进行修改、补充的，</w:t>
      </w:r>
      <w:bookmarkStart w:id="80" w:name="_Hlk113182727"/>
      <w:r>
        <w:rPr>
          <w:rFonts w:hint="eastAsia" w:ascii="宋体" w:hAnsi="宋体" w:cs="宋体"/>
          <w:color w:val="auto"/>
          <w:kern w:val="0"/>
          <w:sz w:val="24"/>
          <w:highlight w:val="none"/>
        </w:rPr>
        <w:t>在不违反法律法规和不超出招、投标文件内容的前提下，</w:t>
      </w:r>
      <w:bookmarkEnd w:id="80"/>
      <w:r>
        <w:rPr>
          <w:rFonts w:hint="eastAsia" w:ascii="宋体" w:hAnsi="宋体" w:cs="宋体"/>
          <w:color w:val="auto"/>
          <w:kern w:val="0"/>
          <w:sz w:val="24"/>
          <w:highlight w:val="none"/>
        </w:rPr>
        <w:t>经双方协商一致后达成补充协议，补充协议是本合同的重要组成部分，与本合同具有同等法律效力，双方签字盖章后生效。</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合同争议解决</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1.因货物质量问题发生争议的，由甲方属地技术质量监督部门进行质量鉴定；货物符合质量标准的，鉴定费由甲方承担；货物不符合质量标准的，鉴定费由乙方承担，同时按本合同第十条第4款处理。</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因履行本合同引起的或与本合同有关的争议，甲乙双方应首先通过友好协商解决，如协商不能解决，</w:t>
      </w:r>
      <w:r>
        <w:rPr>
          <w:rFonts w:hint="eastAsia" w:ascii="宋体" w:hAnsi="宋体"/>
          <w:color w:val="auto"/>
          <w:sz w:val="24"/>
          <w:highlight w:val="none"/>
        </w:rPr>
        <w:t>任何一方均可向甲方所在地有管辖权的人民法院起诉</w:t>
      </w:r>
      <w:r>
        <w:rPr>
          <w:rFonts w:hint="eastAsia" w:ascii="宋体" w:hAnsi="宋体" w:cs="宋体"/>
          <w:color w:val="auto"/>
          <w:sz w:val="24"/>
          <w:highlight w:val="none"/>
        </w:rPr>
        <w:t>。诉讼期间，本合同继续履行</w:t>
      </w:r>
      <w:r>
        <w:rPr>
          <w:rFonts w:hint="eastAsia" w:ascii="宋体" w:hAnsi="宋体" w:cs="宋体"/>
          <w:color w:val="auto"/>
          <w:kern w:val="0"/>
          <w:sz w:val="24"/>
          <w:highlight w:val="none"/>
        </w:rPr>
        <w:t>。</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知识产权</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甲方在履行合同过程中提供给乙方的全部图纸、文件和其他含有数据和信息的资料，其知识产权属于甲方。未经甲方同意，乙方不得将其用于本合同目的之外的其他用途，且不得擅自向第三方转让、披露。</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如合同货物涉及知识产权，则乙方保证甲方在使用合同货物的过程中免于受到第三方提出的有关知识产权侵权的主张、索赔或诉讼的损失。</w:t>
      </w:r>
    </w:p>
    <w:p>
      <w:pPr>
        <w:snapToGrid w:val="0"/>
        <w:spacing w:line="360" w:lineRule="auto"/>
        <w:ind w:firstLine="480" w:firstLineChars="200"/>
        <w:rPr>
          <w:color w:val="auto"/>
          <w:highlight w:val="none"/>
        </w:rPr>
      </w:pPr>
      <w:r>
        <w:rPr>
          <w:rFonts w:hint="eastAsia" w:ascii="宋体" w:hAnsi="宋体" w:cs="宋体"/>
          <w:color w:val="auto"/>
          <w:kern w:val="0"/>
          <w:sz w:val="24"/>
          <w:highlight w:val="none"/>
        </w:rPr>
        <w:t>3 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pPr>
        <w:pStyle w:val="36"/>
        <w:numPr>
          <w:ilvl w:val="0"/>
          <w:numId w:val="17"/>
        </w:numPr>
        <w:tabs>
          <w:tab w:val="left" w:pos="720"/>
        </w:tabs>
        <w:snapToGrid w:val="0"/>
        <w:spacing w:line="360" w:lineRule="auto"/>
        <w:ind w:left="0" w:leftChars="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其他</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中标通知书、投标文件、磋商文件与本合同书一起组成合同文件。</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2.本合同一式八份，甲乙双方各执四份。</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3.本合同自双方代表签字盖章之日起生效。</w:t>
      </w:r>
    </w:p>
    <w:p>
      <w:pPr>
        <w:snapToGrid w:val="0"/>
        <w:spacing w:line="360" w:lineRule="auto"/>
        <w:ind w:firstLine="482" w:firstLineChars="200"/>
        <w:jc w:val="left"/>
        <w:rPr>
          <w:rFonts w:ascii="宋体" w:hAnsi="宋体" w:cs="宋体"/>
          <w:b/>
          <w:bCs/>
          <w:color w:val="auto"/>
          <w:kern w:val="0"/>
          <w:sz w:val="24"/>
          <w:highlight w:val="none"/>
        </w:rPr>
      </w:pP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甲方（盖章）</w:t>
      </w:r>
      <w:r>
        <w:rPr>
          <w:rFonts w:hint="eastAsia" w:ascii="宋体" w:hAnsi="宋体" w:cs="宋体"/>
          <w:color w:val="auto"/>
          <w:kern w:val="0"/>
          <w:sz w:val="24"/>
          <w:highlight w:val="none"/>
        </w:rPr>
        <w:t>大连理工大学</w:t>
      </w:r>
      <w:r>
        <w:rPr>
          <w:rFonts w:hint="eastAsia" w:ascii="宋体" w:hAnsi="宋体" w:cs="宋体"/>
          <w:b/>
          <w:bCs/>
          <w:color w:val="auto"/>
          <w:kern w:val="0"/>
          <w:sz w:val="24"/>
          <w:highlight w:val="none"/>
        </w:rPr>
        <w:t xml:space="preserve">             乙方（盖章）： </w:t>
      </w:r>
    </w:p>
    <w:p>
      <w:pPr>
        <w:snapToGrid w:val="0"/>
        <w:spacing w:line="360" w:lineRule="auto"/>
        <w:ind w:firstLine="482"/>
        <w:jc w:val="left"/>
        <w:rPr>
          <w:rFonts w:ascii="宋体" w:hAnsi="宋体" w:cs="宋体"/>
          <w:b/>
          <w:bCs/>
          <w:color w:val="auto"/>
          <w:kern w:val="0"/>
          <w:sz w:val="24"/>
          <w:highlight w:val="none"/>
        </w:rPr>
      </w:pP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委托代理人（签字）：                 法定代表人/委托代理人（签字）：</w:t>
      </w: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地址:大连甘井子区凌工路2号          地址:</w:t>
      </w: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邮政编码: 116024                     邮政编码:</w:t>
      </w: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电话:                                电话:</w:t>
      </w: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开户银行:                            开户银行:</w:t>
      </w:r>
    </w:p>
    <w:p>
      <w:pPr>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账号:                                账号:</w:t>
      </w:r>
    </w:p>
    <w:p>
      <w:pP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日期：                               日期：</w:t>
      </w:r>
    </w:p>
    <w:p>
      <w:pPr>
        <w:snapToGrid w:val="0"/>
        <w:spacing w:line="360" w:lineRule="auto"/>
        <w:ind w:firstLine="316" w:firstLineChars="150"/>
        <w:rPr>
          <w:rFonts w:hint="eastAsia"/>
          <w:b/>
          <w:bCs/>
          <w:color w:val="auto"/>
          <w:highlight w:val="none"/>
        </w:rPr>
      </w:pPr>
    </w:p>
    <w:p>
      <w:pPr>
        <w:snapToGrid w:val="0"/>
        <w:spacing w:line="360" w:lineRule="auto"/>
        <w:ind w:firstLine="316" w:firstLineChars="150"/>
        <w:rPr>
          <w:rFonts w:hint="eastAsia"/>
          <w:b/>
          <w:bCs/>
          <w:color w:val="auto"/>
          <w:highlight w:val="none"/>
        </w:rPr>
      </w:pPr>
    </w:p>
    <w:p>
      <w:pPr>
        <w:snapToGrid w:val="0"/>
        <w:spacing w:line="360" w:lineRule="auto"/>
        <w:ind w:firstLine="361" w:firstLineChars="150"/>
        <w:rPr>
          <w:rFonts w:ascii="宋体" w:hAnsi="宋体" w:cs="宋体"/>
          <w:b/>
          <w:bCs/>
          <w:color w:val="auto"/>
          <w:kern w:val="0"/>
          <w:sz w:val="24"/>
          <w:highlight w:val="none"/>
        </w:rPr>
      </w:pPr>
      <w:r>
        <w:rPr>
          <w:rFonts w:hint="eastAsia" w:ascii="宋体" w:hAnsi="宋体" w:cs="宋体"/>
          <w:b/>
          <w:bCs/>
          <w:color w:val="auto"/>
          <w:kern w:val="0"/>
          <w:sz w:val="24"/>
          <w:highlight w:val="none"/>
        </w:rPr>
        <w:t>注：1.本合同仅提供了主要条款，采购人与</w:t>
      </w:r>
      <w:r>
        <w:rPr>
          <w:rFonts w:hint="eastAsia" w:ascii="宋体" w:hAnsi="宋体" w:cs="宋体"/>
          <w:b/>
          <w:bCs/>
          <w:color w:val="auto"/>
          <w:kern w:val="0"/>
          <w:sz w:val="24"/>
          <w:highlight w:val="none"/>
          <w:lang w:val="en-US" w:eastAsia="zh-CN"/>
        </w:rPr>
        <w:t>成交</w:t>
      </w:r>
      <w:r>
        <w:rPr>
          <w:rFonts w:hint="eastAsia" w:ascii="宋体" w:hAnsi="宋体" w:cs="宋体"/>
          <w:b/>
          <w:bCs/>
          <w:color w:val="auto"/>
          <w:kern w:val="0"/>
          <w:sz w:val="24"/>
          <w:highlight w:val="none"/>
        </w:rPr>
        <w:t>人签订合同时，按照政府采购相关法律法规执行。如细化条款，未尽事宜磋商文件中有相关规定的按磋商文件执行，磋商文件中无相关规定的按合同解释顺序执行。</w:t>
      </w:r>
    </w:p>
    <w:bookmarkEnd w:id="77"/>
    <w:p>
      <w:pPr>
        <w:snapToGrid w:val="0"/>
        <w:spacing w:line="360" w:lineRule="auto"/>
        <w:ind w:firstLine="482"/>
        <w:jc w:val="center"/>
        <w:rPr>
          <w:rFonts w:hint="eastAsia" w:ascii="宋体" w:hAnsi="宋体" w:cs="宋体"/>
          <w:color w:val="auto"/>
          <w:highlight w:val="none"/>
        </w:rPr>
      </w:pPr>
      <w:bookmarkStart w:id="81" w:name="_Toc482863413"/>
      <w:bookmarkEnd w:id="81"/>
      <w:bookmarkStart w:id="82" w:name="_Toc6653236"/>
      <w:bookmarkEnd w:id="82"/>
      <w:bookmarkStart w:id="83" w:name="_Toc477936075"/>
      <w:bookmarkEnd w:id="83"/>
      <w:bookmarkStart w:id="84" w:name="_Toc467857552"/>
      <w:bookmarkEnd w:id="84"/>
      <w:bookmarkStart w:id="85" w:name="_Toc476747485"/>
      <w:bookmarkEnd w:id="85"/>
      <w:bookmarkStart w:id="86" w:name="_Toc467857351"/>
      <w:bookmarkEnd w:id="86"/>
      <w:r>
        <w:rPr>
          <w:rFonts w:ascii="宋体" w:hAnsi="宋体" w:cs="宋体"/>
          <w:b/>
          <w:bCs/>
          <w:color w:val="auto"/>
          <w:sz w:val="44"/>
          <w:highlight w:val="none"/>
        </w:rPr>
        <w:br w:type="page"/>
      </w:r>
      <w:r>
        <w:rPr>
          <w:rFonts w:hint="eastAsia" w:ascii="宋体" w:hAnsi="宋体" w:cs="宋体"/>
          <w:b/>
          <w:bCs/>
          <w:color w:val="auto"/>
          <w:sz w:val="44"/>
          <w:highlight w:val="none"/>
        </w:rPr>
        <w:t>第三章 用户需求书</w:t>
      </w:r>
      <w:bookmarkEnd w:id="78"/>
      <w:bookmarkEnd w:id="79"/>
    </w:p>
    <w:p>
      <w:pPr>
        <w:spacing w:line="360" w:lineRule="auto"/>
        <w:rPr>
          <w:rFonts w:hint="eastAsia" w:hAnsi="宋体"/>
          <w:b/>
          <w:color w:val="auto"/>
          <w:sz w:val="24"/>
          <w:highlight w:val="none"/>
        </w:rPr>
      </w:pPr>
      <w:bookmarkStart w:id="87" w:name="_Toc482863415"/>
      <w:bookmarkStart w:id="88" w:name="_Toc455145777"/>
      <w:bookmarkStart w:id="89" w:name="_Toc477935926"/>
      <w:r>
        <w:rPr>
          <w:rFonts w:hint="eastAsia" w:hAnsi="宋体"/>
          <w:b/>
          <w:color w:val="auto"/>
          <w:sz w:val="24"/>
          <w:highlight w:val="none"/>
        </w:rPr>
        <w:t>一、项目概述：</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lang w:val="en-US" w:eastAsia="zh-CN"/>
        </w:rPr>
        <w:t>本项目拟采购超高速视频级原子力显微镜1套，主要用于如蛋白结构分析、分子互作，细胞动态结构观测，生物大分子动力学，材料动态组装等方面的研究</w:t>
      </w:r>
      <w:r>
        <w:rPr>
          <w:rFonts w:hint="eastAsia" w:ascii="宋体" w:hAnsi="宋体" w:cs="宋体"/>
          <w:color w:val="auto"/>
          <w:kern w:val="0"/>
          <w:sz w:val="24"/>
          <w:highlight w:val="none"/>
        </w:rPr>
        <w:t>。</w:t>
      </w:r>
    </w:p>
    <w:p>
      <w:pPr>
        <w:spacing w:line="360" w:lineRule="auto"/>
        <w:rPr>
          <w:rFonts w:hint="eastAsia" w:hAnsi="宋体"/>
          <w:b/>
          <w:color w:val="auto"/>
          <w:sz w:val="24"/>
          <w:highlight w:val="none"/>
          <w:lang w:eastAsia="zh-CN"/>
        </w:rPr>
      </w:pPr>
      <w:r>
        <w:rPr>
          <w:rFonts w:hint="eastAsia" w:hAnsi="宋体"/>
          <w:b/>
          <w:color w:val="auto"/>
          <w:sz w:val="24"/>
          <w:highlight w:val="none"/>
        </w:rPr>
        <w:t>二、需求清单</w:t>
      </w:r>
      <w:r>
        <w:rPr>
          <w:rFonts w:hint="eastAsia" w:hAnsi="宋体"/>
          <w:b/>
          <w:color w:val="auto"/>
          <w:sz w:val="24"/>
          <w:highlight w:val="none"/>
          <w:lang w:eastAsia="zh-CN"/>
        </w:rPr>
        <w:t>：</w:t>
      </w:r>
    </w:p>
    <w:p>
      <w:pPr>
        <w:pStyle w:val="2"/>
        <w:widowControl w:val="0"/>
        <w:numPr>
          <w:ilvl w:val="0"/>
          <w:numId w:val="0"/>
        </w:numPr>
        <w:spacing w:line="360" w:lineRule="auto"/>
        <w:jc w:val="both"/>
        <w:rPr>
          <w:rFonts w:hint="eastAsia"/>
          <w:color w:val="auto"/>
          <w:highlight w:val="none"/>
          <w:lang w:eastAsia="zh-CN"/>
        </w:rPr>
      </w:pPr>
    </w:p>
    <w:tbl>
      <w:tblPr>
        <w:tblStyle w:val="8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4390"/>
        <w:gridCol w:w="188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64"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3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188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80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4" w:type="dxa"/>
            <w:shd w:val="clear" w:color="auto" w:fill="auto"/>
            <w:vAlign w:val="center"/>
          </w:tcPr>
          <w:p>
            <w:pPr>
              <w:keepNext w:val="0"/>
              <w:keepLines w:val="0"/>
              <w:widowControl/>
              <w:suppressLineNumbers w:val="0"/>
              <w:snapToGrid/>
              <w:spacing w:before="0" w:beforeAutospacing="0" w:after="0" w:afterAutospacing="0"/>
              <w:ind w:left="0" w:right="0"/>
              <w:jc w:val="center"/>
              <w:textAlignment w:val="auto"/>
              <w:rPr>
                <w:rFonts w:hint="default" w:ascii="Times New Roman" w:hAnsi="Times New Roman" w:eastAsia="宋体" w:cs="Times New Roman"/>
                <w:color w:val="auto"/>
                <w:kern w:val="2"/>
                <w:sz w:val="24"/>
                <w:highlight w:val="none"/>
              </w:rPr>
            </w:pPr>
            <w:r>
              <w:rPr>
                <w:rFonts w:hint="default" w:ascii="Times New Roman" w:hAnsi="Times New Roman" w:eastAsia="宋体"/>
                <w:color w:val="auto"/>
                <w:sz w:val="24"/>
                <w:highlight w:val="none"/>
              </w:rPr>
              <w:t>1</w:t>
            </w:r>
          </w:p>
        </w:tc>
        <w:tc>
          <w:tcPr>
            <w:tcW w:w="4390" w:type="dxa"/>
            <w:shd w:val="clear" w:color="auto" w:fill="auto"/>
            <w:vAlign w:val="center"/>
          </w:tcPr>
          <w:p>
            <w:pPr>
              <w:keepNext w:val="0"/>
              <w:keepLines w:val="0"/>
              <w:widowControl/>
              <w:suppressLineNumbers w:val="0"/>
              <w:snapToGrid/>
              <w:spacing w:before="0" w:beforeAutospacing="0" w:after="0" w:afterAutospacing="0"/>
              <w:ind w:left="0" w:right="0"/>
              <w:jc w:val="center"/>
              <w:textAlignment w:val="auto"/>
              <w:rPr>
                <w:rFonts w:hint="default" w:ascii="Times New Roman" w:hAnsi="Times New Roman" w:eastAsia="宋体" w:cs="Times New Roman"/>
                <w:color w:val="auto"/>
                <w:kern w:val="2"/>
                <w:sz w:val="24"/>
                <w:highlight w:val="none"/>
              </w:rPr>
            </w:pPr>
            <w:r>
              <w:rPr>
                <w:rFonts w:hint="eastAsia" w:ascii="宋体" w:hAnsi="宋体" w:cs="宋体"/>
                <w:color w:val="auto"/>
                <w:highlight w:val="none"/>
                <w:lang w:eastAsia="zh-CN" w:bidi="ar"/>
              </w:rPr>
              <w:t>超高速视频级原子力显微镜</w:t>
            </w:r>
          </w:p>
        </w:tc>
        <w:tc>
          <w:tcPr>
            <w:tcW w:w="1885" w:type="dxa"/>
            <w:shd w:val="clear" w:color="auto" w:fill="auto"/>
            <w:vAlign w:val="center"/>
          </w:tcPr>
          <w:p>
            <w:pPr>
              <w:keepNext w:val="0"/>
              <w:keepLines w:val="0"/>
              <w:widowControl/>
              <w:suppressLineNumbers w:val="0"/>
              <w:snapToGrid/>
              <w:spacing w:before="0" w:beforeAutospacing="0" w:after="0" w:afterAutospacing="0"/>
              <w:ind w:left="0" w:right="0"/>
              <w:jc w:val="center"/>
              <w:textAlignment w:val="auto"/>
              <w:rPr>
                <w:rFonts w:hint="default" w:ascii="Times New Roman" w:hAnsi="Times New Roman" w:eastAsia="宋体" w:cs="Times New Roman"/>
                <w:color w:val="auto"/>
                <w:kern w:val="2"/>
                <w:sz w:val="24"/>
                <w:highlight w:val="none"/>
              </w:rPr>
            </w:pPr>
            <w:r>
              <w:rPr>
                <w:rFonts w:hint="default" w:ascii="Times New Roman" w:hAnsi="Times New Roman" w:eastAsia="宋体"/>
                <w:color w:val="auto"/>
                <w:sz w:val="24"/>
                <w:highlight w:val="none"/>
              </w:rPr>
              <w:t>1</w:t>
            </w:r>
          </w:p>
        </w:tc>
        <w:tc>
          <w:tcPr>
            <w:tcW w:w="1805" w:type="dxa"/>
            <w:shd w:val="clear" w:color="000000" w:fill="FFFFFF"/>
            <w:vAlign w:val="center"/>
          </w:tcPr>
          <w:p>
            <w:pPr>
              <w:keepNext w:val="0"/>
              <w:keepLines w:val="0"/>
              <w:widowControl/>
              <w:suppressLineNumbers w:val="0"/>
              <w:snapToGrid/>
              <w:spacing w:before="0" w:beforeAutospacing="0" w:after="0" w:afterAutospacing="0"/>
              <w:ind w:left="0" w:right="0"/>
              <w:jc w:val="center"/>
              <w:textAlignment w:val="auto"/>
              <w:rPr>
                <w:rFonts w:hint="default" w:ascii="Times New Roman" w:hAnsi="Times New Roman" w:eastAsia="宋体" w:cs="Times New Roman"/>
                <w:color w:val="auto"/>
                <w:kern w:val="2"/>
                <w:sz w:val="24"/>
                <w:highlight w:val="none"/>
              </w:rPr>
            </w:pPr>
            <w:r>
              <w:rPr>
                <w:rFonts w:hint="default" w:ascii="Times New Roman" w:hAnsi="Times New Roman" w:eastAsia="宋体"/>
                <w:color w:val="auto"/>
                <w:sz w:val="24"/>
                <w:highlight w:val="none"/>
              </w:rPr>
              <w:t>套</w:t>
            </w:r>
          </w:p>
        </w:tc>
      </w:tr>
    </w:tbl>
    <w:p>
      <w:pPr>
        <w:spacing w:line="360" w:lineRule="auto"/>
        <w:rPr>
          <w:rFonts w:hAnsi="宋体"/>
          <w:b/>
          <w:color w:val="auto"/>
          <w:sz w:val="24"/>
          <w:highlight w:val="none"/>
        </w:rPr>
      </w:pPr>
    </w:p>
    <w:p>
      <w:pPr>
        <w:numPr>
          <w:ilvl w:val="0"/>
          <w:numId w:val="18"/>
        </w:numPr>
        <w:spacing w:line="360" w:lineRule="auto"/>
        <w:rPr>
          <w:rFonts w:hAnsi="宋体"/>
          <w:b/>
          <w:color w:val="auto"/>
          <w:sz w:val="24"/>
          <w:highlight w:val="none"/>
        </w:rPr>
      </w:pPr>
      <w:r>
        <w:rPr>
          <w:rFonts w:hAnsi="宋体"/>
          <w:b/>
          <w:color w:val="auto"/>
          <w:sz w:val="24"/>
          <w:highlight w:val="none"/>
        </w:rPr>
        <w:t>技术参数：</w:t>
      </w:r>
    </w:p>
    <w:p>
      <w:pPr>
        <w:snapToGrid w:val="0"/>
        <w:spacing w:line="360" w:lineRule="auto"/>
        <w:textAlignment w:val="center"/>
        <w:rPr>
          <w:rFonts w:ascii="宋体" w:hAnsi="宋体"/>
          <w:b/>
          <w:bCs/>
          <w:color w:val="auto"/>
          <w:sz w:val="24"/>
        </w:rPr>
      </w:pPr>
      <w:r>
        <w:rPr>
          <w:rFonts w:hint="eastAsia" w:ascii="宋体" w:hAnsi="宋体"/>
          <w:b/>
          <w:bCs/>
          <w:color w:val="auto"/>
          <w:sz w:val="24"/>
          <w:highlight w:val="none"/>
        </w:rPr>
        <w:t>1.工作条件：</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1.1 适于在气温为摄氏-40℃～＋50℃和相对湿度为 80％的环境条件下运输和贮存。</w:t>
      </w:r>
    </w:p>
    <w:p>
      <w:pPr>
        <w:snapToGrid w:val="0"/>
        <w:spacing w:line="360" w:lineRule="auto"/>
        <w:ind w:firstLine="240" w:firstLineChars="100"/>
        <w:textAlignment w:val="center"/>
        <w:rPr>
          <w:rFonts w:ascii="宋体" w:hAnsi="宋体"/>
          <w:color w:val="auto"/>
          <w:sz w:val="24"/>
        </w:rPr>
      </w:pPr>
      <w:r>
        <w:rPr>
          <w:rFonts w:ascii="宋体" w:hAnsi="宋体"/>
          <w:color w:val="auto"/>
          <w:sz w:val="24"/>
        </w:rPr>
        <w:t xml:space="preserve">1.2 </w:t>
      </w:r>
      <w:r>
        <w:rPr>
          <w:rFonts w:hint="eastAsia" w:ascii="宋体" w:hAnsi="宋体"/>
          <w:color w:val="auto"/>
          <w:sz w:val="24"/>
        </w:rPr>
        <w:t>适于在电源</w:t>
      </w:r>
      <w:r>
        <w:rPr>
          <w:rFonts w:ascii="宋体" w:hAnsi="宋体"/>
          <w:color w:val="auto"/>
          <w:sz w:val="24"/>
        </w:rPr>
        <w:t xml:space="preserve"> 220V</w:t>
      </w:r>
      <w:r>
        <w:rPr>
          <w:rFonts w:hint="eastAsia" w:ascii="宋体" w:hAnsi="宋体"/>
          <w:color w:val="auto"/>
          <w:sz w:val="24"/>
        </w:rPr>
        <w:t>（±</w:t>
      </w:r>
      <w:r>
        <w:rPr>
          <w:rFonts w:ascii="宋体" w:hAnsi="宋体"/>
          <w:color w:val="auto"/>
          <w:sz w:val="24"/>
        </w:rPr>
        <w:t>10</w:t>
      </w:r>
      <w:r>
        <w:rPr>
          <w:rFonts w:hint="eastAsia" w:ascii="宋体" w:hAnsi="宋体"/>
          <w:color w:val="auto"/>
          <w:sz w:val="24"/>
        </w:rPr>
        <w:t>％）</w:t>
      </w:r>
      <w:r>
        <w:rPr>
          <w:rFonts w:ascii="宋体" w:hAnsi="宋体"/>
          <w:color w:val="auto"/>
          <w:sz w:val="24"/>
        </w:rPr>
        <w:t>/50Hz</w:t>
      </w:r>
      <w:r>
        <w:rPr>
          <w:rFonts w:hint="eastAsia" w:ascii="宋体" w:hAnsi="宋体"/>
          <w:color w:val="auto"/>
          <w:sz w:val="24"/>
        </w:rPr>
        <w:t>、气温摄氏</w:t>
      </w:r>
      <w:r>
        <w:rPr>
          <w:rFonts w:ascii="宋体" w:hAnsi="宋体"/>
          <w:color w:val="auto"/>
          <w:sz w:val="24"/>
        </w:rPr>
        <w:t>+15</w:t>
      </w:r>
      <w:r>
        <w:rPr>
          <w:rFonts w:hint="eastAsia" w:ascii="宋体" w:hAnsi="宋体"/>
          <w:color w:val="auto"/>
          <w:sz w:val="24"/>
        </w:rPr>
        <w:t>℃～+</w:t>
      </w:r>
      <w:r>
        <w:rPr>
          <w:rFonts w:ascii="宋体" w:hAnsi="宋体"/>
          <w:color w:val="auto"/>
          <w:sz w:val="24"/>
        </w:rPr>
        <w:t>30</w:t>
      </w:r>
      <w:r>
        <w:rPr>
          <w:rFonts w:hint="eastAsia" w:ascii="宋体" w:hAnsi="宋体"/>
          <w:color w:val="auto"/>
          <w:sz w:val="24"/>
        </w:rPr>
        <w:t>℃和相对湿度小于</w:t>
      </w:r>
      <w:r>
        <w:rPr>
          <w:rFonts w:ascii="宋体" w:hAnsi="宋体"/>
          <w:color w:val="auto"/>
          <w:sz w:val="24"/>
        </w:rPr>
        <w:t>70</w:t>
      </w:r>
      <w:r>
        <w:rPr>
          <w:rFonts w:hint="eastAsia" w:ascii="宋体" w:hAnsi="宋体"/>
          <w:color w:val="auto"/>
          <w:sz w:val="24"/>
        </w:rPr>
        <w:t>％的环境条件下运行。能够连续正常工作。</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 xml:space="preserve">1.3 配置符合中国有关标准要求的插头，如果没有这样的插头，则需提供适当的转换插座。 </w:t>
      </w:r>
    </w:p>
    <w:p>
      <w:pPr>
        <w:snapToGrid w:val="0"/>
        <w:spacing w:line="360" w:lineRule="auto"/>
        <w:textAlignment w:val="center"/>
        <w:rPr>
          <w:rFonts w:ascii="宋体" w:hAnsi="宋体"/>
          <w:b/>
          <w:bCs/>
          <w:color w:val="auto"/>
          <w:sz w:val="24"/>
        </w:rPr>
      </w:pPr>
      <w:r>
        <w:rPr>
          <w:rFonts w:hint="eastAsia" w:ascii="宋体" w:hAnsi="宋体"/>
          <w:b/>
          <w:bCs/>
          <w:color w:val="auto"/>
          <w:sz w:val="24"/>
        </w:rPr>
        <w:t xml:space="preserve">2.设备用途： </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2.1 高速原子力显微镜系统，用来在溶液下对生物大分子（蛋白、DNA、RNA、病毒等）、细胞等进行高速高分辨三维成像，测量分子与分子之间的相互作用力，特异性生物大分子的识别与定位。</w:t>
      </w:r>
    </w:p>
    <w:p>
      <w:pPr>
        <w:snapToGrid w:val="0"/>
        <w:spacing w:line="360" w:lineRule="auto"/>
        <w:textAlignment w:val="center"/>
        <w:rPr>
          <w:rFonts w:ascii="宋体" w:hAnsi="宋体"/>
          <w:b/>
          <w:bCs/>
          <w:color w:val="auto"/>
          <w:sz w:val="24"/>
        </w:rPr>
      </w:pPr>
      <w:r>
        <w:rPr>
          <w:rFonts w:hint="eastAsia" w:ascii="宋体" w:hAnsi="宋体"/>
          <w:b/>
          <w:bCs/>
          <w:color w:val="auto"/>
          <w:sz w:val="24"/>
        </w:rPr>
        <w:t>3.高速原子力显微镜模块</w:t>
      </w:r>
    </w:p>
    <w:p>
      <w:pPr>
        <w:snapToGrid w:val="0"/>
        <w:spacing w:line="360" w:lineRule="auto"/>
        <w:ind w:firstLine="240" w:firstLineChars="100"/>
        <w:textAlignment w:val="center"/>
        <w:rPr>
          <w:rFonts w:hint="eastAsia" w:ascii="宋体" w:hAnsi="宋体"/>
          <w:color w:val="auto"/>
          <w:sz w:val="24"/>
        </w:rPr>
      </w:pPr>
      <w:r>
        <w:rPr>
          <w:rFonts w:hint="eastAsia" w:ascii="宋体" w:hAnsi="宋体"/>
          <w:color w:val="auto"/>
          <w:sz w:val="24"/>
        </w:rPr>
        <w:t>3</w:t>
      </w:r>
      <w:r>
        <w:rPr>
          <w:rFonts w:ascii="宋体" w:hAnsi="宋体"/>
          <w:color w:val="auto"/>
          <w:sz w:val="24"/>
        </w:rPr>
        <w:t>.1</w:t>
      </w:r>
      <w:r>
        <w:rPr>
          <w:rFonts w:hint="eastAsia" w:ascii="宋体" w:hAnsi="宋体"/>
          <w:color w:val="auto"/>
          <w:sz w:val="24"/>
        </w:rPr>
        <w:t>生物大分子或者待检测物质无需特殊标记，即可在液体或大气环境下实时进行成像观测。成像分辨率不低于2nm。</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3.</w:t>
      </w:r>
      <w:r>
        <w:rPr>
          <w:rFonts w:ascii="宋体" w:hAnsi="宋体"/>
          <w:color w:val="auto"/>
          <w:sz w:val="24"/>
        </w:rPr>
        <w:t xml:space="preserve">2 </w:t>
      </w:r>
      <w:r>
        <w:rPr>
          <w:rFonts w:hint="eastAsia" w:ascii="宋体" w:hAnsi="宋体"/>
          <w:color w:val="auto"/>
          <w:sz w:val="24"/>
        </w:rPr>
        <w:t>检测模式: 扫描管移动扫描的轻敲模式，多种成像模式共同探测。</w:t>
      </w:r>
    </w:p>
    <w:p>
      <w:pPr>
        <w:snapToGrid w:val="0"/>
        <w:spacing w:line="360" w:lineRule="auto"/>
        <w:textAlignment w:val="center"/>
        <w:rPr>
          <w:rFonts w:hint="eastAsia" w:ascii="宋体" w:hAnsi="宋体"/>
          <w:color w:val="auto"/>
          <w:sz w:val="24"/>
        </w:rPr>
      </w:pPr>
      <w:r>
        <w:rPr>
          <w:rFonts w:hint="eastAsia" w:ascii="宋体" w:hAnsi="宋体"/>
          <w:color w:val="auto"/>
          <w:sz w:val="24"/>
        </w:rPr>
        <w:t>★3</w:t>
      </w:r>
      <w:r>
        <w:rPr>
          <w:rFonts w:ascii="宋体" w:hAnsi="宋体"/>
          <w:color w:val="auto"/>
          <w:sz w:val="24"/>
        </w:rPr>
        <w:t xml:space="preserve">.3 </w:t>
      </w:r>
      <w:r>
        <w:rPr>
          <w:rFonts w:hint="eastAsia" w:ascii="宋体" w:hAnsi="宋体"/>
          <w:color w:val="auto"/>
          <w:sz w:val="24"/>
        </w:rPr>
        <w:t>配置适用于大分子、细菌、活细胞等的专用扫描台及扫描模式。</w:t>
      </w:r>
    </w:p>
    <w:p>
      <w:pPr>
        <w:snapToGrid w:val="0"/>
        <w:spacing w:line="360" w:lineRule="auto"/>
        <w:textAlignment w:val="center"/>
        <w:rPr>
          <w:rFonts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 xml:space="preserve"> 用于生物大分子的标准扫描管扫描模式：</w:t>
      </w:r>
    </w:p>
    <w:p>
      <w:pPr>
        <w:snapToGrid w:val="0"/>
        <w:spacing w:line="360" w:lineRule="auto"/>
        <w:textAlignment w:val="center"/>
        <w:rPr>
          <w:rFonts w:ascii="宋体" w:hAnsi="宋体"/>
          <w:color w:val="auto"/>
          <w:sz w:val="24"/>
        </w:rPr>
      </w:pPr>
      <w:r>
        <w:rPr>
          <w:rFonts w:hint="eastAsia" w:ascii="宋体" w:hAnsi="宋体"/>
          <w:color w:val="auto"/>
          <w:sz w:val="24"/>
        </w:rPr>
        <w:t>最高扫描成像速度不小于2</w:t>
      </w:r>
      <w:r>
        <w:rPr>
          <w:rFonts w:ascii="宋体" w:hAnsi="宋体"/>
          <w:color w:val="auto"/>
          <w:sz w:val="24"/>
        </w:rPr>
        <w:t>0</w:t>
      </w:r>
      <w:r>
        <w:rPr>
          <w:rFonts w:hint="eastAsia" w:ascii="宋体" w:hAnsi="宋体"/>
          <w:color w:val="auto"/>
          <w:sz w:val="24"/>
        </w:rPr>
        <w:t>帧/秒，线扫速度不小于2</w:t>
      </w:r>
      <w:r>
        <w:rPr>
          <w:rFonts w:ascii="宋体" w:hAnsi="宋体"/>
          <w:color w:val="auto"/>
          <w:sz w:val="24"/>
        </w:rPr>
        <w:t>00</w:t>
      </w:r>
      <w:r>
        <w:rPr>
          <w:rFonts w:hint="eastAsia" w:ascii="宋体" w:hAnsi="宋体"/>
          <w:color w:val="auto"/>
          <w:sz w:val="24"/>
        </w:rPr>
        <w:t xml:space="preserve">行/秒，扫描尺度不小于500nm×500nm（XY方向），300纳米（Z方向）。 </w:t>
      </w:r>
    </w:p>
    <w:p>
      <w:pPr>
        <w:snapToGrid w:val="0"/>
        <w:spacing w:line="360" w:lineRule="auto"/>
        <w:textAlignment w:val="center"/>
        <w:rPr>
          <w:rFonts w:hint="eastAsia" w:ascii="宋体" w:hAnsi="宋体"/>
          <w:color w:val="auto"/>
          <w:sz w:val="24"/>
        </w:rPr>
      </w:pPr>
      <w:r>
        <w:rPr>
          <w:rFonts w:hint="eastAsia" w:ascii="宋体" w:hAnsi="宋体"/>
          <w:color w:val="auto"/>
          <w:sz w:val="24"/>
        </w:rPr>
        <w:t>▲3</w:t>
      </w:r>
      <w:r>
        <w:rPr>
          <w:rFonts w:ascii="宋体" w:hAnsi="宋体"/>
          <w:color w:val="auto"/>
          <w:sz w:val="24"/>
        </w:rPr>
        <w:t xml:space="preserve">.5 </w:t>
      </w:r>
      <w:r>
        <w:rPr>
          <w:rFonts w:hint="eastAsia" w:ascii="宋体" w:hAnsi="宋体"/>
          <w:color w:val="auto"/>
          <w:sz w:val="24"/>
        </w:rPr>
        <w:t>配套探测所需探针需适合生物大分子，尤其是蛋白质或者DNA。需提供相关数据证明。</w:t>
      </w:r>
    </w:p>
    <w:p>
      <w:pPr>
        <w:snapToGrid w:val="0"/>
        <w:spacing w:line="360" w:lineRule="auto"/>
        <w:textAlignment w:val="center"/>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探针弹性系数不大于0.1 N/m；曲率半径不大于10nm；共振频率400-600kHz（液体环境下）。</w:t>
      </w:r>
    </w:p>
    <w:p>
      <w:pPr>
        <w:snapToGrid w:val="0"/>
        <w:spacing w:line="360" w:lineRule="auto"/>
        <w:ind w:firstLine="240" w:firstLineChars="100"/>
        <w:textAlignment w:val="center"/>
        <w:rPr>
          <w:rFonts w:hint="eastAsia" w:ascii="宋体" w:hAnsi="宋体"/>
          <w:color w:val="auto"/>
          <w:sz w:val="24"/>
        </w:rPr>
      </w:pPr>
      <w:r>
        <w:rPr>
          <w:rFonts w:ascii="宋体" w:hAnsi="宋体"/>
          <w:color w:val="auto"/>
          <w:sz w:val="24"/>
        </w:rPr>
        <w:t xml:space="preserve">3.7 </w:t>
      </w:r>
      <w:r>
        <w:rPr>
          <w:rFonts w:hint="eastAsia" w:ascii="宋体" w:hAnsi="宋体"/>
          <w:color w:val="auto"/>
          <w:sz w:val="24"/>
        </w:rPr>
        <w:t>样品台扫描，XYZ三轴扫描台独立控制，满足高速扫描需求。</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3</w:t>
      </w:r>
      <w:r>
        <w:rPr>
          <w:rFonts w:ascii="宋体" w:hAnsi="宋体"/>
          <w:color w:val="auto"/>
          <w:sz w:val="24"/>
        </w:rPr>
        <w:t xml:space="preserve">.8 </w:t>
      </w:r>
      <w:r>
        <w:rPr>
          <w:rFonts w:hint="eastAsia" w:ascii="宋体" w:hAnsi="宋体"/>
          <w:color w:val="auto"/>
          <w:sz w:val="24"/>
        </w:rPr>
        <w:t xml:space="preserve">具备动态PID反馈，实时调整增益。悬臂探针自动漂移校准，适用于长时间样品观测。 </w:t>
      </w:r>
    </w:p>
    <w:p>
      <w:pPr>
        <w:snapToGrid w:val="0"/>
        <w:spacing w:line="360" w:lineRule="auto"/>
        <w:ind w:firstLine="240" w:firstLineChars="100"/>
        <w:textAlignment w:val="center"/>
        <w:rPr>
          <w:rFonts w:hint="eastAsia" w:ascii="宋体" w:hAnsi="宋体"/>
          <w:color w:val="auto"/>
          <w:sz w:val="24"/>
        </w:rPr>
      </w:pPr>
      <w:r>
        <w:rPr>
          <w:rFonts w:hint="eastAsia" w:ascii="宋体" w:hAnsi="宋体"/>
          <w:color w:val="auto"/>
          <w:sz w:val="24"/>
        </w:rPr>
        <w:t>3.</w:t>
      </w:r>
      <w:r>
        <w:rPr>
          <w:rFonts w:ascii="宋体" w:hAnsi="宋体"/>
          <w:color w:val="auto"/>
          <w:sz w:val="24"/>
        </w:rPr>
        <w:t>9</w:t>
      </w:r>
      <w:r>
        <w:rPr>
          <w:rFonts w:hint="eastAsia" w:ascii="宋体" w:hAnsi="宋体"/>
          <w:color w:val="auto"/>
          <w:sz w:val="24"/>
        </w:rPr>
        <w:t xml:space="preserve"> 频谱放大器：差分频谱放大器，傅里叶变换分析系统确保信号准确。</w:t>
      </w:r>
    </w:p>
    <w:p>
      <w:pPr>
        <w:snapToGrid w:val="0"/>
        <w:spacing w:line="360" w:lineRule="auto"/>
        <w:ind w:firstLine="240" w:firstLineChars="100"/>
        <w:textAlignment w:val="center"/>
        <w:rPr>
          <w:rFonts w:hint="eastAsia" w:ascii="宋体" w:hAnsi="宋体"/>
          <w:color w:val="auto"/>
          <w:sz w:val="24"/>
        </w:rPr>
      </w:pPr>
      <w:r>
        <w:rPr>
          <w:rFonts w:hint="eastAsia" w:ascii="宋体" w:hAnsi="宋体"/>
          <w:color w:val="auto"/>
          <w:sz w:val="24"/>
        </w:rPr>
        <w:t>3.</w:t>
      </w:r>
      <w:r>
        <w:rPr>
          <w:rFonts w:ascii="宋体" w:hAnsi="宋体"/>
          <w:color w:val="auto"/>
          <w:sz w:val="24"/>
        </w:rPr>
        <w:t>10</w:t>
      </w:r>
      <w:r>
        <w:rPr>
          <w:rFonts w:hint="eastAsia" w:ascii="宋体" w:hAnsi="宋体"/>
          <w:color w:val="auto"/>
          <w:sz w:val="24"/>
        </w:rPr>
        <w:t xml:space="preserve"> 具备主动扫描驱动漂移校正系统。</w:t>
      </w:r>
    </w:p>
    <w:p>
      <w:pPr>
        <w:snapToGrid w:val="0"/>
        <w:spacing w:line="360" w:lineRule="auto"/>
        <w:textAlignment w:val="center"/>
        <w:rPr>
          <w:rFonts w:ascii="宋体" w:hAnsi="宋体"/>
          <w:color w:val="auto"/>
          <w:sz w:val="24"/>
        </w:rPr>
      </w:pPr>
      <w:r>
        <w:rPr>
          <w:rFonts w:hint="eastAsia" w:ascii="宋体" w:hAnsi="宋体"/>
          <w:color w:val="auto"/>
          <w:sz w:val="24"/>
        </w:rPr>
        <w:t>▲3.</w:t>
      </w:r>
      <w:r>
        <w:rPr>
          <w:rFonts w:ascii="宋体" w:hAnsi="宋体"/>
          <w:color w:val="auto"/>
          <w:sz w:val="24"/>
        </w:rPr>
        <w:t>11</w:t>
      </w:r>
      <w:r>
        <w:rPr>
          <w:rFonts w:hint="eastAsia" w:ascii="宋体" w:hAnsi="宋体"/>
          <w:color w:val="auto"/>
          <w:sz w:val="24"/>
        </w:rPr>
        <w:t xml:space="preserve"> 用于细菌及病毒等微生物的大尺度扫描模式：</w:t>
      </w:r>
    </w:p>
    <w:p>
      <w:pPr>
        <w:snapToGrid w:val="0"/>
        <w:spacing w:line="360" w:lineRule="auto"/>
        <w:textAlignment w:val="center"/>
        <w:rPr>
          <w:rFonts w:ascii="宋体" w:hAnsi="宋体"/>
          <w:color w:val="auto"/>
          <w:sz w:val="24"/>
        </w:rPr>
      </w:pPr>
      <w:r>
        <w:rPr>
          <w:rFonts w:hint="eastAsia" w:ascii="宋体" w:hAnsi="宋体"/>
          <w:color w:val="auto"/>
          <w:sz w:val="24"/>
        </w:rPr>
        <w:t>高扫描成像速度不小于1帧/秒，扫描尺寸不小于 4微米×4微米（XY方向），0.5微米（Z方向）。</w:t>
      </w:r>
    </w:p>
    <w:p>
      <w:pPr>
        <w:snapToGrid w:val="0"/>
        <w:spacing w:line="360" w:lineRule="auto"/>
        <w:textAlignment w:val="center"/>
        <w:rPr>
          <w:rFonts w:ascii="宋体" w:hAnsi="宋体"/>
          <w:color w:val="auto"/>
          <w:sz w:val="24"/>
        </w:rPr>
      </w:pPr>
      <w:r>
        <w:rPr>
          <w:rFonts w:hint="eastAsia" w:ascii="宋体" w:hAnsi="宋体"/>
          <w:color w:val="auto"/>
          <w:sz w:val="24"/>
        </w:rPr>
        <w:t>▲3.</w:t>
      </w:r>
      <w:r>
        <w:rPr>
          <w:rFonts w:ascii="宋体" w:hAnsi="宋体"/>
          <w:color w:val="auto"/>
          <w:sz w:val="24"/>
        </w:rPr>
        <w:t>12</w:t>
      </w:r>
      <w:r>
        <w:rPr>
          <w:rFonts w:hint="eastAsia" w:ascii="宋体" w:hAnsi="宋体"/>
          <w:color w:val="auto"/>
          <w:sz w:val="24"/>
        </w:rPr>
        <w:t xml:space="preserve"> 用于活细胞成像超大尺度扫描模式：</w:t>
      </w:r>
    </w:p>
    <w:p>
      <w:pPr>
        <w:snapToGrid w:val="0"/>
        <w:spacing w:line="360" w:lineRule="auto"/>
        <w:textAlignment w:val="center"/>
        <w:rPr>
          <w:rFonts w:ascii="宋体" w:hAnsi="宋体"/>
          <w:color w:val="auto"/>
          <w:sz w:val="24"/>
        </w:rPr>
      </w:pPr>
      <w:r>
        <w:rPr>
          <w:rFonts w:hint="eastAsia" w:ascii="宋体" w:hAnsi="宋体"/>
          <w:color w:val="auto"/>
          <w:sz w:val="24"/>
        </w:rPr>
        <w:t>高扫描成像速度不小于 0.1帧/秒，扫描尺寸不小于</w:t>
      </w:r>
      <w:r>
        <w:rPr>
          <w:rFonts w:ascii="宋体" w:hAnsi="宋体"/>
          <w:color w:val="auto"/>
          <w:sz w:val="24"/>
        </w:rPr>
        <w:t>2</w:t>
      </w:r>
      <w:r>
        <w:rPr>
          <w:rFonts w:hint="eastAsia" w:ascii="宋体" w:hAnsi="宋体"/>
          <w:color w:val="auto"/>
          <w:sz w:val="24"/>
        </w:rPr>
        <w:t>0微米×</w:t>
      </w:r>
      <w:r>
        <w:rPr>
          <w:rFonts w:ascii="宋体" w:hAnsi="宋体"/>
          <w:color w:val="auto"/>
          <w:sz w:val="24"/>
        </w:rPr>
        <w:t>2</w:t>
      </w:r>
      <w:r>
        <w:rPr>
          <w:rFonts w:hint="eastAsia" w:ascii="宋体" w:hAnsi="宋体"/>
          <w:color w:val="auto"/>
          <w:sz w:val="24"/>
        </w:rPr>
        <w:t xml:space="preserve">0微米（XY方向），1.2微米（Z方向）。 </w:t>
      </w:r>
    </w:p>
    <w:p>
      <w:pPr>
        <w:snapToGrid w:val="0"/>
        <w:spacing w:line="360" w:lineRule="auto"/>
        <w:textAlignment w:val="center"/>
        <w:rPr>
          <w:rFonts w:ascii="宋体" w:hAnsi="宋体"/>
          <w:b/>
          <w:bCs/>
          <w:color w:val="auto"/>
          <w:sz w:val="24"/>
        </w:rPr>
      </w:pPr>
      <w:r>
        <w:rPr>
          <w:rFonts w:hint="eastAsia" w:ascii="宋体" w:hAnsi="宋体"/>
          <w:b/>
          <w:bCs/>
          <w:color w:val="auto"/>
          <w:sz w:val="24"/>
          <w:lang w:val="en-US" w:eastAsia="zh-CN"/>
        </w:rPr>
        <w:t>4</w:t>
      </w:r>
      <w:r>
        <w:rPr>
          <w:rFonts w:hint="eastAsia" w:ascii="宋体" w:hAnsi="宋体"/>
          <w:b/>
          <w:bCs/>
          <w:color w:val="auto"/>
          <w:sz w:val="24"/>
        </w:rPr>
        <w:t>.专用微流控模块：</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可快速替换样品池中的组分，以改变其成分及pH；</w:t>
      </w:r>
    </w:p>
    <w:p>
      <w:pPr>
        <w:snapToGrid w:val="0"/>
        <w:spacing w:line="360" w:lineRule="auto"/>
        <w:textAlignment w:val="center"/>
        <w:rPr>
          <w:rFonts w:ascii="宋体" w:hAnsi="宋体"/>
          <w:b/>
          <w:bCs/>
          <w:color w:val="auto"/>
          <w:sz w:val="24"/>
        </w:rPr>
      </w:pPr>
      <w:r>
        <w:rPr>
          <w:rFonts w:hint="eastAsia" w:ascii="宋体" w:hAnsi="宋体"/>
          <w:b/>
          <w:bCs/>
          <w:color w:val="auto"/>
          <w:sz w:val="24"/>
          <w:lang w:val="en-US" w:eastAsia="zh-CN"/>
        </w:rPr>
        <w:t>5</w:t>
      </w:r>
      <w:r>
        <w:rPr>
          <w:rFonts w:hint="eastAsia" w:ascii="宋体" w:hAnsi="宋体"/>
          <w:b/>
          <w:bCs/>
          <w:color w:val="auto"/>
          <w:sz w:val="24"/>
        </w:rPr>
        <w:t>.加热模块：</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室温至50℃连续可调；</w:t>
      </w:r>
    </w:p>
    <w:p>
      <w:pPr>
        <w:snapToGrid w:val="0"/>
        <w:spacing w:line="360" w:lineRule="auto"/>
        <w:textAlignment w:val="center"/>
        <w:rPr>
          <w:rFonts w:ascii="宋体" w:hAnsi="宋体"/>
          <w:b/>
          <w:bCs/>
          <w:color w:val="auto"/>
          <w:sz w:val="24"/>
        </w:rPr>
      </w:pPr>
      <w:r>
        <w:rPr>
          <w:rFonts w:hint="eastAsia" w:ascii="宋体" w:hAnsi="宋体"/>
          <w:b/>
          <w:bCs/>
          <w:color w:val="auto"/>
          <w:sz w:val="24"/>
          <w:lang w:val="en-US" w:eastAsia="zh-CN"/>
        </w:rPr>
        <w:t>6</w:t>
      </w:r>
      <w:r>
        <w:rPr>
          <w:rFonts w:hint="eastAsia" w:ascii="宋体" w:hAnsi="宋体"/>
          <w:b/>
          <w:bCs/>
          <w:color w:val="auto"/>
          <w:sz w:val="24"/>
        </w:rPr>
        <w:t>.紫外光学系统：</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rPr>
        <w:t>可以将紫外光整合导入到原子力显微镜的扫描探针部位。</w:t>
      </w:r>
    </w:p>
    <w:p>
      <w:pPr>
        <w:snapToGrid w:val="0"/>
        <w:spacing w:line="360" w:lineRule="auto"/>
        <w:textAlignment w:val="center"/>
        <w:rPr>
          <w:rFonts w:ascii="宋体" w:hAnsi="宋体"/>
          <w:b/>
          <w:bCs/>
          <w:color w:val="auto"/>
          <w:sz w:val="24"/>
        </w:rPr>
      </w:pPr>
      <w:r>
        <w:rPr>
          <w:rFonts w:hint="eastAsia" w:ascii="宋体" w:hAnsi="宋体"/>
          <w:b/>
          <w:bCs/>
          <w:color w:val="auto"/>
          <w:sz w:val="24"/>
          <w:lang w:val="en-US" w:eastAsia="zh-CN"/>
        </w:rPr>
        <w:t>7</w:t>
      </w:r>
      <w:r>
        <w:rPr>
          <w:rFonts w:hint="eastAsia" w:ascii="宋体" w:hAnsi="宋体"/>
          <w:b/>
          <w:bCs/>
          <w:color w:val="auto"/>
          <w:sz w:val="24"/>
        </w:rPr>
        <w:t>.荧光成像模块：</w:t>
      </w:r>
    </w:p>
    <w:p>
      <w:pPr>
        <w:snapToGrid w:val="0"/>
        <w:spacing w:line="360" w:lineRule="auto"/>
        <w:textAlignment w:val="center"/>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ascii="宋体" w:hAnsi="宋体"/>
          <w:color w:val="auto"/>
          <w:sz w:val="24"/>
        </w:rPr>
        <w:t xml:space="preserve">.1 </w:t>
      </w:r>
      <w:r>
        <w:rPr>
          <w:rFonts w:hint="eastAsia" w:ascii="宋体" w:hAnsi="宋体"/>
          <w:color w:val="auto"/>
          <w:sz w:val="24"/>
        </w:rPr>
        <w:t>能够进行荧光成像，具备荧光模块；照明模式：明场、荧光；荧光波长范围：340nm至650 nm；</w:t>
      </w:r>
    </w:p>
    <w:p>
      <w:pPr>
        <w:snapToGrid w:val="0"/>
        <w:spacing w:line="360" w:lineRule="auto"/>
        <w:ind w:firstLine="240" w:firstLineChars="100"/>
        <w:textAlignment w:val="center"/>
        <w:rPr>
          <w:rFonts w:hint="eastAsia" w:ascii="宋体" w:hAnsi="宋体"/>
          <w:color w:val="auto"/>
          <w:sz w:val="24"/>
        </w:rPr>
      </w:pPr>
      <w:r>
        <w:rPr>
          <w:rFonts w:hint="eastAsia" w:ascii="宋体" w:hAnsi="宋体"/>
          <w:color w:val="auto"/>
          <w:sz w:val="24"/>
          <w:lang w:val="en-US" w:eastAsia="zh-CN"/>
        </w:rPr>
        <w:t>7</w:t>
      </w:r>
      <w:r>
        <w:rPr>
          <w:rFonts w:ascii="宋体" w:hAnsi="宋体"/>
          <w:color w:val="auto"/>
          <w:sz w:val="24"/>
        </w:rPr>
        <w:t xml:space="preserve">.2 </w:t>
      </w:r>
      <w:r>
        <w:rPr>
          <w:rFonts w:hint="eastAsia" w:ascii="宋体" w:hAnsi="宋体"/>
          <w:color w:val="auto"/>
          <w:sz w:val="24"/>
        </w:rPr>
        <w:t>配套相应的滤光片，可对常规的荧光染料如DAPI、GFP、Cy3、m</w:t>
      </w:r>
      <w:r>
        <w:rPr>
          <w:rFonts w:ascii="宋体" w:hAnsi="宋体"/>
          <w:color w:val="auto"/>
          <w:sz w:val="24"/>
        </w:rPr>
        <w:t>C</w:t>
      </w:r>
      <w:r>
        <w:rPr>
          <w:rFonts w:hint="eastAsia" w:ascii="宋体" w:hAnsi="宋体"/>
          <w:color w:val="auto"/>
          <w:sz w:val="24"/>
        </w:rPr>
        <w:t>herry、AF647等进行激发及收集。</w:t>
      </w:r>
    </w:p>
    <w:p>
      <w:pPr>
        <w:snapToGrid w:val="0"/>
        <w:spacing w:line="360" w:lineRule="auto"/>
        <w:textAlignment w:val="center"/>
        <w:rPr>
          <w:rFonts w:ascii="宋体" w:hAnsi="宋体"/>
          <w:color w:val="auto"/>
          <w:sz w:val="24"/>
        </w:rPr>
      </w:pPr>
      <w:r>
        <w:rPr>
          <w:rFonts w:hint="eastAsia" w:ascii="宋体" w:hAnsi="宋体"/>
          <w:b/>
          <w:bCs/>
          <w:color w:val="auto"/>
          <w:sz w:val="24"/>
          <w:lang w:val="en-US" w:eastAsia="zh-CN"/>
        </w:rPr>
        <w:t>8</w:t>
      </w:r>
      <w:r>
        <w:rPr>
          <w:rFonts w:hint="eastAsia" w:ascii="宋体" w:hAnsi="宋体"/>
          <w:b/>
          <w:bCs/>
          <w:color w:val="auto"/>
          <w:sz w:val="24"/>
        </w:rPr>
        <w:t>.减震系统：</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lang w:val="en-US" w:eastAsia="zh-CN"/>
        </w:rPr>
        <w:t>8</w:t>
      </w:r>
      <w:r>
        <w:rPr>
          <w:rFonts w:ascii="宋体" w:hAnsi="宋体"/>
          <w:color w:val="auto"/>
          <w:sz w:val="24"/>
        </w:rPr>
        <w:t xml:space="preserve">.1 </w:t>
      </w:r>
      <w:r>
        <w:rPr>
          <w:rFonts w:hint="eastAsia" w:ascii="宋体" w:hAnsi="宋体"/>
          <w:color w:val="auto"/>
          <w:sz w:val="24"/>
        </w:rPr>
        <w:t>防震台：宽带阻尼结构工作桌面，可消除表面共振；尺寸≥0.7m*0.7m,负载≥100 kg； 固有频率：垂直：1.0～2.0Hz 水平：1.0～2.0Hz；振幅：1（um）。</w:t>
      </w:r>
    </w:p>
    <w:p>
      <w:pPr>
        <w:snapToGrid w:val="0"/>
        <w:spacing w:line="360" w:lineRule="auto"/>
        <w:ind w:firstLine="240" w:firstLineChars="100"/>
        <w:textAlignment w:val="center"/>
        <w:rPr>
          <w:rFonts w:ascii="宋体" w:hAnsi="宋体"/>
          <w:color w:val="auto"/>
          <w:sz w:val="24"/>
        </w:rPr>
      </w:pPr>
      <w:r>
        <w:rPr>
          <w:rFonts w:hint="eastAsia" w:ascii="宋体" w:hAnsi="宋体"/>
          <w:color w:val="auto"/>
          <w:sz w:val="24"/>
          <w:lang w:val="en-US" w:eastAsia="zh-CN"/>
        </w:rPr>
        <w:t>8</w:t>
      </w:r>
      <w:r>
        <w:rPr>
          <w:rFonts w:ascii="宋体" w:hAnsi="宋体"/>
          <w:color w:val="auto"/>
          <w:sz w:val="24"/>
        </w:rPr>
        <w:t xml:space="preserve">.2 </w:t>
      </w:r>
      <w:r>
        <w:rPr>
          <w:rFonts w:hint="eastAsia" w:ascii="宋体" w:hAnsi="宋体"/>
          <w:color w:val="auto"/>
          <w:sz w:val="24"/>
        </w:rPr>
        <w:t>气泵：空气源静音空气压缩机不大于5</w:t>
      </w:r>
      <w:r>
        <w:rPr>
          <w:rFonts w:ascii="宋体" w:hAnsi="宋体"/>
          <w:color w:val="auto"/>
          <w:sz w:val="24"/>
        </w:rPr>
        <w:t>0dB</w:t>
      </w:r>
    </w:p>
    <w:p>
      <w:pPr>
        <w:snapToGrid w:val="0"/>
        <w:spacing w:line="360" w:lineRule="auto"/>
        <w:textAlignment w:val="center"/>
        <w:rPr>
          <w:rFonts w:hint="eastAsia" w:ascii="宋体" w:hAnsi="宋体"/>
          <w:b/>
          <w:bCs/>
          <w:color w:val="auto"/>
          <w:sz w:val="24"/>
        </w:rPr>
      </w:pPr>
      <w:r>
        <w:rPr>
          <w:rFonts w:hint="eastAsia" w:ascii="宋体" w:hAnsi="宋体"/>
          <w:b/>
          <w:bCs/>
          <w:color w:val="auto"/>
          <w:sz w:val="24"/>
          <w:lang w:val="en-US" w:eastAsia="zh-CN"/>
        </w:rPr>
        <w:t>9</w:t>
      </w:r>
      <w:r>
        <w:rPr>
          <w:rFonts w:ascii="宋体" w:hAnsi="宋体"/>
          <w:b/>
          <w:bCs/>
          <w:color w:val="auto"/>
          <w:sz w:val="24"/>
        </w:rPr>
        <w:t>.</w:t>
      </w:r>
      <w:r>
        <w:rPr>
          <w:rFonts w:hint="eastAsia" w:ascii="宋体" w:hAnsi="宋体"/>
          <w:b/>
          <w:bCs/>
          <w:color w:val="auto"/>
          <w:sz w:val="24"/>
        </w:rPr>
        <w:t>软件部分：</w:t>
      </w:r>
    </w:p>
    <w:p>
      <w:pPr>
        <w:snapToGrid w:val="0"/>
        <w:spacing w:line="360" w:lineRule="auto"/>
        <w:ind w:firstLine="240" w:firstLineChars="100"/>
        <w:textAlignment w:val="center"/>
        <w:rPr>
          <w:rFonts w:hint="eastAsia" w:ascii="宋体" w:hAnsi="宋体" w:eastAsia="宋体" w:cs="Times New Roman"/>
          <w:color w:val="auto"/>
          <w:sz w:val="24"/>
        </w:rPr>
      </w:pPr>
      <w:r>
        <w:rPr>
          <w:rFonts w:hint="eastAsia" w:ascii="宋体" w:hAnsi="宋体" w:eastAsia="宋体" w:cs="Times New Roman"/>
          <w:color w:val="auto"/>
          <w:sz w:val="24"/>
          <w:lang w:eastAsia="zh-CN"/>
        </w:rPr>
        <w:t>9</w:t>
      </w:r>
      <w:r>
        <w:rPr>
          <w:rFonts w:hint="eastAsia" w:ascii="宋体" w:hAnsi="宋体" w:eastAsia="宋体" w:cs="Times New Roman"/>
          <w:color w:val="auto"/>
          <w:sz w:val="24"/>
        </w:rPr>
        <w:t>.1 仪器采集软件系统：可实时观测采集数据，包括样品形貌，高度，力学信号等。</w:t>
      </w:r>
    </w:p>
    <w:p>
      <w:pPr>
        <w:snapToGrid w:val="0"/>
        <w:ind w:firstLine="240" w:firstLineChars="100"/>
        <w:textAlignment w:val="center"/>
        <w:rPr>
          <w:rFonts w:hint="eastAsia" w:ascii="宋体" w:hAnsi="宋体" w:eastAsia="宋体" w:cs="Times New Roman"/>
          <w:color w:val="auto"/>
          <w:sz w:val="24"/>
        </w:rPr>
      </w:pPr>
      <w:r>
        <w:rPr>
          <w:rFonts w:hint="eastAsia" w:ascii="宋体" w:hAnsi="宋体" w:eastAsia="宋体" w:cs="Times New Roman"/>
          <w:color w:val="auto"/>
          <w:sz w:val="24"/>
          <w:lang w:eastAsia="zh-CN"/>
        </w:rPr>
        <w:t>9</w:t>
      </w:r>
      <w:r>
        <w:rPr>
          <w:rFonts w:hint="eastAsia" w:ascii="宋体" w:hAnsi="宋体" w:eastAsia="宋体" w:cs="Times New Roman"/>
          <w:color w:val="auto"/>
          <w:sz w:val="24"/>
        </w:rPr>
        <w:t>.2 分析软件具备：2D/3D 数据分析；可导出原始数据和分析得到的视频数据。</w:t>
      </w:r>
    </w:p>
    <w:p>
      <w:pPr>
        <w:widowControl/>
        <w:spacing w:line="360" w:lineRule="auto"/>
        <w:ind w:firstLine="0" w:firstLineChars="0"/>
        <w:rPr>
          <w:rFonts w:ascii="宋体" w:hAnsi="宋体"/>
          <w:b/>
          <w:bCs/>
          <w:color w:val="auto"/>
          <w:sz w:val="24"/>
          <w:highlight w:val="none"/>
        </w:rPr>
      </w:pPr>
      <w:r>
        <w:rPr>
          <w:rFonts w:hint="eastAsia" w:ascii="宋体" w:hAnsi="宋体"/>
          <w:b/>
          <w:bCs/>
          <w:color w:val="auto"/>
          <w:sz w:val="24"/>
          <w:highlight w:val="none"/>
        </w:rPr>
        <w:t>四、其他要求</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★1、供货期：</w:t>
      </w:r>
      <w:r>
        <w:rPr>
          <w:rFonts w:hint="eastAsia" w:ascii="宋体" w:hAnsi="宋体" w:cs="宋体"/>
          <w:color w:val="auto"/>
          <w:kern w:val="0"/>
          <w:sz w:val="24"/>
          <w:highlight w:val="none"/>
        </w:rPr>
        <w:t>自签订合同之日起，接到采购人供货通知后150个日历日内货到采购人指定地点安装调试验收合格</w:t>
      </w:r>
      <w:r>
        <w:rPr>
          <w:rFonts w:hint="eastAsia" w:ascii="宋体" w:hAnsi="宋体"/>
          <w:color w:val="auto"/>
          <w:sz w:val="24"/>
          <w:highlight w:val="none"/>
        </w:rPr>
        <w:t>。</w:t>
      </w:r>
    </w:p>
    <w:p>
      <w:pPr>
        <w:pStyle w:val="2"/>
        <w:rPr>
          <w:rFonts w:hint="eastAsia" w:ascii="宋体" w:hAnsi="宋体" w:eastAsia="宋体" w:cs="宋体"/>
          <w:color w:val="auto"/>
          <w:kern w:val="0"/>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eastAsia="宋体" w:cs="宋体"/>
          <w:color w:val="auto"/>
          <w:kern w:val="0"/>
          <w:sz w:val="24"/>
          <w:highlight w:val="none"/>
          <w:lang w:val="en-US" w:eastAsia="zh-CN"/>
        </w:rPr>
        <w:t>质保期：</w:t>
      </w:r>
      <w:r>
        <w:rPr>
          <w:rFonts w:hint="eastAsia" w:ascii="宋体" w:hAnsi="宋体" w:eastAsia="宋体" w:cs="宋体"/>
          <w:color w:val="auto"/>
          <w:kern w:val="0"/>
          <w:sz w:val="24"/>
          <w:highlight w:val="none"/>
        </w:rPr>
        <w:t xml:space="preserve">货到采购方指定地点安装调试验收合格之日起，免费质保期 </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年，质保期内每年提供至少两次上门巡检</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、售后服务要求：</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3.1</w:t>
      </w:r>
      <w:r>
        <w:rPr>
          <w:rFonts w:hint="eastAsia"/>
          <w:color w:val="auto"/>
          <w:sz w:val="24"/>
          <w:lang w:val="zh-CN"/>
        </w:rPr>
        <w:t>设备安装调试：仪器到货后，买方负责提供必要的实验室条件，卖方在接到买方通知的</w:t>
      </w:r>
      <w:r>
        <w:rPr>
          <w:rFonts w:hint="eastAsia"/>
          <w:color w:val="auto"/>
          <w:sz w:val="24"/>
        </w:rPr>
        <w:t>7</w:t>
      </w:r>
      <w:r>
        <w:rPr>
          <w:rFonts w:hint="eastAsia"/>
          <w:color w:val="auto"/>
          <w:sz w:val="24"/>
          <w:lang w:val="zh-CN"/>
        </w:rPr>
        <w:t>个工作日内派人前往负责该设备的安装、调试和操作培训，直至达到各项验收指标合格</w:t>
      </w:r>
      <w:r>
        <w:rPr>
          <w:rFonts w:hint="eastAsia" w:ascii="宋体" w:hAnsi="宋体"/>
          <w:color w:val="auto"/>
          <w:sz w:val="24"/>
          <w:highlight w:val="none"/>
        </w:rPr>
        <w:t>。</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售后响应时间：供应商 24 小时内对用户的报修申请做出响应。一般性问题应在 48小时内解决；对于在 48 小时内无法解决的其它较大的问题，应在 3 天内给以解决；对于在 3 天内不能解决的问题，应提出明确的解决方案，得到用户的认可后，在预定的期限内解决问题，质保期内设备损坏，如 7 天内没解决，则顺应延长设备质保期。</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质保期结束后两年内，供应商免费提供60个工作日的设备使用售后服务，以保证设备交接后的正常使用</w:t>
      </w:r>
      <w:r>
        <w:rPr>
          <w:rFonts w:hint="eastAsia" w:ascii="宋体" w:hAnsi="宋体"/>
          <w:color w:val="auto"/>
          <w:sz w:val="24"/>
          <w:highlight w:val="none"/>
          <w:lang w:val="zh-CN"/>
        </w:rPr>
        <w:t>。</w:t>
      </w:r>
    </w:p>
    <w:p>
      <w:pPr>
        <w:widowControl/>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lang w:val="zh-CN"/>
        </w:rPr>
        <w:t>技术培训：</w:t>
      </w:r>
      <w:r>
        <w:rPr>
          <w:rFonts w:hint="eastAsia"/>
          <w:color w:val="auto"/>
          <w:highlight w:val="none"/>
          <w:lang w:val="zh-CN"/>
        </w:rPr>
        <w:t>卖方负责派专业技术人员到买方所在地进行集中培训，使其能熟练掌握仪器的各项性能（包括硬件和软件），时间不少于</w:t>
      </w:r>
      <w:r>
        <w:rPr>
          <w:rFonts w:hint="eastAsia"/>
          <w:color w:val="auto"/>
          <w:highlight w:val="none"/>
        </w:rPr>
        <w:t>3</w:t>
      </w:r>
      <w:r>
        <w:rPr>
          <w:rFonts w:hint="eastAsia"/>
          <w:color w:val="auto"/>
          <w:highlight w:val="none"/>
          <w:lang w:val="zh-CN"/>
        </w:rPr>
        <w:t>天。在仪器使用集中培训以后，若买方仍有技术问题，卖方在任何时候，都应在</w:t>
      </w:r>
      <w:r>
        <w:rPr>
          <w:rFonts w:hint="eastAsia"/>
          <w:color w:val="auto"/>
          <w:highlight w:val="none"/>
        </w:rPr>
        <w:t>48</w:t>
      </w:r>
      <w:r>
        <w:rPr>
          <w:rFonts w:hint="eastAsia"/>
          <w:color w:val="auto"/>
          <w:highlight w:val="none"/>
          <w:lang w:val="zh-CN"/>
        </w:rPr>
        <w:t>小时以内提供详细技术方案并予以解决。供应商承诺仪器安装完毕、日常使用安全及注意事项培训结束后，指派专业应用工程师在采购人现场对用户操作人员进行设备操作培训，培训时间不少于3天，此外供应商还需提供2次讲座，并保证用户至少2人完全掌握设备的操作。培训内容包括：仪器的技术原理、操作、样品制备，数据分析等。确保采购人可达到独立操作系统软件、硬件完成全过程的操作。设备安装培训可分次进行，由用户指定时间培训完成</w:t>
      </w:r>
      <w:r>
        <w:rPr>
          <w:rFonts w:hint="eastAsia" w:ascii="宋体" w:hAnsi="宋体"/>
          <w:color w:val="auto"/>
          <w:sz w:val="24"/>
          <w:highlight w:val="none"/>
          <w:lang w:val="zh-CN"/>
        </w:rPr>
        <w:t>。</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五、对</w:t>
      </w:r>
      <w:r>
        <w:rPr>
          <w:rFonts w:hint="eastAsia" w:ascii="宋体" w:hAnsi="宋体"/>
          <w:b/>
          <w:color w:val="auto"/>
          <w:sz w:val="24"/>
          <w:highlight w:val="none"/>
          <w:lang w:eastAsia="zh-CN"/>
        </w:rPr>
        <w:t>成交人</w:t>
      </w:r>
      <w:r>
        <w:rPr>
          <w:rFonts w:hint="eastAsia" w:ascii="宋体" w:hAnsi="宋体"/>
          <w:b/>
          <w:color w:val="auto"/>
          <w:sz w:val="24"/>
          <w:highlight w:val="none"/>
        </w:rPr>
        <w:t>的其他要求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成交人</w:t>
      </w:r>
      <w:r>
        <w:rPr>
          <w:rFonts w:hint="eastAsia" w:ascii="宋体" w:hAnsi="宋体"/>
          <w:color w:val="auto"/>
          <w:sz w:val="24"/>
          <w:highlight w:val="none"/>
        </w:rPr>
        <w:t>不得将本项目转包给第三方，如发现转包，</w:t>
      </w:r>
      <w:r>
        <w:rPr>
          <w:rFonts w:hint="eastAsia" w:ascii="宋体" w:hAnsi="宋体"/>
          <w:color w:val="auto"/>
          <w:sz w:val="24"/>
          <w:highlight w:val="none"/>
          <w:lang w:eastAsia="zh-CN"/>
        </w:rPr>
        <w:t>成交人</w:t>
      </w:r>
      <w:r>
        <w:rPr>
          <w:rFonts w:hint="eastAsia" w:ascii="宋体" w:hAnsi="宋体"/>
          <w:color w:val="auto"/>
          <w:sz w:val="24"/>
          <w:highlight w:val="none"/>
        </w:rPr>
        <w:t>应接受无条件退货承担相应的法律责任。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成交人</w:t>
      </w:r>
      <w:r>
        <w:rPr>
          <w:rFonts w:hint="eastAsia" w:ascii="宋体" w:hAnsi="宋体"/>
          <w:color w:val="auto"/>
          <w:sz w:val="24"/>
          <w:highlight w:val="none"/>
        </w:rPr>
        <w:t>投标报价为全包价格，无二次费用增加。</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hint="eastAsia" w:ascii="宋体" w:hAnsi="宋体"/>
          <w:color w:val="auto"/>
          <w:sz w:val="24"/>
          <w:highlight w:val="none"/>
          <w:lang w:eastAsia="zh-CN"/>
        </w:rPr>
        <w:t>成交人</w:t>
      </w:r>
      <w:r>
        <w:rPr>
          <w:rFonts w:hint="eastAsia" w:ascii="宋体" w:hAnsi="宋体"/>
          <w:color w:val="auto"/>
          <w:sz w:val="24"/>
          <w:highlight w:val="none"/>
        </w:rPr>
        <w:t>原因未按时供货，造成采购人无法及时使用，由此为采购人造成的损失由</w:t>
      </w:r>
      <w:r>
        <w:rPr>
          <w:rFonts w:hint="eastAsia" w:ascii="宋体" w:hAnsi="宋体"/>
          <w:color w:val="auto"/>
          <w:sz w:val="24"/>
          <w:highlight w:val="none"/>
          <w:lang w:eastAsia="zh-CN"/>
        </w:rPr>
        <w:t>成交人</w:t>
      </w:r>
      <w:r>
        <w:rPr>
          <w:rFonts w:hint="eastAsia" w:ascii="宋体" w:hAnsi="宋体"/>
          <w:color w:val="auto"/>
          <w:sz w:val="24"/>
          <w:highlight w:val="none"/>
        </w:rPr>
        <w:t>进行赔偿。</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hint="eastAsia" w:ascii="宋体" w:hAnsi="宋体"/>
          <w:b/>
          <w:color w:val="auto"/>
          <w:sz w:val="24"/>
          <w:highlight w:val="none"/>
          <w:lang w:val="en-US" w:eastAsia="zh-CN"/>
        </w:rPr>
        <w:t>竞争性磋商</w:t>
      </w:r>
      <w:r>
        <w:rPr>
          <w:rFonts w:hint="eastAsia" w:ascii="宋体" w:hAnsi="宋体"/>
          <w:b/>
          <w:color w:val="auto"/>
          <w:sz w:val="24"/>
          <w:highlight w:val="none"/>
        </w:rPr>
        <w:t>文件的解释权</w:t>
      </w:r>
    </w:p>
    <w:p>
      <w:pPr>
        <w:spacing w:line="480" w:lineRule="auto"/>
        <w:ind w:firstLine="480" w:firstLineChars="200"/>
        <w:rPr>
          <w:rFonts w:hint="eastAsia" w:ascii="宋体" w:cs="宋体"/>
          <w:b/>
          <w:bCs/>
          <w:color w:val="auto"/>
          <w:sz w:val="28"/>
          <w:szCs w:val="28"/>
          <w:highlight w:val="none"/>
        </w:rPr>
      </w:pPr>
      <w:r>
        <w:rPr>
          <w:rFonts w:hint="eastAsia" w:ascii="宋体" w:hAnsi="宋体"/>
          <w:color w:val="auto"/>
          <w:sz w:val="24"/>
          <w:highlight w:val="none"/>
        </w:rPr>
        <w:t>本</w:t>
      </w:r>
      <w:r>
        <w:rPr>
          <w:rFonts w:hint="eastAsia" w:ascii="宋体" w:hAnsi="宋体"/>
          <w:color w:val="auto"/>
          <w:sz w:val="24"/>
          <w:highlight w:val="none"/>
          <w:lang w:val="en-US" w:eastAsia="zh-CN"/>
        </w:rPr>
        <w:t>竞争性磋商</w:t>
      </w:r>
      <w:r>
        <w:rPr>
          <w:rFonts w:hint="eastAsia" w:ascii="宋体" w:hAnsi="宋体"/>
          <w:color w:val="auto"/>
          <w:sz w:val="24"/>
          <w:highlight w:val="none"/>
        </w:rPr>
        <w:t>文件的解释权在采购人。</w:t>
      </w:r>
      <w:r>
        <w:rPr>
          <w:rFonts w:hint="eastAsia" w:ascii="宋体" w:hAnsi="宋体"/>
          <w:color w:val="auto"/>
          <w:sz w:val="24"/>
          <w:highlight w:val="none"/>
          <w:lang w:val="en-US" w:eastAsia="zh-CN"/>
        </w:rPr>
        <w:t>竞争性磋商</w:t>
      </w:r>
      <w:r>
        <w:rPr>
          <w:rFonts w:hint="eastAsia" w:ascii="宋体" w:hAnsi="宋体"/>
          <w:color w:val="auto"/>
          <w:sz w:val="24"/>
          <w:highlight w:val="none"/>
        </w:rPr>
        <w:t>文件中，由于未作解释或解释不当而产生的歧义，</w:t>
      </w:r>
      <w:r>
        <w:rPr>
          <w:rFonts w:hint="eastAsia" w:ascii="宋体" w:hAnsi="宋体"/>
          <w:color w:val="auto"/>
          <w:sz w:val="24"/>
          <w:highlight w:val="none"/>
          <w:lang w:val="en-US" w:eastAsia="zh-CN"/>
        </w:rPr>
        <w:t>供应商</w:t>
      </w:r>
      <w:r>
        <w:rPr>
          <w:rFonts w:hint="eastAsia" w:ascii="宋体" w:hAnsi="宋体"/>
          <w:color w:val="auto"/>
          <w:sz w:val="24"/>
          <w:highlight w:val="none"/>
        </w:rPr>
        <w:t>可朝对采购人有利的方向理解。</w:t>
      </w:r>
    </w:p>
    <w:p>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bCs/>
          <w:color w:val="auto"/>
          <w:sz w:val="24"/>
          <w:highlight w:val="none"/>
        </w:rPr>
        <w:t>注：</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rPr>
        <w:t>标记为★项的参数不接受负偏离，如负偏离则视为未实质性响应招标文件要求。</w:t>
      </w:r>
    </w:p>
    <w:p>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rPr>
        <w:t>非★项参数可接受负偏离，但会影响综合得分。</w:t>
      </w:r>
    </w:p>
    <w:p>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rPr>
        <w:t>标记为▲项的参数为重要参数，参数负偏离的标准：所含的参数中有任意一项为负偏离则此项参数整体按负偏离处理；参数正偏离的标准：所含的所有参数无负偏离且至少有一项参数为正偏离。</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4.非★项参数负偏离的标准：所含的参数中有任意一项为负偏离则此项参数整体按负偏离处理；参数正偏离的标准：所含的所有参数无负偏离且至少有一项参数为正偏离</w:t>
      </w:r>
    </w:p>
    <w:p>
      <w:pPr>
        <w:snapToGrid w:val="0"/>
        <w:spacing w:line="360" w:lineRule="auto"/>
        <w:ind w:firstLine="482" w:firstLineChars="200"/>
        <w:rPr>
          <w:rFonts w:ascii="宋体" w:hAnsi="宋体" w:cs="宋体"/>
          <w:b/>
          <w:bCs/>
          <w:color w:val="auto"/>
          <w:sz w:val="24"/>
          <w:highlight w:val="none"/>
        </w:rPr>
      </w:pPr>
      <w:r>
        <w:rPr>
          <w:rFonts w:hint="eastAsia" w:ascii="宋体" w:hAnsi="宋体" w:eastAsia="宋体" w:cs="宋体"/>
          <w:b/>
          <w:color w:val="auto"/>
          <w:kern w:val="0"/>
          <w:sz w:val="24"/>
          <w:highlight w:val="none"/>
          <w:lang w:val="en-US" w:eastAsia="zh-CN"/>
        </w:rPr>
        <w:t>5.</w:t>
      </w:r>
      <w:r>
        <w:rPr>
          <w:rFonts w:hint="eastAsia" w:ascii="宋体" w:hAnsi="宋体" w:cs="宋体"/>
          <w:b/>
          <w:color w:val="auto"/>
          <w:kern w:val="0"/>
          <w:sz w:val="24"/>
          <w:highlight w:val="none"/>
        </w:rPr>
        <w:t>本章中提出的各项功能要求和技术指标是对设备的最基本要求，并未对一切细节做出全部详细规定，也并未充分引述有关标准和规范条文，供应商所有与本项设备有关的技术要求均应符合招标时已颁布的国家和行业标准或国际标准的有关条文</w:t>
      </w:r>
      <w:r>
        <w:rPr>
          <w:rFonts w:hint="eastAsia" w:ascii="宋体" w:hAnsi="宋体" w:cs="宋体"/>
          <w:b/>
          <w:bCs/>
          <w:color w:val="auto"/>
          <w:sz w:val="24"/>
          <w:highlight w:val="none"/>
        </w:rPr>
        <w:t>。</w:t>
      </w:r>
    </w:p>
    <w:p>
      <w:pPr>
        <w:spacing w:line="360" w:lineRule="auto"/>
        <w:ind w:firstLine="480" w:firstLineChars="200"/>
        <w:rPr>
          <w:rFonts w:hint="eastAsia" w:ascii="宋体" w:hAnsi="宋体"/>
          <w:color w:val="auto"/>
          <w:sz w:val="24"/>
          <w:highlight w:val="none"/>
        </w:rPr>
      </w:pPr>
    </w:p>
    <w:bookmarkEnd w:id="87"/>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spacing w:after="0" w:afterLines="-2147483648" w:line="240" w:lineRule="auto"/>
        <w:jc w:val="left"/>
        <w:outlineLvl w:val="9"/>
        <w:rPr>
          <w:rFonts w:hint="eastAsia" w:ascii="宋体" w:hAnsi="宋体" w:cs="宋体"/>
          <w:b/>
          <w:bCs/>
          <w:color w:val="auto"/>
          <w:sz w:val="44"/>
          <w:highlight w:val="none"/>
        </w:rPr>
      </w:pPr>
      <w:r>
        <w:rPr>
          <w:rFonts w:hint="eastAsia" w:ascii="宋体" w:hAnsi="宋体" w:cs="宋体"/>
          <w:b/>
          <w:bCs/>
          <w:color w:val="auto"/>
          <w:sz w:val="44"/>
          <w:highlight w:val="none"/>
        </w:rPr>
        <w:br w:type="page"/>
      </w:r>
    </w:p>
    <w:p>
      <w:pPr>
        <w:spacing w:after="120" w:afterLines="50" w:line="360" w:lineRule="auto"/>
        <w:jc w:val="center"/>
        <w:outlineLvl w:val="0"/>
        <w:rPr>
          <w:rFonts w:hint="eastAsia" w:ascii="宋体" w:hAnsi="宋体" w:cs="宋体"/>
          <w:b/>
          <w:bCs/>
          <w:color w:val="auto"/>
          <w:sz w:val="44"/>
          <w:highlight w:val="none"/>
        </w:rPr>
      </w:pPr>
      <w:r>
        <w:rPr>
          <w:rFonts w:hint="eastAsia" w:ascii="宋体" w:hAnsi="宋体" w:cs="宋体"/>
          <w:b/>
          <w:bCs/>
          <w:color w:val="auto"/>
          <w:sz w:val="44"/>
          <w:highlight w:val="none"/>
        </w:rPr>
        <w:t>第四章 响应文件格式</w:t>
      </w:r>
      <w:bookmarkEnd w:id="88"/>
      <w:bookmarkEnd w:id="89"/>
    </w:p>
    <w:p>
      <w:pPr>
        <w:pStyle w:val="46"/>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供应商</w:t>
      </w:r>
      <w:r>
        <w:rPr>
          <w:rFonts w:ascii="Times New Roman" w:hAnsi="Times New Roman"/>
          <w:b/>
          <w:bCs/>
          <w:color w:val="auto"/>
          <w:sz w:val="24"/>
          <w:szCs w:val="24"/>
          <w:highlight w:val="none"/>
        </w:rPr>
        <w:t>必须按下述顺序和要求编写装订磋商响应文件，并编排详细目录及准确页码。</w:t>
      </w:r>
      <w:r>
        <w:rPr>
          <w:rFonts w:ascii="Times New Roman" w:hAnsi="Times New Roman"/>
          <w:b/>
          <w:color w:val="auto"/>
          <w:sz w:val="24"/>
          <w:szCs w:val="24"/>
          <w:highlight w:val="none"/>
        </w:rPr>
        <w:t>所有证明文件在</w:t>
      </w:r>
      <w:r>
        <w:rPr>
          <w:rFonts w:hint="eastAsia" w:ascii="Times New Roman" w:hAnsi="Times New Roman"/>
          <w:b/>
          <w:color w:val="auto"/>
          <w:sz w:val="24"/>
          <w:szCs w:val="24"/>
          <w:highlight w:val="none"/>
        </w:rPr>
        <w:t>磋商</w:t>
      </w:r>
      <w:r>
        <w:rPr>
          <w:rFonts w:ascii="Times New Roman" w:hAnsi="Times New Roman"/>
          <w:b/>
          <w:color w:val="auto"/>
          <w:sz w:val="24"/>
          <w:szCs w:val="24"/>
          <w:highlight w:val="none"/>
        </w:rPr>
        <w:t>时必须在有效期内，否则视为不具有该证明文件。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w:t>
      </w:r>
      <w:r>
        <w:rPr>
          <w:rFonts w:hint="eastAsia" w:ascii="宋体" w:hAnsi="宋体"/>
          <w:color w:val="auto"/>
          <w:sz w:val="24"/>
          <w:highlight w:val="none"/>
        </w:rPr>
        <w:t>磋商响应文件签署授权委托书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二、磋商响应函</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三、磋商承诺书</w:t>
      </w:r>
    </w:p>
    <w:p>
      <w:pPr>
        <w:pStyle w:val="46"/>
        <w:spacing w:line="360" w:lineRule="auto"/>
        <w:ind w:firstLine="480" w:firstLineChars="200"/>
        <w:rPr>
          <w:rFonts w:hint="eastAsia" w:hAnsi="宋体" w:cs="宋体"/>
          <w:color w:val="auto"/>
          <w:sz w:val="24"/>
          <w:highlight w:val="none"/>
        </w:rPr>
      </w:pPr>
      <w:r>
        <w:rPr>
          <w:rFonts w:hint="eastAsia" w:ascii="Times New Roman" w:hAnsi="Times New Roman"/>
          <w:color w:val="auto"/>
          <w:sz w:val="24"/>
          <w:szCs w:val="24"/>
          <w:highlight w:val="none"/>
        </w:rPr>
        <w:t>四</w:t>
      </w:r>
      <w:r>
        <w:rPr>
          <w:rFonts w:ascii="Times New Roman" w:hAnsi="Times New Roman"/>
          <w:color w:val="auto"/>
          <w:sz w:val="24"/>
          <w:szCs w:val="24"/>
          <w:highlight w:val="none"/>
        </w:rPr>
        <w:t>、</w:t>
      </w:r>
      <w:r>
        <w:rPr>
          <w:rFonts w:hint="eastAsia" w:hAnsi="宋体" w:cs="宋体"/>
          <w:color w:val="auto"/>
          <w:sz w:val="24"/>
          <w:highlight w:val="none"/>
        </w:rPr>
        <w:t>货物分项报价表</w:t>
      </w:r>
    </w:p>
    <w:p>
      <w:pPr>
        <w:pStyle w:val="46"/>
        <w:spacing w:line="360" w:lineRule="auto"/>
        <w:ind w:firstLine="480" w:firstLineChars="200"/>
        <w:rPr>
          <w:rFonts w:hint="eastAsia" w:ascii="Times New Roman" w:hAnsi="Times New Roman"/>
          <w:color w:val="auto"/>
          <w:sz w:val="24"/>
          <w:szCs w:val="24"/>
          <w:highlight w:val="none"/>
        </w:rPr>
      </w:pPr>
      <w:r>
        <w:rPr>
          <w:rFonts w:hint="eastAsia" w:hAnsi="宋体" w:cs="宋体"/>
          <w:color w:val="auto"/>
          <w:sz w:val="24"/>
          <w:highlight w:val="none"/>
        </w:rPr>
        <w:t>五、</w:t>
      </w:r>
      <w:r>
        <w:rPr>
          <w:rFonts w:ascii="Times New Roman" w:hAnsi="Times New Roman"/>
          <w:color w:val="auto"/>
          <w:sz w:val="24"/>
          <w:szCs w:val="24"/>
          <w:highlight w:val="none"/>
        </w:rPr>
        <w:t>技术及商务偏离表</w:t>
      </w:r>
    </w:p>
    <w:p>
      <w:pPr>
        <w:pStyle w:val="46"/>
        <w:spacing w:line="360" w:lineRule="auto"/>
        <w:ind w:firstLine="480" w:firstLineChars="200"/>
        <w:rPr>
          <w:rFonts w:hint="eastAsia"/>
          <w:color w:val="auto"/>
          <w:sz w:val="24"/>
          <w:highlight w:val="none"/>
        </w:rPr>
      </w:pPr>
      <w:r>
        <w:rPr>
          <w:rFonts w:hint="eastAsia"/>
          <w:color w:val="auto"/>
          <w:sz w:val="24"/>
          <w:highlight w:val="none"/>
          <w:lang w:val="en-US" w:eastAsia="zh-CN"/>
        </w:rPr>
        <w:t>六</w:t>
      </w:r>
      <w:r>
        <w:rPr>
          <w:color w:val="auto"/>
          <w:sz w:val="24"/>
          <w:highlight w:val="none"/>
        </w:rPr>
        <w:t>、</w:t>
      </w:r>
      <w:r>
        <w:rPr>
          <w:rFonts w:hint="eastAsia"/>
          <w:color w:val="auto"/>
          <w:sz w:val="24"/>
          <w:highlight w:val="none"/>
        </w:rPr>
        <w:t>供应商有关资格证明文件（所有证明文件在磋商时必须在有效期内，否则视为不具有该证明文件）。</w:t>
      </w:r>
    </w:p>
    <w:p>
      <w:pPr>
        <w:pStyle w:val="46"/>
        <w:spacing w:line="360" w:lineRule="auto"/>
        <w:ind w:firstLine="480" w:firstLineChars="200"/>
        <w:rPr>
          <w:rFonts w:hint="eastAsia" w:hAnsi="宋体"/>
          <w:color w:val="auto"/>
          <w:sz w:val="24"/>
          <w:szCs w:val="24"/>
          <w:highlight w:val="none"/>
        </w:rPr>
      </w:pPr>
      <w:r>
        <w:rPr>
          <w:rFonts w:hAnsi="宋体"/>
          <w:color w:val="auto"/>
          <w:sz w:val="24"/>
          <w:szCs w:val="24"/>
          <w:highlight w:val="none"/>
        </w:rPr>
        <w:t>（1）供应商关于资格的声明函（原件）；</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（2）法定代表人资格证明书；</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（3）法定代表人授权委托书；</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（4）营业执照、组织机构代码证、税务登记证（复印件加盖公章，三证合一只需要提供营业执照）；</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（5）2021年度经过审计的财务会计报告或2022年基本存款账户开户银行出具的资信证明及基本存款账户开户证明材料（复印件加盖公章）；</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6</w:t>
      </w:r>
      <w:r>
        <w:rPr>
          <w:rFonts w:hint="eastAsia" w:hAnsi="宋体"/>
          <w:color w:val="auto"/>
          <w:sz w:val="24"/>
          <w:szCs w:val="24"/>
          <w:highlight w:val="none"/>
        </w:rPr>
        <w:t>）具备履行合同所必需的设备和专业技术能力声明函（格式自拟，原件）；</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7</w:t>
      </w:r>
      <w:r>
        <w:rPr>
          <w:rFonts w:hint="eastAsia" w:hAnsi="宋体"/>
          <w:color w:val="auto"/>
          <w:sz w:val="24"/>
          <w:szCs w:val="24"/>
          <w:highlight w:val="none"/>
        </w:rPr>
        <w:t>）磋商时间前六个月内任一个月的依法缴纳税收的缴款凭据（复印件加盖公章）；</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8</w:t>
      </w:r>
      <w:r>
        <w:rPr>
          <w:rFonts w:hint="eastAsia" w:hAnsi="宋体"/>
          <w:color w:val="auto"/>
          <w:sz w:val="24"/>
          <w:szCs w:val="24"/>
          <w:highlight w:val="none"/>
        </w:rPr>
        <w:t>）磋商时间前六个月内任一个月的依法缴纳社会保障资金的缴款凭据（复印件加盖公章）；</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9</w:t>
      </w:r>
      <w:r>
        <w:rPr>
          <w:rFonts w:hint="eastAsia" w:hAnsi="宋体"/>
          <w:color w:val="auto"/>
          <w:sz w:val="24"/>
          <w:szCs w:val="24"/>
          <w:highlight w:val="none"/>
        </w:rPr>
        <w:t>）诚信磋商承诺函（参加政府采购活动前三年内在经营活动中没有重大违法记录的书面声明函）；</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0</w:t>
      </w:r>
      <w:r>
        <w:rPr>
          <w:rFonts w:hint="eastAsia" w:hAnsi="宋体"/>
          <w:color w:val="auto"/>
          <w:sz w:val="24"/>
          <w:szCs w:val="24"/>
          <w:highlight w:val="none"/>
        </w:rPr>
        <w:t>）非联合体</w:t>
      </w:r>
      <w:r>
        <w:rPr>
          <w:rFonts w:hint="eastAsia" w:hAnsi="宋体"/>
          <w:color w:val="auto"/>
          <w:sz w:val="24"/>
          <w:highlight w:val="none"/>
        </w:rPr>
        <w:t>磋商</w:t>
      </w:r>
      <w:r>
        <w:rPr>
          <w:rFonts w:hint="eastAsia" w:hAnsi="宋体"/>
          <w:color w:val="auto"/>
          <w:sz w:val="24"/>
          <w:szCs w:val="24"/>
          <w:highlight w:val="none"/>
        </w:rPr>
        <w:t>声明（格式自拟）；</w:t>
      </w:r>
    </w:p>
    <w:p>
      <w:pPr>
        <w:pStyle w:val="46"/>
        <w:spacing w:line="360" w:lineRule="auto"/>
        <w:ind w:firstLine="480" w:firstLineChars="200"/>
        <w:rPr>
          <w:rFonts w:hAnsi="宋体"/>
          <w:color w:val="auto"/>
          <w:sz w:val="24"/>
          <w:szCs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1</w:t>
      </w:r>
      <w:r>
        <w:rPr>
          <w:rFonts w:hint="eastAsia" w:hAnsi="宋体" w:cs="宋体"/>
          <w:color w:val="auto"/>
          <w:sz w:val="24"/>
          <w:highlight w:val="none"/>
        </w:rPr>
        <w:t>）供应商关联单位的说明</w:t>
      </w:r>
      <w:r>
        <w:rPr>
          <w:rFonts w:hint="eastAsia" w:hAnsi="宋体"/>
          <w:color w:val="auto"/>
          <w:sz w:val="24"/>
          <w:szCs w:val="24"/>
          <w:highlight w:val="none"/>
        </w:rPr>
        <w:t>；</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2</w:t>
      </w:r>
      <w:r>
        <w:rPr>
          <w:rFonts w:hint="eastAsia" w:hAnsi="宋体"/>
          <w:color w:val="auto"/>
          <w:sz w:val="24"/>
          <w:szCs w:val="24"/>
          <w:highlight w:val="none"/>
        </w:rPr>
        <w:t>）中小企业声明函、监狱企业证明、残疾人福利性单位声明函；</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3</w:t>
      </w:r>
      <w:r>
        <w:rPr>
          <w:rFonts w:hint="eastAsia" w:hAnsi="宋体"/>
          <w:color w:val="auto"/>
          <w:sz w:val="24"/>
          <w:szCs w:val="24"/>
          <w:highlight w:val="none"/>
        </w:rPr>
        <w:t>）</w:t>
      </w:r>
      <w:r>
        <w:rPr>
          <w:rFonts w:hint="eastAsia" w:ascii="宋体" w:hAnsi="宋体" w:cs="宋体"/>
          <w:color w:val="auto"/>
          <w:kern w:val="0"/>
          <w:sz w:val="24"/>
          <w:szCs w:val="24"/>
          <w:highlight w:val="none"/>
          <w:lang w:val="en-US" w:eastAsia="zh-CN" w:bidi="ar-SA"/>
        </w:rPr>
        <w:t>进口产品</w:t>
      </w:r>
      <w:r>
        <w:rPr>
          <w:rFonts w:hint="eastAsia" w:ascii="宋体" w:hAnsi="宋体" w:eastAsia="宋体" w:cs="宋体"/>
          <w:color w:val="auto"/>
          <w:kern w:val="0"/>
          <w:sz w:val="24"/>
          <w:szCs w:val="24"/>
          <w:highlight w:val="none"/>
          <w:lang w:val="en-US" w:eastAsia="zh-CN" w:bidi="ar-SA"/>
        </w:rPr>
        <w:t>代理商须提供制造商合法有效授权复印件加盖公章（进口设备需提供，国产设备无需提供授权</w:t>
      </w:r>
      <w:r>
        <w:rPr>
          <w:rFonts w:hint="eastAsia" w:hAnsi="宋体" w:cs="宋体"/>
          <w:color w:val="auto"/>
          <w:kern w:val="0"/>
          <w:sz w:val="24"/>
          <w:szCs w:val="24"/>
          <w:highlight w:val="none"/>
          <w:lang w:val="en-US" w:eastAsia="zh-CN" w:bidi="ar-SA"/>
        </w:rPr>
        <w:t>)</w:t>
      </w:r>
      <w:r>
        <w:rPr>
          <w:rFonts w:hint="eastAsia" w:hAnsi="宋体"/>
          <w:color w:val="auto"/>
          <w:sz w:val="24"/>
          <w:szCs w:val="24"/>
          <w:highlight w:val="none"/>
        </w:rPr>
        <w:t>；</w:t>
      </w:r>
    </w:p>
    <w:p>
      <w:pPr>
        <w:pStyle w:val="46"/>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lang w:val="en-US" w:eastAsia="zh-CN"/>
        </w:rPr>
        <w:t>七</w:t>
      </w:r>
      <w:r>
        <w:rPr>
          <w:rFonts w:hint="eastAsia" w:hAnsi="宋体"/>
          <w:color w:val="auto"/>
          <w:sz w:val="24"/>
          <w:szCs w:val="24"/>
          <w:highlight w:val="none"/>
        </w:rPr>
        <w:t>、</w:t>
      </w:r>
      <w:r>
        <w:rPr>
          <w:rFonts w:hint="eastAsia" w:hAnsi="宋体" w:cs="宋体"/>
          <w:color w:val="auto"/>
          <w:sz w:val="24"/>
          <w:szCs w:val="24"/>
          <w:highlight w:val="none"/>
        </w:rPr>
        <w:t>磋商证金汇款凭证及开户行基本存款账户证明材料的复印件（如开户许可证等）；</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八</w:t>
      </w:r>
      <w:r>
        <w:rPr>
          <w:rFonts w:hAnsi="宋体"/>
          <w:color w:val="auto"/>
          <w:sz w:val="24"/>
          <w:szCs w:val="24"/>
          <w:highlight w:val="none"/>
        </w:rPr>
        <w:t>、</w:t>
      </w:r>
      <w:r>
        <w:rPr>
          <w:rFonts w:hint="eastAsia" w:hAnsi="宋体"/>
          <w:color w:val="auto"/>
          <w:sz w:val="24"/>
          <w:szCs w:val="24"/>
          <w:highlight w:val="none"/>
        </w:rPr>
        <w:t>提交预付款和履约担保承诺书</w:t>
      </w:r>
      <w:r>
        <w:rPr>
          <w:rFonts w:hint="eastAsia" w:hAnsi="宋体"/>
          <w:color w:val="auto"/>
          <w:sz w:val="24"/>
          <w:szCs w:val="24"/>
          <w:highlight w:val="none"/>
          <w:lang w:eastAsia="zh-CN"/>
        </w:rPr>
        <w:t>；</w:t>
      </w:r>
      <w:r>
        <w:rPr>
          <w:rFonts w:hint="eastAsia" w:hAnsi="宋体"/>
          <w:color w:val="auto"/>
          <w:sz w:val="24"/>
          <w:szCs w:val="24"/>
          <w:highlight w:val="none"/>
        </w:rPr>
        <w:t>（</w:t>
      </w:r>
      <w:r>
        <w:rPr>
          <w:rFonts w:hint="eastAsia" w:hAnsi="宋体"/>
          <w:color w:val="auto"/>
          <w:sz w:val="24"/>
          <w:szCs w:val="24"/>
          <w:highlight w:val="none"/>
          <w:lang w:val="en-US" w:eastAsia="zh-CN"/>
        </w:rPr>
        <w:t>本项目不适用</w:t>
      </w:r>
      <w:r>
        <w:rPr>
          <w:rFonts w:hint="eastAsia" w:hAnsi="宋体"/>
          <w:color w:val="auto"/>
          <w:sz w:val="24"/>
          <w:szCs w:val="24"/>
          <w:highlight w:val="none"/>
        </w:rPr>
        <w:t>）</w:t>
      </w:r>
    </w:p>
    <w:p>
      <w:pPr>
        <w:pStyle w:val="4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九、</w:t>
      </w:r>
      <w:r>
        <w:rPr>
          <w:rFonts w:hint="eastAsia" w:hAnsi="宋体" w:cs="宋体"/>
          <w:color w:val="auto"/>
          <w:sz w:val="24"/>
          <w:szCs w:val="24"/>
          <w:highlight w:val="none"/>
        </w:rPr>
        <w:t>供货安装方案（格式自拟）</w:t>
      </w:r>
      <w:r>
        <w:rPr>
          <w:rFonts w:hint="eastAsia" w:hAnsi="宋体"/>
          <w:color w:val="auto"/>
          <w:sz w:val="24"/>
          <w:szCs w:val="24"/>
          <w:highlight w:val="none"/>
        </w:rPr>
        <w:t>；</w:t>
      </w:r>
    </w:p>
    <w:p>
      <w:pPr>
        <w:pStyle w:val="46"/>
        <w:spacing w:line="360" w:lineRule="auto"/>
        <w:ind w:firstLine="480" w:firstLineChars="200"/>
        <w:rPr>
          <w:rFonts w:hAnsi="宋体"/>
          <w:color w:val="auto"/>
          <w:sz w:val="24"/>
          <w:szCs w:val="24"/>
          <w:highlight w:val="none"/>
        </w:rPr>
      </w:pPr>
      <w:r>
        <w:rPr>
          <w:rFonts w:hint="eastAsia" w:hAnsi="宋体"/>
          <w:color w:val="auto"/>
          <w:sz w:val="24"/>
          <w:szCs w:val="24"/>
          <w:highlight w:val="none"/>
        </w:rPr>
        <w:t>十、</w:t>
      </w:r>
      <w:r>
        <w:rPr>
          <w:rFonts w:hint="eastAsia" w:hAnsi="宋体" w:cs="宋体"/>
          <w:color w:val="auto"/>
          <w:sz w:val="24"/>
          <w:szCs w:val="24"/>
          <w:highlight w:val="none"/>
        </w:rPr>
        <w:t>技术培训方案（格式自拟）</w:t>
      </w:r>
      <w:r>
        <w:rPr>
          <w:rFonts w:hint="eastAsia" w:hAnsi="宋体"/>
          <w:color w:val="auto"/>
          <w:sz w:val="24"/>
          <w:szCs w:val="24"/>
          <w:highlight w:val="none"/>
        </w:rPr>
        <w:t>；</w:t>
      </w:r>
    </w:p>
    <w:p>
      <w:pPr>
        <w:pStyle w:val="46"/>
        <w:spacing w:line="360" w:lineRule="auto"/>
        <w:ind w:firstLine="480" w:firstLineChars="200"/>
        <w:rPr>
          <w:rFonts w:hint="eastAsia" w:hAnsi="宋体"/>
          <w:color w:val="auto"/>
          <w:sz w:val="24"/>
          <w:szCs w:val="24"/>
          <w:highlight w:val="none"/>
        </w:rPr>
      </w:pPr>
      <w:r>
        <w:rPr>
          <w:rFonts w:hint="eastAsia" w:hAnsi="宋体" w:cs="宋体"/>
          <w:color w:val="auto"/>
          <w:sz w:val="24"/>
          <w:highlight w:val="none"/>
        </w:rPr>
        <w:t>十</w:t>
      </w:r>
      <w:r>
        <w:rPr>
          <w:rFonts w:hint="eastAsia" w:hAnsi="宋体"/>
          <w:color w:val="auto"/>
          <w:sz w:val="24"/>
          <w:szCs w:val="24"/>
          <w:highlight w:val="none"/>
          <w:lang w:val="en-US" w:eastAsia="zh-CN"/>
        </w:rPr>
        <w:t>一</w:t>
      </w:r>
      <w:r>
        <w:rPr>
          <w:rFonts w:hint="eastAsia" w:hAnsi="宋体"/>
          <w:color w:val="auto"/>
          <w:sz w:val="24"/>
          <w:szCs w:val="24"/>
          <w:highlight w:val="none"/>
        </w:rPr>
        <w:t>、</w:t>
      </w:r>
      <w:r>
        <w:rPr>
          <w:rFonts w:hint="eastAsia" w:hAnsi="宋体" w:cs="宋体"/>
          <w:color w:val="auto"/>
          <w:sz w:val="24"/>
          <w:szCs w:val="24"/>
          <w:highlight w:val="none"/>
        </w:rPr>
        <w:t>售后服务方案（格式自拟）</w:t>
      </w:r>
      <w:r>
        <w:rPr>
          <w:rFonts w:hint="eastAsia" w:hAnsi="宋体"/>
          <w:color w:val="auto"/>
          <w:sz w:val="24"/>
          <w:szCs w:val="24"/>
          <w:highlight w:val="none"/>
        </w:rPr>
        <w:t>；</w:t>
      </w:r>
    </w:p>
    <w:p>
      <w:pPr>
        <w:pStyle w:val="46"/>
        <w:spacing w:line="360" w:lineRule="auto"/>
        <w:ind w:firstLine="480" w:firstLineChars="200"/>
        <w:rPr>
          <w:rFonts w:hAnsi="宋体"/>
          <w:color w:val="auto"/>
          <w:sz w:val="24"/>
          <w:szCs w:val="24"/>
          <w:highlight w:val="none"/>
        </w:rPr>
      </w:pPr>
      <w:r>
        <w:rPr>
          <w:rFonts w:hint="eastAsia" w:ascii="宋体" w:hAnsi="宋体" w:cs="宋体"/>
          <w:color w:val="auto"/>
          <w:kern w:val="0"/>
          <w:sz w:val="24"/>
          <w:highlight w:val="none"/>
        </w:rPr>
        <w:t>十</w:t>
      </w:r>
      <w:r>
        <w:rPr>
          <w:rFonts w:hint="eastAsia" w:hAnsi="宋体"/>
          <w:color w:val="auto"/>
          <w:sz w:val="24"/>
          <w:szCs w:val="24"/>
          <w:highlight w:val="none"/>
          <w:lang w:val="en-US" w:eastAsia="zh-CN"/>
        </w:rPr>
        <w:t>二</w:t>
      </w:r>
      <w:r>
        <w:rPr>
          <w:rFonts w:hAnsi="宋体"/>
          <w:color w:val="auto"/>
          <w:sz w:val="24"/>
          <w:szCs w:val="24"/>
          <w:highlight w:val="none"/>
        </w:rPr>
        <w:t>、</w:t>
      </w:r>
      <w:r>
        <w:rPr>
          <w:rFonts w:hint="eastAsia" w:hAnsi="宋体" w:cs="宋体"/>
          <w:color w:val="auto"/>
          <w:sz w:val="24"/>
          <w:szCs w:val="24"/>
          <w:highlight w:val="none"/>
        </w:rPr>
        <w:t>疫情应急预案（格式自拟）</w:t>
      </w:r>
    </w:p>
    <w:p>
      <w:pPr>
        <w:pStyle w:val="46"/>
        <w:spacing w:line="360" w:lineRule="auto"/>
        <w:ind w:firstLine="480" w:firstLineChars="200"/>
        <w:rPr>
          <w:rFonts w:hint="eastAsia" w:hAnsi="宋体"/>
          <w:color w:val="auto"/>
          <w:sz w:val="24"/>
          <w:szCs w:val="24"/>
          <w:highlight w:val="none"/>
        </w:rPr>
      </w:pPr>
      <w:r>
        <w:rPr>
          <w:rFonts w:hint="eastAsia" w:ascii="宋体" w:hAnsi="宋体" w:cs="宋体"/>
          <w:color w:val="auto"/>
          <w:kern w:val="0"/>
          <w:sz w:val="24"/>
          <w:highlight w:val="none"/>
        </w:rPr>
        <w:t>十</w:t>
      </w:r>
      <w:r>
        <w:rPr>
          <w:rFonts w:hint="eastAsia" w:hAnsi="宋体" w:cs="宋体"/>
          <w:color w:val="auto"/>
          <w:sz w:val="24"/>
          <w:highlight w:val="none"/>
          <w:lang w:val="en-US" w:eastAsia="zh-CN"/>
        </w:rPr>
        <w:t>三</w:t>
      </w:r>
      <w:r>
        <w:rPr>
          <w:rFonts w:hint="eastAsia" w:hAnsi="宋体" w:cs="宋体"/>
          <w:color w:val="auto"/>
          <w:sz w:val="24"/>
          <w:highlight w:val="none"/>
        </w:rPr>
        <w:t>、质保期承诺（格式自拟）</w:t>
      </w:r>
      <w:r>
        <w:rPr>
          <w:rFonts w:hint="eastAsia" w:hAnsi="宋体"/>
          <w:color w:val="auto"/>
          <w:sz w:val="24"/>
          <w:szCs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w:t>
      </w:r>
      <w:r>
        <w:rPr>
          <w:rFonts w:hint="eastAsia" w:hAnsi="宋体" w:cs="宋体"/>
          <w:color w:val="auto"/>
          <w:kern w:val="0"/>
          <w:sz w:val="24"/>
          <w:highlight w:val="none"/>
          <w:lang w:val="en-US" w:eastAsia="zh-CN"/>
        </w:rPr>
        <w:t>四</w:t>
      </w:r>
      <w:r>
        <w:rPr>
          <w:rFonts w:hint="eastAsia" w:ascii="宋体" w:hAnsi="宋体" w:cs="宋体"/>
          <w:color w:val="auto"/>
          <w:kern w:val="0"/>
          <w:sz w:val="24"/>
          <w:highlight w:val="none"/>
        </w:rPr>
        <w:t>、近三年（201</w:t>
      </w:r>
      <w:r>
        <w:rPr>
          <w:rFonts w:ascii="宋体" w:hAnsi="宋体" w:cs="宋体"/>
          <w:color w:val="auto"/>
          <w:kern w:val="0"/>
          <w:sz w:val="24"/>
          <w:highlight w:val="none"/>
        </w:rPr>
        <w:t>9</w:t>
      </w:r>
      <w:r>
        <w:rPr>
          <w:rFonts w:hint="eastAsia" w:ascii="宋体" w:hAnsi="宋体" w:cs="宋体"/>
          <w:color w:val="auto"/>
          <w:kern w:val="0"/>
          <w:sz w:val="24"/>
          <w:highlight w:val="none"/>
        </w:rPr>
        <w:t>年1月1日至投标文件递交截止时间）类似项目业绩；</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十五</w:t>
      </w:r>
      <w:r>
        <w:rPr>
          <w:rFonts w:hint="eastAsia" w:ascii="宋体" w:hAnsi="宋体" w:cs="宋体"/>
          <w:color w:val="auto"/>
          <w:kern w:val="0"/>
          <w:sz w:val="24"/>
          <w:highlight w:val="none"/>
        </w:rPr>
        <w:t>、供应商需提交的其他文件；</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十六</w:t>
      </w:r>
      <w:r>
        <w:rPr>
          <w:rFonts w:hint="eastAsia" w:ascii="宋体" w:hAnsi="宋体" w:cs="宋体"/>
          <w:color w:val="auto"/>
          <w:kern w:val="0"/>
          <w:sz w:val="24"/>
          <w:highlight w:val="none"/>
        </w:rPr>
        <w:t>、供应商需说明的其他问题；</w:t>
      </w:r>
    </w:p>
    <w:p>
      <w:pPr>
        <w:pStyle w:val="46"/>
        <w:spacing w:line="360" w:lineRule="auto"/>
        <w:ind w:firstLine="480" w:firstLineChars="200"/>
        <w:rPr>
          <w:rFonts w:hint="eastAsia" w:hAnsi="宋体"/>
          <w:color w:val="auto"/>
          <w:sz w:val="24"/>
          <w:szCs w:val="24"/>
          <w:highlight w:val="none"/>
        </w:rPr>
      </w:pPr>
    </w:p>
    <w:p>
      <w:pPr>
        <w:pStyle w:val="46"/>
        <w:spacing w:line="360" w:lineRule="auto"/>
        <w:ind w:firstLine="480" w:firstLineChars="200"/>
        <w:rPr>
          <w:rFonts w:hint="eastAsia" w:hAnsi="宋体"/>
          <w:color w:val="auto"/>
          <w:sz w:val="24"/>
          <w:szCs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pStyle w:val="46"/>
        <w:spacing w:line="360" w:lineRule="auto"/>
        <w:ind w:firstLine="480" w:firstLineChars="200"/>
        <w:jc w:val="left"/>
        <w:rPr>
          <w:rFonts w:hint="eastAsia"/>
          <w:color w:val="auto"/>
          <w:sz w:val="24"/>
          <w:highlight w:val="none"/>
        </w:rPr>
      </w:pPr>
    </w:p>
    <w:p>
      <w:pPr>
        <w:rPr>
          <w:rFonts w:hint="eastAsia"/>
          <w:b/>
          <w:color w:val="auto"/>
          <w:sz w:val="36"/>
          <w:szCs w:val="36"/>
          <w:highlight w:val="none"/>
        </w:rPr>
      </w:pPr>
      <w:r>
        <w:rPr>
          <w:rFonts w:hint="eastAsia"/>
          <w:b/>
          <w:color w:val="auto"/>
          <w:sz w:val="36"/>
          <w:szCs w:val="36"/>
          <w:highlight w:val="none"/>
        </w:rPr>
        <w:br w:type="page"/>
      </w:r>
    </w:p>
    <w:p>
      <w:pPr>
        <w:pStyle w:val="46"/>
        <w:spacing w:line="360" w:lineRule="auto"/>
        <w:ind w:left="840" w:firstLine="723" w:firstLineChars="200"/>
        <w:rPr>
          <w:rFonts w:hint="eastAsia"/>
          <w:b/>
          <w:color w:val="auto"/>
          <w:sz w:val="36"/>
          <w:szCs w:val="36"/>
          <w:highlight w:val="none"/>
        </w:rPr>
      </w:pPr>
      <w:r>
        <w:rPr>
          <w:rFonts w:hint="eastAsia"/>
          <w:b/>
          <w:color w:val="auto"/>
          <w:sz w:val="36"/>
          <w:szCs w:val="36"/>
          <w:highlight w:val="none"/>
        </w:rPr>
        <w:t>一、磋商响应文件签署授权委托书</w:t>
      </w:r>
    </w:p>
    <w:p>
      <w:pPr>
        <w:spacing w:after="156"/>
        <w:rPr>
          <w:rFonts w:hint="eastAsia" w:ascii="宋体" w:hAnsi="宋体"/>
          <w:b/>
          <w:color w:val="auto"/>
          <w:sz w:val="24"/>
          <w:highlight w:val="none"/>
        </w:rPr>
      </w:pPr>
    </w:p>
    <w:p>
      <w:pPr>
        <w:adjustRightInd w:val="0"/>
        <w:snapToGrid w:val="0"/>
        <w:spacing w:line="480" w:lineRule="auto"/>
        <w:ind w:firstLine="612"/>
        <w:rPr>
          <w:rFonts w:hint="eastAsia" w:ascii="宋体" w:hAnsi="宋体"/>
          <w:color w:val="auto"/>
          <w:sz w:val="24"/>
          <w:highlight w:val="none"/>
        </w:rPr>
      </w:pPr>
      <w:r>
        <w:rPr>
          <w:rFonts w:hint="eastAsia" w:ascii="宋体" w:hAnsi="宋体"/>
          <w:color w:val="auto"/>
          <w:sz w:val="24"/>
          <w:highlight w:val="none"/>
        </w:rPr>
        <w:t>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（供应商名称）</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（单位名称）</w:t>
      </w:r>
      <w:r>
        <w:rPr>
          <w:rFonts w:hint="eastAsia" w:ascii="宋体" w:hAnsi="宋体"/>
          <w:color w:val="auto"/>
          <w:sz w:val="24"/>
          <w:highlight w:val="none"/>
        </w:rPr>
        <w:t>的</w:t>
      </w:r>
      <w:r>
        <w:rPr>
          <w:rFonts w:hint="eastAsia" w:ascii="宋体" w:hAnsi="宋体"/>
          <w:color w:val="auto"/>
          <w:sz w:val="24"/>
          <w:highlight w:val="none"/>
          <w:u w:val="single"/>
        </w:rPr>
        <w:t xml:space="preserve">       （姓名）</w:t>
      </w:r>
      <w:r>
        <w:rPr>
          <w:rFonts w:hint="eastAsia" w:ascii="宋体" w:hAnsi="宋体"/>
          <w:color w:val="auto"/>
          <w:sz w:val="24"/>
          <w:highlight w:val="none"/>
        </w:rPr>
        <w:t>为我公司签署本项目的磋商响应文件的法定代表人授权委托代理人，我承认代理人全权代表我所签署的本项目的磋商响应文件的内容。</w:t>
      </w:r>
    </w:p>
    <w:p>
      <w:pPr>
        <w:spacing w:line="360" w:lineRule="auto"/>
        <w:ind w:firstLine="610"/>
        <w:rPr>
          <w:rFonts w:hint="eastAsia" w:ascii="宋体" w:hAnsi="宋体"/>
          <w:color w:val="auto"/>
          <w:sz w:val="24"/>
          <w:highlight w:val="none"/>
        </w:rPr>
      </w:pPr>
    </w:p>
    <w:p>
      <w:pPr>
        <w:spacing w:line="360" w:lineRule="auto"/>
        <w:ind w:firstLine="697"/>
        <w:rPr>
          <w:rFonts w:hint="eastAsia" w:ascii="宋体" w:hAnsi="宋体"/>
          <w:color w:val="auto"/>
          <w:sz w:val="24"/>
          <w:highlight w:val="none"/>
        </w:rPr>
      </w:pPr>
      <w:r>
        <w:rPr>
          <w:rFonts w:hint="eastAsia" w:ascii="宋体" w:hAnsi="宋体"/>
          <w:color w:val="auto"/>
          <w:sz w:val="24"/>
          <w:highlight w:val="none"/>
        </w:rPr>
        <w:t>代理人无转委托权，特此委托。</w:t>
      </w:r>
    </w:p>
    <w:p>
      <w:pPr>
        <w:widowControl/>
        <w:overflowPunct w:val="0"/>
        <w:autoSpaceDE w:val="0"/>
        <w:autoSpaceDN w:val="0"/>
        <w:adjustRightInd w:val="0"/>
        <w:spacing w:line="360" w:lineRule="auto"/>
        <w:ind w:firstLine="482"/>
        <w:jc w:val="center"/>
        <w:textAlignment w:val="baseline"/>
        <w:rPr>
          <w:rFonts w:ascii="Arial" w:hAnsi="Arial" w:cs="Arial"/>
          <w:b/>
          <w:color w:val="auto"/>
          <w:spacing w:val="12"/>
          <w:kern w:val="0"/>
          <w:sz w:val="24"/>
          <w:szCs w:val="20"/>
          <w:highlight w:val="none"/>
        </w:rPr>
      </w:pPr>
      <w:r>
        <w:rPr>
          <w:rFonts w:ascii="Arial" w:hAnsi="Arial" w:cs="Arial"/>
          <w:b/>
          <w:color w:val="auto"/>
          <w:spacing w:val="12"/>
          <w:kern w:val="0"/>
          <w:sz w:val="24"/>
          <w:szCs w:val="20"/>
          <w:highlight w:val="none"/>
        </w:rPr>
        <w:t>（</w:t>
      </w:r>
      <w:r>
        <w:rPr>
          <w:rFonts w:hint="eastAsia" w:ascii="宋体" w:hAnsi="宋体" w:cs="宋体"/>
          <w:b/>
          <w:color w:val="auto"/>
          <w:spacing w:val="12"/>
          <w:kern w:val="0"/>
          <w:sz w:val="24"/>
          <w:szCs w:val="20"/>
          <w:highlight w:val="none"/>
        </w:rPr>
        <w:t>※</w:t>
      </w:r>
      <w:r>
        <w:rPr>
          <w:rFonts w:ascii="Arial" w:hAnsi="Arial" w:cs="Arial"/>
          <w:b/>
          <w:color w:val="auto"/>
          <w:spacing w:val="12"/>
          <w:kern w:val="0"/>
          <w:sz w:val="24"/>
          <w:szCs w:val="20"/>
          <w:highlight w:val="none"/>
        </w:rPr>
        <w:t>此处请粘贴被授权人身份证复印件</w:t>
      </w:r>
      <w:r>
        <w:rPr>
          <w:rFonts w:hint="eastAsia" w:ascii="宋体" w:hAnsi="宋体" w:cs="宋体"/>
          <w:b/>
          <w:color w:val="auto"/>
          <w:spacing w:val="12"/>
          <w:kern w:val="0"/>
          <w:sz w:val="24"/>
          <w:szCs w:val="20"/>
          <w:highlight w:val="none"/>
        </w:rPr>
        <w:t>※</w:t>
      </w:r>
      <w:r>
        <w:rPr>
          <w:rFonts w:ascii="Arial" w:hAnsi="Arial" w:cs="Arial"/>
          <w:b/>
          <w:color w:val="auto"/>
          <w:spacing w:val="12"/>
          <w:kern w:val="0"/>
          <w:sz w:val="24"/>
          <w:szCs w:val="20"/>
          <w:highlight w:val="none"/>
        </w:rPr>
        <w:t>）</w:t>
      </w: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1260"/>
        <w:rPr>
          <w:rFonts w:hint="eastAsia" w:ascii="宋体" w:hAnsi="宋体"/>
          <w:color w:val="auto"/>
          <w:sz w:val="24"/>
          <w:highlight w:val="none"/>
        </w:rPr>
      </w:pPr>
    </w:p>
    <w:p>
      <w:pPr>
        <w:ind w:left="720"/>
        <w:rPr>
          <w:rFonts w:hint="eastAsia" w:ascii="宋体" w:hAnsi="宋体"/>
          <w:color w:val="auto"/>
          <w:sz w:val="24"/>
          <w:highlight w:val="none"/>
        </w:rPr>
      </w:pPr>
    </w:p>
    <w:p>
      <w:pPr>
        <w:ind w:left="720"/>
        <w:rPr>
          <w:rFonts w:hint="eastAsia" w:ascii="宋体" w:hAnsi="宋体"/>
          <w:color w:val="auto"/>
          <w:sz w:val="24"/>
          <w:highlight w:val="none"/>
        </w:rPr>
      </w:pPr>
      <w:r>
        <w:rPr>
          <w:rFonts w:hint="eastAsia" w:ascii="宋体" w:hAnsi="宋体"/>
          <w:color w:val="auto"/>
          <w:sz w:val="24"/>
          <w:highlight w:val="none"/>
        </w:rPr>
        <w:t>代理人：</w:t>
      </w:r>
      <w:r>
        <w:rPr>
          <w:rFonts w:hint="eastAsia" w:ascii="宋体" w:hAnsi="宋体"/>
          <w:color w:val="auto"/>
          <w:sz w:val="24"/>
          <w:highlight w:val="none"/>
          <w:u w:val="single"/>
        </w:rPr>
        <w:t xml:space="preserve">            </w:t>
      </w:r>
      <w:r>
        <w:rPr>
          <w:rFonts w:hint="eastAsia" w:ascii="宋体" w:hAnsi="宋体"/>
          <w:color w:val="auto"/>
          <w:sz w:val="24"/>
          <w:highlight w:val="none"/>
        </w:rPr>
        <w:t>性别 ：</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2"/>
        <w:rPr>
          <w:color w:val="auto"/>
          <w:highlight w:val="none"/>
        </w:rPr>
      </w:pPr>
    </w:p>
    <w:p>
      <w:pPr>
        <w:ind w:left="720"/>
        <w:rPr>
          <w:rFonts w:hint="eastAsia" w:ascii="宋体" w:hAnsi="宋体"/>
          <w:color w:val="auto"/>
          <w:sz w:val="24"/>
          <w:highlight w:val="none"/>
        </w:rPr>
      </w:pPr>
    </w:p>
    <w:p>
      <w:pPr>
        <w:ind w:left="72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pPr>
        <w:ind w:left="720"/>
        <w:rPr>
          <w:rFonts w:hint="eastAsia" w:ascii="宋体" w:hAnsi="宋体"/>
          <w:color w:val="auto"/>
          <w:sz w:val="24"/>
          <w:highlight w:val="none"/>
          <w:u w:val="single"/>
        </w:rPr>
      </w:pPr>
    </w:p>
    <w:p>
      <w:pPr>
        <w:ind w:left="720"/>
        <w:rPr>
          <w:rFonts w:hint="eastAsia" w:ascii="宋体" w:hAnsi="宋体"/>
          <w:color w:val="auto"/>
          <w:sz w:val="24"/>
          <w:highlight w:val="none"/>
        </w:rPr>
      </w:pPr>
    </w:p>
    <w:p>
      <w:pPr>
        <w:ind w:left="720"/>
        <w:rPr>
          <w:rFonts w:hint="eastAsia"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（盖公章）</w:t>
      </w:r>
    </w:p>
    <w:p>
      <w:pPr>
        <w:rPr>
          <w:rFonts w:hint="eastAsia" w:ascii="宋体" w:hAnsi="宋体"/>
          <w:color w:val="auto"/>
          <w:sz w:val="24"/>
          <w:highlight w:val="none"/>
        </w:rPr>
      </w:pPr>
    </w:p>
    <w:p>
      <w:pPr>
        <w:ind w:left="720"/>
        <w:rPr>
          <w:rFonts w:hint="eastAsia" w:ascii="宋体" w:hAnsi="宋体"/>
          <w:color w:val="auto"/>
          <w:sz w:val="24"/>
          <w:highlight w:val="none"/>
        </w:rPr>
      </w:pPr>
    </w:p>
    <w:p>
      <w:pPr>
        <w:ind w:left="720"/>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pPr>
        <w:ind w:left="720"/>
        <w:rPr>
          <w:rFonts w:hint="eastAsia" w:ascii="宋体" w:hAnsi="宋体"/>
          <w:color w:val="auto"/>
          <w:sz w:val="24"/>
          <w:highlight w:val="none"/>
        </w:rPr>
      </w:pPr>
    </w:p>
    <w:p>
      <w:pPr>
        <w:ind w:left="2833" w:leftChars="1349" w:firstLine="2400" w:firstLineChars="1000"/>
        <w:rPr>
          <w:rFonts w:hint="eastAsia" w:ascii="宋体" w:hAnsi="宋体"/>
          <w:color w:val="auto"/>
          <w:sz w:val="24"/>
          <w:highlight w:val="none"/>
        </w:rPr>
      </w:pPr>
      <w:r>
        <w:rPr>
          <w:rFonts w:hint="eastAsia" w:ascii="宋体" w:hAnsi="宋体"/>
          <w:color w:val="auto"/>
          <w:sz w:val="24"/>
          <w:highlight w:val="none"/>
        </w:rPr>
        <w:t xml:space="preserve"> </w:t>
      </w:r>
    </w:p>
    <w:p>
      <w:pPr>
        <w:ind w:firstLine="720" w:firstLineChars="300"/>
        <w:rPr>
          <w:rFonts w:hint="eastAsia" w:ascii="宋体" w:hAnsi="宋体"/>
          <w:color w:val="auto"/>
          <w:sz w:val="24"/>
          <w:highlight w:val="none"/>
        </w:rPr>
      </w:pPr>
    </w:p>
    <w:p>
      <w:pPr>
        <w:ind w:firstLine="720" w:firstLineChars="300"/>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b/>
          <w:color w:val="auto"/>
          <w:sz w:val="36"/>
          <w:szCs w:val="36"/>
          <w:highlight w:val="none"/>
        </w:rPr>
      </w:pPr>
      <w:bookmarkStart w:id="90" w:name="_Toc306539075"/>
      <w:r>
        <w:rPr>
          <w:b/>
          <w:color w:val="auto"/>
          <w:sz w:val="30"/>
          <w:szCs w:val="30"/>
          <w:highlight w:val="none"/>
        </w:rPr>
        <w:br w:type="page"/>
      </w:r>
      <w:r>
        <w:rPr>
          <w:rFonts w:hint="eastAsia"/>
          <w:b/>
          <w:color w:val="auto"/>
          <w:sz w:val="36"/>
          <w:szCs w:val="36"/>
          <w:highlight w:val="none"/>
        </w:rPr>
        <w:t>二、磋商响应函</w:t>
      </w:r>
      <w:bookmarkEnd w:id="90"/>
    </w:p>
    <w:p>
      <w:pPr>
        <w:spacing w:line="460" w:lineRule="exact"/>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p>
    <w:p>
      <w:pPr>
        <w:spacing w:line="420" w:lineRule="exact"/>
        <w:rPr>
          <w:rFonts w:hint="eastAsia" w:ascii="宋体" w:hAnsi="宋体"/>
          <w:color w:val="auto"/>
          <w:sz w:val="24"/>
          <w:highlight w:val="none"/>
          <w:u w:val="single"/>
        </w:rPr>
      </w:pPr>
      <w:r>
        <w:rPr>
          <w:rFonts w:hint="eastAsia" w:ascii="宋体" w:hAnsi="宋体"/>
          <w:color w:val="auto"/>
          <w:sz w:val="24"/>
          <w:highlight w:val="none"/>
        </w:rPr>
        <w:t xml:space="preserve"> </w:t>
      </w:r>
    </w:p>
    <w:p>
      <w:pPr>
        <w:spacing w:line="360" w:lineRule="auto"/>
        <w:ind w:firstLine="480" w:firstLineChars="200"/>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1、</w:t>
      </w:r>
      <w:r>
        <w:rPr>
          <w:rFonts w:hint="eastAsia"/>
          <w:color w:val="auto"/>
          <w:sz w:val="24"/>
          <w:highlight w:val="none"/>
        </w:rPr>
        <w:t>根据已收到贵方的采购编号为</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的</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的磋商文件，遵照《中华人民共和国政府采购法》等有关法律法规规定，我单位经研究上述磋商文件的磋商须知、合同条款、技术需求及其他有关文件后，我方愿以</w:t>
      </w:r>
      <w:r>
        <w:rPr>
          <w:rFonts w:hint="eastAsia"/>
          <w:b/>
          <w:color w:val="auto"/>
          <w:sz w:val="24"/>
          <w:highlight w:val="none"/>
        </w:rPr>
        <w:t>：</w:t>
      </w:r>
      <w:r>
        <w:rPr>
          <w:rFonts w:hint="eastAsia"/>
          <w:color w:val="auto"/>
          <w:sz w:val="24"/>
          <w:highlight w:val="none"/>
        </w:rPr>
        <w:t>总价</w:t>
      </w:r>
      <w:r>
        <w:rPr>
          <w:color w:val="auto"/>
          <w:sz w:val="24"/>
          <w:highlight w:val="none"/>
        </w:rPr>
        <w:t>(</w:t>
      </w:r>
      <w:r>
        <w:rPr>
          <w:rFonts w:hint="eastAsia"/>
          <w:color w:val="auto"/>
          <w:sz w:val="24"/>
          <w:highlight w:val="none"/>
        </w:rPr>
        <w:t>大写</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元</w:t>
      </w:r>
      <w:r>
        <w:rPr>
          <w:color w:val="auto"/>
          <w:sz w:val="24"/>
          <w:highlight w:val="none"/>
        </w:rPr>
        <w:t>(RMB</w:t>
      </w:r>
      <w:r>
        <w:rPr>
          <w:rFonts w:hint="eastAsia"/>
          <w:color w:val="auto"/>
          <w:sz w:val="24"/>
          <w:highlight w:val="none"/>
        </w:rPr>
        <w:t>：￥</w:t>
      </w:r>
      <w:r>
        <w:rPr>
          <w:color w:val="auto"/>
          <w:sz w:val="24"/>
          <w:highlight w:val="none"/>
          <w:u w:val="single"/>
        </w:rPr>
        <w:t xml:space="preserve">       </w:t>
      </w:r>
      <w:r>
        <w:rPr>
          <w:rFonts w:hint="eastAsia"/>
          <w:color w:val="auto"/>
          <w:sz w:val="24"/>
          <w:highlight w:val="none"/>
        </w:rPr>
        <w:t>元</w:t>
      </w:r>
      <w:r>
        <w:rPr>
          <w:color w:val="auto"/>
          <w:sz w:val="24"/>
          <w:highlight w:val="none"/>
        </w:rPr>
        <w:t>)的</w:t>
      </w:r>
      <w:r>
        <w:rPr>
          <w:rFonts w:hint="eastAsia"/>
          <w:color w:val="auto"/>
          <w:sz w:val="24"/>
          <w:highlight w:val="none"/>
        </w:rPr>
        <w:t>磋商报价，按上述需求情况、合同条款、技术规范条件的要求承包上述项目的供货与服务。</w:t>
      </w:r>
    </w:p>
    <w:p>
      <w:pPr>
        <w:tabs>
          <w:tab w:val="left" w:pos="7560"/>
        </w:tabs>
        <w:spacing w:line="360" w:lineRule="auto"/>
        <w:ind w:firstLine="490"/>
        <w:rPr>
          <w:rFonts w:hint="eastAsia" w:ascii="宋体" w:hAnsi="宋体"/>
          <w:color w:val="auto"/>
          <w:sz w:val="24"/>
          <w:highlight w:val="none"/>
        </w:rPr>
      </w:pPr>
      <w:r>
        <w:rPr>
          <w:rFonts w:hint="eastAsia" w:ascii="宋体" w:hAnsi="宋体"/>
          <w:color w:val="auto"/>
          <w:sz w:val="24"/>
          <w:highlight w:val="none"/>
        </w:rPr>
        <w:t>2、我方已详细审核全部磋商文件，包括修改文件及有关附件；我方完全知道必须放弃提出含糊不清或误解的权利。</w:t>
      </w:r>
    </w:p>
    <w:p>
      <w:pPr>
        <w:tabs>
          <w:tab w:val="left" w:pos="7560"/>
        </w:tabs>
        <w:spacing w:line="360" w:lineRule="auto"/>
        <w:ind w:firstLine="490"/>
        <w:rPr>
          <w:rFonts w:hint="eastAsia"/>
          <w:color w:val="auto"/>
          <w:sz w:val="24"/>
          <w:highlight w:val="none"/>
        </w:rPr>
      </w:pPr>
      <w:r>
        <w:rPr>
          <w:rFonts w:hint="eastAsia" w:ascii="宋体" w:hAnsi="宋体"/>
          <w:color w:val="auto"/>
          <w:sz w:val="24"/>
          <w:highlight w:val="none"/>
        </w:rPr>
        <w:t>3、供货期：__________；质保期：_____________。</w:t>
      </w:r>
    </w:p>
    <w:p>
      <w:pPr>
        <w:snapToGrid w:val="0"/>
        <w:spacing w:line="360" w:lineRule="auto"/>
        <w:ind w:firstLine="480" w:firstLineChars="200"/>
        <w:rPr>
          <w:rFonts w:hint="eastAsia"/>
          <w:color w:val="auto"/>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本投标有效期为自开标日起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个日历日。</w:t>
      </w:r>
    </w:p>
    <w:p>
      <w:pPr>
        <w:pStyle w:val="2"/>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5、如果我方成交，我方将按照规定提交上述总价</w:t>
      </w:r>
      <w:r>
        <w:rPr>
          <w:rFonts w:ascii="宋体" w:hAnsi="宋体" w:eastAsia="宋体" w:cs="宋体"/>
          <w:color w:val="auto"/>
          <w:kern w:val="1"/>
          <w:sz w:val="24"/>
          <w:highlight w:val="none"/>
        </w:rPr>
        <w:t>____%</w:t>
      </w:r>
      <w:r>
        <w:rPr>
          <w:rFonts w:hint="eastAsia" w:ascii="宋体" w:hAnsi="宋体" w:eastAsia="宋体" w:cs="宋体"/>
          <w:color w:val="auto"/>
          <w:kern w:val="1"/>
          <w:sz w:val="24"/>
          <w:highlight w:val="none"/>
        </w:rPr>
        <w:t>的基本开户银行出具的电汇款作为履约保证金。</w:t>
      </w:r>
    </w:p>
    <w:p>
      <w:pPr>
        <w:spacing w:line="360" w:lineRule="auto"/>
        <w:ind w:firstLine="480" w:firstLineChars="200"/>
        <w:rPr>
          <w:rFonts w:hint="eastAsia" w:ascii="宋体" w:hAnsi="宋体" w:cs="宋体"/>
          <w:color w:val="auto"/>
          <w:kern w:val="1"/>
          <w:sz w:val="24"/>
          <w:highlight w:val="none"/>
        </w:rPr>
      </w:pPr>
      <w:r>
        <w:rPr>
          <w:rFonts w:hint="eastAsia" w:ascii="宋体" w:hAnsi="宋体" w:cs="宋体"/>
          <w:color w:val="auto"/>
          <w:kern w:val="1"/>
          <w:sz w:val="24"/>
          <w:highlight w:val="none"/>
        </w:rPr>
        <w:t>6、依据《中小企业划型标准规定》（工信部联企业〔2011〕300号）、《统计上大中小微型企业划分办法（</w:t>
      </w:r>
      <w:r>
        <w:rPr>
          <w:rFonts w:ascii="宋体" w:hAnsi="宋体" w:cs="宋体"/>
          <w:color w:val="auto"/>
          <w:kern w:val="1"/>
          <w:sz w:val="24"/>
          <w:highlight w:val="none"/>
        </w:rPr>
        <w:t>2017）》（国统字【2017】213号）和企业实际情况，我方企业为____</w:t>
      </w:r>
      <w:r>
        <w:rPr>
          <w:rFonts w:hint="eastAsia" w:ascii="宋体" w:hAnsi="宋体" w:cs="宋体"/>
          <w:color w:val="auto"/>
          <w:kern w:val="1"/>
          <w:sz w:val="24"/>
          <w:highlight w:val="none"/>
        </w:rPr>
        <w:t>（大、中、小、微）型企业。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7、我方同意所提交的磋商响应文件在磋商文件的磋商须知前附表中规定的磋商有效期内有效，在此期间内如果我方被确认为成交供应商，我方将受此约束。</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8、除非另外达成协议并生效，你方的成交通知书和本磋商响应文件将成为约束双方的合同文件的组成部分。</w:t>
      </w:r>
    </w:p>
    <w:p>
      <w:pPr>
        <w:spacing w:line="360" w:lineRule="auto"/>
        <w:ind w:firstLine="480" w:firstLineChars="200"/>
        <w:rPr>
          <w:rFonts w:hint="eastAsia" w:ascii="宋体" w:hAnsi="宋体"/>
          <w:color w:val="auto"/>
          <w:sz w:val="24"/>
          <w:highlight w:val="none"/>
        </w:rPr>
      </w:pPr>
      <w:r>
        <w:rPr>
          <w:rFonts w:hint="eastAsia"/>
          <w:color w:val="auto"/>
          <w:sz w:val="24"/>
          <w:highlight w:val="none"/>
        </w:rPr>
        <w:t>9、我方的金额为人民币</w:t>
      </w:r>
      <w:r>
        <w:rPr>
          <w:color w:val="auto"/>
          <w:sz w:val="24"/>
          <w:highlight w:val="none"/>
        </w:rPr>
        <w:t>(</w:t>
      </w:r>
      <w:r>
        <w:rPr>
          <w:rFonts w:hint="eastAsia"/>
          <w:color w:val="auto"/>
          <w:sz w:val="24"/>
          <w:highlight w:val="none"/>
        </w:rPr>
        <w:t>大写</w:t>
      </w:r>
      <w:r>
        <w:rPr>
          <w:color w:val="auto"/>
          <w:sz w:val="24"/>
          <w:highlight w:val="none"/>
        </w:rPr>
        <w:t>)</w:t>
      </w:r>
      <w:r>
        <w:rPr>
          <w:color w:val="auto"/>
          <w:sz w:val="24"/>
          <w:highlight w:val="none"/>
          <w:u w:val="single"/>
        </w:rPr>
        <w:t xml:space="preserve">              </w:t>
      </w:r>
      <w:r>
        <w:rPr>
          <w:rFonts w:hint="eastAsia"/>
          <w:color w:val="auto"/>
          <w:sz w:val="24"/>
          <w:highlight w:val="none"/>
        </w:rPr>
        <w:t>元</w:t>
      </w:r>
      <w:r>
        <w:rPr>
          <w:color w:val="auto"/>
          <w:sz w:val="24"/>
          <w:highlight w:val="none"/>
        </w:rPr>
        <w:t>(RMB</w:t>
      </w:r>
      <w:r>
        <w:rPr>
          <w:rFonts w:hint="eastAsia"/>
          <w:color w:val="auto"/>
          <w:sz w:val="24"/>
          <w:highlight w:val="none"/>
        </w:rPr>
        <w:t>：￥</w:t>
      </w:r>
      <w:r>
        <w:rPr>
          <w:color w:val="auto"/>
          <w:sz w:val="24"/>
          <w:highlight w:val="none"/>
          <w:u w:val="single"/>
        </w:rPr>
        <w:t xml:space="preserve">       </w:t>
      </w:r>
      <w:r>
        <w:rPr>
          <w:rFonts w:hint="eastAsia"/>
          <w:color w:val="auto"/>
          <w:sz w:val="24"/>
          <w:highlight w:val="none"/>
        </w:rPr>
        <w:t>元</w:t>
      </w:r>
      <w:r>
        <w:rPr>
          <w:color w:val="auto"/>
          <w:sz w:val="24"/>
          <w:highlight w:val="none"/>
        </w:rPr>
        <w:t>)</w:t>
      </w:r>
      <w:r>
        <w:rPr>
          <w:rFonts w:hint="eastAsia"/>
          <w:color w:val="auto"/>
          <w:sz w:val="24"/>
          <w:highlight w:val="none"/>
        </w:rPr>
        <w:t>的磋商保证金已经递交。</w:t>
      </w:r>
    </w:p>
    <w:p>
      <w:pPr>
        <w:spacing w:line="420" w:lineRule="exact"/>
        <w:ind w:firstLine="490"/>
        <w:rPr>
          <w:rFonts w:hint="eastAsia" w:ascii="宋体" w:hAnsi="宋体"/>
          <w:color w:val="auto"/>
          <w:sz w:val="24"/>
          <w:highlight w:val="none"/>
        </w:rPr>
      </w:pPr>
    </w:p>
    <w:p>
      <w:pPr>
        <w:spacing w:line="420" w:lineRule="exact"/>
        <w:ind w:left="1000"/>
        <w:rPr>
          <w:rFonts w:hint="eastAsia"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（盖章） </w:t>
      </w:r>
    </w:p>
    <w:p>
      <w:pPr>
        <w:spacing w:line="420" w:lineRule="exact"/>
        <w:ind w:left="1000"/>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line="420" w:lineRule="exact"/>
        <w:ind w:left="1000"/>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（签字或盖章）</w:t>
      </w:r>
    </w:p>
    <w:p>
      <w:pPr>
        <w:spacing w:line="420" w:lineRule="exact"/>
        <w:ind w:left="1000"/>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电话：</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 xml:space="preserve"> 传真：</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pPr>
        <w:spacing w:line="420" w:lineRule="exact"/>
        <w:ind w:left="1000"/>
        <w:rPr>
          <w:rFonts w:hint="eastAsia" w:ascii="宋体" w:hAnsi="宋体"/>
          <w:color w:val="auto"/>
          <w:sz w:val="24"/>
          <w:highlight w:val="none"/>
        </w:rPr>
      </w:pPr>
      <w:r>
        <w:rPr>
          <w:rFonts w:hint="eastAsia" w:ascii="宋体" w:hAnsi="宋体"/>
          <w:color w:val="auto"/>
          <w:sz w:val="24"/>
          <w:highlight w:val="none"/>
        </w:rPr>
        <w:t>开户银行名称：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开户银行账号：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pPr>
        <w:spacing w:line="420" w:lineRule="exact"/>
        <w:ind w:left="1000"/>
        <w:rPr>
          <w:rFonts w:hint="eastAsia" w:ascii="宋体" w:hAnsi="宋体"/>
          <w:color w:val="auto"/>
          <w:sz w:val="24"/>
          <w:highlight w:val="none"/>
        </w:rPr>
      </w:pPr>
      <w:r>
        <w:rPr>
          <w:rFonts w:hint="eastAsia" w:ascii="宋体" w:hAnsi="宋体"/>
          <w:color w:val="auto"/>
          <w:sz w:val="24"/>
          <w:highlight w:val="none"/>
        </w:rPr>
        <w:t>开户银行地址：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开户银行电话：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 xml:space="preserve"> </w:t>
      </w:r>
    </w:p>
    <w:p>
      <w:pPr>
        <w:widowControl/>
        <w:spacing w:line="420" w:lineRule="exact"/>
        <w:ind w:firstLine="960" w:firstLineChars="400"/>
        <w:jc w:val="left"/>
        <w:rPr>
          <w:rFonts w:ascii="宋体" w:hAnsi="宋体"/>
          <w:color w:val="auto"/>
          <w:sz w:val="24"/>
          <w:highlight w:val="none"/>
        </w:rPr>
      </w:pPr>
      <w:r>
        <w:rPr>
          <w:rFonts w:hint="eastAsia" w:ascii="宋体" w:hAnsi="宋体"/>
          <w:color w:val="auto"/>
          <w:sz w:val="24"/>
          <w:highlight w:val="none"/>
        </w:rPr>
        <w:t>日期：   年   月   日</w:t>
      </w:r>
    </w:p>
    <w:p>
      <w:pPr>
        <w:spacing w:line="360" w:lineRule="auto"/>
        <w:ind w:firstLine="482"/>
        <w:jc w:val="center"/>
        <w:rPr>
          <w:rFonts w:hint="eastAsia" w:ascii="宋体" w:hAnsi="宋体"/>
          <w:color w:val="auto"/>
          <w:sz w:val="24"/>
          <w:highlight w:val="none"/>
        </w:rPr>
      </w:pPr>
      <w:r>
        <w:rPr>
          <w:rFonts w:ascii="宋体" w:hAnsi="宋体"/>
          <w:color w:val="auto"/>
          <w:sz w:val="24"/>
          <w:highlight w:val="none"/>
        </w:rPr>
        <w:br w:type="page"/>
      </w:r>
    </w:p>
    <w:p>
      <w:pPr>
        <w:widowControl/>
        <w:spacing w:line="360" w:lineRule="auto"/>
        <w:jc w:val="center"/>
        <w:rPr>
          <w:b/>
          <w:bCs/>
          <w:color w:val="auto"/>
          <w:sz w:val="36"/>
          <w:szCs w:val="36"/>
          <w:highlight w:val="none"/>
        </w:rPr>
      </w:pPr>
      <w:r>
        <w:rPr>
          <w:rFonts w:hint="eastAsia"/>
          <w:b/>
          <w:bCs/>
          <w:color w:val="auto"/>
          <w:sz w:val="36"/>
          <w:szCs w:val="36"/>
          <w:highlight w:val="none"/>
        </w:rPr>
        <w:t>三</w:t>
      </w:r>
      <w:r>
        <w:rPr>
          <w:b/>
          <w:bCs/>
          <w:color w:val="auto"/>
          <w:sz w:val="36"/>
          <w:szCs w:val="36"/>
          <w:highlight w:val="none"/>
        </w:rPr>
        <w:t>、</w:t>
      </w:r>
      <w:r>
        <w:rPr>
          <w:rFonts w:hint="eastAsia"/>
          <w:b/>
          <w:bCs/>
          <w:color w:val="auto"/>
          <w:sz w:val="36"/>
          <w:szCs w:val="36"/>
          <w:highlight w:val="none"/>
        </w:rPr>
        <w:t>磋商</w:t>
      </w:r>
      <w:r>
        <w:rPr>
          <w:b/>
          <w:bCs/>
          <w:color w:val="auto"/>
          <w:sz w:val="36"/>
          <w:szCs w:val="36"/>
          <w:highlight w:val="none"/>
        </w:rPr>
        <w:t>承诺书</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 xml:space="preserve">致：             </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本供应商已详细阅读了________（项目名称、项目编号）项目磋商文件，自愿参加上述项目磋商，现就有关事项向采购人郑重承诺如下：</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1、本供应商自愿在合同期内按照磋商文件及合同、技术需求等要求完成                     （项目名称）的</w:t>
      </w:r>
      <w:r>
        <w:rPr>
          <w:rFonts w:hint="eastAsia" w:ascii="宋体" w:hAnsi="宋体"/>
          <w:color w:val="auto"/>
          <w:sz w:val="24"/>
          <w:highlight w:val="none"/>
          <w:lang w:val="en-US" w:eastAsia="zh-CN"/>
        </w:rPr>
        <w:t>供货</w:t>
      </w:r>
      <w:r>
        <w:rPr>
          <w:rFonts w:hint="eastAsia" w:ascii="宋体" w:hAnsi="宋体"/>
          <w:color w:val="auto"/>
          <w:sz w:val="24"/>
          <w:highlight w:val="none"/>
        </w:rPr>
        <w:t>、</w:t>
      </w:r>
      <w:r>
        <w:rPr>
          <w:rFonts w:hint="eastAsia" w:ascii="宋体" w:hAnsi="宋体"/>
          <w:color w:val="auto"/>
          <w:sz w:val="24"/>
          <w:highlight w:val="none"/>
          <w:lang w:val="en-US" w:eastAsia="zh-CN"/>
        </w:rPr>
        <w:t>安装</w:t>
      </w:r>
      <w:r>
        <w:rPr>
          <w:rFonts w:hint="eastAsia" w:ascii="宋体" w:hAnsi="宋体"/>
          <w:color w:val="auto"/>
          <w:sz w:val="24"/>
          <w:highlight w:val="none"/>
        </w:rPr>
        <w:t>、</w:t>
      </w:r>
      <w:r>
        <w:rPr>
          <w:rFonts w:hint="eastAsia" w:ascii="宋体" w:hAnsi="宋体"/>
          <w:color w:val="auto"/>
          <w:sz w:val="24"/>
          <w:highlight w:val="none"/>
          <w:lang w:val="en-US" w:eastAsia="zh-CN"/>
        </w:rPr>
        <w:t>调试、验收、提供售后服务</w:t>
      </w:r>
      <w:r>
        <w:rPr>
          <w:rFonts w:hint="eastAsia" w:ascii="宋体" w:hAnsi="宋体"/>
          <w:color w:val="auto"/>
          <w:sz w:val="24"/>
          <w:highlight w:val="none"/>
        </w:rPr>
        <w:t>等。</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2、遵守中华人民共和国、辽宁省、大连市有关磋商的法律法规规定，自觉维护市场秩序。否则，同意被废除磋商资格并接受处罚。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3、服从磋商文件规定的时间安排，遵守磋商有关会议现场纪律。否则，同意被废除磋商资格并接受处罚。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4、接受磋商文件全部内容。否则，同意被废除磋商资格并接受处罚。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5、保证磋商响应文件内容无任何虚假。若在磋商和评审过程中查出有虚假，同意作无效磋商响应文件处理并被没收磋商担保，若成交之后查出有虚假，同意废除成交资格、被没收磋商担保，并接受招磋商行政管理部门依法进行的严厉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6、保证磋商响应文件不存在低于成本的恶意报价行为，也不存在恶意抬高报价行为。否则，同意接受采购人违约处罚并被没收磋商担保。</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7、保证按照磋商文件及成交通知书规定商签合同。否则，同意接受采购人违约处罚并被没收磋商担保。</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8、保证按照合同约定完成合同范围内的全部内容，履行后期维护责任。否则，同意接受采购人对供应商违诺处罚。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9、保证成交之后不转包、不用挂靠队伍。否则，同意接受违约处罚。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10、保证成交之后按磋商响应文件承诺向项目派驻管理人员及投入机械设备、办公设备及检测设备。否则，同意接受违约处罚。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11、保证成交之后密切配合建设单位开展工作，服从建设单位驻现场代表的监督管理。</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12、保证不参与陪标、围标行为。否则，同意接受学校和相关行政主管部门最严厉的处罚。</w:t>
      </w: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13、本供应商在规定的磋商有效期限内及合同有效期内，将受磋商文件的约束并履行磋商响应文件的承诺。若有违背上述承诺问题，将自觉接受大连理工大学依照法律法规和有关规定进行的任何处罚。</w:t>
      </w:r>
    </w:p>
    <w:p>
      <w:pPr>
        <w:spacing w:line="360" w:lineRule="auto"/>
        <w:ind w:firstLine="490"/>
        <w:rPr>
          <w:rFonts w:hint="eastAsia" w:ascii="宋体" w:hAnsi="宋体"/>
          <w:color w:val="auto"/>
          <w:sz w:val="24"/>
          <w:highlight w:val="none"/>
        </w:rPr>
      </w:pP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 xml:space="preserve">供  应  商（法人章）：                          </w:t>
      </w:r>
    </w:p>
    <w:p>
      <w:pPr>
        <w:spacing w:line="360" w:lineRule="auto"/>
        <w:ind w:firstLine="490"/>
        <w:rPr>
          <w:rFonts w:hint="eastAsia" w:ascii="宋体" w:hAnsi="宋体"/>
          <w:color w:val="auto"/>
          <w:sz w:val="24"/>
          <w:highlight w:val="none"/>
        </w:rPr>
      </w:pPr>
    </w:p>
    <w:p>
      <w:pPr>
        <w:spacing w:line="360" w:lineRule="auto"/>
        <w:ind w:firstLine="490"/>
        <w:rPr>
          <w:rFonts w:hint="eastAsia" w:ascii="宋体" w:hAnsi="宋体"/>
          <w:color w:val="auto"/>
          <w:sz w:val="24"/>
          <w:highlight w:val="none"/>
        </w:rPr>
      </w:pPr>
      <w:r>
        <w:rPr>
          <w:rFonts w:hint="eastAsia" w:ascii="宋体" w:hAnsi="宋体"/>
          <w:color w:val="auto"/>
          <w:sz w:val="24"/>
          <w:highlight w:val="none"/>
        </w:rPr>
        <w:t xml:space="preserve">法定代表人（签名或盖章）：                          </w:t>
      </w:r>
    </w:p>
    <w:p>
      <w:pPr>
        <w:spacing w:line="360" w:lineRule="auto"/>
        <w:ind w:firstLine="490"/>
        <w:rPr>
          <w:rFonts w:hint="eastAsia" w:ascii="宋体" w:hAnsi="宋体"/>
          <w:color w:val="auto"/>
          <w:sz w:val="24"/>
          <w:highlight w:val="none"/>
        </w:rPr>
      </w:pPr>
    </w:p>
    <w:p>
      <w:pPr>
        <w:spacing w:line="360" w:lineRule="auto"/>
        <w:ind w:firstLine="490"/>
        <w:rPr>
          <w:rFonts w:hint="eastAsia" w:ascii="宋体" w:hAnsi="宋体"/>
          <w:color w:val="auto"/>
          <w:sz w:val="24"/>
          <w:highlight w:val="none"/>
        </w:rPr>
        <w:sectPr>
          <w:headerReference r:id="rId9" w:type="first"/>
          <w:headerReference r:id="rId8" w:type="even"/>
          <w:pgSz w:w="11907" w:h="16840"/>
          <w:pgMar w:top="963" w:right="992" w:bottom="1440" w:left="1276" w:header="568" w:footer="992" w:gutter="0"/>
          <w:cols w:space="720" w:num="1"/>
          <w:docGrid w:linePitch="312" w:charSpace="0"/>
        </w:sectPr>
      </w:pPr>
      <w:r>
        <w:rPr>
          <w:rFonts w:hint="eastAsia" w:ascii="宋体" w:hAnsi="宋体"/>
          <w:color w:val="auto"/>
          <w:sz w:val="24"/>
          <w:highlight w:val="none"/>
        </w:rPr>
        <w:t xml:space="preserve">         年    月    日</w:t>
      </w:r>
    </w:p>
    <w:p>
      <w:pPr>
        <w:pStyle w:val="46"/>
        <w:snapToGrid w:val="0"/>
        <w:spacing w:line="360" w:lineRule="auto"/>
        <w:jc w:val="center"/>
        <w:outlineLvl w:val="1"/>
        <w:rPr>
          <w:rFonts w:hAnsi="宋体" w:cs="宋体"/>
          <w:b/>
          <w:color w:val="auto"/>
          <w:sz w:val="36"/>
          <w:szCs w:val="24"/>
          <w:highlight w:val="none"/>
        </w:rPr>
      </w:pPr>
      <w:bookmarkStart w:id="91" w:name="_Toc17155_WPSOffice_Level3"/>
      <w:bookmarkStart w:id="92" w:name="_Toc6653239"/>
      <w:bookmarkStart w:id="93" w:name="_Toc32707"/>
      <w:r>
        <w:rPr>
          <w:rFonts w:hint="eastAsia" w:hAnsi="宋体" w:cs="宋体"/>
          <w:b/>
          <w:color w:val="auto"/>
          <w:sz w:val="36"/>
          <w:szCs w:val="24"/>
          <w:highlight w:val="none"/>
        </w:rPr>
        <w:t>四、</w:t>
      </w:r>
      <w:bookmarkEnd w:id="91"/>
      <w:bookmarkEnd w:id="92"/>
      <w:r>
        <w:rPr>
          <w:rFonts w:hint="eastAsia" w:hAnsi="宋体" w:cs="宋体"/>
          <w:b/>
          <w:color w:val="auto"/>
          <w:sz w:val="36"/>
          <w:szCs w:val="24"/>
          <w:highlight w:val="none"/>
        </w:rPr>
        <w:t>货物分项报价表</w:t>
      </w:r>
      <w:bookmarkEnd w:id="93"/>
    </w:p>
    <w:p>
      <w:pPr>
        <w:snapToGrid w:val="0"/>
        <w:spacing w:line="360" w:lineRule="auto"/>
        <w:ind w:firstLine="482"/>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（供应商必需按第三章中需求清单的顺序填写报价，不准调整顺序，如供应商需补充说明可附表解释。）</w:t>
      </w:r>
    </w:p>
    <w:tbl>
      <w:tblPr>
        <w:tblStyle w:val="89"/>
        <w:tblW w:w="13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92"/>
        <w:gridCol w:w="851"/>
        <w:gridCol w:w="850"/>
        <w:gridCol w:w="851"/>
        <w:gridCol w:w="992"/>
        <w:gridCol w:w="1843"/>
        <w:gridCol w:w="992"/>
        <w:gridCol w:w="992"/>
        <w:gridCol w:w="754"/>
        <w:gridCol w:w="181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992"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851"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850"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4</w:t>
            </w:r>
          </w:p>
        </w:tc>
        <w:tc>
          <w:tcPr>
            <w:tcW w:w="851"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w:t>
            </w:r>
          </w:p>
        </w:tc>
        <w:tc>
          <w:tcPr>
            <w:tcW w:w="3827" w:type="dxa"/>
            <w:gridSpan w:val="3"/>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w:t>
            </w:r>
          </w:p>
        </w:tc>
        <w:tc>
          <w:tcPr>
            <w:tcW w:w="992"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7</w:t>
            </w:r>
          </w:p>
        </w:tc>
        <w:tc>
          <w:tcPr>
            <w:tcW w:w="754"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w:t>
            </w:r>
          </w:p>
        </w:tc>
        <w:tc>
          <w:tcPr>
            <w:tcW w:w="181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9</w:t>
            </w:r>
          </w:p>
        </w:tc>
        <w:tc>
          <w:tcPr>
            <w:tcW w:w="1540"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6"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序号</w:t>
            </w:r>
          </w:p>
        </w:tc>
        <w:tc>
          <w:tcPr>
            <w:tcW w:w="992"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名称</w:t>
            </w:r>
          </w:p>
        </w:tc>
        <w:tc>
          <w:tcPr>
            <w:tcW w:w="851"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品牌型号</w:t>
            </w:r>
          </w:p>
        </w:tc>
        <w:tc>
          <w:tcPr>
            <w:tcW w:w="850"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数量</w:t>
            </w:r>
          </w:p>
        </w:tc>
        <w:tc>
          <w:tcPr>
            <w:tcW w:w="851"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原产地</w:t>
            </w:r>
          </w:p>
        </w:tc>
        <w:tc>
          <w:tcPr>
            <w:tcW w:w="3827" w:type="dxa"/>
            <w:gridSpan w:val="3"/>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交货单价</w:t>
            </w:r>
          </w:p>
        </w:tc>
        <w:tc>
          <w:tcPr>
            <w:tcW w:w="992"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运保费单价</w:t>
            </w:r>
          </w:p>
        </w:tc>
        <w:tc>
          <w:tcPr>
            <w:tcW w:w="754"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其他单价</w:t>
            </w:r>
          </w:p>
        </w:tc>
        <w:tc>
          <w:tcPr>
            <w:tcW w:w="1817"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综合单价（项6+项7+项8）</w:t>
            </w:r>
          </w:p>
        </w:tc>
        <w:tc>
          <w:tcPr>
            <w:tcW w:w="1540"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投标总价（项4×项9）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851"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850"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851"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货物单价6a</w:t>
            </w:r>
          </w:p>
        </w:tc>
        <w:tc>
          <w:tcPr>
            <w:tcW w:w="1843" w:type="dxa"/>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安装调试、培训等技术服务费6b</w:t>
            </w:r>
          </w:p>
        </w:tc>
        <w:tc>
          <w:tcPr>
            <w:tcW w:w="992" w:type="dxa"/>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合计</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6c</w:t>
            </w:r>
          </w:p>
        </w:tc>
        <w:tc>
          <w:tcPr>
            <w:tcW w:w="992"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vMerge w:val="continue"/>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992"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24"/>
                <w:highlight w:val="none"/>
              </w:rPr>
            </w:pPr>
          </w:p>
        </w:tc>
        <w:tc>
          <w:tcPr>
            <w:tcW w:w="851"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480"/>
              <w:rPr>
                <w:rFonts w:hint="default" w:ascii="宋体" w:eastAsia="宋体" w:cs="宋体"/>
                <w:color w:val="auto"/>
                <w:highlight w:val="none"/>
              </w:rPr>
            </w:pPr>
          </w:p>
        </w:tc>
        <w:tc>
          <w:tcPr>
            <w:tcW w:w="850"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480"/>
              <w:rPr>
                <w:rFonts w:hint="default" w:ascii="宋体" w:eastAsia="宋体" w:cs="宋体"/>
                <w:color w:val="auto"/>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43"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18"/>
                <w:szCs w:val="18"/>
                <w:highlight w:val="none"/>
              </w:rPr>
            </w:pPr>
            <w:r>
              <w:rPr>
                <w:rFonts w:hint="eastAsia" w:ascii="宋体" w:hAnsi="宋体" w:cs="宋体"/>
                <w:color w:val="auto"/>
                <w:kern w:val="0"/>
                <w:szCs w:val="21"/>
                <w:highlight w:val="none"/>
              </w:rPr>
              <w:t>2</w:t>
            </w:r>
          </w:p>
        </w:tc>
        <w:tc>
          <w:tcPr>
            <w:tcW w:w="992"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24"/>
                <w:highlight w:val="none"/>
              </w:rPr>
            </w:pPr>
          </w:p>
        </w:tc>
        <w:tc>
          <w:tcPr>
            <w:tcW w:w="851"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0"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43"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w:t>
            </w:r>
          </w:p>
        </w:tc>
        <w:tc>
          <w:tcPr>
            <w:tcW w:w="992"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24"/>
                <w:highlight w:val="none"/>
              </w:rPr>
            </w:pPr>
          </w:p>
        </w:tc>
        <w:tc>
          <w:tcPr>
            <w:tcW w:w="851"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0"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43"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firstLine="36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w:t>
            </w:r>
          </w:p>
        </w:tc>
        <w:tc>
          <w:tcPr>
            <w:tcW w:w="992"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24"/>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Cs w:val="21"/>
                <w:highlight w:val="none"/>
              </w:rPr>
            </w:pPr>
          </w:p>
        </w:tc>
        <w:tc>
          <w:tcPr>
            <w:tcW w:w="850"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Cs w:val="21"/>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43"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Cs w:val="21"/>
                <w:highlight w:val="none"/>
              </w:rPr>
            </w:pPr>
          </w:p>
        </w:tc>
        <w:tc>
          <w:tcPr>
            <w:tcW w:w="992" w:type="dxa"/>
            <w:noWrap w:val="0"/>
            <w:vAlign w:val="center"/>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bCs/>
                <w:color w:val="auto"/>
                <w:kern w:val="0"/>
                <w:sz w:val="24"/>
                <w:highlight w:val="none"/>
              </w:rPr>
            </w:pPr>
          </w:p>
        </w:tc>
        <w:tc>
          <w:tcPr>
            <w:tcW w:w="851"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0" w:type="dxa"/>
            <w:noWrap w:val="0"/>
            <w:vAlign w:val="top"/>
          </w:tcPr>
          <w:p>
            <w:pPr>
              <w:pStyle w:val="419"/>
              <w:keepNext w:val="0"/>
              <w:keepLines w:val="0"/>
              <w:widowControl w:val="0"/>
              <w:suppressLineNumbers w:val="0"/>
              <w:pBdr>
                <w:left w:val="none" w:color="auto" w:sz="0" w:space="0"/>
                <w:bottom w:val="none" w:color="auto" w:sz="0" w:space="0"/>
                <w:right w:val="none" w:color="auto" w:sz="0" w:space="0"/>
              </w:pBdr>
              <w:snapToGrid w:val="0"/>
              <w:spacing w:before="0" w:beforeAutospacing="0" w:after="0" w:afterAutospacing="0" w:line="360" w:lineRule="auto"/>
              <w:ind w:left="0" w:right="0" w:firstLine="360"/>
              <w:rPr>
                <w:rFonts w:hint="default" w:ascii="宋体" w:eastAsia="宋体" w:cs="宋体"/>
                <w:bCs/>
                <w:color w:val="auto"/>
                <w:sz w:val="18"/>
                <w:szCs w:val="18"/>
                <w:highlight w:val="none"/>
              </w:rPr>
            </w:pPr>
          </w:p>
        </w:tc>
        <w:tc>
          <w:tcPr>
            <w:tcW w:w="851"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43"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rPr>
                <w:rFonts w:hint="default" w:ascii="宋体" w:hAnsi="宋体" w:cs="宋体"/>
                <w:color w:val="auto"/>
                <w:kern w:val="0"/>
                <w:sz w:val="24"/>
                <w:highlight w:val="none"/>
              </w:rPr>
            </w:pPr>
          </w:p>
        </w:tc>
        <w:tc>
          <w:tcPr>
            <w:tcW w:w="992"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754"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817"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0" w:type="dxa"/>
            <w:gridSpan w:val="11"/>
            <w:noWrap w:val="0"/>
            <w:vAlign w:val="top"/>
          </w:tcPr>
          <w:p>
            <w:pPr>
              <w:keepNext w:val="0"/>
              <w:keepLines w:val="0"/>
              <w:suppressLineNumbers w:val="0"/>
              <w:snapToGrid w:val="0"/>
              <w:spacing w:before="0" w:beforeAutospacing="0" w:after="0" w:afterAutospacing="0" w:line="360" w:lineRule="auto"/>
              <w:ind w:left="0" w:right="0" w:firstLine="482"/>
              <w:jc w:val="right"/>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合计：</w:t>
            </w:r>
          </w:p>
        </w:tc>
        <w:tc>
          <w:tcPr>
            <w:tcW w:w="1540" w:type="dxa"/>
            <w:noWrap w:val="0"/>
            <w:vAlign w:val="top"/>
          </w:tcPr>
          <w:p>
            <w:pPr>
              <w:keepNext w:val="0"/>
              <w:keepLines w:val="0"/>
              <w:suppressLineNumbers w:val="0"/>
              <w:snapToGrid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p>
        </w:tc>
      </w:tr>
    </w:tbl>
    <w:p>
      <w:pPr>
        <w:snapToGrid w:val="0"/>
        <w:spacing w:line="360" w:lineRule="auto"/>
        <w:ind w:firstLine="482"/>
        <w:rPr>
          <w:rFonts w:ascii="宋体" w:hAnsi="宋体" w:cs="宋体"/>
          <w:b/>
          <w:color w:val="auto"/>
          <w:kern w:val="0"/>
          <w:highlight w:val="none"/>
        </w:rPr>
      </w:pP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供应商（加盖公章）：</w:t>
      </w:r>
    </w:p>
    <w:p>
      <w:pPr>
        <w:snapToGrid w:val="0"/>
        <w:spacing w:line="360" w:lineRule="auto"/>
        <w:ind w:firstLine="480"/>
        <w:rPr>
          <w:rFonts w:ascii="宋体" w:hAnsi="宋体" w:cs="宋体"/>
          <w:color w:val="auto"/>
          <w:kern w:val="0"/>
          <w:sz w:val="24"/>
          <w:highlight w:val="none"/>
          <w:u w:val="single"/>
        </w:rPr>
      </w:pPr>
      <w:r>
        <w:rPr>
          <w:rFonts w:hint="eastAsia" w:ascii="宋体" w:hAnsi="宋体" w:cs="宋体"/>
          <w:color w:val="auto"/>
          <w:kern w:val="0"/>
          <w:sz w:val="24"/>
          <w:highlight w:val="none"/>
        </w:rPr>
        <w:t>法定代表人或授权委托代理人签字或盖章：</w:t>
      </w:r>
    </w:p>
    <w:p>
      <w:pPr>
        <w:snapToGrid w:val="0"/>
        <w:spacing w:line="360" w:lineRule="auto"/>
        <w:ind w:firstLine="480"/>
        <w:rPr>
          <w:rFonts w:ascii="宋体" w:hAnsi="宋体" w:cs="宋体"/>
          <w:b/>
          <w:bCs/>
          <w:color w:val="auto"/>
          <w:kern w:val="0"/>
          <w:sz w:val="36"/>
          <w:highlight w:val="none"/>
        </w:rPr>
      </w:pPr>
      <w:r>
        <w:rPr>
          <w:rFonts w:hint="eastAsia" w:ascii="宋体" w:hAnsi="宋体" w:cs="宋体"/>
          <w:color w:val="auto"/>
          <w:kern w:val="0"/>
          <w:sz w:val="24"/>
          <w:highlight w:val="none"/>
        </w:rPr>
        <w:t>日期：       年   月  日</w:t>
      </w:r>
    </w:p>
    <w:p>
      <w:pPr>
        <w:rPr>
          <w:rFonts w:ascii="宋体" w:hAnsi="宋体" w:cs="宋体"/>
          <w:color w:val="auto"/>
          <w:kern w:val="1"/>
          <w:sz w:val="24"/>
          <w:highlight w:val="none"/>
        </w:rPr>
      </w:pPr>
    </w:p>
    <w:p>
      <w:pPr>
        <w:rPr>
          <w:rFonts w:hint="eastAsia" w:ascii="宋体" w:hAnsi="宋体" w:cs="宋体"/>
          <w:color w:val="auto"/>
          <w:kern w:val="1"/>
          <w:sz w:val="24"/>
          <w:highlight w:val="none"/>
          <w:u w:val="single"/>
        </w:rPr>
      </w:pPr>
    </w:p>
    <w:p>
      <w:pPr>
        <w:widowControl/>
        <w:jc w:val="center"/>
        <w:rPr>
          <w:rFonts w:hint="eastAsia" w:ascii="宋体" w:hAnsi="宋体" w:cs="宋体"/>
          <w:b/>
          <w:color w:val="auto"/>
          <w:kern w:val="1"/>
          <w:sz w:val="30"/>
          <w:szCs w:val="30"/>
          <w:highlight w:val="none"/>
        </w:rPr>
      </w:pPr>
    </w:p>
    <w:p>
      <w:pPr>
        <w:snapToGrid w:val="0"/>
        <w:spacing w:line="360" w:lineRule="auto"/>
        <w:ind w:firstLine="482"/>
        <w:rPr>
          <w:rFonts w:ascii="宋体" w:hAnsi="宋体" w:cs="宋体"/>
          <w:b/>
          <w:color w:val="auto"/>
          <w:kern w:val="0"/>
          <w:sz w:val="24"/>
          <w:highlight w:val="none"/>
        </w:rPr>
      </w:pPr>
      <w:r>
        <w:rPr>
          <w:rFonts w:hint="eastAsia" w:ascii="宋体" w:hAnsi="宋体" w:cs="宋体"/>
          <w:b/>
          <w:color w:val="auto"/>
          <w:kern w:val="0"/>
          <w:sz w:val="24"/>
          <w:highlight w:val="none"/>
        </w:rPr>
        <w:t>注：</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须包含供应商须投标报价条款规定的全部费用；</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所有价格系用人民币表示，单位：元；</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如果单价和总价不符时，以单价为准；</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项6c是6a、6b之和；</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项10的合计为投标总价；</w:t>
      </w:r>
    </w:p>
    <w:p>
      <w:pPr>
        <w:numPr>
          <w:ilvl w:val="0"/>
          <w:numId w:val="19"/>
        </w:num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供应商须按规定签署，否则投标文件无效。</w:t>
      </w:r>
    </w:p>
    <w:p>
      <w:pPr>
        <w:numPr>
          <w:ilvl w:val="0"/>
          <w:numId w:val="19"/>
        </w:numPr>
        <w:snapToGrid w:val="0"/>
        <w:spacing w:line="360" w:lineRule="auto"/>
        <w:ind w:firstLine="482"/>
        <w:rPr>
          <w:b/>
          <w:color w:val="auto"/>
          <w:sz w:val="32"/>
          <w:szCs w:val="32"/>
          <w:highlight w:val="none"/>
        </w:rPr>
      </w:pPr>
      <w:r>
        <w:rPr>
          <w:rFonts w:hint="eastAsia" w:ascii="宋体" w:hAnsi="宋体" w:cs="宋体"/>
          <w:b/>
          <w:color w:val="auto"/>
          <w:kern w:val="0"/>
          <w:sz w:val="24"/>
          <w:szCs w:val="24"/>
          <w:highlight w:val="none"/>
        </w:rPr>
        <w:t>进口产品必须明确填写</w:t>
      </w:r>
      <w:r>
        <w:rPr>
          <w:rFonts w:hint="eastAsia" w:ascii="宋体" w:hAnsi="宋体" w:cs="宋体"/>
          <w:b/>
          <w:color w:val="auto"/>
          <w:kern w:val="0"/>
          <w:szCs w:val="21"/>
          <w:highlight w:val="none"/>
        </w:rPr>
        <w:t>“</w:t>
      </w:r>
      <w:r>
        <w:rPr>
          <w:rFonts w:hint="eastAsia" w:ascii="宋体" w:hAnsi="宋体" w:cs="宋体"/>
          <w:b/>
          <w:color w:val="auto"/>
          <w:kern w:val="0"/>
          <w:sz w:val="24"/>
          <w:highlight w:val="none"/>
        </w:rPr>
        <w:t>生产厂商及原产地</w:t>
      </w:r>
      <w:r>
        <w:rPr>
          <w:rFonts w:hint="eastAsia" w:ascii="宋体" w:hAnsi="宋体" w:cs="宋体"/>
          <w:b/>
          <w:color w:val="auto"/>
          <w:kern w:val="0"/>
          <w:szCs w:val="21"/>
          <w:highlight w:val="none"/>
        </w:rPr>
        <w:t>”</w:t>
      </w:r>
    </w:p>
    <w:p>
      <w:pPr>
        <w:numPr>
          <w:ilvl w:val="0"/>
          <w:numId w:val="0"/>
        </w:numPr>
        <w:rPr>
          <w:color w:val="auto"/>
          <w:highlight w:val="none"/>
        </w:rPr>
        <w:sectPr>
          <w:pgSz w:w="16840" w:h="11907" w:orient="landscape"/>
          <w:pgMar w:top="1276" w:right="963" w:bottom="992" w:left="1440" w:header="568" w:footer="992" w:gutter="0"/>
          <w:cols w:space="720" w:num="1"/>
          <w:docGrid w:linePitch="312" w:charSpace="0"/>
        </w:sectPr>
      </w:pPr>
      <w:r>
        <w:rPr>
          <w:rFonts w:hint="eastAsia" w:ascii="宋体" w:hAnsi="宋体" w:cs="宋体"/>
          <w:b/>
          <w:color w:val="auto"/>
          <w:kern w:val="0"/>
          <w:szCs w:val="21"/>
          <w:highlight w:val="none"/>
        </w:rPr>
        <w:br w:type="page"/>
      </w:r>
    </w:p>
    <w:p>
      <w:pPr>
        <w:widowControl/>
        <w:numPr>
          <w:ilvl w:val="0"/>
          <w:numId w:val="0"/>
        </w:numPr>
        <w:jc w:val="center"/>
        <w:rPr>
          <w:rFonts w:hint="eastAsia"/>
          <w:b/>
          <w:bCs/>
          <w:color w:val="auto"/>
          <w:sz w:val="36"/>
          <w:highlight w:val="none"/>
        </w:rPr>
      </w:pPr>
      <w:r>
        <w:rPr>
          <w:rFonts w:hint="eastAsia"/>
          <w:b/>
          <w:bCs/>
          <w:color w:val="auto"/>
          <w:sz w:val="36"/>
          <w:highlight w:val="none"/>
          <w:lang w:val="en-US" w:eastAsia="zh-CN"/>
        </w:rPr>
        <w:t>五、</w:t>
      </w:r>
      <w:r>
        <w:rPr>
          <w:rFonts w:hint="eastAsia"/>
          <w:b/>
          <w:bCs/>
          <w:color w:val="auto"/>
          <w:sz w:val="36"/>
          <w:highlight w:val="none"/>
        </w:rPr>
        <w:t>技术及商务偏离表</w:t>
      </w:r>
    </w:p>
    <w:p>
      <w:pPr>
        <w:pStyle w:val="2"/>
        <w:numPr>
          <w:ilvl w:val="0"/>
          <w:numId w:val="0"/>
        </w:numPr>
        <w:rPr>
          <w:color w:val="auto"/>
          <w:highlight w:val="none"/>
        </w:rPr>
      </w:pPr>
    </w:p>
    <w:p>
      <w:pPr>
        <w:pStyle w:val="46"/>
        <w:snapToGrid w:val="0"/>
        <w:spacing w:line="360" w:lineRule="auto"/>
        <w:jc w:val="center"/>
        <w:rPr>
          <w:rFonts w:hAnsi="宋体" w:cs="宋体"/>
          <w:b/>
          <w:color w:val="auto"/>
          <w:sz w:val="36"/>
          <w:szCs w:val="24"/>
          <w:highlight w:val="none"/>
        </w:rPr>
      </w:pPr>
      <w:bookmarkStart w:id="94" w:name="_Toc20656_WPSOffice_Level1"/>
      <w:bookmarkStart w:id="95" w:name="_Toc19657_WPSOffice_Level1"/>
      <w:bookmarkStart w:id="96" w:name="_Toc9638_WPSOffice_Level1"/>
      <w:bookmarkStart w:id="97" w:name="_Toc8661_WPSOffice_Level1"/>
      <w:r>
        <w:rPr>
          <w:rFonts w:hint="eastAsia" w:ascii="Times New Roman" w:hAnsi="Times New Roman"/>
          <w:b/>
          <w:bCs/>
          <w:color w:val="auto"/>
          <w:sz w:val="32"/>
          <w:szCs w:val="32"/>
          <w:highlight w:val="none"/>
        </w:rPr>
        <w:t>（一）</w:t>
      </w:r>
      <w:r>
        <w:rPr>
          <w:rFonts w:hint="eastAsia" w:hAnsi="宋体" w:cs="宋体"/>
          <w:b/>
          <w:color w:val="auto"/>
          <w:sz w:val="36"/>
          <w:szCs w:val="24"/>
          <w:highlight w:val="none"/>
        </w:rPr>
        <w:t>技术参数偏离表</w:t>
      </w:r>
    </w:p>
    <w:p>
      <w:pPr>
        <w:rPr>
          <w:rFonts w:hint="eastAsia" w:ascii="宋体" w:hAnsi="宋体" w:cs="宋体"/>
          <w:b/>
          <w:color w:val="auto"/>
          <w:kern w:val="1"/>
          <w:highlight w:val="none"/>
        </w:rPr>
      </w:pPr>
    </w:p>
    <w:tbl>
      <w:tblPr>
        <w:tblStyle w:val="89"/>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6497"/>
        <w:gridCol w:w="709"/>
        <w:gridCol w:w="100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宋体"/>
                <w:b/>
                <w:bCs/>
                <w:color w:val="auto"/>
              </w:rPr>
            </w:pPr>
            <w:r>
              <w:rPr>
                <w:rFonts w:hint="eastAsia" w:ascii="黑体" w:hAnsi="黑体" w:eastAsia="黑体" w:cs="宋体"/>
                <w:b/>
                <w:bCs/>
                <w:color w:val="auto"/>
              </w:rPr>
              <w:t>序号</w:t>
            </w:r>
          </w:p>
        </w:tc>
        <w:tc>
          <w:tcPr>
            <w:tcW w:w="3301" w:type="pc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宋体"/>
                <w:b/>
                <w:bCs/>
                <w:color w:val="auto"/>
              </w:rPr>
            </w:pPr>
            <w:r>
              <w:rPr>
                <w:rFonts w:hint="eastAsia" w:ascii="宋体" w:hAnsi="宋体" w:cs="宋体"/>
                <w:b/>
                <w:color w:val="auto"/>
                <w:kern w:val="1"/>
                <w:szCs w:val="21"/>
              </w:rPr>
              <w:t>磋商文件要求</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宋体"/>
                <w:b/>
                <w:bCs/>
                <w:color w:val="auto"/>
              </w:rPr>
            </w:pPr>
            <w:r>
              <w:rPr>
                <w:rFonts w:hint="eastAsia" w:ascii="宋体" w:hAnsi="宋体" w:cs="宋体"/>
                <w:b/>
                <w:color w:val="auto"/>
                <w:kern w:val="1"/>
                <w:szCs w:val="21"/>
              </w:rPr>
              <w:t>响应情况</w:t>
            </w:r>
          </w:p>
        </w:tc>
        <w:tc>
          <w:tcPr>
            <w:tcW w:w="510"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1"/>
                <w:szCs w:val="21"/>
              </w:rPr>
            </w:pPr>
            <w:r>
              <w:rPr>
                <w:rFonts w:hint="eastAsia" w:ascii="宋体" w:hAnsi="宋体" w:cs="宋体"/>
                <w:b/>
                <w:color w:val="auto"/>
                <w:kern w:val="1"/>
                <w:szCs w:val="21"/>
              </w:rPr>
              <w:t>偏离情况</w:t>
            </w:r>
          </w:p>
          <w:p>
            <w:pPr>
              <w:keepNext w:val="0"/>
              <w:keepLines w:val="0"/>
              <w:suppressLineNumbers w:val="0"/>
              <w:spacing w:before="0" w:beforeAutospacing="0" w:after="0" w:afterAutospacing="0"/>
              <w:ind w:left="0" w:right="0"/>
              <w:jc w:val="center"/>
              <w:rPr>
                <w:rFonts w:hint="eastAsia" w:ascii="黑体" w:hAnsi="黑体" w:eastAsia="黑体" w:cs="宋体"/>
                <w:b/>
                <w:bCs/>
                <w:color w:val="auto"/>
              </w:rPr>
            </w:pPr>
            <w:r>
              <w:rPr>
                <w:rFonts w:hint="eastAsia" w:ascii="宋体" w:hAnsi="宋体" w:cs="宋体"/>
                <w:b/>
                <w:color w:val="auto"/>
                <w:kern w:val="1"/>
                <w:szCs w:val="21"/>
              </w:rPr>
              <w:t>（正/负/无偏离）</w:t>
            </w:r>
          </w:p>
        </w:tc>
        <w:tc>
          <w:tcPr>
            <w:tcW w:w="415" w:type="pct"/>
            <w:noWrap w:val="0"/>
            <w:vAlign w:val="top"/>
          </w:tcPr>
          <w:p>
            <w:pPr>
              <w:keepNext w:val="0"/>
              <w:keepLines w:val="0"/>
              <w:suppressLineNumbers w:val="0"/>
              <w:spacing w:before="0" w:beforeAutospacing="0" w:after="0" w:afterAutospacing="0"/>
              <w:ind w:left="0" w:right="0"/>
              <w:jc w:val="center"/>
              <w:rPr>
                <w:rFonts w:hint="eastAsia" w:ascii="黑体" w:hAnsi="黑体" w:eastAsia="黑体" w:cs="宋体"/>
                <w:b/>
                <w:bCs/>
                <w:color w:val="auto"/>
              </w:rPr>
            </w:pPr>
            <w:r>
              <w:rPr>
                <w:rFonts w:hint="eastAsia" w:ascii="宋体" w:hAnsi="宋体" w:cs="宋体"/>
                <w:b/>
                <w:color w:val="auto"/>
                <w:kern w:val="1"/>
                <w:szCs w:val="21"/>
              </w:rPr>
              <w:t>证明材料位置（页码）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p>
        </w:tc>
        <w:tc>
          <w:tcPr>
            <w:tcW w:w="3301" w:type="pct"/>
            <w:noWrap w:val="0"/>
            <w:vAlign w:val="center"/>
          </w:tcPr>
          <w:p>
            <w:pPr>
              <w:keepNext w:val="0"/>
              <w:keepLines w:val="0"/>
              <w:suppressLineNumbers w:val="0"/>
              <w:snapToGrid w:val="0"/>
              <w:spacing w:before="0" w:beforeAutospacing="0" w:after="0" w:afterAutospacing="0"/>
              <w:ind w:left="0" w:right="0"/>
              <w:textAlignment w:val="center"/>
              <w:rPr>
                <w:rFonts w:hint="default" w:ascii="宋体" w:hAnsi="宋体"/>
                <w:b/>
                <w:bCs/>
                <w:color w:val="auto"/>
                <w:szCs w:val="21"/>
              </w:rPr>
            </w:pPr>
            <w:r>
              <w:rPr>
                <w:rFonts w:hint="eastAsia" w:ascii="宋体" w:hAnsi="宋体"/>
                <w:b/>
                <w:bCs/>
                <w:color w:val="auto"/>
                <w:szCs w:val="21"/>
              </w:rPr>
              <w:t>1.工作条件：</w:t>
            </w:r>
          </w:p>
          <w:p>
            <w:pPr>
              <w:keepNext w:val="0"/>
              <w:keepLines w:val="0"/>
              <w:suppressLineNumbers w:val="0"/>
              <w:snapToGrid w:val="0"/>
              <w:spacing w:before="0" w:beforeAutospacing="0" w:after="0" w:afterAutospacing="0"/>
              <w:ind w:left="0" w:right="0"/>
              <w:textAlignment w:val="center"/>
              <w:rPr>
                <w:rFonts w:hint="eastAsia" w:ascii="宋体" w:hAnsi="宋体"/>
                <w:color w:val="auto"/>
                <w:szCs w:val="21"/>
              </w:rPr>
            </w:pPr>
            <w:r>
              <w:rPr>
                <w:rFonts w:hint="eastAsia" w:ascii="宋体" w:hAnsi="宋体"/>
                <w:color w:val="auto"/>
                <w:szCs w:val="21"/>
              </w:rPr>
              <w:t>1.1 适于在气温为摄氏-40℃～＋50℃和相对湿度为 80％的环境条件下运输和贮存。</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p>
        </w:tc>
        <w:tc>
          <w:tcPr>
            <w:tcW w:w="3301" w:type="pct"/>
            <w:noWrap w:val="0"/>
            <w:vAlign w:val="top"/>
          </w:tcPr>
          <w:p>
            <w:pPr>
              <w:keepNext w:val="0"/>
              <w:keepLines w:val="0"/>
              <w:suppressLineNumbers w:val="0"/>
              <w:snapToGrid w:val="0"/>
              <w:spacing w:before="0" w:beforeAutospacing="0" w:after="0" w:afterAutospacing="0"/>
              <w:ind w:left="0" w:right="0"/>
              <w:textAlignment w:val="center"/>
              <w:rPr>
                <w:rFonts w:hint="eastAsia" w:ascii="宋体" w:hAnsi="宋体"/>
                <w:color w:val="auto"/>
                <w:szCs w:val="21"/>
              </w:rPr>
            </w:pPr>
            <w:r>
              <w:rPr>
                <w:rFonts w:hint="default" w:ascii="宋体" w:hAnsi="宋体"/>
                <w:color w:val="auto"/>
                <w:szCs w:val="21"/>
              </w:rPr>
              <w:t xml:space="preserve">1.2 </w:t>
            </w:r>
            <w:r>
              <w:rPr>
                <w:rFonts w:hint="eastAsia" w:ascii="宋体" w:hAnsi="宋体"/>
                <w:color w:val="auto"/>
                <w:szCs w:val="21"/>
              </w:rPr>
              <w:t>适于在电源</w:t>
            </w:r>
            <w:r>
              <w:rPr>
                <w:rFonts w:hint="default" w:ascii="宋体" w:hAnsi="宋体"/>
                <w:color w:val="auto"/>
                <w:szCs w:val="21"/>
              </w:rPr>
              <w:t xml:space="preserve"> 220V</w:t>
            </w:r>
            <w:r>
              <w:rPr>
                <w:rFonts w:hint="eastAsia" w:ascii="宋体" w:hAnsi="宋体"/>
                <w:color w:val="auto"/>
                <w:szCs w:val="21"/>
              </w:rPr>
              <w:t>（±</w:t>
            </w:r>
            <w:r>
              <w:rPr>
                <w:rFonts w:hint="default" w:ascii="宋体" w:hAnsi="宋体"/>
                <w:color w:val="auto"/>
                <w:szCs w:val="21"/>
              </w:rPr>
              <w:t>10</w:t>
            </w:r>
            <w:r>
              <w:rPr>
                <w:rFonts w:hint="eastAsia" w:ascii="宋体" w:hAnsi="宋体"/>
                <w:color w:val="auto"/>
                <w:szCs w:val="21"/>
              </w:rPr>
              <w:t>％）</w:t>
            </w:r>
            <w:r>
              <w:rPr>
                <w:rFonts w:hint="default" w:ascii="宋体" w:hAnsi="宋体"/>
                <w:color w:val="auto"/>
                <w:szCs w:val="21"/>
              </w:rPr>
              <w:t>/50Hz</w:t>
            </w:r>
            <w:r>
              <w:rPr>
                <w:rFonts w:hint="eastAsia" w:ascii="宋体" w:hAnsi="宋体"/>
                <w:color w:val="auto"/>
                <w:szCs w:val="21"/>
              </w:rPr>
              <w:t>、气温摄氏</w:t>
            </w:r>
            <w:r>
              <w:rPr>
                <w:rFonts w:hint="default" w:ascii="宋体" w:hAnsi="宋体"/>
                <w:color w:val="auto"/>
                <w:szCs w:val="21"/>
              </w:rPr>
              <w:t>+15</w:t>
            </w:r>
            <w:r>
              <w:rPr>
                <w:rFonts w:hint="eastAsia" w:ascii="宋体" w:hAnsi="宋体"/>
                <w:color w:val="auto"/>
                <w:szCs w:val="21"/>
              </w:rPr>
              <w:t>℃～+</w:t>
            </w:r>
            <w:r>
              <w:rPr>
                <w:rFonts w:hint="default" w:ascii="宋体" w:hAnsi="宋体"/>
                <w:color w:val="auto"/>
                <w:szCs w:val="21"/>
              </w:rPr>
              <w:t>30</w:t>
            </w:r>
            <w:r>
              <w:rPr>
                <w:rFonts w:hint="eastAsia" w:ascii="宋体" w:hAnsi="宋体"/>
                <w:color w:val="auto"/>
                <w:szCs w:val="21"/>
              </w:rPr>
              <w:t>℃和相对湿度小于</w:t>
            </w:r>
            <w:r>
              <w:rPr>
                <w:rFonts w:hint="default" w:ascii="宋体" w:hAnsi="宋体"/>
                <w:color w:val="auto"/>
                <w:szCs w:val="21"/>
              </w:rPr>
              <w:t>70</w:t>
            </w:r>
            <w:r>
              <w:rPr>
                <w:rFonts w:hint="eastAsia" w:ascii="宋体" w:hAnsi="宋体"/>
                <w:color w:val="auto"/>
                <w:szCs w:val="21"/>
              </w:rPr>
              <w:t>％的环境条件下运行。能够连续正常工作。</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3</w:t>
            </w:r>
          </w:p>
        </w:tc>
        <w:tc>
          <w:tcPr>
            <w:tcW w:w="3301" w:type="pct"/>
            <w:noWrap w:val="0"/>
            <w:vAlign w:val="center"/>
          </w:tcPr>
          <w:p>
            <w:pPr>
              <w:keepNext w:val="0"/>
              <w:keepLines w:val="0"/>
              <w:suppressLineNumbers w:val="0"/>
              <w:snapToGrid w:val="0"/>
              <w:spacing w:before="0" w:beforeAutospacing="0" w:after="0" w:afterAutospacing="0"/>
              <w:ind w:left="0" w:right="0"/>
              <w:textAlignment w:val="center"/>
              <w:rPr>
                <w:rFonts w:hint="eastAsia" w:ascii="宋体" w:hAnsi="宋体"/>
                <w:color w:val="auto"/>
                <w:szCs w:val="21"/>
              </w:rPr>
            </w:pPr>
            <w:r>
              <w:rPr>
                <w:rFonts w:hint="eastAsia" w:ascii="宋体" w:hAnsi="宋体"/>
                <w:color w:val="auto"/>
                <w:szCs w:val="21"/>
              </w:rPr>
              <w:t xml:space="preserve">1.3 配置符合中国有关标准要求的插头，如果没有这样的插头，则需提供适当的转换插座。 </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4</w:t>
            </w:r>
          </w:p>
        </w:tc>
        <w:tc>
          <w:tcPr>
            <w:tcW w:w="3301" w:type="pct"/>
            <w:noWrap w:val="0"/>
            <w:vAlign w:val="center"/>
          </w:tcPr>
          <w:p>
            <w:pPr>
              <w:keepNext w:val="0"/>
              <w:keepLines w:val="0"/>
              <w:suppressLineNumbers w:val="0"/>
              <w:snapToGrid w:val="0"/>
              <w:spacing w:before="0" w:beforeAutospacing="0" w:after="0" w:afterAutospacing="0"/>
              <w:ind w:left="0" w:right="0"/>
              <w:textAlignment w:val="center"/>
              <w:rPr>
                <w:rFonts w:hint="default" w:ascii="宋体" w:hAnsi="宋体"/>
                <w:b/>
                <w:bCs/>
                <w:color w:val="auto"/>
                <w:szCs w:val="21"/>
              </w:rPr>
            </w:pPr>
            <w:r>
              <w:rPr>
                <w:rFonts w:hint="eastAsia" w:ascii="宋体" w:hAnsi="宋体"/>
                <w:b/>
                <w:bCs/>
                <w:color w:val="auto"/>
                <w:szCs w:val="21"/>
              </w:rPr>
              <w:t xml:space="preserve">2.设备用途： </w:t>
            </w:r>
          </w:p>
          <w:p>
            <w:pPr>
              <w:keepNext w:val="0"/>
              <w:keepLines w:val="0"/>
              <w:suppressLineNumbers w:val="0"/>
              <w:snapToGrid w:val="0"/>
              <w:spacing w:before="0" w:beforeAutospacing="0" w:after="0" w:afterAutospacing="0"/>
              <w:ind w:left="0" w:right="0"/>
              <w:textAlignment w:val="center"/>
              <w:rPr>
                <w:rFonts w:hint="eastAsia" w:ascii="宋体" w:hAnsi="宋体"/>
                <w:color w:val="auto"/>
                <w:szCs w:val="21"/>
              </w:rPr>
            </w:pPr>
            <w:r>
              <w:rPr>
                <w:rFonts w:hint="eastAsia" w:ascii="宋体" w:hAnsi="宋体"/>
                <w:color w:val="auto"/>
                <w:szCs w:val="21"/>
              </w:rPr>
              <w:t>2.1 高速原子力显微镜系统，用来在溶液下对生物大分子（蛋白、DNA、RNA、病毒等）、细胞等进行高速高分辨三维成像，测量分子与分子之间的相互作用力，特异性生物大分子的识别与定位。</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5</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rPr>
              <w:t>3.高速原子力显微镜模块</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3.1 生物大分子或者待检测物质无需特殊标记，即可在液体或大气环境下实时进行成像观测。成像分辨率不低于2nm。</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6</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3.2 检测模式: 扫描管移动扫描的轻敲模式，多种成像模式共同探测。</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7</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★3.3 配置适用于大分子、细菌、活细胞等的专用扫描台及扫描模式。</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8</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▲3.4 用于生物大分子的标准扫描管扫描模式：</w:t>
            </w:r>
          </w:p>
          <w:p>
            <w:pPr>
              <w:keepNext w:val="0"/>
              <w:keepLines w:val="0"/>
              <w:suppressLineNumbers w:val="0"/>
              <w:spacing w:before="0" w:beforeAutospacing="0" w:after="0" w:afterAutospacing="0"/>
              <w:ind w:left="0" w:right="0"/>
              <w:rPr>
                <w:rFonts w:hint="eastAsia" w:ascii="宋体" w:hAnsi="宋体" w:cs="宋体"/>
                <w:color w:val="auto"/>
                <w:szCs w:val="21"/>
              </w:rPr>
            </w:pPr>
            <w:r>
              <w:rPr>
                <w:rFonts w:hint="eastAsia" w:ascii="宋体" w:hAnsi="宋体" w:cs="宋体"/>
                <w:color w:val="auto"/>
                <w:szCs w:val="21"/>
              </w:rPr>
              <w:t>最高扫描成像速度不小于20帧/秒，线扫速度不小于200行/秒，扫描尺度不小于500nm×500nm（XY方向），300纳米（Z方向）。</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9</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▲3.5 配套探测所需探针需适合生物大分子，尤其是蛋白质或者DNA。需提供相关数据证明。</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0</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3.6探针弹性系数不大于0.1 N/m；曲率半径不大于10nm；共振频率400-600kHz（液体环境下）。</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1</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3.7 样品台扫描，XYZ三轴扫描台独立控制，满足高速扫描需求。</w:t>
            </w:r>
          </w:p>
          <w:p>
            <w:pPr>
              <w:keepNext w:val="0"/>
              <w:keepLines w:val="0"/>
              <w:suppressLineNumbers w:val="0"/>
              <w:spacing w:before="0" w:beforeAutospacing="0" w:after="0" w:afterAutospacing="0"/>
              <w:ind w:left="0" w:right="0"/>
              <w:jc w:val="left"/>
              <w:rPr>
                <w:rFonts w:hint="eastAsia" w:ascii="宋体" w:hAnsi="宋体" w:cs="宋体"/>
                <w:color w:val="auto"/>
                <w:szCs w:val="21"/>
              </w:rPr>
            </w:pP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2</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 xml:space="preserve">3.8 具备动态PID反馈，实时调整增益。悬臂探针自动漂移校准，适用于长时间样品观测。 </w:t>
            </w:r>
          </w:p>
          <w:p>
            <w:pPr>
              <w:keepNext w:val="0"/>
              <w:keepLines w:val="0"/>
              <w:suppressLineNumbers w:val="0"/>
              <w:spacing w:before="0" w:beforeAutospacing="0" w:after="0" w:afterAutospacing="0"/>
              <w:ind w:left="0" w:right="0"/>
              <w:jc w:val="left"/>
              <w:rPr>
                <w:rFonts w:hint="eastAsia" w:ascii="宋体" w:hAnsi="宋体" w:cs="宋体"/>
                <w:color w:val="auto"/>
                <w:szCs w:val="21"/>
              </w:rPr>
            </w:pP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3</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3.9 频谱放大器：差分频谱放大器，傅里叶变换分析系统确保信号准确。</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4</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3.10 具备主动扫描驱动漂移校正系统。</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5</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▲3.11 用于细菌及病毒等微生物的大尺度扫描模式：</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高扫描成像速度不小于1帧/秒，扫描尺寸不小于 4微米×4微米（XY方向），0.5微米（Z方向）。</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6</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▲3.12 用于活细胞成像超大尺度扫描模式：</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高扫描成像速度不小于 0.1帧/秒，扫描尺寸不小于20微米×20微米（XY方向），1.2微米（Z方向）。</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7</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4</w:t>
            </w:r>
            <w:r>
              <w:rPr>
                <w:rFonts w:hint="eastAsia" w:ascii="宋体" w:hAnsi="宋体" w:cs="宋体"/>
                <w:b/>
                <w:bCs/>
                <w:color w:val="auto"/>
                <w:szCs w:val="21"/>
              </w:rPr>
              <w:t>.专用微流控模块：</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可快速替换样品池中的组分，以改变其成分及pH；</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8</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5.</w:t>
            </w:r>
            <w:r>
              <w:rPr>
                <w:rFonts w:hint="eastAsia" w:ascii="宋体" w:hAnsi="宋体" w:cs="宋体"/>
                <w:b/>
                <w:bCs/>
                <w:color w:val="auto"/>
                <w:szCs w:val="21"/>
              </w:rPr>
              <w:t>加热模块：</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室温至50℃连续可调；</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1</w:t>
            </w:r>
            <w:r>
              <w:rPr>
                <w:rFonts w:hint="default" w:ascii="宋体" w:hAnsi="宋体" w:cs="宋体"/>
                <w:color w:val="auto"/>
                <w:szCs w:val="21"/>
              </w:rPr>
              <w:t>9</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紫外光学系统：</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可以将紫外光整合导入到原子力显微镜的扫描探针部位。</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0</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7.</w:t>
            </w:r>
            <w:r>
              <w:rPr>
                <w:rFonts w:hint="eastAsia" w:ascii="宋体" w:hAnsi="宋体" w:cs="宋体"/>
                <w:b/>
                <w:bCs/>
                <w:color w:val="auto"/>
                <w:szCs w:val="21"/>
              </w:rPr>
              <w:t>荧光成像模块：</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.1 能够进行荧光成像，具备荧光模块；照明模式：明场、荧光；荧光波长范围：340nm至650 nm；</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1</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.2 配套相应的滤光片，可对常规的荧光染料如DAPI、GFP、Cy3、mCherry、AF647等进行激发及收集。</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2</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减震系统：</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.1 防震台：宽带阻尼结构工作桌面，可消除表面共振；尺寸≥0.7m*0.7m,负载≥100 kg； 固有频率：垂直：1.0～2.0Hz 水平：1.0～2.0Hz；振幅：1（um）。</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3</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 气泵：空气源静音空气压缩机不大于50dB</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4</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b/>
                <w:bCs/>
                <w:color w:val="auto"/>
                <w:szCs w:val="21"/>
                <w:lang w:val="en-US" w:eastAsia="zh-CN"/>
              </w:rPr>
              <w:t>9.</w:t>
            </w:r>
            <w:r>
              <w:rPr>
                <w:rFonts w:hint="eastAsia" w:ascii="宋体" w:hAnsi="宋体" w:cs="宋体"/>
                <w:b/>
                <w:bCs/>
                <w:color w:val="auto"/>
                <w:szCs w:val="21"/>
              </w:rPr>
              <w:t>软件部分：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.1 仪器采集软件系统：可实时观测采集数据，包括样品形貌，高度，力学信号等。</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2</w:t>
            </w:r>
            <w:r>
              <w:rPr>
                <w:rFonts w:hint="default" w:ascii="宋体" w:hAnsi="宋体" w:cs="宋体"/>
                <w:color w:val="auto"/>
                <w:szCs w:val="21"/>
              </w:rPr>
              <w:t>5</w:t>
            </w:r>
          </w:p>
        </w:tc>
        <w:tc>
          <w:tcPr>
            <w:tcW w:w="3301" w:type="pct"/>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.2 分析软件具备：2D/3D 数据分析；可导出原始数据和分析得到的视频数据。</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510"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c>
          <w:tcPr>
            <w:tcW w:w="4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rPr>
            </w:pPr>
          </w:p>
        </w:tc>
      </w:tr>
    </w:tbl>
    <w:p>
      <w:pPr>
        <w:pStyle w:val="2"/>
        <w:numPr>
          <w:ilvl w:val="-1"/>
          <w:numId w:val="0"/>
        </w:numPr>
        <w:ind w:left="0" w:firstLine="0"/>
        <w:rPr>
          <w:rFonts w:hint="eastAsia"/>
          <w:color w:val="auto"/>
        </w:rPr>
      </w:pPr>
    </w:p>
    <w:p>
      <w:pPr>
        <w:rPr>
          <w:rFonts w:hint="eastAsia" w:ascii="宋体" w:hAnsi="宋体" w:cs="宋体"/>
          <w:b/>
          <w:color w:val="auto"/>
          <w:kern w:val="1"/>
          <w:highlight w:val="none"/>
        </w:rPr>
      </w:pPr>
    </w:p>
    <w:p>
      <w:pPr>
        <w:spacing w:line="360" w:lineRule="auto"/>
        <w:ind w:firstLine="480"/>
        <w:rPr>
          <w:rFonts w:ascii="宋体" w:hAnsi="宋体" w:cs="宋体"/>
          <w:b/>
          <w:color w:val="auto"/>
          <w:kern w:val="1"/>
          <w:szCs w:val="21"/>
          <w:highlight w:val="none"/>
        </w:rPr>
      </w:pPr>
      <w:r>
        <w:rPr>
          <w:rFonts w:hint="eastAsia" w:ascii="宋体" w:hAnsi="宋体" w:cs="宋体"/>
          <w:b/>
          <w:color w:val="auto"/>
          <w:kern w:val="1"/>
          <w:szCs w:val="21"/>
          <w:highlight w:val="none"/>
        </w:rPr>
        <w:t>注：偏离表须包含以下内容:</w:t>
      </w:r>
    </w:p>
    <w:p>
      <w:pPr>
        <w:spacing w:line="360" w:lineRule="auto"/>
        <w:ind w:firstLine="480"/>
        <w:rPr>
          <w:rFonts w:hint="eastAsia" w:ascii="宋体" w:hAnsi="宋体" w:cs="宋体"/>
          <w:b/>
          <w:color w:val="auto"/>
          <w:kern w:val="1"/>
          <w:szCs w:val="21"/>
          <w:highlight w:val="none"/>
        </w:rPr>
      </w:pPr>
      <w:r>
        <w:rPr>
          <w:rFonts w:hint="eastAsia" w:ascii="宋体" w:hAnsi="宋体" w:cs="宋体"/>
          <w:b/>
          <w:color w:val="auto"/>
          <w:kern w:val="1"/>
          <w:szCs w:val="21"/>
          <w:highlight w:val="none"/>
        </w:rPr>
        <w:t>（1）供应商须对磋商文件第三章用户需求书中“三、技术参数 ”逐条进行偏离情况说明，否则按无效投标文件处理；</w:t>
      </w:r>
    </w:p>
    <w:p>
      <w:pPr>
        <w:spacing w:line="360" w:lineRule="auto"/>
        <w:ind w:firstLine="480"/>
        <w:rPr>
          <w:rFonts w:hint="eastAsia" w:ascii="宋体" w:hAnsi="宋体" w:cs="宋体"/>
          <w:b/>
          <w:color w:val="auto"/>
          <w:kern w:val="1"/>
          <w:szCs w:val="21"/>
          <w:highlight w:val="none"/>
        </w:rPr>
      </w:pPr>
      <w:r>
        <w:rPr>
          <w:rFonts w:hint="eastAsia" w:ascii="宋体" w:hAnsi="宋体" w:cs="宋体"/>
          <w:b/>
          <w:color w:val="auto"/>
          <w:kern w:val="1"/>
          <w:szCs w:val="21"/>
          <w:highlight w:val="none"/>
        </w:rPr>
        <w:t>(2)“响应情况”不可照搬照抄磋商文件技术条款；</w:t>
      </w:r>
    </w:p>
    <w:p>
      <w:pPr>
        <w:spacing w:line="360" w:lineRule="auto"/>
        <w:ind w:firstLine="480"/>
        <w:rPr>
          <w:rFonts w:hint="eastAsia" w:ascii="宋体" w:hAnsi="宋体" w:cs="宋体"/>
          <w:b/>
          <w:color w:val="auto"/>
          <w:kern w:val="1"/>
          <w:szCs w:val="21"/>
          <w:highlight w:val="none"/>
        </w:rPr>
      </w:pPr>
      <w:r>
        <w:rPr>
          <w:rFonts w:hint="eastAsia" w:ascii="宋体" w:hAnsi="宋体" w:cs="宋体"/>
          <w:b/>
          <w:color w:val="auto"/>
          <w:kern w:val="1"/>
          <w:szCs w:val="21"/>
          <w:highlight w:val="none"/>
        </w:rPr>
        <w:t>（3）一处技术参数如有负偏离，则该项技术参数认定为负偏离。</w:t>
      </w:r>
    </w:p>
    <w:p>
      <w:pPr>
        <w:pStyle w:val="46"/>
        <w:spacing w:line="440" w:lineRule="exact"/>
        <w:jc w:val="center"/>
        <w:rPr>
          <w:rFonts w:hAnsi="宋体" w:cs="宋体"/>
          <w:b/>
          <w:color w:val="auto"/>
          <w:sz w:val="36"/>
          <w:szCs w:val="24"/>
          <w:highlight w:val="none"/>
        </w:rPr>
      </w:pPr>
    </w:p>
    <w:p>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供应商：(盖章)</w:t>
      </w:r>
    </w:p>
    <w:p>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法定代表人或其委托代理人：(签字或盖章)</w:t>
      </w:r>
    </w:p>
    <w:p>
      <w:pPr>
        <w:ind w:firstLine="480" w:firstLineChars="200"/>
        <w:rPr>
          <w:rFonts w:hint="eastAsia" w:ascii="宋体" w:hAnsi="宋体" w:cs="宋体"/>
          <w:color w:val="auto"/>
          <w:kern w:val="1"/>
          <w:highlight w:val="none"/>
        </w:rPr>
      </w:pPr>
      <w:r>
        <w:rPr>
          <w:rFonts w:hint="eastAsia" w:ascii="宋体" w:hAnsi="宋体" w:cs="宋体"/>
          <w:color w:val="auto"/>
          <w:kern w:val="1"/>
          <w:sz w:val="24"/>
          <w:highlight w:val="none"/>
        </w:rPr>
        <w:t>日期：       年   月  日</w:t>
      </w: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p>
      <w:pPr>
        <w:rPr>
          <w:rFonts w:hint="eastAsia" w:ascii="宋体" w:hAnsi="宋体" w:cs="宋体"/>
          <w:color w:val="auto"/>
          <w:kern w:val="1"/>
          <w:highlight w:val="none"/>
        </w:rPr>
      </w:pPr>
    </w:p>
    <w:bookmarkEnd w:id="94"/>
    <w:bookmarkEnd w:id="95"/>
    <w:bookmarkEnd w:id="96"/>
    <w:bookmarkEnd w:id="97"/>
    <w:p>
      <w:pPr>
        <w:pStyle w:val="46"/>
        <w:spacing w:after="240" w:line="440" w:lineRule="exact"/>
        <w:jc w:val="center"/>
        <w:rPr>
          <w:rFonts w:hAnsi="宋体" w:cs="宋体"/>
          <w:b/>
          <w:color w:val="auto"/>
          <w:sz w:val="36"/>
          <w:szCs w:val="24"/>
          <w:highlight w:val="none"/>
        </w:rPr>
      </w:pPr>
      <w:r>
        <w:rPr>
          <w:rFonts w:hint="eastAsia" w:hAnsi="宋体" w:cs="宋体"/>
          <w:b/>
          <w:color w:val="auto"/>
          <w:sz w:val="36"/>
          <w:szCs w:val="24"/>
          <w:highlight w:val="none"/>
        </w:rPr>
        <w:br w:type="page"/>
      </w:r>
      <w:r>
        <w:rPr>
          <w:rFonts w:hint="eastAsia" w:hAnsi="宋体" w:cs="宋体"/>
          <w:b/>
          <w:color w:val="auto"/>
          <w:sz w:val="36"/>
          <w:szCs w:val="24"/>
          <w:highlight w:val="none"/>
        </w:rPr>
        <w:t>（二）商务偏离表</w:t>
      </w:r>
    </w:p>
    <w:tbl>
      <w:tblPr>
        <w:tblStyle w:val="89"/>
        <w:tblW w:w="0" w:type="auto"/>
        <w:tblInd w:w="534" w:type="dxa"/>
        <w:tblLayout w:type="autofit"/>
        <w:tblCellMar>
          <w:top w:w="0" w:type="dxa"/>
          <w:left w:w="108" w:type="dxa"/>
          <w:bottom w:w="0" w:type="dxa"/>
          <w:right w:w="108" w:type="dxa"/>
        </w:tblCellMar>
      </w:tblPr>
      <w:tblGrid>
        <w:gridCol w:w="708"/>
        <w:gridCol w:w="6024"/>
        <w:gridCol w:w="750"/>
        <w:gridCol w:w="879"/>
        <w:gridCol w:w="960"/>
      </w:tblGrid>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序号</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磋商文件的商务条款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szCs w:val="21"/>
                <w:highlight w:val="none"/>
              </w:rPr>
            </w:pPr>
            <w:r>
              <w:rPr>
                <w:rFonts w:hint="eastAsia" w:ascii="宋体" w:hAnsi="宋体" w:cs="宋体"/>
                <w:color w:val="auto"/>
                <w:kern w:val="1"/>
                <w:szCs w:val="21"/>
                <w:highlight w:val="none"/>
              </w:rPr>
              <w:t>响应文件的商务条款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偏离情况</w:t>
            </w:r>
          </w:p>
          <w:p>
            <w:pPr>
              <w:keepNext w:val="0"/>
              <w:keepLines w:val="0"/>
              <w:suppressLineNumbers w:val="0"/>
              <w:spacing w:before="0" w:beforeAutospacing="0" w:after="0" w:afterAutospacing="0"/>
              <w:ind w:left="0" w:right="0"/>
              <w:jc w:val="center"/>
              <w:rPr>
                <w:rFonts w:hint="default" w:ascii="宋体" w:hAnsi="宋体" w:cs="宋体"/>
                <w:b/>
                <w:color w:val="auto"/>
                <w:kern w:val="1"/>
                <w:szCs w:val="21"/>
                <w:highlight w:val="none"/>
              </w:rPr>
            </w:pPr>
            <w:r>
              <w:rPr>
                <w:rFonts w:hint="eastAsia" w:ascii="宋体" w:hAnsi="宋体" w:cs="宋体"/>
                <w:color w:val="auto"/>
                <w:kern w:val="1"/>
                <w:szCs w:val="21"/>
                <w:highlight w:val="none"/>
              </w:rPr>
              <w:t>（正/负/无偏离）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证明材料位置（页码）</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Times New Roman"/>
                <w:color w:val="auto"/>
                <w:szCs w:val="21"/>
                <w:highlight w:val="none"/>
              </w:rPr>
              <w:t>1</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★付款方式：</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国产产品：</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合同签定后5日内，乙方向甲方提供合同金额90%的预付款保函，预付款保函有效期至货到甲方指定地点安装调试验收合格；甲方收到预付款保函后，向乙方支付合同总金额90%的预付款；货到甲方指定地点后，乙方向甲方提供合同总金额10%的履约保函，履约保函有效期至质保期结束；安装调试验收合格、甲方收到履约保函后，甲方凭验收合格报告向乙方支付合同总金额10%的尾款。</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进口产品：</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highlight w:val="none"/>
              </w:rPr>
            </w:pPr>
            <w:r>
              <w:rPr>
                <w:rFonts w:hint="eastAsia" w:ascii="Times New Roman" w:hAnsi="Times New Roman" w:cs="Times New Roman"/>
                <w:color w:val="auto"/>
                <w:highlight w:val="none"/>
              </w:rPr>
              <w:t>外贸合同签订后，甲方委托的外贸代理公司向乙方提供合同金额90%的不可撤销信用证，乙方凭发货运单承兑；甲方委托的外贸代理公司凭乙方提供的大连理工大学资产与实验室管理处签字的验收合格报告向乙方电汇支付10%合同尾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548"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Times New Roman"/>
                <w:color w:val="auto"/>
                <w:szCs w:val="21"/>
                <w:highlight w:val="none"/>
              </w:rPr>
              <w:t>2</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color w:val="auto"/>
                <w:szCs w:val="21"/>
                <w:highlight w:val="none"/>
              </w:rPr>
            </w:pPr>
            <w:r>
              <w:rPr>
                <w:rFonts w:hint="eastAsia" w:ascii="宋体" w:hAnsi="宋体" w:cs="宋体"/>
                <w:color w:val="auto"/>
                <w:kern w:val="0"/>
                <w:sz w:val="24"/>
                <w:szCs w:val="22"/>
                <w:highlight w:val="none"/>
              </w:rPr>
              <w:t>★</w:t>
            </w:r>
            <w:r>
              <w:rPr>
                <w:rFonts w:hint="eastAsia" w:ascii="宋体" w:hAnsi="宋体" w:cs="Times New Roman"/>
                <w:color w:val="auto"/>
                <w:szCs w:val="21"/>
                <w:highlight w:val="none"/>
              </w:rPr>
              <w:t>交货地点：大连理工大学。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71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Times New Roman"/>
                <w:color w:val="auto"/>
                <w:szCs w:val="21"/>
                <w:highlight w:val="none"/>
              </w:rPr>
              <w:t>3</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★供货期：自签订合同之日起，接到采购人供货通知后</w:t>
            </w:r>
            <w:r>
              <w:rPr>
                <w:rFonts w:hint="eastAsia" w:ascii="宋体" w:hAnsi="宋体" w:cs="Times New Roman"/>
                <w:color w:val="auto"/>
                <w:szCs w:val="21"/>
                <w:highlight w:val="none"/>
                <w:lang w:val="en-US" w:eastAsia="zh-CN"/>
              </w:rPr>
              <w:t>150</w:t>
            </w:r>
            <w:r>
              <w:rPr>
                <w:rFonts w:hint="eastAsia" w:ascii="宋体" w:hAnsi="宋体" w:cs="Times New Roman"/>
                <w:color w:val="auto"/>
                <w:szCs w:val="21"/>
                <w:highlight w:val="none"/>
              </w:rPr>
              <w:t>个日历日内货到采购人指定地点安装调试验收合格。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71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 xml:space="preserve">4 </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★质保期：货到采购方指定地点安装调试验收合格之日起，免费质保期 3年，质保期内每年提供至少两次上门巡检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951"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5</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3、售后服务要求：</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3.1设备安装调试：仪器到货后，买方负责提供必要的实验室条件，卖方在接到买方通知的7个工作日内派人前往负责该设备的安装、调试和操作培训，直至达到各项验收指标合格。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829"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6</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3.2</w:t>
            </w:r>
            <w:r>
              <w:rPr>
                <w:rFonts w:hint="eastAsia" w:ascii="宋体" w:hAnsi="宋体" w:eastAsia="宋体"/>
                <w:color w:val="auto"/>
                <w:sz w:val="21"/>
                <w:szCs w:val="21"/>
                <w:highlight w:val="none"/>
              </w:rPr>
              <w:t>售后响应时间：供应商 24 小时内对用户的报修申请做出响应。一般性问题应在 48小时内解决；对于在 48 小时内无法解决的其它较大的问题，应在 3 天内给以解决；对于在 3 天内不能解决的问题，应提出明确的解决方案，得到用户的认可后，在预定的期限内解决问题，质保期内设备损坏，如 7 天内没解决，则顺应延长设备质保期。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9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7</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3.3</w:t>
            </w:r>
            <w:r>
              <w:rPr>
                <w:rFonts w:hint="eastAsia" w:ascii="宋体" w:hAnsi="宋体" w:eastAsia="宋体"/>
                <w:color w:val="auto"/>
                <w:sz w:val="21"/>
                <w:szCs w:val="21"/>
                <w:highlight w:val="none"/>
              </w:rPr>
              <w:t>质保期结束后两年内，供应商免费提供60个工作日的设备使用售后服务，以保证设备交接后的正常使用</w:t>
            </w:r>
            <w:r>
              <w:rPr>
                <w:rFonts w:hint="eastAsia" w:ascii="宋体" w:hAnsi="宋体" w:eastAsia="宋体"/>
                <w:color w:val="auto"/>
                <w:sz w:val="21"/>
                <w:szCs w:val="21"/>
                <w:highlight w:val="none"/>
                <w:lang w:val="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90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8</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val="zh-CN"/>
              </w:rPr>
              <w:t>技术培训：</w:t>
            </w:r>
            <w:r>
              <w:rPr>
                <w:rFonts w:hint="eastAsia" w:ascii="宋体" w:hAnsi="宋体" w:eastAsia="宋体"/>
                <w:color w:val="auto"/>
                <w:szCs w:val="21"/>
                <w:highlight w:val="none"/>
                <w:lang w:val="zh-CN"/>
              </w:rPr>
              <w:t>卖方负责派专业技术人员到买方所在地进行集中培训，使其能熟练掌握仪器的各项性能（包括硬件和软件），时间不少于</w:t>
            </w:r>
            <w:r>
              <w:rPr>
                <w:rFonts w:hint="eastAsia" w:ascii="宋体" w:hAnsi="宋体" w:eastAsia="宋体"/>
                <w:color w:val="auto"/>
                <w:szCs w:val="21"/>
                <w:highlight w:val="none"/>
              </w:rPr>
              <w:t>3</w:t>
            </w:r>
            <w:r>
              <w:rPr>
                <w:rFonts w:hint="eastAsia" w:ascii="宋体" w:hAnsi="宋体" w:eastAsia="宋体"/>
                <w:color w:val="auto"/>
                <w:szCs w:val="21"/>
                <w:highlight w:val="none"/>
                <w:lang w:val="zh-CN"/>
              </w:rPr>
              <w:t>天。在仪器使用集中培训以后，若买方仍有技术问题，卖方在任何时候，都应在</w:t>
            </w:r>
            <w:r>
              <w:rPr>
                <w:rFonts w:hint="eastAsia" w:ascii="宋体" w:hAnsi="宋体" w:eastAsia="宋体"/>
                <w:color w:val="auto"/>
                <w:szCs w:val="21"/>
                <w:highlight w:val="none"/>
              </w:rPr>
              <w:t>48</w:t>
            </w:r>
            <w:r>
              <w:rPr>
                <w:rFonts w:hint="eastAsia" w:ascii="宋体" w:hAnsi="宋体" w:eastAsia="宋体"/>
                <w:color w:val="auto"/>
                <w:szCs w:val="21"/>
                <w:highlight w:val="none"/>
                <w:lang w:val="zh-CN"/>
              </w:rPr>
              <w:t>小时以内提供详细技术方案并予以解决。供应商承诺仪器安装完毕、日常使用安全及注意事项培训结束后，指派专业应用工程师在采购人现场对用户操作人员进行设备操作培训，培训时间不少于3天，此外供应商还需提供2次讲座，并保证用户至少2人完全掌握设备的操作。培训内容包括：仪器的技术原理、操作、样品制备，数据分析等。确保采购人可达到独立操作系统软件、硬件完成全过程的操作。设备安装培训可分次进行，由用户指定时间培训完成</w:t>
            </w:r>
            <w:r>
              <w:rPr>
                <w:rFonts w:hint="eastAsia" w:ascii="宋体" w:hAnsi="宋体" w:eastAsia="宋体"/>
                <w:color w:val="auto"/>
                <w:sz w:val="21"/>
                <w:szCs w:val="21"/>
                <w:highlight w:val="none"/>
                <w:lang w:val="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1879"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9</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五、对成交人的其他要求</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1．成交人不得将本项目转包给第三方，如发现转包，成交人应接受无条件退货承担相应的法律责任。</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2．成交人投标报价为全包价格，无二次费用增加。</w:t>
            </w:r>
          </w:p>
          <w:p>
            <w:pPr>
              <w:keepNext w:val="0"/>
              <w:keepLines w:val="0"/>
              <w:suppressLineNumbers w:val="0"/>
              <w:spacing w:before="0" w:beforeAutospacing="0" w:after="0" w:afterAutospacing="0"/>
              <w:ind w:left="0" w:right="0"/>
              <w:jc w:val="left"/>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3．因成交人原因未按时供货，造成采购人无法及时使用，由此为采购人造成的损失由成交人进行赔偿。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tblPrEx>
          <w:tblCellMar>
            <w:top w:w="0" w:type="dxa"/>
            <w:left w:w="108" w:type="dxa"/>
            <w:bottom w:w="0" w:type="dxa"/>
            <w:right w:w="108" w:type="dxa"/>
          </w:tblCellMar>
        </w:tblPrEx>
        <w:trPr>
          <w:trHeight w:val="828"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6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供应商认为需要提供的其他内容（可延续表格）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bl>
    <w:p>
      <w:pPr>
        <w:pStyle w:val="46"/>
        <w:spacing w:line="440" w:lineRule="exact"/>
        <w:jc w:val="center"/>
        <w:rPr>
          <w:rFonts w:hAnsi="宋体" w:cs="宋体"/>
          <w:b/>
          <w:color w:val="auto"/>
          <w:sz w:val="36"/>
          <w:szCs w:val="24"/>
          <w:highlight w:val="none"/>
        </w:rPr>
      </w:pPr>
    </w:p>
    <w:p>
      <w:pPr>
        <w:spacing w:line="360" w:lineRule="auto"/>
        <w:ind w:firstLine="480"/>
        <w:rPr>
          <w:rFonts w:ascii="宋体" w:hAnsi="宋体" w:cs="宋体"/>
          <w:b/>
          <w:color w:val="auto"/>
          <w:kern w:val="1"/>
          <w:szCs w:val="21"/>
          <w:highlight w:val="none"/>
        </w:rPr>
      </w:pPr>
      <w:r>
        <w:rPr>
          <w:rFonts w:hint="eastAsia" w:ascii="宋体" w:hAnsi="宋体" w:cs="宋体"/>
          <w:b/>
          <w:color w:val="auto"/>
          <w:kern w:val="1"/>
          <w:szCs w:val="21"/>
          <w:highlight w:val="none"/>
        </w:rPr>
        <w:t>注：商务偏离表须包含以下内容:</w:t>
      </w:r>
    </w:p>
    <w:p>
      <w:pPr>
        <w:numPr>
          <w:ilvl w:val="0"/>
          <w:numId w:val="20"/>
        </w:numPr>
        <w:spacing w:line="360" w:lineRule="auto"/>
        <w:ind w:firstLine="480"/>
        <w:rPr>
          <w:rFonts w:hint="eastAsia" w:ascii="宋体" w:hAnsi="宋体" w:cs="宋体"/>
          <w:b/>
          <w:color w:val="auto"/>
          <w:kern w:val="1"/>
          <w:szCs w:val="21"/>
          <w:highlight w:val="none"/>
        </w:rPr>
      </w:pPr>
      <w:r>
        <w:rPr>
          <w:rFonts w:hint="eastAsia" w:ascii="宋体" w:hAnsi="宋体" w:cs="宋体"/>
          <w:b/>
          <w:color w:val="auto"/>
          <w:kern w:val="1"/>
          <w:szCs w:val="21"/>
          <w:highlight w:val="none"/>
        </w:rPr>
        <w:t>供应商须对商务条件进行偏离情况说明，如“★”号项商务条款未做响应或响应为负偏离，则按无效响应文件处理；</w:t>
      </w:r>
    </w:p>
    <w:p>
      <w:pPr>
        <w:spacing w:line="360" w:lineRule="auto"/>
        <w:ind w:firstLine="422" w:firstLineChars="200"/>
        <w:rPr>
          <w:color w:val="auto"/>
          <w:highlight w:val="none"/>
        </w:rPr>
      </w:pPr>
      <w:r>
        <w:rPr>
          <w:rFonts w:hint="eastAsia" w:ascii="宋体" w:hAnsi="宋体" w:cs="宋体"/>
          <w:b/>
          <w:color w:val="auto"/>
          <w:kern w:val="1"/>
          <w:szCs w:val="21"/>
          <w:highlight w:val="none"/>
        </w:rPr>
        <w:t>（2）项</w:t>
      </w:r>
      <w:r>
        <w:rPr>
          <w:rFonts w:hint="eastAsia" w:ascii="宋体" w:hAnsi="宋体" w:cs="宋体"/>
          <w:b/>
          <w:color w:val="auto"/>
          <w:kern w:val="1"/>
          <w:szCs w:val="21"/>
          <w:highlight w:val="none"/>
          <w:lang w:val="en-US" w:eastAsia="zh-CN"/>
        </w:rPr>
        <w:t>10</w:t>
      </w:r>
      <w:r>
        <w:rPr>
          <w:rFonts w:hint="eastAsia" w:ascii="宋体" w:hAnsi="宋体" w:cs="宋体"/>
          <w:b/>
          <w:color w:val="auto"/>
          <w:kern w:val="1"/>
          <w:szCs w:val="21"/>
          <w:highlight w:val="none"/>
        </w:rPr>
        <w:t>中内容供应商应自行逐条填写。</w:t>
      </w:r>
    </w:p>
    <w:p>
      <w:pPr>
        <w:spacing w:line="360" w:lineRule="auto"/>
        <w:ind w:firstLine="480"/>
        <w:rPr>
          <w:rFonts w:ascii="宋体" w:hAnsi="宋体" w:cs="宋体"/>
          <w:b/>
          <w:color w:val="auto"/>
          <w:kern w:val="1"/>
          <w:szCs w:val="21"/>
          <w:highlight w:val="none"/>
        </w:rPr>
      </w:pPr>
      <w:r>
        <w:rPr>
          <w:rFonts w:hint="eastAsia" w:ascii="宋体" w:hAnsi="宋体" w:cs="宋体"/>
          <w:b/>
          <w:color w:val="auto"/>
          <w:kern w:val="1"/>
          <w:szCs w:val="21"/>
          <w:highlight w:val="none"/>
        </w:rPr>
        <w:t>（3）供应商认为需要的其他内容。</w:t>
      </w:r>
    </w:p>
    <w:p>
      <w:pPr>
        <w:spacing w:line="360" w:lineRule="auto"/>
        <w:ind w:firstLine="480"/>
        <w:rPr>
          <w:rFonts w:ascii="宋体" w:hAnsi="宋体" w:cs="宋体"/>
          <w:color w:val="auto"/>
          <w:kern w:val="1"/>
          <w:sz w:val="24"/>
          <w:highlight w:val="none"/>
          <w:u w:val="single"/>
        </w:rPr>
      </w:pPr>
      <w:r>
        <w:rPr>
          <w:rFonts w:hint="eastAsia" w:ascii="宋体" w:hAnsi="宋体" w:cs="宋体"/>
          <w:color w:val="auto"/>
          <w:kern w:val="1"/>
          <w:sz w:val="24"/>
          <w:highlight w:val="none"/>
        </w:rPr>
        <w:t>供应商：(盖章)</w:t>
      </w:r>
    </w:p>
    <w:p>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法定代表人或其委托代理人：(签字或盖章)</w:t>
      </w:r>
    </w:p>
    <w:p>
      <w:pPr>
        <w:spacing w:line="360" w:lineRule="auto"/>
        <w:ind w:firstLine="480"/>
        <w:rPr>
          <w:rFonts w:hint="eastAsia" w:ascii="宋体" w:hAnsi="宋体" w:cs="宋体"/>
          <w:color w:val="auto"/>
          <w:kern w:val="1"/>
          <w:sz w:val="24"/>
          <w:highlight w:val="none"/>
        </w:rPr>
      </w:pPr>
      <w:r>
        <w:rPr>
          <w:rFonts w:hint="eastAsia" w:ascii="宋体" w:hAnsi="宋体" w:cs="宋体"/>
          <w:color w:val="auto"/>
          <w:kern w:val="1"/>
          <w:sz w:val="24"/>
          <w:highlight w:val="none"/>
        </w:rPr>
        <w:t>日期：       年   月  日</w:t>
      </w:r>
    </w:p>
    <w:p>
      <w:pPr>
        <w:spacing w:line="360" w:lineRule="auto"/>
        <w:ind w:firstLine="480"/>
        <w:rPr>
          <w:rFonts w:hint="eastAsia" w:ascii="宋体" w:hAnsi="宋体" w:cs="宋体"/>
          <w:color w:val="auto"/>
          <w:kern w:val="1"/>
          <w:sz w:val="24"/>
          <w:highlight w:val="none"/>
        </w:rPr>
      </w:pPr>
      <w:r>
        <w:rPr>
          <w:rFonts w:hint="eastAsia" w:ascii="宋体" w:hAnsi="宋体" w:cs="宋体"/>
          <w:color w:val="auto"/>
          <w:kern w:val="1"/>
          <w:sz w:val="24"/>
          <w:highlight w:val="none"/>
        </w:rPr>
        <w:br w:type="page"/>
      </w:r>
    </w:p>
    <w:p>
      <w:pPr>
        <w:pStyle w:val="46"/>
        <w:spacing w:line="440" w:lineRule="exact"/>
        <w:jc w:val="center"/>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lang w:val="en-US" w:eastAsia="zh-CN"/>
        </w:rPr>
        <w:t>六</w:t>
      </w:r>
      <w:r>
        <w:rPr>
          <w:rFonts w:ascii="Times New Roman" w:hAnsi="Times New Roman"/>
          <w:b/>
          <w:bCs/>
          <w:color w:val="auto"/>
          <w:sz w:val="36"/>
          <w:szCs w:val="24"/>
          <w:highlight w:val="none"/>
        </w:rPr>
        <w:t>、</w:t>
      </w:r>
      <w:r>
        <w:rPr>
          <w:rFonts w:hint="eastAsia" w:ascii="Times New Roman" w:hAnsi="Times New Roman"/>
          <w:b/>
          <w:bCs/>
          <w:color w:val="auto"/>
          <w:sz w:val="36"/>
          <w:szCs w:val="24"/>
          <w:highlight w:val="none"/>
        </w:rPr>
        <w:t>供应商有关资格证明文件</w:t>
      </w:r>
    </w:p>
    <w:p>
      <w:pPr>
        <w:pStyle w:val="46"/>
        <w:spacing w:line="440" w:lineRule="exact"/>
        <w:jc w:val="center"/>
        <w:rPr>
          <w:rFonts w:hint="eastAsia" w:ascii="Times New Roman" w:hAnsi="Times New Roman"/>
          <w:bCs/>
          <w:color w:val="auto"/>
          <w:sz w:val="24"/>
          <w:szCs w:val="24"/>
          <w:highlight w:val="none"/>
          <w:u w:val="single"/>
        </w:rPr>
      </w:pPr>
      <w:r>
        <w:rPr>
          <w:rFonts w:hint="eastAsia" w:ascii="Times New Roman" w:hAnsi="Times New Roman"/>
          <w:bCs/>
          <w:color w:val="auto"/>
          <w:sz w:val="24"/>
          <w:szCs w:val="24"/>
          <w:highlight w:val="none"/>
          <w:u w:val="single"/>
        </w:rPr>
        <w:t>注：所有证明文件在磋商时必须在有效期内，否则视为不具有该证明文件。</w:t>
      </w:r>
    </w:p>
    <w:p>
      <w:pPr>
        <w:pStyle w:val="46"/>
        <w:spacing w:line="440" w:lineRule="exact"/>
        <w:jc w:val="center"/>
        <w:rPr>
          <w:rFonts w:hint="eastAsia" w:ascii="Times New Roman" w:hAnsi="Times New Roman"/>
          <w:b/>
          <w:bCs/>
          <w:color w:val="auto"/>
          <w:sz w:val="36"/>
          <w:szCs w:val="24"/>
          <w:highlight w:val="none"/>
        </w:rPr>
      </w:pPr>
    </w:p>
    <w:p>
      <w:pPr>
        <w:pStyle w:val="46"/>
        <w:spacing w:line="440" w:lineRule="exact"/>
        <w:jc w:val="center"/>
        <w:rPr>
          <w:rFonts w:hint="eastAsia" w:hAnsi="宋体"/>
          <w:b/>
          <w:bCs/>
          <w:color w:val="auto"/>
          <w:sz w:val="36"/>
          <w:szCs w:val="24"/>
          <w:highlight w:val="none"/>
        </w:rPr>
      </w:pPr>
    </w:p>
    <w:p>
      <w:pPr>
        <w:pStyle w:val="46"/>
        <w:spacing w:line="440" w:lineRule="exact"/>
        <w:jc w:val="center"/>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rPr>
        <w:t>1、供应商关于资格的声明函</w:t>
      </w:r>
    </w:p>
    <w:p>
      <w:pPr>
        <w:pStyle w:val="46"/>
        <w:spacing w:line="440" w:lineRule="exact"/>
        <w:jc w:val="center"/>
        <w:rPr>
          <w:rFonts w:hint="eastAsia" w:ascii="Times New Roman" w:hAnsi="Times New Roman"/>
          <w:b/>
          <w:bCs/>
          <w:color w:val="auto"/>
          <w:sz w:val="36"/>
          <w:szCs w:val="24"/>
          <w:highlight w:val="none"/>
        </w:rPr>
      </w:pPr>
    </w:p>
    <w:p>
      <w:pPr>
        <w:pStyle w:val="46"/>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项目名称：</w:t>
      </w:r>
      <w:r>
        <w:rPr>
          <w:rFonts w:ascii="Times New Roman" w:hAnsi="Times New Roman"/>
          <w:color w:val="auto"/>
          <w:sz w:val="24"/>
          <w:szCs w:val="24"/>
          <w:highlight w:val="none"/>
          <w:u w:val="single"/>
        </w:rPr>
        <w:t xml:space="preserve">                     </w:t>
      </w: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w:t>
      </w:r>
    </w:p>
    <w:p>
      <w:pPr>
        <w:pStyle w:val="46"/>
        <w:spacing w:line="440" w:lineRule="exact"/>
        <w:rPr>
          <w:rFonts w:ascii="Times New Roman" w:hAnsi="Times New Roman"/>
          <w:color w:val="auto"/>
          <w:sz w:val="24"/>
          <w:szCs w:val="24"/>
          <w:highlight w:val="none"/>
        </w:rPr>
      </w:pPr>
    </w:p>
    <w:p>
      <w:pPr>
        <w:pStyle w:val="46"/>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本供应商愿意针对上述项目进行</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。磋商响应文件中所有关于供应商资格的文件陈述均是真实的、准确的。若有违背，本供应商承担由此而产生的一切后果。</w:t>
      </w:r>
    </w:p>
    <w:p>
      <w:pPr>
        <w:pStyle w:val="46"/>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xml:space="preserve">   特此声明!</w:t>
      </w: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p>
    <w:p>
      <w:pPr>
        <w:pStyle w:val="46"/>
        <w:spacing w:line="440" w:lineRule="exact"/>
        <w:rPr>
          <w:rFonts w:ascii="Times New Roman" w:hAnsi="Times New Roman"/>
          <w:color w:val="auto"/>
          <w:sz w:val="24"/>
          <w:szCs w:val="24"/>
          <w:highlight w:val="none"/>
        </w:rPr>
      </w:pPr>
    </w:p>
    <w:p>
      <w:pPr>
        <w:spacing w:line="360" w:lineRule="auto"/>
        <w:ind w:firstLine="3240" w:firstLineChars="1350"/>
        <w:rPr>
          <w:color w:val="auto"/>
          <w:sz w:val="24"/>
          <w:highlight w:val="none"/>
        </w:rPr>
      </w:pPr>
      <w:r>
        <w:rPr>
          <w:rFonts w:hint="eastAsia"/>
          <w:color w:val="auto"/>
          <w:sz w:val="24"/>
          <w:highlight w:val="none"/>
        </w:rPr>
        <w:t>供应商：</w:t>
      </w:r>
      <w:r>
        <w:rPr>
          <w:color w:val="auto"/>
          <w:sz w:val="24"/>
          <w:highlight w:val="none"/>
        </w:rPr>
        <w:t>(</w:t>
      </w:r>
      <w:r>
        <w:rPr>
          <w:rFonts w:hint="eastAsia"/>
          <w:color w:val="auto"/>
          <w:sz w:val="24"/>
          <w:highlight w:val="none"/>
        </w:rPr>
        <w:t>盖章</w:t>
      </w:r>
      <w:r>
        <w:rPr>
          <w:color w:val="auto"/>
          <w:sz w:val="24"/>
          <w:highlight w:val="none"/>
        </w:rPr>
        <w:t>)</w:t>
      </w:r>
    </w:p>
    <w:p>
      <w:pPr>
        <w:spacing w:line="360" w:lineRule="auto"/>
        <w:ind w:firstLine="3240" w:firstLineChars="1350"/>
        <w:rPr>
          <w:color w:val="auto"/>
          <w:sz w:val="24"/>
          <w:highlight w:val="none"/>
        </w:rPr>
      </w:pPr>
      <w:r>
        <w:rPr>
          <w:rFonts w:hint="eastAsia"/>
          <w:color w:val="auto"/>
          <w:sz w:val="24"/>
          <w:highlight w:val="none"/>
        </w:rPr>
        <w:t>法定代表人或其委托代理人：</w:t>
      </w:r>
      <w:r>
        <w:rPr>
          <w:color w:val="auto"/>
          <w:sz w:val="24"/>
          <w:highlight w:val="none"/>
        </w:rPr>
        <w:t>(</w:t>
      </w:r>
      <w:r>
        <w:rPr>
          <w:rFonts w:hint="eastAsia"/>
          <w:color w:val="auto"/>
          <w:sz w:val="24"/>
          <w:highlight w:val="none"/>
        </w:rPr>
        <w:t>签字或盖章</w:t>
      </w:r>
      <w:r>
        <w:rPr>
          <w:color w:val="auto"/>
          <w:sz w:val="24"/>
          <w:highlight w:val="none"/>
        </w:rPr>
        <w:t>)</w:t>
      </w:r>
    </w:p>
    <w:p>
      <w:pPr>
        <w:spacing w:line="360" w:lineRule="auto"/>
        <w:ind w:firstLine="3240" w:firstLineChars="1350"/>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pStyle w:val="46"/>
        <w:spacing w:line="440" w:lineRule="exact"/>
        <w:jc w:val="center"/>
        <w:rPr>
          <w:rFonts w:ascii="Times New Roman" w:hAnsi="Times New Roman"/>
          <w:b/>
          <w:bCs/>
          <w:color w:val="auto"/>
          <w:sz w:val="36"/>
          <w:szCs w:val="24"/>
          <w:highlight w:val="none"/>
        </w:rPr>
      </w:pPr>
    </w:p>
    <w:p>
      <w:pPr>
        <w:pStyle w:val="46"/>
        <w:jc w:val="center"/>
        <w:rPr>
          <w:b/>
          <w:color w:val="auto"/>
          <w:sz w:val="32"/>
          <w:szCs w:val="32"/>
          <w:highlight w:val="none"/>
        </w:rPr>
      </w:pPr>
      <w:r>
        <w:rPr>
          <w:rFonts w:ascii="Times New Roman" w:hAnsi="Times New Roman"/>
          <w:b/>
          <w:bCs/>
          <w:color w:val="auto"/>
          <w:sz w:val="36"/>
          <w:szCs w:val="24"/>
          <w:highlight w:val="none"/>
        </w:rPr>
        <w:br w:type="page"/>
      </w:r>
      <w:r>
        <w:rPr>
          <w:rFonts w:hint="eastAsia" w:ascii="Times New Roman" w:hAnsi="Times New Roman"/>
          <w:b/>
          <w:bCs/>
          <w:color w:val="auto"/>
          <w:sz w:val="36"/>
          <w:szCs w:val="24"/>
          <w:highlight w:val="none"/>
        </w:rPr>
        <w:t>2.</w:t>
      </w:r>
      <w:bookmarkStart w:id="98" w:name="_Toc20790_WPSOffice_Level1"/>
      <w:bookmarkStart w:id="99" w:name="_Toc8658_WPSOffice_Level1"/>
      <w:bookmarkStart w:id="100" w:name="_Toc6653240"/>
      <w:r>
        <w:rPr>
          <w:rFonts w:hint="eastAsia"/>
          <w:b/>
          <w:color w:val="auto"/>
          <w:sz w:val="32"/>
          <w:szCs w:val="32"/>
          <w:highlight w:val="none"/>
        </w:rPr>
        <w:t>法定代表人资格证明书</w:t>
      </w:r>
      <w:bookmarkEnd w:id="98"/>
      <w:bookmarkEnd w:id="99"/>
      <w:bookmarkEnd w:id="100"/>
    </w:p>
    <w:p>
      <w:pPr>
        <w:spacing w:line="440" w:lineRule="exact"/>
        <w:rPr>
          <w:rFonts w:ascii="宋体" w:hAnsi="宋体" w:cs="宋体"/>
          <w:color w:val="auto"/>
          <w:kern w:val="1"/>
          <w:szCs w:val="21"/>
          <w:highlight w:val="none"/>
          <w:lang w:val="zh-CN"/>
        </w:rPr>
      </w:pPr>
    </w:p>
    <w:p>
      <w:pPr>
        <w:spacing w:line="440" w:lineRule="exact"/>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 xml:space="preserve">   供应商名称：</w:t>
      </w:r>
    </w:p>
    <w:p>
      <w:pPr>
        <w:spacing w:line="440" w:lineRule="exact"/>
        <w:rPr>
          <w:rFonts w:ascii="宋体" w:hAnsi="宋体" w:cs="宋体"/>
          <w:color w:val="auto"/>
          <w:kern w:val="1"/>
          <w:sz w:val="24"/>
          <w:szCs w:val="21"/>
          <w:highlight w:val="none"/>
          <w:lang w:val="zh-CN"/>
        </w:rPr>
      </w:pPr>
    </w:p>
    <w:p>
      <w:pPr>
        <w:spacing w:line="440" w:lineRule="exact"/>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 xml:space="preserve">    地址：</w:t>
      </w:r>
    </w:p>
    <w:p>
      <w:pPr>
        <w:spacing w:line="440" w:lineRule="exact"/>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 xml:space="preserve">    姓名：          性别：          年龄：          职务：</w:t>
      </w:r>
    </w:p>
    <w:p>
      <w:pPr>
        <w:spacing w:line="440" w:lineRule="exact"/>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 xml:space="preserve">    系</w:t>
      </w:r>
      <w:r>
        <w:rPr>
          <w:rFonts w:hint="eastAsia" w:ascii="宋体" w:hAnsi="宋体" w:cs="宋体"/>
          <w:color w:val="auto"/>
          <w:kern w:val="1"/>
          <w:sz w:val="24"/>
          <w:szCs w:val="21"/>
          <w:highlight w:val="none"/>
          <w:u w:val="single"/>
          <w:lang w:val="zh-CN"/>
        </w:rPr>
        <w:t xml:space="preserve">          </w:t>
      </w:r>
      <w:r>
        <w:rPr>
          <w:rFonts w:hint="eastAsia" w:ascii="宋体" w:hAnsi="宋体" w:cs="宋体"/>
          <w:color w:val="auto"/>
          <w:kern w:val="1"/>
          <w:sz w:val="24"/>
          <w:szCs w:val="21"/>
          <w:highlight w:val="none"/>
          <w:lang w:val="zh-CN"/>
        </w:rPr>
        <w:t>的法定代表人。为</w:t>
      </w:r>
      <w:r>
        <w:rPr>
          <w:rFonts w:hint="eastAsia" w:ascii="宋体" w:hAnsi="宋体" w:cs="宋体"/>
          <w:color w:val="auto"/>
          <w:kern w:val="1"/>
          <w:sz w:val="24"/>
          <w:szCs w:val="21"/>
          <w:highlight w:val="none"/>
          <w:u w:val="single"/>
          <w:lang w:val="zh-CN"/>
        </w:rPr>
        <w:t xml:space="preserve">            </w:t>
      </w:r>
      <w:r>
        <w:rPr>
          <w:rFonts w:hint="eastAsia" w:ascii="宋体" w:hAnsi="宋体" w:cs="宋体"/>
          <w:color w:val="auto"/>
          <w:kern w:val="1"/>
          <w:sz w:val="24"/>
          <w:szCs w:val="21"/>
          <w:highlight w:val="none"/>
          <w:lang w:val="zh-CN"/>
        </w:rPr>
        <w:t>项目的磋商采购签署的响应文件、进行合同谈判、签署合同和处理与之有关的一切事务，并确保货物交付、安装调试、保修和售后服务的顺利进行。</w:t>
      </w:r>
    </w:p>
    <w:p>
      <w:pPr>
        <w:spacing w:line="440" w:lineRule="exact"/>
        <w:ind w:firstLine="480"/>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特此证明。</w:t>
      </w:r>
    </w:p>
    <w:p>
      <w:pPr>
        <w:spacing w:line="440" w:lineRule="exact"/>
        <w:ind w:firstLine="480"/>
        <w:rPr>
          <w:rFonts w:ascii="宋体" w:hAnsi="宋体" w:cs="宋体"/>
          <w:color w:val="auto"/>
          <w:kern w:val="1"/>
          <w:sz w:val="24"/>
          <w:szCs w:val="21"/>
          <w:highlight w:val="none"/>
          <w:lang w:val="zh-CN"/>
        </w:rPr>
      </w:pPr>
    </w:p>
    <w:p>
      <w:pP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r>
        <w:rPr>
          <w:rFonts w:hint="eastAsia" w:ascii="宋体" w:hAnsi="宋体" w:cs="宋体"/>
          <w:color w:val="auto"/>
          <w:kern w:val="1"/>
          <w:sz w:val="24"/>
          <w:szCs w:val="21"/>
          <w:highlight w:val="none"/>
          <w:lang w:val="zh-CN"/>
        </w:rPr>
        <w:t>法定代表人身份证明复印件：</w:t>
      </w: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s="宋体"/>
          <w:color w:val="auto"/>
          <w:kern w:val="1"/>
          <w:sz w:val="24"/>
          <w:szCs w:val="21"/>
          <w:highlight w:val="none"/>
          <w:lang w:val="zh-CN"/>
        </w:rPr>
      </w:pPr>
    </w:p>
    <w:p>
      <w:pPr>
        <w:spacing w:line="440" w:lineRule="exact"/>
        <w:ind w:firstLine="480"/>
        <w:rPr>
          <w:rFonts w:ascii="宋体" w:hAnsi="宋体" w:cs="宋体"/>
          <w:color w:val="auto"/>
          <w:kern w:val="1"/>
          <w:sz w:val="24"/>
          <w:szCs w:val="21"/>
          <w:highlight w:val="none"/>
          <w:lang w:val="zh-CN"/>
        </w:rPr>
      </w:pPr>
    </w:p>
    <w:p>
      <w:pPr>
        <w:spacing w:line="440" w:lineRule="exact"/>
        <w:ind w:firstLine="480"/>
        <w:rPr>
          <w:rFonts w:ascii="宋体" w:hAnsi="宋体" w:cs="宋体"/>
          <w:color w:val="auto"/>
          <w:kern w:val="1"/>
          <w:sz w:val="24"/>
          <w:szCs w:val="21"/>
          <w:highlight w:val="none"/>
          <w:lang w:val="zh-CN"/>
        </w:rPr>
      </w:pPr>
    </w:p>
    <w:p>
      <w:pPr>
        <w:spacing w:line="440" w:lineRule="exact"/>
        <w:ind w:firstLine="3828"/>
        <w:rPr>
          <w:rFonts w:ascii="宋体" w:hAnsi="宋体" w:cs="宋体"/>
          <w:color w:val="auto"/>
          <w:kern w:val="1"/>
          <w:sz w:val="24"/>
          <w:highlight w:val="none"/>
          <w:lang w:val="zh-CN"/>
        </w:rPr>
      </w:pPr>
      <w:r>
        <w:rPr>
          <w:rFonts w:hint="eastAsia" w:ascii="宋体" w:hAnsi="宋体" w:cs="宋体"/>
          <w:color w:val="auto"/>
          <w:kern w:val="1"/>
          <w:sz w:val="24"/>
          <w:highlight w:val="none"/>
          <w:lang w:val="zh-CN"/>
        </w:rPr>
        <w:t>供应商：(公章)</w:t>
      </w:r>
    </w:p>
    <w:p>
      <w:pPr>
        <w:spacing w:line="440" w:lineRule="exact"/>
        <w:ind w:firstLine="3828"/>
        <w:rPr>
          <w:rFonts w:ascii="宋体" w:hAnsi="宋体" w:cs="宋体"/>
          <w:color w:val="auto"/>
          <w:kern w:val="1"/>
          <w:sz w:val="24"/>
          <w:highlight w:val="none"/>
          <w:lang w:val="zh-CN"/>
        </w:rPr>
      </w:pPr>
      <w:r>
        <w:rPr>
          <w:rFonts w:hint="eastAsia" w:ascii="宋体" w:hAnsi="宋体" w:cs="宋体"/>
          <w:color w:val="auto"/>
          <w:kern w:val="1"/>
          <w:sz w:val="24"/>
          <w:highlight w:val="none"/>
          <w:lang w:val="zh-CN"/>
        </w:rPr>
        <w:t>日期：</w:t>
      </w:r>
    </w:p>
    <w:p>
      <w:pPr>
        <w:spacing w:line="440" w:lineRule="exact"/>
        <w:rPr>
          <w:rFonts w:ascii="宋体" w:hAnsi="宋体" w:cs="宋体"/>
          <w:color w:val="auto"/>
          <w:kern w:val="1"/>
          <w:sz w:val="24"/>
          <w:highlight w:val="none"/>
          <w:lang w:val="zh-CN"/>
        </w:rPr>
      </w:pPr>
    </w:p>
    <w:p>
      <w:pPr>
        <w:jc w:val="left"/>
        <w:rPr>
          <w:rFonts w:ascii="宋体" w:hAnsi="宋体" w:cs="宋体"/>
          <w:b/>
          <w:color w:val="auto"/>
          <w:kern w:val="1"/>
          <w:sz w:val="24"/>
          <w:highlight w:val="none"/>
        </w:rPr>
      </w:pPr>
      <w:r>
        <w:rPr>
          <w:rFonts w:hint="eastAsia" w:ascii="宋体" w:hAnsi="宋体" w:cs="宋体"/>
          <w:b/>
          <w:color w:val="auto"/>
          <w:kern w:val="1"/>
          <w:sz w:val="24"/>
          <w:highlight w:val="none"/>
        </w:rPr>
        <w:t>注：本文件应按规定签署，否则响应文件无效。</w:t>
      </w:r>
    </w:p>
    <w:p>
      <w:pPr>
        <w:spacing w:line="440" w:lineRule="exact"/>
        <w:rPr>
          <w:rFonts w:ascii="宋体" w:hAnsi="宋体" w:cs="宋体"/>
          <w:color w:val="auto"/>
          <w:kern w:val="1"/>
          <w:sz w:val="24"/>
          <w:szCs w:val="21"/>
          <w:highlight w:val="none"/>
        </w:rPr>
      </w:pPr>
    </w:p>
    <w:p>
      <w:pPr>
        <w:jc w:val="center"/>
        <w:rPr>
          <w:rFonts w:ascii="宋体" w:hAnsi="宋体" w:cs="宋体"/>
          <w:b/>
          <w:color w:val="auto"/>
          <w:kern w:val="1"/>
          <w:sz w:val="36"/>
          <w:szCs w:val="36"/>
          <w:highlight w:val="none"/>
        </w:rPr>
      </w:pPr>
    </w:p>
    <w:p>
      <w:pPr>
        <w:jc w:val="center"/>
        <w:rPr>
          <w:rFonts w:ascii="宋体" w:hAnsi="宋体" w:cs="宋体"/>
          <w:b/>
          <w:color w:val="auto"/>
          <w:kern w:val="1"/>
          <w:sz w:val="36"/>
          <w:szCs w:val="36"/>
          <w:highlight w:val="none"/>
        </w:rPr>
      </w:pPr>
      <w:bookmarkStart w:id="101" w:name="_Toc4066_WPSOffice_Level1"/>
      <w:bookmarkStart w:id="102" w:name="_Toc12442_WPSOffice_Level1"/>
      <w:r>
        <w:rPr>
          <w:rFonts w:ascii="宋体" w:hAnsi="宋体" w:cs="宋体"/>
          <w:b/>
          <w:color w:val="auto"/>
          <w:kern w:val="1"/>
          <w:sz w:val="36"/>
          <w:szCs w:val="36"/>
          <w:highlight w:val="none"/>
        </w:rPr>
        <w:br w:type="page"/>
      </w:r>
      <w:r>
        <w:rPr>
          <w:rFonts w:hint="eastAsia" w:ascii="宋体" w:hAnsi="宋体" w:cs="宋体"/>
          <w:b/>
          <w:color w:val="auto"/>
          <w:kern w:val="1"/>
          <w:sz w:val="36"/>
          <w:szCs w:val="36"/>
          <w:highlight w:val="none"/>
        </w:rPr>
        <w:t>3.法定代表人授权委托书</w:t>
      </w:r>
      <w:bookmarkEnd w:id="101"/>
      <w:bookmarkEnd w:id="102"/>
    </w:p>
    <w:p>
      <w:pPr>
        <w:rPr>
          <w:rFonts w:ascii="宋体" w:hAnsi="宋体" w:cs="宋体"/>
          <w:color w:val="auto"/>
          <w:kern w:val="1"/>
          <w:sz w:val="24"/>
          <w:highlight w:val="none"/>
        </w:rPr>
      </w:pPr>
    </w:p>
    <w:p>
      <w:pPr>
        <w:spacing w:line="360" w:lineRule="auto"/>
        <w:ind w:left="105" w:firstLine="720"/>
        <w:rPr>
          <w:rFonts w:ascii="宋体" w:hAnsi="宋体" w:cs="宋体"/>
          <w:color w:val="auto"/>
          <w:kern w:val="1"/>
          <w:sz w:val="24"/>
          <w:highlight w:val="none"/>
        </w:rPr>
      </w:pPr>
      <w:r>
        <w:rPr>
          <w:rFonts w:hint="eastAsia" w:ascii="宋体" w:hAnsi="宋体" w:cs="宋体"/>
          <w:bCs/>
          <w:color w:val="auto"/>
          <w:kern w:val="1"/>
          <w:sz w:val="24"/>
          <w:highlight w:val="none"/>
        </w:rPr>
        <w:t>兹授权</w:t>
      </w:r>
      <w:r>
        <w:rPr>
          <w:rFonts w:hint="eastAsia" w:ascii="宋体" w:hAnsi="宋体" w:cs="宋体"/>
          <w:bCs/>
          <w:color w:val="auto"/>
          <w:kern w:val="1"/>
          <w:sz w:val="24"/>
          <w:highlight w:val="none"/>
          <w:u w:val="single"/>
        </w:rPr>
        <w:t xml:space="preserve">                    (</w:t>
      </w:r>
      <w:r>
        <w:rPr>
          <w:rFonts w:hint="eastAsia" w:ascii="宋体" w:hAnsi="宋体" w:cs="宋体"/>
          <w:bCs/>
          <w:color w:val="auto"/>
          <w:kern w:val="1"/>
          <w:sz w:val="24"/>
          <w:highlight w:val="none"/>
        </w:rPr>
        <w:t>委托代理人姓名)(身份证号）为我方委托代理人，参加政府</w:t>
      </w:r>
      <w:r>
        <w:rPr>
          <w:rFonts w:hint="eastAsia" w:ascii="宋体" w:hAnsi="宋体" w:cs="宋体"/>
          <w:color w:val="auto"/>
          <w:kern w:val="1"/>
          <w:sz w:val="24"/>
          <w:highlight w:val="none"/>
        </w:rPr>
        <w:t>（项目名称）</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项目编号)的采购活动，并以本公司名义处理一切与此次磋商有关的事宜。在此次磋商过程中，本公司将承担该代理人行为的全部法律后果和法律责任。</w:t>
      </w:r>
    </w:p>
    <w:p>
      <w:pPr>
        <w:pStyle w:val="371"/>
        <w:spacing w:line="360" w:lineRule="auto"/>
        <w:ind w:firstLine="425"/>
        <w:rPr>
          <w:rFonts w:cs="宋体"/>
          <w:color w:val="auto"/>
          <w:sz w:val="24"/>
          <w:szCs w:val="24"/>
          <w:highlight w:val="none"/>
        </w:rPr>
      </w:pPr>
      <w:r>
        <w:rPr>
          <w:rFonts w:hint="eastAsia" w:cs="宋体"/>
          <w:color w:val="auto"/>
          <w:sz w:val="24"/>
          <w:szCs w:val="24"/>
          <w:highlight w:val="none"/>
          <w:lang w:val="en-GB"/>
        </w:rPr>
        <w:t>本</w:t>
      </w:r>
      <w:r>
        <w:rPr>
          <w:rFonts w:hint="eastAsia" w:cs="宋体"/>
          <w:color w:val="auto"/>
          <w:sz w:val="24"/>
          <w:szCs w:val="24"/>
          <w:highlight w:val="none"/>
        </w:rPr>
        <w:t>授权书</w:t>
      </w:r>
      <w:r>
        <w:rPr>
          <w:rFonts w:hint="eastAsia" w:cs="宋体"/>
          <w:color w:val="auto"/>
          <w:sz w:val="24"/>
          <w:szCs w:val="24"/>
          <w:highlight w:val="none"/>
          <w:lang w:val="en-GB"/>
        </w:rPr>
        <w:t>有效期与本公司响应文件中标注的磋商有效期相同，自签章之日起生效。</w:t>
      </w:r>
    </w:p>
    <w:p>
      <w:pPr>
        <w:spacing w:line="360" w:lineRule="auto"/>
        <w:ind w:firstLine="435"/>
        <w:rPr>
          <w:rFonts w:ascii="宋体" w:hAnsi="宋体" w:cs="宋体"/>
          <w:color w:val="auto"/>
          <w:kern w:val="1"/>
          <w:sz w:val="24"/>
          <w:highlight w:val="none"/>
        </w:rPr>
      </w:pP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r>
        <w:rPr>
          <w:rFonts w:hint="eastAsia" w:ascii="宋体" w:hAnsi="宋体" w:cs="宋体"/>
          <w:color w:val="auto"/>
          <w:kern w:val="1"/>
          <w:sz w:val="24"/>
          <w:highlight w:val="none"/>
        </w:rPr>
        <w:t>被授权委托人身份证复印件：</w:t>
      </w: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p>
    <w:p>
      <w:pPr>
        <w:pBdr>
          <w:top w:val="single" w:color="000000" w:sz="4" w:space="1"/>
          <w:left w:val="single" w:color="000000" w:sz="4" w:space="4"/>
          <w:bottom w:val="single" w:color="000000" w:sz="4" w:space="1"/>
          <w:right w:val="single" w:color="000000" w:sz="4" w:space="4"/>
        </w:pBdr>
        <w:spacing w:line="360" w:lineRule="auto"/>
        <w:ind w:firstLine="435"/>
        <w:rPr>
          <w:rFonts w:ascii="宋体" w:hAnsi="宋体" w:cs="宋体"/>
          <w:color w:val="auto"/>
          <w:kern w:val="1"/>
          <w:sz w:val="24"/>
          <w:highlight w:val="none"/>
        </w:rPr>
      </w:pPr>
    </w:p>
    <w:p>
      <w:pPr>
        <w:spacing w:line="360" w:lineRule="auto"/>
        <w:ind w:firstLine="435"/>
        <w:rPr>
          <w:rFonts w:ascii="宋体" w:hAnsi="宋体" w:cs="宋体"/>
          <w:color w:val="auto"/>
          <w:kern w:val="1"/>
          <w:sz w:val="24"/>
          <w:highlight w:val="none"/>
        </w:rPr>
      </w:pPr>
    </w:p>
    <w:p>
      <w:pPr>
        <w:spacing w:line="360" w:lineRule="auto"/>
        <w:ind w:firstLine="435"/>
        <w:rPr>
          <w:rFonts w:ascii="宋体" w:hAnsi="宋体" w:cs="宋体"/>
          <w:color w:val="auto"/>
          <w:kern w:val="1"/>
          <w:sz w:val="24"/>
          <w:highlight w:val="none"/>
        </w:rPr>
      </w:pPr>
    </w:p>
    <w:p>
      <w:pPr>
        <w:spacing w:line="360" w:lineRule="auto"/>
        <w:ind w:firstLine="437"/>
        <w:rPr>
          <w:rFonts w:ascii="宋体" w:hAnsi="宋体" w:cs="宋体"/>
          <w:color w:val="auto"/>
          <w:kern w:val="1"/>
          <w:sz w:val="24"/>
          <w:highlight w:val="none"/>
          <w:u w:val="single"/>
        </w:rPr>
      </w:pPr>
      <w:r>
        <w:rPr>
          <w:rFonts w:hint="eastAsia" w:ascii="宋体" w:hAnsi="宋体" w:cs="宋体"/>
          <w:color w:val="auto"/>
          <w:kern w:val="1"/>
          <w:sz w:val="24"/>
          <w:highlight w:val="none"/>
        </w:rPr>
        <w:t>法定代表人签字或盖章：</w:t>
      </w:r>
      <w:r>
        <w:rPr>
          <w:rFonts w:hint="eastAsia" w:ascii="宋体" w:hAnsi="宋体" w:cs="宋体"/>
          <w:color w:val="auto"/>
          <w:kern w:val="1"/>
          <w:sz w:val="24"/>
          <w:highlight w:val="none"/>
          <w:u w:val="single"/>
        </w:rPr>
        <w:t xml:space="preserve">             </w:t>
      </w:r>
    </w:p>
    <w:p>
      <w:pPr>
        <w:spacing w:line="360" w:lineRule="auto"/>
        <w:ind w:firstLine="437"/>
        <w:rPr>
          <w:rFonts w:ascii="宋体" w:hAnsi="宋体" w:cs="宋体"/>
          <w:color w:val="auto"/>
          <w:kern w:val="1"/>
          <w:sz w:val="24"/>
          <w:highlight w:val="none"/>
          <w:u w:val="single"/>
        </w:rPr>
      </w:pPr>
      <w:r>
        <w:rPr>
          <w:rFonts w:hint="eastAsia" w:ascii="宋体" w:hAnsi="宋体" w:cs="宋体"/>
          <w:color w:val="auto"/>
          <w:kern w:val="1"/>
          <w:sz w:val="24"/>
          <w:highlight w:val="none"/>
        </w:rPr>
        <w:t>被授权人签字：</w:t>
      </w:r>
      <w:r>
        <w:rPr>
          <w:rFonts w:hint="eastAsia" w:ascii="宋体" w:hAnsi="宋体" w:cs="宋体"/>
          <w:color w:val="auto"/>
          <w:kern w:val="1"/>
          <w:sz w:val="24"/>
          <w:highlight w:val="none"/>
          <w:u w:val="single"/>
        </w:rPr>
        <w:t xml:space="preserve">                   </w:t>
      </w:r>
    </w:p>
    <w:p>
      <w:pPr>
        <w:spacing w:line="360" w:lineRule="auto"/>
        <w:ind w:firstLine="437"/>
        <w:rPr>
          <w:rFonts w:ascii="宋体" w:hAnsi="宋体" w:cs="宋体"/>
          <w:color w:val="auto"/>
          <w:kern w:val="1"/>
          <w:sz w:val="24"/>
          <w:highlight w:val="none"/>
          <w:u w:val="single"/>
        </w:rPr>
      </w:pPr>
      <w:r>
        <w:rPr>
          <w:rFonts w:hint="eastAsia" w:ascii="宋体" w:hAnsi="宋体" w:cs="宋体"/>
          <w:color w:val="auto"/>
          <w:kern w:val="1"/>
          <w:sz w:val="24"/>
          <w:highlight w:val="none"/>
        </w:rPr>
        <w:t>供应商公章：</w:t>
      </w:r>
      <w:r>
        <w:rPr>
          <w:rFonts w:hint="eastAsia" w:ascii="宋体" w:hAnsi="宋体" w:cs="宋体"/>
          <w:color w:val="auto"/>
          <w:kern w:val="1"/>
          <w:sz w:val="24"/>
          <w:highlight w:val="none"/>
          <w:u w:val="single"/>
        </w:rPr>
        <w:t xml:space="preserve">                       </w:t>
      </w:r>
    </w:p>
    <w:p>
      <w:pPr>
        <w:spacing w:line="360" w:lineRule="auto"/>
        <w:ind w:firstLine="437"/>
        <w:rPr>
          <w:rFonts w:ascii="宋体" w:hAnsi="宋体" w:cs="宋体"/>
          <w:color w:val="auto"/>
          <w:kern w:val="1"/>
          <w:sz w:val="24"/>
          <w:highlight w:val="none"/>
          <w:u w:val="single"/>
        </w:rPr>
      </w:pPr>
    </w:p>
    <w:p>
      <w:pPr>
        <w:spacing w:line="360" w:lineRule="auto"/>
        <w:ind w:firstLine="437"/>
        <w:rPr>
          <w:rFonts w:ascii="宋体" w:hAnsi="宋体" w:cs="宋体"/>
          <w:color w:val="auto"/>
          <w:kern w:val="1"/>
          <w:sz w:val="24"/>
          <w:highlight w:val="none"/>
          <w:u w:val="single"/>
        </w:rPr>
      </w:pPr>
    </w:p>
    <w:p>
      <w:pPr>
        <w:spacing w:line="360" w:lineRule="auto"/>
        <w:rPr>
          <w:rFonts w:ascii="宋体" w:hAnsi="宋体" w:cs="宋体"/>
          <w:color w:val="auto"/>
          <w:kern w:val="1"/>
          <w:sz w:val="24"/>
          <w:highlight w:val="none"/>
          <w:u w:val="single"/>
        </w:rPr>
      </w:pPr>
    </w:p>
    <w:p>
      <w:pPr>
        <w:spacing w:line="360" w:lineRule="auto"/>
        <w:ind w:left="164" w:firstLine="120"/>
        <w:rPr>
          <w:rFonts w:ascii="宋体" w:hAnsi="宋体" w:cs="宋体"/>
          <w:b/>
          <w:color w:val="auto"/>
          <w:kern w:val="1"/>
          <w:sz w:val="24"/>
          <w:highlight w:val="none"/>
        </w:rPr>
      </w:pPr>
      <w:r>
        <w:rPr>
          <w:rFonts w:hint="eastAsia" w:ascii="宋体" w:hAnsi="宋体" w:cs="宋体"/>
          <w:b/>
          <w:color w:val="auto"/>
          <w:kern w:val="1"/>
          <w:sz w:val="24"/>
          <w:highlight w:val="none"/>
        </w:rPr>
        <w:t>注：1.法定代表人和被授权人签字，必须是亲笔签名。</w:t>
      </w:r>
    </w:p>
    <w:p>
      <w:pPr>
        <w:spacing w:line="360" w:lineRule="auto"/>
        <w:ind w:left="164" w:firstLine="602"/>
        <w:rPr>
          <w:rFonts w:ascii="宋体" w:hAnsi="宋体" w:cs="宋体"/>
          <w:b/>
          <w:color w:val="auto"/>
          <w:kern w:val="1"/>
          <w:sz w:val="24"/>
          <w:highlight w:val="none"/>
        </w:rPr>
      </w:pPr>
      <w:r>
        <w:rPr>
          <w:rFonts w:hint="eastAsia" w:ascii="宋体" w:hAnsi="宋体" w:cs="宋体"/>
          <w:b/>
          <w:color w:val="auto"/>
          <w:kern w:val="1"/>
          <w:sz w:val="24"/>
          <w:highlight w:val="none"/>
        </w:rPr>
        <w:t>2.法定代表人盖章和供应商公章，必须是经公安部门备案的印章。</w:t>
      </w:r>
    </w:p>
    <w:p>
      <w:pPr>
        <w:spacing w:line="360" w:lineRule="auto"/>
        <w:ind w:left="164" w:firstLine="602"/>
        <w:rPr>
          <w:rFonts w:ascii="宋体" w:hAnsi="宋体" w:cs="宋体"/>
          <w:b/>
          <w:color w:val="auto"/>
          <w:kern w:val="1"/>
          <w:sz w:val="24"/>
          <w:highlight w:val="none"/>
        </w:rPr>
      </w:pPr>
      <w:r>
        <w:rPr>
          <w:rFonts w:hint="eastAsia" w:ascii="宋体" w:hAnsi="宋体" w:cs="宋体"/>
          <w:b/>
          <w:color w:val="auto"/>
          <w:kern w:val="1"/>
          <w:sz w:val="24"/>
          <w:highlight w:val="none"/>
        </w:rPr>
        <w:t>3.不得使用其他印章或电子制版签名。</w:t>
      </w:r>
    </w:p>
    <w:p>
      <w:pPr>
        <w:spacing w:line="360" w:lineRule="auto"/>
        <w:ind w:left="164" w:firstLine="602"/>
        <w:rPr>
          <w:rFonts w:ascii="宋体" w:hAnsi="宋体" w:cs="宋体"/>
          <w:b/>
          <w:color w:val="auto"/>
          <w:kern w:val="1"/>
          <w:sz w:val="24"/>
          <w:highlight w:val="none"/>
        </w:rPr>
      </w:pPr>
      <w:r>
        <w:rPr>
          <w:rFonts w:hint="eastAsia" w:ascii="宋体" w:hAnsi="宋体" w:cs="宋体"/>
          <w:b/>
          <w:color w:val="auto"/>
          <w:kern w:val="1"/>
          <w:sz w:val="24"/>
          <w:highlight w:val="none"/>
        </w:rPr>
        <w:t>4.本文件应按规定签署，否则响应文件无效。</w:t>
      </w:r>
    </w:p>
    <w:p>
      <w:pPr>
        <w:pStyle w:val="46"/>
        <w:spacing w:line="440" w:lineRule="exact"/>
        <w:jc w:val="center"/>
        <w:rPr>
          <w:rFonts w:hint="eastAsia" w:hAnsi="宋体"/>
          <w:b/>
          <w:bCs/>
          <w:color w:val="auto"/>
          <w:sz w:val="36"/>
          <w:szCs w:val="24"/>
          <w:highlight w:val="none"/>
        </w:rPr>
      </w:pPr>
      <w:r>
        <w:rPr>
          <w:rFonts w:ascii="Times New Roman" w:hAnsi="Times New Roman"/>
          <w:b/>
          <w:bCs/>
          <w:color w:val="auto"/>
          <w:sz w:val="36"/>
          <w:szCs w:val="24"/>
          <w:highlight w:val="none"/>
        </w:rPr>
        <w:br w:type="page"/>
      </w:r>
      <w:r>
        <w:rPr>
          <w:rFonts w:hint="eastAsia" w:hAnsi="宋体"/>
          <w:b/>
          <w:bCs/>
          <w:color w:val="auto"/>
          <w:sz w:val="36"/>
          <w:szCs w:val="24"/>
          <w:highlight w:val="none"/>
        </w:rPr>
        <w:t>4.营业执照、组织机构代码证、税务登记证</w:t>
      </w:r>
    </w:p>
    <w:p>
      <w:pPr>
        <w:pStyle w:val="46"/>
        <w:spacing w:line="360" w:lineRule="auto"/>
        <w:jc w:val="center"/>
        <w:rPr>
          <w:rFonts w:ascii="Times New Roman" w:hAnsi="Times New Roman"/>
          <w:bCs/>
          <w:color w:val="auto"/>
          <w:sz w:val="36"/>
          <w:szCs w:val="24"/>
          <w:highlight w:val="none"/>
        </w:rPr>
      </w:pPr>
      <w:r>
        <w:rPr>
          <w:rFonts w:hint="eastAsia" w:ascii="Times New Roman" w:hAnsi="Times New Roman"/>
          <w:bCs/>
          <w:color w:val="auto"/>
          <w:sz w:val="36"/>
          <w:szCs w:val="24"/>
          <w:highlight w:val="none"/>
        </w:rPr>
        <w:t>（复印件加盖公章，三证合一只需要提供营业执照）</w:t>
      </w:r>
    </w:p>
    <w:p>
      <w:pPr>
        <w:pStyle w:val="46"/>
        <w:spacing w:line="440" w:lineRule="exact"/>
        <w:ind w:firstLine="420"/>
        <w:jc w:val="center"/>
        <w:rPr>
          <w:rFonts w:ascii="Times New Roman" w:hAnsi="Times New Roman"/>
          <w:b/>
          <w:bCs/>
          <w:color w:val="auto"/>
          <w:sz w:val="36"/>
          <w:szCs w:val="24"/>
          <w:highlight w:val="none"/>
        </w:rPr>
      </w:pPr>
    </w:p>
    <w:p>
      <w:pPr>
        <w:pStyle w:val="46"/>
        <w:spacing w:line="440" w:lineRule="exact"/>
        <w:ind w:firstLine="420"/>
        <w:jc w:val="center"/>
        <w:rPr>
          <w:rFonts w:hint="eastAsia" w:ascii="Times New Roman" w:hAnsi="Times New Roman"/>
          <w:b/>
          <w:bCs/>
          <w:color w:val="auto"/>
          <w:sz w:val="36"/>
          <w:szCs w:val="24"/>
          <w:highlight w:val="none"/>
        </w:rPr>
      </w:pPr>
    </w:p>
    <w:p>
      <w:pPr>
        <w:pStyle w:val="46"/>
        <w:spacing w:line="440" w:lineRule="exact"/>
        <w:ind w:firstLine="420"/>
        <w:jc w:val="center"/>
        <w:rPr>
          <w:rFonts w:hint="eastAsia" w:ascii="Times New Roman" w:hAnsi="Times New Roman"/>
          <w:b/>
          <w:bCs/>
          <w:color w:val="auto"/>
          <w:sz w:val="36"/>
          <w:szCs w:val="24"/>
          <w:highlight w:val="none"/>
        </w:rPr>
      </w:pPr>
    </w:p>
    <w:p>
      <w:pPr>
        <w:pStyle w:val="46"/>
        <w:spacing w:line="440" w:lineRule="exact"/>
        <w:ind w:firstLine="420"/>
        <w:jc w:val="center"/>
        <w:rPr>
          <w:rFonts w:hint="eastAsia" w:ascii="Times New Roman" w:hAnsi="Times New Roman"/>
          <w:b/>
          <w:bCs/>
          <w:color w:val="auto"/>
          <w:sz w:val="36"/>
          <w:szCs w:val="24"/>
          <w:highlight w:val="none"/>
        </w:rPr>
      </w:pPr>
    </w:p>
    <w:p>
      <w:pPr>
        <w:pStyle w:val="46"/>
        <w:spacing w:line="440" w:lineRule="exact"/>
        <w:ind w:firstLine="420"/>
        <w:jc w:val="center"/>
        <w:rPr>
          <w:rFonts w:hint="eastAsia" w:ascii="Times New Roman" w:hAnsi="Times New Roman"/>
          <w:b/>
          <w:bCs/>
          <w:color w:val="auto"/>
          <w:sz w:val="36"/>
          <w:szCs w:val="24"/>
          <w:highlight w:val="none"/>
        </w:rPr>
      </w:pPr>
    </w:p>
    <w:p>
      <w:pPr>
        <w:pStyle w:val="46"/>
        <w:spacing w:line="440" w:lineRule="exact"/>
        <w:jc w:val="center"/>
        <w:rPr>
          <w:rFonts w:hint="eastAsia" w:hAnsi="宋体"/>
          <w:b/>
          <w:bCs/>
          <w:color w:val="auto"/>
          <w:sz w:val="36"/>
          <w:szCs w:val="24"/>
          <w:highlight w:val="none"/>
        </w:rPr>
      </w:pPr>
      <w:r>
        <w:rPr>
          <w:rFonts w:hint="eastAsia" w:hAnsi="宋体"/>
          <w:b/>
          <w:bCs/>
          <w:color w:val="auto"/>
          <w:sz w:val="36"/>
          <w:szCs w:val="24"/>
          <w:highlight w:val="none"/>
        </w:rPr>
        <w:t>5.2021年度经过审计的财务会计报告或2022年基本存款账户开户银行出具的资信证明及基本存款账户开户证明材料</w:t>
      </w:r>
    </w:p>
    <w:p>
      <w:pPr>
        <w:pStyle w:val="46"/>
        <w:spacing w:line="360" w:lineRule="auto"/>
        <w:jc w:val="center"/>
        <w:rPr>
          <w:rFonts w:ascii="Times New Roman" w:hAnsi="Times New Roman"/>
          <w:bCs/>
          <w:color w:val="auto"/>
          <w:sz w:val="36"/>
          <w:szCs w:val="24"/>
          <w:highlight w:val="none"/>
        </w:rPr>
      </w:pPr>
      <w:r>
        <w:rPr>
          <w:rFonts w:ascii="Times New Roman" w:hAnsi="Times New Roman"/>
          <w:bCs/>
          <w:color w:val="auto"/>
          <w:sz w:val="36"/>
          <w:szCs w:val="24"/>
          <w:highlight w:val="none"/>
        </w:rPr>
        <w:t>（复印件加盖公章）</w:t>
      </w:r>
    </w:p>
    <w:p>
      <w:pPr>
        <w:pStyle w:val="46"/>
        <w:spacing w:line="440" w:lineRule="exact"/>
        <w:rPr>
          <w:rFonts w:hint="eastAsia"/>
          <w:color w:val="auto"/>
          <w:sz w:val="24"/>
          <w:highlight w:val="none"/>
        </w:rPr>
      </w:pPr>
    </w:p>
    <w:p>
      <w:pPr>
        <w:pStyle w:val="46"/>
        <w:spacing w:line="440" w:lineRule="exact"/>
        <w:rPr>
          <w:rFonts w:hint="eastAsia"/>
          <w:color w:val="auto"/>
          <w:sz w:val="24"/>
          <w:highlight w:val="none"/>
        </w:rPr>
      </w:pPr>
      <w:r>
        <w:rPr>
          <w:color w:val="auto"/>
          <w:sz w:val="24"/>
          <w:highlight w:val="none"/>
        </w:rPr>
        <w:br w:type="page"/>
      </w:r>
    </w:p>
    <w:p>
      <w:pPr>
        <w:pStyle w:val="46"/>
        <w:spacing w:line="360" w:lineRule="auto"/>
        <w:jc w:val="center"/>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lang w:val="en-US" w:eastAsia="zh-CN"/>
        </w:rPr>
        <w:t>6</w:t>
      </w:r>
      <w:r>
        <w:rPr>
          <w:rFonts w:hint="eastAsia" w:ascii="Times New Roman" w:hAnsi="Times New Roman"/>
          <w:b/>
          <w:bCs/>
          <w:color w:val="auto"/>
          <w:sz w:val="36"/>
          <w:szCs w:val="24"/>
          <w:highlight w:val="none"/>
        </w:rPr>
        <w:t>.具备履行合同所必需的设备和专业技术能力声明函</w:t>
      </w:r>
    </w:p>
    <w:p>
      <w:pPr>
        <w:pStyle w:val="46"/>
        <w:spacing w:line="360" w:lineRule="auto"/>
        <w:jc w:val="center"/>
        <w:rPr>
          <w:rFonts w:hint="eastAsia" w:ascii="Times New Roman" w:hAnsi="Times New Roman"/>
          <w:bCs/>
          <w:color w:val="auto"/>
          <w:sz w:val="36"/>
          <w:szCs w:val="24"/>
          <w:highlight w:val="none"/>
        </w:rPr>
      </w:pPr>
      <w:r>
        <w:rPr>
          <w:rFonts w:hint="eastAsia" w:ascii="Times New Roman" w:hAnsi="Times New Roman"/>
          <w:bCs/>
          <w:color w:val="auto"/>
          <w:sz w:val="36"/>
          <w:szCs w:val="24"/>
          <w:highlight w:val="none"/>
        </w:rPr>
        <w:t>（格式自拟，原件）</w:t>
      </w:r>
    </w:p>
    <w:p>
      <w:pPr>
        <w:rPr>
          <w:b/>
          <w:bCs/>
          <w:color w:val="auto"/>
          <w:kern w:val="0"/>
          <w:sz w:val="36"/>
          <w:highlight w:val="none"/>
        </w:rPr>
      </w:pPr>
      <w:r>
        <w:rPr>
          <w:rFonts w:hint="eastAsia"/>
          <w:b/>
          <w:bCs/>
          <w:color w:val="auto"/>
          <w:kern w:val="0"/>
          <w:sz w:val="36"/>
          <w:highlight w:val="none"/>
        </w:rPr>
        <w:t xml:space="preserve"> </w:t>
      </w:r>
    </w:p>
    <w:p>
      <w:pPr>
        <w:rPr>
          <w:rFonts w:ascii="宋体" w:hAnsi="宋体"/>
          <w:b/>
          <w:color w:val="auto"/>
          <w:sz w:val="28"/>
          <w:szCs w:val="28"/>
          <w:highlight w:val="none"/>
        </w:rPr>
      </w:pPr>
      <w:r>
        <w:rPr>
          <w:rFonts w:ascii="宋体" w:hAnsi="宋体" w:cs="宋体"/>
          <w:color w:val="auto"/>
          <w:sz w:val="28"/>
          <w:szCs w:val="28"/>
          <w:highlight w:val="none"/>
        </w:rPr>
        <w:br w:type="page"/>
      </w:r>
      <w:r>
        <w:rPr>
          <w:rFonts w:hint="eastAsia" w:ascii="宋体" w:hAnsi="宋体" w:cs="宋体"/>
          <w:color w:val="auto"/>
          <w:sz w:val="28"/>
          <w:szCs w:val="28"/>
          <w:highlight w:val="none"/>
        </w:rPr>
        <w:t xml:space="preserve">  </w:t>
      </w:r>
    </w:p>
    <w:p>
      <w:pPr>
        <w:pStyle w:val="46"/>
        <w:spacing w:line="360" w:lineRule="auto"/>
        <w:jc w:val="center"/>
        <w:rPr>
          <w:rFonts w:hint="eastAsia" w:hAnsi="宋体"/>
          <w:b/>
          <w:bCs/>
          <w:color w:val="auto"/>
          <w:sz w:val="36"/>
          <w:szCs w:val="24"/>
          <w:highlight w:val="none"/>
        </w:rPr>
      </w:pPr>
      <w:r>
        <w:rPr>
          <w:rFonts w:hint="eastAsia" w:hAnsi="宋体"/>
          <w:b/>
          <w:bCs/>
          <w:color w:val="auto"/>
          <w:sz w:val="36"/>
          <w:szCs w:val="24"/>
          <w:highlight w:val="none"/>
          <w:lang w:val="en-US" w:eastAsia="zh-CN"/>
        </w:rPr>
        <w:t>7</w:t>
      </w:r>
      <w:r>
        <w:rPr>
          <w:rFonts w:hint="eastAsia" w:hAnsi="宋体"/>
          <w:b/>
          <w:bCs/>
          <w:color w:val="auto"/>
          <w:sz w:val="36"/>
          <w:szCs w:val="24"/>
          <w:highlight w:val="none"/>
        </w:rPr>
        <w:t>.</w:t>
      </w:r>
      <w:r>
        <w:rPr>
          <w:rFonts w:hint="eastAsia" w:hAnsi="宋体"/>
          <w:b/>
          <w:bCs/>
          <w:color w:val="auto"/>
          <w:sz w:val="36"/>
          <w:highlight w:val="none"/>
        </w:rPr>
        <w:t xml:space="preserve"> 磋商</w:t>
      </w:r>
      <w:r>
        <w:rPr>
          <w:rFonts w:hint="eastAsia" w:hAnsi="宋体"/>
          <w:b/>
          <w:bCs/>
          <w:color w:val="auto"/>
          <w:sz w:val="36"/>
          <w:szCs w:val="24"/>
          <w:highlight w:val="none"/>
        </w:rPr>
        <w:t>时间前六个月内任一个月的依法缴纳税收的缴款凭据</w:t>
      </w:r>
    </w:p>
    <w:p>
      <w:pPr>
        <w:pStyle w:val="46"/>
        <w:spacing w:line="360" w:lineRule="auto"/>
        <w:jc w:val="center"/>
        <w:rPr>
          <w:rFonts w:hint="eastAsia" w:hAnsi="宋体"/>
          <w:bCs/>
          <w:color w:val="auto"/>
          <w:sz w:val="36"/>
          <w:szCs w:val="24"/>
          <w:highlight w:val="none"/>
        </w:rPr>
      </w:pPr>
      <w:r>
        <w:rPr>
          <w:rFonts w:hint="eastAsia" w:hAnsi="宋体"/>
          <w:bCs/>
          <w:color w:val="auto"/>
          <w:sz w:val="36"/>
          <w:szCs w:val="24"/>
          <w:highlight w:val="none"/>
        </w:rPr>
        <w:t>（复印件加盖公章）</w:t>
      </w:r>
    </w:p>
    <w:p>
      <w:pPr>
        <w:pStyle w:val="46"/>
        <w:spacing w:line="360" w:lineRule="auto"/>
        <w:jc w:val="center"/>
        <w:rPr>
          <w:rFonts w:hint="eastAsia" w:hAnsi="宋体"/>
          <w:b/>
          <w:bCs/>
          <w:color w:val="auto"/>
          <w:sz w:val="36"/>
          <w:szCs w:val="24"/>
          <w:highlight w:val="none"/>
        </w:rPr>
      </w:pPr>
      <w:r>
        <w:rPr>
          <w:rFonts w:hAnsi="宋体"/>
          <w:b/>
          <w:bCs/>
          <w:color w:val="auto"/>
          <w:sz w:val="36"/>
          <w:szCs w:val="24"/>
          <w:highlight w:val="none"/>
        </w:rPr>
        <w:br w:type="page"/>
      </w:r>
      <w:r>
        <w:rPr>
          <w:rFonts w:hint="eastAsia" w:hAnsi="宋体"/>
          <w:b/>
          <w:bCs/>
          <w:color w:val="auto"/>
          <w:sz w:val="36"/>
          <w:szCs w:val="24"/>
          <w:highlight w:val="none"/>
          <w:lang w:val="en-US" w:eastAsia="zh-CN"/>
        </w:rPr>
        <w:t>8</w:t>
      </w:r>
      <w:r>
        <w:rPr>
          <w:rFonts w:hint="eastAsia" w:hAnsi="宋体"/>
          <w:b/>
          <w:bCs/>
          <w:color w:val="auto"/>
          <w:sz w:val="36"/>
          <w:szCs w:val="24"/>
          <w:highlight w:val="none"/>
        </w:rPr>
        <w:t>. 磋商时间前六个月内任一个月的依法缴纳社会保障资金的缴款凭据</w:t>
      </w:r>
    </w:p>
    <w:p>
      <w:pPr>
        <w:pStyle w:val="46"/>
        <w:spacing w:line="360" w:lineRule="auto"/>
        <w:jc w:val="center"/>
        <w:rPr>
          <w:rFonts w:hint="eastAsia" w:hAnsi="宋体"/>
          <w:bCs/>
          <w:color w:val="auto"/>
          <w:sz w:val="36"/>
          <w:szCs w:val="24"/>
          <w:highlight w:val="none"/>
        </w:rPr>
      </w:pPr>
      <w:r>
        <w:rPr>
          <w:rFonts w:hint="eastAsia" w:hAnsi="宋体"/>
          <w:bCs/>
          <w:color w:val="auto"/>
          <w:sz w:val="36"/>
          <w:szCs w:val="24"/>
          <w:highlight w:val="none"/>
        </w:rPr>
        <w:t>（复印件加盖公章）</w:t>
      </w:r>
    </w:p>
    <w:p>
      <w:pPr>
        <w:pStyle w:val="46"/>
        <w:spacing w:line="440" w:lineRule="exact"/>
        <w:jc w:val="center"/>
        <w:rPr>
          <w:rFonts w:hint="eastAsia"/>
          <w:color w:val="auto"/>
          <w:sz w:val="24"/>
          <w:highlight w:val="none"/>
        </w:rPr>
      </w:pPr>
    </w:p>
    <w:p>
      <w:pPr>
        <w:pStyle w:val="46"/>
        <w:spacing w:line="440" w:lineRule="exact"/>
        <w:jc w:val="center"/>
        <w:rPr>
          <w:rFonts w:hint="eastAsia" w:hAnsi="宋体"/>
          <w:b/>
          <w:bCs/>
          <w:color w:val="auto"/>
          <w:sz w:val="36"/>
          <w:szCs w:val="24"/>
          <w:highlight w:val="none"/>
        </w:rPr>
      </w:pPr>
      <w:r>
        <w:rPr>
          <w:rFonts w:hAnsi="宋体"/>
          <w:b/>
          <w:bCs/>
          <w:color w:val="auto"/>
          <w:sz w:val="36"/>
          <w:szCs w:val="24"/>
          <w:highlight w:val="none"/>
        </w:rPr>
        <w:br w:type="page"/>
      </w:r>
      <w:r>
        <w:rPr>
          <w:rFonts w:hint="eastAsia" w:hAnsi="宋体"/>
          <w:b/>
          <w:bCs/>
          <w:color w:val="auto"/>
          <w:sz w:val="36"/>
          <w:szCs w:val="24"/>
          <w:highlight w:val="none"/>
          <w:lang w:val="en-US" w:eastAsia="zh-CN"/>
        </w:rPr>
        <w:t>9</w:t>
      </w:r>
      <w:r>
        <w:rPr>
          <w:rFonts w:hint="eastAsia" w:hAnsi="宋体"/>
          <w:b/>
          <w:bCs/>
          <w:color w:val="auto"/>
          <w:sz w:val="36"/>
          <w:szCs w:val="24"/>
          <w:highlight w:val="none"/>
        </w:rPr>
        <w:t>.诚信磋商承诺函（参加政府采购活动前三年内在经营活动中没有重大违法记录的书面声明函）</w:t>
      </w:r>
    </w:p>
    <w:p>
      <w:pPr>
        <w:spacing w:before="240" w:beforeLines="100" w:after="240" w:afterLines="100" w:line="480" w:lineRule="exact"/>
        <w:ind w:right="630" w:rightChars="300"/>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诚信磋商承诺函</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u w:val="single"/>
          <w:lang w:val="en-GB"/>
        </w:rPr>
        <w:t xml:space="preserve">（采购人或采购代理机构名称）  </w:t>
      </w:r>
      <w:r>
        <w:rPr>
          <w:rFonts w:hint="eastAsia" w:cs="宋体"/>
          <w:color w:val="auto"/>
          <w:sz w:val="24"/>
          <w:szCs w:val="24"/>
          <w:highlight w:val="none"/>
          <w:lang w:val="en-GB"/>
        </w:rPr>
        <w:t>：</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在本项目响应文件截止时间前，我单位参加本次政府采购活动前三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如发现我单位提供的声明函不实时，我单位将按照《政府采购法》有关提供虚假材料的规定，接受处罚。</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特此声明。</w:t>
      </w:r>
    </w:p>
    <w:p>
      <w:pPr>
        <w:pStyle w:val="371"/>
        <w:spacing w:line="360" w:lineRule="auto"/>
        <w:ind w:firstLine="425"/>
        <w:rPr>
          <w:rFonts w:hint="eastAsia" w:cs="宋体"/>
          <w:color w:val="auto"/>
          <w:sz w:val="24"/>
          <w:szCs w:val="24"/>
          <w:highlight w:val="none"/>
          <w:lang w:val="en-GB"/>
        </w:rPr>
      </w:pPr>
    </w:p>
    <w:p>
      <w:pPr>
        <w:pStyle w:val="371"/>
        <w:spacing w:line="360" w:lineRule="auto"/>
        <w:ind w:firstLine="425"/>
        <w:rPr>
          <w:rFonts w:hint="eastAsia" w:cs="宋体"/>
          <w:color w:val="auto"/>
          <w:sz w:val="24"/>
          <w:szCs w:val="24"/>
          <w:highlight w:val="none"/>
          <w:lang w:val="en-GB"/>
        </w:rPr>
      </w:pPr>
    </w:p>
    <w:p>
      <w:pPr>
        <w:pStyle w:val="371"/>
        <w:spacing w:line="360" w:lineRule="auto"/>
        <w:ind w:firstLine="425"/>
        <w:rPr>
          <w:rFonts w:hint="eastAsia" w:cs="宋体"/>
          <w:color w:val="auto"/>
          <w:sz w:val="24"/>
          <w:szCs w:val="24"/>
          <w:highlight w:val="none"/>
          <w:lang w:val="en-GB"/>
        </w:rPr>
      </w:pPr>
    </w:p>
    <w:p>
      <w:pPr>
        <w:pStyle w:val="371"/>
        <w:spacing w:line="360" w:lineRule="auto"/>
        <w:ind w:firstLine="425"/>
        <w:rPr>
          <w:rFonts w:hint="eastAsia" w:cs="宋体"/>
          <w:color w:val="auto"/>
          <w:sz w:val="24"/>
          <w:szCs w:val="24"/>
          <w:highlight w:val="none"/>
          <w:lang w:val="en-GB"/>
        </w:rPr>
      </w:pPr>
    </w:p>
    <w:p>
      <w:pPr>
        <w:pStyle w:val="371"/>
        <w:spacing w:line="360" w:lineRule="auto"/>
        <w:ind w:firstLine="425"/>
        <w:rPr>
          <w:rFonts w:hint="eastAsia" w:cs="宋体"/>
          <w:color w:val="auto"/>
          <w:sz w:val="24"/>
          <w:szCs w:val="24"/>
          <w:highlight w:val="none"/>
          <w:lang w:val="en-GB"/>
        </w:rPr>
      </w:pP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 xml:space="preserve">供应商名称（加盖单位公章）：           </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 xml:space="preserve">法定代表人（或非法人组织负责人）或其授权代表人(签字或盖章)：           </w:t>
      </w:r>
    </w:p>
    <w:p>
      <w:pPr>
        <w:pStyle w:val="371"/>
        <w:spacing w:line="360" w:lineRule="auto"/>
        <w:ind w:firstLine="425"/>
        <w:rPr>
          <w:rFonts w:hint="eastAsia" w:cs="宋体"/>
          <w:color w:val="auto"/>
          <w:sz w:val="24"/>
          <w:szCs w:val="24"/>
          <w:highlight w:val="none"/>
          <w:lang w:val="en-GB"/>
        </w:rPr>
      </w:pPr>
      <w:r>
        <w:rPr>
          <w:rFonts w:hint="eastAsia" w:cs="宋体"/>
          <w:color w:val="auto"/>
          <w:sz w:val="24"/>
          <w:szCs w:val="24"/>
          <w:highlight w:val="none"/>
          <w:lang w:val="en-GB"/>
        </w:rPr>
        <w:t xml:space="preserve">日期：                </w:t>
      </w:r>
    </w:p>
    <w:p>
      <w:pPr>
        <w:pStyle w:val="371"/>
        <w:spacing w:line="360" w:lineRule="auto"/>
        <w:ind w:firstLine="425"/>
        <w:rPr>
          <w:rFonts w:hint="eastAsia" w:cs="宋体"/>
          <w:color w:val="auto"/>
          <w:sz w:val="24"/>
          <w:szCs w:val="24"/>
          <w:highlight w:val="none"/>
          <w:lang w:val="en-GB"/>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440" w:lineRule="exact"/>
        <w:jc w:val="center"/>
        <w:rPr>
          <w:rFonts w:hint="eastAsia"/>
          <w:color w:val="auto"/>
          <w:sz w:val="24"/>
          <w:highlight w:val="none"/>
        </w:rPr>
      </w:pPr>
    </w:p>
    <w:p>
      <w:pPr>
        <w:pStyle w:val="46"/>
        <w:spacing w:line="360" w:lineRule="auto"/>
        <w:ind w:firstLine="723" w:firstLineChars="200"/>
        <w:jc w:val="center"/>
        <w:rPr>
          <w:rFonts w:hAnsi="宋体"/>
          <w:b/>
          <w:bCs/>
          <w:color w:val="auto"/>
          <w:sz w:val="36"/>
          <w:szCs w:val="24"/>
          <w:highlight w:val="none"/>
        </w:rPr>
      </w:pPr>
      <w:r>
        <w:rPr>
          <w:rFonts w:hint="eastAsia" w:hAnsi="宋体"/>
          <w:b/>
          <w:bCs/>
          <w:color w:val="auto"/>
          <w:sz w:val="36"/>
          <w:szCs w:val="24"/>
          <w:highlight w:val="none"/>
        </w:rPr>
        <w:t>1</w:t>
      </w:r>
      <w:r>
        <w:rPr>
          <w:rFonts w:hint="eastAsia" w:hAnsi="宋体"/>
          <w:b/>
          <w:bCs/>
          <w:color w:val="auto"/>
          <w:sz w:val="36"/>
          <w:szCs w:val="24"/>
          <w:highlight w:val="none"/>
          <w:lang w:val="en-US" w:eastAsia="zh-CN"/>
        </w:rPr>
        <w:t>0</w:t>
      </w:r>
      <w:r>
        <w:rPr>
          <w:rFonts w:hint="eastAsia" w:hAnsi="宋体"/>
          <w:b/>
          <w:bCs/>
          <w:color w:val="auto"/>
          <w:sz w:val="36"/>
          <w:szCs w:val="24"/>
          <w:highlight w:val="none"/>
        </w:rPr>
        <w:t>.非联合体磋商声明</w:t>
      </w:r>
    </w:p>
    <w:p>
      <w:pPr>
        <w:pStyle w:val="46"/>
        <w:spacing w:line="360" w:lineRule="auto"/>
        <w:ind w:firstLine="723" w:firstLineChars="200"/>
        <w:jc w:val="center"/>
        <w:rPr>
          <w:rFonts w:hint="eastAsia" w:hAnsi="宋体"/>
          <w:b/>
          <w:bCs/>
          <w:color w:val="auto"/>
          <w:sz w:val="36"/>
          <w:szCs w:val="24"/>
          <w:highlight w:val="none"/>
        </w:rPr>
      </w:pPr>
      <w:r>
        <w:rPr>
          <w:rFonts w:hint="eastAsia" w:hAnsi="宋体"/>
          <w:b/>
          <w:bCs/>
          <w:color w:val="auto"/>
          <w:sz w:val="36"/>
          <w:szCs w:val="24"/>
          <w:highlight w:val="none"/>
        </w:rPr>
        <w:t>（格式自拟）</w:t>
      </w:r>
    </w:p>
    <w:p>
      <w:pPr>
        <w:pStyle w:val="46"/>
        <w:spacing w:line="360" w:lineRule="auto"/>
        <w:ind w:firstLine="723" w:firstLineChars="200"/>
        <w:jc w:val="center"/>
        <w:rPr>
          <w:rFonts w:hint="eastAsia" w:hAnsi="宋体"/>
          <w:b/>
          <w:bCs/>
          <w:color w:val="auto"/>
          <w:sz w:val="36"/>
          <w:szCs w:val="24"/>
          <w:highlight w:val="none"/>
        </w:rPr>
      </w:pPr>
    </w:p>
    <w:p>
      <w:pPr>
        <w:pStyle w:val="46"/>
        <w:spacing w:line="360" w:lineRule="auto"/>
        <w:ind w:firstLine="723" w:firstLineChars="200"/>
        <w:jc w:val="center"/>
        <w:rPr>
          <w:rFonts w:hint="eastAsia" w:hAnsi="宋体"/>
          <w:b/>
          <w:bCs/>
          <w:color w:val="auto"/>
          <w:sz w:val="36"/>
          <w:szCs w:val="24"/>
          <w:highlight w:val="none"/>
        </w:rPr>
      </w:pPr>
    </w:p>
    <w:p>
      <w:pPr>
        <w:tabs>
          <w:tab w:val="left" w:pos="840"/>
        </w:tabs>
        <w:adjustRightInd w:val="0"/>
        <w:snapToGrid w:val="0"/>
        <w:spacing w:line="360" w:lineRule="auto"/>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pPr>
        <w:pStyle w:val="46"/>
        <w:spacing w:line="360" w:lineRule="auto"/>
        <w:ind w:firstLine="723" w:firstLineChars="200"/>
        <w:jc w:val="center"/>
        <w:rPr>
          <w:rFonts w:hint="eastAsia" w:hAnsi="宋体"/>
          <w:b/>
          <w:bCs/>
          <w:color w:val="auto"/>
          <w:sz w:val="36"/>
          <w:szCs w:val="24"/>
          <w:highlight w:val="none"/>
        </w:rPr>
      </w:pPr>
      <w:r>
        <w:rPr>
          <w:rFonts w:hint="eastAsia" w:hAnsi="宋体"/>
          <w:b/>
          <w:bCs/>
          <w:color w:val="auto"/>
          <w:sz w:val="36"/>
          <w:szCs w:val="24"/>
          <w:highlight w:val="none"/>
        </w:rPr>
        <w:t>1</w:t>
      </w:r>
      <w:r>
        <w:rPr>
          <w:rFonts w:hint="eastAsia" w:hAnsi="宋体"/>
          <w:b/>
          <w:bCs/>
          <w:color w:val="auto"/>
          <w:sz w:val="36"/>
          <w:szCs w:val="24"/>
          <w:highlight w:val="none"/>
          <w:lang w:val="en-US" w:eastAsia="zh-CN"/>
        </w:rPr>
        <w:t>1</w:t>
      </w:r>
      <w:r>
        <w:rPr>
          <w:rFonts w:hint="eastAsia" w:hAnsi="宋体"/>
          <w:b/>
          <w:bCs/>
          <w:color w:val="auto"/>
          <w:sz w:val="36"/>
          <w:szCs w:val="24"/>
          <w:highlight w:val="none"/>
        </w:rPr>
        <w:t>.供应商关联单位的说明</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说明：供应商应当如实披露与本单位存在下列关联关系的单位名称：</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（1）与供应商法定代表人（或非法人组织负责人）为同一人的其他单位；</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（2）与供应商存在直接控股、管理关系的其他单位：</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（3）为本采购项目提供整体设计、规范编制或者项目管理、监理、检测等服务的</w:t>
      </w:r>
      <w:r>
        <w:rPr>
          <w:rFonts w:hint="eastAsia" w:ascii="宋体" w:hAnsi="宋体" w:cs="宋体"/>
          <w:bCs/>
          <w:color w:val="auto"/>
          <w:kern w:val="0"/>
          <w:sz w:val="24"/>
          <w:highlight w:val="none"/>
        </w:rPr>
        <w:t>供应商</w:t>
      </w:r>
      <w:r>
        <w:rPr>
          <w:rFonts w:hint="eastAsia" w:ascii="宋体" w:hAnsi="宋体"/>
          <w:bCs/>
          <w:color w:val="auto"/>
          <w:sz w:val="24"/>
          <w:highlight w:val="none"/>
        </w:rPr>
        <w:t>参加本项目采购活动：</w:t>
      </w:r>
    </w:p>
    <w:p>
      <w:pPr>
        <w:spacing w:line="360" w:lineRule="auto"/>
        <w:ind w:firstLine="708" w:firstLineChars="295"/>
        <w:rPr>
          <w:rFonts w:ascii="宋体" w:hAnsi="宋体"/>
          <w:bCs/>
          <w:color w:val="auto"/>
          <w:sz w:val="24"/>
          <w:highlight w:val="none"/>
        </w:rPr>
      </w:pPr>
      <w:r>
        <w:rPr>
          <w:rFonts w:hint="eastAsia" w:ascii="宋体" w:hAnsi="宋体"/>
          <w:bCs/>
          <w:color w:val="auto"/>
          <w:sz w:val="24"/>
          <w:highlight w:val="none"/>
        </w:rPr>
        <w:t>是否存在以上情形：</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360" w:lineRule="auto"/>
        <w:ind w:firstLine="480" w:firstLineChars="200"/>
        <w:rPr>
          <w:rFonts w:ascii="宋体" w:hAnsi="宋体" w:cs="宋体"/>
          <w:bCs/>
          <w:color w:val="auto"/>
          <w:kern w:val="0"/>
          <w:sz w:val="24"/>
          <w:highlight w:val="none"/>
        </w:rPr>
      </w:pP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注：若无此情形，写“无”即可</w:t>
      </w:r>
    </w:p>
    <w:p>
      <w:pPr>
        <w:snapToGrid w:val="0"/>
        <w:spacing w:before="120" w:after="120"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供应商名称（加盖单位公章）：</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法定代表人（或非法人组织负责人）或其授权委托人(签字或盖章)：</w:t>
      </w:r>
    </w:p>
    <w:p>
      <w:pPr>
        <w:tabs>
          <w:tab w:val="left" w:pos="840"/>
        </w:tabs>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bCs/>
          <w:color w:val="auto"/>
          <w:kern w:val="0"/>
          <w:sz w:val="24"/>
          <w:highlight w:val="none"/>
        </w:rPr>
        <w:t>日期：    年  月  日</w:t>
      </w:r>
    </w:p>
    <w:p>
      <w:pPr>
        <w:pStyle w:val="46"/>
        <w:spacing w:line="360" w:lineRule="auto"/>
        <w:ind w:firstLine="723" w:firstLineChars="200"/>
        <w:jc w:val="center"/>
        <w:rPr>
          <w:rFonts w:hint="eastAsia" w:hAnsi="宋体"/>
          <w:b/>
          <w:bCs/>
          <w:color w:val="auto"/>
          <w:sz w:val="36"/>
          <w:szCs w:val="24"/>
          <w:highlight w:val="none"/>
        </w:rPr>
      </w:pPr>
    </w:p>
    <w:p>
      <w:pPr>
        <w:pStyle w:val="46"/>
        <w:spacing w:line="440" w:lineRule="exact"/>
        <w:jc w:val="center"/>
        <w:rPr>
          <w:rFonts w:hint="eastAsia"/>
          <w:color w:val="auto"/>
          <w:sz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jc w:val="center"/>
        <w:rPr>
          <w:rFonts w:hint="eastAsia" w:hAnsi="宋体"/>
          <w:b/>
          <w:bCs/>
          <w:color w:val="auto"/>
          <w:sz w:val="36"/>
          <w:szCs w:val="24"/>
          <w:highlight w:val="none"/>
        </w:rPr>
      </w:pPr>
    </w:p>
    <w:p>
      <w:pPr>
        <w:pStyle w:val="46"/>
        <w:spacing w:line="360" w:lineRule="auto"/>
        <w:rPr>
          <w:rFonts w:hint="eastAsia" w:hAnsi="宋体"/>
          <w:b/>
          <w:bCs/>
          <w:color w:val="auto"/>
          <w:sz w:val="36"/>
          <w:szCs w:val="24"/>
          <w:highlight w:val="none"/>
        </w:rPr>
      </w:pPr>
      <w:r>
        <w:rPr>
          <w:rFonts w:hint="eastAsia" w:hAnsi="宋体"/>
          <w:b/>
          <w:bCs/>
          <w:color w:val="auto"/>
          <w:sz w:val="36"/>
          <w:szCs w:val="24"/>
          <w:highlight w:val="none"/>
        </w:rPr>
        <w:br w:type="page"/>
      </w:r>
    </w:p>
    <w:p>
      <w:pPr>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1</w:t>
      </w:r>
      <w:r>
        <w:rPr>
          <w:rFonts w:hint="eastAsia" w:ascii="宋体" w:hAnsi="宋体" w:cs="宋体"/>
          <w:b/>
          <w:color w:val="auto"/>
          <w:kern w:val="1"/>
          <w:sz w:val="36"/>
          <w:szCs w:val="36"/>
          <w:highlight w:val="none"/>
          <w:lang w:val="en-US" w:eastAsia="zh-CN"/>
        </w:rPr>
        <w:t>2</w:t>
      </w:r>
      <w:r>
        <w:rPr>
          <w:rFonts w:hint="eastAsia" w:ascii="宋体" w:hAnsi="宋体" w:cs="宋体"/>
          <w:b/>
          <w:color w:val="auto"/>
          <w:kern w:val="1"/>
          <w:sz w:val="36"/>
          <w:szCs w:val="36"/>
          <w:highlight w:val="none"/>
        </w:rPr>
        <w:t>.中小企业声明函（中小企业提供）、监狱企业证明、残疾人福利性单位声明函</w:t>
      </w:r>
    </w:p>
    <w:p>
      <w:pPr>
        <w:jc w:val="center"/>
        <w:rPr>
          <w:rFonts w:ascii="宋体" w:hAnsi="宋体" w:cs="宋体"/>
          <w:b/>
          <w:color w:val="auto"/>
          <w:kern w:val="1"/>
          <w:sz w:val="36"/>
          <w:highlight w:val="none"/>
        </w:rPr>
      </w:pPr>
    </w:p>
    <w:p>
      <w:pPr>
        <w:jc w:val="center"/>
        <w:rPr>
          <w:rFonts w:hint="eastAsia" w:ascii="宋体" w:hAnsi="宋体" w:cs="宋体"/>
          <w:b/>
          <w:color w:val="auto"/>
          <w:kern w:val="1"/>
          <w:sz w:val="36"/>
          <w:szCs w:val="36"/>
          <w:highlight w:val="none"/>
        </w:rPr>
      </w:pPr>
      <w:r>
        <w:rPr>
          <w:rFonts w:hint="eastAsia" w:ascii="宋体" w:hAnsi="宋体" w:cs="宋体"/>
          <w:b/>
          <w:color w:val="auto"/>
          <w:kern w:val="1"/>
          <w:sz w:val="36"/>
          <w:highlight w:val="none"/>
        </w:rPr>
        <w:t>（一）</w:t>
      </w:r>
      <w:r>
        <w:rPr>
          <w:rFonts w:hint="eastAsia" w:ascii="宋体" w:hAnsi="宋体" w:cs="宋体"/>
          <w:b/>
          <w:color w:val="auto"/>
          <w:kern w:val="1"/>
          <w:sz w:val="36"/>
          <w:szCs w:val="36"/>
          <w:highlight w:val="none"/>
        </w:rPr>
        <w:t>中小企业声明函</w:t>
      </w:r>
    </w:p>
    <w:p>
      <w:pPr>
        <w:snapToGrid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（如不符合请填“无”）</w:t>
      </w:r>
    </w:p>
    <w:p>
      <w:pPr>
        <w:pStyle w:val="2"/>
        <w:rPr>
          <w:color w:val="auto"/>
          <w:highlight w:val="none"/>
        </w:rPr>
      </w:pPr>
    </w:p>
    <w:p>
      <w:pPr>
        <w:spacing w:line="588" w:lineRule="exact"/>
        <w:ind w:firstLine="480" w:firstLineChars="200"/>
        <w:rPr>
          <w:rFonts w:hint="eastAsia"/>
          <w:color w:val="auto"/>
          <w:sz w:val="24"/>
          <w:highlight w:val="none"/>
        </w:rPr>
      </w:pPr>
      <w:r>
        <w:rPr>
          <w:color w:val="auto"/>
          <w:sz w:val="24"/>
          <w:highlight w:val="none"/>
        </w:rPr>
        <w:t>本公司（联合体）郑重声明，根据《政府采购促进中小企业发展管理办法》（财库﹝2020﹞46 号）的规定，本公司 （联合体）参加</w:t>
      </w:r>
      <w:r>
        <w:rPr>
          <w:color w:val="auto"/>
          <w:sz w:val="24"/>
          <w:highlight w:val="none"/>
          <w:u w:val="single"/>
        </w:rPr>
        <w:t>（单位名称）</w:t>
      </w:r>
      <w:r>
        <w:rPr>
          <w:color w:val="auto"/>
          <w:sz w:val="24"/>
          <w:highlight w:val="none"/>
        </w:rPr>
        <w:t>的</w:t>
      </w:r>
      <w:r>
        <w:rPr>
          <w:color w:val="auto"/>
          <w:sz w:val="24"/>
          <w:highlight w:val="none"/>
          <w:u w:val="single"/>
        </w:rPr>
        <w:t>（项目名称）</w:t>
      </w:r>
      <w:r>
        <w:rPr>
          <w:color w:val="auto"/>
          <w:sz w:val="24"/>
          <w:highlight w:val="none"/>
        </w:rPr>
        <w:t>采购活动，</w:t>
      </w:r>
      <w:r>
        <w:rPr>
          <w:rFonts w:hint="eastAsia"/>
          <w:color w:val="auto"/>
          <w:sz w:val="24"/>
          <w:highlight w:val="none"/>
          <w:lang w:val="en-US" w:eastAsia="zh-CN"/>
        </w:rPr>
        <w:t>提供的货物全部由符合政策要求的中小企业制造</w:t>
      </w:r>
      <w:r>
        <w:rPr>
          <w:color w:val="auto"/>
          <w:sz w:val="24"/>
          <w:highlight w:val="none"/>
        </w:rPr>
        <w:t xml:space="preserve">。相关企业（含联合 体中的中小企业、签订分包意向协议的中小企业）的具体情 况如下： </w:t>
      </w:r>
    </w:p>
    <w:p>
      <w:pPr>
        <w:spacing w:line="588" w:lineRule="exact"/>
        <w:ind w:firstLine="480" w:firstLineChars="200"/>
        <w:rPr>
          <w:rFonts w:hint="eastAsia"/>
          <w:color w:val="auto"/>
          <w:sz w:val="24"/>
          <w:highlight w:val="none"/>
        </w:rPr>
      </w:pPr>
      <w:r>
        <w:rPr>
          <w:color w:val="auto"/>
          <w:sz w:val="24"/>
          <w:highlight w:val="none"/>
        </w:rPr>
        <w:t xml:space="preserve">1. </w:t>
      </w:r>
      <w:r>
        <w:rPr>
          <w:color w:val="auto"/>
          <w:sz w:val="24"/>
          <w:highlight w:val="none"/>
          <w:u w:val="single"/>
        </w:rPr>
        <w:t xml:space="preserve">（标的名称） </w:t>
      </w:r>
      <w:r>
        <w:rPr>
          <w:color w:val="auto"/>
          <w:sz w:val="24"/>
          <w:highlight w:val="none"/>
        </w:rPr>
        <w:t>，属于</w:t>
      </w:r>
      <w:r>
        <w:rPr>
          <w:color w:val="auto"/>
          <w:sz w:val="24"/>
          <w:highlight w:val="none"/>
          <w:u w:val="single"/>
        </w:rPr>
        <w:t>（</w:t>
      </w:r>
      <w:r>
        <w:rPr>
          <w:rFonts w:hint="eastAsia"/>
          <w:color w:val="auto"/>
          <w:sz w:val="24"/>
          <w:highlight w:val="none"/>
          <w:u w:val="single"/>
          <w:lang w:val="en-US" w:eastAsia="zh-CN"/>
        </w:rPr>
        <w:t>工业</w:t>
      </w:r>
      <w:r>
        <w:rPr>
          <w:color w:val="auto"/>
          <w:sz w:val="24"/>
          <w:highlight w:val="none"/>
          <w:u w:val="single"/>
        </w:rPr>
        <w:t>）</w:t>
      </w:r>
      <w:r>
        <w:rPr>
          <w:color w:val="auto"/>
          <w:sz w:val="24"/>
          <w:highlight w:val="none"/>
        </w:rPr>
        <w:t>；</w:t>
      </w:r>
      <w:r>
        <w:rPr>
          <w:rFonts w:hint="eastAsia"/>
          <w:color w:val="auto"/>
          <w:sz w:val="24"/>
          <w:highlight w:val="none"/>
          <w:lang w:val="en-US" w:eastAsia="zh-CN"/>
        </w:rPr>
        <w:t>制造商</w:t>
      </w:r>
      <w:r>
        <w:rPr>
          <w:color w:val="auto"/>
          <w:sz w:val="24"/>
          <w:highlight w:val="none"/>
        </w:rPr>
        <w:t>为</w:t>
      </w:r>
      <w:r>
        <w:rPr>
          <w:color w:val="auto"/>
          <w:sz w:val="24"/>
          <w:highlight w:val="none"/>
          <w:u w:val="single"/>
        </w:rPr>
        <w:t>（企业名称）</w:t>
      </w:r>
      <w:r>
        <w:rPr>
          <w:color w:val="auto"/>
          <w:sz w:val="24"/>
          <w:highlight w:val="none"/>
        </w:rPr>
        <w:t>，从业人员</w:t>
      </w:r>
      <w:r>
        <w:rPr>
          <w:rFonts w:hint="eastAsia"/>
          <w:color w:val="auto"/>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rPr>
        <w:t>万元，资产总额为</w:t>
      </w:r>
      <w:r>
        <w:rPr>
          <w:rFonts w:hint="eastAsia"/>
          <w:color w:val="auto"/>
          <w:sz w:val="24"/>
          <w:highlight w:val="none"/>
          <w:u w:val="single"/>
        </w:rPr>
        <w:t xml:space="preserve">      </w:t>
      </w:r>
      <w:r>
        <w:rPr>
          <w:color w:val="auto"/>
          <w:sz w:val="24"/>
          <w:highlight w:val="none"/>
        </w:rPr>
        <w:t>万元</w:t>
      </w:r>
      <w:r>
        <w:rPr>
          <w:color w:val="auto"/>
          <w:sz w:val="24"/>
          <w:highlight w:val="none"/>
          <w:vertAlign w:val="superscript"/>
        </w:rPr>
        <w:t xml:space="preserve"> </w:t>
      </w:r>
      <w:r>
        <w:rPr>
          <w:color w:val="auto"/>
          <w:sz w:val="24"/>
          <w:highlight w:val="none"/>
        </w:rPr>
        <w:t>，属于</w:t>
      </w:r>
      <w:r>
        <w:rPr>
          <w:color w:val="auto"/>
          <w:sz w:val="24"/>
          <w:highlight w:val="none"/>
          <w:u w:val="single"/>
        </w:rPr>
        <w:t>（中型企业、 小型企业、微型企业）</w:t>
      </w:r>
      <w:r>
        <w:rPr>
          <w:color w:val="auto"/>
          <w:sz w:val="24"/>
          <w:highlight w:val="none"/>
        </w:rPr>
        <w:t xml:space="preserve">； </w:t>
      </w:r>
    </w:p>
    <w:p>
      <w:pPr>
        <w:spacing w:line="588" w:lineRule="exact"/>
        <w:ind w:firstLine="480" w:firstLineChars="200"/>
        <w:rPr>
          <w:rFonts w:hint="eastAsia"/>
          <w:color w:val="auto"/>
          <w:sz w:val="24"/>
          <w:highlight w:val="none"/>
        </w:rPr>
      </w:pPr>
      <w:r>
        <w:rPr>
          <w:color w:val="auto"/>
          <w:sz w:val="24"/>
          <w:highlight w:val="none"/>
        </w:rPr>
        <w:t xml:space="preserve">2. </w:t>
      </w:r>
      <w:r>
        <w:rPr>
          <w:color w:val="auto"/>
          <w:sz w:val="24"/>
          <w:highlight w:val="none"/>
          <w:u w:val="single"/>
        </w:rPr>
        <w:t xml:space="preserve">（标的名称） </w:t>
      </w:r>
      <w:r>
        <w:rPr>
          <w:color w:val="auto"/>
          <w:sz w:val="24"/>
          <w:highlight w:val="none"/>
        </w:rPr>
        <w:t>，属于</w:t>
      </w:r>
      <w:r>
        <w:rPr>
          <w:color w:val="auto"/>
          <w:sz w:val="24"/>
          <w:highlight w:val="none"/>
          <w:u w:val="single"/>
        </w:rPr>
        <w:t>（</w:t>
      </w:r>
      <w:r>
        <w:rPr>
          <w:rFonts w:hint="eastAsia"/>
          <w:color w:val="auto"/>
          <w:sz w:val="24"/>
          <w:highlight w:val="none"/>
          <w:u w:val="single"/>
          <w:lang w:val="en-US" w:eastAsia="zh-CN"/>
        </w:rPr>
        <w:t>工业</w:t>
      </w:r>
      <w:r>
        <w:rPr>
          <w:color w:val="auto"/>
          <w:sz w:val="24"/>
          <w:highlight w:val="none"/>
          <w:u w:val="single"/>
        </w:rPr>
        <w:t>）</w:t>
      </w:r>
      <w:r>
        <w:rPr>
          <w:color w:val="auto"/>
          <w:sz w:val="24"/>
          <w:highlight w:val="none"/>
        </w:rPr>
        <w:t>；</w:t>
      </w:r>
      <w:r>
        <w:rPr>
          <w:rFonts w:hint="eastAsia"/>
          <w:color w:val="auto"/>
          <w:sz w:val="24"/>
          <w:highlight w:val="none"/>
          <w:lang w:val="en-US" w:eastAsia="zh-CN"/>
        </w:rPr>
        <w:t>制造商</w:t>
      </w:r>
      <w:r>
        <w:rPr>
          <w:color w:val="auto"/>
          <w:sz w:val="24"/>
          <w:highlight w:val="none"/>
        </w:rPr>
        <w:t>为</w:t>
      </w:r>
      <w:r>
        <w:rPr>
          <w:color w:val="auto"/>
          <w:sz w:val="24"/>
          <w:highlight w:val="none"/>
          <w:u w:val="single"/>
        </w:rPr>
        <w:t>（企业名称）</w:t>
      </w:r>
      <w:r>
        <w:rPr>
          <w:color w:val="auto"/>
          <w:sz w:val="24"/>
          <w:highlight w:val="none"/>
        </w:rPr>
        <w:t>，从业人员</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人，营业收入为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万元，资产总额为</w:t>
      </w:r>
      <w:r>
        <w:rPr>
          <w:rFonts w:hint="eastAsia"/>
          <w:color w:val="auto"/>
          <w:sz w:val="24"/>
          <w:highlight w:val="none"/>
          <w:u w:val="single"/>
        </w:rPr>
        <w:t xml:space="preserve">    </w:t>
      </w:r>
      <w:r>
        <w:rPr>
          <w:color w:val="auto"/>
          <w:sz w:val="24"/>
          <w:highlight w:val="none"/>
        </w:rPr>
        <w:t>万元，属于</w:t>
      </w:r>
      <w:r>
        <w:rPr>
          <w:color w:val="auto"/>
          <w:sz w:val="24"/>
          <w:highlight w:val="none"/>
          <w:u w:val="single"/>
        </w:rPr>
        <w:t>（中型企业、 小型企业、微型企业）</w:t>
      </w:r>
      <w:r>
        <w:rPr>
          <w:color w:val="auto"/>
          <w:sz w:val="24"/>
          <w:highlight w:val="none"/>
        </w:rPr>
        <w:t xml:space="preserve">； </w:t>
      </w:r>
    </w:p>
    <w:p>
      <w:pPr>
        <w:spacing w:line="588" w:lineRule="exact"/>
        <w:ind w:firstLine="480" w:firstLineChars="200"/>
        <w:rPr>
          <w:rFonts w:hint="eastAsia"/>
          <w:color w:val="auto"/>
          <w:sz w:val="24"/>
          <w:highlight w:val="none"/>
        </w:rPr>
      </w:pPr>
      <w:r>
        <w:rPr>
          <w:color w:val="auto"/>
          <w:sz w:val="24"/>
          <w:highlight w:val="none"/>
        </w:rPr>
        <w:t xml:space="preserve">…… </w:t>
      </w:r>
    </w:p>
    <w:p>
      <w:pPr>
        <w:spacing w:line="588" w:lineRule="exact"/>
        <w:ind w:firstLine="480" w:firstLineChars="200"/>
        <w:rPr>
          <w:rFonts w:hint="eastAsia" w:ascii="宋体" w:hAnsi="宋体"/>
          <w:color w:val="auto"/>
          <w:sz w:val="24"/>
          <w:highlight w:val="none"/>
        </w:rPr>
      </w:pPr>
      <w:r>
        <w:rPr>
          <w:color w:val="auto"/>
          <w:sz w:val="24"/>
          <w:highlight w:val="none"/>
        </w:rPr>
        <w:t>以上企业，不属于大企业的分支机构，不存在控股股东 为大企业的情形，也不存在与大企业的负责人为同一人的情形。 本企业对上述声明内容的真实性负责。如有虚假，将依法承担相应责任。</w:t>
      </w:r>
    </w:p>
    <w:p>
      <w:pPr>
        <w:spacing w:line="588" w:lineRule="exact"/>
        <w:ind w:firstLine="480" w:firstLineChars="200"/>
        <w:rPr>
          <w:rFonts w:hint="eastAsia" w:ascii="宋体" w:hAnsi="宋体"/>
          <w:color w:val="auto"/>
          <w:sz w:val="24"/>
          <w:highlight w:val="none"/>
        </w:rPr>
      </w:pPr>
    </w:p>
    <w:p>
      <w:pPr>
        <w:tabs>
          <w:tab w:val="left" w:pos="4860"/>
        </w:tabs>
        <w:spacing w:line="588" w:lineRule="exact"/>
        <w:ind w:right="1560" w:firstLine="480" w:firstLineChars="200"/>
        <w:rPr>
          <w:rFonts w:ascii="宋体" w:hAnsi="宋体"/>
          <w:color w:val="auto"/>
          <w:sz w:val="24"/>
          <w:highlight w:val="none"/>
        </w:rPr>
      </w:pPr>
      <w:r>
        <w:rPr>
          <w:rFonts w:hint="eastAsia" w:ascii="宋体" w:hAnsi="宋体"/>
          <w:color w:val="auto"/>
          <w:sz w:val="24"/>
          <w:highlight w:val="none"/>
        </w:rPr>
        <w:t xml:space="preserve">                企业名称（盖章）：</w:t>
      </w:r>
      <w:r>
        <w:rPr>
          <w:rFonts w:hint="eastAsia" w:ascii="宋体" w:hAnsi="宋体"/>
          <w:color w:val="auto"/>
          <w:sz w:val="24"/>
          <w:highlight w:val="none"/>
          <w:u w:val="single"/>
        </w:rPr>
        <w:t xml:space="preserve">              </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spacing w:line="440" w:lineRule="exact"/>
        <w:ind w:firstLine="420"/>
        <w:rPr>
          <w:rFonts w:ascii="宋体" w:hAnsi="宋体"/>
          <w:b/>
          <w:bCs/>
          <w:color w:val="auto"/>
          <w:sz w:val="24"/>
          <w:highlight w:val="none"/>
        </w:rPr>
      </w:pPr>
    </w:p>
    <w:p>
      <w:pPr>
        <w:jc w:val="left"/>
        <w:rPr>
          <w:rFonts w:hint="eastAsia"/>
          <w:color w:val="auto"/>
          <w:sz w:val="24"/>
          <w:highlight w:val="none"/>
        </w:rPr>
      </w:pPr>
      <w:r>
        <w:rPr>
          <w:rFonts w:hint="eastAsia" w:ascii="宋体" w:hAnsi="宋体" w:cs="宋体"/>
          <w:b/>
          <w:color w:val="auto"/>
          <w:kern w:val="0"/>
          <w:sz w:val="24"/>
          <w:highlight w:val="none"/>
        </w:rPr>
        <w:t>注：</w:t>
      </w:r>
      <w:r>
        <w:rPr>
          <w:rFonts w:hint="eastAsia" w:ascii="宋体" w:hAnsi="宋体" w:cs="宋体"/>
          <w:b/>
          <w:color w:val="auto"/>
          <w:sz w:val="24"/>
          <w:highlight w:val="none"/>
        </w:rPr>
        <w:t>1、</w:t>
      </w:r>
      <w:r>
        <w:rPr>
          <w:color w:val="auto"/>
          <w:sz w:val="24"/>
          <w:highlight w:val="none"/>
        </w:rPr>
        <w:t>从业人员、营业收入、资产总额填报上一年度数据，无上一年度数据的新成立企业可不填报。</w:t>
      </w:r>
    </w:p>
    <w:p>
      <w:pPr>
        <w:jc w:val="left"/>
        <w:rPr>
          <w:rFonts w:hint="eastAsia"/>
          <w:color w:val="auto"/>
          <w:sz w:val="24"/>
          <w:highlight w:val="none"/>
        </w:rPr>
      </w:pPr>
    </w:p>
    <w:p>
      <w:pPr>
        <w:jc w:val="center"/>
        <w:rPr>
          <w:rFonts w:hint="eastAsia" w:ascii="宋体" w:hAnsi="宋体" w:cs="宋体"/>
          <w:b/>
          <w:color w:val="auto"/>
          <w:kern w:val="1"/>
          <w:sz w:val="36"/>
          <w:highlight w:val="none"/>
        </w:rPr>
      </w:pPr>
    </w:p>
    <w:p>
      <w:pPr>
        <w:jc w:val="center"/>
        <w:rPr>
          <w:rFonts w:hint="eastAsia" w:ascii="宋体" w:hAnsi="宋体" w:cs="宋体"/>
          <w:b/>
          <w:color w:val="auto"/>
          <w:kern w:val="1"/>
          <w:sz w:val="36"/>
          <w:highlight w:val="none"/>
        </w:rPr>
      </w:pPr>
    </w:p>
    <w:p>
      <w:pPr>
        <w:jc w:val="center"/>
        <w:rPr>
          <w:rFonts w:hint="eastAsia" w:ascii="宋体" w:hAnsi="宋体" w:cs="宋体"/>
          <w:b/>
          <w:color w:val="auto"/>
          <w:kern w:val="1"/>
          <w:sz w:val="36"/>
          <w:highlight w:val="none"/>
          <w:lang w:val="zh-CN"/>
        </w:rPr>
      </w:pPr>
    </w:p>
    <w:p>
      <w:pPr>
        <w:jc w:val="center"/>
        <w:rPr>
          <w:rFonts w:hint="eastAsia" w:ascii="宋体" w:hAnsi="宋体" w:cs="宋体"/>
          <w:b/>
          <w:color w:val="auto"/>
          <w:kern w:val="1"/>
          <w:sz w:val="36"/>
          <w:highlight w:val="none"/>
          <w:lang w:val="zh-CN"/>
        </w:rPr>
      </w:pPr>
      <w:r>
        <w:rPr>
          <w:rFonts w:hint="eastAsia" w:ascii="宋体" w:hAnsi="宋体" w:cs="宋体"/>
          <w:b/>
          <w:color w:val="auto"/>
          <w:kern w:val="1"/>
          <w:sz w:val="36"/>
          <w:highlight w:val="none"/>
          <w:lang w:val="zh-CN"/>
        </w:rPr>
        <w:t>（二）监狱企业证明文件</w:t>
      </w:r>
    </w:p>
    <w:p>
      <w:pPr>
        <w:snapToGrid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（如不符合请填“无”）</w:t>
      </w:r>
    </w:p>
    <w:p>
      <w:pPr>
        <w:pStyle w:val="2"/>
        <w:rPr>
          <w:color w:val="auto"/>
          <w:highlight w:val="none"/>
          <w:lang w:val="zh-CN"/>
        </w:rPr>
      </w:pPr>
    </w:p>
    <w:p>
      <w:pPr>
        <w:adjustRightInd w:val="0"/>
        <w:snapToGrid w:val="0"/>
        <w:spacing w:line="360" w:lineRule="auto"/>
        <w:ind w:firstLine="240" w:firstLineChars="100"/>
        <w:jc w:val="center"/>
        <w:rPr>
          <w:rFonts w:ascii="宋体" w:hAnsi="宋体" w:cs="Lucida Sans Unicode"/>
          <w:color w:val="auto"/>
          <w:sz w:val="28"/>
          <w:szCs w:val="28"/>
          <w:highlight w:val="none"/>
        </w:rPr>
      </w:pPr>
      <w:r>
        <w:rPr>
          <w:rFonts w:hint="eastAsia" w:ascii="宋体" w:hAnsi="宋体"/>
          <w:color w:val="auto"/>
          <w:sz w:val="24"/>
          <w:highlight w:val="none"/>
        </w:rPr>
        <w:t>（由省级以上监狱管理局、戒毒管理局（含新疆生产建设兵团）出具的属于监狱企业的证明文件</w:t>
      </w:r>
      <w:r>
        <w:rPr>
          <w:rFonts w:hint="eastAsia" w:ascii="宋体" w:hAnsi="宋体" w:cs="宋体"/>
          <w:color w:val="auto"/>
          <w:sz w:val="24"/>
          <w:highlight w:val="none"/>
        </w:rPr>
        <w:t>复印件加盖公章</w:t>
      </w:r>
      <w:r>
        <w:rPr>
          <w:rFonts w:hint="eastAsia" w:ascii="宋体" w:hAnsi="宋体"/>
          <w:color w:val="auto"/>
          <w:sz w:val="24"/>
          <w:highlight w:val="none"/>
        </w:rPr>
        <w:t>）</w:t>
      </w:r>
    </w:p>
    <w:p>
      <w:pPr>
        <w:jc w:val="center"/>
        <w:rPr>
          <w:rFonts w:ascii="宋体" w:hAnsi="宋体" w:cs="宋体"/>
          <w:b/>
          <w:color w:val="auto"/>
          <w:kern w:val="1"/>
          <w:sz w:val="36"/>
          <w:highlight w:val="none"/>
          <w:lang w:val="zh-CN"/>
        </w:rPr>
      </w:pPr>
      <w:r>
        <w:rPr>
          <w:rFonts w:ascii="宋体" w:hAnsi="宋体" w:cs="宋体"/>
          <w:b/>
          <w:color w:val="auto"/>
          <w:kern w:val="1"/>
          <w:sz w:val="36"/>
          <w:highlight w:val="none"/>
          <w:lang w:val="zh-CN"/>
        </w:rPr>
        <w:br w:type="page"/>
      </w:r>
      <w:r>
        <w:rPr>
          <w:rFonts w:hint="eastAsia" w:ascii="宋体" w:hAnsi="宋体" w:cs="宋体"/>
          <w:b/>
          <w:color w:val="auto"/>
          <w:kern w:val="1"/>
          <w:sz w:val="36"/>
          <w:highlight w:val="none"/>
          <w:lang w:val="zh-CN"/>
        </w:rPr>
        <w:t>（三）残疾人福利性单位声明函</w:t>
      </w:r>
    </w:p>
    <w:p>
      <w:pPr>
        <w:snapToGrid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（如不符合请填“无”）</w:t>
      </w:r>
    </w:p>
    <w:p>
      <w:pPr>
        <w:jc w:val="center"/>
        <w:rPr>
          <w:rFonts w:ascii="宋体" w:hAnsi="宋体" w:cs="宋体"/>
          <w:b/>
          <w:color w:val="auto"/>
          <w:kern w:val="1"/>
          <w:sz w:val="36"/>
          <w:highlight w:val="none"/>
          <w:lang w:val="zh-CN"/>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单位的</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480" w:lineRule="auto"/>
        <w:ind w:firstLine="405"/>
        <w:rPr>
          <w:rFonts w:ascii="宋体" w:hAnsi="宋体" w:cs="宋体"/>
          <w:color w:val="auto"/>
          <w:kern w:val="1"/>
          <w:sz w:val="24"/>
          <w:highlight w:val="none"/>
        </w:rPr>
      </w:pPr>
    </w:p>
    <w:p>
      <w:pPr>
        <w:spacing w:line="480" w:lineRule="auto"/>
        <w:ind w:firstLine="405"/>
        <w:rPr>
          <w:rFonts w:ascii="宋体" w:hAnsi="宋体" w:cs="宋体"/>
          <w:color w:val="auto"/>
          <w:kern w:val="1"/>
          <w:sz w:val="24"/>
          <w:highlight w:val="none"/>
        </w:rPr>
      </w:pPr>
    </w:p>
    <w:p>
      <w:pPr>
        <w:spacing w:line="480" w:lineRule="auto"/>
        <w:ind w:right="480" w:firstLine="405"/>
        <w:jc w:val="center"/>
        <w:rPr>
          <w:rFonts w:ascii="宋体" w:hAnsi="宋体" w:cs="宋体"/>
          <w:color w:val="auto"/>
          <w:kern w:val="1"/>
          <w:sz w:val="24"/>
          <w:highlight w:val="none"/>
        </w:rPr>
      </w:pPr>
      <w:r>
        <w:rPr>
          <w:rFonts w:hint="eastAsia" w:ascii="宋体" w:hAnsi="宋体" w:cs="宋体"/>
          <w:color w:val="auto"/>
          <w:kern w:val="1"/>
          <w:sz w:val="24"/>
          <w:highlight w:val="none"/>
        </w:rPr>
        <w:t xml:space="preserve">           单位名称（盖章）：</w:t>
      </w:r>
    </w:p>
    <w:p>
      <w:pPr>
        <w:spacing w:line="480" w:lineRule="auto"/>
        <w:ind w:right="480" w:firstLine="405"/>
        <w:jc w:val="center"/>
        <w:rPr>
          <w:rFonts w:ascii="宋体" w:hAnsi="宋体" w:cs="宋体"/>
          <w:color w:val="auto"/>
          <w:kern w:val="1"/>
          <w:sz w:val="24"/>
          <w:highlight w:val="none"/>
        </w:rPr>
      </w:pPr>
      <w:r>
        <w:rPr>
          <w:rFonts w:hint="eastAsia" w:ascii="宋体" w:hAnsi="宋体" w:cs="宋体"/>
          <w:color w:val="auto"/>
          <w:kern w:val="1"/>
          <w:sz w:val="24"/>
          <w:highlight w:val="none"/>
        </w:rPr>
        <w:t>日期：</w:t>
      </w:r>
    </w:p>
    <w:p>
      <w:pPr>
        <w:spacing w:line="480" w:lineRule="auto"/>
        <w:ind w:firstLine="405"/>
        <w:rPr>
          <w:rFonts w:ascii="宋体" w:hAnsi="宋体" w:cs="宋体"/>
          <w:color w:val="auto"/>
          <w:kern w:val="1"/>
          <w:sz w:val="24"/>
          <w:highlight w:val="none"/>
        </w:rPr>
      </w:pPr>
    </w:p>
    <w:p>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注：1.中标、成交供应商为残疾人福利性单位且评审中享受了残疾人福利性单位相关政府采购支持政策的，其《残疾人福利性单位声明函》将在中标、中选公示中公告，接受社会监督。</w:t>
      </w:r>
    </w:p>
    <w:p>
      <w:pPr>
        <w:numPr>
          <w:ilvl w:val="0"/>
          <w:numId w:val="21"/>
        </w:num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供应商提供的《残疾人福利性单位声明函》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numPr>
          <w:ilvl w:val="0"/>
          <w:numId w:val="0"/>
        </w:numPr>
        <w:rPr>
          <w:color w:val="auto"/>
          <w:highlight w:val="none"/>
        </w:rPr>
      </w:pPr>
      <w:r>
        <w:rPr>
          <w:color w:val="auto"/>
          <w:highlight w:val="none"/>
        </w:rPr>
        <w:br w:type="page"/>
      </w:r>
    </w:p>
    <w:p>
      <w:pPr>
        <w:pStyle w:val="46"/>
        <w:spacing w:line="360" w:lineRule="auto"/>
        <w:jc w:val="center"/>
        <w:rPr>
          <w:rFonts w:hint="default" w:ascii="宋体" w:hAnsi="宋体" w:eastAsia="宋体" w:cs="宋体"/>
          <w:b/>
          <w:bCs w:val="0"/>
          <w:color w:val="auto"/>
          <w:kern w:val="1"/>
          <w:sz w:val="36"/>
          <w:szCs w:val="36"/>
          <w:highlight w:val="none"/>
          <w:lang w:val="en-US" w:eastAsia="zh-CN"/>
        </w:rPr>
      </w:pPr>
      <w:r>
        <w:rPr>
          <w:rFonts w:hint="eastAsia" w:ascii="宋体" w:hAnsi="宋体" w:eastAsia="宋体" w:cs="宋体"/>
          <w:b/>
          <w:color w:val="auto"/>
          <w:kern w:val="1"/>
          <w:sz w:val="36"/>
          <w:szCs w:val="36"/>
          <w:highlight w:val="none"/>
          <w:lang w:val="en-US" w:eastAsia="zh-CN" w:bidi="ar-SA"/>
        </w:rPr>
        <w:t>13.进口产品代理商须提供制造商合法有效授权复印件加盖公章（进口设备需提供，国产设备无需提供授权)</w:t>
      </w:r>
    </w:p>
    <w:p>
      <w:pPr>
        <w:rPr>
          <w:rFonts w:hint="eastAsia" w:hAnsi="宋体"/>
          <w:b/>
          <w:bCs/>
          <w:color w:val="auto"/>
          <w:sz w:val="36"/>
          <w:szCs w:val="24"/>
          <w:highlight w:val="none"/>
          <w:lang w:val="en-US" w:eastAsia="zh-CN"/>
        </w:rPr>
      </w:pPr>
      <w:r>
        <w:rPr>
          <w:rFonts w:hint="eastAsia" w:hAnsi="宋体"/>
          <w:b/>
          <w:bCs/>
          <w:color w:val="auto"/>
          <w:sz w:val="36"/>
          <w:szCs w:val="24"/>
          <w:highlight w:val="none"/>
          <w:lang w:val="en-US" w:eastAsia="zh-CN"/>
        </w:rPr>
        <w:br w:type="page"/>
      </w:r>
    </w:p>
    <w:p>
      <w:pPr>
        <w:pStyle w:val="46"/>
        <w:spacing w:line="360" w:lineRule="auto"/>
        <w:jc w:val="center"/>
        <w:rPr>
          <w:rFonts w:hint="eastAsia" w:hAnsi="宋体"/>
          <w:b/>
          <w:bCs/>
          <w:color w:val="auto"/>
          <w:sz w:val="36"/>
          <w:szCs w:val="24"/>
          <w:highlight w:val="none"/>
        </w:rPr>
      </w:pPr>
      <w:r>
        <w:rPr>
          <w:rFonts w:hint="eastAsia" w:hAnsi="宋体"/>
          <w:b/>
          <w:bCs/>
          <w:color w:val="auto"/>
          <w:sz w:val="36"/>
          <w:szCs w:val="24"/>
          <w:highlight w:val="none"/>
          <w:lang w:val="en-US" w:eastAsia="zh-CN"/>
        </w:rPr>
        <w:t>七</w:t>
      </w:r>
      <w:r>
        <w:rPr>
          <w:rFonts w:hint="eastAsia" w:hAnsi="宋体"/>
          <w:b/>
          <w:bCs/>
          <w:color w:val="auto"/>
          <w:sz w:val="36"/>
          <w:szCs w:val="24"/>
          <w:highlight w:val="none"/>
        </w:rPr>
        <w:t>、磋商证金汇款凭证及开户行基本存款账户证明材料的复印件（如开户许可证等）</w:t>
      </w:r>
    </w:p>
    <w:p>
      <w:pPr>
        <w:pStyle w:val="46"/>
        <w:spacing w:line="360" w:lineRule="auto"/>
        <w:jc w:val="center"/>
        <w:rPr>
          <w:rFonts w:hint="eastAsia" w:hAnsi="宋体"/>
          <w:b/>
          <w:bCs/>
          <w:color w:val="auto"/>
          <w:sz w:val="36"/>
          <w:szCs w:val="24"/>
          <w:highlight w:val="none"/>
        </w:rPr>
      </w:pPr>
    </w:p>
    <w:p>
      <w:pPr>
        <w:rPr>
          <w:rFonts w:hint="eastAsia" w:hAnsi="宋体" w:cs="宋体"/>
          <w:b/>
          <w:color w:val="auto"/>
          <w:sz w:val="36"/>
          <w:szCs w:val="24"/>
          <w:highlight w:val="none"/>
          <w:lang w:val="en-US" w:eastAsia="zh-CN"/>
        </w:rPr>
      </w:pPr>
      <w:bookmarkStart w:id="103" w:name="_Toc13648"/>
      <w:r>
        <w:rPr>
          <w:rFonts w:hint="eastAsia" w:hAnsi="宋体" w:cs="宋体"/>
          <w:b/>
          <w:color w:val="auto"/>
          <w:sz w:val="36"/>
          <w:szCs w:val="24"/>
          <w:highlight w:val="none"/>
          <w:lang w:val="en-US" w:eastAsia="zh-CN"/>
        </w:rPr>
        <w:br w:type="page"/>
      </w:r>
    </w:p>
    <w:p>
      <w:pPr>
        <w:pStyle w:val="46"/>
        <w:snapToGrid w:val="0"/>
        <w:spacing w:line="360" w:lineRule="auto"/>
        <w:jc w:val="center"/>
        <w:outlineLvl w:val="1"/>
        <w:rPr>
          <w:rFonts w:hint="eastAsia" w:hAnsi="宋体" w:eastAsia="宋体" w:cs="宋体"/>
          <w:b/>
          <w:color w:val="auto"/>
          <w:kern w:val="0"/>
          <w:sz w:val="36"/>
          <w:szCs w:val="24"/>
          <w:highlight w:val="none"/>
          <w:lang w:eastAsia="zh-CN"/>
        </w:rPr>
      </w:pPr>
      <w:r>
        <w:rPr>
          <w:rFonts w:hint="eastAsia" w:hAnsi="宋体" w:cs="宋体"/>
          <w:b/>
          <w:color w:val="auto"/>
          <w:kern w:val="0"/>
          <w:sz w:val="36"/>
          <w:highlight w:val="none"/>
          <w:lang w:val="en-US" w:eastAsia="zh-CN"/>
        </w:rPr>
        <w:t>八</w:t>
      </w:r>
      <w:r>
        <w:rPr>
          <w:rFonts w:hint="eastAsia" w:hAnsi="宋体" w:cs="宋体"/>
          <w:b/>
          <w:color w:val="auto"/>
          <w:kern w:val="0"/>
          <w:sz w:val="36"/>
          <w:highlight w:val="none"/>
          <w:lang w:eastAsia="zh-CN"/>
        </w:rPr>
        <w:t>、</w:t>
      </w:r>
      <w:r>
        <w:rPr>
          <w:rFonts w:hint="eastAsia" w:hAnsi="宋体" w:cs="宋体"/>
          <w:b/>
          <w:color w:val="auto"/>
          <w:kern w:val="0"/>
          <w:sz w:val="36"/>
          <w:szCs w:val="24"/>
          <w:highlight w:val="none"/>
        </w:rPr>
        <w:t>提交预付款和履约担保承诺书</w:t>
      </w:r>
    </w:p>
    <w:p>
      <w:pPr>
        <w:widowControl/>
        <w:jc w:val="center"/>
        <w:rPr>
          <w:rFonts w:ascii="宋体" w:hAnsi="宋体" w:cs="宋体"/>
          <w:color w:val="auto"/>
          <w:kern w:val="0"/>
          <w:sz w:val="24"/>
          <w:highlight w:val="none"/>
        </w:rPr>
      </w:pPr>
      <w:r>
        <w:rPr>
          <w:rFonts w:hint="eastAsia" w:hAnsi="宋体" w:cs="宋体"/>
          <w:color w:val="auto"/>
          <w:kern w:val="0"/>
          <w:sz w:val="24"/>
          <w:highlight w:val="none"/>
        </w:rPr>
        <w:t>（</w:t>
      </w:r>
      <w:r>
        <w:rPr>
          <w:rFonts w:hint="eastAsia" w:hAnsi="宋体" w:cs="宋体"/>
          <w:color w:val="auto"/>
          <w:kern w:val="0"/>
          <w:sz w:val="24"/>
          <w:highlight w:val="none"/>
          <w:lang w:val="en-US" w:eastAsia="zh-CN"/>
        </w:rPr>
        <w:t>本项目不适用</w:t>
      </w:r>
      <w:r>
        <w:rPr>
          <w:rFonts w:hint="eastAsia" w:hAnsi="宋体" w:cs="宋体"/>
          <w:color w:val="auto"/>
          <w:kern w:val="0"/>
          <w:sz w:val="24"/>
          <w:highlight w:val="none"/>
        </w:rPr>
        <w:t>）</w:t>
      </w:r>
    </w:p>
    <w:p>
      <w:pPr>
        <w:snapToGrid w:val="0"/>
        <w:spacing w:line="360" w:lineRule="auto"/>
        <w:ind w:firstLine="480"/>
        <w:rPr>
          <w:rFonts w:ascii="宋体" w:hAnsi="宋体" w:cs="宋体"/>
          <w:color w:val="auto"/>
          <w:kern w:val="0"/>
          <w:sz w:val="24"/>
          <w:szCs w:val="21"/>
          <w:highlight w:val="none"/>
        </w:rPr>
      </w:pPr>
    </w:p>
    <w:p>
      <w:pPr>
        <w:snapToGrid w:val="0"/>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lang w:val="zh-CN"/>
        </w:rPr>
        <w:t>致：</w:t>
      </w:r>
    </w:p>
    <w:p>
      <w:pPr>
        <w:snapToGrid w:val="0"/>
        <w:spacing w:line="360" w:lineRule="auto"/>
        <w:ind w:firstLine="48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我在贵单位招标活动中，做出如下郑重承诺：</w:t>
      </w:r>
    </w:p>
    <w:p>
      <w:pPr>
        <w:snapToGrid w:val="0"/>
        <w:spacing w:line="360" w:lineRule="auto"/>
        <w:ind w:firstLine="48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如果我单位有幸中标，在与贵单位签订合同前，保证出具招标文件要求的预付款保函和履约保函。如届时不提供，贵单位可取消我单位的中标资格，并没收投标保证金。</w:t>
      </w:r>
    </w:p>
    <w:p>
      <w:pPr>
        <w:snapToGrid w:val="0"/>
        <w:spacing w:line="360" w:lineRule="auto"/>
        <w:ind w:firstLine="480"/>
        <w:rPr>
          <w:rFonts w:ascii="宋体" w:hAnsi="宋体" w:cs="宋体"/>
          <w:color w:val="auto"/>
          <w:kern w:val="0"/>
          <w:sz w:val="24"/>
          <w:szCs w:val="21"/>
          <w:highlight w:val="none"/>
          <w:lang w:val="zh-CN"/>
        </w:rPr>
      </w:pPr>
    </w:p>
    <w:p>
      <w:pPr>
        <w:snapToGrid w:val="0"/>
        <w:spacing w:line="360" w:lineRule="auto"/>
        <w:ind w:firstLine="48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承诺单位</w:t>
      </w:r>
      <w:r>
        <w:rPr>
          <w:rFonts w:ascii="宋体" w:hAnsi="宋体" w:cs="宋体"/>
          <w:color w:val="auto"/>
          <w:kern w:val="0"/>
          <w:sz w:val="24"/>
          <w:szCs w:val="21"/>
          <w:highlight w:val="none"/>
          <w:lang w:val="zh-CN"/>
        </w:rPr>
        <w:t>(供应商)：(公章)</w:t>
      </w:r>
    </w:p>
    <w:p>
      <w:pPr>
        <w:snapToGrid w:val="0"/>
        <w:spacing w:line="360" w:lineRule="auto"/>
        <w:ind w:firstLine="480"/>
        <w:rPr>
          <w:rFonts w:ascii="宋体" w:hAnsi="宋体" w:cs="宋体"/>
          <w:color w:val="auto"/>
          <w:kern w:val="0"/>
          <w:sz w:val="24"/>
          <w:szCs w:val="21"/>
          <w:highlight w:val="none"/>
          <w:lang w:val="zh-CN"/>
        </w:rPr>
      </w:pPr>
    </w:p>
    <w:p>
      <w:pPr>
        <w:snapToGrid w:val="0"/>
        <w:spacing w:line="360" w:lineRule="auto"/>
        <w:ind w:firstLine="48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法定代表人或授权委托代理人：</w:t>
      </w:r>
      <w:r>
        <w:rPr>
          <w:rFonts w:ascii="宋体" w:hAnsi="宋体" w:cs="宋体"/>
          <w:color w:val="auto"/>
          <w:kern w:val="0"/>
          <w:sz w:val="24"/>
          <w:szCs w:val="21"/>
          <w:highlight w:val="none"/>
          <w:lang w:val="zh-CN"/>
        </w:rPr>
        <w:t>(签章)</w:t>
      </w:r>
    </w:p>
    <w:p>
      <w:pPr>
        <w:snapToGrid w:val="0"/>
        <w:spacing w:line="360" w:lineRule="auto"/>
        <w:ind w:firstLine="480"/>
        <w:rPr>
          <w:rFonts w:ascii="宋体" w:hAnsi="宋体" w:cs="宋体"/>
          <w:color w:val="auto"/>
          <w:kern w:val="0"/>
          <w:sz w:val="24"/>
          <w:szCs w:val="21"/>
          <w:highlight w:val="none"/>
          <w:lang w:val="zh-CN"/>
        </w:rPr>
      </w:pPr>
    </w:p>
    <w:p>
      <w:pPr>
        <w:snapToGrid w:val="0"/>
        <w:spacing w:line="360" w:lineRule="auto"/>
        <w:ind w:firstLine="48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年</w:t>
      </w:r>
      <w:r>
        <w:rPr>
          <w:rFonts w:ascii="宋体" w:hAnsi="宋体" w:cs="宋体"/>
          <w:color w:val="auto"/>
          <w:kern w:val="0"/>
          <w:sz w:val="24"/>
          <w:szCs w:val="21"/>
          <w:highlight w:val="none"/>
          <w:lang w:val="zh-CN"/>
        </w:rPr>
        <w:t xml:space="preserve">    </w:t>
      </w:r>
      <w:r>
        <w:rPr>
          <w:rFonts w:hint="eastAsia" w:ascii="宋体" w:hAnsi="宋体" w:cs="宋体"/>
          <w:color w:val="auto"/>
          <w:kern w:val="0"/>
          <w:sz w:val="24"/>
          <w:szCs w:val="21"/>
          <w:highlight w:val="none"/>
          <w:lang w:val="zh-CN"/>
        </w:rPr>
        <w:t>月</w:t>
      </w:r>
      <w:r>
        <w:rPr>
          <w:rFonts w:ascii="宋体" w:hAnsi="宋体" w:cs="宋体"/>
          <w:color w:val="auto"/>
          <w:kern w:val="0"/>
          <w:sz w:val="24"/>
          <w:szCs w:val="21"/>
          <w:highlight w:val="none"/>
          <w:lang w:val="zh-CN"/>
        </w:rPr>
        <w:t xml:space="preserve">    </w:t>
      </w:r>
      <w:r>
        <w:rPr>
          <w:rFonts w:hint="eastAsia" w:ascii="宋体" w:hAnsi="宋体" w:cs="宋体"/>
          <w:color w:val="auto"/>
          <w:kern w:val="0"/>
          <w:sz w:val="24"/>
          <w:szCs w:val="21"/>
          <w:highlight w:val="none"/>
          <w:lang w:val="zh-CN"/>
        </w:rPr>
        <w:t>日</w:t>
      </w:r>
    </w:p>
    <w:p>
      <w:pPr>
        <w:snapToGrid w:val="0"/>
        <w:spacing w:line="360" w:lineRule="auto"/>
        <w:ind w:firstLine="480"/>
        <w:rPr>
          <w:rFonts w:ascii="宋体" w:hAnsi="宋体" w:cs="宋体"/>
          <w:color w:val="auto"/>
          <w:kern w:val="0"/>
          <w:sz w:val="24"/>
          <w:szCs w:val="21"/>
          <w:highlight w:val="none"/>
          <w:lang w:val="zh-CN"/>
        </w:rPr>
      </w:pPr>
    </w:p>
    <w:p>
      <w:pPr>
        <w:snapToGrid w:val="0"/>
        <w:spacing w:line="360" w:lineRule="auto"/>
        <w:ind w:firstLine="482"/>
        <w:rPr>
          <w:rFonts w:hint="eastAsia" w:hAnsi="宋体" w:eastAsia="宋体" w:cs="宋体"/>
          <w:b/>
          <w:color w:val="auto"/>
          <w:kern w:val="0"/>
          <w:sz w:val="36"/>
          <w:highlight w:val="none"/>
          <w:lang w:eastAsia="zh-CN"/>
        </w:rPr>
      </w:pPr>
      <w:r>
        <w:rPr>
          <w:rFonts w:hint="eastAsia" w:ascii="宋体" w:hAnsi="宋体" w:cs="宋体"/>
          <w:b/>
          <w:color w:val="auto"/>
          <w:kern w:val="0"/>
          <w:sz w:val="24"/>
          <w:highlight w:val="none"/>
        </w:rPr>
        <w:t>注：本文件应按规定签署，否则投标文件无效。</w:t>
      </w:r>
    </w:p>
    <w:p>
      <w:pPr>
        <w:rPr>
          <w:rFonts w:hint="eastAsia" w:hAnsi="宋体" w:cs="宋体"/>
          <w:b/>
          <w:color w:val="auto"/>
          <w:sz w:val="36"/>
          <w:szCs w:val="24"/>
          <w:highlight w:val="none"/>
          <w:lang w:val="en-US" w:eastAsia="zh-CN"/>
        </w:rPr>
      </w:pPr>
      <w:r>
        <w:rPr>
          <w:rFonts w:hint="eastAsia" w:hAnsi="宋体" w:cs="宋体"/>
          <w:b/>
          <w:color w:val="auto"/>
          <w:sz w:val="36"/>
          <w:szCs w:val="24"/>
          <w:highlight w:val="none"/>
          <w:lang w:val="en-US" w:eastAsia="zh-CN"/>
        </w:rPr>
        <w:br w:type="page"/>
      </w:r>
    </w:p>
    <w:p>
      <w:pPr>
        <w:pStyle w:val="46"/>
        <w:snapToGrid w:val="0"/>
        <w:spacing w:line="360" w:lineRule="auto"/>
        <w:jc w:val="center"/>
        <w:outlineLvl w:val="1"/>
        <w:rPr>
          <w:rFonts w:hAnsi="宋体" w:cs="宋体"/>
          <w:color w:val="auto"/>
          <w:sz w:val="36"/>
          <w:szCs w:val="36"/>
          <w:highlight w:val="none"/>
        </w:rPr>
      </w:pPr>
      <w:r>
        <w:rPr>
          <w:rFonts w:hint="eastAsia" w:hAnsi="宋体" w:cs="宋体"/>
          <w:b/>
          <w:color w:val="auto"/>
          <w:sz w:val="36"/>
          <w:szCs w:val="24"/>
          <w:highlight w:val="none"/>
          <w:u w:val="none"/>
          <w:lang w:val="en-US" w:eastAsia="zh-CN"/>
        </w:rPr>
        <w:t>九、</w:t>
      </w:r>
      <w:r>
        <w:rPr>
          <w:rFonts w:hint="eastAsia" w:hAnsi="宋体" w:cs="宋体"/>
          <w:b/>
          <w:color w:val="auto"/>
          <w:sz w:val="36"/>
          <w:szCs w:val="24"/>
          <w:highlight w:val="none"/>
        </w:rPr>
        <w:t>供货安装方案</w:t>
      </w:r>
      <w:bookmarkEnd w:id="103"/>
    </w:p>
    <w:p>
      <w:pPr>
        <w:pStyle w:val="46"/>
        <w:snapToGrid w:val="0"/>
        <w:spacing w:line="360" w:lineRule="auto"/>
        <w:jc w:val="center"/>
        <w:rPr>
          <w:rFonts w:hAnsi="宋体" w:cs="宋体"/>
          <w:b/>
          <w:bCs/>
          <w:color w:val="auto"/>
          <w:sz w:val="36"/>
          <w:szCs w:val="24"/>
          <w:highlight w:val="none"/>
        </w:rPr>
      </w:pPr>
      <w:r>
        <w:rPr>
          <w:rFonts w:hint="eastAsia" w:hAnsi="宋体" w:cs="宋体"/>
          <w:color w:val="auto"/>
          <w:sz w:val="36"/>
          <w:szCs w:val="36"/>
          <w:highlight w:val="none"/>
        </w:rPr>
        <w:t>（格式自拟）</w:t>
      </w:r>
    </w:p>
    <w:p>
      <w:pPr>
        <w:pStyle w:val="46"/>
        <w:snapToGrid w:val="0"/>
        <w:spacing w:line="360" w:lineRule="auto"/>
        <w:ind w:firstLine="723"/>
        <w:jc w:val="center"/>
        <w:rPr>
          <w:rFonts w:hAnsi="宋体" w:cs="宋体"/>
          <w:b/>
          <w:bCs/>
          <w:color w:val="auto"/>
          <w:sz w:val="36"/>
          <w:szCs w:val="24"/>
          <w:highlight w:val="none"/>
        </w:rPr>
      </w:pPr>
    </w:p>
    <w:p>
      <w:pPr>
        <w:pStyle w:val="46"/>
        <w:snapToGrid w:val="0"/>
        <w:spacing w:line="360" w:lineRule="auto"/>
        <w:jc w:val="center"/>
        <w:outlineLvl w:val="1"/>
        <w:rPr>
          <w:rFonts w:hAnsi="宋体" w:cs="宋体"/>
          <w:color w:val="auto"/>
          <w:sz w:val="36"/>
          <w:szCs w:val="36"/>
          <w:highlight w:val="none"/>
        </w:rPr>
      </w:pPr>
      <w:bookmarkStart w:id="104" w:name="_Toc12738"/>
      <w:r>
        <w:rPr>
          <w:rFonts w:hint="eastAsia" w:hAnsi="宋体" w:cs="宋体"/>
          <w:b/>
          <w:bCs/>
          <w:color w:val="auto"/>
          <w:sz w:val="36"/>
          <w:szCs w:val="24"/>
          <w:highlight w:val="none"/>
        </w:rPr>
        <w:t>十</w:t>
      </w:r>
      <w:r>
        <w:rPr>
          <w:rFonts w:hint="eastAsia" w:hAnsi="宋体" w:cs="宋体"/>
          <w:b/>
          <w:color w:val="auto"/>
          <w:sz w:val="36"/>
          <w:szCs w:val="24"/>
          <w:highlight w:val="none"/>
        </w:rPr>
        <w:t>、技术培训方案</w:t>
      </w:r>
      <w:bookmarkEnd w:id="104"/>
    </w:p>
    <w:p>
      <w:pPr>
        <w:pStyle w:val="46"/>
        <w:snapToGrid w:val="0"/>
        <w:spacing w:line="360" w:lineRule="auto"/>
        <w:jc w:val="center"/>
        <w:rPr>
          <w:rFonts w:hAnsi="宋体" w:cs="宋体"/>
          <w:b/>
          <w:bCs/>
          <w:color w:val="auto"/>
          <w:sz w:val="36"/>
          <w:szCs w:val="24"/>
          <w:highlight w:val="none"/>
        </w:rPr>
      </w:pPr>
      <w:r>
        <w:rPr>
          <w:rFonts w:hint="eastAsia" w:hAnsi="宋体" w:cs="宋体"/>
          <w:color w:val="auto"/>
          <w:sz w:val="36"/>
          <w:szCs w:val="36"/>
          <w:highlight w:val="none"/>
        </w:rPr>
        <w:t>（格式自拟）</w:t>
      </w:r>
    </w:p>
    <w:p>
      <w:pPr>
        <w:pStyle w:val="46"/>
        <w:snapToGrid w:val="0"/>
        <w:spacing w:line="360" w:lineRule="auto"/>
        <w:ind w:firstLine="723"/>
        <w:jc w:val="center"/>
        <w:rPr>
          <w:rFonts w:hAnsi="宋体" w:cs="宋体"/>
          <w:b/>
          <w:bCs/>
          <w:color w:val="auto"/>
          <w:sz w:val="36"/>
          <w:szCs w:val="24"/>
          <w:highlight w:val="none"/>
        </w:rPr>
      </w:pPr>
    </w:p>
    <w:p>
      <w:pPr>
        <w:pStyle w:val="46"/>
        <w:snapToGrid w:val="0"/>
        <w:spacing w:line="360" w:lineRule="auto"/>
        <w:jc w:val="center"/>
        <w:rPr>
          <w:rFonts w:hAnsi="宋体" w:cs="宋体"/>
          <w:b/>
          <w:bCs/>
          <w:color w:val="auto"/>
          <w:sz w:val="36"/>
          <w:szCs w:val="24"/>
          <w:highlight w:val="none"/>
        </w:rPr>
      </w:pPr>
      <w:r>
        <w:rPr>
          <w:rFonts w:hint="eastAsia" w:hAnsi="宋体" w:cs="宋体"/>
          <w:b/>
          <w:bCs/>
          <w:color w:val="auto"/>
          <w:sz w:val="36"/>
          <w:szCs w:val="24"/>
          <w:highlight w:val="none"/>
        </w:rPr>
        <w:t>十</w:t>
      </w:r>
      <w:r>
        <w:rPr>
          <w:rFonts w:hint="eastAsia" w:hAnsi="宋体" w:cs="宋体"/>
          <w:b/>
          <w:bCs/>
          <w:color w:val="auto"/>
          <w:sz w:val="36"/>
          <w:szCs w:val="24"/>
          <w:highlight w:val="none"/>
          <w:lang w:val="en-US" w:eastAsia="zh-CN"/>
        </w:rPr>
        <w:t>一</w:t>
      </w:r>
      <w:r>
        <w:rPr>
          <w:rFonts w:hint="eastAsia" w:hAnsi="宋体" w:cs="宋体"/>
          <w:b/>
          <w:bCs/>
          <w:color w:val="auto"/>
          <w:sz w:val="36"/>
          <w:szCs w:val="24"/>
          <w:highlight w:val="none"/>
        </w:rPr>
        <w:t>、售后服务方案</w:t>
      </w:r>
    </w:p>
    <w:p>
      <w:pPr>
        <w:pStyle w:val="46"/>
        <w:snapToGrid w:val="0"/>
        <w:spacing w:line="360" w:lineRule="auto"/>
        <w:jc w:val="center"/>
        <w:rPr>
          <w:rFonts w:hAnsi="宋体" w:cs="宋体"/>
          <w:color w:val="auto"/>
          <w:sz w:val="36"/>
          <w:szCs w:val="36"/>
          <w:highlight w:val="none"/>
        </w:rPr>
      </w:pPr>
      <w:r>
        <w:rPr>
          <w:rFonts w:hint="eastAsia" w:hAnsi="宋体" w:cs="宋体"/>
          <w:color w:val="auto"/>
          <w:sz w:val="36"/>
          <w:szCs w:val="36"/>
          <w:highlight w:val="none"/>
        </w:rPr>
        <w:t>（格式自拟）</w:t>
      </w:r>
    </w:p>
    <w:p>
      <w:pPr>
        <w:pStyle w:val="46"/>
        <w:snapToGrid w:val="0"/>
        <w:spacing w:line="360" w:lineRule="auto"/>
        <w:jc w:val="center"/>
        <w:rPr>
          <w:rFonts w:hAnsi="宋体" w:cs="宋体"/>
          <w:color w:val="auto"/>
          <w:sz w:val="36"/>
          <w:szCs w:val="36"/>
          <w:highlight w:val="none"/>
        </w:rPr>
      </w:pPr>
    </w:p>
    <w:p>
      <w:pPr>
        <w:pStyle w:val="46"/>
        <w:snapToGrid w:val="0"/>
        <w:spacing w:line="360" w:lineRule="auto"/>
        <w:jc w:val="center"/>
        <w:rPr>
          <w:rFonts w:hAnsi="宋体" w:cs="宋体"/>
          <w:b/>
          <w:bCs/>
          <w:color w:val="auto"/>
          <w:sz w:val="36"/>
          <w:szCs w:val="24"/>
          <w:highlight w:val="none"/>
        </w:rPr>
      </w:pPr>
      <w:r>
        <w:rPr>
          <w:rFonts w:hint="eastAsia" w:ascii="Times New Roman" w:hAnsi="Times New Roman"/>
          <w:b/>
          <w:bCs/>
          <w:color w:val="auto"/>
          <w:sz w:val="36"/>
          <w:szCs w:val="24"/>
          <w:highlight w:val="none"/>
        </w:rPr>
        <w:t>十</w:t>
      </w:r>
      <w:r>
        <w:rPr>
          <w:rFonts w:hint="eastAsia" w:hAnsi="宋体" w:cs="宋体"/>
          <w:b/>
          <w:bCs/>
          <w:color w:val="auto"/>
          <w:sz w:val="36"/>
          <w:szCs w:val="24"/>
          <w:highlight w:val="none"/>
          <w:lang w:val="en-US" w:eastAsia="zh-CN"/>
        </w:rPr>
        <w:t>二</w:t>
      </w:r>
      <w:r>
        <w:rPr>
          <w:rFonts w:hint="eastAsia" w:hAnsi="宋体" w:cs="宋体"/>
          <w:b/>
          <w:bCs/>
          <w:color w:val="auto"/>
          <w:sz w:val="36"/>
          <w:szCs w:val="24"/>
          <w:highlight w:val="none"/>
        </w:rPr>
        <w:t>、疫情应急预案</w:t>
      </w:r>
    </w:p>
    <w:p>
      <w:pPr>
        <w:pStyle w:val="46"/>
        <w:snapToGrid w:val="0"/>
        <w:spacing w:line="360" w:lineRule="auto"/>
        <w:jc w:val="center"/>
        <w:rPr>
          <w:rFonts w:hAnsi="宋体" w:cs="宋体"/>
          <w:color w:val="auto"/>
          <w:sz w:val="36"/>
          <w:szCs w:val="36"/>
          <w:highlight w:val="none"/>
        </w:rPr>
      </w:pPr>
      <w:r>
        <w:rPr>
          <w:rFonts w:hint="eastAsia" w:hAnsi="宋体" w:cs="宋体"/>
          <w:color w:val="auto"/>
          <w:sz w:val="36"/>
          <w:szCs w:val="36"/>
          <w:highlight w:val="none"/>
        </w:rPr>
        <w:t>（格式自拟）</w:t>
      </w:r>
    </w:p>
    <w:p>
      <w:pPr>
        <w:pStyle w:val="46"/>
        <w:snapToGrid w:val="0"/>
        <w:spacing w:line="360" w:lineRule="auto"/>
        <w:jc w:val="center"/>
        <w:rPr>
          <w:rFonts w:hAnsi="宋体" w:cs="宋体"/>
          <w:color w:val="auto"/>
          <w:sz w:val="36"/>
          <w:szCs w:val="36"/>
          <w:highlight w:val="none"/>
        </w:rPr>
      </w:pPr>
    </w:p>
    <w:p>
      <w:pPr>
        <w:pStyle w:val="46"/>
        <w:snapToGrid w:val="0"/>
        <w:spacing w:line="360" w:lineRule="auto"/>
        <w:jc w:val="center"/>
        <w:rPr>
          <w:rFonts w:hAnsi="宋体" w:cs="宋体"/>
          <w:b/>
          <w:bCs/>
          <w:color w:val="auto"/>
          <w:sz w:val="36"/>
          <w:szCs w:val="24"/>
          <w:highlight w:val="none"/>
        </w:rPr>
      </w:pPr>
      <w:r>
        <w:rPr>
          <w:rFonts w:hint="eastAsia" w:ascii="Times New Roman" w:hAnsi="Times New Roman"/>
          <w:b/>
          <w:bCs/>
          <w:color w:val="auto"/>
          <w:sz w:val="36"/>
          <w:szCs w:val="24"/>
          <w:highlight w:val="none"/>
        </w:rPr>
        <w:t>十</w:t>
      </w:r>
      <w:r>
        <w:rPr>
          <w:rFonts w:hint="eastAsia" w:ascii="Times New Roman" w:hAnsi="Times New Roman"/>
          <w:b/>
          <w:bCs/>
          <w:color w:val="auto"/>
          <w:sz w:val="36"/>
          <w:szCs w:val="24"/>
          <w:highlight w:val="none"/>
          <w:lang w:val="en-US" w:eastAsia="zh-CN"/>
        </w:rPr>
        <w:t>三</w:t>
      </w:r>
      <w:r>
        <w:rPr>
          <w:rFonts w:hint="eastAsia" w:hAnsi="宋体" w:cs="宋体"/>
          <w:b/>
          <w:bCs/>
          <w:color w:val="auto"/>
          <w:sz w:val="36"/>
          <w:szCs w:val="24"/>
          <w:highlight w:val="none"/>
        </w:rPr>
        <w:t>、质保期承诺</w:t>
      </w:r>
    </w:p>
    <w:p>
      <w:pPr>
        <w:pStyle w:val="46"/>
        <w:snapToGrid w:val="0"/>
        <w:spacing w:line="360" w:lineRule="auto"/>
        <w:jc w:val="center"/>
        <w:rPr>
          <w:rFonts w:hAnsi="宋体" w:cs="宋体"/>
          <w:b/>
          <w:bCs/>
          <w:color w:val="auto"/>
          <w:sz w:val="36"/>
          <w:szCs w:val="24"/>
          <w:highlight w:val="none"/>
        </w:rPr>
      </w:pPr>
      <w:r>
        <w:rPr>
          <w:rFonts w:hint="eastAsia" w:hAnsi="宋体" w:cs="宋体"/>
          <w:color w:val="auto"/>
          <w:sz w:val="36"/>
          <w:szCs w:val="36"/>
          <w:highlight w:val="none"/>
        </w:rPr>
        <w:t>（格式自拟）</w:t>
      </w:r>
    </w:p>
    <w:p>
      <w:pPr>
        <w:pStyle w:val="46"/>
        <w:spacing w:line="360" w:lineRule="auto"/>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rPr>
        <w:br w:type="page"/>
      </w:r>
    </w:p>
    <w:p>
      <w:pPr>
        <w:pStyle w:val="46"/>
        <w:spacing w:line="360" w:lineRule="auto"/>
        <w:ind w:firstLine="723" w:firstLineChars="200"/>
        <w:jc w:val="center"/>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rPr>
        <w:t>十</w:t>
      </w:r>
      <w:r>
        <w:rPr>
          <w:rFonts w:hint="eastAsia" w:ascii="Times New Roman" w:hAnsi="Times New Roman"/>
          <w:b/>
          <w:bCs/>
          <w:color w:val="auto"/>
          <w:sz w:val="36"/>
          <w:szCs w:val="24"/>
          <w:highlight w:val="none"/>
          <w:lang w:val="en-US" w:eastAsia="zh-CN"/>
        </w:rPr>
        <w:t>四</w:t>
      </w:r>
      <w:r>
        <w:rPr>
          <w:rFonts w:ascii="Times New Roman" w:hAnsi="Times New Roman"/>
          <w:b/>
          <w:bCs/>
          <w:color w:val="auto"/>
          <w:sz w:val="36"/>
          <w:szCs w:val="24"/>
          <w:highlight w:val="none"/>
        </w:rPr>
        <w:t>、</w:t>
      </w:r>
      <w:r>
        <w:rPr>
          <w:rFonts w:hint="eastAsia" w:ascii="Times New Roman" w:hAnsi="Times New Roman"/>
          <w:b/>
          <w:bCs/>
          <w:color w:val="auto"/>
          <w:sz w:val="36"/>
          <w:szCs w:val="24"/>
          <w:highlight w:val="none"/>
        </w:rPr>
        <w:t>供应商近三年（2019年1月1日至响应文件截止时间）类似项目业绩</w:t>
      </w:r>
    </w:p>
    <w:p>
      <w:pPr>
        <w:pStyle w:val="46"/>
        <w:numPr>
          <w:ilvl w:val="-1"/>
          <w:numId w:val="0"/>
        </w:numPr>
        <w:tabs>
          <w:tab w:val="left" w:pos="7770"/>
        </w:tabs>
        <w:spacing w:line="360" w:lineRule="auto"/>
        <w:jc w:val="left"/>
        <w:rPr>
          <w:rFonts w:hint="eastAsia"/>
          <w:color w:val="auto"/>
          <w:sz w:val="24"/>
          <w:szCs w:val="24"/>
          <w:highlight w:val="none"/>
        </w:rPr>
      </w:pPr>
      <w:r>
        <w:rPr>
          <w:rFonts w:hint="eastAsia"/>
          <w:color w:val="auto"/>
          <w:sz w:val="24"/>
          <w:szCs w:val="24"/>
          <w:highlight w:val="none"/>
        </w:rPr>
        <w:t>注：1.业绩以投标文件中所附合同复印件和验收报告（尚未验收的可提供加盖用户公章的情况说明或中标通知书）为准，两者缺一不可。提供的证明材料均不得遮挡涂黑，否则不予认定加分。</w:t>
      </w:r>
    </w:p>
    <w:p>
      <w:pPr>
        <w:pStyle w:val="46"/>
        <w:numPr>
          <w:ilvl w:val="-1"/>
          <w:numId w:val="0"/>
        </w:numPr>
        <w:tabs>
          <w:tab w:val="left" w:pos="7770"/>
        </w:tabs>
        <w:spacing w:line="360" w:lineRule="auto"/>
        <w:jc w:val="left"/>
        <w:rPr>
          <w:rFonts w:hint="eastAsia"/>
          <w:color w:val="auto"/>
          <w:sz w:val="24"/>
          <w:szCs w:val="24"/>
          <w:highlight w:val="none"/>
        </w:rPr>
      </w:pPr>
      <w:r>
        <w:rPr>
          <w:rFonts w:hint="eastAsia"/>
          <w:color w:val="auto"/>
          <w:sz w:val="24"/>
          <w:szCs w:val="24"/>
          <w:highlight w:val="none"/>
        </w:rPr>
        <w:t>2.类似业绩指“至少包含：</w:t>
      </w:r>
      <w:r>
        <w:rPr>
          <w:rFonts w:hint="eastAsia"/>
          <w:color w:val="auto"/>
          <w:sz w:val="24"/>
          <w:szCs w:val="24"/>
          <w:highlight w:val="none"/>
          <w:lang w:eastAsia="zh-CN"/>
        </w:rPr>
        <w:t>超高速视频级原子力显微镜</w:t>
      </w:r>
      <w:r>
        <w:rPr>
          <w:rFonts w:hint="eastAsia"/>
          <w:color w:val="auto"/>
          <w:sz w:val="24"/>
          <w:szCs w:val="24"/>
          <w:highlight w:val="none"/>
        </w:rPr>
        <w:t xml:space="preserve"> ”，业绩须提供相关的合同关键页(含签订合同双方的单位名称、合同项目名称、合同金额、签订合同双方的落款盖章、签订日期的关键页、合同清单)复印件加盖公章，业绩时间以合同签订时间为准），验收报告或用户说明需包含设备名称、（拟）验收时间及用户盖章。</w:t>
      </w:r>
      <w:r>
        <w:rPr>
          <w:rFonts w:hint="eastAsia" w:hAnsi="宋体" w:cs="宋体"/>
          <w:color w:val="auto"/>
          <w:sz w:val="24"/>
          <w:szCs w:val="24"/>
          <w:highlight w:val="none"/>
        </w:rPr>
        <w:t>。</w:t>
      </w:r>
    </w:p>
    <w:p>
      <w:pPr>
        <w:pStyle w:val="46"/>
        <w:spacing w:line="360" w:lineRule="auto"/>
        <w:jc w:val="center"/>
        <w:rPr>
          <w:rFonts w:hint="eastAsia" w:ascii="Times New Roman" w:hAnsi="Times New Roman"/>
          <w:b/>
          <w:bCs/>
          <w:color w:val="auto"/>
          <w:sz w:val="36"/>
          <w:szCs w:val="24"/>
          <w:highlight w:val="none"/>
        </w:rPr>
      </w:pPr>
    </w:p>
    <w:p>
      <w:pPr>
        <w:pStyle w:val="46"/>
        <w:spacing w:line="360" w:lineRule="auto"/>
        <w:jc w:val="center"/>
        <w:rPr>
          <w:rFonts w:hint="eastAsia" w:ascii="Times New Roman" w:hAnsi="Times New Roman"/>
          <w:b/>
          <w:bCs/>
          <w:color w:val="auto"/>
          <w:sz w:val="36"/>
          <w:szCs w:val="24"/>
          <w:highlight w:val="none"/>
        </w:rPr>
      </w:pPr>
    </w:p>
    <w:p>
      <w:pPr>
        <w:pStyle w:val="46"/>
        <w:spacing w:line="360" w:lineRule="auto"/>
        <w:jc w:val="center"/>
        <w:rPr>
          <w:rFonts w:hint="eastAsia" w:ascii="Times New Roman" w:hAnsi="Times New Roman"/>
          <w:b/>
          <w:bCs/>
          <w:color w:val="auto"/>
          <w:sz w:val="36"/>
          <w:szCs w:val="24"/>
          <w:highlight w:val="none"/>
        </w:rPr>
      </w:pPr>
    </w:p>
    <w:p>
      <w:pPr>
        <w:pStyle w:val="46"/>
        <w:spacing w:line="360" w:lineRule="auto"/>
        <w:jc w:val="center"/>
        <w:rPr>
          <w:rFonts w:hint="eastAsia" w:ascii="Times New Roman" w:hAnsi="Times New Roman"/>
          <w:b/>
          <w:bCs/>
          <w:color w:val="auto"/>
          <w:sz w:val="36"/>
          <w:szCs w:val="24"/>
          <w:highlight w:val="none"/>
        </w:rPr>
      </w:pPr>
    </w:p>
    <w:p>
      <w:pPr>
        <w:pStyle w:val="46"/>
        <w:spacing w:line="360" w:lineRule="auto"/>
        <w:jc w:val="center"/>
        <w:rPr>
          <w:rFonts w:hint="eastAsia" w:ascii="Times New Roman" w:hAnsi="Times New Roman"/>
          <w:b/>
          <w:bCs/>
          <w:color w:val="auto"/>
          <w:sz w:val="36"/>
          <w:szCs w:val="24"/>
          <w:highlight w:val="none"/>
        </w:rPr>
      </w:pPr>
      <w:r>
        <w:rPr>
          <w:rFonts w:hint="eastAsia" w:ascii="Times New Roman" w:hAnsi="Times New Roman"/>
          <w:b/>
          <w:bCs/>
          <w:color w:val="auto"/>
          <w:sz w:val="36"/>
          <w:szCs w:val="24"/>
          <w:highlight w:val="none"/>
        </w:rPr>
        <w:br w:type="page"/>
      </w:r>
      <w:r>
        <w:rPr>
          <w:rFonts w:hint="eastAsia" w:ascii="Times New Roman" w:hAnsi="Times New Roman"/>
          <w:b/>
          <w:bCs/>
          <w:color w:val="auto"/>
          <w:sz w:val="36"/>
          <w:szCs w:val="24"/>
          <w:highlight w:val="none"/>
        </w:rPr>
        <w:t>十</w:t>
      </w:r>
      <w:r>
        <w:rPr>
          <w:rFonts w:hint="eastAsia" w:ascii="Times New Roman" w:hAnsi="Times New Roman"/>
          <w:b/>
          <w:bCs/>
          <w:color w:val="auto"/>
          <w:sz w:val="36"/>
          <w:szCs w:val="24"/>
          <w:highlight w:val="none"/>
          <w:lang w:val="en-US" w:eastAsia="zh-CN"/>
        </w:rPr>
        <w:t>五</w:t>
      </w:r>
      <w:r>
        <w:rPr>
          <w:rFonts w:hint="eastAsia" w:ascii="Times New Roman" w:hAnsi="Times New Roman"/>
          <w:b/>
          <w:bCs/>
          <w:color w:val="auto"/>
          <w:sz w:val="36"/>
          <w:szCs w:val="24"/>
          <w:highlight w:val="none"/>
        </w:rPr>
        <w:t>、供应商需提交的其他文件</w:t>
      </w:r>
    </w:p>
    <w:p>
      <w:pPr>
        <w:pStyle w:val="46"/>
        <w:spacing w:line="360" w:lineRule="auto"/>
        <w:jc w:val="center"/>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1.供应商简介(含组织机构、职工人数、技术装备能力等)；</w:t>
      </w:r>
    </w:p>
    <w:p>
      <w:pPr>
        <w:pStyle w:val="46"/>
        <w:spacing w:line="360" w:lineRule="auto"/>
        <w:jc w:val="center"/>
        <w:rPr>
          <w:rFonts w:hint="eastAsia" w:ascii="Times New Roman" w:hAnsi="Times New Roman" w:eastAsia="宋体"/>
          <w:bCs/>
          <w:color w:val="auto"/>
          <w:sz w:val="36"/>
          <w:szCs w:val="24"/>
          <w:highlight w:val="none"/>
          <w:lang w:eastAsia="zh-CN"/>
        </w:rPr>
      </w:pPr>
      <w:r>
        <w:rPr>
          <w:rFonts w:hint="eastAsia" w:ascii="Times New Roman" w:hAnsi="Times New Roman"/>
          <w:bCs/>
          <w:color w:val="auto"/>
          <w:sz w:val="24"/>
          <w:szCs w:val="24"/>
          <w:highlight w:val="none"/>
        </w:rPr>
        <w:t>2.</w:t>
      </w:r>
      <w:r>
        <w:rPr>
          <w:rFonts w:hint="eastAsia" w:hAnsi="宋体" w:cs="宋体"/>
          <w:color w:val="auto"/>
          <w:sz w:val="24"/>
          <w:szCs w:val="24"/>
          <w:highlight w:val="none"/>
        </w:rPr>
        <w:t>近五年内企业信誉列表及有效证明（复印件加盖公章）</w:t>
      </w:r>
    </w:p>
    <w:p>
      <w:pPr>
        <w:pStyle w:val="46"/>
        <w:spacing w:line="360" w:lineRule="auto"/>
        <w:rPr>
          <w:rFonts w:hint="eastAsia" w:ascii="Times New Roman" w:hAnsi="Times New Roman"/>
          <w:b/>
          <w:bCs/>
          <w:color w:val="auto"/>
          <w:sz w:val="36"/>
          <w:szCs w:val="24"/>
          <w:highlight w:val="none"/>
        </w:rPr>
      </w:pPr>
    </w:p>
    <w:p>
      <w:pPr>
        <w:pStyle w:val="46"/>
        <w:spacing w:line="360" w:lineRule="auto"/>
        <w:rPr>
          <w:rFonts w:hint="eastAsia" w:ascii="Times New Roman" w:hAnsi="Times New Roman"/>
          <w:b/>
          <w:bCs/>
          <w:color w:val="auto"/>
          <w:sz w:val="36"/>
          <w:szCs w:val="24"/>
          <w:highlight w:val="none"/>
        </w:rPr>
      </w:pPr>
    </w:p>
    <w:p>
      <w:pPr>
        <w:pStyle w:val="46"/>
        <w:spacing w:line="360" w:lineRule="auto"/>
        <w:rPr>
          <w:rFonts w:hint="eastAsia" w:ascii="Times New Roman" w:hAnsi="Times New Roman"/>
          <w:b/>
          <w:bCs/>
          <w:color w:val="auto"/>
          <w:sz w:val="36"/>
          <w:szCs w:val="24"/>
          <w:highlight w:val="none"/>
        </w:rPr>
      </w:pPr>
    </w:p>
    <w:p>
      <w:pPr>
        <w:pStyle w:val="46"/>
        <w:spacing w:line="360" w:lineRule="auto"/>
        <w:rPr>
          <w:rFonts w:hint="eastAsia" w:ascii="Times New Roman" w:hAnsi="Times New Roman"/>
          <w:b/>
          <w:bCs/>
          <w:color w:val="auto"/>
          <w:sz w:val="36"/>
          <w:szCs w:val="24"/>
          <w:highlight w:val="none"/>
        </w:rPr>
      </w:pPr>
    </w:p>
    <w:p>
      <w:pPr>
        <w:pStyle w:val="46"/>
        <w:spacing w:line="360" w:lineRule="auto"/>
        <w:jc w:val="center"/>
        <w:rPr>
          <w:rFonts w:ascii="Times New Roman" w:hAnsi="Times New Roman"/>
          <w:b/>
          <w:bCs/>
          <w:color w:val="auto"/>
          <w:sz w:val="36"/>
          <w:szCs w:val="24"/>
          <w:highlight w:val="none"/>
        </w:rPr>
      </w:pPr>
      <w:r>
        <w:rPr>
          <w:rFonts w:hint="eastAsia" w:ascii="Times New Roman" w:hAnsi="Times New Roman"/>
          <w:b/>
          <w:bCs/>
          <w:color w:val="auto"/>
          <w:sz w:val="36"/>
          <w:szCs w:val="24"/>
          <w:highlight w:val="none"/>
        </w:rPr>
        <w:t>十</w:t>
      </w:r>
      <w:r>
        <w:rPr>
          <w:rFonts w:hint="eastAsia" w:ascii="Times New Roman" w:hAnsi="Times New Roman"/>
          <w:b/>
          <w:bCs/>
          <w:color w:val="auto"/>
          <w:sz w:val="36"/>
          <w:szCs w:val="24"/>
          <w:highlight w:val="none"/>
          <w:lang w:val="en-US" w:eastAsia="zh-CN"/>
        </w:rPr>
        <w:t>六</w:t>
      </w:r>
      <w:r>
        <w:rPr>
          <w:rFonts w:ascii="Times New Roman" w:hAnsi="Times New Roman"/>
          <w:b/>
          <w:bCs/>
          <w:color w:val="auto"/>
          <w:sz w:val="36"/>
          <w:szCs w:val="24"/>
          <w:highlight w:val="none"/>
        </w:rPr>
        <w:t>、供应商需说明的其他问题</w:t>
      </w:r>
    </w:p>
    <w:p>
      <w:pPr>
        <w:pStyle w:val="46"/>
        <w:spacing w:line="360" w:lineRule="auto"/>
        <w:ind w:firstLine="420"/>
        <w:rPr>
          <w:rFonts w:hint="eastAsia"/>
          <w:color w:val="auto"/>
          <w:sz w:val="24"/>
          <w:highlight w:val="none"/>
        </w:rPr>
      </w:pPr>
      <w:r>
        <w:rPr>
          <w:color w:val="auto"/>
          <w:sz w:val="24"/>
          <w:highlight w:val="none"/>
        </w:rPr>
        <w:t>供应商可提出补充建议或说明，提出比磋商文件的要求更合理的建议方案，同时应说明对技术条件、价格、运行、维护、检修、安装等方面的影响。</w:t>
      </w:r>
      <w:bookmarkStart w:id="105" w:name="_Toc358488509"/>
      <w:bookmarkStart w:id="106" w:name="_Toc455145779"/>
    </w:p>
    <w:p>
      <w:pPr>
        <w:adjustRightInd w:val="0"/>
        <w:snapToGrid w:val="0"/>
        <w:spacing w:line="360" w:lineRule="auto"/>
        <w:rPr>
          <w:rFonts w:ascii="宋体" w:hAnsi="宋体" w:cs="宋体"/>
          <w:color w:val="auto"/>
          <w:sz w:val="24"/>
          <w:highlight w:val="none"/>
        </w:rPr>
        <w:sectPr>
          <w:pgSz w:w="11907" w:h="16840"/>
          <w:pgMar w:top="963" w:right="992" w:bottom="1440" w:left="1276" w:header="568" w:footer="992" w:gutter="0"/>
          <w:cols w:space="720" w:num="1"/>
          <w:docGrid w:linePitch="312" w:charSpace="0"/>
        </w:sectPr>
      </w:pPr>
    </w:p>
    <w:p>
      <w:pPr>
        <w:spacing w:line="312" w:lineRule="auto"/>
        <w:jc w:val="center"/>
        <w:rPr>
          <w:rFonts w:ascii="宋体" w:hAnsi="宋体"/>
          <w:b/>
          <w:bCs/>
          <w:color w:val="auto"/>
          <w:sz w:val="28"/>
          <w:szCs w:val="28"/>
          <w:highlight w:val="none"/>
        </w:rPr>
      </w:pPr>
      <w:r>
        <w:rPr>
          <w:rFonts w:hint="eastAsia" w:ascii="宋体" w:hAnsi="宋体"/>
          <w:b/>
          <w:bCs/>
          <w:color w:val="auto"/>
          <w:sz w:val="28"/>
          <w:szCs w:val="28"/>
          <w:highlight w:val="none"/>
          <w:lang w:val="en-US" w:eastAsia="zh-CN"/>
        </w:rPr>
        <w:t>1-1</w:t>
      </w:r>
      <w:r>
        <w:rPr>
          <w:rFonts w:hint="eastAsia" w:ascii="宋体" w:hAnsi="宋体"/>
          <w:b/>
          <w:bCs/>
          <w:color w:val="auto"/>
          <w:sz w:val="28"/>
          <w:szCs w:val="28"/>
          <w:highlight w:val="none"/>
        </w:rPr>
        <w:t>供应商</w:t>
      </w:r>
      <w:r>
        <w:rPr>
          <w:rFonts w:hint="eastAsia" w:ascii="宋体" w:hAnsi="宋体"/>
          <w:b/>
          <w:bCs/>
          <w:color w:val="auto"/>
          <w:sz w:val="28"/>
          <w:szCs w:val="28"/>
          <w:highlight w:val="none"/>
          <w:lang w:val="en-US" w:eastAsia="zh-CN"/>
        </w:rPr>
        <w:t>资格</w:t>
      </w:r>
      <w:r>
        <w:rPr>
          <w:rFonts w:hint="eastAsia" w:ascii="宋体" w:hAnsi="宋体"/>
          <w:b/>
          <w:bCs/>
          <w:color w:val="auto"/>
          <w:sz w:val="28"/>
          <w:szCs w:val="28"/>
          <w:highlight w:val="none"/>
        </w:rPr>
        <w:t>性审查表</w:t>
      </w:r>
    </w:p>
    <w:tbl>
      <w:tblPr>
        <w:tblStyle w:val="89"/>
        <w:tblW w:w="144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639"/>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2"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639"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资格</w:t>
            </w:r>
            <w:r>
              <w:rPr>
                <w:rFonts w:hint="eastAsia" w:ascii="宋体" w:hAnsi="宋体" w:cs="宋体"/>
                <w:b/>
                <w:color w:val="auto"/>
                <w:sz w:val="22"/>
                <w:szCs w:val="22"/>
                <w:highlight w:val="none"/>
              </w:rPr>
              <w:t>性评审内容</w:t>
            </w:r>
          </w:p>
        </w:tc>
        <w:tc>
          <w:tcPr>
            <w:tcW w:w="3969"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4"/>
                <w:highlight w:val="none"/>
              </w:rPr>
            </w:pPr>
            <w:r>
              <w:rPr>
                <w:rFonts w:hint="eastAsia" w:ascii="宋体" w:hAnsi="宋体" w:cs="Times New Roman"/>
                <w:b/>
                <w:bCs/>
                <w:color w:val="auto"/>
                <w:sz w:val="24"/>
                <w:highlight w:val="none"/>
              </w:rPr>
              <w:t>供应商名称及审查意见</w:t>
            </w:r>
          </w:p>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Times New Roman"/>
                <w:color w:val="auto"/>
                <w:sz w:val="24"/>
                <w:highlight w:val="none"/>
              </w:rPr>
              <w:t>“√”表示通过，“╳”表示不通过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963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1</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按要求提供合法有效的营业执照(或事业单位法人证书)</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2</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提供2021年度经过审计的财务会计报告或2022年基本存款账户开户银行出具的资信证明及基本存款账户开户证明材料</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3</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提供履行合同所必须的设备和专业技术能力的证明</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4</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提供开标时间前六个月内任一个月的依法缴纳税收的缴款凭据证明材料</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5</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提供开标前六个月内任一个月的依法缴纳社会保障资金的缴款凭据证明材料</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6</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提供按给定格式填写并签章诚信投标声明函</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7</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非联合体投标</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8</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eastAsia" w:ascii="Times New Roman" w:hAnsi="Times New Roman" w:cs="Times New Roman"/>
                <w:b w:val="0"/>
                <w:bCs w:val="0"/>
                <w:color w:val="auto"/>
                <w:highlight w:val="none"/>
              </w:rPr>
              <w:t>截至磋商日，经“信用中国”网站（www.creditchina.gov.cn）、 “中国政府采购网”网站（www.ccgp.gov.cn）查询，供应商未被列入失信被执行人、重大税收违法案件当事人名单、政府采购严重违法失信行为记录名单的</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9</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eastAsia" w:ascii="Times New Roman" w:hAnsi="Times New Roman" w:eastAsia="宋体" w:cs="Times New Roman"/>
                <w:b w:val="0"/>
                <w:bCs w:val="0"/>
                <w:color w:val="auto"/>
                <w:highlight w:val="none"/>
              </w:rPr>
            </w:pPr>
            <w:r>
              <w:rPr>
                <w:rStyle w:val="94"/>
                <w:rFonts w:hint="default" w:ascii="Times New Roman" w:hAnsi="Times New Roman" w:eastAsia="宋体" w:cs="Times New Roman"/>
                <w:b w:val="0"/>
                <w:bCs w:val="0"/>
                <w:color w:val="auto"/>
                <w:highlight w:val="none"/>
              </w:rPr>
              <w:t>不存在单位负责人为同一人或者存在直接控股、管理关系的不同供应商参加本项目采购活动。不存在为本采购项目提供整体设计、规范编制或者项目管理、监理、检测等服务的供应商参加本项目采购活动</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10</w:t>
            </w:r>
          </w:p>
        </w:tc>
        <w:tc>
          <w:tcPr>
            <w:tcW w:w="9639" w:type="dxa"/>
            <w:noWrap w:val="0"/>
            <w:vAlign w:val="center"/>
          </w:tcPr>
          <w:p>
            <w:pPr>
              <w:keepNext w:val="0"/>
              <w:keepLines w:val="0"/>
              <w:suppressLineNumbers w:val="0"/>
              <w:adjustRightInd w:val="0"/>
              <w:snapToGrid w:val="0"/>
              <w:spacing w:before="0" w:beforeAutospacing="0" w:after="0" w:afterAutospacing="0" w:line="240" w:lineRule="auto"/>
              <w:ind w:left="0" w:right="0"/>
              <w:jc w:val="left"/>
              <w:rPr>
                <w:rStyle w:val="94"/>
                <w:rFonts w:hint="default" w:ascii="Times New Roman" w:hAnsi="Times New Roman" w:eastAsia="宋体" w:cs="Times New Roman"/>
                <w:b w:val="0"/>
                <w:bCs w:val="0"/>
                <w:color w:val="auto"/>
                <w:highlight w:val="none"/>
              </w:rPr>
            </w:pPr>
            <w:r>
              <w:rPr>
                <w:rFonts w:hint="eastAsia" w:ascii="宋体" w:hAnsi="宋体" w:cs="宋体"/>
                <w:color w:val="auto"/>
                <w:kern w:val="0"/>
                <w:sz w:val="24"/>
                <w:highlight w:val="none"/>
                <w:lang w:val="en-US" w:eastAsia="zh-CN"/>
              </w:rPr>
              <w:t>进口产品</w:t>
            </w:r>
            <w:r>
              <w:rPr>
                <w:rFonts w:hint="eastAsia" w:ascii="宋体" w:hAnsi="宋体" w:cs="宋体"/>
                <w:color w:val="auto"/>
                <w:kern w:val="0"/>
                <w:sz w:val="24"/>
                <w:highlight w:val="none"/>
              </w:rPr>
              <w:t>代理商提供制造商合法有效授权复印件加盖公章（进口设备需提供，国产设备无需提供授权）</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91" w:type="dxa"/>
            <w:gridSpan w:val="2"/>
            <w:noWrap w:val="0"/>
            <w:vAlign w:val="center"/>
          </w:tcPr>
          <w:p>
            <w:pPr>
              <w:keepNext w:val="0"/>
              <w:keepLines w:val="0"/>
              <w:suppressLineNumbers w:val="0"/>
              <w:spacing w:before="0" w:beforeAutospacing="0" w:after="0" w:afterAutospacing="0" w:line="360" w:lineRule="auto"/>
              <w:ind w:left="0" w:right="480" w:firstLine="4080" w:firstLineChars="1700"/>
              <w:rPr>
                <w:rFonts w:hint="eastAsia" w:ascii="宋体" w:hAnsi="宋体" w:cs="Times New Roman"/>
                <w:color w:val="auto"/>
                <w:sz w:val="24"/>
                <w:highlight w:val="none"/>
              </w:rPr>
            </w:pPr>
            <w:r>
              <w:rPr>
                <w:rFonts w:hint="eastAsia" w:ascii="宋体" w:hAnsi="宋体" w:cs="Times New Roman"/>
                <w:color w:val="auto"/>
                <w:sz w:val="24"/>
                <w:highlight w:val="none"/>
              </w:rPr>
              <w:t>评审结果（合格、不合格）</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60" w:type="dxa"/>
            <w:gridSpan w:val="5"/>
            <w:noWrap w:val="0"/>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highlight w:val="none"/>
              </w:rPr>
            </w:pPr>
            <w:r>
              <w:rPr>
                <w:rFonts w:hint="eastAsia" w:ascii="宋体" w:hAnsi="宋体" w:cs="Times New Roman"/>
                <w:color w:val="auto"/>
                <w:sz w:val="24"/>
                <w:highlight w:val="none"/>
              </w:rPr>
              <w:t>评委签字：                                    日期：</w:t>
            </w:r>
          </w:p>
        </w:tc>
      </w:tr>
    </w:tbl>
    <w:p>
      <w:pPr>
        <w:adjustRightInd w:val="0"/>
        <w:snapToGrid w:val="0"/>
        <w:spacing w:line="400" w:lineRule="exact"/>
        <w:jc w:val="center"/>
        <w:rPr>
          <w:rFonts w:ascii="宋体" w:hAnsi="宋体"/>
          <w:b/>
          <w:color w:val="auto"/>
          <w:kern w:val="0"/>
          <w:sz w:val="28"/>
          <w:szCs w:val="28"/>
          <w:highlight w:val="none"/>
        </w:rPr>
      </w:pPr>
    </w:p>
    <w:p>
      <w:pPr>
        <w:spacing w:line="312" w:lineRule="auto"/>
        <w:jc w:val="center"/>
        <w:rPr>
          <w:rFonts w:ascii="宋体" w:hAnsi="宋体"/>
          <w:b/>
          <w:bCs/>
          <w:color w:val="auto"/>
          <w:sz w:val="28"/>
          <w:szCs w:val="28"/>
          <w:highlight w:val="none"/>
        </w:rPr>
      </w:pPr>
      <w:r>
        <w:rPr>
          <w:rFonts w:ascii="宋体" w:hAnsi="宋体"/>
          <w:b/>
          <w:color w:val="auto"/>
          <w:kern w:val="0"/>
          <w:sz w:val="28"/>
          <w:szCs w:val="28"/>
          <w:highlight w:val="none"/>
        </w:rPr>
        <w:br w:type="page"/>
      </w:r>
      <w:r>
        <w:rPr>
          <w:rFonts w:hint="eastAsia" w:ascii="宋体" w:hAnsi="宋体"/>
          <w:b/>
          <w:color w:val="auto"/>
          <w:kern w:val="0"/>
          <w:sz w:val="28"/>
          <w:szCs w:val="28"/>
          <w:highlight w:val="none"/>
          <w:lang w:val="en-US" w:eastAsia="zh-CN"/>
        </w:rPr>
        <w:t>1-2</w:t>
      </w:r>
      <w:r>
        <w:rPr>
          <w:rFonts w:hint="eastAsia" w:ascii="宋体" w:hAnsi="宋体"/>
          <w:b/>
          <w:bCs/>
          <w:color w:val="auto"/>
          <w:sz w:val="28"/>
          <w:szCs w:val="28"/>
          <w:highlight w:val="none"/>
        </w:rPr>
        <w:t>供应商符合性审查表</w:t>
      </w:r>
    </w:p>
    <w:tbl>
      <w:tblPr>
        <w:tblStyle w:val="89"/>
        <w:tblW w:w="144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639"/>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2"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639"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符合性评审内容</w:t>
            </w:r>
          </w:p>
        </w:tc>
        <w:tc>
          <w:tcPr>
            <w:tcW w:w="3969"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4"/>
                <w:highlight w:val="none"/>
              </w:rPr>
            </w:pPr>
            <w:r>
              <w:rPr>
                <w:rFonts w:hint="eastAsia" w:ascii="宋体" w:hAnsi="宋体" w:cs="Times New Roman"/>
                <w:b/>
                <w:bCs/>
                <w:color w:val="auto"/>
                <w:sz w:val="24"/>
                <w:highlight w:val="none"/>
              </w:rPr>
              <w:t>供应商名称及审查意见</w:t>
            </w:r>
          </w:p>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r>
              <w:rPr>
                <w:rFonts w:hint="eastAsia" w:ascii="宋体" w:hAnsi="宋体" w:cs="Times New Roman"/>
                <w:color w:val="auto"/>
                <w:sz w:val="24"/>
                <w:highlight w:val="none"/>
              </w:rPr>
              <w:t>“√”表示通过，“╳”表示不通过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963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1</w:t>
            </w:r>
          </w:p>
        </w:tc>
        <w:tc>
          <w:tcPr>
            <w:tcW w:w="9639" w:type="dxa"/>
            <w:noWrap w:val="0"/>
            <w:vAlign w:val="center"/>
          </w:tcPr>
          <w:p>
            <w:pPr>
              <w:keepNext w:val="0"/>
              <w:keepLines w:val="0"/>
              <w:suppressLineNumbers w:val="0"/>
              <w:adjustRightInd w:val="0"/>
              <w:snapToGrid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磋商响应文件按磋商文件的要求经供应商法定代表人或其委托代理人签署（或盖章），加盖供应商公章。</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2</w:t>
            </w:r>
          </w:p>
        </w:tc>
        <w:tc>
          <w:tcPr>
            <w:tcW w:w="9639" w:type="dxa"/>
            <w:noWrap w:val="0"/>
            <w:vAlign w:val="center"/>
          </w:tcPr>
          <w:p>
            <w:pPr>
              <w:keepNext w:val="0"/>
              <w:keepLines w:val="0"/>
              <w:suppressLineNumbers w:val="0"/>
              <w:adjustRightInd w:val="0"/>
              <w:snapToGrid w:val="0"/>
              <w:spacing w:before="0" w:beforeAutospacing="0" w:after="0" w:afterAutospacing="0"/>
              <w:ind w:left="0" w:right="0"/>
              <w:rPr>
                <w:rStyle w:val="94"/>
                <w:rFonts w:hint="default" w:ascii="Times New Roman" w:hAnsi="Times New Roman" w:cs="Times New Roman"/>
                <w:b w:val="0"/>
                <w:color w:val="auto"/>
                <w:highlight w:val="none"/>
              </w:rPr>
            </w:pPr>
            <w:r>
              <w:rPr>
                <w:rStyle w:val="94"/>
                <w:rFonts w:hint="eastAsia" w:ascii="Times New Roman" w:hAnsi="Times New Roman" w:cs="Times New Roman"/>
                <w:b w:val="0"/>
                <w:color w:val="auto"/>
                <w:highlight w:val="none"/>
              </w:rPr>
              <w:t>磋商响应</w:t>
            </w:r>
            <w:r>
              <w:rPr>
                <w:rStyle w:val="94"/>
                <w:rFonts w:hint="default" w:ascii="Times New Roman" w:hAnsi="Times New Roman" w:cs="Times New Roman"/>
                <w:b w:val="0"/>
                <w:color w:val="auto"/>
                <w:highlight w:val="none"/>
              </w:rPr>
              <w:t>文件正本</w:t>
            </w:r>
            <w:r>
              <w:rPr>
                <w:rStyle w:val="94"/>
                <w:rFonts w:hint="eastAsia" w:ascii="Times New Roman" w:hAnsi="Times New Roman" w:cs="Times New Roman"/>
                <w:b w:val="0"/>
                <w:color w:val="auto"/>
                <w:highlight w:val="none"/>
              </w:rPr>
              <w:t>及</w:t>
            </w:r>
            <w:r>
              <w:rPr>
                <w:rStyle w:val="94"/>
                <w:rFonts w:hint="default" w:ascii="Times New Roman" w:hAnsi="Times New Roman" w:cs="Times New Roman"/>
                <w:b w:val="0"/>
                <w:color w:val="auto"/>
                <w:highlight w:val="none"/>
              </w:rPr>
              <w:t>副本数目</w:t>
            </w:r>
            <w:r>
              <w:rPr>
                <w:rStyle w:val="94"/>
                <w:rFonts w:hint="eastAsia" w:ascii="Times New Roman" w:hAnsi="Times New Roman" w:cs="Times New Roman"/>
                <w:b w:val="0"/>
                <w:color w:val="auto"/>
                <w:highlight w:val="none"/>
              </w:rPr>
              <w:t>符合磋商文件要求</w:t>
            </w:r>
            <w:r>
              <w:rPr>
                <w:rStyle w:val="94"/>
                <w:rFonts w:hint="default" w:ascii="Times New Roman" w:hAnsi="Times New Roman" w:cs="Times New Roman"/>
                <w:b w:val="0"/>
                <w:color w:val="auto"/>
                <w:highlight w:val="none"/>
              </w:rPr>
              <w:t>，重要内容</w:t>
            </w:r>
            <w:r>
              <w:rPr>
                <w:rStyle w:val="94"/>
                <w:rFonts w:hint="eastAsia" w:ascii="Times New Roman" w:hAnsi="Times New Roman" w:cs="Times New Roman"/>
                <w:b w:val="0"/>
                <w:color w:val="auto"/>
                <w:highlight w:val="none"/>
              </w:rPr>
              <w:t>及</w:t>
            </w:r>
            <w:r>
              <w:rPr>
                <w:rStyle w:val="94"/>
                <w:rFonts w:hint="default" w:ascii="Times New Roman" w:hAnsi="Times New Roman" w:cs="Times New Roman"/>
                <w:b w:val="0"/>
                <w:color w:val="auto"/>
                <w:highlight w:val="none"/>
              </w:rPr>
              <w:t>关键字迹</w:t>
            </w:r>
            <w:r>
              <w:rPr>
                <w:rStyle w:val="94"/>
                <w:rFonts w:hint="eastAsia" w:ascii="Times New Roman" w:hAnsi="Times New Roman" w:cs="Times New Roman"/>
                <w:b w:val="0"/>
                <w:color w:val="auto"/>
                <w:highlight w:val="none"/>
              </w:rPr>
              <w:t>清晰明了</w:t>
            </w:r>
            <w:r>
              <w:rPr>
                <w:rStyle w:val="94"/>
                <w:rFonts w:hint="default" w:ascii="Times New Roman" w:hAnsi="Times New Roman" w:cs="Times New Roman"/>
                <w:b w:val="0"/>
                <w:color w:val="auto"/>
                <w:highlight w:val="none"/>
              </w:rPr>
              <w:t>；</w:t>
            </w:r>
            <w:r>
              <w:rPr>
                <w:rStyle w:val="94"/>
                <w:rFonts w:hint="eastAsia" w:ascii="Times New Roman" w:hAnsi="Times New Roman" w:cs="Times New Roman"/>
                <w:b w:val="0"/>
                <w:color w:val="auto"/>
                <w:highlight w:val="none"/>
              </w:rPr>
              <w:t>磋商响应</w:t>
            </w:r>
            <w:r>
              <w:rPr>
                <w:rStyle w:val="94"/>
                <w:rFonts w:hint="default" w:ascii="Times New Roman" w:hAnsi="Times New Roman" w:cs="Times New Roman"/>
                <w:b w:val="0"/>
                <w:color w:val="auto"/>
                <w:highlight w:val="none"/>
              </w:rPr>
              <w:t>文件</w:t>
            </w:r>
            <w:r>
              <w:rPr>
                <w:rStyle w:val="94"/>
                <w:rFonts w:hint="eastAsia" w:ascii="Times New Roman" w:hAnsi="Times New Roman" w:cs="Times New Roman"/>
                <w:b w:val="0"/>
                <w:color w:val="auto"/>
                <w:highlight w:val="none"/>
              </w:rPr>
              <w:t>符合磋商文件规定的报价、合同期限、技术标准或其它实质性要求。</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3</w:t>
            </w:r>
          </w:p>
        </w:tc>
        <w:tc>
          <w:tcPr>
            <w:tcW w:w="9639" w:type="dxa"/>
            <w:noWrap w:val="0"/>
            <w:vAlign w:val="center"/>
          </w:tcPr>
          <w:p>
            <w:pPr>
              <w:keepNext w:val="0"/>
              <w:keepLines w:val="0"/>
              <w:suppressLineNumbers w:val="0"/>
              <w:adjustRightInd w:val="0"/>
              <w:snapToGrid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资格符合要求，且</w:t>
            </w:r>
            <w:r>
              <w:rPr>
                <w:rStyle w:val="94"/>
                <w:rFonts w:hint="default" w:ascii="Times New Roman" w:hAnsi="Times New Roman" w:cs="Times New Roman"/>
                <w:b w:val="0"/>
                <w:color w:val="auto"/>
                <w:highlight w:val="none"/>
              </w:rPr>
              <w:t>提供</w:t>
            </w:r>
            <w:r>
              <w:rPr>
                <w:rStyle w:val="94"/>
                <w:rFonts w:hint="eastAsia" w:ascii="Times New Roman" w:hAnsi="Times New Roman" w:cs="Times New Roman"/>
                <w:b w:val="0"/>
                <w:color w:val="auto"/>
                <w:highlight w:val="none"/>
              </w:rPr>
              <w:t>了</w:t>
            </w:r>
            <w:r>
              <w:rPr>
                <w:rStyle w:val="94"/>
                <w:rFonts w:hint="default" w:ascii="Times New Roman" w:hAnsi="Times New Roman" w:cs="Times New Roman"/>
                <w:b w:val="0"/>
                <w:color w:val="auto"/>
                <w:highlight w:val="none"/>
              </w:rPr>
              <w:t>有效的资质证明、</w:t>
            </w:r>
            <w:r>
              <w:rPr>
                <w:rStyle w:val="94"/>
                <w:rFonts w:hint="eastAsia" w:ascii="Times New Roman" w:hAnsi="Times New Roman" w:cs="Times New Roman"/>
                <w:b w:val="0"/>
                <w:color w:val="auto"/>
                <w:highlight w:val="none"/>
              </w:rPr>
              <w:t>磋商承诺书等磋商文件中已明确要求提供的资料。</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4</w:t>
            </w:r>
          </w:p>
        </w:tc>
        <w:tc>
          <w:tcPr>
            <w:tcW w:w="9639" w:type="dxa"/>
            <w:noWrap w:val="0"/>
            <w:vAlign w:val="center"/>
          </w:tcPr>
          <w:p>
            <w:pPr>
              <w:keepNext w:val="0"/>
              <w:keepLines w:val="0"/>
              <w:suppressLineNumbers w:val="0"/>
              <w:adjustRightInd w:val="0"/>
              <w:snapToGrid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供应商递交内容相同的响应文件，或一份响应文件中有多个报价但声明那个有效。响应报价未超出最高限价。</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5</w:t>
            </w:r>
          </w:p>
        </w:tc>
        <w:tc>
          <w:tcPr>
            <w:tcW w:w="9639" w:type="dxa"/>
            <w:noWrap w:val="0"/>
            <w:vAlign w:val="center"/>
          </w:tcPr>
          <w:p>
            <w:pPr>
              <w:keepNext w:val="0"/>
              <w:keepLines w:val="0"/>
              <w:suppressLineNumbers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磋商响应</w:t>
            </w:r>
            <w:r>
              <w:rPr>
                <w:rStyle w:val="94"/>
                <w:rFonts w:hint="default" w:ascii="Times New Roman" w:hAnsi="Times New Roman" w:cs="Times New Roman"/>
                <w:b w:val="0"/>
                <w:color w:val="auto"/>
                <w:highlight w:val="none"/>
              </w:rPr>
              <w:t>文件中</w:t>
            </w:r>
            <w:r>
              <w:rPr>
                <w:rStyle w:val="94"/>
                <w:rFonts w:hint="eastAsia" w:ascii="Times New Roman" w:hAnsi="Times New Roman" w:cs="Times New Roman"/>
                <w:b w:val="0"/>
                <w:color w:val="auto"/>
                <w:highlight w:val="none"/>
              </w:rPr>
              <w:t>不</w:t>
            </w:r>
            <w:r>
              <w:rPr>
                <w:rStyle w:val="94"/>
                <w:rFonts w:hint="default" w:ascii="Times New Roman" w:hAnsi="Times New Roman" w:cs="Times New Roman"/>
                <w:b w:val="0"/>
                <w:color w:val="auto"/>
                <w:highlight w:val="none"/>
              </w:rPr>
              <w:t>存在</w:t>
            </w:r>
            <w:r>
              <w:rPr>
                <w:rStyle w:val="94"/>
                <w:rFonts w:hint="eastAsia" w:ascii="Times New Roman" w:hAnsi="Times New Roman" w:cs="Times New Roman"/>
                <w:b w:val="0"/>
                <w:color w:val="auto"/>
                <w:highlight w:val="none"/>
              </w:rPr>
              <w:t>采购人</w:t>
            </w:r>
            <w:r>
              <w:rPr>
                <w:rStyle w:val="94"/>
                <w:rFonts w:hint="default" w:ascii="Times New Roman" w:hAnsi="Times New Roman" w:cs="Times New Roman"/>
                <w:b w:val="0"/>
                <w:color w:val="auto"/>
                <w:highlight w:val="none"/>
              </w:rPr>
              <w:t>不能接受的其它实质性条件</w:t>
            </w:r>
            <w:r>
              <w:rPr>
                <w:rStyle w:val="94"/>
                <w:rFonts w:hint="eastAsia" w:ascii="Times New Roman" w:hAnsi="Times New Roman" w:cs="Times New Roman"/>
                <w:b w:val="0"/>
                <w:color w:val="auto"/>
                <w:highlight w:val="none"/>
              </w:rPr>
              <w:t>，不</w:t>
            </w:r>
            <w:r>
              <w:rPr>
                <w:rStyle w:val="94"/>
                <w:rFonts w:hint="default" w:ascii="Times New Roman" w:hAnsi="Times New Roman" w:cs="Times New Roman"/>
                <w:b w:val="0"/>
                <w:color w:val="auto"/>
                <w:highlight w:val="none"/>
              </w:rPr>
              <w:t>存在其他重大偏差</w:t>
            </w:r>
            <w:r>
              <w:rPr>
                <w:rStyle w:val="94"/>
                <w:rFonts w:hint="eastAsia" w:ascii="Times New Roman" w:hAnsi="Times New Roman" w:cs="Times New Roman"/>
                <w:b w:val="0"/>
                <w:color w:val="auto"/>
                <w:highlight w:val="none"/>
              </w:rPr>
              <w:t>。</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6</w:t>
            </w:r>
          </w:p>
        </w:tc>
        <w:tc>
          <w:tcPr>
            <w:tcW w:w="9639" w:type="dxa"/>
            <w:noWrap w:val="0"/>
            <w:vAlign w:val="center"/>
          </w:tcPr>
          <w:p>
            <w:pPr>
              <w:keepNext w:val="0"/>
              <w:keepLines w:val="0"/>
              <w:suppressLineNumbers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按要求递交了磋商保证金。</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7</w:t>
            </w:r>
          </w:p>
        </w:tc>
        <w:tc>
          <w:tcPr>
            <w:tcW w:w="9639" w:type="dxa"/>
            <w:noWrap w:val="0"/>
            <w:vAlign w:val="center"/>
          </w:tcPr>
          <w:p>
            <w:pPr>
              <w:keepNext w:val="0"/>
              <w:keepLines w:val="0"/>
              <w:suppressLineNumbers w:val="0"/>
              <w:spacing w:before="0" w:beforeAutospacing="0" w:after="0" w:afterAutospacing="0"/>
              <w:ind w:left="0" w:right="0"/>
              <w:rPr>
                <w:rStyle w:val="94"/>
                <w:rFonts w:hint="eastAsia" w:ascii="Times New Roman" w:hAnsi="Times New Roman" w:cs="Times New Roman"/>
                <w:b w:val="0"/>
                <w:color w:val="auto"/>
                <w:highlight w:val="none"/>
              </w:rPr>
            </w:pPr>
            <w:r>
              <w:rPr>
                <w:rStyle w:val="94"/>
                <w:rFonts w:hint="eastAsia" w:ascii="Times New Roman" w:hAnsi="Times New Roman" w:cs="Times New Roman"/>
                <w:b w:val="0"/>
                <w:color w:val="auto"/>
                <w:highlight w:val="none"/>
              </w:rPr>
              <w:t>对“★”条款做出实质性响应，未发生负偏离。</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8</w:t>
            </w:r>
          </w:p>
        </w:tc>
        <w:tc>
          <w:tcPr>
            <w:tcW w:w="9639" w:type="dxa"/>
            <w:noWrap w:val="0"/>
            <w:vAlign w:val="center"/>
          </w:tcPr>
          <w:p>
            <w:pPr>
              <w:keepNext w:val="0"/>
              <w:keepLines w:val="0"/>
              <w:suppressLineNumbers w:val="0"/>
              <w:spacing w:before="0" w:beforeAutospacing="0" w:after="0" w:afterAutospacing="0"/>
              <w:ind w:left="0" w:right="0"/>
              <w:rPr>
                <w:rStyle w:val="94"/>
                <w:rFonts w:hint="eastAsia" w:ascii="Times New Roman" w:hAnsi="Times New Roman" w:cs="Times New Roman"/>
                <w:b w:val="0"/>
                <w:color w:val="auto"/>
                <w:highlight w:val="none"/>
              </w:rPr>
            </w:pPr>
            <w:r>
              <w:rPr>
                <w:rFonts w:hint="eastAsia" w:ascii="宋体" w:hAnsi="宋体" w:cs="Times New Roman"/>
                <w:color w:val="auto"/>
                <w:szCs w:val="21"/>
                <w:highlight w:val="none"/>
              </w:rPr>
              <w:t>磋商响应文件载明的项目供货期、质保期满足磋商文件规定的期限。</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9</w:t>
            </w:r>
          </w:p>
        </w:tc>
        <w:tc>
          <w:tcPr>
            <w:tcW w:w="9639" w:type="dxa"/>
            <w:noWrap w:val="0"/>
            <w:vAlign w:val="center"/>
          </w:tcPr>
          <w:p>
            <w:pPr>
              <w:keepNext w:val="0"/>
              <w:keepLines w:val="0"/>
              <w:suppressLineNumbers w:val="0"/>
              <w:spacing w:before="0" w:beforeAutospacing="0" w:after="0" w:afterAutospacing="0"/>
              <w:ind w:left="0" w:right="0"/>
              <w:rPr>
                <w:rStyle w:val="94"/>
                <w:rFonts w:hint="eastAsia" w:ascii="Times New Roman" w:hAnsi="Times New Roman" w:cs="Times New Roman"/>
                <w:b w:val="0"/>
                <w:color w:val="auto"/>
                <w:highlight w:val="none"/>
              </w:rPr>
            </w:pPr>
            <w:r>
              <w:rPr>
                <w:rFonts w:hint="eastAsia" w:ascii="宋体" w:hAnsi="宋体" w:cs="Times New Roman"/>
                <w:color w:val="auto"/>
                <w:szCs w:val="21"/>
                <w:highlight w:val="none"/>
              </w:rPr>
              <w:t>未发现不符合磋商文件及法律、法规规定的其它实质性要求。</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91" w:type="dxa"/>
            <w:gridSpan w:val="2"/>
            <w:noWrap w:val="0"/>
            <w:vAlign w:val="center"/>
          </w:tcPr>
          <w:p>
            <w:pPr>
              <w:keepNext w:val="0"/>
              <w:keepLines w:val="0"/>
              <w:suppressLineNumbers w:val="0"/>
              <w:spacing w:before="0" w:beforeAutospacing="0" w:after="0" w:afterAutospacing="0" w:line="360" w:lineRule="auto"/>
              <w:ind w:left="0" w:right="480" w:firstLine="4080" w:firstLineChars="1700"/>
              <w:rPr>
                <w:rFonts w:hint="eastAsia" w:ascii="宋体" w:hAnsi="宋体" w:cs="Times New Roman"/>
                <w:color w:val="auto"/>
                <w:sz w:val="24"/>
                <w:highlight w:val="none"/>
              </w:rPr>
            </w:pPr>
            <w:r>
              <w:rPr>
                <w:rFonts w:hint="eastAsia" w:ascii="宋体" w:hAnsi="宋体" w:cs="Times New Roman"/>
                <w:color w:val="auto"/>
                <w:sz w:val="24"/>
                <w:highlight w:val="none"/>
              </w:rPr>
              <w:t>评审结果（合格、不合格）</w:t>
            </w: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c>
          <w:tcPr>
            <w:tcW w:w="1323" w:type="dxa"/>
            <w:noWrap w:val="0"/>
            <w:vAlign w:val="center"/>
          </w:tcPr>
          <w:p>
            <w:pPr>
              <w:keepNext w:val="0"/>
              <w:keepLines w:val="0"/>
              <w:suppressLineNumbers w:val="0"/>
              <w:spacing w:before="0" w:beforeAutospacing="0" w:after="0" w:afterAutospacing="0" w:line="360" w:lineRule="auto"/>
              <w:ind w:left="0" w:right="0" w:firstLine="440" w:firstLineChars="200"/>
              <w:jc w:val="center"/>
              <w:rPr>
                <w:rFonts w:hint="eastAsia" w:ascii="宋体" w:hAnsi="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60" w:type="dxa"/>
            <w:gridSpan w:val="5"/>
            <w:noWrap w:val="0"/>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highlight w:val="none"/>
              </w:rPr>
            </w:pPr>
            <w:r>
              <w:rPr>
                <w:rFonts w:hint="eastAsia" w:ascii="宋体" w:hAnsi="宋体" w:cs="Times New Roman"/>
                <w:color w:val="auto"/>
                <w:sz w:val="24"/>
                <w:highlight w:val="none"/>
              </w:rPr>
              <w:t>评委签字：                                    日期：</w:t>
            </w:r>
          </w:p>
        </w:tc>
      </w:tr>
    </w:tbl>
    <w:p>
      <w:pPr>
        <w:adjustRightInd w:val="0"/>
        <w:snapToGrid w:val="0"/>
        <w:spacing w:line="400" w:lineRule="exact"/>
        <w:jc w:val="center"/>
        <w:rPr>
          <w:rFonts w:ascii="宋体" w:hAnsi="宋体"/>
          <w:b/>
          <w:color w:val="auto"/>
          <w:kern w:val="0"/>
          <w:sz w:val="28"/>
          <w:szCs w:val="28"/>
          <w:highlight w:val="none"/>
        </w:rPr>
      </w:pPr>
    </w:p>
    <w:p>
      <w:pPr>
        <w:adjustRightInd/>
        <w:snapToGrid/>
        <w:spacing w:line="240" w:lineRule="auto"/>
        <w:jc w:val="left"/>
        <w:rPr>
          <w:rFonts w:hint="eastAsia" w:ascii="宋体" w:hAnsi="宋体"/>
          <w:b/>
          <w:color w:val="auto"/>
          <w:kern w:val="0"/>
          <w:sz w:val="28"/>
          <w:szCs w:val="28"/>
          <w:highlight w:val="none"/>
        </w:rPr>
      </w:pPr>
      <w:r>
        <w:rPr>
          <w:rFonts w:hint="eastAsia" w:ascii="宋体" w:hAnsi="宋体"/>
          <w:b/>
          <w:color w:val="auto"/>
          <w:kern w:val="0"/>
          <w:sz w:val="28"/>
          <w:szCs w:val="28"/>
          <w:highlight w:val="none"/>
        </w:rPr>
        <w:br w:type="page"/>
      </w:r>
    </w:p>
    <w:p>
      <w:pPr>
        <w:adjustRightInd w:val="0"/>
        <w:snapToGrid w:val="0"/>
        <w:spacing w:line="400" w:lineRule="exact"/>
        <w:jc w:val="center"/>
        <w:rPr>
          <w:rFonts w:hint="eastAsia" w:ascii="宋体" w:hAnsi="宋体" w:cs="宋体"/>
          <w:color w:val="auto"/>
          <w:sz w:val="24"/>
          <w:highlight w:val="none"/>
        </w:rPr>
      </w:pPr>
      <w:r>
        <w:rPr>
          <w:rFonts w:hint="eastAsia" w:ascii="宋体" w:hAnsi="宋体"/>
          <w:b/>
          <w:color w:val="auto"/>
          <w:kern w:val="0"/>
          <w:sz w:val="28"/>
          <w:szCs w:val="28"/>
          <w:highlight w:val="none"/>
        </w:rPr>
        <w:t>1-</w:t>
      </w:r>
      <w:r>
        <w:rPr>
          <w:rFonts w:hint="eastAsia" w:ascii="宋体" w:hAnsi="宋体"/>
          <w:b/>
          <w:color w:val="auto"/>
          <w:kern w:val="0"/>
          <w:sz w:val="28"/>
          <w:szCs w:val="28"/>
          <w:highlight w:val="none"/>
          <w:lang w:val="en-US" w:eastAsia="zh-CN"/>
        </w:rPr>
        <w:t>3</w:t>
      </w:r>
      <w:r>
        <w:rPr>
          <w:rFonts w:hint="eastAsia" w:ascii="宋体" w:hAnsi="宋体"/>
          <w:b/>
          <w:color w:val="auto"/>
          <w:kern w:val="0"/>
          <w:sz w:val="28"/>
          <w:szCs w:val="28"/>
          <w:highlight w:val="none"/>
        </w:rPr>
        <w:t>量化评</w:t>
      </w:r>
      <w:r>
        <w:rPr>
          <w:rFonts w:hint="eastAsia" w:ascii="宋体" w:hAnsi="宋体"/>
          <w:b/>
          <w:color w:val="auto"/>
          <w:sz w:val="28"/>
          <w:szCs w:val="28"/>
          <w:highlight w:val="none"/>
        </w:rPr>
        <w:t>审表</w:t>
      </w:r>
    </w:p>
    <w:tbl>
      <w:tblPr>
        <w:tblStyle w:val="89"/>
        <w:tblW w:w="143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296"/>
        <w:gridCol w:w="735"/>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blHeader/>
        </w:trPr>
        <w:tc>
          <w:tcPr>
            <w:tcW w:w="852" w:type="dxa"/>
            <w:vMerge w:val="restart"/>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b/>
                <w:bCs/>
                <w:color w:val="auto"/>
                <w:szCs w:val="21"/>
                <w:highlight w:val="none"/>
              </w:rPr>
            </w:pPr>
            <w:r>
              <w:rPr>
                <w:rFonts w:hint="eastAsia" w:ascii="宋体" w:hAnsi="宋体" w:cs="Times New Roman"/>
                <w:b/>
                <w:bCs/>
                <w:color w:val="auto"/>
                <w:szCs w:val="21"/>
                <w:highlight w:val="none"/>
              </w:rPr>
              <w:t>项目</w:t>
            </w:r>
          </w:p>
        </w:tc>
        <w:tc>
          <w:tcPr>
            <w:tcW w:w="11296"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Cs w:val="21"/>
                <w:highlight w:val="none"/>
              </w:rPr>
            </w:pPr>
            <w:r>
              <w:rPr>
                <w:rFonts w:hint="eastAsia" w:ascii="宋体" w:hAnsi="宋体" w:cs="Times New Roman"/>
                <w:b/>
                <w:bCs/>
                <w:color w:val="auto"/>
                <w:szCs w:val="21"/>
                <w:highlight w:val="none"/>
              </w:rPr>
              <w:t>评分细则</w:t>
            </w:r>
          </w:p>
        </w:tc>
        <w:tc>
          <w:tcPr>
            <w:tcW w:w="2250"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Cs w:val="21"/>
                <w:highlight w:val="none"/>
              </w:rPr>
            </w:pPr>
            <w:r>
              <w:rPr>
                <w:rFonts w:hint="eastAsia" w:ascii="宋体" w:hAnsi="宋体" w:cs="Times New Roman"/>
                <w:b/>
                <w:bCs/>
                <w:color w:val="auto"/>
                <w:szCs w:val="21"/>
                <w:highlight w:val="none"/>
              </w:rPr>
              <w:t xml:space="preserve">供应商名称及得分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852"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b/>
                <w:bCs/>
                <w:color w:val="auto"/>
                <w:szCs w:val="21"/>
                <w:highlight w:val="none"/>
              </w:rPr>
            </w:pPr>
          </w:p>
        </w:tc>
        <w:tc>
          <w:tcPr>
            <w:tcW w:w="11296"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b/>
                <w:bCs/>
                <w:color w:val="auto"/>
                <w:szCs w:val="21"/>
                <w:highlight w:val="none"/>
              </w:rPr>
            </w:pPr>
          </w:p>
        </w:tc>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Cs w:val="21"/>
                <w:highlight w:val="none"/>
              </w:rPr>
            </w:pPr>
          </w:p>
        </w:tc>
        <w:tc>
          <w:tcPr>
            <w:tcW w:w="75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Cs w:val="21"/>
                <w:highlight w:val="none"/>
              </w:rPr>
            </w:pPr>
          </w:p>
        </w:tc>
        <w:tc>
          <w:tcPr>
            <w:tcW w:w="76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价格部分</w:t>
            </w:r>
          </w:p>
        </w:tc>
        <w:tc>
          <w:tcPr>
            <w:tcW w:w="11296" w:type="dxa"/>
            <w:noWrap w:val="0"/>
            <w:vAlign w:val="center"/>
          </w:tcPr>
          <w:p>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eastAsia" w:ascii="宋体" w:hAnsi="宋体" w:cs="Times New Roman"/>
                <w:b/>
                <w:color w:val="auto"/>
                <w:szCs w:val="21"/>
                <w:highlight w:val="none"/>
              </w:rPr>
              <w:t>磋商响应报价得分（满分30分）：</w:t>
            </w:r>
          </w:p>
          <w:p>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1.在通过符合性评审的磋商响应文件中，以经磋商后的最终价格最低的磋商响应报价为评标基准价（B），供应商报价(A)，其磋商响应报价得分=B/A*30；本项满分30分，保留2位小数。</w:t>
            </w:r>
          </w:p>
          <w:p>
            <w:pPr>
              <w:keepNext w:val="0"/>
              <w:keepLines w:val="0"/>
              <w:suppressLineNumbers w:val="0"/>
              <w:spacing w:before="0" w:beforeAutospacing="0" w:after="0" w:afterAutospacing="0" w:line="380" w:lineRule="exact"/>
              <w:ind w:left="0" w:right="0"/>
              <w:jc w:val="left"/>
              <w:rPr>
                <w:rFonts w:hint="default" w:ascii="宋体" w:hAnsi="宋体" w:cs="宋体"/>
                <w:color w:val="auto"/>
                <w:sz w:val="24"/>
                <w:highlight w:val="none"/>
              </w:rPr>
            </w:pPr>
            <w:r>
              <w:rPr>
                <w:rFonts w:hint="default" w:ascii="宋体" w:hAnsi="宋体" w:cs="宋体"/>
                <w:color w:val="auto"/>
                <w:szCs w:val="21"/>
                <w:highlight w:val="none"/>
              </w:rPr>
              <w:t>2.</w:t>
            </w:r>
            <w:r>
              <w:rPr>
                <w:rFonts w:hint="eastAsia" w:ascii="宋体" w:hAnsi="宋体" w:cs="宋体"/>
                <w:color w:val="auto"/>
                <w:szCs w:val="21"/>
                <w:highlight w:val="none"/>
              </w:rPr>
              <w:t>根据财政部工业和信息化部《政府采购促进中小企业发展管理办法》（财库〔2020〕46号）规定，财政部于2022年5月30日印发《关于进一步加大政府采购支持中小企业力度的通知》（财库〔2022〕19号）规定，本项目对小型和微型企业产品的价格给予</w:t>
            </w:r>
            <w:r>
              <w:rPr>
                <w:rFonts w:hint="default" w:ascii="宋体" w:hAnsi="宋体" w:cs="宋体"/>
                <w:color w:val="auto"/>
                <w:szCs w:val="21"/>
                <w:highlight w:val="none"/>
              </w:rPr>
              <w:t>10</w:t>
            </w:r>
            <w:r>
              <w:rPr>
                <w:rFonts w:hint="eastAsia" w:ascii="宋体" w:hAnsi="宋体" w:cs="宋体"/>
                <w:color w:val="auto"/>
                <w:szCs w:val="21"/>
                <w:highlight w:val="none"/>
              </w:rPr>
              <w:t>%的扣除计算；</w:t>
            </w:r>
          </w:p>
          <w:p>
            <w:pPr>
              <w:keepNext w:val="0"/>
              <w:keepLines w:val="0"/>
              <w:suppressLineNumbers w:val="0"/>
              <w:spacing w:before="0" w:beforeAutospacing="0" w:after="0" w:afterAutospacing="0" w:line="380" w:lineRule="exact"/>
              <w:ind w:left="0" w:right="0"/>
              <w:rPr>
                <w:rFonts w:hint="default" w:ascii="宋体" w:hAnsi="宋体" w:cs="宋体"/>
                <w:color w:val="auto"/>
                <w:szCs w:val="21"/>
                <w:highlight w:val="none"/>
              </w:rPr>
            </w:pPr>
            <w:r>
              <w:rPr>
                <w:rFonts w:hint="default" w:ascii="宋体" w:hAnsi="宋体" w:cs="宋体"/>
                <w:color w:val="auto"/>
                <w:szCs w:val="21"/>
                <w:highlight w:val="none"/>
              </w:rPr>
              <w:t>3.根据财政部发布的《关于政府采购支持监狱企业发展有关问题的通知》规定，本项目对监狱企业产品的价格给予10%的扣除计算；</w:t>
            </w:r>
          </w:p>
          <w:p>
            <w:pPr>
              <w:keepNext w:val="0"/>
              <w:keepLines w:val="0"/>
              <w:suppressLineNumbers w:val="0"/>
              <w:spacing w:before="0" w:beforeAutospacing="0" w:after="0" w:afterAutospacing="0" w:line="380" w:lineRule="exact"/>
              <w:ind w:left="0" w:right="0"/>
              <w:rPr>
                <w:rFonts w:hint="default" w:ascii="宋体" w:hAnsi="宋体" w:cs="宋体"/>
                <w:color w:val="auto"/>
                <w:szCs w:val="21"/>
                <w:highlight w:val="none"/>
              </w:rPr>
            </w:pPr>
            <w:r>
              <w:rPr>
                <w:rFonts w:hint="default" w:ascii="宋体" w:hAnsi="宋体" w:cs="宋体"/>
                <w:color w:val="auto"/>
                <w:szCs w:val="21"/>
                <w:highlight w:val="none"/>
              </w:rPr>
              <w:t>4.根据财政部发布的《三部门联合发布关于促进残疾人就业政府采购政策的通知》规定，本项目对符合条件的残疾人福利性单位产品的价格予以</w:t>
            </w:r>
            <w:r>
              <w:rPr>
                <w:rFonts w:hint="eastAsia" w:ascii="宋体" w:hAnsi="宋体" w:cs="宋体"/>
                <w:color w:val="auto"/>
                <w:szCs w:val="21"/>
                <w:highlight w:val="none"/>
              </w:rPr>
              <w:t>1</w:t>
            </w:r>
            <w:r>
              <w:rPr>
                <w:rFonts w:hint="default" w:ascii="宋体" w:hAnsi="宋体" w:cs="宋体"/>
                <w:color w:val="auto"/>
                <w:szCs w:val="21"/>
                <w:highlight w:val="none"/>
              </w:rPr>
              <w:t>0%的扣除计算；</w:t>
            </w:r>
          </w:p>
          <w:p>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default" w:ascii="宋体" w:hAnsi="宋体" w:cs="宋体"/>
                <w:color w:val="auto"/>
                <w:szCs w:val="21"/>
                <w:highlight w:val="none"/>
              </w:rPr>
              <w:t>5.同时属于小型、微型企业、监狱企业、残疾人福利性单位的，其享受的价格扣除比例取扣除率中的较大值。</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restar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技术部分</w:t>
            </w:r>
          </w:p>
        </w:tc>
        <w:tc>
          <w:tcPr>
            <w:tcW w:w="11296" w:type="dxa"/>
            <w:noWrap w:val="0"/>
            <w:vAlign w:val="center"/>
          </w:tcPr>
          <w:p>
            <w:pPr>
              <w:keepNext w:val="0"/>
              <w:keepLines w:val="0"/>
              <w:suppressLineNumbers w:val="0"/>
              <w:adjustRightInd/>
              <w:snapToGrid/>
              <w:spacing w:before="0" w:beforeAutospacing="0" w:after="0" w:afterAutospacing="0" w:line="380" w:lineRule="exact"/>
              <w:ind w:left="0" w:right="0"/>
              <w:rPr>
                <w:rFonts w:hint="default" w:ascii="宋体" w:hAnsi="宋体" w:cs="Times New Roman"/>
                <w:bCs/>
                <w:color w:val="auto"/>
                <w:szCs w:val="21"/>
                <w:highlight w:val="none"/>
              </w:rPr>
            </w:pPr>
            <w:r>
              <w:rPr>
                <w:rFonts w:hint="eastAsia" w:ascii="宋体" w:hAnsi="宋体" w:cs="Times New Roman"/>
                <w:b/>
                <w:bCs/>
                <w:color w:val="auto"/>
                <w:szCs w:val="21"/>
                <w:highlight w:val="none"/>
              </w:rPr>
              <w:t>满足产品技术参数要求的情况（满分</w:t>
            </w:r>
            <w:r>
              <w:rPr>
                <w:rFonts w:hint="eastAsia" w:ascii="宋体" w:hAnsi="宋体" w:cs="Times New Roman"/>
                <w:b/>
                <w:bCs/>
                <w:color w:val="auto"/>
                <w:szCs w:val="21"/>
                <w:highlight w:val="none"/>
                <w:lang w:val="en-US" w:eastAsia="zh-CN"/>
              </w:rPr>
              <w:t>54</w:t>
            </w:r>
            <w:r>
              <w:rPr>
                <w:rFonts w:hint="eastAsia" w:ascii="宋体" w:hAnsi="宋体" w:cs="Times New Roman"/>
                <w:b/>
                <w:bCs/>
                <w:color w:val="auto"/>
                <w:szCs w:val="21"/>
                <w:highlight w:val="none"/>
              </w:rPr>
              <w:t>分）：</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1.磋商小组依据</w:t>
            </w:r>
            <w:r>
              <w:rPr>
                <w:rFonts w:hint="eastAsia" w:ascii="宋体" w:hAnsi="宋体" w:cs="Times New Roman"/>
                <w:color w:val="auto"/>
                <w:szCs w:val="21"/>
                <w:highlight w:val="none"/>
                <w:lang w:val="en-US" w:eastAsia="zh-CN"/>
              </w:rPr>
              <w:t>供应商</w:t>
            </w:r>
            <w:r>
              <w:rPr>
                <w:rFonts w:hint="eastAsia" w:ascii="宋体" w:hAnsi="宋体" w:cs="Times New Roman"/>
                <w:color w:val="auto"/>
                <w:szCs w:val="21"/>
                <w:highlight w:val="none"/>
              </w:rPr>
              <w:t>提供的产品的技术条款响应“第三章用户需求书中‘三、技术参数’的符合程度，确定产品的技术规格满足情况：</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1、每有一项“▲”项参数满足要求得</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2分，共</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项；</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2、每有一项非“▲”项参数满足要求得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分，共</w:t>
            </w:r>
            <w:r>
              <w:rPr>
                <w:rFonts w:hint="eastAsia" w:ascii="宋体" w:hAnsi="宋体" w:cs="Times New Roman"/>
                <w:color w:val="auto"/>
                <w:szCs w:val="21"/>
                <w:highlight w:val="none"/>
                <w:lang w:val="en-US" w:eastAsia="zh-CN"/>
              </w:rPr>
              <w:t>19</w:t>
            </w:r>
            <w:r>
              <w:rPr>
                <w:rFonts w:hint="eastAsia" w:ascii="宋体" w:hAnsi="宋体" w:cs="Times New Roman"/>
                <w:color w:val="auto"/>
                <w:szCs w:val="21"/>
                <w:highlight w:val="none"/>
              </w:rPr>
              <w:t>项。</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注：1、标记为★项的参数不接受负偏离，如负偏离则视为未实质性响应招标文件要求。</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2、非★项参数可接受负偏离，但会影响综合得分。</w:t>
            </w:r>
          </w:p>
          <w:p>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3、标记为▲项的参数为重要参数，参数负偏离的标准：所含的参数中有任意一项为负偏离则此项参数整体按负偏离处理；参数正偏离的标准：所含的所有参数无负偏离且至少有一项参数为正偏离。</w:t>
            </w:r>
          </w:p>
          <w:p>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4、非★项参数负偏离的标准：所含的参数中有任意一项为负偏离则此项参数整体按负偏离处理；参数正偏离的标准：所含的所有参数无负偏离且至少有一项参数为正偏离。</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trPr>
        <w:tc>
          <w:tcPr>
            <w:tcW w:w="852" w:type="dxa"/>
            <w:vMerge w:val="restar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商务部分</w:t>
            </w:r>
          </w:p>
        </w:tc>
        <w:tc>
          <w:tcPr>
            <w:tcW w:w="11296"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b/>
                <w:color w:val="auto"/>
                <w:szCs w:val="21"/>
                <w:highlight w:val="none"/>
              </w:rPr>
              <w:t>供货安装方案</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分）</w:t>
            </w:r>
            <w:r>
              <w:rPr>
                <w:rFonts w:hint="eastAsia" w:ascii="宋体" w:hAnsi="宋体" w:cs="宋体"/>
                <w:b/>
                <w:color w:val="auto"/>
                <w:szCs w:val="21"/>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1.供应商提供的“供货安装方案”内容详细具体、科学合理、切实可行，是结合采购人实际情况提出的，得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2.供应商提供的“供货安装方案”内容详细具体、科学合理、切实可行，得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3.供应商提供的“供货安装方案”存在不合理之处，得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注：未提供供货安装方案此项得0分。</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exact"/>
        </w:trPr>
        <w:tc>
          <w:tcPr>
            <w:tcW w:w="852" w:type="dxa"/>
            <w:vMerge w:val="continu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1296"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b/>
                <w:color w:val="auto"/>
                <w:szCs w:val="21"/>
                <w:highlight w:val="none"/>
              </w:rPr>
              <w:t>技术培训方案（满分2分）：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仪器日常使用安全及注意事项培训：供应商承诺仪器安装完毕后指派专业服务工程师对操作人员进行为期7天的仪器的使用日常维护、安全知识及注意事项培训，以保障操作人员的安全和设备安全（可分为2次，具体时间双方协商）；供应商的技术培训方案包含上述内容，且内容科学合理，切实可行，得1分，否则不得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仪器使用操作基础培训：供应商承诺仪器安装完毕、日常使用安全及注意事项培训结束后，指派专业应用工程师在采购人现场对用户操作人员进行设备操作培训，培训时间不少于7天，此外供应商还需提供2次讲座，并保证用户至少2人完全掌握设备的操作。培训内容包括：仪器的技术原理、操作、样品制备，数据分析等。确保采购人可达到独立操作系统软件、硬件完成全过程的操作（可分为3次，具体时间双方协商）；供应商的技术培训方案包含上述内容，且内容科学合理，切实可行，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分，否则不得分。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b/>
                <w:bCs/>
                <w:color w:val="auto"/>
                <w:szCs w:val="21"/>
                <w:highlight w:val="none"/>
              </w:rPr>
              <w:t>注：未提供技术培训方案此项得0分。未提供承诺或者每项内容提供不全的不得分。</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trPr>
        <w:tc>
          <w:tcPr>
            <w:tcW w:w="852" w:type="dxa"/>
            <w:vMerge w:val="continu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1296"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b/>
                <w:color w:val="auto"/>
                <w:szCs w:val="21"/>
                <w:highlight w:val="none"/>
              </w:rPr>
            </w:pPr>
            <w:r>
              <w:rPr>
                <w:rFonts w:hint="eastAsia" w:ascii="宋体" w:hAnsi="宋体" w:cs="Times New Roman"/>
                <w:b/>
                <w:color w:val="auto"/>
                <w:szCs w:val="21"/>
                <w:highlight w:val="none"/>
              </w:rPr>
              <w:t>售后服务方案（满分</w:t>
            </w:r>
            <w:r>
              <w:rPr>
                <w:rFonts w:hint="eastAsia" w:ascii="宋体" w:hAnsi="宋体" w:cs="Times New Roman"/>
                <w:b/>
                <w:color w:val="auto"/>
                <w:szCs w:val="21"/>
                <w:highlight w:val="none"/>
                <w:lang w:val="en-US" w:eastAsia="zh-CN"/>
              </w:rPr>
              <w:t>5</w:t>
            </w:r>
            <w:r>
              <w:rPr>
                <w:rFonts w:hint="eastAsia" w:ascii="宋体" w:hAnsi="宋体" w:cs="Times New Roman"/>
                <w:b/>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供应商应结合本项目采购需求况及采购人实际情况编制售后服务方案，方案中应包含售后服务人员安排、售后服务响应时间等内容。</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1.供应商的售后服务方案科学、合理、售后服务系统完善，符合采购人实际情况，得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2.供应商的售后服务方案科学、合理、售后服务系统完善,得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3.供应商的售后服务方案存在不合理之处，得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宋体"/>
                <w:b/>
                <w:color w:val="auto"/>
                <w:szCs w:val="21"/>
                <w:highlight w:val="none"/>
              </w:rPr>
            </w:pPr>
            <w:r>
              <w:rPr>
                <w:rFonts w:hint="eastAsia" w:ascii="宋体" w:hAnsi="宋体" w:cs="宋体"/>
                <w:b/>
                <w:bCs/>
                <w:color w:val="auto"/>
                <w:szCs w:val="21"/>
                <w:highlight w:val="none"/>
              </w:rPr>
              <w:t>注：未提供售后服务方案此项得0分。</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trPr>
        <w:tc>
          <w:tcPr>
            <w:tcW w:w="852" w:type="dxa"/>
            <w:vMerge w:val="continu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1296"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b/>
                <w:color w:val="auto"/>
                <w:szCs w:val="21"/>
                <w:highlight w:val="none"/>
              </w:rPr>
            </w:pPr>
            <w:r>
              <w:rPr>
                <w:rFonts w:hint="eastAsia" w:ascii="宋体" w:hAnsi="宋体" w:cs="Times New Roman"/>
                <w:b/>
                <w:color w:val="auto"/>
                <w:highlight w:val="none"/>
              </w:rPr>
              <w:t>疫情应急预案</w:t>
            </w:r>
            <w:r>
              <w:rPr>
                <w:rFonts w:hint="eastAsia" w:ascii="宋体" w:hAnsi="宋体" w:cs="Times New Roman"/>
                <w:b/>
                <w:color w:val="auto"/>
                <w:szCs w:val="21"/>
                <w:highlight w:val="none"/>
              </w:rPr>
              <w:t>（满分</w:t>
            </w:r>
            <w:r>
              <w:rPr>
                <w:rFonts w:hint="eastAsia" w:ascii="宋体" w:hAnsi="宋体" w:cs="Times New Roman"/>
                <w:b/>
                <w:color w:val="auto"/>
                <w:szCs w:val="21"/>
                <w:highlight w:val="none"/>
                <w:lang w:val="en-US" w:eastAsia="zh-CN"/>
              </w:rPr>
              <w:t>3</w:t>
            </w:r>
            <w:r>
              <w:rPr>
                <w:rFonts w:hint="eastAsia" w:ascii="宋体" w:hAnsi="宋体" w:cs="Times New Roman"/>
                <w:b/>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疫情应急预案：供应商应依据本项目情况及采购人实际情况编制疫情应急预案，方案中应考虑到货物在生产、运输、交接、安装调试等各环节因疫情防控对供货期或验收进程的影响。。</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1.供应商的疫情应急预案科学且合理，疫情应急预案具有针对性和可操作性，供应商具有处理类似情况的经验，疫情应急预案是结合采购需求和采购人情况编制的，得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2.供应商的疫情应急预案科学且合理，疫情应急预案具有针对性和可操作性，供应商具有处理类似情况的经验，得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3.供应商的疫情应急预案存在不合理情况或不具备可操作性，得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b/>
                <w:color w:val="auto"/>
                <w:szCs w:val="21"/>
                <w:highlight w:val="none"/>
              </w:rPr>
            </w:pPr>
            <w:r>
              <w:rPr>
                <w:rFonts w:hint="eastAsia" w:ascii="宋体" w:hAnsi="宋体" w:cs="Times New Roman"/>
                <w:b/>
                <w:color w:val="auto"/>
                <w:szCs w:val="21"/>
                <w:highlight w:val="none"/>
              </w:rPr>
              <w:t>注：未提供疫情应急预案此项得0分。</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exact"/>
        </w:trPr>
        <w:tc>
          <w:tcPr>
            <w:tcW w:w="852"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1296"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r>
              <w:rPr>
                <w:rFonts w:hint="eastAsia" w:ascii="宋体" w:hAnsi="宋体" w:cs="Times New Roman"/>
                <w:b/>
                <w:color w:val="auto"/>
                <w:szCs w:val="21"/>
                <w:highlight w:val="none"/>
              </w:rPr>
              <w:t>供应商近三年（2019年1月1日至响应文件截止时间）类似项目业绩（满分2分）：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b/>
                <w:color w:val="auto"/>
                <w:szCs w:val="21"/>
                <w:highlight w:val="none"/>
              </w:rPr>
            </w:pPr>
            <w:r>
              <w:rPr>
                <w:rFonts w:hint="eastAsia" w:ascii="宋体" w:hAnsi="宋体" w:cs="宋体"/>
                <w:color w:val="auto"/>
                <w:szCs w:val="21"/>
                <w:highlight w:val="none"/>
              </w:rPr>
              <w:t>自2019年1月1日至投标文件递交截止时间</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完成的与本项目相类似的项目业绩（至少包含：</w:t>
            </w:r>
            <w:r>
              <w:rPr>
                <w:rFonts w:hint="eastAsia" w:ascii="宋体" w:hAnsi="宋体" w:cs="宋体"/>
                <w:color w:val="auto"/>
                <w:highlight w:val="none"/>
                <w:lang w:eastAsia="zh-CN" w:bidi="ar"/>
              </w:rPr>
              <w:t>超高速视频级原子力显微镜</w:t>
            </w:r>
            <w:r>
              <w:rPr>
                <w:rFonts w:hint="eastAsia" w:ascii="宋体" w:hAnsi="宋体" w:cs="宋体"/>
                <w:color w:val="auto"/>
                <w:szCs w:val="21"/>
                <w:highlight w:val="none"/>
              </w:rPr>
              <w:t>）, 须提供相关的合同关键页(含签订合同双方的单位名称、合同项目名称、合同金额、签订合同双方的落款盖章、签订日期的关键页、合同清单)复印件加盖公章，业绩时间以合同签订时间为准），验收报告或用户说明需包含设备名称、（拟）验收时间及用户盖章；每提供一项合格的业绩得1分，满分2分。</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12148" w:type="dxa"/>
            <w:gridSpan w:val="2"/>
            <w:noWrap w:val="0"/>
            <w:vAlign w:val="center"/>
          </w:tcPr>
          <w:p>
            <w:pPr>
              <w:keepNext w:val="0"/>
              <w:keepLines w:val="0"/>
              <w:suppressLineNumbers w:val="0"/>
              <w:adjustRightInd w:val="0"/>
              <w:snapToGrid w:val="0"/>
              <w:spacing w:before="0" w:beforeAutospacing="0" w:after="0" w:afterAutospacing="0" w:line="360" w:lineRule="auto"/>
              <w:ind w:left="0" w:right="480" w:firstLine="3045" w:firstLineChars="1450"/>
              <w:rPr>
                <w:rFonts w:hint="default" w:ascii="宋体" w:hAnsi="宋体" w:cs="Times New Roman"/>
                <w:color w:val="auto"/>
                <w:szCs w:val="21"/>
                <w:highlight w:val="none"/>
              </w:rPr>
            </w:pPr>
            <w:r>
              <w:rPr>
                <w:rFonts w:hint="eastAsia" w:ascii="宋体" w:hAnsi="宋体" w:cs="Times New Roman"/>
                <w:color w:val="auto"/>
                <w:szCs w:val="21"/>
                <w:highlight w:val="none"/>
              </w:rPr>
              <w:t>合计：</w:t>
            </w:r>
          </w:p>
        </w:tc>
        <w:tc>
          <w:tcPr>
            <w:tcW w:w="73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50"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c>
          <w:tcPr>
            <w:tcW w:w="765"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Cs w:val="21"/>
                <w:highlight w:val="none"/>
              </w:rPr>
            </w:pPr>
          </w:p>
        </w:tc>
      </w:tr>
    </w:tbl>
    <w:p>
      <w:pPr>
        <w:pStyle w:val="2"/>
        <w:rPr>
          <w:rFonts w:hint="eastAsia"/>
          <w:color w:val="auto"/>
          <w:highlight w:val="none"/>
        </w:rPr>
        <w:sectPr>
          <w:pgSz w:w="16840" w:h="11907" w:orient="landscape"/>
          <w:pgMar w:top="993" w:right="1440" w:bottom="992" w:left="1440" w:header="426" w:footer="992" w:gutter="0"/>
          <w:cols w:space="720" w:num="1"/>
          <w:docGrid w:linePitch="312" w:charSpace="0"/>
        </w:sectPr>
      </w:pPr>
    </w:p>
    <w:p>
      <w:pPr>
        <w:spacing w:line="312" w:lineRule="auto"/>
        <w:jc w:val="left"/>
        <w:rPr>
          <w:rFonts w:hint="eastAsia" w:ascii="宋体" w:hAnsi="宋体"/>
          <w:bCs/>
          <w:color w:val="auto"/>
          <w:sz w:val="28"/>
          <w:szCs w:val="28"/>
          <w:highlight w:val="none"/>
        </w:rPr>
      </w:pPr>
      <w:bookmarkStart w:id="107" w:name="_Toc477935928"/>
      <w:r>
        <w:rPr>
          <w:rFonts w:hint="eastAsia" w:ascii="宋体" w:hAnsi="宋体" w:cs="宋体"/>
          <w:b/>
          <w:bCs/>
          <w:color w:val="auto"/>
          <w:sz w:val="36"/>
          <w:highlight w:val="none"/>
        </w:rPr>
        <w:t>附件一  评分标准</w:t>
      </w:r>
      <w:bookmarkEnd w:id="105"/>
      <w:bookmarkEnd w:id="106"/>
      <w:bookmarkEnd w:id="107"/>
    </w:p>
    <w:p>
      <w:pPr>
        <w:pStyle w:val="46"/>
        <w:spacing w:line="360" w:lineRule="auto"/>
        <w:ind w:firstLine="420"/>
        <w:rPr>
          <w:rFonts w:hint="eastAsia"/>
          <w:color w:val="auto"/>
          <w:sz w:val="24"/>
          <w:highlight w:val="none"/>
        </w:rPr>
      </w:pPr>
      <w:r>
        <w:rPr>
          <w:rFonts w:hint="eastAsia"/>
          <w:color w:val="auto"/>
          <w:sz w:val="24"/>
          <w:highlight w:val="none"/>
        </w:rPr>
        <w:t>本项目采用综合评分法。磋商小组对通过符合性检查的每个供应商，按照满足磋商文件中规定的各项评分因素进行综合评审。最后，以评审总得分最高的供应商作为成交供应商。得分相同的，则按响应报价由低到高顺序排列；得分且响应报价相同的，则按技术得分由高到低顺序排列。</w:t>
      </w:r>
    </w:p>
    <w:p>
      <w:pPr>
        <w:pStyle w:val="46"/>
        <w:spacing w:line="360" w:lineRule="auto"/>
        <w:ind w:firstLine="420"/>
        <w:rPr>
          <w:color w:val="auto"/>
          <w:sz w:val="24"/>
          <w:highlight w:val="none"/>
        </w:rPr>
      </w:pPr>
      <w:r>
        <w:rPr>
          <w:rFonts w:hint="eastAsia"/>
          <w:color w:val="auto"/>
          <w:sz w:val="24"/>
          <w:highlight w:val="none"/>
        </w:rPr>
        <w:t>注：</w:t>
      </w:r>
    </w:p>
    <w:p>
      <w:pPr>
        <w:pStyle w:val="46"/>
        <w:spacing w:line="360" w:lineRule="auto"/>
        <w:ind w:firstLine="420"/>
        <w:rPr>
          <w:color w:val="auto"/>
          <w:sz w:val="24"/>
          <w:highlight w:val="none"/>
        </w:rPr>
      </w:pPr>
      <w:r>
        <w:rPr>
          <w:rFonts w:hint="eastAsia"/>
          <w:color w:val="auto"/>
          <w:sz w:val="24"/>
          <w:highlight w:val="none"/>
        </w:rPr>
        <w:t>1、保留小数点后两位（按四舍五入原则）。</w:t>
      </w:r>
    </w:p>
    <w:p>
      <w:pPr>
        <w:pStyle w:val="46"/>
        <w:spacing w:line="360" w:lineRule="auto"/>
        <w:ind w:firstLine="420"/>
        <w:rPr>
          <w:rFonts w:hint="eastAsia"/>
          <w:color w:val="auto"/>
          <w:sz w:val="24"/>
          <w:highlight w:val="none"/>
        </w:rPr>
      </w:pPr>
      <w:r>
        <w:rPr>
          <w:rFonts w:hint="eastAsia"/>
          <w:color w:val="auto"/>
          <w:sz w:val="24"/>
          <w:highlight w:val="none"/>
        </w:rPr>
        <w:t>2、获得最高评估分的供应商将被确定为合格的成交人。</w:t>
      </w:r>
    </w:p>
    <w:p>
      <w:pPr>
        <w:pStyle w:val="46"/>
        <w:spacing w:line="360" w:lineRule="auto"/>
        <w:ind w:firstLine="420"/>
        <w:rPr>
          <w:color w:val="auto"/>
          <w:sz w:val="24"/>
          <w:highlight w:val="none"/>
        </w:rPr>
      </w:pPr>
      <w:r>
        <w:rPr>
          <w:rFonts w:hint="eastAsia"/>
          <w:color w:val="auto"/>
          <w:sz w:val="24"/>
          <w:highlight w:val="none"/>
        </w:rPr>
        <w:t>3、如果供应商综合得分相同，按下列顺序排列以确定将被确定为合格的成交人：</w:t>
      </w:r>
    </w:p>
    <w:p>
      <w:pPr>
        <w:pStyle w:val="46"/>
        <w:spacing w:line="360" w:lineRule="auto"/>
        <w:ind w:firstLine="420"/>
        <w:rPr>
          <w:rFonts w:hint="eastAsia"/>
          <w:color w:val="auto"/>
          <w:sz w:val="24"/>
          <w:highlight w:val="none"/>
        </w:rPr>
      </w:pPr>
      <w:r>
        <w:rPr>
          <w:rFonts w:hint="eastAsia"/>
          <w:color w:val="auto"/>
          <w:sz w:val="24"/>
          <w:highlight w:val="none"/>
        </w:rPr>
        <w:t>（1）响应报价低的；</w:t>
      </w:r>
    </w:p>
    <w:p>
      <w:pPr>
        <w:pStyle w:val="46"/>
        <w:spacing w:line="360" w:lineRule="auto"/>
        <w:ind w:firstLine="420"/>
        <w:rPr>
          <w:rFonts w:hint="eastAsia"/>
          <w:color w:val="auto"/>
          <w:sz w:val="24"/>
          <w:highlight w:val="none"/>
        </w:rPr>
      </w:pPr>
      <w:r>
        <w:rPr>
          <w:rFonts w:hint="eastAsia"/>
          <w:color w:val="auto"/>
          <w:sz w:val="24"/>
          <w:highlight w:val="none"/>
        </w:rPr>
        <w:t>（2）技术参数得分高的；</w:t>
      </w:r>
    </w:p>
    <w:p>
      <w:pPr>
        <w:pStyle w:val="46"/>
        <w:spacing w:line="360" w:lineRule="auto"/>
        <w:ind w:firstLine="420"/>
        <w:rPr>
          <w:rFonts w:hint="eastAsia"/>
          <w:color w:val="auto"/>
          <w:sz w:val="24"/>
          <w:highlight w:val="none"/>
        </w:rPr>
      </w:pPr>
      <w:r>
        <w:rPr>
          <w:rFonts w:hint="eastAsia"/>
          <w:color w:val="auto"/>
          <w:sz w:val="24"/>
          <w:highlight w:val="none"/>
        </w:rPr>
        <w:t>（3）售后服务得分高的</w:t>
      </w:r>
    </w:p>
    <w:p>
      <w:pPr>
        <w:pStyle w:val="46"/>
        <w:spacing w:line="360" w:lineRule="auto"/>
        <w:ind w:firstLine="420"/>
        <w:rPr>
          <w:rFonts w:hint="eastAsia"/>
          <w:color w:val="auto"/>
          <w:sz w:val="24"/>
          <w:highlight w:val="none"/>
        </w:rPr>
      </w:pPr>
      <w:r>
        <w:rPr>
          <w:rFonts w:hint="eastAsia"/>
          <w:color w:val="auto"/>
          <w:sz w:val="24"/>
          <w:highlight w:val="none"/>
        </w:rPr>
        <w:t>4、供应商加分项相应产品响应报价之和以磋商小组复核结果为准。</w:t>
      </w:r>
    </w:p>
    <w:p>
      <w:pPr>
        <w:pStyle w:val="46"/>
        <w:spacing w:line="360" w:lineRule="auto"/>
        <w:ind w:firstLine="420"/>
        <w:rPr>
          <w:rFonts w:hint="eastAsia"/>
          <w:color w:val="auto"/>
          <w:sz w:val="24"/>
          <w:highlight w:val="none"/>
        </w:rPr>
      </w:pPr>
      <w:r>
        <w:rPr>
          <w:rFonts w:hint="eastAsia"/>
          <w:color w:val="auto"/>
          <w:sz w:val="24"/>
          <w:highlight w:val="none"/>
        </w:rPr>
        <w:t>5、供应商在响应时须提供与以上评分因素相关的材料。如果发现有弄虚作假的，将取消其响应资格。</w:t>
      </w:r>
    </w:p>
    <w:p>
      <w:pPr>
        <w:pStyle w:val="46"/>
        <w:spacing w:line="360" w:lineRule="auto"/>
        <w:ind w:firstLine="420"/>
        <w:rPr>
          <w:color w:val="auto"/>
          <w:sz w:val="24"/>
          <w:highlight w:val="none"/>
        </w:rPr>
      </w:pPr>
      <w:r>
        <w:rPr>
          <w:rFonts w:hint="eastAsia"/>
          <w:color w:val="auto"/>
          <w:sz w:val="24"/>
          <w:highlight w:val="none"/>
        </w:rPr>
        <w:t>6、保密要求：从开标时起到成交公告发布时止，有关响应文件的审查、澄清、评估和比较以及有关授予合同的意向的一切情况都不得透露给供应商或与上述评审工作无关的人员。</w:t>
      </w:r>
    </w:p>
    <w:p>
      <w:pPr>
        <w:pStyle w:val="46"/>
        <w:spacing w:line="360" w:lineRule="auto"/>
        <w:ind w:firstLine="420"/>
        <w:rPr>
          <w:rFonts w:hint="eastAsia"/>
          <w:color w:val="auto"/>
          <w:sz w:val="24"/>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sectPr>
          <w:headerReference r:id="rId11" w:type="first"/>
          <w:headerReference r:id="rId10" w:type="even"/>
          <w:pgSz w:w="11907" w:h="16840"/>
          <w:pgMar w:top="1440" w:right="1797" w:bottom="1440" w:left="1797" w:header="851" w:footer="992" w:gutter="0"/>
          <w:cols w:space="720" w:num="1"/>
          <w:docGrid w:linePitch="312" w:charSpace="0"/>
        </w:sectPr>
      </w:pPr>
    </w:p>
    <w:p>
      <w:pPr>
        <w:spacing w:line="360" w:lineRule="auto"/>
        <w:jc w:val="left"/>
        <w:rPr>
          <w:rFonts w:hint="eastAsia" w:ascii="宋体" w:hAnsi="宋体" w:cs="宋体"/>
          <w:b/>
          <w:bCs/>
          <w:color w:val="auto"/>
          <w:sz w:val="36"/>
          <w:highlight w:val="none"/>
        </w:rPr>
      </w:pPr>
      <w:r>
        <w:rPr>
          <w:rFonts w:hint="eastAsia" w:ascii="宋体" w:hAnsi="宋体" w:cs="宋体"/>
          <w:b/>
          <w:bCs/>
          <w:color w:val="auto"/>
          <w:sz w:val="36"/>
          <w:highlight w:val="none"/>
        </w:rPr>
        <w:t>附件二  代理费收费标准</w:t>
      </w:r>
    </w:p>
    <w:p>
      <w:pPr>
        <w:pStyle w:val="46"/>
        <w:spacing w:line="360" w:lineRule="auto"/>
        <w:ind w:firstLine="420"/>
        <w:rPr>
          <w:rFonts w:hint="eastAsia"/>
          <w:color w:val="auto"/>
          <w:sz w:val="24"/>
          <w:highlight w:val="none"/>
        </w:rPr>
      </w:pPr>
      <w:r>
        <w:rPr>
          <w:rFonts w:hint="eastAsia"/>
          <w:color w:val="auto"/>
          <w:sz w:val="24"/>
          <w:highlight w:val="none"/>
        </w:rPr>
        <w:t>1.本项目磋商代理服务费由成交供应商支付，收费标准详见下表，包含在投标总价中不单独列项。</w:t>
      </w:r>
    </w:p>
    <w:p>
      <w:pPr>
        <w:pStyle w:val="46"/>
        <w:spacing w:line="360" w:lineRule="auto"/>
        <w:ind w:firstLine="420"/>
        <w:rPr>
          <w:rFonts w:hint="eastAsia"/>
          <w:color w:val="auto"/>
          <w:sz w:val="24"/>
          <w:highlight w:val="none"/>
        </w:rPr>
      </w:pPr>
      <w:r>
        <w:rPr>
          <w:rFonts w:hint="eastAsia"/>
          <w:color w:val="auto"/>
          <w:sz w:val="24"/>
          <w:highlight w:val="none"/>
        </w:rPr>
        <w:t>2.磋商代理服务收费标准:</w:t>
      </w:r>
    </w:p>
    <w:tbl>
      <w:tblPr>
        <w:tblStyle w:val="89"/>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711"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r>
              <w:rPr>
                <w:rFonts w:hint="eastAsia" w:cs="Times New Roman"/>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462915</wp:posOffset>
                      </wp:positionV>
                      <wp:extent cx="76200" cy="1625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6200" cy="162560"/>
                              </a:xfrm>
                              <a:prstGeom prst="rect">
                                <a:avLst/>
                              </a:prstGeom>
                              <a:noFill/>
                              <a:ln>
                                <a:noFill/>
                              </a:ln>
                              <a:effectLst/>
                            </wps:spPr>
                            <wps:txbx>
                              <w:txbxContent>
                                <w:p>
                                  <w:pPr>
                                    <w:snapToGrid w:val="0"/>
                                  </w:pPr>
                                  <w:r>
                                    <w:rPr>
                                      <w:rFonts w:hint="eastAsia"/>
                                    </w:rPr>
                                    <w:t>）</w:t>
                                  </w:r>
                                </w:p>
                              </w:txbxContent>
                            </wps:txbx>
                            <wps:bodyPr wrap="square" lIns="0" tIns="0" rIns="0" bIns="0" upright="1"/>
                          </wps:wsp>
                        </a:graphicData>
                      </a:graphic>
                    </wp:anchor>
                  </w:drawing>
                </mc:Choice>
                <mc:Fallback>
                  <w:pict>
                    <v:shape id="_x0000_s1026" o:spid="_x0000_s1026" o:spt="202" type="#_x0000_t202" style="position:absolute;left:0pt;margin-left:108pt;margin-top:36.45pt;height:12.8pt;width:6pt;z-index:251659264;mso-width-relative:page;mso-height-relative:page;" filled="f" stroked="f" coordsize="21600,21600" o:gfxdata="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jvbAdgAAAAJAQAADwAAAAAAAAABACAAAAAiAAAAZHJzL2Rv&#10;d25yZXYueG1sUEsBAhQAFAAAAAgAh07iQD2T5D3IAQAAjgMAAA4AAAAAAAAAAQAgAAAAJwEAAGRy&#10;cy9lMm9Eb2MueG1sUEsFBgAAAAAGAAYAWQEAAGEFAAAAAA==&#10;">
                      <v:fill on="f" focussize="0,0"/>
                      <v:stroke on="f"/>
                      <v:imagedata o:title=""/>
                      <o:lock v:ext="edit" aspectratio="f"/>
                      <v:textbox inset="0mm,0mm,0mm,0mm">
                        <w:txbxContent>
                          <w:p>
                            <w:pPr>
                              <w:snapToGrid w:val="0"/>
                            </w:pPr>
                            <w:r>
                              <w:rPr>
                                <w:rFonts w:hint="eastAsia"/>
                              </w:rPr>
                              <w:t>）</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433705</wp:posOffset>
                      </wp:positionV>
                      <wp:extent cx="160020" cy="1720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0020" cy="172085"/>
                              </a:xfrm>
                              <a:prstGeom prst="rect">
                                <a:avLst/>
                              </a:prstGeom>
                              <a:noFill/>
                              <a:ln>
                                <a:noFill/>
                              </a:ln>
                              <a:effectLst/>
                            </wps:spPr>
                            <wps:txbx>
                              <w:txbxContent>
                                <w:p>
                                  <w:pPr>
                                    <w:snapToGrid w:val="0"/>
                                  </w:pPr>
                                  <w:r>
                                    <w:rPr>
                                      <w:rFonts w:hint="eastAsia"/>
                                    </w:rPr>
                                    <w:t>元</w:t>
                                  </w:r>
                                </w:p>
                              </w:txbxContent>
                            </wps:txbx>
                            <wps:bodyPr wrap="square" lIns="0" tIns="0" rIns="0" bIns="0" upright="1"/>
                          </wps:wsp>
                        </a:graphicData>
                      </a:graphic>
                    </wp:anchor>
                  </w:drawing>
                </mc:Choice>
                <mc:Fallback>
                  <w:pict>
                    <v:shape id="_x0000_s1026" o:spid="_x0000_s1026" o:spt="202" type="#_x0000_t202" style="position:absolute;left:0pt;margin-left:89.55pt;margin-top:34.15pt;height:13.55pt;width:12.6pt;z-index:251660288;mso-width-relative:page;mso-height-relative:page;" filled="f" stroked="f" coordsize="21600,21600" o:gfxdata="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2mhZ7YAAAACQEAAA8AAAAAAAAAAQAgAAAAIgAAAGRycy9kb3du&#10;cmV2LnhtbFBLAQIUABQAAAAIAIdO4kAyoiXxxgEAAI8DAAAOAAAAAAAAAAEAIAAAACcBAABkcnMv&#10;ZTJvRG9jLnhtbFBLBQYAAAAABgAGAFkBAABfBQAAAAA=&#10;">
                      <v:fill on="f" focussize="0,0"/>
                      <v:stroke on="f"/>
                      <v:imagedata o:title=""/>
                      <o:lock v:ext="edit" aspectratio="f"/>
                      <v:textbox inset="0mm,0mm,0mm,0mm">
                        <w:txbxContent>
                          <w:p>
                            <w:pPr>
                              <w:snapToGrid w:val="0"/>
                            </w:pPr>
                            <w:r>
                              <w:rPr>
                                <w:rFonts w:hint="eastAsia"/>
                              </w:rPr>
                              <w:t>元</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937895</wp:posOffset>
                      </wp:positionH>
                      <wp:positionV relativeFrom="paragraph">
                        <wp:posOffset>404495</wp:posOffset>
                      </wp:positionV>
                      <wp:extent cx="186055" cy="20002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6055" cy="200025"/>
                              </a:xfrm>
                              <a:prstGeom prst="rect">
                                <a:avLst/>
                              </a:prstGeom>
                              <a:noFill/>
                              <a:ln>
                                <a:noFill/>
                              </a:ln>
                              <a:effectLst/>
                            </wps:spPr>
                            <wps:txbx>
                              <w:txbxContent>
                                <w:p>
                                  <w:pPr>
                                    <w:snapToGrid w:val="0"/>
                                  </w:pPr>
                                  <w:r>
                                    <w:rPr>
                                      <w:rFonts w:hint="eastAsia"/>
                                    </w:rPr>
                                    <w:t>万</w:t>
                                  </w:r>
                                </w:p>
                              </w:txbxContent>
                            </wps:txbx>
                            <wps:bodyPr wrap="square" lIns="0" tIns="0" rIns="0" bIns="0" upright="1"/>
                          </wps:wsp>
                        </a:graphicData>
                      </a:graphic>
                    </wp:anchor>
                  </w:drawing>
                </mc:Choice>
                <mc:Fallback>
                  <w:pict>
                    <v:shape id="_x0000_s1026" o:spid="_x0000_s1026" o:spt="202" type="#_x0000_t202" style="position:absolute;left:0pt;margin-left:73.85pt;margin-top:31.85pt;height:15.75pt;width:14.65pt;z-index:251661312;mso-width-relative:page;mso-height-relative:page;" filled="f" stroked="f" coordsize="21600,21600" o:gfxdata="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vCZpdcAAAAJAQAADwAAAAAAAAABACAAAAAiAAAAZHJzL2Rvd25y&#10;ZXYueG1sUEsBAhQAFAAAAAgAh07iQJZ2JvfGAQAAjwMAAA4AAAAAAAAAAQAgAAAAJgEAAGRycy9l&#10;Mm9Eb2MueG1sUEsFBgAAAAAGAAYAWQEAAF4FAAAAAA==&#10;">
                      <v:fill on="f" focussize="0,0"/>
                      <v:stroke on="f"/>
                      <v:imagedata o:title=""/>
                      <o:lock v:ext="edit" aspectratio="f"/>
                      <v:textbox inset="0mm,0mm,0mm,0mm">
                        <w:txbxContent>
                          <w:p>
                            <w:pPr>
                              <w:snapToGrid w:val="0"/>
                            </w:pPr>
                            <w:r>
                              <w:rPr>
                                <w:rFonts w:hint="eastAsia"/>
                              </w:rPr>
                              <w:t>万</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755650</wp:posOffset>
                      </wp:positionH>
                      <wp:positionV relativeFrom="paragraph">
                        <wp:posOffset>375285</wp:posOffset>
                      </wp:positionV>
                      <wp:extent cx="186055" cy="1911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6055" cy="191135"/>
                              </a:xfrm>
                              <a:prstGeom prst="rect">
                                <a:avLst/>
                              </a:prstGeom>
                              <a:noFill/>
                              <a:ln>
                                <a:noFill/>
                              </a:ln>
                              <a:effectLst/>
                            </wps:spPr>
                            <wps:txbx>
                              <w:txbxContent>
                                <w:p>
                                  <w:pPr>
                                    <w:snapToGrid w:val="0"/>
                                  </w:pPr>
                                  <w:r>
                                    <w:rPr>
                                      <w:rFonts w:hint="eastAsia"/>
                                    </w:rPr>
                                    <w:t>（</w:t>
                                  </w:r>
                                </w:p>
                              </w:txbxContent>
                            </wps:txbx>
                            <wps:bodyPr wrap="square" lIns="0" tIns="0" rIns="0" bIns="0" upright="1"/>
                          </wps:wsp>
                        </a:graphicData>
                      </a:graphic>
                    </wp:anchor>
                  </w:drawing>
                </mc:Choice>
                <mc:Fallback>
                  <w:pict>
                    <v:shape id="_x0000_s1026" o:spid="_x0000_s1026" o:spt="202" type="#_x0000_t202" style="position:absolute;left:0pt;margin-left:59.5pt;margin-top:29.55pt;height:15.05pt;width:14.65pt;z-index:251662336;mso-width-relative:page;mso-height-relative:page;" filled="f" stroked="f" coordsize="21600,21600" o:gfxdata="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JdmmtgAAAAJAQAADwAAAAAAAAABACAAAAAiAAAAZHJzL2Rv&#10;d25yZXYueG1sUEsBAhQAFAAAAAgAh07iQFEfzCbIAQAAjwMAAA4AAAAAAAAAAQAgAAAAJwEAAGRy&#10;cy9lMm9Eb2MueG1sUEsFBgAAAAAGAAYAWQEAAGEFAAAAAA==&#10;">
                      <v:fill on="f" focussize="0,0"/>
                      <v:stroke on="f"/>
                      <v:imagedata o:title=""/>
                      <o:lock v:ext="edit" aspectratio="f"/>
                      <v:textbox inset="0mm,0mm,0mm,0mm">
                        <w:txbxContent>
                          <w:p>
                            <w:pPr>
                              <w:snapToGrid w:val="0"/>
                            </w:pPr>
                            <w:r>
                              <w:rPr>
                                <w:rFonts w:hint="eastAsia"/>
                              </w:rPr>
                              <w:t>（</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574675</wp:posOffset>
                      </wp:positionH>
                      <wp:positionV relativeFrom="paragraph">
                        <wp:posOffset>346710</wp:posOffset>
                      </wp:positionV>
                      <wp:extent cx="185420" cy="20066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5420" cy="200660"/>
                              </a:xfrm>
                              <a:prstGeom prst="rect">
                                <a:avLst/>
                              </a:prstGeom>
                              <a:noFill/>
                              <a:ln>
                                <a:noFill/>
                              </a:ln>
                              <a:effectLst/>
                            </wps:spPr>
                            <wps:txbx>
                              <w:txbxContent>
                                <w:p>
                                  <w:pPr>
                                    <w:snapToGrid w:val="0"/>
                                  </w:pPr>
                                  <w:r>
                                    <w:rPr>
                                      <w:rFonts w:hint="eastAsia"/>
                                    </w:rPr>
                                    <w:t>额</w:t>
                                  </w:r>
                                </w:p>
                              </w:txbxContent>
                            </wps:txbx>
                            <wps:bodyPr wrap="square" lIns="0" tIns="0" rIns="0" bIns="0" upright="1"/>
                          </wps:wsp>
                        </a:graphicData>
                      </a:graphic>
                    </wp:anchor>
                  </w:drawing>
                </mc:Choice>
                <mc:Fallback>
                  <w:pict>
                    <v:shape id="_x0000_s1026" o:spid="_x0000_s1026" o:spt="202" type="#_x0000_t202" style="position:absolute;left:0pt;margin-left:45.25pt;margin-top:27.3pt;height:15.8pt;width:14.6pt;z-index:251663360;mso-width-relative:page;mso-height-relative:page;" filled="f" stroked="f" coordsize="21600,21600" o:gfxdata="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yB17XAAAACAEAAA8AAAAAAAAAAQAgAAAAIgAAAGRycy9kb3du&#10;cmV2LnhtbFBLAQIUABQAAAAIAIdO4kC9eK7KxwEAAI8DAAAOAAAAAAAAAAEAIAAAACYBAABkcnMv&#10;ZTJvRG9jLnhtbFBLBQYAAAAABgAGAFkBAABfBQAAAAA=&#10;">
                      <v:fill on="f" focussize="0,0"/>
                      <v:stroke on="f"/>
                      <v:imagedata o:title=""/>
                      <o:lock v:ext="edit" aspectratio="f"/>
                      <v:textbox inset="0mm,0mm,0mm,0mm">
                        <w:txbxContent>
                          <w:p>
                            <w:pPr>
                              <w:snapToGrid w:val="0"/>
                            </w:pPr>
                            <w:r>
                              <w:rPr>
                                <w:rFonts w:hint="eastAsia"/>
                              </w:rPr>
                              <w:t>额</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317500</wp:posOffset>
                      </wp:positionV>
                      <wp:extent cx="185420" cy="2006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5420" cy="200660"/>
                              </a:xfrm>
                              <a:prstGeom prst="rect">
                                <a:avLst/>
                              </a:prstGeom>
                              <a:noFill/>
                              <a:ln>
                                <a:noFill/>
                              </a:ln>
                              <a:effectLst/>
                            </wps:spPr>
                            <wps:txbx>
                              <w:txbxContent>
                                <w:p>
                                  <w:pPr>
                                    <w:snapToGrid w:val="0"/>
                                  </w:pPr>
                                  <w:r>
                                    <w:rPr>
                                      <w:rFonts w:hint="eastAsia"/>
                                    </w:rPr>
                                    <w:t>金</w:t>
                                  </w:r>
                                </w:p>
                              </w:txbxContent>
                            </wps:txbx>
                            <wps:bodyPr wrap="square" lIns="0" tIns="0" rIns="0" bIns="0" upright="1"/>
                          </wps:wsp>
                        </a:graphicData>
                      </a:graphic>
                    </wp:anchor>
                  </w:drawing>
                </mc:Choice>
                <mc:Fallback>
                  <w:pict>
                    <v:shape id="_x0000_s1026" o:spid="_x0000_s1026" o:spt="202" type="#_x0000_t202" style="position:absolute;left:0pt;margin-left:30.9pt;margin-top:25pt;height:15.8pt;width:14.6pt;z-index:251664384;mso-width-relative:page;mso-height-relative:page;" filled="f" stroked="f" coordsize="21600,21600" o:gfxdata="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9GMYDWAAAABwEAAA8AAAAAAAAAAQAgAAAAIgAAAGRycy9kb3du&#10;cmV2LnhtbFBLAQIUABQAAAAIAIdO4kBmVtu0yAEAAI8DAAAOAAAAAAAAAAEAIAAAACUBAABkcnMv&#10;ZTJvRG9jLnhtbFBLBQYAAAAABgAGAFkBAABfBQAAAAA=&#10;">
                      <v:fill on="f" focussize="0,0"/>
                      <v:stroke on="f"/>
                      <v:imagedata o:title=""/>
                      <o:lock v:ext="edit" aspectratio="f"/>
                      <v:textbox inset="0mm,0mm,0mm,0mm">
                        <w:txbxContent>
                          <w:p>
                            <w:pPr>
                              <w:snapToGrid w:val="0"/>
                            </w:pPr>
                            <w:r>
                              <w:rPr>
                                <w:rFonts w:hint="eastAsia"/>
                              </w:rPr>
                              <w:t>金</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210820</wp:posOffset>
                      </wp:positionH>
                      <wp:positionV relativeFrom="paragraph">
                        <wp:posOffset>288290</wp:posOffset>
                      </wp:positionV>
                      <wp:extent cx="186055" cy="2203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6055" cy="220345"/>
                              </a:xfrm>
                              <a:prstGeom prst="rect">
                                <a:avLst/>
                              </a:prstGeom>
                              <a:noFill/>
                              <a:ln>
                                <a:noFill/>
                              </a:ln>
                              <a:effectLst/>
                            </wps:spPr>
                            <wps:txbx>
                              <w:txbxContent>
                                <w:p>
                                  <w:pPr>
                                    <w:snapToGrid w:val="0"/>
                                  </w:pPr>
                                  <w:r>
                                    <w:rPr>
                                      <w:rFonts w:hint="eastAsia"/>
                                    </w:rPr>
                                    <w:t>标</w:t>
                                  </w:r>
                                </w:p>
                              </w:txbxContent>
                            </wps:txbx>
                            <wps:bodyPr wrap="square" lIns="0" tIns="0" rIns="0" bIns="0" upright="1"/>
                          </wps:wsp>
                        </a:graphicData>
                      </a:graphic>
                    </wp:anchor>
                  </w:drawing>
                </mc:Choice>
                <mc:Fallback>
                  <w:pict>
                    <v:shape id="_x0000_s1026" o:spid="_x0000_s1026" o:spt="202" type="#_x0000_t202" style="position:absolute;left:0pt;margin-left:16.6pt;margin-top:22.7pt;height:17.35pt;width:14.65pt;z-index:251665408;mso-width-relative:page;mso-height-relative:page;" filled="f" stroked="f" coordsize="21600,21600" o:gfxdata="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Jq2U1gAAAAcBAAAPAAAAAAAAAAEAIAAAACIAAABkcnMvZG93&#10;bnJldi54bWxQSwECFAAUAAAACACHTuJACtSZuskBAACPAwAADgAAAAAAAAABACAAAAAlAQAAZHJz&#10;L2Uyb0RvYy54bWxQSwUGAAAAAAYABgBZAQAAYAUAAAAA&#10;">
                      <v:fill on="f" focussize="0,0"/>
                      <v:stroke on="f"/>
                      <v:imagedata o:title=""/>
                      <o:lock v:ext="edit" aspectratio="f"/>
                      <v:textbox inset="0mm,0mm,0mm,0mm">
                        <w:txbxContent>
                          <w:p>
                            <w:pPr>
                              <w:snapToGrid w:val="0"/>
                            </w:pPr>
                            <w:r>
                              <w:rPr>
                                <w:rFonts w:hint="eastAsia"/>
                              </w:rPr>
                              <w:t>标</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259080</wp:posOffset>
                      </wp:positionV>
                      <wp:extent cx="186055" cy="17208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6055" cy="172085"/>
                              </a:xfrm>
                              <a:prstGeom prst="rect">
                                <a:avLst/>
                              </a:prstGeom>
                              <a:noFill/>
                              <a:ln>
                                <a:noFill/>
                              </a:ln>
                              <a:effectLst/>
                            </wps:spPr>
                            <wps:txbx>
                              <w:txbxContent>
                                <w:p>
                                  <w:pPr>
                                    <w:snapToGrid w:val="0"/>
                                  </w:pPr>
                                  <w:r>
                                    <w:rPr>
                                      <w:rFonts w:hint="eastAsia"/>
                                    </w:rPr>
                                    <w:t>中</w:t>
                                  </w:r>
                                </w:p>
                              </w:txbxContent>
                            </wps:txbx>
                            <wps:bodyPr wrap="square" lIns="0" tIns="0" rIns="0" bIns="0" upright="1"/>
                          </wps:wsp>
                        </a:graphicData>
                      </a:graphic>
                    </wp:anchor>
                  </w:drawing>
                </mc:Choice>
                <mc:Fallback>
                  <w:pict>
                    <v:shape id="_x0000_s1026" o:spid="_x0000_s1026" o:spt="202" type="#_x0000_t202" style="position:absolute;left:0pt;margin-left:2.25pt;margin-top:20.4pt;height:13.55pt;width:14.65pt;z-index:251666432;mso-width-relative:page;mso-height-relative:page;" filled="f" stroked="f" coordsize="21600,21600" o:gfxdata="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2G5TVAAAABgEAAA8AAAAAAAAAAQAgAAAAIgAAAGRycy9kb3du&#10;cmV2LnhtbFBLAQIUABQAAAAIAIdO4kDEu7vlyQEAAI8DAAAOAAAAAAAAAAEAIAAAACQBAABkcnMv&#10;ZTJvRG9jLnhtbFBLBQYAAAAABgAGAFkBAABfBQAAAAA=&#10;">
                      <v:fill on="f" focussize="0,0"/>
                      <v:stroke on="f"/>
                      <v:imagedata o:title=""/>
                      <o:lock v:ext="edit" aspectratio="f"/>
                      <v:textbox inset="0mm,0mm,0mm,0mm">
                        <w:txbxContent>
                          <w:p>
                            <w:pPr>
                              <w:snapToGrid w:val="0"/>
                            </w:pPr>
                            <w:r>
                              <w:rPr>
                                <w:rFonts w:hint="eastAsia"/>
                              </w:rPr>
                              <w:t>中</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1398270</wp:posOffset>
                      </wp:positionH>
                      <wp:positionV relativeFrom="paragraph">
                        <wp:posOffset>302260</wp:posOffset>
                      </wp:positionV>
                      <wp:extent cx="186055" cy="17208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6055" cy="172085"/>
                              </a:xfrm>
                              <a:prstGeom prst="rect">
                                <a:avLst/>
                              </a:prstGeom>
                              <a:noFill/>
                              <a:ln>
                                <a:noFill/>
                              </a:ln>
                              <a:effectLst/>
                            </wps:spPr>
                            <wps:txbx>
                              <w:txbxContent>
                                <w:p>
                                  <w:pPr>
                                    <w:snapToGrid w:val="0"/>
                                  </w:pPr>
                                  <w:r>
                                    <w:rPr>
                                      <w:rFonts w:hint="eastAsia"/>
                                    </w:rPr>
                                    <w:t>率</w:t>
                                  </w:r>
                                </w:p>
                              </w:txbxContent>
                            </wps:txbx>
                            <wps:bodyPr wrap="square" lIns="0" tIns="0" rIns="0" bIns="0" upright="1"/>
                          </wps:wsp>
                        </a:graphicData>
                      </a:graphic>
                    </wp:anchor>
                  </w:drawing>
                </mc:Choice>
                <mc:Fallback>
                  <w:pict>
                    <v:shape id="_x0000_s1026" o:spid="_x0000_s1026" o:spt="202" type="#_x0000_t202" style="position:absolute;left:0pt;margin-left:110.1pt;margin-top:23.8pt;height:13.55pt;width:14.65pt;z-index:251667456;mso-width-relative:page;mso-height-relative:page;" filled="f" stroked="f" coordsize="21600,21600" o:gfxdata="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SM7ZAAAACQEAAA8AAAAAAAAAAQAgAAAAIgAAAGRycy9k&#10;b3ducmV2LnhtbFBLAQIUABQAAAAIAIdO4kCpyCRnyAEAAI8DAAAOAAAAAAAAAAEAIAAAACgBAABk&#10;cnMvZTJvRG9jLnhtbFBLBQYAAAAABgAGAFkBAABiBQAAAAA=&#10;">
                      <v:fill on="f" focussize="0,0"/>
                      <v:stroke on="f"/>
                      <v:imagedata o:title=""/>
                      <o:lock v:ext="edit" aspectratio="f"/>
                      <v:textbox inset="0mm,0mm,0mm,0mm">
                        <w:txbxContent>
                          <w:p>
                            <w:pPr>
                              <w:snapToGrid w:val="0"/>
                            </w:pPr>
                            <w:r>
                              <w:rPr>
                                <w:rFonts w:hint="eastAsia"/>
                              </w:rPr>
                              <w:t>率</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908685</wp:posOffset>
                      </wp:positionH>
                      <wp:positionV relativeFrom="paragraph">
                        <wp:posOffset>181610</wp:posOffset>
                      </wp:positionV>
                      <wp:extent cx="157480" cy="19113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57480" cy="191135"/>
                              </a:xfrm>
                              <a:prstGeom prst="rect">
                                <a:avLst/>
                              </a:prstGeom>
                              <a:noFill/>
                              <a:ln>
                                <a:noFill/>
                              </a:ln>
                              <a:effectLst/>
                            </wps:spPr>
                            <wps:txbx>
                              <w:txbxContent>
                                <w:p>
                                  <w:pPr>
                                    <w:snapToGrid w:val="0"/>
                                  </w:pPr>
                                  <w:r>
                                    <w:rPr>
                                      <w:rFonts w:hint="eastAsia"/>
                                    </w:rPr>
                                    <w:t>费</w:t>
                                  </w:r>
                                </w:p>
                              </w:txbxContent>
                            </wps:txbx>
                            <wps:bodyPr wrap="square" lIns="0" tIns="0" rIns="0" bIns="0" upright="1"/>
                          </wps:wsp>
                        </a:graphicData>
                      </a:graphic>
                    </wp:anchor>
                  </w:drawing>
                </mc:Choice>
                <mc:Fallback>
                  <w:pict>
                    <v:shape id="_x0000_s1026" o:spid="_x0000_s1026" o:spt="202" type="#_x0000_t202" style="position:absolute;left:0pt;margin-left:71.55pt;margin-top:14.3pt;height:15.05pt;width:12.4pt;z-index:251668480;mso-width-relative:page;mso-height-relative:page;" filled="f" stroked="f" coordsize="21600,21600" o:gfxdata="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ON8gtgAAAAJAQAADwAAAAAAAAABACAAAAAiAAAAZHJzL2Rv&#10;d25yZXYueG1sUEsBAhQAFAAAAAgAh07iQLlnrU/IAQAAjwMAAA4AAAAAAAAAAQAgAAAAJwEAAGRy&#10;cy9lMm9Eb2MueG1sUEsFBgAAAAAGAAYAWQEAAGEFAAAAAA==&#10;">
                      <v:fill on="f" focussize="0,0"/>
                      <v:stroke on="f"/>
                      <v:imagedata o:title=""/>
                      <o:lock v:ext="edit" aspectratio="f"/>
                      <v:textbox inset="0mm,0mm,0mm,0mm">
                        <w:txbxContent>
                          <w:p>
                            <w:pPr>
                              <w:snapToGrid w:val="0"/>
                            </w:pPr>
                            <w:r>
                              <w:rPr>
                                <w:rFonts w:hint="eastAsia"/>
                              </w:rPr>
                              <w:t>费</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1488440</wp:posOffset>
                      </wp:positionH>
                      <wp:positionV relativeFrom="paragraph">
                        <wp:posOffset>57150</wp:posOffset>
                      </wp:positionV>
                      <wp:extent cx="186055" cy="1346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6055" cy="134620"/>
                              </a:xfrm>
                              <a:prstGeom prst="rect">
                                <a:avLst/>
                              </a:prstGeom>
                              <a:noFill/>
                              <a:ln>
                                <a:noFill/>
                              </a:ln>
                              <a:effectLst/>
                            </wps:spPr>
                            <wps:txbx>
                              <w:txbxContent>
                                <w:p>
                                  <w:pPr>
                                    <w:snapToGrid w:val="0"/>
                                  </w:pPr>
                                  <w:r>
                                    <w:rPr>
                                      <w:rFonts w:hint="eastAsia"/>
                                    </w:rPr>
                                    <w:t>别</w:t>
                                  </w:r>
                                </w:p>
                              </w:txbxContent>
                            </wps:txbx>
                            <wps:bodyPr wrap="square" lIns="0" tIns="0" rIns="0" bIns="0" upright="1"/>
                          </wps:wsp>
                        </a:graphicData>
                      </a:graphic>
                    </wp:anchor>
                  </w:drawing>
                </mc:Choice>
                <mc:Fallback>
                  <w:pict>
                    <v:shape id="_x0000_s1026" o:spid="_x0000_s1026" o:spt="202" type="#_x0000_t202" style="position:absolute;left:0pt;margin-left:117.2pt;margin-top:4.5pt;height:10.6pt;width:14.65pt;z-index:251669504;mso-width-relative:page;mso-height-relative:page;" filled="f" stroked="f" coordsize="21600,21600" o:gfxdata="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7845fYAAAACAEAAA8AAAAAAAAAAQAgAAAAIgAAAGRycy9k&#10;b3ducmV2LnhtbFBLAQIUABQAAAAIAIdO4kACjN1OyQEAAI8DAAAOAAAAAAAAAAEAIAAAACcBAABk&#10;cnMvZTJvRG9jLnhtbFBLBQYAAAAABgAGAFkBAABiBQAAAAA=&#10;">
                      <v:fill on="f" focussize="0,0"/>
                      <v:stroke on="f"/>
                      <v:imagedata o:title=""/>
                      <o:lock v:ext="edit" aspectratio="f"/>
                      <v:textbox inset="0mm,0mm,0mm,0mm">
                        <w:txbxContent>
                          <w:p>
                            <w:pPr>
                              <w:snapToGrid w:val="0"/>
                            </w:pPr>
                            <w:r>
                              <w:rPr>
                                <w:rFonts w:hint="eastAsia"/>
                              </w:rPr>
                              <w:t>别</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37465</wp:posOffset>
                      </wp:positionV>
                      <wp:extent cx="186055" cy="13398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6055" cy="133985"/>
                              </a:xfrm>
                              <a:prstGeom prst="rect">
                                <a:avLst/>
                              </a:prstGeom>
                              <a:noFill/>
                              <a:ln>
                                <a:noFill/>
                              </a:ln>
                              <a:effectLst/>
                            </wps:spPr>
                            <wps:txbx>
                              <w:txbxContent>
                                <w:p>
                                  <w:pPr>
                                    <w:snapToGrid w:val="0"/>
                                  </w:pPr>
                                  <w:r>
                                    <w:rPr>
                                      <w:rFonts w:hint="eastAsia"/>
                                    </w:rPr>
                                    <w:t>类</w:t>
                                  </w:r>
                                </w:p>
                              </w:txbxContent>
                            </wps:txbx>
                            <wps:bodyPr wrap="square" lIns="0" tIns="0" rIns="0" bIns="0" upright="1"/>
                          </wps:wsp>
                        </a:graphicData>
                      </a:graphic>
                    </wp:anchor>
                  </w:drawing>
                </mc:Choice>
                <mc:Fallback>
                  <w:pict>
                    <v:shape id="_x0000_s1026" o:spid="_x0000_s1026" o:spt="202" type="#_x0000_t202" style="position:absolute;left:0pt;margin-left:97.3pt;margin-top:2.95pt;height:10.55pt;width:14.65pt;z-index:251670528;mso-width-relative:page;mso-height-relative:page;" filled="f" stroked="f" coordsize="21600,21600" o:gfxdata="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7p9t1gAAAAgBAAAPAAAAAAAAAAEAIAAAACIAAABkcnMvZG93&#10;bnJldi54bWxQSwECFAAUAAAACACHTuJAjMg9c8kBAACPAwAADgAAAAAAAAABACAAAAAlAQAAZHJz&#10;L2Uyb0RvYy54bWxQSwUGAAAAAAYABgBZAQAAYAUAAAAA&#10;">
                      <v:fill on="f" focussize="0,0"/>
                      <v:stroke on="f"/>
                      <v:imagedata o:title=""/>
                      <o:lock v:ext="edit" aspectratio="f"/>
                      <v:textbox inset="0mm,0mm,0mm,0mm">
                        <w:txbxContent>
                          <w:p>
                            <w:pPr>
                              <w:snapToGrid w:val="0"/>
                            </w:pPr>
                            <w:r>
                              <w:rPr>
                                <w:rFonts w:hint="eastAsia"/>
                              </w:rPr>
                              <w:t>类</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983615</wp:posOffset>
                      </wp:positionH>
                      <wp:positionV relativeFrom="paragraph">
                        <wp:posOffset>17145</wp:posOffset>
                      </wp:positionV>
                      <wp:extent cx="186055" cy="1346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6055" cy="134620"/>
                              </a:xfrm>
                              <a:prstGeom prst="rect">
                                <a:avLst/>
                              </a:prstGeom>
                              <a:noFill/>
                              <a:ln>
                                <a:noFill/>
                              </a:ln>
                              <a:effectLst/>
                            </wps:spPr>
                            <wps:txbx>
                              <w:txbxContent>
                                <w:p>
                                  <w:pPr>
                                    <w:snapToGrid w:val="0"/>
                                  </w:pPr>
                                  <w:r>
                                    <w:rPr>
                                      <w:rFonts w:hint="eastAsia"/>
                                    </w:rPr>
                                    <w:t>标</w:t>
                                  </w:r>
                                </w:p>
                              </w:txbxContent>
                            </wps:txbx>
                            <wps:bodyPr wrap="square" lIns="0" tIns="0" rIns="0" bIns="0" upright="1"/>
                          </wps:wsp>
                        </a:graphicData>
                      </a:graphic>
                    </wp:anchor>
                  </w:drawing>
                </mc:Choice>
                <mc:Fallback>
                  <w:pict>
                    <v:shape id="_x0000_s1026" o:spid="_x0000_s1026" o:spt="202" type="#_x0000_t202" style="position:absolute;left:0pt;margin-left:77.45pt;margin-top:1.35pt;height:10.6pt;width:14.65pt;z-index:251671552;mso-width-relative:page;mso-height-relative:page;" filled="f" stroked="f" coordsize="21600,21600" o:gfxdata="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2wljdcAAAAIAQAADwAAAAAAAAABACAAAAAiAAAAZHJzL2Rv&#10;d25yZXYueG1sUEsBAhQAFAAAAAgAh07iQCqI6RrJAQAAjwMAAA4AAAAAAAAAAQAgAAAAJgEAAGRy&#10;cy9lMm9Eb2MueG1sUEsFBgAAAAAGAAYAWQEAAGEFAAAAAA==&#10;">
                      <v:fill on="f" focussize="0,0"/>
                      <v:stroke on="f"/>
                      <v:imagedata o:title=""/>
                      <o:lock v:ext="edit" aspectratio="f"/>
                      <v:textbox inset="0mm,0mm,0mm,0mm">
                        <w:txbxContent>
                          <w:p>
                            <w:pPr>
                              <w:snapToGrid w:val="0"/>
                            </w:pPr>
                            <w:r>
                              <w:rPr>
                                <w:rFonts w:hint="eastAsia"/>
                              </w:rPr>
                              <w:t>标</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730885</wp:posOffset>
                      </wp:positionH>
                      <wp:positionV relativeFrom="paragraph">
                        <wp:posOffset>0</wp:posOffset>
                      </wp:positionV>
                      <wp:extent cx="186055" cy="1346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6055" cy="134620"/>
                              </a:xfrm>
                              <a:prstGeom prst="rect">
                                <a:avLst/>
                              </a:prstGeom>
                              <a:noFill/>
                              <a:ln>
                                <a:noFill/>
                              </a:ln>
                              <a:effectLst/>
                            </wps:spPr>
                            <wps:txbx>
                              <w:txbxContent>
                                <w:p>
                                  <w:pPr>
                                    <w:snapToGrid w:val="0"/>
                                  </w:pPr>
                                  <w:r>
                                    <w:rPr>
                                      <w:rFonts w:hint="eastAsia"/>
                                    </w:rPr>
                                    <w:t>招</w:t>
                                  </w:r>
                                </w:p>
                              </w:txbxContent>
                            </wps:txbx>
                            <wps:bodyPr wrap="square" lIns="0" tIns="0" rIns="0" bIns="0" upright="1"/>
                          </wps:wsp>
                        </a:graphicData>
                      </a:graphic>
                    </wp:anchor>
                  </w:drawing>
                </mc:Choice>
                <mc:Fallback>
                  <w:pict>
                    <v:shape id="_x0000_s1026" o:spid="_x0000_s1026" o:spt="202" type="#_x0000_t202" style="position:absolute;left:0pt;margin-left:57.55pt;margin-top:0pt;height:10.6pt;width:14.65pt;z-index:251672576;mso-width-relative:page;mso-height-relative:page;" filled="f" stroked="f" coordsize="21600,21600" o:gfxdata="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gZJr1QAAAAcBAAAPAAAAAAAAAAEAIAAAACIAAABkcnMvZG93&#10;bnJldi54bWxQSwECFAAUAAAACACHTuJA8aacZMoBAACPAwAADgAAAAAAAAABACAAAAAkAQAAZHJz&#10;L2Uyb0RvYy54bWxQSwUGAAAAAAYABgBZAQAAYAUAAAAA&#10;">
                      <v:fill on="f" focussize="0,0"/>
                      <v:stroke on="f"/>
                      <v:imagedata o:title=""/>
                      <o:lock v:ext="edit" aspectratio="f"/>
                      <v:textbox inset="0mm,0mm,0mm,0mm">
                        <w:txbxContent>
                          <w:p>
                            <w:pPr>
                              <w:snapToGrid w:val="0"/>
                            </w:pPr>
                            <w:r>
                              <w:rPr>
                                <w:rFonts w:hint="eastAsia"/>
                              </w:rPr>
                              <w:t>招</w:t>
                            </w:r>
                          </w:p>
                        </w:txbxContent>
                      </v:textbox>
                    </v:shape>
                  </w:pict>
                </mc:Fallback>
              </mc:AlternateContent>
            </w:r>
            <w:r>
              <w:rPr>
                <w:rFonts w:hint="eastAsia" w:cs="Times New Roman"/>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0</wp:posOffset>
                      </wp:positionV>
                      <wp:extent cx="1699895" cy="542925"/>
                      <wp:effectExtent l="1270" t="4445" r="13335" b="5080"/>
                      <wp:wrapNone/>
                      <wp:docPr id="32" name="直接连接符 32"/>
                      <wp:cNvGraphicFramePr/>
                      <a:graphic xmlns:a="http://schemas.openxmlformats.org/drawingml/2006/main">
                        <a:graphicData uri="http://schemas.microsoft.com/office/word/2010/wordprocessingShape">
                          <wps:wsp>
                            <wps:cNvCnPr/>
                            <wps:spPr>
                              <a:xfrm>
                                <a:off x="0" y="0"/>
                                <a:ext cx="1699895" cy="54292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0pt;height:42.75pt;width:133.85pt;z-index:251673600;mso-width-relative:page;mso-height-relative:page;" filled="f" stroked="t" coordsize="21600,21600" o:gfxdata="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0ixvUAAAABwEAAA8AAAAAAAAAAQAgAAAAIgAAAGRycy9kb3ducmV2LnhtbFBLAQIU&#10;ABQAAAAIAIdO4kDySVHp9wEAAO0DAAAOAAAAAAAAAAEAIAAAACMBAABkcnMvZTJvRG9jLnhtbFBL&#10;BQYAAAAABgAGAFkBAACMBQAAAAA=&#10;">
                      <v:fill on="f" focussize="0,0"/>
                      <v:stroke weight="0.5pt" color="#000000" joinstyle="round"/>
                      <v:imagedata o:title=""/>
                      <o:lock v:ext="edit" aspectratio="f"/>
                    </v:line>
                  </w:pict>
                </mc:Fallback>
              </mc:AlternateContent>
            </w:r>
            <w:r>
              <w:rPr>
                <w:rFonts w:hint="eastAsia" w:cs="Times New Roman"/>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-65405</wp:posOffset>
                      </wp:positionH>
                      <wp:positionV relativeFrom="paragraph">
                        <wp:posOffset>0</wp:posOffset>
                      </wp:positionV>
                      <wp:extent cx="1716405" cy="290195"/>
                      <wp:effectExtent l="635" t="4445" r="16510" b="10160"/>
                      <wp:wrapNone/>
                      <wp:docPr id="33" name="直接连接符 33"/>
                      <wp:cNvGraphicFramePr/>
                      <a:graphic xmlns:a="http://schemas.openxmlformats.org/drawingml/2006/main">
                        <a:graphicData uri="http://schemas.microsoft.com/office/word/2010/wordprocessingShape">
                          <wps:wsp>
                            <wps:cNvCnPr/>
                            <wps:spPr>
                              <a:xfrm>
                                <a:off x="0" y="0"/>
                                <a:ext cx="1716405" cy="29019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0pt;height:22.85pt;width:135.15pt;z-index:251674624;mso-width-relative:page;mso-height-relative:page;" filled="f" stroked="t" coordsize="21600,21600" o:gfxdata="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MdJjUAAAABwEAAA8AAAAAAAAAAQAgAAAAIgAAAGRycy9kb3ducmV2LnhtbFBLAQIU&#10;ABQAAAAIAIdO4kAIGhpq9wEAAO0DAAAOAAAAAAAAAAEAIAAAACMBAABkcnMvZTJvRG9jLnhtbFBL&#10;BQYAAAAABgAGAFkBAACMBQAAAAA=&#10;">
                      <v:fill on="f" focussize="0,0"/>
                      <v:stroke weight="0.5pt" color="#000000" joinstyle="round"/>
                      <v:imagedata o:title=""/>
                      <o:lock v:ext="edit" aspectratio="f"/>
                    </v:line>
                  </w:pict>
                </mc:Fallback>
              </mc:AlternateContent>
            </w:r>
          </w:p>
        </w:tc>
        <w:tc>
          <w:tcPr>
            <w:tcW w:w="5623" w:type="dxa"/>
            <w:noWrap w:val="0"/>
            <w:vAlign w:val="center"/>
          </w:tcPr>
          <w:p>
            <w:pPr>
              <w:pStyle w:val="46"/>
              <w:keepNext w:val="0"/>
              <w:keepLines w:val="0"/>
              <w:suppressLineNumbers w:val="0"/>
              <w:spacing w:before="0" w:beforeAutospacing="0" w:after="0" w:afterAutospacing="0" w:line="360" w:lineRule="auto"/>
              <w:ind w:left="0" w:right="0" w:firstLine="420"/>
              <w:jc w:val="center"/>
              <w:rPr>
                <w:rFonts w:hint="default" w:cs="Times New Roman"/>
                <w:color w:val="auto"/>
                <w:sz w:val="24"/>
                <w:highlight w:val="none"/>
              </w:rPr>
            </w:pPr>
            <w:r>
              <w:rPr>
                <w:rFonts w:hint="eastAsia" w:cs="Times New Roman"/>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11"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r>
              <w:rPr>
                <w:rFonts w:hint="eastAsia" w:cs="Times New Roman"/>
                <w:color w:val="auto"/>
                <w:sz w:val="24"/>
                <w:highlight w:val="none"/>
              </w:rPr>
              <w:t>100--200</w:t>
            </w:r>
          </w:p>
        </w:tc>
        <w:tc>
          <w:tcPr>
            <w:tcW w:w="5623" w:type="dxa"/>
            <w:noWrap w:val="0"/>
            <w:vAlign w:val="center"/>
          </w:tcPr>
          <w:p>
            <w:pPr>
              <w:pStyle w:val="46"/>
              <w:keepNext w:val="0"/>
              <w:keepLines w:val="0"/>
              <w:suppressLineNumbers w:val="0"/>
              <w:spacing w:before="0" w:beforeAutospacing="0" w:after="0" w:afterAutospacing="0" w:line="360" w:lineRule="auto"/>
              <w:ind w:left="0" w:right="0" w:firstLine="420"/>
              <w:jc w:val="center"/>
              <w:rPr>
                <w:rFonts w:hint="eastAsia" w:cs="Times New Roman"/>
                <w:color w:val="auto"/>
                <w:sz w:val="24"/>
                <w:highlight w:val="none"/>
              </w:rPr>
            </w:pPr>
            <w:r>
              <w:rPr>
                <w:rFonts w:hint="eastAsia" w:cs="Times New Roman"/>
                <w:color w:val="auto"/>
                <w:sz w:val="24"/>
                <w:highlight w:val="none"/>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11"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r>
              <w:rPr>
                <w:rFonts w:hint="eastAsia" w:cs="Times New Roman"/>
                <w:color w:val="auto"/>
                <w:sz w:val="24"/>
                <w:highlight w:val="none"/>
              </w:rPr>
              <w:t>200--500</w:t>
            </w:r>
          </w:p>
        </w:tc>
        <w:tc>
          <w:tcPr>
            <w:tcW w:w="5623" w:type="dxa"/>
            <w:noWrap w:val="0"/>
            <w:vAlign w:val="center"/>
          </w:tcPr>
          <w:p>
            <w:pPr>
              <w:pStyle w:val="46"/>
              <w:keepNext w:val="0"/>
              <w:keepLines w:val="0"/>
              <w:suppressLineNumbers w:val="0"/>
              <w:spacing w:before="0" w:beforeAutospacing="0" w:after="0" w:afterAutospacing="0" w:line="360" w:lineRule="auto"/>
              <w:ind w:left="0" w:right="0" w:firstLine="420"/>
              <w:jc w:val="center"/>
              <w:rPr>
                <w:rFonts w:hint="eastAsia" w:cs="Times New Roman"/>
                <w:color w:val="auto"/>
                <w:sz w:val="24"/>
                <w:highlight w:val="none"/>
              </w:rPr>
            </w:pPr>
            <w:r>
              <w:rPr>
                <w:rFonts w:hint="eastAsia" w:cs="Times New Roman"/>
                <w:color w:val="auto"/>
                <w:sz w:val="24"/>
                <w:highlight w:val="none"/>
              </w:rPr>
              <w:t>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11"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r>
              <w:rPr>
                <w:rFonts w:hint="eastAsia" w:cs="Times New Roman"/>
                <w:color w:val="auto"/>
                <w:sz w:val="24"/>
                <w:highlight w:val="none"/>
              </w:rPr>
              <w:t>500--1000</w:t>
            </w:r>
          </w:p>
        </w:tc>
        <w:tc>
          <w:tcPr>
            <w:tcW w:w="5623" w:type="dxa"/>
            <w:noWrap w:val="0"/>
            <w:vAlign w:val="center"/>
          </w:tcPr>
          <w:p>
            <w:pPr>
              <w:pStyle w:val="46"/>
              <w:keepNext w:val="0"/>
              <w:keepLines w:val="0"/>
              <w:suppressLineNumbers w:val="0"/>
              <w:spacing w:before="0" w:beforeAutospacing="0" w:after="0" w:afterAutospacing="0" w:line="360" w:lineRule="auto"/>
              <w:ind w:left="0" w:right="0" w:firstLine="420"/>
              <w:jc w:val="center"/>
              <w:rPr>
                <w:rFonts w:hint="eastAsia" w:cs="Times New Roman"/>
                <w:color w:val="auto"/>
                <w:sz w:val="24"/>
                <w:highlight w:val="none"/>
              </w:rPr>
            </w:pPr>
            <w:r>
              <w:rPr>
                <w:rFonts w:hint="eastAsia" w:cs="Times New Roman"/>
                <w:color w:val="auto"/>
                <w:sz w:val="24"/>
                <w:highlight w:val="none"/>
              </w:rPr>
              <w:t>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11"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r>
              <w:rPr>
                <w:rFonts w:hint="eastAsia" w:cs="Times New Roman"/>
                <w:color w:val="auto"/>
                <w:sz w:val="24"/>
                <w:highlight w:val="none"/>
              </w:rPr>
              <w:t>1000以上</w:t>
            </w:r>
          </w:p>
        </w:tc>
        <w:tc>
          <w:tcPr>
            <w:tcW w:w="5623" w:type="dxa"/>
            <w:noWrap w:val="0"/>
            <w:vAlign w:val="center"/>
          </w:tcPr>
          <w:p>
            <w:pPr>
              <w:pStyle w:val="46"/>
              <w:keepNext w:val="0"/>
              <w:keepLines w:val="0"/>
              <w:suppressLineNumbers w:val="0"/>
              <w:spacing w:before="0" w:beforeAutospacing="0" w:after="0" w:afterAutospacing="0" w:line="360" w:lineRule="auto"/>
              <w:ind w:left="0" w:right="0" w:firstLine="420"/>
              <w:jc w:val="center"/>
              <w:rPr>
                <w:rFonts w:hint="eastAsia" w:cs="Times New Roman"/>
                <w:color w:val="auto"/>
                <w:sz w:val="24"/>
                <w:highlight w:val="none"/>
              </w:rPr>
            </w:pPr>
            <w:r>
              <w:rPr>
                <w:rFonts w:hint="eastAsia" w:cs="Times New Roman"/>
                <w:color w:val="auto"/>
                <w:sz w:val="24"/>
                <w:highlight w:val="none"/>
              </w:rPr>
              <w:t>0.495%</w:t>
            </w:r>
          </w:p>
        </w:tc>
      </w:tr>
    </w:tbl>
    <w:p>
      <w:pPr>
        <w:pStyle w:val="46"/>
        <w:spacing w:line="360" w:lineRule="auto"/>
        <w:ind w:firstLine="420"/>
        <w:rPr>
          <w:rFonts w:hint="eastAsia"/>
          <w:color w:val="auto"/>
          <w:sz w:val="24"/>
          <w:highlight w:val="none"/>
        </w:rPr>
      </w:pPr>
    </w:p>
    <w:p>
      <w:pPr>
        <w:pStyle w:val="46"/>
        <w:spacing w:line="360" w:lineRule="auto"/>
        <w:ind w:firstLine="420"/>
        <w:rPr>
          <w:rFonts w:hint="eastAsia"/>
          <w:color w:val="auto"/>
          <w:sz w:val="24"/>
          <w:highlight w:val="none"/>
        </w:rPr>
      </w:pPr>
      <w:r>
        <w:rPr>
          <w:rFonts w:hint="eastAsia"/>
          <w:color w:val="auto"/>
          <w:sz w:val="24"/>
          <w:highlight w:val="none"/>
        </w:rPr>
        <w:t>注：代理服务费=中标金额*费率</w:t>
      </w:r>
    </w:p>
    <w:p>
      <w:pPr>
        <w:pStyle w:val="46"/>
        <w:spacing w:line="360" w:lineRule="auto"/>
        <w:ind w:firstLine="420"/>
        <w:rPr>
          <w:rFonts w:hint="eastAsia"/>
          <w:color w:val="auto"/>
          <w:sz w:val="24"/>
          <w:highlight w:val="none"/>
        </w:rPr>
      </w:pPr>
      <w:r>
        <w:rPr>
          <w:rFonts w:hint="eastAsia"/>
          <w:color w:val="auto"/>
          <w:sz w:val="24"/>
          <w:highlight w:val="none"/>
        </w:rPr>
        <w:t>本次磋商代理服务费向</w:t>
      </w:r>
      <w:r>
        <w:rPr>
          <w:rFonts w:hint="eastAsia"/>
          <w:color w:val="auto"/>
          <w:sz w:val="24"/>
          <w:highlight w:val="none"/>
          <w:lang w:eastAsia="zh-CN"/>
        </w:rPr>
        <w:t>成交人</w:t>
      </w:r>
      <w:r>
        <w:rPr>
          <w:rFonts w:hint="eastAsia"/>
          <w:color w:val="auto"/>
          <w:sz w:val="24"/>
          <w:highlight w:val="none"/>
        </w:rPr>
        <w:t>收取。</w:t>
      </w:r>
    </w:p>
    <w:p>
      <w:pPr>
        <w:pStyle w:val="46"/>
        <w:spacing w:line="360" w:lineRule="auto"/>
        <w:ind w:firstLine="420"/>
        <w:rPr>
          <w:rFonts w:hint="eastAsia"/>
          <w:color w:val="auto"/>
          <w:sz w:val="24"/>
          <w:highlight w:val="none"/>
        </w:rPr>
      </w:pPr>
      <w:r>
        <w:rPr>
          <w:rFonts w:hint="eastAsia"/>
          <w:color w:val="auto"/>
          <w:sz w:val="24"/>
          <w:highlight w:val="none"/>
        </w:rPr>
        <w:t>3.代理服务费收费账号信息：</w:t>
      </w:r>
    </w:p>
    <w:p>
      <w:pPr>
        <w:pStyle w:val="46"/>
        <w:spacing w:line="360" w:lineRule="auto"/>
        <w:ind w:firstLine="420"/>
        <w:rPr>
          <w:rFonts w:hint="eastAsia"/>
          <w:color w:val="auto"/>
          <w:sz w:val="24"/>
          <w:highlight w:val="none"/>
        </w:rPr>
      </w:pPr>
      <w:r>
        <w:rPr>
          <w:rFonts w:hint="eastAsia"/>
          <w:color w:val="auto"/>
          <w:sz w:val="24"/>
          <w:highlight w:val="none"/>
        </w:rPr>
        <w:t>开户名称：大连佳沐项目管理有限公司</w:t>
      </w:r>
    </w:p>
    <w:p>
      <w:pPr>
        <w:pStyle w:val="46"/>
        <w:spacing w:line="360" w:lineRule="auto"/>
        <w:ind w:firstLine="420"/>
        <w:rPr>
          <w:rFonts w:hint="eastAsia"/>
          <w:color w:val="auto"/>
          <w:sz w:val="24"/>
          <w:highlight w:val="none"/>
        </w:rPr>
      </w:pPr>
      <w:r>
        <w:rPr>
          <w:rFonts w:hint="eastAsia"/>
          <w:color w:val="auto"/>
          <w:sz w:val="24"/>
          <w:highlight w:val="none"/>
        </w:rPr>
        <w:t>开户行：招商银行大连分行大连万达广场支行</w:t>
      </w:r>
    </w:p>
    <w:p>
      <w:pPr>
        <w:pStyle w:val="46"/>
        <w:spacing w:line="360" w:lineRule="auto"/>
        <w:ind w:firstLine="420"/>
        <w:rPr>
          <w:rFonts w:hint="eastAsia"/>
          <w:color w:val="auto"/>
          <w:sz w:val="24"/>
          <w:highlight w:val="none"/>
        </w:rPr>
      </w:pPr>
      <w:r>
        <w:rPr>
          <w:rFonts w:hint="eastAsia"/>
          <w:color w:val="auto"/>
          <w:sz w:val="24"/>
          <w:highlight w:val="none"/>
        </w:rPr>
        <w:t>账号：411909168110706</w:t>
      </w:r>
    </w:p>
    <w:p>
      <w:pPr>
        <w:pStyle w:val="46"/>
        <w:spacing w:line="360" w:lineRule="auto"/>
        <w:ind w:firstLine="420"/>
        <w:rPr>
          <w:rFonts w:hint="eastAsia"/>
          <w:color w:val="auto"/>
          <w:sz w:val="24"/>
          <w:highlight w:val="none"/>
        </w:rPr>
      </w:pPr>
      <w:r>
        <w:rPr>
          <w:rFonts w:hint="eastAsia"/>
          <w:color w:val="auto"/>
          <w:sz w:val="24"/>
          <w:highlight w:val="none"/>
        </w:rPr>
        <w:t>行号：308222027251</w:t>
      </w:r>
    </w:p>
    <w:p>
      <w:pPr>
        <w:pStyle w:val="46"/>
        <w:spacing w:line="360" w:lineRule="auto"/>
        <w:ind w:firstLine="420"/>
        <w:rPr>
          <w:rFonts w:hint="eastAsia"/>
          <w:color w:val="auto"/>
          <w:sz w:val="24"/>
          <w:highlight w:val="none"/>
        </w:rPr>
      </w:pPr>
    </w:p>
    <w:p>
      <w:pPr>
        <w:pStyle w:val="46"/>
        <w:spacing w:line="360" w:lineRule="auto"/>
        <w:ind w:firstLine="420"/>
        <w:rPr>
          <w:rFonts w:hint="eastAsia"/>
          <w:color w:val="auto"/>
          <w:sz w:val="24"/>
          <w:highlight w:val="none"/>
        </w:rPr>
      </w:pPr>
    </w:p>
    <w:p>
      <w:pPr>
        <w:spacing w:line="360" w:lineRule="auto"/>
        <w:rPr>
          <w:rFonts w:hint="eastAsia" w:ascii="宋体" w:hAnsi="宋体" w:cs="宋体"/>
          <w:b/>
          <w:bCs/>
          <w:color w:val="auto"/>
          <w:sz w:val="36"/>
          <w:highlight w:val="none"/>
        </w:rPr>
      </w:pPr>
    </w:p>
    <w:p>
      <w:pPr>
        <w:spacing w:line="360" w:lineRule="auto"/>
        <w:rPr>
          <w:rFonts w:hint="eastAsia" w:ascii="宋体" w:hAnsi="宋体" w:cs="宋体"/>
          <w:b/>
          <w:bCs/>
          <w:color w:val="auto"/>
          <w:sz w:val="36"/>
          <w:highlight w:val="none"/>
        </w:rPr>
      </w:pPr>
      <w:r>
        <w:rPr>
          <w:rFonts w:ascii="宋体" w:hAnsi="宋体" w:cs="宋体"/>
          <w:b/>
          <w:bCs/>
          <w:color w:val="auto"/>
          <w:sz w:val="36"/>
          <w:highlight w:val="none"/>
        </w:rPr>
        <w:br w:type="page"/>
      </w:r>
      <w:r>
        <w:rPr>
          <w:rFonts w:hint="eastAsia" w:ascii="宋体" w:hAnsi="宋体" w:cs="宋体"/>
          <w:b/>
          <w:bCs/>
          <w:color w:val="auto"/>
          <w:sz w:val="36"/>
          <w:highlight w:val="none"/>
        </w:rPr>
        <w:t>附件三</w:t>
      </w:r>
    </w:p>
    <w:p>
      <w:pPr>
        <w:spacing w:after="240" w:line="360" w:lineRule="auto"/>
        <w:ind w:left="-424" w:leftChars="-202" w:right="-483" w:rightChars="-230"/>
        <w:jc w:val="center"/>
        <w:rPr>
          <w:rFonts w:hint="eastAsia"/>
          <w:b/>
          <w:bCs/>
          <w:color w:val="auto"/>
          <w:sz w:val="36"/>
          <w:szCs w:val="36"/>
          <w:highlight w:val="none"/>
        </w:rPr>
      </w:pPr>
      <w:bookmarkStart w:id="108" w:name="_Toc272476066"/>
      <w:r>
        <w:rPr>
          <w:rFonts w:hint="eastAsia"/>
          <w:b/>
          <w:bCs/>
          <w:color w:val="auto"/>
          <w:sz w:val="36"/>
          <w:szCs w:val="36"/>
          <w:highlight w:val="none"/>
        </w:rPr>
        <w:t>文件密封完整性记录表</w:t>
      </w:r>
      <w:bookmarkEnd w:id="108"/>
    </w:p>
    <w:p>
      <w:pPr>
        <w:pStyle w:val="46"/>
        <w:spacing w:line="360" w:lineRule="auto"/>
        <w:jc w:val="left"/>
        <w:rPr>
          <w:rFonts w:hint="eastAsia"/>
          <w:color w:val="auto"/>
          <w:sz w:val="24"/>
          <w:highlight w:val="none"/>
        </w:rPr>
      </w:pPr>
      <w:r>
        <w:rPr>
          <w:rFonts w:hint="eastAsia"/>
          <w:color w:val="auto"/>
          <w:sz w:val="24"/>
          <w:highlight w:val="none"/>
        </w:rPr>
        <w:t>项目名称：</w:t>
      </w:r>
    </w:p>
    <w:p>
      <w:pPr>
        <w:pStyle w:val="46"/>
        <w:spacing w:line="360" w:lineRule="auto"/>
        <w:ind w:firstLine="420"/>
        <w:jc w:val="left"/>
        <w:rPr>
          <w:rFonts w:hint="eastAsia"/>
          <w:color w:val="auto"/>
          <w:sz w:val="24"/>
          <w:highlight w:val="none"/>
        </w:rPr>
      </w:pPr>
      <w:r>
        <w:rPr>
          <w:rFonts w:hint="eastAsia"/>
          <w:color w:val="auto"/>
          <w:sz w:val="24"/>
          <w:highlight w:val="none"/>
        </w:rPr>
        <w:t xml:space="preserve"> </w:t>
      </w:r>
    </w:p>
    <w:p>
      <w:pPr>
        <w:pStyle w:val="46"/>
        <w:spacing w:line="360" w:lineRule="auto"/>
        <w:jc w:val="left"/>
        <w:rPr>
          <w:rFonts w:hint="eastAsia"/>
          <w:color w:val="auto"/>
          <w:sz w:val="24"/>
          <w:highlight w:val="none"/>
        </w:rPr>
      </w:pPr>
      <w:r>
        <w:rPr>
          <w:rFonts w:hint="eastAsia"/>
          <w:color w:val="auto"/>
          <w:sz w:val="24"/>
          <w:highlight w:val="none"/>
        </w:rPr>
        <w:t>地    点：</w:t>
      </w:r>
    </w:p>
    <w:p>
      <w:pPr>
        <w:pStyle w:val="46"/>
        <w:spacing w:line="360" w:lineRule="auto"/>
        <w:ind w:firstLine="420"/>
        <w:jc w:val="left"/>
        <w:rPr>
          <w:rFonts w:hint="eastAsia"/>
          <w:color w:val="auto"/>
          <w:sz w:val="24"/>
          <w:highlight w:val="none"/>
        </w:rPr>
      </w:pPr>
    </w:p>
    <w:p>
      <w:pPr>
        <w:pStyle w:val="46"/>
        <w:spacing w:line="360" w:lineRule="auto"/>
        <w:jc w:val="left"/>
        <w:rPr>
          <w:rFonts w:hint="eastAsia"/>
          <w:color w:val="auto"/>
          <w:sz w:val="24"/>
          <w:highlight w:val="none"/>
        </w:rPr>
      </w:pPr>
      <w:r>
        <w:rPr>
          <w:rFonts w:hint="eastAsia"/>
          <w:color w:val="auto"/>
          <w:sz w:val="24"/>
          <w:highlight w:val="none"/>
        </w:rPr>
        <w:t xml:space="preserve">时    间：2022年 月  日 时 分                          </w:t>
      </w:r>
    </w:p>
    <w:p>
      <w:pPr>
        <w:pStyle w:val="46"/>
        <w:spacing w:line="360" w:lineRule="auto"/>
        <w:ind w:firstLine="420"/>
        <w:rPr>
          <w:rFonts w:hint="eastAsia"/>
          <w:color w:val="auto"/>
          <w:sz w:val="24"/>
          <w:highlight w:val="none"/>
        </w:rPr>
      </w:pPr>
      <w:r>
        <w:rPr>
          <w:rFonts w:hint="eastAsia"/>
          <w:color w:val="auto"/>
          <w:sz w:val="24"/>
          <w:highlight w:val="none"/>
        </w:rPr>
        <w:t xml:space="preserve">  </w:t>
      </w:r>
    </w:p>
    <w:tbl>
      <w:tblPr>
        <w:tblStyle w:val="89"/>
        <w:tblpPr w:leftFromText="180" w:rightFromText="180" w:vertAnchor="text" w:horzAnchor="page" w:tblpX="1811" w:tblpY="550"/>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286"/>
        <w:gridCol w:w="101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80" w:type="dxa"/>
            <w:noWrap w:val="0"/>
            <w:vAlign w:val="center"/>
          </w:tcPr>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序号</w:t>
            </w:r>
          </w:p>
        </w:tc>
        <w:tc>
          <w:tcPr>
            <w:tcW w:w="4286" w:type="dxa"/>
            <w:noWrap w:val="0"/>
            <w:vAlign w:val="center"/>
          </w:tcPr>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供应商</w:t>
            </w:r>
          </w:p>
        </w:tc>
        <w:tc>
          <w:tcPr>
            <w:tcW w:w="1014" w:type="dxa"/>
            <w:noWrap w:val="0"/>
            <w:vAlign w:val="center"/>
          </w:tcPr>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密封</w:t>
            </w:r>
          </w:p>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情况</w:t>
            </w:r>
          </w:p>
        </w:tc>
        <w:tc>
          <w:tcPr>
            <w:tcW w:w="2198" w:type="dxa"/>
            <w:noWrap w:val="0"/>
            <w:vAlign w:val="center"/>
          </w:tcPr>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0" w:type="dxa"/>
            <w:noWrap w:val="0"/>
            <w:vAlign w:val="center"/>
          </w:tcPr>
          <w:p>
            <w:pPr>
              <w:pStyle w:val="46"/>
              <w:keepNext w:val="0"/>
              <w:keepLines w:val="0"/>
              <w:suppressLineNumbers w:val="0"/>
              <w:spacing w:before="0" w:beforeAutospacing="0" w:after="0" w:afterAutospacing="0" w:line="360" w:lineRule="auto"/>
              <w:ind w:left="0" w:right="0"/>
              <w:jc w:val="center"/>
              <w:rPr>
                <w:rFonts w:hint="eastAsia" w:cs="Times New Roman"/>
                <w:color w:val="auto"/>
                <w:sz w:val="24"/>
                <w:highlight w:val="none"/>
              </w:rPr>
            </w:pPr>
            <w:r>
              <w:rPr>
                <w:rFonts w:hint="eastAsia" w:cs="Times New Roman"/>
                <w:color w:val="auto"/>
                <w:sz w:val="24"/>
                <w:highlight w:val="none"/>
              </w:rPr>
              <w:t>1</w:t>
            </w:r>
          </w:p>
        </w:tc>
        <w:tc>
          <w:tcPr>
            <w:tcW w:w="4286"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p>
        </w:tc>
        <w:tc>
          <w:tcPr>
            <w:tcW w:w="1014" w:type="dxa"/>
            <w:noWrap w:val="0"/>
            <w:vAlign w:val="center"/>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p>
        </w:tc>
        <w:tc>
          <w:tcPr>
            <w:tcW w:w="2198" w:type="dxa"/>
            <w:noWrap w:val="0"/>
            <w:vAlign w:val="top"/>
          </w:tcPr>
          <w:p>
            <w:pPr>
              <w:pStyle w:val="46"/>
              <w:keepNext w:val="0"/>
              <w:keepLines w:val="0"/>
              <w:suppressLineNumbers w:val="0"/>
              <w:spacing w:before="0" w:beforeAutospacing="0" w:after="0" w:afterAutospacing="0" w:line="360" w:lineRule="auto"/>
              <w:ind w:left="0" w:right="0" w:firstLine="420"/>
              <w:rPr>
                <w:rFonts w:hint="eastAsia" w:cs="Times New Roman"/>
                <w:color w:val="auto"/>
                <w:sz w:val="24"/>
                <w:highlight w:val="none"/>
              </w:rPr>
            </w:pPr>
          </w:p>
        </w:tc>
      </w:tr>
    </w:tbl>
    <w:p>
      <w:pPr>
        <w:rPr>
          <w:rFonts w:hint="eastAsia"/>
          <w:color w:val="auto"/>
          <w:szCs w:val="44"/>
          <w:highlight w:val="none"/>
        </w:rPr>
      </w:pPr>
    </w:p>
    <w:p>
      <w:pPr>
        <w:spacing w:line="360" w:lineRule="auto"/>
        <w:rPr>
          <w:rFonts w:hint="eastAsia" w:ascii="宋体" w:hAnsi="宋体" w:cs="宋体"/>
          <w:b/>
          <w:bCs/>
          <w:color w:val="auto"/>
          <w:sz w:val="36"/>
          <w:highlight w:val="none"/>
        </w:rPr>
      </w:pPr>
      <w:r>
        <w:rPr>
          <w:rFonts w:ascii="宋体" w:hAnsi="宋体" w:cs="宋体"/>
          <w:b/>
          <w:bCs/>
          <w:color w:val="auto"/>
          <w:sz w:val="36"/>
          <w:highlight w:val="none"/>
        </w:rPr>
        <w:br w:type="page"/>
      </w:r>
      <w:r>
        <w:rPr>
          <w:rFonts w:hint="eastAsia" w:ascii="宋体" w:hAnsi="宋体" w:cs="宋体"/>
          <w:b/>
          <w:bCs/>
          <w:color w:val="auto"/>
          <w:sz w:val="36"/>
          <w:highlight w:val="none"/>
        </w:rPr>
        <w:t>附件四</w:t>
      </w:r>
    </w:p>
    <w:p>
      <w:pPr>
        <w:spacing w:after="240" w:line="360" w:lineRule="auto"/>
        <w:ind w:left="-424" w:leftChars="-202" w:right="-483" w:rightChars="-230"/>
        <w:jc w:val="center"/>
        <w:rPr>
          <w:rFonts w:hint="eastAsia"/>
          <w:b/>
          <w:bCs/>
          <w:color w:val="auto"/>
          <w:sz w:val="36"/>
          <w:szCs w:val="36"/>
          <w:highlight w:val="none"/>
        </w:rPr>
      </w:pPr>
      <w:r>
        <w:rPr>
          <w:rFonts w:hint="eastAsia"/>
          <w:b/>
          <w:bCs/>
          <w:color w:val="auto"/>
          <w:sz w:val="36"/>
          <w:szCs w:val="36"/>
          <w:highlight w:val="none"/>
        </w:rPr>
        <w:t>竞争性磋商采购最终报价及承诺</w:t>
      </w:r>
    </w:p>
    <w:p>
      <w:pPr>
        <w:rPr>
          <w:rFonts w:ascii="Arial" w:hAnsi="Arial" w:eastAsia="隶书" w:cs="Arial"/>
          <w:b/>
          <w:bCs/>
          <w:color w:val="auto"/>
          <w:sz w:val="28"/>
          <w:highlight w:val="none"/>
          <w:u w:val="single"/>
        </w:rPr>
      </w:pPr>
    </w:p>
    <w:p>
      <w:pPr>
        <w:spacing w:before="360" w:beforeLines="150" w:after="120" w:afterLines="50" w:line="360" w:lineRule="auto"/>
        <w:outlineLvl w:val="0"/>
        <w:rPr>
          <w:rFonts w:ascii="宋体" w:hAnsi="宋体" w:cs="宋体"/>
          <w:color w:val="auto"/>
          <w:sz w:val="24"/>
          <w:highlight w:val="none"/>
          <w:u w:val="singl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u w:val="single"/>
        </w:rPr>
        <w:t xml:space="preserve">                       </w:t>
      </w:r>
    </w:p>
    <w:p>
      <w:pPr>
        <w:spacing w:before="120" w:beforeLines="50" w:after="120" w:afterLines="50" w:line="360" w:lineRule="auto"/>
        <w:ind w:left="1556" w:hanging="1556" w:hangingChars="646"/>
        <w:rPr>
          <w:rFonts w:ascii="宋体" w:hAnsi="宋体" w:cs="宋体"/>
          <w:color w:val="auto"/>
          <w:sz w:val="24"/>
          <w:highlight w:val="none"/>
          <w:u w:val="single"/>
        </w:rPr>
      </w:pPr>
      <w:r>
        <w:rPr>
          <w:rFonts w:hint="eastAsia" w:ascii="宋体" w:hAnsi="宋体" w:cs="宋体"/>
          <w:b/>
          <w:bCs/>
          <w:color w:val="auto"/>
          <w:sz w:val="24"/>
          <w:highlight w:val="none"/>
        </w:rPr>
        <w:t xml:space="preserve">项目名称: </w:t>
      </w:r>
      <w:r>
        <w:rPr>
          <w:rFonts w:hint="eastAsia" w:ascii="宋体" w:hAnsi="宋体" w:cs="宋体"/>
          <w:b/>
          <w:bCs/>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rPr>
      </w:pPr>
      <w:r>
        <w:rPr>
          <w:rFonts w:hint="eastAsia" w:ascii="宋体" w:hAnsi="宋体" w:cs="宋体"/>
          <w:b/>
          <w:bCs/>
          <w:color w:val="auto"/>
          <w:sz w:val="24"/>
          <w:highlight w:val="none"/>
        </w:rPr>
        <w:t>最终报价:</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b/>
          <w:bCs/>
          <w:color w:val="auto"/>
          <w:sz w:val="24"/>
          <w:highlight w:val="none"/>
        </w:rPr>
        <w:t>总价：</w:t>
      </w:r>
      <w:r>
        <w:rPr>
          <w:rFonts w:hint="eastAsia" w:ascii="宋体" w:hAnsi="宋体" w:cs="宋体"/>
          <w:color w:val="auto"/>
          <w:sz w:val="24"/>
          <w:highlight w:val="none"/>
          <w:u w:val="single"/>
        </w:rPr>
        <w:t xml:space="preserve">                     大写（元） ；                （小写）元。 </w:t>
      </w:r>
    </w:p>
    <w:p>
      <w:pPr>
        <w:spacing w:before="120" w:beforeLines="50" w:after="120" w:afterLines="50" w:line="360" w:lineRule="auto"/>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b/>
          <w:color w:val="auto"/>
          <w:sz w:val="24"/>
          <w:highlight w:val="none"/>
        </w:rPr>
        <w:t>承诺：</w:t>
      </w:r>
      <w:r>
        <w:rPr>
          <w:rFonts w:hint="eastAsia" w:ascii="宋体" w:hAnsi="宋体" w:cs="宋体"/>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pPr>
        <w:spacing w:before="120" w:beforeLines="50" w:after="120" w:afterLines="50"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 </w:t>
      </w:r>
    </w:p>
    <w:p>
      <w:pPr>
        <w:spacing w:before="120" w:beforeLines="50" w:after="120" w:afterLines="50" w:line="360" w:lineRule="auto"/>
        <w:ind w:right="840"/>
        <w:jc w:val="right"/>
        <w:rPr>
          <w:rFonts w:hint="eastAsia" w:ascii="宋体" w:hAnsi="宋体" w:cs="宋体"/>
          <w:color w:val="auto"/>
          <w:sz w:val="24"/>
          <w:highlight w:val="none"/>
          <w:u w:val="single"/>
        </w:rPr>
      </w:pPr>
    </w:p>
    <w:p>
      <w:pPr>
        <w:spacing w:before="120" w:beforeLines="50" w:after="120" w:afterLines="50" w:line="360" w:lineRule="auto"/>
        <w:ind w:right="48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before="120" w:beforeLines="50" w:after="120" w:afterLines="50" w:line="360" w:lineRule="auto"/>
        <w:ind w:right="48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法定代表人或授权代表签字：</w:t>
      </w:r>
    </w:p>
    <w:p>
      <w:pPr>
        <w:spacing w:before="120" w:beforeLines="50" w:after="120" w:afterLines="50" w:line="360" w:lineRule="auto"/>
        <w:ind w:right="480" w:firstLine="2479" w:firstLineChars="1029"/>
        <w:rPr>
          <w:rFonts w:hint="eastAsia" w:ascii="宋体" w:hAnsi="宋体" w:cs="宋体"/>
          <w:b/>
          <w:color w:val="auto"/>
          <w:sz w:val="24"/>
          <w:highlight w:val="none"/>
        </w:rPr>
      </w:pPr>
      <w:r>
        <w:rPr>
          <w:rFonts w:hint="eastAsia" w:ascii="宋体" w:hAnsi="宋体" w:cs="宋体"/>
          <w:b/>
          <w:color w:val="auto"/>
          <w:sz w:val="24"/>
          <w:highlight w:val="none"/>
        </w:rPr>
        <w:t>日期：    年    月    日</w:t>
      </w:r>
    </w:p>
    <w:p>
      <w:pPr>
        <w:spacing w:before="120" w:beforeLines="50" w:after="120" w:afterLines="50"/>
        <w:rPr>
          <w:rFonts w:hint="eastAsia" w:ascii="宋体" w:hAnsi="宋体" w:cs="宋体"/>
          <w:b/>
          <w:bCs/>
          <w:color w:val="auto"/>
          <w:sz w:val="24"/>
          <w:highlight w:val="none"/>
        </w:rPr>
      </w:pPr>
      <w:r>
        <w:rPr>
          <w:rFonts w:hint="eastAsia" w:ascii="宋体" w:hAnsi="宋体" w:cs="宋体"/>
          <w:b/>
          <w:bCs/>
          <w:color w:val="auto"/>
          <w:sz w:val="24"/>
          <w:highlight w:val="none"/>
        </w:rPr>
        <w:t>注：</w:t>
      </w:r>
    </w:p>
    <w:p>
      <w:pPr>
        <w:spacing w:before="120" w:beforeLines="50" w:after="120" w:afterLines="50"/>
        <w:rPr>
          <w:rFonts w:hint="eastAsia" w:ascii="宋体" w:hAnsi="宋体" w:cs="宋体"/>
          <w:b/>
          <w:bCs/>
          <w:color w:val="auto"/>
          <w:sz w:val="24"/>
          <w:highlight w:val="none"/>
        </w:rPr>
      </w:pPr>
      <w:r>
        <w:rPr>
          <w:rFonts w:hint="eastAsia" w:ascii="宋体" w:hAnsi="宋体" w:cs="宋体"/>
          <w:b/>
          <w:bCs/>
          <w:color w:val="auto"/>
          <w:sz w:val="24"/>
          <w:highlight w:val="none"/>
        </w:rPr>
        <w:t>1.供应商采用阿拉伯数字填写总价、单价，保留小数点后两位，例“总价：XXXXX.XX元”；</w:t>
      </w:r>
    </w:p>
    <w:p>
      <w:pPr>
        <w:spacing w:before="0" w:beforeLines="-2147483648" w:after="0" w:afterLines="-2147483648"/>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Style w:val="2"/>
        <w:numPr>
          <w:ilvl w:val="-1"/>
          <w:numId w:val="0"/>
        </w:numPr>
        <w:ind w:left="0" w:firstLine="0"/>
        <w:rPr>
          <w:rFonts w:hint="eastAsia" w:ascii="宋体" w:hAnsi="宋体" w:cs="宋体"/>
          <w:b/>
          <w:bCs/>
          <w:color w:val="auto"/>
          <w:sz w:val="36"/>
          <w:highlight w:val="none"/>
          <w:lang w:val="en-US" w:eastAsia="zh-CN"/>
        </w:rPr>
      </w:pPr>
      <w:r>
        <w:rPr>
          <w:rFonts w:hint="eastAsia" w:ascii="宋体" w:hAnsi="宋体" w:cs="宋体"/>
          <w:b/>
          <w:bCs/>
          <w:color w:val="auto"/>
          <w:sz w:val="36"/>
          <w:highlight w:val="none"/>
        </w:rPr>
        <w:t>附件</w:t>
      </w:r>
      <w:r>
        <w:rPr>
          <w:rFonts w:hint="eastAsia" w:ascii="宋体" w:hAnsi="宋体" w:cs="宋体"/>
          <w:b/>
          <w:bCs/>
          <w:color w:val="auto"/>
          <w:sz w:val="36"/>
          <w:highlight w:val="none"/>
          <w:lang w:val="en-US" w:eastAsia="zh-CN"/>
        </w:rPr>
        <w:t>五</w:t>
      </w:r>
    </w:p>
    <w:p>
      <w:pPr>
        <w:pStyle w:val="2"/>
        <w:ind w:left="431" w:hanging="431"/>
        <w:jc w:val="center"/>
        <w:outlineLvl w:val="0"/>
        <w:rPr>
          <w:b/>
          <w:color w:val="auto"/>
          <w:kern w:val="0"/>
          <w:sz w:val="32"/>
          <w:szCs w:val="32"/>
          <w:highlight w:val="none"/>
        </w:rPr>
      </w:pPr>
      <w:r>
        <w:rPr>
          <w:rFonts w:hint="eastAsia"/>
          <w:b/>
          <w:color w:val="auto"/>
          <w:kern w:val="0"/>
          <w:sz w:val="32"/>
          <w:szCs w:val="32"/>
          <w:highlight w:val="none"/>
        </w:rPr>
        <w:t>预付款保函示范文本</w:t>
      </w:r>
      <w:r>
        <w:rPr>
          <w:rFonts w:hint="eastAsia"/>
          <w:b/>
          <w:color w:val="auto"/>
          <w:kern w:val="0"/>
          <w:sz w:val="32"/>
          <w:szCs w:val="32"/>
          <w:highlight w:val="none"/>
          <w:lang w:eastAsia="zh-CN"/>
        </w:rPr>
        <w:t>（</w:t>
      </w:r>
      <w:r>
        <w:rPr>
          <w:rFonts w:hint="eastAsia"/>
          <w:b/>
          <w:color w:val="auto"/>
          <w:kern w:val="0"/>
          <w:sz w:val="32"/>
          <w:szCs w:val="32"/>
          <w:highlight w:val="none"/>
          <w:lang w:val="en-US" w:eastAsia="zh-CN"/>
        </w:rPr>
        <w:t>本项目不适用</w:t>
      </w:r>
      <w:r>
        <w:rPr>
          <w:rFonts w:hint="eastAsia"/>
          <w:b/>
          <w:color w:val="auto"/>
          <w:kern w:val="0"/>
          <w:sz w:val="32"/>
          <w:szCs w:val="32"/>
          <w:highlight w:val="none"/>
          <w:lang w:eastAsia="zh-CN"/>
        </w:rPr>
        <w:t>）</w:t>
      </w:r>
    </w:p>
    <w:p>
      <w:pPr>
        <w:pStyle w:val="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预付款保函示范文本（国产设备适用）</w:t>
      </w:r>
    </w:p>
    <w:p>
      <w:pPr>
        <w:pStyle w:val="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（见索即付独立保函）</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编号：           </w:t>
      </w:r>
    </w:p>
    <w:p>
      <w:pPr>
        <w:pStyle w:val="2"/>
        <w:ind w:left="-199" w:leftChars="-95" w:firstLine="480" w:firstLineChars="200"/>
        <w:rPr>
          <w:rFonts w:hint="eastAsia" w:ascii="宋体" w:hAnsi="宋体" w:eastAsia="宋体" w:cs="宋体"/>
          <w:color w:val="auto"/>
          <w:sz w:val="24"/>
          <w:highlight w:val="none"/>
        </w:rPr>
      </w:pP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申请人：</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受益人：</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开立人：</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（受益人名称）：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（以下简称“受益人”）与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（以下简称“申请人”）于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项目（以下简称“本项目”）供货和有关事项协商一致共同签订</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以下简称“基础合同”），我方（即“开立人”）根据主合同了解到申请人为主合同项下之供应商，受益人为主合同项下之采购人，基于申请人的请求，我方同意就申请人按照合同约定正确和合理地为合同目的使用预付款，向贵方提供不可撤销、不可转让的</w:t>
      </w:r>
      <w:r>
        <w:rPr>
          <w:rFonts w:hint="eastAsia" w:ascii="宋体" w:hAnsi="宋体" w:eastAsia="宋体" w:cs="宋体"/>
          <w:b/>
          <w:bCs/>
          <w:color w:val="auto"/>
          <w:sz w:val="24"/>
          <w:highlight w:val="none"/>
        </w:rPr>
        <w:t>见索即付</w:t>
      </w:r>
      <w:r>
        <w:rPr>
          <w:rFonts w:hint="eastAsia" w:ascii="宋体" w:hAnsi="宋体" w:eastAsia="宋体" w:cs="宋体"/>
          <w:color w:val="auto"/>
          <w:sz w:val="24"/>
          <w:highlight w:val="none"/>
        </w:rPr>
        <w:t xml:space="preserve">独立保函（以下简称“本保函”）。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一、本保函担保范围：申请人未按照合同约定正确和合理地为合同目的使用预付款，应当向贵方承担的违约责任和赔偿因此造成的损失、利息、律师费、诉讼费用等实现债权的费用。</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二、本保函担保金额最高不超过人民币（大写）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三、本保函有效期自开立之日起至发包人验收合格后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日止，最迟不超过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日，以付款通知发出之日邮戳为准。其中验收合格日期以受益人向申请人出具的验收合格单为准。</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四、我方承诺，在收到受益人发来的书面付款通知后的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日内无条件支付，前述书面付款通知即为付款要求之单据，且应满足以下要求：</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（1）付款通知到达的日期在本保函的有效期内；</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（2）载明要求支付的金额；</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（3）载明申请人违反合同义务的条款和内容；</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（4）声明不存在合同文件约定或我国法律规定免除申请人或开立人支付责任的情形；</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（5）付款通知应在本保函有效期内到达的地址是：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受益人发出的书面付款通知应由其为鉴明受益人法定代表人（负责人）或授权代理人签字并加盖公章。</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五、本保函项下的权利不得转让，不得设定担保。贵方未经我方书面同意转 让本保函或其项下任何权利，对我方不发生法律效力。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六、与本保函有关的基础合同不成立、不生效、无效、被撤销、被解除，不影响本保函的独立有效。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八、本保函适用的法律为中华人民共和国法律，争议裁判管辖地为中华人民共和国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九、本保函自我方法定代表人或授权代表签字并加盖公章之日起生效。 </w:t>
      </w:r>
    </w:p>
    <w:p>
      <w:pPr>
        <w:pStyle w:val="2"/>
        <w:ind w:left="-199" w:leftChars="-95" w:firstLine="480" w:firstLineChars="200"/>
        <w:rPr>
          <w:rFonts w:hint="eastAsia" w:ascii="宋体" w:hAnsi="宋体" w:eastAsia="宋体" w:cs="宋体"/>
          <w:color w:val="auto"/>
          <w:sz w:val="24"/>
          <w:highlight w:val="none"/>
        </w:rPr>
      </w:pPr>
    </w:p>
    <w:p>
      <w:pPr>
        <w:pStyle w:val="2"/>
        <w:ind w:left="-199" w:leftChars="-95" w:firstLine="480" w:firstLineChars="200"/>
        <w:rPr>
          <w:rFonts w:hint="eastAsia" w:ascii="宋体" w:hAnsi="宋体" w:eastAsia="宋体" w:cs="宋体"/>
          <w:color w:val="auto"/>
          <w:sz w:val="24"/>
          <w:highlight w:val="none"/>
        </w:rPr>
      </w:pP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 立 人：                              （公章）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法定代表人（或授权代表）：               （签字）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邮政编码：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p>
    <w:p>
      <w:pPr>
        <w:pStyle w:val="2"/>
        <w:ind w:left="-199" w:leftChars="-9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pPr>
        <w:pStyle w:val="2"/>
        <w:numPr>
          <w:ilvl w:val="-1"/>
          <w:numId w:val="0"/>
        </w:numPr>
        <w:ind w:left="-199" w:leftChars="-95" w:firstLine="480" w:firstLineChars="200"/>
        <w:rPr>
          <w:rFonts w:hint="eastAsia" w:ascii="宋体" w:hAnsi="宋体" w:cs="宋体"/>
          <w:b/>
          <w:bCs/>
          <w:color w:val="auto"/>
          <w:sz w:val="36"/>
          <w:highlight w:val="none"/>
          <w:lang w:val="en-US" w:eastAsia="zh-CN"/>
        </w:rPr>
      </w:pPr>
      <w:r>
        <w:rPr>
          <w:rFonts w:hint="eastAsia" w:ascii="宋体" w:hAnsi="宋体" w:eastAsia="宋体" w:cs="宋体"/>
          <w:color w:val="auto"/>
          <w:sz w:val="24"/>
          <w:highlight w:val="none"/>
        </w:rPr>
        <w:t xml:space="preserve">    开立时间：      年      月        日</w:t>
      </w:r>
    </w:p>
    <w:p>
      <w:pPr>
        <w:spacing w:before="120" w:beforeLines="50" w:after="120" w:afterLines="50"/>
        <w:rPr>
          <w:rFonts w:hint="eastAsia" w:ascii="宋体" w:hAnsi="宋体" w:cs="宋体"/>
          <w:b/>
          <w:bCs/>
          <w:color w:val="auto"/>
          <w:sz w:val="24"/>
          <w:highlight w:val="none"/>
        </w:rPr>
      </w:pPr>
    </w:p>
    <w:p>
      <w:pPr>
        <w:rPr>
          <w:color w:val="auto"/>
        </w:rPr>
      </w:pPr>
    </w:p>
    <w:sectPr>
      <w:headerReference r:id="rId12" w:type="default"/>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PUA">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Malgun Gothic Semilight"/>
    <w:panose1 w:val="020B0604020202020204"/>
    <w:charset w:val="86"/>
    <w:family w:val="swiss"/>
    <w:pitch w:val="default"/>
    <w:sig w:usb0="00000000" w:usb1="00000000" w:usb2="00000000" w:usb3="00000000" w:csb0="003E0000" w:csb1="00000000"/>
  </w:font>
  <w:font w:name="Malgun Gothic Semilight">
    <w:panose1 w:val="020B0502040204020203"/>
    <w:charset w:val="86"/>
    <w:family w:val="auto"/>
    <w:pitch w:val="default"/>
    <w:sig w:usb0="900002AF" w:usb1="01D77CFB" w:usb2="00000012" w:usb3="00000000" w:csb0="203E01BD" w:csb1="D7FF0000"/>
  </w:font>
  <w:font w:name="ˎ̥">
    <w:altName w:val="Times New Roman"/>
    <w:panose1 w:val="00000000000000000000"/>
    <w:charset w:val="00"/>
    <w:family w:val="roman"/>
    <w:pitch w:val="default"/>
    <w:sig w:usb0="00000000" w:usb1="00000000" w:usb2="00000000" w:usb3="00000000" w:csb0="00040001" w:csb1="00000000"/>
  </w:font>
  <w:font w:name="_x000B__x000C_">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中等线简体">
    <w:altName w:val="宋体"/>
    <w:panose1 w:val="00000000000000000000"/>
    <w:charset w:val="86"/>
    <w:family w:val="script"/>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rFonts w:ascii="黑体" w:eastAsia="黑体"/>
      </w:rPr>
    </w:pPr>
    <w:r>
      <w:rPr>
        <w:rFonts w:hint="eastAsia" w:ascii="黑体" w:eastAsia="黑体"/>
        <w:lang w:val="zh-CN"/>
      </w:rPr>
      <w:t>第</w:t>
    </w:r>
    <w:r>
      <w:rPr>
        <w:rFonts w:hint="eastAsia" w:ascii="黑体" w:eastAsia="黑体"/>
      </w:rPr>
      <w:fldChar w:fldCharType="begin"/>
    </w:r>
    <w:r>
      <w:rPr>
        <w:rFonts w:hint="eastAsia" w:ascii="黑体" w:eastAsia="黑体"/>
      </w:rPr>
      <w:instrText xml:space="preserve">PAGE</w:instrText>
    </w:r>
    <w:r>
      <w:rPr>
        <w:rFonts w:hint="eastAsia" w:ascii="黑体" w:eastAsia="黑体"/>
      </w:rPr>
      <w:fldChar w:fldCharType="separate"/>
    </w:r>
    <w:r>
      <w:rPr>
        <w:rFonts w:ascii="黑体" w:eastAsia="黑体"/>
      </w:rPr>
      <w:t>78</w:t>
    </w:r>
    <w:r>
      <w:rPr>
        <w:rFonts w:hint="eastAsia" w:ascii="黑体" w:eastAsia="黑体"/>
      </w:rPr>
      <w:fldChar w:fldCharType="end"/>
    </w:r>
    <w:r>
      <w:rPr>
        <w:rFonts w:hint="eastAsia" w:ascii="黑体" w:eastAsia="黑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rFonts w:ascii="黑体" w:eastAsia="黑体"/>
      </w:rPr>
    </w:pPr>
    <w:r>
      <w:rPr>
        <w:rFonts w:hint="eastAsia" w:ascii="黑体" w:eastAsia="黑体"/>
      </w:rPr>
      <w:t>第</w:t>
    </w:r>
    <w:r>
      <w:rPr>
        <w:rFonts w:hint="eastAsia" w:ascii="黑体" w:eastAsia="黑体"/>
      </w:rPr>
      <w:fldChar w:fldCharType="begin"/>
    </w:r>
    <w:r>
      <w:rPr>
        <w:rFonts w:hint="eastAsia" w:ascii="黑体" w:eastAsia="黑体"/>
      </w:rPr>
      <w:instrText xml:space="preserve"> PAGE   \* MERGEFORMAT </w:instrText>
    </w:r>
    <w:r>
      <w:rPr>
        <w:rFonts w:hint="eastAsia" w:ascii="黑体" w:eastAsia="黑体"/>
      </w:rPr>
      <w:fldChar w:fldCharType="separate"/>
    </w:r>
    <w:r>
      <w:rPr>
        <w:rFonts w:ascii="黑体" w:eastAsia="黑体"/>
        <w:lang w:val="zh-CN"/>
      </w:rPr>
      <w:t>30</w:t>
    </w:r>
    <w:r>
      <w:rPr>
        <w:rFonts w:hint="eastAsia" w:ascii="黑体" w:eastAsia="黑体"/>
      </w:rPr>
      <w:fldChar w:fldCharType="end"/>
    </w:r>
    <w:r>
      <w:rPr>
        <w:rFonts w:hint="eastAsia" w:ascii="黑体" w:eastAsia="黑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both"/>
      <w:rPr>
        <w:rFonts w:hint="eastAsia" w:ascii="宋体" w:hAnsi="宋体" w:cs="宋体"/>
        <w:lang w:bidi="ar"/>
      </w:rPr>
    </w:pPr>
    <w:r>
      <w:rPr>
        <w:rFonts w:hint="eastAsia" w:ascii="宋体" w:hAnsi="宋体" w:cs="宋体"/>
        <w:lang w:bidi="ar"/>
      </w:rPr>
      <w:t>项目名称：</w:t>
    </w:r>
    <w:r>
      <w:rPr>
        <w:rFonts w:hint="eastAsia" w:ascii="宋体" w:hAnsi="宋体" w:cs="宋体"/>
        <w:lang w:eastAsia="zh-CN" w:bidi="ar"/>
      </w:rPr>
      <w:t>大连理工大学超高速视频级原子力显微镜采购项目</w:t>
    </w:r>
    <w:r>
      <w:rPr>
        <w:rFonts w:hint="eastAsia" w:ascii="宋体" w:hAnsi="宋体" w:cs="宋体"/>
        <w:lang w:bidi="ar"/>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cs="宋体"/>
        <w:lang w:bidi="ar"/>
      </w:rPr>
      <w:fldChar w:fldCharType="begin"/>
    </w:r>
    <w:r>
      <w:rPr>
        <w:rFonts w:hint="eastAsia" w:ascii="宋体" w:hAnsi="宋体" w:cs="宋体"/>
        <w:lang w:bidi="ar"/>
      </w:rPr>
      <w:instrText xml:space="preserve"> HYPERLINK "http://agent.yuncaitong.cn:5099/agent/e?page=psms.agenttender.agent.detail.access&amp;businessCode=psms5_tender&amp;businessId=e3cdd461d2c903e0de339e9354e0b5d2" \o "[DUTASC-2022528] - 气质联用酶学检测分析" \t "http://agent.yuncaitong.cn:5099/agent/newblank" </w:instrText>
    </w:r>
    <w:r>
      <w:rPr>
        <w:rFonts w:hint="eastAsia" w:ascii="宋体" w:hAnsi="宋体" w:cs="宋体"/>
        <w:lang w:bidi="ar"/>
      </w:rPr>
      <w:fldChar w:fldCharType="separate"/>
    </w:r>
    <w:r>
      <w:rPr>
        <w:rFonts w:hint="eastAsia" w:ascii="宋体" w:hAnsi="宋体" w:cs="宋体"/>
        <w:lang w:eastAsia="zh-CN" w:bidi="ar"/>
      </w:rPr>
      <w:t>DUTASC-2022417</w:t>
    </w:r>
    <w:r>
      <w:rPr>
        <w:rFonts w:hint="eastAsia" w:ascii="宋体" w:hAnsi="宋体" w:cs="宋体"/>
        <w:lang w:bidi="a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黑体" w:eastAsia="黑体"/>
        <w:szCs w:val="21"/>
      </w:rPr>
    </w:pPr>
    <w:r>
      <w:rPr>
        <w:rFonts w:hint="eastAsia" w:ascii="黑体" w:eastAsia="黑体"/>
        <w:szCs w:val="21"/>
      </w:rPr>
      <w:t>大连理工大学凌水校区2022-2023电梯维保服务项目（项目编号：</w:t>
    </w:r>
    <w:r>
      <w:rPr>
        <w:rFonts w:ascii="黑体" w:eastAsia="黑体"/>
        <w:szCs w:val="21"/>
      </w:rPr>
      <w:t>DUTCSC-F2022084</w:t>
    </w:r>
    <w:r>
      <w:rPr>
        <w:rFonts w:hint="eastAsia" w:ascii="黑体" w:eastAsia="黑体"/>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黑体" w:eastAsia="黑体"/>
        <w:szCs w:val="21"/>
      </w:rPr>
    </w:pPr>
    <w:r>
      <w:rPr>
        <w:rFonts w:hint="eastAsia" w:ascii="黑体" w:eastAsia="黑体"/>
        <w:szCs w:val="21"/>
      </w:rPr>
      <w:t>大连理工大学凌水校区2022-2023电梯维保服务项目（项目编号：</w:t>
    </w:r>
    <w:r>
      <w:rPr>
        <w:rFonts w:ascii="黑体" w:eastAsia="黑体"/>
        <w:szCs w:val="21"/>
      </w:rPr>
      <w:t>DUTCSC-F2022084</w:t>
    </w:r>
    <w:r>
      <w:rPr>
        <w:rFonts w:hint="eastAsia" w:ascii="黑体" w:eastAsia="黑体"/>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黑体" w:eastAsia="黑体"/>
        <w:szCs w:val="21"/>
      </w:rPr>
    </w:pPr>
    <w:r>
      <w:rPr>
        <w:rFonts w:hint="eastAsia" w:ascii="黑体" w:eastAsia="黑体"/>
        <w:szCs w:val="21"/>
      </w:rPr>
      <w:t>大连理工大学凌水校区2022-2023电梯维保服务项目（项目编号：</w:t>
    </w:r>
    <w:r>
      <w:rPr>
        <w:rFonts w:ascii="黑体" w:eastAsia="黑体"/>
        <w:szCs w:val="21"/>
      </w:rPr>
      <w:t>DUTCSC-F2022084</w:t>
    </w:r>
    <w:r>
      <w:rPr>
        <w:rFonts w:hint="eastAsia" w:ascii="黑体" w:eastAsia="黑体"/>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both"/>
      <w:rPr>
        <w:rFonts w:ascii="宋体" w:hAnsi="宋体"/>
      </w:rPr>
    </w:pPr>
    <w:r>
      <w:rPr>
        <w:rFonts w:hint="eastAsia" w:ascii="宋体" w:hAnsi="宋体" w:cs="宋体"/>
        <w:lang w:bidi="ar"/>
      </w:rPr>
      <w:t>项目名称：</w:t>
    </w:r>
    <w:r>
      <w:rPr>
        <w:rFonts w:hint="eastAsia" w:ascii="宋体" w:hAnsi="宋体" w:cs="宋体"/>
        <w:lang w:eastAsia="zh-CN" w:bidi="ar"/>
      </w:rPr>
      <w:t>大连理工大学超高速视频级原子力显微镜采购项目</w:t>
    </w: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rPr>
      <w:t xml:space="preserve">  项目编号：</w:t>
    </w:r>
    <w:r>
      <w:rPr>
        <w:rFonts w:hint="eastAsia" w:ascii="宋体" w:hAnsi="宋体" w:cs="宋体"/>
        <w:lang w:bidi="ar"/>
      </w:rPr>
      <w:fldChar w:fldCharType="begin"/>
    </w:r>
    <w:r>
      <w:rPr>
        <w:rFonts w:hint="eastAsia" w:ascii="宋体" w:hAnsi="宋体" w:cs="宋体"/>
        <w:lang w:bidi="ar"/>
      </w:rPr>
      <w:instrText xml:space="preserve"> HYPERLINK "http://agent.yuncaitong.cn:5099/agent/e?page=psms.agenttender.agent.detail.access&amp;businessCode=psms5_tender&amp;businessId=e3cdd461d2c903e0de339e9354e0b5d2" \o "[DUTASC-2022528] - 气质联用酶学检测分析" \t "http://agent.yuncaitong.cn:5099/agent/newblank" </w:instrText>
    </w:r>
    <w:r>
      <w:rPr>
        <w:rFonts w:hint="eastAsia" w:ascii="宋体" w:hAnsi="宋体" w:cs="宋体"/>
        <w:lang w:bidi="ar"/>
      </w:rPr>
      <w:fldChar w:fldCharType="separate"/>
    </w:r>
    <w:r>
      <w:rPr>
        <w:rFonts w:hint="eastAsia" w:ascii="宋体" w:hAnsi="宋体" w:cs="宋体"/>
        <w:lang w:eastAsia="zh-CN" w:bidi="ar"/>
      </w:rPr>
      <w:t>DUTASC-2022417</w:t>
    </w:r>
    <w:r>
      <w:rPr>
        <w:rFonts w:hint="eastAsia" w:ascii="宋体" w:hAnsi="宋体" w:cs="宋体"/>
        <w:lang w:bidi="a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66"/>
      <w:lvlText w:val="（%1）"/>
      <w:lvlJc w:val="left"/>
      <w:pPr>
        <w:tabs>
          <w:tab w:val="left" w:pos="1260"/>
        </w:tabs>
        <w:ind w:left="1260" w:hanging="720"/>
      </w:pPr>
      <w:rPr>
        <w:rFonts w:hint="eastAsia"/>
      </w:rPr>
    </w:lvl>
    <w:lvl w:ilvl="1" w:tentative="0">
      <w:start w:val="1"/>
      <w:numFmt w:val="decimal"/>
      <w:pStyle w:val="8"/>
      <w:lvlText w:val="%2．"/>
      <w:lvlJc w:val="left"/>
      <w:pPr>
        <w:tabs>
          <w:tab w:val="left" w:pos="1320"/>
        </w:tabs>
        <w:ind w:left="1320" w:hanging="360"/>
      </w:pPr>
      <w:rPr>
        <w:rFonts w:hint="eastAsia"/>
        <w:u w:val="none"/>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E"/>
    <w:multiLevelType w:val="multilevel"/>
    <w:tmpl w:val="0000000E"/>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3"/>
    <w:multiLevelType w:val="multilevel"/>
    <w:tmpl w:val="0000001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39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20"/>
    <w:multiLevelType w:val="multilevel"/>
    <w:tmpl w:val="0000002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39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2E"/>
    <w:multiLevelType w:val="multilevel"/>
    <w:tmpl w:val="0000002E"/>
    <w:lvl w:ilvl="0" w:tentative="0">
      <w:start w:val="1"/>
      <w:numFmt w:val="decimal"/>
      <w:pStyle w:val="503"/>
      <w:lvlText w:val="%1."/>
      <w:lvlJc w:val="left"/>
      <w:pPr>
        <w:ind w:left="3119" w:firstLine="0"/>
      </w:pPr>
      <w:rPr>
        <w:rFonts w:hint="eastAsia"/>
        <w:sz w:val="52"/>
        <w:lang w:val="en-US"/>
      </w:rPr>
    </w:lvl>
    <w:lvl w:ilvl="1" w:tentative="0">
      <w:start w:val="1"/>
      <w:numFmt w:val="decimal"/>
      <w:suff w:val="nothing"/>
      <w:lvlText w:val="%1.%2 "/>
      <w:lvlJc w:val="left"/>
      <w:pPr>
        <w:ind w:left="0" w:firstLine="0"/>
      </w:pPr>
      <w:rPr>
        <w:rFonts w:hint="eastAsia"/>
        <w:b/>
      </w:rPr>
    </w:lvl>
    <w:lvl w:ilvl="2" w:tentative="0">
      <w:start w:val="1"/>
      <w:numFmt w:val="decimal"/>
      <w:suff w:val="nothing"/>
      <w:lvlText w:val="%1.%2.%3 "/>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decimal"/>
      <w:suff w:val="nothing"/>
      <w:lvlText w:val="%1.%2.%9"/>
      <w:lvlJc w:val="left"/>
      <w:pPr>
        <w:ind w:left="0" w:firstLine="0"/>
      </w:pPr>
      <w:rPr>
        <w:rFonts w:hint="default" w:ascii="Times New Roman" w:hAnsi="Times New Roman"/>
      </w:rPr>
    </w:lvl>
  </w:abstractNum>
  <w:abstractNum w:abstractNumId="5">
    <w:nsid w:val="05B64677"/>
    <w:multiLevelType w:val="multilevel"/>
    <w:tmpl w:val="05B64677"/>
    <w:lvl w:ilvl="0" w:tentative="0">
      <w:start w:val="1"/>
      <w:numFmt w:val="chineseCountingThousand"/>
      <w:lvlText w:val="%1、"/>
      <w:lvlJc w:val="left"/>
      <w:pPr>
        <w:tabs>
          <w:tab w:val="left" w:pos="420"/>
        </w:tabs>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EA87B02"/>
    <w:multiLevelType w:val="multilevel"/>
    <w:tmpl w:val="0EA87B02"/>
    <w:lvl w:ilvl="0" w:tentative="0">
      <w:start w:val="1"/>
      <w:numFmt w:val="decimal"/>
      <w:pStyle w:val="45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BE5529"/>
    <w:multiLevelType w:val="multilevel"/>
    <w:tmpl w:val="2BBE5529"/>
    <w:lvl w:ilvl="0" w:tentative="0">
      <w:start w:val="1"/>
      <w:numFmt w:val="decimal"/>
      <w:pStyle w:val="391"/>
      <w:isLgl/>
      <w:lvlText w:val="第%1章"/>
      <w:lvlJc w:val="left"/>
      <w:pPr>
        <w:tabs>
          <w:tab w:val="left" w:pos="1709"/>
        </w:tabs>
        <w:ind w:left="1709" w:hanging="431"/>
      </w:pPr>
      <w:rPr>
        <w:rFonts w:hint="eastAsia" w:ascii="宋体" w:hAnsi="Times New Roman" w:eastAsia="宋体" w:cs="Times New Roman"/>
        <w:b/>
        <w:i w:val="0"/>
        <w:color w:val="auto"/>
        <w:sz w:val="28"/>
        <w:szCs w:val="28"/>
      </w:rPr>
    </w:lvl>
    <w:lvl w:ilvl="1" w:tentative="0">
      <w:start w:val="1"/>
      <w:numFmt w:val="decimal"/>
      <w:lvlText w:val="%1.%2"/>
      <w:lvlJc w:val="left"/>
      <w:pPr>
        <w:tabs>
          <w:tab w:val="left" w:pos="578"/>
        </w:tabs>
        <w:ind w:left="578" w:hanging="578"/>
      </w:pPr>
      <w:rPr>
        <w:rFonts w:hint="default" w:ascii="Times New Roman" w:hAnsi="Times New Roman" w:eastAsia="黑体" w:cs="Times New Roman"/>
        <w:b/>
        <w:i w:val="0"/>
        <w:color w:val="auto"/>
        <w:sz w:val="30"/>
        <w:szCs w:val="30"/>
      </w:rPr>
    </w:lvl>
    <w:lvl w:ilvl="2" w:tentative="0">
      <w:start w:val="1"/>
      <w:numFmt w:val="decimal"/>
      <w:lvlText w:val="%1.%2.%3"/>
      <w:lvlJc w:val="left"/>
      <w:pPr>
        <w:tabs>
          <w:tab w:val="left" w:pos="720"/>
        </w:tabs>
        <w:ind w:left="720" w:hanging="720"/>
      </w:pPr>
      <w:rPr>
        <w:rFonts w:hint="default" w:ascii="Times New Roman" w:hAnsi="Times New Roman" w:eastAsia="黑体" w:cs="Times New Roman"/>
        <w:b/>
        <w:i w:val="0"/>
        <w:color w:val="auto"/>
        <w:sz w:val="28"/>
        <w:szCs w:val="28"/>
      </w:rPr>
    </w:lvl>
    <w:lvl w:ilvl="3" w:tentative="0">
      <w:start w:val="1"/>
      <w:numFmt w:val="decimal"/>
      <w:lvlText w:val="%1.%2.%3.%4"/>
      <w:lvlJc w:val="left"/>
      <w:pPr>
        <w:tabs>
          <w:tab w:val="left" w:pos="947"/>
        </w:tabs>
        <w:ind w:left="947" w:hanging="947"/>
      </w:pPr>
      <w:rPr>
        <w:rFonts w:hint="default" w:ascii="Times New Roman" w:hAnsi="Times New Roman" w:eastAsia="黑体" w:cs="Times New Roman"/>
        <w:b/>
        <w:i w:val="0"/>
        <w:color w:val="auto"/>
        <w:sz w:val="24"/>
        <w:szCs w:val="24"/>
      </w:rPr>
    </w:lvl>
    <w:lvl w:ilvl="4" w:tentative="0">
      <w:start w:val="1"/>
      <w:numFmt w:val="upperRoman"/>
      <w:lvlText w:val="%5"/>
      <w:lvlJc w:val="left"/>
      <w:pPr>
        <w:tabs>
          <w:tab w:val="left" w:pos="874"/>
        </w:tabs>
        <w:ind w:left="874" w:hanging="442"/>
      </w:pPr>
      <w:rPr>
        <w:rFonts w:hint="default" w:ascii="Times New Roman" w:hAnsi="Times New Roman" w:eastAsia="黑体" w:cs="Times New Roman"/>
        <w:b/>
        <w:i w:val="0"/>
        <w:sz w:val="24"/>
        <w:szCs w:val="24"/>
      </w:rPr>
    </w:lvl>
    <w:lvl w:ilvl="5" w:tentative="0">
      <w:start w:val="1"/>
      <w:numFmt w:val="upperLetter"/>
      <w:lvlText w:val="%6"/>
      <w:lvlJc w:val="left"/>
      <w:pPr>
        <w:tabs>
          <w:tab w:val="left" w:pos="874"/>
        </w:tabs>
        <w:ind w:left="874" w:hanging="442"/>
      </w:pPr>
      <w:rPr>
        <w:rFonts w:hint="default" w:ascii="Times New Roman" w:hAnsi="Times New Roman" w:eastAsia="黑体" w:cs="Times New Roman"/>
        <w:b/>
        <w:i w:val="0"/>
        <w:sz w:val="24"/>
        <w:szCs w:val="24"/>
      </w:rPr>
    </w:lvl>
    <w:lvl w:ilvl="6" w:tentative="0">
      <w:start w:val="1"/>
      <w:numFmt w:val="decimal"/>
      <w:lvlText w:val="%1.%2.%3.%4.%5.%6.%7"/>
      <w:lvlJc w:val="left"/>
      <w:pPr>
        <w:tabs>
          <w:tab w:val="left" w:pos="1728"/>
        </w:tabs>
        <w:ind w:left="1728" w:hanging="1296"/>
      </w:pPr>
      <w:rPr>
        <w:rFonts w:hint="eastAsia"/>
      </w:rPr>
    </w:lvl>
    <w:lvl w:ilvl="7" w:tentative="0">
      <w:start w:val="1"/>
      <w:numFmt w:val="decimal"/>
      <w:lvlText w:val="%1.%2.%3.%4.%5.%6.%7.%8"/>
      <w:lvlJc w:val="left"/>
      <w:pPr>
        <w:tabs>
          <w:tab w:val="left" w:pos="1872"/>
        </w:tabs>
        <w:ind w:left="1872" w:hanging="1440"/>
      </w:pPr>
      <w:rPr>
        <w:rFonts w:hint="eastAsia"/>
      </w:rPr>
    </w:lvl>
    <w:lvl w:ilvl="8" w:tentative="0">
      <w:start w:val="1"/>
      <w:numFmt w:val="decimal"/>
      <w:lvlText w:val="%1.%2.%3.%4.%5.%6.%7.%8.%9"/>
      <w:lvlJc w:val="left"/>
      <w:pPr>
        <w:tabs>
          <w:tab w:val="left" w:pos="2016"/>
        </w:tabs>
        <w:ind w:left="2016" w:hanging="1584"/>
      </w:pPr>
      <w:rPr>
        <w:rFonts w:hint="eastAsia"/>
      </w:rPr>
    </w:lvl>
  </w:abstractNum>
  <w:abstractNum w:abstractNumId="8">
    <w:nsid w:val="2EF63F09"/>
    <w:multiLevelType w:val="multilevel"/>
    <w:tmpl w:val="2EF63F09"/>
    <w:lvl w:ilvl="0" w:tentative="0">
      <w:start w:val="1"/>
      <w:numFmt w:val="koreanDigital2"/>
      <w:pStyle w:val="420"/>
      <w:lvlText w:val="第%1篇."/>
      <w:lvlJc w:val="right"/>
      <w:pPr>
        <w:tabs>
          <w:tab w:val="left" w:pos="1320"/>
        </w:tabs>
        <w:ind w:left="13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061F1BC"/>
    <w:multiLevelType w:val="singleLevel"/>
    <w:tmpl w:val="3061F1BC"/>
    <w:lvl w:ilvl="0" w:tentative="0">
      <w:start w:val="1"/>
      <w:numFmt w:val="decimal"/>
      <w:suff w:val="nothing"/>
      <w:lvlText w:val="（%1）"/>
      <w:lvlJc w:val="left"/>
    </w:lvl>
  </w:abstractNum>
  <w:abstractNum w:abstractNumId="10">
    <w:nsid w:val="453D70D5"/>
    <w:multiLevelType w:val="singleLevel"/>
    <w:tmpl w:val="453D70D5"/>
    <w:lvl w:ilvl="0" w:tentative="0">
      <w:start w:val="1"/>
      <w:numFmt w:val="bullet"/>
      <w:pStyle w:val="518"/>
      <w:lvlText w:val=""/>
      <w:lvlJc w:val="left"/>
      <w:pPr>
        <w:tabs>
          <w:tab w:val="left" w:pos="360"/>
        </w:tabs>
        <w:ind w:left="360" w:hanging="360"/>
      </w:pPr>
      <w:rPr>
        <w:rFonts w:hint="default" w:ascii="Symbol" w:hAnsi="Symbol"/>
      </w:rPr>
    </w:lvl>
  </w:abstractNum>
  <w:abstractNum w:abstractNumId="11">
    <w:nsid w:val="475B3203"/>
    <w:multiLevelType w:val="multilevel"/>
    <w:tmpl w:val="475B3203"/>
    <w:lvl w:ilvl="0" w:tentative="0">
      <w:start w:val="1"/>
      <w:numFmt w:val="none"/>
      <w:pStyle w:val="332"/>
      <w:suff w:val="nothing"/>
      <w:lvlText w:val=""/>
      <w:lvlJc w:val="left"/>
      <w:pPr>
        <w:ind w:left="0" w:firstLine="0"/>
      </w:pPr>
      <w:rPr>
        <w:lang w:val="en-US"/>
      </w:rPr>
    </w:lvl>
    <w:lvl w:ilvl="1" w:tentative="0">
      <w:start w:val="1"/>
      <w:numFmt w:val="none"/>
      <w:pStyle w:val="404"/>
      <w:suff w:val="nothing"/>
      <w:lvlText w:val=""/>
      <w:lvlJc w:val="left"/>
      <w:pPr>
        <w:ind w:left="720" w:firstLine="0"/>
      </w:pPr>
    </w:lvl>
    <w:lvl w:ilvl="2" w:tentative="0">
      <w:start w:val="1"/>
      <w:numFmt w:val="none"/>
      <w:pStyle w:val="357"/>
      <w:suff w:val="nothing"/>
      <w:lvlText w:val=""/>
      <w:lvlJc w:val="left"/>
      <w:pPr>
        <w:ind w:left="1440" w:firstLine="0"/>
      </w:pPr>
    </w:lvl>
    <w:lvl w:ilvl="3" w:tentative="0">
      <w:start w:val="1"/>
      <w:numFmt w:val="none"/>
      <w:pStyle w:val="383"/>
      <w:suff w:val="nothing"/>
      <w:lvlText w:val=""/>
      <w:lvlJc w:val="left"/>
      <w:pPr>
        <w:ind w:left="2160" w:firstLine="0"/>
      </w:pPr>
    </w:lvl>
    <w:lvl w:ilvl="4" w:tentative="0">
      <w:start w:val="1"/>
      <w:numFmt w:val="none"/>
      <w:pStyle w:val="421"/>
      <w:suff w:val="nothing"/>
      <w:lvlText w:val=""/>
      <w:lvlJc w:val="left"/>
      <w:pPr>
        <w:ind w:left="2880" w:firstLine="0"/>
      </w:pPr>
    </w:lvl>
    <w:lvl w:ilvl="5" w:tentative="0">
      <w:start w:val="1"/>
      <w:numFmt w:val="none"/>
      <w:pStyle w:val="516"/>
      <w:suff w:val="nothing"/>
      <w:lvlText w:val=""/>
      <w:lvlJc w:val="left"/>
      <w:pPr>
        <w:ind w:left="3600" w:firstLine="0"/>
      </w:pPr>
    </w:lvl>
    <w:lvl w:ilvl="6" w:tentative="0">
      <w:start w:val="1"/>
      <w:numFmt w:val="none"/>
      <w:pStyle w:val="508"/>
      <w:suff w:val="nothing"/>
      <w:lvlText w:val=""/>
      <w:lvlJc w:val="left"/>
      <w:pPr>
        <w:ind w:left="4320" w:firstLine="0"/>
      </w:pPr>
    </w:lvl>
    <w:lvl w:ilvl="7" w:tentative="0">
      <w:start w:val="1"/>
      <w:numFmt w:val="none"/>
      <w:pStyle w:val="331"/>
      <w:suff w:val="nothing"/>
      <w:lvlText w:val=""/>
      <w:lvlJc w:val="left"/>
      <w:pPr>
        <w:ind w:left="5040" w:firstLine="0"/>
      </w:pPr>
    </w:lvl>
    <w:lvl w:ilvl="8" w:tentative="0">
      <w:start w:val="1"/>
      <w:numFmt w:val="none"/>
      <w:pStyle w:val="360"/>
      <w:suff w:val="nothing"/>
      <w:lvlText w:val=""/>
      <w:lvlJc w:val="left"/>
      <w:pPr>
        <w:ind w:left="5760" w:firstLine="0"/>
      </w:pPr>
    </w:lvl>
  </w:abstractNum>
  <w:abstractNum w:abstractNumId="12">
    <w:nsid w:val="5451F255"/>
    <w:multiLevelType w:val="singleLevel"/>
    <w:tmpl w:val="5451F255"/>
    <w:lvl w:ilvl="0" w:tentative="0">
      <w:start w:val="1"/>
      <w:numFmt w:val="chineseCounting"/>
      <w:suff w:val="nothing"/>
      <w:lvlText w:val="第%1章"/>
      <w:lvlJc w:val="left"/>
      <w:pPr>
        <w:tabs>
          <w:tab w:val="left" w:pos="0"/>
        </w:tabs>
        <w:ind w:left="0" w:firstLine="420"/>
      </w:pPr>
      <w:rPr>
        <w:rFonts w:hint="eastAsia" w:cs="宋体"/>
        <w:b/>
        <w:bCs/>
        <w:sz w:val="44"/>
        <w:szCs w:val="44"/>
      </w:rPr>
    </w:lvl>
  </w:abstractNum>
  <w:abstractNum w:abstractNumId="13">
    <w:nsid w:val="5451F2FF"/>
    <w:multiLevelType w:val="singleLevel"/>
    <w:tmpl w:val="5451F2FF"/>
    <w:lvl w:ilvl="0" w:tentative="0">
      <w:start w:val="2"/>
      <w:numFmt w:val="chineseCounting"/>
      <w:suff w:val="nothing"/>
      <w:lvlText w:val="第%1章"/>
      <w:lvlJc w:val="left"/>
      <w:pPr>
        <w:tabs>
          <w:tab w:val="left" w:pos="0"/>
        </w:tabs>
        <w:ind w:left="0" w:firstLine="420"/>
      </w:pPr>
      <w:rPr>
        <w:rFonts w:hint="eastAsia" w:cs="宋体"/>
        <w:b/>
        <w:bCs/>
        <w:sz w:val="44"/>
        <w:szCs w:val="44"/>
      </w:rPr>
    </w:lvl>
  </w:abstractNum>
  <w:abstractNum w:abstractNumId="14">
    <w:nsid w:val="583901C8"/>
    <w:multiLevelType w:val="multilevel"/>
    <w:tmpl w:val="583901C8"/>
    <w:lvl w:ilvl="0" w:tentative="0">
      <w:start w:val="1"/>
      <w:numFmt w:val="decimal"/>
      <w:suff w:val="space"/>
      <w:lvlText w:val="%1"/>
      <w:lvlJc w:val="left"/>
      <w:pPr>
        <w:tabs>
          <w:tab w:val="left" w:pos="0"/>
        </w:tabs>
        <w:ind w:left="227" w:hanging="85"/>
      </w:pPr>
      <w:rPr>
        <w:rFonts w:hint="default"/>
        <w:b/>
        <w:bCs w:val="0"/>
        <w:i w:val="0"/>
        <w:iCs w:val="0"/>
        <w:caps w:val="0"/>
        <w:smallCaps w:val="0"/>
        <w:strike w:val="0"/>
        <w:dstrike w:val="0"/>
        <w:vanish w:val="0"/>
        <w:color w:val="000000"/>
        <w:spacing w:val="0"/>
        <w:position w:val="0"/>
        <w:sz w:val="32"/>
        <w:u w:val="none"/>
        <w:vertAlign w:val="baseline"/>
      </w:rPr>
    </w:lvl>
    <w:lvl w:ilvl="1" w:tentative="0">
      <w:start w:val="1"/>
      <w:numFmt w:val="decimal"/>
      <w:lvlText w:val="%1.%2"/>
      <w:lvlJc w:val="left"/>
      <w:pPr>
        <w:tabs>
          <w:tab w:val="left" w:pos="8079"/>
        </w:tabs>
        <w:ind w:left="8306" w:hanging="85"/>
      </w:pPr>
      <w:rPr>
        <w:rFonts w:hint="default" w:ascii="Calibri" w:hAnsi="Calibri" w:eastAsia="宋体-PUA"/>
        <w:b/>
        <w:bCs w:val="0"/>
        <w:i w:val="0"/>
        <w:iCs w:val="0"/>
        <w:caps w:val="0"/>
        <w:smallCaps w:val="0"/>
        <w:strike w:val="0"/>
        <w:dstrike w:val="0"/>
        <w:vanish w:val="0"/>
        <w:color w:val="000000"/>
        <w:spacing w:val="0"/>
        <w:position w:val="0"/>
        <w:sz w:val="32"/>
        <w:u w:val="none"/>
        <w:vertAlign w:val="baseline"/>
      </w:rPr>
    </w:lvl>
    <w:lvl w:ilvl="2" w:tentative="0">
      <w:start w:val="1"/>
      <w:numFmt w:val="decimal"/>
      <w:suff w:val="space"/>
      <w:lvlText w:val="%1.%2.%3"/>
      <w:lvlJc w:val="left"/>
      <w:pPr>
        <w:ind w:left="4479" w:hanging="85"/>
      </w:pPr>
      <w:rPr>
        <w:rFonts w:hint="default" w:ascii="Calibri" w:hAnsi="Calibri" w:eastAsia="宋体-PUA"/>
        <w:b/>
        <w:bCs w:val="0"/>
        <w:i w:val="0"/>
        <w:iCs w:val="0"/>
        <w:caps w:val="0"/>
        <w:smallCaps w:val="0"/>
        <w:strike w:val="0"/>
        <w:dstrike w:val="0"/>
        <w:vanish w:val="0"/>
        <w:color w:val="000000"/>
        <w:spacing w:val="0"/>
        <w:position w:val="0"/>
        <w:sz w:val="32"/>
        <w:u w:val="none"/>
        <w:vertAlign w:val="baseline"/>
      </w:rPr>
    </w:lvl>
    <w:lvl w:ilvl="3" w:tentative="0">
      <w:start w:val="1"/>
      <w:numFmt w:val="decimal"/>
      <w:pStyle w:val="7"/>
      <w:suff w:val="space"/>
      <w:lvlText w:val="%1.%2.%3.%4"/>
      <w:lvlJc w:val="left"/>
      <w:pPr>
        <w:ind w:left="794" w:hanging="85"/>
      </w:pPr>
      <w:rPr>
        <w:rFonts w:hint="default" w:ascii="Calibri" w:hAnsi="Calibri" w:eastAsia="宋体-PUA"/>
        <w:b/>
        <w:bCs w:val="0"/>
        <w:i w:val="0"/>
        <w:iCs w:val="0"/>
        <w:caps w:val="0"/>
        <w:smallCaps w:val="0"/>
        <w:strike w:val="0"/>
        <w:dstrike w:val="0"/>
        <w:vanish w:val="0"/>
        <w:color w:val="000000"/>
        <w:spacing w:val="0"/>
        <w:position w:val="0"/>
        <w:sz w:val="30"/>
        <w:u w:val="none"/>
        <w:vertAlign w:val="baseline"/>
      </w:rPr>
    </w:lvl>
    <w:lvl w:ilvl="4" w:tentative="0">
      <w:start w:val="1"/>
      <w:numFmt w:val="decimal"/>
      <w:suff w:val="space"/>
      <w:lvlText w:val="%1.%2.%3.%4.%5"/>
      <w:lvlJc w:val="left"/>
      <w:pPr>
        <w:ind w:left="85" w:hanging="85"/>
      </w:pPr>
      <w:rPr>
        <w:rFonts w:hint="default" w:ascii="Calibri" w:hAnsi="Calibri" w:eastAsia="宋体-PUA"/>
        <w:b/>
        <w:bCs w:val="0"/>
        <w:i w:val="0"/>
        <w:iCs w:val="0"/>
        <w:caps w:val="0"/>
        <w:smallCaps w:val="0"/>
        <w:strike w:val="0"/>
        <w:dstrike w:val="0"/>
        <w:vanish w:val="0"/>
        <w:color w:val="000000"/>
        <w:spacing w:val="0"/>
        <w:position w:val="0"/>
        <w:sz w:val="30"/>
        <w:u w:val="none"/>
        <w:vertAlign w:val="baseline"/>
      </w:rPr>
    </w:lvl>
    <w:lvl w:ilvl="5" w:tentative="0">
      <w:start w:val="1"/>
      <w:numFmt w:val="decimal"/>
      <w:lvlText w:val="%1.%2.%3.%4.%5.%6."/>
      <w:lvlJc w:val="left"/>
      <w:pPr>
        <w:tabs>
          <w:tab w:val="left" w:pos="0"/>
        </w:tabs>
        <w:ind w:left="227" w:hanging="85"/>
      </w:pPr>
      <w:rPr>
        <w:rFonts w:hint="default" w:ascii="Calibri" w:hAnsi="Calibri" w:eastAsia="宋体-PUA" w:cs="Times New Roman"/>
        <w:b/>
        <w:i w:val="0"/>
        <w:iCs w:val="0"/>
        <w:caps w:val="0"/>
        <w:smallCaps w:val="0"/>
        <w:strike w:val="0"/>
        <w:dstrike w:val="0"/>
        <w:vanish w:val="0"/>
        <w:color w:val="000000"/>
        <w:spacing w:val="0"/>
        <w:position w:val="0"/>
        <w:sz w:val="30"/>
        <w:u w:val="none"/>
        <w:vertAlign w:val="baseline"/>
      </w:rPr>
    </w:lvl>
    <w:lvl w:ilvl="6" w:tentative="0">
      <w:start w:val="1"/>
      <w:numFmt w:val="decimal"/>
      <w:lvlText w:val="%1.%2.%3.%4.%5.%6.%7."/>
      <w:lvlJc w:val="left"/>
      <w:pPr>
        <w:tabs>
          <w:tab w:val="left" w:pos="0"/>
        </w:tabs>
        <w:ind w:left="227" w:hanging="85"/>
      </w:pPr>
      <w:rPr>
        <w:rFonts w:hint="default" w:ascii="Calibri" w:hAnsi="Calibri" w:eastAsia="宋体-PUA"/>
        <w:b/>
        <w:i w:val="0"/>
        <w:sz w:val="30"/>
      </w:rPr>
    </w:lvl>
    <w:lvl w:ilvl="7" w:tentative="0">
      <w:start w:val="1"/>
      <w:numFmt w:val="decimal"/>
      <w:lvlText w:val="%1.%2.%3.%4.%5.%6.%7.%8."/>
      <w:lvlJc w:val="left"/>
      <w:pPr>
        <w:tabs>
          <w:tab w:val="left" w:pos="0"/>
        </w:tabs>
        <w:ind w:left="227" w:hanging="85"/>
      </w:pPr>
      <w:rPr>
        <w:rFonts w:hint="eastAsia"/>
      </w:rPr>
    </w:lvl>
    <w:lvl w:ilvl="8" w:tentative="0">
      <w:start w:val="1"/>
      <w:numFmt w:val="decimal"/>
      <w:lvlText w:val="%1.%2.%3.%4.%5.%6.%7.%8.%9."/>
      <w:lvlJc w:val="left"/>
      <w:pPr>
        <w:tabs>
          <w:tab w:val="left" w:pos="0"/>
        </w:tabs>
        <w:ind w:left="227" w:hanging="85"/>
      </w:pPr>
      <w:rPr>
        <w:rFonts w:hint="eastAsia"/>
      </w:rPr>
    </w:lvl>
  </w:abstractNum>
  <w:abstractNum w:abstractNumId="15">
    <w:nsid w:val="5E68A245"/>
    <w:multiLevelType w:val="singleLevel"/>
    <w:tmpl w:val="5E68A245"/>
    <w:lvl w:ilvl="0" w:tentative="0">
      <w:start w:val="3"/>
      <w:numFmt w:val="decimal"/>
      <w:lvlText w:val="%1."/>
      <w:lvlJc w:val="left"/>
      <w:pPr>
        <w:tabs>
          <w:tab w:val="left" w:pos="312"/>
        </w:tabs>
      </w:pPr>
    </w:lvl>
  </w:abstractNum>
  <w:abstractNum w:abstractNumId="16">
    <w:nsid w:val="63D02CBC"/>
    <w:multiLevelType w:val="singleLevel"/>
    <w:tmpl w:val="63D02CBC"/>
    <w:lvl w:ilvl="0" w:tentative="0">
      <w:start w:val="2"/>
      <w:numFmt w:val="decimal"/>
      <w:lvlText w:val="%1."/>
      <w:lvlJc w:val="left"/>
      <w:pPr>
        <w:tabs>
          <w:tab w:val="left" w:pos="312"/>
        </w:tabs>
      </w:pPr>
    </w:lvl>
  </w:abstractNum>
  <w:abstractNum w:abstractNumId="17">
    <w:nsid w:val="63DFCE95"/>
    <w:multiLevelType w:val="singleLevel"/>
    <w:tmpl w:val="63DFCE95"/>
    <w:lvl w:ilvl="0" w:tentative="0">
      <w:start w:val="3"/>
      <w:numFmt w:val="chineseCounting"/>
      <w:suff w:val="nothing"/>
      <w:lvlText w:val="%1、"/>
      <w:lvlJc w:val="left"/>
      <w:rPr>
        <w:rFonts w:hint="eastAsia"/>
      </w:rPr>
    </w:lvl>
  </w:abstractNum>
  <w:abstractNum w:abstractNumId="18">
    <w:nsid w:val="6CEA2025"/>
    <w:multiLevelType w:val="multilevel"/>
    <w:tmpl w:val="6CEA2025"/>
    <w:lvl w:ilvl="0" w:tentative="0">
      <w:start w:val="0"/>
      <w:numFmt w:val="decimal"/>
      <w:pStyle w:val="485"/>
      <w:lvlText w:val=""/>
      <w:lvlJc w:val="left"/>
    </w:lvl>
    <w:lvl w:ilvl="1" w:tentative="0">
      <w:start w:val="0"/>
      <w:numFmt w:val="decimal"/>
      <w:pStyle w:val="319"/>
      <w:lvlText w:val=""/>
      <w:lvlJc w:val="left"/>
    </w:lvl>
    <w:lvl w:ilvl="2" w:tentative="0">
      <w:start w:val="0"/>
      <w:numFmt w:val="decimal"/>
      <w:pStyle w:val="302"/>
      <w:lvlText w:val=""/>
      <w:lvlJc w:val="left"/>
    </w:lvl>
    <w:lvl w:ilvl="3" w:tentative="0">
      <w:start w:val="0"/>
      <w:numFmt w:val="decimal"/>
      <w:pStyle w:val="301"/>
      <w:lvlText w:val=""/>
      <w:lvlJc w:val="left"/>
    </w:lvl>
    <w:lvl w:ilvl="4" w:tentative="0">
      <w:start w:val="0"/>
      <w:numFmt w:val="decimal"/>
      <w:pStyle w:val="300"/>
      <w:lvlText w:val=""/>
      <w:lvlJc w:val="left"/>
    </w:lvl>
    <w:lvl w:ilvl="5" w:tentative="0">
      <w:start w:val="0"/>
      <w:numFmt w:val="decimal"/>
      <w:pStyle w:val="299"/>
      <w:lvlText w:val=""/>
      <w:lvlJc w:val="left"/>
    </w:lvl>
    <w:lvl w:ilvl="6" w:tentative="0">
      <w:start w:val="0"/>
      <w:numFmt w:val="decimal"/>
      <w:pStyle w:val="298"/>
      <w:lvlText w:val=""/>
      <w:lvlJc w:val="left"/>
    </w:lvl>
    <w:lvl w:ilvl="7" w:tentative="0">
      <w:start w:val="0"/>
      <w:numFmt w:val="decimal"/>
      <w:lvlText w:val=""/>
      <w:lvlJc w:val="left"/>
    </w:lvl>
    <w:lvl w:ilvl="8" w:tentative="0">
      <w:start w:val="0"/>
      <w:numFmt w:val="decimal"/>
      <w:lvlText w:val=""/>
      <w:lvlJc w:val="left"/>
    </w:lvl>
  </w:abstractNum>
  <w:abstractNum w:abstractNumId="19">
    <w:nsid w:val="77A13A18"/>
    <w:multiLevelType w:val="multilevel"/>
    <w:tmpl w:val="77A13A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220E83"/>
    <w:multiLevelType w:val="multilevel"/>
    <w:tmpl w:val="78220E83"/>
    <w:lvl w:ilvl="0" w:tentative="0">
      <w:start w:val="0"/>
      <w:numFmt w:val="decimal"/>
      <w:pStyle w:val="3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4"/>
  </w:num>
  <w:num w:numId="2">
    <w:abstractNumId w:val="0"/>
  </w:num>
  <w:num w:numId="3">
    <w:abstractNumId w:val="1"/>
  </w:num>
  <w:num w:numId="4">
    <w:abstractNumId w:val="18"/>
  </w:num>
  <w:num w:numId="5">
    <w:abstractNumId w:val="20"/>
  </w:num>
  <w:num w:numId="6">
    <w:abstractNumId w:val="11"/>
  </w:num>
  <w:num w:numId="7">
    <w:abstractNumId w:val="7"/>
  </w:num>
  <w:num w:numId="8">
    <w:abstractNumId w:val="8"/>
  </w:num>
  <w:num w:numId="9">
    <w:abstractNumId w:val="6"/>
  </w:num>
  <w:num w:numId="10">
    <w:abstractNumId w:val="4"/>
  </w:num>
  <w:num w:numId="11">
    <w:abstractNumId w:val="10"/>
  </w:num>
  <w:num w:numId="12">
    <w:abstractNumId w:val="12"/>
  </w:num>
  <w:num w:numId="13">
    <w:abstractNumId w:val="15"/>
  </w:num>
  <w:num w:numId="14">
    <w:abstractNumId w:val="3"/>
  </w:num>
  <w:num w:numId="15">
    <w:abstractNumId w:val="2"/>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6A509F"/>
    <w:rsid w:val="0000087D"/>
    <w:rsid w:val="00000C92"/>
    <w:rsid w:val="0000134A"/>
    <w:rsid w:val="000017BA"/>
    <w:rsid w:val="00001B6D"/>
    <w:rsid w:val="00001D07"/>
    <w:rsid w:val="000023F6"/>
    <w:rsid w:val="00002C66"/>
    <w:rsid w:val="00002FD2"/>
    <w:rsid w:val="0000316C"/>
    <w:rsid w:val="0000508E"/>
    <w:rsid w:val="0000512F"/>
    <w:rsid w:val="00005C80"/>
    <w:rsid w:val="00006129"/>
    <w:rsid w:val="00007295"/>
    <w:rsid w:val="000075C8"/>
    <w:rsid w:val="00010ACE"/>
    <w:rsid w:val="00011048"/>
    <w:rsid w:val="0001108C"/>
    <w:rsid w:val="000125DD"/>
    <w:rsid w:val="000126B5"/>
    <w:rsid w:val="00012C1E"/>
    <w:rsid w:val="0001308E"/>
    <w:rsid w:val="00013C4B"/>
    <w:rsid w:val="00013EAD"/>
    <w:rsid w:val="00014E3F"/>
    <w:rsid w:val="000161A6"/>
    <w:rsid w:val="00016CB0"/>
    <w:rsid w:val="00017B1C"/>
    <w:rsid w:val="00021C89"/>
    <w:rsid w:val="00021FC1"/>
    <w:rsid w:val="00022A01"/>
    <w:rsid w:val="00022B05"/>
    <w:rsid w:val="00023028"/>
    <w:rsid w:val="00023359"/>
    <w:rsid w:val="00023C2D"/>
    <w:rsid w:val="00023F13"/>
    <w:rsid w:val="00024270"/>
    <w:rsid w:val="0002449E"/>
    <w:rsid w:val="00024C55"/>
    <w:rsid w:val="000254DC"/>
    <w:rsid w:val="00025843"/>
    <w:rsid w:val="000265B8"/>
    <w:rsid w:val="0002723F"/>
    <w:rsid w:val="00027C48"/>
    <w:rsid w:val="00030E0C"/>
    <w:rsid w:val="00031101"/>
    <w:rsid w:val="000316AC"/>
    <w:rsid w:val="000324D0"/>
    <w:rsid w:val="00032C83"/>
    <w:rsid w:val="00033DDE"/>
    <w:rsid w:val="0003475A"/>
    <w:rsid w:val="00035544"/>
    <w:rsid w:val="0003699C"/>
    <w:rsid w:val="0003755D"/>
    <w:rsid w:val="000439A1"/>
    <w:rsid w:val="00044090"/>
    <w:rsid w:val="000442F1"/>
    <w:rsid w:val="000443B1"/>
    <w:rsid w:val="00044835"/>
    <w:rsid w:val="00044976"/>
    <w:rsid w:val="00045A3D"/>
    <w:rsid w:val="00046D1B"/>
    <w:rsid w:val="000506F3"/>
    <w:rsid w:val="00050A21"/>
    <w:rsid w:val="00050B46"/>
    <w:rsid w:val="00050C4B"/>
    <w:rsid w:val="00051603"/>
    <w:rsid w:val="0005166D"/>
    <w:rsid w:val="00052B80"/>
    <w:rsid w:val="00053029"/>
    <w:rsid w:val="00053649"/>
    <w:rsid w:val="000546B5"/>
    <w:rsid w:val="00057FDB"/>
    <w:rsid w:val="00060E68"/>
    <w:rsid w:val="00060F78"/>
    <w:rsid w:val="00061AFB"/>
    <w:rsid w:val="000621B2"/>
    <w:rsid w:val="00062938"/>
    <w:rsid w:val="0006367D"/>
    <w:rsid w:val="0006514B"/>
    <w:rsid w:val="0006599B"/>
    <w:rsid w:val="00065CA5"/>
    <w:rsid w:val="0006695A"/>
    <w:rsid w:val="00067BAB"/>
    <w:rsid w:val="000705D6"/>
    <w:rsid w:val="00070D0B"/>
    <w:rsid w:val="00071C42"/>
    <w:rsid w:val="00072195"/>
    <w:rsid w:val="00072485"/>
    <w:rsid w:val="000728E8"/>
    <w:rsid w:val="000734E1"/>
    <w:rsid w:val="00074BBE"/>
    <w:rsid w:val="0007539E"/>
    <w:rsid w:val="00075830"/>
    <w:rsid w:val="000761E6"/>
    <w:rsid w:val="00076616"/>
    <w:rsid w:val="000771FC"/>
    <w:rsid w:val="000778DD"/>
    <w:rsid w:val="00080EF6"/>
    <w:rsid w:val="000819E6"/>
    <w:rsid w:val="00082068"/>
    <w:rsid w:val="000829D4"/>
    <w:rsid w:val="0008348F"/>
    <w:rsid w:val="00083E22"/>
    <w:rsid w:val="00084BCB"/>
    <w:rsid w:val="00084E8D"/>
    <w:rsid w:val="00084FEF"/>
    <w:rsid w:val="00085443"/>
    <w:rsid w:val="00087CC1"/>
    <w:rsid w:val="00087DBF"/>
    <w:rsid w:val="00087EAC"/>
    <w:rsid w:val="00090781"/>
    <w:rsid w:val="00091AE4"/>
    <w:rsid w:val="00092981"/>
    <w:rsid w:val="00092AD1"/>
    <w:rsid w:val="0009349C"/>
    <w:rsid w:val="00094F95"/>
    <w:rsid w:val="0009542A"/>
    <w:rsid w:val="00095AEB"/>
    <w:rsid w:val="00096A3E"/>
    <w:rsid w:val="00097508"/>
    <w:rsid w:val="00097786"/>
    <w:rsid w:val="00097CB1"/>
    <w:rsid w:val="000A1241"/>
    <w:rsid w:val="000A1963"/>
    <w:rsid w:val="000A224B"/>
    <w:rsid w:val="000A29EC"/>
    <w:rsid w:val="000A330D"/>
    <w:rsid w:val="000A3450"/>
    <w:rsid w:val="000A4163"/>
    <w:rsid w:val="000A41CA"/>
    <w:rsid w:val="000A50EE"/>
    <w:rsid w:val="000A56E8"/>
    <w:rsid w:val="000A5743"/>
    <w:rsid w:val="000A6291"/>
    <w:rsid w:val="000A684C"/>
    <w:rsid w:val="000A7494"/>
    <w:rsid w:val="000A783D"/>
    <w:rsid w:val="000A7940"/>
    <w:rsid w:val="000B02BE"/>
    <w:rsid w:val="000B0822"/>
    <w:rsid w:val="000B1248"/>
    <w:rsid w:val="000B2A54"/>
    <w:rsid w:val="000B2C4C"/>
    <w:rsid w:val="000B2E5D"/>
    <w:rsid w:val="000B35E7"/>
    <w:rsid w:val="000B4D1F"/>
    <w:rsid w:val="000B5D9E"/>
    <w:rsid w:val="000B5DA4"/>
    <w:rsid w:val="000B5FCB"/>
    <w:rsid w:val="000B64DD"/>
    <w:rsid w:val="000B7B3B"/>
    <w:rsid w:val="000C148C"/>
    <w:rsid w:val="000C1694"/>
    <w:rsid w:val="000C1A90"/>
    <w:rsid w:val="000C1B68"/>
    <w:rsid w:val="000C1D1F"/>
    <w:rsid w:val="000C2239"/>
    <w:rsid w:val="000C2F49"/>
    <w:rsid w:val="000C3347"/>
    <w:rsid w:val="000C5A2A"/>
    <w:rsid w:val="000D1DB7"/>
    <w:rsid w:val="000D2854"/>
    <w:rsid w:val="000D2C19"/>
    <w:rsid w:val="000D2FF1"/>
    <w:rsid w:val="000D3C10"/>
    <w:rsid w:val="000D4013"/>
    <w:rsid w:val="000D4127"/>
    <w:rsid w:val="000D4572"/>
    <w:rsid w:val="000D4D59"/>
    <w:rsid w:val="000D5428"/>
    <w:rsid w:val="000D6418"/>
    <w:rsid w:val="000D66AE"/>
    <w:rsid w:val="000D675F"/>
    <w:rsid w:val="000D6B9D"/>
    <w:rsid w:val="000D7AEE"/>
    <w:rsid w:val="000E053D"/>
    <w:rsid w:val="000E0B91"/>
    <w:rsid w:val="000E1870"/>
    <w:rsid w:val="000E2C2A"/>
    <w:rsid w:val="000E2C37"/>
    <w:rsid w:val="000E3C2F"/>
    <w:rsid w:val="000E3EE1"/>
    <w:rsid w:val="000E4BFC"/>
    <w:rsid w:val="000E56B8"/>
    <w:rsid w:val="000E5A4C"/>
    <w:rsid w:val="000E60CF"/>
    <w:rsid w:val="000E655D"/>
    <w:rsid w:val="000E67F0"/>
    <w:rsid w:val="000E7C18"/>
    <w:rsid w:val="000F06DD"/>
    <w:rsid w:val="000F08DB"/>
    <w:rsid w:val="000F0D94"/>
    <w:rsid w:val="000F297F"/>
    <w:rsid w:val="000F308F"/>
    <w:rsid w:val="000F43E7"/>
    <w:rsid w:val="000F6201"/>
    <w:rsid w:val="000F6E4A"/>
    <w:rsid w:val="00100179"/>
    <w:rsid w:val="00100DD1"/>
    <w:rsid w:val="00101132"/>
    <w:rsid w:val="001011FE"/>
    <w:rsid w:val="001013BB"/>
    <w:rsid w:val="001016A8"/>
    <w:rsid w:val="00101C90"/>
    <w:rsid w:val="001032AE"/>
    <w:rsid w:val="0010370D"/>
    <w:rsid w:val="00104745"/>
    <w:rsid w:val="00104A3B"/>
    <w:rsid w:val="00104BA6"/>
    <w:rsid w:val="00106754"/>
    <w:rsid w:val="00107B71"/>
    <w:rsid w:val="00107D61"/>
    <w:rsid w:val="00110E6D"/>
    <w:rsid w:val="00111259"/>
    <w:rsid w:val="0011150E"/>
    <w:rsid w:val="00111A9D"/>
    <w:rsid w:val="00112408"/>
    <w:rsid w:val="00112571"/>
    <w:rsid w:val="00112DB5"/>
    <w:rsid w:val="00113881"/>
    <w:rsid w:val="0011431A"/>
    <w:rsid w:val="00115287"/>
    <w:rsid w:val="00116502"/>
    <w:rsid w:val="00116D55"/>
    <w:rsid w:val="001172C3"/>
    <w:rsid w:val="00121C40"/>
    <w:rsid w:val="0012333A"/>
    <w:rsid w:val="0012411D"/>
    <w:rsid w:val="00125C90"/>
    <w:rsid w:val="001260BE"/>
    <w:rsid w:val="0013069F"/>
    <w:rsid w:val="00131807"/>
    <w:rsid w:val="001324E5"/>
    <w:rsid w:val="001339E4"/>
    <w:rsid w:val="0013456A"/>
    <w:rsid w:val="00134A0C"/>
    <w:rsid w:val="0013556A"/>
    <w:rsid w:val="001355C9"/>
    <w:rsid w:val="00135D79"/>
    <w:rsid w:val="00135EC5"/>
    <w:rsid w:val="001368DB"/>
    <w:rsid w:val="00137421"/>
    <w:rsid w:val="001377E8"/>
    <w:rsid w:val="00137EBA"/>
    <w:rsid w:val="001402F0"/>
    <w:rsid w:val="00141D75"/>
    <w:rsid w:val="001434A4"/>
    <w:rsid w:val="00143549"/>
    <w:rsid w:val="0014489C"/>
    <w:rsid w:val="00145135"/>
    <w:rsid w:val="001461B6"/>
    <w:rsid w:val="0014686E"/>
    <w:rsid w:val="00147DC5"/>
    <w:rsid w:val="001501DD"/>
    <w:rsid w:val="0015023D"/>
    <w:rsid w:val="00150ABC"/>
    <w:rsid w:val="0015153D"/>
    <w:rsid w:val="00151644"/>
    <w:rsid w:val="001520DF"/>
    <w:rsid w:val="00152F29"/>
    <w:rsid w:val="00153872"/>
    <w:rsid w:val="00153BC9"/>
    <w:rsid w:val="00153FD3"/>
    <w:rsid w:val="00154298"/>
    <w:rsid w:val="00155321"/>
    <w:rsid w:val="001558F5"/>
    <w:rsid w:val="00155A0C"/>
    <w:rsid w:val="00155FA1"/>
    <w:rsid w:val="001561A4"/>
    <w:rsid w:val="00157C30"/>
    <w:rsid w:val="00160F2C"/>
    <w:rsid w:val="001616F2"/>
    <w:rsid w:val="00161A62"/>
    <w:rsid w:val="00162826"/>
    <w:rsid w:val="00162FD1"/>
    <w:rsid w:val="001637C8"/>
    <w:rsid w:val="001639B8"/>
    <w:rsid w:val="001641C6"/>
    <w:rsid w:val="001646A8"/>
    <w:rsid w:val="00164B31"/>
    <w:rsid w:val="00164FF6"/>
    <w:rsid w:val="00166C9E"/>
    <w:rsid w:val="00166DD3"/>
    <w:rsid w:val="001674E7"/>
    <w:rsid w:val="001674F4"/>
    <w:rsid w:val="00167E3D"/>
    <w:rsid w:val="00167FAF"/>
    <w:rsid w:val="00170285"/>
    <w:rsid w:val="00171924"/>
    <w:rsid w:val="00172AB1"/>
    <w:rsid w:val="001733FF"/>
    <w:rsid w:val="001743BC"/>
    <w:rsid w:val="00175E83"/>
    <w:rsid w:val="001760C3"/>
    <w:rsid w:val="0017677F"/>
    <w:rsid w:val="00176FA0"/>
    <w:rsid w:val="00177588"/>
    <w:rsid w:val="00180A98"/>
    <w:rsid w:val="00181319"/>
    <w:rsid w:val="001820DD"/>
    <w:rsid w:val="0018287D"/>
    <w:rsid w:val="00182CF5"/>
    <w:rsid w:val="00185E9E"/>
    <w:rsid w:val="00186489"/>
    <w:rsid w:val="0018682C"/>
    <w:rsid w:val="001876D5"/>
    <w:rsid w:val="001906E1"/>
    <w:rsid w:val="00192D1D"/>
    <w:rsid w:val="0019322D"/>
    <w:rsid w:val="00193C44"/>
    <w:rsid w:val="00193F5F"/>
    <w:rsid w:val="00194437"/>
    <w:rsid w:val="0019537C"/>
    <w:rsid w:val="001955C6"/>
    <w:rsid w:val="00195B26"/>
    <w:rsid w:val="00196F9F"/>
    <w:rsid w:val="00197128"/>
    <w:rsid w:val="0019758A"/>
    <w:rsid w:val="00197772"/>
    <w:rsid w:val="00197B2D"/>
    <w:rsid w:val="00197D2F"/>
    <w:rsid w:val="001A0286"/>
    <w:rsid w:val="001A0C56"/>
    <w:rsid w:val="001A15A7"/>
    <w:rsid w:val="001A1F90"/>
    <w:rsid w:val="001A21FD"/>
    <w:rsid w:val="001A310C"/>
    <w:rsid w:val="001A3279"/>
    <w:rsid w:val="001A530C"/>
    <w:rsid w:val="001A63B5"/>
    <w:rsid w:val="001A6B24"/>
    <w:rsid w:val="001B0593"/>
    <w:rsid w:val="001B0E99"/>
    <w:rsid w:val="001B442E"/>
    <w:rsid w:val="001B4B1B"/>
    <w:rsid w:val="001B4E85"/>
    <w:rsid w:val="001B53D6"/>
    <w:rsid w:val="001B5622"/>
    <w:rsid w:val="001B5878"/>
    <w:rsid w:val="001B6725"/>
    <w:rsid w:val="001B6784"/>
    <w:rsid w:val="001B73A8"/>
    <w:rsid w:val="001B756D"/>
    <w:rsid w:val="001B7756"/>
    <w:rsid w:val="001B7E87"/>
    <w:rsid w:val="001C021B"/>
    <w:rsid w:val="001C036E"/>
    <w:rsid w:val="001C10A0"/>
    <w:rsid w:val="001C1733"/>
    <w:rsid w:val="001C1775"/>
    <w:rsid w:val="001C18E3"/>
    <w:rsid w:val="001C2003"/>
    <w:rsid w:val="001C2799"/>
    <w:rsid w:val="001C2FE8"/>
    <w:rsid w:val="001C3BF1"/>
    <w:rsid w:val="001C6574"/>
    <w:rsid w:val="001C6A6E"/>
    <w:rsid w:val="001C6CDA"/>
    <w:rsid w:val="001C6F71"/>
    <w:rsid w:val="001C7413"/>
    <w:rsid w:val="001C7603"/>
    <w:rsid w:val="001C772C"/>
    <w:rsid w:val="001C79B8"/>
    <w:rsid w:val="001C7BC6"/>
    <w:rsid w:val="001C7E6B"/>
    <w:rsid w:val="001D064A"/>
    <w:rsid w:val="001D0B26"/>
    <w:rsid w:val="001D10EE"/>
    <w:rsid w:val="001D13A9"/>
    <w:rsid w:val="001D337F"/>
    <w:rsid w:val="001D34A7"/>
    <w:rsid w:val="001D49B3"/>
    <w:rsid w:val="001D5B37"/>
    <w:rsid w:val="001E0D9D"/>
    <w:rsid w:val="001E157B"/>
    <w:rsid w:val="001E177D"/>
    <w:rsid w:val="001E1C55"/>
    <w:rsid w:val="001E2B86"/>
    <w:rsid w:val="001E4F20"/>
    <w:rsid w:val="001E55A7"/>
    <w:rsid w:val="001E5A95"/>
    <w:rsid w:val="001E7367"/>
    <w:rsid w:val="001E7CC4"/>
    <w:rsid w:val="001F0487"/>
    <w:rsid w:val="001F1F5F"/>
    <w:rsid w:val="001F2C72"/>
    <w:rsid w:val="001F43A0"/>
    <w:rsid w:val="001F5F54"/>
    <w:rsid w:val="001F5FDE"/>
    <w:rsid w:val="001F78F5"/>
    <w:rsid w:val="001F7AE4"/>
    <w:rsid w:val="00201398"/>
    <w:rsid w:val="00202AD8"/>
    <w:rsid w:val="00202C8B"/>
    <w:rsid w:val="0020470E"/>
    <w:rsid w:val="00205835"/>
    <w:rsid w:val="00205C07"/>
    <w:rsid w:val="0020638B"/>
    <w:rsid w:val="00206D28"/>
    <w:rsid w:val="0020710E"/>
    <w:rsid w:val="002100D3"/>
    <w:rsid w:val="002111EA"/>
    <w:rsid w:val="00211A5D"/>
    <w:rsid w:val="00211AA2"/>
    <w:rsid w:val="00211E4B"/>
    <w:rsid w:val="00212EB2"/>
    <w:rsid w:val="0021493B"/>
    <w:rsid w:val="002153DE"/>
    <w:rsid w:val="00215795"/>
    <w:rsid w:val="00215ED6"/>
    <w:rsid w:val="00216B56"/>
    <w:rsid w:val="0021775D"/>
    <w:rsid w:val="002204A7"/>
    <w:rsid w:val="002205E2"/>
    <w:rsid w:val="00220732"/>
    <w:rsid w:val="00220CF3"/>
    <w:rsid w:val="00222CE4"/>
    <w:rsid w:val="00222DB9"/>
    <w:rsid w:val="0022398A"/>
    <w:rsid w:val="00224469"/>
    <w:rsid w:val="00224DF1"/>
    <w:rsid w:val="00225078"/>
    <w:rsid w:val="00225941"/>
    <w:rsid w:val="00226496"/>
    <w:rsid w:val="002272A4"/>
    <w:rsid w:val="00227842"/>
    <w:rsid w:val="00230022"/>
    <w:rsid w:val="00231941"/>
    <w:rsid w:val="00231FB2"/>
    <w:rsid w:val="00232DC5"/>
    <w:rsid w:val="0023335E"/>
    <w:rsid w:val="00234067"/>
    <w:rsid w:val="00234077"/>
    <w:rsid w:val="00234999"/>
    <w:rsid w:val="002351C6"/>
    <w:rsid w:val="00235C49"/>
    <w:rsid w:val="00235C58"/>
    <w:rsid w:val="00236277"/>
    <w:rsid w:val="00236C1F"/>
    <w:rsid w:val="00237C65"/>
    <w:rsid w:val="00237CA7"/>
    <w:rsid w:val="00241B76"/>
    <w:rsid w:val="00241CD2"/>
    <w:rsid w:val="00242487"/>
    <w:rsid w:val="002427ED"/>
    <w:rsid w:val="00244799"/>
    <w:rsid w:val="002458E1"/>
    <w:rsid w:val="00246533"/>
    <w:rsid w:val="00250AE1"/>
    <w:rsid w:val="00250DBA"/>
    <w:rsid w:val="00251AF8"/>
    <w:rsid w:val="002540EB"/>
    <w:rsid w:val="002549C6"/>
    <w:rsid w:val="0025502D"/>
    <w:rsid w:val="0025586F"/>
    <w:rsid w:val="00257358"/>
    <w:rsid w:val="0025756C"/>
    <w:rsid w:val="002575C5"/>
    <w:rsid w:val="002575F0"/>
    <w:rsid w:val="00257A49"/>
    <w:rsid w:val="00257B3E"/>
    <w:rsid w:val="00257E09"/>
    <w:rsid w:val="00257EC9"/>
    <w:rsid w:val="00257F33"/>
    <w:rsid w:val="002617A1"/>
    <w:rsid w:val="00261B49"/>
    <w:rsid w:val="0026277C"/>
    <w:rsid w:val="00262C26"/>
    <w:rsid w:val="00263497"/>
    <w:rsid w:val="00264DC8"/>
    <w:rsid w:val="00264F2B"/>
    <w:rsid w:val="00265344"/>
    <w:rsid w:val="00265527"/>
    <w:rsid w:val="002658F5"/>
    <w:rsid w:val="0026683D"/>
    <w:rsid w:val="0026716E"/>
    <w:rsid w:val="00270E47"/>
    <w:rsid w:val="00274325"/>
    <w:rsid w:val="00274D74"/>
    <w:rsid w:val="00276351"/>
    <w:rsid w:val="00276B2E"/>
    <w:rsid w:val="00276DF5"/>
    <w:rsid w:val="00277334"/>
    <w:rsid w:val="00281AEE"/>
    <w:rsid w:val="00281C7F"/>
    <w:rsid w:val="00281EAC"/>
    <w:rsid w:val="00283D05"/>
    <w:rsid w:val="002847DA"/>
    <w:rsid w:val="002848B1"/>
    <w:rsid w:val="00285FFB"/>
    <w:rsid w:val="00286600"/>
    <w:rsid w:val="00286B2E"/>
    <w:rsid w:val="0028798E"/>
    <w:rsid w:val="00290139"/>
    <w:rsid w:val="00291347"/>
    <w:rsid w:val="002918C4"/>
    <w:rsid w:val="00291FB9"/>
    <w:rsid w:val="00292A5B"/>
    <w:rsid w:val="00294068"/>
    <w:rsid w:val="002958BF"/>
    <w:rsid w:val="00295FF0"/>
    <w:rsid w:val="0029685B"/>
    <w:rsid w:val="0029777B"/>
    <w:rsid w:val="00297AF4"/>
    <w:rsid w:val="002A0F9D"/>
    <w:rsid w:val="002A3976"/>
    <w:rsid w:val="002A3A26"/>
    <w:rsid w:val="002A3E88"/>
    <w:rsid w:val="002A416A"/>
    <w:rsid w:val="002A4C95"/>
    <w:rsid w:val="002A6857"/>
    <w:rsid w:val="002A7F69"/>
    <w:rsid w:val="002B09EF"/>
    <w:rsid w:val="002B11AF"/>
    <w:rsid w:val="002B2347"/>
    <w:rsid w:val="002B25B1"/>
    <w:rsid w:val="002B27AC"/>
    <w:rsid w:val="002B29C8"/>
    <w:rsid w:val="002B2AA9"/>
    <w:rsid w:val="002B4606"/>
    <w:rsid w:val="002B4BCE"/>
    <w:rsid w:val="002B578D"/>
    <w:rsid w:val="002B57F4"/>
    <w:rsid w:val="002B5A5B"/>
    <w:rsid w:val="002B7C54"/>
    <w:rsid w:val="002C184D"/>
    <w:rsid w:val="002C1B85"/>
    <w:rsid w:val="002C24F2"/>
    <w:rsid w:val="002C357B"/>
    <w:rsid w:val="002C3BAA"/>
    <w:rsid w:val="002C5680"/>
    <w:rsid w:val="002C5A59"/>
    <w:rsid w:val="002C5C83"/>
    <w:rsid w:val="002D04A0"/>
    <w:rsid w:val="002D1E27"/>
    <w:rsid w:val="002D553A"/>
    <w:rsid w:val="002D63FD"/>
    <w:rsid w:val="002E0085"/>
    <w:rsid w:val="002E0101"/>
    <w:rsid w:val="002E069A"/>
    <w:rsid w:val="002E07F2"/>
    <w:rsid w:val="002E0F87"/>
    <w:rsid w:val="002E2317"/>
    <w:rsid w:val="002E2C29"/>
    <w:rsid w:val="002E53EE"/>
    <w:rsid w:val="002E594B"/>
    <w:rsid w:val="002E6052"/>
    <w:rsid w:val="002E6616"/>
    <w:rsid w:val="002E6667"/>
    <w:rsid w:val="002F0277"/>
    <w:rsid w:val="002F27C4"/>
    <w:rsid w:val="002F2E99"/>
    <w:rsid w:val="002F2EE8"/>
    <w:rsid w:val="002F3DDB"/>
    <w:rsid w:val="002F4353"/>
    <w:rsid w:val="002F4617"/>
    <w:rsid w:val="002F5164"/>
    <w:rsid w:val="002F5568"/>
    <w:rsid w:val="002F572E"/>
    <w:rsid w:val="002F5F60"/>
    <w:rsid w:val="002F632B"/>
    <w:rsid w:val="00304697"/>
    <w:rsid w:val="00305214"/>
    <w:rsid w:val="003052E3"/>
    <w:rsid w:val="00305B07"/>
    <w:rsid w:val="003102A8"/>
    <w:rsid w:val="003134B4"/>
    <w:rsid w:val="00313C4C"/>
    <w:rsid w:val="0031465B"/>
    <w:rsid w:val="00314832"/>
    <w:rsid w:val="00314DDA"/>
    <w:rsid w:val="0031574C"/>
    <w:rsid w:val="00315CCB"/>
    <w:rsid w:val="0031626C"/>
    <w:rsid w:val="00316C9B"/>
    <w:rsid w:val="00317127"/>
    <w:rsid w:val="00317D01"/>
    <w:rsid w:val="00321267"/>
    <w:rsid w:val="00321BAF"/>
    <w:rsid w:val="00321F1F"/>
    <w:rsid w:val="00324CFB"/>
    <w:rsid w:val="00325545"/>
    <w:rsid w:val="00325CD5"/>
    <w:rsid w:val="003266D6"/>
    <w:rsid w:val="00326A64"/>
    <w:rsid w:val="00326C5E"/>
    <w:rsid w:val="00326FEA"/>
    <w:rsid w:val="00327E55"/>
    <w:rsid w:val="00327E90"/>
    <w:rsid w:val="00327FE3"/>
    <w:rsid w:val="003305F3"/>
    <w:rsid w:val="00336CB6"/>
    <w:rsid w:val="003373B9"/>
    <w:rsid w:val="003373F9"/>
    <w:rsid w:val="00337A3A"/>
    <w:rsid w:val="00340297"/>
    <w:rsid w:val="0034064A"/>
    <w:rsid w:val="00340720"/>
    <w:rsid w:val="00340C20"/>
    <w:rsid w:val="00341ADB"/>
    <w:rsid w:val="0034387E"/>
    <w:rsid w:val="003449A8"/>
    <w:rsid w:val="00346AA3"/>
    <w:rsid w:val="003477F6"/>
    <w:rsid w:val="00350B45"/>
    <w:rsid w:val="0035192E"/>
    <w:rsid w:val="00352432"/>
    <w:rsid w:val="00353B2E"/>
    <w:rsid w:val="003545D9"/>
    <w:rsid w:val="00356476"/>
    <w:rsid w:val="00356845"/>
    <w:rsid w:val="00356A11"/>
    <w:rsid w:val="00356AC4"/>
    <w:rsid w:val="00360679"/>
    <w:rsid w:val="00363404"/>
    <w:rsid w:val="00364796"/>
    <w:rsid w:val="003647CF"/>
    <w:rsid w:val="0036611A"/>
    <w:rsid w:val="0036720F"/>
    <w:rsid w:val="0037013B"/>
    <w:rsid w:val="0037034E"/>
    <w:rsid w:val="00370AF5"/>
    <w:rsid w:val="00371069"/>
    <w:rsid w:val="00371851"/>
    <w:rsid w:val="0037254B"/>
    <w:rsid w:val="00372AD4"/>
    <w:rsid w:val="00374351"/>
    <w:rsid w:val="00375E94"/>
    <w:rsid w:val="00376B6E"/>
    <w:rsid w:val="003778DA"/>
    <w:rsid w:val="00377BDE"/>
    <w:rsid w:val="00380855"/>
    <w:rsid w:val="00381571"/>
    <w:rsid w:val="003821D0"/>
    <w:rsid w:val="00382AFF"/>
    <w:rsid w:val="00383A20"/>
    <w:rsid w:val="00383F10"/>
    <w:rsid w:val="00383F3E"/>
    <w:rsid w:val="00384C9E"/>
    <w:rsid w:val="00384EA9"/>
    <w:rsid w:val="00385291"/>
    <w:rsid w:val="003855B0"/>
    <w:rsid w:val="00385CE9"/>
    <w:rsid w:val="00386223"/>
    <w:rsid w:val="0038697D"/>
    <w:rsid w:val="00387B73"/>
    <w:rsid w:val="00387BEE"/>
    <w:rsid w:val="0039016D"/>
    <w:rsid w:val="00390502"/>
    <w:rsid w:val="00390524"/>
    <w:rsid w:val="00390EAE"/>
    <w:rsid w:val="00391594"/>
    <w:rsid w:val="00391D6A"/>
    <w:rsid w:val="00392C3B"/>
    <w:rsid w:val="003931E3"/>
    <w:rsid w:val="003932C7"/>
    <w:rsid w:val="0039575F"/>
    <w:rsid w:val="003961B4"/>
    <w:rsid w:val="0039764A"/>
    <w:rsid w:val="00397CCA"/>
    <w:rsid w:val="00397F1F"/>
    <w:rsid w:val="00397FC3"/>
    <w:rsid w:val="003A1035"/>
    <w:rsid w:val="003A1362"/>
    <w:rsid w:val="003A1778"/>
    <w:rsid w:val="003A1BF1"/>
    <w:rsid w:val="003A31FB"/>
    <w:rsid w:val="003A3681"/>
    <w:rsid w:val="003A36E3"/>
    <w:rsid w:val="003A3B6C"/>
    <w:rsid w:val="003A3BBE"/>
    <w:rsid w:val="003A4493"/>
    <w:rsid w:val="003A44C5"/>
    <w:rsid w:val="003A5E47"/>
    <w:rsid w:val="003A6231"/>
    <w:rsid w:val="003A643D"/>
    <w:rsid w:val="003A7818"/>
    <w:rsid w:val="003B035F"/>
    <w:rsid w:val="003B10A3"/>
    <w:rsid w:val="003B28B8"/>
    <w:rsid w:val="003B388E"/>
    <w:rsid w:val="003B491A"/>
    <w:rsid w:val="003B4946"/>
    <w:rsid w:val="003B5674"/>
    <w:rsid w:val="003B572E"/>
    <w:rsid w:val="003B62A2"/>
    <w:rsid w:val="003B79CD"/>
    <w:rsid w:val="003C24D7"/>
    <w:rsid w:val="003C265E"/>
    <w:rsid w:val="003C2F1C"/>
    <w:rsid w:val="003C2F3F"/>
    <w:rsid w:val="003C32A2"/>
    <w:rsid w:val="003C3F8D"/>
    <w:rsid w:val="003C456D"/>
    <w:rsid w:val="003C5A4B"/>
    <w:rsid w:val="003C5DE2"/>
    <w:rsid w:val="003C63F9"/>
    <w:rsid w:val="003C6E4E"/>
    <w:rsid w:val="003C71E1"/>
    <w:rsid w:val="003D1D1B"/>
    <w:rsid w:val="003D246D"/>
    <w:rsid w:val="003D3030"/>
    <w:rsid w:val="003D5F24"/>
    <w:rsid w:val="003D616D"/>
    <w:rsid w:val="003D68F7"/>
    <w:rsid w:val="003D692D"/>
    <w:rsid w:val="003D6DFC"/>
    <w:rsid w:val="003E00A6"/>
    <w:rsid w:val="003E0CC9"/>
    <w:rsid w:val="003E0E1F"/>
    <w:rsid w:val="003E1F42"/>
    <w:rsid w:val="003E22B7"/>
    <w:rsid w:val="003E278C"/>
    <w:rsid w:val="003E3808"/>
    <w:rsid w:val="003E3BA8"/>
    <w:rsid w:val="003E3ECF"/>
    <w:rsid w:val="003E4105"/>
    <w:rsid w:val="003E4853"/>
    <w:rsid w:val="003E5738"/>
    <w:rsid w:val="003F1421"/>
    <w:rsid w:val="003F1C84"/>
    <w:rsid w:val="003F1EC0"/>
    <w:rsid w:val="003F2A10"/>
    <w:rsid w:val="003F39D7"/>
    <w:rsid w:val="003F3C91"/>
    <w:rsid w:val="003F4395"/>
    <w:rsid w:val="003F4D8B"/>
    <w:rsid w:val="003F57E4"/>
    <w:rsid w:val="003F5BD0"/>
    <w:rsid w:val="003F6751"/>
    <w:rsid w:val="004014EB"/>
    <w:rsid w:val="00401ED6"/>
    <w:rsid w:val="00402358"/>
    <w:rsid w:val="0040274D"/>
    <w:rsid w:val="004042A4"/>
    <w:rsid w:val="00404317"/>
    <w:rsid w:val="00404C8E"/>
    <w:rsid w:val="00405350"/>
    <w:rsid w:val="004057E7"/>
    <w:rsid w:val="004070FE"/>
    <w:rsid w:val="004103E0"/>
    <w:rsid w:val="00414B56"/>
    <w:rsid w:val="00414D45"/>
    <w:rsid w:val="0041520A"/>
    <w:rsid w:val="00415E35"/>
    <w:rsid w:val="0041613E"/>
    <w:rsid w:val="00417A45"/>
    <w:rsid w:val="004207AF"/>
    <w:rsid w:val="00421245"/>
    <w:rsid w:val="00421505"/>
    <w:rsid w:val="004217F5"/>
    <w:rsid w:val="00423603"/>
    <w:rsid w:val="00425627"/>
    <w:rsid w:val="00425AD8"/>
    <w:rsid w:val="00425F3B"/>
    <w:rsid w:val="0042647B"/>
    <w:rsid w:val="0042703C"/>
    <w:rsid w:val="004277E2"/>
    <w:rsid w:val="00427B24"/>
    <w:rsid w:val="00431D9A"/>
    <w:rsid w:val="00431F31"/>
    <w:rsid w:val="00432C44"/>
    <w:rsid w:val="0043404A"/>
    <w:rsid w:val="004378EC"/>
    <w:rsid w:val="00437A4D"/>
    <w:rsid w:val="004400C7"/>
    <w:rsid w:val="00441243"/>
    <w:rsid w:val="0044197D"/>
    <w:rsid w:val="00441F66"/>
    <w:rsid w:val="00442FA3"/>
    <w:rsid w:val="004439B4"/>
    <w:rsid w:val="0044455F"/>
    <w:rsid w:val="004456FC"/>
    <w:rsid w:val="00445D9C"/>
    <w:rsid w:val="00446F4A"/>
    <w:rsid w:val="004476ED"/>
    <w:rsid w:val="00447C19"/>
    <w:rsid w:val="00453ECF"/>
    <w:rsid w:val="004565F7"/>
    <w:rsid w:val="00457339"/>
    <w:rsid w:val="004578D3"/>
    <w:rsid w:val="00457FD8"/>
    <w:rsid w:val="00461690"/>
    <w:rsid w:val="00461A7A"/>
    <w:rsid w:val="00461D1B"/>
    <w:rsid w:val="00462BF3"/>
    <w:rsid w:val="0046410F"/>
    <w:rsid w:val="0046417A"/>
    <w:rsid w:val="00464883"/>
    <w:rsid w:val="00465B4E"/>
    <w:rsid w:val="004665FD"/>
    <w:rsid w:val="00466870"/>
    <w:rsid w:val="00467224"/>
    <w:rsid w:val="00470012"/>
    <w:rsid w:val="00470CBE"/>
    <w:rsid w:val="0047199C"/>
    <w:rsid w:val="00471F35"/>
    <w:rsid w:val="004723D3"/>
    <w:rsid w:val="00474593"/>
    <w:rsid w:val="00474D21"/>
    <w:rsid w:val="004754B2"/>
    <w:rsid w:val="00475974"/>
    <w:rsid w:val="00476C50"/>
    <w:rsid w:val="00477ADC"/>
    <w:rsid w:val="00477BF0"/>
    <w:rsid w:val="004829DA"/>
    <w:rsid w:val="00482ED6"/>
    <w:rsid w:val="004839C9"/>
    <w:rsid w:val="00484982"/>
    <w:rsid w:val="004870C5"/>
    <w:rsid w:val="00487B01"/>
    <w:rsid w:val="00491585"/>
    <w:rsid w:val="004916D2"/>
    <w:rsid w:val="00491893"/>
    <w:rsid w:val="00492B38"/>
    <w:rsid w:val="004951B7"/>
    <w:rsid w:val="004966CB"/>
    <w:rsid w:val="00496CB0"/>
    <w:rsid w:val="00496E84"/>
    <w:rsid w:val="004972BA"/>
    <w:rsid w:val="00497B0A"/>
    <w:rsid w:val="00497FDF"/>
    <w:rsid w:val="004A04BA"/>
    <w:rsid w:val="004A0D91"/>
    <w:rsid w:val="004A1659"/>
    <w:rsid w:val="004A17ED"/>
    <w:rsid w:val="004A1C63"/>
    <w:rsid w:val="004A3BB9"/>
    <w:rsid w:val="004A455E"/>
    <w:rsid w:val="004A4990"/>
    <w:rsid w:val="004A4FF6"/>
    <w:rsid w:val="004A6CB4"/>
    <w:rsid w:val="004A757A"/>
    <w:rsid w:val="004A7A31"/>
    <w:rsid w:val="004A7C51"/>
    <w:rsid w:val="004B0551"/>
    <w:rsid w:val="004B0F90"/>
    <w:rsid w:val="004B1887"/>
    <w:rsid w:val="004B1ED3"/>
    <w:rsid w:val="004B2AAF"/>
    <w:rsid w:val="004B7E04"/>
    <w:rsid w:val="004C027E"/>
    <w:rsid w:val="004C0F80"/>
    <w:rsid w:val="004C153B"/>
    <w:rsid w:val="004C1ED5"/>
    <w:rsid w:val="004C3F14"/>
    <w:rsid w:val="004C444B"/>
    <w:rsid w:val="004C4467"/>
    <w:rsid w:val="004C4832"/>
    <w:rsid w:val="004C4EEC"/>
    <w:rsid w:val="004C5280"/>
    <w:rsid w:val="004C563B"/>
    <w:rsid w:val="004C6AC8"/>
    <w:rsid w:val="004C6B01"/>
    <w:rsid w:val="004C6B43"/>
    <w:rsid w:val="004C6FE7"/>
    <w:rsid w:val="004C7294"/>
    <w:rsid w:val="004D18C1"/>
    <w:rsid w:val="004D2C07"/>
    <w:rsid w:val="004D31E3"/>
    <w:rsid w:val="004D3368"/>
    <w:rsid w:val="004D3842"/>
    <w:rsid w:val="004D3BDC"/>
    <w:rsid w:val="004D3C3B"/>
    <w:rsid w:val="004D3EAA"/>
    <w:rsid w:val="004D4328"/>
    <w:rsid w:val="004D4BEF"/>
    <w:rsid w:val="004D5556"/>
    <w:rsid w:val="004D5695"/>
    <w:rsid w:val="004D63B1"/>
    <w:rsid w:val="004D7395"/>
    <w:rsid w:val="004D79F5"/>
    <w:rsid w:val="004E2149"/>
    <w:rsid w:val="004E2BB6"/>
    <w:rsid w:val="004E338B"/>
    <w:rsid w:val="004E45D0"/>
    <w:rsid w:val="004E5536"/>
    <w:rsid w:val="004E6AA5"/>
    <w:rsid w:val="004E729C"/>
    <w:rsid w:val="004E7F1C"/>
    <w:rsid w:val="004F0181"/>
    <w:rsid w:val="004F1649"/>
    <w:rsid w:val="004F293B"/>
    <w:rsid w:val="004F46DD"/>
    <w:rsid w:val="004F567B"/>
    <w:rsid w:val="004F6369"/>
    <w:rsid w:val="004F6372"/>
    <w:rsid w:val="004F6839"/>
    <w:rsid w:val="00503014"/>
    <w:rsid w:val="00503318"/>
    <w:rsid w:val="00503B0F"/>
    <w:rsid w:val="00504C28"/>
    <w:rsid w:val="005056F8"/>
    <w:rsid w:val="00505CEF"/>
    <w:rsid w:val="00506A9A"/>
    <w:rsid w:val="005102AA"/>
    <w:rsid w:val="00511A94"/>
    <w:rsid w:val="00511FD2"/>
    <w:rsid w:val="00512564"/>
    <w:rsid w:val="00513DFD"/>
    <w:rsid w:val="0051566D"/>
    <w:rsid w:val="005161D8"/>
    <w:rsid w:val="0051662A"/>
    <w:rsid w:val="00516BD1"/>
    <w:rsid w:val="00516FE1"/>
    <w:rsid w:val="005176BC"/>
    <w:rsid w:val="00517B75"/>
    <w:rsid w:val="005207A4"/>
    <w:rsid w:val="00520BD1"/>
    <w:rsid w:val="00520ED6"/>
    <w:rsid w:val="005211EC"/>
    <w:rsid w:val="0052149A"/>
    <w:rsid w:val="0052169D"/>
    <w:rsid w:val="00521EF5"/>
    <w:rsid w:val="005221B5"/>
    <w:rsid w:val="0052241C"/>
    <w:rsid w:val="0052282A"/>
    <w:rsid w:val="0052284A"/>
    <w:rsid w:val="005228CC"/>
    <w:rsid w:val="005228F9"/>
    <w:rsid w:val="00522D33"/>
    <w:rsid w:val="00522E39"/>
    <w:rsid w:val="00522E61"/>
    <w:rsid w:val="005235AE"/>
    <w:rsid w:val="005250E1"/>
    <w:rsid w:val="00525849"/>
    <w:rsid w:val="00525B6D"/>
    <w:rsid w:val="00527940"/>
    <w:rsid w:val="00530769"/>
    <w:rsid w:val="00531604"/>
    <w:rsid w:val="005321A3"/>
    <w:rsid w:val="0053281F"/>
    <w:rsid w:val="0053351C"/>
    <w:rsid w:val="00533EFC"/>
    <w:rsid w:val="0053495A"/>
    <w:rsid w:val="00534DDA"/>
    <w:rsid w:val="00535F84"/>
    <w:rsid w:val="0053700D"/>
    <w:rsid w:val="0053778C"/>
    <w:rsid w:val="00537EF5"/>
    <w:rsid w:val="00540233"/>
    <w:rsid w:val="005412D7"/>
    <w:rsid w:val="005430E3"/>
    <w:rsid w:val="0054339C"/>
    <w:rsid w:val="00544937"/>
    <w:rsid w:val="00544F3A"/>
    <w:rsid w:val="00546843"/>
    <w:rsid w:val="00546903"/>
    <w:rsid w:val="00546F07"/>
    <w:rsid w:val="00550CDB"/>
    <w:rsid w:val="00552D0E"/>
    <w:rsid w:val="00553FF2"/>
    <w:rsid w:val="00555132"/>
    <w:rsid w:val="00555663"/>
    <w:rsid w:val="00556744"/>
    <w:rsid w:val="00560149"/>
    <w:rsid w:val="00560300"/>
    <w:rsid w:val="00560B06"/>
    <w:rsid w:val="0056121B"/>
    <w:rsid w:val="005627ED"/>
    <w:rsid w:val="00564430"/>
    <w:rsid w:val="00564D98"/>
    <w:rsid w:val="005665D2"/>
    <w:rsid w:val="00566C6A"/>
    <w:rsid w:val="00566DB3"/>
    <w:rsid w:val="00567AA2"/>
    <w:rsid w:val="00570633"/>
    <w:rsid w:val="005730C2"/>
    <w:rsid w:val="005730EB"/>
    <w:rsid w:val="00573147"/>
    <w:rsid w:val="0057322F"/>
    <w:rsid w:val="005736CC"/>
    <w:rsid w:val="005766BB"/>
    <w:rsid w:val="00577221"/>
    <w:rsid w:val="00577C66"/>
    <w:rsid w:val="00581438"/>
    <w:rsid w:val="0058185B"/>
    <w:rsid w:val="00582C3E"/>
    <w:rsid w:val="005833A1"/>
    <w:rsid w:val="0058480C"/>
    <w:rsid w:val="005849FC"/>
    <w:rsid w:val="00584A09"/>
    <w:rsid w:val="00585A62"/>
    <w:rsid w:val="00585B83"/>
    <w:rsid w:val="00585B9C"/>
    <w:rsid w:val="00585BCF"/>
    <w:rsid w:val="00587FC9"/>
    <w:rsid w:val="00590AA2"/>
    <w:rsid w:val="005917BF"/>
    <w:rsid w:val="00591FAE"/>
    <w:rsid w:val="00592E88"/>
    <w:rsid w:val="00592E8D"/>
    <w:rsid w:val="005933C9"/>
    <w:rsid w:val="00593DAC"/>
    <w:rsid w:val="00593F6A"/>
    <w:rsid w:val="00594CF4"/>
    <w:rsid w:val="00594EAC"/>
    <w:rsid w:val="00595018"/>
    <w:rsid w:val="005952AC"/>
    <w:rsid w:val="00595CDB"/>
    <w:rsid w:val="00597CB0"/>
    <w:rsid w:val="005A0BE9"/>
    <w:rsid w:val="005A1F40"/>
    <w:rsid w:val="005A2B6E"/>
    <w:rsid w:val="005A3435"/>
    <w:rsid w:val="005A4F33"/>
    <w:rsid w:val="005A6B49"/>
    <w:rsid w:val="005A6FF0"/>
    <w:rsid w:val="005A7087"/>
    <w:rsid w:val="005A7749"/>
    <w:rsid w:val="005A7D63"/>
    <w:rsid w:val="005A7F3E"/>
    <w:rsid w:val="005B0329"/>
    <w:rsid w:val="005B0B6D"/>
    <w:rsid w:val="005B145E"/>
    <w:rsid w:val="005B19E6"/>
    <w:rsid w:val="005B2489"/>
    <w:rsid w:val="005B2789"/>
    <w:rsid w:val="005B3B6B"/>
    <w:rsid w:val="005B4A07"/>
    <w:rsid w:val="005B7C47"/>
    <w:rsid w:val="005C0C87"/>
    <w:rsid w:val="005C0F43"/>
    <w:rsid w:val="005C1B66"/>
    <w:rsid w:val="005C2EE5"/>
    <w:rsid w:val="005C4704"/>
    <w:rsid w:val="005C4732"/>
    <w:rsid w:val="005C51D2"/>
    <w:rsid w:val="005D0A35"/>
    <w:rsid w:val="005D25D9"/>
    <w:rsid w:val="005D2A43"/>
    <w:rsid w:val="005D4F3C"/>
    <w:rsid w:val="005D4F41"/>
    <w:rsid w:val="005D58C8"/>
    <w:rsid w:val="005D5AB4"/>
    <w:rsid w:val="005D6504"/>
    <w:rsid w:val="005E034B"/>
    <w:rsid w:val="005E18C5"/>
    <w:rsid w:val="005E19AC"/>
    <w:rsid w:val="005E30DB"/>
    <w:rsid w:val="005E404F"/>
    <w:rsid w:val="005E45CB"/>
    <w:rsid w:val="005E4AE2"/>
    <w:rsid w:val="005E5096"/>
    <w:rsid w:val="005E6434"/>
    <w:rsid w:val="005E6999"/>
    <w:rsid w:val="005E6F8E"/>
    <w:rsid w:val="005E7D15"/>
    <w:rsid w:val="005F1392"/>
    <w:rsid w:val="005F1424"/>
    <w:rsid w:val="005F280A"/>
    <w:rsid w:val="005F2C59"/>
    <w:rsid w:val="005F3123"/>
    <w:rsid w:val="005F3F0F"/>
    <w:rsid w:val="005F691C"/>
    <w:rsid w:val="005F7358"/>
    <w:rsid w:val="005F784C"/>
    <w:rsid w:val="00600927"/>
    <w:rsid w:val="00600E28"/>
    <w:rsid w:val="0060270A"/>
    <w:rsid w:val="0060286B"/>
    <w:rsid w:val="00603F41"/>
    <w:rsid w:val="00603F4C"/>
    <w:rsid w:val="00605177"/>
    <w:rsid w:val="0060573A"/>
    <w:rsid w:val="00605A94"/>
    <w:rsid w:val="00605CC1"/>
    <w:rsid w:val="006062AF"/>
    <w:rsid w:val="006077BD"/>
    <w:rsid w:val="006106AD"/>
    <w:rsid w:val="00610C67"/>
    <w:rsid w:val="00611A7C"/>
    <w:rsid w:val="00612280"/>
    <w:rsid w:val="00612481"/>
    <w:rsid w:val="00614FC0"/>
    <w:rsid w:val="00615F11"/>
    <w:rsid w:val="00615F36"/>
    <w:rsid w:val="00616566"/>
    <w:rsid w:val="0062067B"/>
    <w:rsid w:val="00620CF4"/>
    <w:rsid w:val="006214A0"/>
    <w:rsid w:val="00622918"/>
    <w:rsid w:val="00622E69"/>
    <w:rsid w:val="00622F5F"/>
    <w:rsid w:val="006233D2"/>
    <w:rsid w:val="0062414A"/>
    <w:rsid w:val="00624D7E"/>
    <w:rsid w:val="00626686"/>
    <w:rsid w:val="00627EC7"/>
    <w:rsid w:val="006311C9"/>
    <w:rsid w:val="006313C7"/>
    <w:rsid w:val="006324F2"/>
    <w:rsid w:val="00633551"/>
    <w:rsid w:val="006337B5"/>
    <w:rsid w:val="0063394B"/>
    <w:rsid w:val="00634E98"/>
    <w:rsid w:val="00635F8C"/>
    <w:rsid w:val="0063701F"/>
    <w:rsid w:val="0063784A"/>
    <w:rsid w:val="006405D4"/>
    <w:rsid w:val="00640827"/>
    <w:rsid w:val="00641396"/>
    <w:rsid w:val="006424A5"/>
    <w:rsid w:val="006431B8"/>
    <w:rsid w:val="0064350A"/>
    <w:rsid w:val="00643CFD"/>
    <w:rsid w:val="00644013"/>
    <w:rsid w:val="006444DA"/>
    <w:rsid w:val="006446CC"/>
    <w:rsid w:val="006469E7"/>
    <w:rsid w:val="00646BE3"/>
    <w:rsid w:val="0064700E"/>
    <w:rsid w:val="006473A3"/>
    <w:rsid w:val="00650D62"/>
    <w:rsid w:val="00651203"/>
    <w:rsid w:val="006513E4"/>
    <w:rsid w:val="00651838"/>
    <w:rsid w:val="006523EB"/>
    <w:rsid w:val="006527FF"/>
    <w:rsid w:val="0065306F"/>
    <w:rsid w:val="00653710"/>
    <w:rsid w:val="00653F45"/>
    <w:rsid w:val="006541CE"/>
    <w:rsid w:val="00655967"/>
    <w:rsid w:val="006559F3"/>
    <w:rsid w:val="0065610D"/>
    <w:rsid w:val="00656EBE"/>
    <w:rsid w:val="00657A00"/>
    <w:rsid w:val="00657CB0"/>
    <w:rsid w:val="00660D25"/>
    <w:rsid w:val="0066346F"/>
    <w:rsid w:val="006639DA"/>
    <w:rsid w:val="0066447F"/>
    <w:rsid w:val="006662B1"/>
    <w:rsid w:val="006670A5"/>
    <w:rsid w:val="00667769"/>
    <w:rsid w:val="00667D58"/>
    <w:rsid w:val="006703CF"/>
    <w:rsid w:val="00670A08"/>
    <w:rsid w:val="00672068"/>
    <w:rsid w:val="006724C0"/>
    <w:rsid w:val="0067275A"/>
    <w:rsid w:val="00673D9C"/>
    <w:rsid w:val="00673EDF"/>
    <w:rsid w:val="006751DA"/>
    <w:rsid w:val="00675D5D"/>
    <w:rsid w:val="00676390"/>
    <w:rsid w:val="0067713E"/>
    <w:rsid w:val="00680468"/>
    <w:rsid w:val="00681171"/>
    <w:rsid w:val="00681941"/>
    <w:rsid w:val="00682B91"/>
    <w:rsid w:val="0068335D"/>
    <w:rsid w:val="006834E3"/>
    <w:rsid w:val="00684165"/>
    <w:rsid w:val="006842F2"/>
    <w:rsid w:val="00684D24"/>
    <w:rsid w:val="00685C8D"/>
    <w:rsid w:val="00686AE9"/>
    <w:rsid w:val="00686BB4"/>
    <w:rsid w:val="006874DF"/>
    <w:rsid w:val="00691456"/>
    <w:rsid w:val="006914D7"/>
    <w:rsid w:val="00692081"/>
    <w:rsid w:val="006928EE"/>
    <w:rsid w:val="00692FE3"/>
    <w:rsid w:val="00694E91"/>
    <w:rsid w:val="00695455"/>
    <w:rsid w:val="00696574"/>
    <w:rsid w:val="00696D0C"/>
    <w:rsid w:val="00696DDA"/>
    <w:rsid w:val="0069714C"/>
    <w:rsid w:val="00697327"/>
    <w:rsid w:val="006A065B"/>
    <w:rsid w:val="006A14C0"/>
    <w:rsid w:val="006A240F"/>
    <w:rsid w:val="006A2620"/>
    <w:rsid w:val="006A27A4"/>
    <w:rsid w:val="006A2E8A"/>
    <w:rsid w:val="006A3164"/>
    <w:rsid w:val="006A3B83"/>
    <w:rsid w:val="006A509F"/>
    <w:rsid w:val="006A643C"/>
    <w:rsid w:val="006A6C2D"/>
    <w:rsid w:val="006A708D"/>
    <w:rsid w:val="006A7A26"/>
    <w:rsid w:val="006A7FB0"/>
    <w:rsid w:val="006B16B1"/>
    <w:rsid w:val="006B1869"/>
    <w:rsid w:val="006B1EEF"/>
    <w:rsid w:val="006B2121"/>
    <w:rsid w:val="006B4CEB"/>
    <w:rsid w:val="006B6B4E"/>
    <w:rsid w:val="006C11C2"/>
    <w:rsid w:val="006C16B3"/>
    <w:rsid w:val="006C1FB8"/>
    <w:rsid w:val="006C4400"/>
    <w:rsid w:val="006C4848"/>
    <w:rsid w:val="006C4FCC"/>
    <w:rsid w:val="006C512F"/>
    <w:rsid w:val="006C5226"/>
    <w:rsid w:val="006C71E9"/>
    <w:rsid w:val="006C744E"/>
    <w:rsid w:val="006C75E0"/>
    <w:rsid w:val="006D0E5E"/>
    <w:rsid w:val="006D0EEF"/>
    <w:rsid w:val="006D23BB"/>
    <w:rsid w:val="006D2C8A"/>
    <w:rsid w:val="006D2D7C"/>
    <w:rsid w:val="006D37D4"/>
    <w:rsid w:val="006D5C30"/>
    <w:rsid w:val="006D6CBA"/>
    <w:rsid w:val="006E0D87"/>
    <w:rsid w:val="006E136C"/>
    <w:rsid w:val="006E1D70"/>
    <w:rsid w:val="006E2DE9"/>
    <w:rsid w:val="006E3E78"/>
    <w:rsid w:val="006E4321"/>
    <w:rsid w:val="006E5255"/>
    <w:rsid w:val="006E74EB"/>
    <w:rsid w:val="006F0315"/>
    <w:rsid w:val="006F187A"/>
    <w:rsid w:val="006F2993"/>
    <w:rsid w:val="006F2F09"/>
    <w:rsid w:val="006F30B1"/>
    <w:rsid w:val="006F386B"/>
    <w:rsid w:val="006F3C50"/>
    <w:rsid w:val="006F3CEB"/>
    <w:rsid w:val="006F3DB0"/>
    <w:rsid w:val="006F4B5D"/>
    <w:rsid w:val="006F749C"/>
    <w:rsid w:val="0070046A"/>
    <w:rsid w:val="007010D5"/>
    <w:rsid w:val="00701899"/>
    <w:rsid w:val="007018B3"/>
    <w:rsid w:val="00702983"/>
    <w:rsid w:val="00703C31"/>
    <w:rsid w:val="00705E32"/>
    <w:rsid w:val="007073E3"/>
    <w:rsid w:val="00707E75"/>
    <w:rsid w:val="007119B9"/>
    <w:rsid w:val="007130DF"/>
    <w:rsid w:val="0071468D"/>
    <w:rsid w:val="00714894"/>
    <w:rsid w:val="007161AD"/>
    <w:rsid w:val="007168BA"/>
    <w:rsid w:val="00716998"/>
    <w:rsid w:val="00717279"/>
    <w:rsid w:val="0072011F"/>
    <w:rsid w:val="007204A1"/>
    <w:rsid w:val="00721B2F"/>
    <w:rsid w:val="007242EE"/>
    <w:rsid w:val="0072462A"/>
    <w:rsid w:val="00725404"/>
    <w:rsid w:val="00725B37"/>
    <w:rsid w:val="0072630C"/>
    <w:rsid w:val="007263AD"/>
    <w:rsid w:val="007264C8"/>
    <w:rsid w:val="007268A8"/>
    <w:rsid w:val="007276E4"/>
    <w:rsid w:val="007306E0"/>
    <w:rsid w:val="00730A0F"/>
    <w:rsid w:val="0073105C"/>
    <w:rsid w:val="0073124A"/>
    <w:rsid w:val="007315D9"/>
    <w:rsid w:val="0073162C"/>
    <w:rsid w:val="00731FD5"/>
    <w:rsid w:val="007321D9"/>
    <w:rsid w:val="00732456"/>
    <w:rsid w:val="00732616"/>
    <w:rsid w:val="00733070"/>
    <w:rsid w:val="00733378"/>
    <w:rsid w:val="00734B86"/>
    <w:rsid w:val="00734E8B"/>
    <w:rsid w:val="00736057"/>
    <w:rsid w:val="00736936"/>
    <w:rsid w:val="00736C92"/>
    <w:rsid w:val="00736D31"/>
    <w:rsid w:val="00736F25"/>
    <w:rsid w:val="007372BB"/>
    <w:rsid w:val="00737C61"/>
    <w:rsid w:val="00737E2F"/>
    <w:rsid w:val="007404BD"/>
    <w:rsid w:val="00741371"/>
    <w:rsid w:val="00741AE3"/>
    <w:rsid w:val="00742181"/>
    <w:rsid w:val="00743024"/>
    <w:rsid w:val="00743B16"/>
    <w:rsid w:val="007445DC"/>
    <w:rsid w:val="00744FE3"/>
    <w:rsid w:val="00745ED3"/>
    <w:rsid w:val="007465A4"/>
    <w:rsid w:val="007466BC"/>
    <w:rsid w:val="00746957"/>
    <w:rsid w:val="00747032"/>
    <w:rsid w:val="007471DD"/>
    <w:rsid w:val="0074785A"/>
    <w:rsid w:val="007516AA"/>
    <w:rsid w:val="00751AB3"/>
    <w:rsid w:val="00751C7B"/>
    <w:rsid w:val="0075364B"/>
    <w:rsid w:val="0075568C"/>
    <w:rsid w:val="0075582A"/>
    <w:rsid w:val="00755C54"/>
    <w:rsid w:val="00755FDE"/>
    <w:rsid w:val="00756C2E"/>
    <w:rsid w:val="00757340"/>
    <w:rsid w:val="00757C32"/>
    <w:rsid w:val="007602D9"/>
    <w:rsid w:val="00760511"/>
    <w:rsid w:val="0076069F"/>
    <w:rsid w:val="00760E23"/>
    <w:rsid w:val="00761E23"/>
    <w:rsid w:val="00762D89"/>
    <w:rsid w:val="00763114"/>
    <w:rsid w:val="007633C2"/>
    <w:rsid w:val="00763718"/>
    <w:rsid w:val="00765784"/>
    <w:rsid w:val="00765A6B"/>
    <w:rsid w:val="00765F36"/>
    <w:rsid w:val="00767D42"/>
    <w:rsid w:val="00770C26"/>
    <w:rsid w:val="007716DB"/>
    <w:rsid w:val="007716F7"/>
    <w:rsid w:val="007721A7"/>
    <w:rsid w:val="00772FB4"/>
    <w:rsid w:val="007740B0"/>
    <w:rsid w:val="00775DFC"/>
    <w:rsid w:val="0077603F"/>
    <w:rsid w:val="00776510"/>
    <w:rsid w:val="00776C8D"/>
    <w:rsid w:val="00777530"/>
    <w:rsid w:val="00780C1A"/>
    <w:rsid w:val="00780CB8"/>
    <w:rsid w:val="00781197"/>
    <w:rsid w:val="007811DF"/>
    <w:rsid w:val="0078153A"/>
    <w:rsid w:val="00781CF0"/>
    <w:rsid w:val="007824CD"/>
    <w:rsid w:val="00783179"/>
    <w:rsid w:val="00783787"/>
    <w:rsid w:val="00784301"/>
    <w:rsid w:val="0078430D"/>
    <w:rsid w:val="00785388"/>
    <w:rsid w:val="0078615B"/>
    <w:rsid w:val="00786C5E"/>
    <w:rsid w:val="00790825"/>
    <w:rsid w:val="00790D48"/>
    <w:rsid w:val="00792F0C"/>
    <w:rsid w:val="00796496"/>
    <w:rsid w:val="00797159"/>
    <w:rsid w:val="0079729D"/>
    <w:rsid w:val="007A1874"/>
    <w:rsid w:val="007A2C9F"/>
    <w:rsid w:val="007A34A6"/>
    <w:rsid w:val="007A490B"/>
    <w:rsid w:val="007A6230"/>
    <w:rsid w:val="007A70F6"/>
    <w:rsid w:val="007B1075"/>
    <w:rsid w:val="007B15D7"/>
    <w:rsid w:val="007B1890"/>
    <w:rsid w:val="007B1BB9"/>
    <w:rsid w:val="007B1DE7"/>
    <w:rsid w:val="007B24BD"/>
    <w:rsid w:val="007B26F8"/>
    <w:rsid w:val="007B31C1"/>
    <w:rsid w:val="007B3353"/>
    <w:rsid w:val="007B3AE8"/>
    <w:rsid w:val="007B5CEA"/>
    <w:rsid w:val="007B7830"/>
    <w:rsid w:val="007B78F1"/>
    <w:rsid w:val="007B7A87"/>
    <w:rsid w:val="007C0EBE"/>
    <w:rsid w:val="007C1D17"/>
    <w:rsid w:val="007C1F71"/>
    <w:rsid w:val="007C210D"/>
    <w:rsid w:val="007C250D"/>
    <w:rsid w:val="007C382F"/>
    <w:rsid w:val="007C504E"/>
    <w:rsid w:val="007C6553"/>
    <w:rsid w:val="007C7027"/>
    <w:rsid w:val="007C767E"/>
    <w:rsid w:val="007D01EB"/>
    <w:rsid w:val="007D1283"/>
    <w:rsid w:val="007D2803"/>
    <w:rsid w:val="007D3F72"/>
    <w:rsid w:val="007D4FC0"/>
    <w:rsid w:val="007D518F"/>
    <w:rsid w:val="007D56A6"/>
    <w:rsid w:val="007D56B5"/>
    <w:rsid w:val="007D5F51"/>
    <w:rsid w:val="007D6E74"/>
    <w:rsid w:val="007D7495"/>
    <w:rsid w:val="007D7FC5"/>
    <w:rsid w:val="007E0638"/>
    <w:rsid w:val="007E2847"/>
    <w:rsid w:val="007E2AB4"/>
    <w:rsid w:val="007E3330"/>
    <w:rsid w:val="007E37A3"/>
    <w:rsid w:val="007E3A9B"/>
    <w:rsid w:val="007E3ED4"/>
    <w:rsid w:val="007E44AB"/>
    <w:rsid w:val="007E4892"/>
    <w:rsid w:val="007E4F3A"/>
    <w:rsid w:val="007E6EE3"/>
    <w:rsid w:val="007E7437"/>
    <w:rsid w:val="007F03E0"/>
    <w:rsid w:val="007F31BA"/>
    <w:rsid w:val="007F49A9"/>
    <w:rsid w:val="007F5F7F"/>
    <w:rsid w:val="00800004"/>
    <w:rsid w:val="00800188"/>
    <w:rsid w:val="008002DF"/>
    <w:rsid w:val="0080097D"/>
    <w:rsid w:val="0080129E"/>
    <w:rsid w:val="0080174E"/>
    <w:rsid w:val="008029D0"/>
    <w:rsid w:val="008037C5"/>
    <w:rsid w:val="00803CF0"/>
    <w:rsid w:val="00803E5F"/>
    <w:rsid w:val="0080419B"/>
    <w:rsid w:val="00804980"/>
    <w:rsid w:val="0080501D"/>
    <w:rsid w:val="00805130"/>
    <w:rsid w:val="00805AEB"/>
    <w:rsid w:val="00805CAE"/>
    <w:rsid w:val="00805DB0"/>
    <w:rsid w:val="008070F8"/>
    <w:rsid w:val="008106B8"/>
    <w:rsid w:val="00811694"/>
    <w:rsid w:val="0081181F"/>
    <w:rsid w:val="00812A0B"/>
    <w:rsid w:val="00813A10"/>
    <w:rsid w:val="00814555"/>
    <w:rsid w:val="00815349"/>
    <w:rsid w:val="00816AE9"/>
    <w:rsid w:val="008173D3"/>
    <w:rsid w:val="0082077E"/>
    <w:rsid w:val="00820ACF"/>
    <w:rsid w:val="00821A83"/>
    <w:rsid w:val="00822B5E"/>
    <w:rsid w:val="0082484B"/>
    <w:rsid w:val="00824CE7"/>
    <w:rsid w:val="00825E37"/>
    <w:rsid w:val="00826F8B"/>
    <w:rsid w:val="008273AA"/>
    <w:rsid w:val="0082744E"/>
    <w:rsid w:val="00827C37"/>
    <w:rsid w:val="00827C3F"/>
    <w:rsid w:val="0083014C"/>
    <w:rsid w:val="008303B5"/>
    <w:rsid w:val="0083111B"/>
    <w:rsid w:val="0083209D"/>
    <w:rsid w:val="0083266B"/>
    <w:rsid w:val="008332B3"/>
    <w:rsid w:val="00833484"/>
    <w:rsid w:val="00833D93"/>
    <w:rsid w:val="0083406E"/>
    <w:rsid w:val="00835F1D"/>
    <w:rsid w:val="008361DE"/>
    <w:rsid w:val="008364A6"/>
    <w:rsid w:val="00840A97"/>
    <w:rsid w:val="0084134E"/>
    <w:rsid w:val="00841929"/>
    <w:rsid w:val="00841C72"/>
    <w:rsid w:val="00842FD6"/>
    <w:rsid w:val="00843219"/>
    <w:rsid w:val="008438FD"/>
    <w:rsid w:val="008441E9"/>
    <w:rsid w:val="008443C7"/>
    <w:rsid w:val="00844498"/>
    <w:rsid w:val="0084469E"/>
    <w:rsid w:val="00844E28"/>
    <w:rsid w:val="00846264"/>
    <w:rsid w:val="00846EB6"/>
    <w:rsid w:val="00847726"/>
    <w:rsid w:val="0085003D"/>
    <w:rsid w:val="00850068"/>
    <w:rsid w:val="00851F30"/>
    <w:rsid w:val="00852E80"/>
    <w:rsid w:val="008540EB"/>
    <w:rsid w:val="00855AE9"/>
    <w:rsid w:val="0085671D"/>
    <w:rsid w:val="008601FC"/>
    <w:rsid w:val="00861EA3"/>
    <w:rsid w:val="00862CC4"/>
    <w:rsid w:val="00864472"/>
    <w:rsid w:val="00864BA3"/>
    <w:rsid w:val="00864FDC"/>
    <w:rsid w:val="00865298"/>
    <w:rsid w:val="00865A52"/>
    <w:rsid w:val="00866E60"/>
    <w:rsid w:val="00870BDE"/>
    <w:rsid w:val="0087165E"/>
    <w:rsid w:val="0087234F"/>
    <w:rsid w:val="0087264C"/>
    <w:rsid w:val="0087371B"/>
    <w:rsid w:val="00873AE7"/>
    <w:rsid w:val="00874004"/>
    <w:rsid w:val="008746C7"/>
    <w:rsid w:val="00875B36"/>
    <w:rsid w:val="0088011E"/>
    <w:rsid w:val="008819A5"/>
    <w:rsid w:val="00881B43"/>
    <w:rsid w:val="00881F5E"/>
    <w:rsid w:val="00883630"/>
    <w:rsid w:val="00883C4F"/>
    <w:rsid w:val="008840A9"/>
    <w:rsid w:val="008844B0"/>
    <w:rsid w:val="00886096"/>
    <w:rsid w:val="0088630C"/>
    <w:rsid w:val="00886821"/>
    <w:rsid w:val="00886A03"/>
    <w:rsid w:val="008879A8"/>
    <w:rsid w:val="00887F4A"/>
    <w:rsid w:val="00891B59"/>
    <w:rsid w:val="0089262C"/>
    <w:rsid w:val="00892718"/>
    <w:rsid w:val="00894750"/>
    <w:rsid w:val="00894DEB"/>
    <w:rsid w:val="00895167"/>
    <w:rsid w:val="00895358"/>
    <w:rsid w:val="00896854"/>
    <w:rsid w:val="00896A4D"/>
    <w:rsid w:val="00896B28"/>
    <w:rsid w:val="00896FDC"/>
    <w:rsid w:val="00897484"/>
    <w:rsid w:val="00897B15"/>
    <w:rsid w:val="008A03E0"/>
    <w:rsid w:val="008A088C"/>
    <w:rsid w:val="008A11E8"/>
    <w:rsid w:val="008A1BEB"/>
    <w:rsid w:val="008A1D12"/>
    <w:rsid w:val="008A1DAA"/>
    <w:rsid w:val="008A2236"/>
    <w:rsid w:val="008A2A70"/>
    <w:rsid w:val="008A35FD"/>
    <w:rsid w:val="008A3BC5"/>
    <w:rsid w:val="008A3DCF"/>
    <w:rsid w:val="008A5240"/>
    <w:rsid w:val="008A56E8"/>
    <w:rsid w:val="008A615A"/>
    <w:rsid w:val="008A6B37"/>
    <w:rsid w:val="008A72AC"/>
    <w:rsid w:val="008A7861"/>
    <w:rsid w:val="008A7900"/>
    <w:rsid w:val="008B0380"/>
    <w:rsid w:val="008B0417"/>
    <w:rsid w:val="008B04EB"/>
    <w:rsid w:val="008B16F4"/>
    <w:rsid w:val="008B2F32"/>
    <w:rsid w:val="008B33F5"/>
    <w:rsid w:val="008B341C"/>
    <w:rsid w:val="008B3633"/>
    <w:rsid w:val="008B3883"/>
    <w:rsid w:val="008B3BE2"/>
    <w:rsid w:val="008B511F"/>
    <w:rsid w:val="008B546E"/>
    <w:rsid w:val="008B6739"/>
    <w:rsid w:val="008B6BDE"/>
    <w:rsid w:val="008B70FA"/>
    <w:rsid w:val="008B7C09"/>
    <w:rsid w:val="008B7E8C"/>
    <w:rsid w:val="008C1178"/>
    <w:rsid w:val="008C17E7"/>
    <w:rsid w:val="008C42AF"/>
    <w:rsid w:val="008C5AF9"/>
    <w:rsid w:val="008C5D8B"/>
    <w:rsid w:val="008C60D6"/>
    <w:rsid w:val="008C6C73"/>
    <w:rsid w:val="008D0089"/>
    <w:rsid w:val="008D03ED"/>
    <w:rsid w:val="008D2481"/>
    <w:rsid w:val="008D2DC1"/>
    <w:rsid w:val="008D2F47"/>
    <w:rsid w:val="008D45B1"/>
    <w:rsid w:val="008D63D5"/>
    <w:rsid w:val="008E1B46"/>
    <w:rsid w:val="008E2374"/>
    <w:rsid w:val="008E2A08"/>
    <w:rsid w:val="008E2F56"/>
    <w:rsid w:val="008E2FB4"/>
    <w:rsid w:val="008E3056"/>
    <w:rsid w:val="008E318C"/>
    <w:rsid w:val="008E34B3"/>
    <w:rsid w:val="008E41AA"/>
    <w:rsid w:val="008E444C"/>
    <w:rsid w:val="008E452F"/>
    <w:rsid w:val="008E45D2"/>
    <w:rsid w:val="008E551A"/>
    <w:rsid w:val="008E5E88"/>
    <w:rsid w:val="008E6B16"/>
    <w:rsid w:val="008E6DEA"/>
    <w:rsid w:val="008E7BA3"/>
    <w:rsid w:val="008F1160"/>
    <w:rsid w:val="008F1703"/>
    <w:rsid w:val="008F1E7C"/>
    <w:rsid w:val="008F275D"/>
    <w:rsid w:val="008F2CEB"/>
    <w:rsid w:val="008F2DDC"/>
    <w:rsid w:val="008F3F12"/>
    <w:rsid w:val="008F3F89"/>
    <w:rsid w:val="008F4159"/>
    <w:rsid w:val="008F64CD"/>
    <w:rsid w:val="008F672D"/>
    <w:rsid w:val="008F6B33"/>
    <w:rsid w:val="008F73B7"/>
    <w:rsid w:val="008F780B"/>
    <w:rsid w:val="008F7AB2"/>
    <w:rsid w:val="0090060E"/>
    <w:rsid w:val="009007E0"/>
    <w:rsid w:val="00902829"/>
    <w:rsid w:val="00902886"/>
    <w:rsid w:val="00902AD9"/>
    <w:rsid w:val="009050C4"/>
    <w:rsid w:val="00905979"/>
    <w:rsid w:val="00905C99"/>
    <w:rsid w:val="00905D79"/>
    <w:rsid w:val="00907119"/>
    <w:rsid w:val="00907BC7"/>
    <w:rsid w:val="00907DFA"/>
    <w:rsid w:val="009103E7"/>
    <w:rsid w:val="009104F5"/>
    <w:rsid w:val="009120EE"/>
    <w:rsid w:val="0091599C"/>
    <w:rsid w:val="00916E19"/>
    <w:rsid w:val="00917EAF"/>
    <w:rsid w:val="00920583"/>
    <w:rsid w:val="009219CC"/>
    <w:rsid w:val="00921B8B"/>
    <w:rsid w:val="00921F3B"/>
    <w:rsid w:val="00921FDD"/>
    <w:rsid w:val="00922D59"/>
    <w:rsid w:val="00923645"/>
    <w:rsid w:val="009246F1"/>
    <w:rsid w:val="00924AA0"/>
    <w:rsid w:val="00925A92"/>
    <w:rsid w:val="0092637E"/>
    <w:rsid w:val="00926674"/>
    <w:rsid w:val="00927C30"/>
    <w:rsid w:val="00931928"/>
    <w:rsid w:val="009335BA"/>
    <w:rsid w:val="00934B3D"/>
    <w:rsid w:val="009350D9"/>
    <w:rsid w:val="00935D44"/>
    <w:rsid w:val="00935FF9"/>
    <w:rsid w:val="00936665"/>
    <w:rsid w:val="00936765"/>
    <w:rsid w:val="00936CB8"/>
    <w:rsid w:val="0093758A"/>
    <w:rsid w:val="009377D9"/>
    <w:rsid w:val="0094036E"/>
    <w:rsid w:val="00940410"/>
    <w:rsid w:val="00940E28"/>
    <w:rsid w:val="00941339"/>
    <w:rsid w:val="009413C4"/>
    <w:rsid w:val="009417EC"/>
    <w:rsid w:val="009425DF"/>
    <w:rsid w:val="00943293"/>
    <w:rsid w:val="00943A9A"/>
    <w:rsid w:val="009447E4"/>
    <w:rsid w:val="00944CB9"/>
    <w:rsid w:val="009455B8"/>
    <w:rsid w:val="00945760"/>
    <w:rsid w:val="009459BA"/>
    <w:rsid w:val="00945DA1"/>
    <w:rsid w:val="00947009"/>
    <w:rsid w:val="00947903"/>
    <w:rsid w:val="00947C70"/>
    <w:rsid w:val="009514AD"/>
    <w:rsid w:val="0095214E"/>
    <w:rsid w:val="009522A5"/>
    <w:rsid w:val="0095285E"/>
    <w:rsid w:val="00953B29"/>
    <w:rsid w:val="00954125"/>
    <w:rsid w:val="00954F54"/>
    <w:rsid w:val="0095533F"/>
    <w:rsid w:val="00955465"/>
    <w:rsid w:val="00955B08"/>
    <w:rsid w:val="00955F85"/>
    <w:rsid w:val="00956873"/>
    <w:rsid w:val="00957FC1"/>
    <w:rsid w:val="0096013F"/>
    <w:rsid w:val="00960CE4"/>
    <w:rsid w:val="00960E88"/>
    <w:rsid w:val="00963D0F"/>
    <w:rsid w:val="00964057"/>
    <w:rsid w:val="00964CB1"/>
    <w:rsid w:val="009653D0"/>
    <w:rsid w:val="009661B0"/>
    <w:rsid w:val="0096691E"/>
    <w:rsid w:val="00967361"/>
    <w:rsid w:val="00970C44"/>
    <w:rsid w:val="009714E0"/>
    <w:rsid w:val="0097176C"/>
    <w:rsid w:val="009720DF"/>
    <w:rsid w:val="00973571"/>
    <w:rsid w:val="009737F0"/>
    <w:rsid w:val="009742CC"/>
    <w:rsid w:val="0097452A"/>
    <w:rsid w:val="00974E8E"/>
    <w:rsid w:val="00976161"/>
    <w:rsid w:val="00976727"/>
    <w:rsid w:val="00976F49"/>
    <w:rsid w:val="00977031"/>
    <w:rsid w:val="00977D19"/>
    <w:rsid w:val="0098095C"/>
    <w:rsid w:val="009817D9"/>
    <w:rsid w:val="0098254B"/>
    <w:rsid w:val="0098263B"/>
    <w:rsid w:val="009828E3"/>
    <w:rsid w:val="009834D0"/>
    <w:rsid w:val="009836E0"/>
    <w:rsid w:val="0098376F"/>
    <w:rsid w:val="009850A7"/>
    <w:rsid w:val="009854E5"/>
    <w:rsid w:val="00986270"/>
    <w:rsid w:val="00986B80"/>
    <w:rsid w:val="00990330"/>
    <w:rsid w:val="009914DB"/>
    <w:rsid w:val="00991574"/>
    <w:rsid w:val="00991C8A"/>
    <w:rsid w:val="009926F1"/>
    <w:rsid w:val="00992710"/>
    <w:rsid w:val="00992A7D"/>
    <w:rsid w:val="00993020"/>
    <w:rsid w:val="009937CB"/>
    <w:rsid w:val="00993AF8"/>
    <w:rsid w:val="00993B88"/>
    <w:rsid w:val="00993BFD"/>
    <w:rsid w:val="00994658"/>
    <w:rsid w:val="00994E80"/>
    <w:rsid w:val="00996F57"/>
    <w:rsid w:val="00997094"/>
    <w:rsid w:val="009979F3"/>
    <w:rsid w:val="00997EC4"/>
    <w:rsid w:val="009A08AE"/>
    <w:rsid w:val="009A1383"/>
    <w:rsid w:val="009A2766"/>
    <w:rsid w:val="009A27F2"/>
    <w:rsid w:val="009A2A92"/>
    <w:rsid w:val="009A3820"/>
    <w:rsid w:val="009A40B0"/>
    <w:rsid w:val="009A5478"/>
    <w:rsid w:val="009A56F6"/>
    <w:rsid w:val="009A5B5F"/>
    <w:rsid w:val="009A67AC"/>
    <w:rsid w:val="009B0AB4"/>
    <w:rsid w:val="009B1935"/>
    <w:rsid w:val="009B2131"/>
    <w:rsid w:val="009B2445"/>
    <w:rsid w:val="009B2A3E"/>
    <w:rsid w:val="009B2BD2"/>
    <w:rsid w:val="009B2CE3"/>
    <w:rsid w:val="009B2D03"/>
    <w:rsid w:val="009B34D1"/>
    <w:rsid w:val="009B47A3"/>
    <w:rsid w:val="009B4B4D"/>
    <w:rsid w:val="009B5F75"/>
    <w:rsid w:val="009B718B"/>
    <w:rsid w:val="009B7969"/>
    <w:rsid w:val="009C1719"/>
    <w:rsid w:val="009C289B"/>
    <w:rsid w:val="009C3BA8"/>
    <w:rsid w:val="009C41F6"/>
    <w:rsid w:val="009C447A"/>
    <w:rsid w:val="009C44CF"/>
    <w:rsid w:val="009C545F"/>
    <w:rsid w:val="009C5D35"/>
    <w:rsid w:val="009C76B6"/>
    <w:rsid w:val="009C7B7D"/>
    <w:rsid w:val="009D081C"/>
    <w:rsid w:val="009D2572"/>
    <w:rsid w:val="009D3873"/>
    <w:rsid w:val="009D4C67"/>
    <w:rsid w:val="009D5132"/>
    <w:rsid w:val="009D5F76"/>
    <w:rsid w:val="009D6583"/>
    <w:rsid w:val="009D6AED"/>
    <w:rsid w:val="009D6CC4"/>
    <w:rsid w:val="009D6F85"/>
    <w:rsid w:val="009E083D"/>
    <w:rsid w:val="009E09C4"/>
    <w:rsid w:val="009E21EF"/>
    <w:rsid w:val="009E3145"/>
    <w:rsid w:val="009E3183"/>
    <w:rsid w:val="009E322C"/>
    <w:rsid w:val="009E3FD3"/>
    <w:rsid w:val="009E4F8B"/>
    <w:rsid w:val="009E7031"/>
    <w:rsid w:val="009E7483"/>
    <w:rsid w:val="009F01A2"/>
    <w:rsid w:val="009F029E"/>
    <w:rsid w:val="009F053B"/>
    <w:rsid w:val="009F0DB4"/>
    <w:rsid w:val="009F112F"/>
    <w:rsid w:val="009F1562"/>
    <w:rsid w:val="009F4152"/>
    <w:rsid w:val="009F439A"/>
    <w:rsid w:val="009F43F4"/>
    <w:rsid w:val="009F4776"/>
    <w:rsid w:val="009F53C7"/>
    <w:rsid w:val="009F5AB2"/>
    <w:rsid w:val="009F5B30"/>
    <w:rsid w:val="009F6386"/>
    <w:rsid w:val="009F6CD3"/>
    <w:rsid w:val="009F75EA"/>
    <w:rsid w:val="009F76A7"/>
    <w:rsid w:val="009F794D"/>
    <w:rsid w:val="009F7B9F"/>
    <w:rsid w:val="009F7FDC"/>
    <w:rsid w:val="00A000F2"/>
    <w:rsid w:val="00A00426"/>
    <w:rsid w:val="00A00CD6"/>
    <w:rsid w:val="00A013D1"/>
    <w:rsid w:val="00A0166B"/>
    <w:rsid w:val="00A01829"/>
    <w:rsid w:val="00A02519"/>
    <w:rsid w:val="00A02947"/>
    <w:rsid w:val="00A0443C"/>
    <w:rsid w:val="00A04450"/>
    <w:rsid w:val="00A04A6F"/>
    <w:rsid w:val="00A05262"/>
    <w:rsid w:val="00A057E6"/>
    <w:rsid w:val="00A05D51"/>
    <w:rsid w:val="00A06532"/>
    <w:rsid w:val="00A0659A"/>
    <w:rsid w:val="00A07FA1"/>
    <w:rsid w:val="00A1044A"/>
    <w:rsid w:val="00A10514"/>
    <w:rsid w:val="00A1138C"/>
    <w:rsid w:val="00A118D3"/>
    <w:rsid w:val="00A12D83"/>
    <w:rsid w:val="00A136C8"/>
    <w:rsid w:val="00A13F41"/>
    <w:rsid w:val="00A140EF"/>
    <w:rsid w:val="00A1490B"/>
    <w:rsid w:val="00A15BEC"/>
    <w:rsid w:val="00A16DDF"/>
    <w:rsid w:val="00A16FD9"/>
    <w:rsid w:val="00A175AB"/>
    <w:rsid w:val="00A17FB6"/>
    <w:rsid w:val="00A21497"/>
    <w:rsid w:val="00A222AF"/>
    <w:rsid w:val="00A223B7"/>
    <w:rsid w:val="00A24711"/>
    <w:rsid w:val="00A24C80"/>
    <w:rsid w:val="00A2604E"/>
    <w:rsid w:val="00A30E2C"/>
    <w:rsid w:val="00A32131"/>
    <w:rsid w:val="00A3240C"/>
    <w:rsid w:val="00A32516"/>
    <w:rsid w:val="00A32534"/>
    <w:rsid w:val="00A3267E"/>
    <w:rsid w:val="00A32A60"/>
    <w:rsid w:val="00A32F54"/>
    <w:rsid w:val="00A33DD7"/>
    <w:rsid w:val="00A35664"/>
    <w:rsid w:val="00A37099"/>
    <w:rsid w:val="00A37192"/>
    <w:rsid w:val="00A40134"/>
    <w:rsid w:val="00A406E5"/>
    <w:rsid w:val="00A41551"/>
    <w:rsid w:val="00A41554"/>
    <w:rsid w:val="00A41A9E"/>
    <w:rsid w:val="00A41B84"/>
    <w:rsid w:val="00A41DB9"/>
    <w:rsid w:val="00A41FE7"/>
    <w:rsid w:val="00A432F0"/>
    <w:rsid w:val="00A433B5"/>
    <w:rsid w:val="00A443A9"/>
    <w:rsid w:val="00A44B47"/>
    <w:rsid w:val="00A475E6"/>
    <w:rsid w:val="00A47B68"/>
    <w:rsid w:val="00A50703"/>
    <w:rsid w:val="00A516A8"/>
    <w:rsid w:val="00A522F2"/>
    <w:rsid w:val="00A523DE"/>
    <w:rsid w:val="00A530DF"/>
    <w:rsid w:val="00A53878"/>
    <w:rsid w:val="00A538FF"/>
    <w:rsid w:val="00A53919"/>
    <w:rsid w:val="00A55DD9"/>
    <w:rsid w:val="00A566DA"/>
    <w:rsid w:val="00A5760B"/>
    <w:rsid w:val="00A57DEC"/>
    <w:rsid w:val="00A63844"/>
    <w:rsid w:val="00A63B11"/>
    <w:rsid w:val="00A63C1E"/>
    <w:rsid w:val="00A642F1"/>
    <w:rsid w:val="00A64787"/>
    <w:rsid w:val="00A65365"/>
    <w:rsid w:val="00A65588"/>
    <w:rsid w:val="00A66531"/>
    <w:rsid w:val="00A666D9"/>
    <w:rsid w:val="00A667BA"/>
    <w:rsid w:val="00A66884"/>
    <w:rsid w:val="00A66AE7"/>
    <w:rsid w:val="00A67DF9"/>
    <w:rsid w:val="00A67E82"/>
    <w:rsid w:val="00A70BBA"/>
    <w:rsid w:val="00A70BC9"/>
    <w:rsid w:val="00A70EE8"/>
    <w:rsid w:val="00A70F9D"/>
    <w:rsid w:val="00A72702"/>
    <w:rsid w:val="00A72AE8"/>
    <w:rsid w:val="00A7488C"/>
    <w:rsid w:val="00A75B4B"/>
    <w:rsid w:val="00A7664A"/>
    <w:rsid w:val="00A807AE"/>
    <w:rsid w:val="00A82565"/>
    <w:rsid w:val="00A82FEF"/>
    <w:rsid w:val="00A834F0"/>
    <w:rsid w:val="00A83552"/>
    <w:rsid w:val="00A849D4"/>
    <w:rsid w:val="00A851E5"/>
    <w:rsid w:val="00A86A0E"/>
    <w:rsid w:val="00A86B18"/>
    <w:rsid w:val="00A87D1E"/>
    <w:rsid w:val="00A90632"/>
    <w:rsid w:val="00A912F9"/>
    <w:rsid w:val="00A91CBA"/>
    <w:rsid w:val="00A933D8"/>
    <w:rsid w:val="00A946E1"/>
    <w:rsid w:val="00A95150"/>
    <w:rsid w:val="00A952D5"/>
    <w:rsid w:val="00A95CDC"/>
    <w:rsid w:val="00A96C95"/>
    <w:rsid w:val="00A970F2"/>
    <w:rsid w:val="00AA099F"/>
    <w:rsid w:val="00AA0F0A"/>
    <w:rsid w:val="00AA195F"/>
    <w:rsid w:val="00AA2AE1"/>
    <w:rsid w:val="00AA39AC"/>
    <w:rsid w:val="00AA3BE3"/>
    <w:rsid w:val="00AA3E06"/>
    <w:rsid w:val="00AA6AF9"/>
    <w:rsid w:val="00AA7256"/>
    <w:rsid w:val="00AA740A"/>
    <w:rsid w:val="00AA7678"/>
    <w:rsid w:val="00AA79EF"/>
    <w:rsid w:val="00AA7A13"/>
    <w:rsid w:val="00AB0212"/>
    <w:rsid w:val="00AB0E0B"/>
    <w:rsid w:val="00AB1A27"/>
    <w:rsid w:val="00AB2339"/>
    <w:rsid w:val="00AB3C37"/>
    <w:rsid w:val="00AB46AD"/>
    <w:rsid w:val="00AB4BEB"/>
    <w:rsid w:val="00AB6333"/>
    <w:rsid w:val="00AB65D1"/>
    <w:rsid w:val="00AB7404"/>
    <w:rsid w:val="00AB757A"/>
    <w:rsid w:val="00AC0C8D"/>
    <w:rsid w:val="00AC1555"/>
    <w:rsid w:val="00AC176E"/>
    <w:rsid w:val="00AC2173"/>
    <w:rsid w:val="00AC25C4"/>
    <w:rsid w:val="00AC3137"/>
    <w:rsid w:val="00AC31A7"/>
    <w:rsid w:val="00AC39A1"/>
    <w:rsid w:val="00AC3A8D"/>
    <w:rsid w:val="00AC40CF"/>
    <w:rsid w:val="00AC4426"/>
    <w:rsid w:val="00AC4CCC"/>
    <w:rsid w:val="00AC6453"/>
    <w:rsid w:val="00AC7490"/>
    <w:rsid w:val="00AC7B3D"/>
    <w:rsid w:val="00AD0E29"/>
    <w:rsid w:val="00AD1076"/>
    <w:rsid w:val="00AD1C41"/>
    <w:rsid w:val="00AD2F65"/>
    <w:rsid w:val="00AD31DC"/>
    <w:rsid w:val="00AD41BC"/>
    <w:rsid w:val="00AD487E"/>
    <w:rsid w:val="00AD572D"/>
    <w:rsid w:val="00AD6042"/>
    <w:rsid w:val="00AD628D"/>
    <w:rsid w:val="00AD63B3"/>
    <w:rsid w:val="00AD6F37"/>
    <w:rsid w:val="00AD7023"/>
    <w:rsid w:val="00AD7045"/>
    <w:rsid w:val="00AD74DF"/>
    <w:rsid w:val="00AD7E66"/>
    <w:rsid w:val="00AE001F"/>
    <w:rsid w:val="00AE0318"/>
    <w:rsid w:val="00AE151E"/>
    <w:rsid w:val="00AE18F8"/>
    <w:rsid w:val="00AE1F07"/>
    <w:rsid w:val="00AE2CC9"/>
    <w:rsid w:val="00AE305F"/>
    <w:rsid w:val="00AE490B"/>
    <w:rsid w:val="00AE4DF1"/>
    <w:rsid w:val="00AE5004"/>
    <w:rsid w:val="00AE5695"/>
    <w:rsid w:val="00AE5B5E"/>
    <w:rsid w:val="00AE5E10"/>
    <w:rsid w:val="00AE5F1A"/>
    <w:rsid w:val="00AE65CB"/>
    <w:rsid w:val="00AE69C0"/>
    <w:rsid w:val="00AE6C04"/>
    <w:rsid w:val="00AE7742"/>
    <w:rsid w:val="00AF000E"/>
    <w:rsid w:val="00AF1262"/>
    <w:rsid w:val="00AF1525"/>
    <w:rsid w:val="00AF255C"/>
    <w:rsid w:val="00AF2836"/>
    <w:rsid w:val="00AF46A9"/>
    <w:rsid w:val="00AF5A93"/>
    <w:rsid w:val="00AF5BDE"/>
    <w:rsid w:val="00AF714B"/>
    <w:rsid w:val="00AF7592"/>
    <w:rsid w:val="00AF7E48"/>
    <w:rsid w:val="00B006F3"/>
    <w:rsid w:val="00B02949"/>
    <w:rsid w:val="00B02E23"/>
    <w:rsid w:val="00B03599"/>
    <w:rsid w:val="00B03F50"/>
    <w:rsid w:val="00B04067"/>
    <w:rsid w:val="00B053DA"/>
    <w:rsid w:val="00B05EB5"/>
    <w:rsid w:val="00B101B5"/>
    <w:rsid w:val="00B10978"/>
    <w:rsid w:val="00B10A12"/>
    <w:rsid w:val="00B10DD4"/>
    <w:rsid w:val="00B10F62"/>
    <w:rsid w:val="00B11D32"/>
    <w:rsid w:val="00B12EF6"/>
    <w:rsid w:val="00B13A84"/>
    <w:rsid w:val="00B13BD1"/>
    <w:rsid w:val="00B14468"/>
    <w:rsid w:val="00B14882"/>
    <w:rsid w:val="00B14F8E"/>
    <w:rsid w:val="00B15352"/>
    <w:rsid w:val="00B15D40"/>
    <w:rsid w:val="00B163F6"/>
    <w:rsid w:val="00B165B4"/>
    <w:rsid w:val="00B17963"/>
    <w:rsid w:val="00B204E4"/>
    <w:rsid w:val="00B2065F"/>
    <w:rsid w:val="00B20E45"/>
    <w:rsid w:val="00B210CE"/>
    <w:rsid w:val="00B21380"/>
    <w:rsid w:val="00B21ED5"/>
    <w:rsid w:val="00B222B7"/>
    <w:rsid w:val="00B225C6"/>
    <w:rsid w:val="00B2524D"/>
    <w:rsid w:val="00B25805"/>
    <w:rsid w:val="00B25927"/>
    <w:rsid w:val="00B26C82"/>
    <w:rsid w:val="00B27180"/>
    <w:rsid w:val="00B305FA"/>
    <w:rsid w:val="00B30AF1"/>
    <w:rsid w:val="00B30DDD"/>
    <w:rsid w:val="00B31118"/>
    <w:rsid w:val="00B31ADF"/>
    <w:rsid w:val="00B3493A"/>
    <w:rsid w:val="00B360A0"/>
    <w:rsid w:val="00B3697E"/>
    <w:rsid w:val="00B36AFC"/>
    <w:rsid w:val="00B37AD5"/>
    <w:rsid w:val="00B4283B"/>
    <w:rsid w:val="00B42C55"/>
    <w:rsid w:val="00B433F0"/>
    <w:rsid w:val="00B4358D"/>
    <w:rsid w:val="00B442B9"/>
    <w:rsid w:val="00B4497F"/>
    <w:rsid w:val="00B45ED7"/>
    <w:rsid w:val="00B4748C"/>
    <w:rsid w:val="00B5032F"/>
    <w:rsid w:val="00B51B9F"/>
    <w:rsid w:val="00B520E1"/>
    <w:rsid w:val="00B531F2"/>
    <w:rsid w:val="00B54890"/>
    <w:rsid w:val="00B55056"/>
    <w:rsid w:val="00B5553E"/>
    <w:rsid w:val="00B5556F"/>
    <w:rsid w:val="00B55A10"/>
    <w:rsid w:val="00B578AB"/>
    <w:rsid w:val="00B57F80"/>
    <w:rsid w:val="00B57F87"/>
    <w:rsid w:val="00B60B4E"/>
    <w:rsid w:val="00B60D67"/>
    <w:rsid w:val="00B61B7C"/>
    <w:rsid w:val="00B62627"/>
    <w:rsid w:val="00B62777"/>
    <w:rsid w:val="00B62D54"/>
    <w:rsid w:val="00B63215"/>
    <w:rsid w:val="00B6391F"/>
    <w:rsid w:val="00B6402A"/>
    <w:rsid w:val="00B64C4B"/>
    <w:rsid w:val="00B64F6A"/>
    <w:rsid w:val="00B65B74"/>
    <w:rsid w:val="00B669C6"/>
    <w:rsid w:val="00B66A22"/>
    <w:rsid w:val="00B67A79"/>
    <w:rsid w:val="00B712BA"/>
    <w:rsid w:val="00B72BA7"/>
    <w:rsid w:val="00B72BEE"/>
    <w:rsid w:val="00B73033"/>
    <w:rsid w:val="00B74E9C"/>
    <w:rsid w:val="00B762F7"/>
    <w:rsid w:val="00B771D0"/>
    <w:rsid w:val="00B803A0"/>
    <w:rsid w:val="00B804B2"/>
    <w:rsid w:val="00B811DF"/>
    <w:rsid w:val="00B81414"/>
    <w:rsid w:val="00B81B43"/>
    <w:rsid w:val="00B81DC6"/>
    <w:rsid w:val="00B821B6"/>
    <w:rsid w:val="00B8240A"/>
    <w:rsid w:val="00B82D38"/>
    <w:rsid w:val="00B84CAC"/>
    <w:rsid w:val="00B86D18"/>
    <w:rsid w:val="00B8731D"/>
    <w:rsid w:val="00B90173"/>
    <w:rsid w:val="00B901DE"/>
    <w:rsid w:val="00B907CA"/>
    <w:rsid w:val="00B938C8"/>
    <w:rsid w:val="00B94665"/>
    <w:rsid w:val="00B94CED"/>
    <w:rsid w:val="00B95765"/>
    <w:rsid w:val="00B95CD0"/>
    <w:rsid w:val="00B97453"/>
    <w:rsid w:val="00B97576"/>
    <w:rsid w:val="00B97D29"/>
    <w:rsid w:val="00BA0024"/>
    <w:rsid w:val="00BA0CD7"/>
    <w:rsid w:val="00BA144D"/>
    <w:rsid w:val="00BA267A"/>
    <w:rsid w:val="00BA27C1"/>
    <w:rsid w:val="00BA2B2B"/>
    <w:rsid w:val="00BA32A0"/>
    <w:rsid w:val="00BA383C"/>
    <w:rsid w:val="00BA4906"/>
    <w:rsid w:val="00BA59F4"/>
    <w:rsid w:val="00BA5BA1"/>
    <w:rsid w:val="00BA6696"/>
    <w:rsid w:val="00BA7733"/>
    <w:rsid w:val="00BA7929"/>
    <w:rsid w:val="00BB11D1"/>
    <w:rsid w:val="00BB3932"/>
    <w:rsid w:val="00BB4A7C"/>
    <w:rsid w:val="00BB4B92"/>
    <w:rsid w:val="00BB57E1"/>
    <w:rsid w:val="00BB58DC"/>
    <w:rsid w:val="00BB5B59"/>
    <w:rsid w:val="00BB76AF"/>
    <w:rsid w:val="00BC0613"/>
    <w:rsid w:val="00BC06AA"/>
    <w:rsid w:val="00BC0A61"/>
    <w:rsid w:val="00BC1554"/>
    <w:rsid w:val="00BC2288"/>
    <w:rsid w:val="00BC2880"/>
    <w:rsid w:val="00BC35A0"/>
    <w:rsid w:val="00BC3638"/>
    <w:rsid w:val="00BC441F"/>
    <w:rsid w:val="00BC6199"/>
    <w:rsid w:val="00BC6E13"/>
    <w:rsid w:val="00BC7102"/>
    <w:rsid w:val="00BC7B1C"/>
    <w:rsid w:val="00BD1A18"/>
    <w:rsid w:val="00BD2846"/>
    <w:rsid w:val="00BD4409"/>
    <w:rsid w:val="00BD4AD2"/>
    <w:rsid w:val="00BD4C60"/>
    <w:rsid w:val="00BD5AEC"/>
    <w:rsid w:val="00BD6526"/>
    <w:rsid w:val="00BD7F92"/>
    <w:rsid w:val="00BE168D"/>
    <w:rsid w:val="00BE3479"/>
    <w:rsid w:val="00BE3B4A"/>
    <w:rsid w:val="00BE4B45"/>
    <w:rsid w:val="00BE539A"/>
    <w:rsid w:val="00BE56EC"/>
    <w:rsid w:val="00BE62C1"/>
    <w:rsid w:val="00BE736D"/>
    <w:rsid w:val="00BF094B"/>
    <w:rsid w:val="00BF1959"/>
    <w:rsid w:val="00BF1FA7"/>
    <w:rsid w:val="00BF282B"/>
    <w:rsid w:val="00BF28E3"/>
    <w:rsid w:val="00BF305D"/>
    <w:rsid w:val="00BF3384"/>
    <w:rsid w:val="00BF351B"/>
    <w:rsid w:val="00BF3756"/>
    <w:rsid w:val="00BF37A8"/>
    <w:rsid w:val="00BF37C1"/>
    <w:rsid w:val="00BF3805"/>
    <w:rsid w:val="00BF4697"/>
    <w:rsid w:val="00BF48D7"/>
    <w:rsid w:val="00BF4C4E"/>
    <w:rsid w:val="00BF4F7E"/>
    <w:rsid w:val="00BF504D"/>
    <w:rsid w:val="00BF5E3E"/>
    <w:rsid w:val="00BF6791"/>
    <w:rsid w:val="00BF6A65"/>
    <w:rsid w:val="00BF6AE5"/>
    <w:rsid w:val="00BF77EC"/>
    <w:rsid w:val="00BF7E5D"/>
    <w:rsid w:val="00BF7F47"/>
    <w:rsid w:val="00C00318"/>
    <w:rsid w:val="00C02DB5"/>
    <w:rsid w:val="00C04425"/>
    <w:rsid w:val="00C057F9"/>
    <w:rsid w:val="00C069A4"/>
    <w:rsid w:val="00C0752D"/>
    <w:rsid w:val="00C075C1"/>
    <w:rsid w:val="00C113CD"/>
    <w:rsid w:val="00C12146"/>
    <w:rsid w:val="00C135D4"/>
    <w:rsid w:val="00C14525"/>
    <w:rsid w:val="00C14ED0"/>
    <w:rsid w:val="00C16069"/>
    <w:rsid w:val="00C166C6"/>
    <w:rsid w:val="00C20C17"/>
    <w:rsid w:val="00C21473"/>
    <w:rsid w:val="00C2156B"/>
    <w:rsid w:val="00C21633"/>
    <w:rsid w:val="00C228D0"/>
    <w:rsid w:val="00C239F4"/>
    <w:rsid w:val="00C23FA9"/>
    <w:rsid w:val="00C2448A"/>
    <w:rsid w:val="00C246F6"/>
    <w:rsid w:val="00C25C90"/>
    <w:rsid w:val="00C26EE8"/>
    <w:rsid w:val="00C270B5"/>
    <w:rsid w:val="00C27CFF"/>
    <w:rsid w:val="00C308E6"/>
    <w:rsid w:val="00C31119"/>
    <w:rsid w:val="00C319F8"/>
    <w:rsid w:val="00C31CD1"/>
    <w:rsid w:val="00C323CA"/>
    <w:rsid w:val="00C32D0B"/>
    <w:rsid w:val="00C33576"/>
    <w:rsid w:val="00C335B1"/>
    <w:rsid w:val="00C341AC"/>
    <w:rsid w:val="00C34D75"/>
    <w:rsid w:val="00C366F0"/>
    <w:rsid w:val="00C367B7"/>
    <w:rsid w:val="00C368FF"/>
    <w:rsid w:val="00C4142C"/>
    <w:rsid w:val="00C414CC"/>
    <w:rsid w:val="00C42241"/>
    <w:rsid w:val="00C4251F"/>
    <w:rsid w:val="00C43761"/>
    <w:rsid w:val="00C44C34"/>
    <w:rsid w:val="00C456C7"/>
    <w:rsid w:val="00C45F5E"/>
    <w:rsid w:val="00C47BB0"/>
    <w:rsid w:val="00C51756"/>
    <w:rsid w:val="00C520B2"/>
    <w:rsid w:val="00C52180"/>
    <w:rsid w:val="00C52976"/>
    <w:rsid w:val="00C550C0"/>
    <w:rsid w:val="00C553F0"/>
    <w:rsid w:val="00C55862"/>
    <w:rsid w:val="00C57440"/>
    <w:rsid w:val="00C5756E"/>
    <w:rsid w:val="00C576F3"/>
    <w:rsid w:val="00C6071E"/>
    <w:rsid w:val="00C61313"/>
    <w:rsid w:val="00C62094"/>
    <w:rsid w:val="00C624DB"/>
    <w:rsid w:val="00C63869"/>
    <w:rsid w:val="00C63E45"/>
    <w:rsid w:val="00C64ACC"/>
    <w:rsid w:val="00C65172"/>
    <w:rsid w:val="00C66143"/>
    <w:rsid w:val="00C66343"/>
    <w:rsid w:val="00C70072"/>
    <w:rsid w:val="00C71880"/>
    <w:rsid w:val="00C73B08"/>
    <w:rsid w:val="00C74A91"/>
    <w:rsid w:val="00C74B9F"/>
    <w:rsid w:val="00C7695A"/>
    <w:rsid w:val="00C7714F"/>
    <w:rsid w:val="00C802AD"/>
    <w:rsid w:val="00C802F2"/>
    <w:rsid w:val="00C80D83"/>
    <w:rsid w:val="00C81723"/>
    <w:rsid w:val="00C82D3F"/>
    <w:rsid w:val="00C8474C"/>
    <w:rsid w:val="00C851F2"/>
    <w:rsid w:val="00C857E5"/>
    <w:rsid w:val="00C85DF0"/>
    <w:rsid w:val="00C861E3"/>
    <w:rsid w:val="00C87BE8"/>
    <w:rsid w:val="00C91022"/>
    <w:rsid w:val="00C91511"/>
    <w:rsid w:val="00C91AEF"/>
    <w:rsid w:val="00C920A1"/>
    <w:rsid w:val="00C932DA"/>
    <w:rsid w:val="00C94608"/>
    <w:rsid w:val="00C95927"/>
    <w:rsid w:val="00C95CB7"/>
    <w:rsid w:val="00C97056"/>
    <w:rsid w:val="00C97AB0"/>
    <w:rsid w:val="00CA02B4"/>
    <w:rsid w:val="00CA0399"/>
    <w:rsid w:val="00CA0BAB"/>
    <w:rsid w:val="00CA0E38"/>
    <w:rsid w:val="00CA1FCF"/>
    <w:rsid w:val="00CA2294"/>
    <w:rsid w:val="00CA2391"/>
    <w:rsid w:val="00CA24B1"/>
    <w:rsid w:val="00CA296A"/>
    <w:rsid w:val="00CA2E62"/>
    <w:rsid w:val="00CA382A"/>
    <w:rsid w:val="00CA5D98"/>
    <w:rsid w:val="00CA5EF3"/>
    <w:rsid w:val="00CA7FD4"/>
    <w:rsid w:val="00CB04EC"/>
    <w:rsid w:val="00CB0862"/>
    <w:rsid w:val="00CB0DB8"/>
    <w:rsid w:val="00CB3602"/>
    <w:rsid w:val="00CB3A1D"/>
    <w:rsid w:val="00CB492B"/>
    <w:rsid w:val="00CB52BA"/>
    <w:rsid w:val="00CB5F7E"/>
    <w:rsid w:val="00CB6BF7"/>
    <w:rsid w:val="00CC0951"/>
    <w:rsid w:val="00CC0953"/>
    <w:rsid w:val="00CC0AB4"/>
    <w:rsid w:val="00CC105C"/>
    <w:rsid w:val="00CC16F4"/>
    <w:rsid w:val="00CC1ECC"/>
    <w:rsid w:val="00CC3762"/>
    <w:rsid w:val="00CC42A4"/>
    <w:rsid w:val="00CC4DAC"/>
    <w:rsid w:val="00CC62D6"/>
    <w:rsid w:val="00CC637E"/>
    <w:rsid w:val="00CC6E4B"/>
    <w:rsid w:val="00CC72EF"/>
    <w:rsid w:val="00CC7643"/>
    <w:rsid w:val="00CC7809"/>
    <w:rsid w:val="00CC7AFD"/>
    <w:rsid w:val="00CC7B7C"/>
    <w:rsid w:val="00CD0E4E"/>
    <w:rsid w:val="00CD0F41"/>
    <w:rsid w:val="00CD1272"/>
    <w:rsid w:val="00CD12FF"/>
    <w:rsid w:val="00CD15B2"/>
    <w:rsid w:val="00CD2A88"/>
    <w:rsid w:val="00CD2DEF"/>
    <w:rsid w:val="00CD3311"/>
    <w:rsid w:val="00CD3F34"/>
    <w:rsid w:val="00CD4297"/>
    <w:rsid w:val="00CD45C6"/>
    <w:rsid w:val="00CD470D"/>
    <w:rsid w:val="00CD6A76"/>
    <w:rsid w:val="00CD6F93"/>
    <w:rsid w:val="00CD78B5"/>
    <w:rsid w:val="00CE04BA"/>
    <w:rsid w:val="00CE27B2"/>
    <w:rsid w:val="00CE3F9E"/>
    <w:rsid w:val="00CE4C75"/>
    <w:rsid w:val="00CE4DC5"/>
    <w:rsid w:val="00CE62EE"/>
    <w:rsid w:val="00CE6EFB"/>
    <w:rsid w:val="00CE7B65"/>
    <w:rsid w:val="00CF0581"/>
    <w:rsid w:val="00CF05D9"/>
    <w:rsid w:val="00CF1FA5"/>
    <w:rsid w:val="00CF23A6"/>
    <w:rsid w:val="00CF3071"/>
    <w:rsid w:val="00CF30ED"/>
    <w:rsid w:val="00CF3A62"/>
    <w:rsid w:val="00CF4E40"/>
    <w:rsid w:val="00CF501F"/>
    <w:rsid w:val="00CF5676"/>
    <w:rsid w:val="00CF6A9C"/>
    <w:rsid w:val="00CF7177"/>
    <w:rsid w:val="00D00707"/>
    <w:rsid w:val="00D00D7A"/>
    <w:rsid w:val="00D027B9"/>
    <w:rsid w:val="00D03F6E"/>
    <w:rsid w:val="00D047D7"/>
    <w:rsid w:val="00D04801"/>
    <w:rsid w:val="00D04A58"/>
    <w:rsid w:val="00D05634"/>
    <w:rsid w:val="00D058EC"/>
    <w:rsid w:val="00D073AB"/>
    <w:rsid w:val="00D075CC"/>
    <w:rsid w:val="00D07E1E"/>
    <w:rsid w:val="00D110E0"/>
    <w:rsid w:val="00D123FC"/>
    <w:rsid w:val="00D12A46"/>
    <w:rsid w:val="00D12C09"/>
    <w:rsid w:val="00D12D08"/>
    <w:rsid w:val="00D16F93"/>
    <w:rsid w:val="00D175BE"/>
    <w:rsid w:val="00D17727"/>
    <w:rsid w:val="00D17EE1"/>
    <w:rsid w:val="00D210AF"/>
    <w:rsid w:val="00D2144D"/>
    <w:rsid w:val="00D22AA5"/>
    <w:rsid w:val="00D23BBE"/>
    <w:rsid w:val="00D24175"/>
    <w:rsid w:val="00D26C1A"/>
    <w:rsid w:val="00D27448"/>
    <w:rsid w:val="00D27E15"/>
    <w:rsid w:val="00D30034"/>
    <w:rsid w:val="00D30671"/>
    <w:rsid w:val="00D32264"/>
    <w:rsid w:val="00D33C45"/>
    <w:rsid w:val="00D343AE"/>
    <w:rsid w:val="00D345C2"/>
    <w:rsid w:val="00D364FC"/>
    <w:rsid w:val="00D36C83"/>
    <w:rsid w:val="00D4114A"/>
    <w:rsid w:val="00D41AA8"/>
    <w:rsid w:val="00D43453"/>
    <w:rsid w:val="00D4368F"/>
    <w:rsid w:val="00D43722"/>
    <w:rsid w:val="00D45613"/>
    <w:rsid w:val="00D45C39"/>
    <w:rsid w:val="00D46DF7"/>
    <w:rsid w:val="00D47FA2"/>
    <w:rsid w:val="00D50978"/>
    <w:rsid w:val="00D50BEC"/>
    <w:rsid w:val="00D511C3"/>
    <w:rsid w:val="00D51656"/>
    <w:rsid w:val="00D5178F"/>
    <w:rsid w:val="00D51C45"/>
    <w:rsid w:val="00D52838"/>
    <w:rsid w:val="00D5308E"/>
    <w:rsid w:val="00D55AA7"/>
    <w:rsid w:val="00D55DD5"/>
    <w:rsid w:val="00D5659C"/>
    <w:rsid w:val="00D56B65"/>
    <w:rsid w:val="00D56FB4"/>
    <w:rsid w:val="00D5743F"/>
    <w:rsid w:val="00D6007B"/>
    <w:rsid w:val="00D62385"/>
    <w:rsid w:val="00D62A98"/>
    <w:rsid w:val="00D62CFB"/>
    <w:rsid w:val="00D63BD6"/>
    <w:rsid w:val="00D63E01"/>
    <w:rsid w:val="00D647F5"/>
    <w:rsid w:val="00D64CAC"/>
    <w:rsid w:val="00D64EBC"/>
    <w:rsid w:val="00D654AB"/>
    <w:rsid w:val="00D67510"/>
    <w:rsid w:val="00D67AE6"/>
    <w:rsid w:val="00D70C14"/>
    <w:rsid w:val="00D7125F"/>
    <w:rsid w:val="00D71E25"/>
    <w:rsid w:val="00D7209C"/>
    <w:rsid w:val="00D720C0"/>
    <w:rsid w:val="00D73569"/>
    <w:rsid w:val="00D74331"/>
    <w:rsid w:val="00D749FA"/>
    <w:rsid w:val="00D75066"/>
    <w:rsid w:val="00D8004A"/>
    <w:rsid w:val="00D80B9B"/>
    <w:rsid w:val="00D80D0A"/>
    <w:rsid w:val="00D81429"/>
    <w:rsid w:val="00D81582"/>
    <w:rsid w:val="00D8171B"/>
    <w:rsid w:val="00D818FD"/>
    <w:rsid w:val="00D81BA3"/>
    <w:rsid w:val="00D81E50"/>
    <w:rsid w:val="00D820E4"/>
    <w:rsid w:val="00D82E6C"/>
    <w:rsid w:val="00D82F21"/>
    <w:rsid w:val="00D83429"/>
    <w:rsid w:val="00D83860"/>
    <w:rsid w:val="00D851D3"/>
    <w:rsid w:val="00D853EC"/>
    <w:rsid w:val="00D855F8"/>
    <w:rsid w:val="00D85F52"/>
    <w:rsid w:val="00D87D44"/>
    <w:rsid w:val="00D93374"/>
    <w:rsid w:val="00D937B3"/>
    <w:rsid w:val="00D93B4C"/>
    <w:rsid w:val="00D94148"/>
    <w:rsid w:val="00D94A5F"/>
    <w:rsid w:val="00D94A85"/>
    <w:rsid w:val="00D953CB"/>
    <w:rsid w:val="00D95669"/>
    <w:rsid w:val="00D965F9"/>
    <w:rsid w:val="00DA01C4"/>
    <w:rsid w:val="00DA0DE2"/>
    <w:rsid w:val="00DA0F0F"/>
    <w:rsid w:val="00DA1FD2"/>
    <w:rsid w:val="00DA323D"/>
    <w:rsid w:val="00DA6376"/>
    <w:rsid w:val="00DA65C1"/>
    <w:rsid w:val="00DA7246"/>
    <w:rsid w:val="00DA7BEF"/>
    <w:rsid w:val="00DB0B0E"/>
    <w:rsid w:val="00DB0C5D"/>
    <w:rsid w:val="00DB0CC2"/>
    <w:rsid w:val="00DB1D4F"/>
    <w:rsid w:val="00DB1E94"/>
    <w:rsid w:val="00DB22C1"/>
    <w:rsid w:val="00DB266C"/>
    <w:rsid w:val="00DB283E"/>
    <w:rsid w:val="00DB2BA5"/>
    <w:rsid w:val="00DB4226"/>
    <w:rsid w:val="00DB5313"/>
    <w:rsid w:val="00DB5385"/>
    <w:rsid w:val="00DB5F86"/>
    <w:rsid w:val="00DC0521"/>
    <w:rsid w:val="00DC0626"/>
    <w:rsid w:val="00DC069A"/>
    <w:rsid w:val="00DC0CD3"/>
    <w:rsid w:val="00DC188B"/>
    <w:rsid w:val="00DC1ADC"/>
    <w:rsid w:val="00DC1AEC"/>
    <w:rsid w:val="00DC2ED3"/>
    <w:rsid w:val="00DC3724"/>
    <w:rsid w:val="00DC3864"/>
    <w:rsid w:val="00DC43A6"/>
    <w:rsid w:val="00DC450B"/>
    <w:rsid w:val="00DC47DC"/>
    <w:rsid w:val="00DC5003"/>
    <w:rsid w:val="00DC633C"/>
    <w:rsid w:val="00DC6612"/>
    <w:rsid w:val="00DC6616"/>
    <w:rsid w:val="00DD0719"/>
    <w:rsid w:val="00DD1BA6"/>
    <w:rsid w:val="00DD1DB8"/>
    <w:rsid w:val="00DD27C2"/>
    <w:rsid w:val="00DD3A38"/>
    <w:rsid w:val="00DD3B52"/>
    <w:rsid w:val="00DD3BEF"/>
    <w:rsid w:val="00DD3E39"/>
    <w:rsid w:val="00DD3F0C"/>
    <w:rsid w:val="00DD4153"/>
    <w:rsid w:val="00DD4305"/>
    <w:rsid w:val="00DD4433"/>
    <w:rsid w:val="00DD476D"/>
    <w:rsid w:val="00DD5137"/>
    <w:rsid w:val="00DD55B5"/>
    <w:rsid w:val="00DD5BF2"/>
    <w:rsid w:val="00DD69C4"/>
    <w:rsid w:val="00DD706C"/>
    <w:rsid w:val="00DD780A"/>
    <w:rsid w:val="00DD7916"/>
    <w:rsid w:val="00DD7EDB"/>
    <w:rsid w:val="00DE0F1B"/>
    <w:rsid w:val="00DE14C2"/>
    <w:rsid w:val="00DE19F5"/>
    <w:rsid w:val="00DE1E9C"/>
    <w:rsid w:val="00DE24D8"/>
    <w:rsid w:val="00DE3A15"/>
    <w:rsid w:val="00DE4B8F"/>
    <w:rsid w:val="00DE5CCE"/>
    <w:rsid w:val="00DE68A4"/>
    <w:rsid w:val="00DE6DB3"/>
    <w:rsid w:val="00DE73B1"/>
    <w:rsid w:val="00DE73F8"/>
    <w:rsid w:val="00DF085B"/>
    <w:rsid w:val="00DF17A8"/>
    <w:rsid w:val="00DF21B2"/>
    <w:rsid w:val="00DF25D6"/>
    <w:rsid w:val="00DF2A00"/>
    <w:rsid w:val="00DF3146"/>
    <w:rsid w:val="00DF4530"/>
    <w:rsid w:val="00DF5A18"/>
    <w:rsid w:val="00E001C2"/>
    <w:rsid w:val="00E0242D"/>
    <w:rsid w:val="00E02A3D"/>
    <w:rsid w:val="00E05D65"/>
    <w:rsid w:val="00E05FCE"/>
    <w:rsid w:val="00E06648"/>
    <w:rsid w:val="00E06738"/>
    <w:rsid w:val="00E07DF4"/>
    <w:rsid w:val="00E10EFE"/>
    <w:rsid w:val="00E11121"/>
    <w:rsid w:val="00E11E9D"/>
    <w:rsid w:val="00E124D6"/>
    <w:rsid w:val="00E12974"/>
    <w:rsid w:val="00E12B1B"/>
    <w:rsid w:val="00E15558"/>
    <w:rsid w:val="00E1570F"/>
    <w:rsid w:val="00E17A25"/>
    <w:rsid w:val="00E20682"/>
    <w:rsid w:val="00E22AC9"/>
    <w:rsid w:val="00E2316D"/>
    <w:rsid w:val="00E24365"/>
    <w:rsid w:val="00E24A01"/>
    <w:rsid w:val="00E251B4"/>
    <w:rsid w:val="00E2541C"/>
    <w:rsid w:val="00E25544"/>
    <w:rsid w:val="00E2593E"/>
    <w:rsid w:val="00E259D3"/>
    <w:rsid w:val="00E2634A"/>
    <w:rsid w:val="00E303FD"/>
    <w:rsid w:val="00E3231F"/>
    <w:rsid w:val="00E33FA5"/>
    <w:rsid w:val="00E344E2"/>
    <w:rsid w:val="00E345D9"/>
    <w:rsid w:val="00E34B43"/>
    <w:rsid w:val="00E358D9"/>
    <w:rsid w:val="00E369CB"/>
    <w:rsid w:val="00E40389"/>
    <w:rsid w:val="00E40AEE"/>
    <w:rsid w:val="00E416BF"/>
    <w:rsid w:val="00E41CA8"/>
    <w:rsid w:val="00E422D9"/>
    <w:rsid w:val="00E42F49"/>
    <w:rsid w:val="00E44852"/>
    <w:rsid w:val="00E463A7"/>
    <w:rsid w:val="00E46809"/>
    <w:rsid w:val="00E46968"/>
    <w:rsid w:val="00E46A89"/>
    <w:rsid w:val="00E46E97"/>
    <w:rsid w:val="00E47DF1"/>
    <w:rsid w:val="00E50C2D"/>
    <w:rsid w:val="00E50D39"/>
    <w:rsid w:val="00E50D3C"/>
    <w:rsid w:val="00E51BE8"/>
    <w:rsid w:val="00E555E2"/>
    <w:rsid w:val="00E55615"/>
    <w:rsid w:val="00E558BC"/>
    <w:rsid w:val="00E55A52"/>
    <w:rsid w:val="00E56A24"/>
    <w:rsid w:val="00E60D95"/>
    <w:rsid w:val="00E60F2C"/>
    <w:rsid w:val="00E611EB"/>
    <w:rsid w:val="00E62168"/>
    <w:rsid w:val="00E621D6"/>
    <w:rsid w:val="00E62F94"/>
    <w:rsid w:val="00E64879"/>
    <w:rsid w:val="00E66E62"/>
    <w:rsid w:val="00E66E89"/>
    <w:rsid w:val="00E67D38"/>
    <w:rsid w:val="00E67E35"/>
    <w:rsid w:val="00E72B86"/>
    <w:rsid w:val="00E73A3A"/>
    <w:rsid w:val="00E75A18"/>
    <w:rsid w:val="00E75C79"/>
    <w:rsid w:val="00E75CE8"/>
    <w:rsid w:val="00E75EFB"/>
    <w:rsid w:val="00E76363"/>
    <w:rsid w:val="00E76443"/>
    <w:rsid w:val="00E7730E"/>
    <w:rsid w:val="00E80811"/>
    <w:rsid w:val="00E809D6"/>
    <w:rsid w:val="00E80A6D"/>
    <w:rsid w:val="00E810CC"/>
    <w:rsid w:val="00E819C9"/>
    <w:rsid w:val="00E82F7C"/>
    <w:rsid w:val="00E83975"/>
    <w:rsid w:val="00E83E05"/>
    <w:rsid w:val="00E84446"/>
    <w:rsid w:val="00E85498"/>
    <w:rsid w:val="00E85876"/>
    <w:rsid w:val="00E85B89"/>
    <w:rsid w:val="00E861B7"/>
    <w:rsid w:val="00E86BDC"/>
    <w:rsid w:val="00E87E60"/>
    <w:rsid w:val="00E905E6"/>
    <w:rsid w:val="00E907EF"/>
    <w:rsid w:val="00E91796"/>
    <w:rsid w:val="00E92FF8"/>
    <w:rsid w:val="00E943E3"/>
    <w:rsid w:val="00E9459C"/>
    <w:rsid w:val="00E94FEA"/>
    <w:rsid w:val="00E95169"/>
    <w:rsid w:val="00E9602E"/>
    <w:rsid w:val="00E971D1"/>
    <w:rsid w:val="00EA089C"/>
    <w:rsid w:val="00EA1832"/>
    <w:rsid w:val="00EA23B2"/>
    <w:rsid w:val="00EA25E1"/>
    <w:rsid w:val="00EA266D"/>
    <w:rsid w:val="00EA3B73"/>
    <w:rsid w:val="00EA4A95"/>
    <w:rsid w:val="00EA61E0"/>
    <w:rsid w:val="00EA6A78"/>
    <w:rsid w:val="00EA6BA3"/>
    <w:rsid w:val="00EA7B02"/>
    <w:rsid w:val="00EB0EC6"/>
    <w:rsid w:val="00EB2C8D"/>
    <w:rsid w:val="00EB2F2F"/>
    <w:rsid w:val="00EB301A"/>
    <w:rsid w:val="00EB373D"/>
    <w:rsid w:val="00EB3E44"/>
    <w:rsid w:val="00EB42E0"/>
    <w:rsid w:val="00EB45BB"/>
    <w:rsid w:val="00EB46D4"/>
    <w:rsid w:val="00EB554C"/>
    <w:rsid w:val="00EB693C"/>
    <w:rsid w:val="00EB6B33"/>
    <w:rsid w:val="00EB7620"/>
    <w:rsid w:val="00EB7672"/>
    <w:rsid w:val="00EB7B81"/>
    <w:rsid w:val="00EB7C25"/>
    <w:rsid w:val="00EC1F74"/>
    <w:rsid w:val="00EC2495"/>
    <w:rsid w:val="00EC2832"/>
    <w:rsid w:val="00EC344D"/>
    <w:rsid w:val="00EC3E04"/>
    <w:rsid w:val="00EC47CB"/>
    <w:rsid w:val="00EC6A1E"/>
    <w:rsid w:val="00ED1603"/>
    <w:rsid w:val="00ED1662"/>
    <w:rsid w:val="00ED16A1"/>
    <w:rsid w:val="00ED26D4"/>
    <w:rsid w:val="00ED2EAC"/>
    <w:rsid w:val="00ED326A"/>
    <w:rsid w:val="00ED4233"/>
    <w:rsid w:val="00ED478F"/>
    <w:rsid w:val="00ED4ABA"/>
    <w:rsid w:val="00ED541A"/>
    <w:rsid w:val="00ED56A4"/>
    <w:rsid w:val="00ED57FE"/>
    <w:rsid w:val="00ED6389"/>
    <w:rsid w:val="00ED73AC"/>
    <w:rsid w:val="00EE1050"/>
    <w:rsid w:val="00EE221C"/>
    <w:rsid w:val="00EE2850"/>
    <w:rsid w:val="00EE49C4"/>
    <w:rsid w:val="00EE4FA1"/>
    <w:rsid w:val="00EE57CD"/>
    <w:rsid w:val="00EE5A46"/>
    <w:rsid w:val="00EE5E03"/>
    <w:rsid w:val="00EE6678"/>
    <w:rsid w:val="00EE6A91"/>
    <w:rsid w:val="00EE72D2"/>
    <w:rsid w:val="00EE74BA"/>
    <w:rsid w:val="00EE77BB"/>
    <w:rsid w:val="00EF0552"/>
    <w:rsid w:val="00EF0643"/>
    <w:rsid w:val="00EF29EF"/>
    <w:rsid w:val="00EF2E93"/>
    <w:rsid w:val="00EF386D"/>
    <w:rsid w:val="00EF3AD0"/>
    <w:rsid w:val="00EF41C8"/>
    <w:rsid w:val="00EF49B3"/>
    <w:rsid w:val="00EF4D2F"/>
    <w:rsid w:val="00EF659D"/>
    <w:rsid w:val="00EF7766"/>
    <w:rsid w:val="00EF7E27"/>
    <w:rsid w:val="00F03321"/>
    <w:rsid w:val="00F03C31"/>
    <w:rsid w:val="00F0429C"/>
    <w:rsid w:val="00F04388"/>
    <w:rsid w:val="00F04C8C"/>
    <w:rsid w:val="00F04D49"/>
    <w:rsid w:val="00F06260"/>
    <w:rsid w:val="00F0734E"/>
    <w:rsid w:val="00F076F1"/>
    <w:rsid w:val="00F077F0"/>
    <w:rsid w:val="00F07F83"/>
    <w:rsid w:val="00F123B0"/>
    <w:rsid w:val="00F13816"/>
    <w:rsid w:val="00F13B58"/>
    <w:rsid w:val="00F1422E"/>
    <w:rsid w:val="00F14CFD"/>
    <w:rsid w:val="00F14DC6"/>
    <w:rsid w:val="00F15454"/>
    <w:rsid w:val="00F154F6"/>
    <w:rsid w:val="00F1707D"/>
    <w:rsid w:val="00F17473"/>
    <w:rsid w:val="00F17527"/>
    <w:rsid w:val="00F21118"/>
    <w:rsid w:val="00F21895"/>
    <w:rsid w:val="00F22418"/>
    <w:rsid w:val="00F228CD"/>
    <w:rsid w:val="00F22F71"/>
    <w:rsid w:val="00F23742"/>
    <w:rsid w:val="00F23AA9"/>
    <w:rsid w:val="00F26701"/>
    <w:rsid w:val="00F2794D"/>
    <w:rsid w:val="00F27F79"/>
    <w:rsid w:val="00F30229"/>
    <w:rsid w:val="00F3049C"/>
    <w:rsid w:val="00F30F2A"/>
    <w:rsid w:val="00F316F3"/>
    <w:rsid w:val="00F31F85"/>
    <w:rsid w:val="00F32678"/>
    <w:rsid w:val="00F336AC"/>
    <w:rsid w:val="00F34262"/>
    <w:rsid w:val="00F352A8"/>
    <w:rsid w:val="00F368D4"/>
    <w:rsid w:val="00F36D74"/>
    <w:rsid w:val="00F41D27"/>
    <w:rsid w:val="00F424EF"/>
    <w:rsid w:val="00F43257"/>
    <w:rsid w:val="00F436C1"/>
    <w:rsid w:val="00F44A7F"/>
    <w:rsid w:val="00F4541E"/>
    <w:rsid w:val="00F45F19"/>
    <w:rsid w:val="00F46185"/>
    <w:rsid w:val="00F46534"/>
    <w:rsid w:val="00F4666A"/>
    <w:rsid w:val="00F4764C"/>
    <w:rsid w:val="00F477A8"/>
    <w:rsid w:val="00F47C3D"/>
    <w:rsid w:val="00F50341"/>
    <w:rsid w:val="00F50E6F"/>
    <w:rsid w:val="00F519DB"/>
    <w:rsid w:val="00F543A6"/>
    <w:rsid w:val="00F5594E"/>
    <w:rsid w:val="00F56121"/>
    <w:rsid w:val="00F56709"/>
    <w:rsid w:val="00F56C02"/>
    <w:rsid w:val="00F57024"/>
    <w:rsid w:val="00F57606"/>
    <w:rsid w:val="00F579DF"/>
    <w:rsid w:val="00F62D4A"/>
    <w:rsid w:val="00F65E3B"/>
    <w:rsid w:val="00F66D48"/>
    <w:rsid w:val="00F702E5"/>
    <w:rsid w:val="00F70CB1"/>
    <w:rsid w:val="00F715FD"/>
    <w:rsid w:val="00F716B0"/>
    <w:rsid w:val="00F73400"/>
    <w:rsid w:val="00F73644"/>
    <w:rsid w:val="00F73C56"/>
    <w:rsid w:val="00F748C0"/>
    <w:rsid w:val="00F7568F"/>
    <w:rsid w:val="00F758BF"/>
    <w:rsid w:val="00F75D17"/>
    <w:rsid w:val="00F76958"/>
    <w:rsid w:val="00F77032"/>
    <w:rsid w:val="00F80CFA"/>
    <w:rsid w:val="00F80FA9"/>
    <w:rsid w:val="00F81F86"/>
    <w:rsid w:val="00F8236B"/>
    <w:rsid w:val="00F83181"/>
    <w:rsid w:val="00F854A4"/>
    <w:rsid w:val="00F85539"/>
    <w:rsid w:val="00F856D4"/>
    <w:rsid w:val="00F8581D"/>
    <w:rsid w:val="00F8768D"/>
    <w:rsid w:val="00F90359"/>
    <w:rsid w:val="00F91721"/>
    <w:rsid w:val="00F937B2"/>
    <w:rsid w:val="00F93B4F"/>
    <w:rsid w:val="00F94117"/>
    <w:rsid w:val="00F94521"/>
    <w:rsid w:val="00F9528D"/>
    <w:rsid w:val="00F95FA7"/>
    <w:rsid w:val="00F96C97"/>
    <w:rsid w:val="00FA0E7D"/>
    <w:rsid w:val="00FA11AC"/>
    <w:rsid w:val="00FA12CA"/>
    <w:rsid w:val="00FA184D"/>
    <w:rsid w:val="00FA20D1"/>
    <w:rsid w:val="00FA2471"/>
    <w:rsid w:val="00FA2591"/>
    <w:rsid w:val="00FA2B1C"/>
    <w:rsid w:val="00FA2E12"/>
    <w:rsid w:val="00FA30E8"/>
    <w:rsid w:val="00FA34EA"/>
    <w:rsid w:val="00FA398F"/>
    <w:rsid w:val="00FA43E1"/>
    <w:rsid w:val="00FA4892"/>
    <w:rsid w:val="00FA5556"/>
    <w:rsid w:val="00FA5F39"/>
    <w:rsid w:val="00FA6B5A"/>
    <w:rsid w:val="00FA6CF4"/>
    <w:rsid w:val="00FA7DD2"/>
    <w:rsid w:val="00FB12A9"/>
    <w:rsid w:val="00FB1CE0"/>
    <w:rsid w:val="00FB2A0A"/>
    <w:rsid w:val="00FB59D8"/>
    <w:rsid w:val="00FB6C75"/>
    <w:rsid w:val="00FC009A"/>
    <w:rsid w:val="00FC0369"/>
    <w:rsid w:val="00FC04E3"/>
    <w:rsid w:val="00FC079A"/>
    <w:rsid w:val="00FC0BD7"/>
    <w:rsid w:val="00FC1112"/>
    <w:rsid w:val="00FC209F"/>
    <w:rsid w:val="00FC3D1D"/>
    <w:rsid w:val="00FC4460"/>
    <w:rsid w:val="00FC47FD"/>
    <w:rsid w:val="00FC48EF"/>
    <w:rsid w:val="00FC4F03"/>
    <w:rsid w:val="00FC5CEE"/>
    <w:rsid w:val="00FD0113"/>
    <w:rsid w:val="00FD1D9A"/>
    <w:rsid w:val="00FD20EB"/>
    <w:rsid w:val="00FD21C6"/>
    <w:rsid w:val="00FD2DE8"/>
    <w:rsid w:val="00FD2F3E"/>
    <w:rsid w:val="00FD3CB7"/>
    <w:rsid w:val="00FD465E"/>
    <w:rsid w:val="00FD4E64"/>
    <w:rsid w:val="00FD50EC"/>
    <w:rsid w:val="00FD6008"/>
    <w:rsid w:val="00FD6E9C"/>
    <w:rsid w:val="00FD71B7"/>
    <w:rsid w:val="00FE2B10"/>
    <w:rsid w:val="00FE418D"/>
    <w:rsid w:val="00FE5837"/>
    <w:rsid w:val="00FE618D"/>
    <w:rsid w:val="00FE739D"/>
    <w:rsid w:val="00FF014F"/>
    <w:rsid w:val="00FF15BF"/>
    <w:rsid w:val="00FF1F59"/>
    <w:rsid w:val="00FF255F"/>
    <w:rsid w:val="00FF29B9"/>
    <w:rsid w:val="00FF30B9"/>
    <w:rsid w:val="00FF33BD"/>
    <w:rsid w:val="00FF527B"/>
    <w:rsid w:val="00FF5F52"/>
    <w:rsid w:val="01302EDA"/>
    <w:rsid w:val="01A544B3"/>
    <w:rsid w:val="01C631C8"/>
    <w:rsid w:val="024C3094"/>
    <w:rsid w:val="047B57F7"/>
    <w:rsid w:val="04B907F2"/>
    <w:rsid w:val="054845F4"/>
    <w:rsid w:val="05A8465E"/>
    <w:rsid w:val="05E35D4E"/>
    <w:rsid w:val="06115A72"/>
    <w:rsid w:val="069E76DF"/>
    <w:rsid w:val="06A34AC8"/>
    <w:rsid w:val="06E13BCA"/>
    <w:rsid w:val="0774295E"/>
    <w:rsid w:val="092665C8"/>
    <w:rsid w:val="09FF4E1C"/>
    <w:rsid w:val="0A410B1E"/>
    <w:rsid w:val="0B097861"/>
    <w:rsid w:val="0B130CF8"/>
    <w:rsid w:val="0B955598"/>
    <w:rsid w:val="0BA635F1"/>
    <w:rsid w:val="0DD7338A"/>
    <w:rsid w:val="0E016F45"/>
    <w:rsid w:val="0E554C8F"/>
    <w:rsid w:val="10985211"/>
    <w:rsid w:val="10B64D47"/>
    <w:rsid w:val="11C26C17"/>
    <w:rsid w:val="11D74C5F"/>
    <w:rsid w:val="1266020D"/>
    <w:rsid w:val="12BF7BDF"/>
    <w:rsid w:val="13333927"/>
    <w:rsid w:val="137F7A39"/>
    <w:rsid w:val="13CF6FE1"/>
    <w:rsid w:val="14067033"/>
    <w:rsid w:val="14233D84"/>
    <w:rsid w:val="1452025C"/>
    <w:rsid w:val="14A020A4"/>
    <w:rsid w:val="14DC208E"/>
    <w:rsid w:val="14EA6B15"/>
    <w:rsid w:val="15734826"/>
    <w:rsid w:val="160D227B"/>
    <w:rsid w:val="168E4A11"/>
    <w:rsid w:val="16EB6122"/>
    <w:rsid w:val="17626C76"/>
    <w:rsid w:val="18D536B7"/>
    <w:rsid w:val="18E02B59"/>
    <w:rsid w:val="1901397F"/>
    <w:rsid w:val="19636CD6"/>
    <w:rsid w:val="197242BE"/>
    <w:rsid w:val="19883764"/>
    <w:rsid w:val="19A3127C"/>
    <w:rsid w:val="19E34F58"/>
    <w:rsid w:val="1A0C1F1F"/>
    <w:rsid w:val="1A534654"/>
    <w:rsid w:val="1AA933C8"/>
    <w:rsid w:val="1AB81FF4"/>
    <w:rsid w:val="1ADA0670"/>
    <w:rsid w:val="1B4D0131"/>
    <w:rsid w:val="1B8F65AD"/>
    <w:rsid w:val="1B9B5F28"/>
    <w:rsid w:val="1C7B60E4"/>
    <w:rsid w:val="1CE2139F"/>
    <w:rsid w:val="1D3C48BF"/>
    <w:rsid w:val="1D5D053C"/>
    <w:rsid w:val="1D7F350F"/>
    <w:rsid w:val="1E4B08AA"/>
    <w:rsid w:val="1E5D7B69"/>
    <w:rsid w:val="1F480519"/>
    <w:rsid w:val="1F707707"/>
    <w:rsid w:val="1F7227B6"/>
    <w:rsid w:val="1FF863B3"/>
    <w:rsid w:val="201E00BB"/>
    <w:rsid w:val="218A03F7"/>
    <w:rsid w:val="21D84004"/>
    <w:rsid w:val="22DC73DB"/>
    <w:rsid w:val="2305244D"/>
    <w:rsid w:val="23066A9B"/>
    <w:rsid w:val="23F72574"/>
    <w:rsid w:val="2502326C"/>
    <w:rsid w:val="251B51B3"/>
    <w:rsid w:val="256A4F48"/>
    <w:rsid w:val="25ED258F"/>
    <w:rsid w:val="26CB4397"/>
    <w:rsid w:val="27673E35"/>
    <w:rsid w:val="281F73A0"/>
    <w:rsid w:val="29837813"/>
    <w:rsid w:val="29DC5E69"/>
    <w:rsid w:val="2AE309C0"/>
    <w:rsid w:val="2B110340"/>
    <w:rsid w:val="2B260AD1"/>
    <w:rsid w:val="2B45623B"/>
    <w:rsid w:val="2B7B3A0B"/>
    <w:rsid w:val="2BAB4339"/>
    <w:rsid w:val="2C1E55D4"/>
    <w:rsid w:val="2C73081C"/>
    <w:rsid w:val="2D54076B"/>
    <w:rsid w:val="2D7074BC"/>
    <w:rsid w:val="2DBD0F67"/>
    <w:rsid w:val="2DCB0010"/>
    <w:rsid w:val="2DF919BD"/>
    <w:rsid w:val="2F0059D4"/>
    <w:rsid w:val="2F48480E"/>
    <w:rsid w:val="30466CDD"/>
    <w:rsid w:val="307D1CBB"/>
    <w:rsid w:val="31AD6A85"/>
    <w:rsid w:val="31B00187"/>
    <w:rsid w:val="32004D7B"/>
    <w:rsid w:val="325E156A"/>
    <w:rsid w:val="32854CEB"/>
    <w:rsid w:val="334D1BEF"/>
    <w:rsid w:val="34827546"/>
    <w:rsid w:val="35011425"/>
    <w:rsid w:val="35362A39"/>
    <w:rsid w:val="35B77D36"/>
    <w:rsid w:val="35B86202"/>
    <w:rsid w:val="36407B23"/>
    <w:rsid w:val="367B35A2"/>
    <w:rsid w:val="36F54580"/>
    <w:rsid w:val="37422167"/>
    <w:rsid w:val="376877CE"/>
    <w:rsid w:val="38777411"/>
    <w:rsid w:val="39665A43"/>
    <w:rsid w:val="3A2573D5"/>
    <w:rsid w:val="3A744F1A"/>
    <w:rsid w:val="3AF87B88"/>
    <w:rsid w:val="3B704534"/>
    <w:rsid w:val="3BAD5399"/>
    <w:rsid w:val="3BC8246A"/>
    <w:rsid w:val="3BE32897"/>
    <w:rsid w:val="3C5152D2"/>
    <w:rsid w:val="3CF25DB6"/>
    <w:rsid w:val="3D1C4922"/>
    <w:rsid w:val="3DC72B51"/>
    <w:rsid w:val="3DF91942"/>
    <w:rsid w:val="3E49010A"/>
    <w:rsid w:val="3E894B04"/>
    <w:rsid w:val="3EB3037C"/>
    <w:rsid w:val="3EC30088"/>
    <w:rsid w:val="3F2C03C4"/>
    <w:rsid w:val="40697C3E"/>
    <w:rsid w:val="411F26E4"/>
    <w:rsid w:val="41232723"/>
    <w:rsid w:val="418A283B"/>
    <w:rsid w:val="41F5745E"/>
    <w:rsid w:val="425E1A31"/>
    <w:rsid w:val="42F72E19"/>
    <w:rsid w:val="44385BD9"/>
    <w:rsid w:val="44396DFC"/>
    <w:rsid w:val="4444147E"/>
    <w:rsid w:val="44957FD0"/>
    <w:rsid w:val="45252F0E"/>
    <w:rsid w:val="4570664E"/>
    <w:rsid w:val="45B9392A"/>
    <w:rsid w:val="46221D58"/>
    <w:rsid w:val="469B572B"/>
    <w:rsid w:val="487E5009"/>
    <w:rsid w:val="4953044C"/>
    <w:rsid w:val="4A0C54F3"/>
    <w:rsid w:val="4B33091D"/>
    <w:rsid w:val="4C3A77DC"/>
    <w:rsid w:val="4C7F0B43"/>
    <w:rsid w:val="4CA010CC"/>
    <w:rsid w:val="4CEB408D"/>
    <w:rsid w:val="4D2821F3"/>
    <w:rsid w:val="4D8B7CF9"/>
    <w:rsid w:val="4E324B0F"/>
    <w:rsid w:val="4E6879C7"/>
    <w:rsid w:val="4FB96E6B"/>
    <w:rsid w:val="508A5EAA"/>
    <w:rsid w:val="509D3D0B"/>
    <w:rsid w:val="5195661D"/>
    <w:rsid w:val="51AD3683"/>
    <w:rsid w:val="521126D0"/>
    <w:rsid w:val="52B0678D"/>
    <w:rsid w:val="53540615"/>
    <w:rsid w:val="53AD4753"/>
    <w:rsid w:val="542B03F1"/>
    <w:rsid w:val="546E58EE"/>
    <w:rsid w:val="5511700B"/>
    <w:rsid w:val="55897418"/>
    <w:rsid w:val="55C237FD"/>
    <w:rsid w:val="56050C0A"/>
    <w:rsid w:val="56296601"/>
    <w:rsid w:val="571F17DC"/>
    <w:rsid w:val="57353B3E"/>
    <w:rsid w:val="57A75C35"/>
    <w:rsid w:val="580C61BB"/>
    <w:rsid w:val="58564D34"/>
    <w:rsid w:val="58626062"/>
    <w:rsid w:val="58E1414F"/>
    <w:rsid w:val="5921145C"/>
    <w:rsid w:val="59BB383D"/>
    <w:rsid w:val="59BC5E43"/>
    <w:rsid w:val="5A2F1CE1"/>
    <w:rsid w:val="5B8279A4"/>
    <w:rsid w:val="5C516CB1"/>
    <w:rsid w:val="5CBC5AAE"/>
    <w:rsid w:val="5D3A65A9"/>
    <w:rsid w:val="5D631B96"/>
    <w:rsid w:val="5DBA6CE1"/>
    <w:rsid w:val="5DFD2098"/>
    <w:rsid w:val="5E8D6BE9"/>
    <w:rsid w:val="5F850FDE"/>
    <w:rsid w:val="5FDD61DE"/>
    <w:rsid w:val="60512FA1"/>
    <w:rsid w:val="6051398B"/>
    <w:rsid w:val="608B57CD"/>
    <w:rsid w:val="610963AB"/>
    <w:rsid w:val="6123179A"/>
    <w:rsid w:val="61DA764C"/>
    <w:rsid w:val="63BC63CA"/>
    <w:rsid w:val="65096757"/>
    <w:rsid w:val="658B6402"/>
    <w:rsid w:val="65CF1724"/>
    <w:rsid w:val="667E2F0C"/>
    <w:rsid w:val="66E11DF1"/>
    <w:rsid w:val="674D68F4"/>
    <w:rsid w:val="67B71C55"/>
    <w:rsid w:val="67D272EF"/>
    <w:rsid w:val="68634573"/>
    <w:rsid w:val="687F5D34"/>
    <w:rsid w:val="68BA6257"/>
    <w:rsid w:val="692621DF"/>
    <w:rsid w:val="69313677"/>
    <w:rsid w:val="6934689A"/>
    <w:rsid w:val="69894310"/>
    <w:rsid w:val="69E5416A"/>
    <w:rsid w:val="6A0A1C60"/>
    <w:rsid w:val="6A6A2750"/>
    <w:rsid w:val="6ABE50E7"/>
    <w:rsid w:val="6AC10733"/>
    <w:rsid w:val="6B913297"/>
    <w:rsid w:val="6C423AF6"/>
    <w:rsid w:val="6DBF67F4"/>
    <w:rsid w:val="6E13574A"/>
    <w:rsid w:val="6E3F32DE"/>
    <w:rsid w:val="6ECF2A63"/>
    <w:rsid w:val="6F8F716E"/>
    <w:rsid w:val="701A6959"/>
    <w:rsid w:val="70B14DA6"/>
    <w:rsid w:val="70DC7BDE"/>
    <w:rsid w:val="71E369ED"/>
    <w:rsid w:val="72427F46"/>
    <w:rsid w:val="74280679"/>
    <w:rsid w:val="74356101"/>
    <w:rsid w:val="74A8407D"/>
    <w:rsid w:val="74A94712"/>
    <w:rsid w:val="7531242D"/>
    <w:rsid w:val="758455A2"/>
    <w:rsid w:val="75C51A03"/>
    <w:rsid w:val="76D93735"/>
    <w:rsid w:val="76F65C09"/>
    <w:rsid w:val="76FB4FCD"/>
    <w:rsid w:val="775C0B7C"/>
    <w:rsid w:val="78911745"/>
    <w:rsid w:val="78C0090D"/>
    <w:rsid w:val="78D01FD9"/>
    <w:rsid w:val="78FE6812"/>
    <w:rsid w:val="79D21E7B"/>
    <w:rsid w:val="7ABB519F"/>
    <w:rsid w:val="7ACF03E3"/>
    <w:rsid w:val="7AD83546"/>
    <w:rsid w:val="7B0D09C2"/>
    <w:rsid w:val="7B7B4216"/>
    <w:rsid w:val="7B896EFB"/>
    <w:rsid w:val="7BED6548"/>
    <w:rsid w:val="7C041BF6"/>
    <w:rsid w:val="7C251043"/>
    <w:rsid w:val="7C6158AC"/>
    <w:rsid w:val="7CF05159"/>
    <w:rsid w:val="7E2239B2"/>
    <w:rsid w:val="7E4305F2"/>
    <w:rsid w:val="7E651986"/>
    <w:rsid w:val="7EC76C48"/>
    <w:rsid w:val="7EF32978"/>
    <w:rsid w:val="7F1135E0"/>
    <w:rsid w:val="7F4C5E11"/>
    <w:rsid w:val="7F5B7424"/>
    <w:rsid w:val="7FAE0826"/>
    <w:rsid w:val="7FAF361A"/>
    <w:rsid w:val="7FD74AA9"/>
    <w:rsid w:val="7FE5264D"/>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2"/>
    <w:qFormat/>
    <w:uiPriority w:val="0"/>
    <w:pPr>
      <w:keepNext/>
      <w:tabs>
        <w:tab w:val="left" w:pos="1260"/>
      </w:tabs>
      <w:ind w:left="1260" w:hanging="720"/>
      <w:outlineLvl w:val="1"/>
    </w:pPr>
    <w:rPr>
      <w:b/>
      <w:bCs/>
    </w:rPr>
  </w:style>
  <w:style w:type="paragraph" w:styleId="6">
    <w:name w:val="heading 3"/>
    <w:basedOn w:val="1"/>
    <w:next w:val="1"/>
    <w:link w:val="103"/>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104"/>
    <w:qFormat/>
    <w:uiPriority w:val="0"/>
    <w:pPr>
      <w:keepNext/>
      <w:numPr>
        <w:ilvl w:val="3"/>
        <w:numId w:val="1"/>
      </w:numPr>
      <w:tabs>
        <w:tab w:val="left" w:pos="1260"/>
      </w:tabs>
      <w:spacing w:line="360" w:lineRule="auto"/>
      <w:outlineLvl w:val="3"/>
    </w:pPr>
    <w:rPr>
      <w:b/>
      <w:bCs/>
      <w:sz w:val="24"/>
    </w:rPr>
  </w:style>
  <w:style w:type="paragraph" w:styleId="8">
    <w:name w:val="heading 5"/>
    <w:basedOn w:val="1"/>
    <w:next w:val="1"/>
    <w:link w:val="105"/>
    <w:qFormat/>
    <w:uiPriority w:val="0"/>
    <w:pPr>
      <w:keepNext/>
      <w:numPr>
        <w:ilvl w:val="1"/>
        <w:numId w:val="2"/>
      </w:numPr>
      <w:tabs>
        <w:tab w:val="left" w:pos="1260"/>
      </w:tabs>
      <w:spacing w:line="360" w:lineRule="auto"/>
      <w:ind w:hanging="900"/>
      <w:outlineLvl w:val="4"/>
    </w:pPr>
    <w:rPr>
      <w:rFonts w:ascii="宋体" w:hAnsi="宋体"/>
      <w:b/>
      <w:bCs/>
      <w:sz w:val="24"/>
      <w:szCs w:val="20"/>
    </w:rPr>
  </w:style>
  <w:style w:type="paragraph" w:styleId="9">
    <w:name w:val="heading 6"/>
    <w:basedOn w:val="1"/>
    <w:next w:val="1"/>
    <w:link w:val="106"/>
    <w:qFormat/>
    <w:uiPriority w:val="0"/>
    <w:pPr>
      <w:keepNext/>
      <w:keepLines/>
      <w:spacing w:before="240" w:after="64" w:line="320" w:lineRule="auto"/>
      <w:outlineLvl w:val="5"/>
    </w:pPr>
    <w:rPr>
      <w:rFonts w:ascii="Cambria" w:hAnsi="Cambria"/>
      <w:b/>
      <w:bCs/>
      <w:kern w:val="0"/>
      <w:sz w:val="24"/>
    </w:rPr>
  </w:style>
  <w:style w:type="paragraph" w:styleId="10">
    <w:name w:val="heading 7"/>
    <w:basedOn w:val="1"/>
    <w:next w:val="1"/>
    <w:link w:val="107"/>
    <w:qFormat/>
    <w:uiPriority w:val="0"/>
    <w:pPr>
      <w:keepNext/>
      <w:keepLines/>
      <w:spacing w:before="240" w:after="64" w:line="320" w:lineRule="auto"/>
      <w:outlineLvl w:val="6"/>
    </w:pPr>
    <w:rPr>
      <w:b/>
      <w:bCs/>
      <w:kern w:val="0"/>
      <w:sz w:val="24"/>
    </w:rPr>
  </w:style>
  <w:style w:type="paragraph" w:styleId="11">
    <w:name w:val="heading 8"/>
    <w:basedOn w:val="1"/>
    <w:next w:val="1"/>
    <w:link w:val="108"/>
    <w:qFormat/>
    <w:uiPriority w:val="0"/>
    <w:pPr>
      <w:keepNext/>
      <w:keepLines/>
      <w:spacing w:before="240" w:after="64" w:line="320" w:lineRule="auto"/>
      <w:outlineLvl w:val="7"/>
    </w:pPr>
    <w:rPr>
      <w:rFonts w:ascii="Cambria" w:hAnsi="Cambria"/>
      <w:kern w:val="0"/>
      <w:sz w:val="24"/>
    </w:rPr>
  </w:style>
  <w:style w:type="paragraph" w:styleId="12">
    <w:name w:val="heading 9"/>
    <w:basedOn w:val="1"/>
    <w:next w:val="1"/>
    <w:link w:val="109"/>
    <w:qFormat/>
    <w:uiPriority w:val="0"/>
    <w:pPr>
      <w:keepNext/>
      <w:keepLines/>
      <w:spacing w:before="240" w:after="64" w:line="320" w:lineRule="auto"/>
      <w:outlineLvl w:val="8"/>
    </w:pPr>
    <w:rPr>
      <w:rFonts w:ascii="Cambria" w:hAnsi="Cambria"/>
      <w:kern w:val="0"/>
      <w:sz w:val="20"/>
      <w:szCs w:val="21"/>
    </w:rPr>
  </w:style>
  <w:style w:type="character" w:default="1" w:styleId="93">
    <w:name w:val="Default Paragraph Font"/>
    <w:unhideWhenUsed/>
    <w:qFormat/>
    <w:uiPriority w:val="1"/>
  </w:style>
  <w:style w:type="table" w:default="1" w:styleId="8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1"/>
    <w:qFormat/>
    <w:uiPriority w:val="0"/>
    <w:pPr>
      <w:numPr>
        <w:ilvl w:val="0"/>
        <w:numId w:val="3"/>
      </w:numPr>
      <w:spacing w:line="360" w:lineRule="auto"/>
    </w:pPr>
    <w:rPr>
      <w:rFonts w:eastAsia="仿宋_GB2312"/>
    </w:rPr>
  </w:style>
  <w:style w:type="paragraph" w:styleId="3">
    <w:name w:val="macro"/>
    <w:link w:val="10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contextualSpacing/>
    </w:pPr>
  </w:style>
  <w:style w:type="paragraph" w:styleId="14">
    <w:name w:val="toc 7"/>
    <w:basedOn w:val="1"/>
    <w:next w:val="1"/>
    <w:qFormat/>
    <w:uiPriority w:val="39"/>
    <w:pPr>
      <w:ind w:left="2520" w:leftChars="1200"/>
    </w:pPr>
  </w:style>
  <w:style w:type="paragraph" w:styleId="15">
    <w:name w:val="List Number 2"/>
    <w:basedOn w:val="1"/>
    <w:qFormat/>
    <w:uiPriority w:val="0"/>
    <w:pPr>
      <w:tabs>
        <w:tab w:val="left" w:pos="1260"/>
      </w:tabs>
      <w:ind w:left="1260" w:hanging="720"/>
      <w:contextualSpacing/>
    </w:pPr>
  </w:style>
  <w:style w:type="paragraph" w:styleId="16">
    <w:name w:val="table of authorities"/>
    <w:basedOn w:val="1"/>
    <w:next w:val="1"/>
    <w:qFormat/>
    <w:uiPriority w:val="0"/>
    <w:pPr>
      <w:ind w:left="420" w:leftChars="200"/>
    </w:pPr>
  </w:style>
  <w:style w:type="paragraph" w:styleId="17">
    <w:name w:val="Note Heading"/>
    <w:basedOn w:val="1"/>
    <w:next w:val="1"/>
    <w:link w:val="110"/>
    <w:qFormat/>
    <w:uiPriority w:val="0"/>
    <w:pPr>
      <w:jc w:val="center"/>
    </w:pPr>
    <w:rPr>
      <w:kern w:val="0"/>
      <w:sz w:val="20"/>
    </w:rPr>
  </w:style>
  <w:style w:type="paragraph" w:styleId="18">
    <w:name w:val="List Bullet 4"/>
    <w:basedOn w:val="1"/>
    <w:qFormat/>
    <w:uiPriority w:val="0"/>
    <w:pPr>
      <w:tabs>
        <w:tab w:val="left" w:pos="1260"/>
      </w:tabs>
      <w:ind w:left="1260" w:hanging="720"/>
      <w:contextualSpacing/>
    </w:pPr>
  </w:style>
  <w:style w:type="paragraph" w:styleId="19">
    <w:name w:val="index 8"/>
    <w:basedOn w:val="1"/>
    <w:next w:val="1"/>
    <w:qFormat/>
    <w:uiPriority w:val="0"/>
    <w:pPr>
      <w:ind w:left="1400" w:leftChars="1400"/>
    </w:pPr>
  </w:style>
  <w:style w:type="paragraph" w:styleId="20">
    <w:name w:val="E-mail Signature"/>
    <w:basedOn w:val="1"/>
    <w:link w:val="111"/>
    <w:qFormat/>
    <w:uiPriority w:val="0"/>
    <w:rPr>
      <w:kern w:val="0"/>
      <w:sz w:val="20"/>
    </w:rPr>
  </w:style>
  <w:style w:type="paragraph" w:styleId="21">
    <w:name w:val="List Number"/>
    <w:basedOn w:val="1"/>
    <w:qFormat/>
    <w:uiPriority w:val="0"/>
    <w:pPr>
      <w:tabs>
        <w:tab w:val="left" w:pos="1260"/>
      </w:tabs>
      <w:ind w:left="1260" w:hanging="720"/>
      <w:contextualSpacing/>
    </w:pPr>
  </w:style>
  <w:style w:type="paragraph" w:styleId="22">
    <w:name w:val="Normal Indent"/>
    <w:basedOn w:val="1"/>
    <w:link w:val="112"/>
    <w:qFormat/>
    <w:uiPriority w:val="0"/>
    <w:pPr>
      <w:ind w:firstLine="420" w:firstLineChars="200"/>
    </w:p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1260"/>
      </w:tabs>
      <w:ind w:left="1260" w:hanging="720"/>
      <w:contextualSpacing/>
    </w:p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13"/>
    <w:qFormat/>
    <w:uiPriority w:val="0"/>
    <w:rPr>
      <w:rFonts w:ascii="宋体"/>
      <w:kern w:val="0"/>
      <w:sz w:val="18"/>
      <w:szCs w:val="18"/>
    </w:rPr>
  </w:style>
  <w:style w:type="paragraph" w:styleId="28">
    <w:name w:val="toa heading"/>
    <w:basedOn w:val="1"/>
    <w:next w:val="1"/>
    <w:qFormat/>
    <w:uiPriority w:val="0"/>
    <w:pPr>
      <w:spacing w:before="120"/>
    </w:pPr>
    <w:rPr>
      <w:rFonts w:ascii="Cambria" w:hAnsi="Cambria"/>
      <w:sz w:val="24"/>
    </w:rPr>
  </w:style>
  <w:style w:type="paragraph" w:styleId="29">
    <w:name w:val="annotation text"/>
    <w:basedOn w:val="1"/>
    <w:link w:val="114"/>
    <w:unhideWhenUsed/>
    <w:qFormat/>
    <w:uiPriority w:val="99"/>
    <w:pPr>
      <w:jc w:val="left"/>
    </w:pPr>
    <w:rPr>
      <w:kern w:val="0"/>
      <w:sz w:val="20"/>
    </w:rPr>
  </w:style>
  <w:style w:type="paragraph" w:styleId="30">
    <w:name w:val="index 6"/>
    <w:basedOn w:val="1"/>
    <w:next w:val="1"/>
    <w:qFormat/>
    <w:uiPriority w:val="0"/>
    <w:pPr>
      <w:ind w:left="1000" w:leftChars="1000"/>
    </w:pPr>
  </w:style>
  <w:style w:type="paragraph" w:styleId="31">
    <w:name w:val="Salutation"/>
    <w:basedOn w:val="1"/>
    <w:next w:val="1"/>
    <w:link w:val="115"/>
    <w:qFormat/>
    <w:uiPriority w:val="0"/>
    <w:rPr>
      <w:kern w:val="0"/>
      <w:sz w:val="20"/>
    </w:rPr>
  </w:style>
  <w:style w:type="paragraph" w:styleId="32">
    <w:name w:val="Body Text 3"/>
    <w:basedOn w:val="1"/>
    <w:link w:val="116"/>
    <w:qFormat/>
    <w:uiPriority w:val="0"/>
    <w:pPr>
      <w:spacing w:after="120"/>
    </w:pPr>
    <w:rPr>
      <w:kern w:val="0"/>
      <w:sz w:val="16"/>
      <w:szCs w:val="16"/>
    </w:rPr>
  </w:style>
  <w:style w:type="paragraph" w:styleId="33">
    <w:name w:val="Closing"/>
    <w:basedOn w:val="1"/>
    <w:link w:val="117"/>
    <w:qFormat/>
    <w:uiPriority w:val="0"/>
    <w:pPr>
      <w:ind w:left="100" w:leftChars="2100"/>
    </w:pPr>
    <w:rPr>
      <w:kern w:val="0"/>
      <w:sz w:val="20"/>
    </w:rPr>
  </w:style>
  <w:style w:type="paragraph" w:styleId="34">
    <w:name w:val="List Bullet 3"/>
    <w:basedOn w:val="1"/>
    <w:qFormat/>
    <w:uiPriority w:val="0"/>
    <w:pPr>
      <w:tabs>
        <w:tab w:val="left" w:pos="1260"/>
      </w:tabs>
      <w:ind w:left="1260" w:hanging="720"/>
      <w:contextualSpacing/>
    </w:pPr>
  </w:style>
  <w:style w:type="paragraph" w:styleId="35">
    <w:name w:val="Body Text"/>
    <w:basedOn w:val="1"/>
    <w:link w:val="118"/>
    <w:unhideWhenUsed/>
    <w:qFormat/>
    <w:uiPriority w:val="99"/>
    <w:pPr>
      <w:spacing w:after="120"/>
    </w:pPr>
    <w:rPr>
      <w:kern w:val="0"/>
      <w:sz w:val="20"/>
    </w:rPr>
  </w:style>
  <w:style w:type="paragraph" w:styleId="36">
    <w:name w:val="Body Text Indent"/>
    <w:basedOn w:val="1"/>
    <w:link w:val="119"/>
    <w:qFormat/>
    <w:uiPriority w:val="0"/>
    <w:pPr>
      <w:ind w:left="479" w:leftChars="228"/>
    </w:pPr>
    <w:rPr>
      <w:rFonts w:ascii="仿宋_GB2312" w:eastAsia="仿宋_GB2312"/>
      <w:kern w:val="0"/>
      <w:sz w:val="24"/>
    </w:rPr>
  </w:style>
  <w:style w:type="paragraph" w:styleId="37">
    <w:name w:val="List Number 3"/>
    <w:basedOn w:val="1"/>
    <w:qFormat/>
    <w:uiPriority w:val="0"/>
    <w:pPr>
      <w:tabs>
        <w:tab w:val="left" w:pos="1260"/>
      </w:tabs>
      <w:ind w:left="1260" w:hanging="720"/>
      <w:contextualSpacing/>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contextualSpacing/>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1260"/>
      </w:tabs>
      <w:ind w:left="1260" w:hanging="720"/>
      <w:contextualSpacing/>
    </w:pPr>
  </w:style>
  <w:style w:type="paragraph" w:styleId="42">
    <w:name w:val="HTML Address"/>
    <w:basedOn w:val="1"/>
    <w:link w:val="120"/>
    <w:qFormat/>
    <w:uiPriority w:val="0"/>
    <w:rPr>
      <w:i/>
      <w:iCs/>
      <w:kern w:val="0"/>
      <w:sz w:val="20"/>
    </w:rPr>
  </w:style>
  <w:style w:type="paragraph" w:styleId="43">
    <w:name w:val="index 4"/>
    <w:basedOn w:val="1"/>
    <w:next w:val="1"/>
    <w:qFormat/>
    <w:uiPriority w:val="0"/>
    <w:pPr>
      <w:ind w:left="600" w:leftChars="600"/>
    </w:pPr>
  </w:style>
  <w:style w:type="paragraph" w:styleId="44">
    <w:name w:val="toc 5"/>
    <w:basedOn w:val="1"/>
    <w:next w:val="1"/>
    <w:qFormat/>
    <w:uiPriority w:val="39"/>
    <w:pPr>
      <w:ind w:left="1680" w:leftChars="800"/>
    </w:pPr>
  </w:style>
  <w:style w:type="paragraph" w:styleId="45">
    <w:name w:val="toc 3"/>
    <w:basedOn w:val="1"/>
    <w:next w:val="1"/>
    <w:qFormat/>
    <w:uiPriority w:val="39"/>
    <w:pPr>
      <w:ind w:left="840" w:leftChars="400"/>
    </w:pPr>
  </w:style>
  <w:style w:type="paragraph" w:styleId="46">
    <w:name w:val="Plain Text"/>
    <w:basedOn w:val="1"/>
    <w:link w:val="121"/>
    <w:qFormat/>
    <w:uiPriority w:val="0"/>
    <w:rPr>
      <w:rFonts w:ascii="宋体" w:hAnsi="Courier New"/>
      <w:kern w:val="0"/>
      <w:sz w:val="20"/>
      <w:szCs w:val="21"/>
    </w:rPr>
  </w:style>
  <w:style w:type="paragraph" w:styleId="47">
    <w:name w:val="List Bullet 5"/>
    <w:basedOn w:val="1"/>
    <w:qFormat/>
    <w:uiPriority w:val="0"/>
    <w:pPr>
      <w:tabs>
        <w:tab w:val="left" w:pos="1260"/>
      </w:tabs>
      <w:ind w:left="1260" w:hanging="720"/>
      <w:contextualSpacing/>
    </w:pPr>
  </w:style>
  <w:style w:type="paragraph" w:styleId="48">
    <w:name w:val="List Number 4"/>
    <w:basedOn w:val="1"/>
    <w:qFormat/>
    <w:uiPriority w:val="0"/>
    <w:pPr>
      <w:tabs>
        <w:tab w:val="left" w:pos="1260"/>
      </w:tabs>
      <w:ind w:left="1260" w:hanging="720"/>
      <w:contextualSpacing/>
    </w:pPr>
  </w:style>
  <w:style w:type="paragraph" w:styleId="49">
    <w:name w:val="toc 8"/>
    <w:basedOn w:val="1"/>
    <w:next w:val="1"/>
    <w:qFormat/>
    <w:uiPriority w:val="39"/>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22"/>
    <w:qFormat/>
    <w:uiPriority w:val="0"/>
    <w:rPr>
      <w:rFonts w:eastAsia="楷体_GB2312"/>
      <w:kern w:val="0"/>
      <w:sz w:val="28"/>
      <w:szCs w:val="20"/>
    </w:rPr>
  </w:style>
  <w:style w:type="paragraph" w:styleId="52">
    <w:name w:val="Body Text Indent 2"/>
    <w:basedOn w:val="1"/>
    <w:link w:val="123"/>
    <w:qFormat/>
    <w:uiPriority w:val="0"/>
    <w:pPr>
      <w:spacing w:after="120" w:line="480" w:lineRule="auto"/>
      <w:ind w:left="420" w:leftChars="200"/>
    </w:pPr>
    <w:rPr>
      <w:kern w:val="0"/>
      <w:sz w:val="20"/>
    </w:rPr>
  </w:style>
  <w:style w:type="paragraph" w:styleId="53">
    <w:name w:val="endnote text"/>
    <w:basedOn w:val="1"/>
    <w:link w:val="124"/>
    <w:qFormat/>
    <w:uiPriority w:val="0"/>
    <w:pPr>
      <w:snapToGrid w:val="0"/>
      <w:jc w:val="left"/>
    </w:pPr>
    <w:rPr>
      <w:kern w:val="0"/>
      <w:sz w:val="20"/>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25"/>
    <w:qFormat/>
    <w:uiPriority w:val="0"/>
    <w:rPr>
      <w:kern w:val="0"/>
      <w:sz w:val="18"/>
      <w:szCs w:val="18"/>
    </w:rPr>
  </w:style>
  <w:style w:type="paragraph" w:styleId="56">
    <w:name w:val="footer"/>
    <w:basedOn w:val="1"/>
    <w:link w:val="126"/>
    <w:qFormat/>
    <w:uiPriority w:val="99"/>
    <w:pPr>
      <w:tabs>
        <w:tab w:val="center" w:pos="4153"/>
        <w:tab w:val="right" w:pos="8306"/>
      </w:tabs>
      <w:snapToGrid w:val="0"/>
      <w:jc w:val="left"/>
    </w:pPr>
    <w:rPr>
      <w:kern w:val="0"/>
      <w:sz w:val="18"/>
      <w:szCs w:val="18"/>
    </w:rPr>
  </w:style>
  <w:style w:type="paragraph" w:styleId="57">
    <w:name w:val="envelope return"/>
    <w:basedOn w:val="1"/>
    <w:qFormat/>
    <w:uiPriority w:val="0"/>
    <w:pPr>
      <w:snapToGrid w:val="0"/>
    </w:pPr>
    <w:rPr>
      <w:rFonts w:ascii="Cambria" w:hAnsi="Cambria"/>
    </w:rPr>
  </w:style>
  <w:style w:type="paragraph" w:styleId="58">
    <w:name w:val="header"/>
    <w:basedOn w:val="1"/>
    <w:link w:val="127"/>
    <w:qFormat/>
    <w:uiPriority w:val="0"/>
    <w:pPr>
      <w:pBdr>
        <w:bottom w:val="single" w:color="auto" w:sz="6" w:space="1"/>
      </w:pBdr>
      <w:tabs>
        <w:tab w:val="center" w:pos="4153"/>
        <w:tab w:val="right" w:pos="8306"/>
      </w:tabs>
      <w:snapToGrid w:val="0"/>
      <w:jc w:val="center"/>
    </w:pPr>
    <w:rPr>
      <w:kern w:val="0"/>
      <w:sz w:val="18"/>
      <w:szCs w:val="18"/>
    </w:rPr>
  </w:style>
  <w:style w:type="paragraph" w:styleId="59">
    <w:name w:val="Signature"/>
    <w:basedOn w:val="1"/>
    <w:link w:val="128"/>
    <w:qFormat/>
    <w:uiPriority w:val="0"/>
    <w:pPr>
      <w:ind w:left="100" w:leftChars="2100"/>
    </w:pPr>
    <w:rPr>
      <w:kern w:val="0"/>
      <w:sz w:val="20"/>
    </w:rPr>
  </w:style>
  <w:style w:type="paragraph" w:styleId="60">
    <w:name w:val="toc 1"/>
    <w:basedOn w:val="1"/>
    <w:next w:val="1"/>
    <w:qFormat/>
    <w:uiPriority w:val="39"/>
    <w:pPr>
      <w:adjustRightInd w:val="0"/>
      <w:snapToGrid w:val="0"/>
      <w:spacing w:line="312" w:lineRule="auto"/>
      <w:ind w:firstLine="480" w:firstLineChars="200"/>
    </w:pPr>
    <w:rPr>
      <w:rFonts w:ascii="仿宋_GB2312" w:hAnsi="华文中宋" w:eastAsia="仿宋_GB2312"/>
      <w:bCs/>
      <w:kern w:val="0"/>
      <w:sz w:val="24"/>
      <w:szCs w:val="20"/>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39"/>
    <w:pPr>
      <w:ind w:left="1260" w:leftChars="600"/>
    </w:pPr>
  </w:style>
  <w:style w:type="paragraph" w:styleId="63">
    <w:name w:val="index heading"/>
    <w:basedOn w:val="1"/>
    <w:next w:val="64"/>
    <w:qFormat/>
    <w:uiPriority w:val="0"/>
    <w:rPr>
      <w:rFonts w:ascii="Cambria" w:hAnsi="Cambria"/>
      <w:b/>
      <w:bCs/>
    </w:rPr>
  </w:style>
  <w:style w:type="paragraph" w:styleId="64">
    <w:name w:val="index 1"/>
    <w:basedOn w:val="1"/>
    <w:next w:val="1"/>
    <w:unhideWhenUsed/>
    <w:qFormat/>
    <w:uiPriority w:val="0"/>
  </w:style>
  <w:style w:type="paragraph" w:styleId="65">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numPr>
        <w:ilvl w:val="0"/>
        <w:numId w:val="2"/>
      </w:numPr>
      <w:contextualSpacing/>
    </w:pPr>
  </w:style>
  <w:style w:type="paragraph" w:styleId="67">
    <w:name w:val="List"/>
    <w:basedOn w:val="1"/>
    <w:qFormat/>
    <w:uiPriority w:val="0"/>
    <w:pPr>
      <w:ind w:left="200" w:hanging="200" w:hangingChars="200"/>
      <w:contextualSpacing/>
    </w:pPr>
  </w:style>
  <w:style w:type="paragraph" w:styleId="68">
    <w:name w:val="footnote text"/>
    <w:basedOn w:val="1"/>
    <w:link w:val="130"/>
    <w:qFormat/>
    <w:uiPriority w:val="0"/>
    <w:pPr>
      <w:snapToGrid w:val="0"/>
      <w:jc w:val="left"/>
    </w:pPr>
    <w:rPr>
      <w:kern w:val="0"/>
      <w:sz w:val="18"/>
      <w:szCs w:val="18"/>
    </w:rPr>
  </w:style>
  <w:style w:type="paragraph" w:styleId="69">
    <w:name w:val="toc 6"/>
    <w:basedOn w:val="1"/>
    <w:next w:val="1"/>
    <w:qFormat/>
    <w:uiPriority w:val="39"/>
    <w:pPr>
      <w:ind w:left="2100" w:leftChars="1000"/>
    </w:pPr>
  </w:style>
  <w:style w:type="paragraph" w:styleId="70">
    <w:name w:val="List 5"/>
    <w:basedOn w:val="1"/>
    <w:qFormat/>
    <w:uiPriority w:val="0"/>
    <w:pPr>
      <w:ind w:left="100" w:leftChars="800" w:hanging="200" w:hangingChars="200"/>
      <w:contextualSpacing/>
    </w:pPr>
  </w:style>
  <w:style w:type="paragraph" w:styleId="71">
    <w:name w:val="Body Text Indent 3"/>
    <w:basedOn w:val="1"/>
    <w:link w:val="131"/>
    <w:qFormat/>
    <w:uiPriority w:val="0"/>
    <w:pPr>
      <w:spacing w:line="360" w:lineRule="auto"/>
      <w:ind w:firstLine="840"/>
    </w:pPr>
    <w:rPr>
      <w:rFonts w:ascii="仿宋_GB2312" w:eastAsia="仿宋_GB2312"/>
      <w:kern w:val="0"/>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39"/>
    <w:pPr>
      <w:ind w:left="420" w:leftChars="200"/>
    </w:pPr>
  </w:style>
  <w:style w:type="paragraph" w:styleId="76">
    <w:name w:val="toc 9"/>
    <w:basedOn w:val="1"/>
    <w:next w:val="1"/>
    <w:qFormat/>
    <w:uiPriority w:val="39"/>
    <w:pPr>
      <w:ind w:left="3360" w:leftChars="1600"/>
    </w:pPr>
  </w:style>
  <w:style w:type="paragraph" w:styleId="77">
    <w:name w:val="Body Text 2"/>
    <w:basedOn w:val="1"/>
    <w:link w:val="132"/>
    <w:qFormat/>
    <w:uiPriority w:val="0"/>
    <w:pPr>
      <w:adjustRightInd w:val="0"/>
      <w:snapToGrid w:val="0"/>
    </w:pPr>
    <w:rPr>
      <w:rFonts w:ascii="仿宋_GB2312" w:eastAsia="仿宋_GB2312"/>
      <w:b/>
      <w:bCs/>
      <w:kern w:val="0"/>
      <w:sz w:val="28"/>
    </w:rPr>
  </w:style>
  <w:style w:type="paragraph" w:styleId="78">
    <w:name w:val="List 4"/>
    <w:basedOn w:val="1"/>
    <w:qFormat/>
    <w:uiPriority w:val="0"/>
    <w:pPr>
      <w:ind w:left="100" w:leftChars="600" w:hanging="200" w:hangingChars="200"/>
      <w:contextualSpacing/>
    </w:pPr>
  </w:style>
  <w:style w:type="paragraph" w:styleId="79">
    <w:name w:val="List Continue 2"/>
    <w:basedOn w:val="1"/>
    <w:qFormat/>
    <w:uiPriority w:val="0"/>
    <w:pPr>
      <w:spacing w:after="120"/>
      <w:ind w:left="840" w:leftChars="400"/>
      <w:contextualSpacing/>
    </w:pPr>
  </w:style>
  <w:style w:type="paragraph" w:styleId="80">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1">
    <w:name w:val="HTML Preformatted"/>
    <w:basedOn w:val="1"/>
    <w:link w:val="134"/>
    <w:qFormat/>
    <w:uiPriority w:val="0"/>
    <w:rPr>
      <w:rFonts w:ascii="Courier New" w:hAnsi="Courier New"/>
      <w:kern w:val="0"/>
      <w:sz w:val="20"/>
      <w:szCs w:val="20"/>
    </w:rPr>
  </w:style>
  <w:style w:type="paragraph" w:styleId="82">
    <w:name w:val="Normal (Web)"/>
    <w:basedOn w:val="1"/>
    <w:link w:val="135"/>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next w:val="1"/>
    <w:link w:val="136"/>
    <w:qFormat/>
    <w:uiPriority w:val="0"/>
    <w:pPr>
      <w:spacing w:before="240" w:after="60"/>
      <w:jc w:val="center"/>
      <w:outlineLvl w:val="0"/>
    </w:pPr>
    <w:rPr>
      <w:rFonts w:ascii="Cambria" w:hAnsi="Cambria"/>
      <w:b/>
      <w:bCs/>
      <w:kern w:val="0"/>
      <w:sz w:val="32"/>
      <w:szCs w:val="32"/>
    </w:rPr>
  </w:style>
  <w:style w:type="paragraph" w:styleId="86">
    <w:name w:val="annotation subject"/>
    <w:basedOn w:val="29"/>
    <w:next w:val="29"/>
    <w:link w:val="137"/>
    <w:qFormat/>
    <w:uiPriority w:val="0"/>
    <w:rPr>
      <w:b/>
      <w:bCs/>
    </w:rPr>
  </w:style>
  <w:style w:type="paragraph" w:styleId="87">
    <w:name w:val="Body Text First Indent"/>
    <w:basedOn w:val="35"/>
    <w:link w:val="138"/>
    <w:qFormat/>
    <w:uiPriority w:val="0"/>
    <w:pPr>
      <w:ind w:firstLine="420" w:firstLineChars="100"/>
    </w:pPr>
    <w:rPr>
      <w:rFonts w:ascii="仿宋_GB2312" w:hAnsi="Calibri" w:eastAsia="仿宋_GB2312" w:cs="Times New Roman"/>
      <w:sz w:val="24"/>
    </w:rPr>
  </w:style>
  <w:style w:type="paragraph" w:styleId="88">
    <w:name w:val="Body Text First Indent 2"/>
    <w:basedOn w:val="36"/>
    <w:link w:val="140"/>
    <w:qFormat/>
    <w:uiPriority w:val="0"/>
    <w:pPr>
      <w:spacing w:after="120"/>
      <w:ind w:left="420" w:leftChars="200" w:firstLine="420" w:firstLineChars="200"/>
    </w:pPr>
  </w:style>
  <w:style w:type="table" w:styleId="90">
    <w:name w:val="Table Grid"/>
    <w:basedOn w:val="89"/>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60" w:after="60" w:line="30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qFormat/>
    <w:uiPriority w:val="0"/>
    <w:pPr>
      <w:widowControl w:val="0"/>
      <w:jc w:val="both"/>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94">
    <w:name w:val="Strong"/>
    <w:qFormat/>
    <w:uiPriority w:val="0"/>
    <w:rPr>
      <w:b/>
      <w:bCs/>
    </w:rPr>
  </w:style>
  <w:style w:type="character" w:styleId="95">
    <w:name w:val="page number"/>
    <w:qFormat/>
    <w:uiPriority w:val="0"/>
  </w:style>
  <w:style w:type="character" w:styleId="96">
    <w:name w:val="FollowedHyperlink"/>
    <w:qFormat/>
    <w:uiPriority w:val="0"/>
    <w:rPr>
      <w:color w:val="800080"/>
      <w:u w:val="single"/>
    </w:rPr>
  </w:style>
  <w:style w:type="character" w:styleId="97">
    <w:name w:val="Emphasis"/>
    <w:qFormat/>
    <w:uiPriority w:val="20"/>
    <w:rPr>
      <w:color w:val="CC0000"/>
    </w:rPr>
  </w:style>
  <w:style w:type="character" w:styleId="98">
    <w:name w:val="Hyperlink"/>
    <w:qFormat/>
    <w:uiPriority w:val="99"/>
    <w:rPr>
      <w:color w:val="0000FF"/>
      <w:u w:val="single"/>
    </w:rPr>
  </w:style>
  <w:style w:type="character" w:styleId="99">
    <w:name w:val="annotation reference"/>
    <w:qFormat/>
    <w:uiPriority w:val="99"/>
    <w:rPr>
      <w:sz w:val="21"/>
      <w:szCs w:val="21"/>
    </w:rPr>
  </w:style>
  <w:style w:type="character" w:customStyle="1" w:styleId="100">
    <w:name w:val="宏文本 字符1"/>
    <w:link w:val="3"/>
    <w:qFormat/>
    <w:uiPriority w:val="0"/>
    <w:rPr>
      <w:rFonts w:ascii="Courier New" w:hAnsi="Courier New" w:cs="Courier New"/>
      <w:kern w:val="2"/>
      <w:sz w:val="24"/>
      <w:szCs w:val="24"/>
      <w:lang w:val="en-US" w:eastAsia="zh-CN" w:bidi="ar-SA"/>
    </w:rPr>
  </w:style>
  <w:style w:type="character" w:customStyle="1" w:styleId="101">
    <w:name w:val="标题 1 字符2"/>
    <w:link w:val="4"/>
    <w:qFormat/>
    <w:uiPriority w:val="0"/>
    <w:rPr>
      <w:rFonts w:ascii="Times New Roman" w:hAnsi="Times New Roman" w:eastAsia="宋体" w:cs="Times New Roman"/>
      <w:b/>
      <w:bCs/>
      <w:kern w:val="44"/>
      <w:sz w:val="44"/>
      <w:szCs w:val="44"/>
    </w:rPr>
  </w:style>
  <w:style w:type="character" w:customStyle="1" w:styleId="102">
    <w:name w:val="标题 2 字符2"/>
    <w:link w:val="5"/>
    <w:qFormat/>
    <w:uiPriority w:val="0"/>
    <w:rPr>
      <w:rFonts w:ascii="Times New Roman" w:hAnsi="Times New Roman"/>
      <w:b/>
      <w:bCs/>
      <w:kern w:val="2"/>
      <w:sz w:val="21"/>
      <w:szCs w:val="24"/>
    </w:rPr>
  </w:style>
  <w:style w:type="character" w:customStyle="1" w:styleId="103">
    <w:name w:val="标题 3 字符2"/>
    <w:link w:val="6"/>
    <w:qFormat/>
    <w:uiPriority w:val="0"/>
    <w:rPr>
      <w:rFonts w:ascii="Times New Roman" w:hAnsi="Times New Roman" w:eastAsia="宋体" w:cs="Times New Roman"/>
      <w:b/>
      <w:bCs/>
      <w:sz w:val="32"/>
      <w:szCs w:val="32"/>
    </w:rPr>
  </w:style>
  <w:style w:type="character" w:customStyle="1" w:styleId="104">
    <w:name w:val="标题 4 字符2"/>
    <w:link w:val="7"/>
    <w:qFormat/>
    <w:uiPriority w:val="0"/>
    <w:rPr>
      <w:b/>
      <w:bCs/>
      <w:kern w:val="2"/>
      <w:sz w:val="24"/>
      <w:szCs w:val="24"/>
    </w:rPr>
  </w:style>
  <w:style w:type="character" w:customStyle="1" w:styleId="105">
    <w:name w:val="标题 5 字符2"/>
    <w:link w:val="8"/>
    <w:qFormat/>
    <w:uiPriority w:val="0"/>
    <w:rPr>
      <w:rFonts w:ascii="宋体" w:hAnsi="宋体"/>
      <w:b/>
      <w:bCs/>
      <w:kern w:val="2"/>
      <w:sz w:val="24"/>
    </w:rPr>
  </w:style>
  <w:style w:type="character" w:customStyle="1" w:styleId="106">
    <w:name w:val="标题 6 字符1"/>
    <w:link w:val="9"/>
    <w:qFormat/>
    <w:uiPriority w:val="0"/>
    <w:rPr>
      <w:rFonts w:ascii="Cambria" w:hAnsi="Cambria" w:eastAsia="宋体" w:cs="Times New Roman"/>
      <w:b/>
      <w:bCs/>
      <w:sz w:val="24"/>
      <w:szCs w:val="24"/>
    </w:rPr>
  </w:style>
  <w:style w:type="character" w:customStyle="1" w:styleId="107">
    <w:name w:val="标题 7 字符1"/>
    <w:link w:val="10"/>
    <w:qFormat/>
    <w:uiPriority w:val="0"/>
    <w:rPr>
      <w:rFonts w:ascii="Times New Roman" w:hAnsi="Times New Roman" w:eastAsia="宋体" w:cs="Times New Roman"/>
      <w:b/>
      <w:bCs/>
      <w:sz w:val="24"/>
      <w:szCs w:val="24"/>
    </w:rPr>
  </w:style>
  <w:style w:type="character" w:customStyle="1" w:styleId="108">
    <w:name w:val="标题 8 字符1"/>
    <w:link w:val="11"/>
    <w:qFormat/>
    <w:uiPriority w:val="0"/>
    <w:rPr>
      <w:rFonts w:ascii="Cambria" w:hAnsi="Cambria" w:eastAsia="宋体" w:cs="Times New Roman"/>
      <w:sz w:val="24"/>
      <w:szCs w:val="24"/>
    </w:rPr>
  </w:style>
  <w:style w:type="character" w:customStyle="1" w:styleId="109">
    <w:name w:val="标题 9 字符1"/>
    <w:link w:val="12"/>
    <w:qFormat/>
    <w:uiPriority w:val="0"/>
    <w:rPr>
      <w:rFonts w:ascii="Cambria" w:hAnsi="Cambria" w:eastAsia="宋体" w:cs="Times New Roman"/>
      <w:szCs w:val="21"/>
    </w:rPr>
  </w:style>
  <w:style w:type="character" w:customStyle="1" w:styleId="110">
    <w:name w:val="注释标题 字符1"/>
    <w:link w:val="17"/>
    <w:qFormat/>
    <w:uiPriority w:val="0"/>
    <w:rPr>
      <w:szCs w:val="24"/>
    </w:rPr>
  </w:style>
  <w:style w:type="character" w:customStyle="1" w:styleId="111">
    <w:name w:val="电子邮件签名 字符1"/>
    <w:link w:val="20"/>
    <w:qFormat/>
    <w:uiPriority w:val="0"/>
    <w:rPr>
      <w:szCs w:val="24"/>
    </w:rPr>
  </w:style>
  <w:style w:type="character" w:customStyle="1" w:styleId="112">
    <w:name w:val="正文缩进 字符"/>
    <w:link w:val="22"/>
    <w:qFormat/>
    <w:uiPriority w:val="0"/>
    <w:rPr>
      <w:rFonts w:ascii="Times New Roman" w:hAnsi="Times New Roman"/>
      <w:kern w:val="2"/>
      <w:sz w:val="21"/>
      <w:szCs w:val="24"/>
    </w:rPr>
  </w:style>
  <w:style w:type="character" w:customStyle="1" w:styleId="113">
    <w:name w:val="文档结构图 字符1"/>
    <w:link w:val="27"/>
    <w:qFormat/>
    <w:uiPriority w:val="0"/>
    <w:rPr>
      <w:rFonts w:ascii="宋体"/>
      <w:sz w:val="18"/>
      <w:szCs w:val="18"/>
    </w:rPr>
  </w:style>
  <w:style w:type="character" w:customStyle="1" w:styleId="114">
    <w:name w:val="批注文字 字符3"/>
    <w:link w:val="29"/>
    <w:qFormat/>
    <w:uiPriority w:val="99"/>
    <w:rPr>
      <w:rFonts w:ascii="Times New Roman" w:hAnsi="Times New Roman" w:eastAsia="宋体" w:cs="Times New Roman"/>
      <w:szCs w:val="24"/>
    </w:rPr>
  </w:style>
  <w:style w:type="character" w:customStyle="1" w:styleId="115">
    <w:name w:val="称呼 字符1"/>
    <w:link w:val="31"/>
    <w:qFormat/>
    <w:uiPriority w:val="0"/>
    <w:rPr>
      <w:szCs w:val="24"/>
    </w:rPr>
  </w:style>
  <w:style w:type="character" w:customStyle="1" w:styleId="116">
    <w:name w:val="正文文本 3 字符1"/>
    <w:link w:val="32"/>
    <w:qFormat/>
    <w:uiPriority w:val="0"/>
    <w:rPr>
      <w:sz w:val="16"/>
      <w:szCs w:val="16"/>
    </w:rPr>
  </w:style>
  <w:style w:type="character" w:customStyle="1" w:styleId="117">
    <w:name w:val="结束语 字符1"/>
    <w:link w:val="33"/>
    <w:qFormat/>
    <w:uiPriority w:val="0"/>
    <w:rPr>
      <w:szCs w:val="24"/>
    </w:rPr>
  </w:style>
  <w:style w:type="character" w:customStyle="1" w:styleId="118">
    <w:name w:val="正文文本 字符1"/>
    <w:link w:val="35"/>
    <w:semiHidden/>
    <w:qFormat/>
    <w:uiPriority w:val="99"/>
    <w:rPr>
      <w:rFonts w:ascii="Times New Roman" w:hAnsi="Times New Roman" w:eastAsia="宋体" w:cs="Times New Roman"/>
      <w:szCs w:val="24"/>
    </w:rPr>
  </w:style>
  <w:style w:type="character" w:customStyle="1" w:styleId="119">
    <w:name w:val="正文文本缩进 字符1"/>
    <w:link w:val="36"/>
    <w:qFormat/>
    <w:uiPriority w:val="0"/>
    <w:rPr>
      <w:rFonts w:ascii="仿宋_GB2312" w:eastAsia="仿宋_GB2312"/>
      <w:sz w:val="24"/>
      <w:szCs w:val="24"/>
    </w:rPr>
  </w:style>
  <w:style w:type="character" w:customStyle="1" w:styleId="120">
    <w:name w:val="HTML 地址 字符1"/>
    <w:link w:val="42"/>
    <w:qFormat/>
    <w:uiPriority w:val="0"/>
    <w:rPr>
      <w:i/>
      <w:iCs/>
      <w:szCs w:val="24"/>
    </w:rPr>
  </w:style>
  <w:style w:type="character" w:customStyle="1" w:styleId="121">
    <w:name w:val="纯文本 字符1"/>
    <w:link w:val="46"/>
    <w:qFormat/>
    <w:uiPriority w:val="0"/>
    <w:rPr>
      <w:rFonts w:ascii="宋体" w:hAnsi="Courier New" w:cs="Courier New"/>
      <w:szCs w:val="21"/>
    </w:rPr>
  </w:style>
  <w:style w:type="character" w:customStyle="1" w:styleId="122">
    <w:name w:val="日期 字符1"/>
    <w:link w:val="51"/>
    <w:qFormat/>
    <w:uiPriority w:val="0"/>
    <w:rPr>
      <w:rFonts w:ascii="Times New Roman" w:hAnsi="Times New Roman" w:eastAsia="楷体_GB2312" w:cs="Times New Roman"/>
      <w:sz w:val="28"/>
      <w:szCs w:val="20"/>
    </w:rPr>
  </w:style>
  <w:style w:type="character" w:customStyle="1" w:styleId="123">
    <w:name w:val="正文文本缩进 2 字符1"/>
    <w:link w:val="52"/>
    <w:qFormat/>
    <w:uiPriority w:val="0"/>
    <w:rPr>
      <w:rFonts w:ascii="Times New Roman" w:hAnsi="Times New Roman" w:eastAsia="宋体" w:cs="Times New Roman"/>
      <w:szCs w:val="24"/>
    </w:rPr>
  </w:style>
  <w:style w:type="character" w:customStyle="1" w:styleId="124">
    <w:name w:val="尾注文本 字符1"/>
    <w:link w:val="53"/>
    <w:qFormat/>
    <w:uiPriority w:val="0"/>
    <w:rPr>
      <w:szCs w:val="24"/>
    </w:rPr>
  </w:style>
  <w:style w:type="character" w:customStyle="1" w:styleId="125">
    <w:name w:val="批注框文本 字符2"/>
    <w:link w:val="55"/>
    <w:qFormat/>
    <w:uiPriority w:val="0"/>
    <w:rPr>
      <w:rFonts w:ascii="Times New Roman" w:hAnsi="Times New Roman" w:eastAsia="宋体" w:cs="Times New Roman"/>
      <w:sz w:val="18"/>
      <w:szCs w:val="18"/>
    </w:rPr>
  </w:style>
  <w:style w:type="character" w:customStyle="1" w:styleId="126">
    <w:name w:val="页脚 字符2"/>
    <w:link w:val="56"/>
    <w:qFormat/>
    <w:uiPriority w:val="99"/>
    <w:rPr>
      <w:sz w:val="18"/>
      <w:szCs w:val="18"/>
    </w:rPr>
  </w:style>
  <w:style w:type="character" w:customStyle="1" w:styleId="127">
    <w:name w:val="页眉 字符2"/>
    <w:link w:val="58"/>
    <w:qFormat/>
    <w:uiPriority w:val="0"/>
    <w:rPr>
      <w:sz w:val="18"/>
      <w:szCs w:val="18"/>
    </w:rPr>
  </w:style>
  <w:style w:type="character" w:customStyle="1" w:styleId="128">
    <w:name w:val="签名 字符1"/>
    <w:link w:val="59"/>
    <w:qFormat/>
    <w:uiPriority w:val="0"/>
    <w:rPr>
      <w:szCs w:val="24"/>
    </w:rPr>
  </w:style>
  <w:style w:type="character" w:customStyle="1" w:styleId="129">
    <w:name w:val="副标题 字符1"/>
    <w:link w:val="65"/>
    <w:qFormat/>
    <w:uiPriority w:val="0"/>
    <w:rPr>
      <w:rFonts w:ascii="Cambria" w:hAnsi="Cambria" w:cs="Times New Roman"/>
      <w:b/>
      <w:bCs/>
      <w:kern w:val="28"/>
      <w:sz w:val="32"/>
      <w:szCs w:val="32"/>
    </w:rPr>
  </w:style>
  <w:style w:type="character" w:customStyle="1" w:styleId="130">
    <w:name w:val="脚注文本 字符1"/>
    <w:link w:val="68"/>
    <w:qFormat/>
    <w:uiPriority w:val="0"/>
    <w:rPr>
      <w:sz w:val="18"/>
      <w:szCs w:val="18"/>
    </w:rPr>
  </w:style>
  <w:style w:type="character" w:customStyle="1" w:styleId="131">
    <w:name w:val="正文文本缩进 3 字符1"/>
    <w:link w:val="71"/>
    <w:qFormat/>
    <w:uiPriority w:val="0"/>
    <w:rPr>
      <w:rFonts w:ascii="仿宋_GB2312" w:hAnsi="Times New Roman" w:eastAsia="仿宋_GB2312" w:cs="Times New Roman"/>
      <w:sz w:val="24"/>
      <w:szCs w:val="24"/>
    </w:rPr>
  </w:style>
  <w:style w:type="character" w:customStyle="1" w:styleId="132">
    <w:name w:val="正文文本 2 字符1"/>
    <w:link w:val="77"/>
    <w:qFormat/>
    <w:uiPriority w:val="0"/>
    <w:rPr>
      <w:rFonts w:ascii="仿宋_GB2312" w:hAnsi="Times New Roman" w:eastAsia="仿宋_GB2312" w:cs="Times New Roman"/>
      <w:b/>
      <w:bCs/>
      <w:sz w:val="28"/>
      <w:szCs w:val="24"/>
    </w:rPr>
  </w:style>
  <w:style w:type="character" w:customStyle="1" w:styleId="133">
    <w:name w:val="信息标题 字符1"/>
    <w:link w:val="80"/>
    <w:qFormat/>
    <w:uiPriority w:val="0"/>
    <w:rPr>
      <w:rFonts w:ascii="Cambria" w:hAnsi="Cambria" w:eastAsia="宋体" w:cs="Times New Roman"/>
      <w:sz w:val="24"/>
      <w:szCs w:val="24"/>
      <w:shd w:val="pct20" w:color="auto" w:fill="auto"/>
    </w:rPr>
  </w:style>
  <w:style w:type="character" w:customStyle="1" w:styleId="134">
    <w:name w:val="HTML 预设格式 字符1"/>
    <w:link w:val="81"/>
    <w:qFormat/>
    <w:uiPriority w:val="0"/>
    <w:rPr>
      <w:rFonts w:ascii="Courier New" w:hAnsi="Courier New" w:cs="Courier New"/>
    </w:rPr>
  </w:style>
  <w:style w:type="character" w:customStyle="1" w:styleId="135">
    <w:name w:val="普通(网站) 字符"/>
    <w:link w:val="82"/>
    <w:qFormat/>
    <w:locked/>
    <w:uiPriority w:val="99"/>
    <w:rPr>
      <w:rFonts w:ascii="Arial Unicode MS" w:hAnsi="Arial Unicode MS" w:eastAsia="Arial Unicode MS" w:cs="Arial Unicode MS"/>
      <w:sz w:val="24"/>
      <w:szCs w:val="24"/>
    </w:rPr>
  </w:style>
  <w:style w:type="character" w:customStyle="1" w:styleId="136">
    <w:name w:val="标题 字符"/>
    <w:link w:val="85"/>
    <w:qFormat/>
    <w:uiPriority w:val="0"/>
    <w:rPr>
      <w:rFonts w:ascii="Cambria" w:hAnsi="Cambria" w:cs="Times New Roman"/>
      <w:b/>
      <w:bCs/>
      <w:sz w:val="32"/>
      <w:szCs w:val="32"/>
    </w:rPr>
  </w:style>
  <w:style w:type="character" w:customStyle="1" w:styleId="137">
    <w:name w:val="批注主题 字符2"/>
    <w:link w:val="86"/>
    <w:qFormat/>
    <w:uiPriority w:val="0"/>
    <w:rPr>
      <w:rFonts w:ascii="Times New Roman" w:hAnsi="Times New Roman" w:eastAsia="宋体" w:cs="Times New Roman"/>
      <w:b/>
      <w:bCs/>
      <w:szCs w:val="24"/>
    </w:rPr>
  </w:style>
  <w:style w:type="character" w:customStyle="1" w:styleId="138">
    <w:name w:val="正文文本首行缩进 字符"/>
    <w:link w:val="87"/>
    <w:qFormat/>
    <w:uiPriority w:val="0"/>
  </w:style>
  <w:style w:type="character" w:customStyle="1" w:styleId="139">
    <w:name w:val="正文文本 Char"/>
    <w:qFormat/>
    <w:uiPriority w:val="0"/>
    <w:rPr>
      <w:rFonts w:ascii="仿宋_GB2312" w:eastAsia="仿宋_GB2312"/>
      <w:kern w:val="2"/>
      <w:sz w:val="24"/>
      <w:szCs w:val="24"/>
    </w:rPr>
  </w:style>
  <w:style w:type="character" w:customStyle="1" w:styleId="140">
    <w:name w:val="正文文本首行缩进 2 字符"/>
    <w:link w:val="88"/>
    <w:qFormat/>
    <w:uiPriority w:val="0"/>
  </w:style>
  <w:style w:type="character" w:customStyle="1" w:styleId="141">
    <w:name w:val="注释标题 字符"/>
    <w:qFormat/>
    <w:uiPriority w:val="0"/>
    <w:rPr>
      <w:rFonts w:ascii="Times New Roman" w:hAnsi="Times New Roman" w:eastAsia="宋体" w:cs="Times New Roman"/>
      <w:sz w:val="24"/>
      <w:szCs w:val="24"/>
    </w:rPr>
  </w:style>
  <w:style w:type="character" w:customStyle="1" w:styleId="142">
    <w:name w:val="l151"/>
    <w:qFormat/>
    <w:uiPriority w:val="0"/>
  </w:style>
  <w:style w:type="character" w:customStyle="1" w:styleId="143">
    <w:name w:val="样式 正文缩进 + (中文) 楷体_GB2312 Char Char"/>
    <w:qFormat/>
    <w:uiPriority w:val="0"/>
    <w:rPr>
      <w:rFonts w:ascii="Arial" w:hAnsi="Arial" w:eastAsia="仿宋_GB2312"/>
      <w:kern w:val="2"/>
      <w:sz w:val="24"/>
      <w:szCs w:val="24"/>
      <w:lang w:val="en-US" w:eastAsia="zh-CN" w:bidi="ar-SA"/>
    </w:rPr>
  </w:style>
  <w:style w:type="character" w:customStyle="1" w:styleId="144">
    <w:name w:val="目录 Char"/>
    <w:link w:val="145"/>
    <w:qFormat/>
    <w:uiPriority w:val="0"/>
    <w:rPr>
      <w:rFonts w:ascii="Arial Unicode MS" w:hAnsi="Arial Unicode MS" w:eastAsia="黑体"/>
      <w:bCs/>
      <w:sz w:val="48"/>
      <w:szCs w:val="22"/>
      <w:lang w:val="en-US" w:eastAsia="zh-CN" w:bidi="ar-SA"/>
    </w:rPr>
  </w:style>
  <w:style w:type="paragraph" w:customStyle="1" w:styleId="145">
    <w:name w:val="目录"/>
    <w:next w:val="1"/>
    <w:link w:val="144"/>
    <w:qFormat/>
    <w:uiPriority w:val="0"/>
    <w:pPr>
      <w:spacing w:beforeLines="200"/>
    </w:pPr>
    <w:rPr>
      <w:rFonts w:ascii="Arial Unicode MS" w:hAnsi="Arial Unicode MS" w:eastAsia="黑体" w:cs="Times New Roman"/>
      <w:bCs/>
      <w:sz w:val="48"/>
      <w:szCs w:val="22"/>
      <w:lang w:val="en-US" w:eastAsia="zh-CN" w:bidi="ar-SA"/>
    </w:rPr>
  </w:style>
  <w:style w:type="character" w:customStyle="1" w:styleId="146">
    <w:name w:val="text1"/>
    <w:qFormat/>
    <w:uiPriority w:val="0"/>
    <w:rPr>
      <w:rFonts w:hint="eastAsia" w:ascii="宋体" w:hAnsi="宋体" w:eastAsia="宋体"/>
      <w:sz w:val="21"/>
      <w:szCs w:val="21"/>
    </w:rPr>
  </w:style>
  <w:style w:type="character" w:customStyle="1" w:styleId="147">
    <w:name w:val="正文缩进1"/>
    <w:qFormat/>
    <w:uiPriority w:val="0"/>
    <w:rPr>
      <w:rFonts w:eastAsia="宋体"/>
      <w:kern w:val="2"/>
      <w:sz w:val="21"/>
      <w:szCs w:val="24"/>
      <w:lang w:val="en-US" w:eastAsia="zh-CN" w:bidi="ar-SA"/>
    </w:rPr>
  </w:style>
  <w:style w:type="character" w:customStyle="1" w:styleId="148">
    <w:name w:val="结束语 Char1"/>
    <w:semiHidden/>
    <w:qFormat/>
    <w:uiPriority w:val="99"/>
    <w:rPr>
      <w:rFonts w:ascii="Times New Roman" w:hAnsi="Times New Roman" w:eastAsia="宋体" w:cs="Times New Roman"/>
      <w:szCs w:val="24"/>
    </w:rPr>
  </w:style>
  <w:style w:type="character" w:customStyle="1" w:styleId="149">
    <w:name w:val="页脚 Char1"/>
    <w:qFormat/>
    <w:uiPriority w:val="99"/>
    <w:rPr>
      <w:rFonts w:ascii="Times New Roman" w:hAnsi="Times New Roman" w:eastAsia="宋体" w:cs="Times New Roman"/>
      <w:sz w:val="18"/>
      <w:szCs w:val="18"/>
    </w:rPr>
  </w:style>
  <w:style w:type="character" w:customStyle="1" w:styleId="150">
    <w:name w:val="纯文本 字符"/>
    <w:qFormat/>
    <w:uiPriority w:val="0"/>
    <w:rPr>
      <w:rFonts w:ascii="宋体" w:hAnsi="Courier New" w:eastAsia="宋体" w:cs="Times New Roman"/>
      <w:szCs w:val="21"/>
    </w:rPr>
  </w:style>
  <w:style w:type="character" w:customStyle="1" w:styleId="151">
    <w:name w:val="widthline1"/>
    <w:qFormat/>
    <w:uiPriority w:val="0"/>
  </w:style>
  <w:style w:type="character" w:customStyle="1" w:styleId="152">
    <w:name w:val="main"/>
    <w:qFormat/>
    <w:uiPriority w:val="0"/>
  </w:style>
  <w:style w:type="character" w:customStyle="1" w:styleId="153">
    <w:name w:val="正文缩进 Char1"/>
    <w:qFormat/>
    <w:uiPriority w:val="0"/>
    <w:rPr>
      <w:rFonts w:ascii="Times New Roman" w:hAnsi="Times New Roman" w:eastAsia="宋体" w:cs="Times New Roman"/>
      <w:szCs w:val="24"/>
    </w:rPr>
  </w:style>
  <w:style w:type="character" w:customStyle="1" w:styleId="154">
    <w:name w:val="pagetitle1"/>
    <w:qFormat/>
    <w:uiPriority w:val="0"/>
    <w:rPr>
      <w:rFonts w:hint="default" w:ascii="Arial" w:hAnsi="Arial" w:cs="Arial"/>
      <w:b/>
      <w:bCs/>
      <w:sz w:val="36"/>
      <w:szCs w:val="36"/>
    </w:rPr>
  </w:style>
  <w:style w:type="character" w:customStyle="1" w:styleId="155">
    <w:name w:val="结束语 字符"/>
    <w:qFormat/>
    <w:uiPriority w:val="0"/>
    <w:rPr>
      <w:rFonts w:ascii="Times New Roman" w:hAnsi="Times New Roman" w:eastAsia="宋体" w:cs="Times New Roman"/>
      <w:sz w:val="24"/>
      <w:szCs w:val="24"/>
    </w:rPr>
  </w:style>
  <w:style w:type="character" w:customStyle="1" w:styleId="156">
    <w:name w:val="title1"/>
    <w:qFormat/>
    <w:uiPriority w:val="0"/>
    <w:rPr>
      <w:rFonts w:hint="default" w:ascii="Arial" w:hAnsi="Arial" w:cs="Arial"/>
      <w:color w:val="000000"/>
      <w:spacing w:val="320"/>
      <w:sz w:val="28"/>
      <w:szCs w:val="28"/>
    </w:rPr>
  </w:style>
  <w:style w:type="character" w:customStyle="1" w:styleId="157">
    <w:name w:val="正文文本缩进 Char1"/>
    <w:semiHidden/>
    <w:qFormat/>
    <w:uiPriority w:val="99"/>
    <w:rPr>
      <w:rFonts w:ascii="Times New Roman" w:hAnsi="Times New Roman" w:eastAsia="宋体" w:cs="Times New Roman"/>
      <w:szCs w:val="24"/>
    </w:rPr>
  </w:style>
  <w:style w:type="character" w:customStyle="1" w:styleId="158">
    <w:name w:val="文章标题 Char"/>
    <w:link w:val="159"/>
    <w:qFormat/>
    <w:uiPriority w:val="0"/>
    <w:rPr>
      <w:rFonts w:ascii="Arial Unicode MS" w:hAnsi="Arial Unicode MS" w:eastAsia="黑体"/>
      <w:bCs/>
      <w:sz w:val="52"/>
      <w:szCs w:val="22"/>
      <w:lang w:val="en-US" w:eastAsia="zh-CN" w:bidi="ar-SA"/>
    </w:rPr>
  </w:style>
  <w:style w:type="paragraph" w:customStyle="1" w:styleId="159">
    <w:name w:val="文章标题"/>
    <w:next w:val="160"/>
    <w:link w:val="158"/>
    <w:qFormat/>
    <w:uiPriority w:val="0"/>
    <w:pPr>
      <w:spacing w:beforeLines="800" w:afterLines="100"/>
      <w:jc w:val="center"/>
    </w:pPr>
    <w:rPr>
      <w:rFonts w:ascii="Arial Unicode MS" w:hAnsi="Arial Unicode MS" w:eastAsia="黑体" w:cs="Times New Roman"/>
      <w:bCs/>
      <w:sz w:val="52"/>
      <w:szCs w:val="22"/>
      <w:lang w:val="en-US" w:eastAsia="zh-CN" w:bidi="ar-SA"/>
    </w:rPr>
  </w:style>
  <w:style w:type="paragraph" w:customStyle="1" w:styleId="160">
    <w:name w:val="封面公司名"/>
    <w:semiHidden/>
    <w:qFormat/>
    <w:uiPriority w:val="0"/>
    <w:pPr>
      <w:jc w:val="center"/>
    </w:pPr>
    <w:rPr>
      <w:rFonts w:ascii="Arial Unicode MS" w:hAnsi="Arial Unicode MS" w:eastAsia="楷体_GB2312" w:cs="宋体"/>
      <w:bCs/>
      <w:kern w:val="2"/>
      <w:sz w:val="24"/>
      <w:lang w:val="en-US" w:eastAsia="zh-CN" w:bidi="ar-SA"/>
    </w:rPr>
  </w:style>
  <w:style w:type="character" w:customStyle="1" w:styleId="161">
    <w:name w:val="签名 Char1"/>
    <w:semiHidden/>
    <w:qFormat/>
    <w:uiPriority w:val="99"/>
    <w:rPr>
      <w:rFonts w:ascii="Times New Roman" w:hAnsi="Times New Roman" w:eastAsia="宋体" w:cs="Times New Roman"/>
      <w:szCs w:val="24"/>
    </w:rPr>
  </w:style>
  <w:style w:type="character" w:customStyle="1" w:styleId="162">
    <w:name w:val="4 Ch"/>
    <w:qFormat/>
    <w:uiPriority w:val="0"/>
    <w:rPr>
      <w:rFonts w:eastAsia="华文中宋"/>
      <w:b/>
      <w:bCs/>
      <w:kern w:val="2"/>
      <w:sz w:val="28"/>
      <w:szCs w:val="28"/>
      <w:lang w:val="en-US" w:eastAsia="zh-CN" w:bidi="ar-SA"/>
    </w:rPr>
  </w:style>
  <w:style w:type="character" w:customStyle="1" w:styleId="163">
    <w:name w:val="正文1 Char"/>
    <w:qFormat/>
    <w:uiPriority w:val="0"/>
    <w:rPr>
      <w:rFonts w:eastAsia="宋体"/>
      <w:kern w:val="2"/>
      <w:sz w:val="21"/>
      <w:szCs w:val="24"/>
      <w:lang w:val="en-US" w:eastAsia="zh-CN" w:bidi="ar-SA"/>
    </w:rPr>
  </w:style>
  <w:style w:type="character" w:customStyle="1" w:styleId="164">
    <w:name w:val="日期 字符"/>
    <w:qFormat/>
    <w:uiPriority w:val="0"/>
  </w:style>
  <w:style w:type="character" w:customStyle="1" w:styleId="165">
    <w:name w:val="称呼 Char1"/>
    <w:semiHidden/>
    <w:qFormat/>
    <w:uiPriority w:val="99"/>
    <w:rPr>
      <w:rFonts w:ascii="Times New Roman" w:hAnsi="Times New Roman" w:eastAsia="宋体" w:cs="Times New Roman"/>
      <w:szCs w:val="24"/>
    </w:rPr>
  </w:style>
  <w:style w:type="character" w:customStyle="1" w:styleId="166">
    <w:name w:val="样式 四号 行距: 1.5 倍行距 首行缩进:  2 字符 Char"/>
    <w:link w:val="167"/>
    <w:qFormat/>
    <w:uiPriority w:val="0"/>
    <w:rPr>
      <w:rFonts w:ascii="Times New Roman" w:hAnsi="Times New Roman" w:cs="Times New Roman"/>
      <w:sz w:val="24"/>
    </w:rPr>
  </w:style>
  <w:style w:type="paragraph" w:customStyle="1" w:styleId="167">
    <w:name w:val="样式 四号 行距: 1.5 倍行距 首行缩进:  2 字符"/>
    <w:basedOn w:val="1"/>
    <w:link w:val="166"/>
    <w:qFormat/>
    <w:uiPriority w:val="0"/>
    <w:pPr>
      <w:spacing w:line="360" w:lineRule="auto"/>
      <w:ind w:firstLine="560" w:firstLineChars="200"/>
    </w:pPr>
    <w:rPr>
      <w:kern w:val="0"/>
      <w:sz w:val="24"/>
      <w:szCs w:val="20"/>
    </w:rPr>
  </w:style>
  <w:style w:type="character" w:customStyle="1" w:styleId="168">
    <w:name w:val="apple-converted-space"/>
    <w:qFormat/>
    <w:uiPriority w:val="0"/>
  </w:style>
  <w:style w:type="character" w:customStyle="1" w:styleId="169">
    <w:name w:val="样式 正文文本body textbtheading3NCDOT Body TextStarbucks Body Tex..."/>
    <w:qFormat/>
    <w:uiPriority w:val="0"/>
    <w:rPr>
      <w:rFonts w:eastAsia="黑体"/>
      <w:b/>
      <w:bCs/>
      <w:kern w:val="0"/>
      <w:sz w:val="24"/>
      <w:lang w:val="en-AU"/>
    </w:rPr>
  </w:style>
  <w:style w:type="character" w:customStyle="1" w:styleId="170">
    <w:name w:val="页眉 字符1"/>
    <w:qFormat/>
    <w:uiPriority w:val="0"/>
    <w:rPr>
      <w:rFonts w:ascii="Times New Roman" w:hAnsi="Times New Roman" w:eastAsia="宋体" w:cs="Times New Roman"/>
      <w:sz w:val="18"/>
      <w:szCs w:val="18"/>
    </w:rPr>
  </w:style>
  <w:style w:type="character" w:customStyle="1" w:styleId="171">
    <w:name w:val="副标题 Char1"/>
    <w:qFormat/>
    <w:uiPriority w:val="11"/>
    <w:rPr>
      <w:rFonts w:ascii="Cambria" w:hAnsi="Cambria" w:eastAsia="宋体" w:cs="Times New Roman"/>
      <w:b/>
      <w:bCs/>
      <w:kern w:val="28"/>
      <w:sz w:val="32"/>
      <w:szCs w:val="32"/>
    </w:rPr>
  </w:style>
  <w:style w:type="character" w:customStyle="1" w:styleId="172">
    <w:name w:val="纯文本 Char1"/>
    <w:qFormat/>
    <w:uiPriority w:val="0"/>
    <w:rPr>
      <w:rFonts w:ascii="宋体" w:hAnsi="Courier New" w:eastAsia="宋体" w:cs="Courier New"/>
      <w:szCs w:val="21"/>
    </w:rPr>
  </w:style>
  <w:style w:type="character" w:customStyle="1" w:styleId="173">
    <w:name w:val="link1"/>
    <w:qFormat/>
    <w:uiPriority w:val="0"/>
    <w:rPr>
      <w:rFonts w:hint="default" w:ascii="Arial" w:hAnsi="Arial" w:cs="Arial"/>
      <w:color w:val="000000"/>
      <w:sz w:val="20"/>
      <w:szCs w:val="20"/>
    </w:rPr>
  </w:style>
  <w:style w:type="character" w:customStyle="1" w:styleId="174">
    <w:name w:val="标题 8 字符"/>
    <w:qFormat/>
    <w:uiPriority w:val="0"/>
    <w:rPr>
      <w:rFonts w:ascii="Arial" w:hAnsi="Arial" w:eastAsia="黑体" w:cs="Times New Roman"/>
      <w:sz w:val="24"/>
      <w:szCs w:val="24"/>
    </w:rPr>
  </w:style>
  <w:style w:type="character" w:customStyle="1" w:styleId="175">
    <w:name w:val="页眉 字符"/>
    <w:qFormat/>
    <w:uiPriority w:val="0"/>
    <w:rPr>
      <w:sz w:val="18"/>
      <w:szCs w:val="18"/>
    </w:rPr>
  </w:style>
  <w:style w:type="character" w:customStyle="1" w:styleId="176">
    <w:name w:val="n11"/>
    <w:qFormat/>
    <w:uiPriority w:val="0"/>
    <w:rPr>
      <w:rFonts w:hint="default" w:ascii="ˎ̥" w:hAnsi="ˎ̥"/>
      <w:sz w:val="19"/>
      <w:szCs w:val="19"/>
    </w:rPr>
  </w:style>
  <w:style w:type="character" w:customStyle="1" w:styleId="177">
    <w:name w:val="标题 4 字符1"/>
    <w:qFormat/>
    <w:uiPriority w:val="0"/>
    <w:rPr>
      <w:rFonts w:ascii="Arial" w:hAnsi="Arial" w:eastAsia="黑体"/>
      <w:b/>
      <w:bCs/>
      <w:kern w:val="2"/>
      <w:sz w:val="28"/>
      <w:szCs w:val="28"/>
      <w:lang w:val="zh-CN"/>
    </w:rPr>
  </w:style>
  <w:style w:type="character" w:customStyle="1" w:styleId="178">
    <w:name w:val="font91"/>
    <w:qFormat/>
    <w:uiPriority w:val="0"/>
    <w:rPr>
      <w:rFonts w:hint="default"/>
      <w:color w:val="666666"/>
      <w:sz w:val="18"/>
      <w:szCs w:val="18"/>
      <w:u w:val="none"/>
    </w:rPr>
  </w:style>
  <w:style w:type="character" w:customStyle="1" w:styleId="179">
    <w:name w:val="Item List Char"/>
    <w:link w:val="180"/>
    <w:qFormat/>
    <w:uiPriority w:val="0"/>
    <w:rPr>
      <w:rFonts w:ascii="Arial" w:hAnsi="Arial" w:cs="Arial"/>
      <w:kern w:val="2"/>
      <w:sz w:val="21"/>
      <w:szCs w:val="21"/>
      <w:shd w:val="clear" w:color="000000" w:fill="auto"/>
      <w:lang w:val="en-US" w:eastAsia="zh-CN" w:bidi="ar-SA"/>
    </w:rPr>
  </w:style>
  <w:style w:type="paragraph" w:customStyle="1" w:styleId="180">
    <w:name w:val="Item List"/>
    <w:link w:val="179"/>
    <w:qFormat/>
    <w:uiPriority w:val="0"/>
    <w:pPr>
      <w:shd w:val="clear" w:color="000000" w:fill="auto"/>
      <w:tabs>
        <w:tab w:val="left" w:pos="851"/>
      </w:tabs>
      <w:spacing w:line="300" w:lineRule="auto"/>
      <w:ind w:left="846" w:hanging="420"/>
      <w:jc w:val="both"/>
    </w:pPr>
    <w:rPr>
      <w:rFonts w:ascii="Arial" w:hAnsi="Arial" w:eastAsia="宋体" w:cs="Arial"/>
      <w:kern w:val="2"/>
      <w:sz w:val="21"/>
      <w:szCs w:val="21"/>
      <w:shd w:val="clear" w:color="000000" w:fill="auto"/>
      <w:lang w:val="en-US" w:eastAsia="zh-CN" w:bidi="ar-SA"/>
    </w:rPr>
  </w:style>
  <w:style w:type="character" w:customStyle="1" w:styleId="181">
    <w:name w:val="列出段落 Char"/>
    <w:link w:val="182"/>
    <w:qFormat/>
    <w:locked/>
    <w:uiPriority w:val="34"/>
    <w:rPr>
      <w:rFonts w:ascii="Calibri" w:hAnsi="Calibri" w:cs="Calibri"/>
    </w:rPr>
  </w:style>
  <w:style w:type="paragraph" w:customStyle="1" w:styleId="182">
    <w:name w:val="列出段落11"/>
    <w:basedOn w:val="1"/>
    <w:link w:val="181"/>
    <w:qFormat/>
    <w:uiPriority w:val="34"/>
    <w:pPr>
      <w:ind w:firstLine="420" w:firstLineChars="200"/>
    </w:pPr>
    <w:rPr>
      <w:rFonts w:ascii="Calibri" w:hAnsi="Calibri"/>
      <w:kern w:val="0"/>
      <w:sz w:val="20"/>
      <w:szCs w:val="20"/>
    </w:rPr>
  </w:style>
  <w:style w:type="character" w:customStyle="1" w:styleId="183">
    <w:name w:val="标题 7 字符"/>
    <w:qFormat/>
    <w:uiPriority w:val="0"/>
    <w:rPr>
      <w:rFonts w:ascii="Times New Roman" w:hAnsi="Times New Roman" w:eastAsia="宋体" w:cs="Times New Roman"/>
      <w:b/>
      <w:bCs/>
      <w:sz w:val="24"/>
      <w:szCs w:val="24"/>
    </w:rPr>
  </w:style>
  <w:style w:type="character" w:customStyle="1" w:styleId="184">
    <w:name w:val="批注主题 字符"/>
    <w:semiHidden/>
    <w:qFormat/>
    <w:uiPriority w:val="99"/>
    <w:rPr>
      <w:b/>
      <w:bCs/>
    </w:rPr>
  </w:style>
  <w:style w:type="character" w:customStyle="1" w:styleId="185">
    <w:name w:val="引用 Char"/>
    <w:qFormat/>
    <w:uiPriority w:val="0"/>
    <w:rPr>
      <w:i/>
      <w:iCs/>
      <w:color w:val="000000"/>
      <w:szCs w:val="24"/>
    </w:rPr>
  </w:style>
  <w:style w:type="character" w:customStyle="1" w:styleId="186">
    <w:name w:val="中等深浅底纹 1 - 着色 1 Char"/>
    <w:qFormat/>
    <w:uiPriority w:val="1"/>
    <w:rPr>
      <w:rFonts w:ascii="Calibri" w:hAnsi="Calibri" w:eastAsia="宋体" w:cs="Times New Roman"/>
      <w:sz w:val="22"/>
      <w:szCs w:val="22"/>
      <w:lang w:bidi="ar-SA"/>
    </w:rPr>
  </w:style>
  <w:style w:type="character" w:customStyle="1" w:styleId="187">
    <w:name w:val="副标题 字符"/>
    <w:qFormat/>
    <w:uiPriority w:val="0"/>
    <w:rPr>
      <w:rFonts w:ascii="Arial" w:hAnsi="Arial" w:eastAsia="宋体" w:cs="Arial"/>
      <w:b/>
      <w:bCs/>
      <w:kern w:val="28"/>
      <w:sz w:val="32"/>
      <w:szCs w:val="32"/>
    </w:rPr>
  </w:style>
  <w:style w:type="character" w:customStyle="1" w:styleId="188">
    <w:name w:val="标题 2 字符"/>
    <w:qFormat/>
    <w:uiPriority w:val="9"/>
    <w:rPr>
      <w:rFonts w:ascii="Cambria" w:hAnsi="Cambria" w:eastAsia="宋体" w:cs="Times New Roman"/>
      <w:b/>
      <w:bCs/>
      <w:sz w:val="32"/>
      <w:szCs w:val="32"/>
    </w:rPr>
  </w:style>
  <w:style w:type="character" w:customStyle="1" w:styleId="189">
    <w:name w:val="宏文本 字符"/>
    <w:qFormat/>
    <w:uiPriority w:val="0"/>
    <w:rPr>
      <w:rFonts w:ascii="Courier New" w:hAnsi="Courier New" w:eastAsia="宋体" w:cs="Courier New"/>
      <w:kern w:val="2"/>
      <w:sz w:val="24"/>
      <w:szCs w:val="24"/>
      <w:lang w:val="en-US" w:eastAsia="zh-CN" w:bidi="ar-SA"/>
    </w:rPr>
  </w:style>
  <w:style w:type="character" w:customStyle="1" w:styleId="190">
    <w:name w:val="列表段落 字符"/>
    <w:link w:val="191"/>
    <w:qFormat/>
    <w:uiPriority w:val="34"/>
    <w:rPr>
      <w:rFonts w:cs="Times New Roman"/>
      <w:kern w:val="2"/>
      <w:sz w:val="21"/>
      <w:szCs w:val="22"/>
    </w:rPr>
  </w:style>
  <w:style w:type="paragraph" w:styleId="191">
    <w:name w:val="List Paragraph"/>
    <w:basedOn w:val="1"/>
    <w:link w:val="190"/>
    <w:qFormat/>
    <w:uiPriority w:val="34"/>
    <w:pPr>
      <w:ind w:firstLine="420" w:firstLineChars="200"/>
    </w:pPr>
    <w:rPr>
      <w:szCs w:val="22"/>
    </w:rPr>
  </w:style>
  <w:style w:type="character" w:customStyle="1" w:styleId="192">
    <w:name w:val="宏文本 Char1"/>
    <w:semiHidden/>
    <w:qFormat/>
    <w:uiPriority w:val="99"/>
    <w:rPr>
      <w:rFonts w:ascii="Courier New" w:hAnsi="Courier New" w:eastAsia="宋体" w:cs="Courier New"/>
      <w:sz w:val="24"/>
      <w:szCs w:val="24"/>
    </w:rPr>
  </w:style>
  <w:style w:type="character" w:customStyle="1" w:styleId="193">
    <w:name w:val="标题 3 字符1"/>
    <w:qFormat/>
    <w:uiPriority w:val="0"/>
    <w:rPr>
      <w:b/>
      <w:bCs/>
      <w:sz w:val="32"/>
      <w:szCs w:val="32"/>
    </w:rPr>
  </w:style>
  <w:style w:type="character" w:customStyle="1" w:styleId="194">
    <w:name w:val="正文文本 字符"/>
    <w:qFormat/>
    <w:uiPriority w:val="0"/>
    <w:rPr>
      <w:rFonts w:ascii="Times New Roman" w:hAnsi="Times New Roman" w:eastAsia="宋体" w:cs="Times New Roman"/>
      <w:szCs w:val="24"/>
    </w:rPr>
  </w:style>
  <w:style w:type="character" w:customStyle="1" w:styleId="195">
    <w:name w:val="标题 3 字符"/>
    <w:qFormat/>
    <w:uiPriority w:val="9"/>
    <w:rPr>
      <w:b/>
      <w:bCs/>
      <w:sz w:val="32"/>
      <w:szCs w:val="32"/>
    </w:rPr>
  </w:style>
  <w:style w:type="character" w:customStyle="1" w:styleId="196">
    <w:name w:val="批注主题 字符1"/>
    <w:qFormat/>
    <w:uiPriority w:val="0"/>
    <w:rPr>
      <w:rFonts w:ascii="Times New Roman" w:hAnsi="Times New Roman" w:eastAsia="宋体" w:cs="Times New Roman"/>
      <w:b/>
      <w:bCs/>
      <w:szCs w:val="24"/>
    </w:rPr>
  </w:style>
  <w:style w:type="character" w:customStyle="1" w:styleId="197">
    <w:name w:val="尾注文本 Char1"/>
    <w:semiHidden/>
    <w:qFormat/>
    <w:uiPriority w:val="99"/>
    <w:rPr>
      <w:rFonts w:ascii="Times New Roman" w:hAnsi="Times New Roman" w:eastAsia="宋体" w:cs="Times New Roman"/>
      <w:szCs w:val="24"/>
    </w:rPr>
  </w:style>
  <w:style w:type="character" w:customStyle="1" w:styleId="198">
    <w:name w:val="正文文本 3 字符"/>
    <w:qFormat/>
    <w:uiPriority w:val="0"/>
    <w:rPr>
      <w:rFonts w:ascii="Times New Roman" w:hAnsi="Times New Roman" w:eastAsia="宋体" w:cs="Times New Roman"/>
      <w:sz w:val="16"/>
      <w:szCs w:val="16"/>
    </w:rPr>
  </w:style>
  <w:style w:type="character" w:customStyle="1" w:styleId="199">
    <w:name w:val="正文首行缩进 Char1"/>
    <w:semiHidden/>
    <w:qFormat/>
    <w:uiPriority w:val="99"/>
  </w:style>
  <w:style w:type="character" w:customStyle="1" w:styleId="200">
    <w:name w:val="标题 5 字符1"/>
    <w:qFormat/>
    <w:uiPriority w:val="0"/>
    <w:rPr>
      <w:b/>
      <w:bCs/>
      <w:sz w:val="28"/>
      <w:szCs w:val="28"/>
    </w:rPr>
  </w:style>
  <w:style w:type="character" w:customStyle="1" w:styleId="201">
    <w:name w:val="签名 字符"/>
    <w:qFormat/>
    <w:uiPriority w:val="0"/>
    <w:rPr>
      <w:rFonts w:ascii="Times New Roman" w:hAnsi="Times New Roman" w:eastAsia="宋体" w:cs="Times New Roman"/>
      <w:sz w:val="24"/>
      <w:szCs w:val="24"/>
    </w:rPr>
  </w:style>
  <w:style w:type="character" w:customStyle="1" w:styleId="202">
    <w:name w:val="!OSS12 Heading 3 Char"/>
    <w:link w:val="203"/>
    <w:qFormat/>
    <w:locked/>
    <w:uiPriority w:val="0"/>
    <w:rPr>
      <w:rFonts w:ascii="Arial" w:hAnsi="Arial" w:cs="Times New Roman"/>
      <w:b/>
      <w:bCs/>
      <w:color w:val="000000"/>
      <w:sz w:val="24"/>
      <w:szCs w:val="24"/>
    </w:rPr>
  </w:style>
  <w:style w:type="paragraph" w:customStyle="1" w:styleId="203">
    <w:name w:val="!OSS12 Heading 3"/>
    <w:basedOn w:val="6"/>
    <w:next w:val="1"/>
    <w:link w:val="202"/>
    <w:qFormat/>
    <w:uiPriority w:val="0"/>
    <w:pPr>
      <w:keepLines w:val="0"/>
      <w:widowControl/>
      <w:spacing w:before="240" w:after="60" w:line="240" w:lineRule="auto"/>
      <w:jc w:val="left"/>
    </w:pPr>
    <w:rPr>
      <w:rFonts w:ascii="Arial" w:hAnsi="Arial"/>
      <w:color w:val="000000"/>
      <w:sz w:val="24"/>
      <w:szCs w:val="24"/>
    </w:rPr>
  </w:style>
  <w:style w:type="character" w:customStyle="1" w:styleId="204">
    <w:name w:val="信息标题 字符"/>
    <w:qFormat/>
    <w:uiPriority w:val="0"/>
    <w:rPr>
      <w:rFonts w:ascii="Arial" w:hAnsi="Arial" w:eastAsia="宋体" w:cs="Arial"/>
      <w:sz w:val="24"/>
      <w:szCs w:val="24"/>
      <w:shd w:val="pct20" w:color="auto" w:fill="auto"/>
    </w:rPr>
  </w:style>
  <w:style w:type="character" w:customStyle="1" w:styleId="205">
    <w:name w:val="页脚 字符1"/>
    <w:qFormat/>
    <w:uiPriority w:val="99"/>
    <w:rPr>
      <w:rFonts w:ascii="Times New Roman" w:hAnsi="Times New Roman" w:eastAsia="宋体" w:cs="Times New Roman"/>
      <w:sz w:val="18"/>
      <w:szCs w:val="18"/>
    </w:rPr>
  </w:style>
  <w:style w:type="character" w:customStyle="1" w:styleId="206">
    <w:name w:val="明显引用 Char"/>
    <w:link w:val="207"/>
    <w:qFormat/>
    <w:uiPriority w:val="0"/>
    <w:rPr>
      <w:b/>
      <w:bCs/>
      <w:i/>
      <w:iCs/>
      <w:color w:val="4F81BD"/>
      <w:szCs w:val="24"/>
    </w:rPr>
  </w:style>
  <w:style w:type="paragraph" w:customStyle="1" w:styleId="207">
    <w:name w:val="_Style 100"/>
    <w:basedOn w:val="1"/>
    <w:next w:val="1"/>
    <w:link w:val="206"/>
    <w:qFormat/>
    <w:uiPriority w:val="0"/>
    <w:pPr>
      <w:pBdr>
        <w:bottom w:val="single" w:color="4F81BD" w:sz="4" w:space="4"/>
      </w:pBdr>
      <w:spacing w:before="200" w:after="280"/>
      <w:ind w:left="936" w:right="936"/>
    </w:pPr>
    <w:rPr>
      <w:b/>
      <w:bCs/>
      <w:i/>
      <w:iCs/>
      <w:color w:val="4F81BD"/>
      <w:kern w:val="0"/>
      <w:sz w:val="20"/>
    </w:rPr>
  </w:style>
  <w:style w:type="character" w:customStyle="1" w:styleId="208">
    <w:name w:val="明显引用 Char1"/>
    <w:qFormat/>
    <w:uiPriority w:val="30"/>
    <w:rPr>
      <w:rFonts w:ascii="Times New Roman" w:hAnsi="Times New Roman" w:eastAsia="宋体" w:cs="Times New Roman"/>
      <w:b/>
      <w:bCs/>
      <w:i/>
      <w:iCs/>
      <w:color w:val="4F81BD"/>
      <w:szCs w:val="24"/>
    </w:rPr>
  </w:style>
  <w:style w:type="character" w:customStyle="1" w:styleId="209">
    <w:name w:val="HTML 地址 Char1"/>
    <w:semiHidden/>
    <w:qFormat/>
    <w:uiPriority w:val="99"/>
    <w:rPr>
      <w:rFonts w:ascii="Times New Roman" w:hAnsi="Times New Roman" w:eastAsia="宋体" w:cs="Times New Roman"/>
      <w:i/>
      <w:iCs/>
      <w:szCs w:val="24"/>
    </w:rPr>
  </w:style>
  <w:style w:type="character" w:customStyle="1" w:styleId="210">
    <w:name w:val="style181"/>
    <w:qFormat/>
    <w:uiPriority w:val="0"/>
    <w:rPr>
      <w:color w:val="003399"/>
    </w:rPr>
  </w:style>
  <w:style w:type="character" w:customStyle="1" w:styleId="211">
    <w:name w:val="文档结构图 字符"/>
    <w:qFormat/>
    <w:uiPriority w:val="0"/>
    <w:rPr>
      <w:rFonts w:ascii="Times New Roman" w:hAnsi="Times New Roman" w:eastAsia="宋体" w:cs="Times New Roman"/>
      <w:szCs w:val="24"/>
      <w:shd w:val="clear" w:color="auto" w:fill="000080"/>
    </w:rPr>
  </w:style>
  <w:style w:type="character" w:customStyle="1" w:styleId="212">
    <w:name w:val="±íÕýÎÄ"/>
    <w:qFormat/>
    <w:uiPriority w:val="0"/>
    <w:rPr>
      <w:rFonts w:eastAsia="宋体"/>
      <w:kern w:val="2"/>
      <w:sz w:val="21"/>
      <w:szCs w:val="24"/>
      <w:lang w:val="en-US" w:eastAsia="zh-CN" w:bidi="ar-SA"/>
    </w:rPr>
  </w:style>
  <w:style w:type="character" w:customStyle="1" w:styleId="213">
    <w:name w:val="样式 宋体 小四"/>
    <w:qFormat/>
    <w:uiPriority w:val="0"/>
    <w:rPr>
      <w:rFonts w:ascii="宋体" w:hAnsi="宋体"/>
      <w:sz w:val="24"/>
    </w:rPr>
  </w:style>
  <w:style w:type="character" w:customStyle="1" w:styleId="214">
    <w:name w:val="脚注文本 字符"/>
    <w:qFormat/>
    <w:uiPriority w:val="0"/>
    <w:rPr>
      <w:rFonts w:ascii="Times New Roman" w:hAnsi="Times New Roman" w:eastAsia="宋体" w:cs="Times New Roman"/>
      <w:sz w:val="18"/>
      <w:szCs w:val="18"/>
    </w:rPr>
  </w:style>
  <w:style w:type="character" w:customStyle="1" w:styleId="215">
    <w:name w:val="样式 小四 行距: 固定值 23 磅1 Char"/>
    <w:link w:val="216"/>
    <w:qFormat/>
    <w:uiPriority w:val="0"/>
    <w:rPr>
      <w:rFonts w:ascii="Times New Roman" w:hAnsi="Times New Roman" w:cs="Times New Roman"/>
      <w:sz w:val="24"/>
    </w:rPr>
  </w:style>
  <w:style w:type="paragraph" w:customStyle="1" w:styleId="216">
    <w:name w:val="样式 小四 行距: 固定值 23 磅1"/>
    <w:basedOn w:val="1"/>
    <w:link w:val="215"/>
    <w:qFormat/>
    <w:uiPriority w:val="0"/>
    <w:pPr>
      <w:spacing w:line="460" w:lineRule="exact"/>
      <w:ind w:firstLine="480" w:firstLineChars="200"/>
    </w:pPr>
    <w:rPr>
      <w:kern w:val="0"/>
      <w:sz w:val="24"/>
      <w:szCs w:val="20"/>
    </w:rPr>
  </w:style>
  <w:style w:type="character" w:customStyle="1" w:styleId="217">
    <w:name w:val="正文文本 3 Char1"/>
    <w:semiHidden/>
    <w:qFormat/>
    <w:uiPriority w:val="99"/>
    <w:rPr>
      <w:rFonts w:ascii="Times New Roman" w:hAnsi="Times New Roman" w:eastAsia="宋体" w:cs="Times New Roman"/>
      <w:sz w:val="16"/>
      <w:szCs w:val="16"/>
    </w:rPr>
  </w:style>
  <w:style w:type="character" w:customStyle="1" w:styleId="218">
    <w:name w:val="正文文本缩进 3 字符"/>
    <w:qFormat/>
    <w:uiPriority w:val="0"/>
    <w:rPr>
      <w:rFonts w:ascii="Times New Roman" w:hAnsi="Times New Roman" w:eastAsia="宋体" w:cs="Times New Roman"/>
      <w:sz w:val="16"/>
      <w:szCs w:val="16"/>
    </w:rPr>
  </w:style>
  <w:style w:type="character" w:customStyle="1" w:styleId="219">
    <w:name w:val="电子邮件签名 Char1"/>
    <w:semiHidden/>
    <w:qFormat/>
    <w:uiPriority w:val="99"/>
    <w:rPr>
      <w:rFonts w:ascii="Times New Roman" w:hAnsi="Times New Roman" w:eastAsia="宋体" w:cs="Times New Roman"/>
      <w:szCs w:val="24"/>
    </w:rPr>
  </w:style>
  <w:style w:type="character" w:customStyle="1" w:styleId="220">
    <w:name w:val="脚注文本 Char1"/>
    <w:semiHidden/>
    <w:qFormat/>
    <w:uiPriority w:val="99"/>
    <w:rPr>
      <w:rFonts w:ascii="Times New Roman" w:hAnsi="Times New Roman" w:eastAsia="宋体" w:cs="Times New Roman"/>
      <w:sz w:val="18"/>
      <w:szCs w:val="18"/>
    </w:rPr>
  </w:style>
  <w:style w:type="character" w:customStyle="1" w:styleId="221">
    <w:name w:val="文档结构图 Char1"/>
    <w:semiHidden/>
    <w:qFormat/>
    <w:uiPriority w:val="99"/>
    <w:rPr>
      <w:rFonts w:ascii="宋体" w:hAnsi="Times New Roman" w:eastAsia="宋体" w:cs="Times New Roman"/>
      <w:sz w:val="18"/>
      <w:szCs w:val="18"/>
    </w:rPr>
  </w:style>
  <w:style w:type="character" w:customStyle="1" w:styleId="222">
    <w:name w:val="Figure Description Char"/>
    <w:link w:val="223"/>
    <w:qFormat/>
    <w:uiPriority w:val="0"/>
    <w:rPr>
      <w:rFonts w:ascii="Arial" w:hAnsi="Arial" w:eastAsia="黑体"/>
      <w:sz w:val="18"/>
      <w:szCs w:val="18"/>
    </w:rPr>
  </w:style>
  <w:style w:type="paragraph" w:customStyle="1" w:styleId="223">
    <w:name w:val="Figure Description"/>
    <w:basedOn w:val="1"/>
    <w:next w:val="1"/>
    <w:link w:val="222"/>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224">
    <w:name w:val="标题 9 字符"/>
    <w:qFormat/>
    <w:uiPriority w:val="0"/>
    <w:rPr>
      <w:rFonts w:ascii="Arial" w:hAnsi="Arial" w:eastAsia="黑体" w:cs="Times New Roman"/>
      <w:szCs w:val="21"/>
    </w:rPr>
  </w:style>
  <w:style w:type="character" w:customStyle="1" w:styleId="225">
    <w:name w:val="标题 3 Char1"/>
    <w:qFormat/>
    <w:uiPriority w:val="0"/>
    <w:rPr>
      <w:rFonts w:ascii="Times New Roman" w:hAnsi="Times New Roman" w:eastAsia="宋体" w:cs="Times New Roman"/>
      <w:b/>
      <w:bCs/>
      <w:kern w:val="2"/>
      <w:sz w:val="32"/>
      <w:szCs w:val="32"/>
    </w:rPr>
  </w:style>
  <w:style w:type="character" w:customStyle="1" w:styleId="226">
    <w:name w:val="页眉 Char1"/>
    <w:semiHidden/>
    <w:qFormat/>
    <w:uiPriority w:val="99"/>
    <w:rPr>
      <w:rFonts w:ascii="Times New Roman" w:hAnsi="Times New Roman" w:eastAsia="宋体" w:cs="Times New Roman"/>
      <w:sz w:val="18"/>
      <w:szCs w:val="18"/>
    </w:rPr>
  </w:style>
  <w:style w:type="character" w:customStyle="1" w:styleId="227">
    <w:name w:val="正文首行缩进2 Char"/>
    <w:qFormat/>
    <w:uiPriority w:val="0"/>
    <w:rPr>
      <w:rFonts w:ascii="Arial" w:hAnsi="Arial" w:eastAsia="宋体"/>
      <w:sz w:val="21"/>
      <w:lang w:val="en-US" w:eastAsia="zh-CN" w:bidi="ar-SA"/>
    </w:rPr>
  </w:style>
  <w:style w:type="character" w:customStyle="1" w:styleId="228">
    <w:name w:val="正文文本 2 字符"/>
    <w:qFormat/>
    <w:uiPriority w:val="0"/>
    <w:rPr>
      <w:rFonts w:ascii="Times New Roman" w:hAnsi="Times New Roman" w:eastAsia="宋体" w:cs="Times New Roman"/>
      <w:sz w:val="24"/>
      <w:szCs w:val="24"/>
    </w:rPr>
  </w:style>
  <w:style w:type="character" w:customStyle="1" w:styleId="229">
    <w:name w:val="HTML 地址 字符"/>
    <w:qFormat/>
    <w:uiPriority w:val="0"/>
    <w:rPr>
      <w:rFonts w:ascii="Times New Roman" w:hAnsi="Times New Roman" w:eastAsia="宋体" w:cs="Times New Roman"/>
      <w:i/>
      <w:iCs/>
      <w:sz w:val="24"/>
      <w:szCs w:val="24"/>
    </w:rPr>
  </w:style>
  <w:style w:type="character" w:customStyle="1" w:styleId="230">
    <w:name w:val="HTML 预设格式 Char1"/>
    <w:semiHidden/>
    <w:qFormat/>
    <w:uiPriority w:val="99"/>
    <w:rPr>
      <w:rFonts w:ascii="Courier New" w:hAnsi="Courier New" w:eastAsia="宋体" w:cs="Courier New"/>
      <w:sz w:val="20"/>
      <w:szCs w:val="20"/>
    </w:rPr>
  </w:style>
  <w:style w:type="character" w:customStyle="1" w:styleId="231">
    <w:name w:val="标题 2 字符1"/>
    <w:qFormat/>
    <w:uiPriority w:val="0"/>
    <w:rPr>
      <w:rFonts w:ascii="Cambria" w:hAnsi="Cambria" w:eastAsia="宋体" w:cs="Times New Roman"/>
      <w:b/>
      <w:bCs/>
      <w:sz w:val="32"/>
      <w:szCs w:val="32"/>
    </w:rPr>
  </w:style>
  <w:style w:type="character" w:customStyle="1" w:styleId="232">
    <w:name w:val="引用 Char1"/>
    <w:qFormat/>
    <w:uiPriority w:val="29"/>
    <w:rPr>
      <w:rFonts w:ascii="Times New Roman" w:hAnsi="Times New Roman" w:eastAsia="宋体" w:cs="Times New Roman"/>
      <w:i/>
      <w:iCs/>
      <w:color w:val="000000"/>
      <w:szCs w:val="24"/>
    </w:rPr>
  </w:style>
  <w:style w:type="character" w:customStyle="1" w:styleId="233">
    <w:name w:val="标题5 Char"/>
    <w:link w:val="234"/>
    <w:qFormat/>
    <w:uiPriority w:val="0"/>
    <w:rPr>
      <w:rFonts w:ascii="Times New Roman" w:hAnsi="Times New Roman" w:cs="Times New Roman"/>
      <w:b/>
      <w:bCs/>
      <w:sz w:val="28"/>
      <w:szCs w:val="28"/>
    </w:rPr>
  </w:style>
  <w:style w:type="paragraph" w:customStyle="1" w:styleId="234">
    <w:name w:val="标题5"/>
    <w:basedOn w:val="8"/>
    <w:link w:val="233"/>
    <w:qFormat/>
    <w:uiPriority w:val="0"/>
    <w:pPr>
      <w:keepLines/>
      <w:numPr>
        <w:ilvl w:val="0"/>
        <w:numId w:val="0"/>
      </w:numPr>
      <w:tabs>
        <w:tab w:val="clear" w:pos="1260"/>
        <w:tab w:val="clear" w:pos="1320"/>
      </w:tabs>
      <w:spacing w:before="280" w:after="290" w:line="376" w:lineRule="auto"/>
    </w:pPr>
    <w:rPr>
      <w:rFonts w:ascii="Times New Roman" w:hAnsi="Times New Roman"/>
      <w:kern w:val="0"/>
      <w:sz w:val="28"/>
      <w:szCs w:val="28"/>
    </w:rPr>
  </w:style>
  <w:style w:type="character" w:customStyle="1" w:styleId="235">
    <w:name w:val="Normal1"/>
    <w:qFormat/>
    <w:uiPriority w:val="0"/>
    <w:rPr>
      <w:color w:val="A04421"/>
      <w:sz w:val="24"/>
    </w:rPr>
  </w:style>
  <w:style w:type="character" w:customStyle="1" w:styleId="236">
    <w:name w:val="正文首行缩进 字符"/>
    <w:qFormat/>
    <w:uiPriority w:val="0"/>
    <w:rPr>
      <w:rFonts w:ascii="Times New Roman" w:hAnsi="Times New Roman" w:eastAsia="宋体" w:cs="Times New Roman"/>
      <w:szCs w:val="24"/>
    </w:rPr>
  </w:style>
  <w:style w:type="character" w:customStyle="1" w:styleId="237">
    <w:name w:val="def正文 Char"/>
    <w:link w:val="238"/>
    <w:qFormat/>
    <w:uiPriority w:val="0"/>
    <w:rPr>
      <w:rFonts w:eastAsia="Times New Roman"/>
      <w:szCs w:val="21"/>
      <w:lang w:val="en-US" w:eastAsia="zh-CN" w:bidi="ar-SA"/>
    </w:rPr>
  </w:style>
  <w:style w:type="paragraph" w:customStyle="1" w:styleId="238">
    <w:name w:val="def正文"/>
    <w:link w:val="237"/>
    <w:qFormat/>
    <w:uiPriority w:val="0"/>
    <w:pPr>
      <w:spacing w:line="276" w:lineRule="auto"/>
      <w:jc w:val="center"/>
    </w:pPr>
    <w:rPr>
      <w:rFonts w:ascii="Times New Roman" w:hAnsi="Times New Roman" w:eastAsia="Times New Roman" w:cs="Times New Roman"/>
      <w:szCs w:val="21"/>
      <w:lang w:val="en-US" w:eastAsia="zh-CN" w:bidi="ar-SA"/>
    </w:rPr>
  </w:style>
  <w:style w:type="character" w:customStyle="1" w:styleId="239">
    <w:name w:val="标题 2 Char"/>
    <w:qFormat/>
    <w:uiPriority w:val="0"/>
    <w:rPr>
      <w:rFonts w:ascii="Cambria" w:hAnsi="Cambria" w:eastAsia="宋体" w:cs="Times New Roman"/>
      <w:b/>
      <w:bCs/>
      <w:sz w:val="32"/>
      <w:szCs w:val="32"/>
    </w:rPr>
  </w:style>
  <w:style w:type="character" w:customStyle="1" w:styleId="240">
    <w:name w:val="15"/>
    <w:qFormat/>
    <w:uiPriority w:val="0"/>
    <w:rPr>
      <w:rFonts w:hint="default" w:ascii="Times New Roman" w:hAnsi="Times New Roman" w:cs="Times New Roman"/>
      <w:b/>
      <w:bCs/>
      <w:sz w:val="20"/>
      <w:szCs w:val="20"/>
    </w:rPr>
  </w:style>
  <w:style w:type="character" w:customStyle="1" w:styleId="241">
    <w:name w:val="article1"/>
    <w:qFormat/>
    <w:uiPriority w:val="0"/>
  </w:style>
  <w:style w:type="character" w:customStyle="1" w:styleId="242">
    <w:name w:val="dash6b63_6587__char1"/>
    <w:qFormat/>
    <w:uiPriority w:val="0"/>
    <w:rPr>
      <w:rFonts w:ascii="Times New Roman" w:hAnsi="Times New Roman" w:eastAsia="仿宋_GB2312"/>
      <w:sz w:val="20"/>
      <w:u w:val="none"/>
      <w:lang w:val="en-US" w:eastAsia="zh-CN"/>
    </w:rPr>
  </w:style>
  <w:style w:type="character" w:customStyle="1" w:styleId="243">
    <w:name w:val="标题 1 字符1"/>
    <w:qFormat/>
    <w:uiPriority w:val="0"/>
    <w:rPr>
      <w:b/>
      <w:bCs/>
      <w:kern w:val="44"/>
      <w:sz w:val="44"/>
      <w:szCs w:val="44"/>
    </w:rPr>
  </w:style>
  <w:style w:type="character" w:customStyle="1" w:styleId="244">
    <w:name w:val="unnamed11"/>
    <w:qFormat/>
    <w:uiPriority w:val="0"/>
  </w:style>
  <w:style w:type="character" w:customStyle="1" w:styleId="245">
    <w:name w:val="标题 Char1"/>
    <w:qFormat/>
    <w:uiPriority w:val="10"/>
    <w:rPr>
      <w:rFonts w:ascii="Cambria" w:hAnsi="Cambria" w:eastAsia="宋体" w:cs="Times New Roman"/>
      <w:b/>
      <w:bCs/>
      <w:sz w:val="32"/>
      <w:szCs w:val="32"/>
    </w:rPr>
  </w:style>
  <w:style w:type="character" w:customStyle="1" w:styleId="246">
    <w:name w:val="标题 4 字符"/>
    <w:qFormat/>
    <w:uiPriority w:val="0"/>
    <w:rPr>
      <w:rFonts w:ascii="Arial" w:hAnsi="Arial"/>
      <w:b/>
      <w:bCs/>
      <w:sz w:val="24"/>
      <w:szCs w:val="28"/>
    </w:rPr>
  </w:style>
  <w:style w:type="character" w:customStyle="1" w:styleId="247">
    <w:name w:val="正文文本缩进 2 字符"/>
    <w:qFormat/>
    <w:uiPriority w:val="0"/>
    <w:rPr>
      <w:rFonts w:ascii="Times New Roman" w:hAnsi="Times New Roman" w:eastAsia="宋体" w:cs="Times New Roman"/>
      <w:szCs w:val="24"/>
    </w:rPr>
  </w:style>
  <w:style w:type="character" w:customStyle="1" w:styleId="248">
    <w:name w:val="Head 3 Char Ch"/>
    <w:qFormat/>
    <w:uiPriority w:val="0"/>
    <w:rPr>
      <w:rFonts w:eastAsia="华文中宋"/>
      <w:b/>
      <w:bCs/>
      <w:kern w:val="2"/>
      <w:sz w:val="32"/>
      <w:szCs w:val="32"/>
      <w:lang w:val="en-US" w:eastAsia="zh-CN" w:bidi="ar-SA"/>
    </w:rPr>
  </w:style>
  <w:style w:type="character" w:customStyle="1" w:styleId="249">
    <w:name w:val="Hyperlink.2"/>
    <w:qFormat/>
    <w:uiPriority w:val="0"/>
    <w:rPr>
      <w:rFonts w:hint="eastAsia" w:ascii="宋体" w:hAnsi="宋体" w:eastAsia="宋体" w:cs="宋体"/>
      <w:sz w:val="24"/>
      <w:szCs w:val="24"/>
      <w:lang w:val="zh-TW" w:eastAsia="zh-TW"/>
    </w:rPr>
  </w:style>
  <w:style w:type="character" w:customStyle="1" w:styleId="250">
    <w:name w:val="h3 Char"/>
    <w:qFormat/>
    <w:uiPriority w:val="0"/>
    <w:rPr>
      <w:rFonts w:eastAsia="宋体"/>
      <w:b/>
      <w:bCs/>
      <w:kern w:val="2"/>
      <w:sz w:val="32"/>
      <w:szCs w:val="32"/>
      <w:lang w:val="en-US" w:eastAsia="zh-CN" w:bidi="ar-SA"/>
    </w:rPr>
  </w:style>
  <w:style w:type="character" w:customStyle="1" w:styleId="251">
    <w:name w:val="信息标题 Char1"/>
    <w:semiHidden/>
    <w:qFormat/>
    <w:uiPriority w:val="99"/>
    <w:rPr>
      <w:rFonts w:ascii="Cambria" w:hAnsi="Cambria" w:eastAsia="宋体" w:cs="Times New Roman"/>
      <w:sz w:val="24"/>
      <w:szCs w:val="24"/>
      <w:shd w:val="pct20" w:color="auto" w:fill="auto"/>
    </w:rPr>
  </w:style>
  <w:style w:type="character" w:customStyle="1" w:styleId="252">
    <w:name w:val="称呼 字符"/>
    <w:qFormat/>
    <w:uiPriority w:val="0"/>
    <w:rPr>
      <w:rFonts w:ascii="Times New Roman" w:hAnsi="Times New Roman" w:eastAsia="宋体" w:cs="Times New Roman"/>
      <w:sz w:val="24"/>
      <w:szCs w:val="24"/>
    </w:rPr>
  </w:style>
  <w:style w:type="character" w:customStyle="1" w:styleId="253">
    <w:name w:val="HTML 预设格式 字符"/>
    <w:qFormat/>
    <w:uiPriority w:val="0"/>
    <w:rPr>
      <w:rFonts w:ascii="Courier New" w:hAnsi="Courier New" w:eastAsia="宋体" w:cs="Courier New"/>
      <w:sz w:val="20"/>
      <w:szCs w:val="20"/>
    </w:rPr>
  </w:style>
  <w:style w:type="character" w:customStyle="1" w:styleId="254">
    <w:name w:val="Figure Char"/>
    <w:link w:val="255"/>
    <w:qFormat/>
    <w:uiPriority w:val="0"/>
    <w:rPr>
      <w:rFonts w:ascii="Times New Roman" w:hAnsi="Times New Roman" w:cs="Times New Roman"/>
      <w:szCs w:val="21"/>
    </w:rPr>
  </w:style>
  <w:style w:type="paragraph" w:customStyle="1" w:styleId="255">
    <w:name w:val="Figure"/>
    <w:basedOn w:val="1"/>
    <w:link w:val="254"/>
    <w:qFormat/>
    <w:uiPriority w:val="0"/>
    <w:pPr>
      <w:autoSpaceDE w:val="0"/>
      <w:autoSpaceDN w:val="0"/>
      <w:adjustRightInd w:val="0"/>
      <w:spacing w:line="360" w:lineRule="auto"/>
      <w:jc w:val="center"/>
    </w:pPr>
    <w:rPr>
      <w:kern w:val="0"/>
      <w:sz w:val="20"/>
      <w:szCs w:val="21"/>
    </w:rPr>
  </w:style>
  <w:style w:type="character" w:customStyle="1" w:styleId="256">
    <w:name w:val="small"/>
    <w:qFormat/>
    <w:uiPriority w:val="0"/>
  </w:style>
  <w:style w:type="character" w:customStyle="1" w:styleId="257">
    <w:name w:val="表格内文 Char"/>
    <w:link w:val="258"/>
    <w:qFormat/>
    <w:uiPriority w:val="0"/>
    <w:rPr>
      <w:rFonts w:ascii="Arial" w:hAnsi="Arial" w:cs="Times New Roman"/>
    </w:rPr>
  </w:style>
  <w:style w:type="paragraph" w:customStyle="1" w:styleId="258">
    <w:name w:val="表格内文"/>
    <w:basedOn w:val="1"/>
    <w:link w:val="257"/>
    <w:qFormat/>
    <w:uiPriority w:val="0"/>
    <w:pPr>
      <w:autoSpaceDE w:val="0"/>
      <w:autoSpaceDN w:val="0"/>
      <w:adjustRightInd w:val="0"/>
      <w:spacing w:line="360" w:lineRule="auto"/>
      <w:jc w:val="left"/>
    </w:pPr>
    <w:rPr>
      <w:rFonts w:ascii="Arial" w:hAnsi="Arial"/>
      <w:kern w:val="0"/>
      <w:sz w:val="20"/>
      <w:szCs w:val="20"/>
    </w:rPr>
  </w:style>
  <w:style w:type="character" w:customStyle="1" w:styleId="259">
    <w:name w:val="电子邮件签名 字符"/>
    <w:qFormat/>
    <w:uiPriority w:val="0"/>
    <w:rPr>
      <w:rFonts w:ascii="Times New Roman" w:hAnsi="Times New Roman" w:eastAsia="宋体" w:cs="Times New Roman"/>
      <w:sz w:val="24"/>
      <w:szCs w:val="24"/>
    </w:rPr>
  </w:style>
  <w:style w:type="character" w:customStyle="1" w:styleId="260">
    <w:name w:val="无间隔 字符"/>
    <w:link w:val="261"/>
    <w:qFormat/>
    <w:uiPriority w:val="1"/>
    <w:rPr>
      <w:sz w:val="22"/>
      <w:szCs w:val="22"/>
      <w:lang w:val="en-US" w:eastAsia="zh-CN" w:bidi="ar-SA"/>
    </w:rPr>
  </w:style>
  <w:style w:type="paragraph" w:styleId="261">
    <w:name w:val="No Spacing"/>
    <w:link w:val="260"/>
    <w:qFormat/>
    <w:uiPriority w:val="1"/>
    <w:rPr>
      <w:rFonts w:ascii="Times New Roman" w:hAnsi="Times New Roman" w:eastAsia="宋体" w:cs="Times New Roman"/>
      <w:sz w:val="22"/>
      <w:szCs w:val="22"/>
      <w:lang w:val="en-US" w:eastAsia="zh-CN" w:bidi="ar-SA"/>
    </w:rPr>
  </w:style>
  <w:style w:type="character" w:customStyle="1" w:styleId="262">
    <w:name w:val="标准文本 Char"/>
    <w:link w:val="263"/>
    <w:qFormat/>
    <w:uiPriority w:val="0"/>
    <w:rPr>
      <w:rFonts w:ascii="宋体" w:hAnsi="宋体" w:cs="Times New Roman"/>
      <w:szCs w:val="21"/>
    </w:rPr>
  </w:style>
  <w:style w:type="paragraph" w:customStyle="1" w:styleId="263">
    <w:name w:val="标准文本"/>
    <w:basedOn w:val="1"/>
    <w:link w:val="262"/>
    <w:qFormat/>
    <w:uiPriority w:val="0"/>
    <w:pPr>
      <w:spacing w:line="300" w:lineRule="auto"/>
      <w:ind w:firstLine="420" w:firstLineChars="200"/>
    </w:pPr>
    <w:rPr>
      <w:rFonts w:ascii="宋体" w:hAnsi="宋体"/>
      <w:kern w:val="0"/>
      <w:sz w:val="20"/>
      <w:szCs w:val="21"/>
    </w:rPr>
  </w:style>
  <w:style w:type="character" w:customStyle="1" w:styleId="264">
    <w:name w:val="bodysubtitle1"/>
    <w:qFormat/>
    <w:uiPriority w:val="0"/>
    <w:rPr>
      <w:rFonts w:hint="default" w:ascii="Arial" w:hAnsi="Arial" w:cs="Arial"/>
      <w:b/>
      <w:bCs/>
      <w:color w:val="000000"/>
      <w:spacing w:val="280"/>
      <w:sz w:val="22"/>
      <w:szCs w:val="22"/>
    </w:rPr>
  </w:style>
  <w:style w:type="character" w:customStyle="1" w:styleId="265">
    <w:name w:val="content"/>
    <w:qFormat/>
    <w:uiPriority w:val="0"/>
  </w:style>
  <w:style w:type="character" w:customStyle="1" w:styleId="266">
    <w:name w:val="注释标题 Char1"/>
    <w:semiHidden/>
    <w:qFormat/>
    <w:uiPriority w:val="99"/>
    <w:rPr>
      <w:rFonts w:ascii="Times New Roman" w:hAnsi="Times New Roman" w:eastAsia="宋体" w:cs="Times New Roman"/>
      <w:szCs w:val="24"/>
    </w:rPr>
  </w:style>
  <w:style w:type="character" w:customStyle="1" w:styleId="267">
    <w:name w:val="页脚 字符"/>
    <w:qFormat/>
    <w:uiPriority w:val="99"/>
    <w:rPr>
      <w:sz w:val="18"/>
      <w:szCs w:val="18"/>
    </w:rPr>
  </w:style>
  <w:style w:type="character" w:customStyle="1" w:styleId="268">
    <w:name w:val="正文不 Char"/>
    <w:qFormat/>
    <w:uiPriority w:val="0"/>
    <w:rPr>
      <w:rFonts w:eastAsia="宋体"/>
      <w:kern w:val="2"/>
      <w:sz w:val="21"/>
      <w:szCs w:val="24"/>
      <w:lang w:val="en-US" w:eastAsia="zh-CN" w:bidi="ar-SA"/>
    </w:rPr>
  </w:style>
  <w:style w:type="character" w:customStyle="1" w:styleId="269">
    <w:name w:val="批注框文本 字符1"/>
    <w:semiHidden/>
    <w:qFormat/>
    <w:uiPriority w:val="0"/>
    <w:rPr>
      <w:sz w:val="18"/>
      <w:szCs w:val="18"/>
    </w:rPr>
  </w:style>
  <w:style w:type="character" w:customStyle="1" w:styleId="270">
    <w:name w:val="尾注文本 字符"/>
    <w:qFormat/>
    <w:uiPriority w:val="0"/>
    <w:rPr>
      <w:rFonts w:ascii="Times New Roman" w:hAnsi="Times New Roman" w:eastAsia="宋体" w:cs="Times New Roman"/>
      <w:sz w:val="24"/>
      <w:szCs w:val="24"/>
    </w:rPr>
  </w:style>
  <w:style w:type="character" w:customStyle="1" w:styleId="271">
    <w:name w:val="正文首行缩进 2 字符"/>
    <w:qFormat/>
    <w:uiPriority w:val="0"/>
    <w:rPr>
      <w:rFonts w:ascii="Times New Roman" w:hAnsi="Times New Roman" w:eastAsia="宋体" w:cs="Times New Roman"/>
      <w:szCs w:val="24"/>
    </w:rPr>
  </w:style>
  <w:style w:type="character" w:customStyle="1" w:styleId="272">
    <w:name w:val="批注框文本 字符"/>
    <w:semiHidden/>
    <w:qFormat/>
    <w:uiPriority w:val="99"/>
    <w:rPr>
      <w:sz w:val="18"/>
      <w:szCs w:val="18"/>
    </w:rPr>
  </w:style>
  <w:style w:type="character" w:customStyle="1" w:styleId="273">
    <w:name w:val="short_text"/>
    <w:qFormat/>
    <w:uiPriority w:val="0"/>
  </w:style>
  <w:style w:type="character" w:customStyle="1" w:styleId="274">
    <w:name w:val="gray121"/>
    <w:qFormat/>
    <w:uiPriority w:val="0"/>
    <w:rPr>
      <w:rFonts w:hint="default" w:ascii="_x000B__x000C_" w:hAnsi="_x000B__x000C_"/>
      <w:color w:val="333333"/>
      <w:sz w:val="18"/>
      <w:szCs w:val="18"/>
      <w:u w:val="none"/>
    </w:rPr>
  </w:style>
  <w:style w:type="character" w:customStyle="1" w:styleId="275">
    <w:name w:val="标题 6 字符"/>
    <w:qFormat/>
    <w:uiPriority w:val="0"/>
    <w:rPr>
      <w:rFonts w:ascii="Arial" w:hAnsi="Arial" w:eastAsia="黑体" w:cs="Times New Roman"/>
      <w:b/>
      <w:bCs/>
      <w:sz w:val="24"/>
      <w:szCs w:val="24"/>
    </w:rPr>
  </w:style>
  <w:style w:type="character" w:customStyle="1" w:styleId="276">
    <w:name w:val="正文文本缩进 字符"/>
    <w:qFormat/>
    <w:uiPriority w:val="0"/>
    <w:rPr>
      <w:rFonts w:ascii="Times New Roman" w:hAnsi="Times New Roman" w:eastAsia="宋体" w:cs="Times New Roman"/>
      <w:szCs w:val="24"/>
    </w:rPr>
  </w:style>
  <w:style w:type="character" w:customStyle="1" w:styleId="277">
    <w:name w:val="批注文字 字符2"/>
    <w:qFormat/>
    <w:uiPriority w:val="0"/>
    <w:rPr>
      <w:rFonts w:ascii="Times New Roman" w:hAnsi="Times New Roman" w:eastAsia="宋体" w:cs="Times New Roman"/>
      <w:szCs w:val="24"/>
    </w:rPr>
  </w:style>
  <w:style w:type="character" w:customStyle="1" w:styleId="278">
    <w:name w:val="p1481"/>
    <w:qFormat/>
    <w:uiPriority w:val="0"/>
  </w:style>
  <w:style w:type="character" w:customStyle="1" w:styleId="279">
    <w:name w:val="批注文字 字符1"/>
    <w:qFormat/>
    <w:uiPriority w:val="0"/>
    <w:rPr>
      <w:rFonts w:ascii="Times New Roman" w:hAnsi="Times New Roman" w:eastAsia="宋体" w:cs="Times New Roman"/>
      <w:szCs w:val="24"/>
    </w:rPr>
  </w:style>
  <w:style w:type="character" w:customStyle="1" w:styleId="280">
    <w:name w:val="标题 1 字符"/>
    <w:qFormat/>
    <w:uiPriority w:val="9"/>
    <w:rPr>
      <w:rFonts w:ascii="Times New Roman" w:hAnsi="Times New Roman" w:eastAsia="宋体" w:cs="Times New Roman"/>
      <w:b/>
      <w:bCs/>
      <w:kern w:val="44"/>
      <w:sz w:val="44"/>
      <w:szCs w:val="44"/>
    </w:rPr>
  </w:style>
  <w:style w:type="character" w:customStyle="1" w:styleId="281">
    <w:name w:val="subtitle1"/>
    <w:qFormat/>
    <w:uiPriority w:val="0"/>
    <w:rPr>
      <w:rFonts w:hint="default" w:ascii="Arial" w:hAnsi="Arial" w:cs="Arial"/>
      <w:sz w:val="23"/>
      <w:szCs w:val="23"/>
    </w:rPr>
  </w:style>
  <w:style w:type="character" w:customStyle="1" w:styleId="282">
    <w:name w:val="样式 楷体_GB2312"/>
    <w:qFormat/>
    <w:uiPriority w:val="0"/>
    <w:rPr>
      <w:rFonts w:ascii="Arial" w:hAnsi="Arial" w:eastAsia="仿宋_GB2312"/>
      <w:sz w:val="24"/>
    </w:rPr>
  </w:style>
  <w:style w:type="character" w:customStyle="1" w:styleId="283">
    <w:name w:val="样式 宋体 行距: 多倍行距 1.25 字行 韩海东 Char"/>
    <w:link w:val="284"/>
    <w:qFormat/>
    <w:uiPriority w:val="0"/>
    <w:rPr>
      <w:rFonts w:ascii="宋体" w:hAnsi="宋体" w:cs="Times New Roman"/>
    </w:rPr>
  </w:style>
  <w:style w:type="paragraph" w:customStyle="1" w:styleId="284">
    <w:name w:val="样式 宋体 行距: 多倍行距 1.25 字行 韩海东"/>
    <w:basedOn w:val="1"/>
    <w:link w:val="283"/>
    <w:qFormat/>
    <w:uiPriority w:val="0"/>
    <w:pPr>
      <w:spacing w:line="300" w:lineRule="auto"/>
      <w:ind w:left="158" w:leftChars="75" w:right="-315" w:rightChars="-150" w:firstLine="420" w:firstLineChars="200"/>
    </w:pPr>
    <w:rPr>
      <w:rFonts w:ascii="宋体" w:hAnsi="宋体"/>
      <w:kern w:val="0"/>
      <w:sz w:val="20"/>
      <w:szCs w:val="20"/>
    </w:rPr>
  </w:style>
  <w:style w:type="character" w:customStyle="1" w:styleId="285">
    <w:name w:val="正文首行缩进 2 Char1"/>
    <w:semiHidden/>
    <w:qFormat/>
    <w:uiPriority w:val="99"/>
  </w:style>
  <w:style w:type="character" w:customStyle="1" w:styleId="286">
    <w:name w:val="bodytext1"/>
    <w:qFormat/>
    <w:uiPriority w:val="0"/>
    <w:rPr>
      <w:rFonts w:hint="default" w:ascii="Arial" w:hAnsi="Arial" w:cs="Arial"/>
      <w:color w:val="000000"/>
      <w:sz w:val="20"/>
      <w:szCs w:val="20"/>
    </w:rPr>
  </w:style>
  <w:style w:type="character" w:customStyle="1" w:styleId="287">
    <w:name w:val="标题 5 字符"/>
    <w:qFormat/>
    <w:uiPriority w:val="0"/>
    <w:rPr>
      <w:rFonts w:ascii="Calibri" w:hAnsi="Calibri" w:eastAsia="宋体" w:cs="Times New Roman"/>
      <w:b/>
      <w:bCs/>
      <w:sz w:val="28"/>
      <w:szCs w:val="28"/>
    </w:rPr>
  </w:style>
  <w:style w:type="character" w:customStyle="1" w:styleId="288">
    <w:name w:val="批注文字 字符"/>
    <w:semiHidden/>
    <w:qFormat/>
    <w:uiPriority w:val="99"/>
  </w:style>
  <w:style w:type="character" w:customStyle="1" w:styleId="289">
    <w:name w:val="我的正文 字符"/>
    <w:link w:val="290"/>
    <w:qFormat/>
    <w:uiPriority w:val="0"/>
    <w:rPr>
      <w:rFonts w:ascii="宋体" w:hAnsi="宋体" w:cs="Times New Roman"/>
      <w:sz w:val="24"/>
      <w:szCs w:val="24"/>
    </w:rPr>
  </w:style>
  <w:style w:type="paragraph" w:customStyle="1" w:styleId="290">
    <w:name w:val="我的正文"/>
    <w:basedOn w:val="1"/>
    <w:link w:val="289"/>
    <w:qFormat/>
    <w:uiPriority w:val="0"/>
    <w:pPr>
      <w:adjustRightInd w:val="0"/>
      <w:spacing w:line="360" w:lineRule="auto"/>
      <w:ind w:firstLine="480" w:firstLineChars="200"/>
      <w:textAlignment w:val="baseline"/>
    </w:pPr>
    <w:rPr>
      <w:rFonts w:ascii="宋体" w:hAnsi="宋体"/>
      <w:kern w:val="0"/>
      <w:sz w:val="24"/>
    </w:rPr>
  </w:style>
  <w:style w:type="character" w:customStyle="1" w:styleId="291">
    <w:name w:val="纯文本 Char2"/>
    <w:qFormat/>
    <w:uiPriority w:val="0"/>
    <w:rPr>
      <w:rFonts w:ascii="宋体" w:hAnsi="Courier New"/>
      <w:kern w:val="2"/>
      <w:sz w:val="21"/>
      <w:szCs w:val="21"/>
    </w:rPr>
  </w:style>
  <w:style w:type="paragraph" w:customStyle="1" w:styleId="292">
    <w:name w:val="Char3"/>
    <w:basedOn w:val="27"/>
    <w:qFormat/>
    <w:uiPriority w:val="0"/>
    <w:pPr>
      <w:shd w:val="clear" w:color="auto" w:fill="000080"/>
      <w:adjustRightInd w:val="0"/>
      <w:snapToGrid w:val="0"/>
      <w:spacing w:line="360" w:lineRule="auto"/>
    </w:pPr>
    <w:rPr>
      <w:rFonts w:ascii="Tahoma" w:hAnsi="Tahoma"/>
      <w:sz w:val="24"/>
      <w:szCs w:val="24"/>
    </w:rPr>
  </w:style>
  <w:style w:type="paragraph" w:customStyle="1" w:styleId="293">
    <w:name w:val="CM26"/>
    <w:basedOn w:val="294"/>
    <w:next w:val="294"/>
    <w:qFormat/>
    <w:uiPriority w:val="0"/>
    <w:pPr>
      <w:spacing w:line="468" w:lineRule="atLeast"/>
    </w:pPr>
    <w:rPr>
      <w:rFonts w:ascii="Trebuchet MS" w:hAnsi="Trebuchet MS" w:cs="Times New Roman"/>
      <w:color w:val="auto"/>
    </w:rPr>
  </w:style>
  <w:style w:type="paragraph" w:customStyle="1" w:styleId="2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5">
    <w:name w:val="正文6"/>
    <w:basedOn w:val="1"/>
    <w:qFormat/>
    <w:uiPriority w:val="0"/>
    <w:pPr>
      <w:spacing w:line="300" w:lineRule="auto"/>
    </w:pPr>
    <w:rPr>
      <w:rFonts w:ascii="宋体" w:hAnsi="宋体" w:cs="宋体"/>
      <w:szCs w:val="20"/>
    </w:rPr>
  </w:style>
  <w:style w:type="paragraph" w:customStyle="1" w:styleId="296">
    <w:name w:val="标准有序列表（L1）"/>
    <w:basedOn w:val="22"/>
    <w:qFormat/>
    <w:uiPriority w:val="0"/>
    <w:pPr>
      <w:spacing w:beforeLines="50" w:after="156"/>
      <w:ind w:firstLine="0" w:firstLineChars="0"/>
    </w:pPr>
    <w:rPr>
      <w:rFonts w:eastAsia="仿宋_GB2312" w:cs="Times New Roman"/>
      <w:color w:val="000000"/>
      <w:spacing w:val="12"/>
      <w:kern w:val="0"/>
      <w:sz w:val="28"/>
      <w:szCs w:val="20"/>
    </w:rPr>
  </w:style>
  <w:style w:type="paragraph" w:customStyle="1" w:styleId="297">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五级条标题"/>
    <w:basedOn w:val="299"/>
    <w:next w:val="303"/>
    <w:qFormat/>
    <w:uiPriority w:val="0"/>
    <w:pPr>
      <w:numPr>
        <w:ilvl w:val="6"/>
        <w:numId w:val="4"/>
      </w:numPr>
      <w:outlineLvl w:val="6"/>
    </w:pPr>
  </w:style>
  <w:style w:type="paragraph" w:customStyle="1" w:styleId="299">
    <w:name w:val="四级条标题"/>
    <w:basedOn w:val="300"/>
    <w:next w:val="303"/>
    <w:qFormat/>
    <w:uiPriority w:val="0"/>
    <w:pPr>
      <w:numPr>
        <w:ilvl w:val="5"/>
        <w:numId w:val="4"/>
      </w:numPr>
      <w:outlineLvl w:val="5"/>
    </w:pPr>
  </w:style>
  <w:style w:type="paragraph" w:customStyle="1" w:styleId="300">
    <w:name w:val="三级条标题"/>
    <w:basedOn w:val="301"/>
    <w:next w:val="303"/>
    <w:qFormat/>
    <w:uiPriority w:val="0"/>
    <w:pPr>
      <w:numPr>
        <w:ilvl w:val="4"/>
        <w:numId w:val="4"/>
      </w:numPr>
      <w:outlineLvl w:val="4"/>
    </w:pPr>
  </w:style>
  <w:style w:type="paragraph" w:customStyle="1" w:styleId="301">
    <w:name w:val="二级条标题"/>
    <w:basedOn w:val="302"/>
    <w:next w:val="303"/>
    <w:qFormat/>
    <w:uiPriority w:val="0"/>
    <w:pPr>
      <w:numPr>
        <w:ilvl w:val="3"/>
        <w:numId w:val="4"/>
      </w:numPr>
      <w:outlineLvl w:val="3"/>
    </w:pPr>
  </w:style>
  <w:style w:type="paragraph" w:customStyle="1" w:styleId="302">
    <w:name w:val="一级条标题"/>
    <w:next w:val="303"/>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30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4">
    <w:name w:val="CM21"/>
    <w:basedOn w:val="294"/>
    <w:next w:val="294"/>
    <w:qFormat/>
    <w:uiPriority w:val="0"/>
    <w:pPr>
      <w:spacing w:line="468" w:lineRule="atLeast"/>
    </w:pPr>
    <w:rPr>
      <w:rFonts w:ascii="Trebuchet MS" w:hAnsi="Trebuchet MS" w:cs="Times New Roman"/>
      <w:color w:val="auto"/>
    </w:rPr>
  </w:style>
  <w:style w:type="paragraph" w:customStyle="1" w:styleId="305">
    <w:name w:val="Ä¿Â¼3"/>
    <w:basedOn w:val="1"/>
    <w:qFormat/>
    <w:uiPriority w:val="0"/>
    <w:pPr>
      <w:widowControl/>
      <w:overflowPunct w:val="0"/>
      <w:autoSpaceDE w:val="0"/>
      <w:autoSpaceDN w:val="0"/>
      <w:adjustRightInd w:val="0"/>
      <w:ind w:left="833"/>
      <w:jc w:val="left"/>
      <w:textAlignment w:val="baseline"/>
    </w:pPr>
    <w:rPr>
      <w:rFonts w:cs="Times New Roman"/>
      <w:kern w:val="0"/>
      <w:szCs w:val="20"/>
    </w:rPr>
  </w:style>
  <w:style w:type="paragraph" w:customStyle="1" w:styleId="306">
    <w:name w:val="CM91"/>
    <w:basedOn w:val="294"/>
    <w:next w:val="294"/>
    <w:qFormat/>
    <w:uiPriority w:val="0"/>
    <w:pPr>
      <w:spacing w:after="808"/>
    </w:pPr>
    <w:rPr>
      <w:rFonts w:ascii="Trebuchet MS" w:hAnsi="Trebuchet MS" w:cs="Times New Roman"/>
      <w:color w:val="auto"/>
    </w:rPr>
  </w:style>
  <w:style w:type="paragraph" w:customStyle="1" w:styleId="307">
    <w:name w:val="!OSS12 Table Text"/>
    <w:basedOn w:val="1"/>
    <w:qFormat/>
    <w:uiPriority w:val="0"/>
    <w:pPr>
      <w:widowControl/>
      <w:spacing w:before="60" w:after="60" w:line="360" w:lineRule="auto"/>
      <w:jc w:val="left"/>
    </w:pPr>
    <w:rPr>
      <w:rFonts w:ascii="Verdana" w:hAnsi="Verdana" w:cs="Verdana"/>
      <w:color w:val="000000"/>
      <w:kern w:val="0"/>
      <w:sz w:val="19"/>
      <w:szCs w:val="19"/>
    </w:rPr>
  </w:style>
  <w:style w:type="paragraph" w:customStyle="1" w:styleId="308">
    <w:name w:val="样式 标题 44th levelh444headingPIM 4Fab-4T5H41H42H43H44H..."/>
    <w:basedOn w:val="1"/>
    <w:qFormat/>
    <w:uiPriority w:val="0"/>
    <w:pPr>
      <w:tabs>
        <w:tab w:val="left" w:pos="851"/>
      </w:tabs>
      <w:ind w:left="851" w:hanging="851"/>
    </w:pPr>
    <w:rPr>
      <w:rFonts w:ascii="Calibri" w:hAnsi="Calibri" w:cs="Times New Roman"/>
      <w:szCs w:val="22"/>
    </w:rPr>
  </w:style>
  <w:style w:type="paragraph" w:customStyle="1" w:styleId="30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10">
    <w:name w:val="默认段落字体 Para Char Char Char Char"/>
    <w:basedOn w:val="1"/>
    <w:qFormat/>
    <w:uiPriority w:val="0"/>
    <w:pPr>
      <w:spacing w:line="240" w:lineRule="atLeast"/>
      <w:ind w:left="420" w:firstLine="420"/>
    </w:pPr>
    <w:rPr>
      <w:rFonts w:cs="Times New Roman"/>
      <w:kern w:val="0"/>
      <w:szCs w:val="21"/>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Char Char"/>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13">
    <w:name w:val="Char Char Char Char11"/>
    <w:basedOn w:val="1"/>
    <w:qFormat/>
    <w:uiPriority w:val="0"/>
    <w:rPr>
      <w:rFonts w:ascii="宋体" w:hAnsi="宋体"/>
      <w:color w:val="000000"/>
      <w:sz w:val="20"/>
    </w:rPr>
  </w:style>
  <w:style w:type="paragraph" w:customStyle="1" w:styleId="314">
    <w:name w:val="_Style 313"/>
    <w:basedOn w:val="4"/>
    <w:next w:val="1"/>
    <w:qFormat/>
    <w:uiPriority w:val="39"/>
    <w:pPr>
      <w:outlineLvl w:val="9"/>
    </w:pPr>
  </w:style>
  <w:style w:type="paragraph" w:customStyle="1" w:styleId="315">
    <w:name w:val="规范正文"/>
    <w:basedOn w:val="1"/>
    <w:qFormat/>
    <w:uiPriority w:val="0"/>
    <w:pPr>
      <w:adjustRightInd w:val="0"/>
      <w:spacing w:beforeLines="50" w:line="300" w:lineRule="auto"/>
      <w:ind w:left="480"/>
      <w:textAlignment w:val="baseline"/>
    </w:pPr>
    <w:rPr>
      <w:rFonts w:cs="Times New Roman"/>
      <w:kern w:val="0"/>
      <w:sz w:val="24"/>
      <w:szCs w:val="20"/>
    </w:rPr>
  </w:style>
  <w:style w:type="paragraph" w:customStyle="1" w:styleId="316">
    <w:name w:val="样式 标题 1Heading 0PIM 1H1h1l1Head 1 (Chapter heading)Head 1..."/>
    <w:basedOn w:val="4"/>
    <w:qFormat/>
    <w:uiPriority w:val="0"/>
    <w:pPr>
      <w:tabs>
        <w:tab w:val="left" w:pos="180"/>
      </w:tabs>
      <w:spacing w:line="360" w:lineRule="auto"/>
      <w:ind w:left="425" w:hanging="425"/>
    </w:pPr>
    <w:rPr>
      <w:rFonts w:cs="宋体"/>
      <w:szCs w:val="20"/>
    </w:rPr>
  </w:style>
  <w:style w:type="paragraph" w:customStyle="1" w:styleId="317">
    <w:name w:val="标题前缀"/>
    <w:qFormat/>
    <w:uiPriority w:val="0"/>
    <w:pPr>
      <w:tabs>
        <w:tab w:val="left" w:pos="5550"/>
      </w:tabs>
      <w:spacing w:before="100" w:beforeAutospacing="1"/>
      <w:jc w:val="right"/>
    </w:pPr>
    <w:rPr>
      <w:rFonts w:ascii="宋体" w:hAnsi="宋体" w:eastAsia="宋体" w:cs="Times New Roman"/>
      <w:bCs/>
      <w:kern w:val="2"/>
      <w:sz w:val="24"/>
      <w:szCs w:val="24"/>
      <w:lang w:val="zh-CN" w:eastAsia="zh-CN" w:bidi="ar-SA"/>
    </w:rPr>
  </w:style>
  <w:style w:type="paragraph" w:customStyle="1" w:styleId="31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9">
    <w:name w:val="章标题"/>
    <w:next w:val="303"/>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320">
    <w:name w:val="条款附加"/>
    <w:qFormat/>
    <w:uiPriority w:val="0"/>
    <w:pPr>
      <w:tabs>
        <w:tab w:val="left" w:pos="425"/>
      </w:tabs>
      <w:snapToGrid w:val="0"/>
      <w:spacing w:after="120" w:line="300" w:lineRule="auto"/>
      <w:ind w:left="425" w:hanging="425"/>
    </w:pPr>
    <w:rPr>
      <w:rFonts w:ascii="宋体" w:hAnsi="Times New Roman" w:eastAsia="宋体" w:cs="Times New Roman"/>
      <w:sz w:val="24"/>
      <w:lang w:val="en-US" w:eastAsia="zh-CN" w:bidi="ar-SA"/>
    </w:rPr>
  </w:style>
  <w:style w:type="paragraph" w:customStyle="1" w:styleId="321">
    <w:name w:val="Char Char Char1"/>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22">
    <w:name w:val="表格正文中"/>
    <w:basedOn w:val="1"/>
    <w:qFormat/>
    <w:uiPriority w:val="0"/>
    <w:pPr>
      <w:numPr>
        <w:ilvl w:val="0"/>
        <w:numId w:val="5"/>
      </w:numPr>
      <w:spacing w:line="240" w:lineRule="atLeast"/>
      <w:ind w:firstLine="540"/>
      <w:jc w:val="center"/>
    </w:pPr>
    <w:rPr>
      <w:rFonts w:eastAsia="楷体_GB2312" w:cs="Times New Roman"/>
      <w:sz w:val="24"/>
    </w:rPr>
  </w:style>
  <w:style w:type="paragraph" w:customStyle="1" w:styleId="323">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324">
    <w:name w:val="样式 首行缩进:  2 字符"/>
    <w:basedOn w:val="1"/>
    <w:qFormat/>
    <w:uiPriority w:val="0"/>
    <w:pPr>
      <w:spacing w:line="360" w:lineRule="auto"/>
      <w:ind w:firstLine="200" w:firstLineChars="200"/>
    </w:pPr>
    <w:rPr>
      <w:sz w:val="24"/>
      <w:szCs w:val="20"/>
    </w:rPr>
  </w:style>
  <w:style w:type="paragraph" w:customStyle="1" w:styleId="325">
    <w:name w:val="样式 正文首行缩进 + 首行缩进:  1 字符"/>
    <w:basedOn w:val="1"/>
    <w:next w:val="326"/>
    <w:qFormat/>
    <w:uiPriority w:val="0"/>
    <w:pPr>
      <w:spacing w:after="40"/>
      <w:ind w:firstLine="200" w:firstLineChars="200"/>
    </w:pPr>
    <w:rPr>
      <w:rFonts w:cs="宋体"/>
      <w:szCs w:val="20"/>
    </w:rPr>
  </w:style>
  <w:style w:type="paragraph" w:customStyle="1" w:styleId="326">
    <w:name w:val="标题 10"/>
    <w:basedOn w:val="1"/>
    <w:next w:val="1"/>
    <w:qFormat/>
    <w:uiPriority w:val="0"/>
    <w:pPr>
      <w:widowControl/>
      <w:spacing w:line="360" w:lineRule="auto"/>
      <w:jc w:val="left"/>
    </w:pPr>
    <w:rPr>
      <w:rFonts w:ascii="Arial" w:hAnsi="Arial" w:cs="Times New Roman"/>
      <w:b/>
      <w:kern w:val="0"/>
      <w:szCs w:val="21"/>
      <w:lang w:eastAsia="en-US"/>
    </w:rPr>
  </w:style>
  <w:style w:type="paragraph" w:customStyle="1" w:styleId="32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28">
    <w:name w:val="style18"/>
    <w:basedOn w:val="1"/>
    <w:qFormat/>
    <w:uiPriority w:val="0"/>
    <w:pPr>
      <w:widowControl/>
      <w:spacing w:before="100" w:beforeAutospacing="1" w:after="100" w:afterAutospacing="1"/>
      <w:jc w:val="left"/>
    </w:pPr>
    <w:rPr>
      <w:rFonts w:ascii="宋体" w:hAnsi="宋体" w:cs="宋体"/>
      <w:color w:val="003399"/>
      <w:kern w:val="0"/>
      <w:sz w:val="24"/>
    </w:rPr>
  </w:style>
  <w:style w:type="paragraph" w:customStyle="1" w:styleId="32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30">
    <w:name w:val="CM84"/>
    <w:basedOn w:val="294"/>
    <w:next w:val="294"/>
    <w:qFormat/>
    <w:uiPriority w:val="0"/>
    <w:pPr>
      <w:spacing w:after="63"/>
    </w:pPr>
    <w:rPr>
      <w:rFonts w:ascii="Trebuchet MS" w:hAnsi="Trebuchet MS" w:cs="Times New Roman"/>
      <w:color w:val="auto"/>
    </w:rPr>
  </w:style>
  <w:style w:type="paragraph" w:customStyle="1" w:styleId="331">
    <w:name w:val="AODocTxtL7"/>
    <w:basedOn w:val="332"/>
    <w:qFormat/>
    <w:uiPriority w:val="0"/>
    <w:pPr>
      <w:numPr>
        <w:ilvl w:val="7"/>
        <w:numId w:val="6"/>
      </w:numPr>
    </w:pPr>
  </w:style>
  <w:style w:type="paragraph" w:customStyle="1" w:styleId="332">
    <w:name w:val="AODocTxt"/>
    <w:basedOn w:val="1"/>
    <w:qFormat/>
    <w:uiPriority w:val="0"/>
    <w:pPr>
      <w:widowControl/>
      <w:numPr>
        <w:ilvl w:val="0"/>
        <w:numId w:val="6"/>
      </w:numPr>
      <w:spacing w:before="240" w:line="260" w:lineRule="atLeast"/>
    </w:pPr>
    <w:rPr>
      <w:rFonts w:cs="Times New Roman"/>
      <w:kern w:val="0"/>
      <w:sz w:val="22"/>
      <w:szCs w:val="22"/>
      <w:lang w:val="en-GB" w:eastAsia="en-US"/>
    </w:rPr>
  </w:style>
  <w:style w:type="paragraph" w:customStyle="1" w:styleId="333">
    <w:name w:val="Char Char Char Char Char Char Char"/>
    <w:basedOn w:val="1"/>
    <w:qFormat/>
    <w:uiPriority w:val="0"/>
    <w:rPr>
      <w:rFonts w:ascii="Tahoma" w:hAnsi="Tahoma"/>
      <w:sz w:val="24"/>
      <w:szCs w:val="20"/>
    </w:rPr>
  </w:style>
  <w:style w:type="paragraph" w:customStyle="1" w:styleId="334">
    <w:name w:val="样式 (符号) 宋体 居中 段前: 0.5 行"/>
    <w:basedOn w:val="1"/>
    <w:qFormat/>
    <w:uiPriority w:val="0"/>
    <w:pPr>
      <w:spacing w:line="300" w:lineRule="auto"/>
      <w:jc w:val="center"/>
    </w:pPr>
    <w:rPr>
      <w:rFonts w:hAnsi="宋体" w:cs="宋体"/>
      <w:sz w:val="24"/>
      <w:szCs w:val="20"/>
    </w:rPr>
  </w:style>
  <w:style w:type="paragraph" w:customStyle="1" w:styleId="335">
    <w:name w:val="Char21"/>
    <w:basedOn w:val="1"/>
    <w:qFormat/>
    <w:uiPriority w:val="0"/>
  </w:style>
  <w:style w:type="paragraph" w:customStyle="1" w:styleId="336">
    <w:name w:val="序言文字"/>
    <w:basedOn w:val="1"/>
    <w:qFormat/>
    <w:uiPriority w:val="0"/>
    <w:pPr>
      <w:spacing w:before="60" w:after="60" w:line="300" w:lineRule="auto"/>
      <w:ind w:firstLine="510"/>
    </w:pPr>
    <w:rPr>
      <w:rFonts w:eastAsia="楷体_GB2312" w:cs="Times New Roman"/>
      <w:spacing w:val="10"/>
      <w:sz w:val="24"/>
      <w:szCs w:val="20"/>
    </w:rPr>
  </w:style>
  <w:style w:type="paragraph" w:customStyle="1" w:styleId="337">
    <w:name w:val="正文非缩进"/>
    <w:basedOn w:val="1"/>
    <w:next w:val="35"/>
    <w:qFormat/>
    <w:uiPriority w:val="0"/>
    <w:pPr>
      <w:widowControl/>
      <w:spacing w:line="360" w:lineRule="auto"/>
      <w:jc w:val="left"/>
    </w:pPr>
    <w:rPr>
      <w:kern w:val="0"/>
      <w:szCs w:val="20"/>
    </w:rPr>
  </w:style>
  <w:style w:type="paragraph" w:customStyle="1" w:styleId="338">
    <w:name w:val="p16"/>
    <w:basedOn w:val="1"/>
    <w:qFormat/>
    <w:uiPriority w:val="0"/>
    <w:pPr>
      <w:widowControl/>
    </w:pPr>
    <w:rPr>
      <w:rFonts w:cs="Times New Roman"/>
      <w:kern w:val="0"/>
      <w:szCs w:val="21"/>
    </w:rPr>
  </w:style>
  <w:style w:type="paragraph" w:customStyle="1" w:styleId="339">
    <w:name w:val="章节1"/>
    <w:next w:val="1"/>
    <w:qFormat/>
    <w:uiPriority w:val="0"/>
    <w:pPr>
      <w:tabs>
        <w:tab w:val="left" w:pos="420"/>
      </w:tabs>
      <w:ind w:left="420" w:hanging="420"/>
      <w:jc w:val="center"/>
    </w:pPr>
    <w:rPr>
      <w:rFonts w:ascii="Times New Roman" w:hAnsi="Times New Roman" w:eastAsia="黑体" w:cs="Times New Roman"/>
      <w:b/>
      <w:sz w:val="36"/>
      <w:lang w:val="en-US" w:eastAsia="zh-CN" w:bidi="ar-SA"/>
    </w:rPr>
  </w:style>
  <w:style w:type="paragraph" w:customStyle="1" w:styleId="340">
    <w:name w:val="InfoBlue"/>
    <w:basedOn w:val="1"/>
    <w:next w:val="35"/>
    <w:qFormat/>
    <w:uiPriority w:val="0"/>
    <w:pPr>
      <w:tabs>
        <w:tab w:val="left" w:pos="540"/>
        <w:tab w:val="left" w:pos="1260"/>
      </w:tabs>
      <w:spacing w:beforeLines="50" w:after="120" w:line="300" w:lineRule="auto"/>
      <w:ind w:firstLine="120" w:firstLineChars="50"/>
      <w:jc w:val="left"/>
    </w:pPr>
    <w:rPr>
      <w:rFonts w:ascii="Arial" w:hAnsi="Arial" w:cs="Times New Roman"/>
      <w:color w:val="000000"/>
      <w:sz w:val="24"/>
    </w:rPr>
  </w:style>
  <w:style w:type="paragraph" w:customStyle="1" w:styleId="3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42">
    <w:name w:val="CM86"/>
    <w:basedOn w:val="294"/>
    <w:next w:val="294"/>
    <w:qFormat/>
    <w:uiPriority w:val="0"/>
    <w:pPr>
      <w:spacing w:after="478"/>
    </w:pPr>
    <w:rPr>
      <w:rFonts w:ascii="Trebuchet MS" w:hAnsi="Trebuchet MS" w:cs="Times New Roman"/>
      <w:color w:val="auto"/>
    </w:rPr>
  </w:style>
  <w:style w:type="paragraph" w:customStyle="1" w:styleId="343">
    <w:name w:val="contentlabel"/>
    <w:basedOn w:val="1"/>
    <w:qFormat/>
    <w:uiPriority w:val="0"/>
    <w:pPr>
      <w:widowControl/>
      <w:spacing w:before="30" w:after="100" w:afterAutospacing="1"/>
      <w:ind w:left="90"/>
      <w:jc w:val="left"/>
    </w:pPr>
    <w:rPr>
      <w:rFonts w:ascii="宋体" w:hAnsi="宋体" w:cs="宋体"/>
      <w:color w:val="336666"/>
      <w:kern w:val="0"/>
      <w:sz w:val="18"/>
      <w:szCs w:val="18"/>
    </w:rPr>
  </w:style>
  <w:style w:type="paragraph" w:customStyle="1" w:styleId="344">
    <w:name w:val="样式 正文文本缩进 + 段前: 2 字符"/>
    <w:basedOn w:val="1"/>
    <w:qFormat/>
    <w:uiPriority w:val="0"/>
    <w:pPr>
      <w:ind w:left="420" w:leftChars="200"/>
      <w:jc w:val="left"/>
    </w:pPr>
    <w:rPr>
      <w:sz w:val="28"/>
      <w:lang w:eastAsia="zh-TW"/>
    </w:rPr>
  </w:style>
  <w:style w:type="paragraph" w:customStyle="1" w:styleId="345">
    <w:name w:val="contentnoteheader"/>
    <w:basedOn w:val="1"/>
    <w:qFormat/>
    <w:uiPriority w:val="0"/>
    <w:pPr>
      <w:widowControl/>
      <w:spacing w:before="30" w:after="100" w:afterAutospacing="1"/>
      <w:ind w:left="90"/>
      <w:jc w:val="left"/>
    </w:pPr>
    <w:rPr>
      <w:rFonts w:ascii="宋体" w:hAnsi="宋体" w:cs="宋体"/>
      <w:b/>
      <w:bCs/>
      <w:color w:val="990000"/>
      <w:kern w:val="0"/>
      <w:sz w:val="18"/>
      <w:szCs w:val="18"/>
    </w:rPr>
  </w:style>
  <w:style w:type="paragraph" w:customStyle="1" w:styleId="346">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7">
    <w:name w:val="正文 3"/>
    <w:basedOn w:val="1"/>
    <w:qFormat/>
    <w:uiPriority w:val="0"/>
    <w:pPr>
      <w:widowControl/>
      <w:spacing w:beforeLines="50" w:line="300" w:lineRule="auto"/>
      <w:ind w:firstLine="425"/>
    </w:pPr>
    <w:rPr>
      <w:rFonts w:ascii="Arial" w:hAnsi="Arial" w:cs="Times New Roman"/>
      <w:sz w:val="24"/>
      <w:szCs w:val="21"/>
    </w:rPr>
  </w:style>
  <w:style w:type="paragraph" w:customStyle="1" w:styleId="348">
    <w:name w:val="正文(标准)"/>
    <w:basedOn w:val="1"/>
    <w:qFormat/>
    <w:uiPriority w:val="0"/>
    <w:pPr>
      <w:tabs>
        <w:tab w:val="left" w:pos="1260"/>
      </w:tabs>
      <w:ind w:left="1260" w:hanging="420"/>
    </w:pPr>
    <w:rPr>
      <w:rFonts w:cs="Times New Roman"/>
      <w:sz w:val="24"/>
    </w:rPr>
  </w:style>
  <w:style w:type="paragraph" w:customStyle="1" w:styleId="349">
    <w:name w:val="正文缩进William Char"/>
    <w:basedOn w:val="1"/>
    <w:next w:val="22"/>
    <w:qFormat/>
    <w:uiPriority w:val="0"/>
    <w:pPr>
      <w:ind w:firstLine="480"/>
    </w:pPr>
    <w:rPr>
      <w:rFonts w:cs="Times New Roman"/>
      <w:color w:val="0000FF"/>
      <w:sz w:val="24"/>
      <w:szCs w:val="20"/>
    </w:rPr>
  </w:style>
  <w:style w:type="paragraph" w:customStyle="1" w:styleId="3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rPr>
  </w:style>
  <w:style w:type="paragraph" w:customStyle="1" w:styleId="351">
    <w:name w:val="Char Char Char"/>
    <w:basedOn w:val="1"/>
    <w:qFormat/>
    <w:uiPriority w:val="0"/>
    <w:rPr>
      <w:rFonts w:ascii="Tahoma" w:hAnsi="Tahoma"/>
      <w:sz w:val="24"/>
      <w:szCs w:val="20"/>
    </w:rPr>
  </w:style>
  <w:style w:type="paragraph" w:customStyle="1" w:styleId="352">
    <w:name w:val="a"/>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353">
    <w:name w:val="style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默认段落字体 Para Char Char Char Char Char Char Char Char Char Char Char Char Char"/>
    <w:basedOn w:val="1"/>
    <w:qFormat/>
    <w:uiPriority w:val="0"/>
    <w:rPr>
      <w:rFonts w:ascii="Tahoma" w:hAnsi="Tahoma" w:cs="Times New Roman"/>
      <w:sz w:val="24"/>
      <w:szCs w:val="20"/>
    </w:rPr>
  </w:style>
  <w:style w:type="paragraph" w:customStyle="1" w:styleId="355">
    <w:name w:val="CM87"/>
    <w:basedOn w:val="1"/>
    <w:next w:val="1"/>
    <w:qFormat/>
    <w:uiPriority w:val="0"/>
    <w:pPr>
      <w:autoSpaceDE w:val="0"/>
      <w:autoSpaceDN w:val="0"/>
      <w:adjustRightInd w:val="0"/>
      <w:spacing w:after="285"/>
      <w:jc w:val="left"/>
    </w:pPr>
    <w:rPr>
      <w:rFonts w:ascii="Trebuchet MS" w:hAnsi="Trebuchet MS" w:cs="Times New Roman"/>
      <w:kern w:val="0"/>
      <w:sz w:val="24"/>
    </w:rPr>
  </w:style>
  <w:style w:type="paragraph" w:customStyle="1" w:styleId="356">
    <w:name w:val="xl30"/>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22"/>
      <w:szCs w:val="22"/>
    </w:rPr>
  </w:style>
  <w:style w:type="paragraph" w:customStyle="1" w:styleId="357">
    <w:name w:val="AODocTxtL2"/>
    <w:basedOn w:val="332"/>
    <w:qFormat/>
    <w:uiPriority w:val="0"/>
    <w:pPr>
      <w:numPr>
        <w:ilvl w:val="2"/>
        <w:numId w:val="6"/>
      </w:numPr>
    </w:pPr>
  </w:style>
  <w:style w:type="paragraph" w:customStyle="1" w:styleId="358">
    <w:name w:val="正文3"/>
    <w:qFormat/>
    <w:uiPriority w:val="0"/>
    <w:pPr>
      <w:widowControl w:val="0"/>
      <w:adjustRightInd w:val="0"/>
      <w:spacing w:line="0" w:lineRule="atLeast"/>
    </w:pPr>
    <w:rPr>
      <w:rFonts w:hint="eastAsia" w:ascii="宋体" w:hAnsi="Times New Roman" w:eastAsia="宋体" w:cs="Times New Roman"/>
      <w:sz w:val="34"/>
      <w:lang w:val="en-US" w:eastAsia="zh-CN" w:bidi="ar-SA"/>
    </w:rPr>
  </w:style>
  <w:style w:type="paragraph" w:customStyle="1" w:styleId="359">
    <w:name w:val="p17"/>
    <w:basedOn w:val="1"/>
    <w:qFormat/>
    <w:uiPriority w:val="0"/>
    <w:pPr>
      <w:widowControl/>
      <w:spacing w:before="100" w:after="100"/>
      <w:jc w:val="left"/>
    </w:pPr>
    <w:rPr>
      <w:rFonts w:ascii="宋体" w:hAnsi="宋体" w:cs="宋体"/>
      <w:kern w:val="0"/>
      <w:sz w:val="24"/>
    </w:rPr>
  </w:style>
  <w:style w:type="paragraph" w:customStyle="1" w:styleId="360">
    <w:name w:val="AODocTxtL8"/>
    <w:basedOn w:val="332"/>
    <w:qFormat/>
    <w:uiPriority w:val="0"/>
    <w:pPr>
      <w:numPr>
        <w:ilvl w:val="8"/>
        <w:numId w:val="6"/>
      </w:numPr>
    </w:pPr>
  </w:style>
  <w:style w:type="paragraph" w:customStyle="1" w:styleId="3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62">
    <w:name w:val="CM32"/>
    <w:basedOn w:val="294"/>
    <w:next w:val="294"/>
    <w:qFormat/>
    <w:uiPriority w:val="0"/>
    <w:pPr>
      <w:spacing w:line="466" w:lineRule="atLeast"/>
    </w:pPr>
    <w:rPr>
      <w:rFonts w:ascii="Trebuchet MS" w:hAnsi="Trebuchet MS" w:cs="Times New Roman"/>
      <w:color w:val="auto"/>
    </w:rPr>
  </w:style>
  <w:style w:type="paragraph" w:customStyle="1" w:styleId="363">
    <w:name w:val="样式 Arial 行距: 多倍行距 1.2 字行 首行缩进:  2 字符"/>
    <w:basedOn w:val="1"/>
    <w:qFormat/>
    <w:uiPriority w:val="0"/>
    <w:pPr>
      <w:spacing w:line="288" w:lineRule="auto"/>
      <w:ind w:firstLine="420" w:firstLineChars="200"/>
    </w:pPr>
    <w:rPr>
      <w:rFonts w:ascii="Arial" w:hAnsi="Arial" w:cs="宋体"/>
      <w:sz w:val="20"/>
      <w:szCs w:val="20"/>
    </w:rPr>
  </w:style>
  <w:style w:type="paragraph" w:customStyle="1" w:styleId="364">
    <w:name w:val="p0"/>
    <w:basedOn w:val="1"/>
    <w:qFormat/>
    <w:uiPriority w:val="0"/>
    <w:pPr>
      <w:widowControl/>
    </w:pPr>
    <w:rPr>
      <w:rFonts w:cs="Times New Roman"/>
      <w:kern w:val="0"/>
      <w:szCs w:val="21"/>
    </w:rPr>
  </w:style>
  <w:style w:type="paragraph" w:customStyle="1" w:styleId="365">
    <w:name w:val="四号　首行缩进"/>
    <w:basedOn w:val="1"/>
    <w:qFormat/>
    <w:uiPriority w:val="0"/>
    <w:pPr>
      <w:spacing w:line="360" w:lineRule="auto"/>
    </w:pPr>
    <w:rPr>
      <w:rFonts w:ascii="宋体" w:hAnsi="宋体"/>
      <w:bCs/>
      <w:szCs w:val="21"/>
    </w:rPr>
  </w:style>
  <w:style w:type="paragraph" w:customStyle="1" w:styleId="366">
    <w:name w:val="默认段落字体 Para Char Char Char Char Char Char Char Char Char Char"/>
    <w:basedOn w:val="1"/>
    <w:qFormat/>
    <w:uiPriority w:val="0"/>
    <w:rPr>
      <w:rFonts w:ascii="Tahoma" w:hAnsi="Tahoma" w:cs="Times New Roman"/>
      <w:sz w:val="24"/>
      <w:szCs w:val="20"/>
    </w:rPr>
  </w:style>
  <w:style w:type="paragraph" w:customStyle="1" w:styleId="367">
    <w:name w:val="正文自"/>
    <w:basedOn w:val="1"/>
    <w:qFormat/>
    <w:uiPriority w:val="0"/>
    <w:pPr>
      <w:spacing w:line="400" w:lineRule="exact"/>
      <w:ind w:left="240" w:leftChars="100" w:right="240" w:rightChars="100" w:firstLine="480" w:firstLineChars="200"/>
      <w:jc w:val="left"/>
    </w:pPr>
    <w:rPr>
      <w:rFonts w:cs="Times New Roman"/>
      <w:kern w:val="0"/>
      <w:sz w:val="24"/>
    </w:rPr>
  </w:style>
  <w:style w:type="paragraph" w:customStyle="1" w:styleId="368">
    <w:name w:val="小四 段落 宋体 Char Char Char"/>
    <w:basedOn w:val="21"/>
    <w:semiHidden/>
    <w:qFormat/>
    <w:uiPriority w:val="0"/>
    <w:pPr>
      <w:tabs>
        <w:tab w:val="clear" w:pos="1260"/>
      </w:tabs>
      <w:spacing w:line="360" w:lineRule="auto"/>
      <w:ind w:left="0" w:right="-33" w:firstLine="480" w:firstLineChars="200"/>
      <w:jc w:val="left"/>
    </w:pPr>
    <w:rPr>
      <w:rFonts w:cs="Times New Roman"/>
      <w:sz w:val="24"/>
    </w:rPr>
  </w:style>
  <w:style w:type="paragraph" w:customStyle="1" w:styleId="36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70">
    <w:name w:val="Char Char Char Char Char Char Char Char Char"/>
    <w:basedOn w:val="1"/>
    <w:qFormat/>
    <w:uiPriority w:val="0"/>
    <w:rPr>
      <w:rFonts w:cs="Times New Roman"/>
    </w:rPr>
  </w:style>
  <w:style w:type="paragraph" w:customStyle="1" w:styleId="371">
    <w:name w:val="1_0"/>
    <w:basedOn w:val="1"/>
    <w:next w:val="1"/>
    <w:qFormat/>
    <w:uiPriority w:val="0"/>
    <w:rPr>
      <w:rFonts w:ascii="宋体" w:hAnsi="宋体" w:cs="Courier New"/>
      <w:color w:val="000000"/>
      <w:kern w:val="1"/>
      <w:szCs w:val="20"/>
    </w:rPr>
  </w:style>
  <w:style w:type="paragraph" w:customStyle="1" w:styleId="372">
    <w:name w:val="CM12"/>
    <w:basedOn w:val="294"/>
    <w:next w:val="294"/>
    <w:qFormat/>
    <w:uiPriority w:val="0"/>
    <w:pPr>
      <w:spacing w:line="468" w:lineRule="atLeast"/>
    </w:pPr>
    <w:rPr>
      <w:rFonts w:ascii="Trebuchet MS" w:hAnsi="Trebuchet MS" w:cs="Times New Roman"/>
      <w:color w:val="auto"/>
    </w:rPr>
  </w:style>
  <w:style w:type="paragraph" w:customStyle="1" w:styleId="373">
    <w:name w:val="paragraph1"/>
    <w:basedOn w:val="1"/>
    <w:qFormat/>
    <w:uiPriority w:val="0"/>
    <w:pPr>
      <w:spacing w:afterLines="30" w:line="360" w:lineRule="auto"/>
      <w:ind w:firstLine="480" w:firstLineChars="200"/>
    </w:pPr>
    <w:rPr>
      <w:rFonts w:cs="Times New Roman"/>
      <w:sz w:val="24"/>
    </w:rPr>
  </w:style>
  <w:style w:type="paragraph" w:customStyle="1" w:styleId="374">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375">
    <w:name w:val="正文文字 首行缩进"/>
    <w:basedOn w:val="1"/>
    <w:qFormat/>
    <w:uiPriority w:val="0"/>
    <w:pPr>
      <w:autoSpaceDE w:val="0"/>
      <w:autoSpaceDN w:val="0"/>
      <w:adjustRightInd w:val="0"/>
      <w:spacing w:line="360" w:lineRule="auto"/>
      <w:ind w:firstLine="454"/>
      <w:jc w:val="left"/>
    </w:pPr>
    <w:rPr>
      <w:rFonts w:ascii="System" w:cs="宋体"/>
      <w:kern w:val="0"/>
      <w:sz w:val="24"/>
      <w:szCs w:val="20"/>
    </w:rPr>
  </w:style>
  <w:style w:type="paragraph" w:customStyle="1" w:styleId="376">
    <w:name w:val="样式 宋体 黑色 段前: 0.5 行"/>
    <w:basedOn w:val="1"/>
    <w:qFormat/>
    <w:uiPriority w:val="0"/>
    <w:pPr>
      <w:spacing w:line="300" w:lineRule="auto"/>
    </w:pPr>
    <w:rPr>
      <w:rFonts w:ascii="宋体" w:hAnsi="宋体" w:cs="宋体"/>
      <w:color w:val="000000"/>
      <w:sz w:val="24"/>
      <w:szCs w:val="20"/>
    </w:rPr>
  </w:style>
  <w:style w:type="paragraph" w:customStyle="1" w:styleId="377">
    <w:name w:val="Normal Paragraph Char"/>
    <w:basedOn w:val="1"/>
    <w:qFormat/>
    <w:uiPriority w:val="0"/>
    <w:pPr>
      <w:widowControl/>
      <w:spacing w:beforeLines="50" w:line="300" w:lineRule="auto"/>
      <w:ind w:firstLine="425"/>
    </w:pPr>
    <w:rPr>
      <w:rFonts w:cs="Times New Roman"/>
      <w:kern w:val="0"/>
      <w:sz w:val="24"/>
    </w:rPr>
  </w:style>
  <w:style w:type="paragraph" w:customStyle="1" w:styleId="378">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79">
    <w:name w:val="xl25"/>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b/>
      <w:bCs/>
      <w:kern w:val="0"/>
      <w:sz w:val="22"/>
      <w:szCs w:val="22"/>
    </w:rPr>
  </w:style>
  <w:style w:type="paragraph" w:customStyle="1" w:styleId="380">
    <w:name w:val="Char Char Char Char Char Char Char Char Char Char1"/>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81">
    <w:name w:val="!OSS12 Table Bulleted List 1"/>
    <w:basedOn w:val="307"/>
    <w:qFormat/>
    <w:uiPriority w:val="0"/>
    <w:pPr>
      <w:tabs>
        <w:tab w:val="left" w:pos="360"/>
      </w:tabs>
      <w:spacing w:before="40" w:after="40"/>
      <w:ind w:left="360" w:hanging="360"/>
    </w:pPr>
  </w:style>
  <w:style w:type="paragraph" w:customStyle="1" w:styleId="382">
    <w:name w:val="Char"/>
    <w:basedOn w:val="1"/>
    <w:qFormat/>
    <w:uiPriority w:val="0"/>
    <w:rPr>
      <w:rFonts w:ascii="Tahoma" w:hAnsi="Tahoma"/>
      <w:sz w:val="24"/>
      <w:szCs w:val="20"/>
    </w:rPr>
  </w:style>
  <w:style w:type="paragraph" w:customStyle="1" w:styleId="383">
    <w:name w:val="AODocTxtL3"/>
    <w:basedOn w:val="332"/>
    <w:qFormat/>
    <w:uiPriority w:val="0"/>
    <w:pPr>
      <w:numPr>
        <w:ilvl w:val="3"/>
        <w:numId w:val="6"/>
      </w:numPr>
    </w:pPr>
  </w:style>
  <w:style w:type="paragraph" w:customStyle="1" w:styleId="38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5">
    <w:name w:val="标题3"/>
    <w:basedOn w:val="6"/>
    <w:qFormat/>
    <w:uiPriority w:val="0"/>
    <w:pPr>
      <w:tabs>
        <w:tab w:val="left" w:pos="1559"/>
      </w:tabs>
      <w:adjustRightInd w:val="0"/>
      <w:snapToGrid w:val="0"/>
      <w:spacing w:line="360" w:lineRule="auto"/>
      <w:ind w:left="1559" w:hanging="1559"/>
      <w:jc w:val="left"/>
    </w:pPr>
    <w:rPr>
      <w:rFonts w:ascii="Calibri" w:hAnsi="Calibri" w:eastAsia="华文楷体" w:cs="Times New Roman"/>
      <w:bCs w:val="0"/>
      <w:szCs w:val="20"/>
    </w:rPr>
  </w:style>
  <w:style w:type="paragraph" w:customStyle="1" w:styleId="386">
    <w:name w:val="Char Char Char Char"/>
    <w:basedOn w:val="27"/>
    <w:qFormat/>
    <w:uiPriority w:val="0"/>
    <w:pPr>
      <w:shd w:val="clear" w:color="auto" w:fill="000080"/>
    </w:pPr>
    <w:rPr>
      <w:rFonts w:ascii="Tahoma" w:hAnsi="Tahoma"/>
      <w:sz w:val="24"/>
      <w:szCs w:val="24"/>
    </w:rPr>
  </w:style>
  <w:style w:type="paragraph" w:customStyle="1" w:styleId="38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88">
    <w:name w:val="xl26"/>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2"/>
      <w:szCs w:val="22"/>
    </w:rPr>
  </w:style>
  <w:style w:type="paragraph" w:customStyle="1" w:styleId="389">
    <w:name w:val="CM23"/>
    <w:basedOn w:val="294"/>
    <w:next w:val="294"/>
    <w:qFormat/>
    <w:uiPriority w:val="0"/>
    <w:pPr>
      <w:spacing w:line="471" w:lineRule="atLeast"/>
    </w:pPr>
    <w:rPr>
      <w:rFonts w:ascii="Trebuchet MS" w:hAnsi="Trebuchet MS" w:cs="Times New Roman"/>
      <w:color w:val="auto"/>
    </w:rPr>
  </w:style>
  <w:style w:type="paragraph" w:customStyle="1" w:styleId="390">
    <w:name w:val="列出段落1"/>
    <w:basedOn w:val="1"/>
    <w:qFormat/>
    <w:uiPriority w:val="0"/>
    <w:pPr>
      <w:ind w:left="720"/>
    </w:pPr>
  </w:style>
  <w:style w:type="paragraph" w:customStyle="1" w:styleId="391">
    <w:name w:val="嘉定标题1"/>
    <w:basedOn w:val="1"/>
    <w:next w:val="1"/>
    <w:qFormat/>
    <w:uiPriority w:val="0"/>
    <w:pPr>
      <w:widowControl/>
      <w:numPr>
        <w:ilvl w:val="0"/>
        <w:numId w:val="7"/>
      </w:numPr>
      <w:spacing w:after="160" w:line="240" w:lineRule="exact"/>
      <w:jc w:val="left"/>
    </w:pPr>
    <w:rPr>
      <w:rFonts w:ascii="宋体" w:hAnsi="Verdana" w:cs="Times New Roman"/>
      <w:b/>
      <w:kern w:val="0"/>
      <w:sz w:val="28"/>
      <w:szCs w:val="28"/>
      <w:lang w:eastAsia="en-US"/>
    </w:rPr>
  </w:style>
  <w:style w:type="paragraph" w:customStyle="1" w:styleId="392">
    <w:name w:val="CM81"/>
    <w:basedOn w:val="294"/>
    <w:next w:val="294"/>
    <w:qFormat/>
    <w:uiPriority w:val="0"/>
    <w:pPr>
      <w:spacing w:after="178"/>
    </w:pPr>
    <w:rPr>
      <w:rFonts w:ascii="Trebuchet MS" w:hAnsi="Trebuchet MS" w:cs="Times New Roman"/>
      <w:color w:val="auto"/>
    </w:rPr>
  </w:style>
  <w:style w:type="paragraph" w:customStyle="1" w:styleId="393">
    <w:name w:val="!OSS12 Table Feature Name"/>
    <w:basedOn w:val="307"/>
    <w:next w:val="394"/>
    <w:qFormat/>
    <w:uiPriority w:val="0"/>
    <w:pPr>
      <w:spacing w:line="240" w:lineRule="auto"/>
    </w:pPr>
    <w:rPr>
      <w:b/>
      <w:bCs/>
    </w:rPr>
  </w:style>
  <w:style w:type="paragraph" w:customStyle="1" w:styleId="394">
    <w:name w:val="!OSS12 Table Feature Status"/>
    <w:basedOn w:val="1"/>
    <w:qFormat/>
    <w:uiPriority w:val="0"/>
    <w:pPr>
      <w:widowControl/>
      <w:jc w:val="left"/>
    </w:pPr>
    <w:rPr>
      <w:rFonts w:ascii="Verdana" w:hAnsi="Verdana" w:cs="Verdana"/>
      <w:b/>
      <w:bCs/>
      <w:color w:val="FF6600"/>
      <w:kern w:val="0"/>
      <w:sz w:val="19"/>
      <w:szCs w:val="19"/>
    </w:rPr>
  </w:style>
  <w:style w:type="paragraph" w:customStyle="1" w:styleId="3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96">
    <w:name w:val="表格标题"/>
    <w:basedOn w:val="1"/>
    <w:qFormat/>
    <w:uiPriority w:val="0"/>
    <w:pPr>
      <w:spacing w:line="240" w:lineRule="atLeast"/>
      <w:jc w:val="center"/>
    </w:pPr>
    <w:rPr>
      <w:rFonts w:eastAsia="楷体_GB2312" w:cs="Times New Roman"/>
      <w:b/>
      <w:bCs/>
      <w:sz w:val="24"/>
    </w:rPr>
  </w:style>
  <w:style w:type="paragraph" w:customStyle="1" w:styleId="39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8">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399">
    <w:name w:val="È±Ê¡ÎÄ±¾"/>
    <w:basedOn w:val="1"/>
    <w:qFormat/>
    <w:uiPriority w:val="0"/>
    <w:pPr>
      <w:widowControl/>
      <w:overflowPunct w:val="0"/>
      <w:autoSpaceDE w:val="0"/>
      <w:autoSpaceDN w:val="0"/>
      <w:adjustRightInd w:val="0"/>
      <w:jc w:val="left"/>
      <w:textAlignment w:val="baseline"/>
    </w:pPr>
    <w:rPr>
      <w:rFonts w:cs="Times New Roman"/>
      <w:kern w:val="0"/>
      <w:sz w:val="24"/>
      <w:szCs w:val="20"/>
    </w:rPr>
  </w:style>
  <w:style w:type="paragraph" w:customStyle="1" w:styleId="400">
    <w:name w:val="正文1"/>
    <w:basedOn w:val="1"/>
    <w:qFormat/>
    <w:uiPriority w:val="0"/>
    <w:pPr>
      <w:spacing w:beforeLines="50" w:line="300" w:lineRule="auto"/>
      <w:ind w:firstLine="200" w:firstLineChars="200"/>
    </w:pPr>
    <w:rPr>
      <w:rFonts w:cs="Times New Roman"/>
      <w:sz w:val="24"/>
    </w:rPr>
  </w:style>
  <w:style w:type="paragraph" w:customStyle="1" w:styleId="4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02">
    <w:name w:val="CM100"/>
    <w:basedOn w:val="294"/>
    <w:next w:val="294"/>
    <w:qFormat/>
    <w:uiPriority w:val="0"/>
    <w:pPr>
      <w:spacing w:after="1160"/>
    </w:pPr>
    <w:rPr>
      <w:rFonts w:ascii="Trebuchet MS" w:hAnsi="Trebuchet MS" w:cs="Times New Roman"/>
      <w:color w:val="auto"/>
    </w:rPr>
  </w:style>
  <w:style w:type="paragraph" w:customStyle="1" w:styleId="403">
    <w:name w:val="正文4"/>
    <w:basedOn w:val="1"/>
    <w:qFormat/>
    <w:uiPriority w:val="0"/>
    <w:pPr>
      <w:tabs>
        <w:tab w:val="left" w:pos="360"/>
      </w:tabs>
      <w:spacing w:before="60" w:after="60" w:line="360" w:lineRule="auto"/>
      <w:ind w:left="820" w:leftChars="400" w:hanging="360" w:hangingChars="200"/>
    </w:pPr>
    <w:rPr>
      <w:rFonts w:cs="Times New Roman"/>
      <w:sz w:val="24"/>
      <w:szCs w:val="20"/>
    </w:rPr>
  </w:style>
  <w:style w:type="paragraph" w:customStyle="1" w:styleId="404">
    <w:name w:val="AODocTxtL1"/>
    <w:basedOn w:val="332"/>
    <w:qFormat/>
    <w:uiPriority w:val="0"/>
    <w:pPr>
      <w:numPr>
        <w:ilvl w:val="1"/>
        <w:numId w:val="6"/>
      </w:numPr>
    </w:pPr>
  </w:style>
  <w:style w:type="paragraph" w:customStyle="1" w:styleId="405">
    <w:name w:val="CM1"/>
    <w:basedOn w:val="294"/>
    <w:next w:val="294"/>
    <w:qFormat/>
    <w:uiPriority w:val="0"/>
    <w:rPr>
      <w:rFonts w:ascii="Trebuchet MS" w:hAnsi="Trebuchet MS" w:cs="Times New Roman"/>
      <w:color w:val="auto"/>
    </w:rPr>
  </w:style>
  <w:style w:type="paragraph" w:customStyle="1" w:styleId="406">
    <w:name w:val="CM29"/>
    <w:basedOn w:val="294"/>
    <w:next w:val="294"/>
    <w:qFormat/>
    <w:uiPriority w:val="0"/>
    <w:rPr>
      <w:rFonts w:ascii="Trebuchet MS" w:hAnsi="Trebuchet MS" w:cs="Times New Roman"/>
      <w:color w:val="auto"/>
    </w:rPr>
  </w:style>
  <w:style w:type="paragraph" w:customStyle="1" w:styleId="4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8">
    <w:name w:val="样式 标题 4h4H4bulletblbbPIM 4sect 1.2.3.4Ref Heading 1rh1..."/>
    <w:basedOn w:val="7"/>
    <w:qFormat/>
    <w:uiPriority w:val="0"/>
    <w:pPr>
      <w:keepLines/>
      <w:tabs>
        <w:tab w:val="left" w:pos="964"/>
        <w:tab w:val="clear" w:pos="1260"/>
      </w:tabs>
      <w:spacing w:before="260" w:beforeLines="50" w:after="260" w:afterLines="50" w:line="300" w:lineRule="auto"/>
      <w:ind w:left="964" w:hanging="964"/>
    </w:pPr>
    <w:rPr>
      <w:rFonts w:eastAsia="黑体" w:cs="宋体"/>
      <w:sz w:val="28"/>
      <w:szCs w:val="20"/>
    </w:rPr>
  </w:style>
  <w:style w:type="paragraph" w:customStyle="1" w:styleId="409">
    <w:name w:val="样式 标题 2 + 首行缩进:  0.5 字符"/>
    <w:basedOn w:val="5"/>
    <w:qFormat/>
    <w:uiPriority w:val="0"/>
    <w:pPr>
      <w:keepLines/>
      <w:tabs>
        <w:tab w:val="clear" w:pos="1260"/>
      </w:tabs>
      <w:spacing w:before="100" w:beforeAutospacing="1" w:after="100" w:afterAutospacing="1" w:line="360" w:lineRule="auto"/>
      <w:ind w:left="0" w:firstLine="0"/>
      <w:jc w:val="left"/>
    </w:pPr>
    <w:rPr>
      <w:rFonts w:ascii="Arial" w:hAnsi="Arial" w:cs="宋体"/>
      <w:sz w:val="30"/>
      <w:szCs w:val="20"/>
    </w:rPr>
  </w:style>
  <w:style w:type="paragraph" w:customStyle="1" w:styleId="410">
    <w:name w:val="Char Char Char Char2"/>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11">
    <w:name w:val="Char Char Char Char Char Char Char Char Char Char Char1 Char"/>
    <w:basedOn w:val="1"/>
    <w:qFormat/>
    <w:uiPriority w:val="0"/>
    <w:rPr>
      <w:rFonts w:cs="Times New Roman"/>
    </w:rPr>
  </w:style>
  <w:style w:type="paragraph" w:customStyle="1" w:styleId="412">
    <w:name w:val="样式 标题 2H2PIM2Heading 2 HiddenHeading 2 CCBSheading 2Titre3..."/>
    <w:basedOn w:val="5"/>
    <w:qFormat/>
    <w:uiPriority w:val="0"/>
    <w:pPr>
      <w:keepLines/>
      <w:numPr>
        <w:ilvl w:val="1"/>
        <w:numId w:val="0"/>
      </w:numPr>
      <w:tabs>
        <w:tab w:val="clear" w:pos="1260"/>
      </w:tabs>
      <w:spacing w:before="260" w:after="260" w:line="360" w:lineRule="auto"/>
      <w:ind w:left="1144" w:hanging="576"/>
    </w:pPr>
    <w:rPr>
      <w:rFonts w:ascii="Arial" w:hAnsi="Arial" w:eastAsia="黑体" w:cs="宋体"/>
      <w:sz w:val="32"/>
      <w:szCs w:val="20"/>
    </w:rPr>
  </w:style>
  <w:style w:type="paragraph" w:customStyle="1" w:styleId="41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4">
    <w:name w:val="总标题"/>
    <w:basedOn w:val="1"/>
    <w:next w:val="1"/>
    <w:qFormat/>
    <w:uiPriority w:val="0"/>
    <w:pPr>
      <w:spacing w:beforeLines="50" w:line="360" w:lineRule="auto"/>
      <w:jc w:val="center"/>
    </w:pPr>
    <w:rPr>
      <w:rFonts w:eastAsia="华文行楷" w:cs="Times New Roman"/>
      <w:b/>
      <w:sz w:val="72"/>
    </w:rPr>
  </w:style>
  <w:style w:type="paragraph" w:customStyle="1" w:styleId="415">
    <w:name w:val="3.4.2.2"/>
    <w:basedOn w:val="1"/>
    <w:qFormat/>
    <w:uiPriority w:val="0"/>
    <w:rPr>
      <w:rFonts w:cs="Times New Roman"/>
    </w:rPr>
  </w:style>
  <w:style w:type="paragraph" w:customStyle="1" w:styleId="416">
    <w:name w:val="序言称呼"/>
    <w:basedOn w:val="1"/>
    <w:qFormat/>
    <w:uiPriority w:val="0"/>
    <w:pPr>
      <w:spacing w:before="60" w:after="60" w:line="300" w:lineRule="auto"/>
    </w:pPr>
    <w:rPr>
      <w:rFonts w:eastAsia="楷体_GB2312" w:cs="Times New Roman"/>
      <w:b/>
      <w:spacing w:val="20"/>
      <w:sz w:val="28"/>
      <w:szCs w:val="20"/>
    </w:rPr>
  </w:style>
  <w:style w:type="paragraph" w:customStyle="1" w:styleId="417">
    <w:name w:val="CM13"/>
    <w:basedOn w:val="1"/>
    <w:next w:val="1"/>
    <w:qFormat/>
    <w:uiPriority w:val="0"/>
    <w:pPr>
      <w:autoSpaceDE w:val="0"/>
      <w:autoSpaceDN w:val="0"/>
      <w:adjustRightInd w:val="0"/>
      <w:spacing w:line="468" w:lineRule="atLeast"/>
      <w:jc w:val="left"/>
    </w:pPr>
    <w:rPr>
      <w:rFonts w:ascii="Trebuchet MS" w:hAnsi="Trebuchet MS" w:cs="Times New Roman"/>
      <w:kern w:val="0"/>
      <w:sz w:val="24"/>
    </w:rPr>
  </w:style>
  <w:style w:type="paragraph" w:customStyle="1" w:styleId="418">
    <w:name w:val="样式5"/>
    <w:basedOn w:val="1"/>
    <w:qFormat/>
    <w:uiPriority w:val="0"/>
    <w:pPr>
      <w:widowControl/>
      <w:snapToGrid w:val="0"/>
      <w:spacing w:line="440" w:lineRule="atLeast"/>
      <w:ind w:firstLine="425"/>
    </w:pPr>
    <w:rPr>
      <w:rFonts w:cs="Times New Roman"/>
      <w:sz w:val="24"/>
      <w:szCs w:val="20"/>
    </w:rPr>
  </w:style>
  <w:style w:type="paragraph" w:customStyle="1" w:styleId="41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kern w:val="0"/>
      <w:sz w:val="24"/>
    </w:rPr>
  </w:style>
  <w:style w:type="paragraph" w:customStyle="1" w:styleId="420">
    <w:name w:val="篇节"/>
    <w:basedOn w:val="1"/>
    <w:qFormat/>
    <w:uiPriority w:val="0"/>
    <w:pPr>
      <w:numPr>
        <w:ilvl w:val="0"/>
        <w:numId w:val="8"/>
      </w:numPr>
      <w:spacing w:beforeLines="50" w:line="300" w:lineRule="auto"/>
      <w:jc w:val="center"/>
    </w:pPr>
    <w:rPr>
      <w:rFonts w:ascii="华文行楷" w:eastAsia="华文行楷" w:cs="宋体"/>
      <w:b/>
      <w:bCs/>
      <w:sz w:val="52"/>
      <w:szCs w:val="52"/>
    </w:rPr>
  </w:style>
  <w:style w:type="paragraph" w:customStyle="1" w:styleId="421">
    <w:name w:val="AODocTxtL4"/>
    <w:basedOn w:val="332"/>
    <w:qFormat/>
    <w:uiPriority w:val="0"/>
    <w:pPr>
      <w:numPr>
        <w:ilvl w:val="4"/>
        <w:numId w:val="6"/>
      </w:numPr>
    </w:pPr>
  </w:style>
  <w:style w:type="paragraph" w:customStyle="1" w:styleId="422">
    <w:name w:val="样式 正文首行缩进 2 + 首行缩进:  2 字符"/>
    <w:basedOn w:val="88"/>
    <w:qFormat/>
    <w:uiPriority w:val="0"/>
    <w:pPr>
      <w:ind w:firstLine="480"/>
    </w:pPr>
    <w:rPr>
      <w:rFonts w:ascii="Times New Roman" w:hAnsi="Times New Roman" w:eastAsia="宋体" w:cs="宋体"/>
    </w:rPr>
  </w:style>
  <w:style w:type="paragraph" w:customStyle="1" w:styleId="423">
    <w:name w:val="wen_2"/>
    <w:basedOn w:val="1"/>
    <w:qFormat/>
    <w:uiPriority w:val="0"/>
    <w:pPr>
      <w:widowControl/>
      <w:spacing w:before="100" w:beforeAutospacing="1" w:after="100" w:afterAutospacing="1" w:line="324" w:lineRule="auto"/>
      <w:jc w:val="left"/>
    </w:pPr>
    <w:rPr>
      <w:rFonts w:cs="Times New Roman"/>
      <w:color w:val="000000"/>
      <w:kern w:val="0"/>
      <w:sz w:val="18"/>
      <w:szCs w:val="18"/>
    </w:rPr>
  </w:style>
  <w:style w:type="paragraph" w:customStyle="1" w:styleId="424">
    <w:name w:val="xl8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5">
    <w:name w:val="缺省文本"/>
    <w:basedOn w:val="1"/>
    <w:qFormat/>
    <w:uiPriority w:val="0"/>
    <w:pPr>
      <w:autoSpaceDE w:val="0"/>
      <w:autoSpaceDN w:val="0"/>
      <w:adjustRightInd w:val="0"/>
      <w:jc w:val="left"/>
    </w:pPr>
    <w:rPr>
      <w:rFonts w:ascii="Arial" w:hAnsi="Arial" w:cs="Times New Roman"/>
      <w:kern w:val="0"/>
      <w:sz w:val="24"/>
    </w:rPr>
  </w:style>
  <w:style w:type="paragraph" w:customStyle="1" w:styleId="426">
    <w:name w:val="样式1"/>
    <w:basedOn w:val="1"/>
    <w:next w:val="1"/>
    <w:qFormat/>
    <w:uiPriority w:val="0"/>
    <w:pPr>
      <w:tabs>
        <w:tab w:val="left" w:pos="0"/>
      </w:tabs>
      <w:spacing w:line="360" w:lineRule="auto"/>
    </w:pPr>
    <w:rPr>
      <w:rFonts w:ascii="Calibri" w:hAnsi="Calibri" w:cs="Times New Roman"/>
      <w:b/>
      <w:color w:val="000000"/>
      <w:sz w:val="24"/>
      <w:szCs w:val="36"/>
    </w:rPr>
  </w:style>
  <w:style w:type="paragraph" w:customStyle="1" w:styleId="427">
    <w:name w:val="Char Char Char Char Char2 Char"/>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28">
    <w:name w:val="_Style 427"/>
    <w:semiHidden/>
    <w:qFormat/>
    <w:uiPriority w:val="99"/>
    <w:rPr>
      <w:rFonts w:ascii="Times New Roman" w:hAnsi="Times New Roman" w:eastAsia="宋体" w:cs="Times New Roman"/>
      <w:kern w:val="2"/>
      <w:sz w:val="21"/>
      <w:szCs w:val="22"/>
      <w:lang w:val="en-US" w:eastAsia="zh-CN" w:bidi="ar-SA"/>
    </w:rPr>
  </w:style>
  <w:style w:type="paragraph" w:customStyle="1" w:styleId="429">
    <w:name w:val="CM15"/>
    <w:basedOn w:val="1"/>
    <w:next w:val="1"/>
    <w:qFormat/>
    <w:uiPriority w:val="0"/>
    <w:pPr>
      <w:autoSpaceDE w:val="0"/>
      <w:autoSpaceDN w:val="0"/>
      <w:adjustRightInd w:val="0"/>
      <w:spacing w:line="468" w:lineRule="atLeast"/>
      <w:jc w:val="left"/>
    </w:pPr>
    <w:rPr>
      <w:rFonts w:ascii="Trebuchet MS" w:hAnsi="Trebuchet MS" w:cs="Times New Roman"/>
      <w:kern w:val="0"/>
      <w:sz w:val="24"/>
    </w:rPr>
  </w:style>
  <w:style w:type="paragraph" w:customStyle="1" w:styleId="430">
    <w:name w:val="CM93"/>
    <w:basedOn w:val="294"/>
    <w:next w:val="294"/>
    <w:qFormat/>
    <w:uiPriority w:val="0"/>
    <w:pPr>
      <w:spacing w:after="1088"/>
    </w:pPr>
    <w:rPr>
      <w:rFonts w:ascii="Trebuchet MS" w:hAnsi="Trebuchet MS" w:cs="Times New Roman"/>
      <w:color w:val="auto"/>
    </w:rPr>
  </w:style>
  <w:style w:type="paragraph" w:customStyle="1" w:styleId="431">
    <w:name w:val="t5"/>
    <w:basedOn w:val="1"/>
    <w:qFormat/>
    <w:uiPriority w:val="0"/>
    <w:pPr>
      <w:widowControl/>
      <w:spacing w:beforeLines="50" w:after="100" w:afterAutospacing="1" w:line="300" w:lineRule="atLeast"/>
      <w:jc w:val="left"/>
    </w:pPr>
    <w:rPr>
      <w:rFonts w:cs="Times New Roman"/>
      <w:color w:val="000066"/>
      <w:kern w:val="0"/>
      <w:sz w:val="24"/>
      <w:szCs w:val="21"/>
    </w:rPr>
  </w:style>
  <w:style w:type="paragraph" w:customStyle="1" w:styleId="432">
    <w:name w:val="Default Paragraph Font Para Char"/>
    <w:basedOn w:val="1"/>
    <w:qFormat/>
    <w:uiPriority w:val="0"/>
    <w:pPr>
      <w:widowControl/>
      <w:spacing w:after="160" w:line="240" w:lineRule="exact"/>
      <w:jc w:val="left"/>
    </w:pPr>
    <w:rPr>
      <w:szCs w:val="20"/>
    </w:rPr>
  </w:style>
  <w:style w:type="paragraph" w:customStyle="1" w:styleId="433">
    <w:name w:val="小节标题（如1.1、）"/>
    <w:basedOn w:val="1"/>
    <w:qFormat/>
    <w:uiPriority w:val="0"/>
    <w:pPr>
      <w:spacing w:line="360" w:lineRule="auto"/>
    </w:pPr>
    <w:rPr>
      <w:rFonts w:eastAsia="黑体" w:cs="Times New Roman"/>
      <w:kern w:val="0"/>
    </w:rPr>
  </w:style>
  <w:style w:type="paragraph" w:customStyle="1" w:styleId="434">
    <w:name w:val="CM24"/>
    <w:basedOn w:val="294"/>
    <w:next w:val="294"/>
    <w:qFormat/>
    <w:uiPriority w:val="0"/>
    <w:pPr>
      <w:spacing w:line="468" w:lineRule="atLeast"/>
    </w:pPr>
    <w:rPr>
      <w:rFonts w:ascii="Trebuchet MS" w:hAnsi="Trebuchet MS" w:cs="Times New Roman"/>
      <w:color w:val="auto"/>
    </w:rPr>
  </w:style>
  <w:style w:type="paragraph" w:customStyle="1" w:styleId="435">
    <w:name w:val="!OSS12 Table Heading"/>
    <w:next w:val="307"/>
    <w:qFormat/>
    <w:uiPriority w:val="0"/>
    <w:pPr>
      <w:keepNext/>
    </w:pPr>
    <w:rPr>
      <w:rFonts w:ascii="Verdana" w:hAnsi="Verdana" w:eastAsia="宋体" w:cs="Verdana"/>
      <w:b/>
      <w:bCs/>
      <w:color w:val="000000"/>
      <w:sz w:val="19"/>
      <w:szCs w:val="19"/>
      <w:lang w:val="en-US" w:eastAsia="zh-CN" w:bidi="ar-SA"/>
    </w:rPr>
  </w:style>
  <w:style w:type="paragraph" w:customStyle="1" w:styleId="436">
    <w:name w:val="xl29"/>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22"/>
      <w:szCs w:val="22"/>
    </w:rPr>
  </w:style>
  <w:style w:type="paragraph" w:customStyle="1" w:styleId="437">
    <w:name w:val="Char Char Char2"/>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40">
    <w:name w:val="默认段落字体 Para Char Char Char Char Char Char Char Char Char Char Char Char Char Char Char Char Char Char Char"/>
    <w:basedOn w:val="1"/>
    <w:qFormat/>
    <w:uiPriority w:val="0"/>
    <w:rPr>
      <w:rFonts w:ascii="Tahoma" w:hAnsi="Tahoma" w:cs="Times New Roman"/>
      <w:sz w:val="24"/>
      <w:szCs w:val="20"/>
    </w:rPr>
  </w:style>
  <w:style w:type="paragraph" w:customStyle="1" w:styleId="441">
    <w:name w:val="CM11"/>
    <w:basedOn w:val="294"/>
    <w:next w:val="294"/>
    <w:qFormat/>
    <w:uiPriority w:val="0"/>
    <w:pPr>
      <w:spacing w:line="468" w:lineRule="atLeast"/>
    </w:pPr>
    <w:rPr>
      <w:rFonts w:ascii="Trebuchet MS" w:hAnsi="Trebuchet MS" w:cs="Times New Roman"/>
      <w:color w:val="auto"/>
    </w:rPr>
  </w:style>
  <w:style w:type="paragraph" w:customStyle="1" w:styleId="442">
    <w:name w:val="书目1"/>
    <w:basedOn w:val="1"/>
    <w:next w:val="1"/>
    <w:unhideWhenUsed/>
    <w:qFormat/>
    <w:uiPriority w:val="0"/>
  </w:style>
  <w:style w:type="paragraph" w:customStyle="1" w:styleId="443">
    <w:name w:val="方案文档"/>
    <w:basedOn w:val="1"/>
    <w:qFormat/>
    <w:uiPriority w:val="0"/>
    <w:pPr>
      <w:spacing w:before="120" w:after="120" w:line="360" w:lineRule="auto"/>
      <w:ind w:firstLine="225" w:firstLineChars="225"/>
    </w:pPr>
    <w:rPr>
      <w:rFonts w:ascii="Arial" w:hAnsi="Arial" w:cs="Times New Roman"/>
      <w:sz w:val="24"/>
    </w:rPr>
  </w:style>
  <w:style w:type="paragraph" w:customStyle="1" w:styleId="444">
    <w:name w:val="Chinese indent two words"/>
    <w:basedOn w:val="22"/>
    <w:qFormat/>
    <w:uiPriority w:val="0"/>
    <w:pPr>
      <w:autoSpaceDE w:val="0"/>
      <w:autoSpaceDN w:val="0"/>
      <w:spacing w:after="120"/>
      <w:ind w:firstLine="0" w:firstLineChars="0"/>
      <w:jc w:val="left"/>
    </w:pPr>
    <w:rPr>
      <w:rFonts w:cs="Times New Roman"/>
      <w:kern w:val="0"/>
      <w:sz w:val="20"/>
      <w:szCs w:val="21"/>
    </w:rPr>
  </w:style>
  <w:style w:type="paragraph" w:customStyle="1" w:styleId="44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color w:val="000000"/>
      <w:kern w:val="0"/>
      <w:sz w:val="24"/>
    </w:rPr>
  </w:style>
  <w:style w:type="paragraph" w:customStyle="1" w:styleId="446">
    <w:name w:val="表格文字"/>
    <w:qFormat/>
    <w:uiPriority w:val="0"/>
    <w:pPr>
      <w:ind w:left="-10" w:leftChars="-5"/>
      <w:jc w:val="center"/>
    </w:pPr>
    <w:rPr>
      <w:rFonts w:ascii="Times New Roman" w:hAnsi="Times New Roman" w:eastAsia="宋体" w:cs="Times New Roman"/>
      <w:iCs/>
      <w:kern w:val="2"/>
      <w:sz w:val="21"/>
      <w:szCs w:val="21"/>
      <w:lang w:val="zh-CN" w:eastAsia="zh-CN" w:bidi="ar-SA"/>
    </w:rPr>
  </w:style>
  <w:style w:type="paragraph" w:customStyle="1" w:styleId="447">
    <w:name w:val="节1"/>
    <w:next w:val="448"/>
    <w:qFormat/>
    <w:uiPriority w:val="0"/>
    <w:pPr>
      <w:tabs>
        <w:tab w:val="left" w:pos="1134"/>
      </w:tabs>
      <w:ind w:left="1134" w:hanging="1134"/>
    </w:pPr>
    <w:rPr>
      <w:rFonts w:ascii="Times New Roman" w:hAnsi="Times New Roman" w:eastAsia="黑体" w:cs="Times New Roman"/>
      <w:b/>
      <w:sz w:val="32"/>
      <w:lang w:val="en-US" w:eastAsia="zh-CN" w:bidi="ar-SA"/>
    </w:rPr>
  </w:style>
  <w:style w:type="paragraph" w:customStyle="1" w:styleId="448">
    <w:name w:val="条款1"/>
    <w:qFormat/>
    <w:uiPriority w:val="0"/>
    <w:pPr>
      <w:tabs>
        <w:tab w:val="left" w:pos="690"/>
      </w:tabs>
      <w:snapToGrid w:val="0"/>
      <w:spacing w:after="120" w:line="300" w:lineRule="auto"/>
      <w:ind w:left="690" w:hanging="690"/>
      <w:jc w:val="both"/>
    </w:pPr>
    <w:rPr>
      <w:rFonts w:ascii="Times New Roman" w:hAnsi="Times New Roman" w:eastAsia="宋体" w:cs="Times New Roman"/>
      <w:sz w:val="24"/>
      <w:lang w:val="en-US" w:eastAsia="zh-CN" w:bidi="ar-SA"/>
    </w:rPr>
  </w:style>
  <w:style w:type="paragraph" w:customStyle="1" w:styleId="449">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450">
    <w:name w:val="正文符号1"/>
    <w:basedOn w:val="1"/>
    <w:qFormat/>
    <w:uiPriority w:val="0"/>
    <w:pPr>
      <w:numPr>
        <w:ilvl w:val="0"/>
        <w:numId w:val="9"/>
      </w:numPr>
      <w:tabs>
        <w:tab w:val="left" w:pos="1080"/>
      </w:tabs>
      <w:spacing w:before="100" w:beforeAutospacing="1" w:after="100" w:afterAutospacing="1"/>
    </w:pPr>
    <w:rPr>
      <w:rFonts w:eastAsia="楷体_GB2312" w:cs="Times New Roman"/>
      <w:kern w:val="0"/>
      <w:sz w:val="28"/>
    </w:rPr>
  </w:style>
  <w:style w:type="paragraph" w:customStyle="1" w:styleId="451">
    <w:name w:val="标书正文 Char Char1"/>
    <w:basedOn w:val="1"/>
    <w:qFormat/>
    <w:uiPriority w:val="0"/>
    <w:pPr>
      <w:spacing w:line="500" w:lineRule="exact"/>
      <w:ind w:firstLine="540" w:firstLineChars="225"/>
      <w:jc w:val="left"/>
    </w:pPr>
    <w:rPr>
      <w:rFonts w:ascii="宋体" w:hAnsi="宋体" w:cs="Times New Roman"/>
      <w:sz w:val="24"/>
      <w:szCs w:val="20"/>
    </w:rPr>
  </w:style>
  <w:style w:type="paragraph" w:customStyle="1" w:styleId="452">
    <w:name w:val="Text in List 1"/>
    <w:basedOn w:val="1"/>
    <w:qFormat/>
    <w:uiPriority w:val="0"/>
    <w:pPr>
      <w:widowControl/>
      <w:spacing w:before="60" w:after="60" w:line="260" w:lineRule="exact"/>
      <w:ind w:left="360"/>
      <w:jc w:val="left"/>
    </w:pPr>
    <w:rPr>
      <w:rFonts w:ascii="Verdana" w:hAnsi="Verdana" w:cs="Times New Roman"/>
      <w:color w:val="000000"/>
      <w:kern w:val="0"/>
      <w:sz w:val="20"/>
      <w:szCs w:val="20"/>
      <w:lang w:eastAsia="en-US"/>
    </w:rPr>
  </w:style>
  <w:style w:type="paragraph" w:customStyle="1" w:styleId="453">
    <w:name w:val="默认段落字体 Para Char Char Char Char Char Char Char"/>
    <w:basedOn w:val="1"/>
    <w:qFormat/>
    <w:uiPriority w:val="0"/>
    <w:rPr>
      <w:rFonts w:ascii="Tahoma" w:hAnsi="Tahoma"/>
      <w:sz w:val="24"/>
      <w:szCs w:val="20"/>
    </w:rPr>
  </w:style>
  <w:style w:type="paragraph" w:customStyle="1" w:styleId="454">
    <w:name w:val="xl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2"/>
      <w:szCs w:val="22"/>
    </w:rPr>
  </w:style>
  <w:style w:type="paragraph" w:customStyle="1" w:styleId="455">
    <w:name w:val="样式 标题 3 + 首行缩进:  0.5 字符"/>
    <w:basedOn w:val="6"/>
    <w:qFormat/>
    <w:uiPriority w:val="0"/>
    <w:pPr>
      <w:spacing w:line="360" w:lineRule="auto"/>
    </w:pPr>
    <w:rPr>
      <w:rFonts w:ascii="Arial" w:hAnsi="Arial" w:cs="宋体"/>
      <w:sz w:val="24"/>
      <w:szCs w:val="20"/>
    </w:rPr>
  </w:style>
  <w:style w:type="paragraph" w:customStyle="1" w:styleId="456">
    <w:name w:val="CM85"/>
    <w:basedOn w:val="294"/>
    <w:next w:val="294"/>
    <w:qFormat/>
    <w:uiPriority w:val="0"/>
    <w:pPr>
      <w:spacing w:after="1005"/>
    </w:pPr>
    <w:rPr>
      <w:rFonts w:ascii="Trebuchet MS" w:hAnsi="Trebuchet MS" w:cs="Times New Roman"/>
      <w:color w:val="auto"/>
    </w:rPr>
  </w:style>
  <w:style w:type="paragraph" w:customStyle="1" w:styleId="457">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2"/>
      <w:szCs w:val="22"/>
    </w:rPr>
  </w:style>
  <w:style w:type="paragraph" w:customStyle="1" w:styleId="458">
    <w:name w:val="CM25"/>
    <w:basedOn w:val="294"/>
    <w:next w:val="294"/>
    <w:qFormat/>
    <w:uiPriority w:val="0"/>
    <w:pPr>
      <w:spacing w:line="468" w:lineRule="atLeast"/>
    </w:pPr>
    <w:rPr>
      <w:rFonts w:ascii="Trebuchet MS" w:hAnsi="Trebuchet MS" w:cs="Times New Roman"/>
      <w:color w:val="auto"/>
    </w:rPr>
  </w:style>
  <w:style w:type="paragraph" w:customStyle="1" w:styleId="459">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460">
    <w:name w:val="样式 标题 2 + 左侧:  0 厘米 首行缩进:  0 厘米 右侧:  2 字符"/>
    <w:basedOn w:val="5"/>
    <w:qFormat/>
    <w:uiPriority w:val="0"/>
    <w:pPr>
      <w:keepLines/>
      <w:tabs>
        <w:tab w:val="clear" w:pos="1260"/>
      </w:tabs>
      <w:spacing w:before="120" w:after="120" w:line="180" w:lineRule="auto"/>
      <w:ind w:left="0" w:right="420" w:rightChars="200" w:firstLine="0"/>
    </w:pPr>
    <w:rPr>
      <w:rFonts w:ascii="宋体" w:hAnsi="宋体" w:cs="Times New Roman"/>
      <w:sz w:val="24"/>
      <w:szCs w:val="21"/>
    </w:rPr>
  </w:style>
  <w:style w:type="paragraph" w:customStyle="1" w:styleId="461">
    <w:name w:val="正文首行缩进2字"/>
    <w:basedOn w:val="1"/>
    <w:qFormat/>
    <w:uiPriority w:val="0"/>
    <w:pPr>
      <w:ind w:firstLine="567"/>
    </w:pPr>
    <w:rPr>
      <w:rFonts w:cs="Times New Roman"/>
      <w:kern w:val="0"/>
    </w:rPr>
  </w:style>
  <w:style w:type="paragraph" w:customStyle="1" w:styleId="462">
    <w:name w:val="edoc-title3"/>
    <w:basedOn w:val="1"/>
    <w:qFormat/>
    <w:uiPriority w:val="0"/>
    <w:pPr>
      <w:spacing w:beforeLines="50" w:afterLines="50"/>
      <w:outlineLvl w:val="3"/>
    </w:pPr>
    <w:rPr>
      <w:rFonts w:cs="Times New Roman"/>
      <w:b/>
      <w:bCs/>
      <w:color w:val="000000"/>
      <w:kern w:val="28"/>
      <w:sz w:val="24"/>
    </w:rPr>
  </w:style>
  <w:style w:type="paragraph" w:customStyle="1" w:styleId="463">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464">
    <w:name w:val="Char Char Char Char1"/>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65">
    <w:name w:val="MTDisplayEquation"/>
    <w:basedOn w:val="1"/>
    <w:next w:val="1"/>
    <w:qFormat/>
    <w:uiPriority w:val="0"/>
    <w:pPr>
      <w:tabs>
        <w:tab w:val="center" w:pos="4160"/>
        <w:tab w:val="right" w:pos="8300"/>
      </w:tabs>
    </w:pPr>
    <w:rPr>
      <w:color w:val="000000"/>
      <w:sz w:val="36"/>
    </w:rPr>
  </w:style>
  <w:style w:type="paragraph" w:customStyle="1" w:styleId="466">
    <w:name w:val="style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7">
    <w:name w:val="正文编号1"/>
    <w:basedOn w:val="1"/>
    <w:qFormat/>
    <w:uiPriority w:val="0"/>
    <w:rPr>
      <w:rFonts w:cs="Times New Roman"/>
      <w:kern w:val="0"/>
    </w:rPr>
  </w:style>
  <w:style w:type="paragraph" w:customStyle="1" w:styleId="468">
    <w:name w:val="Char2 Char Char Char Char Char Char Char Char Char Char1 Char"/>
    <w:basedOn w:val="1"/>
    <w:qFormat/>
    <w:uiPriority w:val="0"/>
    <w:rPr>
      <w:rFonts w:ascii="Tahoma" w:hAnsi="Tahoma" w:cs="Times New Roman"/>
      <w:sz w:val="24"/>
      <w:szCs w:val="20"/>
    </w:rPr>
  </w:style>
  <w:style w:type="paragraph" w:customStyle="1" w:styleId="469">
    <w:name w:val="Char Char Char Char Char Char1"/>
    <w:basedOn w:val="1"/>
    <w:qFormat/>
    <w:uiPriority w:val="0"/>
    <w:rPr>
      <w:rFonts w:ascii="Tahoma" w:hAnsi="Tahoma" w:cs="Times New Roman"/>
      <w:sz w:val="24"/>
      <w:szCs w:val="20"/>
    </w:rPr>
  </w:style>
  <w:style w:type="paragraph" w:customStyle="1" w:styleId="470">
    <w:name w:val="样式 正文首行缩进 + 宋体 五号 首行缩进:  0 厘米 行距: 最小值 20 磅"/>
    <w:basedOn w:val="87"/>
    <w:qFormat/>
    <w:uiPriority w:val="0"/>
    <w:pPr>
      <w:adjustRightInd w:val="0"/>
      <w:spacing w:after="40" w:line="400" w:lineRule="atLeast"/>
      <w:ind w:firstLine="0" w:firstLineChars="0"/>
      <w:jc w:val="left"/>
      <w:textAlignment w:val="baseline"/>
    </w:pPr>
    <w:rPr>
      <w:rFonts w:ascii="宋体" w:hAnsi="宋体" w:eastAsia="宋体"/>
      <w:kern w:val="0"/>
      <w:sz w:val="21"/>
      <w:szCs w:val="20"/>
    </w:rPr>
  </w:style>
  <w:style w:type="paragraph" w:customStyle="1" w:styleId="471">
    <w:name w:val="样式 首行缩进:  0.85 厘米"/>
    <w:basedOn w:val="1"/>
    <w:qFormat/>
    <w:uiPriority w:val="0"/>
    <w:pPr>
      <w:spacing w:line="271" w:lineRule="auto"/>
      <w:ind w:firstLine="482"/>
    </w:pPr>
    <w:rPr>
      <w:rFonts w:cs="宋体"/>
      <w:sz w:val="24"/>
      <w:szCs w:val="20"/>
    </w:rPr>
  </w:style>
  <w:style w:type="paragraph" w:customStyle="1" w:styleId="472">
    <w:name w:val="表格正文"/>
    <w:basedOn w:val="1"/>
    <w:qFormat/>
    <w:uiPriority w:val="0"/>
    <w:pPr>
      <w:spacing w:line="240" w:lineRule="atLeast"/>
      <w:ind w:firstLine="540"/>
    </w:pPr>
    <w:rPr>
      <w:rFonts w:eastAsia="楷体_GB2312" w:cs="Times New Roman"/>
      <w:sz w:val="24"/>
    </w:rPr>
  </w:style>
  <w:style w:type="paragraph" w:customStyle="1" w:styleId="473">
    <w:name w:val="CM20"/>
    <w:basedOn w:val="294"/>
    <w:next w:val="294"/>
    <w:qFormat/>
    <w:uiPriority w:val="0"/>
    <w:pPr>
      <w:spacing w:line="468" w:lineRule="atLeast"/>
    </w:pPr>
    <w:rPr>
      <w:rFonts w:ascii="Trebuchet MS" w:hAnsi="Trebuchet MS" w:cs="Times New Roman"/>
      <w:color w:val="auto"/>
    </w:rPr>
  </w:style>
  <w:style w:type="paragraph" w:customStyle="1" w:styleId="474">
    <w:name w:val="Default Text"/>
    <w:basedOn w:val="1"/>
    <w:qFormat/>
    <w:uiPriority w:val="0"/>
    <w:pPr>
      <w:widowControl/>
      <w:overflowPunct w:val="0"/>
      <w:autoSpaceDE w:val="0"/>
      <w:autoSpaceDN w:val="0"/>
      <w:adjustRightInd w:val="0"/>
      <w:spacing w:beforeLines="50"/>
      <w:jc w:val="left"/>
      <w:textAlignment w:val="baseline"/>
    </w:pPr>
    <w:rPr>
      <w:rFonts w:eastAsia="仿宋_GB2312" w:cs="Times New Roman"/>
      <w:kern w:val="0"/>
      <w:sz w:val="24"/>
      <w:szCs w:val="20"/>
      <w:lang w:val="en-GB"/>
    </w:rPr>
  </w:style>
  <w:style w:type="paragraph" w:customStyle="1" w:styleId="475">
    <w:name w:val="c2"/>
    <w:basedOn w:val="1"/>
    <w:qFormat/>
    <w:uiPriority w:val="0"/>
    <w:rPr>
      <w:rFonts w:cs="Times New Roman"/>
    </w:rPr>
  </w:style>
  <w:style w:type="paragraph" w:customStyle="1" w:styleId="476">
    <w:name w:val="Char1 Char Char Char Char Char Char"/>
    <w:basedOn w:val="1"/>
    <w:qFormat/>
    <w:uiPriority w:val="0"/>
    <w:pPr>
      <w:tabs>
        <w:tab w:val="left" w:pos="360"/>
      </w:tabs>
      <w:ind w:firstLine="560" w:firstLineChars="200"/>
      <w:jc w:val="left"/>
    </w:pPr>
    <w:rPr>
      <w:sz w:val="24"/>
    </w:rPr>
  </w:style>
  <w:style w:type="paragraph" w:customStyle="1" w:styleId="477">
    <w:name w:val="CM94"/>
    <w:basedOn w:val="294"/>
    <w:next w:val="294"/>
    <w:qFormat/>
    <w:uiPriority w:val="0"/>
    <w:pPr>
      <w:spacing w:after="77"/>
    </w:pPr>
    <w:rPr>
      <w:rFonts w:ascii="Trebuchet MS" w:hAnsi="Trebuchet MS" w:cs="Times New Roman"/>
      <w:color w:val="auto"/>
    </w:rPr>
  </w:style>
  <w:style w:type="paragraph" w:customStyle="1" w:styleId="478">
    <w:name w:val="样式 标题 3标题 3 CharBold Head Charbh Charh3 CharH3 Charlevel_3..."/>
    <w:basedOn w:val="6"/>
    <w:qFormat/>
    <w:uiPriority w:val="0"/>
    <w:pPr>
      <w:numPr>
        <w:ilvl w:val="2"/>
        <w:numId w:val="0"/>
      </w:numPr>
      <w:spacing w:line="360" w:lineRule="auto"/>
      <w:ind w:left="720" w:hanging="720"/>
    </w:pPr>
    <w:rPr>
      <w:rFonts w:cs="宋体"/>
      <w:sz w:val="30"/>
      <w:szCs w:val="20"/>
    </w:rPr>
  </w:style>
  <w:style w:type="paragraph" w:customStyle="1" w:styleId="479">
    <w:name w:val="tk2"/>
    <w:basedOn w:val="1"/>
    <w:qFormat/>
    <w:uiPriority w:val="0"/>
    <w:pPr>
      <w:spacing w:line="360" w:lineRule="auto"/>
      <w:ind w:firstLine="480" w:firstLineChars="200"/>
    </w:pPr>
    <w:rPr>
      <w:sz w:val="24"/>
      <w:szCs w:val="20"/>
    </w:rPr>
  </w:style>
  <w:style w:type="paragraph" w:customStyle="1" w:styleId="480">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481">
    <w:name w:val="CM92"/>
    <w:basedOn w:val="294"/>
    <w:next w:val="294"/>
    <w:qFormat/>
    <w:uiPriority w:val="0"/>
    <w:pPr>
      <w:spacing w:after="118"/>
    </w:pPr>
    <w:rPr>
      <w:rFonts w:ascii="Trebuchet MS" w:hAnsi="Trebuchet MS" w:cs="Times New Roman"/>
      <w:color w:val="auto"/>
    </w:rPr>
  </w:style>
  <w:style w:type="paragraph" w:customStyle="1" w:styleId="482">
    <w:name w:val="标书_正文"/>
    <w:basedOn w:val="1"/>
    <w:qFormat/>
    <w:uiPriority w:val="0"/>
    <w:pPr>
      <w:adjustRightInd w:val="0"/>
      <w:snapToGrid w:val="0"/>
      <w:spacing w:line="300" w:lineRule="auto"/>
      <w:ind w:firstLine="420"/>
    </w:pPr>
    <w:rPr>
      <w:rFonts w:ascii="宋体" w:cs="Times New Roman"/>
      <w:bCs/>
      <w:kern w:val="0"/>
    </w:rPr>
  </w:style>
  <w:style w:type="paragraph" w:customStyle="1" w:styleId="483">
    <w:name w:val="表格"/>
    <w:basedOn w:val="1"/>
    <w:qFormat/>
    <w:uiPriority w:val="0"/>
    <w:pPr>
      <w:widowControl/>
      <w:tabs>
        <w:tab w:val="left" w:pos="720"/>
        <w:tab w:val="left" w:pos="900"/>
      </w:tabs>
      <w:jc w:val="left"/>
    </w:pPr>
    <w:rPr>
      <w:rFonts w:ascii="仿宋体" w:hAnsi="仿宋体" w:eastAsia="仿宋体" w:cs="Times New Roman"/>
      <w:sz w:val="24"/>
      <w:szCs w:val="20"/>
    </w:rPr>
  </w:style>
  <w:style w:type="paragraph" w:customStyle="1" w:styleId="484">
    <w:name w:val="列出段落2"/>
    <w:basedOn w:val="1"/>
    <w:qFormat/>
    <w:uiPriority w:val="0"/>
    <w:pPr>
      <w:ind w:left="720"/>
    </w:pPr>
  </w:style>
  <w:style w:type="paragraph" w:customStyle="1" w:styleId="485">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6">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487">
    <w:name w:val="标题4"/>
    <w:basedOn w:val="7"/>
    <w:qFormat/>
    <w:uiPriority w:val="0"/>
    <w:pPr>
      <w:keepLines/>
      <w:tabs>
        <w:tab w:val="clear" w:pos="1260"/>
      </w:tabs>
      <w:autoSpaceDE w:val="0"/>
      <w:autoSpaceDN w:val="0"/>
      <w:adjustRightInd w:val="0"/>
      <w:spacing w:before="280" w:after="290" w:line="300" w:lineRule="auto"/>
      <w:ind w:left="0" w:firstLine="0"/>
    </w:pPr>
    <w:rPr>
      <w:rFonts w:ascii="Arial" w:hAnsi="Arial" w:cs="Times New Roman"/>
      <w:bCs w:val="0"/>
      <w:szCs w:val="32"/>
    </w:rPr>
  </w:style>
  <w:style w:type="paragraph" w:customStyle="1" w:styleId="488">
    <w:name w:val="Char1"/>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489">
    <w:name w:val="TOC 标题1"/>
    <w:basedOn w:val="4"/>
    <w:next w:val="1"/>
    <w:qFormat/>
    <w:uiPriority w:val="39"/>
    <w:pPr>
      <w:outlineLvl w:val="9"/>
    </w:pPr>
  </w:style>
  <w:style w:type="paragraph" w:customStyle="1" w:styleId="490">
    <w:name w:val="Char2"/>
    <w:basedOn w:val="1"/>
    <w:next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91">
    <w:name w:val="样式 首行缩进:  2 字符1"/>
    <w:basedOn w:val="1"/>
    <w:qFormat/>
    <w:uiPriority w:val="0"/>
    <w:pPr>
      <w:tabs>
        <w:tab w:val="left" w:pos="851"/>
      </w:tabs>
      <w:spacing w:line="360" w:lineRule="exact"/>
      <w:ind w:left="283" w:leftChars="135" w:firstLine="360" w:firstLineChars="150"/>
    </w:pPr>
    <w:rPr>
      <w:rFonts w:eastAsia="仿宋_GB2312"/>
      <w:sz w:val="24"/>
    </w:rPr>
  </w:style>
  <w:style w:type="paragraph" w:customStyle="1" w:styleId="492">
    <w:name w:val="Body Text1"/>
    <w:basedOn w:val="1"/>
    <w:next w:val="71"/>
    <w:qFormat/>
    <w:uiPriority w:val="0"/>
    <w:pPr>
      <w:spacing w:beforeLines="50" w:afterLines="50" w:line="360" w:lineRule="auto"/>
      <w:ind w:firstLine="480" w:firstLineChars="200"/>
    </w:pPr>
    <w:rPr>
      <w:rFonts w:ascii="Arial" w:hAnsi="Arial" w:cs="Arial"/>
      <w:sz w:val="24"/>
      <w:szCs w:val="20"/>
    </w:rPr>
  </w:style>
  <w:style w:type="paragraph" w:customStyle="1" w:styleId="4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95">
    <w:name w:val="px12l140"/>
    <w:basedOn w:val="1"/>
    <w:qFormat/>
    <w:uiPriority w:val="0"/>
    <w:pPr>
      <w:widowControl/>
      <w:spacing w:before="100" w:beforeAutospacing="1" w:after="100" w:afterAutospacing="1" w:line="336" w:lineRule="auto"/>
      <w:jc w:val="left"/>
    </w:pPr>
    <w:rPr>
      <w:rFonts w:ascii="ˎ̥" w:hAnsi="ˎ̥" w:cs="宋体"/>
      <w:kern w:val="0"/>
      <w:sz w:val="18"/>
      <w:szCs w:val="18"/>
    </w:rPr>
  </w:style>
  <w:style w:type="paragraph" w:customStyle="1" w:styleId="49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7">
    <w:name w:val="PI"/>
    <w:basedOn w:val="1"/>
    <w:next w:val="36"/>
    <w:qFormat/>
    <w:uiPriority w:val="0"/>
    <w:pPr>
      <w:spacing w:beforeLines="50" w:after="120"/>
      <w:ind w:left="420" w:leftChars="200" w:firstLine="420" w:firstLineChars="200"/>
    </w:pPr>
    <w:rPr>
      <w:rFonts w:cs="Times New Roman"/>
      <w:kern w:val="28"/>
      <w:sz w:val="24"/>
    </w:rPr>
  </w:style>
  <w:style w:type="paragraph" w:customStyle="1" w:styleId="498">
    <w:name w:val="样式 段前: 0.5 行"/>
    <w:basedOn w:val="1"/>
    <w:qFormat/>
    <w:uiPriority w:val="0"/>
    <w:pPr>
      <w:spacing w:beforeLines="50" w:line="360" w:lineRule="auto"/>
    </w:pPr>
    <w:rPr>
      <w:rFonts w:eastAsia="仿宋_GB2312" w:cs="宋体"/>
      <w:sz w:val="28"/>
      <w:szCs w:val="28"/>
    </w:rPr>
  </w:style>
  <w:style w:type="paragraph" w:customStyle="1" w:styleId="499">
    <w:name w:val="样式2"/>
    <w:basedOn w:val="64"/>
    <w:qFormat/>
    <w:uiPriority w:val="0"/>
    <w:pPr>
      <w:spacing w:line="360" w:lineRule="auto"/>
      <w:jc w:val="center"/>
    </w:pPr>
    <w:rPr>
      <w:rFonts w:ascii="宋体" w:hAnsi="宋体" w:cs="Times New Roman"/>
      <w:szCs w:val="20"/>
    </w:rPr>
  </w:style>
  <w:style w:type="paragraph" w:customStyle="1" w:styleId="500">
    <w:name w:val="p15"/>
    <w:basedOn w:val="1"/>
    <w:qFormat/>
    <w:uiPriority w:val="0"/>
    <w:pPr>
      <w:widowControl/>
      <w:ind w:firstLine="420"/>
    </w:pPr>
    <w:rPr>
      <w:rFonts w:cs="Times New Roman"/>
      <w:kern w:val="0"/>
      <w:szCs w:val="21"/>
    </w:rPr>
  </w:style>
  <w:style w:type="paragraph" w:customStyle="1" w:styleId="501">
    <w:name w:val="CM14"/>
    <w:basedOn w:val="1"/>
    <w:next w:val="1"/>
    <w:qFormat/>
    <w:uiPriority w:val="0"/>
    <w:pPr>
      <w:autoSpaceDE w:val="0"/>
      <w:autoSpaceDN w:val="0"/>
      <w:adjustRightInd w:val="0"/>
      <w:spacing w:line="468" w:lineRule="atLeast"/>
      <w:jc w:val="left"/>
    </w:pPr>
    <w:rPr>
      <w:rFonts w:ascii="Trebuchet MS" w:hAnsi="Trebuchet MS" w:cs="Times New Roman"/>
      <w:kern w:val="0"/>
      <w:sz w:val="24"/>
    </w:rPr>
  </w:style>
  <w:style w:type="paragraph" w:customStyle="1" w:styleId="502">
    <w:name w:val="Char Char2 Char Char Char Char Char Char Char"/>
    <w:basedOn w:val="1"/>
    <w:qFormat/>
    <w:uiPriority w:val="0"/>
    <w:rPr>
      <w:rFonts w:ascii="Tahoma" w:hAnsi="Tahoma" w:cs="Times New Roman"/>
      <w:sz w:val="24"/>
      <w:szCs w:val="20"/>
    </w:rPr>
  </w:style>
  <w:style w:type="paragraph" w:customStyle="1" w:styleId="503">
    <w:name w:val="标题章 1"/>
    <w:basedOn w:val="1"/>
    <w:qFormat/>
    <w:uiPriority w:val="0"/>
    <w:pPr>
      <w:numPr>
        <w:ilvl w:val="0"/>
        <w:numId w:val="10"/>
      </w:numPr>
      <w:adjustRightInd w:val="0"/>
      <w:snapToGrid w:val="0"/>
      <w:spacing w:line="360" w:lineRule="auto"/>
      <w:jc w:val="center"/>
      <w:outlineLvl w:val="0"/>
    </w:pPr>
    <w:rPr>
      <w:rFonts w:ascii="Calibri" w:hAnsi="Calibri" w:cs="Times New Roman"/>
      <w:b/>
      <w:sz w:val="52"/>
      <w:szCs w:val="20"/>
    </w:rPr>
  </w:style>
  <w:style w:type="paragraph" w:customStyle="1" w:styleId="504">
    <w:name w:val="CM27"/>
    <w:basedOn w:val="294"/>
    <w:next w:val="294"/>
    <w:qFormat/>
    <w:uiPriority w:val="0"/>
    <w:pPr>
      <w:spacing w:line="348" w:lineRule="atLeast"/>
    </w:pPr>
    <w:rPr>
      <w:rFonts w:ascii="Trebuchet MS" w:hAnsi="Trebuchet MS" w:cs="Times New Roman"/>
      <w:color w:val="auto"/>
    </w:rPr>
  </w:style>
  <w:style w:type="paragraph" w:customStyle="1" w:styleId="505">
    <w:name w:val="WW-正文（首行缩进两字）"/>
    <w:basedOn w:val="1"/>
    <w:qFormat/>
    <w:uiPriority w:val="0"/>
    <w:pPr>
      <w:suppressAutoHyphens/>
      <w:ind w:firstLine="420"/>
    </w:pPr>
    <w:rPr>
      <w:rFonts w:cs="Times New Roman"/>
      <w:kern w:val="1"/>
      <w:szCs w:val="20"/>
      <w:lang w:eastAsia="ar-SA"/>
    </w:rPr>
  </w:style>
  <w:style w:type="paragraph" w:customStyle="1" w:styleId="506">
    <w:name w:val="xl2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 w:val="22"/>
      <w:szCs w:val="22"/>
    </w:rPr>
  </w:style>
  <w:style w:type="paragraph" w:customStyle="1" w:styleId="507">
    <w:name w:val="Char Char Char Char Char Char1 Char Char Char Char"/>
    <w:basedOn w:val="1"/>
    <w:qFormat/>
    <w:uiPriority w:val="0"/>
    <w:rPr>
      <w:rFonts w:ascii="Tahoma" w:hAnsi="Tahoma" w:cs="Times New Roman"/>
      <w:sz w:val="24"/>
      <w:szCs w:val="20"/>
    </w:rPr>
  </w:style>
  <w:style w:type="paragraph" w:customStyle="1" w:styleId="508">
    <w:name w:val="AODocTxtL6"/>
    <w:basedOn w:val="332"/>
    <w:qFormat/>
    <w:uiPriority w:val="0"/>
    <w:pPr>
      <w:numPr>
        <w:ilvl w:val="6"/>
        <w:numId w:val="6"/>
      </w:numPr>
    </w:pPr>
  </w:style>
  <w:style w:type="paragraph" w:customStyle="1" w:styleId="509">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0">
    <w:name w:val="文档正文"/>
    <w:basedOn w:val="1"/>
    <w:qFormat/>
    <w:uiPriority w:val="0"/>
    <w:pPr>
      <w:spacing w:before="156" w:beforeLines="50"/>
    </w:pPr>
    <w:rPr>
      <w:b/>
    </w:rPr>
  </w:style>
  <w:style w:type="paragraph" w:customStyle="1" w:styleId="511">
    <w:name w:val="正文文本 body text + Tahoma 行距: 多倍行距 1.3 字行 Char Char"/>
    <w:basedOn w:val="35"/>
    <w:qFormat/>
    <w:uiPriority w:val="0"/>
    <w:pPr>
      <w:autoSpaceDE w:val="0"/>
      <w:autoSpaceDN w:val="0"/>
      <w:adjustRightInd w:val="0"/>
      <w:spacing w:beforeLines="50" w:after="0" w:line="312" w:lineRule="auto"/>
      <w:ind w:firstLine="420" w:firstLineChars="200"/>
    </w:pPr>
    <w:rPr>
      <w:rFonts w:ascii="Tahoma" w:hAnsi="Tahoma" w:cs="Times New Roman"/>
      <w:sz w:val="24"/>
      <w:szCs w:val="21"/>
      <w:lang w:val="fr-FR"/>
    </w:rPr>
  </w:style>
  <w:style w:type="paragraph" w:customStyle="1" w:styleId="512">
    <w:name w:val="图"/>
    <w:basedOn w:val="1"/>
    <w:qFormat/>
    <w:uiPriority w:val="0"/>
    <w:pPr>
      <w:keepNext/>
      <w:adjustRightInd w:val="0"/>
      <w:spacing w:before="60" w:after="60" w:line="300" w:lineRule="auto"/>
      <w:jc w:val="center"/>
      <w:textAlignment w:val="center"/>
    </w:pPr>
    <w:rPr>
      <w:snapToGrid/>
      <w:spacing w:val="20"/>
      <w:kern w:val="0"/>
      <w:sz w:val="24"/>
      <w:szCs w:val="20"/>
    </w:rPr>
  </w:style>
  <w:style w:type="paragraph" w:customStyle="1" w:styleId="513">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宋体"/>
      <w:b/>
      <w:bCs/>
      <w:spacing w:val="-5"/>
      <w:kern w:val="0"/>
      <w:sz w:val="28"/>
      <w:szCs w:val="20"/>
    </w:rPr>
  </w:style>
  <w:style w:type="paragraph" w:customStyle="1" w:styleId="514">
    <w:name w:val="Char Char Char Char Char Char"/>
    <w:basedOn w:val="1"/>
    <w:qFormat/>
    <w:uiPriority w:val="0"/>
    <w:pPr>
      <w:autoSpaceDE w:val="0"/>
      <w:autoSpaceDN w:val="0"/>
      <w:adjustRightInd w:val="0"/>
      <w:spacing w:line="360" w:lineRule="auto"/>
      <w:ind w:firstLine="420" w:firstLineChars="200"/>
      <w:jc w:val="left"/>
    </w:pPr>
    <w:rPr>
      <w:rFonts w:ascii="Tahoma" w:hAnsi="Tahoma" w:cs="Times New Roman"/>
      <w:kern w:val="0"/>
      <w:sz w:val="24"/>
      <w:szCs w:val="20"/>
    </w:rPr>
  </w:style>
  <w:style w:type="paragraph" w:customStyle="1" w:styleId="515">
    <w:name w:val="通用"/>
    <w:basedOn w:val="1"/>
    <w:qFormat/>
    <w:uiPriority w:val="0"/>
    <w:pPr>
      <w:widowControl/>
      <w:overflowPunct w:val="0"/>
      <w:autoSpaceDE w:val="0"/>
      <w:autoSpaceDN w:val="0"/>
      <w:spacing w:before="120" w:after="120" w:line="300" w:lineRule="exact"/>
      <w:ind w:right="216"/>
      <w:jc w:val="left"/>
    </w:pPr>
    <w:rPr>
      <w:rFonts w:cs="Times New Roman"/>
      <w:spacing w:val="40"/>
      <w:kern w:val="0"/>
      <w:sz w:val="24"/>
      <w:szCs w:val="20"/>
      <w:lang w:bidi="he-IL"/>
    </w:rPr>
  </w:style>
  <w:style w:type="paragraph" w:customStyle="1" w:styleId="516">
    <w:name w:val="AODocTxtL5"/>
    <w:basedOn w:val="332"/>
    <w:qFormat/>
    <w:uiPriority w:val="0"/>
    <w:pPr>
      <w:numPr>
        <w:ilvl w:val="5"/>
        <w:numId w:val="6"/>
      </w:numPr>
    </w:pPr>
  </w:style>
  <w:style w:type="paragraph" w:customStyle="1" w:styleId="517">
    <w:name w:val="样式 正文缩进正文（首行缩进两字）表正文正文非缩进特点ALT+Z正文缩进William水上软件 + 左侧:  2 ...1"/>
    <w:basedOn w:val="22"/>
    <w:qFormat/>
    <w:uiPriority w:val="0"/>
    <w:pPr>
      <w:ind w:left="200" w:leftChars="200" w:firstLine="200"/>
    </w:pPr>
    <w:rPr>
      <w:rFonts w:ascii="宋体" w:hAnsi="宋体" w:cs="Times New Roman"/>
      <w:kern w:val="0"/>
      <w:sz w:val="24"/>
      <w:szCs w:val="20"/>
    </w:rPr>
  </w:style>
  <w:style w:type="paragraph" w:customStyle="1" w:styleId="518">
    <w:name w:val="Bulleted List 1"/>
    <w:qFormat/>
    <w:uiPriority w:val="0"/>
    <w:pPr>
      <w:numPr>
        <w:ilvl w:val="0"/>
        <w:numId w:val="11"/>
      </w:numPr>
      <w:spacing w:before="60" w:after="60" w:line="260" w:lineRule="exact"/>
    </w:pPr>
    <w:rPr>
      <w:rFonts w:ascii="Verdana" w:hAnsi="Verdana" w:eastAsia="宋体" w:cs="Times New Roman"/>
      <w:color w:val="000000"/>
      <w:lang w:val="en-US" w:eastAsia="en-US" w:bidi="ar-SA"/>
    </w:rPr>
  </w:style>
  <w:style w:type="paragraph" w:customStyle="1" w:styleId="519">
    <w:name w:val="_"/>
    <w:basedOn w:val="1"/>
    <w:qFormat/>
    <w:uiPriority w:val="0"/>
    <w:pPr>
      <w:adjustRightInd w:val="0"/>
      <w:spacing w:beforeLines="50" w:line="300" w:lineRule="auto"/>
      <w:ind w:left="480"/>
      <w:textAlignment w:val="baseline"/>
    </w:pPr>
    <w:rPr>
      <w:rFonts w:cs="Times New Roman"/>
      <w:kern w:val="0"/>
      <w:sz w:val="24"/>
      <w:szCs w:val="20"/>
    </w:rPr>
  </w:style>
  <w:style w:type="paragraph" w:customStyle="1" w:styleId="520">
    <w:name w:val="p18"/>
    <w:basedOn w:val="1"/>
    <w:qFormat/>
    <w:uiPriority w:val="0"/>
    <w:pPr>
      <w:widowControl/>
      <w:spacing w:before="100" w:after="100"/>
      <w:jc w:val="left"/>
    </w:pPr>
    <w:rPr>
      <w:rFonts w:ascii="宋体" w:hAnsi="宋体" w:cs="宋体"/>
      <w:kern w:val="0"/>
      <w:sz w:val="24"/>
    </w:rPr>
  </w:style>
  <w:style w:type="paragraph" w:customStyle="1" w:styleId="521">
    <w:name w:val="CM18"/>
    <w:basedOn w:val="294"/>
    <w:next w:val="294"/>
    <w:qFormat/>
    <w:uiPriority w:val="0"/>
    <w:pPr>
      <w:spacing w:line="468" w:lineRule="atLeast"/>
    </w:pPr>
    <w:rPr>
      <w:rFonts w:ascii="Trebuchet MS" w:hAnsi="Trebuchet MS" w:cs="Times New Roman"/>
      <w:color w:val="auto"/>
    </w:rPr>
  </w:style>
  <w:style w:type="paragraph" w:customStyle="1" w:styleId="522">
    <w:name w:val="信雅达"/>
    <w:basedOn w:val="1"/>
    <w:qFormat/>
    <w:uiPriority w:val="0"/>
    <w:pPr>
      <w:spacing w:beforeLines="50" w:line="300" w:lineRule="auto"/>
      <w:jc w:val="center"/>
    </w:pPr>
    <w:rPr>
      <w:rFonts w:eastAsia="华文中宋" w:cs="Times New Roman"/>
      <w:b/>
      <w:sz w:val="32"/>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4">
    <w:name w:val="CM28"/>
    <w:basedOn w:val="294"/>
    <w:next w:val="294"/>
    <w:qFormat/>
    <w:uiPriority w:val="0"/>
    <w:pPr>
      <w:spacing w:line="346" w:lineRule="atLeast"/>
    </w:pPr>
    <w:rPr>
      <w:rFonts w:ascii="Trebuchet MS" w:hAnsi="Trebuchet MS" w:cs="Times New Roman"/>
      <w:color w:val="auto"/>
    </w:rPr>
  </w:style>
  <w:style w:type="paragraph" w:customStyle="1" w:styleId="525">
    <w:name w:val="三级编号"/>
    <w:basedOn w:val="1"/>
    <w:qFormat/>
    <w:uiPriority w:val="0"/>
    <w:pPr>
      <w:tabs>
        <w:tab w:val="left" w:pos="770"/>
      </w:tabs>
      <w:spacing w:line="360" w:lineRule="auto"/>
      <w:ind w:left="600" w:leftChars="400" w:hanging="200" w:hangingChars="200"/>
    </w:pPr>
    <w:rPr>
      <w:rFonts w:cs="Times New Roman"/>
      <w:sz w:val="24"/>
    </w:rPr>
  </w:style>
  <w:style w:type="paragraph" w:customStyle="1" w:styleId="526">
    <w:name w:val="正文文本 body text + Tahoma 行距: 多倍行距 1.3 字行 Char"/>
    <w:basedOn w:val="35"/>
    <w:qFormat/>
    <w:uiPriority w:val="0"/>
    <w:pPr>
      <w:autoSpaceDE w:val="0"/>
      <w:autoSpaceDN w:val="0"/>
      <w:adjustRightInd w:val="0"/>
      <w:spacing w:beforeLines="50" w:after="0" w:line="312" w:lineRule="auto"/>
      <w:ind w:firstLine="420" w:firstLineChars="200"/>
    </w:pPr>
    <w:rPr>
      <w:rFonts w:ascii="Tahoma" w:hAnsi="Tahoma" w:cs="Times New Roman"/>
      <w:sz w:val="24"/>
      <w:szCs w:val="21"/>
      <w:lang w:val="fr-FR"/>
    </w:rPr>
  </w:style>
  <w:style w:type="paragraph" w:customStyle="1" w:styleId="527">
    <w:name w:val="正文2"/>
    <w:basedOn w:val="1"/>
    <w:qFormat/>
    <w:uiPriority w:val="0"/>
    <w:pPr>
      <w:spacing w:beforeLines="50" w:line="300" w:lineRule="auto"/>
      <w:ind w:firstLine="510"/>
    </w:pPr>
    <w:rPr>
      <w:rFonts w:cs="Times New Roman"/>
      <w:sz w:val="24"/>
      <w:szCs w:val="20"/>
    </w:rPr>
  </w:style>
  <w:style w:type="paragraph" w:customStyle="1" w:styleId="5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table" w:customStyle="1" w:styleId="529">
    <w:name w:val="网格型1"/>
    <w:basedOn w:val="89"/>
    <w:qFormat/>
    <w:uiPriority w:val="0"/>
    <w:pPr>
      <w:widowControl w:val="0"/>
      <w:spacing w:line="36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中等深浅底纹 1 - 强调文字颜色 11"/>
    <w:basedOn w:val="89"/>
    <w:qFormat/>
    <w:uiPriority w:val="1"/>
    <w:rPr>
      <w:rFonts w:cs="Times New Roman"/>
      <w:sz w:val="22"/>
      <w:szCs w:val="22"/>
    </w:rPr>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l2br w:val="nil"/>
          <w:tr2bl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6E6F4"/>
      </w:tcPr>
    </w:tblStylePr>
    <w:tblStylePr w:type="band1Horz">
      <w:tcPr>
        <w:shd w:val="clear" w:color="auto" w:fill="D6E6F4"/>
      </w:tcPr>
    </w:tblStylePr>
    <w:tblStylePr w:type="band2Horz"/>
  </w:style>
  <w:style w:type="table" w:customStyle="1" w:styleId="531">
    <w:name w:val="IBM-1"/>
    <w:basedOn w:val="91"/>
    <w:qFormat/>
    <w:uiPriority w:val="0"/>
    <w:pPr>
      <w:spacing w:before="0" w:after="0" w:line="240" w:lineRule="auto"/>
      <w:jc w:val="left"/>
    </w:pPr>
    <w:rPr>
      <w:rFonts w:ascii="Helvetica" w:hAnsi="Helvetica" w:eastAsia="方正中等线简体"/>
      <w:sz w:val="16"/>
    </w:rPr>
    <w:tblPr>
      <w:tblBorders>
        <w:top w:val="single" w:color="auto" w:sz="12" w:space="0"/>
        <w:left w:val="single" w:color="auto" w:sz="12" w:space="0"/>
        <w:bottom w:val="single" w:color="auto" w:sz="12" w:space="0"/>
        <w:right w:val="single" w:color="auto" w:sz="12" w:space="0"/>
      </w:tblBorders>
      <w:tblCellMar>
        <w:top w:w="57" w:type="dxa"/>
        <w:left w:w="57" w:type="dxa"/>
        <w:bottom w:w="57" w:type="dxa"/>
        <w:right w:w="57" w:type="dxa"/>
      </w:tblCellMar>
    </w:tblPr>
    <w:tblStylePr w:type="firstRow">
      <w:rPr>
        <w:b w:val="0"/>
        <w:sz w:val="18"/>
      </w:rPr>
    </w:tblStylePr>
  </w:style>
  <w:style w:type="character" w:customStyle="1" w:styleId="532">
    <w:name w:val="纯文本 Char"/>
    <w:qFormat/>
    <w:locked/>
    <w:uiPriority w:val="0"/>
    <w:rPr>
      <w:rFonts w:ascii="宋体" w:hAnsi="Courier New" w:eastAsia="宋体"/>
    </w:rPr>
  </w:style>
  <w:style w:type="character" w:customStyle="1" w:styleId="533">
    <w:name w:val="标题 1 Char"/>
    <w:qFormat/>
    <w:uiPriority w:val="9"/>
    <w:rPr>
      <w:rFonts w:ascii="Times New Roman" w:hAnsi="Times New Roman" w:eastAsia="宋体" w:cs="Times New Roman"/>
      <w:b/>
      <w:bCs/>
      <w:kern w:val="44"/>
      <w:sz w:val="44"/>
      <w:szCs w:val="44"/>
    </w:rPr>
  </w:style>
  <w:style w:type="character" w:customStyle="1" w:styleId="534">
    <w:name w:val="批注文字 Char2"/>
    <w:qFormat/>
    <w:uiPriority w:val="99"/>
    <w:rPr>
      <w:kern w:val="2"/>
      <w:sz w:val="21"/>
      <w:szCs w:val="24"/>
    </w:rPr>
  </w:style>
  <w:style w:type="paragraph" w:customStyle="1" w:styleId="535">
    <w:name w:val="Table Paragraph"/>
    <w:basedOn w:val="1"/>
    <w:qFormat/>
    <w:uiPriority w:val="1"/>
    <w:pPr>
      <w:jc w:val="left"/>
    </w:pPr>
    <w:rPr>
      <w:rFonts w:ascii="Calibri" w:hAnsi="Calibri"/>
      <w:sz w:val="20"/>
      <w:szCs w:val="20"/>
    </w:rPr>
  </w:style>
  <w:style w:type="paragraph" w:customStyle="1" w:styleId="536">
    <w:name w:val="_Style 537"/>
    <w:basedOn w:val="1"/>
    <w:next w:val="191"/>
    <w:qFormat/>
    <w:uiPriority w:val="34"/>
    <w:pPr>
      <w:ind w:firstLine="420" w:firstLineChars="200"/>
    </w:pPr>
    <w:rPr>
      <w:szCs w:val="22"/>
    </w:rPr>
  </w:style>
  <w:style w:type="character" w:customStyle="1" w:styleId="537">
    <w:name w:val="批注文字 Char"/>
    <w:qFormat/>
    <w:uiPriority w:val="99"/>
    <w:rPr>
      <w:rFonts w:ascii="Times New Roman" w:hAnsi="Times New Roman" w:eastAsia="宋体" w:cs="Times New Roman"/>
      <w:kern w:val="0"/>
      <w:sz w:val="20"/>
      <w:szCs w:val="24"/>
    </w:rPr>
  </w:style>
  <w:style w:type="character" w:customStyle="1" w:styleId="538">
    <w:name w:val="列出段落 字符"/>
    <w:qFormat/>
    <w:uiPriority w:val="34"/>
  </w:style>
  <w:style w:type="character" w:customStyle="1" w:styleId="539">
    <w:name w:val="普通(网站) Char"/>
    <w:qFormat/>
    <w:locked/>
    <w:uiPriority w:val="99"/>
    <w:rPr>
      <w:rFonts w:ascii="Arial Unicode MS" w:hAnsi="Arial Unicode MS" w:eastAsia="Arial Unicode MS" w:cs="Arial Unicode MS"/>
      <w:sz w:val="24"/>
      <w:szCs w:val="24"/>
    </w:rPr>
  </w:style>
  <w:style w:type="character" w:customStyle="1" w:styleId="540">
    <w:name w:val="正文文本 Char1"/>
    <w:semiHidden/>
    <w:qFormat/>
    <w:uiPriority w:val="99"/>
    <w:rPr>
      <w:rFonts w:ascii="Times New Roman" w:hAnsi="Times New Roman" w:eastAsia="宋体" w:cs="Times New Roman"/>
      <w:szCs w:val="24"/>
    </w:rPr>
  </w:style>
  <w:style w:type="paragraph" w:customStyle="1" w:styleId="541">
    <w:name w:val="标题 21"/>
    <w:basedOn w:val="1"/>
    <w:qFormat/>
    <w:uiPriority w:val="1"/>
    <w:pPr>
      <w:autoSpaceDE w:val="0"/>
      <w:autoSpaceDN w:val="0"/>
      <w:spacing w:line="434" w:lineRule="exact"/>
      <w:jc w:val="left"/>
      <w:outlineLvl w:val="2"/>
    </w:pPr>
    <w:rPr>
      <w:rFonts w:ascii="宋体" w:hAnsi="宋体" w:cs="宋体"/>
      <w:b/>
      <w:bCs/>
      <w:kern w:val="0"/>
      <w:sz w:val="36"/>
      <w:szCs w:val="36"/>
      <w:lang w:eastAsia="en-US"/>
    </w:rPr>
  </w:style>
  <w:style w:type="character" w:customStyle="1" w:styleId="542">
    <w:name w:val="纯文本 Char3"/>
    <w:qFormat/>
    <w:uiPriority w:val="0"/>
    <w:rPr>
      <w:rFonts w:ascii="宋体" w:hAnsi="Courier New" w:cs="Courier New"/>
      <w:szCs w:val="21"/>
    </w:rPr>
  </w:style>
  <w:style w:type="table" w:customStyle="1" w:styleId="543">
    <w:name w:val="Table Normal1"/>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544">
    <w:name w:val="Table Normal2"/>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545">
    <w:name w:val="_Style 54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31531</Words>
  <Characters>33480</Characters>
  <Lines>289</Lines>
  <Paragraphs>81</Paragraphs>
  <TotalTime>2</TotalTime>
  <ScaleCrop>false</ScaleCrop>
  <LinksUpToDate>false</LinksUpToDate>
  <CharactersWithSpaces>36120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2022-11-18T03:13:00Z</dcterms:created>
  <dc:creator>于青</dc:creator>
  <cp:lastModifiedBy>68056</cp:lastModifiedBy>
  <cp:lastPrinted>2020-09-24T09:19:00Z</cp:lastPrinted>
  <dcterms:modified xsi:type="dcterms:W3CDTF">2022-12-11T14:50:18Z</dcterms:modified>
  <dc:title>大连理工大学货物采购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006DEBD7FC7D4BF6BBFC973B3F4C64BC</vt:lpwstr>
  </property>
</Properties>
</file>