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55"/>
        <w:tblW w:w="5000" w:type="pct"/>
        <w:tblInd w:w="0" w:type="dxa"/>
        <w:tblLayout w:type="autofit"/>
        <w:tblCellMar>
          <w:top w:w="0" w:type="dxa"/>
          <w:left w:w="108" w:type="dxa"/>
          <w:bottom w:w="0" w:type="dxa"/>
          <w:right w:w="108" w:type="dxa"/>
        </w:tblCellMar>
      </w:tblPr>
      <w:tblGrid>
        <w:gridCol w:w="8529"/>
      </w:tblGrid>
      <w:tr>
        <w:trPr>
          <w:trHeight w:val="1770" w:hRule="atLeast"/>
        </w:trPr>
        <w:tc>
          <w:tcPr>
            <w:tcW w:w="5000" w:type="pct"/>
            <w:tcBorders>
              <w:top w:val="nil"/>
              <w:bottom w:val="threeDEngrave" w:color="auto" w:sz="24" w:space="0"/>
            </w:tcBorders>
          </w:tcPr>
          <w:p>
            <w:pPr>
              <w:widowControl/>
              <w:jc w:val="left"/>
              <w:rPr>
                <w:rFonts w:ascii="宋体" w:hAnsi="宋体"/>
                <w:b/>
                <w:kern w:val="0"/>
                <w:sz w:val="30"/>
                <w:szCs w:val="30"/>
              </w:rPr>
            </w:pPr>
          </w:p>
        </w:tc>
      </w:tr>
      <w:tr>
        <w:trPr>
          <w:trHeight w:val="586" w:hRule="atLeast"/>
        </w:trPr>
        <w:tc>
          <w:tcPr>
            <w:tcW w:w="5000" w:type="pct"/>
            <w:tcBorders>
              <w:top w:val="threeDEngrave" w:color="auto" w:sz="24" w:space="0"/>
              <w:left w:val="nil"/>
              <w:right w:val="nil"/>
            </w:tcBorders>
            <w:vAlign w:val="center"/>
          </w:tcPr>
          <w:p>
            <w:pPr>
              <w:jc w:val="both"/>
              <w:rPr>
                <w:rFonts w:ascii="宋体" w:hAnsi="宋体" w:cs="仿宋_GB2312"/>
                <w:b/>
                <w:bCs/>
                <w:kern w:val="0"/>
                <w:sz w:val="40"/>
                <w:szCs w:val="40"/>
              </w:rPr>
            </w:pPr>
          </w:p>
        </w:tc>
      </w:tr>
      <w:tr>
        <w:trPr>
          <w:trHeight w:val="706" w:hRule="atLeast"/>
        </w:trPr>
        <w:tc>
          <w:tcPr>
            <w:tcW w:w="5000" w:type="pct"/>
            <w:tcBorders>
              <w:left w:val="nil"/>
              <w:right w:val="nil"/>
            </w:tcBorders>
            <w:vAlign w:val="center"/>
          </w:tcPr>
          <w:p>
            <w:pPr>
              <w:adjustRightInd w:val="0"/>
              <w:snapToGrid w:val="0"/>
              <w:spacing w:line="300" w:lineRule="auto"/>
              <w:jc w:val="right"/>
              <w:rPr>
                <w:rFonts w:hint="eastAsia" w:ascii="黑体" w:hAnsi="黑体" w:eastAsia="黑体" w:cs="Times New Roman"/>
                <w:b/>
                <w:sz w:val="44"/>
                <w:szCs w:val="44"/>
                <w:lang w:eastAsia="zh-CN"/>
              </w:rPr>
            </w:pPr>
            <w:r>
              <w:rPr>
                <w:rFonts w:hint="eastAsia" w:ascii="黑体" w:hAnsi="黑体" w:eastAsia="黑体" w:cs="Times New Roman"/>
                <w:b/>
                <w:sz w:val="44"/>
                <w:szCs w:val="44"/>
                <w:lang w:eastAsia="zh-CN"/>
              </w:rPr>
              <w:t>荆州理工职业学院</w:t>
            </w:r>
          </w:p>
          <w:p>
            <w:pPr>
              <w:adjustRightInd w:val="0"/>
              <w:snapToGrid w:val="0"/>
              <w:spacing w:line="300" w:lineRule="auto"/>
              <w:jc w:val="right"/>
              <w:rPr>
                <w:rFonts w:hint="eastAsia" w:ascii="黑体" w:hAnsi="黑体" w:eastAsia="黑体" w:cs="Times New Roman"/>
                <w:b/>
                <w:sz w:val="44"/>
                <w:szCs w:val="44"/>
                <w:lang w:eastAsia="zh-CN"/>
              </w:rPr>
            </w:pPr>
            <w:r>
              <w:rPr>
                <w:rFonts w:hint="eastAsia" w:ascii="黑体" w:hAnsi="黑体" w:eastAsia="黑体" w:cs="Times New Roman"/>
                <w:b/>
                <w:sz w:val="44"/>
                <w:szCs w:val="44"/>
                <w:lang w:eastAsia="zh-CN"/>
              </w:rPr>
              <w:t>数字校园“教务系统”建设</w:t>
            </w:r>
          </w:p>
        </w:tc>
      </w:tr>
      <w:tr>
        <w:tblPrEx>
          <w:tblCellMar>
            <w:top w:w="0" w:type="dxa"/>
            <w:left w:w="108" w:type="dxa"/>
            <w:bottom w:w="0" w:type="dxa"/>
            <w:right w:w="108" w:type="dxa"/>
          </w:tblCellMar>
        </w:tblPrEx>
        <w:trPr>
          <w:trHeight w:val="624" w:hRule="atLeast"/>
        </w:trPr>
        <w:tc>
          <w:tcPr>
            <w:tcW w:w="5000" w:type="pct"/>
            <w:tcBorders>
              <w:top w:val="threeDEngrave" w:color="auto" w:sz="24" w:space="0"/>
              <w:left w:val="nil"/>
              <w:bottom w:val="nil"/>
              <w:right w:val="nil"/>
            </w:tcBorders>
            <w:vAlign w:val="center"/>
          </w:tcPr>
          <w:p>
            <w:pPr>
              <w:wordWrap w:val="0"/>
              <w:adjustRightInd w:val="0"/>
              <w:snapToGrid w:val="0"/>
              <w:jc w:val="right"/>
              <w:rPr>
                <w:rFonts w:hint="eastAsia" w:ascii="宋体" w:hAnsi="宋体" w:eastAsia="宋体"/>
                <w:b/>
                <w:color w:val="auto"/>
                <w:kern w:val="0"/>
                <w:sz w:val="30"/>
                <w:szCs w:val="30"/>
                <w:lang w:eastAsia="zh-CN"/>
              </w:rPr>
            </w:pPr>
            <w:r>
              <w:rPr>
                <w:rFonts w:hint="eastAsia" w:ascii="宋体" w:hAnsi="宋体" w:cs="仿宋_GB2312"/>
                <w:b/>
                <w:color w:val="auto"/>
                <w:kern w:val="0"/>
                <w:sz w:val="32"/>
                <w:szCs w:val="22"/>
              </w:rPr>
              <w:t>项目编号：</w:t>
            </w:r>
            <w:r>
              <w:rPr>
                <w:rFonts w:hint="eastAsia" w:ascii="宋体" w:hAnsi="宋体" w:cs="仿宋_GB2312"/>
                <w:b/>
                <w:color w:val="auto"/>
                <w:kern w:val="0"/>
                <w:sz w:val="32"/>
                <w:szCs w:val="22"/>
                <w:lang w:eastAsia="zh-CN"/>
              </w:rPr>
              <w:t xml:space="preserve">HBT-44220088-226014 </w:t>
            </w:r>
          </w:p>
        </w:tc>
      </w:tr>
      <w:tr>
        <w:tblPrEx>
          <w:tblCellMar>
            <w:top w:w="0" w:type="dxa"/>
            <w:left w:w="108" w:type="dxa"/>
            <w:bottom w:w="0" w:type="dxa"/>
            <w:right w:w="108" w:type="dxa"/>
          </w:tblCellMar>
        </w:tblPrEx>
        <w:trPr>
          <w:trHeight w:val="624" w:hRule="atLeast"/>
        </w:trPr>
        <w:tc>
          <w:tcPr>
            <w:tcW w:w="5000" w:type="pct"/>
          </w:tcPr>
          <w:p>
            <w:pPr>
              <w:adjustRightInd w:val="0"/>
              <w:snapToGrid w:val="0"/>
              <w:rPr>
                <w:rFonts w:ascii="宋体" w:hAnsi="宋体"/>
                <w:color w:val="auto"/>
                <w:kern w:val="0"/>
                <w:sz w:val="30"/>
                <w:szCs w:val="30"/>
              </w:rPr>
            </w:pPr>
          </w:p>
        </w:tc>
      </w:tr>
      <w:tr>
        <w:tblPrEx>
          <w:tblCellMar>
            <w:top w:w="0" w:type="dxa"/>
            <w:left w:w="108" w:type="dxa"/>
            <w:bottom w:w="0" w:type="dxa"/>
            <w:right w:w="108" w:type="dxa"/>
          </w:tblCellMar>
        </w:tblPrEx>
        <w:trPr>
          <w:trHeight w:val="624" w:hRule="atLeast"/>
        </w:trPr>
        <w:tc>
          <w:tcPr>
            <w:tcW w:w="5000" w:type="pct"/>
          </w:tcPr>
          <w:p>
            <w:pPr>
              <w:adjustRightInd w:val="0"/>
              <w:snapToGrid w:val="0"/>
              <w:rPr>
                <w:rFonts w:ascii="宋体" w:hAnsi="宋体"/>
                <w:color w:val="auto"/>
                <w:kern w:val="0"/>
                <w:sz w:val="30"/>
                <w:szCs w:val="30"/>
              </w:rPr>
            </w:pPr>
          </w:p>
        </w:tc>
      </w:tr>
      <w:tr>
        <w:trPr>
          <w:trHeight w:val="624" w:hRule="atLeast"/>
        </w:trPr>
        <w:tc>
          <w:tcPr>
            <w:tcW w:w="5000" w:type="pct"/>
            <w:vAlign w:val="center"/>
          </w:tcPr>
          <w:p>
            <w:pPr>
              <w:adjustRightInd w:val="0"/>
              <w:snapToGrid w:val="0"/>
              <w:jc w:val="center"/>
              <w:rPr>
                <w:rFonts w:ascii="宋体" w:hAnsi="宋体"/>
                <w:color w:val="auto"/>
                <w:kern w:val="0"/>
                <w:sz w:val="32"/>
                <w:szCs w:val="32"/>
              </w:rPr>
            </w:pPr>
            <w:r>
              <w:rPr>
                <w:rFonts w:hint="eastAsia" w:ascii="微软雅黑" w:hAnsi="微软雅黑" w:eastAsia="微软雅黑"/>
                <w:b/>
                <w:bCs/>
                <w:color w:val="auto"/>
                <w:kern w:val="0"/>
                <w:sz w:val="96"/>
                <w:szCs w:val="96"/>
              </w:rPr>
              <w:t>竞争性磋商文件</w:t>
            </w:r>
          </w:p>
        </w:tc>
      </w:tr>
      <w:tr>
        <w:trPr>
          <w:trHeight w:val="624" w:hRule="atLeast"/>
        </w:trPr>
        <w:tc>
          <w:tcPr>
            <w:tcW w:w="5000" w:type="pct"/>
            <w:vAlign w:val="center"/>
          </w:tcPr>
          <w:p>
            <w:pPr>
              <w:adjustRightInd w:val="0"/>
              <w:snapToGrid w:val="0"/>
              <w:jc w:val="center"/>
              <w:rPr>
                <w:rFonts w:ascii="宋体" w:hAnsi="宋体"/>
                <w:color w:val="auto"/>
                <w:kern w:val="0"/>
                <w:sz w:val="32"/>
                <w:szCs w:val="32"/>
              </w:rPr>
            </w:pPr>
            <w:r>
              <w:rPr>
                <w:rFonts w:hint="eastAsia" w:ascii="黑体" w:eastAsia="黑体"/>
                <w:b/>
                <w:sz w:val="44"/>
              </w:rPr>
              <w:t>（</w:t>
            </w:r>
            <w:r>
              <w:rPr>
                <w:rFonts w:hint="eastAsia" w:ascii="黑体" w:eastAsia="黑体"/>
                <w:b/>
                <w:sz w:val="44"/>
                <w:lang w:val="en-US" w:eastAsia="zh-CN"/>
              </w:rPr>
              <w:t>服务类</w:t>
            </w:r>
            <w:r>
              <w:rPr>
                <w:rFonts w:hint="eastAsia" w:ascii="黑体" w:eastAsia="黑体"/>
                <w:b/>
                <w:sz w:val="44"/>
              </w:rPr>
              <w:t>）</w:t>
            </w:r>
          </w:p>
        </w:tc>
      </w:tr>
      <w:tr>
        <w:trPr>
          <w:trHeight w:val="624" w:hRule="atLeast"/>
        </w:trPr>
        <w:tc>
          <w:tcPr>
            <w:tcW w:w="5000" w:type="pct"/>
            <w:vAlign w:val="center"/>
          </w:tcPr>
          <w:p>
            <w:pPr>
              <w:adjustRightInd w:val="0"/>
              <w:snapToGrid w:val="0"/>
              <w:rPr>
                <w:rFonts w:ascii="宋体" w:hAnsi="宋体"/>
                <w:color w:val="auto"/>
                <w:kern w:val="0"/>
                <w:sz w:val="32"/>
                <w:szCs w:val="32"/>
              </w:rPr>
            </w:pPr>
          </w:p>
        </w:tc>
      </w:tr>
      <w:tr>
        <w:trPr>
          <w:trHeight w:val="624" w:hRule="atLeast"/>
        </w:trPr>
        <w:tc>
          <w:tcPr>
            <w:tcW w:w="5000" w:type="pct"/>
          </w:tcPr>
          <w:p>
            <w:pPr>
              <w:adjustRightInd w:val="0"/>
              <w:snapToGrid w:val="0"/>
              <w:rPr>
                <w:rFonts w:ascii="宋体" w:hAnsi="宋体"/>
                <w:color w:val="auto"/>
                <w:kern w:val="0"/>
                <w:sz w:val="30"/>
                <w:szCs w:val="30"/>
              </w:rPr>
            </w:pPr>
          </w:p>
        </w:tc>
      </w:tr>
      <w:tr>
        <w:trPr>
          <w:trHeight w:val="624" w:hRule="atLeast"/>
        </w:trPr>
        <w:tc>
          <w:tcPr>
            <w:tcW w:w="5000" w:type="pct"/>
          </w:tcPr>
          <w:p>
            <w:pPr>
              <w:adjustRightInd w:val="0"/>
              <w:snapToGrid w:val="0"/>
              <w:rPr>
                <w:rFonts w:ascii="宋体" w:hAnsi="宋体"/>
                <w:color w:val="auto"/>
                <w:kern w:val="0"/>
                <w:sz w:val="30"/>
                <w:szCs w:val="30"/>
              </w:rPr>
            </w:pPr>
          </w:p>
        </w:tc>
      </w:tr>
      <w:tr>
        <w:trPr>
          <w:trHeight w:val="624" w:hRule="atLeast"/>
        </w:trPr>
        <w:tc>
          <w:tcPr>
            <w:tcW w:w="5000" w:type="pct"/>
          </w:tcPr>
          <w:p>
            <w:pPr>
              <w:adjustRightInd w:val="0"/>
              <w:snapToGrid w:val="0"/>
              <w:rPr>
                <w:rFonts w:ascii="宋体" w:hAnsi="宋体"/>
                <w:color w:val="auto"/>
                <w:kern w:val="0"/>
                <w:sz w:val="20"/>
                <w:szCs w:val="20"/>
              </w:rPr>
            </w:pPr>
          </w:p>
          <w:p>
            <w:pPr>
              <w:keepNext/>
              <w:keepLines/>
              <w:spacing w:before="260" w:after="260" w:line="413" w:lineRule="auto"/>
              <w:outlineLvl w:val="1"/>
              <w:rPr>
                <w:rFonts w:ascii="宋体" w:hAnsi="宋体"/>
                <w:b/>
                <w:bCs/>
                <w:color w:val="auto"/>
                <w:sz w:val="32"/>
                <w:szCs w:val="32"/>
              </w:rPr>
            </w:pPr>
          </w:p>
        </w:tc>
      </w:tr>
      <w:tr>
        <w:trPr>
          <w:trHeight w:val="624" w:hRule="atLeast"/>
        </w:trPr>
        <w:tc>
          <w:tcPr>
            <w:tcW w:w="8529" w:type="dxa"/>
            <w:vAlign w:val="center"/>
          </w:tcPr>
          <w:p>
            <w:pPr>
              <w:adjustRightInd w:val="0"/>
              <w:snapToGrid w:val="0"/>
              <w:rPr>
                <w:rFonts w:ascii="宋体" w:hAnsi="宋体" w:cs="仿宋_GB2312"/>
                <w:b/>
                <w:color w:val="auto"/>
                <w:kern w:val="0"/>
                <w:sz w:val="30"/>
                <w:szCs w:val="30"/>
              </w:rPr>
            </w:pPr>
            <w:r>
              <w:rPr>
                <w:rFonts w:hint="eastAsia" w:ascii="宋体" w:hAnsi="宋体" w:cs="仿宋_GB2312"/>
                <w:b/>
                <w:kern w:val="0"/>
                <w:sz w:val="28"/>
                <w:szCs w:val="28"/>
              </w:rPr>
              <w:t>采购人：</w:t>
            </w:r>
            <w:r>
              <w:rPr>
                <w:rFonts w:hint="eastAsia" w:ascii="宋体" w:hAnsi="宋体" w:cs="仿宋_GB2312"/>
                <w:b/>
                <w:color w:val="auto"/>
                <w:kern w:val="0"/>
                <w:sz w:val="28"/>
                <w:szCs w:val="28"/>
                <w:lang w:eastAsia="zh-CN"/>
              </w:rPr>
              <w:t>荆州理工职业学院</w:t>
            </w:r>
          </w:p>
        </w:tc>
      </w:tr>
      <w:tr>
        <w:trPr>
          <w:trHeight w:val="624" w:hRule="atLeast"/>
        </w:trPr>
        <w:tc>
          <w:tcPr>
            <w:tcW w:w="8529" w:type="dxa"/>
            <w:vAlign w:val="center"/>
          </w:tcPr>
          <w:p>
            <w:pPr>
              <w:adjustRightInd w:val="0"/>
              <w:snapToGrid w:val="0"/>
              <w:rPr>
                <w:rFonts w:ascii="宋体" w:hAnsi="宋体" w:cs="仿宋_GB2312"/>
                <w:b/>
                <w:color w:val="auto"/>
                <w:kern w:val="0"/>
                <w:sz w:val="32"/>
                <w:szCs w:val="32"/>
              </w:rPr>
            </w:pPr>
            <w:r>
              <w:rPr>
                <w:rFonts w:hint="eastAsia" w:ascii="宋体" w:hAnsi="宋体" w:cs="仿宋_GB2312"/>
                <w:b/>
                <w:kern w:val="0"/>
                <w:sz w:val="28"/>
                <w:szCs w:val="28"/>
              </w:rPr>
              <w:t>代理机构：湖北省招标股份有限公司</w:t>
            </w:r>
          </w:p>
        </w:tc>
      </w:tr>
      <w:tr>
        <w:tblPrEx>
          <w:tblCellMar>
            <w:top w:w="0" w:type="dxa"/>
            <w:left w:w="108" w:type="dxa"/>
            <w:bottom w:w="0" w:type="dxa"/>
            <w:right w:w="108" w:type="dxa"/>
          </w:tblCellMar>
        </w:tblPrEx>
        <w:trPr>
          <w:trHeight w:val="624" w:hRule="atLeast"/>
        </w:trPr>
        <w:tc>
          <w:tcPr>
            <w:tcW w:w="8529" w:type="dxa"/>
            <w:vAlign w:val="center"/>
          </w:tcPr>
          <w:p>
            <w:pPr>
              <w:adjustRightInd w:val="0"/>
              <w:snapToGrid w:val="0"/>
              <w:rPr>
                <w:rFonts w:ascii="宋体" w:hAnsi="宋体" w:cs="仿宋_GB2312"/>
                <w:b/>
                <w:color w:val="auto"/>
                <w:kern w:val="0"/>
                <w:sz w:val="32"/>
                <w:szCs w:val="32"/>
              </w:rPr>
            </w:pPr>
            <w:r>
              <w:rPr>
                <w:rFonts w:hint="eastAsia" w:ascii="宋体" w:hAnsi="宋体" w:cs="仿宋_GB2312"/>
                <w:b/>
                <w:kern w:val="0"/>
                <w:sz w:val="28"/>
                <w:szCs w:val="28"/>
              </w:rPr>
              <w:t>日期：202</w:t>
            </w:r>
            <w:r>
              <w:rPr>
                <w:rFonts w:hint="eastAsia" w:ascii="宋体" w:hAnsi="宋体" w:cs="仿宋_GB2312"/>
                <w:b/>
                <w:kern w:val="0"/>
                <w:sz w:val="28"/>
                <w:szCs w:val="28"/>
                <w:lang w:val="en-US" w:eastAsia="zh-CN"/>
              </w:rPr>
              <w:t>3</w:t>
            </w:r>
            <w:r>
              <w:rPr>
                <w:rFonts w:hint="eastAsia" w:ascii="宋体" w:hAnsi="宋体" w:cs="仿宋_GB2312"/>
                <w:b/>
                <w:kern w:val="0"/>
                <w:sz w:val="28"/>
                <w:szCs w:val="28"/>
              </w:rPr>
              <w:t>年</w:t>
            </w:r>
            <w:r>
              <w:rPr>
                <w:rFonts w:hint="eastAsia" w:ascii="宋体" w:hAnsi="宋体" w:cs="仿宋_GB2312"/>
                <w:b/>
                <w:kern w:val="0"/>
                <w:sz w:val="28"/>
                <w:szCs w:val="28"/>
                <w:lang w:val="en-US" w:eastAsia="zh-CN"/>
              </w:rPr>
              <w:t>1</w:t>
            </w:r>
            <w:r>
              <w:rPr>
                <w:rFonts w:hint="eastAsia" w:ascii="宋体" w:hAnsi="宋体" w:cs="仿宋_GB2312"/>
                <w:b/>
                <w:kern w:val="0"/>
                <w:sz w:val="28"/>
                <w:szCs w:val="28"/>
              </w:rPr>
              <w:t>月</w:t>
            </w:r>
          </w:p>
        </w:tc>
      </w:tr>
    </w:tbl>
    <w:p>
      <w:pPr>
        <w:pStyle w:val="30"/>
        <w:jc w:val="right"/>
        <w:rPr>
          <w:rFonts w:hint="eastAsia" w:hAnsi="宋体" w:eastAsia="宋体"/>
          <w:sz w:val="32"/>
          <w:lang w:eastAsia="zh-CN"/>
        </w:rPr>
      </w:pPr>
    </w:p>
    <w:p>
      <w:pPr>
        <w:pStyle w:val="30"/>
        <w:jc w:val="right"/>
        <w:rPr>
          <w:rFonts w:hint="eastAsia" w:hAnsi="宋体" w:eastAsia="宋体"/>
          <w:sz w:val="32"/>
          <w:lang w:eastAsia="zh-CN"/>
        </w:rPr>
        <w:sectPr>
          <w:headerReference r:id="rId3" w:type="default"/>
          <w:type w:val="nextColumn"/>
          <w:pgSz w:w="11907" w:h="16840"/>
          <w:pgMar w:top="1440" w:right="1797" w:bottom="1440" w:left="1797" w:header="907" w:footer="907" w:gutter="0"/>
          <w:pgBorders>
            <w:top w:val="none" w:sz="0" w:space="0"/>
            <w:left w:val="none" w:sz="0" w:space="0"/>
            <w:bottom w:val="none" w:sz="0" w:space="0"/>
            <w:right w:val="none" w:sz="0" w:space="0"/>
          </w:pgBorders>
          <w:pgNumType w:start="1"/>
          <w:cols w:space="720" w:num="1"/>
          <w:docGrid w:linePitch="312" w:charSpace="0"/>
        </w:sectPr>
      </w:pPr>
    </w:p>
    <w:p>
      <w:pPr>
        <w:pStyle w:val="166"/>
        <w:jc w:val="center"/>
        <w:rPr>
          <w:rFonts w:ascii="微软雅黑" w:hAnsi="微软雅黑" w:eastAsia="微软雅黑"/>
          <w:b/>
          <w:bCs/>
          <w:sz w:val="32"/>
          <w:szCs w:val="32"/>
        </w:rPr>
      </w:pPr>
      <w:r>
        <w:rPr>
          <w:rFonts w:hint="eastAsia" w:ascii="微软雅黑" w:hAnsi="微软雅黑" w:eastAsia="微软雅黑"/>
          <w:b/>
          <w:bCs/>
          <w:sz w:val="32"/>
          <w:szCs w:val="32"/>
        </w:rPr>
        <w:t xml:space="preserve">目 </w:t>
      </w:r>
      <w:r>
        <w:rPr>
          <w:rFonts w:hint="eastAsia" w:ascii="微软雅黑" w:hAnsi="微软雅黑" w:eastAsia="微软雅黑"/>
          <w:b/>
          <w:bCs/>
          <w:sz w:val="32"/>
          <w:szCs w:val="32"/>
          <w:lang w:val="en-US" w:eastAsia="zh-CN"/>
        </w:rPr>
        <w:t xml:space="preserve">     </w:t>
      </w:r>
      <w:r>
        <w:rPr>
          <w:rFonts w:hint="eastAsia" w:ascii="微软雅黑" w:hAnsi="微软雅黑" w:eastAsia="微软雅黑"/>
          <w:b/>
          <w:bCs/>
          <w:sz w:val="32"/>
          <w:szCs w:val="32"/>
        </w:rPr>
        <w:t>录</w:t>
      </w:r>
    </w:p>
    <w:p>
      <w:pPr>
        <w:pStyle w:val="38"/>
        <w:tabs>
          <w:tab w:val="right" w:leader="dot" w:pos="8313"/>
        </w:tabs>
      </w:pPr>
      <w:bookmarkStart w:id="0" w:name="_Hlt755819"/>
      <w:bookmarkEnd w:id="0"/>
      <w:bookmarkStart w:id="1" w:name="_Hlt536244935"/>
      <w:bookmarkEnd w:id="1"/>
      <w:bookmarkStart w:id="2" w:name="_Hlt535832662"/>
      <w:bookmarkEnd w:id="2"/>
      <w:bookmarkStart w:id="3" w:name="_Hlt535815812"/>
      <w:bookmarkEnd w:id="3"/>
      <w:bookmarkStart w:id="4" w:name="_Hlt755817"/>
      <w:bookmarkEnd w:id="4"/>
      <w:bookmarkStart w:id="5" w:name="_Hlt535832675"/>
      <w:bookmarkEnd w:id="5"/>
      <w:bookmarkStart w:id="6" w:name="_Hlt755813"/>
      <w:bookmarkEnd w:id="6"/>
      <w:bookmarkStart w:id="7" w:name="_Hlt536512956"/>
      <w:bookmarkEnd w:id="7"/>
      <w:bookmarkStart w:id="8" w:name="_Hlt536512952"/>
      <w:bookmarkEnd w:id="8"/>
      <w:bookmarkStart w:id="9" w:name="_Hlt9666464"/>
      <w:bookmarkEnd w:id="9"/>
      <w:bookmarkStart w:id="10" w:name="_Hlt755815"/>
      <w:bookmarkEnd w:id="10"/>
      <w:bookmarkStart w:id="11" w:name="_Hlt535891864"/>
      <w:bookmarkEnd w:id="11"/>
      <w:bookmarkStart w:id="12" w:name="_Hlt536512945"/>
      <w:bookmarkEnd w:id="12"/>
      <w:bookmarkStart w:id="13" w:name="_Hlt536069701"/>
      <w:bookmarkEnd w:id="13"/>
      <w:bookmarkStart w:id="14" w:name="_Hlt758332"/>
      <w:bookmarkEnd w:id="14"/>
      <w:bookmarkStart w:id="15" w:name="_Hlt9415189"/>
      <w:bookmarkEnd w:id="15"/>
      <w:bookmarkStart w:id="16" w:name="_Hlt3694704"/>
      <w:bookmarkEnd w:id="16"/>
      <w:bookmarkStart w:id="17" w:name="_Hlt3013568"/>
      <w:bookmarkEnd w:id="17"/>
      <w:bookmarkStart w:id="18" w:name="_Hlt758338"/>
      <w:bookmarkEnd w:id="18"/>
      <w:bookmarkStart w:id="19" w:name="_Toc535814464"/>
      <w:bookmarkStart w:id="20" w:name="_Toc535815709"/>
      <w:r>
        <w:rPr>
          <w:rFonts w:hint="eastAsia" w:ascii="宋体" w:hAnsi="宋体" w:cs="Arial"/>
          <w:b w:val="0"/>
          <w:bCs w:val="0"/>
          <w:szCs w:val="21"/>
        </w:rPr>
        <w:fldChar w:fldCharType="begin"/>
      </w:r>
      <w:r>
        <w:rPr>
          <w:rFonts w:hint="eastAsia" w:ascii="宋体" w:hAnsi="宋体" w:cs="Arial"/>
          <w:b w:val="0"/>
          <w:bCs w:val="0"/>
          <w:szCs w:val="21"/>
        </w:rPr>
        <w:instrText xml:space="preserve"> TOC \o "1-3" \h \z \u </w:instrText>
      </w:r>
      <w:r>
        <w:rPr>
          <w:rFonts w:hint="eastAsia" w:ascii="宋体" w:hAnsi="宋体" w:cs="Arial"/>
          <w:b w:val="0"/>
          <w:bCs w:val="0"/>
          <w:szCs w:val="21"/>
        </w:rPr>
        <w:fldChar w:fldCharType="separate"/>
      </w:r>
      <w:r>
        <w:rPr>
          <w:rFonts w:hint="eastAsia" w:ascii="宋体" w:hAnsi="宋体" w:cs="Arial"/>
          <w:bCs w:val="0"/>
          <w:szCs w:val="21"/>
        </w:rPr>
        <w:fldChar w:fldCharType="begin"/>
      </w:r>
      <w:r>
        <w:rPr>
          <w:rFonts w:hint="eastAsia" w:ascii="宋体" w:hAnsi="宋体" w:cs="Arial"/>
          <w:bCs w:val="0"/>
          <w:szCs w:val="21"/>
        </w:rPr>
        <w:instrText xml:space="preserve"> HYPERLINK \l _Toc22362 </w:instrText>
      </w:r>
      <w:r>
        <w:rPr>
          <w:rFonts w:hint="eastAsia" w:ascii="宋体" w:hAnsi="宋体" w:cs="Arial"/>
          <w:bCs w:val="0"/>
          <w:szCs w:val="21"/>
        </w:rPr>
        <w:fldChar w:fldCharType="separate"/>
      </w:r>
      <w:r>
        <w:rPr>
          <w:rFonts w:ascii="微软雅黑" w:hAnsi="微软雅黑" w:eastAsia="微软雅黑"/>
          <w:szCs w:val="32"/>
        </w:rPr>
        <w:t>第一章</w:t>
      </w:r>
      <w:r>
        <w:rPr>
          <w:rFonts w:hint="eastAsia" w:ascii="微软雅黑" w:hAnsi="微软雅黑" w:eastAsia="微软雅黑"/>
          <w:szCs w:val="32"/>
        </w:rPr>
        <w:t xml:space="preserve"> 磋商公告（代磋商邀请函）</w:t>
      </w:r>
      <w:r>
        <w:tab/>
      </w:r>
      <w:r>
        <w:fldChar w:fldCharType="begin"/>
      </w:r>
      <w:r>
        <w:instrText xml:space="preserve"> PAGEREF _Toc22362 \h </w:instrText>
      </w:r>
      <w:r>
        <w:fldChar w:fldCharType="separate"/>
      </w:r>
      <w:r>
        <w:t>1</w:t>
      </w:r>
      <w:r>
        <w:fldChar w:fldCharType="end"/>
      </w:r>
      <w:r>
        <w:rPr>
          <w:rFonts w:hint="eastAsia" w:ascii="宋体" w:hAnsi="宋体" w:cs="Arial"/>
          <w:bCs w:val="0"/>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_Toc3946 </w:instrText>
      </w:r>
      <w:r>
        <w:rPr>
          <w:rFonts w:hint="eastAsia" w:ascii="宋体" w:hAnsi="宋体" w:cs="Arial"/>
          <w:szCs w:val="21"/>
        </w:rPr>
        <w:fldChar w:fldCharType="separate"/>
      </w:r>
      <w:r>
        <w:rPr>
          <w:rFonts w:hint="eastAsia" w:ascii="宋体" w:hAnsi="宋体" w:cs="仿宋_GB2312"/>
        </w:rPr>
        <w:t>一、项目基本情况</w:t>
      </w:r>
      <w:r>
        <w:tab/>
      </w:r>
      <w:r>
        <w:fldChar w:fldCharType="begin"/>
      </w:r>
      <w:r>
        <w:instrText xml:space="preserve"> PAGEREF _Toc3946 \h </w:instrText>
      </w:r>
      <w:r>
        <w:fldChar w:fldCharType="separate"/>
      </w:r>
      <w:r>
        <w:t>1</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_Toc6110 </w:instrText>
      </w:r>
      <w:r>
        <w:rPr>
          <w:rFonts w:hint="eastAsia" w:ascii="宋体" w:hAnsi="宋体" w:cs="Arial"/>
          <w:szCs w:val="21"/>
        </w:rPr>
        <w:fldChar w:fldCharType="separate"/>
      </w:r>
      <w:r>
        <w:rPr>
          <w:rFonts w:hint="eastAsia" w:ascii="宋体" w:hAnsi="宋体" w:cs="仿宋_GB2312"/>
        </w:rPr>
        <w:t>二、申请人的资格要求</w:t>
      </w:r>
      <w:r>
        <w:tab/>
      </w:r>
      <w:r>
        <w:fldChar w:fldCharType="begin"/>
      </w:r>
      <w:r>
        <w:instrText xml:space="preserve"> PAGEREF _Toc6110 \h </w:instrText>
      </w:r>
      <w:r>
        <w:fldChar w:fldCharType="separate"/>
      </w:r>
      <w:r>
        <w:t>1</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_Toc14531 </w:instrText>
      </w:r>
      <w:r>
        <w:rPr>
          <w:rFonts w:hint="eastAsia" w:ascii="宋体" w:hAnsi="宋体" w:cs="Arial"/>
          <w:szCs w:val="21"/>
        </w:rPr>
        <w:fldChar w:fldCharType="separate"/>
      </w:r>
      <w:r>
        <w:rPr>
          <w:rFonts w:hint="eastAsia" w:ascii="宋体" w:hAnsi="宋体" w:cs="仿宋_GB2312"/>
        </w:rPr>
        <w:t>三、获取采购文件</w:t>
      </w:r>
      <w:r>
        <w:tab/>
      </w:r>
      <w:r>
        <w:fldChar w:fldCharType="begin"/>
      </w:r>
      <w:r>
        <w:instrText xml:space="preserve"> PAGEREF _Toc14531 \h </w:instrText>
      </w:r>
      <w:r>
        <w:fldChar w:fldCharType="separate"/>
      </w:r>
      <w:r>
        <w:t>2</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_Toc710 </w:instrText>
      </w:r>
      <w:r>
        <w:rPr>
          <w:rFonts w:hint="eastAsia" w:ascii="宋体" w:hAnsi="宋体" w:cs="Arial"/>
          <w:szCs w:val="21"/>
        </w:rPr>
        <w:fldChar w:fldCharType="separate"/>
      </w:r>
      <w:r>
        <w:rPr>
          <w:rFonts w:hint="eastAsia" w:ascii="宋体" w:hAnsi="宋体" w:cs="仿宋_GB2312"/>
        </w:rPr>
        <w:t>四、响应文件提交</w:t>
      </w:r>
      <w:r>
        <w:tab/>
      </w:r>
      <w:r>
        <w:fldChar w:fldCharType="begin"/>
      </w:r>
      <w:r>
        <w:instrText xml:space="preserve"> PAGEREF _Toc710 \h </w:instrText>
      </w:r>
      <w:r>
        <w:fldChar w:fldCharType="separate"/>
      </w:r>
      <w:r>
        <w:t>2</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_Toc19549 </w:instrText>
      </w:r>
      <w:r>
        <w:rPr>
          <w:rFonts w:hint="eastAsia" w:ascii="宋体" w:hAnsi="宋体" w:cs="Arial"/>
          <w:szCs w:val="21"/>
        </w:rPr>
        <w:fldChar w:fldCharType="separate"/>
      </w:r>
      <w:r>
        <w:rPr>
          <w:rFonts w:hint="eastAsia" w:ascii="宋体" w:hAnsi="宋体" w:cs="仿宋_GB2312"/>
        </w:rPr>
        <w:t>五、开启</w:t>
      </w:r>
      <w:r>
        <w:tab/>
      </w:r>
      <w:r>
        <w:fldChar w:fldCharType="begin"/>
      </w:r>
      <w:r>
        <w:instrText xml:space="preserve"> PAGEREF _Toc19549 \h </w:instrText>
      </w:r>
      <w:r>
        <w:fldChar w:fldCharType="separate"/>
      </w:r>
      <w:r>
        <w:t>3</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_Toc12195 </w:instrText>
      </w:r>
      <w:r>
        <w:rPr>
          <w:rFonts w:hint="eastAsia" w:ascii="宋体" w:hAnsi="宋体" w:cs="Arial"/>
          <w:szCs w:val="21"/>
        </w:rPr>
        <w:fldChar w:fldCharType="separate"/>
      </w:r>
      <w:r>
        <w:rPr>
          <w:rFonts w:hint="eastAsia" w:ascii="宋体" w:hAnsi="宋体" w:cs="仿宋_GB2312"/>
        </w:rPr>
        <w:t>六、公告期限</w:t>
      </w:r>
      <w:r>
        <w:tab/>
      </w:r>
      <w:r>
        <w:fldChar w:fldCharType="begin"/>
      </w:r>
      <w:r>
        <w:instrText xml:space="preserve"> PAGEREF _Toc12195 \h </w:instrText>
      </w:r>
      <w:r>
        <w:fldChar w:fldCharType="separate"/>
      </w:r>
      <w:r>
        <w:t>3</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_Toc24794 </w:instrText>
      </w:r>
      <w:r>
        <w:rPr>
          <w:rFonts w:hint="eastAsia" w:ascii="宋体" w:hAnsi="宋体" w:cs="Arial"/>
          <w:szCs w:val="21"/>
        </w:rPr>
        <w:fldChar w:fldCharType="separate"/>
      </w:r>
      <w:r>
        <w:rPr>
          <w:rFonts w:hint="eastAsia" w:ascii="宋体" w:hAnsi="宋体" w:cs="仿宋_GB2312"/>
        </w:rPr>
        <w:t>七、凡对本次采购提出询问，请按以下方式联系。</w:t>
      </w:r>
      <w:r>
        <w:tab/>
      </w:r>
      <w:r>
        <w:fldChar w:fldCharType="begin"/>
      </w:r>
      <w:r>
        <w:instrText xml:space="preserve"> PAGEREF _Toc24794 \h </w:instrText>
      </w:r>
      <w:r>
        <w:fldChar w:fldCharType="separate"/>
      </w:r>
      <w:r>
        <w:t>3</w:t>
      </w:r>
      <w:r>
        <w:fldChar w:fldCharType="end"/>
      </w:r>
      <w:r>
        <w:rPr>
          <w:rFonts w:hint="eastAsia" w:ascii="宋体" w:hAnsi="宋体" w:cs="Arial"/>
          <w:szCs w:val="21"/>
        </w:rPr>
        <w:fldChar w:fldCharType="end"/>
      </w:r>
    </w:p>
    <w:p>
      <w:pPr>
        <w:pStyle w:val="38"/>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_Toc10892 </w:instrText>
      </w:r>
      <w:r>
        <w:rPr>
          <w:rFonts w:hint="eastAsia" w:ascii="宋体" w:hAnsi="宋体" w:cs="Arial"/>
          <w:szCs w:val="21"/>
        </w:rPr>
        <w:fldChar w:fldCharType="separate"/>
      </w:r>
      <w:r>
        <w:rPr>
          <w:rFonts w:ascii="微软雅黑" w:hAnsi="微软雅黑" w:eastAsia="微软雅黑"/>
          <w:szCs w:val="32"/>
        </w:rPr>
        <w:t>第二章</w:t>
      </w:r>
      <w:r>
        <w:rPr>
          <w:rFonts w:hint="eastAsia" w:ascii="微软雅黑" w:hAnsi="微软雅黑" w:eastAsia="微软雅黑"/>
          <w:szCs w:val="32"/>
        </w:rPr>
        <w:t xml:space="preserve"> 供应商须知</w:t>
      </w:r>
      <w:r>
        <w:tab/>
      </w:r>
      <w:r>
        <w:fldChar w:fldCharType="begin"/>
      </w:r>
      <w:r>
        <w:instrText xml:space="preserve"> PAGEREF _Toc10892 \h </w:instrText>
      </w:r>
      <w:r>
        <w:fldChar w:fldCharType="separate"/>
      </w:r>
      <w:r>
        <w:t>4</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_Toc10791 </w:instrText>
      </w:r>
      <w:r>
        <w:rPr>
          <w:rFonts w:hint="eastAsia" w:ascii="宋体" w:hAnsi="宋体" w:cs="Arial"/>
          <w:szCs w:val="21"/>
        </w:rPr>
        <w:fldChar w:fldCharType="separate"/>
      </w:r>
      <w:r>
        <w:rPr>
          <w:rFonts w:hint="eastAsia" w:ascii="宋体" w:hAnsi="宋体" w:cs="仿宋_GB2312"/>
          <w:szCs w:val="28"/>
        </w:rPr>
        <w:t>一、供应商须知前附表</w:t>
      </w:r>
      <w:r>
        <w:tab/>
      </w:r>
      <w:r>
        <w:fldChar w:fldCharType="begin"/>
      </w:r>
      <w:r>
        <w:instrText xml:space="preserve"> PAGEREF _Toc10791 \h </w:instrText>
      </w:r>
      <w:r>
        <w:fldChar w:fldCharType="separate"/>
      </w:r>
      <w:r>
        <w:t>4</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_Toc30518 </w:instrText>
      </w:r>
      <w:r>
        <w:rPr>
          <w:rFonts w:hint="eastAsia" w:ascii="宋体" w:hAnsi="宋体" w:cs="Arial"/>
          <w:szCs w:val="21"/>
        </w:rPr>
        <w:fldChar w:fldCharType="separate"/>
      </w:r>
      <w:r>
        <w:rPr>
          <w:rFonts w:hint="eastAsia" w:ascii="宋体" w:hAnsi="宋体" w:cs="仿宋_GB2312"/>
          <w:szCs w:val="28"/>
        </w:rPr>
        <w:t>二、供应商须知</w:t>
      </w:r>
      <w:r>
        <w:tab/>
      </w:r>
      <w:r>
        <w:fldChar w:fldCharType="begin"/>
      </w:r>
      <w:r>
        <w:instrText xml:space="preserve"> PAGEREF _Toc30518 \h </w:instrText>
      </w:r>
      <w:r>
        <w:fldChar w:fldCharType="separate"/>
      </w:r>
      <w:r>
        <w:t>9</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_Toc18069 </w:instrText>
      </w:r>
      <w:r>
        <w:rPr>
          <w:rFonts w:hint="eastAsia" w:ascii="宋体" w:hAnsi="宋体" w:cs="Arial"/>
          <w:szCs w:val="21"/>
        </w:rPr>
        <w:fldChar w:fldCharType="separate"/>
      </w:r>
      <w:r>
        <w:rPr>
          <w:rFonts w:hint="eastAsia" w:ascii="宋体" w:hAnsi="宋体" w:cs="仿宋_GB2312"/>
        </w:rPr>
        <w:t>（一）总则</w:t>
      </w:r>
      <w:r>
        <w:tab/>
      </w:r>
      <w:r>
        <w:fldChar w:fldCharType="begin"/>
      </w:r>
      <w:r>
        <w:instrText xml:space="preserve"> PAGEREF _Toc18069 \h </w:instrText>
      </w:r>
      <w:r>
        <w:fldChar w:fldCharType="separate"/>
      </w:r>
      <w:r>
        <w:t>9</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_Toc9792 </w:instrText>
      </w:r>
      <w:r>
        <w:rPr>
          <w:rFonts w:hint="eastAsia" w:ascii="宋体" w:hAnsi="宋体" w:cs="Arial"/>
          <w:szCs w:val="21"/>
        </w:rPr>
        <w:fldChar w:fldCharType="separate"/>
      </w:r>
      <w:r>
        <w:rPr>
          <w:rFonts w:hint="eastAsia" w:ascii="宋体" w:hAnsi="宋体" w:cs="仿宋_GB2312"/>
        </w:rPr>
        <w:t>1.适用范围</w:t>
      </w:r>
      <w:r>
        <w:tab/>
      </w:r>
      <w:r>
        <w:fldChar w:fldCharType="begin"/>
      </w:r>
      <w:r>
        <w:instrText xml:space="preserve"> PAGEREF _Toc9792 \h </w:instrText>
      </w:r>
      <w:r>
        <w:fldChar w:fldCharType="separate"/>
      </w:r>
      <w:r>
        <w:t>9</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_Toc2456 </w:instrText>
      </w:r>
      <w:r>
        <w:rPr>
          <w:rFonts w:hint="eastAsia" w:ascii="宋体" w:hAnsi="宋体" w:cs="Arial"/>
          <w:szCs w:val="21"/>
        </w:rPr>
        <w:fldChar w:fldCharType="separate"/>
      </w:r>
      <w:r>
        <w:rPr>
          <w:rFonts w:hint="eastAsia" w:ascii="宋体" w:hAnsi="宋体" w:cs="仿宋_GB2312"/>
        </w:rPr>
        <w:t>2.定义</w:t>
      </w:r>
      <w:r>
        <w:tab/>
      </w:r>
      <w:r>
        <w:fldChar w:fldCharType="begin"/>
      </w:r>
      <w:r>
        <w:instrText xml:space="preserve"> PAGEREF _Toc2456 \h </w:instrText>
      </w:r>
      <w:r>
        <w:fldChar w:fldCharType="separate"/>
      </w:r>
      <w:r>
        <w:t>9</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_Toc21873 </w:instrText>
      </w:r>
      <w:r>
        <w:rPr>
          <w:rFonts w:hint="eastAsia" w:ascii="宋体" w:hAnsi="宋体" w:cs="Arial"/>
          <w:szCs w:val="21"/>
        </w:rPr>
        <w:fldChar w:fldCharType="separate"/>
      </w:r>
      <w:r>
        <w:rPr>
          <w:rFonts w:hint="eastAsia" w:ascii="宋体" w:hAnsi="宋体" w:cs="仿宋_GB2312"/>
        </w:rPr>
        <w:t>3.工程、货物及服务</w:t>
      </w:r>
      <w:r>
        <w:tab/>
      </w:r>
      <w:r>
        <w:fldChar w:fldCharType="begin"/>
      </w:r>
      <w:r>
        <w:instrText xml:space="preserve"> PAGEREF _Toc21873 \h </w:instrText>
      </w:r>
      <w:r>
        <w:fldChar w:fldCharType="separate"/>
      </w:r>
      <w:r>
        <w:t>9</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_Toc22902 </w:instrText>
      </w:r>
      <w:r>
        <w:rPr>
          <w:rFonts w:hint="eastAsia" w:ascii="宋体" w:hAnsi="宋体" w:cs="Arial"/>
          <w:szCs w:val="21"/>
        </w:rPr>
        <w:fldChar w:fldCharType="separate"/>
      </w:r>
      <w:r>
        <w:rPr>
          <w:rFonts w:hint="eastAsia" w:ascii="宋体" w:hAnsi="宋体" w:cs="仿宋_GB2312"/>
        </w:rPr>
        <w:t>4.费用</w:t>
      </w:r>
      <w:r>
        <w:tab/>
      </w:r>
      <w:r>
        <w:fldChar w:fldCharType="begin"/>
      </w:r>
      <w:r>
        <w:instrText xml:space="preserve"> PAGEREF _Toc22902 \h </w:instrText>
      </w:r>
      <w:r>
        <w:fldChar w:fldCharType="separate"/>
      </w:r>
      <w:r>
        <w:t>9</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_Toc31532 </w:instrText>
      </w:r>
      <w:r>
        <w:rPr>
          <w:rFonts w:hint="eastAsia" w:ascii="宋体" w:hAnsi="宋体" w:cs="Arial"/>
          <w:szCs w:val="21"/>
        </w:rPr>
        <w:fldChar w:fldCharType="separate"/>
      </w:r>
      <w:r>
        <w:rPr>
          <w:rFonts w:hint="eastAsia" w:ascii="宋体" w:hAnsi="宋体" w:cs="仿宋_GB2312"/>
        </w:rPr>
        <w:t>（二）磋商文件</w:t>
      </w:r>
      <w:r>
        <w:tab/>
      </w:r>
      <w:r>
        <w:fldChar w:fldCharType="begin"/>
      </w:r>
      <w:r>
        <w:instrText xml:space="preserve"> PAGEREF _Toc31532 \h </w:instrText>
      </w:r>
      <w:r>
        <w:fldChar w:fldCharType="separate"/>
      </w:r>
      <w:r>
        <w:t>9</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_Toc8043 </w:instrText>
      </w:r>
      <w:r>
        <w:rPr>
          <w:rFonts w:hint="eastAsia" w:ascii="宋体" w:hAnsi="宋体" w:cs="Arial"/>
          <w:szCs w:val="21"/>
        </w:rPr>
        <w:fldChar w:fldCharType="separate"/>
      </w:r>
      <w:r>
        <w:rPr>
          <w:rFonts w:hint="eastAsia" w:ascii="宋体" w:hAnsi="宋体" w:cs="仿宋_GB2312"/>
        </w:rPr>
        <w:t>5.磋商文件的构成</w:t>
      </w:r>
      <w:r>
        <w:tab/>
      </w:r>
      <w:r>
        <w:fldChar w:fldCharType="begin"/>
      </w:r>
      <w:r>
        <w:instrText xml:space="preserve"> PAGEREF _Toc8043 \h </w:instrText>
      </w:r>
      <w:r>
        <w:fldChar w:fldCharType="separate"/>
      </w:r>
      <w:r>
        <w:t>9</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_Toc7802 </w:instrText>
      </w:r>
      <w:r>
        <w:rPr>
          <w:rFonts w:hint="eastAsia" w:ascii="宋体" w:hAnsi="宋体" w:cs="Arial"/>
          <w:szCs w:val="21"/>
        </w:rPr>
        <w:fldChar w:fldCharType="separate"/>
      </w:r>
      <w:r>
        <w:rPr>
          <w:rFonts w:hint="eastAsia" w:ascii="宋体" w:hAnsi="宋体" w:cs="仿宋_GB2312"/>
        </w:rPr>
        <w:t>6.磋商文件的澄清或修改</w:t>
      </w:r>
      <w:r>
        <w:tab/>
      </w:r>
      <w:r>
        <w:fldChar w:fldCharType="begin"/>
      </w:r>
      <w:r>
        <w:instrText xml:space="preserve"> PAGEREF _Toc7802 \h </w:instrText>
      </w:r>
      <w:r>
        <w:fldChar w:fldCharType="separate"/>
      </w:r>
      <w:r>
        <w:t>10</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_Toc1560 </w:instrText>
      </w:r>
      <w:r>
        <w:rPr>
          <w:rFonts w:hint="eastAsia" w:ascii="宋体" w:hAnsi="宋体" w:cs="Arial"/>
          <w:szCs w:val="21"/>
        </w:rPr>
        <w:fldChar w:fldCharType="separate"/>
      </w:r>
      <w:r>
        <w:rPr>
          <w:rFonts w:hint="eastAsia" w:ascii="宋体" w:hAnsi="宋体" w:cs="仿宋_GB2312"/>
        </w:rPr>
        <w:t>7.现场踏勘</w:t>
      </w:r>
      <w:r>
        <w:tab/>
      </w:r>
      <w:r>
        <w:fldChar w:fldCharType="begin"/>
      </w:r>
      <w:r>
        <w:instrText xml:space="preserve"> PAGEREF _Toc1560 \h </w:instrText>
      </w:r>
      <w:r>
        <w:fldChar w:fldCharType="separate"/>
      </w:r>
      <w:r>
        <w:t>10</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_Toc26701 </w:instrText>
      </w:r>
      <w:r>
        <w:rPr>
          <w:rFonts w:hint="eastAsia" w:ascii="宋体" w:hAnsi="宋体" w:cs="Arial"/>
          <w:szCs w:val="21"/>
        </w:rPr>
        <w:fldChar w:fldCharType="separate"/>
      </w:r>
      <w:r>
        <w:rPr>
          <w:rFonts w:hint="eastAsia" w:ascii="宋体" w:hAnsi="宋体" w:cs="仿宋_GB2312"/>
        </w:rPr>
        <w:t>（三）竞争性磋商响应文件</w:t>
      </w:r>
      <w:r>
        <w:tab/>
      </w:r>
      <w:r>
        <w:fldChar w:fldCharType="begin"/>
      </w:r>
      <w:r>
        <w:instrText xml:space="preserve"> PAGEREF _Toc26701 \h </w:instrText>
      </w:r>
      <w:r>
        <w:fldChar w:fldCharType="separate"/>
      </w:r>
      <w:r>
        <w:t>10</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_Toc24625 </w:instrText>
      </w:r>
      <w:r>
        <w:rPr>
          <w:rFonts w:hint="eastAsia" w:ascii="宋体" w:hAnsi="宋体" w:cs="Arial"/>
          <w:szCs w:val="21"/>
        </w:rPr>
        <w:fldChar w:fldCharType="separate"/>
      </w:r>
      <w:r>
        <w:rPr>
          <w:rFonts w:hint="eastAsia" w:ascii="宋体" w:hAnsi="宋体" w:cs="仿宋_GB2312"/>
        </w:rPr>
        <w:t>8.语言和计量单位</w:t>
      </w:r>
      <w:r>
        <w:tab/>
      </w:r>
      <w:r>
        <w:fldChar w:fldCharType="begin"/>
      </w:r>
      <w:r>
        <w:instrText xml:space="preserve"> PAGEREF _Toc24625 \h </w:instrText>
      </w:r>
      <w:r>
        <w:fldChar w:fldCharType="separate"/>
      </w:r>
      <w:r>
        <w:t>10</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_Toc8170 </w:instrText>
      </w:r>
      <w:r>
        <w:rPr>
          <w:rFonts w:hint="eastAsia" w:ascii="宋体" w:hAnsi="宋体" w:cs="Arial"/>
          <w:szCs w:val="21"/>
        </w:rPr>
        <w:fldChar w:fldCharType="separate"/>
      </w:r>
      <w:r>
        <w:rPr>
          <w:rFonts w:hint="eastAsia" w:ascii="宋体" w:hAnsi="宋体" w:cs="仿宋_GB2312"/>
        </w:rPr>
        <w:t>9.竞争性磋商响应文件的构成</w:t>
      </w:r>
      <w:r>
        <w:tab/>
      </w:r>
      <w:r>
        <w:fldChar w:fldCharType="begin"/>
      </w:r>
      <w:r>
        <w:instrText xml:space="preserve"> PAGEREF _Toc8170 \h </w:instrText>
      </w:r>
      <w:r>
        <w:fldChar w:fldCharType="separate"/>
      </w:r>
      <w:r>
        <w:t>10</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_Toc8642 </w:instrText>
      </w:r>
      <w:r>
        <w:rPr>
          <w:rFonts w:hint="eastAsia" w:ascii="宋体" w:hAnsi="宋体" w:cs="Arial"/>
          <w:szCs w:val="21"/>
        </w:rPr>
        <w:fldChar w:fldCharType="separate"/>
      </w:r>
      <w:r>
        <w:rPr>
          <w:rFonts w:hint="eastAsia" w:ascii="宋体" w:hAnsi="宋体" w:cs="仿宋_GB2312"/>
        </w:rPr>
        <w:t>10.竞争性磋商响应文件的编制</w:t>
      </w:r>
      <w:r>
        <w:tab/>
      </w:r>
      <w:r>
        <w:fldChar w:fldCharType="begin"/>
      </w:r>
      <w:r>
        <w:instrText xml:space="preserve"> PAGEREF _Toc8642 \h </w:instrText>
      </w:r>
      <w:r>
        <w:fldChar w:fldCharType="separate"/>
      </w:r>
      <w:r>
        <w:t>11</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_Toc29599 </w:instrText>
      </w:r>
      <w:r>
        <w:rPr>
          <w:rFonts w:hint="eastAsia" w:ascii="宋体" w:hAnsi="宋体" w:cs="Arial"/>
          <w:szCs w:val="21"/>
        </w:rPr>
        <w:fldChar w:fldCharType="separate"/>
      </w:r>
      <w:r>
        <w:rPr>
          <w:rFonts w:hint="eastAsia" w:ascii="宋体" w:hAnsi="宋体" w:cs="仿宋_GB2312"/>
        </w:rPr>
        <w:t>11.磋商报价</w:t>
      </w:r>
      <w:r>
        <w:tab/>
      </w:r>
      <w:r>
        <w:fldChar w:fldCharType="begin"/>
      </w:r>
      <w:r>
        <w:instrText xml:space="preserve"> PAGEREF _Toc29599 \h </w:instrText>
      </w:r>
      <w:r>
        <w:fldChar w:fldCharType="separate"/>
      </w:r>
      <w:r>
        <w:t>11</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_Toc26763 </w:instrText>
      </w:r>
      <w:r>
        <w:rPr>
          <w:rFonts w:hint="eastAsia" w:ascii="宋体" w:hAnsi="宋体" w:cs="Arial"/>
          <w:szCs w:val="21"/>
        </w:rPr>
        <w:fldChar w:fldCharType="separate"/>
      </w:r>
      <w:r>
        <w:rPr>
          <w:rFonts w:hint="eastAsia" w:ascii="宋体" w:hAnsi="宋体" w:cs="仿宋_GB2312"/>
        </w:rPr>
        <w:t>12.备选方案</w:t>
      </w:r>
      <w:r>
        <w:tab/>
      </w:r>
      <w:r>
        <w:fldChar w:fldCharType="begin"/>
      </w:r>
      <w:r>
        <w:instrText xml:space="preserve"> PAGEREF _Toc26763 \h </w:instrText>
      </w:r>
      <w:r>
        <w:fldChar w:fldCharType="separate"/>
      </w:r>
      <w:r>
        <w:t>11</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_Toc14383 </w:instrText>
      </w:r>
      <w:r>
        <w:rPr>
          <w:rFonts w:hint="eastAsia" w:ascii="宋体" w:hAnsi="宋体" w:cs="Arial"/>
          <w:szCs w:val="21"/>
        </w:rPr>
        <w:fldChar w:fldCharType="separate"/>
      </w:r>
      <w:r>
        <w:rPr>
          <w:rFonts w:hint="eastAsia" w:ascii="宋体" w:hAnsi="宋体" w:cs="仿宋_GB2312"/>
        </w:rPr>
        <w:t>13.联合体</w:t>
      </w:r>
      <w:r>
        <w:tab/>
      </w:r>
      <w:r>
        <w:fldChar w:fldCharType="begin"/>
      </w:r>
      <w:r>
        <w:instrText xml:space="preserve"> PAGEREF _Toc14383 \h </w:instrText>
      </w:r>
      <w:r>
        <w:fldChar w:fldCharType="separate"/>
      </w:r>
      <w:r>
        <w:t>11</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_Toc13372 </w:instrText>
      </w:r>
      <w:r>
        <w:rPr>
          <w:rFonts w:hint="eastAsia" w:ascii="宋体" w:hAnsi="宋体" w:cs="Arial"/>
          <w:szCs w:val="21"/>
        </w:rPr>
        <w:fldChar w:fldCharType="separate"/>
      </w:r>
      <w:r>
        <w:rPr>
          <w:rFonts w:hint="eastAsia" w:ascii="宋体" w:hAnsi="宋体" w:cs="仿宋_GB2312"/>
        </w:rPr>
        <w:t>14.供应商资格证明文件</w:t>
      </w:r>
      <w:r>
        <w:tab/>
      </w:r>
      <w:r>
        <w:fldChar w:fldCharType="begin"/>
      </w:r>
      <w:r>
        <w:instrText xml:space="preserve"> PAGEREF _Toc13372 \h </w:instrText>
      </w:r>
      <w:r>
        <w:fldChar w:fldCharType="separate"/>
      </w:r>
      <w:r>
        <w:t>12</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_Toc23707 </w:instrText>
      </w:r>
      <w:r>
        <w:rPr>
          <w:rFonts w:hint="eastAsia" w:ascii="宋体" w:hAnsi="宋体" w:cs="Arial"/>
          <w:szCs w:val="21"/>
        </w:rPr>
        <w:fldChar w:fldCharType="separate"/>
      </w:r>
      <w:r>
        <w:rPr>
          <w:rFonts w:hint="eastAsia" w:ascii="宋体" w:hAnsi="宋体" w:cs="仿宋_GB2312"/>
        </w:rPr>
        <w:t>15.证明报价内容、服务合格性和符合磋商文件规定的文件</w:t>
      </w:r>
      <w:r>
        <w:tab/>
      </w:r>
      <w:r>
        <w:fldChar w:fldCharType="begin"/>
      </w:r>
      <w:r>
        <w:instrText xml:space="preserve"> PAGEREF _Toc23707 \h </w:instrText>
      </w:r>
      <w:r>
        <w:fldChar w:fldCharType="separate"/>
      </w:r>
      <w:r>
        <w:t>12</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_Toc13724 </w:instrText>
      </w:r>
      <w:r>
        <w:rPr>
          <w:rFonts w:hint="eastAsia" w:ascii="宋体" w:hAnsi="宋体" w:cs="Arial"/>
          <w:szCs w:val="21"/>
        </w:rPr>
        <w:fldChar w:fldCharType="separate"/>
      </w:r>
      <w:r>
        <w:rPr>
          <w:rFonts w:hint="eastAsia" w:ascii="宋体" w:hAnsi="宋体" w:cs="仿宋_GB2312"/>
        </w:rPr>
        <w:t>1</w:t>
      </w:r>
      <w:r>
        <w:rPr>
          <w:rFonts w:ascii="宋体" w:hAnsi="宋体" w:cs="仿宋_GB2312"/>
        </w:rPr>
        <w:t>6</w:t>
      </w:r>
      <w:r>
        <w:rPr>
          <w:rFonts w:hint="eastAsia" w:ascii="宋体" w:hAnsi="宋体" w:cs="仿宋_GB2312"/>
        </w:rPr>
        <w:t>.响应文件有效期</w:t>
      </w:r>
      <w:r>
        <w:tab/>
      </w:r>
      <w:r>
        <w:fldChar w:fldCharType="begin"/>
      </w:r>
      <w:r>
        <w:instrText xml:space="preserve"> PAGEREF _Toc13724 \h </w:instrText>
      </w:r>
      <w:r>
        <w:fldChar w:fldCharType="separate"/>
      </w:r>
      <w:r>
        <w:t>12</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_Toc32047 </w:instrText>
      </w:r>
      <w:r>
        <w:rPr>
          <w:rFonts w:hint="eastAsia" w:ascii="宋体" w:hAnsi="宋体" w:cs="Arial"/>
          <w:szCs w:val="21"/>
        </w:rPr>
        <w:fldChar w:fldCharType="separate"/>
      </w:r>
      <w:r>
        <w:rPr>
          <w:rFonts w:hint="eastAsia" w:ascii="宋体" w:hAnsi="宋体" w:cs="仿宋_GB2312"/>
        </w:rPr>
        <w:t>1</w:t>
      </w:r>
      <w:r>
        <w:rPr>
          <w:rFonts w:ascii="宋体" w:hAnsi="宋体" w:cs="仿宋_GB2312"/>
        </w:rPr>
        <w:t>7</w:t>
      </w:r>
      <w:r>
        <w:rPr>
          <w:rFonts w:hint="eastAsia" w:ascii="宋体" w:hAnsi="宋体" w:cs="仿宋_GB2312"/>
        </w:rPr>
        <w:t>.响应文件的装订、签署和数量</w:t>
      </w:r>
      <w:r>
        <w:tab/>
      </w:r>
      <w:r>
        <w:fldChar w:fldCharType="begin"/>
      </w:r>
      <w:r>
        <w:instrText xml:space="preserve"> PAGEREF _Toc32047 \h </w:instrText>
      </w:r>
      <w:r>
        <w:fldChar w:fldCharType="separate"/>
      </w:r>
      <w:r>
        <w:t>12</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_Toc5089 </w:instrText>
      </w:r>
      <w:r>
        <w:rPr>
          <w:rFonts w:hint="eastAsia" w:ascii="宋体" w:hAnsi="宋体" w:cs="Arial"/>
          <w:szCs w:val="21"/>
        </w:rPr>
        <w:fldChar w:fldCharType="separate"/>
      </w:r>
      <w:r>
        <w:rPr>
          <w:rFonts w:hint="eastAsia" w:ascii="宋体" w:hAnsi="宋体" w:cs="仿宋_GB2312"/>
        </w:rPr>
        <w:t>（四）响应文件的递交</w:t>
      </w:r>
      <w:r>
        <w:tab/>
      </w:r>
      <w:r>
        <w:fldChar w:fldCharType="begin"/>
      </w:r>
      <w:r>
        <w:instrText xml:space="preserve"> PAGEREF _Toc5089 \h </w:instrText>
      </w:r>
      <w:r>
        <w:fldChar w:fldCharType="separate"/>
      </w:r>
      <w:r>
        <w:t>13</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_Toc6141 </w:instrText>
      </w:r>
      <w:r>
        <w:rPr>
          <w:rFonts w:hint="eastAsia" w:ascii="宋体" w:hAnsi="宋体" w:cs="Arial"/>
          <w:szCs w:val="21"/>
        </w:rPr>
        <w:fldChar w:fldCharType="separate"/>
      </w:r>
      <w:r>
        <w:rPr>
          <w:rFonts w:hint="eastAsia" w:ascii="宋体" w:hAnsi="宋体" w:cs="仿宋_GB2312"/>
        </w:rPr>
        <w:t>1</w:t>
      </w:r>
      <w:r>
        <w:rPr>
          <w:rFonts w:ascii="宋体" w:hAnsi="宋体" w:cs="仿宋_GB2312"/>
        </w:rPr>
        <w:t>8</w:t>
      </w:r>
      <w:r>
        <w:rPr>
          <w:rFonts w:hint="eastAsia" w:ascii="宋体" w:hAnsi="宋体" w:cs="仿宋_GB2312"/>
        </w:rPr>
        <w:t>.响应文件的密封和标记</w:t>
      </w:r>
      <w:r>
        <w:tab/>
      </w:r>
      <w:r>
        <w:fldChar w:fldCharType="begin"/>
      </w:r>
      <w:r>
        <w:instrText xml:space="preserve"> PAGEREF _Toc6141 \h </w:instrText>
      </w:r>
      <w:r>
        <w:fldChar w:fldCharType="separate"/>
      </w:r>
      <w:r>
        <w:t>13</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_Toc16830 </w:instrText>
      </w:r>
      <w:r>
        <w:rPr>
          <w:rFonts w:hint="eastAsia" w:ascii="宋体" w:hAnsi="宋体" w:cs="Arial"/>
          <w:szCs w:val="21"/>
        </w:rPr>
        <w:fldChar w:fldCharType="separate"/>
      </w:r>
      <w:r>
        <w:rPr>
          <w:rFonts w:ascii="宋体" w:hAnsi="宋体" w:cs="仿宋_GB2312"/>
        </w:rPr>
        <w:t>19</w:t>
      </w:r>
      <w:r>
        <w:rPr>
          <w:rFonts w:hint="eastAsia" w:ascii="宋体" w:hAnsi="宋体" w:cs="仿宋_GB2312"/>
        </w:rPr>
        <w:t>.响应文件的送达地点及截止时间</w:t>
      </w:r>
      <w:r>
        <w:tab/>
      </w:r>
      <w:r>
        <w:fldChar w:fldCharType="begin"/>
      </w:r>
      <w:r>
        <w:instrText xml:space="preserve"> PAGEREF _Toc16830 \h </w:instrText>
      </w:r>
      <w:r>
        <w:fldChar w:fldCharType="separate"/>
      </w:r>
      <w:r>
        <w:t>13</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_Toc13869 </w:instrText>
      </w:r>
      <w:r>
        <w:rPr>
          <w:rFonts w:hint="eastAsia" w:ascii="宋体" w:hAnsi="宋体" w:cs="Arial"/>
          <w:szCs w:val="21"/>
        </w:rPr>
        <w:fldChar w:fldCharType="separate"/>
      </w:r>
      <w:r>
        <w:rPr>
          <w:rFonts w:hint="eastAsia" w:ascii="宋体" w:hAnsi="宋体" w:cs="仿宋_GB2312"/>
        </w:rPr>
        <w:t>2</w:t>
      </w:r>
      <w:r>
        <w:rPr>
          <w:rFonts w:ascii="宋体" w:hAnsi="宋体" w:cs="仿宋_GB2312"/>
        </w:rPr>
        <w:t>0</w:t>
      </w:r>
      <w:r>
        <w:rPr>
          <w:rFonts w:hint="eastAsia" w:ascii="宋体" w:hAnsi="宋体" w:cs="仿宋_GB2312"/>
        </w:rPr>
        <w:t>.迟交的响应文件</w:t>
      </w:r>
      <w:r>
        <w:tab/>
      </w:r>
      <w:r>
        <w:fldChar w:fldCharType="begin"/>
      </w:r>
      <w:r>
        <w:instrText xml:space="preserve"> PAGEREF _Toc13869 \h </w:instrText>
      </w:r>
      <w:r>
        <w:fldChar w:fldCharType="separate"/>
      </w:r>
      <w:r>
        <w:t>13</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_Toc2038 </w:instrText>
      </w:r>
      <w:r>
        <w:rPr>
          <w:rFonts w:hint="eastAsia" w:ascii="宋体" w:hAnsi="宋体" w:cs="Arial"/>
          <w:szCs w:val="21"/>
        </w:rPr>
        <w:fldChar w:fldCharType="separate"/>
      </w:r>
      <w:r>
        <w:rPr>
          <w:rFonts w:hint="eastAsia" w:ascii="宋体" w:hAnsi="宋体" w:cs="仿宋_GB2312"/>
        </w:rPr>
        <w:t>2</w:t>
      </w:r>
      <w:r>
        <w:rPr>
          <w:rFonts w:ascii="宋体" w:hAnsi="宋体" w:cs="仿宋_GB2312"/>
        </w:rPr>
        <w:t>1</w:t>
      </w:r>
      <w:r>
        <w:rPr>
          <w:rFonts w:hint="eastAsia" w:ascii="宋体" w:hAnsi="宋体" w:cs="仿宋_GB2312"/>
        </w:rPr>
        <w:t>.响应文件的补充、修改或者撤回</w:t>
      </w:r>
      <w:r>
        <w:tab/>
      </w:r>
      <w:r>
        <w:fldChar w:fldCharType="begin"/>
      </w:r>
      <w:r>
        <w:instrText xml:space="preserve"> PAGEREF _Toc2038 \h </w:instrText>
      </w:r>
      <w:r>
        <w:fldChar w:fldCharType="separate"/>
      </w:r>
      <w:r>
        <w:t>13</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_Toc14538 </w:instrText>
      </w:r>
      <w:r>
        <w:rPr>
          <w:rFonts w:hint="eastAsia" w:ascii="宋体" w:hAnsi="宋体" w:cs="Arial"/>
          <w:szCs w:val="21"/>
        </w:rPr>
        <w:fldChar w:fldCharType="separate"/>
      </w:r>
      <w:r>
        <w:rPr>
          <w:rFonts w:hint="eastAsia" w:ascii="宋体" w:hAnsi="宋体" w:cs="仿宋_GB2312"/>
        </w:rPr>
        <w:t>（五）磋商程序</w:t>
      </w:r>
      <w:r>
        <w:tab/>
      </w:r>
      <w:r>
        <w:fldChar w:fldCharType="begin"/>
      </w:r>
      <w:r>
        <w:instrText xml:space="preserve"> PAGEREF _Toc14538 \h </w:instrText>
      </w:r>
      <w:r>
        <w:fldChar w:fldCharType="separate"/>
      </w:r>
      <w:r>
        <w:t>13</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_Toc22900 </w:instrText>
      </w:r>
      <w:r>
        <w:rPr>
          <w:rFonts w:hint="eastAsia" w:ascii="宋体" w:hAnsi="宋体" w:cs="Arial"/>
          <w:szCs w:val="21"/>
        </w:rPr>
        <w:fldChar w:fldCharType="separate"/>
      </w:r>
      <w:r>
        <w:rPr>
          <w:rFonts w:hint="eastAsia" w:ascii="宋体" w:hAnsi="宋体" w:cs="仿宋_GB2312"/>
        </w:rPr>
        <w:t>2</w:t>
      </w:r>
      <w:r>
        <w:rPr>
          <w:rFonts w:ascii="宋体" w:hAnsi="宋体" w:cs="仿宋_GB2312"/>
        </w:rPr>
        <w:t>2</w:t>
      </w:r>
      <w:r>
        <w:rPr>
          <w:rFonts w:hint="eastAsia" w:ascii="宋体" w:hAnsi="宋体" w:cs="仿宋_GB2312"/>
        </w:rPr>
        <w:t>.磋商小组</w:t>
      </w:r>
      <w:r>
        <w:tab/>
      </w:r>
      <w:r>
        <w:fldChar w:fldCharType="begin"/>
      </w:r>
      <w:r>
        <w:instrText xml:space="preserve"> PAGEREF _Toc22900 \h </w:instrText>
      </w:r>
      <w:r>
        <w:fldChar w:fldCharType="separate"/>
      </w:r>
      <w:r>
        <w:t>14</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_Toc11505 </w:instrText>
      </w:r>
      <w:r>
        <w:rPr>
          <w:rFonts w:hint="eastAsia" w:ascii="宋体" w:hAnsi="宋体" w:cs="Arial"/>
          <w:szCs w:val="21"/>
        </w:rPr>
        <w:fldChar w:fldCharType="separate"/>
      </w:r>
      <w:r>
        <w:rPr>
          <w:rFonts w:hint="eastAsia" w:ascii="宋体" w:hAnsi="宋体" w:cs="仿宋_GB2312"/>
        </w:rPr>
        <w:t>2</w:t>
      </w:r>
      <w:r>
        <w:rPr>
          <w:rFonts w:ascii="宋体" w:hAnsi="宋体" w:cs="仿宋_GB2312"/>
        </w:rPr>
        <w:t>3</w:t>
      </w:r>
      <w:r>
        <w:rPr>
          <w:rFonts w:hint="eastAsia" w:ascii="宋体" w:hAnsi="宋体" w:cs="仿宋_GB2312"/>
        </w:rPr>
        <w:t>.磋商代表</w:t>
      </w:r>
      <w:r>
        <w:tab/>
      </w:r>
      <w:r>
        <w:fldChar w:fldCharType="begin"/>
      </w:r>
      <w:r>
        <w:instrText xml:space="preserve"> PAGEREF _Toc11505 \h </w:instrText>
      </w:r>
      <w:r>
        <w:fldChar w:fldCharType="separate"/>
      </w:r>
      <w:r>
        <w:t>14</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_Toc25914 </w:instrText>
      </w:r>
      <w:r>
        <w:rPr>
          <w:rFonts w:hint="eastAsia" w:ascii="宋体" w:hAnsi="宋体" w:cs="Arial"/>
          <w:szCs w:val="21"/>
        </w:rPr>
        <w:fldChar w:fldCharType="separate"/>
      </w:r>
      <w:r>
        <w:rPr>
          <w:rFonts w:hint="eastAsia" w:ascii="宋体" w:hAnsi="宋体" w:cs="仿宋_GB2312"/>
        </w:rPr>
        <w:t>2</w:t>
      </w:r>
      <w:r>
        <w:rPr>
          <w:rFonts w:ascii="宋体" w:hAnsi="宋体" w:cs="仿宋_GB2312"/>
        </w:rPr>
        <w:t>4</w:t>
      </w:r>
      <w:r>
        <w:rPr>
          <w:rFonts w:hint="eastAsia" w:ascii="宋体" w:hAnsi="宋体" w:cs="仿宋_GB2312"/>
        </w:rPr>
        <w:t>.资格审查和符合性审查</w:t>
      </w:r>
      <w:r>
        <w:tab/>
      </w:r>
      <w:r>
        <w:fldChar w:fldCharType="begin"/>
      </w:r>
      <w:r>
        <w:instrText xml:space="preserve"> PAGEREF _Toc25914 \h </w:instrText>
      </w:r>
      <w:r>
        <w:fldChar w:fldCharType="separate"/>
      </w:r>
      <w:r>
        <w:t>14</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_Toc27282 </w:instrText>
      </w:r>
      <w:r>
        <w:rPr>
          <w:rFonts w:hint="eastAsia" w:ascii="宋体" w:hAnsi="宋体" w:cs="Arial"/>
          <w:szCs w:val="21"/>
        </w:rPr>
        <w:fldChar w:fldCharType="separate"/>
      </w:r>
      <w:r>
        <w:rPr>
          <w:rFonts w:hint="eastAsia" w:ascii="宋体" w:hAnsi="宋体" w:cs="仿宋_GB2312"/>
        </w:rPr>
        <w:t>2</w:t>
      </w:r>
      <w:r>
        <w:rPr>
          <w:rFonts w:ascii="宋体" w:hAnsi="宋体" w:cs="仿宋_GB2312"/>
        </w:rPr>
        <w:t>5</w:t>
      </w:r>
      <w:r>
        <w:rPr>
          <w:rFonts w:hint="eastAsia" w:ascii="宋体" w:hAnsi="宋体" w:cs="仿宋_GB2312"/>
        </w:rPr>
        <w:t>.磋商</w:t>
      </w:r>
      <w:r>
        <w:tab/>
      </w:r>
      <w:r>
        <w:fldChar w:fldCharType="begin"/>
      </w:r>
      <w:r>
        <w:instrText xml:space="preserve"> PAGEREF _Toc27282 \h </w:instrText>
      </w:r>
      <w:r>
        <w:fldChar w:fldCharType="separate"/>
      </w:r>
      <w:r>
        <w:t>14</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_Toc15521 </w:instrText>
      </w:r>
      <w:r>
        <w:rPr>
          <w:rFonts w:hint="eastAsia" w:ascii="宋体" w:hAnsi="宋体" w:cs="Arial"/>
          <w:szCs w:val="21"/>
        </w:rPr>
        <w:fldChar w:fldCharType="separate"/>
      </w:r>
      <w:r>
        <w:rPr>
          <w:rFonts w:hint="eastAsia" w:ascii="宋体" w:hAnsi="宋体" w:cs="仿宋_GB2312"/>
        </w:rPr>
        <w:t>2</w:t>
      </w:r>
      <w:r>
        <w:rPr>
          <w:rFonts w:ascii="宋体" w:hAnsi="宋体" w:cs="仿宋_GB2312"/>
        </w:rPr>
        <w:t>6</w:t>
      </w:r>
      <w:r>
        <w:rPr>
          <w:rFonts w:hint="eastAsia" w:ascii="宋体" w:hAnsi="宋体" w:cs="仿宋_GB2312"/>
        </w:rPr>
        <w:t>.推荐成交候选供应商</w:t>
      </w:r>
      <w:r>
        <w:tab/>
      </w:r>
      <w:r>
        <w:fldChar w:fldCharType="begin"/>
      </w:r>
      <w:r>
        <w:instrText xml:space="preserve"> PAGEREF _Toc15521 \h </w:instrText>
      </w:r>
      <w:r>
        <w:fldChar w:fldCharType="separate"/>
      </w:r>
      <w:r>
        <w:t>15</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_Toc6691 </w:instrText>
      </w:r>
      <w:r>
        <w:rPr>
          <w:rFonts w:hint="eastAsia" w:ascii="宋体" w:hAnsi="宋体" w:cs="Arial"/>
          <w:szCs w:val="21"/>
        </w:rPr>
        <w:fldChar w:fldCharType="separate"/>
      </w:r>
      <w:r>
        <w:rPr>
          <w:rFonts w:hint="eastAsia" w:ascii="宋体" w:hAnsi="宋体" w:cs="仿宋_GB2312"/>
        </w:rPr>
        <w:t>（六）成交与签订合同</w:t>
      </w:r>
      <w:r>
        <w:tab/>
      </w:r>
      <w:r>
        <w:fldChar w:fldCharType="begin"/>
      </w:r>
      <w:r>
        <w:instrText xml:space="preserve"> PAGEREF _Toc6691 \h </w:instrText>
      </w:r>
      <w:r>
        <w:fldChar w:fldCharType="separate"/>
      </w:r>
      <w:r>
        <w:t>15</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_Toc22718 </w:instrText>
      </w:r>
      <w:r>
        <w:rPr>
          <w:rFonts w:hint="eastAsia" w:ascii="宋体" w:hAnsi="宋体" w:cs="Arial"/>
          <w:szCs w:val="21"/>
        </w:rPr>
        <w:fldChar w:fldCharType="separate"/>
      </w:r>
      <w:r>
        <w:rPr>
          <w:rFonts w:hint="eastAsia" w:ascii="宋体" w:hAnsi="宋体" w:cs="仿宋_GB2312"/>
        </w:rPr>
        <w:t>2</w:t>
      </w:r>
      <w:r>
        <w:rPr>
          <w:rFonts w:ascii="宋体" w:hAnsi="宋体" w:cs="仿宋_GB2312"/>
        </w:rPr>
        <w:t>7</w:t>
      </w:r>
      <w:r>
        <w:rPr>
          <w:rFonts w:hint="eastAsia" w:ascii="宋体" w:hAnsi="宋体" w:cs="仿宋_GB2312"/>
        </w:rPr>
        <w:t>.确定成交供应商</w:t>
      </w:r>
      <w:r>
        <w:tab/>
      </w:r>
      <w:r>
        <w:fldChar w:fldCharType="begin"/>
      </w:r>
      <w:r>
        <w:instrText xml:space="preserve"> PAGEREF _Toc22718 \h </w:instrText>
      </w:r>
      <w:r>
        <w:fldChar w:fldCharType="separate"/>
      </w:r>
      <w:r>
        <w:t>15</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_Toc24818 </w:instrText>
      </w:r>
      <w:r>
        <w:rPr>
          <w:rFonts w:hint="eastAsia" w:ascii="宋体" w:hAnsi="宋体" w:cs="Arial"/>
          <w:szCs w:val="21"/>
        </w:rPr>
        <w:fldChar w:fldCharType="separate"/>
      </w:r>
      <w:r>
        <w:rPr>
          <w:rFonts w:hint="eastAsia" w:ascii="宋体" w:hAnsi="宋体" w:cs="仿宋_GB2312"/>
        </w:rPr>
        <w:t>2</w:t>
      </w:r>
      <w:r>
        <w:rPr>
          <w:rFonts w:ascii="宋体" w:hAnsi="宋体" w:cs="仿宋_GB2312"/>
        </w:rPr>
        <w:t>8</w:t>
      </w:r>
      <w:r>
        <w:rPr>
          <w:rFonts w:hint="eastAsia" w:ascii="宋体" w:hAnsi="宋体" w:cs="仿宋_GB2312"/>
        </w:rPr>
        <w:t>.签订合同</w:t>
      </w:r>
      <w:r>
        <w:tab/>
      </w:r>
      <w:r>
        <w:fldChar w:fldCharType="begin"/>
      </w:r>
      <w:r>
        <w:instrText xml:space="preserve"> PAGEREF _Toc24818 \h </w:instrText>
      </w:r>
      <w:r>
        <w:fldChar w:fldCharType="separate"/>
      </w:r>
      <w:r>
        <w:t>15</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_Toc24567 </w:instrText>
      </w:r>
      <w:r>
        <w:rPr>
          <w:rFonts w:hint="eastAsia" w:ascii="宋体" w:hAnsi="宋体" w:cs="Arial"/>
          <w:szCs w:val="21"/>
        </w:rPr>
        <w:fldChar w:fldCharType="separate"/>
      </w:r>
      <w:r>
        <w:rPr>
          <w:rFonts w:hint="eastAsia" w:ascii="宋体" w:hAnsi="宋体" w:cs="仿宋_GB2312"/>
          <w:snapToGrid w:val="0"/>
          <w:kern w:val="0"/>
          <w:lang w:val="zh-CN"/>
        </w:rPr>
        <w:t>（七）质疑和投诉</w:t>
      </w:r>
      <w:r>
        <w:tab/>
      </w:r>
      <w:r>
        <w:fldChar w:fldCharType="begin"/>
      </w:r>
      <w:r>
        <w:instrText xml:space="preserve"> PAGEREF _Toc24567 \h </w:instrText>
      </w:r>
      <w:r>
        <w:fldChar w:fldCharType="separate"/>
      </w:r>
      <w:r>
        <w:t>16</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_Toc12537 </w:instrText>
      </w:r>
      <w:r>
        <w:rPr>
          <w:rFonts w:hint="eastAsia" w:ascii="宋体" w:hAnsi="宋体" w:cs="Arial"/>
          <w:szCs w:val="21"/>
        </w:rPr>
        <w:fldChar w:fldCharType="separate"/>
      </w:r>
      <w:r>
        <w:rPr>
          <w:rFonts w:ascii="宋体" w:hAnsi="宋体" w:cs="仿宋_GB2312"/>
        </w:rPr>
        <w:t>29</w:t>
      </w:r>
      <w:r>
        <w:rPr>
          <w:rFonts w:hint="eastAsia" w:ascii="宋体" w:hAnsi="宋体" w:cs="仿宋_GB2312"/>
        </w:rPr>
        <w:t>.质疑</w:t>
      </w:r>
      <w:r>
        <w:tab/>
      </w:r>
      <w:r>
        <w:fldChar w:fldCharType="begin"/>
      </w:r>
      <w:r>
        <w:instrText xml:space="preserve"> PAGEREF _Toc12537 \h </w:instrText>
      </w:r>
      <w:r>
        <w:fldChar w:fldCharType="separate"/>
      </w:r>
      <w:r>
        <w:t>16</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_Toc21751 </w:instrText>
      </w:r>
      <w:r>
        <w:rPr>
          <w:rFonts w:hint="eastAsia" w:ascii="宋体" w:hAnsi="宋体" w:cs="Arial"/>
          <w:szCs w:val="21"/>
        </w:rPr>
        <w:fldChar w:fldCharType="separate"/>
      </w:r>
      <w:r>
        <w:rPr>
          <w:rFonts w:hint="eastAsia" w:ascii="宋体" w:hAnsi="宋体" w:cs="仿宋_GB2312"/>
        </w:rPr>
        <w:t>3</w:t>
      </w:r>
      <w:r>
        <w:rPr>
          <w:rFonts w:ascii="宋体" w:hAnsi="宋体" w:cs="仿宋_GB2312"/>
        </w:rPr>
        <w:t>0</w:t>
      </w:r>
      <w:r>
        <w:rPr>
          <w:rFonts w:hint="eastAsia" w:ascii="宋体" w:hAnsi="宋体" w:cs="仿宋_GB2312"/>
        </w:rPr>
        <w:t>.质疑回复</w:t>
      </w:r>
      <w:r>
        <w:tab/>
      </w:r>
      <w:r>
        <w:fldChar w:fldCharType="begin"/>
      </w:r>
      <w:r>
        <w:instrText xml:space="preserve"> PAGEREF _Toc21751 \h </w:instrText>
      </w:r>
      <w:r>
        <w:fldChar w:fldCharType="separate"/>
      </w:r>
      <w:r>
        <w:t>16</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_Toc24670 </w:instrText>
      </w:r>
      <w:r>
        <w:rPr>
          <w:rFonts w:hint="eastAsia" w:ascii="宋体" w:hAnsi="宋体" w:cs="Arial"/>
          <w:szCs w:val="21"/>
        </w:rPr>
        <w:fldChar w:fldCharType="separate"/>
      </w:r>
      <w:r>
        <w:rPr>
          <w:rFonts w:hint="eastAsia" w:ascii="宋体" w:hAnsi="宋体" w:cs="仿宋_GB2312"/>
        </w:rPr>
        <w:t>3</w:t>
      </w:r>
      <w:r>
        <w:rPr>
          <w:rFonts w:ascii="宋体" w:hAnsi="宋体" w:cs="仿宋_GB2312"/>
        </w:rPr>
        <w:t>1</w:t>
      </w:r>
      <w:r>
        <w:rPr>
          <w:rFonts w:hint="eastAsia" w:ascii="宋体" w:hAnsi="宋体" w:cs="仿宋_GB2312"/>
        </w:rPr>
        <w:t>.投诉</w:t>
      </w:r>
      <w:r>
        <w:tab/>
      </w:r>
      <w:r>
        <w:fldChar w:fldCharType="begin"/>
      </w:r>
      <w:r>
        <w:instrText xml:space="preserve"> PAGEREF _Toc24670 \h </w:instrText>
      </w:r>
      <w:r>
        <w:fldChar w:fldCharType="separate"/>
      </w:r>
      <w:r>
        <w:t>17</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_Toc25265 </w:instrText>
      </w:r>
      <w:r>
        <w:rPr>
          <w:rFonts w:hint="eastAsia" w:ascii="宋体" w:hAnsi="宋体" w:cs="Arial"/>
          <w:szCs w:val="21"/>
        </w:rPr>
        <w:fldChar w:fldCharType="separate"/>
      </w:r>
      <w:r>
        <w:rPr>
          <w:rFonts w:hint="eastAsia" w:ascii="宋体" w:hAnsi="宋体" w:cs="仿宋_GB2312"/>
          <w:snapToGrid w:val="0"/>
          <w:kern w:val="0"/>
          <w:lang w:val="zh-CN"/>
        </w:rPr>
        <w:t>（八）政府采购政策</w:t>
      </w:r>
      <w:r>
        <w:tab/>
      </w:r>
      <w:r>
        <w:fldChar w:fldCharType="begin"/>
      </w:r>
      <w:r>
        <w:instrText xml:space="preserve"> PAGEREF _Toc25265 \h </w:instrText>
      </w:r>
      <w:r>
        <w:fldChar w:fldCharType="separate"/>
      </w:r>
      <w:r>
        <w:t>17</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_Toc3602 </w:instrText>
      </w:r>
      <w:r>
        <w:rPr>
          <w:rFonts w:hint="eastAsia" w:ascii="宋体" w:hAnsi="宋体" w:cs="Arial"/>
          <w:szCs w:val="21"/>
        </w:rPr>
        <w:fldChar w:fldCharType="separate"/>
      </w:r>
      <w:r>
        <w:rPr>
          <w:rFonts w:hint="eastAsia" w:ascii="宋体" w:hAnsi="宋体" w:cs="仿宋_GB2312"/>
        </w:rPr>
        <w:t>3</w:t>
      </w:r>
      <w:r>
        <w:rPr>
          <w:rFonts w:ascii="宋体" w:hAnsi="宋体" w:cs="仿宋_GB2312"/>
        </w:rPr>
        <w:t>2.</w:t>
      </w:r>
      <w:r>
        <w:rPr>
          <w:rFonts w:hint="eastAsia" w:ascii="宋体" w:hAnsi="宋体" w:cs="仿宋_GB2312"/>
        </w:rPr>
        <w:t>是否接受进口产品</w:t>
      </w:r>
      <w:r>
        <w:tab/>
      </w:r>
      <w:r>
        <w:fldChar w:fldCharType="begin"/>
      </w:r>
      <w:r>
        <w:instrText xml:space="preserve"> PAGEREF _Toc3602 \h </w:instrText>
      </w:r>
      <w:r>
        <w:fldChar w:fldCharType="separate"/>
      </w:r>
      <w:r>
        <w:t>17</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_Toc21778 </w:instrText>
      </w:r>
      <w:r>
        <w:rPr>
          <w:rFonts w:hint="eastAsia" w:ascii="宋体" w:hAnsi="宋体" w:cs="Arial"/>
          <w:szCs w:val="21"/>
        </w:rPr>
        <w:fldChar w:fldCharType="separate"/>
      </w:r>
      <w:r>
        <w:rPr>
          <w:rFonts w:hint="eastAsia" w:ascii="宋体" w:hAnsi="宋体" w:cs="仿宋_GB2312"/>
        </w:rPr>
        <w:t>3</w:t>
      </w:r>
      <w:r>
        <w:rPr>
          <w:rFonts w:ascii="宋体" w:hAnsi="宋体" w:cs="仿宋_GB2312"/>
        </w:rPr>
        <w:t>3.</w:t>
      </w:r>
      <w:r>
        <w:rPr>
          <w:rFonts w:hint="eastAsia" w:ascii="宋体" w:hAnsi="宋体" w:cs="仿宋_GB2312"/>
        </w:rPr>
        <w:t>中小企业扶持政策</w:t>
      </w:r>
      <w:r>
        <w:tab/>
      </w:r>
      <w:r>
        <w:fldChar w:fldCharType="begin"/>
      </w:r>
      <w:r>
        <w:instrText xml:space="preserve"> PAGEREF _Toc21778 \h </w:instrText>
      </w:r>
      <w:r>
        <w:fldChar w:fldCharType="separate"/>
      </w:r>
      <w:r>
        <w:t>17</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_Toc17437 </w:instrText>
      </w:r>
      <w:r>
        <w:rPr>
          <w:rFonts w:hint="eastAsia" w:ascii="宋体" w:hAnsi="宋体" w:cs="Arial"/>
          <w:szCs w:val="21"/>
        </w:rPr>
        <w:fldChar w:fldCharType="separate"/>
      </w:r>
      <w:r>
        <w:rPr>
          <w:rFonts w:hint="eastAsia" w:ascii="宋体" w:hAnsi="宋体" w:cs="仿宋_GB2312"/>
        </w:rPr>
        <w:t>3</w:t>
      </w:r>
      <w:r>
        <w:rPr>
          <w:rFonts w:ascii="宋体" w:hAnsi="宋体" w:cs="仿宋_GB2312"/>
        </w:rPr>
        <w:t>4.</w:t>
      </w:r>
      <w:r>
        <w:rPr>
          <w:rFonts w:hint="eastAsia" w:ascii="宋体" w:hAnsi="宋体" w:cs="仿宋_GB2312"/>
        </w:rPr>
        <w:t>节能产品、环境标志产品采购政策</w:t>
      </w:r>
      <w:r>
        <w:tab/>
      </w:r>
      <w:r>
        <w:fldChar w:fldCharType="begin"/>
      </w:r>
      <w:r>
        <w:instrText xml:space="preserve"> PAGEREF _Toc17437 \h </w:instrText>
      </w:r>
      <w:r>
        <w:fldChar w:fldCharType="separate"/>
      </w:r>
      <w:r>
        <w:t>18</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_Toc3205 </w:instrText>
      </w:r>
      <w:r>
        <w:rPr>
          <w:rFonts w:hint="eastAsia" w:ascii="宋体" w:hAnsi="宋体" w:cs="Arial"/>
          <w:szCs w:val="21"/>
        </w:rPr>
        <w:fldChar w:fldCharType="separate"/>
      </w:r>
      <w:r>
        <w:rPr>
          <w:rFonts w:hint="eastAsia" w:ascii="宋体" w:hAnsi="宋体" w:cs="仿宋_GB2312"/>
          <w:snapToGrid w:val="0"/>
          <w:kern w:val="0"/>
          <w:lang w:val="zh-CN"/>
        </w:rPr>
        <w:t>（九）其他要求</w:t>
      </w:r>
      <w:r>
        <w:tab/>
      </w:r>
      <w:r>
        <w:fldChar w:fldCharType="begin"/>
      </w:r>
      <w:r>
        <w:instrText xml:space="preserve"> PAGEREF _Toc3205 \h </w:instrText>
      </w:r>
      <w:r>
        <w:fldChar w:fldCharType="separate"/>
      </w:r>
      <w:r>
        <w:t>18</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_Toc3489 </w:instrText>
      </w:r>
      <w:r>
        <w:rPr>
          <w:rFonts w:hint="eastAsia" w:ascii="宋体" w:hAnsi="宋体" w:cs="Arial"/>
          <w:szCs w:val="21"/>
        </w:rPr>
        <w:fldChar w:fldCharType="separate"/>
      </w:r>
      <w:r>
        <w:rPr>
          <w:rFonts w:hint="eastAsia" w:ascii="宋体" w:hAnsi="宋体" w:cs="仿宋_GB2312"/>
          <w:snapToGrid w:val="0"/>
          <w:kern w:val="0"/>
          <w:lang w:val="zh-CN"/>
        </w:rPr>
        <w:t>（十）适用法律</w:t>
      </w:r>
      <w:r>
        <w:tab/>
      </w:r>
      <w:r>
        <w:fldChar w:fldCharType="begin"/>
      </w:r>
      <w:r>
        <w:instrText xml:space="preserve"> PAGEREF _Toc3489 \h </w:instrText>
      </w:r>
      <w:r>
        <w:fldChar w:fldCharType="separate"/>
      </w:r>
      <w:r>
        <w:t>18</w:t>
      </w:r>
      <w:r>
        <w:fldChar w:fldCharType="end"/>
      </w:r>
      <w:r>
        <w:rPr>
          <w:rFonts w:hint="eastAsia" w:ascii="宋体" w:hAnsi="宋体" w:cs="Arial"/>
          <w:szCs w:val="21"/>
        </w:rPr>
        <w:fldChar w:fldCharType="end"/>
      </w:r>
    </w:p>
    <w:p>
      <w:pPr>
        <w:pStyle w:val="38"/>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_Toc27271 </w:instrText>
      </w:r>
      <w:r>
        <w:rPr>
          <w:rFonts w:hint="eastAsia" w:ascii="宋体" w:hAnsi="宋体" w:cs="Arial"/>
          <w:szCs w:val="21"/>
        </w:rPr>
        <w:fldChar w:fldCharType="separate"/>
      </w:r>
      <w:r>
        <w:rPr>
          <w:rFonts w:hint="eastAsia" w:ascii="微软雅黑" w:hAnsi="微软雅黑" w:eastAsia="微软雅黑"/>
          <w:szCs w:val="32"/>
        </w:rPr>
        <w:t>第三章 项目采购需求</w:t>
      </w:r>
      <w:r>
        <w:tab/>
      </w:r>
      <w:r>
        <w:fldChar w:fldCharType="begin"/>
      </w:r>
      <w:r>
        <w:instrText xml:space="preserve"> PAGEREF _Toc27271 \h </w:instrText>
      </w:r>
      <w:r>
        <w:fldChar w:fldCharType="separate"/>
      </w:r>
      <w:r>
        <w:t>19</w:t>
      </w:r>
      <w:r>
        <w:fldChar w:fldCharType="end"/>
      </w:r>
      <w:r>
        <w:rPr>
          <w:rFonts w:hint="eastAsia" w:ascii="宋体" w:hAnsi="宋体" w:cs="Arial"/>
          <w:szCs w:val="21"/>
        </w:rPr>
        <w:fldChar w:fldCharType="end"/>
      </w:r>
    </w:p>
    <w:p>
      <w:pPr>
        <w:pStyle w:val="38"/>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_Toc9621 </w:instrText>
      </w:r>
      <w:r>
        <w:rPr>
          <w:rFonts w:hint="eastAsia" w:ascii="宋体" w:hAnsi="宋体" w:cs="Arial"/>
          <w:szCs w:val="21"/>
        </w:rPr>
        <w:fldChar w:fldCharType="separate"/>
      </w:r>
      <w:r>
        <w:rPr>
          <w:rFonts w:ascii="微软雅黑" w:hAnsi="微软雅黑" w:eastAsia="微软雅黑"/>
          <w:szCs w:val="32"/>
        </w:rPr>
        <w:t>第四章</w:t>
      </w:r>
      <w:r>
        <w:rPr>
          <w:rFonts w:hint="eastAsia" w:ascii="微软雅黑" w:hAnsi="微软雅黑" w:eastAsia="微软雅黑"/>
          <w:szCs w:val="32"/>
        </w:rPr>
        <w:t xml:space="preserve"> 合同草案</w:t>
      </w:r>
      <w:r>
        <w:tab/>
      </w:r>
      <w:r>
        <w:fldChar w:fldCharType="begin"/>
      </w:r>
      <w:r>
        <w:instrText xml:space="preserve"> PAGEREF _Toc9621 \h </w:instrText>
      </w:r>
      <w:r>
        <w:fldChar w:fldCharType="separate"/>
      </w:r>
      <w:r>
        <w:t>42</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_Toc26580 </w:instrText>
      </w:r>
      <w:r>
        <w:rPr>
          <w:rFonts w:hint="eastAsia" w:ascii="宋体" w:hAnsi="宋体" w:cs="Arial"/>
          <w:szCs w:val="21"/>
        </w:rPr>
        <w:fldChar w:fldCharType="separate"/>
      </w:r>
      <w:r>
        <w:rPr>
          <w:rFonts w:hint="eastAsia"/>
          <w:spacing w:val="120"/>
          <w:kern w:val="0"/>
        </w:rPr>
        <w:t>合同格</w:t>
      </w:r>
      <w:r>
        <w:rPr>
          <w:rFonts w:hint="eastAsia"/>
          <w:kern w:val="0"/>
        </w:rPr>
        <w:t>式</w:t>
      </w:r>
      <w:r>
        <w:rPr>
          <w:rFonts w:hint="eastAsia"/>
          <w:kern w:val="0"/>
          <w:lang w:eastAsia="zh-CN"/>
        </w:rPr>
        <w:t>（</w:t>
      </w:r>
      <w:r>
        <w:rPr>
          <w:rFonts w:hint="eastAsia"/>
          <w:kern w:val="0"/>
          <w:lang w:val="en-US" w:eastAsia="zh-CN"/>
        </w:rPr>
        <w:t>参考</w:t>
      </w:r>
      <w:r>
        <w:rPr>
          <w:rFonts w:hint="eastAsia"/>
          <w:kern w:val="0"/>
          <w:lang w:eastAsia="zh-CN"/>
        </w:rPr>
        <w:t>）</w:t>
      </w:r>
      <w:r>
        <w:tab/>
      </w:r>
      <w:r>
        <w:fldChar w:fldCharType="begin"/>
      </w:r>
      <w:r>
        <w:instrText xml:space="preserve"> PAGEREF _Toc26580 \h </w:instrText>
      </w:r>
      <w:r>
        <w:fldChar w:fldCharType="separate"/>
      </w:r>
      <w:r>
        <w:t>42</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_Toc19661 </w:instrText>
      </w:r>
      <w:r>
        <w:rPr>
          <w:rFonts w:hint="eastAsia" w:ascii="宋体" w:hAnsi="宋体" w:cs="Arial"/>
          <w:szCs w:val="21"/>
        </w:rPr>
        <w:fldChar w:fldCharType="separate"/>
      </w:r>
      <w:r>
        <w:rPr>
          <w:rFonts w:hint="eastAsia" w:ascii="黑体" w:hAnsi="黑体" w:eastAsia="黑体" w:cs="黑体"/>
          <w:bCs/>
          <w:spacing w:val="120"/>
          <w:kern w:val="0"/>
          <w:szCs w:val="32"/>
        </w:rPr>
        <w:t>合同条</w:t>
      </w:r>
      <w:r>
        <w:rPr>
          <w:rFonts w:hint="eastAsia" w:ascii="黑体" w:hAnsi="黑体" w:eastAsia="黑体" w:cs="黑体"/>
          <w:bCs/>
          <w:kern w:val="0"/>
          <w:szCs w:val="32"/>
        </w:rPr>
        <w:t>款</w:t>
      </w:r>
      <w:r>
        <w:tab/>
      </w:r>
      <w:r>
        <w:fldChar w:fldCharType="begin"/>
      </w:r>
      <w:r>
        <w:instrText xml:space="preserve"> PAGEREF _Toc19661 \h </w:instrText>
      </w:r>
      <w:r>
        <w:fldChar w:fldCharType="separate"/>
      </w:r>
      <w:r>
        <w:t>43</w:t>
      </w:r>
      <w:r>
        <w:fldChar w:fldCharType="end"/>
      </w:r>
      <w:r>
        <w:rPr>
          <w:rFonts w:hint="eastAsia" w:ascii="宋体" w:hAnsi="宋体" w:cs="Arial"/>
          <w:szCs w:val="21"/>
        </w:rPr>
        <w:fldChar w:fldCharType="end"/>
      </w:r>
    </w:p>
    <w:p>
      <w:pPr>
        <w:pStyle w:val="38"/>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_Toc18673 </w:instrText>
      </w:r>
      <w:r>
        <w:rPr>
          <w:rFonts w:hint="eastAsia" w:ascii="宋体" w:hAnsi="宋体" w:cs="Arial"/>
          <w:szCs w:val="21"/>
        </w:rPr>
        <w:fldChar w:fldCharType="separate"/>
      </w:r>
      <w:r>
        <w:rPr>
          <w:rFonts w:hint="eastAsia" w:ascii="微软雅黑" w:hAnsi="微软雅黑" w:eastAsia="微软雅黑"/>
          <w:szCs w:val="32"/>
        </w:rPr>
        <w:t>第五章 评审程序、方法及标准</w:t>
      </w:r>
      <w:r>
        <w:tab/>
      </w:r>
      <w:r>
        <w:fldChar w:fldCharType="begin"/>
      </w:r>
      <w:r>
        <w:instrText xml:space="preserve"> PAGEREF _Toc18673 \h </w:instrText>
      </w:r>
      <w:r>
        <w:fldChar w:fldCharType="separate"/>
      </w:r>
      <w:r>
        <w:t>49</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_Toc2249 </w:instrText>
      </w:r>
      <w:r>
        <w:rPr>
          <w:rFonts w:hint="eastAsia" w:ascii="宋体" w:hAnsi="宋体" w:cs="Arial"/>
          <w:szCs w:val="21"/>
        </w:rPr>
        <w:fldChar w:fldCharType="separate"/>
      </w:r>
      <w:r>
        <w:rPr>
          <w:rFonts w:hint="eastAsia" w:ascii="宋体" w:hAnsi="宋体" w:eastAsia="宋体" w:cs="仿宋_GB2312"/>
          <w:bCs w:val="0"/>
          <w:szCs w:val="24"/>
        </w:rPr>
        <w:t>一、评审方法</w:t>
      </w:r>
      <w:r>
        <w:tab/>
      </w:r>
      <w:r>
        <w:fldChar w:fldCharType="begin"/>
      </w:r>
      <w:r>
        <w:instrText xml:space="preserve"> PAGEREF _Toc2249 \h </w:instrText>
      </w:r>
      <w:r>
        <w:fldChar w:fldCharType="separate"/>
      </w:r>
      <w:r>
        <w:t>49</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_Toc19493 </w:instrText>
      </w:r>
      <w:r>
        <w:rPr>
          <w:rFonts w:hint="eastAsia" w:ascii="宋体" w:hAnsi="宋体" w:cs="Arial"/>
          <w:szCs w:val="21"/>
        </w:rPr>
        <w:fldChar w:fldCharType="separate"/>
      </w:r>
      <w:r>
        <w:rPr>
          <w:rFonts w:hint="eastAsia" w:ascii="宋体" w:hAnsi="宋体" w:cs="仿宋_GB2312"/>
        </w:rPr>
        <w:t>二、评审程序</w:t>
      </w:r>
      <w:r>
        <w:tab/>
      </w:r>
      <w:r>
        <w:fldChar w:fldCharType="begin"/>
      </w:r>
      <w:r>
        <w:instrText xml:space="preserve"> PAGEREF _Toc19493 \h </w:instrText>
      </w:r>
      <w:r>
        <w:fldChar w:fldCharType="separate"/>
      </w:r>
      <w:r>
        <w:t>49</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_Toc23128 </w:instrText>
      </w:r>
      <w:r>
        <w:rPr>
          <w:rFonts w:hint="eastAsia" w:ascii="宋体" w:hAnsi="宋体" w:cs="Arial"/>
          <w:szCs w:val="21"/>
        </w:rPr>
        <w:fldChar w:fldCharType="separate"/>
      </w:r>
      <w:r>
        <w:rPr>
          <w:rFonts w:hint="eastAsia" w:ascii="宋体" w:hAnsi="宋体" w:cs="仿宋_GB2312"/>
        </w:rPr>
        <w:t>（一）资格审查表</w:t>
      </w:r>
      <w:r>
        <w:tab/>
      </w:r>
      <w:r>
        <w:fldChar w:fldCharType="begin"/>
      </w:r>
      <w:r>
        <w:instrText xml:space="preserve"> PAGEREF _Toc23128 \h </w:instrText>
      </w:r>
      <w:r>
        <w:fldChar w:fldCharType="separate"/>
      </w:r>
      <w:r>
        <w:t>49</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_Toc12832 </w:instrText>
      </w:r>
      <w:r>
        <w:rPr>
          <w:rFonts w:hint="eastAsia" w:ascii="宋体" w:hAnsi="宋体" w:cs="Arial"/>
          <w:szCs w:val="21"/>
        </w:rPr>
        <w:fldChar w:fldCharType="separate"/>
      </w:r>
      <w:r>
        <w:rPr>
          <w:rFonts w:hint="eastAsia" w:ascii="宋体" w:hAnsi="宋体" w:cs="仿宋_GB2312"/>
        </w:rPr>
        <w:t>（二）符合性检查表</w:t>
      </w:r>
      <w:r>
        <w:tab/>
      </w:r>
      <w:r>
        <w:fldChar w:fldCharType="begin"/>
      </w:r>
      <w:r>
        <w:instrText xml:space="preserve"> PAGEREF _Toc12832 \h </w:instrText>
      </w:r>
      <w:r>
        <w:fldChar w:fldCharType="separate"/>
      </w:r>
      <w:r>
        <w:t>52</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_Toc27857 </w:instrText>
      </w:r>
      <w:r>
        <w:rPr>
          <w:rFonts w:hint="eastAsia" w:ascii="宋体" w:hAnsi="宋体" w:cs="Arial"/>
          <w:szCs w:val="21"/>
        </w:rPr>
        <w:fldChar w:fldCharType="separate"/>
      </w:r>
      <w:r>
        <w:rPr>
          <w:rFonts w:hint="eastAsia" w:ascii="宋体" w:hAnsi="宋体" w:cs="仿宋_GB2312"/>
        </w:rPr>
        <w:t>（三）详细评审</w:t>
      </w:r>
      <w:r>
        <w:tab/>
      </w:r>
      <w:r>
        <w:fldChar w:fldCharType="begin"/>
      </w:r>
      <w:r>
        <w:instrText xml:space="preserve"> PAGEREF _Toc27857 \h </w:instrText>
      </w:r>
      <w:r>
        <w:fldChar w:fldCharType="separate"/>
      </w:r>
      <w:r>
        <w:t>53</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_Toc23167 </w:instrText>
      </w:r>
      <w:r>
        <w:rPr>
          <w:rFonts w:hint="eastAsia" w:ascii="宋体" w:hAnsi="宋体" w:cs="Arial"/>
          <w:szCs w:val="21"/>
        </w:rPr>
        <w:fldChar w:fldCharType="separate"/>
      </w:r>
      <w:r>
        <w:rPr>
          <w:rFonts w:ascii="宋体" w:hAnsi="宋体" w:eastAsia="宋体" w:cs="宋体"/>
          <w:bCs w:val="0"/>
          <w:szCs w:val="20"/>
        </w:rPr>
        <w:t>2</w:t>
      </w:r>
      <w:r>
        <w:rPr>
          <w:rFonts w:hint="eastAsia" w:ascii="宋体" w:hAnsi="宋体" w:eastAsia="宋体" w:cs="宋体"/>
          <w:bCs w:val="0"/>
          <w:szCs w:val="20"/>
        </w:rPr>
        <w:t>、</w:t>
      </w:r>
      <w:r>
        <w:rPr>
          <w:rFonts w:ascii="宋体" w:hAnsi="宋体" w:eastAsia="宋体" w:cs="宋体"/>
          <w:bCs w:val="0"/>
          <w:szCs w:val="20"/>
        </w:rPr>
        <w:t>总监理工程师</w:t>
      </w:r>
      <w:r>
        <w:rPr>
          <w:rFonts w:hint="eastAsia" w:ascii="宋体" w:hAnsi="宋体" w:eastAsia="宋体" w:cs="宋体"/>
          <w:bCs w:val="0"/>
          <w:szCs w:val="20"/>
        </w:rPr>
        <w:t>有信息系统监理师证书或信息系统项目管理师证书，</w:t>
      </w:r>
      <w:r>
        <w:rPr>
          <w:rFonts w:ascii="宋体" w:hAnsi="宋体" w:eastAsia="宋体" w:cs="宋体"/>
          <w:bCs w:val="0"/>
          <w:szCs w:val="20"/>
        </w:rPr>
        <w:t>得1</w:t>
      </w:r>
      <w:r>
        <w:rPr>
          <w:rFonts w:hint="eastAsia" w:ascii="宋体" w:hAnsi="宋体" w:eastAsia="宋体" w:cs="宋体"/>
          <w:bCs w:val="0"/>
          <w:szCs w:val="20"/>
        </w:rPr>
        <w:t>分</w:t>
      </w:r>
      <w:r>
        <w:tab/>
      </w:r>
      <w:r>
        <w:fldChar w:fldCharType="begin"/>
      </w:r>
      <w:r>
        <w:instrText xml:space="preserve"> PAGEREF _Toc23167 \h </w:instrText>
      </w:r>
      <w:r>
        <w:fldChar w:fldCharType="separate"/>
      </w:r>
      <w:r>
        <w:rPr>
          <w:b/>
        </w:rPr>
        <w:t>错误！未定义书签。</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_Toc29793 </w:instrText>
      </w:r>
      <w:r>
        <w:rPr>
          <w:rFonts w:hint="eastAsia" w:ascii="宋体" w:hAnsi="宋体" w:cs="Arial"/>
          <w:szCs w:val="21"/>
        </w:rPr>
        <w:fldChar w:fldCharType="separate"/>
      </w:r>
      <w:r>
        <w:rPr>
          <w:rFonts w:hint="eastAsia" w:ascii="宋体" w:hAnsi="宋体" w:eastAsia="宋体" w:cs="宋体"/>
          <w:bCs w:val="0"/>
          <w:szCs w:val="20"/>
        </w:rPr>
        <w:t>（4）具有</w:t>
      </w:r>
      <w:r>
        <w:rPr>
          <w:rFonts w:ascii="宋体" w:hAnsi="宋体" w:eastAsia="宋体" w:cs="宋体"/>
          <w:bCs w:val="0"/>
          <w:szCs w:val="20"/>
        </w:rPr>
        <w:t>有效的</w:t>
      </w:r>
      <w:r>
        <w:rPr>
          <w:rFonts w:hint="eastAsia" w:ascii="宋体" w:hAnsi="宋体" w:eastAsia="宋体" w:cs="宋体"/>
          <w:bCs w:val="0"/>
          <w:szCs w:val="20"/>
        </w:rPr>
        <w:t>信息</w:t>
      </w:r>
      <w:r>
        <w:rPr>
          <w:rFonts w:ascii="宋体" w:hAnsi="宋体" w:eastAsia="宋体" w:cs="宋体"/>
          <w:bCs w:val="0"/>
          <w:szCs w:val="20"/>
        </w:rPr>
        <w:t>安全管理体系认证证书，</w:t>
      </w:r>
      <w:r>
        <w:rPr>
          <w:rFonts w:hint="eastAsia" w:ascii="宋体" w:hAnsi="宋体" w:eastAsia="宋体" w:cs="宋体"/>
          <w:bCs w:val="0"/>
          <w:szCs w:val="20"/>
        </w:rPr>
        <w:t>1分</w:t>
      </w:r>
      <w:r>
        <w:rPr>
          <w:rFonts w:ascii="宋体" w:hAnsi="宋体" w:eastAsia="宋体" w:cs="宋体"/>
          <w:bCs w:val="0"/>
          <w:szCs w:val="20"/>
        </w:rPr>
        <w:t>；</w:t>
      </w:r>
      <w:r>
        <w:tab/>
      </w:r>
      <w:r>
        <w:fldChar w:fldCharType="begin"/>
      </w:r>
      <w:r>
        <w:instrText xml:space="preserve"> PAGEREF _Toc29793 \h </w:instrText>
      </w:r>
      <w:r>
        <w:fldChar w:fldCharType="separate"/>
      </w:r>
      <w:r>
        <w:rPr>
          <w:b/>
        </w:rPr>
        <w:t>错误！未定义书签。</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_Toc2408 </w:instrText>
      </w:r>
      <w:r>
        <w:rPr>
          <w:rFonts w:hint="eastAsia" w:ascii="宋体" w:hAnsi="宋体" w:cs="Arial"/>
          <w:szCs w:val="21"/>
        </w:rPr>
        <w:fldChar w:fldCharType="separate"/>
      </w:r>
      <w:r>
        <w:rPr>
          <w:rFonts w:hint="eastAsia" w:ascii="宋体" w:hAnsi="宋体" w:cs="仿宋_GB2312"/>
        </w:rPr>
        <w:t>三、编写评审报告</w:t>
      </w:r>
      <w:r>
        <w:tab/>
      </w:r>
      <w:r>
        <w:fldChar w:fldCharType="begin"/>
      </w:r>
      <w:r>
        <w:instrText xml:space="preserve"> PAGEREF _Toc2408 \h </w:instrText>
      </w:r>
      <w:r>
        <w:fldChar w:fldCharType="separate"/>
      </w:r>
      <w:r>
        <w:t>53</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_Toc16383 </w:instrText>
      </w:r>
      <w:r>
        <w:rPr>
          <w:rFonts w:hint="eastAsia" w:ascii="宋体" w:hAnsi="宋体" w:cs="Arial"/>
          <w:szCs w:val="21"/>
        </w:rPr>
        <w:fldChar w:fldCharType="separate"/>
      </w:r>
      <w:r>
        <w:rPr>
          <w:rFonts w:hint="eastAsia" w:ascii="宋体" w:hAnsi="宋体" w:cs="仿宋_GB2312"/>
        </w:rPr>
        <w:t>（一）评审报告的内容</w:t>
      </w:r>
      <w:r>
        <w:tab/>
      </w:r>
      <w:r>
        <w:fldChar w:fldCharType="begin"/>
      </w:r>
      <w:r>
        <w:instrText xml:space="preserve"> PAGEREF _Toc16383 \h </w:instrText>
      </w:r>
      <w:r>
        <w:fldChar w:fldCharType="separate"/>
      </w:r>
      <w:r>
        <w:t>55</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_Toc8738 </w:instrText>
      </w:r>
      <w:r>
        <w:rPr>
          <w:rFonts w:hint="eastAsia" w:ascii="宋体" w:hAnsi="宋体" w:cs="Arial"/>
          <w:szCs w:val="21"/>
        </w:rPr>
        <w:fldChar w:fldCharType="separate"/>
      </w:r>
      <w:r>
        <w:rPr>
          <w:rFonts w:hint="eastAsia" w:ascii="宋体" w:hAnsi="宋体" w:cs="仿宋_GB2312"/>
        </w:rPr>
        <w:t>（二）评审报告的签署</w:t>
      </w:r>
      <w:r>
        <w:tab/>
      </w:r>
      <w:r>
        <w:fldChar w:fldCharType="begin"/>
      </w:r>
      <w:r>
        <w:instrText xml:space="preserve"> PAGEREF _Toc8738 \h </w:instrText>
      </w:r>
      <w:r>
        <w:fldChar w:fldCharType="separate"/>
      </w:r>
      <w:r>
        <w:t>55</w:t>
      </w:r>
      <w:r>
        <w:fldChar w:fldCharType="end"/>
      </w:r>
      <w:r>
        <w:rPr>
          <w:rFonts w:hint="eastAsia" w:ascii="宋体" w:hAnsi="宋体" w:cs="Arial"/>
          <w:szCs w:val="21"/>
        </w:rPr>
        <w:fldChar w:fldCharType="end"/>
      </w:r>
    </w:p>
    <w:p>
      <w:pPr>
        <w:pStyle w:val="38"/>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_Toc29999 </w:instrText>
      </w:r>
      <w:r>
        <w:rPr>
          <w:rFonts w:hint="eastAsia" w:ascii="宋体" w:hAnsi="宋体" w:cs="Arial"/>
          <w:szCs w:val="21"/>
        </w:rPr>
        <w:fldChar w:fldCharType="separate"/>
      </w:r>
      <w:r>
        <w:rPr>
          <w:rFonts w:ascii="微软雅黑" w:hAnsi="微软雅黑" w:eastAsia="微软雅黑"/>
          <w:szCs w:val="32"/>
        </w:rPr>
        <w:t>第</w:t>
      </w:r>
      <w:r>
        <w:rPr>
          <w:rFonts w:hint="eastAsia" w:ascii="微软雅黑" w:hAnsi="微软雅黑" w:eastAsia="微软雅黑"/>
          <w:szCs w:val="32"/>
        </w:rPr>
        <w:t>六</w:t>
      </w:r>
      <w:r>
        <w:rPr>
          <w:rFonts w:ascii="微软雅黑" w:hAnsi="微软雅黑" w:eastAsia="微软雅黑"/>
          <w:szCs w:val="32"/>
        </w:rPr>
        <w:t>章</w:t>
      </w:r>
      <w:r>
        <w:rPr>
          <w:rFonts w:hint="eastAsia" w:ascii="微软雅黑" w:hAnsi="微软雅黑" w:eastAsia="微软雅黑"/>
          <w:szCs w:val="32"/>
        </w:rPr>
        <w:t xml:space="preserve"> 响应</w:t>
      </w:r>
      <w:r>
        <w:rPr>
          <w:rFonts w:ascii="微软雅黑" w:hAnsi="微软雅黑" w:eastAsia="微软雅黑"/>
          <w:szCs w:val="32"/>
        </w:rPr>
        <w:t>文件的格式</w:t>
      </w:r>
      <w:r>
        <w:tab/>
      </w:r>
      <w:r>
        <w:fldChar w:fldCharType="begin"/>
      </w:r>
      <w:r>
        <w:instrText xml:space="preserve"> PAGEREF _Toc29999 \h </w:instrText>
      </w:r>
      <w:r>
        <w:fldChar w:fldCharType="separate"/>
      </w:r>
      <w:r>
        <w:t>56</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_Toc11802 </w:instrText>
      </w:r>
      <w:r>
        <w:rPr>
          <w:rFonts w:hint="eastAsia" w:ascii="宋体" w:hAnsi="宋体" w:cs="Arial"/>
          <w:szCs w:val="21"/>
        </w:rPr>
        <w:fldChar w:fldCharType="separate"/>
      </w:r>
      <w:r>
        <w:rPr>
          <w:rFonts w:hint="eastAsia" w:ascii="宋体" w:hAnsi="宋体" w:eastAsia="宋体" w:cs="仿宋_GB2312"/>
          <w:bCs w:val="0"/>
          <w:szCs w:val="21"/>
        </w:rPr>
        <w:t>资格自查表</w:t>
      </w:r>
      <w:r>
        <w:tab/>
      </w:r>
      <w:r>
        <w:fldChar w:fldCharType="begin"/>
      </w:r>
      <w:r>
        <w:instrText xml:space="preserve"> PAGEREF _Toc11802 \h </w:instrText>
      </w:r>
      <w:r>
        <w:fldChar w:fldCharType="separate"/>
      </w:r>
      <w:r>
        <w:t>58</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_Toc20947 </w:instrText>
      </w:r>
      <w:r>
        <w:rPr>
          <w:rFonts w:hint="eastAsia" w:ascii="宋体" w:hAnsi="宋体" w:cs="Arial"/>
          <w:szCs w:val="21"/>
        </w:rPr>
        <w:fldChar w:fldCharType="separate"/>
      </w:r>
      <w:r>
        <w:rPr>
          <w:rFonts w:hint="eastAsia" w:ascii="宋体" w:hAnsi="宋体" w:eastAsia="宋体" w:cs="仿宋_GB2312"/>
          <w:bCs w:val="0"/>
          <w:szCs w:val="21"/>
        </w:rPr>
        <w:t>评标导航表</w:t>
      </w:r>
      <w:r>
        <w:tab/>
      </w:r>
      <w:r>
        <w:fldChar w:fldCharType="begin"/>
      </w:r>
      <w:r>
        <w:instrText xml:space="preserve"> PAGEREF _Toc20947 \h </w:instrText>
      </w:r>
      <w:r>
        <w:fldChar w:fldCharType="separate"/>
      </w:r>
      <w:r>
        <w:t>60</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_Toc3365 </w:instrText>
      </w:r>
      <w:r>
        <w:rPr>
          <w:rFonts w:hint="eastAsia" w:ascii="宋体" w:hAnsi="宋体" w:cs="Arial"/>
          <w:szCs w:val="21"/>
        </w:rPr>
        <w:fldChar w:fldCharType="separate"/>
      </w:r>
      <w:r>
        <w:rPr>
          <w:rFonts w:hint="eastAsia" w:ascii="宋体" w:hAnsi="宋体" w:eastAsia="宋体" w:cs="Arial"/>
        </w:rPr>
        <w:t>一、磋商书及附件</w:t>
      </w:r>
      <w:r>
        <w:tab/>
      </w:r>
      <w:r>
        <w:fldChar w:fldCharType="begin"/>
      </w:r>
      <w:r>
        <w:instrText xml:space="preserve"> PAGEREF _Toc3365 \h </w:instrText>
      </w:r>
      <w:r>
        <w:fldChar w:fldCharType="separate"/>
      </w:r>
      <w:r>
        <w:t>62</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_Toc29161 </w:instrText>
      </w:r>
      <w:r>
        <w:rPr>
          <w:rFonts w:hint="eastAsia" w:ascii="宋体" w:hAnsi="宋体" w:cs="Arial"/>
          <w:szCs w:val="21"/>
        </w:rPr>
        <w:fldChar w:fldCharType="separate"/>
      </w:r>
      <w:r>
        <w:rPr>
          <w:rFonts w:hint="eastAsia" w:ascii="宋体" w:hAnsi="宋体" w:cs="仿宋_GB2312"/>
          <w:szCs w:val="28"/>
        </w:rPr>
        <w:t>（一）磋商书</w:t>
      </w:r>
      <w:r>
        <w:tab/>
      </w:r>
      <w:r>
        <w:fldChar w:fldCharType="begin"/>
      </w:r>
      <w:r>
        <w:instrText xml:space="preserve"> PAGEREF _Toc29161 \h </w:instrText>
      </w:r>
      <w:r>
        <w:fldChar w:fldCharType="separate"/>
      </w:r>
      <w:r>
        <w:t>62</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_Toc8416 </w:instrText>
      </w:r>
      <w:r>
        <w:rPr>
          <w:rFonts w:hint="eastAsia" w:ascii="宋体" w:hAnsi="宋体" w:cs="Arial"/>
          <w:szCs w:val="21"/>
        </w:rPr>
        <w:fldChar w:fldCharType="separate"/>
      </w:r>
      <w:r>
        <w:rPr>
          <w:rFonts w:hint="eastAsia" w:ascii="宋体" w:hAnsi="宋体" w:cs="仿宋_GB2312"/>
          <w:szCs w:val="28"/>
        </w:rPr>
        <w:t>（二）法定代表人身份证明</w:t>
      </w:r>
      <w:r>
        <w:tab/>
      </w:r>
      <w:r>
        <w:fldChar w:fldCharType="begin"/>
      </w:r>
      <w:r>
        <w:instrText xml:space="preserve"> PAGEREF _Toc8416 \h </w:instrText>
      </w:r>
      <w:r>
        <w:fldChar w:fldCharType="separate"/>
      </w:r>
      <w:r>
        <w:t>64</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_Toc22499 </w:instrText>
      </w:r>
      <w:r>
        <w:rPr>
          <w:rFonts w:hint="eastAsia" w:ascii="宋体" w:hAnsi="宋体" w:cs="Arial"/>
          <w:szCs w:val="21"/>
        </w:rPr>
        <w:fldChar w:fldCharType="separate"/>
      </w:r>
      <w:r>
        <w:rPr>
          <w:rFonts w:hint="eastAsia" w:ascii="宋体" w:hAnsi="宋体" w:cs="仿宋_GB2312"/>
          <w:szCs w:val="28"/>
        </w:rPr>
        <w:t>（三）法定代表人授权书</w:t>
      </w:r>
      <w:r>
        <w:tab/>
      </w:r>
      <w:r>
        <w:fldChar w:fldCharType="begin"/>
      </w:r>
      <w:r>
        <w:instrText xml:space="preserve"> PAGEREF _Toc22499 \h </w:instrText>
      </w:r>
      <w:r>
        <w:fldChar w:fldCharType="separate"/>
      </w:r>
      <w:r>
        <w:t>65</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_Toc5142 </w:instrText>
      </w:r>
      <w:r>
        <w:rPr>
          <w:rFonts w:hint="eastAsia" w:ascii="宋体" w:hAnsi="宋体" w:cs="Arial"/>
          <w:szCs w:val="21"/>
        </w:rPr>
        <w:fldChar w:fldCharType="separate"/>
      </w:r>
      <w:r>
        <w:rPr>
          <w:rFonts w:hint="eastAsia" w:ascii="宋体" w:hAnsi="宋体" w:cs="仿宋_GB2312"/>
          <w:szCs w:val="28"/>
        </w:rPr>
        <w:t>（四）联合体协议书（如适用）</w:t>
      </w:r>
      <w:r>
        <w:tab/>
      </w:r>
      <w:r>
        <w:fldChar w:fldCharType="begin"/>
      </w:r>
      <w:r>
        <w:instrText xml:space="preserve"> PAGEREF _Toc5142 \h </w:instrText>
      </w:r>
      <w:r>
        <w:fldChar w:fldCharType="separate"/>
      </w:r>
      <w:r>
        <w:t>66</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_Toc29943 </w:instrText>
      </w:r>
      <w:r>
        <w:rPr>
          <w:rFonts w:hint="eastAsia" w:ascii="宋体" w:hAnsi="宋体" w:cs="Arial"/>
          <w:szCs w:val="21"/>
        </w:rPr>
        <w:fldChar w:fldCharType="separate"/>
      </w:r>
      <w:r>
        <w:rPr>
          <w:rFonts w:hint="eastAsia" w:ascii="宋体" w:hAnsi="宋体" w:cs="仿宋_GB2312"/>
          <w:szCs w:val="28"/>
        </w:rPr>
        <w:t>（五）分包意向协议书（如适用）</w:t>
      </w:r>
      <w:r>
        <w:tab/>
      </w:r>
      <w:r>
        <w:fldChar w:fldCharType="begin"/>
      </w:r>
      <w:r>
        <w:instrText xml:space="preserve"> PAGEREF _Toc29943 \h </w:instrText>
      </w:r>
      <w:r>
        <w:fldChar w:fldCharType="separate"/>
      </w:r>
      <w:r>
        <w:t>68</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_Toc9812 </w:instrText>
      </w:r>
      <w:r>
        <w:rPr>
          <w:rFonts w:hint="eastAsia" w:ascii="宋体" w:hAnsi="宋体" w:cs="Arial"/>
          <w:szCs w:val="21"/>
        </w:rPr>
        <w:fldChar w:fldCharType="separate"/>
      </w:r>
      <w:r>
        <w:rPr>
          <w:rFonts w:hint="eastAsia" w:ascii="宋体" w:hAnsi="宋体" w:eastAsia="宋体" w:cs="Arial"/>
        </w:rPr>
        <w:t>二、报价</w:t>
      </w:r>
      <w:r>
        <w:rPr>
          <w:rFonts w:ascii="宋体" w:hAnsi="宋体" w:eastAsia="宋体" w:cs="Arial"/>
        </w:rPr>
        <w:t>文件</w:t>
      </w:r>
      <w:r>
        <w:tab/>
      </w:r>
      <w:r>
        <w:fldChar w:fldCharType="begin"/>
      </w:r>
      <w:r>
        <w:instrText xml:space="preserve"> PAGEREF _Toc9812 \h </w:instrText>
      </w:r>
      <w:r>
        <w:fldChar w:fldCharType="separate"/>
      </w:r>
      <w:r>
        <w:t>69</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_Toc6379 </w:instrText>
      </w:r>
      <w:r>
        <w:rPr>
          <w:rFonts w:hint="eastAsia" w:ascii="宋体" w:hAnsi="宋体" w:cs="Arial"/>
          <w:szCs w:val="21"/>
        </w:rPr>
        <w:fldChar w:fldCharType="separate"/>
      </w:r>
      <w:r>
        <w:rPr>
          <w:rFonts w:hint="eastAsia" w:ascii="宋体" w:hAnsi="宋体" w:cs="仿宋_GB2312"/>
          <w:bCs/>
          <w:szCs w:val="28"/>
        </w:rPr>
        <w:t>（一）报价一览表</w:t>
      </w:r>
      <w:r>
        <w:tab/>
      </w:r>
      <w:r>
        <w:fldChar w:fldCharType="begin"/>
      </w:r>
      <w:r>
        <w:instrText xml:space="preserve"> PAGEREF _Toc6379 \h </w:instrText>
      </w:r>
      <w:r>
        <w:fldChar w:fldCharType="separate"/>
      </w:r>
      <w:r>
        <w:t>69</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_Toc25872 </w:instrText>
      </w:r>
      <w:r>
        <w:rPr>
          <w:rFonts w:hint="eastAsia" w:ascii="宋体" w:hAnsi="宋体" w:cs="Arial"/>
          <w:szCs w:val="21"/>
        </w:rPr>
        <w:fldChar w:fldCharType="separate"/>
      </w:r>
      <w:r>
        <w:rPr>
          <w:rFonts w:hint="eastAsia" w:ascii="宋体" w:hAnsi="宋体" w:cs="仿宋_GB2312"/>
          <w:szCs w:val="28"/>
        </w:rPr>
        <w:t>（二）分项报价表（如有）</w:t>
      </w:r>
      <w:r>
        <w:tab/>
      </w:r>
      <w:r>
        <w:fldChar w:fldCharType="begin"/>
      </w:r>
      <w:r>
        <w:instrText xml:space="preserve"> PAGEREF _Toc25872 \h </w:instrText>
      </w:r>
      <w:r>
        <w:fldChar w:fldCharType="separate"/>
      </w:r>
      <w:r>
        <w:t>70</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_Toc11544 </w:instrText>
      </w:r>
      <w:r>
        <w:rPr>
          <w:rFonts w:hint="eastAsia" w:ascii="宋体" w:hAnsi="宋体" w:cs="Arial"/>
          <w:szCs w:val="21"/>
        </w:rPr>
        <w:fldChar w:fldCharType="separate"/>
      </w:r>
      <w:r>
        <w:rPr>
          <w:rFonts w:hint="eastAsia" w:ascii="宋体" w:hAnsi="宋体" w:eastAsia="宋体" w:cs="Arial"/>
        </w:rPr>
        <w:t>三、商务</w:t>
      </w:r>
      <w:r>
        <w:rPr>
          <w:rFonts w:ascii="宋体" w:hAnsi="宋体" w:eastAsia="宋体" w:cs="Arial"/>
        </w:rPr>
        <w:t>文件</w:t>
      </w:r>
      <w:r>
        <w:tab/>
      </w:r>
      <w:r>
        <w:fldChar w:fldCharType="begin"/>
      </w:r>
      <w:r>
        <w:instrText xml:space="preserve"> PAGEREF _Toc11544 \h </w:instrText>
      </w:r>
      <w:r>
        <w:fldChar w:fldCharType="separate"/>
      </w:r>
      <w:r>
        <w:t>71</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_Toc18187 </w:instrText>
      </w:r>
      <w:r>
        <w:rPr>
          <w:rFonts w:hint="eastAsia" w:ascii="宋体" w:hAnsi="宋体" w:cs="Arial"/>
          <w:szCs w:val="21"/>
        </w:rPr>
        <w:fldChar w:fldCharType="separate"/>
      </w:r>
      <w:r>
        <w:rPr>
          <w:rFonts w:hint="eastAsia" w:ascii="宋体" w:hAnsi="宋体" w:cs="仿宋_GB2312"/>
          <w:szCs w:val="28"/>
        </w:rPr>
        <w:t>（一）供应商基本情况表</w:t>
      </w:r>
      <w:r>
        <w:tab/>
      </w:r>
      <w:r>
        <w:fldChar w:fldCharType="begin"/>
      </w:r>
      <w:r>
        <w:instrText xml:space="preserve"> PAGEREF _Toc18187 \h </w:instrText>
      </w:r>
      <w:r>
        <w:fldChar w:fldCharType="separate"/>
      </w:r>
      <w:r>
        <w:t>71</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_Toc31937 </w:instrText>
      </w:r>
      <w:r>
        <w:rPr>
          <w:rFonts w:hint="eastAsia" w:ascii="宋体" w:hAnsi="宋体" w:cs="Arial"/>
          <w:szCs w:val="21"/>
        </w:rPr>
        <w:fldChar w:fldCharType="separate"/>
      </w:r>
      <w:r>
        <w:rPr>
          <w:rFonts w:hint="eastAsia" w:ascii="宋体" w:hAnsi="宋体" w:cs="Arial"/>
          <w:szCs w:val="28"/>
        </w:rPr>
        <w:t>（二）关于资格条件的有关承诺及声明</w:t>
      </w:r>
      <w:r>
        <w:tab/>
      </w:r>
      <w:r>
        <w:fldChar w:fldCharType="begin"/>
      </w:r>
      <w:r>
        <w:instrText xml:space="preserve"> PAGEREF _Toc31937 \h </w:instrText>
      </w:r>
      <w:r>
        <w:fldChar w:fldCharType="separate"/>
      </w:r>
      <w:r>
        <w:t>72</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_Toc991 </w:instrText>
      </w:r>
      <w:r>
        <w:rPr>
          <w:rFonts w:hint="eastAsia" w:ascii="宋体" w:hAnsi="宋体" w:cs="Arial"/>
          <w:szCs w:val="21"/>
        </w:rPr>
        <w:fldChar w:fldCharType="separate"/>
      </w:r>
      <w:r>
        <w:rPr>
          <w:rFonts w:hint="eastAsia" w:ascii="宋体" w:hAnsi="宋体" w:cs="仿宋_GB2312"/>
          <w:szCs w:val="28"/>
        </w:rPr>
        <w:t>（三）资质证明文件</w:t>
      </w:r>
      <w:r>
        <w:tab/>
      </w:r>
      <w:r>
        <w:fldChar w:fldCharType="begin"/>
      </w:r>
      <w:r>
        <w:instrText xml:space="preserve"> PAGEREF _Toc991 \h </w:instrText>
      </w:r>
      <w:r>
        <w:fldChar w:fldCharType="separate"/>
      </w:r>
      <w:r>
        <w:t>73</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_Toc7413 </w:instrText>
      </w:r>
      <w:r>
        <w:rPr>
          <w:rFonts w:hint="eastAsia" w:ascii="宋体" w:hAnsi="宋体" w:cs="Arial"/>
          <w:szCs w:val="21"/>
        </w:rPr>
        <w:fldChar w:fldCharType="separate"/>
      </w:r>
      <w:r>
        <w:rPr>
          <w:rFonts w:hint="eastAsia" w:ascii="宋体" w:hAnsi="宋体" w:cs="Arial"/>
          <w:szCs w:val="28"/>
        </w:rPr>
        <w:t>（四）业绩证明文件</w:t>
      </w:r>
      <w:r>
        <w:tab/>
      </w:r>
      <w:r>
        <w:fldChar w:fldCharType="begin"/>
      </w:r>
      <w:r>
        <w:instrText xml:space="preserve"> PAGEREF _Toc7413 \h </w:instrText>
      </w:r>
      <w:r>
        <w:fldChar w:fldCharType="separate"/>
      </w:r>
      <w:r>
        <w:t>74</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_Toc4306 </w:instrText>
      </w:r>
      <w:r>
        <w:rPr>
          <w:rFonts w:hint="eastAsia" w:ascii="宋体" w:hAnsi="宋体" w:cs="Arial"/>
          <w:szCs w:val="21"/>
        </w:rPr>
        <w:fldChar w:fldCharType="separate"/>
      </w:r>
      <w:r>
        <w:rPr>
          <w:rFonts w:hint="eastAsia" w:ascii="宋体" w:hAnsi="宋体" w:cs="仿宋_GB2312"/>
          <w:szCs w:val="28"/>
        </w:rPr>
        <w:t>（五）信誉、荣誉状况证明文件</w:t>
      </w:r>
      <w:r>
        <w:tab/>
      </w:r>
      <w:r>
        <w:fldChar w:fldCharType="begin"/>
      </w:r>
      <w:r>
        <w:instrText xml:space="preserve"> PAGEREF _Toc4306 \h </w:instrText>
      </w:r>
      <w:r>
        <w:fldChar w:fldCharType="separate"/>
      </w:r>
      <w:r>
        <w:t>75</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_Toc22667 </w:instrText>
      </w:r>
      <w:r>
        <w:rPr>
          <w:rFonts w:hint="eastAsia" w:ascii="宋体" w:hAnsi="宋体" w:cs="Arial"/>
          <w:szCs w:val="21"/>
        </w:rPr>
        <w:fldChar w:fldCharType="separate"/>
      </w:r>
      <w:r>
        <w:rPr>
          <w:rFonts w:hint="eastAsia" w:ascii="宋体" w:hAnsi="宋体" w:cs="仿宋_GB2312"/>
          <w:szCs w:val="28"/>
        </w:rPr>
        <w:t>（六）商务偏离表</w:t>
      </w:r>
      <w:r>
        <w:tab/>
      </w:r>
      <w:r>
        <w:fldChar w:fldCharType="begin"/>
      </w:r>
      <w:r>
        <w:instrText xml:space="preserve"> PAGEREF _Toc22667 \h </w:instrText>
      </w:r>
      <w:r>
        <w:fldChar w:fldCharType="separate"/>
      </w:r>
      <w:r>
        <w:t>76</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_Toc13668 </w:instrText>
      </w:r>
      <w:r>
        <w:rPr>
          <w:rFonts w:hint="eastAsia" w:ascii="宋体" w:hAnsi="宋体" w:cs="Arial"/>
          <w:szCs w:val="21"/>
        </w:rPr>
        <w:fldChar w:fldCharType="separate"/>
      </w:r>
      <w:r>
        <w:rPr>
          <w:rFonts w:hint="eastAsia" w:ascii="宋体" w:hAnsi="宋体" w:cs="仿宋_GB2312"/>
          <w:szCs w:val="28"/>
        </w:rPr>
        <w:t>（七）其它商务文件</w:t>
      </w:r>
      <w:r>
        <w:tab/>
      </w:r>
      <w:r>
        <w:fldChar w:fldCharType="begin"/>
      </w:r>
      <w:r>
        <w:instrText xml:space="preserve"> PAGEREF _Toc13668 \h </w:instrText>
      </w:r>
      <w:r>
        <w:fldChar w:fldCharType="separate"/>
      </w:r>
      <w:r>
        <w:t>77</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_Toc26876 </w:instrText>
      </w:r>
      <w:r>
        <w:rPr>
          <w:rFonts w:hint="eastAsia" w:ascii="宋体" w:hAnsi="宋体" w:cs="Arial"/>
          <w:szCs w:val="21"/>
        </w:rPr>
        <w:fldChar w:fldCharType="separate"/>
      </w:r>
      <w:r>
        <w:rPr>
          <w:rFonts w:hint="eastAsia" w:ascii="宋体" w:hAnsi="宋体" w:eastAsia="宋体" w:cs="Arial"/>
        </w:rPr>
        <w:t>四、技术</w:t>
      </w:r>
      <w:r>
        <w:rPr>
          <w:rFonts w:ascii="宋体" w:hAnsi="宋体" w:eastAsia="宋体" w:cs="Arial"/>
        </w:rPr>
        <w:t>文件</w:t>
      </w:r>
      <w:r>
        <w:tab/>
      </w:r>
      <w:r>
        <w:fldChar w:fldCharType="begin"/>
      </w:r>
      <w:r>
        <w:instrText xml:space="preserve"> PAGEREF _Toc26876 \h </w:instrText>
      </w:r>
      <w:r>
        <w:fldChar w:fldCharType="separate"/>
      </w:r>
      <w:r>
        <w:t>78</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_Toc32055 </w:instrText>
      </w:r>
      <w:r>
        <w:rPr>
          <w:rFonts w:hint="eastAsia" w:ascii="宋体" w:hAnsi="宋体" w:cs="Arial"/>
          <w:szCs w:val="21"/>
        </w:rPr>
        <w:fldChar w:fldCharType="separate"/>
      </w:r>
      <w:r>
        <w:rPr>
          <w:rFonts w:hint="eastAsia" w:ascii="宋体" w:hAnsi="宋体" w:cs="仿宋_GB2312"/>
          <w:szCs w:val="28"/>
        </w:rPr>
        <w:t>（一）技术要求偏离表</w:t>
      </w:r>
      <w:r>
        <w:tab/>
      </w:r>
      <w:r>
        <w:fldChar w:fldCharType="begin"/>
      </w:r>
      <w:r>
        <w:instrText xml:space="preserve"> PAGEREF _Toc32055 \h </w:instrText>
      </w:r>
      <w:r>
        <w:fldChar w:fldCharType="separate"/>
      </w:r>
      <w:r>
        <w:t>78</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_Toc19247 </w:instrText>
      </w:r>
      <w:r>
        <w:rPr>
          <w:rFonts w:hint="eastAsia" w:ascii="宋体" w:hAnsi="宋体" w:cs="Arial"/>
          <w:szCs w:val="21"/>
        </w:rPr>
        <w:fldChar w:fldCharType="separate"/>
      </w:r>
      <w:r>
        <w:rPr>
          <w:rFonts w:hint="eastAsia" w:ascii="宋体" w:hAnsi="宋体" w:cs="仿宋_GB2312"/>
          <w:szCs w:val="28"/>
        </w:rPr>
        <w:t>（二）技术方案</w:t>
      </w:r>
      <w:r>
        <w:tab/>
      </w:r>
      <w:r>
        <w:fldChar w:fldCharType="begin"/>
      </w:r>
      <w:r>
        <w:instrText xml:space="preserve"> PAGEREF _Toc19247 \h </w:instrText>
      </w:r>
      <w:r>
        <w:fldChar w:fldCharType="separate"/>
      </w:r>
      <w:r>
        <w:t>79</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_Toc14907 </w:instrText>
      </w:r>
      <w:r>
        <w:rPr>
          <w:rFonts w:hint="eastAsia" w:ascii="宋体" w:hAnsi="宋体" w:cs="Arial"/>
          <w:szCs w:val="21"/>
        </w:rPr>
        <w:fldChar w:fldCharType="separate"/>
      </w:r>
      <w:r>
        <w:rPr>
          <w:rFonts w:hint="eastAsia" w:ascii="宋体" w:hAnsi="宋体" w:cs="仿宋_GB2312"/>
          <w:szCs w:val="28"/>
        </w:rPr>
        <w:t>（三）其它技术文件</w:t>
      </w:r>
      <w:r>
        <w:tab/>
      </w:r>
      <w:r>
        <w:fldChar w:fldCharType="begin"/>
      </w:r>
      <w:r>
        <w:instrText xml:space="preserve"> PAGEREF _Toc14907 \h </w:instrText>
      </w:r>
      <w:r>
        <w:fldChar w:fldCharType="separate"/>
      </w:r>
      <w:r>
        <w:t>80</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_Toc14187 </w:instrText>
      </w:r>
      <w:r>
        <w:rPr>
          <w:rFonts w:hint="eastAsia" w:ascii="宋体" w:hAnsi="宋体" w:cs="Arial"/>
          <w:szCs w:val="21"/>
        </w:rPr>
        <w:fldChar w:fldCharType="separate"/>
      </w:r>
      <w:r>
        <w:rPr>
          <w:rFonts w:hint="eastAsia" w:ascii="宋体" w:hAnsi="宋体" w:eastAsia="宋体" w:cs="Arial"/>
        </w:rPr>
        <w:t>五、落实政府采购政策相关证明文件</w:t>
      </w:r>
      <w:r>
        <w:tab/>
      </w:r>
      <w:r>
        <w:fldChar w:fldCharType="begin"/>
      </w:r>
      <w:r>
        <w:instrText xml:space="preserve"> PAGEREF _Toc14187 \h </w:instrText>
      </w:r>
      <w:r>
        <w:fldChar w:fldCharType="separate"/>
      </w:r>
      <w:r>
        <w:t>81</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_Toc8524 </w:instrText>
      </w:r>
      <w:r>
        <w:rPr>
          <w:rFonts w:hint="eastAsia" w:ascii="宋体" w:hAnsi="宋体" w:cs="Arial"/>
          <w:szCs w:val="21"/>
        </w:rPr>
        <w:fldChar w:fldCharType="separate"/>
      </w:r>
      <w:r>
        <w:rPr>
          <w:rFonts w:hint="eastAsia" w:ascii="宋体" w:hAnsi="宋体" w:cs="仿宋_GB2312"/>
          <w:szCs w:val="28"/>
        </w:rPr>
        <w:t>（一）中小企业声明函（货物）</w:t>
      </w:r>
      <w:r>
        <w:tab/>
      </w:r>
      <w:r>
        <w:fldChar w:fldCharType="begin"/>
      </w:r>
      <w:r>
        <w:instrText xml:space="preserve"> PAGEREF _Toc8524 \h </w:instrText>
      </w:r>
      <w:r>
        <w:fldChar w:fldCharType="separate"/>
      </w:r>
      <w:r>
        <w:t>81</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_Toc15883 </w:instrText>
      </w:r>
      <w:r>
        <w:rPr>
          <w:rFonts w:hint="eastAsia" w:ascii="宋体" w:hAnsi="宋体" w:cs="Arial"/>
          <w:szCs w:val="21"/>
        </w:rPr>
        <w:fldChar w:fldCharType="separate"/>
      </w:r>
      <w:r>
        <w:rPr>
          <w:rFonts w:hint="eastAsia" w:ascii="宋体" w:hAnsi="宋体" w:cs="仿宋_GB2312"/>
          <w:szCs w:val="28"/>
        </w:rPr>
        <w:t>（二）中小企业声明函（工程、服务）</w:t>
      </w:r>
      <w:r>
        <w:tab/>
      </w:r>
      <w:r>
        <w:fldChar w:fldCharType="begin"/>
      </w:r>
      <w:r>
        <w:instrText xml:space="preserve"> PAGEREF _Toc15883 \h </w:instrText>
      </w:r>
      <w:r>
        <w:fldChar w:fldCharType="separate"/>
      </w:r>
      <w:r>
        <w:t>82</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_Toc7324 </w:instrText>
      </w:r>
      <w:r>
        <w:rPr>
          <w:rFonts w:hint="eastAsia" w:ascii="宋体" w:hAnsi="宋体" w:cs="Arial"/>
          <w:szCs w:val="21"/>
        </w:rPr>
        <w:fldChar w:fldCharType="separate"/>
      </w:r>
      <w:r>
        <w:rPr>
          <w:rFonts w:hint="eastAsia" w:ascii="宋体" w:hAnsi="宋体" w:cs="仿宋_GB2312"/>
          <w:szCs w:val="28"/>
        </w:rPr>
        <w:t>（三）监狱企业证明文件</w:t>
      </w:r>
      <w:r>
        <w:tab/>
      </w:r>
      <w:r>
        <w:fldChar w:fldCharType="begin"/>
      </w:r>
      <w:r>
        <w:instrText xml:space="preserve"> PAGEREF _Toc7324 \h </w:instrText>
      </w:r>
      <w:r>
        <w:fldChar w:fldCharType="separate"/>
      </w:r>
      <w:r>
        <w:t>83</w:t>
      </w:r>
      <w:r>
        <w:fldChar w:fldCharType="end"/>
      </w:r>
      <w:r>
        <w:rPr>
          <w:rFonts w:hint="eastAsia" w:ascii="宋体" w:hAnsi="宋体" w:cs="Arial"/>
          <w:szCs w:val="21"/>
        </w:rPr>
        <w:fldChar w:fldCharType="end"/>
      </w:r>
    </w:p>
    <w:p>
      <w:pPr>
        <w:pStyle w:val="45"/>
        <w:tabs>
          <w:tab w:val="right" w:leader="dot" w:pos="8313"/>
        </w:tabs>
      </w:pPr>
      <w:r>
        <w:rPr>
          <w:rFonts w:hint="eastAsia" w:ascii="宋体" w:hAnsi="宋体" w:cs="Arial"/>
          <w:szCs w:val="21"/>
        </w:rPr>
        <w:fldChar w:fldCharType="begin"/>
      </w:r>
      <w:r>
        <w:rPr>
          <w:rFonts w:hint="eastAsia" w:ascii="宋体" w:hAnsi="宋体" w:cs="Arial"/>
          <w:szCs w:val="21"/>
        </w:rPr>
        <w:instrText xml:space="preserve"> HYPERLINK \l _Toc22187 </w:instrText>
      </w:r>
      <w:r>
        <w:rPr>
          <w:rFonts w:hint="eastAsia" w:ascii="宋体" w:hAnsi="宋体" w:cs="Arial"/>
          <w:szCs w:val="21"/>
        </w:rPr>
        <w:fldChar w:fldCharType="separate"/>
      </w:r>
      <w:r>
        <w:rPr>
          <w:rFonts w:hint="eastAsia" w:ascii="宋体" w:hAnsi="宋体" w:cs="仿宋_GB2312"/>
          <w:szCs w:val="28"/>
        </w:rPr>
        <w:t>（四）</w:t>
      </w:r>
      <w:r>
        <w:rPr>
          <w:rFonts w:ascii="宋体" w:hAnsi="宋体" w:cs="仿宋_GB2312"/>
          <w:szCs w:val="28"/>
        </w:rPr>
        <w:t>残疾人福利性单位声明函</w:t>
      </w:r>
      <w:r>
        <w:tab/>
      </w:r>
      <w:r>
        <w:fldChar w:fldCharType="begin"/>
      </w:r>
      <w:r>
        <w:instrText xml:space="preserve"> PAGEREF _Toc22187 \h </w:instrText>
      </w:r>
      <w:r>
        <w:fldChar w:fldCharType="separate"/>
      </w:r>
      <w:r>
        <w:t>84</w:t>
      </w:r>
      <w:r>
        <w:fldChar w:fldCharType="end"/>
      </w:r>
      <w:r>
        <w:rPr>
          <w:rFonts w:hint="eastAsia" w:ascii="宋体" w:hAnsi="宋体" w:cs="Arial"/>
          <w:szCs w:val="21"/>
        </w:rPr>
        <w:fldChar w:fldCharType="end"/>
      </w:r>
    </w:p>
    <w:p>
      <w:pPr>
        <w:adjustRightInd w:val="0"/>
        <w:snapToGrid w:val="0"/>
        <w:spacing w:line="400" w:lineRule="exact"/>
        <w:contextualSpacing/>
        <w:rPr>
          <w:rFonts w:ascii="宋体" w:hAnsi="宋体"/>
          <w:szCs w:val="21"/>
        </w:rPr>
        <w:sectPr>
          <w:headerReference r:id="rId4" w:type="default"/>
          <w:footerReference r:id="rId5" w:type="default"/>
          <w:type w:val="nextColumn"/>
          <w:pgSz w:w="11907" w:h="16840"/>
          <w:pgMar w:top="1440" w:right="1797" w:bottom="1440" w:left="1797" w:header="907" w:footer="907" w:gutter="0"/>
          <w:pgBorders>
            <w:top w:val="none" w:sz="0" w:space="0"/>
            <w:left w:val="none" w:sz="0" w:space="0"/>
            <w:bottom w:val="none" w:sz="0" w:space="0"/>
            <w:right w:val="none" w:sz="0" w:space="0"/>
          </w:pgBorders>
          <w:pgNumType w:start="1"/>
          <w:cols w:space="720" w:num="1"/>
          <w:docGrid w:linePitch="312" w:charSpace="0"/>
        </w:sectPr>
      </w:pPr>
      <w:r>
        <w:rPr>
          <w:rFonts w:hint="eastAsia" w:ascii="宋体" w:hAnsi="宋体" w:cs="Arial"/>
          <w:szCs w:val="21"/>
        </w:rPr>
        <w:fldChar w:fldCharType="end"/>
      </w:r>
    </w:p>
    <w:p>
      <w:pPr>
        <w:pStyle w:val="3"/>
        <w:spacing w:before="0" w:after="0" w:line="360" w:lineRule="auto"/>
        <w:rPr>
          <w:rFonts w:ascii="微软雅黑" w:hAnsi="微软雅黑" w:eastAsia="微软雅黑"/>
          <w:color w:val="auto"/>
          <w:szCs w:val="32"/>
          <w:highlight w:val="none"/>
        </w:rPr>
      </w:pPr>
      <w:bookmarkStart w:id="21" w:name="_Hlt9666678"/>
      <w:bookmarkEnd w:id="21"/>
      <w:bookmarkStart w:id="22" w:name="_Toc22362"/>
      <w:r>
        <w:rPr>
          <w:rFonts w:ascii="微软雅黑" w:hAnsi="微软雅黑" w:eastAsia="微软雅黑"/>
          <w:color w:val="auto"/>
          <w:szCs w:val="32"/>
          <w:highlight w:val="none"/>
        </w:rPr>
        <w:t>第一章</w:t>
      </w:r>
      <w:bookmarkEnd w:id="19"/>
      <w:bookmarkEnd w:id="20"/>
      <w:r>
        <w:rPr>
          <w:rFonts w:hint="eastAsia" w:ascii="微软雅黑" w:hAnsi="微软雅黑" w:eastAsia="微软雅黑"/>
          <w:color w:val="auto"/>
          <w:szCs w:val="32"/>
          <w:highlight w:val="none"/>
        </w:rPr>
        <w:t xml:space="preserve"> 磋商公告（代磋商邀请函）</w:t>
      </w:r>
      <w:bookmarkEnd w:id="22"/>
    </w:p>
    <w:p>
      <w:pPr>
        <w:pBdr>
          <w:top w:val="single" w:color="auto" w:sz="4" w:space="1"/>
          <w:left w:val="single" w:color="auto" w:sz="4" w:space="4"/>
          <w:bottom w:val="single" w:color="auto" w:sz="4" w:space="1"/>
          <w:right w:val="single" w:color="auto" w:sz="4" w:space="4"/>
        </w:pBdr>
        <w:spacing w:line="360" w:lineRule="auto"/>
        <w:rPr>
          <w:rFonts w:ascii="宋体" w:hAnsi="宋体" w:cs="仿宋_GB2312"/>
          <w:color w:val="auto"/>
          <w:sz w:val="24"/>
          <w:highlight w:val="none"/>
        </w:rPr>
      </w:pPr>
      <w:bookmarkStart w:id="23" w:name="_Hlk517968013"/>
      <w:bookmarkStart w:id="24" w:name="_Hlk89852814"/>
      <w:r>
        <w:rPr>
          <w:rFonts w:hint="eastAsia" w:ascii="宋体" w:hAnsi="宋体" w:cs="仿宋_GB2312"/>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lang w:eastAsia="zh-CN"/>
        </w:rPr>
        <w:t>荆州理工职业学院数字校园“教务系统”建设项目</w:t>
      </w:r>
      <w:r>
        <w:rPr>
          <w:rFonts w:hint="eastAsia" w:ascii="宋体" w:hAnsi="宋体" w:cs="仿宋_GB2312"/>
          <w:color w:val="auto"/>
          <w:sz w:val="24"/>
          <w:highlight w:val="none"/>
        </w:rPr>
        <w:t xml:space="preserve">的潜在供应商应在 </w:t>
      </w:r>
      <w:r>
        <w:rPr>
          <w:rFonts w:hint="eastAsia" w:ascii="宋体" w:hAnsi="宋体" w:cs="仿宋_GB2312"/>
          <w:bCs/>
          <w:color w:val="auto"/>
          <w:sz w:val="24"/>
          <w:highlight w:val="none"/>
          <w:u w:val="single"/>
        </w:rPr>
        <w:t>网上或现场（网络报名咨询请拨打027-8727</w:t>
      </w:r>
      <w:r>
        <w:rPr>
          <w:rFonts w:ascii="宋体" w:hAnsi="宋体" w:cs="仿宋_GB2312"/>
          <w:bCs/>
          <w:color w:val="auto"/>
          <w:sz w:val="24"/>
          <w:highlight w:val="none"/>
          <w:u w:val="single"/>
        </w:rPr>
        <w:t>8602</w:t>
      </w:r>
      <w:r>
        <w:rPr>
          <w:rFonts w:hint="eastAsia" w:ascii="宋体" w:hAnsi="宋体" w:cs="仿宋_GB2312"/>
          <w:bCs/>
          <w:color w:val="auto"/>
          <w:sz w:val="24"/>
          <w:highlight w:val="none"/>
          <w:u w:val="single"/>
        </w:rPr>
        <w:t>）</w:t>
      </w:r>
      <w:r>
        <w:rPr>
          <w:rFonts w:hint="eastAsia" w:ascii="宋体" w:hAnsi="宋体" w:cs="仿宋_GB2312"/>
          <w:color w:val="auto"/>
          <w:sz w:val="24"/>
          <w:highlight w:val="none"/>
        </w:rPr>
        <w:t>获取采购文件，并于202</w:t>
      </w:r>
      <w:r>
        <w:rPr>
          <w:rFonts w:hint="eastAsia" w:ascii="宋体" w:hAnsi="宋体" w:cs="仿宋_GB2312"/>
          <w:color w:val="auto"/>
          <w:sz w:val="24"/>
          <w:highlight w:val="none"/>
          <w:lang w:val="en-US" w:eastAsia="zh-CN"/>
        </w:rPr>
        <w:t>3</w:t>
      </w:r>
      <w:r>
        <w:rPr>
          <w:rFonts w:hint="eastAsia" w:ascii="宋体" w:hAnsi="宋体" w:cs="仿宋_GB2312"/>
          <w:color w:val="auto"/>
          <w:sz w:val="24"/>
          <w:highlight w:val="none"/>
        </w:rPr>
        <w:t>年</w:t>
      </w:r>
      <w:r>
        <w:rPr>
          <w:rFonts w:hint="eastAsia" w:ascii="宋体" w:hAnsi="宋体" w:cs="仿宋_GB2312"/>
          <w:color w:val="auto"/>
          <w:sz w:val="24"/>
          <w:highlight w:val="none"/>
          <w:lang w:val="en-US" w:eastAsia="zh-CN"/>
        </w:rPr>
        <w:t>2</w:t>
      </w:r>
      <w:r>
        <w:rPr>
          <w:rFonts w:hint="eastAsia" w:ascii="宋体" w:hAnsi="宋体" w:cs="仿宋_GB2312"/>
          <w:color w:val="auto"/>
          <w:sz w:val="24"/>
          <w:highlight w:val="none"/>
        </w:rPr>
        <w:t>月</w:t>
      </w:r>
      <w:r>
        <w:rPr>
          <w:rFonts w:hint="eastAsia" w:ascii="宋体" w:hAnsi="宋体" w:cs="仿宋_GB2312"/>
          <w:color w:val="auto"/>
          <w:sz w:val="24"/>
          <w:highlight w:val="none"/>
          <w:lang w:val="en-US" w:eastAsia="zh-CN"/>
        </w:rPr>
        <w:t>8</w:t>
      </w:r>
      <w:r>
        <w:rPr>
          <w:rFonts w:hint="eastAsia" w:ascii="宋体" w:hAnsi="宋体" w:cs="仿宋_GB2312"/>
          <w:color w:val="auto"/>
          <w:sz w:val="24"/>
          <w:highlight w:val="none"/>
        </w:rPr>
        <w:t>日</w:t>
      </w:r>
      <w:r>
        <w:rPr>
          <w:rFonts w:hint="eastAsia" w:ascii="宋体" w:hAnsi="宋体" w:cs="仿宋_GB2312"/>
          <w:color w:val="auto"/>
          <w:sz w:val="24"/>
          <w:highlight w:val="none"/>
          <w:lang w:val="en-US" w:eastAsia="zh-CN"/>
        </w:rPr>
        <w:t>10</w:t>
      </w:r>
      <w:r>
        <w:rPr>
          <w:rFonts w:hint="eastAsia" w:ascii="宋体" w:hAnsi="宋体" w:cs="仿宋_GB2312"/>
          <w:color w:val="auto"/>
          <w:sz w:val="24"/>
          <w:highlight w:val="none"/>
        </w:rPr>
        <w:t>点</w:t>
      </w:r>
      <w:r>
        <w:rPr>
          <w:rFonts w:hint="eastAsia" w:ascii="宋体" w:hAnsi="宋体" w:cs="仿宋_GB2312"/>
          <w:color w:val="auto"/>
          <w:sz w:val="24"/>
          <w:highlight w:val="none"/>
          <w:lang w:val="en-US" w:eastAsia="zh-CN"/>
        </w:rPr>
        <w:t>00</w:t>
      </w:r>
      <w:r>
        <w:rPr>
          <w:rFonts w:hint="eastAsia" w:ascii="宋体" w:hAnsi="宋体" w:cs="仿宋_GB2312"/>
          <w:color w:val="auto"/>
          <w:sz w:val="24"/>
          <w:highlight w:val="none"/>
        </w:rPr>
        <w:t>分（北京时间）前提交响应文件。</w:t>
      </w:r>
    </w:p>
    <w:p>
      <w:pPr>
        <w:rPr>
          <w:rFonts w:ascii="宋体" w:hAnsi="宋体"/>
          <w:color w:val="auto"/>
          <w:sz w:val="24"/>
          <w:highlight w:val="none"/>
        </w:rPr>
      </w:pPr>
      <w:bookmarkStart w:id="25" w:name="_Toc28359089"/>
      <w:bookmarkStart w:id="26" w:name="_Toc28359012"/>
      <w:bookmarkStart w:id="27" w:name="_Toc35393629"/>
      <w:bookmarkStart w:id="28" w:name="_Toc35393798"/>
    </w:p>
    <w:p>
      <w:pPr>
        <w:keepNext/>
        <w:keepLines/>
        <w:spacing w:line="360" w:lineRule="auto"/>
        <w:ind w:firstLine="482" w:firstLineChars="200"/>
        <w:outlineLvl w:val="1"/>
        <w:rPr>
          <w:rFonts w:ascii="宋体" w:hAnsi="宋体" w:cs="仿宋_GB2312"/>
          <w:b/>
          <w:color w:val="auto"/>
          <w:sz w:val="24"/>
          <w:highlight w:val="none"/>
        </w:rPr>
      </w:pPr>
      <w:bookmarkStart w:id="29" w:name="_Toc3946"/>
      <w:r>
        <w:rPr>
          <w:rFonts w:hint="eastAsia" w:ascii="宋体" w:hAnsi="宋体" w:cs="仿宋_GB2312"/>
          <w:b/>
          <w:color w:val="auto"/>
          <w:sz w:val="24"/>
          <w:highlight w:val="none"/>
        </w:rPr>
        <w:t>一、项目基本情况</w:t>
      </w:r>
      <w:bookmarkEnd w:id="25"/>
      <w:bookmarkEnd w:id="26"/>
      <w:bookmarkEnd w:id="27"/>
      <w:bookmarkEnd w:id="28"/>
      <w:bookmarkEnd w:id="29"/>
    </w:p>
    <w:p>
      <w:pPr>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1</w:t>
      </w:r>
      <w:r>
        <w:rPr>
          <w:rFonts w:ascii="宋体" w:hAnsi="宋体" w:cs="仿宋_GB2312"/>
          <w:color w:val="auto"/>
          <w:sz w:val="24"/>
          <w:highlight w:val="none"/>
        </w:rPr>
        <w:t>.</w:t>
      </w:r>
      <w:r>
        <w:rPr>
          <w:rFonts w:hint="eastAsia" w:ascii="宋体" w:hAnsi="宋体" w:cs="仿宋_GB2312"/>
          <w:color w:val="auto"/>
          <w:sz w:val="24"/>
          <w:highlight w:val="none"/>
        </w:rPr>
        <w:t>项目编号：</w:t>
      </w:r>
      <w:r>
        <w:rPr>
          <w:rFonts w:hint="eastAsia" w:ascii="宋体" w:hAnsi="宋体" w:cs="仿宋_GB2312"/>
          <w:color w:val="auto"/>
          <w:sz w:val="24"/>
          <w:highlight w:val="none"/>
          <w:lang w:eastAsia="zh-CN"/>
        </w:rPr>
        <w:t xml:space="preserve">HBT-44220088-226014 </w:t>
      </w:r>
    </w:p>
    <w:p>
      <w:pPr>
        <w:spacing w:line="360" w:lineRule="auto"/>
        <w:ind w:firstLine="480" w:firstLineChars="200"/>
        <w:rPr>
          <w:rFonts w:hint="eastAsia" w:ascii="宋体" w:hAnsi="宋体" w:eastAsia="宋体" w:cs="仿宋_GB2312"/>
          <w:color w:val="auto"/>
          <w:sz w:val="24"/>
          <w:highlight w:val="none"/>
          <w:u w:val="single"/>
          <w:lang w:eastAsia="zh-CN"/>
        </w:rPr>
      </w:pPr>
      <w:r>
        <w:rPr>
          <w:rFonts w:hint="eastAsia" w:ascii="宋体" w:hAnsi="宋体" w:cs="仿宋_GB2312"/>
          <w:color w:val="auto"/>
          <w:sz w:val="24"/>
          <w:highlight w:val="none"/>
        </w:rPr>
        <w:t>2</w:t>
      </w:r>
      <w:r>
        <w:rPr>
          <w:rFonts w:ascii="宋体" w:hAnsi="宋体" w:cs="仿宋_GB2312"/>
          <w:color w:val="auto"/>
          <w:sz w:val="24"/>
          <w:highlight w:val="none"/>
        </w:rPr>
        <w:t>.</w:t>
      </w:r>
      <w:r>
        <w:rPr>
          <w:rFonts w:hint="eastAsia" w:ascii="宋体" w:hAnsi="宋体" w:cs="仿宋_GB2312"/>
          <w:color w:val="auto"/>
          <w:sz w:val="24"/>
          <w:highlight w:val="none"/>
        </w:rPr>
        <w:t>项目名称：</w:t>
      </w:r>
      <w:r>
        <w:rPr>
          <w:rFonts w:hint="eastAsia" w:ascii="宋体" w:hAnsi="宋体" w:cs="仿宋_GB2312"/>
          <w:color w:val="auto"/>
          <w:sz w:val="24"/>
          <w:highlight w:val="none"/>
          <w:lang w:eastAsia="zh-CN"/>
        </w:rPr>
        <w:t>荆州理工职业学院数字校园“教务系统”建设项目</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3</w:t>
      </w:r>
      <w:r>
        <w:rPr>
          <w:rFonts w:ascii="宋体" w:hAnsi="宋体" w:cs="仿宋_GB2312"/>
          <w:color w:val="auto"/>
          <w:sz w:val="24"/>
          <w:highlight w:val="none"/>
        </w:rPr>
        <w:t>.</w:t>
      </w:r>
      <w:r>
        <w:rPr>
          <w:rFonts w:hint="eastAsia" w:ascii="宋体" w:hAnsi="宋体" w:cs="仿宋_GB2312"/>
          <w:color w:val="auto"/>
          <w:sz w:val="24"/>
          <w:highlight w:val="none"/>
        </w:rPr>
        <w:t>采购方式：竞争性磋商</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4</w:t>
      </w:r>
      <w:r>
        <w:rPr>
          <w:rFonts w:ascii="宋体" w:hAnsi="宋体" w:cs="仿宋_GB2312"/>
          <w:color w:val="auto"/>
          <w:sz w:val="24"/>
          <w:highlight w:val="none"/>
        </w:rPr>
        <w:t>.</w:t>
      </w:r>
      <w:r>
        <w:rPr>
          <w:rFonts w:hint="eastAsia" w:ascii="宋体" w:hAnsi="宋体" w:cs="仿宋_GB2312"/>
          <w:color w:val="auto"/>
          <w:sz w:val="24"/>
          <w:highlight w:val="none"/>
        </w:rPr>
        <w:t>预算金额：59</w:t>
      </w:r>
      <w:r>
        <w:rPr>
          <w:rFonts w:hint="eastAsia" w:ascii="宋体" w:hAnsi="宋体" w:cs="仿宋_GB2312"/>
          <w:color w:val="auto"/>
          <w:sz w:val="24"/>
          <w:highlight w:val="none"/>
          <w:lang w:val="en-US" w:eastAsia="zh-CN"/>
        </w:rPr>
        <w:t>.</w:t>
      </w:r>
      <w:r>
        <w:rPr>
          <w:rFonts w:hint="eastAsia" w:ascii="宋体" w:hAnsi="宋体" w:cs="仿宋_GB2312"/>
          <w:color w:val="auto"/>
          <w:sz w:val="24"/>
          <w:highlight w:val="none"/>
        </w:rPr>
        <w:t>8万元</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5</w:t>
      </w:r>
      <w:r>
        <w:rPr>
          <w:rFonts w:ascii="宋体" w:hAnsi="宋体" w:cs="仿宋_GB2312"/>
          <w:color w:val="auto"/>
          <w:sz w:val="24"/>
          <w:highlight w:val="none"/>
        </w:rPr>
        <w:t>.</w:t>
      </w:r>
      <w:r>
        <w:rPr>
          <w:rFonts w:hint="eastAsia" w:ascii="宋体" w:hAnsi="宋体" w:cs="仿宋_GB2312"/>
          <w:color w:val="auto"/>
          <w:sz w:val="24"/>
          <w:highlight w:val="none"/>
        </w:rPr>
        <w:t>最高限价：</w:t>
      </w:r>
      <w:r>
        <w:rPr>
          <w:rFonts w:hint="eastAsia" w:ascii="宋体" w:hAnsi="宋体" w:cs="仿宋_GB2312"/>
          <w:sz w:val="24"/>
        </w:rPr>
        <w:t>59</w:t>
      </w:r>
      <w:r>
        <w:rPr>
          <w:rFonts w:hint="eastAsia" w:ascii="宋体" w:hAnsi="宋体" w:cs="仿宋_GB2312"/>
          <w:sz w:val="24"/>
          <w:lang w:val="en-US" w:eastAsia="zh-CN"/>
        </w:rPr>
        <w:t>.</w:t>
      </w:r>
      <w:r>
        <w:rPr>
          <w:rFonts w:hint="eastAsia" w:ascii="宋体" w:hAnsi="宋体" w:cs="仿宋_GB2312"/>
          <w:sz w:val="24"/>
        </w:rPr>
        <w:t>8万元</w:t>
      </w:r>
    </w:p>
    <w:p>
      <w:pPr>
        <w:adjustRightInd w:val="0"/>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6</w:t>
      </w:r>
      <w:r>
        <w:rPr>
          <w:rFonts w:ascii="宋体" w:hAnsi="宋体" w:cs="仿宋_GB2312"/>
          <w:color w:val="auto"/>
          <w:sz w:val="24"/>
          <w:highlight w:val="none"/>
        </w:rPr>
        <w:t>.</w:t>
      </w:r>
      <w:r>
        <w:rPr>
          <w:rFonts w:hint="eastAsia" w:ascii="宋体" w:hAnsi="宋体" w:cs="仿宋_GB2312"/>
          <w:color w:val="auto"/>
          <w:sz w:val="24"/>
          <w:highlight w:val="none"/>
        </w:rPr>
        <w:t>采购需求：</w:t>
      </w:r>
      <w:r>
        <w:rPr>
          <w:rFonts w:hint="eastAsia" w:ascii="宋体" w:hAnsi="宋体" w:cs="仿宋_GB2312"/>
          <w:sz w:val="24"/>
          <w:lang w:eastAsia="zh-CN"/>
        </w:rPr>
        <w:t>荆州理工职业学院数字校园“教务系统”建设</w:t>
      </w:r>
      <w:r>
        <w:rPr>
          <w:rFonts w:hint="eastAsia" w:ascii="宋体" w:hAnsi="宋体" w:cs="仿宋_GB2312"/>
          <w:sz w:val="24"/>
        </w:rPr>
        <w:t>，</w:t>
      </w:r>
      <w:r>
        <w:rPr>
          <w:rFonts w:hint="eastAsia" w:ascii="宋体" w:hAnsi="宋体" w:cs="仿宋_GB2312"/>
          <w:sz w:val="24"/>
          <w:lang w:val="en-US" w:eastAsia="zh-CN"/>
        </w:rPr>
        <w:t>主要内容包括教务管理系统、教务门户、移动服务体系等，</w:t>
      </w:r>
      <w:r>
        <w:rPr>
          <w:rFonts w:hint="eastAsia" w:ascii="宋体" w:hAnsi="宋体" w:cs="仿宋_GB2312"/>
          <w:sz w:val="24"/>
        </w:rPr>
        <w:t>详见项目采购需求。</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7</w:t>
      </w:r>
      <w:r>
        <w:rPr>
          <w:rFonts w:ascii="宋体" w:hAnsi="宋体" w:cs="仿宋_GB2312"/>
          <w:color w:val="auto"/>
          <w:sz w:val="24"/>
          <w:highlight w:val="none"/>
        </w:rPr>
        <w:t>.</w:t>
      </w:r>
      <w:r>
        <w:rPr>
          <w:rFonts w:hint="eastAsia" w:ascii="宋体" w:hAnsi="宋体" w:cs="仿宋_GB2312"/>
          <w:color w:val="auto"/>
          <w:sz w:val="24"/>
          <w:highlight w:val="none"/>
        </w:rPr>
        <w:t>合同履行期限：合同签订后在3个月内完成开发、实施、测试及试运行，如达到验收标准则组织验收。</w:t>
      </w:r>
    </w:p>
    <w:p>
      <w:pPr>
        <w:spacing w:line="360" w:lineRule="auto"/>
        <w:ind w:firstLine="480" w:firstLineChars="200"/>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8.</w:t>
      </w:r>
      <w:bookmarkStart w:id="622" w:name="_GoBack"/>
      <w:r>
        <w:rPr>
          <w:rFonts w:hint="eastAsia" w:ascii="宋体" w:hAnsi="宋体" w:cs="仿宋_GB2312"/>
          <w:color w:val="auto"/>
          <w:sz w:val="24"/>
          <w:highlight w:val="none"/>
          <w:lang w:val="en-US" w:eastAsia="zh-CN"/>
        </w:rPr>
        <w:t>质保期：在项目终验后，必须提供3年的维护期</w:t>
      </w:r>
      <w:bookmarkEnd w:id="622"/>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lang w:val="en-US" w:eastAsia="zh-CN"/>
        </w:rPr>
        <w:t>9</w:t>
      </w:r>
      <w:r>
        <w:rPr>
          <w:rFonts w:ascii="宋体" w:hAnsi="宋体" w:cs="仿宋_GB2312"/>
          <w:color w:val="auto"/>
          <w:sz w:val="24"/>
          <w:highlight w:val="none"/>
        </w:rPr>
        <w:t>.</w:t>
      </w:r>
      <w:r>
        <w:rPr>
          <w:rFonts w:hint="eastAsia" w:ascii="宋体" w:hAnsi="宋体" w:cs="仿宋_GB2312"/>
          <w:color w:val="auto"/>
          <w:sz w:val="24"/>
          <w:highlight w:val="none"/>
        </w:rPr>
        <w:t>本项目（是/否）接受联合体投标：否</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lang w:val="en-US" w:eastAsia="zh-CN"/>
        </w:rPr>
        <w:t>10</w:t>
      </w:r>
      <w:r>
        <w:rPr>
          <w:rFonts w:ascii="宋体" w:hAnsi="宋体" w:cs="仿宋_GB2312"/>
          <w:color w:val="auto"/>
          <w:sz w:val="24"/>
          <w:highlight w:val="none"/>
        </w:rPr>
        <w:t>.</w:t>
      </w:r>
      <w:r>
        <w:rPr>
          <w:rFonts w:hint="eastAsia" w:ascii="宋体" w:hAnsi="宋体" w:cs="仿宋_GB2312"/>
          <w:color w:val="auto"/>
          <w:sz w:val="24"/>
          <w:highlight w:val="none"/>
        </w:rPr>
        <w:t>是否可采购进口产品：否</w:t>
      </w:r>
    </w:p>
    <w:p>
      <w:pPr>
        <w:spacing w:line="360" w:lineRule="auto"/>
        <w:ind w:firstLine="480" w:firstLineChars="200"/>
        <w:rPr>
          <w:rFonts w:hint="eastAsia" w:ascii="宋体" w:hAnsi="宋体" w:cs="仿宋_GB2312"/>
          <w:color w:val="auto"/>
          <w:sz w:val="24"/>
          <w:highlight w:val="none"/>
        </w:rPr>
      </w:pPr>
      <w:r>
        <w:rPr>
          <w:rFonts w:ascii="宋体" w:hAnsi="宋体" w:cs="仿宋_GB2312"/>
          <w:color w:val="auto"/>
          <w:sz w:val="24"/>
          <w:highlight w:val="none"/>
        </w:rPr>
        <w:t>11.</w:t>
      </w:r>
      <w:r>
        <w:rPr>
          <w:rFonts w:hint="eastAsia" w:ascii="宋体" w:hAnsi="宋体" w:cs="仿宋_GB2312"/>
          <w:color w:val="auto"/>
          <w:sz w:val="24"/>
          <w:highlight w:val="none"/>
        </w:rPr>
        <w:t>本项目（是/否）专门面向中小微企业：否</w:t>
      </w:r>
    </w:p>
    <w:p>
      <w:pPr>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cs="仿宋_GB2312"/>
          <w:sz w:val="24"/>
        </w:rPr>
        <w:t>12、符合条件的小微企业价格扣除优惠为：</w:t>
      </w:r>
      <w:r>
        <w:rPr>
          <w:rFonts w:hint="eastAsia" w:ascii="宋体" w:hAnsi="宋体" w:cs="仿宋_GB2312"/>
          <w:sz w:val="24"/>
          <w:lang w:val="en-US" w:eastAsia="zh-CN"/>
        </w:rPr>
        <w:t>20%</w:t>
      </w:r>
    </w:p>
    <w:p>
      <w:pPr>
        <w:keepNext/>
        <w:keepLines/>
        <w:spacing w:line="360" w:lineRule="auto"/>
        <w:ind w:firstLine="482" w:firstLineChars="200"/>
        <w:outlineLvl w:val="1"/>
        <w:rPr>
          <w:rFonts w:ascii="宋体" w:hAnsi="宋体" w:cs="仿宋_GB2312"/>
          <w:b/>
          <w:color w:val="auto"/>
          <w:sz w:val="24"/>
          <w:highlight w:val="none"/>
        </w:rPr>
      </w:pPr>
      <w:bookmarkStart w:id="30" w:name="_Toc6110"/>
      <w:bookmarkStart w:id="31" w:name="_Toc28359090"/>
      <w:bookmarkStart w:id="32" w:name="_Toc35393630"/>
      <w:bookmarkStart w:id="33" w:name="_Toc28359013"/>
      <w:bookmarkStart w:id="34" w:name="_Toc35393799"/>
      <w:r>
        <w:rPr>
          <w:rFonts w:hint="eastAsia" w:ascii="宋体" w:hAnsi="宋体" w:cs="仿宋_GB2312"/>
          <w:b/>
          <w:color w:val="auto"/>
          <w:sz w:val="24"/>
          <w:highlight w:val="none"/>
        </w:rPr>
        <w:t>二、申请人的资格要求</w:t>
      </w:r>
      <w:bookmarkEnd w:id="30"/>
      <w:bookmarkEnd w:id="31"/>
      <w:bookmarkEnd w:id="32"/>
      <w:bookmarkEnd w:id="33"/>
      <w:bookmarkEnd w:id="34"/>
    </w:p>
    <w:p>
      <w:pPr>
        <w:adjustRightInd w:val="0"/>
        <w:snapToGrid w:val="0"/>
        <w:spacing w:line="360" w:lineRule="auto"/>
        <w:ind w:firstLine="480" w:firstLineChars="200"/>
        <w:rPr>
          <w:rFonts w:ascii="宋体" w:hAnsi="宋体" w:cs="仿宋_GB2312"/>
          <w:color w:val="auto"/>
          <w:sz w:val="24"/>
          <w:highlight w:val="none"/>
          <w:lang w:val="hr-HR"/>
        </w:rPr>
      </w:pPr>
      <w:bookmarkStart w:id="35" w:name="_Toc28359014"/>
      <w:bookmarkStart w:id="36" w:name="_Toc28359091"/>
      <w:r>
        <w:rPr>
          <w:rFonts w:ascii="宋体" w:hAnsi="宋体" w:cs="仿宋_GB2312"/>
          <w:color w:val="auto"/>
          <w:sz w:val="24"/>
          <w:highlight w:val="none"/>
          <w:lang w:val="hr-HR"/>
        </w:rPr>
        <w:t>1.</w:t>
      </w:r>
      <w:r>
        <w:rPr>
          <w:rFonts w:hint="eastAsia" w:ascii="宋体" w:hAnsi="宋体" w:cs="仿宋_GB2312"/>
          <w:color w:val="auto"/>
          <w:sz w:val="24"/>
          <w:highlight w:val="none"/>
          <w:lang w:val="hr-HR"/>
        </w:rPr>
        <w:t>满足《中华人民共和国政府采购法》第二十二条规定，即：</w:t>
      </w:r>
    </w:p>
    <w:p>
      <w:pPr>
        <w:adjustRightInd w:val="0"/>
        <w:snapToGrid w:val="0"/>
        <w:spacing w:line="360" w:lineRule="auto"/>
        <w:ind w:firstLine="480" w:firstLineChars="200"/>
        <w:rPr>
          <w:rFonts w:ascii="宋体" w:hAnsi="宋体" w:cs="仿宋_GB2312"/>
          <w:color w:val="auto"/>
          <w:sz w:val="24"/>
          <w:highlight w:val="none"/>
          <w:lang w:val="hr-HR"/>
        </w:rPr>
      </w:pPr>
      <w:r>
        <w:rPr>
          <w:rFonts w:hint="eastAsia" w:ascii="宋体" w:hAnsi="宋体" w:cs="仿宋_GB2312"/>
          <w:color w:val="auto"/>
          <w:sz w:val="24"/>
          <w:highlight w:val="none"/>
          <w:lang w:val="hr-HR"/>
        </w:rPr>
        <w:t>（1）具有独立承担民事责任的能力；</w:t>
      </w:r>
    </w:p>
    <w:p>
      <w:pPr>
        <w:adjustRightInd w:val="0"/>
        <w:snapToGrid w:val="0"/>
        <w:spacing w:line="360" w:lineRule="auto"/>
        <w:ind w:firstLine="480" w:firstLineChars="200"/>
        <w:rPr>
          <w:rFonts w:ascii="宋体" w:hAnsi="宋体" w:cs="仿宋_GB2312"/>
          <w:color w:val="auto"/>
          <w:sz w:val="24"/>
          <w:highlight w:val="none"/>
          <w:lang w:val="hr-HR"/>
        </w:rPr>
      </w:pPr>
      <w:r>
        <w:rPr>
          <w:rFonts w:hint="eastAsia" w:ascii="宋体" w:hAnsi="宋体" w:cs="仿宋_GB2312"/>
          <w:color w:val="auto"/>
          <w:sz w:val="24"/>
          <w:highlight w:val="none"/>
          <w:lang w:val="hr-HR"/>
        </w:rPr>
        <w:t>（2）具有良好的商业信誉和健全的财务会计制度；</w:t>
      </w:r>
    </w:p>
    <w:p>
      <w:pPr>
        <w:adjustRightInd w:val="0"/>
        <w:snapToGrid w:val="0"/>
        <w:spacing w:line="360" w:lineRule="auto"/>
        <w:ind w:firstLine="480" w:firstLineChars="200"/>
        <w:rPr>
          <w:rFonts w:ascii="宋体" w:hAnsi="宋体" w:cs="仿宋_GB2312"/>
          <w:color w:val="auto"/>
          <w:sz w:val="24"/>
          <w:highlight w:val="none"/>
          <w:lang w:val="hr-HR"/>
        </w:rPr>
      </w:pPr>
      <w:r>
        <w:rPr>
          <w:rFonts w:hint="eastAsia" w:ascii="宋体" w:hAnsi="宋体" w:cs="仿宋_GB2312"/>
          <w:color w:val="auto"/>
          <w:sz w:val="24"/>
          <w:highlight w:val="none"/>
          <w:lang w:val="hr-HR"/>
        </w:rPr>
        <w:t>（3）具有履行合同所必需的设备和专业技术能力；</w:t>
      </w:r>
    </w:p>
    <w:p>
      <w:pPr>
        <w:adjustRightInd w:val="0"/>
        <w:snapToGrid w:val="0"/>
        <w:spacing w:line="360" w:lineRule="auto"/>
        <w:ind w:firstLine="480" w:firstLineChars="200"/>
        <w:rPr>
          <w:rFonts w:ascii="宋体" w:hAnsi="宋体" w:cs="仿宋_GB2312"/>
          <w:color w:val="auto"/>
          <w:sz w:val="24"/>
          <w:highlight w:val="none"/>
          <w:lang w:val="hr-HR"/>
        </w:rPr>
      </w:pPr>
      <w:r>
        <w:rPr>
          <w:rFonts w:hint="eastAsia" w:ascii="宋体" w:hAnsi="宋体" w:cs="仿宋_GB2312"/>
          <w:color w:val="auto"/>
          <w:sz w:val="24"/>
          <w:highlight w:val="none"/>
          <w:lang w:val="hr-HR"/>
        </w:rPr>
        <w:t>（4）有依法缴纳税收和社会保障资金的良好记录；</w:t>
      </w:r>
    </w:p>
    <w:p>
      <w:pPr>
        <w:adjustRightInd w:val="0"/>
        <w:snapToGrid w:val="0"/>
        <w:spacing w:line="360" w:lineRule="auto"/>
        <w:ind w:firstLine="480" w:firstLineChars="200"/>
        <w:rPr>
          <w:rFonts w:ascii="宋体" w:hAnsi="宋体" w:cs="仿宋_GB2312"/>
          <w:color w:val="auto"/>
          <w:sz w:val="24"/>
          <w:highlight w:val="none"/>
          <w:lang w:val="hr-HR"/>
        </w:rPr>
      </w:pPr>
      <w:r>
        <w:rPr>
          <w:rFonts w:hint="eastAsia" w:ascii="宋体" w:hAnsi="宋体" w:cs="仿宋_GB2312"/>
          <w:color w:val="auto"/>
          <w:sz w:val="24"/>
          <w:highlight w:val="none"/>
          <w:lang w:val="hr-HR"/>
        </w:rPr>
        <w:t>（5）参加政府采购活动前三年内，在经营活动中没有重大违法记录；</w:t>
      </w:r>
    </w:p>
    <w:p>
      <w:pPr>
        <w:adjustRightInd w:val="0"/>
        <w:snapToGrid w:val="0"/>
        <w:spacing w:line="360" w:lineRule="auto"/>
        <w:ind w:firstLine="480" w:firstLineChars="200"/>
        <w:rPr>
          <w:rFonts w:ascii="宋体" w:hAnsi="宋体" w:cs="仿宋_GB2312"/>
          <w:color w:val="auto"/>
          <w:sz w:val="24"/>
          <w:highlight w:val="none"/>
          <w:lang w:val="hr-HR"/>
        </w:rPr>
      </w:pPr>
      <w:r>
        <w:rPr>
          <w:rFonts w:hint="eastAsia" w:ascii="宋体" w:hAnsi="宋体" w:cs="仿宋_GB2312"/>
          <w:color w:val="auto"/>
          <w:sz w:val="24"/>
          <w:highlight w:val="none"/>
          <w:lang w:val="hr-HR"/>
        </w:rPr>
        <w:t>（6）法律、行政法规规定的其他条件。</w:t>
      </w:r>
    </w:p>
    <w:p>
      <w:pPr>
        <w:adjustRightInd w:val="0"/>
        <w:snapToGrid w:val="0"/>
        <w:spacing w:line="360" w:lineRule="auto"/>
        <w:ind w:firstLine="480" w:firstLineChars="200"/>
        <w:rPr>
          <w:rFonts w:ascii="宋体" w:hAnsi="宋体" w:cs="仿宋_GB2312"/>
          <w:color w:val="auto"/>
          <w:sz w:val="24"/>
          <w:highlight w:val="none"/>
          <w:lang w:val="hr-HR"/>
        </w:rPr>
      </w:pPr>
      <w:r>
        <w:rPr>
          <w:rFonts w:ascii="宋体" w:hAnsi="宋体" w:cs="仿宋_GB2312"/>
          <w:color w:val="auto"/>
          <w:sz w:val="24"/>
          <w:highlight w:val="none"/>
          <w:lang w:val="hr-HR"/>
        </w:rPr>
        <w:t>2.</w:t>
      </w:r>
      <w:r>
        <w:rPr>
          <w:rFonts w:hint="eastAsia" w:ascii="宋体" w:hAnsi="宋体" w:cs="仿宋_GB2312"/>
          <w:color w:val="auto"/>
          <w:sz w:val="24"/>
          <w:highlight w:val="none"/>
          <w:lang w:val="hr-HR"/>
        </w:rPr>
        <w:t>单位负责人为同一人或者存在直接控股、管理关系的不同供应商，不得参加本项目同一合同项下的政府采购活动。</w:t>
      </w:r>
    </w:p>
    <w:p>
      <w:pPr>
        <w:adjustRightInd w:val="0"/>
        <w:snapToGrid w:val="0"/>
        <w:spacing w:line="360" w:lineRule="auto"/>
        <w:ind w:firstLine="480" w:firstLineChars="200"/>
        <w:rPr>
          <w:rFonts w:ascii="宋体" w:hAnsi="宋体" w:cs="仿宋_GB2312"/>
          <w:color w:val="auto"/>
          <w:sz w:val="24"/>
          <w:highlight w:val="none"/>
          <w:lang w:val="hr-HR"/>
        </w:rPr>
      </w:pPr>
      <w:r>
        <w:rPr>
          <w:rFonts w:ascii="宋体" w:hAnsi="宋体" w:cs="仿宋_GB2312"/>
          <w:color w:val="auto"/>
          <w:sz w:val="24"/>
          <w:highlight w:val="none"/>
          <w:lang w:val="hr-HR"/>
        </w:rPr>
        <w:t>3.</w:t>
      </w:r>
      <w:r>
        <w:rPr>
          <w:rFonts w:hint="eastAsia" w:ascii="宋体" w:hAnsi="宋体" w:cs="仿宋_GB2312"/>
          <w:color w:val="auto"/>
          <w:sz w:val="24"/>
          <w:highlight w:val="none"/>
          <w:lang w:val="hr-HR"/>
        </w:rPr>
        <w:t>为本采购项目提供整体设计、规范编制或者项目管理、监理、检测等服务的，不得再参加本项目的其他招标采购活动。</w:t>
      </w:r>
    </w:p>
    <w:p>
      <w:pPr>
        <w:adjustRightInd w:val="0"/>
        <w:snapToGrid w:val="0"/>
        <w:spacing w:line="360" w:lineRule="auto"/>
        <w:ind w:firstLine="480" w:firstLineChars="200"/>
        <w:rPr>
          <w:rFonts w:ascii="宋体" w:hAnsi="宋体" w:cs="仿宋_GB2312"/>
          <w:color w:val="auto"/>
          <w:sz w:val="24"/>
          <w:highlight w:val="none"/>
          <w:lang w:val="hr-HR"/>
        </w:rPr>
      </w:pPr>
      <w:r>
        <w:rPr>
          <w:rFonts w:ascii="宋体" w:hAnsi="宋体" w:cs="仿宋_GB2312"/>
          <w:color w:val="auto"/>
          <w:sz w:val="24"/>
          <w:highlight w:val="none"/>
          <w:lang w:val="hr-HR"/>
        </w:rPr>
        <w:t>4.</w:t>
      </w:r>
      <w:r>
        <w:rPr>
          <w:rFonts w:hint="eastAsia" w:ascii="宋体" w:hAnsi="宋体" w:cs="仿宋_GB2312"/>
          <w:color w:val="auto"/>
          <w:sz w:val="24"/>
          <w:highlight w:val="none"/>
          <w:lang w:val="hr-HR"/>
        </w:rPr>
        <w:t>未被列入失信被执行人、</w:t>
      </w:r>
      <w:r>
        <w:rPr>
          <w:rFonts w:hint="eastAsia" w:ascii="宋体" w:hAnsi="宋体" w:cs="仿宋_GB2312"/>
          <w:color w:val="auto"/>
          <w:sz w:val="24"/>
          <w:highlight w:val="none"/>
          <w:lang w:val="hr-HR" w:eastAsia="zh-CN"/>
        </w:rPr>
        <w:t>重大税收违法失信主体</w:t>
      </w:r>
      <w:r>
        <w:rPr>
          <w:rFonts w:hint="eastAsia" w:ascii="宋体" w:hAnsi="宋体" w:cs="仿宋_GB2312"/>
          <w:color w:val="auto"/>
          <w:sz w:val="24"/>
          <w:highlight w:val="none"/>
          <w:lang w:val="hr-HR"/>
        </w:rPr>
        <w:t>，未被列入政府采购严重违法失信行为记录名单。</w:t>
      </w:r>
    </w:p>
    <w:p>
      <w:pPr>
        <w:spacing w:line="360" w:lineRule="auto"/>
        <w:ind w:firstLine="480" w:firstLineChars="200"/>
        <w:rPr>
          <w:rFonts w:ascii="宋体" w:hAnsi="宋体" w:cs="仿宋_GB2312"/>
          <w:color w:val="auto"/>
          <w:sz w:val="24"/>
          <w:highlight w:val="none"/>
        </w:rPr>
      </w:pPr>
      <w:bookmarkStart w:id="37" w:name="_Toc35393631"/>
      <w:bookmarkStart w:id="38" w:name="_Toc35393800"/>
      <w:r>
        <w:rPr>
          <w:rFonts w:hint="eastAsia" w:ascii="宋体" w:hAnsi="宋体" w:cs="仿宋_GB2312"/>
          <w:color w:val="auto"/>
          <w:sz w:val="24"/>
          <w:highlight w:val="none"/>
        </w:rPr>
        <w:t>5.落实政府采购政策需满足的资格要求：</w:t>
      </w:r>
      <w:r>
        <w:rPr>
          <w:rFonts w:hint="eastAsia" w:ascii="宋体" w:hAnsi="宋体" w:cs="仿宋_GB2312"/>
          <w:kern w:val="2"/>
          <w:sz w:val="24"/>
          <w:szCs w:val="24"/>
        </w:rPr>
        <w:t>本政府采购项目非专门面向中小企业，即小微企业参与本项目可享受政府采购中小企业扶持政策，本项目企业划分标准所属行业为“</w:t>
      </w:r>
      <w:r>
        <w:rPr>
          <w:rFonts w:hint="eastAsia" w:ascii="宋体" w:hAnsi="宋体" w:cs="仿宋_GB2312"/>
          <w:kern w:val="2"/>
          <w:sz w:val="24"/>
          <w:szCs w:val="24"/>
          <w:u w:val="single"/>
        </w:rPr>
        <w:t>软件和信息技术服务业</w:t>
      </w:r>
      <w:r>
        <w:rPr>
          <w:rFonts w:hint="eastAsia" w:ascii="宋体" w:hAnsi="宋体" w:cs="仿宋_GB2312"/>
          <w:kern w:val="2"/>
          <w:sz w:val="24"/>
          <w:szCs w:val="24"/>
        </w:rPr>
        <w:t>” （如供应商提供的货物全部由符合政策要求的小微企业制造，则需提供相应中小企业声明函）。</w:t>
      </w:r>
    </w:p>
    <w:p>
      <w:pPr>
        <w:spacing w:line="360" w:lineRule="auto"/>
        <w:ind w:firstLine="480" w:firstLineChars="200"/>
        <w:rPr>
          <w:rFonts w:hint="eastAsia" w:ascii="宋体" w:hAnsi="宋体" w:cs="宋体"/>
          <w:color w:val="auto"/>
          <w:szCs w:val="21"/>
          <w:highlight w:val="none"/>
        </w:rPr>
      </w:pPr>
      <w:r>
        <w:rPr>
          <w:rFonts w:hint="eastAsia" w:ascii="宋体" w:hAnsi="宋体" w:cs="仿宋_GB2312"/>
          <w:color w:val="auto"/>
          <w:sz w:val="24"/>
          <w:highlight w:val="none"/>
        </w:rPr>
        <w:t>6.供应商特定资格要求：</w:t>
      </w:r>
      <w:r>
        <w:rPr>
          <w:rFonts w:hint="eastAsia" w:ascii="宋体" w:hAnsi="宋体" w:cs="宋体"/>
          <w:color w:val="auto"/>
          <w:szCs w:val="21"/>
          <w:highlight w:val="none"/>
        </w:rPr>
        <w:t>/</w:t>
      </w:r>
    </w:p>
    <w:p>
      <w:pPr>
        <w:spacing w:line="360" w:lineRule="auto"/>
        <w:ind w:firstLine="480" w:firstLineChars="200"/>
        <w:rPr>
          <w:rFonts w:ascii="宋体" w:hAnsi="宋体" w:cs="仿宋_GB2312"/>
          <w:color w:val="auto"/>
          <w:sz w:val="24"/>
          <w:highlight w:val="none"/>
        </w:rPr>
      </w:pPr>
      <w:r>
        <w:rPr>
          <w:rFonts w:hint="eastAsia" w:ascii="宋体" w:hAnsi="宋体" w:eastAsia="宋体" w:cs="仿宋_GB2312"/>
          <w:sz w:val="24"/>
        </w:rPr>
        <w:t>7、本项目不接受联合体投标、不接受分包、不接受转包。</w:t>
      </w:r>
    </w:p>
    <w:p>
      <w:pPr>
        <w:keepNext/>
        <w:keepLines/>
        <w:spacing w:line="360" w:lineRule="auto"/>
        <w:ind w:firstLine="482" w:firstLineChars="200"/>
        <w:outlineLvl w:val="1"/>
        <w:rPr>
          <w:rFonts w:ascii="宋体" w:hAnsi="宋体" w:cs="仿宋_GB2312"/>
          <w:b/>
          <w:color w:val="auto"/>
          <w:sz w:val="24"/>
          <w:highlight w:val="none"/>
        </w:rPr>
      </w:pPr>
      <w:bookmarkStart w:id="39" w:name="_Toc14531"/>
      <w:r>
        <w:rPr>
          <w:rFonts w:hint="eastAsia" w:ascii="宋体" w:hAnsi="宋体" w:cs="仿宋_GB2312"/>
          <w:b/>
          <w:color w:val="auto"/>
          <w:sz w:val="24"/>
          <w:highlight w:val="none"/>
        </w:rPr>
        <w:t>三、获取采购文件</w:t>
      </w:r>
      <w:bookmarkEnd w:id="35"/>
      <w:bookmarkEnd w:id="36"/>
      <w:bookmarkEnd w:id="37"/>
      <w:bookmarkEnd w:id="38"/>
      <w:bookmarkEnd w:id="39"/>
    </w:p>
    <w:p>
      <w:pPr>
        <w:adjustRightInd w:val="0"/>
        <w:snapToGrid w:val="0"/>
        <w:spacing w:line="360" w:lineRule="auto"/>
        <w:ind w:firstLine="480" w:firstLineChars="200"/>
        <w:rPr>
          <w:rFonts w:ascii="宋体" w:hAnsi="宋体" w:cs="仿宋_GB2312"/>
          <w:color w:val="auto"/>
          <w:sz w:val="24"/>
          <w:highlight w:val="none"/>
          <w:lang w:val="hr-HR"/>
        </w:rPr>
      </w:pPr>
      <w:bookmarkStart w:id="40" w:name="_Toc28359015"/>
      <w:bookmarkStart w:id="41" w:name="_Toc28359092"/>
      <w:bookmarkStart w:id="42" w:name="_Toc35393632"/>
      <w:bookmarkStart w:id="43" w:name="_Toc35393801"/>
      <w:r>
        <w:rPr>
          <w:rFonts w:hint="eastAsia" w:ascii="宋体" w:hAnsi="宋体" w:cs="仿宋_GB2312"/>
          <w:color w:val="auto"/>
          <w:sz w:val="24"/>
          <w:highlight w:val="none"/>
          <w:lang w:val="hr-HR"/>
        </w:rPr>
        <w:t>1</w:t>
      </w:r>
      <w:r>
        <w:rPr>
          <w:rFonts w:ascii="宋体" w:hAnsi="宋体" w:cs="仿宋_GB2312"/>
          <w:color w:val="auto"/>
          <w:sz w:val="24"/>
          <w:highlight w:val="none"/>
          <w:lang w:val="hr-HR"/>
        </w:rPr>
        <w:t>.</w:t>
      </w:r>
      <w:r>
        <w:rPr>
          <w:rFonts w:hint="eastAsia" w:ascii="宋体" w:hAnsi="宋体" w:cs="仿宋_GB2312"/>
          <w:color w:val="auto"/>
          <w:sz w:val="24"/>
          <w:highlight w:val="none"/>
          <w:lang w:val="hr-HR"/>
        </w:rPr>
        <w:t>时间：</w:t>
      </w:r>
      <w:r>
        <w:rPr>
          <w:rFonts w:hint="eastAsia" w:ascii="宋体" w:hAnsi="宋体" w:cs="仿宋_GB2312"/>
          <w:color w:val="auto"/>
          <w:sz w:val="24"/>
          <w:highlight w:val="none"/>
        </w:rPr>
        <w:t>202</w:t>
      </w:r>
      <w:r>
        <w:rPr>
          <w:rFonts w:hint="eastAsia" w:ascii="宋体" w:hAnsi="宋体" w:cs="仿宋_GB2312"/>
          <w:color w:val="auto"/>
          <w:sz w:val="24"/>
          <w:highlight w:val="none"/>
          <w:lang w:val="en-US" w:eastAsia="zh-CN"/>
        </w:rPr>
        <w:t>3</w:t>
      </w:r>
      <w:r>
        <w:rPr>
          <w:rFonts w:hint="eastAsia" w:ascii="宋体" w:hAnsi="宋体" w:cs="仿宋_GB2312"/>
          <w:color w:val="auto"/>
          <w:sz w:val="24"/>
          <w:highlight w:val="none"/>
        </w:rPr>
        <w:t>年</w:t>
      </w:r>
      <w:r>
        <w:rPr>
          <w:rFonts w:hint="eastAsia" w:ascii="宋体" w:hAnsi="宋体" w:cs="仿宋_GB2312"/>
          <w:color w:val="auto"/>
          <w:sz w:val="24"/>
          <w:highlight w:val="none"/>
          <w:lang w:val="en-US" w:eastAsia="zh-CN"/>
        </w:rPr>
        <w:t>1</w:t>
      </w:r>
      <w:r>
        <w:rPr>
          <w:rFonts w:hint="eastAsia" w:ascii="宋体" w:hAnsi="宋体" w:cs="仿宋_GB2312"/>
          <w:color w:val="auto"/>
          <w:sz w:val="24"/>
          <w:highlight w:val="none"/>
        </w:rPr>
        <w:t>月</w:t>
      </w:r>
      <w:r>
        <w:rPr>
          <w:rFonts w:hint="eastAsia" w:ascii="宋体" w:hAnsi="宋体" w:cs="仿宋_GB2312"/>
          <w:color w:val="auto"/>
          <w:sz w:val="24"/>
          <w:highlight w:val="none"/>
          <w:lang w:val="en-US" w:eastAsia="zh-CN"/>
        </w:rPr>
        <w:t>12</w:t>
      </w:r>
      <w:r>
        <w:rPr>
          <w:rFonts w:hint="eastAsia" w:ascii="宋体" w:hAnsi="宋体" w:cs="仿宋_GB2312"/>
          <w:color w:val="auto"/>
          <w:sz w:val="24"/>
          <w:highlight w:val="none"/>
        </w:rPr>
        <w:t>日</w:t>
      </w:r>
      <w:r>
        <w:rPr>
          <w:rFonts w:hint="eastAsia" w:ascii="宋体" w:hAnsi="宋体" w:cs="仿宋_GB2312"/>
          <w:color w:val="auto"/>
          <w:sz w:val="24"/>
          <w:highlight w:val="none"/>
          <w:lang w:val="hr-HR"/>
        </w:rPr>
        <w:t>至</w:t>
      </w:r>
      <w:r>
        <w:rPr>
          <w:rFonts w:hint="eastAsia" w:ascii="宋体" w:hAnsi="宋体" w:cs="仿宋_GB2312"/>
          <w:color w:val="auto"/>
          <w:sz w:val="24"/>
          <w:highlight w:val="none"/>
        </w:rPr>
        <w:t>202</w:t>
      </w:r>
      <w:r>
        <w:rPr>
          <w:rFonts w:hint="eastAsia" w:ascii="宋体" w:hAnsi="宋体" w:cs="仿宋_GB2312"/>
          <w:color w:val="auto"/>
          <w:sz w:val="24"/>
          <w:highlight w:val="none"/>
          <w:lang w:val="en-US" w:eastAsia="zh-CN"/>
        </w:rPr>
        <w:t>3</w:t>
      </w:r>
      <w:r>
        <w:rPr>
          <w:rFonts w:hint="eastAsia" w:ascii="宋体" w:hAnsi="宋体" w:cs="仿宋_GB2312"/>
          <w:color w:val="auto"/>
          <w:sz w:val="24"/>
          <w:highlight w:val="none"/>
        </w:rPr>
        <w:t>年</w:t>
      </w:r>
      <w:r>
        <w:rPr>
          <w:rFonts w:hint="eastAsia" w:ascii="宋体" w:hAnsi="宋体" w:cs="仿宋_GB2312"/>
          <w:color w:val="auto"/>
          <w:sz w:val="24"/>
          <w:highlight w:val="none"/>
          <w:lang w:val="en-US" w:eastAsia="zh-CN"/>
        </w:rPr>
        <w:t>1</w:t>
      </w:r>
      <w:r>
        <w:rPr>
          <w:rFonts w:hint="eastAsia" w:ascii="宋体" w:hAnsi="宋体" w:cs="仿宋_GB2312"/>
          <w:color w:val="auto"/>
          <w:sz w:val="24"/>
          <w:highlight w:val="none"/>
        </w:rPr>
        <w:t>月</w:t>
      </w:r>
      <w:r>
        <w:rPr>
          <w:rFonts w:hint="eastAsia" w:ascii="宋体" w:hAnsi="宋体" w:cs="仿宋_GB2312"/>
          <w:color w:val="auto"/>
          <w:sz w:val="24"/>
          <w:highlight w:val="none"/>
          <w:lang w:val="en-US" w:eastAsia="zh-CN"/>
        </w:rPr>
        <w:t>18</w:t>
      </w:r>
      <w:r>
        <w:rPr>
          <w:rFonts w:hint="eastAsia" w:ascii="宋体" w:hAnsi="宋体" w:cs="仿宋_GB2312"/>
          <w:color w:val="auto"/>
          <w:sz w:val="24"/>
          <w:highlight w:val="none"/>
        </w:rPr>
        <w:t>日</w:t>
      </w:r>
      <w:r>
        <w:rPr>
          <w:rFonts w:hint="eastAsia" w:ascii="宋体" w:hAnsi="宋体" w:cs="仿宋_GB2312"/>
          <w:color w:val="auto"/>
          <w:sz w:val="24"/>
          <w:highlight w:val="none"/>
          <w:lang w:val="hr-HR"/>
        </w:rPr>
        <w:t>（每天上午8:30至12:00，下午14:00至17:00（北京时间，法定节假日除外）。</w:t>
      </w:r>
    </w:p>
    <w:p>
      <w:pPr>
        <w:adjustRightInd w:val="0"/>
        <w:snapToGrid w:val="0"/>
        <w:spacing w:line="360" w:lineRule="auto"/>
        <w:ind w:firstLine="480" w:firstLineChars="200"/>
        <w:rPr>
          <w:rFonts w:ascii="宋体" w:hAnsi="宋体" w:cs="仿宋_GB2312"/>
          <w:color w:val="auto"/>
          <w:sz w:val="24"/>
          <w:highlight w:val="none"/>
          <w:lang w:val="hr-HR"/>
        </w:rPr>
      </w:pPr>
      <w:r>
        <w:rPr>
          <w:rFonts w:hint="eastAsia" w:ascii="宋体" w:hAnsi="宋体" w:cs="仿宋_GB2312"/>
          <w:color w:val="auto"/>
          <w:sz w:val="24"/>
          <w:highlight w:val="none"/>
          <w:lang w:val="hr-HR"/>
        </w:rPr>
        <w:t>2</w:t>
      </w:r>
      <w:r>
        <w:rPr>
          <w:rFonts w:ascii="宋体" w:hAnsi="宋体" w:cs="仿宋_GB2312"/>
          <w:color w:val="auto"/>
          <w:sz w:val="24"/>
          <w:highlight w:val="none"/>
          <w:lang w:val="hr-HR"/>
        </w:rPr>
        <w:t>.</w:t>
      </w:r>
      <w:r>
        <w:rPr>
          <w:rFonts w:hint="eastAsia" w:ascii="宋体" w:hAnsi="宋体" w:cs="仿宋_GB2312"/>
          <w:color w:val="auto"/>
          <w:sz w:val="24"/>
          <w:highlight w:val="none"/>
          <w:lang w:val="hr-HR"/>
        </w:rPr>
        <w:t>地点：</w:t>
      </w:r>
      <w:r>
        <w:rPr>
          <w:rFonts w:hint="eastAsia" w:ascii="宋体" w:hAnsi="宋体" w:cs="仿宋_GB2312"/>
          <w:bCs/>
          <w:color w:val="auto"/>
          <w:sz w:val="24"/>
          <w:highlight w:val="none"/>
        </w:rPr>
        <w:t>现场获取或者网上获取。</w:t>
      </w:r>
    </w:p>
    <w:p>
      <w:pPr>
        <w:adjustRightInd w:val="0"/>
        <w:snapToGrid w:val="0"/>
        <w:spacing w:line="360" w:lineRule="auto"/>
        <w:ind w:firstLine="480" w:firstLineChars="200"/>
        <w:rPr>
          <w:rFonts w:ascii="宋体" w:hAnsi="宋体" w:cs="仿宋_GB2312"/>
          <w:color w:val="auto"/>
          <w:sz w:val="24"/>
          <w:highlight w:val="none"/>
          <w:lang w:val="hr-HR"/>
        </w:rPr>
      </w:pPr>
      <w:r>
        <w:rPr>
          <w:rFonts w:hint="eastAsia" w:ascii="宋体" w:hAnsi="宋体" w:cs="仿宋_GB2312"/>
          <w:color w:val="auto"/>
          <w:sz w:val="24"/>
          <w:highlight w:val="none"/>
          <w:lang w:val="hr-HR"/>
        </w:rPr>
        <w:t>3</w:t>
      </w:r>
      <w:r>
        <w:rPr>
          <w:rFonts w:ascii="宋体" w:hAnsi="宋体" w:cs="仿宋_GB2312"/>
          <w:color w:val="auto"/>
          <w:sz w:val="24"/>
          <w:highlight w:val="none"/>
          <w:lang w:val="hr-HR"/>
        </w:rPr>
        <w:t>.</w:t>
      </w:r>
      <w:r>
        <w:rPr>
          <w:rFonts w:hint="eastAsia" w:ascii="宋体" w:hAnsi="宋体" w:cs="仿宋_GB2312"/>
          <w:color w:val="auto"/>
          <w:sz w:val="24"/>
          <w:highlight w:val="none"/>
          <w:lang w:val="hr-HR"/>
        </w:rPr>
        <w:t>方式：</w:t>
      </w:r>
    </w:p>
    <w:p>
      <w:pPr>
        <w:adjustRightInd w:val="0"/>
        <w:snapToGrid w:val="0"/>
        <w:spacing w:line="360" w:lineRule="auto"/>
        <w:ind w:firstLine="480" w:firstLineChars="200"/>
        <w:rPr>
          <w:rFonts w:ascii="宋体" w:hAnsi="宋体" w:cs="仿宋_GB2312"/>
          <w:bCs/>
          <w:color w:val="auto"/>
          <w:sz w:val="24"/>
          <w:highlight w:val="none"/>
        </w:rPr>
      </w:pPr>
      <w:r>
        <w:rPr>
          <w:rFonts w:hint="eastAsia" w:ascii="宋体" w:hAnsi="宋体" w:cs="仿宋_GB2312"/>
          <w:bCs/>
          <w:color w:val="auto"/>
          <w:sz w:val="24"/>
          <w:highlight w:val="none"/>
        </w:rPr>
        <w:t>（1）现场获取：湖北省招标股份有限公司标书发售窗口，须提交的资料：法定代表人自己领取的，须提供法定代表人身份证明书及法定代表人身份证；法定代表人委托他人领取的，须提供法定代表人授权书及受托人身份证。</w:t>
      </w:r>
    </w:p>
    <w:p>
      <w:pPr>
        <w:adjustRightInd w:val="0"/>
        <w:snapToGrid w:val="0"/>
        <w:spacing w:line="360" w:lineRule="auto"/>
        <w:ind w:firstLine="480" w:firstLineChars="200"/>
        <w:rPr>
          <w:rFonts w:ascii="宋体" w:hAnsi="宋体" w:cs="仿宋_GB2312"/>
          <w:bCs/>
          <w:color w:val="auto"/>
          <w:sz w:val="24"/>
          <w:highlight w:val="none"/>
        </w:rPr>
      </w:pPr>
      <w:r>
        <w:rPr>
          <w:rFonts w:hint="eastAsia" w:ascii="宋体" w:hAnsi="宋体" w:cs="仿宋_GB2312"/>
          <w:bCs/>
          <w:color w:val="auto"/>
          <w:sz w:val="24"/>
          <w:highlight w:val="none"/>
        </w:rPr>
        <w:t>（2）网络获取：登陆“湖北省招标股份有限公司”官网（www.hbbidding.com</w:t>
      </w:r>
      <w:r>
        <w:rPr>
          <w:rFonts w:ascii="宋体" w:hAnsi="宋体" w:cs="仿宋_GB2312"/>
          <w:bCs/>
          <w:color w:val="auto"/>
          <w:sz w:val="24"/>
          <w:highlight w:val="none"/>
        </w:rPr>
        <w:t>.cn</w:t>
      </w:r>
      <w:r>
        <w:rPr>
          <w:rFonts w:hint="eastAsia" w:ascii="宋体" w:hAnsi="宋体" w:cs="仿宋_GB2312"/>
          <w:bCs/>
          <w:color w:val="auto"/>
          <w:sz w:val="24"/>
          <w:highlight w:val="none"/>
        </w:rPr>
        <w:t>），进入“电子服务系统”，按照“操作指引”完成获取。</w:t>
      </w:r>
      <w:r>
        <w:rPr>
          <w:rFonts w:ascii="宋体" w:hAnsi="宋体" w:cs="仿宋_GB2312"/>
          <w:color w:val="auto"/>
          <w:sz w:val="24"/>
          <w:highlight w:val="none"/>
          <w:lang w:val="hr-HR"/>
        </w:rPr>
        <w:t xml:space="preserve"> </w:t>
      </w:r>
    </w:p>
    <w:p>
      <w:pPr>
        <w:adjustRightInd w:val="0"/>
        <w:snapToGrid w:val="0"/>
        <w:spacing w:line="360" w:lineRule="auto"/>
        <w:ind w:firstLine="480" w:firstLineChars="200"/>
        <w:rPr>
          <w:rFonts w:ascii="宋体" w:hAnsi="宋体" w:cs="仿宋_GB2312"/>
          <w:color w:val="auto"/>
          <w:sz w:val="24"/>
          <w:highlight w:val="none"/>
          <w:lang w:val="hr-HR"/>
        </w:rPr>
      </w:pPr>
      <w:r>
        <w:rPr>
          <w:rFonts w:hint="eastAsia" w:ascii="宋体" w:hAnsi="宋体" w:cs="仿宋_GB2312"/>
          <w:color w:val="auto"/>
          <w:sz w:val="24"/>
          <w:highlight w:val="none"/>
          <w:lang w:val="hr-HR"/>
        </w:rPr>
        <w:t>4</w:t>
      </w:r>
      <w:r>
        <w:rPr>
          <w:rFonts w:ascii="宋体" w:hAnsi="宋体" w:cs="仿宋_GB2312"/>
          <w:color w:val="auto"/>
          <w:sz w:val="24"/>
          <w:highlight w:val="none"/>
          <w:lang w:val="hr-HR"/>
        </w:rPr>
        <w:t>.</w:t>
      </w:r>
      <w:r>
        <w:rPr>
          <w:rFonts w:hint="eastAsia" w:ascii="宋体" w:hAnsi="宋体" w:cs="仿宋_GB2312"/>
          <w:color w:val="auto"/>
          <w:sz w:val="24"/>
          <w:highlight w:val="none"/>
          <w:lang w:val="hr-HR"/>
        </w:rPr>
        <w:t>售价：</w:t>
      </w:r>
      <w:r>
        <w:rPr>
          <w:rFonts w:hint="eastAsia" w:ascii="宋体" w:hAnsi="宋体" w:cs="仿宋_GB2312"/>
          <w:bCs/>
          <w:color w:val="auto"/>
          <w:sz w:val="24"/>
          <w:highlight w:val="none"/>
        </w:rPr>
        <w:t>0元。</w:t>
      </w:r>
    </w:p>
    <w:p>
      <w:pPr>
        <w:keepNext/>
        <w:keepLines/>
        <w:spacing w:line="360" w:lineRule="auto"/>
        <w:ind w:firstLine="482" w:firstLineChars="200"/>
        <w:outlineLvl w:val="1"/>
        <w:rPr>
          <w:rFonts w:ascii="宋体" w:hAnsi="宋体" w:cs="仿宋_GB2312"/>
          <w:b/>
          <w:color w:val="auto"/>
          <w:sz w:val="24"/>
          <w:highlight w:val="none"/>
        </w:rPr>
      </w:pPr>
      <w:bookmarkStart w:id="44" w:name="_Toc710"/>
      <w:r>
        <w:rPr>
          <w:rFonts w:hint="eastAsia" w:ascii="宋体" w:hAnsi="宋体" w:cs="仿宋_GB2312"/>
          <w:b/>
          <w:color w:val="auto"/>
          <w:sz w:val="24"/>
          <w:highlight w:val="none"/>
        </w:rPr>
        <w:t>四、响应文件提交</w:t>
      </w:r>
      <w:bookmarkEnd w:id="40"/>
      <w:bookmarkEnd w:id="41"/>
      <w:bookmarkEnd w:id="42"/>
      <w:bookmarkEnd w:id="43"/>
      <w:bookmarkEnd w:id="44"/>
    </w:p>
    <w:p>
      <w:pPr>
        <w:adjustRightInd w:val="0"/>
        <w:snapToGrid w:val="0"/>
        <w:spacing w:line="360" w:lineRule="auto"/>
        <w:ind w:firstLine="480" w:firstLineChars="200"/>
        <w:rPr>
          <w:rFonts w:ascii="宋体" w:hAnsi="宋体" w:cs="仿宋_GB2312"/>
          <w:color w:val="auto"/>
          <w:sz w:val="24"/>
          <w:highlight w:val="none"/>
          <w:lang w:val="hr-HR"/>
        </w:rPr>
      </w:pPr>
      <w:bookmarkStart w:id="45" w:name="_Toc28359093"/>
      <w:bookmarkStart w:id="46" w:name="_Toc35393633"/>
      <w:bookmarkStart w:id="47" w:name="_Toc35393802"/>
      <w:bookmarkStart w:id="48" w:name="_Toc28359016"/>
      <w:r>
        <w:rPr>
          <w:rFonts w:hint="eastAsia" w:ascii="宋体" w:hAnsi="宋体" w:cs="仿宋_GB2312"/>
          <w:color w:val="auto"/>
          <w:sz w:val="24"/>
          <w:highlight w:val="none"/>
          <w:lang w:val="hr-HR"/>
        </w:rPr>
        <w:t>1</w:t>
      </w:r>
      <w:r>
        <w:rPr>
          <w:rFonts w:ascii="宋体" w:hAnsi="宋体" w:cs="仿宋_GB2312"/>
          <w:color w:val="auto"/>
          <w:sz w:val="24"/>
          <w:highlight w:val="none"/>
          <w:lang w:val="hr-HR"/>
        </w:rPr>
        <w:t>.</w:t>
      </w:r>
      <w:r>
        <w:rPr>
          <w:rFonts w:hint="eastAsia" w:ascii="宋体" w:hAnsi="宋体" w:cs="仿宋_GB2312"/>
          <w:color w:val="auto"/>
          <w:sz w:val="24"/>
          <w:highlight w:val="none"/>
          <w:lang w:val="hr-HR"/>
        </w:rPr>
        <w:t>开始时间：</w:t>
      </w:r>
      <w:r>
        <w:rPr>
          <w:rFonts w:hint="eastAsia" w:ascii="宋体" w:hAnsi="宋体" w:cs="仿宋_GB2312"/>
          <w:color w:val="auto"/>
          <w:sz w:val="24"/>
          <w:highlight w:val="none"/>
        </w:rPr>
        <w:t>202</w:t>
      </w:r>
      <w:r>
        <w:rPr>
          <w:rFonts w:hint="eastAsia" w:ascii="宋体" w:hAnsi="宋体" w:cs="仿宋_GB2312"/>
          <w:color w:val="auto"/>
          <w:sz w:val="24"/>
          <w:highlight w:val="none"/>
          <w:lang w:val="en-US" w:eastAsia="zh-CN"/>
        </w:rPr>
        <w:t>3</w:t>
      </w:r>
      <w:r>
        <w:rPr>
          <w:rFonts w:hint="eastAsia" w:ascii="宋体" w:hAnsi="宋体" w:cs="仿宋_GB2312"/>
          <w:color w:val="auto"/>
          <w:sz w:val="24"/>
          <w:highlight w:val="none"/>
        </w:rPr>
        <w:t>年</w:t>
      </w:r>
      <w:r>
        <w:rPr>
          <w:rFonts w:hint="eastAsia" w:ascii="宋体" w:hAnsi="宋体" w:cs="仿宋_GB2312"/>
          <w:color w:val="auto"/>
          <w:sz w:val="24"/>
          <w:highlight w:val="none"/>
          <w:lang w:val="en-US" w:eastAsia="zh-CN"/>
        </w:rPr>
        <w:t>2</w:t>
      </w:r>
      <w:r>
        <w:rPr>
          <w:rFonts w:hint="eastAsia" w:ascii="宋体" w:hAnsi="宋体" w:cs="仿宋_GB2312"/>
          <w:color w:val="auto"/>
          <w:sz w:val="24"/>
          <w:highlight w:val="none"/>
        </w:rPr>
        <w:t>月</w:t>
      </w:r>
      <w:r>
        <w:rPr>
          <w:rFonts w:hint="eastAsia" w:ascii="宋体" w:hAnsi="宋体" w:cs="仿宋_GB2312"/>
          <w:color w:val="auto"/>
          <w:sz w:val="24"/>
          <w:highlight w:val="none"/>
          <w:lang w:val="en-US" w:eastAsia="zh-CN"/>
        </w:rPr>
        <w:t>8</w:t>
      </w:r>
      <w:r>
        <w:rPr>
          <w:rFonts w:hint="eastAsia" w:ascii="宋体" w:hAnsi="宋体" w:cs="仿宋_GB2312"/>
          <w:color w:val="auto"/>
          <w:sz w:val="24"/>
          <w:highlight w:val="none"/>
        </w:rPr>
        <w:t>日</w:t>
      </w:r>
      <w:r>
        <w:rPr>
          <w:rFonts w:hint="eastAsia" w:ascii="宋体" w:hAnsi="宋体" w:cs="仿宋_GB2312"/>
          <w:color w:val="auto"/>
          <w:sz w:val="24"/>
          <w:highlight w:val="none"/>
          <w:lang w:val="en-US" w:eastAsia="zh-CN"/>
        </w:rPr>
        <w:t>9</w:t>
      </w:r>
      <w:r>
        <w:rPr>
          <w:rFonts w:hint="eastAsia" w:ascii="宋体" w:hAnsi="宋体" w:cs="仿宋_GB2312"/>
          <w:color w:val="auto"/>
          <w:sz w:val="24"/>
          <w:highlight w:val="none"/>
        </w:rPr>
        <w:t>点</w:t>
      </w:r>
      <w:r>
        <w:rPr>
          <w:rFonts w:hint="eastAsia" w:ascii="宋体" w:hAnsi="宋体" w:cs="仿宋_GB2312"/>
          <w:color w:val="auto"/>
          <w:sz w:val="24"/>
          <w:highlight w:val="none"/>
          <w:lang w:val="en-US" w:eastAsia="zh-CN"/>
        </w:rPr>
        <w:t>30</w:t>
      </w:r>
      <w:r>
        <w:rPr>
          <w:rFonts w:hint="eastAsia" w:ascii="宋体" w:hAnsi="宋体" w:cs="仿宋_GB2312"/>
          <w:color w:val="auto"/>
          <w:sz w:val="24"/>
          <w:highlight w:val="none"/>
        </w:rPr>
        <w:t>分</w:t>
      </w:r>
      <w:r>
        <w:rPr>
          <w:rFonts w:hint="eastAsia" w:ascii="宋体" w:hAnsi="宋体" w:cs="仿宋_GB2312"/>
          <w:color w:val="auto"/>
          <w:sz w:val="24"/>
          <w:highlight w:val="none"/>
          <w:lang w:val="hr-HR"/>
        </w:rPr>
        <w:t>（北京时间）。</w:t>
      </w:r>
    </w:p>
    <w:p>
      <w:pPr>
        <w:adjustRightInd w:val="0"/>
        <w:snapToGrid w:val="0"/>
        <w:spacing w:line="360" w:lineRule="auto"/>
        <w:ind w:firstLine="480" w:firstLineChars="200"/>
        <w:rPr>
          <w:rFonts w:ascii="宋体" w:hAnsi="宋体" w:cs="仿宋_GB2312"/>
          <w:color w:val="auto"/>
          <w:sz w:val="24"/>
          <w:highlight w:val="none"/>
          <w:lang w:val="hr-HR"/>
        </w:rPr>
      </w:pPr>
      <w:r>
        <w:rPr>
          <w:rFonts w:ascii="宋体" w:hAnsi="宋体" w:cs="仿宋_GB2312"/>
          <w:color w:val="auto"/>
          <w:sz w:val="24"/>
          <w:highlight w:val="none"/>
          <w:lang w:val="hr-HR"/>
        </w:rPr>
        <w:t>2.</w:t>
      </w:r>
      <w:r>
        <w:rPr>
          <w:rFonts w:hint="eastAsia" w:ascii="宋体" w:hAnsi="宋体" w:cs="仿宋_GB2312"/>
          <w:color w:val="auto"/>
          <w:sz w:val="24"/>
          <w:highlight w:val="none"/>
          <w:lang w:val="hr-HR"/>
        </w:rPr>
        <w:t>截止时间：</w:t>
      </w:r>
      <w:r>
        <w:rPr>
          <w:rFonts w:hint="eastAsia" w:ascii="宋体" w:hAnsi="宋体" w:cs="仿宋_GB2312"/>
          <w:color w:val="auto"/>
          <w:sz w:val="24"/>
          <w:highlight w:val="none"/>
        </w:rPr>
        <w:t>202</w:t>
      </w:r>
      <w:r>
        <w:rPr>
          <w:rFonts w:hint="eastAsia" w:ascii="宋体" w:hAnsi="宋体" w:cs="仿宋_GB2312"/>
          <w:color w:val="auto"/>
          <w:sz w:val="24"/>
          <w:highlight w:val="none"/>
          <w:lang w:val="en-US" w:eastAsia="zh-CN"/>
        </w:rPr>
        <w:t>3</w:t>
      </w:r>
      <w:r>
        <w:rPr>
          <w:rFonts w:hint="eastAsia" w:ascii="宋体" w:hAnsi="宋体" w:cs="仿宋_GB2312"/>
          <w:color w:val="auto"/>
          <w:sz w:val="24"/>
          <w:highlight w:val="none"/>
        </w:rPr>
        <w:t>年</w:t>
      </w:r>
      <w:r>
        <w:rPr>
          <w:rFonts w:hint="eastAsia" w:ascii="宋体" w:hAnsi="宋体" w:cs="仿宋_GB2312"/>
          <w:color w:val="auto"/>
          <w:sz w:val="24"/>
          <w:highlight w:val="none"/>
          <w:lang w:val="en-US" w:eastAsia="zh-CN"/>
        </w:rPr>
        <w:t>2</w:t>
      </w:r>
      <w:r>
        <w:rPr>
          <w:rFonts w:hint="eastAsia" w:ascii="宋体" w:hAnsi="宋体" w:cs="仿宋_GB2312"/>
          <w:color w:val="auto"/>
          <w:sz w:val="24"/>
          <w:highlight w:val="none"/>
        </w:rPr>
        <w:t>月</w:t>
      </w:r>
      <w:r>
        <w:rPr>
          <w:rFonts w:hint="eastAsia" w:ascii="宋体" w:hAnsi="宋体" w:cs="仿宋_GB2312"/>
          <w:color w:val="auto"/>
          <w:sz w:val="24"/>
          <w:highlight w:val="none"/>
          <w:lang w:val="en-US" w:eastAsia="zh-CN"/>
        </w:rPr>
        <w:t>8</w:t>
      </w:r>
      <w:r>
        <w:rPr>
          <w:rFonts w:hint="eastAsia" w:ascii="宋体" w:hAnsi="宋体" w:cs="仿宋_GB2312"/>
          <w:color w:val="auto"/>
          <w:sz w:val="24"/>
          <w:highlight w:val="none"/>
        </w:rPr>
        <w:t>日</w:t>
      </w:r>
      <w:r>
        <w:rPr>
          <w:rFonts w:hint="eastAsia" w:ascii="宋体" w:hAnsi="宋体" w:cs="仿宋_GB2312"/>
          <w:color w:val="auto"/>
          <w:sz w:val="24"/>
          <w:highlight w:val="none"/>
          <w:lang w:val="en-US" w:eastAsia="zh-CN"/>
        </w:rPr>
        <w:t>10</w:t>
      </w:r>
      <w:r>
        <w:rPr>
          <w:rFonts w:hint="eastAsia" w:ascii="宋体" w:hAnsi="宋体" w:cs="仿宋_GB2312"/>
          <w:color w:val="auto"/>
          <w:sz w:val="24"/>
          <w:highlight w:val="none"/>
        </w:rPr>
        <w:t>点</w:t>
      </w:r>
      <w:r>
        <w:rPr>
          <w:rFonts w:hint="eastAsia" w:ascii="宋体" w:hAnsi="宋体" w:cs="仿宋_GB2312"/>
          <w:color w:val="auto"/>
          <w:sz w:val="24"/>
          <w:highlight w:val="none"/>
          <w:lang w:val="en-US" w:eastAsia="zh-CN"/>
        </w:rPr>
        <w:t>00</w:t>
      </w:r>
      <w:r>
        <w:rPr>
          <w:rFonts w:hint="eastAsia" w:ascii="宋体" w:hAnsi="宋体" w:cs="仿宋_GB2312"/>
          <w:color w:val="auto"/>
          <w:sz w:val="24"/>
          <w:highlight w:val="none"/>
        </w:rPr>
        <w:t>分</w:t>
      </w:r>
      <w:r>
        <w:rPr>
          <w:rFonts w:hint="eastAsia" w:ascii="宋体" w:hAnsi="宋体" w:cs="仿宋_GB2312"/>
          <w:color w:val="auto"/>
          <w:sz w:val="24"/>
          <w:highlight w:val="none"/>
          <w:lang w:val="hr-HR"/>
        </w:rPr>
        <w:t>（北京时间）。</w:t>
      </w:r>
    </w:p>
    <w:p>
      <w:pPr>
        <w:adjustRightInd w:val="0"/>
        <w:snapToGrid w:val="0"/>
        <w:spacing w:line="360" w:lineRule="auto"/>
        <w:ind w:firstLine="480" w:firstLineChars="200"/>
        <w:rPr>
          <w:rFonts w:ascii="宋体" w:hAnsi="宋体" w:cs="仿宋_GB2312"/>
          <w:color w:val="auto"/>
          <w:sz w:val="24"/>
          <w:highlight w:val="none"/>
          <w:lang w:val="hr-HR"/>
        </w:rPr>
      </w:pPr>
      <w:r>
        <w:rPr>
          <w:rFonts w:hint="eastAsia" w:ascii="宋体" w:hAnsi="宋体" w:cs="仿宋_GB2312"/>
          <w:color w:val="auto"/>
          <w:sz w:val="24"/>
          <w:highlight w:val="none"/>
          <w:lang w:val="hr-HR"/>
        </w:rPr>
        <w:t>3</w:t>
      </w:r>
      <w:r>
        <w:rPr>
          <w:rFonts w:ascii="宋体" w:hAnsi="宋体" w:cs="仿宋_GB2312"/>
          <w:color w:val="auto"/>
          <w:sz w:val="24"/>
          <w:highlight w:val="none"/>
          <w:lang w:val="hr-HR"/>
        </w:rPr>
        <w:t>.</w:t>
      </w:r>
      <w:r>
        <w:rPr>
          <w:rFonts w:hint="eastAsia" w:ascii="宋体" w:hAnsi="宋体" w:cs="仿宋_GB2312"/>
          <w:color w:val="auto"/>
          <w:sz w:val="24"/>
          <w:highlight w:val="none"/>
          <w:lang w:val="hr-HR"/>
        </w:rPr>
        <w:t>地点：</w:t>
      </w:r>
      <w:r>
        <w:rPr>
          <w:rFonts w:hint="eastAsia" w:ascii="宋体" w:hAnsi="宋体" w:cs="仿宋_GB2312"/>
          <w:color w:val="auto"/>
          <w:sz w:val="24"/>
          <w:highlight w:val="none"/>
          <w:lang w:val="hr-HR" w:eastAsia="zh-CN"/>
        </w:rPr>
        <w:t>荆州市沙市区北湖路16号（荆州市智谷创业园）1号楼六楼601室</w:t>
      </w:r>
      <w:r>
        <w:rPr>
          <w:rFonts w:hint="eastAsia" w:ascii="宋体" w:hAnsi="宋体" w:cs="仿宋_GB2312"/>
          <w:color w:val="auto"/>
          <w:sz w:val="24"/>
          <w:highlight w:val="none"/>
          <w:lang w:val="hr-HR"/>
        </w:rPr>
        <w:t>。</w:t>
      </w:r>
    </w:p>
    <w:p>
      <w:pPr>
        <w:keepNext/>
        <w:keepLines/>
        <w:spacing w:line="360" w:lineRule="auto"/>
        <w:ind w:firstLine="482" w:firstLineChars="200"/>
        <w:outlineLvl w:val="1"/>
        <w:rPr>
          <w:rFonts w:ascii="宋体" w:hAnsi="宋体" w:cs="仿宋_GB2312"/>
          <w:b/>
          <w:color w:val="auto"/>
          <w:sz w:val="24"/>
          <w:highlight w:val="none"/>
        </w:rPr>
      </w:pPr>
      <w:bookmarkStart w:id="49" w:name="_Toc19549"/>
      <w:r>
        <w:rPr>
          <w:rFonts w:hint="eastAsia" w:ascii="宋体" w:hAnsi="宋体" w:cs="仿宋_GB2312"/>
          <w:b/>
          <w:color w:val="auto"/>
          <w:sz w:val="24"/>
          <w:highlight w:val="none"/>
        </w:rPr>
        <w:t>五、开启</w:t>
      </w:r>
      <w:bookmarkEnd w:id="45"/>
      <w:bookmarkEnd w:id="46"/>
      <w:bookmarkEnd w:id="47"/>
      <w:bookmarkEnd w:id="48"/>
      <w:bookmarkEnd w:id="49"/>
    </w:p>
    <w:p>
      <w:pPr>
        <w:spacing w:line="360" w:lineRule="auto"/>
        <w:ind w:firstLine="480" w:firstLineChars="200"/>
        <w:rPr>
          <w:rFonts w:ascii="宋体" w:hAnsi="宋体" w:cs="仿宋_GB2312"/>
          <w:color w:val="auto"/>
          <w:sz w:val="24"/>
          <w:highlight w:val="none"/>
          <w:lang w:val="hr-HR"/>
        </w:rPr>
      </w:pPr>
      <w:r>
        <w:rPr>
          <w:rFonts w:hint="eastAsia" w:ascii="宋体" w:hAnsi="宋体" w:cs="仿宋_GB2312"/>
          <w:color w:val="auto"/>
          <w:sz w:val="24"/>
          <w:highlight w:val="none"/>
        </w:rPr>
        <w:t>1</w:t>
      </w:r>
      <w:r>
        <w:rPr>
          <w:rFonts w:ascii="宋体" w:hAnsi="宋体" w:cs="仿宋_GB2312"/>
          <w:color w:val="auto"/>
          <w:sz w:val="24"/>
          <w:highlight w:val="none"/>
        </w:rPr>
        <w:t>.</w:t>
      </w:r>
      <w:r>
        <w:rPr>
          <w:rFonts w:hint="eastAsia" w:ascii="宋体" w:hAnsi="宋体" w:cs="仿宋_GB2312"/>
          <w:color w:val="auto"/>
          <w:sz w:val="24"/>
          <w:highlight w:val="none"/>
        </w:rPr>
        <w:t>时间：</w:t>
      </w:r>
      <w:r>
        <w:rPr>
          <w:rFonts w:hint="eastAsia" w:ascii="宋体" w:hAnsi="宋体" w:cs="仿宋_GB2312"/>
          <w:color w:val="auto"/>
          <w:sz w:val="24"/>
          <w:highlight w:val="none"/>
          <w:lang w:val="en-US" w:eastAsia="zh-CN"/>
        </w:rPr>
        <w:t>2023</w:t>
      </w:r>
      <w:r>
        <w:rPr>
          <w:rFonts w:hint="eastAsia" w:ascii="宋体" w:hAnsi="宋体" w:cs="仿宋_GB2312"/>
          <w:color w:val="auto"/>
          <w:sz w:val="24"/>
          <w:highlight w:val="none"/>
        </w:rPr>
        <w:t>年</w:t>
      </w:r>
      <w:r>
        <w:rPr>
          <w:rFonts w:hint="eastAsia" w:ascii="宋体" w:hAnsi="宋体" w:cs="仿宋_GB2312"/>
          <w:color w:val="auto"/>
          <w:sz w:val="24"/>
          <w:highlight w:val="none"/>
          <w:lang w:val="en-US" w:eastAsia="zh-CN"/>
        </w:rPr>
        <w:t>2</w:t>
      </w:r>
      <w:r>
        <w:rPr>
          <w:rFonts w:hint="eastAsia" w:ascii="宋体" w:hAnsi="宋体" w:cs="仿宋_GB2312"/>
          <w:color w:val="auto"/>
          <w:sz w:val="24"/>
          <w:highlight w:val="none"/>
        </w:rPr>
        <w:t>月</w:t>
      </w:r>
      <w:r>
        <w:rPr>
          <w:rFonts w:hint="eastAsia" w:ascii="宋体" w:hAnsi="宋体" w:cs="仿宋_GB2312"/>
          <w:color w:val="auto"/>
          <w:sz w:val="24"/>
          <w:highlight w:val="none"/>
          <w:lang w:val="en-US" w:eastAsia="zh-CN"/>
        </w:rPr>
        <w:t>8</w:t>
      </w:r>
      <w:r>
        <w:rPr>
          <w:rFonts w:hint="eastAsia" w:ascii="宋体" w:hAnsi="宋体" w:cs="仿宋_GB2312"/>
          <w:color w:val="auto"/>
          <w:sz w:val="24"/>
          <w:highlight w:val="none"/>
        </w:rPr>
        <w:t>日</w:t>
      </w:r>
      <w:r>
        <w:rPr>
          <w:rFonts w:hint="eastAsia" w:ascii="宋体" w:hAnsi="宋体" w:cs="仿宋_GB2312"/>
          <w:color w:val="auto"/>
          <w:sz w:val="24"/>
          <w:highlight w:val="none"/>
          <w:lang w:val="en-US" w:eastAsia="zh-CN"/>
        </w:rPr>
        <w:t>10</w:t>
      </w:r>
      <w:r>
        <w:rPr>
          <w:rFonts w:hint="eastAsia" w:ascii="宋体" w:hAnsi="宋体" w:cs="仿宋_GB2312"/>
          <w:color w:val="auto"/>
          <w:sz w:val="24"/>
          <w:highlight w:val="none"/>
        </w:rPr>
        <w:t>点</w:t>
      </w:r>
      <w:r>
        <w:rPr>
          <w:rFonts w:hint="eastAsia" w:ascii="宋体" w:hAnsi="宋体" w:cs="仿宋_GB2312"/>
          <w:color w:val="auto"/>
          <w:sz w:val="24"/>
          <w:highlight w:val="none"/>
          <w:lang w:val="en-US" w:eastAsia="zh-CN"/>
        </w:rPr>
        <w:t>00</w:t>
      </w:r>
      <w:r>
        <w:rPr>
          <w:rFonts w:hint="eastAsia" w:ascii="宋体" w:hAnsi="宋体" w:cs="仿宋_GB2312"/>
          <w:color w:val="auto"/>
          <w:sz w:val="24"/>
          <w:highlight w:val="none"/>
        </w:rPr>
        <w:t>分</w:t>
      </w:r>
      <w:r>
        <w:rPr>
          <w:rFonts w:hint="eastAsia" w:ascii="宋体" w:hAnsi="宋体" w:cs="仿宋_GB2312"/>
          <w:color w:val="auto"/>
          <w:sz w:val="24"/>
          <w:highlight w:val="none"/>
          <w:lang w:val="hr-HR"/>
        </w:rPr>
        <w:t>（北京时间）。</w:t>
      </w:r>
    </w:p>
    <w:p>
      <w:pPr>
        <w:spacing w:line="360" w:lineRule="auto"/>
        <w:ind w:firstLine="480" w:firstLineChars="200"/>
        <w:rPr>
          <w:rFonts w:ascii="宋体" w:hAnsi="宋体" w:cs="仿宋_GB2312"/>
          <w:bCs/>
          <w:color w:val="auto"/>
          <w:sz w:val="24"/>
          <w:highlight w:val="none"/>
          <w:u w:val="single"/>
        </w:rPr>
      </w:pPr>
      <w:r>
        <w:rPr>
          <w:rFonts w:hint="eastAsia" w:ascii="宋体" w:hAnsi="宋体" w:cs="仿宋_GB2312"/>
          <w:color w:val="auto"/>
          <w:sz w:val="24"/>
          <w:highlight w:val="none"/>
        </w:rPr>
        <w:t>2</w:t>
      </w:r>
      <w:r>
        <w:rPr>
          <w:rFonts w:ascii="宋体" w:hAnsi="宋体" w:cs="仿宋_GB2312"/>
          <w:color w:val="auto"/>
          <w:sz w:val="24"/>
          <w:highlight w:val="none"/>
        </w:rPr>
        <w:t>.</w:t>
      </w:r>
      <w:r>
        <w:rPr>
          <w:rFonts w:hint="eastAsia" w:ascii="宋体" w:hAnsi="宋体" w:cs="仿宋_GB2312"/>
          <w:color w:val="auto"/>
          <w:sz w:val="24"/>
          <w:highlight w:val="none"/>
        </w:rPr>
        <w:t>地点：</w:t>
      </w:r>
      <w:r>
        <w:rPr>
          <w:rFonts w:hint="eastAsia" w:ascii="宋体" w:hAnsi="宋体" w:cs="仿宋_GB2312"/>
          <w:color w:val="auto"/>
          <w:sz w:val="24"/>
          <w:highlight w:val="none"/>
          <w:lang w:eastAsia="zh-CN"/>
        </w:rPr>
        <w:t>荆州市沙市区北湖路16号（荆州市智谷创业园）1号楼六楼601室</w:t>
      </w:r>
      <w:r>
        <w:rPr>
          <w:rFonts w:hint="eastAsia" w:ascii="宋体" w:hAnsi="宋体" w:cs="仿宋_GB2312"/>
          <w:color w:val="auto"/>
          <w:sz w:val="24"/>
          <w:highlight w:val="none"/>
          <w:lang w:val="hr-HR"/>
        </w:rPr>
        <w:t>。</w:t>
      </w:r>
    </w:p>
    <w:p>
      <w:pPr>
        <w:keepNext/>
        <w:keepLines/>
        <w:spacing w:line="360" w:lineRule="auto"/>
        <w:ind w:firstLine="482" w:firstLineChars="200"/>
        <w:outlineLvl w:val="1"/>
        <w:rPr>
          <w:rFonts w:ascii="宋体" w:hAnsi="宋体" w:cs="仿宋_GB2312"/>
          <w:b/>
          <w:color w:val="auto"/>
          <w:sz w:val="24"/>
          <w:highlight w:val="none"/>
        </w:rPr>
      </w:pPr>
      <w:bookmarkStart w:id="50" w:name="_Toc35393803"/>
      <w:bookmarkStart w:id="51" w:name="_Toc12195"/>
      <w:bookmarkStart w:id="52" w:name="_Toc28359017"/>
      <w:bookmarkStart w:id="53" w:name="_Toc35393634"/>
      <w:bookmarkStart w:id="54" w:name="_Toc28359094"/>
      <w:r>
        <w:rPr>
          <w:rFonts w:hint="eastAsia" w:ascii="宋体" w:hAnsi="宋体" w:cs="仿宋_GB2312"/>
          <w:b/>
          <w:color w:val="auto"/>
          <w:sz w:val="24"/>
          <w:highlight w:val="none"/>
        </w:rPr>
        <w:t>六、公告期限</w:t>
      </w:r>
      <w:bookmarkEnd w:id="50"/>
      <w:bookmarkEnd w:id="51"/>
      <w:bookmarkEnd w:id="52"/>
      <w:bookmarkEnd w:id="53"/>
      <w:bookmarkEnd w:id="54"/>
    </w:p>
    <w:p>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自本公告发布之日起</w:t>
      </w:r>
      <w:r>
        <w:rPr>
          <w:rFonts w:ascii="宋体" w:hAnsi="宋体" w:cs="仿宋_GB2312"/>
          <w:color w:val="auto"/>
          <w:sz w:val="24"/>
          <w:highlight w:val="none"/>
        </w:rPr>
        <w:t>3</w:t>
      </w:r>
      <w:r>
        <w:rPr>
          <w:rFonts w:hint="eastAsia" w:ascii="宋体" w:hAnsi="宋体" w:cs="仿宋_GB2312"/>
          <w:color w:val="auto"/>
          <w:sz w:val="24"/>
          <w:highlight w:val="none"/>
        </w:rPr>
        <w:t>个工作日。</w:t>
      </w:r>
      <w:bookmarkStart w:id="55" w:name="_Toc35393636"/>
      <w:bookmarkStart w:id="56" w:name="_Toc24794"/>
      <w:bookmarkStart w:id="57" w:name="_Toc28359095"/>
      <w:bookmarkStart w:id="58" w:name="_Toc28359018"/>
      <w:bookmarkStart w:id="59" w:name="_Toc35393805"/>
    </w:p>
    <w:p>
      <w:pPr>
        <w:spacing w:line="360" w:lineRule="auto"/>
        <w:ind w:firstLine="482" w:firstLineChars="200"/>
        <w:rPr>
          <w:rFonts w:hint="eastAsia" w:ascii="宋体" w:hAnsi="宋体" w:cs="仿宋_GB2312"/>
          <w:b/>
          <w:color w:val="auto"/>
          <w:sz w:val="24"/>
          <w:highlight w:val="none"/>
          <w:lang w:val="en-US" w:eastAsia="zh-CN"/>
        </w:rPr>
      </w:pPr>
      <w:r>
        <w:rPr>
          <w:rFonts w:hint="eastAsia" w:ascii="宋体" w:hAnsi="宋体" w:cs="仿宋_GB2312"/>
          <w:b/>
          <w:color w:val="auto"/>
          <w:sz w:val="24"/>
          <w:highlight w:val="none"/>
          <w:lang w:val="en-US" w:eastAsia="zh-CN"/>
        </w:rPr>
        <w:t>七、发布媒介</w:t>
      </w:r>
    </w:p>
    <w:p>
      <w:pPr>
        <w:spacing w:line="360" w:lineRule="auto"/>
        <w:ind w:firstLine="480" w:firstLineChars="200"/>
        <w:rPr>
          <w:rFonts w:hint="eastAsia"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fldChar w:fldCharType="begin"/>
      </w:r>
      <w:r>
        <w:rPr>
          <w:rFonts w:hint="eastAsia" w:ascii="宋体" w:hAnsi="宋体" w:cs="仿宋_GB2312"/>
          <w:color w:val="auto"/>
          <w:sz w:val="24"/>
          <w:highlight w:val="none"/>
          <w:lang w:val="en-US" w:eastAsia="zh-CN"/>
        </w:rPr>
        <w:instrText xml:space="preserve"> HYPERLINK "http://www.ccgp.gov.cn/" </w:instrText>
      </w:r>
      <w:r>
        <w:rPr>
          <w:rFonts w:hint="eastAsia" w:ascii="宋体" w:hAnsi="宋体" w:cs="仿宋_GB2312"/>
          <w:color w:val="auto"/>
          <w:sz w:val="24"/>
          <w:highlight w:val="none"/>
          <w:lang w:val="en-US" w:eastAsia="zh-CN"/>
        </w:rPr>
        <w:fldChar w:fldCharType="separate"/>
      </w:r>
      <w:r>
        <w:rPr>
          <w:rFonts w:hint="eastAsia" w:ascii="宋体" w:hAnsi="宋体" w:cs="仿宋_GB2312"/>
          <w:color w:val="auto"/>
          <w:sz w:val="24"/>
          <w:highlight w:val="none"/>
          <w:lang w:val="en-US" w:eastAsia="zh-CN"/>
        </w:rPr>
        <w:t>中国政府采购网 (ccgp.gov.cn)</w:t>
      </w:r>
      <w:r>
        <w:rPr>
          <w:rFonts w:hint="eastAsia" w:ascii="宋体" w:hAnsi="宋体" w:cs="仿宋_GB2312"/>
          <w:color w:val="auto"/>
          <w:sz w:val="24"/>
          <w:highlight w:val="none"/>
          <w:lang w:val="en-US" w:eastAsia="zh-CN"/>
        </w:rPr>
        <w:fldChar w:fldCharType="end"/>
      </w:r>
    </w:p>
    <w:p>
      <w:pPr>
        <w:keepNext/>
        <w:keepLines/>
        <w:spacing w:line="360" w:lineRule="auto"/>
        <w:ind w:firstLine="482" w:firstLineChars="200"/>
        <w:outlineLvl w:val="1"/>
        <w:rPr>
          <w:rFonts w:ascii="宋体" w:hAnsi="宋体" w:cs="仿宋_GB2312"/>
          <w:b/>
          <w:color w:val="auto"/>
          <w:sz w:val="24"/>
          <w:highlight w:val="none"/>
        </w:rPr>
      </w:pPr>
      <w:r>
        <w:rPr>
          <w:rFonts w:hint="eastAsia" w:ascii="宋体" w:hAnsi="宋体" w:cs="仿宋_GB2312"/>
          <w:b/>
          <w:color w:val="auto"/>
          <w:sz w:val="24"/>
          <w:highlight w:val="none"/>
          <w:lang w:val="en-US" w:eastAsia="zh-CN"/>
        </w:rPr>
        <w:t>八</w:t>
      </w:r>
      <w:r>
        <w:rPr>
          <w:rFonts w:hint="eastAsia" w:ascii="宋体" w:hAnsi="宋体" w:cs="仿宋_GB2312"/>
          <w:b/>
          <w:color w:val="auto"/>
          <w:sz w:val="24"/>
          <w:highlight w:val="none"/>
        </w:rPr>
        <w:t>、凡对本次采购提出询问，请按以下方式联系。</w:t>
      </w:r>
      <w:bookmarkEnd w:id="55"/>
      <w:bookmarkEnd w:id="56"/>
      <w:bookmarkEnd w:id="57"/>
      <w:bookmarkEnd w:id="58"/>
      <w:bookmarkEnd w:id="59"/>
    </w:p>
    <w:bookmarkEnd w:id="23"/>
    <w:p>
      <w:pPr>
        <w:spacing w:line="360" w:lineRule="auto"/>
        <w:ind w:firstLine="480" w:firstLineChars="200"/>
        <w:rPr>
          <w:rFonts w:hint="eastAsia" w:ascii="宋体" w:hAnsi="宋体" w:eastAsia="宋体" w:cs="仿宋_GB2312"/>
          <w:color w:val="auto"/>
          <w:sz w:val="24"/>
          <w:highlight w:val="none"/>
          <w:lang w:eastAsia="zh-CN"/>
        </w:rPr>
      </w:pPr>
      <w:bookmarkStart w:id="60" w:name="_Toc28359019"/>
      <w:bookmarkStart w:id="61" w:name="_Toc35393637"/>
      <w:bookmarkStart w:id="62" w:name="_Toc35393806"/>
      <w:bookmarkStart w:id="63" w:name="_Toc28359096"/>
      <w:r>
        <w:rPr>
          <w:rFonts w:hint="eastAsia" w:ascii="宋体" w:hAnsi="宋体" w:eastAsia="宋体" w:cs="仿宋_GB2312"/>
          <w:color w:val="auto"/>
          <w:sz w:val="24"/>
          <w:highlight w:val="none"/>
          <w:lang w:eastAsia="zh-CN"/>
        </w:rPr>
        <w:t>1.采购人信息</w:t>
      </w:r>
      <w:bookmarkEnd w:id="60"/>
      <w:bookmarkEnd w:id="61"/>
      <w:bookmarkEnd w:id="62"/>
      <w:bookmarkEnd w:id="63"/>
    </w:p>
    <w:p>
      <w:pPr>
        <w:spacing w:line="360" w:lineRule="auto"/>
        <w:ind w:firstLine="480" w:firstLineChars="200"/>
        <w:rPr>
          <w:rFonts w:hint="eastAsia" w:ascii="宋体" w:hAnsi="宋体" w:eastAsia="宋体" w:cs="仿宋_GB2312"/>
          <w:color w:val="auto"/>
          <w:sz w:val="24"/>
          <w:highlight w:val="none"/>
          <w:lang w:eastAsia="zh-CN"/>
        </w:rPr>
      </w:pPr>
      <w:bookmarkStart w:id="64" w:name="_Toc35393638"/>
      <w:bookmarkStart w:id="65" w:name="_Toc28359097"/>
      <w:bookmarkStart w:id="66" w:name="_Toc35393807"/>
      <w:bookmarkStart w:id="67" w:name="_Toc28359020"/>
      <w:r>
        <w:rPr>
          <w:rFonts w:hint="eastAsia" w:ascii="宋体" w:hAnsi="宋体" w:eastAsia="宋体" w:cs="仿宋_GB2312"/>
          <w:color w:val="auto"/>
          <w:sz w:val="24"/>
          <w:highlight w:val="none"/>
          <w:lang w:eastAsia="zh-CN"/>
        </w:rPr>
        <w:t>名</w:t>
      </w:r>
      <w:r>
        <w:rPr>
          <w:rFonts w:hint="eastAsia" w:ascii="宋体" w:hAnsi="宋体" w:eastAsia="宋体" w:cs="仿宋_GB2312"/>
          <w:color w:val="auto"/>
          <w:sz w:val="24"/>
          <w:highlight w:val="none"/>
          <w:lang w:val="en-US" w:eastAsia="zh-CN"/>
        </w:rPr>
        <w:t xml:space="preserve">    </w:t>
      </w:r>
      <w:r>
        <w:rPr>
          <w:rFonts w:hint="eastAsia" w:ascii="宋体" w:hAnsi="宋体" w:eastAsia="宋体" w:cs="仿宋_GB2312"/>
          <w:color w:val="auto"/>
          <w:sz w:val="24"/>
          <w:highlight w:val="none"/>
          <w:lang w:eastAsia="zh-CN"/>
        </w:rPr>
        <w:t>称：荆州理工职业学院</w:t>
      </w:r>
    </w:p>
    <w:p>
      <w:pPr>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eastAsia="宋体" w:cs="仿宋_GB2312"/>
          <w:color w:val="auto"/>
          <w:sz w:val="24"/>
          <w:highlight w:val="none"/>
          <w:lang w:eastAsia="zh-CN"/>
        </w:rPr>
        <w:t>地</w:t>
      </w:r>
      <w:r>
        <w:rPr>
          <w:rFonts w:hint="eastAsia" w:ascii="宋体" w:hAnsi="宋体" w:eastAsia="宋体" w:cs="仿宋_GB2312"/>
          <w:color w:val="auto"/>
          <w:sz w:val="24"/>
          <w:highlight w:val="none"/>
          <w:lang w:val="en-US" w:eastAsia="zh-CN"/>
        </w:rPr>
        <w:t xml:space="preserve">    </w:t>
      </w:r>
      <w:r>
        <w:rPr>
          <w:rFonts w:hint="eastAsia" w:ascii="宋体" w:hAnsi="宋体" w:eastAsia="宋体" w:cs="仿宋_GB2312"/>
          <w:color w:val="auto"/>
          <w:sz w:val="24"/>
          <w:highlight w:val="none"/>
          <w:lang w:eastAsia="zh-CN"/>
        </w:rPr>
        <w:t>址：荆州市工农路22号</w:t>
      </w:r>
    </w:p>
    <w:p>
      <w:pPr>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eastAsia="宋体" w:cs="仿宋_GB2312"/>
          <w:color w:val="auto"/>
          <w:sz w:val="24"/>
          <w:highlight w:val="none"/>
          <w:lang w:eastAsia="zh-CN"/>
        </w:rPr>
        <w:t>联系方式：</w:t>
      </w:r>
      <w:bookmarkStart w:id="68" w:name="_Hlk46775675"/>
      <w:r>
        <w:rPr>
          <w:rFonts w:hint="eastAsia" w:ascii="宋体" w:hAnsi="宋体" w:eastAsia="宋体" w:cs="仿宋_GB2312"/>
          <w:color w:val="auto"/>
          <w:sz w:val="24"/>
          <w:highlight w:val="none"/>
          <w:lang w:eastAsia="zh-CN"/>
        </w:rPr>
        <w:t>0716-8517404</w:t>
      </w:r>
      <w:bookmarkEnd w:id="68"/>
    </w:p>
    <w:p>
      <w:pPr>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eastAsia="宋体" w:cs="仿宋_GB2312"/>
          <w:color w:val="auto"/>
          <w:sz w:val="24"/>
          <w:highlight w:val="none"/>
          <w:lang w:eastAsia="zh-CN"/>
        </w:rPr>
        <w:t>2.采购代理机构信息</w:t>
      </w:r>
      <w:bookmarkEnd w:id="64"/>
      <w:bookmarkEnd w:id="65"/>
      <w:bookmarkEnd w:id="66"/>
      <w:bookmarkEnd w:id="67"/>
    </w:p>
    <w:p>
      <w:pPr>
        <w:spacing w:line="360" w:lineRule="auto"/>
        <w:ind w:firstLine="480" w:firstLineChars="200"/>
        <w:rPr>
          <w:rFonts w:hint="eastAsia" w:ascii="宋体" w:hAnsi="宋体" w:eastAsia="宋体" w:cs="仿宋_GB2312"/>
          <w:color w:val="auto"/>
          <w:sz w:val="24"/>
          <w:highlight w:val="none"/>
          <w:lang w:eastAsia="zh-CN"/>
        </w:rPr>
      </w:pPr>
      <w:bookmarkStart w:id="69" w:name="_Toc35393639"/>
      <w:bookmarkStart w:id="70" w:name="_Toc28359098"/>
      <w:bookmarkStart w:id="71" w:name="_Toc28359021"/>
      <w:bookmarkStart w:id="72" w:name="_Toc35393808"/>
      <w:r>
        <w:rPr>
          <w:rFonts w:hint="eastAsia" w:ascii="宋体" w:hAnsi="宋体" w:eastAsia="宋体" w:cs="仿宋_GB2312"/>
          <w:color w:val="auto"/>
          <w:sz w:val="24"/>
          <w:highlight w:val="none"/>
          <w:lang w:eastAsia="zh-CN"/>
        </w:rPr>
        <w:t>名    称：湖北省招标股份有限公司</w:t>
      </w:r>
    </w:p>
    <w:p>
      <w:pPr>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eastAsia="宋体" w:cs="仿宋_GB2312"/>
          <w:color w:val="auto"/>
          <w:sz w:val="24"/>
          <w:highlight w:val="none"/>
          <w:lang w:eastAsia="zh-CN"/>
        </w:rPr>
        <w:t>地    址：武汉市武昌区中北路108号兴业银行大厦五楼</w:t>
      </w:r>
    </w:p>
    <w:p>
      <w:pPr>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eastAsia="宋体" w:cs="仿宋_GB2312"/>
          <w:color w:val="auto"/>
          <w:sz w:val="24"/>
          <w:highlight w:val="none"/>
          <w:lang w:eastAsia="zh-CN"/>
        </w:rPr>
        <w:t>联 系 人：庄永哲、郭中华</w:t>
      </w:r>
    </w:p>
    <w:p>
      <w:pPr>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eastAsia="宋体" w:cs="仿宋_GB2312"/>
          <w:color w:val="auto"/>
          <w:sz w:val="24"/>
          <w:highlight w:val="none"/>
          <w:lang w:eastAsia="zh-CN"/>
        </w:rPr>
        <w:t>电    话： 15871732723</w:t>
      </w:r>
    </w:p>
    <w:p>
      <w:pPr>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eastAsia="宋体" w:cs="仿宋_GB2312"/>
          <w:color w:val="auto"/>
          <w:sz w:val="24"/>
          <w:highlight w:val="none"/>
          <w:lang w:eastAsia="zh-CN"/>
        </w:rPr>
        <w:t>邮    箱：hbt_zyz@zonaland.cn</w:t>
      </w:r>
    </w:p>
    <w:p>
      <w:pPr>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eastAsia="宋体" w:cs="仿宋_GB2312"/>
          <w:color w:val="auto"/>
          <w:sz w:val="24"/>
          <w:highlight w:val="none"/>
          <w:lang w:eastAsia="zh-CN"/>
        </w:rPr>
        <w:t>3.项目联系方式</w:t>
      </w:r>
      <w:bookmarkEnd w:id="69"/>
      <w:bookmarkEnd w:id="70"/>
      <w:bookmarkEnd w:id="71"/>
      <w:bookmarkEnd w:id="72"/>
    </w:p>
    <w:p>
      <w:pPr>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eastAsia="宋体" w:cs="仿宋_GB2312"/>
          <w:color w:val="auto"/>
          <w:sz w:val="24"/>
          <w:highlight w:val="none"/>
          <w:lang w:eastAsia="zh-CN"/>
        </w:rPr>
        <w:t>项目联系人：庄永哲</w:t>
      </w:r>
    </w:p>
    <w:p>
      <w:pPr>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eastAsia="宋体" w:cs="仿宋_GB2312"/>
          <w:color w:val="auto"/>
          <w:sz w:val="24"/>
          <w:highlight w:val="none"/>
          <w:lang w:eastAsia="zh-CN"/>
        </w:rPr>
        <w:t>电　　 话： 15871732723</w:t>
      </w:r>
    </w:p>
    <w:p>
      <w:pPr>
        <w:spacing w:line="360" w:lineRule="auto"/>
        <w:ind w:firstLine="420" w:firstLineChars="200"/>
        <w:rPr>
          <w:rFonts w:ascii="宋体" w:hAnsi="宋体"/>
          <w:color w:val="auto"/>
          <w:highlight w:val="none"/>
        </w:rPr>
      </w:pPr>
    </w:p>
    <w:p>
      <w:pPr>
        <w:spacing w:line="360" w:lineRule="auto"/>
        <w:ind w:firstLine="480" w:firstLineChars="200"/>
        <w:jc w:val="right"/>
        <w:rPr>
          <w:rFonts w:ascii="宋体" w:hAnsi="宋体" w:cs="仿宋_GB2312"/>
          <w:color w:val="auto"/>
          <w:sz w:val="24"/>
          <w:highlight w:val="none"/>
        </w:rPr>
      </w:pPr>
      <w:r>
        <w:rPr>
          <w:rFonts w:hint="eastAsia" w:ascii="宋体" w:hAnsi="宋体" w:cs="仿宋_GB2312"/>
          <w:color w:val="auto"/>
          <w:sz w:val="24"/>
          <w:highlight w:val="none"/>
        </w:rPr>
        <w:t>湖北省招标股份有限公司</w:t>
      </w:r>
    </w:p>
    <w:p>
      <w:pPr>
        <w:spacing w:line="360" w:lineRule="auto"/>
        <w:ind w:firstLine="480" w:firstLineChars="200"/>
        <w:jc w:val="right"/>
        <w:rPr>
          <w:rFonts w:ascii="宋体" w:hAnsi="宋体" w:cs="仿宋_GB2312"/>
          <w:color w:val="auto"/>
          <w:sz w:val="24"/>
          <w:highlight w:val="none"/>
        </w:rPr>
      </w:pPr>
      <w:r>
        <w:rPr>
          <w:rFonts w:hint="eastAsia" w:ascii="宋体" w:hAnsi="宋体" w:cs="仿宋_GB2312"/>
          <w:color w:val="auto"/>
          <w:sz w:val="24"/>
          <w:highlight w:val="none"/>
        </w:rPr>
        <w:t>2</w:t>
      </w:r>
      <w:r>
        <w:rPr>
          <w:rFonts w:ascii="宋体" w:hAnsi="宋体" w:cs="仿宋_GB2312"/>
          <w:color w:val="auto"/>
          <w:sz w:val="24"/>
          <w:highlight w:val="none"/>
        </w:rPr>
        <w:t>02</w:t>
      </w:r>
      <w:r>
        <w:rPr>
          <w:rFonts w:hint="eastAsia" w:ascii="宋体" w:hAnsi="宋体" w:cs="仿宋_GB2312"/>
          <w:color w:val="auto"/>
          <w:sz w:val="24"/>
          <w:highlight w:val="none"/>
          <w:lang w:val="en-US" w:eastAsia="zh-CN"/>
        </w:rPr>
        <w:t>3</w:t>
      </w:r>
      <w:r>
        <w:rPr>
          <w:rFonts w:hint="eastAsia" w:ascii="宋体" w:hAnsi="宋体" w:cs="仿宋_GB2312"/>
          <w:color w:val="auto"/>
          <w:sz w:val="24"/>
          <w:highlight w:val="none"/>
        </w:rPr>
        <w:t>年</w:t>
      </w:r>
      <w:r>
        <w:rPr>
          <w:rFonts w:hint="eastAsia" w:ascii="宋体" w:hAnsi="宋体" w:cs="仿宋_GB2312"/>
          <w:color w:val="auto"/>
          <w:sz w:val="24"/>
          <w:highlight w:val="none"/>
          <w:lang w:val="en-US" w:eastAsia="zh-CN"/>
        </w:rPr>
        <w:t>1</w:t>
      </w:r>
      <w:r>
        <w:rPr>
          <w:rFonts w:hint="eastAsia" w:ascii="宋体" w:hAnsi="宋体" w:cs="仿宋_GB2312"/>
          <w:color w:val="auto"/>
          <w:sz w:val="24"/>
          <w:highlight w:val="none"/>
        </w:rPr>
        <w:t>月</w:t>
      </w:r>
      <w:r>
        <w:rPr>
          <w:rFonts w:hint="eastAsia" w:ascii="宋体" w:hAnsi="宋体" w:cs="仿宋_GB2312"/>
          <w:color w:val="auto"/>
          <w:sz w:val="24"/>
          <w:highlight w:val="none"/>
          <w:lang w:val="en-US" w:eastAsia="zh-CN"/>
        </w:rPr>
        <w:t>11</w:t>
      </w:r>
      <w:r>
        <w:rPr>
          <w:rFonts w:hint="eastAsia" w:ascii="宋体" w:hAnsi="宋体" w:cs="仿宋_GB2312"/>
          <w:color w:val="auto"/>
          <w:sz w:val="24"/>
          <w:highlight w:val="none"/>
        </w:rPr>
        <w:t>日</w:t>
      </w:r>
    </w:p>
    <w:p>
      <w:pPr>
        <w:pStyle w:val="313"/>
        <w:ind w:firstLine="420"/>
        <w:rPr>
          <w:rFonts w:ascii="宋体" w:hAnsi="宋体"/>
          <w:color w:val="auto"/>
          <w:sz w:val="21"/>
          <w:szCs w:val="21"/>
          <w:highlight w:val="none"/>
          <w:lang w:val="hr-HR"/>
        </w:rPr>
        <w:sectPr>
          <w:type w:val="nextColumn"/>
          <w:pgSz w:w="11907" w:h="16840"/>
          <w:pgMar w:top="1440" w:right="1797" w:bottom="1440" w:left="1797" w:header="907" w:footer="907" w:gutter="0"/>
          <w:pgBorders>
            <w:top w:val="none" w:sz="0" w:space="0"/>
            <w:left w:val="none" w:sz="0" w:space="0"/>
            <w:bottom w:val="none" w:sz="0" w:space="0"/>
            <w:right w:val="none" w:sz="0" w:space="0"/>
          </w:pgBorders>
          <w:pgNumType w:start="1"/>
          <w:cols w:space="720" w:num="1"/>
          <w:docGrid w:linePitch="312" w:charSpace="0"/>
        </w:sectPr>
      </w:pPr>
    </w:p>
    <w:bookmarkEnd w:id="24"/>
    <w:p>
      <w:pPr>
        <w:pStyle w:val="3"/>
        <w:spacing w:before="0" w:after="0" w:line="360" w:lineRule="auto"/>
        <w:rPr>
          <w:rFonts w:ascii="微软雅黑" w:hAnsi="微软雅黑" w:eastAsia="微软雅黑"/>
          <w:szCs w:val="32"/>
        </w:rPr>
      </w:pPr>
      <w:bookmarkStart w:id="73" w:name="_Toc10892"/>
      <w:r>
        <w:rPr>
          <w:rFonts w:ascii="微软雅黑" w:hAnsi="微软雅黑" w:eastAsia="微软雅黑"/>
          <w:szCs w:val="32"/>
        </w:rPr>
        <w:t>第二章</w:t>
      </w:r>
      <w:r>
        <w:rPr>
          <w:rFonts w:hint="eastAsia" w:ascii="微软雅黑" w:hAnsi="微软雅黑" w:eastAsia="微软雅黑"/>
          <w:szCs w:val="32"/>
        </w:rPr>
        <w:t xml:space="preserve"> 供应商须知</w:t>
      </w:r>
      <w:bookmarkEnd w:id="73"/>
    </w:p>
    <w:p>
      <w:pPr>
        <w:autoSpaceDE w:val="0"/>
        <w:autoSpaceDN w:val="0"/>
        <w:adjustRightInd w:val="0"/>
        <w:snapToGrid w:val="0"/>
        <w:spacing w:line="360" w:lineRule="auto"/>
        <w:jc w:val="center"/>
        <w:outlineLvl w:val="1"/>
        <w:rPr>
          <w:rFonts w:ascii="宋体" w:hAnsi="宋体" w:cs="仿宋_GB2312"/>
          <w:b/>
          <w:sz w:val="28"/>
          <w:szCs w:val="28"/>
          <w:lang w:val="zh-CN"/>
        </w:rPr>
      </w:pPr>
      <w:bookmarkStart w:id="74" w:name="_Toc470172661"/>
      <w:bookmarkStart w:id="75" w:name="_Toc10791"/>
      <w:r>
        <w:rPr>
          <w:rFonts w:hint="eastAsia" w:ascii="宋体" w:hAnsi="宋体" w:cs="仿宋_GB2312"/>
          <w:b/>
          <w:sz w:val="28"/>
          <w:szCs w:val="28"/>
        </w:rPr>
        <w:t>一、供应商须知前附表</w:t>
      </w:r>
      <w:bookmarkEnd w:id="74"/>
      <w:bookmarkEnd w:id="75"/>
    </w:p>
    <w:p>
      <w:pPr>
        <w:autoSpaceDE w:val="0"/>
        <w:autoSpaceDN w:val="0"/>
        <w:adjustRightInd w:val="0"/>
        <w:snapToGrid w:val="0"/>
        <w:spacing w:line="360" w:lineRule="auto"/>
        <w:ind w:firstLine="480" w:firstLineChars="200"/>
        <w:rPr>
          <w:rFonts w:ascii="宋体" w:hAnsi="宋体" w:cs="仿宋_GB2312"/>
          <w:sz w:val="24"/>
          <w:lang w:val="zh-CN"/>
        </w:rPr>
      </w:pPr>
      <w:r>
        <w:rPr>
          <w:rFonts w:hint="eastAsia" w:ascii="宋体" w:hAnsi="宋体" w:cs="仿宋_GB2312"/>
          <w:sz w:val="24"/>
        </w:rPr>
        <w:t>磋商供应商应仔细阅读本磋商文件的第二章“供应商须知”，下面所列资料是对“供应商须知”的具体补充和说明。</w:t>
      </w:r>
      <w:r>
        <w:rPr>
          <w:rFonts w:hint="eastAsia" w:ascii="宋体" w:hAnsi="宋体" w:cs="仿宋_GB2312"/>
          <w:sz w:val="24"/>
          <w:lang w:val="zh-CN"/>
        </w:rPr>
        <w:t>如有矛盾，应以本表为准。</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065"/>
        <w:gridCol w:w="1996"/>
        <w:gridCol w:w="6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blHeader/>
          <w:jc w:val="center"/>
        </w:trPr>
        <w:tc>
          <w:tcPr>
            <w:tcW w:w="543" w:type="pct"/>
            <w:shd w:val="clear" w:color="auto" w:fill="FFFFFF"/>
            <w:vAlign w:val="center"/>
          </w:tcPr>
          <w:p>
            <w:pPr>
              <w:autoSpaceDE w:val="0"/>
              <w:autoSpaceDN w:val="0"/>
              <w:adjustRightInd w:val="0"/>
              <w:snapToGrid w:val="0"/>
              <w:spacing w:line="360" w:lineRule="auto"/>
              <w:ind w:left="21" w:leftChars="10" w:right="21" w:rightChars="10"/>
              <w:jc w:val="center"/>
              <w:rPr>
                <w:rFonts w:ascii="宋体" w:hAnsi="宋体" w:cs="仿宋_GB2312"/>
                <w:b/>
                <w:szCs w:val="21"/>
              </w:rPr>
            </w:pPr>
            <w:r>
              <w:rPr>
                <w:rFonts w:hint="eastAsia" w:ascii="宋体" w:hAnsi="宋体" w:cs="仿宋_GB2312"/>
                <w:b/>
                <w:szCs w:val="21"/>
                <w:lang w:val="zh-CN"/>
              </w:rPr>
              <w:t>条款号</w:t>
            </w:r>
          </w:p>
        </w:tc>
        <w:tc>
          <w:tcPr>
            <w:tcW w:w="1018" w:type="pct"/>
            <w:shd w:val="clear" w:color="auto" w:fill="FFFFFF"/>
            <w:vAlign w:val="center"/>
          </w:tcPr>
          <w:p>
            <w:pPr>
              <w:autoSpaceDE w:val="0"/>
              <w:autoSpaceDN w:val="0"/>
              <w:adjustRightInd w:val="0"/>
              <w:snapToGrid w:val="0"/>
              <w:spacing w:line="360" w:lineRule="auto"/>
              <w:ind w:left="21" w:leftChars="10" w:right="21" w:rightChars="10"/>
              <w:jc w:val="center"/>
              <w:rPr>
                <w:rFonts w:ascii="宋体" w:hAnsi="宋体" w:cs="仿宋_GB2312"/>
                <w:b/>
                <w:szCs w:val="21"/>
                <w:lang w:val="zh-CN"/>
              </w:rPr>
            </w:pPr>
            <w:r>
              <w:rPr>
                <w:rFonts w:hint="eastAsia" w:ascii="宋体" w:hAnsi="宋体" w:cs="仿宋_GB2312"/>
                <w:b/>
                <w:szCs w:val="21"/>
                <w:lang w:val="zh-CN"/>
              </w:rPr>
              <w:t>条款名称</w:t>
            </w:r>
          </w:p>
        </w:tc>
        <w:tc>
          <w:tcPr>
            <w:tcW w:w="3437" w:type="pct"/>
            <w:shd w:val="clear" w:color="auto" w:fill="FFFFFF"/>
            <w:vAlign w:val="center"/>
          </w:tcPr>
          <w:p>
            <w:pPr>
              <w:autoSpaceDE w:val="0"/>
              <w:autoSpaceDN w:val="0"/>
              <w:adjustRightInd w:val="0"/>
              <w:snapToGrid w:val="0"/>
              <w:spacing w:line="360" w:lineRule="auto"/>
              <w:ind w:left="21" w:leftChars="10" w:right="21" w:rightChars="10"/>
              <w:jc w:val="center"/>
              <w:rPr>
                <w:rFonts w:ascii="宋体" w:hAnsi="宋体" w:cs="仿宋_GB2312"/>
                <w:b/>
                <w:szCs w:val="21"/>
              </w:rPr>
            </w:pPr>
            <w:r>
              <w:rPr>
                <w:rFonts w:hint="eastAsia" w:ascii="宋体" w:hAnsi="宋体" w:cs="仿宋_GB2312"/>
                <w:b/>
                <w:szCs w:val="21"/>
                <w:lang w:val="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543"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2.1</w:t>
            </w:r>
          </w:p>
        </w:tc>
        <w:tc>
          <w:tcPr>
            <w:tcW w:w="1018"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采购人</w:t>
            </w:r>
          </w:p>
        </w:tc>
        <w:tc>
          <w:tcPr>
            <w:tcW w:w="3437" w:type="pct"/>
            <w:vAlign w:val="center"/>
          </w:tcPr>
          <w:p>
            <w:pPr>
              <w:autoSpaceDE w:val="0"/>
              <w:autoSpaceDN w:val="0"/>
              <w:adjustRightInd w:val="0"/>
              <w:snapToGrid w:val="0"/>
              <w:spacing w:line="360" w:lineRule="auto"/>
              <w:ind w:left="21" w:leftChars="10" w:right="21" w:rightChars="10"/>
              <w:rPr>
                <w:rFonts w:ascii="宋体" w:hAnsi="宋体" w:cs="仿宋_GB2312"/>
                <w:szCs w:val="21"/>
              </w:rPr>
            </w:pPr>
            <w:r>
              <w:rPr>
                <w:rFonts w:hint="eastAsia" w:ascii="宋体" w:hAnsi="宋体" w:cs="仿宋_GB2312"/>
                <w:szCs w:val="21"/>
              </w:rPr>
              <w:t>同磋商公告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543"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ascii="宋体" w:hAnsi="宋体" w:cs="仿宋_GB2312"/>
                <w:szCs w:val="21"/>
                <w:lang w:val="zh-CN"/>
              </w:rPr>
              <w:t>2.2</w:t>
            </w:r>
          </w:p>
        </w:tc>
        <w:tc>
          <w:tcPr>
            <w:tcW w:w="1018"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监管部门</w:t>
            </w:r>
          </w:p>
        </w:tc>
        <w:tc>
          <w:tcPr>
            <w:tcW w:w="3437" w:type="pct"/>
            <w:vAlign w:val="center"/>
          </w:tcPr>
          <w:p>
            <w:pPr>
              <w:autoSpaceDE w:val="0"/>
              <w:autoSpaceDN w:val="0"/>
              <w:adjustRightInd w:val="0"/>
              <w:snapToGrid w:val="0"/>
              <w:spacing w:line="360" w:lineRule="auto"/>
              <w:ind w:left="21" w:leftChars="10" w:right="21" w:rightChars="10"/>
              <w:rPr>
                <w:rFonts w:ascii="宋体" w:hAnsi="宋体" w:cs="仿宋_GB2312"/>
                <w:szCs w:val="21"/>
              </w:rPr>
            </w:pPr>
            <w:r>
              <w:rPr>
                <w:rFonts w:hint="eastAsia" w:ascii="宋体" w:hAnsi="宋体" w:cs="仿宋_GB2312"/>
                <w:szCs w:val="21"/>
              </w:rPr>
              <w:t>荆州市政府采购管理办公室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543"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2.3</w:t>
            </w:r>
          </w:p>
        </w:tc>
        <w:tc>
          <w:tcPr>
            <w:tcW w:w="1018" w:type="pct"/>
            <w:vAlign w:val="center"/>
          </w:tcPr>
          <w:p>
            <w:pPr>
              <w:pStyle w:val="50"/>
              <w:widowControl w:val="0"/>
              <w:autoSpaceDE w:val="0"/>
              <w:autoSpaceDN w:val="0"/>
              <w:adjustRightInd w:val="0"/>
              <w:snapToGrid w:val="0"/>
              <w:spacing w:before="0" w:beforeAutospacing="0" w:after="0" w:afterAutospacing="0" w:line="360" w:lineRule="auto"/>
              <w:ind w:left="21" w:leftChars="10" w:right="21" w:rightChars="10"/>
              <w:jc w:val="center"/>
              <w:rPr>
                <w:rFonts w:cs="仿宋_GB2312"/>
                <w:kern w:val="2"/>
                <w:sz w:val="21"/>
                <w:szCs w:val="21"/>
                <w:lang w:val="zh-CN"/>
              </w:rPr>
            </w:pPr>
            <w:r>
              <w:rPr>
                <w:rFonts w:hint="eastAsia" w:cs="仿宋_GB2312"/>
                <w:kern w:val="2"/>
                <w:sz w:val="21"/>
                <w:szCs w:val="21"/>
                <w:lang w:val="zh-CN"/>
              </w:rPr>
              <w:t>采购代理机构</w:t>
            </w:r>
          </w:p>
        </w:tc>
        <w:tc>
          <w:tcPr>
            <w:tcW w:w="3437" w:type="pct"/>
            <w:vAlign w:val="center"/>
          </w:tcPr>
          <w:p>
            <w:pPr>
              <w:autoSpaceDE w:val="0"/>
              <w:autoSpaceDN w:val="0"/>
              <w:adjustRightInd w:val="0"/>
              <w:snapToGrid w:val="0"/>
              <w:spacing w:line="360" w:lineRule="auto"/>
              <w:ind w:left="21" w:leftChars="10" w:right="21" w:rightChars="10"/>
              <w:rPr>
                <w:rFonts w:ascii="宋体" w:hAnsi="宋体" w:cs="仿宋_GB2312"/>
                <w:szCs w:val="21"/>
                <w:lang w:val="zh-CN"/>
              </w:rPr>
            </w:pPr>
            <w:r>
              <w:rPr>
                <w:rFonts w:hint="eastAsia" w:ascii="宋体" w:hAnsi="宋体" w:cs="仿宋_GB2312"/>
                <w:szCs w:val="21"/>
                <w:lang w:val="zh-CN"/>
              </w:rPr>
              <w:t>湖北省招标股份有限公司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543"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2.5</w:t>
            </w:r>
          </w:p>
        </w:tc>
        <w:tc>
          <w:tcPr>
            <w:tcW w:w="1018"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磋商供应商</w:t>
            </w:r>
          </w:p>
        </w:tc>
        <w:tc>
          <w:tcPr>
            <w:tcW w:w="3437" w:type="pct"/>
            <w:vAlign w:val="center"/>
          </w:tcPr>
          <w:p>
            <w:pPr>
              <w:autoSpaceDE w:val="0"/>
              <w:autoSpaceDN w:val="0"/>
              <w:adjustRightInd w:val="0"/>
              <w:snapToGrid w:val="0"/>
              <w:spacing w:line="360" w:lineRule="auto"/>
              <w:ind w:left="21" w:leftChars="10" w:right="21" w:rightChars="10"/>
              <w:rPr>
                <w:rFonts w:ascii="宋体" w:hAnsi="宋体" w:cs="仿宋_GB2312"/>
                <w:szCs w:val="21"/>
                <w:lang w:val="zh-CN"/>
              </w:rPr>
            </w:pPr>
            <w:r>
              <w:rPr>
                <w:rFonts w:hint="eastAsia" w:ascii="宋体" w:hAnsi="宋体" w:cs="仿宋_GB2312"/>
                <w:szCs w:val="21"/>
                <w:lang w:val="zh-CN"/>
              </w:rPr>
              <w:t>满足第一章第二条“申请人的资格要求”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543" w:type="pct"/>
            <w:vAlign w:val="center"/>
          </w:tcPr>
          <w:p>
            <w:pPr>
              <w:pStyle w:val="50"/>
              <w:widowControl w:val="0"/>
              <w:autoSpaceDE w:val="0"/>
              <w:autoSpaceDN w:val="0"/>
              <w:adjustRightInd w:val="0"/>
              <w:spacing w:before="0" w:beforeAutospacing="0" w:after="0" w:afterAutospacing="0" w:line="360" w:lineRule="auto"/>
              <w:ind w:left="21" w:leftChars="10" w:right="21" w:rightChars="10"/>
              <w:jc w:val="center"/>
              <w:rPr>
                <w:rFonts w:cs="仿宋_GB2312"/>
                <w:kern w:val="2"/>
                <w:sz w:val="21"/>
                <w:szCs w:val="21"/>
                <w:lang w:val="zh-CN"/>
              </w:rPr>
            </w:pPr>
            <w:r>
              <w:rPr>
                <w:rFonts w:hint="eastAsia" w:cs="仿宋_GB2312"/>
                <w:kern w:val="2"/>
                <w:sz w:val="21"/>
                <w:szCs w:val="21"/>
                <w:lang w:val="zh-CN"/>
              </w:rPr>
              <w:t>4.2</w:t>
            </w:r>
          </w:p>
        </w:tc>
        <w:tc>
          <w:tcPr>
            <w:tcW w:w="1018" w:type="pct"/>
            <w:vAlign w:val="center"/>
          </w:tcPr>
          <w:p>
            <w:pPr>
              <w:autoSpaceDE w:val="0"/>
              <w:autoSpaceDN w:val="0"/>
              <w:adjustRightIn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rPr>
              <w:t>采购代理服务费</w:t>
            </w:r>
          </w:p>
        </w:tc>
        <w:tc>
          <w:tcPr>
            <w:tcW w:w="3437" w:type="pct"/>
            <w:vAlign w:val="center"/>
          </w:tcPr>
          <w:p>
            <w:pPr>
              <w:tabs>
                <w:tab w:val="left" w:pos="1260"/>
              </w:tabs>
              <w:snapToGrid w:val="0"/>
              <w:spacing w:line="360" w:lineRule="auto"/>
              <w:rPr>
                <w:rFonts w:ascii="宋体" w:hAnsi="宋体" w:cs="仿宋_GB2312"/>
                <w:szCs w:val="21"/>
              </w:rPr>
            </w:pPr>
            <w:r>
              <w:rPr>
                <w:rFonts w:hint="eastAsia" w:ascii="宋体" w:hAnsi="宋体" w:cs="仿宋_GB2312"/>
                <w:szCs w:val="21"/>
              </w:rPr>
              <w:t>根据采购人和采购代理机构签署的委托代理协议书约定：</w:t>
            </w:r>
          </w:p>
          <w:p>
            <w:pPr>
              <w:tabs>
                <w:tab w:val="left" w:pos="1260"/>
              </w:tabs>
              <w:snapToGrid w:val="0"/>
              <w:spacing w:line="360" w:lineRule="auto"/>
              <w:rPr>
                <w:rFonts w:ascii="宋体" w:hAnsi="宋体" w:cs="仿宋_GB2312"/>
                <w:szCs w:val="21"/>
              </w:rPr>
            </w:pPr>
            <w:r>
              <w:rPr>
                <w:rFonts w:hint="eastAsia" w:ascii="宋体" w:hAnsi="宋体" w:cs="仿宋_GB2312"/>
                <w:szCs w:val="21"/>
              </w:rPr>
              <w:t>1.采购代理服务费：</w:t>
            </w:r>
            <w:r>
              <w:rPr>
                <w:rFonts w:hint="eastAsia" w:ascii="宋体" w:hAnsi="宋体" w:cs="仿宋_GB2312"/>
                <w:szCs w:val="21"/>
              </w:rPr>
              <w:sym w:font="Wingdings" w:char="00FE"/>
            </w:r>
            <w:r>
              <w:rPr>
                <w:rFonts w:hint="eastAsia" w:ascii="宋体" w:hAnsi="宋体" w:cs="仿宋_GB2312"/>
                <w:szCs w:val="21"/>
              </w:rPr>
              <w:t xml:space="preserve">由成交供应商支付  </w:t>
            </w:r>
            <w:r>
              <w:rPr>
                <w:rFonts w:hint="eastAsia" w:ascii="宋体" w:hAnsi="宋体" w:cs="仿宋_GB2312"/>
                <w:szCs w:val="21"/>
              </w:rPr>
              <w:sym w:font="Wingdings" w:char="00A8"/>
            </w:r>
            <w:r>
              <w:rPr>
                <w:rFonts w:hint="eastAsia" w:ascii="宋体" w:hAnsi="宋体" w:cs="仿宋_GB2312"/>
                <w:szCs w:val="21"/>
              </w:rPr>
              <w:t>由采购人支付</w:t>
            </w:r>
          </w:p>
          <w:p>
            <w:pPr>
              <w:tabs>
                <w:tab w:val="left" w:pos="1260"/>
              </w:tabs>
              <w:snapToGrid w:val="0"/>
              <w:spacing w:line="360" w:lineRule="auto"/>
              <w:rPr>
                <w:rFonts w:hint="eastAsia" w:ascii="宋体" w:hAnsi="宋体" w:cs="仿宋_GB2312"/>
                <w:szCs w:val="21"/>
              </w:rPr>
            </w:pPr>
            <w:r>
              <w:rPr>
                <w:rFonts w:hint="eastAsia" w:ascii="宋体" w:hAnsi="宋体" w:cs="仿宋_GB2312"/>
                <w:szCs w:val="21"/>
              </w:rPr>
              <w:t>2.支付标准：参照按国家计委计价格[2002]1980号文和发改办[2003]857号文规定的标准费率</w:t>
            </w:r>
            <w:r>
              <w:rPr>
                <w:rFonts w:hint="eastAsia" w:ascii="宋体" w:hAnsi="宋体" w:cs="仿宋_GB2312"/>
                <w:szCs w:val="21"/>
                <w:lang w:val="en-US" w:eastAsia="zh-CN"/>
              </w:rPr>
              <w:t>的70%</w:t>
            </w:r>
            <w:r>
              <w:rPr>
                <w:rFonts w:hint="eastAsia" w:ascii="宋体" w:hAnsi="宋体" w:cs="仿宋_GB2312"/>
                <w:szCs w:val="21"/>
              </w:rPr>
              <w:t>，向成交供应商收取代理服务费。</w:t>
            </w:r>
          </w:p>
          <w:p>
            <w:pPr>
              <w:tabs>
                <w:tab w:val="left" w:pos="1260"/>
              </w:tabs>
              <w:snapToGrid w:val="0"/>
              <w:spacing w:line="360" w:lineRule="auto"/>
              <w:rPr>
                <w:rFonts w:ascii="宋体" w:hAnsi="宋体" w:cs="仿宋_GB2312"/>
                <w:szCs w:val="21"/>
              </w:rPr>
            </w:pPr>
            <w:r>
              <w:rPr>
                <w:rFonts w:hint="eastAsia" w:ascii="宋体" w:hAnsi="宋体" w:cs="仿宋_GB2312"/>
                <w:szCs w:val="21"/>
                <w:lang w:val="en-US" w:eastAsia="zh-CN"/>
              </w:rPr>
              <w:t>3、</w:t>
            </w:r>
            <w:r>
              <w:rPr>
                <w:rFonts w:hint="eastAsia" w:ascii="宋体" w:hAnsi="宋体" w:cs="仿宋_GB2312"/>
                <w:szCs w:val="21"/>
              </w:rPr>
              <w:t>支付时间：采购代理服务费及与本项目相关的论证费用由成交供应商在领取成交通知书的同时，向代理机构支付。</w:t>
            </w:r>
          </w:p>
          <w:p>
            <w:pPr>
              <w:tabs>
                <w:tab w:val="left" w:pos="1260"/>
              </w:tabs>
              <w:snapToGrid w:val="0"/>
              <w:spacing w:line="360" w:lineRule="auto"/>
              <w:rPr>
                <w:rFonts w:ascii="宋体" w:hAnsi="宋体" w:cs="仿宋_GB2312"/>
                <w:szCs w:val="21"/>
              </w:rPr>
            </w:pPr>
            <w:r>
              <w:rPr>
                <w:rFonts w:hint="eastAsia" w:ascii="宋体" w:hAnsi="宋体" w:cs="仿宋_GB2312"/>
                <w:szCs w:val="21"/>
              </w:rPr>
              <w:t>4.支付方式：银行转账。</w:t>
            </w:r>
          </w:p>
          <w:p>
            <w:pPr>
              <w:tabs>
                <w:tab w:val="left" w:pos="1260"/>
              </w:tabs>
              <w:snapToGrid w:val="0"/>
              <w:spacing w:line="360" w:lineRule="auto"/>
              <w:rPr>
                <w:rFonts w:ascii="宋体" w:hAnsi="宋体" w:cs="仿宋_GB2312"/>
                <w:szCs w:val="21"/>
              </w:rPr>
            </w:pPr>
            <w:r>
              <w:rPr>
                <w:rFonts w:hint="eastAsia" w:ascii="宋体" w:hAnsi="宋体" w:cs="仿宋_GB2312"/>
                <w:szCs w:val="21"/>
              </w:rPr>
              <w:t>5.银行账户信息</w:t>
            </w:r>
          </w:p>
          <w:p>
            <w:pPr>
              <w:tabs>
                <w:tab w:val="left" w:pos="1260"/>
              </w:tabs>
              <w:snapToGrid w:val="0"/>
              <w:spacing w:line="360" w:lineRule="auto"/>
              <w:rPr>
                <w:rFonts w:hint="eastAsia" w:ascii="宋体" w:hAnsi="宋体" w:cs="仿宋_GB2312"/>
                <w:szCs w:val="21"/>
                <w:lang w:val="hr-HR"/>
              </w:rPr>
            </w:pPr>
            <w:r>
              <w:rPr>
                <w:rFonts w:hint="eastAsia" w:ascii="宋体" w:hAnsi="宋体" w:cs="仿宋_GB2312"/>
                <w:szCs w:val="21"/>
                <w:lang w:val="hr-HR"/>
              </w:rPr>
              <w:t xml:space="preserve">户名：湖北省招标股份有限公司荆州分公司 </w:t>
            </w:r>
          </w:p>
          <w:p>
            <w:pPr>
              <w:tabs>
                <w:tab w:val="left" w:pos="1260"/>
              </w:tabs>
              <w:snapToGrid w:val="0"/>
              <w:spacing w:line="360" w:lineRule="auto"/>
              <w:rPr>
                <w:rFonts w:hint="eastAsia" w:ascii="宋体" w:hAnsi="宋体" w:cs="仿宋_GB2312"/>
                <w:szCs w:val="21"/>
                <w:lang w:val="hr-HR"/>
              </w:rPr>
            </w:pPr>
            <w:r>
              <w:rPr>
                <w:rFonts w:hint="eastAsia" w:ascii="宋体" w:hAnsi="宋体" w:cs="仿宋_GB2312"/>
                <w:szCs w:val="21"/>
                <w:lang w:val="hr-HR"/>
              </w:rPr>
              <w:t xml:space="preserve">开户行：交通银行股份有限公司荆州分行营业部 </w:t>
            </w:r>
          </w:p>
          <w:p>
            <w:pPr>
              <w:tabs>
                <w:tab w:val="left" w:pos="1260"/>
              </w:tabs>
              <w:snapToGrid w:val="0"/>
              <w:spacing w:line="360" w:lineRule="auto"/>
              <w:rPr>
                <w:rFonts w:hint="eastAsia" w:ascii="宋体" w:hAnsi="宋体" w:cs="仿宋_GB2312"/>
                <w:szCs w:val="21"/>
                <w:lang w:val="hr-HR"/>
              </w:rPr>
            </w:pPr>
            <w:r>
              <w:rPr>
                <w:rFonts w:hint="eastAsia" w:ascii="宋体" w:hAnsi="宋体" w:cs="仿宋_GB2312"/>
                <w:szCs w:val="21"/>
                <w:lang w:val="hr-HR"/>
              </w:rPr>
              <w:t>账号：429899991010003033415</w:t>
            </w:r>
          </w:p>
          <w:p>
            <w:pPr>
              <w:tabs>
                <w:tab w:val="left" w:pos="1260"/>
              </w:tabs>
              <w:snapToGrid w:val="0"/>
              <w:spacing w:line="360" w:lineRule="auto"/>
              <w:rPr>
                <w:rFonts w:ascii="宋体" w:hAnsi="宋体" w:cs="仿宋_GB2312"/>
                <w:szCs w:val="21"/>
              </w:rPr>
            </w:pPr>
            <w:r>
              <w:rPr>
                <w:rFonts w:hint="eastAsia" w:ascii="宋体" w:hAnsi="宋体" w:cs="仿宋_GB2312"/>
                <w:szCs w:val="21"/>
              </w:rPr>
              <w:t>6.其他事项：成交供应商交纳采购代理服务费时需携带以下开票资料：</w:t>
            </w:r>
          </w:p>
          <w:p>
            <w:pPr>
              <w:tabs>
                <w:tab w:val="left" w:pos="1260"/>
              </w:tabs>
              <w:snapToGrid w:val="0"/>
              <w:spacing w:line="360" w:lineRule="auto"/>
              <w:rPr>
                <w:rFonts w:ascii="宋体" w:hAnsi="宋体" w:cs="仿宋_GB2312"/>
                <w:szCs w:val="21"/>
              </w:rPr>
            </w:pPr>
            <w:r>
              <w:rPr>
                <w:rFonts w:hint="eastAsia" w:ascii="宋体" w:hAnsi="宋体" w:cs="仿宋_GB2312"/>
                <w:szCs w:val="21"/>
              </w:rPr>
              <w:t>（1）开票单位名称；</w:t>
            </w:r>
          </w:p>
          <w:p>
            <w:pPr>
              <w:tabs>
                <w:tab w:val="left" w:pos="1260"/>
              </w:tabs>
              <w:snapToGrid w:val="0"/>
              <w:spacing w:line="360" w:lineRule="auto"/>
              <w:rPr>
                <w:rFonts w:ascii="宋体" w:hAnsi="宋体" w:cs="仿宋_GB2312"/>
                <w:szCs w:val="21"/>
              </w:rPr>
            </w:pPr>
            <w:r>
              <w:rPr>
                <w:rFonts w:hint="eastAsia" w:ascii="宋体" w:hAnsi="宋体" w:cs="仿宋_GB2312"/>
                <w:szCs w:val="21"/>
              </w:rPr>
              <w:t>（2）纳税人识别号（或统一社会信用代码）；</w:t>
            </w:r>
          </w:p>
          <w:p>
            <w:pPr>
              <w:tabs>
                <w:tab w:val="left" w:pos="1260"/>
              </w:tabs>
              <w:snapToGrid w:val="0"/>
              <w:spacing w:line="360" w:lineRule="auto"/>
              <w:rPr>
                <w:rFonts w:ascii="宋体" w:hAnsi="宋体" w:cs="仿宋_GB2312"/>
                <w:szCs w:val="21"/>
              </w:rPr>
            </w:pPr>
            <w:r>
              <w:rPr>
                <w:rFonts w:hint="eastAsia" w:ascii="宋体" w:hAnsi="宋体" w:cs="仿宋_GB2312"/>
                <w:szCs w:val="21"/>
              </w:rPr>
              <w:t>（3）营业执照或税务登记证地址；</w:t>
            </w:r>
          </w:p>
          <w:p>
            <w:pPr>
              <w:tabs>
                <w:tab w:val="left" w:pos="1260"/>
              </w:tabs>
              <w:snapToGrid w:val="0"/>
              <w:spacing w:line="360" w:lineRule="auto"/>
              <w:rPr>
                <w:rFonts w:ascii="宋体" w:hAnsi="宋体" w:cs="仿宋_GB2312"/>
                <w:szCs w:val="21"/>
              </w:rPr>
            </w:pPr>
            <w:r>
              <w:rPr>
                <w:rFonts w:hint="eastAsia" w:ascii="宋体" w:hAnsi="宋体" w:cs="仿宋_GB2312"/>
                <w:szCs w:val="21"/>
              </w:rPr>
              <w:t>（4）单位联系电话；</w:t>
            </w:r>
          </w:p>
          <w:p>
            <w:pPr>
              <w:tabs>
                <w:tab w:val="left" w:pos="1260"/>
              </w:tabs>
              <w:snapToGrid w:val="0"/>
              <w:spacing w:line="360" w:lineRule="auto"/>
              <w:rPr>
                <w:rFonts w:ascii="宋体" w:hAnsi="宋体" w:cs="仿宋_GB2312"/>
                <w:szCs w:val="21"/>
              </w:rPr>
            </w:pPr>
            <w:r>
              <w:rPr>
                <w:rFonts w:hint="eastAsia" w:ascii="宋体" w:hAnsi="宋体" w:cs="仿宋_GB2312"/>
                <w:szCs w:val="21"/>
              </w:rPr>
              <w:t>（5）开户行及账号。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543"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6.3</w:t>
            </w:r>
          </w:p>
        </w:tc>
        <w:tc>
          <w:tcPr>
            <w:tcW w:w="1018"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供应商确认收到磋商文件澄清或者修改的时间</w:t>
            </w:r>
          </w:p>
        </w:tc>
        <w:tc>
          <w:tcPr>
            <w:tcW w:w="3437" w:type="pct"/>
            <w:vAlign w:val="center"/>
          </w:tcPr>
          <w:p>
            <w:pPr>
              <w:autoSpaceDE w:val="0"/>
              <w:autoSpaceDN w:val="0"/>
              <w:adjustRightInd w:val="0"/>
              <w:snapToGrid w:val="0"/>
              <w:spacing w:line="360" w:lineRule="auto"/>
              <w:ind w:left="21" w:leftChars="10" w:right="21" w:rightChars="10"/>
              <w:jc w:val="left"/>
              <w:rPr>
                <w:rFonts w:ascii="宋体" w:hAnsi="宋体" w:cs="仿宋_GB2312"/>
                <w:szCs w:val="21"/>
                <w:lang w:val="zh-CN"/>
              </w:rPr>
            </w:pPr>
            <w:r>
              <w:rPr>
                <w:rFonts w:hint="eastAsia" w:ascii="宋体" w:hAnsi="宋体" w:cs="仿宋_GB2312"/>
                <w:szCs w:val="21"/>
                <w:lang w:val="zh-CN"/>
              </w:rPr>
              <w:t>在收到相应澄清或者修改文件后</w:t>
            </w:r>
            <w:r>
              <w:rPr>
                <w:rFonts w:hint="eastAsia" w:ascii="宋体" w:hAnsi="宋体" w:cs="仿宋_GB2312"/>
                <w:szCs w:val="21"/>
              </w:rPr>
              <w:t>24小时</w:t>
            </w:r>
            <w:r>
              <w:rPr>
                <w:rFonts w:hint="eastAsia" w:ascii="宋体" w:hAnsi="宋体" w:cs="仿宋_GB2312"/>
                <w:szCs w:val="21"/>
                <w:lang w:val="zh-CN"/>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543"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7.1</w:t>
            </w:r>
          </w:p>
        </w:tc>
        <w:tc>
          <w:tcPr>
            <w:tcW w:w="1018" w:type="pct"/>
            <w:vAlign w:val="center"/>
          </w:tcPr>
          <w:p>
            <w:pPr>
              <w:autoSpaceDE w:val="0"/>
              <w:autoSpaceDN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踏勘现场</w:t>
            </w:r>
          </w:p>
        </w:tc>
        <w:tc>
          <w:tcPr>
            <w:tcW w:w="3437" w:type="pct"/>
            <w:vAlign w:val="center"/>
          </w:tcPr>
          <w:p>
            <w:pPr>
              <w:pStyle w:val="117"/>
              <w:snapToGrid w:val="0"/>
              <w:spacing w:line="360" w:lineRule="auto"/>
              <w:rPr>
                <w:rFonts w:hint="default" w:ascii="宋体" w:hAnsi="宋体" w:cs="仿宋_GB2312"/>
                <w:b/>
                <w:szCs w:val="21"/>
              </w:rPr>
            </w:pPr>
            <w:r>
              <w:rPr>
                <w:rFonts w:ascii="宋体" w:hAnsi="宋体" w:eastAsia="宋体" w:cs="仿宋_GB2312"/>
                <w:color w:val="auto"/>
                <w:sz w:val="21"/>
                <w:szCs w:val="21"/>
              </w:rPr>
              <w:sym w:font="Wingdings" w:char="00FE"/>
            </w:r>
            <w:r>
              <w:rPr>
                <w:rFonts w:ascii="宋体" w:hAnsi="宋体" w:eastAsia="宋体" w:cs="仿宋_GB2312"/>
                <w:color w:val="auto"/>
                <w:sz w:val="21"/>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543"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10.4</w:t>
            </w:r>
          </w:p>
        </w:tc>
        <w:tc>
          <w:tcPr>
            <w:tcW w:w="1018"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对多包采购</w:t>
            </w:r>
          </w:p>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的规定</w:t>
            </w:r>
          </w:p>
        </w:tc>
        <w:tc>
          <w:tcPr>
            <w:tcW w:w="3437" w:type="pct"/>
            <w:vAlign w:val="center"/>
          </w:tcPr>
          <w:p>
            <w:pPr>
              <w:pStyle w:val="117"/>
              <w:snapToGrid w:val="0"/>
              <w:spacing w:line="360" w:lineRule="auto"/>
              <w:rPr>
                <w:rFonts w:hint="default" w:ascii="宋体" w:hAnsi="宋体" w:eastAsia="宋体" w:cs="仿宋_GB2312"/>
                <w:color w:val="auto"/>
                <w:sz w:val="21"/>
                <w:szCs w:val="21"/>
              </w:rPr>
            </w:pPr>
            <w:r>
              <w:rPr>
                <w:rFonts w:ascii="宋体" w:hAnsi="宋体" w:eastAsia="宋体" w:cs="仿宋_GB2312"/>
                <w:color w:val="auto"/>
                <w:sz w:val="21"/>
                <w:szCs w:val="21"/>
              </w:rPr>
              <w:sym w:font="Wingdings" w:char="00FE"/>
            </w:r>
            <w:r>
              <w:rPr>
                <w:rFonts w:ascii="宋体" w:hAnsi="宋体" w:eastAsia="宋体" w:cs="仿宋_GB2312"/>
                <w:color w:val="auto"/>
                <w:sz w:val="21"/>
                <w:szCs w:val="21"/>
              </w:rPr>
              <w:t>无</w:t>
            </w:r>
          </w:p>
          <w:p>
            <w:pPr>
              <w:adjustRightInd w:val="0"/>
              <w:snapToGrid w:val="0"/>
              <w:spacing w:line="360" w:lineRule="auto"/>
              <w:ind w:right="21" w:rightChars="10"/>
              <w:rPr>
                <w:rFonts w:hint="eastAsia" w:ascii="宋体" w:hAnsi="宋体" w:eastAsia="宋体" w:cs="仿宋_GB2312"/>
                <w:szCs w:val="21"/>
                <w:lang w:val="zh-CN" w:eastAsia="zh-CN"/>
              </w:rPr>
            </w:pPr>
            <w:r>
              <w:rPr>
                <w:rFonts w:hint="eastAsia" w:ascii="宋体" w:hAnsi="宋体" w:cs="仿宋_GB2312"/>
                <w:szCs w:val="21"/>
              </w:rPr>
              <w:sym w:font="Wingdings" w:char="00A8"/>
            </w:r>
            <w:r>
              <w:rPr>
                <w:rFonts w:hint="eastAsia" w:ascii="宋体" w:hAnsi="宋体" w:cs="仿宋_GB2312"/>
                <w:szCs w:val="21"/>
                <w:lang w:val="zh-CN"/>
              </w:rPr>
              <w:t>有：</w:t>
            </w:r>
            <w:r>
              <w:rPr>
                <w:rFonts w:hint="eastAsia" w:ascii="宋体" w:hAnsi="宋体" w:cs="仿宋_GB2312"/>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543"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12.1</w:t>
            </w:r>
          </w:p>
        </w:tc>
        <w:tc>
          <w:tcPr>
            <w:tcW w:w="1018"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备选方案</w:t>
            </w:r>
          </w:p>
        </w:tc>
        <w:tc>
          <w:tcPr>
            <w:tcW w:w="3437" w:type="pct"/>
            <w:vAlign w:val="center"/>
          </w:tcPr>
          <w:p>
            <w:pPr>
              <w:autoSpaceDE w:val="0"/>
              <w:autoSpaceDN w:val="0"/>
              <w:adjustRightInd w:val="0"/>
              <w:snapToGrid w:val="0"/>
              <w:spacing w:line="360" w:lineRule="auto"/>
              <w:ind w:left="21" w:leftChars="10" w:right="21" w:rightChars="10"/>
              <w:jc w:val="left"/>
              <w:rPr>
                <w:rFonts w:ascii="宋体" w:hAnsi="宋体" w:cs="仿宋_GB2312"/>
                <w:szCs w:val="21"/>
                <w:lang w:val="zh-CN"/>
              </w:rPr>
            </w:pPr>
            <w:r>
              <w:rPr>
                <w:rFonts w:hint="eastAsia" w:ascii="宋体" w:hAnsi="宋体" w:cs="仿宋_GB2312"/>
                <w:szCs w:val="21"/>
              </w:rPr>
              <w:sym w:font="Wingdings" w:char="00FE"/>
            </w:r>
            <w:r>
              <w:rPr>
                <w:rFonts w:hint="eastAsia" w:ascii="宋体" w:hAnsi="宋体" w:cs="仿宋_GB2312"/>
                <w:szCs w:val="21"/>
                <w:lang w:val="zh-CN"/>
              </w:rPr>
              <w:t>不接受备选方案</w:t>
            </w:r>
          </w:p>
          <w:p>
            <w:pPr>
              <w:autoSpaceDE w:val="0"/>
              <w:autoSpaceDN w:val="0"/>
              <w:adjustRightInd w:val="0"/>
              <w:snapToGrid w:val="0"/>
              <w:spacing w:line="360" w:lineRule="auto"/>
              <w:ind w:left="21" w:leftChars="10" w:right="21" w:rightChars="10"/>
              <w:jc w:val="left"/>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 xml:space="preserve">接受备选方案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543"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13.1</w:t>
            </w:r>
          </w:p>
        </w:tc>
        <w:tc>
          <w:tcPr>
            <w:tcW w:w="1018"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联合体磋商</w:t>
            </w:r>
          </w:p>
        </w:tc>
        <w:tc>
          <w:tcPr>
            <w:tcW w:w="3437" w:type="pct"/>
            <w:vAlign w:val="center"/>
          </w:tcPr>
          <w:p>
            <w:pPr>
              <w:autoSpaceDE w:val="0"/>
              <w:autoSpaceDN w:val="0"/>
              <w:adjustRightInd w:val="0"/>
              <w:snapToGrid w:val="0"/>
              <w:spacing w:line="360" w:lineRule="auto"/>
              <w:ind w:left="21" w:leftChars="10" w:right="21" w:rightChars="10"/>
              <w:jc w:val="left"/>
              <w:rPr>
                <w:rFonts w:ascii="宋体" w:hAnsi="宋体" w:cs="仿宋_GB2312"/>
                <w:szCs w:val="21"/>
                <w:lang w:val="zh-CN"/>
              </w:rPr>
            </w:pPr>
            <w:r>
              <w:rPr>
                <w:rFonts w:hint="eastAsia" w:ascii="宋体" w:hAnsi="宋体" w:cs="仿宋_GB2312"/>
                <w:szCs w:val="21"/>
              </w:rPr>
              <w:sym w:font="Wingdings" w:char="00FE"/>
            </w:r>
            <w:r>
              <w:rPr>
                <w:rFonts w:hint="eastAsia" w:ascii="宋体" w:hAnsi="宋体" w:cs="仿宋_GB2312"/>
                <w:szCs w:val="21"/>
                <w:lang w:val="zh-CN"/>
              </w:rPr>
              <w:t>不接受联合体</w:t>
            </w:r>
          </w:p>
          <w:p>
            <w:pPr>
              <w:autoSpaceDE w:val="0"/>
              <w:autoSpaceDN w:val="0"/>
              <w:adjustRightInd w:val="0"/>
              <w:snapToGrid w:val="0"/>
              <w:spacing w:line="360" w:lineRule="auto"/>
              <w:ind w:left="21" w:leftChars="10" w:right="21" w:rightChars="10"/>
              <w:jc w:val="left"/>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 xml:space="preserve">接受联合体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543"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14.1</w:t>
            </w:r>
          </w:p>
        </w:tc>
        <w:tc>
          <w:tcPr>
            <w:tcW w:w="1018"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资格证明文件</w:t>
            </w:r>
          </w:p>
        </w:tc>
        <w:tc>
          <w:tcPr>
            <w:tcW w:w="3437" w:type="pct"/>
            <w:vAlign w:val="center"/>
          </w:tcPr>
          <w:p>
            <w:pPr>
              <w:snapToGrid w:val="0"/>
              <w:spacing w:line="360" w:lineRule="auto"/>
              <w:ind w:left="21" w:leftChars="10" w:right="21" w:rightChars="10"/>
              <w:jc w:val="left"/>
              <w:rPr>
                <w:rFonts w:ascii="宋体" w:hAnsi="宋体" w:cs="仿宋_GB2312"/>
                <w:szCs w:val="21"/>
                <w:lang w:val="zh-CN"/>
              </w:rPr>
            </w:pPr>
            <w:r>
              <w:rPr>
                <w:rFonts w:hint="eastAsia" w:ascii="宋体" w:hAnsi="宋体" w:cs="仿宋_GB2312"/>
                <w:szCs w:val="21"/>
                <w:lang w:val="zh-CN"/>
              </w:rPr>
              <w:t>详见第一章“磋商公告”第二项“申请人的资格要求”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3" w:hRule="atLeast"/>
          <w:jc w:val="center"/>
        </w:trPr>
        <w:tc>
          <w:tcPr>
            <w:tcW w:w="543"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14.2</w:t>
            </w:r>
          </w:p>
        </w:tc>
        <w:tc>
          <w:tcPr>
            <w:tcW w:w="1018"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其他资格证明</w:t>
            </w:r>
          </w:p>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文件</w:t>
            </w:r>
          </w:p>
        </w:tc>
        <w:tc>
          <w:tcPr>
            <w:tcW w:w="3437" w:type="pct"/>
            <w:vAlign w:val="center"/>
          </w:tcPr>
          <w:p>
            <w:pPr>
              <w:pStyle w:val="117"/>
              <w:snapToGrid w:val="0"/>
              <w:spacing w:line="360" w:lineRule="auto"/>
              <w:rPr>
                <w:rFonts w:hint="default" w:ascii="宋体" w:hAnsi="宋体" w:eastAsia="宋体" w:cs="仿宋_GB2312"/>
                <w:color w:val="auto"/>
                <w:sz w:val="21"/>
                <w:szCs w:val="21"/>
              </w:rPr>
            </w:pPr>
            <w:r>
              <w:rPr>
                <w:rFonts w:ascii="宋体" w:hAnsi="宋体" w:eastAsia="宋体" w:cs="仿宋_GB2312"/>
                <w:color w:val="auto"/>
                <w:sz w:val="21"/>
                <w:szCs w:val="21"/>
              </w:rPr>
              <w:sym w:font="Wingdings" w:char="00FE"/>
            </w:r>
            <w:r>
              <w:rPr>
                <w:rFonts w:ascii="宋体" w:hAnsi="宋体" w:eastAsia="宋体" w:cs="仿宋_GB2312"/>
                <w:color w:val="auto"/>
                <w:sz w:val="21"/>
                <w:szCs w:val="21"/>
              </w:rPr>
              <w:t>无</w:t>
            </w:r>
          </w:p>
          <w:p>
            <w:pPr>
              <w:adjustRightInd w:val="0"/>
              <w:snapToGrid w:val="0"/>
              <w:spacing w:line="360" w:lineRule="auto"/>
              <w:ind w:right="21" w:rightChars="10"/>
              <w:rPr>
                <w:rFonts w:ascii="宋体" w:hAnsi="宋体" w:cs="仿宋_GB2312"/>
                <w:szCs w:val="21"/>
                <w:u w:val="single"/>
                <w:lang w:val="zh-CN"/>
              </w:rPr>
            </w:pPr>
            <w:r>
              <w:rPr>
                <w:rFonts w:hint="eastAsia" w:ascii="宋体" w:hAnsi="宋体" w:cs="仿宋_GB2312"/>
                <w:szCs w:val="21"/>
              </w:rPr>
              <w:sym w:font="Wingdings" w:char="00A8"/>
            </w:r>
            <w:r>
              <w:rPr>
                <w:rFonts w:hint="eastAsia" w:ascii="宋体" w:hAnsi="宋体" w:cs="仿宋_GB2312"/>
                <w:szCs w:val="21"/>
                <w:lang w:val="zh-CN"/>
              </w:rPr>
              <w:t>有：</w:t>
            </w:r>
            <w:r>
              <w:rPr>
                <w:rFonts w:hint="eastAsia" w:ascii="宋体" w:hAnsi="宋体" w:cs="仿宋_GB2312"/>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543"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15.1</w:t>
            </w:r>
          </w:p>
        </w:tc>
        <w:tc>
          <w:tcPr>
            <w:tcW w:w="1018" w:type="pct"/>
            <w:vAlign w:val="center"/>
          </w:tcPr>
          <w:p>
            <w:pPr>
              <w:autoSpaceDE w:val="0"/>
              <w:autoSpaceDN w:val="0"/>
              <w:adjustRightInd w:val="0"/>
              <w:snapToGrid w:val="0"/>
              <w:spacing w:line="360" w:lineRule="auto"/>
              <w:ind w:left="21" w:leftChars="10" w:right="21" w:rightChars="10"/>
              <w:jc w:val="both"/>
              <w:rPr>
                <w:rFonts w:ascii="宋体" w:hAnsi="宋体" w:cs="仿宋_GB2312"/>
                <w:szCs w:val="21"/>
                <w:lang w:val="zh-CN"/>
              </w:rPr>
            </w:pPr>
            <w:r>
              <w:rPr>
                <w:rFonts w:hint="eastAsia" w:ascii="宋体" w:hAnsi="宋体" w:cs="仿宋_GB2312"/>
                <w:szCs w:val="21"/>
                <w:lang w:val="zh-CN"/>
              </w:rPr>
              <w:t>证明响应内容符合磋商文件要求的文件和磋商文件规定的其他资料</w:t>
            </w:r>
          </w:p>
        </w:tc>
        <w:tc>
          <w:tcPr>
            <w:tcW w:w="3437" w:type="pct"/>
            <w:vAlign w:val="center"/>
          </w:tcPr>
          <w:p>
            <w:pPr>
              <w:adjustRightInd w:val="0"/>
              <w:snapToGrid w:val="0"/>
              <w:spacing w:line="360" w:lineRule="auto"/>
              <w:ind w:right="11"/>
              <w:rPr>
                <w:rFonts w:ascii="宋体" w:hAnsi="宋体" w:cs="仿宋_GB2312"/>
                <w:szCs w:val="21"/>
                <w:lang w:val="zh-CN"/>
              </w:rPr>
            </w:pPr>
            <w:r>
              <w:rPr>
                <w:rFonts w:hint="eastAsia" w:ascii="宋体" w:hAnsi="宋体" w:cs="仿宋_GB2312"/>
                <w:szCs w:val="21"/>
                <w:lang w:val="zh-CN"/>
              </w:rPr>
              <w:t>证明满足磋商文件第三章中技术要求及商务要求的所有相关规定的内容。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543"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1</w:t>
            </w:r>
            <w:r>
              <w:rPr>
                <w:rFonts w:ascii="宋体" w:hAnsi="宋体" w:cs="仿宋_GB2312"/>
                <w:szCs w:val="21"/>
                <w:lang w:val="zh-CN"/>
              </w:rPr>
              <w:t>6</w:t>
            </w:r>
            <w:r>
              <w:rPr>
                <w:rFonts w:hint="eastAsia" w:ascii="宋体" w:hAnsi="宋体" w:cs="仿宋_GB2312"/>
                <w:szCs w:val="21"/>
                <w:lang w:val="zh-CN"/>
              </w:rPr>
              <w:t>.1</w:t>
            </w:r>
          </w:p>
        </w:tc>
        <w:tc>
          <w:tcPr>
            <w:tcW w:w="1018"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响应文件有效期</w:t>
            </w:r>
          </w:p>
        </w:tc>
        <w:tc>
          <w:tcPr>
            <w:tcW w:w="3437" w:type="pct"/>
            <w:vAlign w:val="center"/>
          </w:tcPr>
          <w:p>
            <w:pPr>
              <w:autoSpaceDE w:val="0"/>
              <w:autoSpaceDN w:val="0"/>
              <w:adjustRightInd w:val="0"/>
              <w:snapToGrid w:val="0"/>
              <w:spacing w:line="360" w:lineRule="auto"/>
              <w:ind w:right="10"/>
              <w:rPr>
                <w:rFonts w:ascii="宋体" w:hAnsi="宋体" w:cs="仿宋_GB2312"/>
                <w:szCs w:val="21"/>
                <w:lang w:val="zh-CN"/>
              </w:rPr>
            </w:pPr>
            <w:r>
              <w:rPr>
                <w:rFonts w:hint="eastAsia" w:ascii="宋体" w:hAnsi="宋体"/>
                <w:szCs w:val="21"/>
              </w:rPr>
              <w:t>响应文件递交截止日期后</w:t>
            </w:r>
            <w:r>
              <w:rPr>
                <w:rFonts w:hint="eastAsia" w:ascii="宋体" w:hAnsi="宋体" w:cs="仿宋_GB2312"/>
                <w:color w:val="0000FF"/>
                <w:szCs w:val="21"/>
              </w:rPr>
              <w:t>90</w:t>
            </w:r>
            <w:r>
              <w:rPr>
                <w:rFonts w:hint="eastAsia" w:ascii="宋体" w:hAnsi="宋体"/>
                <w:szCs w:val="21"/>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543"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1</w:t>
            </w:r>
            <w:r>
              <w:rPr>
                <w:rFonts w:ascii="宋体" w:hAnsi="宋体" w:cs="仿宋_GB2312"/>
                <w:szCs w:val="21"/>
                <w:lang w:val="zh-CN"/>
              </w:rPr>
              <w:t>7</w:t>
            </w:r>
            <w:r>
              <w:rPr>
                <w:rFonts w:hint="eastAsia" w:ascii="宋体" w:hAnsi="宋体" w:cs="仿宋_GB2312"/>
                <w:szCs w:val="21"/>
                <w:lang w:val="zh-CN"/>
              </w:rPr>
              <w:t>.1</w:t>
            </w:r>
          </w:p>
        </w:tc>
        <w:tc>
          <w:tcPr>
            <w:tcW w:w="1018"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竞争性磋商</w:t>
            </w:r>
          </w:p>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响应文件</w:t>
            </w:r>
          </w:p>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正、副本数量</w:t>
            </w:r>
          </w:p>
        </w:tc>
        <w:tc>
          <w:tcPr>
            <w:tcW w:w="3437" w:type="pct"/>
            <w:vAlign w:val="center"/>
          </w:tcPr>
          <w:p>
            <w:pPr>
              <w:spacing w:line="360" w:lineRule="auto"/>
              <w:rPr>
                <w:rFonts w:ascii="宋体" w:hAnsi="宋体"/>
                <w:kern w:val="0"/>
                <w:szCs w:val="21"/>
              </w:rPr>
            </w:pPr>
            <w:r>
              <w:rPr>
                <w:rFonts w:hint="eastAsia" w:ascii="宋体" w:hAnsi="宋体"/>
                <w:kern w:val="0"/>
                <w:szCs w:val="21"/>
              </w:rPr>
              <w:t>纸质响应文件：正本</w:t>
            </w:r>
            <w:r>
              <w:rPr>
                <w:rFonts w:hint="eastAsia" w:ascii="宋体" w:hAnsi="宋体" w:cs="仿宋_GB2312"/>
                <w:szCs w:val="21"/>
              </w:rPr>
              <w:t>1</w:t>
            </w:r>
            <w:r>
              <w:rPr>
                <w:rFonts w:hint="eastAsia" w:ascii="宋体" w:hAnsi="宋体"/>
                <w:kern w:val="0"/>
                <w:szCs w:val="21"/>
              </w:rPr>
              <w:t>份，副本</w:t>
            </w:r>
            <w:r>
              <w:rPr>
                <w:rFonts w:hint="eastAsia" w:ascii="宋体" w:hAnsi="宋体" w:cs="仿宋_GB2312"/>
                <w:szCs w:val="21"/>
              </w:rPr>
              <w:t>2</w:t>
            </w:r>
            <w:r>
              <w:rPr>
                <w:rFonts w:hint="eastAsia" w:ascii="宋体" w:hAnsi="宋体"/>
                <w:kern w:val="0"/>
                <w:szCs w:val="21"/>
              </w:rPr>
              <w:t>份。正本和副本的封面上应当清楚地标记“正本”或者“副本”字样。正本和副本不一致时，以正本为准。</w:t>
            </w:r>
          </w:p>
          <w:p>
            <w:pPr>
              <w:spacing w:line="360" w:lineRule="auto"/>
              <w:rPr>
                <w:rFonts w:ascii="宋体" w:hAnsi="宋体"/>
                <w:kern w:val="0"/>
                <w:szCs w:val="21"/>
              </w:rPr>
            </w:pPr>
            <w:r>
              <w:rPr>
                <w:rFonts w:hint="eastAsia" w:ascii="宋体" w:hAnsi="宋体"/>
                <w:kern w:val="0"/>
                <w:szCs w:val="21"/>
              </w:rPr>
              <w:t>电子响应文件：</w:t>
            </w:r>
            <w:r>
              <w:rPr>
                <w:rFonts w:hint="eastAsia" w:ascii="宋体" w:hAnsi="宋体" w:cs="仿宋_GB2312"/>
                <w:szCs w:val="21"/>
              </w:rPr>
              <w:t>1</w:t>
            </w:r>
            <w:r>
              <w:rPr>
                <w:rFonts w:hint="eastAsia" w:ascii="宋体" w:hAnsi="宋体"/>
                <w:kern w:val="0"/>
                <w:szCs w:val="21"/>
              </w:rPr>
              <w:t>份；格式：PDF；介质：U盘。内容与纸质响应文件正本一致，纸质和电子响应文件不一致时，以纸质版为准。</w:t>
            </w:r>
          </w:p>
          <w:p>
            <w:pPr>
              <w:spacing w:line="360" w:lineRule="auto"/>
              <w:rPr>
                <w:rFonts w:ascii="宋体" w:hAnsi="宋体"/>
                <w:kern w:val="0"/>
                <w:szCs w:val="21"/>
              </w:rPr>
            </w:pPr>
            <w:r>
              <w:rPr>
                <w:rFonts w:hint="eastAsia" w:ascii="宋体" w:hAnsi="宋体"/>
                <w:kern w:val="0"/>
                <w:szCs w:val="21"/>
              </w:rPr>
              <w:t>响应文件正本应用不褪色的材料书写或打印，并由供应商代表按磋商文件规定在响应文件上签字并加盖公章。供应商代表是法定代表人的，响应文件应附法定代表人身份证明；供应商代表是授权代理人的，响应文件应附法定代表人签署的授权委托书和授权代理人身份证明。响应文件应尽量避免涂改、行间插字或删除。如果出现上述情况，改动之处应加盖单位章或由供应商代表签字确认</w:t>
            </w:r>
          </w:p>
          <w:p>
            <w:pPr>
              <w:autoSpaceDE w:val="0"/>
              <w:autoSpaceDN w:val="0"/>
              <w:adjustRightInd w:val="0"/>
              <w:snapToGrid w:val="0"/>
              <w:spacing w:line="360" w:lineRule="auto"/>
              <w:ind w:right="11"/>
              <w:rPr>
                <w:rFonts w:ascii="宋体" w:hAnsi="宋体" w:cs="仿宋_GB2312"/>
                <w:szCs w:val="21"/>
                <w:lang w:val="zh-CN"/>
              </w:rPr>
            </w:pPr>
            <w:r>
              <w:rPr>
                <w:rFonts w:hint="eastAsia" w:ascii="宋体" w:hAnsi="宋体"/>
                <w:kern w:val="0"/>
                <w:szCs w:val="21"/>
              </w:rPr>
              <w:t>响应文件因字迹潦草、表达不清或装订不当所引起的后果由供应商负责。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543" w:type="pct"/>
            <w:vMerge w:val="restar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1</w:t>
            </w:r>
            <w:r>
              <w:rPr>
                <w:rFonts w:ascii="宋体" w:hAnsi="宋体" w:cs="仿宋_GB2312"/>
                <w:szCs w:val="21"/>
                <w:lang w:val="zh-CN"/>
              </w:rPr>
              <w:t>8</w:t>
            </w:r>
            <w:r>
              <w:rPr>
                <w:rFonts w:hint="eastAsia" w:ascii="宋体" w:hAnsi="宋体" w:cs="仿宋_GB2312"/>
                <w:szCs w:val="21"/>
                <w:lang w:val="zh-CN"/>
              </w:rPr>
              <w:t>.4</w:t>
            </w:r>
          </w:p>
        </w:tc>
        <w:tc>
          <w:tcPr>
            <w:tcW w:w="1018"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样品</w:t>
            </w:r>
          </w:p>
        </w:tc>
        <w:tc>
          <w:tcPr>
            <w:tcW w:w="3437" w:type="pct"/>
            <w:vAlign w:val="center"/>
          </w:tcPr>
          <w:p>
            <w:pPr>
              <w:pStyle w:val="117"/>
              <w:snapToGrid w:val="0"/>
              <w:spacing w:line="360" w:lineRule="auto"/>
              <w:rPr>
                <w:rFonts w:hint="default" w:ascii="宋体" w:hAnsi="宋体" w:eastAsia="宋体" w:cs="仿宋_GB2312"/>
                <w:color w:val="auto"/>
                <w:sz w:val="21"/>
                <w:szCs w:val="21"/>
              </w:rPr>
            </w:pPr>
            <w:r>
              <w:rPr>
                <w:rFonts w:ascii="宋体" w:hAnsi="宋体" w:eastAsia="宋体" w:cs="仿宋_GB2312"/>
                <w:color w:val="auto"/>
                <w:sz w:val="21"/>
                <w:szCs w:val="21"/>
              </w:rPr>
              <w:sym w:font="Wingdings" w:char="00FE"/>
            </w:r>
            <w:r>
              <w:rPr>
                <w:rFonts w:ascii="宋体" w:hAnsi="宋体" w:eastAsia="宋体" w:cs="仿宋_GB2312"/>
                <w:color w:val="auto"/>
                <w:sz w:val="21"/>
                <w:szCs w:val="21"/>
              </w:rPr>
              <w:t>无</w:t>
            </w:r>
          </w:p>
          <w:p>
            <w:pPr>
              <w:autoSpaceDE w:val="0"/>
              <w:autoSpaceDN w:val="0"/>
              <w:adjustRightInd w:val="0"/>
              <w:snapToGrid w:val="0"/>
              <w:spacing w:line="360" w:lineRule="auto"/>
              <w:ind w:right="10"/>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有：</w:t>
            </w:r>
          </w:p>
          <w:p>
            <w:pPr>
              <w:autoSpaceDE w:val="0"/>
              <w:autoSpaceDN w:val="0"/>
              <w:adjustRightInd w:val="0"/>
              <w:snapToGrid w:val="0"/>
              <w:spacing w:line="360" w:lineRule="auto"/>
              <w:ind w:right="10"/>
              <w:rPr>
                <w:rFonts w:ascii="宋体" w:hAnsi="宋体" w:cs="仿宋_GB2312"/>
                <w:szCs w:val="21"/>
                <w:u w:val="single"/>
                <w:lang w:val="zh-CN"/>
              </w:rPr>
            </w:pPr>
            <w:r>
              <w:rPr>
                <w:rFonts w:hint="eastAsia" w:ascii="宋体" w:hAnsi="宋体" w:cs="仿宋_GB2312"/>
                <w:szCs w:val="21"/>
                <w:lang w:val="zh-CN"/>
              </w:rPr>
              <w:t>样品名称：</w:t>
            </w:r>
            <w:r>
              <w:rPr>
                <w:rFonts w:hint="eastAsia" w:ascii="宋体" w:hAnsi="宋体" w:cs="仿宋_GB2312"/>
                <w:szCs w:val="21"/>
                <w:lang w:val="en-US" w:eastAsia="zh-CN"/>
              </w:rPr>
              <w:t>/</w:t>
            </w:r>
          </w:p>
          <w:p>
            <w:pPr>
              <w:autoSpaceDE w:val="0"/>
              <w:autoSpaceDN w:val="0"/>
              <w:adjustRightInd w:val="0"/>
              <w:snapToGrid w:val="0"/>
              <w:spacing w:line="360" w:lineRule="auto"/>
              <w:ind w:right="10"/>
              <w:rPr>
                <w:rFonts w:ascii="宋体" w:hAnsi="宋体" w:cs="仿宋_GB2312"/>
                <w:szCs w:val="21"/>
                <w:u w:val="single"/>
              </w:rPr>
            </w:pPr>
            <w:r>
              <w:rPr>
                <w:rFonts w:hint="eastAsia" w:ascii="宋体" w:hAnsi="宋体" w:cs="仿宋_GB2312"/>
                <w:szCs w:val="21"/>
                <w:lang w:val="zh-CN"/>
              </w:rPr>
              <w:t>样品数量：</w:t>
            </w:r>
            <w:r>
              <w:rPr>
                <w:rFonts w:hint="eastAsia" w:ascii="宋体" w:hAnsi="宋体" w:cs="仿宋_GB2312"/>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543" w:type="pct"/>
            <w:vMerge w:val="continue"/>
            <w:vAlign w:val="center"/>
          </w:tcPr>
          <w:p>
            <w:pPr>
              <w:autoSpaceDE w:val="0"/>
              <w:autoSpaceDN w:val="0"/>
              <w:adjustRightInd w:val="0"/>
              <w:snapToGrid w:val="0"/>
              <w:spacing w:line="360" w:lineRule="auto"/>
              <w:ind w:left="21" w:leftChars="10" w:right="21" w:rightChars="10"/>
              <w:jc w:val="center"/>
              <w:rPr>
                <w:rFonts w:hint="eastAsia" w:ascii="宋体" w:hAnsi="宋体" w:cs="仿宋_GB2312"/>
                <w:szCs w:val="21"/>
                <w:lang w:val="zh-CN"/>
              </w:rPr>
            </w:pPr>
          </w:p>
        </w:tc>
        <w:tc>
          <w:tcPr>
            <w:tcW w:w="1018" w:type="pct"/>
            <w:vAlign w:val="center"/>
          </w:tcPr>
          <w:p>
            <w:pPr>
              <w:autoSpaceDE w:val="0"/>
              <w:autoSpaceDN w:val="0"/>
              <w:adjustRightInd w:val="0"/>
              <w:snapToGrid w:val="0"/>
              <w:spacing w:line="360" w:lineRule="auto"/>
              <w:ind w:left="21" w:leftChars="10" w:right="21" w:rightChars="10"/>
              <w:jc w:val="center"/>
              <w:rPr>
                <w:rFonts w:hint="default" w:ascii="宋体" w:hAnsi="宋体" w:eastAsia="宋体" w:cs="仿宋_GB2312"/>
                <w:szCs w:val="21"/>
                <w:lang w:val="en-US" w:eastAsia="zh-CN"/>
              </w:rPr>
            </w:pPr>
            <w:r>
              <w:rPr>
                <w:rFonts w:hint="eastAsia" w:ascii="宋体" w:hAnsi="宋体" w:cs="仿宋_GB2312"/>
                <w:szCs w:val="21"/>
                <w:lang w:val="en-US" w:eastAsia="zh-CN"/>
              </w:rPr>
              <w:t>现场演示</w:t>
            </w:r>
          </w:p>
        </w:tc>
        <w:tc>
          <w:tcPr>
            <w:tcW w:w="3437" w:type="pct"/>
            <w:vAlign w:val="center"/>
          </w:tcPr>
          <w:p>
            <w:pPr>
              <w:pStyle w:val="117"/>
              <w:snapToGrid w:val="0"/>
              <w:spacing w:line="360" w:lineRule="auto"/>
              <w:rPr>
                <w:rFonts w:hint="default" w:ascii="宋体" w:hAnsi="宋体" w:eastAsia="宋体" w:cs="仿宋_GB2312"/>
                <w:color w:val="auto"/>
                <w:sz w:val="21"/>
                <w:szCs w:val="21"/>
              </w:rPr>
            </w:pPr>
            <w:r>
              <w:rPr>
                <w:rFonts w:hint="default" w:ascii="宋体" w:hAnsi="宋体" w:eastAsia="宋体" w:cs="仿宋_GB2312"/>
                <w:color w:val="auto"/>
                <w:sz w:val="21"/>
                <w:szCs w:val="21"/>
              </w:rPr>
              <w:sym w:font="Wingdings" w:char="00A8"/>
            </w:r>
            <w:r>
              <w:rPr>
                <w:rFonts w:hint="default" w:ascii="宋体" w:hAnsi="宋体" w:eastAsia="宋体" w:cs="仿宋_GB2312"/>
                <w:color w:val="auto"/>
                <w:sz w:val="21"/>
                <w:szCs w:val="21"/>
              </w:rPr>
              <w:t>无</w:t>
            </w:r>
          </w:p>
          <w:p>
            <w:pPr>
              <w:autoSpaceDE w:val="0"/>
              <w:autoSpaceDN w:val="0"/>
              <w:adjustRightInd w:val="0"/>
              <w:snapToGrid w:val="0"/>
              <w:spacing w:line="360" w:lineRule="auto"/>
              <w:ind w:right="10"/>
              <w:rPr>
                <w:lang w:val="zh-CN"/>
              </w:rPr>
            </w:pPr>
            <w:r>
              <w:rPr>
                <w:rFonts w:hint="eastAsia"/>
              </w:rPr>
              <w:sym w:font="Wingdings" w:char="00FE"/>
            </w:r>
            <w:r>
              <w:rPr>
                <w:rFonts w:hint="eastAsia"/>
                <w:lang w:val="zh-CN"/>
              </w:rPr>
              <w:t>有：</w:t>
            </w:r>
          </w:p>
          <w:p>
            <w:pPr>
              <w:autoSpaceDE w:val="0"/>
              <w:autoSpaceDN w:val="0"/>
              <w:adjustRightInd w:val="0"/>
              <w:snapToGrid w:val="0"/>
              <w:spacing w:line="360" w:lineRule="auto"/>
              <w:ind w:right="10"/>
              <w:rPr>
                <w:rFonts w:hint="eastAsia"/>
              </w:rPr>
            </w:pPr>
            <w:r>
              <w:rPr>
                <w:rFonts w:hint="eastAsia"/>
                <w:lang w:val="en-US" w:eastAsia="zh-CN"/>
              </w:rPr>
              <w:t>现场演示要求：</w:t>
            </w:r>
            <w:r>
              <w:rPr>
                <w:rFonts w:hint="eastAsia"/>
              </w:rPr>
              <w:t>采用可实际运行的原型系统或案例系统进行演示，不接受DEMO、静态网站形式或PPT形式。</w:t>
            </w:r>
          </w:p>
          <w:p>
            <w:pPr>
              <w:autoSpaceDE w:val="0"/>
              <w:autoSpaceDN w:val="0"/>
              <w:adjustRightInd w:val="0"/>
              <w:snapToGrid w:val="0"/>
              <w:spacing w:line="360" w:lineRule="auto"/>
              <w:ind w:right="10"/>
              <w:rPr>
                <w:rFonts w:hint="default" w:eastAsia="宋体"/>
                <w:lang w:val="en-US" w:eastAsia="zh-CN"/>
              </w:rPr>
            </w:pPr>
            <w:r>
              <w:rPr>
                <w:rFonts w:hint="eastAsia"/>
                <w:lang w:val="en-US" w:eastAsia="zh-CN"/>
              </w:rPr>
              <w:t>现场演示的时间要求：每家供应商应将演示时间控制在25分钟以内。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543"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ascii="宋体" w:hAnsi="宋体" w:cs="仿宋_GB2312"/>
                <w:szCs w:val="21"/>
                <w:lang w:val="zh-CN"/>
              </w:rPr>
              <w:t>19</w:t>
            </w:r>
            <w:r>
              <w:rPr>
                <w:rFonts w:hint="eastAsia" w:ascii="宋体" w:hAnsi="宋体" w:cs="仿宋_GB2312"/>
                <w:szCs w:val="21"/>
                <w:lang w:val="zh-CN"/>
              </w:rPr>
              <w:t>.1</w:t>
            </w:r>
          </w:p>
        </w:tc>
        <w:tc>
          <w:tcPr>
            <w:tcW w:w="1018"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磋商响应文件送达地点及递交</w:t>
            </w:r>
          </w:p>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截止时间</w:t>
            </w:r>
          </w:p>
        </w:tc>
        <w:tc>
          <w:tcPr>
            <w:tcW w:w="3437" w:type="pct"/>
            <w:vAlign w:val="center"/>
          </w:tcPr>
          <w:p>
            <w:pPr>
              <w:autoSpaceDE w:val="0"/>
              <w:autoSpaceDN w:val="0"/>
              <w:adjustRightInd w:val="0"/>
              <w:snapToGrid w:val="0"/>
              <w:spacing w:line="360" w:lineRule="auto"/>
              <w:ind w:right="21" w:rightChars="10"/>
              <w:rPr>
                <w:rFonts w:ascii="宋体" w:hAnsi="宋体" w:cs="仿宋_GB2312"/>
                <w:szCs w:val="21"/>
                <w:lang w:val="zh-CN"/>
              </w:rPr>
            </w:pPr>
            <w:r>
              <w:rPr>
                <w:rFonts w:hint="eastAsia" w:ascii="宋体" w:hAnsi="宋体" w:cs="仿宋_GB2312"/>
                <w:szCs w:val="21"/>
                <w:lang w:val="zh-CN"/>
              </w:rPr>
              <w:t>详见第一章“磋商公告”内容。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543"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2</w:t>
            </w:r>
            <w:r>
              <w:rPr>
                <w:rFonts w:hint="eastAsia" w:ascii="宋体" w:hAnsi="宋体" w:cs="仿宋_GB2312"/>
                <w:szCs w:val="21"/>
                <w:lang w:val="zh-CN"/>
              </w:rPr>
              <w:t>.1</w:t>
            </w:r>
          </w:p>
        </w:tc>
        <w:tc>
          <w:tcPr>
            <w:tcW w:w="1018"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磋商小组人数</w:t>
            </w:r>
          </w:p>
        </w:tc>
        <w:tc>
          <w:tcPr>
            <w:tcW w:w="3437" w:type="pct"/>
            <w:vAlign w:val="center"/>
          </w:tcPr>
          <w:p>
            <w:pPr>
              <w:autoSpaceDE w:val="0"/>
              <w:autoSpaceDN w:val="0"/>
              <w:adjustRightInd w:val="0"/>
              <w:snapToGrid w:val="0"/>
              <w:spacing w:line="360" w:lineRule="auto"/>
              <w:ind w:right="21" w:rightChars="10"/>
              <w:rPr>
                <w:rFonts w:ascii="宋体" w:hAnsi="宋体" w:cs="仿宋_GB2312"/>
                <w:szCs w:val="21"/>
                <w:lang w:val="zh-CN"/>
              </w:rPr>
            </w:pPr>
            <w:r>
              <w:rPr>
                <w:rFonts w:hint="eastAsia" w:ascii="宋体" w:hAnsi="宋体" w:cs="仿宋_GB2312"/>
                <w:szCs w:val="21"/>
              </w:rPr>
              <w:t>磋商小组由采购人代表和评审专家共3人以上单数组成，其中评审专家人数不得少于磋商小组成员总数的2/3。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543"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2</w:t>
            </w:r>
            <w:r>
              <w:rPr>
                <w:rFonts w:hint="eastAsia" w:ascii="宋体" w:hAnsi="宋体" w:cs="仿宋_GB2312"/>
                <w:szCs w:val="21"/>
                <w:lang w:val="zh-CN"/>
              </w:rPr>
              <w:t>.2</w:t>
            </w:r>
          </w:p>
        </w:tc>
        <w:tc>
          <w:tcPr>
            <w:tcW w:w="1018"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评审专家的产生</w:t>
            </w:r>
          </w:p>
        </w:tc>
        <w:tc>
          <w:tcPr>
            <w:tcW w:w="3437" w:type="pct"/>
            <w:vAlign w:val="center"/>
          </w:tcPr>
          <w:p>
            <w:pPr>
              <w:pStyle w:val="117"/>
              <w:snapToGrid w:val="0"/>
              <w:spacing w:line="360" w:lineRule="auto"/>
              <w:rPr>
                <w:rFonts w:hint="default" w:ascii="宋体" w:hAnsi="宋体" w:eastAsia="宋体" w:cs="仿宋_GB2312"/>
                <w:color w:val="auto"/>
                <w:sz w:val="21"/>
                <w:szCs w:val="21"/>
                <w:lang w:val="zh-CN"/>
              </w:rPr>
            </w:pPr>
            <w:r>
              <w:rPr>
                <w:rFonts w:ascii="宋体" w:hAnsi="宋体" w:eastAsia="宋体" w:cs="仿宋_GB2312"/>
                <w:color w:val="auto"/>
                <w:sz w:val="21"/>
                <w:szCs w:val="21"/>
              </w:rPr>
              <w:sym w:font="Wingdings" w:char="00FE"/>
            </w:r>
            <w:r>
              <w:rPr>
                <w:rFonts w:ascii="宋体" w:hAnsi="宋体" w:eastAsia="宋体" w:cs="仿宋_GB2312"/>
                <w:color w:val="auto"/>
                <w:sz w:val="21"/>
                <w:szCs w:val="21"/>
              </w:rPr>
              <w:t>湖北省政府采购</w:t>
            </w:r>
            <w:r>
              <w:rPr>
                <w:rFonts w:ascii="宋体" w:hAnsi="宋体" w:eastAsia="宋体" w:cs="仿宋_GB2312"/>
                <w:color w:val="auto"/>
                <w:sz w:val="21"/>
                <w:szCs w:val="21"/>
                <w:lang w:val="zh-CN"/>
              </w:rPr>
              <w:t>专家库中随机抽取</w:t>
            </w:r>
          </w:p>
          <w:p>
            <w:pPr>
              <w:adjustRightInd w:val="0"/>
              <w:snapToGrid w:val="0"/>
              <w:spacing w:line="360" w:lineRule="auto"/>
              <w:ind w:right="21" w:rightChars="10"/>
              <w:rPr>
                <w:rFonts w:ascii="宋体" w:hAnsi="宋体" w:cs="仿宋_GB2312"/>
                <w:snapToGrid w:val="0"/>
                <w:kern w:val="0"/>
                <w:szCs w:val="21"/>
                <w:u w:val="single"/>
                <w:lang w:val="zh-CN"/>
              </w:rPr>
            </w:pPr>
            <w:r>
              <w:rPr>
                <w:rFonts w:ascii="宋体" w:hAnsi="宋体" w:cs="仿宋_GB2312"/>
                <w:szCs w:val="21"/>
              </w:rPr>
              <w:sym w:font="Wingdings" w:char="00A8"/>
            </w:r>
            <w:r>
              <w:rPr>
                <w:rFonts w:hint="eastAsia" w:ascii="宋体" w:hAnsi="宋体" w:cs="仿宋_GB2312"/>
                <w:szCs w:val="21"/>
                <w:lang w:val="zh-CN"/>
              </w:rPr>
              <w:t>其他：</w:t>
            </w:r>
            <w:r>
              <w:rPr>
                <w:rFonts w:hint="eastAsia" w:ascii="宋体" w:hAnsi="宋体" w:cs="仿宋_GB2312"/>
                <w:szCs w:val="21"/>
                <w:lang w:val="en-US" w:eastAsia="zh-CN"/>
              </w:rPr>
              <w:t>/</w:t>
            </w:r>
            <w:r>
              <w:rPr>
                <w:rFonts w:hint="eastAsia" w:ascii="宋体" w:hAnsi="宋体" w:cs="仿宋_GB2312"/>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2" w:hRule="atLeast"/>
          <w:jc w:val="center"/>
        </w:trPr>
        <w:tc>
          <w:tcPr>
            <w:tcW w:w="543"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5</w:t>
            </w:r>
            <w:r>
              <w:rPr>
                <w:rFonts w:hint="eastAsia" w:ascii="宋体" w:hAnsi="宋体" w:cs="仿宋_GB2312"/>
                <w:szCs w:val="21"/>
                <w:lang w:val="zh-CN"/>
              </w:rPr>
              <w:t>.4</w:t>
            </w:r>
          </w:p>
        </w:tc>
        <w:tc>
          <w:tcPr>
            <w:tcW w:w="1018"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确定提交最后报价供应商的方式</w:t>
            </w:r>
          </w:p>
        </w:tc>
        <w:tc>
          <w:tcPr>
            <w:tcW w:w="3437" w:type="pct"/>
            <w:vAlign w:val="center"/>
          </w:tcPr>
          <w:p>
            <w:pPr>
              <w:pStyle w:val="117"/>
              <w:snapToGrid w:val="0"/>
              <w:spacing w:line="360" w:lineRule="auto"/>
              <w:rPr>
                <w:rFonts w:hint="default" w:ascii="宋体" w:hAnsi="宋体" w:eastAsia="宋体" w:cs="仿宋_GB2312"/>
                <w:color w:val="auto"/>
                <w:sz w:val="21"/>
                <w:szCs w:val="21"/>
                <w:lang w:val="zh-CN"/>
              </w:rPr>
            </w:pPr>
            <w:r>
              <w:rPr>
                <w:rFonts w:ascii="宋体" w:hAnsi="宋体" w:eastAsia="宋体" w:cs="仿宋_GB2312"/>
                <w:color w:val="auto"/>
                <w:sz w:val="21"/>
                <w:szCs w:val="21"/>
              </w:rPr>
              <w:sym w:font="Wingdings" w:char="00FE"/>
            </w:r>
            <w:r>
              <w:rPr>
                <w:rFonts w:ascii="宋体" w:hAnsi="宋体" w:eastAsia="宋体" w:cs="仿宋_GB2312"/>
                <w:color w:val="auto"/>
                <w:sz w:val="21"/>
                <w:szCs w:val="21"/>
                <w:lang w:val="zh-CN"/>
              </w:rPr>
              <w:t>本项目按照第（1）条规定确定提交最后报价供应商</w:t>
            </w:r>
          </w:p>
          <w:p>
            <w:pPr>
              <w:adjustRightInd w:val="0"/>
              <w:snapToGrid w:val="0"/>
              <w:spacing w:line="360" w:lineRule="auto"/>
              <w:ind w:right="21" w:rightChars="10"/>
              <w:rPr>
                <w:rFonts w:ascii="宋体" w:hAnsi="宋体" w:cs="仿宋_GB2312"/>
                <w:snapToGrid w:val="0"/>
                <w:kern w:val="0"/>
                <w:szCs w:val="21"/>
                <w:lang w:val="zh-CN"/>
              </w:rPr>
            </w:pPr>
            <w:r>
              <w:rPr>
                <w:rFonts w:hint="eastAsia" w:ascii="宋体" w:hAnsi="宋体" w:cs="仿宋_GB2312"/>
                <w:szCs w:val="21"/>
              </w:rPr>
              <w:sym w:font="Wingdings" w:char="00A8"/>
            </w:r>
            <w:r>
              <w:rPr>
                <w:rFonts w:hint="eastAsia" w:ascii="宋体" w:hAnsi="宋体" w:cs="仿宋_GB2312"/>
                <w:szCs w:val="21"/>
                <w:lang w:val="zh-CN"/>
              </w:rPr>
              <w:t>本项目适用第（2）条规定确定提交最后报价供应商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0" w:hRule="atLeast"/>
          <w:jc w:val="center"/>
        </w:trPr>
        <w:tc>
          <w:tcPr>
            <w:tcW w:w="543"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6</w:t>
            </w:r>
            <w:r>
              <w:rPr>
                <w:rFonts w:hint="eastAsia" w:ascii="宋体" w:hAnsi="宋体" w:cs="仿宋_GB2312"/>
                <w:szCs w:val="21"/>
                <w:lang w:val="zh-CN"/>
              </w:rPr>
              <w:t>.2</w:t>
            </w:r>
          </w:p>
        </w:tc>
        <w:tc>
          <w:tcPr>
            <w:tcW w:w="1018"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推荐成交候选</w:t>
            </w:r>
          </w:p>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供应商数量</w:t>
            </w:r>
          </w:p>
        </w:tc>
        <w:tc>
          <w:tcPr>
            <w:tcW w:w="3437" w:type="pct"/>
            <w:vAlign w:val="center"/>
          </w:tcPr>
          <w:p>
            <w:pPr>
              <w:adjustRightInd w:val="0"/>
              <w:snapToGrid w:val="0"/>
              <w:spacing w:line="360" w:lineRule="auto"/>
              <w:ind w:right="10"/>
              <w:rPr>
                <w:rFonts w:ascii="宋体" w:hAnsi="宋体" w:cs="仿宋_GB2312"/>
                <w:szCs w:val="21"/>
              </w:rPr>
            </w:pPr>
            <w:r>
              <w:rPr>
                <w:rFonts w:hint="eastAsia" w:ascii="宋体" w:hAnsi="宋体" w:cs="仿宋_GB2312"/>
                <w:szCs w:val="21"/>
              </w:rPr>
              <w:t>本项目推荐3名成交候选供应商。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99" w:hRule="atLeast"/>
          <w:jc w:val="center"/>
        </w:trPr>
        <w:tc>
          <w:tcPr>
            <w:tcW w:w="543"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7</w:t>
            </w:r>
            <w:r>
              <w:rPr>
                <w:rFonts w:hint="eastAsia" w:ascii="宋体" w:hAnsi="宋体" w:cs="仿宋_GB2312"/>
                <w:szCs w:val="21"/>
                <w:lang w:val="zh-CN"/>
              </w:rPr>
              <w:t>.4</w:t>
            </w:r>
          </w:p>
        </w:tc>
        <w:tc>
          <w:tcPr>
            <w:tcW w:w="1018"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成交通知书的</w:t>
            </w:r>
          </w:p>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领取时间</w:t>
            </w:r>
          </w:p>
        </w:tc>
        <w:tc>
          <w:tcPr>
            <w:tcW w:w="3437" w:type="pct"/>
            <w:vAlign w:val="center"/>
          </w:tcPr>
          <w:p>
            <w:pPr>
              <w:adjustRightInd w:val="0"/>
              <w:snapToGrid w:val="0"/>
              <w:spacing w:line="360" w:lineRule="auto"/>
              <w:ind w:right="10"/>
              <w:rPr>
                <w:rFonts w:ascii="宋体" w:hAnsi="宋体" w:cs="仿宋_GB2312"/>
                <w:szCs w:val="21"/>
                <w:bdr w:val="single" w:color="auto" w:sz="4" w:space="0"/>
              </w:rPr>
            </w:pPr>
            <w:r>
              <w:rPr>
                <w:rFonts w:hint="eastAsia" w:ascii="宋体" w:hAnsi="宋体" w:cs="仿宋_GB2312"/>
                <w:szCs w:val="21"/>
                <w:lang w:val="zh-CN"/>
              </w:rPr>
              <w:t>成交通知书与成交结果公告同时发出，成交供应商在成交结果公告发布以后即可领取。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543"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8</w:t>
            </w:r>
            <w:r>
              <w:rPr>
                <w:rFonts w:hint="eastAsia" w:ascii="宋体" w:hAnsi="宋体" w:cs="仿宋_GB2312"/>
                <w:szCs w:val="21"/>
                <w:lang w:val="zh-CN"/>
              </w:rPr>
              <w:t>.1</w:t>
            </w:r>
          </w:p>
        </w:tc>
        <w:tc>
          <w:tcPr>
            <w:tcW w:w="1018"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履约保证金</w:t>
            </w:r>
          </w:p>
        </w:tc>
        <w:tc>
          <w:tcPr>
            <w:tcW w:w="3437" w:type="pct"/>
            <w:vAlign w:val="center"/>
          </w:tcPr>
          <w:p>
            <w:pPr>
              <w:pStyle w:val="117"/>
              <w:snapToGrid w:val="0"/>
              <w:spacing w:line="360" w:lineRule="auto"/>
              <w:rPr>
                <w:rFonts w:hint="default" w:ascii="宋体" w:hAnsi="宋体" w:eastAsia="宋体" w:cs="仿宋_GB2312"/>
                <w:color w:val="auto"/>
                <w:sz w:val="21"/>
                <w:szCs w:val="21"/>
                <w:lang w:val="zh-CN"/>
              </w:rPr>
            </w:pPr>
            <w:r>
              <w:rPr>
                <w:rFonts w:ascii="宋体" w:hAnsi="宋体" w:eastAsia="宋体" w:cs="仿宋_GB2312"/>
                <w:color w:val="auto"/>
                <w:sz w:val="21"/>
                <w:szCs w:val="21"/>
              </w:rPr>
              <w:sym w:font="Wingdings" w:char="00FE"/>
            </w:r>
            <w:r>
              <w:rPr>
                <w:rFonts w:ascii="宋体" w:hAnsi="宋体" w:eastAsia="宋体" w:cs="仿宋_GB2312"/>
                <w:color w:val="auto"/>
                <w:sz w:val="21"/>
                <w:szCs w:val="21"/>
              </w:rPr>
              <w:t>无</w:t>
            </w:r>
          </w:p>
          <w:p>
            <w:pPr>
              <w:autoSpaceDE w:val="0"/>
              <w:autoSpaceDN w:val="0"/>
              <w:adjustRightInd w:val="0"/>
              <w:snapToGrid w:val="0"/>
              <w:spacing w:line="360" w:lineRule="auto"/>
              <w:ind w:right="10"/>
              <w:jc w:val="left"/>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有：</w:t>
            </w:r>
          </w:p>
          <w:p>
            <w:pPr>
              <w:adjustRightInd w:val="0"/>
              <w:snapToGrid w:val="0"/>
              <w:spacing w:line="360" w:lineRule="auto"/>
              <w:ind w:right="10"/>
              <w:rPr>
                <w:rFonts w:ascii="宋体" w:hAnsi="宋体" w:cs="仿宋_GB2312"/>
                <w:szCs w:val="21"/>
                <w:lang w:val="zh-CN"/>
              </w:rPr>
            </w:pPr>
            <w:r>
              <w:rPr>
                <w:rFonts w:hint="eastAsia" w:ascii="宋体" w:hAnsi="宋体" w:cs="仿宋_GB2312"/>
                <w:szCs w:val="21"/>
                <w:lang w:val="zh-CN"/>
              </w:rPr>
              <w:t>履约保证金金额：</w:t>
            </w:r>
            <w:r>
              <w:rPr>
                <w:rFonts w:hint="eastAsia" w:ascii="宋体" w:hAnsi="宋体" w:cs="仿宋_GB2312"/>
                <w:szCs w:val="21"/>
                <w:lang w:val="en-US" w:eastAsia="zh-CN"/>
              </w:rPr>
              <w:t>/</w:t>
            </w:r>
            <w:r>
              <w:rPr>
                <w:rFonts w:hint="eastAsia" w:ascii="宋体" w:hAnsi="宋体" w:cs="仿宋_GB2312"/>
                <w:szCs w:val="21"/>
                <w:lang w:val="zh-CN"/>
              </w:rPr>
              <w:t xml:space="preserve">              </w:t>
            </w:r>
          </w:p>
          <w:p>
            <w:pPr>
              <w:adjustRightInd w:val="0"/>
              <w:snapToGrid w:val="0"/>
              <w:spacing w:line="360" w:lineRule="auto"/>
              <w:ind w:right="10"/>
              <w:rPr>
                <w:rFonts w:ascii="宋体" w:hAnsi="宋体" w:cs="仿宋_GB2312"/>
                <w:szCs w:val="21"/>
              </w:rPr>
            </w:pPr>
            <w:r>
              <w:rPr>
                <w:rFonts w:hint="eastAsia" w:ascii="宋体" w:hAnsi="宋体" w:cs="仿宋_GB2312"/>
                <w:szCs w:val="21"/>
                <w:lang w:val="zh-CN"/>
              </w:rPr>
              <w:t>履约保证金提交形式：</w:t>
            </w:r>
            <w:r>
              <w:rPr>
                <w:rFonts w:hint="eastAsia" w:ascii="宋体" w:hAnsi="宋体" w:cs="仿宋_GB2312"/>
                <w:szCs w:val="21"/>
                <w:lang w:val="en-US" w:eastAsia="zh-CN"/>
              </w:rPr>
              <w:t>/</w:t>
            </w:r>
            <w:r>
              <w:rPr>
                <w:rFonts w:hint="eastAsia" w:ascii="宋体" w:hAnsi="宋体" w:cs="仿宋_GB2312"/>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543"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ascii="宋体" w:hAnsi="宋体" w:cs="仿宋_GB2312"/>
                <w:szCs w:val="21"/>
                <w:lang w:val="zh-CN"/>
              </w:rPr>
              <w:t>29</w:t>
            </w:r>
            <w:r>
              <w:rPr>
                <w:rFonts w:hint="eastAsia" w:ascii="宋体" w:hAnsi="宋体" w:cs="仿宋_GB2312"/>
                <w:szCs w:val="21"/>
                <w:lang w:val="zh-CN"/>
              </w:rPr>
              <w:t>.1</w:t>
            </w:r>
          </w:p>
        </w:tc>
        <w:tc>
          <w:tcPr>
            <w:tcW w:w="1018"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质疑期</w:t>
            </w:r>
          </w:p>
        </w:tc>
        <w:tc>
          <w:tcPr>
            <w:tcW w:w="3437" w:type="pct"/>
            <w:vAlign w:val="center"/>
          </w:tcPr>
          <w:p>
            <w:pPr>
              <w:adjustRightInd w:val="0"/>
              <w:snapToGrid w:val="0"/>
              <w:spacing w:line="360" w:lineRule="auto"/>
              <w:ind w:right="10"/>
              <w:rPr>
                <w:rFonts w:ascii="宋体" w:hAnsi="宋体" w:cs="仿宋_GB2312"/>
                <w:szCs w:val="21"/>
              </w:rPr>
            </w:pPr>
            <w:r>
              <w:rPr>
                <w:rFonts w:hint="eastAsia" w:ascii="宋体" w:hAnsi="宋体" w:cs="仿宋_GB2312"/>
                <w:szCs w:val="21"/>
                <w:lang w:val="zh-CN"/>
              </w:rPr>
              <w:t>供应商认为磋商文件、磋商过程和成交结果使自己的权益受到损害的，可以在知道或者应知其权益受到损害之日起7个工作日内，以书面形式向采购人或采购代理机构提出质疑。</w:t>
            </w:r>
            <w:r>
              <w:rPr>
                <w:rFonts w:hint="eastAsia" w:ascii="宋体" w:hAnsi="宋体" w:cs="宋体"/>
                <w:snapToGrid w:val="0"/>
                <w:color w:val="auto"/>
                <w:kern w:val="0"/>
                <w:szCs w:val="21"/>
                <w:lang w:val="zh-CN"/>
              </w:rPr>
              <w:t>我公司受理项目质疑部门为技术部，联系人：刘刚，联系电话：027-87816246。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543"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3</w:t>
            </w:r>
            <w:r>
              <w:rPr>
                <w:rFonts w:ascii="宋体" w:hAnsi="宋体" w:cs="仿宋_GB2312"/>
                <w:szCs w:val="21"/>
                <w:lang w:val="zh-CN"/>
              </w:rPr>
              <w:t>0</w:t>
            </w:r>
            <w:r>
              <w:rPr>
                <w:rFonts w:hint="eastAsia" w:ascii="宋体" w:hAnsi="宋体" w:cs="仿宋_GB2312"/>
                <w:szCs w:val="21"/>
                <w:lang w:val="zh-CN"/>
              </w:rPr>
              <w:t>.1</w:t>
            </w:r>
          </w:p>
        </w:tc>
        <w:tc>
          <w:tcPr>
            <w:tcW w:w="1018"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质疑回复</w:t>
            </w:r>
          </w:p>
        </w:tc>
        <w:tc>
          <w:tcPr>
            <w:tcW w:w="3437" w:type="pct"/>
            <w:vAlign w:val="center"/>
          </w:tcPr>
          <w:p>
            <w:pPr>
              <w:adjustRightInd w:val="0"/>
              <w:snapToGrid w:val="0"/>
              <w:spacing w:line="360" w:lineRule="auto"/>
              <w:ind w:right="10"/>
              <w:rPr>
                <w:rFonts w:ascii="宋体" w:hAnsi="宋体" w:cs="仿宋_GB2312"/>
                <w:szCs w:val="21"/>
              </w:rPr>
            </w:pPr>
            <w:r>
              <w:rPr>
                <w:rFonts w:hint="eastAsia" w:ascii="宋体" w:hAnsi="宋体" w:cs="仿宋_GB2312"/>
                <w:szCs w:val="21"/>
                <w:lang w:val="zh-CN"/>
              </w:rPr>
              <w:t>采购人或采购代理机构应当在收到供应商的书面质疑后7个工作日内作出答复，并以书面形式通知质疑供应商和其他有关供应商，但答复的内容不得涉及商业秘密。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543"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3</w:t>
            </w:r>
            <w:r>
              <w:rPr>
                <w:rFonts w:ascii="宋体" w:hAnsi="宋体" w:cs="仿宋_GB2312"/>
                <w:szCs w:val="21"/>
                <w:lang w:val="zh-CN"/>
              </w:rPr>
              <w:t>2.1</w:t>
            </w:r>
          </w:p>
        </w:tc>
        <w:tc>
          <w:tcPr>
            <w:tcW w:w="1018"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是否接受进口产品</w:t>
            </w:r>
          </w:p>
        </w:tc>
        <w:tc>
          <w:tcPr>
            <w:tcW w:w="3437" w:type="pct"/>
            <w:vAlign w:val="center"/>
          </w:tcPr>
          <w:p>
            <w:pPr>
              <w:pStyle w:val="117"/>
              <w:snapToGrid w:val="0"/>
              <w:spacing w:line="360" w:lineRule="auto"/>
              <w:rPr>
                <w:rFonts w:hint="default" w:ascii="宋体" w:hAnsi="宋体" w:eastAsia="宋体" w:cs="仿宋_GB2312"/>
                <w:color w:val="auto"/>
                <w:sz w:val="21"/>
                <w:szCs w:val="21"/>
              </w:rPr>
            </w:pPr>
            <w:r>
              <w:rPr>
                <w:rFonts w:ascii="宋体" w:hAnsi="宋体" w:eastAsia="宋体" w:cs="仿宋_GB2312"/>
                <w:color w:val="auto"/>
                <w:sz w:val="21"/>
                <w:szCs w:val="21"/>
              </w:rPr>
              <w:sym w:font="Wingdings" w:char="00FE"/>
            </w:r>
            <w:r>
              <w:rPr>
                <w:rFonts w:ascii="宋体" w:hAnsi="宋体" w:eastAsia="宋体" w:cs="仿宋_GB2312"/>
                <w:color w:val="auto"/>
                <w:sz w:val="21"/>
                <w:szCs w:val="21"/>
              </w:rPr>
              <w:t>不接受</w:t>
            </w:r>
          </w:p>
          <w:p>
            <w:pPr>
              <w:adjustRightInd w:val="0"/>
              <w:snapToGrid w:val="0"/>
              <w:spacing w:line="360" w:lineRule="auto"/>
              <w:ind w:right="10"/>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接</w:t>
            </w:r>
            <w:r>
              <w:rPr>
                <w:rFonts w:ascii="宋体" w:hAnsi="宋体" w:cs="仿宋_GB2312"/>
                <w:szCs w:val="21"/>
                <w:lang w:val="zh-CN"/>
              </w:rPr>
              <w:t xml:space="preserve">  </w:t>
            </w:r>
            <w:r>
              <w:rPr>
                <w:rFonts w:hint="eastAsia" w:ascii="宋体" w:hAnsi="宋体" w:cs="仿宋_GB2312"/>
                <w:szCs w:val="21"/>
                <w:lang w:val="zh-CN"/>
              </w:rPr>
              <w:t>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543"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3</w:t>
            </w:r>
            <w:r>
              <w:rPr>
                <w:rFonts w:ascii="宋体" w:hAnsi="宋体" w:cs="仿宋_GB2312"/>
                <w:szCs w:val="21"/>
                <w:lang w:val="zh-CN"/>
              </w:rPr>
              <w:t>3.1</w:t>
            </w:r>
          </w:p>
        </w:tc>
        <w:tc>
          <w:tcPr>
            <w:tcW w:w="1018"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是否专门面向中小企业采购</w:t>
            </w:r>
          </w:p>
        </w:tc>
        <w:tc>
          <w:tcPr>
            <w:tcW w:w="3437" w:type="pct"/>
            <w:vAlign w:val="center"/>
          </w:tcPr>
          <w:p>
            <w:pPr>
              <w:snapToGrid w:val="0"/>
              <w:spacing w:line="300" w:lineRule="auto"/>
              <w:rPr>
                <w:rFonts w:ascii="宋体" w:hAnsi="宋体" w:cs="仿宋_GB2312"/>
                <w:szCs w:val="21"/>
                <w:lang w:val="zh-CN"/>
              </w:rPr>
            </w:pPr>
            <w:r>
              <w:rPr>
                <w:rFonts w:ascii="宋体" w:hAnsi="宋体" w:cs="仿宋_GB2312"/>
                <w:szCs w:val="21"/>
              </w:rPr>
              <w:sym w:font="Wingdings" w:char="00FE"/>
            </w:r>
            <w:r>
              <w:rPr>
                <w:rFonts w:hint="eastAsia" w:ascii="宋体" w:hAnsi="宋体" w:cs="仿宋_GB2312"/>
                <w:szCs w:val="21"/>
                <w:lang w:val="zh-CN"/>
              </w:rPr>
              <w:t>非专门面向中小企业的项目</w:t>
            </w:r>
          </w:p>
          <w:p>
            <w:pPr>
              <w:pStyle w:val="20"/>
              <w:topLinePunct/>
              <w:snapToGrid w:val="0"/>
              <w:spacing w:line="300" w:lineRule="auto"/>
              <w:rPr>
                <w:rFonts w:ascii="宋体" w:hAnsi="宋体" w:cs="仿宋_GB2312"/>
                <w:color w:val="auto"/>
                <w:szCs w:val="21"/>
                <w:lang w:val="zh-CN"/>
              </w:rPr>
            </w:pPr>
            <w:r>
              <w:rPr>
                <w:rFonts w:hint="eastAsia" w:ascii="宋体" w:hAnsi="宋体" w:cs="仿宋_GB2312"/>
                <w:color w:val="auto"/>
                <w:szCs w:val="21"/>
              </w:rPr>
              <w:sym w:font="Wingdings" w:char="00A8"/>
            </w:r>
            <w:r>
              <w:rPr>
                <w:rFonts w:hint="eastAsia" w:ascii="宋体" w:hAnsi="宋体" w:cs="仿宋_GB2312"/>
                <w:color w:val="auto"/>
                <w:szCs w:val="21"/>
                <w:lang w:val="zh-CN"/>
              </w:rPr>
              <w:t>专门面向中小企业的项目</w:t>
            </w:r>
          </w:p>
          <w:p>
            <w:pPr>
              <w:snapToGrid w:val="0"/>
              <w:spacing w:line="300" w:lineRule="auto"/>
              <w:rPr>
                <w:rFonts w:ascii="宋体" w:hAnsi="宋体" w:cs="仿宋_GB2312"/>
                <w:szCs w:val="21"/>
              </w:rPr>
            </w:pPr>
            <w:r>
              <w:rPr>
                <w:rFonts w:hint="eastAsia" w:ascii="宋体" w:hAnsi="宋体" w:cs="仿宋_GB2312"/>
                <w:szCs w:val="21"/>
                <w:lang w:val="zh-CN"/>
              </w:rPr>
              <w:t>专门面向中小企业采购标的内容：</w:t>
            </w:r>
            <w:r>
              <w:rPr>
                <w:rFonts w:hint="eastAsia" w:ascii="宋体" w:hAnsi="宋体" w:cs="仿宋_GB2312"/>
                <w:szCs w:val="21"/>
                <w:lang w:val="en-US" w:eastAsia="zh-CN"/>
              </w:rPr>
              <w:t>/</w:t>
            </w:r>
          </w:p>
          <w:p>
            <w:pPr>
              <w:snapToGrid w:val="0"/>
              <w:spacing w:line="300" w:lineRule="auto"/>
              <w:rPr>
                <w:rFonts w:ascii="宋体" w:hAnsi="宋体"/>
                <w:szCs w:val="21"/>
                <w:u w:val="single"/>
              </w:rPr>
            </w:pPr>
            <w:r>
              <w:rPr>
                <w:rFonts w:hint="eastAsia" w:ascii="宋体" w:hAnsi="宋体" w:cs="仿宋_GB2312"/>
                <w:szCs w:val="21"/>
                <w:lang w:val="zh-CN"/>
              </w:rPr>
              <w:t>专门面向中小企业采购预算金额：</w:t>
            </w:r>
            <w:r>
              <w:rPr>
                <w:rFonts w:hint="eastAsia" w:ascii="宋体" w:hAnsi="宋体" w:cs="仿宋_GB2312"/>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543"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3</w:t>
            </w:r>
            <w:r>
              <w:rPr>
                <w:rFonts w:ascii="宋体" w:hAnsi="宋体" w:cs="仿宋_GB2312"/>
                <w:szCs w:val="21"/>
                <w:lang w:val="zh-CN"/>
              </w:rPr>
              <w:t>3.4</w:t>
            </w:r>
          </w:p>
        </w:tc>
        <w:tc>
          <w:tcPr>
            <w:tcW w:w="1018"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价格扣除比例</w:t>
            </w:r>
          </w:p>
        </w:tc>
        <w:tc>
          <w:tcPr>
            <w:tcW w:w="3437" w:type="pct"/>
            <w:vAlign w:val="center"/>
          </w:tcPr>
          <w:p>
            <w:pPr>
              <w:snapToGrid w:val="0"/>
              <w:spacing w:line="360" w:lineRule="auto"/>
              <w:rPr>
                <w:rFonts w:ascii="宋体" w:hAnsi="宋体"/>
                <w:szCs w:val="21"/>
              </w:rPr>
            </w:pPr>
            <w:r>
              <w:rPr>
                <w:rFonts w:hint="eastAsia" w:ascii="宋体" w:hAnsi="宋体" w:cs="仿宋_GB2312"/>
                <w:szCs w:val="21"/>
              </w:rPr>
              <w:sym w:font="Wingdings" w:char="00A8"/>
            </w:r>
            <w:r>
              <w:rPr>
                <w:rFonts w:hint="eastAsia" w:ascii="宋体" w:hAnsi="宋体"/>
                <w:szCs w:val="21"/>
              </w:rPr>
              <w:t>货物类</w:t>
            </w:r>
            <w:r>
              <w:rPr>
                <w:rFonts w:hint="eastAsia" w:ascii="宋体" w:hAnsi="宋体" w:cs="仿宋_GB2312"/>
                <w:szCs w:val="21"/>
              </w:rPr>
              <w:sym w:font="Wingdings" w:char="00FE"/>
            </w:r>
            <w:r>
              <w:rPr>
                <w:rFonts w:hint="eastAsia" w:ascii="宋体" w:hAnsi="宋体"/>
                <w:szCs w:val="21"/>
              </w:rPr>
              <w:t xml:space="preserve">服务类 </w:t>
            </w:r>
            <w:r>
              <w:rPr>
                <w:rFonts w:hint="eastAsia" w:ascii="宋体" w:hAnsi="宋体" w:cs="仿宋_GB2312"/>
                <w:szCs w:val="21"/>
              </w:rPr>
              <w:sym w:font="Wingdings" w:char="00A8"/>
            </w:r>
            <w:r>
              <w:rPr>
                <w:rFonts w:hint="eastAsia" w:ascii="宋体" w:hAnsi="宋体"/>
                <w:szCs w:val="21"/>
              </w:rPr>
              <w:t>工程类</w:t>
            </w:r>
          </w:p>
          <w:p>
            <w:pPr>
              <w:snapToGrid w:val="0"/>
              <w:spacing w:line="300" w:lineRule="auto"/>
              <w:rPr>
                <w:rFonts w:hint="default" w:ascii="宋体" w:hAnsi="宋体" w:eastAsia="宋体" w:cs="宋体"/>
                <w:szCs w:val="21"/>
                <w:u w:val="single"/>
                <w:lang w:val="en-US" w:eastAsia="zh-CN"/>
              </w:rPr>
            </w:pPr>
            <w:r>
              <w:rPr>
                <w:rFonts w:hint="eastAsia" w:ascii="宋体" w:hAnsi="宋体" w:cs="宋体"/>
                <w:snapToGrid w:val="0"/>
                <w:szCs w:val="21"/>
              </w:rPr>
              <w:t>1.对于未预留份额专门面向中小企业采购的采购项目，以及预留份额项目中的非预留部分采购包，对小微企业报价给予比例扣除，</w:t>
            </w:r>
            <w:r>
              <w:rPr>
                <w:rFonts w:hint="eastAsia" w:ascii="宋体" w:hAnsi="宋体" w:cs="宋体"/>
                <w:szCs w:val="21"/>
                <w:lang w:val="zh-CN"/>
              </w:rPr>
              <w:t>价格扣除比例为：</w:t>
            </w:r>
            <w:r>
              <w:rPr>
                <w:rFonts w:hint="eastAsia" w:ascii="宋体" w:hAnsi="宋体" w:cs="宋体"/>
                <w:szCs w:val="21"/>
                <w:u w:val="single"/>
                <w:lang w:val="en-US" w:eastAsia="zh-CN"/>
              </w:rPr>
              <w:t>20%</w:t>
            </w:r>
          </w:p>
          <w:p>
            <w:pPr>
              <w:snapToGrid w:val="0"/>
              <w:spacing w:line="360" w:lineRule="auto"/>
              <w:rPr>
                <w:rFonts w:hint="default" w:ascii="宋体" w:hAnsi="宋体" w:eastAsia="宋体" w:cs="宋体"/>
                <w:szCs w:val="21"/>
                <w:u w:val="single"/>
                <w:lang w:val="en-US" w:eastAsia="zh-CN"/>
              </w:rPr>
            </w:pPr>
            <w:r>
              <w:rPr>
                <w:rFonts w:hint="eastAsia" w:ascii="宋体" w:hAnsi="宋体" w:cs="宋体"/>
                <w:snapToGrid w:val="0"/>
                <w:szCs w:val="21"/>
              </w:rPr>
              <w:t>2.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比例扣除，</w:t>
            </w:r>
            <w:r>
              <w:rPr>
                <w:rFonts w:hint="eastAsia" w:ascii="宋体" w:hAnsi="宋体" w:cs="宋体"/>
                <w:szCs w:val="21"/>
                <w:lang w:val="zh-CN"/>
              </w:rPr>
              <w:t>价格扣除比例为：</w:t>
            </w:r>
            <w:r>
              <w:rPr>
                <w:rFonts w:hint="eastAsia" w:ascii="宋体" w:hAnsi="宋体" w:cs="宋体"/>
                <w:szCs w:val="21"/>
                <w:u w:val="single"/>
                <w:lang w:val="en-US" w:eastAsia="zh-CN"/>
              </w:rPr>
              <w:t>6%</w:t>
            </w:r>
          </w:p>
          <w:p>
            <w:pPr>
              <w:snapToGrid w:val="0"/>
              <w:spacing w:line="300" w:lineRule="auto"/>
              <w:ind w:firstLine="359" w:firstLineChars="171"/>
              <w:rPr>
                <w:rFonts w:ascii="宋体" w:hAnsi="宋体" w:cs="Arial"/>
                <w:color w:val="FF0000"/>
                <w:szCs w:val="21"/>
              </w:rPr>
            </w:pPr>
            <w:r>
              <w:rPr>
                <w:rFonts w:hint="eastAsia" w:ascii="宋体" w:hAnsi="宋体" w:cs="Arial"/>
                <w:szCs w:val="21"/>
              </w:rPr>
              <w:t>依据湖北省财政厅 湖北省经济和信息化厅《关于进一步加强政府采购促进中小企业发展的通知》（鄂财采发〔2021〕8号）的规定，对于非专门面向中小企业的项目或采购包，按照财库[2020]46号文第九条规定，对符合条件的供应商给予价格评审优惠。其中，对符合以下情形之一的小微企业，以价格优惠幅度的上限享受评审优惠：残疾人企业或监狱企业；纳入创新产品应用示范推荐目录内的企业；政府采购项目的品目属于政府优先采购《节能产品政府采购品目清单》《环境标志产品政府采购品目》范围内，获得相关证书的企业。中小企业应当提供《中小企业声明函》（详见本磋商文件第六章 响应文件格式），对符合鄂财采发〔2021〕8号文第二条第（二）款规定的小微企业，还应提供</w:t>
            </w:r>
            <w:r>
              <w:rPr>
                <w:rFonts w:hint="eastAsia" w:ascii="宋体" w:hAnsi="宋体" w:cs="Arial"/>
                <w:b/>
                <w:szCs w:val="21"/>
              </w:rPr>
              <w:t>符合该条款要求的其他证明材料</w:t>
            </w:r>
            <w:r>
              <w:rPr>
                <w:rFonts w:hint="eastAsia" w:ascii="宋体" w:hAnsi="宋体" w:cs="Arial"/>
                <w:szCs w:val="21"/>
              </w:rPr>
              <w:t>，否则在评审时不享受上述评审优惠。</w:t>
            </w:r>
          </w:p>
          <w:p>
            <w:pPr>
              <w:snapToGrid w:val="0"/>
              <w:spacing w:line="300" w:lineRule="auto"/>
              <w:rPr>
                <w:rFonts w:ascii="宋体" w:hAnsi="宋体" w:cs="仿宋_GB2312"/>
                <w:snapToGrid w:val="0"/>
                <w:kern w:val="0"/>
                <w:szCs w:val="21"/>
              </w:rPr>
            </w:pPr>
            <w:r>
              <w:rPr>
                <w:rFonts w:ascii="宋体" w:hAnsi="宋体" w:cs="Arial"/>
                <w:b/>
                <w:szCs w:val="21"/>
              </w:rPr>
              <w:t>供应商</w:t>
            </w:r>
            <w:r>
              <w:rPr>
                <w:rFonts w:hint="eastAsia" w:ascii="宋体" w:hAnsi="宋体" w:cs="Arial"/>
                <w:b/>
                <w:szCs w:val="21"/>
              </w:rPr>
              <w:t>应当对《中小企业声明函》、监狱企业证明文件、</w:t>
            </w:r>
            <w:r>
              <w:rPr>
                <w:rFonts w:ascii="宋体" w:hAnsi="宋体" w:cs="Arial"/>
                <w:b/>
                <w:szCs w:val="21"/>
              </w:rPr>
              <w:t>《残疾人福利性单位声明函》</w:t>
            </w:r>
            <w:r>
              <w:rPr>
                <w:rFonts w:hint="eastAsia" w:ascii="宋体" w:hAnsi="宋体" w:cs="Arial"/>
                <w:b/>
                <w:szCs w:val="21"/>
              </w:rPr>
              <w:t>及其它符合鄂财采发〔2021〕8号文件第二条第（二）款证明材料的真实性负责，上述材料</w:t>
            </w:r>
            <w:r>
              <w:rPr>
                <w:rFonts w:ascii="宋体" w:hAnsi="宋体" w:cs="Arial"/>
                <w:b/>
                <w:szCs w:val="21"/>
              </w:rPr>
              <w:t>与事实不符的，依照《政府采购法》第七十七条第一款的规定</w:t>
            </w:r>
            <w:r>
              <w:rPr>
                <w:rFonts w:hint="eastAsia" w:ascii="宋体" w:hAnsi="宋体" w:cs="Arial"/>
                <w:b/>
                <w:szCs w:val="21"/>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543"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3</w:t>
            </w:r>
            <w:r>
              <w:rPr>
                <w:rFonts w:ascii="宋体" w:hAnsi="宋体" w:cs="仿宋_GB2312"/>
                <w:szCs w:val="21"/>
                <w:lang w:val="zh-CN"/>
              </w:rPr>
              <w:t>3.5</w:t>
            </w:r>
          </w:p>
        </w:tc>
        <w:tc>
          <w:tcPr>
            <w:tcW w:w="1018"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优惠措施</w:t>
            </w:r>
          </w:p>
        </w:tc>
        <w:tc>
          <w:tcPr>
            <w:tcW w:w="3437" w:type="pct"/>
            <w:vAlign w:val="center"/>
          </w:tcPr>
          <w:p>
            <w:pPr>
              <w:snapToGrid w:val="0"/>
              <w:spacing w:line="300" w:lineRule="auto"/>
              <w:rPr>
                <w:rFonts w:ascii="宋体" w:hAnsi="宋体"/>
                <w:bCs/>
                <w:szCs w:val="21"/>
              </w:rPr>
            </w:pPr>
            <w:r>
              <w:rPr>
                <w:rFonts w:hint="eastAsia" w:ascii="宋体" w:hAnsi="宋体"/>
                <w:szCs w:val="21"/>
              </w:rPr>
              <w:t>对中小企业在资金支付期限方面的优惠措施：按《湖北省财政厅湖北省经济和信息化厅关于进一步加强政府采购促进中小企业发展的通知》鄂财采发〔2021〕8 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43"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3</w:t>
            </w:r>
            <w:r>
              <w:rPr>
                <w:rFonts w:ascii="宋体" w:hAnsi="宋体" w:cs="仿宋_GB2312"/>
                <w:szCs w:val="21"/>
                <w:lang w:val="zh-CN"/>
              </w:rPr>
              <w:t>3.6</w:t>
            </w:r>
          </w:p>
        </w:tc>
        <w:tc>
          <w:tcPr>
            <w:tcW w:w="1018"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所属行业</w:t>
            </w:r>
          </w:p>
        </w:tc>
        <w:tc>
          <w:tcPr>
            <w:tcW w:w="3437" w:type="pct"/>
            <w:vAlign w:val="center"/>
          </w:tcPr>
          <w:p>
            <w:pPr>
              <w:snapToGrid w:val="0"/>
              <w:spacing w:line="300" w:lineRule="auto"/>
              <w:rPr>
                <w:rFonts w:ascii="宋体" w:hAnsi="宋体" w:cs="仿宋_GB2312"/>
                <w:szCs w:val="21"/>
                <w:u w:val="single"/>
                <w:lang w:val="zh-CN"/>
              </w:rPr>
            </w:pPr>
            <w:r>
              <w:rPr>
                <w:rFonts w:hint="eastAsia" w:ascii="宋体" w:hAnsi="宋体" w:cs="仿宋_GB2312"/>
                <w:szCs w:val="21"/>
              </w:rPr>
              <w:t>根据工信部 统计局 发改委 财政部《中小企业划型标准规定》（</w:t>
            </w:r>
            <w:r>
              <w:rPr>
                <w:rFonts w:ascii="宋体" w:hAnsi="宋体" w:cs="仿宋_GB2312"/>
                <w:szCs w:val="21"/>
              </w:rPr>
              <w:t>工信部联企业〔2011〕300号</w:t>
            </w:r>
            <w:r>
              <w:rPr>
                <w:rFonts w:hint="eastAsia" w:ascii="宋体" w:hAnsi="宋体" w:cs="仿宋_GB2312"/>
                <w:szCs w:val="21"/>
              </w:rPr>
              <w:t>），本项目采购标的的对应的中小企业划分标准所属行业为：</w:t>
            </w:r>
            <w:r>
              <w:rPr>
                <w:rFonts w:hint="eastAsia" w:ascii="宋体" w:hAnsi="宋体" w:cs="仿宋_GB2312"/>
                <w:szCs w:val="21"/>
                <w:u w:val="single"/>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543"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3</w:t>
            </w:r>
            <w:r>
              <w:rPr>
                <w:rFonts w:ascii="宋体" w:hAnsi="宋体" w:cs="仿宋_GB2312"/>
                <w:szCs w:val="21"/>
                <w:lang w:val="zh-CN"/>
              </w:rPr>
              <w:t>4.1</w:t>
            </w:r>
          </w:p>
        </w:tc>
        <w:tc>
          <w:tcPr>
            <w:tcW w:w="1018"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采购节能产品政策</w:t>
            </w:r>
          </w:p>
        </w:tc>
        <w:tc>
          <w:tcPr>
            <w:tcW w:w="3437" w:type="pct"/>
            <w:vAlign w:val="center"/>
          </w:tcPr>
          <w:p>
            <w:pPr>
              <w:spacing w:line="360" w:lineRule="auto"/>
              <w:rPr>
                <w:rFonts w:ascii="宋体" w:hAnsi="宋体" w:cs="仿宋_GB2312"/>
                <w:b/>
                <w:bCs/>
                <w:szCs w:val="21"/>
                <w:u w:val="single"/>
              </w:rPr>
            </w:pPr>
            <w:r>
              <w:rPr>
                <w:rFonts w:hint="eastAsia" w:ascii="宋体" w:hAnsi="宋体" w:cs="仿宋_GB2312"/>
                <w:szCs w:val="21"/>
              </w:rPr>
              <w:t>依据财库[2019]19号文的规定，投标产品为《</w:t>
            </w:r>
            <w:r>
              <w:fldChar w:fldCharType="begin"/>
            </w:r>
            <w:r>
              <w:instrText xml:space="preserve"> HYPERLINK "http://gks.mof.gov.cn/zhengfucaigouguanli/201904/P020190404409422168443.pdf" </w:instrText>
            </w:r>
            <w:r>
              <w:fldChar w:fldCharType="separate"/>
            </w:r>
            <w:r>
              <w:rPr>
                <w:rFonts w:hint="eastAsia" w:ascii="宋体" w:hAnsi="宋体" w:cs="仿宋_GB2312"/>
                <w:szCs w:val="21"/>
              </w:rPr>
              <w:t>节能产品政府采购品目清单</w:t>
            </w:r>
            <w:r>
              <w:rPr>
                <w:rFonts w:hint="eastAsia" w:ascii="宋体" w:hAnsi="宋体" w:cs="仿宋_GB2312"/>
                <w:szCs w:val="21"/>
              </w:rPr>
              <w:fldChar w:fldCharType="end"/>
            </w:r>
            <w:r>
              <w:rPr>
                <w:rFonts w:hint="eastAsia" w:ascii="宋体" w:hAnsi="宋体" w:cs="仿宋_GB2312"/>
                <w:szCs w:val="21"/>
              </w:rPr>
              <w:t>》强制性采购内容的，</w:t>
            </w:r>
            <w:r>
              <w:rPr>
                <w:rFonts w:hint="eastAsia" w:ascii="宋体" w:hAnsi="宋体" w:cs="仿宋_GB2312"/>
                <w:b/>
                <w:bCs/>
                <w:szCs w:val="21"/>
                <w:u w:val="single"/>
              </w:rPr>
              <w:t>须提供国家确定的认证机构出具的、处于有效期内的节能产品认证证书或中国政府采购网节能产品查询截图，未提供的视为无效响应（认证证书或查询截图的产品型号与所投产品不一致的，视为未提供）；</w:t>
            </w:r>
          </w:p>
          <w:p>
            <w:pPr>
              <w:snapToGrid w:val="0"/>
              <w:spacing w:line="300" w:lineRule="auto"/>
              <w:rPr>
                <w:rFonts w:ascii="宋体" w:hAnsi="宋体" w:cs="仿宋_GB2312"/>
                <w:szCs w:val="21"/>
              </w:rPr>
            </w:pPr>
            <w:r>
              <w:rPr>
                <w:rFonts w:hint="eastAsia" w:ascii="宋体" w:hAnsi="宋体" w:cs="仿宋_GB2312"/>
                <w:szCs w:val="21"/>
              </w:rPr>
              <w:t>投标产品为《</w:t>
            </w:r>
            <w:r>
              <w:fldChar w:fldCharType="begin"/>
            </w:r>
            <w:r>
              <w:instrText xml:space="preserve"> HYPERLINK "http://gks.mof.gov.cn/zhengfucaigouguanli/201904/P020190404409422168443.pdf" </w:instrText>
            </w:r>
            <w:r>
              <w:fldChar w:fldCharType="separate"/>
            </w:r>
            <w:r>
              <w:rPr>
                <w:rFonts w:hint="eastAsia" w:ascii="宋体" w:hAnsi="宋体" w:cs="仿宋_GB2312"/>
                <w:szCs w:val="21"/>
              </w:rPr>
              <w:t>节能产品政府采购品目清单</w:t>
            </w:r>
            <w:r>
              <w:rPr>
                <w:rFonts w:hint="eastAsia" w:ascii="宋体" w:hAnsi="宋体" w:cs="仿宋_GB2312"/>
                <w:szCs w:val="21"/>
              </w:rPr>
              <w:fldChar w:fldCharType="end"/>
            </w:r>
            <w:r>
              <w:rPr>
                <w:rFonts w:hint="eastAsia" w:ascii="宋体" w:hAnsi="宋体" w:cs="仿宋_GB2312"/>
                <w:szCs w:val="21"/>
              </w:rPr>
              <w:t>》非强制性采购内容的，</w:t>
            </w:r>
            <w:r>
              <w:rPr>
                <w:rFonts w:hint="eastAsia" w:ascii="宋体" w:hAnsi="宋体" w:cs="仿宋_GB2312"/>
                <w:b/>
                <w:bCs/>
                <w:szCs w:val="21"/>
                <w:u w:val="single"/>
              </w:rPr>
              <w:t>提供国家确定的认证机构出具的节能产品认证证书或中国政府采购网节能产品查询截图</w:t>
            </w:r>
            <w:r>
              <w:rPr>
                <w:rFonts w:hint="eastAsia" w:ascii="宋体" w:hAnsi="宋体" w:cs="仿宋_GB2312"/>
                <w:szCs w:val="21"/>
              </w:rPr>
              <w:t>，给予该项产品价格1%的扣除，用扣除后的价格参与评审</w:t>
            </w:r>
            <w:r>
              <w:rPr>
                <w:rFonts w:hint="eastAsia" w:ascii="宋体" w:hAnsi="宋体" w:cs="仿宋_GB2312"/>
                <w:b/>
                <w:bCs/>
                <w:szCs w:val="21"/>
                <w:u w:val="single"/>
              </w:rPr>
              <w:t>（认证证书或查询截图的产品型号与所投产品不一致的，视为未提供）</w:t>
            </w:r>
            <w:r>
              <w:rPr>
                <w:rFonts w:hint="eastAsia" w:ascii="宋体" w:hAnsi="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543"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3</w:t>
            </w:r>
            <w:r>
              <w:rPr>
                <w:rFonts w:ascii="宋体" w:hAnsi="宋体" w:cs="仿宋_GB2312"/>
                <w:szCs w:val="21"/>
                <w:lang w:val="zh-CN"/>
              </w:rPr>
              <w:t>4.2</w:t>
            </w:r>
          </w:p>
        </w:tc>
        <w:tc>
          <w:tcPr>
            <w:tcW w:w="1018"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采购环保产品政策</w:t>
            </w:r>
          </w:p>
        </w:tc>
        <w:tc>
          <w:tcPr>
            <w:tcW w:w="3437" w:type="pct"/>
            <w:vAlign w:val="center"/>
          </w:tcPr>
          <w:p>
            <w:pPr>
              <w:spacing w:line="360" w:lineRule="auto"/>
              <w:rPr>
                <w:rFonts w:ascii="宋体" w:hAnsi="宋体"/>
                <w:szCs w:val="21"/>
              </w:rPr>
            </w:pPr>
            <w:r>
              <w:rPr>
                <w:rFonts w:hint="eastAsia" w:ascii="宋体" w:hAnsi="宋体" w:cs="仿宋_GB2312"/>
                <w:szCs w:val="21"/>
              </w:rPr>
              <w:t>依据财库[2019]18号文的规定，投标产品为《环保标志产品政府采购品目清单》内容的，</w:t>
            </w:r>
            <w:r>
              <w:rPr>
                <w:rFonts w:hint="eastAsia" w:ascii="宋体" w:hAnsi="宋体"/>
                <w:szCs w:val="21"/>
              </w:rPr>
              <w:t>须提供国家确定的认证机构出具的</w:t>
            </w:r>
            <w:r>
              <w:rPr>
                <w:rFonts w:hint="eastAsia" w:ascii="宋体" w:hAnsi="宋体" w:cs="仿宋_GB2312"/>
                <w:b/>
                <w:bCs/>
                <w:szCs w:val="21"/>
                <w:u w:val="single"/>
              </w:rPr>
              <w:t>环境标志产品认证证书或中国政府采购网环境标志产品查询截图</w:t>
            </w:r>
            <w:r>
              <w:rPr>
                <w:rFonts w:hint="eastAsia" w:ascii="宋体" w:hAnsi="宋体" w:cs="仿宋_GB2312"/>
                <w:szCs w:val="21"/>
              </w:rPr>
              <w:t>，给予该项产品价格1%的扣除，用扣除后的价格参与评审</w:t>
            </w:r>
            <w:r>
              <w:rPr>
                <w:rFonts w:hint="eastAsia" w:ascii="宋体" w:hAnsi="宋体" w:cs="仿宋_GB2312"/>
                <w:b/>
                <w:bCs/>
                <w:szCs w:val="21"/>
                <w:u w:val="single"/>
              </w:rPr>
              <w:t>（认证证书或查询截图的产品型号与所投产品不一致的，视为未提供）</w:t>
            </w:r>
            <w:r>
              <w:rPr>
                <w:rFonts w:hint="eastAsia" w:ascii="宋体" w:hAnsi="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543"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九</w:t>
            </w:r>
          </w:p>
        </w:tc>
        <w:tc>
          <w:tcPr>
            <w:tcW w:w="1018"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其他要求</w:t>
            </w:r>
          </w:p>
        </w:tc>
        <w:tc>
          <w:tcPr>
            <w:tcW w:w="3437" w:type="pct"/>
            <w:vAlign w:val="center"/>
          </w:tcPr>
          <w:p>
            <w:pPr>
              <w:adjustRightInd w:val="0"/>
              <w:snapToGrid w:val="0"/>
              <w:spacing w:line="360" w:lineRule="auto"/>
              <w:ind w:right="10"/>
              <w:rPr>
                <w:rFonts w:ascii="宋体" w:hAnsi="宋体" w:cs="仿宋_GB2312"/>
                <w:szCs w:val="21"/>
                <w:lang w:val="zh-CN"/>
              </w:rPr>
            </w:pPr>
            <w:r>
              <w:rPr>
                <w:rFonts w:hint="eastAsia" w:ascii="宋体" w:hAnsi="宋体" w:cs="仿宋_GB2312"/>
                <w:szCs w:val="21"/>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5000" w:type="pct"/>
            <w:gridSpan w:val="3"/>
            <w:vAlign w:val="center"/>
          </w:tcPr>
          <w:p>
            <w:pPr>
              <w:adjustRightInd w:val="0"/>
              <w:snapToGrid w:val="0"/>
              <w:spacing w:line="360" w:lineRule="auto"/>
              <w:ind w:right="10"/>
              <w:jc w:val="center"/>
              <w:rPr>
                <w:rFonts w:ascii="宋体" w:hAnsi="宋体" w:cs="仿宋_GB2312"/>
                <w:szCs w:val="21"/>
                <w:lang w:val="zh-CN"/>
              </w:rPr>
            </w:pPr>
            <w:r>
              <w:rPr>
                <w:rFonts w:hint="eastAsia" w:ascii="宋体" w:hAnsi="宋体" w:cs="仿宋_GB2312"/>
                <w:szCs w:val="21"/>
                <w:lang w:val="zh-CN"/>
              </w:rPr>
              <w:t>其他补充事项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5000" w:type="pct"/>
            <w:gridSpan w:val="3"/>
            <w:vAlign w:val="center"/>
          </w:tcPr>
          <w:p>
            <w:pPr>
              <w:spacing w:line="360" w:lineRule="auto"/>
              <w:ind w:firstLine="420" w:firstLineChars="200"/>
              <w:rPr>
                <w:rFonts w:ascii="宋体" w:hAnsi="宋体"/>
                <w:szCs w:val="21"/>
              </w:rPr>
            </w:pPr>
            <w:r>
              <w:rPr>
                <w:rFonts w:hint="eastAsia" w:ascii="宋体" w:hAnsi="宋体"/>
                <w:szCs w:val="21"/>
              </w:rPr>
              <w:t>1.除本磋商文件另有规定外，磋商文件中出现的类似于“近三年”或“前三年”、“近五年”或“前五年”均指递交响应文件时间以前3年或前5年，以此类推。如：递交响应文件时间为2020年3月1日，则“近三年”是指2017年3月1日至2020年2月29日。</w:t>
            </w:r>
          </w:p>
          <w:p>
            <w:pPr>
              <w:spacing w:line="360" w:lineRule="auto"/>
              <w:ind w:firstLine="420" w:firstLineChars="200"/>
              <w:rPr>
                <w:rFonts w:ascii="宋体" w:hAnsi="宋体"/>
                <w:szCs w:val="21"/>
              </w:rPr>
            </w:pPr>
            <w:r>
              <w:rPr>
                <w:rFonts w:hint="eastAsia" w:ascii="宋体" w:hAnsi="宋体"/>
                <w:szCs w:val="21"/>
              </w:rPr>
              <w:t>2.本磋商文件所称的“以上”、“以下”、“内”、“以内”，包括本数；所称的“不足”，不包括本数。</w:t>
            </w:r>
          </w:p>
          <w:p>
            <w:pPr>
              <w:adjustRightInd w:val="0"/>
              <w:snapToGrid w:val="0"/>
              <w:spacing w:line="360" w:lineRule="auto"/>
              <w:ind w:right="10" w:firstLine="420" w:firstLineChars="200"/>
              <w:rPr>
                <w:rFonts w:ascii="宋体" w:hAnsi="宋体" w:cs="仿宋_GB2312"/>
                <w:szCs w:val="21"/>
                <w:lang w:val="zh-CN"/>
              </w:rPr>
            </w:pPr>
            <w:r>
              <w:rPr>
                <w:rFonts w:hint="eastAsia" w:ascii="宋体" w:hAnsi="宋体"/>
                <w:szCs w:val="21"/>
              </w:rPr>
              <w:t>3.供应商须知前附表中，“</w:t>
            </w:r>
            <w:r>
              <w:rPr>
                <w:rFonts w:hint="eastAsia" w:ascii="宋体" w:hAnsi="宋体" w:cs="仿宋_GB2312"/>
                <w:szCs w:val="21"/>
              </w:rPr>
              <w:sym w:font="Wingdings" w:char="00FE"/>
            </w:r>
            <w:r>
              <w:rPr>
                <w:rFonts w:hint="eastAsia" w:ascii="宋体" w:hAnsi="宋体"/>
                <w:szCs w:val="21"/>
              </w:rPr>
              <w:t>”代表选中，“</w:t>
            </w:r>
            <w:r>
              <w:rPr>
                <w:rFonts w:hint="eastAsia" w:ascii="宋体" w:hAnsi="宋体" w:cs="仿宋_GB2312"/>
                <w:szCs w:val="21"/>
              </w:rPr>
              <w:sym w:font="Wingdings" w:char="00A8"/>
            </w:r>
            <w:r>
              <w:rPr>
                <w:rFonts w:hint="eastAsia" w:ascii="宋体" w:hAnsi="宋体"/>
                <w:szCs w:val="21"/>
              </w:rPr>
              <w:t>”代表未选中。</w:t>
            </w:r>
          </w:p>
        </w:tc>
      </w:tr>
    </w:tbl>
    <w:p>
      <w:pPr>
        <w:widowControl/>
        <w:jc w:val="left"/>
        <w:rPr>
          <w:rFonts w:ascii="宋体" w:hAnsi="宋体" w:cs="仿宋_GB2312"/>
        </w:rPr>
      </w:pPr>
    </w:p>
    <w:p>
      <w:pPr>
        <w:autoSpaceDE w:val="0"/>
        <w:autoSpaceDN w:val="0"/>
        <w:adjustRightInd w:val="0"/>
        <w:snapToGrid w:val="0"/>
        <w:spacing w:line="360" w:lineRule="auto"/>
        <w:jc w:val="center"/>
        <w:outlineLvl w:val="1"/>
        <w:rPr>
          <w:rFonts w:ascii="宋体" w:hAnsi="宋体" w:cs="仿宋_GB2312"/>
          <w:b/>
          <w:sz w:val="28"/>
          <w:szCs w:val="28"/>
        </w:rPr>
      </w:pPr>
      <w:r>
        <w:rPr>
          <w:rFonts w:hint="eastAsia" w:ascii="宋体" w:hAnsi="宋体" w:cs="仿宋_GB2312"/>
          <w:b/>
          <w:szCs w:val="21"/>
        </w:rPr>
        <w:br w:type="page"/>
      </w:r>
      <w:bookmarkStart w:id="76" w:name="_Toc30518"/>
      <w:bookmarkStart w:id="77" w:name="_Toc470172662"/>
      <w:r>
        <w:rPr>
          <w:rFonts w:hint="eastAsia" w:ascii="宋体" w:hAnsi="宋体" w:cs="仿宋_GB2312"/>
          <w:b/>
          <w:sz w:val="28"/>
          <w:szCs w:val="28"/>
        </w:rPr>
        <w:t>二、供应商须知</w:t>
      </w:r>
      <w:bookmarkEnd w:id="76"/>
      <w:bookmarkEnd w:id="77"/>
    </w:p>
    <w:p>
      <w:pPr>
        <w:tabs>
          <w:tab w:val="left" w:pos="425"/>
          <w:tab w:val="left" w:pos="540"/>
        </w:tabs>
        <w:snapToGrid w:val="0"/>
        <w:spacing w:line="360" w:lineRule="auto"/>
        <w:ind w:firstLine="482" w:firstLineChars="200"/>
        <w:outlineLvl w:val="1"/>
        <w:rPr>
          <w:rFonts w:ascii="宋体" w:hAnsi="宋体" w:cs="仿宋_GB2312"/>
          <w:b/>
          <w:sz w:val="24"/>
        </w:rPr>
      </w:pPr>
      <w:bookmarkStart w:id="78" w:name="_Toc18069"/>
      <w:bookmarkStart w:id="79" w:name="_Toc46771638"/>
      <w:bookmarkStart w:id="80" w:name="_Toc470172694"/>
      <w:r>
        <w:rPr>
          <w:rFonts w:hint="eastAsia" w:ascii="宋体" w:hAnsi="宋体" w:cs="仿宋_GB2312"/>
          <w:b/>
          <w:sz w:val="24"/>
        </w:rPr>
        <w:t>（一）总则</w:t>
      </w:r>
      <w:bookmarkEnd w:id="78"/>
      <w:bookmarkEnd w:id="79"/>
    </w:p>
    <w:p>
      <w:pPr>
        <w:tabs>
          <w:tab w:val="left" w:pos="540"/>
        </w:tabs>
        <w:snapToGrid w:val="0"/>
        <w:spacing w:line="360" w:lineRule="auto"/>
        <w:ind w:firstLine="482" w:firstLineChars="200"/>
        <w:outlineLvl w:val="1"/>
        <w:rPr>
          <w:rFonts w:ascii="宋体" w:hAnsi="宋体" w:cs="仿宋_GB2312"/>
          <w:b/>
          <w:sz w:val="24"/>
        </w:rPr>
      </w:pPr>
      <w:bookmarkStart w:id="81" w:name="_Toc9792"/>
      <w:bookmarkStart w:id="82" w:name="_Toc470172664"/>
      <w:bookmarkStart w:id="83" w:name="_Toc46771639"/>
      <w:bookmarkStart w:id="84" w:name="_Toc46772240"/>
      <w:bookmarkStart w:id="85" w:name="_Toc52960552"/>
      <w:bookmarkStart w:id="86" w:name="_Toc27243"/>
      <w:bookmarkStart w:id="87" w:name="_Toc48688788"/>
      <w:bookmarkStart w:id="88" w:name="_Toc52962726"/>
      <w:bookmarkStart w:id="89" w:name="_Toc48846108"/>
      <w:bookmarkStart w:id="90" w:name="_Toc51674210"/>
      <w:r>
        <w:rPr>
          <w:rFonts w:hint="eastAsia" w:ascii="宋体" w:hAnsi="宋体" w:cs="仿宋_GB2312"/>
          <w:b/>
          <w:sz w:val="24"/>
        </w:rPr>
        <w:t>1.适用范围</w:t>
      </w:r>
      <w:bookmarkEnd w:id="81"/>
      <w:bookmarkEnd w:id="82"/>
      <w:bookmarkEnd w:id="83"/>
      <w:bookmarkEnd w:id="84"/>
      <w:bookmarkEnd w:id="85"/>
      <w:bookmarkEnd w:id="86"/>
      <w:bookmarkEnd w:id="87"/>
      <w:bookmarkEnd w:id="88"/>
      <w:bookmarkEnd w:id="89"/>
      <w:bookmarkEnd w:id="90"/>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rPr>
      </w:pPr>
      <w:r>
        <w:rPr>
          <w:rFonts w:hint="eastAsia" w:ascii="宋体" w:hAnsi="宋体" w:cs="仿宋_GB2312"/>
          <w:snapToGrid w:val="0"/>
          <w:kern w:val="0"/>
          <w:sz w:val="24"/>
        </w:rPr>
        <w:t>1.1本竞争性磋商文件仅适用于本次竞争性磋商中所述项目的采购活动。</w:t>
      </w:r>
    </w:p>
    <w:p>
      <w:pPr>
        <w:tabs>
          <w:tab w:val="left" w:pos="540"/>
        </w:tabs>
        <w:snapToGrid w:val="0"/>
        <w:spacing w:line="360" w:lineRule="auto"/>
        <w:ind w:firstLine="482" w:firstLineChars="200"/>
        <w:outlineLvl w:val="1"/>
        <w:rPr>
          <w:rFonts w:ascii="宋体" w:hAnsi="宋体" w:cs="仿宋_GB2312"/>
          <w:b/>
          <w:sz w:val="24"/>
        </w:rPr>
      </w:pPr>
      <w:bookmarkStart w:id="91" w:name="_Toc52960553"/>
      <w:bookmarkStart w:id="92" w:name="_Toc48846109"/>
      <w:bookmarkStart w:id="93" w:name="_Toc46772241"/>
      <w:bookmarkStart w:id="94" w:name="_Toc52962727"/>
      <w:bookmarkStart w:id="95" w:name="_Toc46771640"/>
      <w:bookmarkStart w:id="96" w:name="_Toc470172665"/>
      <w:bookmarkStart w:id="97" w:name="_Toc2456"/>
      <w:bookmarkStart w:id="98" w:name="_Toc51674211"/>
      <w:bookmarkStart w:id="99" w:name="_Toc30547"/>
      <w:bookmarkStart w:id="100" w:name="_Toc48688789"/>
      <w:r>
        <w:rPr>
          <w:rFonts w:hint="eastAsia" w:ascii="宋体" w:hAnsi="宋体" w:cs="仿宋_GB2312"/>
          <w:b/>
          <w:sz w:val="24"/>
        </w:rPr>
        <w:t>2.定义</w:t>
      </w:r>
      <w:bookmarkEnd w:id="91"/>
      <w:bookmarkEnd w:id="92"/>
      <w:bookmarkEnd w:id="93"/>
      <w:bookmarkEnd w:id="94"/>
      <w:bookmarkEnd w:id="95"/>
      <w:bookmarkEnd w:id="96"/>
      <w:bookmarkEnd w:id="97"/>
      <w:bookmarkEnd w:id="98"/>
      <w:bookmarkEnd w:id="99"/>
      <w:bookmarkEnd w:id="100"/>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rPr>
      </w:pPr>
      <w:r>
        <w:rPr>
          <w:rFonts w:hint="eastAsia" w:ascii="宋体" w:hAnsi="宋体" w:cs="仿宋_GB2312"/>
          <w:snapToGrid w:val="0"/>
          <w:kern w:val="0"/>
          <w:sz w:val="24"/>
        </w:rPr>
        <w:t>2.1“采购人”：本次磋商的采购人见《供应商须知前附表》。</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rPr>
      </w:pPr>
      <w:r>
        <w:rPr>
          <w:rFonts w:hint="eastAsia" w:ascii="宋体" w:hAnsi="宋体" w:cs="仿宋_GB2312"/>
          <w:snapToGrid w:val="0"/>
          <w:kern w:val="0"/>
          <w:sz w:val="24"/>
        </w:rPr>
        <w:t>2.2“监管部门”：本次磋商的监管部门见《供应商须知前附表》。</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rPr>
      </w:pPr>
      <w:r>
        <w:rPr>
          <w:rFonts w:hint="eastAsia" w:ascii="宋体" w:hAnsi="宋体" w:cs="仿宋_GB2312"/>
          <w:snapToGrid w:val="0"/>
          <w:kern w:val="0"/>
          <w:sz w:val="24"/>
        </w:rPr>
        <w:t>2.3“采购代理机构”：本次磋商的采购代理机构见《供应商须知前附表》。</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rPr>
      </w:pPr>
      <w:r>
        <w:rPr>
          <w:rFonts w:hint="eastAsia" w:ascii="宋体" w:hAnsi="宋体" w:cs="仿宋_GB2312"/>
          <w:snapToGrid w:val="0"/>
          <w:kern w:val="0"/>
          <w:sz w:val="24"/>
        </w:rPr>
        <w:t>2.4“供应商”是指获取本磋商文件的法人、其他组织或者自然人。</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rPr>
      </w:pPr>
      <w:r>
        <w:rPr>
          <w:rFonts w:hint="eastAsia" w:ascii="宋体" w:hAnsi="宋体" w:cs="仿宋_GB2312"/>
          <w:snapToGrid w:val="0"/>
          <w:kern w:val="0"/>
          <w:sz w:val="24"/>
        </w:rPr>
        <w:t>2.5“磋商供应商”是指</w:t>
      </w:r>
    </w:p>
    <w:p>
      <w:pPr>
        <w:tabs>
          <w:tab w:val="left" w:pos="525"/>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（1）符合具备《中华人民共和国政府采购法》第二十二条规定的条件。</w:t>
      </w:r>
    </w:p>
    <w:p>
      <w:pPr>
        <w:tabs>
          <w:tab w:val="left" w:pos="525"/>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（2）符合《供应商须知前附表》的相应条件。</w:t>
      </w:r>
    </w:p>
    <w:p>
      <w:pPr>
        <w:tabs>
          <w:tab w:val="left" w:pos="525"/>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（3）通过竞争性磋商采购评定办法中初步审核的供应商。</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rPr>
      </w:pPr>
      <w:r>
        <w:rPr>
          <w:rFonts w:hint="eastAsia" w:ascii="宋体" w:hAnsi="宋体" w:cs="仿宋_GB2312"/>
          <w:snapToGrid w:val="0"/>
          <w:kern w:val="0"/>
          <w:sz w:val="24"/>
        </w:rPr>
        <w:t>2.6“成交供应商”是指经磋商小组评审推荐，采购人授予合同的供应商。</w:t>
      </w:r>
    </w:p>
    <w:p>
      <w:pPr>
        <w:tabs>
          <w:tab w:val="left" w:pos="540"/>
        </w:tabs>
        <w:snapToGrid w:val="0"/>
        <w:spacing w:line="360" w:lineRule="auto"/>
        <w:ind w:firstLine="482" w:firstLineChars="200"/>
        <w:outlineLvl w:val="1"/>
        <w:rPr>
          <w:rFonts w:ascii="宋体" w:hAnsi="宋体" w:cs="仿宋_GB2312"/>
          <w:b/>
          <w:sz w:val="24"/>
        </w:rPr>
      </w:pPr>
      <w:bookmarkStart w:id="101" w:name="_Toc30503"/>
      <w:bookmarkStart w:id="102" w:name="_Toc48846110"/>
      <w:bookmarkStart w:id="103" w:name="_Toc52960554"/>
      <w:bookmarkStart w:id="104" w:name="_Toc46772242"/>
      <w:bookmarkStart w:id="105" w:name="_Toc470172666"/>
      <w:bookmarkStart w:id="106" w:name="_Toc48688790"/>
      <w:bookmarkStart w:id="107" w:name="_Toc46771641"/>
      <w:bookmarkStart w:id="108" w:name="_Toc21873"/>
      <w:bookmarkStart w:id="109" w:name="_Toc52962728"/>
      <w:bookmarkStart w:id="110" w:name="_Toc51674212"/>
      <w:r>
        <w:rPr>
          <w:rFonts w:hint="eastAsia" w:ascii="宋体" w:hAnsi="宋体" w:cs="仿宋_GB2312"/>
          <w:b/>
          <w:sz w:val="24"/>
        </w:rPr>
        <w:t>3.工程、货物及服务</w:t>
      </w:r>
      <w:bookmarkEnd w:id="101"/>
      <w:bookmarkEnd w:id="102"/>
      <w:bookmarkEnd w:id="103"/>
      <w:bookmarkEnd w:id="104"/>
      <w:bookmarkEnd w:id="105"/>
      <w:bookmarkEnd w:id="106"/>
      <w:bookmarkEnd w:id="107"/>
      <w:bookmarkEnd w:id="108"/>
      <w:bookmarkEnd w:id="109"/>
      <w:bookmarkEnd w:id="110"/>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rPr>
        <w:t>3.1</w:t>
      </w:r>
      <w:r>
        <w:rPr>
          <w:rFonts w:hint="eastAsia" w:ascii="宋体" w:hAnsi="宋体" w:cs="仿宋_GB2312"/>
          <w:snapToGrid w:val="0"/>
          <w:kern w:val="0"/>
          <w:sz w:val="24"/>
          <w:lang w:val="zh-CN"/>
        </w:rPr>
        <w:t>“工程”是指建设工程，包括建筑物和构筑物的新建、改建、扩建及其相关的装修、拆除、修缮等。</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3.2“货物”是指各种形态和种类的物品，包括原材料、燃料、设备、产品等。</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3.3“服务”是指除货物（指各种形态和种类的物品，包括原材料、燃料、设备、产品等）和工程（指建设工程，包括建筑物和构筑物的新建、改建、扩建及其相关的装修、拆除、修缮等）以外的其他政府采购对象。</w:t>
      </w:r>
    </w:p>
    <w:p>
      <w:pPr>
        <w:tabs>
          <w:tab w:val="left" w:pos="540"/>
        </w:tabs>
        <w:snapToGrid w:val="0"/>
        <w:spacing w:line="360" w:lineRule="auto"/>
        <w:ind w:firstLine="482" w:firstLineChars="200"/>
        <w:outlineLvl w:val="1"/>
        <w:rPr>
          <w:rFonts w:ascii="宋体" w:hAnsi="宋体" w:cs="仿宋_GB2312"/>
          <w:b/>
          <w:sz w:val="24"/>
        </w:rPr>
      </w:pPr>
      <w:bookmarkStart w:id="111" w:name="_Toc9974"/>
      <w:bookmarkStart w:id="112" w:name="_Toc470172667"/>
      <w:bookmarkStart w:id="113" w:name="_Toc51674213"/>
      <w:bookmarkStart w:id="114" w:name="_Toc48688791"/>
      <w:bookmarkStart w:id="115" w:name="_Toc52960555"/>
      <w:bookmarkStart w:id="116" w:name="_Toc22902"/>
      <w:bookmarkStart w:id="117" w:name="_Toc46772243"/>
      <w:bookmarkStart w:id="118" w:name="_Toc46771642"/>
      <w:bookmarkStart w:id="119" w:name="_Toc48846111"/>
      <w:bookmarkStart w:id="120" w:name="_Toc52962729"/>
      <w:r>
        <w:rPr>
          <w:rFonts w:hint="eastAsia" w:ascii="宋体" w:hAnsi="宋体" w:cs="仿宋_GB2312"/>
          <w:b/>
          <w:sz w:val="24"/>
        </w:rPr>
        <w:t>4.费用</w:t>
      </w:r>
      <w:bookmarkEnd w:id="111"/>
      <w:bookmarkEnd w:id="112"/>
      <w:bookmarkEnd w:id="113"/>
      <w:bookmarkEnd w:id="114"/>
      <w:bookmarkEnd w:id="115"/>
      <w:bookmarkEnd w:id="116"/>
      <w:bookmarkEnd w:id="117"/>
      <w:bookmarkEnd w:id="118"/>
      <w:bookmarkEnd w:id="119"/>
      <w:bookmarkEnd w:id="120"/>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4.1供应商应承担所有与准备和参加磋商有关的费用，不论磋商的结果如何，采购人和采购代理机构均无义务和责任承担这些费用。</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4.2成交服务费：成交供应商须在收到成交通知书时向采购代理机构支付成交服务费。服务费支付标准和方法详见《供应商须知前附表》。</w:t>
      </w:r>
    </w:p>
    <w:p>
      <w:pPr>
        <w:tabs>
          <w:tab w:val="left" w:pos="425"/>
          <w:tab w:val="left" w:pos="540"/>
        </w:tabs>
        <w:snapToGrid w:val="0"/>
        <w:spacing w:line="360" w:lineRule="auto"/>
        <w:ind w:firstLine="482" w:firstLineChars="200"/>
        <w:outlineLvl w:val="1"/>
        <w:rPr>
          <w:rFonts w:ascii="宋体" w:hAnsi="宋体" w:cs="仿宋_GB2312"/>
          <w:b/>
          <w:sz w:val="24"/>
        </w:rPr>
      </w:pPr>
      <w:bookmarkStart w:id="121" w:name="_Toc46771643"/>
      <w:bookmarkStart w:id="122" w:name="_Toc31532"/>
      <w:bookmarkStart w:id="123" w:name="_Toc470172668"/>
      <w:r>
        <w:rPr>
          <w:rFonts w:hint="eastAsia" w:ascii="宋体" w:hAnsi="宋体" w:cs="仿宋_GB2312"/>
          <w:b/>
          <w:sz w:val="24"/>
        </w:rPr>
        <w:t>（二）磋商文件</w:t>
      </w:r>
      <w:bookmarkEnd w:id="121"/>
      <w:bookmarkEnd w:id="122"/>
      <w:bookmarkEnd w:id="123"/>
    </w:p>
    <w:p>
      <w:pPr>
        <w:tabs>
          <w:tab w:val="left" w:pos="540"/>
        </w:tabs>
        <w:snapToGrid w:val="0"/>
        <w:spacing w:line="360" w:lineRule="auto"/>
        <w:ind w:firstLine="482" w:firstLineChars="200"/>
        <w:outlineLvl w:val="1"/>
        <w:rPr>
          <w:rFonts w:ascii="宋体" w:hAnsi="宋体" w:cs="仿宋_GB2312"/>
          <w:b/>
          <w:sz w:val="24"/>
        </w:rPr>
      </w:pPr>
      <w:bookmarkStart w:id="124" w:name="_Toc4547"/>
      <w:bookmarkStart w:id="125" w:name="_Toc470172669"/>
      <w:bookmarkStart w:id="126" w:name="_Toc46771644"/>
      <w:bookmarkStart w:id="127" w:name="_Toc52962731"/>
      <w:bookmarkStart w:id="128" w:name="_Toc48846113"/>
      <w:bookmarkStart w:id="129" w:name="_Toc46772245"/>
      <w:bookmarkStart w:id="130" w:name="_Toc51674215"/>
      <w:bookmarkStart w:id="131" w:name="_Toc48688793"/>
      <w:bookmarkStart w:id="132" w:name="_Toc52960557"/>
      <w:bookmarkStart w:id="133" w:name="_Toc8043"/>
      <w:r>
        <w:rPr>
          <w:rFonts w:hint="eastAsia" w:ascii="宋体" w:hAnsi="宋体" w:cs="仿宋_GB2312"/>
          <w:b/>
          <w:sz w:val="24"/>
        </w:rPr>
        <w:t>5.磋商文件的构成</w:t>
      </w:r>
      <w:bookmarkEnd w:id="124"/>
      <w:bookmarkEnd w:id="125"/>
      <w:bookmarkEnd w:id="126"/>
      <w:bookmarkEnd w:id="127"/>
      <w:bookmarkEnd w:id="128"/>
      <w:bookmarkEnd w:id="129"/>
      <w:bookmarkEnd w:id="130"/>
      <w:bookmarkEnd w:id="131"/>
      <w:bookmarkEnd w:id="132"/>
      <w:bookmarkEnd w:id="133"/>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rPr>
      </w:pPr>
      <w:r>
        <w:rPr>
          <w:rFonts w:hint="eastAsia" w:ascii="宋体" w:hAnsi="宋体" w:cs="仿宋_GB2312"/>
          <w:snapToGrid w:val="0"/>
          <w:kern w:val="0"/>
          <w:sz w:val="24"/>
        </w:rPr>
        <w:t>5.1</w:t>
      </w:r>
      <w:r>
        <w:rPr>
          <w:rFonts w:hint="eastAsia" w:ascii="宋体" w:hAnsi="宋体" w:cs="仿宋_GB2312"/>
          <w:snapToGrid w:val="0"/>
          <w:kern w:val="0"/>
          <w:sz w:val="24"/>
          <w:lang w:val="zh-CN"/>
        </w:rPr>
        <w:t>本磋商文件包括</w:t>
      </w:r>
      <w:r>
        <w:rPr>
          <w:rFonts w:hint="eastAsia" w:ascii="宋体" w:hAnsi="宋体" w:cs="仿宋_GB2312"/>
          <w:snapToGrid w:val="0"/>
          <w:kern w:val="0"/>
          <w:sz w:val="24"/>
        </w:rPr>
        <w:t>：</w:t>
      </w:r>
    </w:p>
    <w:p>
      <w:pPr>
        <w:tabs>
          <w:tab w:val="left" w:pos="525"/>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（1）磋商公告（代磋商邀请函）</w:t>
      </w:r>
    </w:p>
    <w:p>
      <w:pPr>
        <w:tabs>
          <w:tab w:val="left" w:pos="525"/>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（2）供应商须知</w:t>
      </w:r>
    </w:p>
    <w:p>
      <w:pPr>
        <w:tabs>
          <w:tab w:val="left" w:pos="525"/>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（3）项目采购需求</w:t>
      </w:r>
    </w:p>
    <w:p>
      <w:pPr>
        <w:tabs>
          <w:tab w:val="left" w:pos="525"/>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（4）合同草案</w:t>
      </w:r>
    </w:p>
    <w:p>
      <w:pPr>
        <w:tabs>
          <w:tab w:val="left" w:pos="525"/>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（5）评审程序、方法及标准</w:t>
      </w:r>
    </w:p>
    <w:p>
      <w:pPr>
        <w:tabs>
          <w:tab w:val="left" w:pos="525"/>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（6）响应文件的格式</w:t>
      </w:r>
    </w:p>
    <w:p>
      <w:pPr>
        <w:tabs>
          <w:tab w:val="left" w:pos="525"/>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（7）采购过程中由采购代理机构发出的澄清和修正文件</w:t>
      </w:r>
    </w:p>
    <w:p>
      <w:pPr>
        <w:tabs>
          <w:tab w:val="left" w:pos="525"/>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（8）磋商小组在磋商过程中发出的对本磋商文件的实质性变动</w:t>
      </w:r>
    </w:p>
    <w:p>
      <w:pPr>
        <w:tabs>
          <w:tab w:val="left" w:pos="540"/>
        </w:tabs>
        <w:snapToGrid w:val="0"/>
        <w:spacing w:line="360" w:lineRule="auto"/>
        <w:ind w:firstLine="482" w:firstLineChars="200"/>
        <w:outlineLvl w:val="1"/>
        <w:rPr>
          <w:rFonts w:ascii="宋体" w:hAnsi="宋体" w:cs="仿宋_GB2312"/>
          <w:b/>
          <w:sz w:val="24"/>
        </w:rPr>
      </w:pPr>
      <w:bookmarkStart w:id="134" w:name="_Toc51674216"/>
      <w:bookmarkStart w:id="135" w:name="_Toc48688794"/>
      <w:bookmarkStart w:id="136" w:name="_Toc478415174"/>
      <w:bookmarkStart w:id="137" w:name="_Toc46772246"/>
      <w:bookmarkStart w:id="138" w:name="_Toc48846114"/>
      <w:bookmarkStart w:id="139" w:name="_Toc52960558"/>
      <w:bookmarkStart w:id="140" w:name="_Toc46771645"/>
      <w:bookmarkStart w:id="141" w:name="_Toc7802"/>
      <w:bookmarkStart w:id="142" w:name="_Toc52962732"/>
      <w:r>
        <w:rPr>
          <w:rFonts w:hint="eastAsia" w:ascii="宋体" w:hAnsi="宋体" w:cs="仿宋_GB2312"/>
          <w:b/>
          <w:sz w:val="24"/>
        </w:rPr>
        <w:t>6.磋商文件的澄清或修改</w:t>
      </w:r>
      <w:bookmarkEnd w:id="134"/>
      <w:bookmarkEnd w:id="135"/>
      <w:bookmarkEnd w:id="136"/>
      <w:bookmarkEnd w:id="137"/>
      <w:bookmarkEnd w:id="138"/>
      <w:bookmarkEnd w:id="139"/>
      <w:bookmarkEnd w:id="140"/>
      <w:bookmarkEnd w:id="141"/>
      <w:bookmarkEnd w:id="142"/>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6.1提交响应文件截止之日前，采购人、采购代理机构或者磋商小组可以对已发出的磋商文件进行必要的澄清或者修改，澄清或者修改的内容作为磋商文件的组成部分。</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6.2对磋商文件澄清或者修改的内容可能影响响应文件编制的，采购人、采购代理机构或者磋商小组应当在提交响应文件截止之日5日前，以书面形式通知所有接收磋商文件的供应商，不足5日的，应当顺延提交首次响应文件截止时间。</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6.3供应商在收到澄清或者修改通知后，应在供应商须知前附表规定的时间内以书面形式通知采购人或采购代理机构，确认已收到该澄清或者修改通知。</w:t>
      </w:r>
    </w:p>
    <w:p>
      <w:pPr>
        <w:tabs>
          <w:tab w:val="left" w:pos="540"/>
        </w:tabs>
        <w:snapToGrid w:val="0"/>
        <w:spacing w:line="360" w:lineRule="auto"/>
        <w:ind w:firstLine="482" w:firstLineChars="200"/>
        <w:outlineLvl w:val="1"/>
        <w:rPr>
          <w:rFonts w:ascii="宋体" w:hAnsi="宋体" w:cs="仿宋_GB2312"/>
          <w:b/>
          <w:sz w:val="24"/>
        </w:rPr>
      </w:pPr>
      <w:bookmarkStart w:id="143" w:name="_Toc478415175"/>
      <w:bookmarkStart w:id="144" w:name="_Toc1560"/>
      <w:bookmarkStart w:id="145" w:name="_Toc46772247"/>
      <w:bookmarkStart w:id="146" w:name="_Toc46771646"/>
      <w:bookmarkStart w:id="147" w:name="_Toc48846115"/>
      <w:bookmarkStart w:id="148" w:name="_Toc51674217"/>
      <w:bookmarkStart w:id="149" w:name="_Toc48688795"/>
      <w:bookmarkStart w:id="150" w:name="_Toc52960559"/>
      <w:bookmarkStart w:id="151" w:name="_Toc52962733"/>
      <w:r>
        <w:rPr>
          <w:rFonts w:hint="eastAsia" w:ascii="宋体" w:hAnsi="宋体" w:cs="仿宋_GB2312"/>
          <w:b/>
          <w:sz w:val="24"/>
        </w:rPr>
        <w:t>7.现场踏勘</w:t>
      </w:r>
      <w:bookmarkEnd w:id="143"/>
      <w:bookmarkEnd w:id="144"/>
      <w:bookmarkEnd w:id="145"/>
      <w:bookmarkEnd w:id="146"/>
      <w:bookmarkEnd w:id="147"/>
      <w:bookmarkEnd w:id="148"/>
      <w:bookmarkEnd w:id="149"/>
      <w:bookmarkEnd w:id="150"/>
      <w:bookmarkEnd w:id="151"/>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7.1供应商须知前附表规定组织踏勘现场的，采购代理机构按供应商须知前附表规定的时间、地点组织供应商踏勘项目现场。</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7.2供应商踏勘现场发生的费用自理。</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7.3除采购人和采购代理机构的原因外，供应商自行负责在踏勘现场中所发生的人员伤亡和财产损失。</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7.4采购人在踏勘现场中介绍的项目场地和相关的周边环境情况，供应商在编制响应文件时参考，采购人和采购代理机构不对供应商据此作出的判断和决策负责。</w:t>
      </w:r>
    </w:p>
    <w:p>
      <w:pPr>
        <w:tabs>
          <w:tab w:val="left" w:pos="425"/>
          <w:tab w:val="left" w:pos="540"/>
        </w:tabs>
        <w:snapToGrid w:val="0"/>
        <w:spacing w:line="360" w:lineRule="auto"/>
        <w:ind w:firstLine="482" w:firstLineChars="200"/>
        <w:outlineLvl w:val="1"/>
        <w:rPr>
          <w:rFonts w:ascii="宋体" w:hAnsi="宋体" w:cs="仿宋_GB2312"/>
          <w:b/>
          <w:sz w:val="24"/>
        </w:rPr>
      </w:pPr>
      <w:bookmarkStart w:id="152" w:name="_Toc470172672"/>
      <w:bookmarkStart w:id="153" w:name="_Toc26701"/>
      <w:bookmarkStart w:id="154" w:name="_Toc46771647"/>
      <w:r>
        <w:rPr>
          <w:rFonts w:hint="eastAsia" w:ascii="宋体" w:hAnsi="宋体" w:cs="仿宋_GB2312"/>
          <w:b/>
          <w:sz w:val="24"/>
        </w:rPr>
        <w:t>（三）竞争性磋商响应文件</w:t>
      </w:r>
      <w:bookmarkEnd w:id="152"/>
      <w:bookmarkEnd w:id="153"/>
      <w:bookmarkEnd w:id="154"/>
    </w:p>
    <w:p>
      <w:pPr>
        <w:tabs>
          <w:tab w:val="left" w:pos="540"/>
        </w:tabs>
        <w:snapToGrid w:val="0"/>
        <w:spacing w:line="360" w:lineRule="auto"/>
        <w:ind w:firstLine="482" w:firstLineChars="200"/>
        <w:outlineLvl w:val="1"/>
        <w:rPr>
          <w:rFonts w:ascii="宋体" w:hAnsi="宋体" w:cs="仿宋_GB2312"/>
          <w:b/>
          <w:sz w:val="24"/>
        </w:rPr>
      </w:pPr>
      <w:bookmarkStart w:id="155" w:name="_Toc51674219"/>
      <w:bookmarkStart w:id="156" w:name="_Toc52960561"/>
      <w:bookmarkStart w:id="157" w:name="_Toc24625"/>
      <w:bookmarkStart w:id="158" w:name="_Toc48688797"/>
      <w:bookmarkStart w:id="159" w:name="_Toc52962735"/>
      <w:bookmarkStart w:id="160" w:name="_Toc46771648"/>
      <w:bookmarkStart w:id="161" w:name="_Toc46772249"/>
      <w:bookmarkStart w:id="162" w:name="_Toc48846117"/>
      <w:bookmarkStart w:id="163" w:name="_Toc470172673"/>
      <w:bookmarkStart w:id="164" w:name="_Toc30987"/>
      <w:r>
        <w:rPr>
          <w:rFonts w:hint="eastAsia" w:ascii="宋体" w:hAnsi="宋体" w:cs="仿宋_GB2312"/>
          <w:b/>
          <w:sz w:val="24"/>
        </w:rPr>
        <w:t>8.语言和计量单位</w:t>
      </w:r>
      <w:bookmarkEnd w:id="155"/>
      <w:bookmarkEnd w:id="156"/>
      <w:bookmarkEnd w:id="157"/>
      <w:bookmarkEnd w:id="158"/>
      <w:bookmarkEnd w:id="159"/>
      <w:bookmarkEnd w:id="160"/>
      <w:bookmarkEnd w:id="161"/>
      <w:bookmarkEnd w:id="162"/>
      <w:bookmarkEnd w:id="163"/>
      <w:bookmarkEnd w:id="164"/>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8.1供应商提交的竞争性磋商响应文件以及供应商与采购代理机构或采购人就有关磋商的所有来往函电均应使用中文。供应商提交的支持文件或印刷的文献可以用另一种语言，但相应内容应附有中文翻译本，在解释竞争性磋商响应文件时以中文翻译本为准。</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8.2除非磋商文件中另有规定，计量单位均采用中华人民共和国法定的计量单位。</w:t>
      </w:r>
    </w:p>
    <w:p>
      <w:pPr>
        <w:tabs>
          <w:tab w:val="left" w:pos="540"/>
        </w:tabs>
        <w:snapToGrid w:val="0"/>
        <w:spacing w:line="360" w:lineRule="auto"/>
        <w:ind w:firstLine="482" w:firstLineChars="200"/>
        <w:outlineLvl w:val="1"/>
        <w:rPr>
          <w:rFonts w:ascii="宋体" w:hAnsi="宋体" w:cs="仿宋_GB2312"/>
          <w:b/>
          <w:sz w:val="24"/>
        </w:rPr>
      </w:pPr>
      <w:bookmarkStart w:id="165" w:name="_Toc51674220"/>
      <w:bookmarkStart w:id="166" w:name="_Toc48688798"/>
      <w:bookmarkStart w:id="167" w:name="_Toc32272"/>
      <w:bookmarkStart w:id="168" w:name="_Toc46772250"/>
      <w:bookmarkStart w:id="169" w:name="_Toc48846118"/>
      <w:bookmarkStart w:id="170" w:name="_Toc52960562"/>
      <w:bookmarkStart w:id="171" w:name="_Toc470172674"/>
      <w:bookmarkStart w:id="172" w:name="_Toc46771649"/>
      <w:bookmarkStart w:id="173" w:name="_Toc8170"/>
      <w:bookmarkStart w:id="174" w:name="_Toc52962736"/>
      <w:r>
        <w:rPr>
          <w:rFonts w:hint="eastAsia" w:ascii="宋体" w:hAnsi="宋体" w:cs="仿宋_GB2312"/>
          <w:b/>
          <w:sz w:val="24"/>
        </w:rPr>
        <w:t>9.竞争性磋商响应文件的构成</w:t>
      </w:r>
      <w:bookmarkEnd w:id="165"/>
      <w:bookmarkEnd w:id="166"/>
      <w:bookmarkEnd w:id="167"/>
      <w:bookmarkEnd w:id="168"/>
      <w:bookmarkEnd w:id="169"/>
      <w:bookmarkEnd w:id="170"/>
      <w:bookmarkEnd w:id="171"/>
      <w:bookmarkEnd w:id="172"/>
      <w:bookmarkEnd w:id="173"/>
      <w:bookmarkEnd w:id="174"/>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9.1供应商编制的竞争性磋商响应件应包括的内容详见本文件第六章要求。</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注：响应文件目录及内容每页须顺序编写页码。</w:t>
      </w:r>
    </w:p>
    <w:p>
      <w:pPr>
        <w:tabs>
          <w:tab w:val="left" w:pos="540"/>
        </w:tabs>
        <w:snapToGrid w:val="0"/>
        <w:spacing w:line="360" w:lineRule="auto"/>
        <w:ind w:firstLine="482" w:firstLineChars="200"/>
        <w:outlineLvl w:val="1"/>
        <w:rPr>
          <w:rFonts w:ascii="宋体" w:hAnsi="宋体" w:cs="仿宋_GB2312"/>
          <w:b/>
          <w:sz w:val="24"/>
        </w:rPr>
      </w:pPr>
      <w:bookmarkStart w:id="175" w:name="_Toc51674221"/>
      <w:bookmarkStart w:id="176" w:name="_Toc46771650"/>
      <w:bookmarkStart w:id="177" w:name="_Toc52962737"/>
      <w:bookmarkStart w:id="178" w:name="_Toc25217"/>
      <w:bookmarkStart w:id="179" w:name="_Toc52960563"/>
      <w:bookmarkStart w:id="180" w:name="_Toc470172675"/>
      <w:bookmarkStart w:id="181" w:name="_Toc48688799"/>
      <w:bookmarkStart w:id="182" w:name="_Toc8642"/>
      <w:bookmarkStart w:id="183" w:name="_Toc48846119"/>
      <w:bookmarkStart w:id="184" w:name="_Toc46772251"/>
      <w:r>
        <w:rPr>
          <w:rFonts w:hint="eastAsia" w:ascii="宋体" w:hAnsi="宋体" w:cs="仿宋_GB2312"/>
          <w:b/>
          <w:sz w:val="24"/>
        </w:rPr>
        <w:t>10.竞争性磋商响应文件的编制</w:t>
      </w:r>
      <w:bookmarkEnd w:id="175"/>
      <w:bookmarkEnd w:id="176"/>
      <w:bookmarkEnd w:id="177"/>
      <w:bookmarkEnd w:id="178"/>
      <w:bookmarkEnd w:id="179"/>
      <w:bookmarkEnd w:id="180"/>
      <w:bookmarkEnd w:id="181"/>
      <w:bookmarkEnd w:id="182"/>
      <w:bookmarkEnd w:id="183"/>
      <w:bookmarkEnd w:id="184"/>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10.1供应商应当按照本磋商文件的要求编制响应文件，并对其提交的响应文件及全部资料的真实性、合法性承担法律责任，并接受采购代理机构对其中任何资料进一步核实的要求。</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 xml:space="preserve">10.2供应商应认真阅读本磋商文件中的所有内容，并对本磋商文件提出的要求和条件作出实质性响应。如供应商没有按照本磋商文件的要求提交全部资料，或者没有对本磋商文件在各方面都做出实质性响应的，其响应文件将被视为无效文件。 </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10.3供应商应完整地按本磋商文件的要求提交所有资料并按要求的格式填写规定的所有内容，无相应内容可填项的，应填写“无”、“未测试”、“没有相应指标”等明确的回答文字。如未规定格式的，相关格式由供应商自定。</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10.4供应商在编制响应文件时应注意本次采购对多包采购的规定，多包采购的规定见《供应商须知前附表》。</w:t>
      </w:r>
    </w:p>
    <w:p>
      <w:pPr>
        <w:tabs>
          <w:tab w:val="left" w:pos="540"/>
        </w:tabs>
        <w:snapToGrid w:val="0"/>
        <w:spacing w:line="360" w:lineRule="auto"/>
        <w:ind w:firstLine="482" w:firstLineChars="200"/>
        <w:outlineLvl w:val="1"/>
        <w:rPr>
          <w:rFonts w:ascii="宋体" w:hAnsi="宋体" w:cs="仿宋_GB2312"/>
          <w:b/>
          <w:sz w:val="24"/>
        </w:rPr>
      </w:pPr>
      <w:bookmarkStart w:id="185" w:name="_Toc29599"/>
      <w:bookmarkStart w:id="186" w:name="_Toc46771651"/>
      <w:bookmarkStart w:id="187" w:name="_Toc48688800"/>
      <w:bookmarkStart w:id="188" w:name="_Toc52960564"/>
      <w:bookmarkStart w:id="189" w:name="_Toc48846120"/>
      <w:bookmarkStart w:id="190" w:name="_Toc46772252"/>
      <w:bookmarkStart w:id="191" w:name="_Toc470172676"/>
      <w:bookmarkStart w:id="192" w:name="_Toc24544"/>
      <w:bookmarkStart w:id="193" w:name="_Toc52962738"/>
      <w:bookmarkStart w:id="194" w:name="_Toc51674222"/>
      <w:r>
        <w:rPr>
          <w:rFonts w:hint="eastAsia" w:ascii="宋体" w:hAnsi="宋体" w:cs="仿宋_GB2312"/>
          <w:b/>
          <w:sz w:val="24"/>
        </w:rPr>
        <w:t>11.磋商报价</w:t>
      </w:r>
      <w:bookmarkEnd w:id="185"/>
      <w:bookmarkEnd w:id="186"/>
      <w:bookmarkEnd w:id="187"/>
      <w:bookmarkEnd w:id="188"/>
      <w:bookmarkEnd w:id="189"/>
      <w:bookmarkEnd w:id="190"/>
      <w:bookmarkEnd w:id="191"/>
      <w:bookmarkEnd w:id="192"/>
      <w:bookmarkEnd w:id="193"/>
      <w:bookmarkEnd w:id="194"/>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11.1磋商报价包括磋商供应商在首次提交的响应文件中的报价、磋商过程中的报价和最后报价。磋商供应商的报价均应以人民币报价。</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11.2供应商应按照本磋商文件规定的采购需求及合同条款进行报价，并按磋商文件确定的格式报出。报价中不得包含磋商文件要求以外的内容，否则，在评审时不予核减。报价中也不得缺漏磋商文件所要求的内容，否则，其响应文件将被视为无效文件。</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11.3供应商应根据本磋商文件的规定和要求、市场价格水平及其走势、磋商供应商的管理水平、磋商供应商的方案和由这些因素决定的磋商供应商之于本项目的成本水平等提出自己的报价。报价应包含完成本磋商文件采购需求全部内容的所有费用，所有根据本磋商文件或其它原因应由磋商供应商支付的税款和其他应交纳的费用都应包括在报价中。</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11.4供应商在响应文件中注明免费的项目将视为包含在报价中。</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11.5每一种采购内容只允许有一个报价，否则其响应文件将被视为无效文件。</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11.6成交供应商的报价在合同执行过程中是固定不变的，不得以任何理由予以变更。</w:t>
      </w:r>
    </w:p>
    <w:p>
      <w:pPr>
        <w:tabs>
          <w:tab w:val="left" w:pos="540"/>
        </w:tabs>
        <w:snapToGrid w:val="0"/>
        <w:spacing w:line="360" w:lineRule="auto"/>
        <w:ind w:firstLine="482" w:firstLineChars="200"/>
        <w:outlineLvl w:val="1"/>
        <w:rPr>
          <w:rFonts w:ascii="宋体" w:hAnsi="宋体" w:cs="仿宋_GB2312"/>
          <w:b/>
          <w:sz w:val="24"/>
        </w:rPr>
      </w:pPr>
      <w:bookmarkStart w:id="195" w:name="_Toc6176"/>
      <w:bookmarkStart w:id="196" w:name="_Toc470172677"/>
      <w:bookmarkStart w:id="197" w:name="_Toc52960565"/>
      <w:bookmarkStart w:id="198" w:name="_Toc51674223"/>
      <w:bookmarkStart w:id="199" w:name="_Toc46771652"/>
      <w:bookmarkStart w:id="200" w:name="_Toc26763"/>
      <w:bookmarkStart w:id="201" w:name="_Toc46772253"/>
      <w:bookmarkStart w:id="202" w:name="_Toc52962739"/>
      <w:bookmarkStart w:id="203" w:name="_Toc48688801"/>
      <w:bookmarkStart w:id="204" w:name="_Toc48846121"/>
      <w:r>
        <w:rPr>
          <w:rFonts w:hint="eastAsia" w:ascii="宋体" w:hAnsi="宋体" w:cs="仿宋_GB2312"/>
          <w:b/>
          <w:sz w:val="24"/>
        </w:rPr>
        <w:t>12.备选方案</w:t>
      </w:r>
      <w:bookmarkEnd w:id="195"/>
      <w:bookmarkEnd w:id="196"/>
      <w:bookmarkEnd w:id="197"/>
      <w:bookmarkEnd w:id="198"/>
      <w:bookmarkEnd w:id="199"/>
      <w:bookmarkEnd w:id="200"/>
      <w:bookmarkEnd w:id="201"/>
      <w:bookmarkEnd w:id="202"/>
      <w:bookmarkEnd w:id="203"/>
      <w:bookmarkEnd w:id="204"/>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12.1是否允许备选方案见《供应商须知前附表》。不允许有备选方案的，若在响应文件中提交了备选方案，其响应文件将被视为无效文件。</w:t>
      </w:r>
    </w:p>
    <w:p>
      <w:pPr>
        <w:tabs>
          <w:tab w:val="left" w:pos="540"/>
        </w:tabs>
        <w:snapToGrid w:val="0"/>
        <w:spacing w:line="360" w:lineRule="auto"/>
        <w:ind w:firstLine="482" w:firstLineChars="200"/>
        <w:outlineLvl w:val="1"/>
        <w:rPr>
          <w:rFonts w:ascii="宋体" w:hAnsi="宋体" w:cs="仿宋_GB2312"/>
          <w:b/>
          <w:sz w:val="24"/>
        </w:rPr>
      </w:pPr>
      <w:bookmarkStart w:id="205" w:name="_Toc14383"/>
      <w:bookmarkStart w:id="206" w:name="_Toc3324"/>
      <w:bookmarkStart w:id="207" w:name="_Toc470172678"/>
      <w:bookmarkStart w:id="208" w:name="_Toc52960566"/>
      <w:bookmarkStart w:id="209" w:name="_Toc48688802"/>
      <w:bookmarkStart w:id="210" w:name="_Toc46771653"/>
      <w:bookmarkStart w:id="211" w:name="_Toc48846122"/>
      <w:bookmarkStart w:id="212" w:name="_Toc51674224"/>
      <w:bookmarkStart w:id="213" w:name="_Toc46772254"/>
      <w:bookmarkStart w:id="214" w:name="_Toc52962740"/>
      <w:r>
        <w:rPr>
          <w:rFonts w:hint="eastAsia" w:ascii="宋体" w:hAnsi="宋体" w:cs="仿宋_GB2312"/>
          <w:b/>
          <w:sz w:val="24"/>
        </w:rPr>
        <w:t>13.联合体</w:t>
      </w:r>
      <w:bookmarkEnd w:id="205"/>
      <w:bookmarkEnd w:id="206"/>
      <w:bookmarkEnd w:id="207"/>
      <w:bookmarkEnd w:id="208"/>
      <w:bookmarkEnd w:id="209"/>
      <w:bookmarkEnd w:id="210"/>
      <w:bookmarkEnd w:id="211"/>
      <w:bookmarkEnd w:id="212"/>
      <w:bookmarkEnd w:id="213"/>
      <w:bookmarkEnd w:id="214"/>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13.1本次采购是否允许联合体参加详见《供应商须知前附表》。</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13.2本次采购允许联合体参与磋商的，联合体各方不得再单独或者与其他供应商另外组成联合体参加本项目的磋商，否则相关响应文件均告无效。</w:t>
      </w:r>
    </w:p>
    <w:p>
      <w:pPr>
        <w:tabs>
          <w:tab w:val="left" w:pos="540"/>
        </w:tabs>
        <w:snapToGrid w:val="0"/>
        <w:spacing w:line="360" w:lineRule="auto"/>
        <w:ind w:firstLine="482" w:firstLineChars="200"/>
        <w:outlineLvl w:val="1"/>
        <w:rPr>
          <w:rFonts w:ascii="宋体" w:hAnsi="宋体" w:cs="仿宋_GB2312"/>
          <w:b/>
          <w:sz w:val="24"/>
        </w:rPr>
      </w:pPr>
      <w:bookmarkStart w:id="215" w:name="_Toc470172679"/>
      <w:bookmarkStart w:id="216" w:name="_Toc52962741"/>
      <w:bookmarkStart w:id="217" w:name="_Toc13372"/>
      <w:bookmarkStart w:id="218" w:name="_Toc48688803"/>
      <w:bookmarkStart w:id="219" w:name="_Toc46772255"/>
      <w:bookmarkStart w:id="220" w:name="_Toc48846123"/>
      <w:bookmarkStart w:id="221" w:name="_Toc52960567"/>
      <w:bookmarkStart w:id="222" w:name="_Toc2434"/>
      <w:bookmarkStart w:id="223" w:name="_Toc46771654"/>
      <w:bookmarkStart w:id="224" w:name="_Toc51674225"/>
      <w:r>
        <w:rPr>
          <w:rFonts w:hint="eastAsia" w:ascii="宋体" w:hAnsi="宋体" w:cs="仿宋_GB2312"/>
          <w:b/>
          <w:sz w:val="24"/>
        </w:rPr>
        <w:t>14.供应商资格证明文件</w:t>
      </w:r>
      <w:bookmarkEnd w:id="215"/>
      <w:bookmarkEnd w:id="216"/>
      <w:bookmarkEnd w:id="217"/>
      <w:bookmarkEnd w:id="218"/>
      <w:bookmarkEnd w:id="219"/>
      <w:bookmarkEnd w:id="220"/>
      <w:bookmarkEnd w:id="221"/>
      <w:bookmarkEnd w:id="222"/>
      <w:bookmarkEnd w:id="223"/>
      <w:bookmarkEnd w:id="224"/>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14.1供应商应在响应文件提交证明其有资格参加磋商的证明文件，证明文件应包括：详见第六章“资格证明文件”。</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14.2磋商文件要求供应商应提交的其它资格证明文件，应提交的其它资格证明文件见《供应商须知前附表》。</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14.3除本须知14.1要求的资格证明文件外，如国家法律法规对市场准入有要求的还应提交相关资格证明文件。</w:t>
      </w:r>
    </w:p>
    <w:p>
      <w:pPr>
        <w:tabs>
          <w:tab w:val="left" w:pos="426"/>
        </w:tabs>
        <w:autoSpaceDE w:val="0"/>
        <w:autoSpaceDN w:val="0"/>
        <w:adjustRightInd w:val="0"/>
        <w:snapToGrid w:val="0"/>
        <w:spacing w:line="360" w:lineRule="auto"/>
        <w:ind w:firstLine="480" w:firstLineChars="200"/>
        <w:rPr>
          <w:rFonts w:ascii="宋体" w:hAnsi="宋体" w:cs="仿宋_GB2312"/>
          <w:sz w:val="24"/>
        </w:rPr>
      </w:pPr>
      <w:r>
        <w:rPr>
          <w:rFonts w:hint="eastAsia" w:ascii="宋体" w:hAnsi="宋体" w:cs="仿宋_GB2312"/>
          <w:snapToGrid w:val="0"/>
          <w:kern w:val="0"/>
          <w:sz w:val="24"/>
          <w:lang w:val="zh-CN"/>
        </w:rPr>
        <w:t>14.4</w:t>
      </w:r>
      <w:r>
        <w:rPr>
          <w:rFonts w:hint="eastAsia" w:ascii="宋体" w:hAnsi="宋体" w:cs="仿宋_GB2312"/>
          <w:sz w:val="24"/>
          <w:lang w:val="zh-CN"/>
        </w:rPr>
        <w:t>所有证书、证明文件包括按要求提供的官网截图必须是真实可查证的，须注明资料来源。资格证明文件应为原件的扫描件，响应文件中须编入清晰的扫描件或复印件。所有证明材料须清晰可辨认，如因证明材料模糊无法辨认，缺页、漏页导致无法进行评审认定的责任由供应商自负。如发现弄虚作假将按照有关规定严肃处理。证明材料仅限于供应商本身，参股或控股单位及独立法人子公司的材料不能作为证明材料，但供应商兼并的企业的材料可作为证明材料。</w:t>
      </w:r>
    </w:p>
    <w:p>
      <w:pPr>
        <w:tabs>
          <w:tab w:val="left" w:pos="540"/>
        </w:tabs>
        <w:snapToGrid w:val="0"/>
        <w:spacing w:line="360" w:lineRule="auto"/>
        <w:ind w:firstLine="482" w:firstLineChars="200"/>
        <w:outlineLvl w:val="1"/>
        <w:rPr>
          <w:rFonts w:ascii="宋体" w:hAnsi="宋体" w:cs="仿宋_GB2312"/>
          <w:b/>
          <w:sz w:val="24"/>
        </w:rPr>
      </w:pPr>
      <w:bookmarkStart w:id="225" w:name="_Toc51674226"/>
      <w:bookmarkStart w:id="226" w:name="_Toc46771655"/>
      <w:bookmarkStart w:id="227" w:name="_Toc9935"/>
      <w:bookmarkStart w:id="228" w:name="_Toc48846124"/>
      <w:bookmarkStart w:id="229" w:name="_Toc52960568"/>
      <w:bookmarkStart w:id="230" w:name="_Toc52962742"/>
      <w:bookmarkStart w:id="231" w:name="_Toc46772256"/>
      <w:bookmarkStart w:id="232" w:name="_Toc48688804"/>
      <w:bookmarkStart w:id="233" w:name="_Toc23707"/>
      <w:bookmarkStart w:id="234" w:name="_Toc470172680"/>
      <w:r>
        <w:rPr>
          <w:rFonts w:hint="eastAsia" w:ascii="宋体" w:hAnsi="宋体" w:cs="仿宋_GB2312"/>
          <w:b/>
          <w:sz w:val="24"/>
        </w:rPr>
        <w:t>15.证明报价内容、服务合格性和符合磋商文件规定的文件</w:t>
      </w:r>
      <w:bookmarkEnd w:id="225"/>
      <w:bookmarkEnd w:id="226"/>
      <w:bookmarkEnd w:id="227"/>
      <w:bookmarkEnd w:id="228"/>
      <w:bookmarkEnd w:id="229"/>
      <w:bookmarkEnd w:id="230"/>
      <w:bookmarkEnd w:id="231"/>
      <w:bookmarkEnd w:id="232"/>
      <w:bookmarkEnd w:id="233"/>
      <w:bookmarkEnd w:id="234"/>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15.1证明报价内容符合磋商文件要求的文件和磋商文件规定的其他资料，具体要求见《供应商须知前附表》。</w:t>
      </w:r>
    </w:p>
    <w:p>
      <w:pPr>
        <w:tabs>
          <w:tab w:val="left" w:pos="540"/>
        </w:tabs>
        <w:snapToGrid w:val="0"/>
        <w:spacing w:line="360" w:lineRule="auto"/>
        <w:ind w:firstLine="482" w:firstLineChars="200"/>
        <w:outlineLvl w:val="1"/>
        <w:rPr>
          <w:rFonts w:ascii="宋体" w:hAnsi="宋体" w:cs="仿宋_GB2312"/>
          <w:b/>
          <w:sz w:val="24"/>
        </w:rPr>
      </w:pPr>
      <w:bookmarkStart w:id="235" w:name="_Toc52962744"/>
      <w:bookmarkStart w:id="236" w:name="_Toc52960570"/>
      <w:bookmarkStart w:id="237" w:name="_Toc5668"/>
      <w:bookmarkStart w:id="238" w:name="_Toc46771657"/>
      <w:bookmarkStart w:id="239" w:name="_Toc48688806"/>
      <w:bookmarkStart w:id="240" w:name="_Toc13724"/>
      <w:bookmarkStart w:id="241" w:name="_Toc46772258"/>
      <w:bookmarkStart w:id="242" w:name="_Toc51674228"/>
      <w:bookmarkStart w:id="243" w:name="_Toc470172682"/>
      <w:bookmarkStart w:id="244" w:name="_Toc48846126"/>
      <w:r>
        <w:rPr>
          <w:rFonts w:hint="eastAsia" w:ascii="宋体" w:hAnsi="宋体" w:cs="仿宋_GB2312"/>
          <w:b/>
          <w:sz w:val="24"/>
        </w:rPr>
        <w:t>1</w:t>
      </w:r>
      <w:r>
        <w:rPr>
          <w:rFonts w:ascii="宋体" w:hAnsi="宋体" w:cs="仿宋_GB2312"/>
          <w:b/>
          <w:sz w:val="24"/>
        </w:rPr>
        <w:t>6</w:t>
      </w:r>
      <w:r>
        <w:rPr>
          <w:rFonts w:hint="eastAsia" w:ascii="宋体" w:hAnsi="宋体" w:cs="仿宋_GB2312"/>
          <w:b/>
          <w:sz w:val="24"/>
        </w:rPr>
        <w:t>.响应文件有效期</w:t>
      </w:r>
      <w:bookmarkEnd w:id="235"/>
      <w:bookmarkEnd w:id="236"/>
      <w:bookmarkEnd w:id="237"/>
      <w:bookmarkEnd w:id="238"/>
      <w:bookmarkEnd w:id="239"/>
      <w:bookmarkEnd w:id="240"/>
      <w:bookmarkEnd w:id="241"/>
      <w:bookmarkEnd w:id="242"/>
      <w:bookmarkEnd w:id="243"/>
      <w:bookmarkEnd w:id="244"/>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1</w:t>
      </w:r>
      <w:r>
        <w:rPr>
          <w:rFonts w:ascii="宋体" w:hAnsi="宋体" w:cs="仿宋_GB2312"/>
          <w:snapToGrid w:val="0"/>
          <w:kern w:val="0"/>
          <w:sz w:val="24"/>
          <w:lang w:val="zh-CN"/>
        </w:rPr>
        <w:t>6</w:t>
      </w:r>
      <w:r>
        <w:rPr>
          <w:rFonts w:hint="eastAsia" w:ascii="宋体" w:hAnsi="宋体" w:cs="仿宋_GB2312"/>
          <w:snapToGrid w:val="0"/>
          <w:kern w:val="0"/>
          <w:sz w:val="24"/>
          <w:lang w:val="zh-CN"/>
        </w:rPr>
        <w:t>.1采购响应文件有效期见《供应商须知前附表》，磋商供应商承诺的响应文件有效期不足的，其响应文件将被视为无效文件。</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1</w:t>
      </w:r>
      <w:r>
        <w:rPr>
          <w:rFonts w:ascii="宋体" w:hAnsi="宋体" w:cs="仿宋_GB2312"/>
          <w:snapToGrid w:val="0"/>
          <w:kern w:val="0"/>
          <w:sz w:val="24"/>
          <w:lang w:val="zh-CN"/>
        </w:rPr>
        <w:t>6</w:t>
      </w:r>
      <w:r>
        <w:rPr>
          <w:rFonts w:hint="eastAsia" w:ascii="宋体" w:hAnsi="宋体" w:cs="仿宋_GB2312"/>
          <w:snapToGrid w:val="0"/>
          <w:kern w:val="0"/>
          <w:sz w:val="24"/>
          <w:lang w:val="zh-CN"/>
        </w:rPr>
        <w:t>.2特殊情况下，在原响应文件有效期截止之前，采购代理机构或采购人可要求供应商延长响应文件有效期。需要延长响应文件有效期时，采购代理机构或采购人将以书面形式通知所有磋商供应商，供应商应以书面形式答复是否同意延长响应文件有效期。</w:t>
      </w:r>
    </w:p>
    <w:p>
      <w:pPr>
        <w:tabs>
          <w:tab w:val="left" w:pos="540"/>
        </w:tabs>
        <w:snapToGrid w:val="0"/>
        <w:spacing w:line="360" w:lineRule="auto"/>
        <w:ind w:firstLine="482" w:firstLineChars="200"/>
        <w:outlineLvl w:val="1"/>
        <w:rPr>
          <w:rFonts w:ascii="宋体" w:hAnsi="宋体" w:cs="仿宋_GB2312"/>
          <w:b/>
          <w:sz w:val="24"/>
        </w:rPr>
      </w:pPr>
      <w:bookmarkStart w:id="245" w:name="_Toc52960571"/>
      <w:bookmarkStart w:id="246" w:name="_Toc32047"/>
      <w:bookmarkStart w:id="247" w:name="_Toc46771658"/>
      <w:bookmarkStart w:id="248" w:name="_Toc52962745"/>
      <w:bookmarkStart w:id="249" w:name="_Toc48846127"/>
      <w:bookmarkStart w:id="250" w:name="_Toc46772259"/>
      <w:bookmarkStart w:id="251" w:name="_Toc48688807"/>
      <w:bookmarkStart w:id="252" w:name="_Toc470172683"/>
      <w:bookmarkStart w:id="253" w:name="_Toc8272"/>
      <w:bookmarkStart w:id="254" w:name="_Toc51674229"/>
      <w:r>
        <w:rPr>
          <w:rFonts w:hint="eastAsia" w:ascii="宋体" w:hAnsi="宋体" w:cs="仿宋_GB2312"/>
          <w:b/>
          <w:sz w:val="24"/>
        </w:rPr>
        <w:t>1</w:t>
      </w:r>
      <w:r>
        <w:rPr>
          <w:rFonts w:ascii="宋体" w:hAnsi="宋体" w:cs="仿宋_GB2312"/>
          <w:b/>
          <w:sz w:val="24"/>
        </w:rPr>
        <w:t>7</w:t>
      </w:r>
      <w:r>
        <w:rPr>
          <w:rFonts w:hint="eastAsia" w:ascii="宋体" w:hAnsi="宋体" w:cs="仿宋_GB2312"/>
          <w:b/>
          <w:sz w:val="24"/>
        </w:rPr>
        <w:t>.响应文件的装订、签署和数量</w:t>
      </w:r>
      <w:bookmarkEnd w:id="245"/>
      <w:bookmarkEnd w:id="246"/>
      <w:bookmarkEnd w:id="247"/>
      <w:bookmarkEnd w:id="248"/>
      <w:bookmarkEnd w:id="249"/>
      <w:bookmarkEnd w:id="250"/>
      <w:bookmarkEnd w:id="251"/>
      <w:bookmarkEnd w:id="252"/>
      <w:bookmarkEnd w:id="253"/>
      <w:bookmarkEnd w:id="254"/>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1</w:t>
      </w:r>
      <w:r>
        <w:rPr>
          <w:rFonts w:ascii="宋体" w:hAnsi="宋体" w:cs="仿宋_GB2312"/>
          <w:snapToGrid w:val="0"/>
          <w:kern w:val="0"/>
          <w:sz w:val="24"/>
          <w:lang w:val="zh-CN"/>
        </w:rPr>
        <w:t>7</w:t>
      </w:r>
      <w:r>
        <w:rPr>
          <w:rFonts w:hint="eastAsia" w:ascii="宋体" w:hAnsi="宋体" w:cs="仿宋_GB2312"/>
          <w:snapToGrid w:val="0"/>
          <w:kern w:val="0"/>
          <w:sz w:val="24"/>
          <w:lang w:val="zh-CN"/>
        </w:rPr>
        <w:t>.1供应商提交的响应文件应包括正本、副本、完整的电子文档及单独提供的法定代表人授权委托书（或法定代表人身份证明书）、报价一览表、优惠声明（如有）。本次磋商供应商提交响应文件正、副本和电子文档的数量见《供应商须知前附表》。</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每套响应文件须清楚地标明“正本”、“副本”，响应文件的副本可采用正本的复印件，若副本与正本不符，以正本为准；如单独提供的法定代表人授权委托书（或法定代表人身份证明书）、报价一览表、优惠声明（如有）与响应文件正本不符，以正本为准。电子文档与纸质文件不符，以纸质文件为准。</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1</w:t>
      </w:r>
      <w:r>
        <w:rPr>
          <w:rFonts w:ascii="宋体" w:hAnsi="宋体" w:cs="仿宋_GB2312"/>
          <w:snapToGrid w:val="0"/>
          <w:kern w:val="0"/>
          <w:sz w:val="24"/>
          <w:lang w:val="zh-CN"/>
        </w:rPr>
        <w:t>7</w:t>
      </w:r>
      <w:r>
        <w:rPr>
          <w:rFonts w:hint="eastAsia" w:ascii="宋体" w:hAnsi="宋体" w:cs="仿宋_GB2312"/>
          <w:snapToGrid w:val="0"/>
          <w:kern w:val="0"/>
          <w:sz w:val="24"/>
          <w:lang w:val="zh-CN"/>
        </w:rPr>
        <w:t>.2正本应用不褪色的材料书写或打印，并由法定代表人或授权代表签字并加盖公章。由授权代表签字的，响应文件中应提交《法定代表人授权书》。供应商为自然人的，由供应商本人签字并附身份证明。</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1</w:t>
      </w:r>
      <w:r>
        <w:rPr>
          <w:rFonts w:ascii="宋体" w:hAnsi="宋体" w:cs="仿宋_GB2312"/>
          <w:snapToGrid w:val="0"/>
          <w:kern w:val="0"/>
          <w:sz w:val="24"/>
          <w:lang w:val="zh-CN"/>
        </w:rPr>
        <w:t>7</w:t>
      </w:r>
      <w:r>
        <w:rPr>
          <w:rFonts w:hint="eastAsia" w:ascii="宋体" w:hAnsi="宋体" w:cs="仿宋_GB2312"/>
          <w:snapToGrid w:val="0"/>
          <w:kern w:val="0"/>
          <w:sz w:val="24"/>
          <w:lang w:val="zh-CN"/>
        </w:rPr>
        <w:t>.3竞争性磋商响应文件中的任何行间插字、涂改和增删，必须由法定代表人或授权代表在旁边签字才有效。</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1</w:t>
      </w:r>
      <w:r>
        <w:rPr>
          <w:rFonts w:ascii="宋体" w:hAnsi="宋体" w:cs="仿宋_GB2312"/>
          <w:snapToGrid w:val="0"/>
          <w:kern w:val="0"/>
          <w:sz w:val="24"/>
          <w:lang w:val="zh-CN"/>
        </w:rPr>
        <w:t>7</w:t>
      </w:r>
      <w:r>
        <w:rPr>
          <w:rFonts w:hint="eastAsia" w:ascii="宋体" w:hAnsi="宋体" w:cs="仿宋_GB2312"/>
          <w:snapToGrid w:val="0"/>
          <w:kern w:val="0"/>
          <w:sz w:val="24"/>
          <w:lang w:val="zh-CN"/>
        </w:rPr>
        <w:t>.4响应文件应当采用不可拆卸的方法的装订，对未经装订的竞争性磋商响应文件可能发生的文件散落或缺损及由此产生的后果由磋商供应商承担。</w:t>
      </w:r>
    </w:p>
    <w:p>
      <w:pPr>
        <w:tabs>
          <w:tab w:val="left" w:pos="425"/>
          <w:tab w:val="left" w:pos="540"/>
        </w:tabs>
        <w:snapToGrid w:val="0"/>
        <w:spacing w:line="360" w:lineRule="auto"/>
        <w:ind w:firstLine="482" w:firstLineChars="200"/>
        <w:outlineLvl w:val="1"/>
        <w:rPr>
          <w:rFonts w:ascii="宋体" w:hAnsi="宋体" w:cs="仿宋_GB2312"/>
          <w:b/>
          <w:sz w:val="24"/>
        </w:rPr>
      </w:pPr>
      <w:bookmarkStart w:id="255" w:name="_Toc5089"/>
      <w:bookmarkStart w:id="256" w:name="_Toc46771659"/>
      <w:bookmarkStart w:id="257" w:name="_Toc470172684"/>
      <w:r>
        <w:rPr>
          <w:rFonts w:hint="eastAsia" w:ascii="宋体" w:hAnsi="宋体" w:cs="仿宋_GB2312"/>
          <w:b/>
          <w:sz w:val="24"/>
        </w:rPr>
        <w:t>（四）响应文件的递交</w:t>
      </w:r>
      <w:bookmarkEnd w:id="255"/>
      <w:bookmarkEnd w:id="256"/>
      <w:bookmarkEnd w:id="257"/>
    </w:p>
    <w:p>
      <w:pPr>
        <w:tabs>
          <w:tab w:val="left" w:pos="540"/>
        </w:tabs>
        <w:snapToGrid w:val="0"/>
        <w:spacing w:line="360" w:lineRule="auto"/>
        <w:ind w:firstLine="482" w:firstLineChars="200"/>
        <w:outlineLvl w:val="1"/>
        <w:rPr>
          <w:rFonts w:ascii="宋体" w:hAnsi="宋体" w:cs="仿宋_GB2312"/>
          <w:b/>
          <w:sz w:val="24"/>
        </w:rPr>
      </w:pPr>
      <w:bookmarkStart w:id="258" w:name="_Toc470172685"/>
      <w:bookmarkStart w:id="259" w:name="_Toc48846129"/>
      <w:bookmarkStart w:id="260" w:name="_Toc52962747"/>
      <w:bookmarkStart w:id="261" w:name="_Toc46772261"/>
      <w:bookmarkStart w:id="262" w:name="_Toc46771660"/>
      <w:bookmarkStart w:id="263" w:name="_Toc27305"/>
      <w:bookmarkStart w:id="264" w:name="_Toc6141"/>
      <w:bookmarkStart w:id="265" w:name="_Toc52960573"/>
      <w:bookmarkStart w:id="266" w:name="_Toc51674231"/>
      <w:bookmarkStart w:id="267" w:name="_Toc48688809"/>
      <w:r>
        <w:rPr>
          <w:rFonts w:hint="eastAsia" w:ascii="宋体" w:hAnsi="宋体" w:cs="仿宋_GB2312"/>
          <w:b/>
          <w:sz w:val="24"/>
        </w:rPr>
        <w:t>1</w:t>
      </w:r>
      <w:r>
        <w:rPr>
          <w:rFonts w:ascii="宋体" w:hAnsi="宋体" w:cs="仿宋_GB2312"/>
          <w:b/>
          <w:sz w:val="24"/>
        </w:rPr>
        <w:t>8</w:t>
      </w:r>
      <w:r>
        <w:rPr>
          <w:rFonts w:hint="eastAsia" w:ascii="宋体" w:hAnsi="宋体" w:cs="仿宋_GB2312"/>
          <w:b/>
          <w:sz w:val="24"/>
        </w:rPr>
        <w:t>.响应文件的密封和标记</w:t>
      </w:r>
      <w:bookmarkEnd w:id="258"/>
      <w:bookmarkEnd w:id="259"/>
      <w:bookmarkEnd w:id="260"/>
      <w:bookmarkEnd w:id="261"/>
      <w:bookmarkEnd w:id="262"/>
      <w:bookmarkEnd w:id="263"/>
      <w:bookmarkEnd w:id="264"/>
      <w:bookmarkEnd w:id="265"/>
      <w:bookmarkEnd w:id="266"/>
      <w:bookmarkEnd w:id="267"/>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1</w:t>
      </w:r>
      <w:r>
        <w:rPr>
          <w:rFonts w:ascii="宋体" w:hAnsi="宋体" w:cs="仿宋_GB2312"/>
          <w:snapToGrid w:val="0"/>
          <w:kern w:val="0"/>
          <w:sz w:val="24"/>
          <w:lang w:val="zh-CN"/>
        </w:rPr>
        <w:t>8</w:t>
      </w:r>
      <w:r>
        <w:rPr>
          <w:rFonts w:hint="eastAsia" w:ascii="宋体" w:hAnsi="宋体" w:cs="仿宋_GB2312"/>
          <w:snapToGrid w:val="0"/>
          <w:kern w:val="0"/>
          <w:sz w:val="24"/>
          <w:lang w:val="zh-CN"/>
        </w:rPr>
        <w:t>.1响应文件的正本、所有副本和电子文档必须密封和加盖供应商公章后递交，包装上应注明：项目编号、项目名称、供应商名称及“  （磋商时间）  前不得启封”的字样。</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1</w:t>
      </w:r>
      <w:r>
        <w:rPr>
          <w:rFonts w:ascii="宋体" w:hAnsi="宋体" w:cs="仿宋_GB2312"/>
          <w:snapToGrid w:val="0"/>
          <w:kern w:val="0"/>
          <w:sz w:val="24"/>
          <w:lang w:val="zh-CN"/>
        </w:rPr>
        <w:t>8</w:t>
      </w:r>
      <w:r>
        <w:rPr>
          <w:rFonts w:hint="eastAsia" w:ascii="宋体" w:hAnsi="宋体" w:cs="仿宋_GB2312"/>
          <w:snapToGrid w:val="0"/>
          <w:kern w:val="0"/>
          <w:sz w:val="24"/>
          <w:lang w:val="zh-CN"/>
        </w:rPr>
        <w:t>.2为方便磋商记录，供应商还应将一份《报价一览表》（原件）与一份《法定代表人授权书》（原件）及报价优惠声明（如果有的话）单独密封提交，除需按上款要求注明外还应在信封上标明“报价一览表”字样。</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1</w:t>
      </w:r>
      <w:r>
        <w:rPr>
          <w:rFonts w:ascii="宋体" w:hAnsi="宋体" w:cs="仿宋_GB2312"/>
          <w:snapToGrid w:val="0"/>
          <w:kern w:val="0"/>
          <w:sz w:val="24"/>
          <w:lang w:val="zh-CN"/>
        </w:rPr>
        <w:t>8</w:t>
      </w:r>
      <w:r>
        <w:rPr>
          <w:rFonts w:hint="eastAsia" w:ascii="宋体" w:hAnsi="宋体" w:cs="仿宋_GB2312"/>
          <w:snapToGrid w:val="0"/>
          <w:kern w:val="0"/>
          <w:sz w:val="24"/>
          <w:lang w:val="zh-CN"/>
        </w:rPr>
        <w:t>.3未按要求密封和加写标记的响应文件为无效文件，采购人、采购代理机构将拒收。</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1</w:t>
      </w:r>
      <w:r>
        <w:rPr>
          <w:rFonts w:ascii="宋体" w:hAnsi="宋体" w:cs="仿宋_GB2312"/>
          <w:snapToGrid w:val="0"/>
          <w:kern w:val="0"/>
          <w:sz w:val="24"/>
          <w:lang w:val="zh-CN"/>
        </w:rPr>
        <w:t>8</w:t>
      </w:r>
      <w:r>
        <w:rPr>
          <w:rFonts w:hint="eastAsia" w:ascii="宋体" w:hAnsi="宋体" w:cs="仿宋_GB2312"/>
          <w:snapToGrid w:val="0"/>
          <w:kern w:val="0"/>
          <w:sz w:val="24"/>
          <w:lang w:val="zh-CN"/>
        </w:rPr>
        <w:t>.4要求在磋商时提交样品的，应在样品上标明磋商供应商名称。有关提交及退还样品的相关规定见《供应商须知前附表》。</w:t>
      </w:r>
    </w:p>
    <w:p>
      <w:pPr>
        <w:tabs>
          <w:tab w:val="left" w:pos="540"/>
        </w:tabs>
        <w:snapToGrid w:val="0"/>
        <w:spacing w:line="360" w:lineRule="auto"/>
        <w:ind w:firstLine="482" w:firstLineChars="200"/>
        <w:outlineLvl w:val="1"/>
        <w:rPr>
          <w:rFonts w:ascii="宋体" w:hAnsi="宋体" w:cs="仿宋_GB2312"/>
          <w:b/>
          <w:sz w:val="24"/>
        </w:rPr>
      </w:pPr>
      <w:bookmarkStart w:id="268" w:name="_Toc48846130"/>
      <w:bookmarkStart w:id="269" w:name="_Toc52960574"/>
      <w:bookmarkStart w:id="270" w:name="_Toc46772262"/>
      <w:bookmarkStart w:id="271" w:name="_Toc52962748"/>
      <w:bookmarkStart w:id="272" w:name="_Toc51674232"/>
      <w:bookmarkStart w:id="273" w:name="_Toc48688810"/>
      <w:bookmarkStart w:id="274" w:name="_Toc16830"/>
      <w:bookmarkStart w:id="275" w:name="_Toc17857"/>
      <w:bookmarkStart w:id="276" w:name="_Toc46771661"/>
      <w:bookmarkStart w:id="277" w:name="_Toc470172686"/>
      <w:r>
        <w:rPr>
          <w:rFonts w:ascii="宋体" w:hAnsi="宋体" w:cs="仿宋_GB2312"/>
          <w:b/>
          <w:sz w:val="24"/>
        </w:rPr>
        <w:t>19</w:t>
      </w:r>
      <w:r>
        <w:rPr>
          <w:rFonts w:hint="eastAsia" w:ascii="宋体" w:hAnsi="宋体" w:cs="仿宋_GB2312"/>
          <w:b/>
          <w:sz w:val="24"/>
        </w:rPr>
        <w:t>.响应文件的送达地点及截止时间</w:t>
      </w:r>
      <w:bookmarkEnd w:id="268"/>
      <w:bookmarkEnd w:id="269"/>
      <w:bookmarkEnd w:id="270"/>
      <w:bookmarkEnd w:id="271"/>
      <w:bookmarkEnd w:id="272"/>
      <w:bookmarkEnd w:id="273"/>
      <w:bookmarkEnd w:id="274"/>
      <w:bookmarkEnd w:id="275"/>
      <w:bookmarkEnd w:id="276"/>
      <w:bookmarkEnd w:id="277"/>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ascii="宋体" w:hAnsi="宋体" w:cs="仿宋_GB2312"/>
          <w:snapToGrid w:val="0"/>
          <w:kern w:val="0"/>
          <w:sz w:val="24"/>
          <w:lang w:val="zh-CN"/>
        </w:rPr>
        <w:t>19</w:t>
      </w:r>
      <w:r>
        <w:rPr>
          <w:rFonts w:hint="eastAsia" w:ascii="宋体" w:hAnsi="宋体" w:cs="仿宋_GB2312"/>
          <w:snapToGrid w:val="0"/>
          <w:kern w:val="0"/>
          <w:sz w:val="24"/>
          <w:lang w:val="zh-CN"/>
        </w:rPr>
        <w:t>.1截止时间是竞争性磋商文件中规定的首次送达、提交响应文件的最后时间。本次磋商响应文件的送达地点及截止时间见《供应商须知前附表》。</w:t>
      </w:r>
    </w:p>
    <w:p>
      <w:pPr>
        <w:tabs>
          <w:tab w:val="left" w:pos="540"/>
        </w:tabs>
        <w:snapToGrid w:val="0"/>
        <w:spacing w:line="360" w:lineRule="auto"/>
        <w:ind w:firstLine="482" w:firstLineChars="200"/>
        <w:outlineLvl w:val="1"/>
        <w:rPr>
          <w:rFonts w:ascii="宋体" w:hAnsi="宋体" w:cs="仿宋_GB2312"/>
          <w:b/>
          <w:sz w:val="24"/>
        </w:rPr>
      </w:pPr>
      <w:bookmarkStart w:id="278" w:name="_Toc46772263"/>
      <w:bookmarkStart w:id="279" w:name="_Toc46771662"/>
      <w:bookmarkStart w:id="280" w:name="_Toc470172687"/>
      <w:bookmarkStart w:id="281" w:name="_Toc48688811"/>
      <w:bookmarkStart w:id="282" w:name="_Toc52962749"/>
      <w:bookmarkStart w:id="283" w:name="_Toc52960575"/>
      <w:bookmarkStart w:id="284" w:name="_Toc51674233"/>
      <w:bookmarkStart w:id="285" w:name="_Toc13869"/>
      <w:bookmarkStart w:id="286" w:name="_Toc48846131"/>
      <w:bookmarkStart w:id="287" w:name="_Toc31376"/>
      <w:r>
        <w:rPr>
          <w:rFonts w:hint="eastAsia" w:ascii="宋体" w:hAnsi="宋体" w:cs="仿宋_GB2312"/>
          <w:b/>
          <w:sz w:val="24"/>
        </w:rPr>
        <w:t>2</w:t>
      </w:r>
      <w:r>
        <w:rPr>
          <w:rFonts w:ascii="宋体" w:hAnsi="宋体" w:cs="仿宋_GB2312"/>
          <w:b/>
          <w:sz w:val="24"/>
        </w:rPr>
        <w:t>0</w:t>
      </w:r>
      <w:r>
        <w:rPr>
          <w:rFonts w:hint="eastAsia" w:ascii="宋体" w:hAnsi="宋体" w:cs="仿宋_GB2312"/>
          <w:b/>
          <w:sz w:val="24"/>
        </w:rPr>
        <w:t>.迟交的响应文件</w:t>
      </w:r>
      <w:bookmarkEnd w:id="278"/>
      <w:bookmarkEnd w:id="279"/>
      <w:bookmarkEnd w:id="280"/>
      <w:bookmarkEnd w:id="281"/>
      <w:bookmarkEnd w:id="282"/>
      <w:bookmarkEnd w:id="283"/>
      <w:bookmarkEnd w:id="284"/>
      <w:bookmarkEnd w:id="285"/>
      <w:bookmarkEnd w:id="286"/>
      <w:bookmarkEnd w:id="287"/>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2</w:t>
      </w:r>
      <w:r>
        <w:rPr>
          <w:rFonts w:ascii="宋体" w:hAnsi="宋体" w:cs="仿宋_GB2312"/>
          <w:snapToGrid w:val="0"/>
          <w:kern w:val="0"/>
          <w:sz w:val="24"/>
          <w:lang w:val="zh-CN"/>
        </w:rPr>
        <w:t>0</w:t>
      </w:r>
      <w:r>
        <w:rPr>
          <w:rFonts w:hint="eastAsia" w:ascii="宋体" w:hAnsi="宋体" w:cs="仿宋_GB2312"/>
          <w:snapToGrid w:val="0"/>
          <w:kern w:val="0"/>
          <w:sz w:val="24"/>
          <w:lang w:val="zh-CN"/>
        </w:rPr>
        <w:t>.1在本次递交响应文件的截止时间以后送达的响应文件，不论何种原因，采购代理机构将拒收。</w:t>
      </w:r>
    </w:p>
    <w:p>
      <w:pPr>
        <w:tabs>
          <w:tab w:val="left" w:pos="540"/>
        </w:tabs>
        <w:snapToGrid w:val="0"/>
        <w:spacing w:line="360" w:lineRule="auto"/>
        <w:ind w:firstLine="482" w:firstLineChars="200"/>
        <w:outlineLvl w:val="1"/>
        <w:rPr>
          <w:rFonts w:ascii="宋体" w:hAnsi="宋体" w:cs="仿宋_GB2312"/>
          <w:b/>
          <w:sz w:val="24"/>
        </w:rPr>
      </w:pPr>
      <w:bookmarkStart w:id="288" w:name="_Toc470172688"/>
      <w:bookmarkStart w:id="289" w:name="_Toc2038"/>
      <w:bookmarkStart w:id="290" w:name="_Toc46771663"/>
      <w:bookmarkStart w:id="291" w:name="_Toc52962750"/>
      <w:bookmarkStart w:id="292" w:name="_Toc31760"/>
      <w:bookmarkStart w:id="293" w:name="_Toc46772264"/>
      <w:bookmarkStart w:id="294" w:name="_Toc51674234"/>
      <w:bookmarkStart w:id="295" w:name="_Toc48846132"/>
      <w:bookmarkStart w:id="296" w:name="_Toc52960576"/>
      <w:bookmarkStart w:id="297" w:name="_Toc48688812"/>
      <w:r>
        <w:rPr>
          <w:rFonts w:hint="eastAsia" w:ascii="宋体" w:hAnsi="宋体" w:cs="仿宋_GB2312"/>
          <w:b/>
          <w:sz w:val="24"/>
        </w:rPr>
        <w:t>2</w:t>
      </w:r>
      <w:r>
        <w:rPr>
          <w:rFonts w:ascii="宋体" w:hAnsi="宋体" w:cs="仿宋_GB2312"/>
          <w:b/>
          <w:sz w:val="24"/>
        </w:rPr>
        <w:t>1</w:t>
      </w:r>
      <w:r>
        <w:rPr>
          <w:rFonts w:hint="eastAsia" w:ascii="宋体" w:hAnsi="宋体" w:cs="仿宋_GB2312"/>
          <w:b/>
          <w:sz w:val="24"/>
        </w:rPr>
        <w:t>.响应文件的补充、修改或者撤回</w:t>
      </w:r>
      <w:bookmarkEnd w:id="288"/>
      <w:bookmarkEnd w:id="289"/>
      <w:bookmarkEnd w:id="290"/>
      <w:bookmarkEnd w:id="291"/>
      <w:bookmarkEnd w:id="292"/>
      <w:bookmarkEnd w:id="293"/>
      <w:bookmarkEnd w:id="294"/>
      <w:bookmarkEnd w:id="295"/>
      <w:bookmarkEnd w:id="296"/>
      <w:bookmarkEnd w:id="297"/>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2</w:t>
      </w:r>
      <w:r>
        <w:rPr>
          <w:rFonts w:ascii="宋体" w:hAnsi="宋体" w:cs="仿宋_GB2312"/>
          <w:snapToGrid w:val="0"/>
          <w:kern w:val="0"/>
          <w:sz w:val="24"/>
          <w:lang w:val="zh-CN"/>
        </w:rPr>
        <w:t>1</w:t>
      </w:r>
      <w:r>
        <w:rPr>
          <w:rFonts w:hint="eastAsia" w:ascii="宋体" w:hAnsi="宋体" w:cs="仿宋_GB2312"/>
          <w:snapToGrid w:val="0"/>
          <w:kern w:val="0"/>
          <w:sz w:val="24"/>
          <w:lang w:val="zh-CN"/>
        </w:rPr>
        <w:t>.1在提交响应文件截止时间前，供应商可以对已提交的响应文件进行补充、修改或者撤回。供应商需要补充、修改或者撤回响应文件时，应以书面形式通知采购人、采购代理机构。补充、修改的内容是响应文件的组成部分，补充、修改的内容与响应文件不一致的，以补充、修改的内容为准。</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2</w:t>
      </w:r>
      <w:r>
        <w:rPr>
          <w:rFonts w:ascii="宋体" w:hAnsi="宋体" w:cs="仿宋_GB2312"/>
          <w:snapToGrid w:val="0"/>
          <w:kern w:val="0"/>
          <w:sz w:val="24"/>
          <w:lang w:val="zh-CN"/>
        </w:rPr>
        <w:t>1</w:t>
      </w:r>
      <w:r>
        <w:rPr>
          <w:rFonts w:hint="eastAsia" w:ascii="宋体" w:hAnsi="宋体" w:cs="仿宋_GB2312"/>
          <w:snapToGrid w:val="0"/>
          <w:kern w:val="0"/>
          <w:sz w:val="24"/>
          <w:lang w:val="zh-CN"/>
        </w:rPr>
        <w:t>.2从提交响应文件截止时间至磋商有效期期满这段时间，供应商不得修改或撤销其响应文件。</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2</w:t>
      </w:r>
      <w:r>
        <w:rPr>
          <w:rFonts w:ascii="宋体" w:hAnsi="宋体" w:cs="仿宋_GB2312"/>
          <w:snapToGrid w:val="0"/>
          <w:kern w:val="0"/>
          <w:sz w:val="24"/>
          <w:lang w:val="zh-CN"/>
        </w:rPr>
        <w:t>1</w:t>
      </w:r>
      <w:r>
        <w:rPr>
          <w:rFonts w:hint="eastAsia" w:ascii="宋体" w:hAnsi="宋体" w:cs="仿宋_GB2312"/>
          <w:snapToGrid w:val="0"/>
          <w:kern w:val="0"/>
          <w:sz w:val="24"/>
          <w:lang w:val="zh-CN"/>
        </w:rPr>
        <w:t>.3供应商所提交的响应文件在磋商结束后，无论成交与否都不退还。</w:t>
      </w:r>
    </w:p>
    <w:p>
      <w:pPr>
        <w:tabs>
          <w:tab w:val="left" w:pos="425"/>
          <w:tab w:val="left" w:pos="540"/>
        </w:tabs>
        <w:snapToGrid w:val="0"/>
        <w:spacing w:line="360" w:lineRule="auto"/>
        <w:ind w:firstLine="482" w:firstLineChars="200"/>
        <w:outlineLvl w:val="1"/>
        <w:rPr>
          <w:rFonts w:ascii="宋体" w:hAnsi="宋体" w:cs="仿宋_GB2312"/>
          <w:b/>
          <w:sz w:val="24"/>
        </w:rPr>
      </w:pPr>
      <w:bookmarkStart w:id="298" w:name="_Toc46771664"/>
      <w:bookmarkStart w:id="299" w:name="_Toc470172689"/>
      <w:bookmarkStart w:id="300" w:name="_Toc14538"/>
      <w:r>
        <w:rPr>
          <w:rFonts w:hint="eastAsia" w:ascii="宋体" w:hAnsi="宋体" w:cs="仿宋_GB2312"/>
          <w:b/>
          <w:sz w:val="24"/>
        </w:rPr>
        <w:t>（五）磋商程序</w:t>
      </w:r>
      <w:bookmarkEnd w:id="298"/>
      <w:bookmarkEnd w:id="299"/>
      <w:bookmarkEnd w:id="300"/>
    </w:p>
    <w:p>
      <w:pPr>
        <w:tabs>
          <w:tab w:val="left" w:pos="540"/>
        </w:tabs>
        <w:snapToGrid w:val="0"/>
        <w:spacing w:line="360" w:lineRule="auto"/>
        <w:ind w:firstLine="482" w:firstLineChars="200"/>
        <w:outlineLvl w:val="1"/>
        <w:rPr>
          <w:rFonts w:ascii="宋体" w:hAnsi="宋体" w:cs="仿宋_GB2312"/>
          <w:b/>
          <w:sz w:val="24"/>
        </w:rPr>
      </w:pPr>
      <w:bookmarkStart w:id="301" w:name="_Toc22624"/>
      <w:bookmarkStart w:id="302" w:name="_Toc51674236"/>
      <w:bookmarkStart w:id="303" w:name="_Toc48688814"/>
      <w:bookmarkStart w:id="304" w:name="_Toc470172690"/>
      <w:bookmarkStart w:id="305" w:name="_Toc52960578"/>
      <w:bookmarkStart w:id="306" w:name="_Toc46772266"/>
      <w:bookmarkStart w:id="307" w:name="_Toc22900"/>
      <w:bookmarkStart w:id="308" w:name="_Toc52962752"/>
      <w:bookmarkStart w:id="309" w:name="_Toc48846134"/>
      <w:bookmarkStart w:id="310" w:name="_Toc46771665"/>
      <w:r>
        <w:rPr>
          <w:rFonts w:hint="eastAsia" w:ascii="宋体" w:hAnsi="宋体" w:cs="仿宋_GB2312"/>
          <w:b/>
          <w:sz w:val="24"/>
        </w:rPr>
        <w:t>2</w:t>
      </w:r>
      <w:r>
        <w:rPr>
          <w:rFonts w:ascii="宋体" w:hAnsi="宋体" w:cs="仿宋_GB2312"/>
          <w:b/>
          <w:sz w:val="24"/>
        </w:rPr>
        <w:t>2</w:t>
      </w:r>
      <w:r>
        <w:rPr>
          <w:rFonts w:hint="eastAsia" w:ascii="宋体" w:hAnsi="宋体" w:cs="仿宋_GB2312"/>
          <w:b/>
          <w:sz w:val="24"/>
        </w:rPr>
        <w:t>.磋商小组</w:t>
      </w:r>
      <w:bookmarkEnd w:id="301"/>
      <w:bookmarkEnd w:id="302"/>
      <w:bookmarkEnd w:id="303"/>
      <w:bookmarkEnd w:id="304"/>
      <w:bookmarkEnd w:id="305"/>
      <w:bookmarkEnd w:id="306"/>
      <w:bookmarkEnd w:id="307"/>
      <w:bookmarkEnd w:id="308"/>
      <w:bookmarkEnd w:id="309"/>
      <w:bookmarkEnd w:id="310"/>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2</w:t>
      </w:r>
      <w:r>
        <w:rPr>
          <w:rFonts w:ascii="宋体" w:hAnsi="宋体" w:cs="仿宋_GB2312"/>
          <w:snapToGrid w:val="0"/>
          <w:kern w:val="0"/>
          <w:sz w:val="24"/>
          <w:lang w:val="zh-CN"/>
        </w:rPr>
        <w:t>2</w:t>
      </w:r>
      <w:r>
        <w:rPr>
          <w:rFonts w:hint="eastAsia" w:ascii="宋体" w:hAnsi="宋体" w:cs="仿宋_GB2312"/>
          <w:snapToGrid w:val="0"/>
          <w:kern w:val="0"/>
          <w:sz w:val="24"/>
          <w:lang w:val="zh-CN"/>
        </w:rPr>
        <w:t>.1采购人依照《中华人民共和国政府采购法》《中华人民共和国政府采购法实施条例》《政府采购竞争性磋商采购方式管理暂行办法》及现行法律规定组建磋商小组，磋商小组由采购人代表和评审专家共3人以上单数组成。磋商小组人数详见《供应商须知前附表》。</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2</w:t>
      </w:r>
      <w:r>
        <w:rPr>
          <w:rFonts w:ascii="宋体" w:hAnsi="宋体" w:cs="仿宋_GB2312"/>
          <w:snapToGrid w:val="0"/>
          <w:kern w:val="0"/>
          <w:sz w:val="24"/>
          <w:lang w:val="zh-CN"/>
        </w:rPr>
        <w:t>2</w:t>
      </w:r>
      <w:r>
        <w:rPr>
          <w:rFonts w:hint="eastAsia" w:ascii="宋体" w:hAnsi="宋体" w:cs="仿宋_GB2312"/>
          <w:snapToGrid w:val="0"/>
          <w:kern w:val="0"/>
          <w:sz w:val="24"/>
          <w:lang w:val="zh-CN"/>
        </w:rPr>
        <w:t>.2磋商小组中的评审专家人数不少于磋商小组成员总数的2/3，采购人代表不得以评审专家身份参加本项目的评审，采购代理机构人员不得参加本项目的评审。评审专家的产生详见《供应商须知前附表》。</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2</w:t>
      </w:r>
      <w:r>
        <w:rPr>
          <w:rFonts w:ascii="宋体" w:hAnsi="宋体" w:cs="仿宋_GB2312"/>
          <w:snapToGrid w:val="0"/>
          <w:kern w:val="0"/>
          <w:sz w:val="24"/>
          <w:lang w:val="zh-CN"/>
        </w:rPr>
        <w:t>2</w:t>
      </w:r>
      <w:r>
        <w:rPr>
          <w:rFonts w:hint="eastAsia" w:ascii="宋体" w:hAnsi="宋体" w:cs="仿宋_GB2312"/>
          <w:snapToGrid w:val="0"/>
          <w:kern w:val="0"/>
          <w:sz w:val="24"/>
          <w:lang w:val="zh-CN"/>
        </w:rPr>
        <w:t>.3磋商小组所有成员按事先抽取的磋商顺序，集中与单一供应商分别进行磋商，并给予所有参加磋商的供应商平等的磋商机会。</w:t>
      </w:r>
    </w:p>
    <w:p>
      <w:pPr>
        <w:tabs>
          <w:tab w:val="left" w:pos="540"/>
        </w:tabs>
        <w:snapToGrid w:val="0"/>
        <w:spacing w:line="360" w:lineRule="auto"/>
        <w:ind w:firstLine="482" w:firstLineChars="200"/>
        <w:outlineLvl w:val="1"/>
        <w:rPr>
          <w:rFonts w:ascii="宋体" w:hAnsi="宋体" w:cs="仿宋_GB2312"/>
          <w:b/>
          <w:sz w:val="24"/>
        </w:rPr>
      </w:pPr>
      <w:bookmarkStart w:id="311" w:name="_Toc51674237"/>
      <w:bookmarkStart w:id="312" w:name="_Toc470172691"/>
      <w:bookmarkStart w:id="313" w:name="_Toc48688815"/>
      <w:bookmarkStart w:id="314" w:name="_Toc46772267"/>
      <w:bookmarkStart w:id="315" w:name="_Toc48846135"/>
      <w:bookmarkStart w:id="316" w:name="_Toc21483"/>
      <w:bookmarkStart w:id="317" w:name="_Toc52962753"/>
      <w:bookmarkStart w:id="318" w:name="_Toc46771666"/>
      <w:bookmarkStart w:id="319" w:name="_Toc11505"/>
      <w:bookmarkStart w:id="320" w:name="_Toc52960579"/>
      <w:r>
        <w:rPr>
          <w:rFonts w:hint="eastAsia" w:ascii="宋体" w:hAnsi="宋体" w:cs="仿宋_GB2312"/>
          <w:b/>
          <w:sz w:val="24"/>
        </w:rPr>
        <w:t>2</w:t>
      </w:r>
      <w:r>
        <w:rPr>
          <w:rFonts w:ascii="宋体" w:hAnsi="宋体" w:cs="仿宋_GB2312"/>
          <w:b/>
          <w:sz w:val="24"/>
        </w:rPr>
        <w:t>3</w:t>
      </w:r>
      <w:r>
        <w:rPr>
          <w:rFonts w:hint="eastAsia" w:ascii="宋体" w:hAnsi="宋体" w:cs="仿宋_GB2312"/>
          <w:b/>
          <w:sz w:val="24"/>
        </w:rPr>
        <w:t>.磋商代表</w:t>
      </w:r>
      <w:bookmarkEnd w:id="311"/>
      <w:bookmarkEnd w:id="312"/>
      <w:bookmarkEnd w:id="313"/>
      <w:bookmarkEnd w:id="314"/>
      <w:bookmarkEnd w:id="315"/>
      <w:bookmarkEnd w:id="316"/>
      <w:bookmarkEnd w:id="317"/>
      <w:bookmarkEnd w:id="318"/>
      <w:bookmarkEnd w:id="319"/>
      <w:bookmarkEnd w:id="320"/>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bookmarkStart w:id="321" w:name="_Toc32662"/>
      <w:bookmarkStart w:id="322" w:name="_Toc9967"/>
      <w:r>
        <w:rPr>
          <w:rFonts w:hint="eastAsia" w:ascii="宋体" w:hAnsi="宋体" w:cs="仿宋_GB2312"/>
          <w:snapToGrid w:val="0"/>
          <w:kern w:val="0"/>
          <w:sz w:val="24"/>
          <w:lang w:val="zh-CN"/>
        </w:rPr>
        <w:t>2</w:t>
      </w:r>
      <w:r>
        <w:rPr>
          <w:rFonts w:ascii="宋体" w:hAnsi="宋体" w:cs="仿宋_GB2312"/>
          <w:snapToGrid w:val="0"/>
          <w:kern w:val="0"/>
          <w:sz w:val="24"/>
          <w:lang w:val="zh-CN"/>
        </w:rPr>
        <w:t>3</w:t>
      </w:r>
      <w:r>
        <w:rPr>
          <w:rFonts w:hint="eastAsia" w:ascii="宋体" w:hAnsi="宋体" w:cs="仿宋_GB2312"/>
          <w:snapToGrid w:val="0"/>
          <w:kern w:val="0"/>
          <w:sz w:val="24"/>
          <w:lang w:val="zh-CN"/>
        </w:rPr>
        <w:t>.1参与磋商的供应商法定代表人或授权代表应携带本人身份证明参加磋商，授权代表参加磋商的，还应携带法定代表人授权书原件。磋商代表经磋商小组核对身份后，方可参加磋商。</w:t>
      </w:r>
      <w:bookmarkEnd w:id="321"/>
      <w:bookmarkEnd w:id="322"/>
    </w:p>
    <w:p>
      <w:pPr>
        <w:tabs>
          <w:tab w:val="left" w:pos="540"/>
        </w:tabs>
        <w:snapToGrid w:val="0"/>
        <w:spacing w:line="360" w:lineRule="auto"/>
        <w:ind w:firstLine="482" w:firstLineChars="200"/>
        <w:outlineLvl w:val="1"/>
        <w:rPr>
          <w:rFonts w:ascii="宋体" w:hAnsi="宋体" w:cs="仿宋_GB2312"/>
          <w:b/>
          <w:sz w:val="24"/>
        </w:rPr>
      </w:pPr>
      <w:bookmarkStart w:id="323" w:name="_Toc46772268"/>
      <w:bookmarkStart w:id="324" w:name="_Toc46771667"/>
      <w:bookmarkStart w:id="325" w:name="_Toc48846136"/>
      <w:bookmarkStart w:id="326" w:name="_Toc52960580"/>
      <w:bookmarkStart w:id="327" w:name="_Toc25914"/>
      <w:bookmarkStart w:id="328" w:name="_Toc48688816"/>
      <w:bookmarkStart w:id="329" w:name="_Toc51674238"/>
      <w:bookmarkStart w:id="330" w:name="_Toc52962754"/>
      <w:r>
        <w:rPr>
          <w:rFonts w:hint="eastAsia" w:ascii="宋体" w:hAnsi="宋体" w:cs="仿宋_GB2312"/>
          <w:b/>
          <w:sz w:val="24"/>
        </w:rPr>
        <w:t>2</w:t>
      </w:r>
      <w:r>
        <w:rPr>
          <w:rFonts w:ascii="宋体" w:hAnsi="宋体" w:cs="仿宋_GB2312"/>
          <w:b/>
          <w:sz w:val="24"/>
        </w:rPr>
        <w:t>4</w:t>
      </w:r>
      <w:r>
        <w:rPr>
          <w:rFonts w:hint="eastAsia" w:ascii="宋体" w:hAnsi="宋体" w:cs="仿宋_GB2312"/>
          <w:b/>
          <w:sz w:val="24"/>
        </w:rPr>
        <w:t>.资格审查和符合性审查</w:t>
      </w:r>
      <w:bookmarkEnd w:id="323"/>
      <w:bookmarkEnd w:id="324"/>
      <w:bookmarkEnd w:id="325"/>
      <w:bookmarkEnd w:id="326"/>
      <w:bookmarkEnd w:id="327"/>
      <w:bookmarkEnd w:id="328"/>
      <w:bookmarkEnd w:id="329"/>
      <w:bookmarkEnd w:id="330"/>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2</w:t>
      </w:r>
      <w:r>
        <w:rPr>
          <w:rFonts w:ascii="宋体" w:hAnsi="宋体" w:cs="仿宋_GB2312"/>
          <w:snapToGrid w:val="0"/>
          <w:kern w:val="0"/>
          <w:sz w:val="24"/>
          <w:lang w:val="zh-CN"/>
        </w:rPr>
        <w:t>4</w:t>
      </w:r>
      <w:r>
        <w:rPr>
          <w:rFonts w:hint="eastAsia" w:ascii="宋体" w:hAnsi="宋体" w:cs="仿宋_GB2312"/>
          <w:snapToGrid w:val="0"/>
          <w:kern w:val="0"/>
          <w:sz w:val="24"/>
          <w:lang w:val="zh-CN"/>
        </w:rPr>
        <w:t>.1在正式磋商前，磋商小组按照本磋商文件第五章规定的程序、方法和标准，对供应商进行资格性审查和符合性审查，通过资格性审查和符合性审查的供应商方可进入磋商程序。资格性审查和符合性审查内容详见第五章“评审程序、方法及标准”。</w:t>
      </w:r>
    </w:p>
    <w:p>
      <w:pPr>
        <w:tabs>
          <w:tab w:val="left" w:pos="540"/>
        </w:tabs>
        <w:snapToGrid w:val="0"/>
        <w:spacing w:line="360" w:lineRule="auto"/>
        <w:ind w:firstLine="482" w:firstLineChars="200"/>
        <w:outlineLvl w:val="1"/>
        <w:rPr>
          <w:rFonts w:ascii="宋体" w:hAnsi="宋体" w:cs="仿宋_GB2312"/>
          <w:b/>
          <w:sz w:val="24"/>
        </w:rPr>
      </w:pPr>
      <w:bookmarkStart w:id="331" w:name="_Toc52960581"/>
      <w:bookmarkStart w:id="332" w:name="_Toc51674239"/>
      <w:bookmarkStart w:id="333" w:name="_Toc27282"/>
      <w:bookmarkStart w:id="334" w:name="_Toc48846137"/>
      <w:bookmarkStart w:id="335" w:name="_Toc46771668"/>
      <w:bookmarkStart w:id="336" w:name="_Toc52962755"/>
      <w:bookmarkStart w:id="337" w:name="_Toc46772269"/>
      <w:bookmarkStart w:id="338" w:name="_Toc48688817"/>
      <w:r>
        <w:rPr>
          <w:rFonts w:hint="eastAsia" w:ascii="宋体" w:hAnsi="宋体" w:cs="仿宋_GB2312"/>
          <w:b/>
          <w:sz w:val="24"/>
        </w:rPr>
        <w:t>2</w:t>
      </w:r>
      <w:r>
        <w:rPr>
          <w:rFonts w:ascii="宋体" w:hAnsi="宋体" w:cs="仿宋_GB2312"/>
          <w:b/>
          <w:sz w:val="24"/>
        </w:rPr>
        <w:t>5</w:t>
      </w:r>
      <w:r>
        <w:rPr>
          <w:rFonts w:hint="eastAsia" w:ascii="宋体" w:hAnsi="宋体" w:cs="仿宋_GB2312"/>
          <w:b/>
          <w:sz w:val="24"/>
        </w:rPr>
        <w:t>.磋商</w:t>
      </w:r>
      <w:bookmarkEnd w:id="331"/>
      <w:bookmarkEnd w:id="332"/>
      <w:bookmarkEnd w:id="333"/>
      <w:bookmarkEnd w:id="334"/>
      <w:bookmarkEnd w:id="335"/>
      <w:bookmarkEnd w:id="336"/>
      <w:bookmarkEnd w:id="337"/>
      <w:bookmarkEnd w:id="338"/>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2</w:t>
      </w:r>
      <w:r>
        <w:rPr>
          <w:rFonts w:ascii="宋体" w:hAnsi="宋体" w:cs="仿宋_GB2312"/>
          <w:snapToGrid w:val="0"/>
          <w:kern w:val="0"/>
          <w:sz w:val="24"/>
          <w:lang w:val="zh-CN"/>
        </w:rPr>
        <w:t>5</w:t>
      </w:r>
      <w:r>
        <w:rPr>
          <w:rFonts w:hint="eastAsia" w:ascii="宋体" w:hAnsi="宋体" w:cs="仿宋_GB2312"/>
          <w:snapToGrid w:val="0"/>
          <w:kern w:val="0"/>
          <w:sz w:val="24"/>
          <w:lang w:val="zh-CN"/>
        </w:rPr>
        <w:t>.1磋商小组将根据本磋商文件第五章规定的程序、方法和标准与供应商进行磋商。在磋商过程中，磋商的任何一方不得透露与磋商有关的其他供应商的技术资料、价格和其他信息。</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2</w:t>
      </w:r>
      <w:r>
        <w:rPr>
          <w:rFonts w:ascii="宋体" w:hAnsi="宋体" w:cs="仿宋_GB2312"/>
          <w:snapToGrid w:val="0"/>
          <w:kern w:val="0"/>
          <w:sz w:val="24"/>
          <w:lang w:val="zh-CN"/>
        </w:rPr>
        <w:t>5</w:t>
      </w:r>
      <w:r>
        <w:rPr>
          <w:rFonts w:hint="eastAsia" w:ascii="宋体" w:hAnsi="宋体" w:cs="仿宋_GB2312"/>
          <w:snapToGrid w:val="0"/>
          <w:kern w:val="0"/>
          <w:sz w:val="24"/>
          <w:lang w:val="zh-CN"/>
        </w:rPr>
        <w:t>.2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以书面形式同时通知所有磋商供应商。</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2</w:t>
      </w:r>
      <w:r>
        <w:rPr>
          <w:rFonts w:ascii="宋体" w:hAnsi="宋体" w:cs="仿宋_GB2312"/>
          <w:snapToGrid w:val="0"/>
          <w:kern w:val="0"/>
          <w:sz w:val="24"/>
          <w:lang w:val="zh-CN"/>
        </w:rPr>
        <w:t>5</w:t>
      </w:r>
      <w:r>
        <w:rPr>
          <w:rFonts w:hint="eastAsia" w:ascii="宋体" w:hAnsi="宋体" w:cs="仿宋_GB2312"/>
          <w:snapToGrid w:val="0"/>
          <w:kern w:val="0"/>
          <w:sz w:val="24"/>
          <w:lang w:val="zh-CN"/>
        </w:rPr>
        <w:t>.3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2</w:t>
      </w:r>
      <w:r>
        <w:rPr>
          <w:rFonts w:ascii="宋体" w:hAnsi="宋体" w:cs="仿宋_GB2312"/>
          <w:snapToGrid w:val="0"/>
          <w:kern w:val="0"/>
          <w:sz w:val="24"/>
          <w:lang w:val="zh-CN"/>
        </w:rPr>
        <w:t>5</w:t>
      </w:r>
      <w:r>
        <w:rPr>
          <w:rFonts w:hint="eastAsia" w:ascii="宋体" w:hAnsi="宋体" w:cs="仿宋_GB2312"/>
          <w:snapToGrid w:val="0"/>
          <w:kern w:val="0"/>
          <w:sz w:val="24"/>
          <w:lang w:val="zh-CN"/>
        </w:rPr>
        <w:t>.4最后报价</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（1）磋商文件能够详细列明采购标的的技术、服务要求的，磋商结束后，磋商小组应当要求所有继续参加磋商的供应商在规定时间内提交最后报价，提交最后报价的供应商不得少于3家。</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已提交响应文件的供应商，在提交最后报价之前，可以根据磋商情况退出磋商。</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 xml:space="preserve">（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本采购项目提交最后报价供应商的确定方式详见《供应商须知前附表》。</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2</w:t>
      </w:r>
      <w:r>
        <w:rPr>
          <w:rFonts w:ascii="宋体" w:hAnsi="宋体" w:cs="仿宋_GB2312"/>
          <w:snapToGrid w:val="0"/>
          <w:kern w:val="0"/>
          <w:sz w:val="24"/>
          <w:lang w:val="zh-CN"/>
        </w:rPr>
        <w:t>5</w:t>
      </w:r>
      <w:r>
        <w:rPr>
          <w:rFonts w:hint="eastAsia" w:ascii="宋体" w:hAnsi="宋体" w:cs="仿宋_GB2312"/>
          <w:snapToGrid w:val="0"/>
          <w:kern w:val="0"/>
          <w:sz w:val="24"/>
          <w:lang w:val="zh-CN"/>
        </w:rPr>
        <w:t>.5如有需要，磋商小组可进行多轮磋商，直至最终确定磋商文件中的技术、服务要求以及合同草案条款。</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2</w:t>
      </w:r>
      <w:r>
        <w:rPr>
          <w:rFonts w:ascii="宋体" w:hAnsi="宋体" w:cs="仿宋_GB2312"/>
          <w:snapToGrid w:val="0"/>
          <w:kern w:val="0"/>
          <w:sz w:val="24"/>
          <w:lang w:val="zh-CN"/>
        </w:rPr>
        <w:t>5</w:t>
      </w:r>
      <w:r>
        <w:rPr>
          <w:rFonts w:hint="eastAsia" w:ascii="宋体" w:hAnsi="宋体" w:cs="仿宋_GB2312"/>
          <w:snapToGrid w:val="0"/>
          <w:kern w:val="0"/>
          <w:sz w:val="24"/>
          <w:lang w:val="zh-CN"/>
        </w:rPr>
        <w:t>.6磋商小组审核完最终报价后，根据磋商文件规定的评审程序、方法和标准推荐成交候选供应商或根据采购人的书面授权直接确定成交供应商。</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2</w:t>
      </w:r>
      <w:r>
        <w:rPr>
          <w:rFonts w:ascii="宋体" w:hAnsi="宋体" w:cs="仿宋_GB2312"/>
          <w:snapToGrid w:val="0"/>
          <w:kern w:val="0"/>
          <w:sz w:val="24"/>
          <w:lang w:val="zh-CN"/>
        </w:rPr>
        <w:t>5</w:t>
      </w:r>
      <w:r>
        <w:rPr>
          <w:rFonts w:hint="eastAsia" w:ascii="宋体" w:hAnsi="宋体" w:cs="仿宋_GB2312"/>
          <w:snapToGrid w:val="0"/>
          <w:kern w:val="0"/>
          <w:sz w:val="24"/>
          <w:lang w:val="zh-CN"/>
        </w:rPr>
        <w:t>.7采购代理机构对磋商过程和重要磋商内容进行记录，磋商双方在记录上签字确认。</w:t>
      </w:r>
    </w:p>
    <w:p>
      <w:pPr>
        <w:tabs>
          <w:tab w:val="left" w:pos="540"/>
        </w:tabs>
        <w:snapToGrid w:val="0"/>
        <w:spacing w:line="360" w:lineRule="auto"/>
        <w:ind w:firstLine="482" w:firstLineChars="200"/>
        <w:outlineLvl w:val="1"/>
        <w:rPr>
          <w:rFonts w:ascii="宋体" w:hAnsi="宋体" w:cs="仿宋_GB2312"/>
          <w:b/>
          <w:sz w:val="24"/>
        </w:rPr>
      </w:pPr>
      <w:bookmarkStart w:id="339" w:name="_Toc15521"/>
      <w:bookmarkStart w:id="340" w:name="_Toc52962756"/>
      <w:bookmarkStart w:id="341" w:name="_Toc52960582"/>
      <w:bookmarkStart w:id="342" w:name="_Toc48846138"/>
      <w:bookmarkStart w:id="343" w:name="_Toc51674240"/>
      <w:bookmarkStart w:id="344" w:name="_Toc48688818"/>
      <w:bookmarkStart w:id="345" w:name="_Toc46771669"/>
      <w:bookmarkStart w:id="346" w:name="_Toc46772270"/>
      <w:r>
        <w:rPr>
          <w:rFonts w:hint="eastAsia" w:ascii="宋体" w:hAnsi="宋体" w:cs="仿宋_GB2312"/>
          <w:b/>
          <w:sz w:val="24"/>
        </w:rPr>
        <w:t>2</w:t>
      </w:r>
      <w:r>
        <w:rPr>
          <w:rFonts w:ascii="宋体" w:hAnsi="宋体" w:cs="仿宋_GB2312"/>
          <w:b/>
          <w:sz w:val="24"/>
        </w:rPr>
        <w:t>6</w:t>
      </w:r>
      <w:r>
        <w:rPr>
          <w:rFonts w:hint="eastAsia" w:ascii="宋体" w:hAnsi="宋体" w:cs="仿宋_GB2312"/>
          <w:b/>
          <w:sz w:val="24"/>
        </w:rPr>
        <w:t>.推荐成交候选供应商</w:t>
      </w:r>
      <w:bookmarkEnd w:id="339"/>
      <w:bookmarkEnd w:id="340"/>
      <w:bookmarkEnd w:id="341"/>
      <w:bookmarkEnd w:id="342"/>
      <w:bookmarkEnd w:id="343"/>
      <w:bookmarkEnd w:id="344"/>
      <w:bookmarkEnd w:id="345"/>
      <w:bookmarkEnd w:id="346"/>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2</w:t>
      </w:r>
      <w:r>
        <w:rPr>
          <w:rFonts w:ascii="宋体" w:hAnsi="宋体" w:cs="仿宋_GB2312"/>
          <w:snapToGrid w:val="0"/>
          <w:kern w:val="0"/>
          <w:sz w:val="24"/>
          <w:lang w:val="zh-CN"/>
        </w:rPr>
        <w:t>6</w:t>
      </w:r>
      <w:r>
        <w:rPr>
          <w:rFonts w:hint="eastAsia" w:ascii="宋体" w:hAnsi="宋体" w:cs="仿宋_GB2312"/>
          <w:snapToGrid w:val="0"/>
          <w:kern w:val="0"/>
          <w:sz w:val="24"/>
          <w:lang w:val="zh-CN"/>
        </w:rPr>
        <w:t>.1本项目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本项目具体评审因素的量化指标详见第五章“评审程序、方法及标准”。</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2</w:t>
      </w:r>
      <w:r>
        <w:rPr>
          <w:rFonts w:ascii="宋体" w:hAnsi="宋体" w:cs="仿宋_GB2312"/>
          <w:snapToGrid w:val="0"/>
          <w:kern w:val="0"/>
          <w:sz w:val="24"/>
          <w:lang w:val="zh-CN"/>
        </w:rPr>
        <w:t>6</w:t>
      </w:r>
      <w:r>
        <w:rPr>
          <w:rFonts w:hint="eastAsia" w:ascii="宋体" w:hAnsi="宋体" w:cs="仿宋_GB2312"/>
          <w:snapToGrid w:val="0"/>
          <w:kern w:val="0"/>
          <w:sz w:val="24"/>
          <w:lang w:val="zh-CN"/>
        </w:rPr>
        <w:t>.2磋商小组根据综合评分情况，按照评审得分由高到低的顺序及《供应商须知前附表》规定的数量推荐成交候选供应商，并编写评审报告。评审报告应当有磋商小组全体成员签字认可。</w:t>
      </w:r>
    </w:p>
    <w:p>
      <w:pPr>
        <w:tabs>
          <w:tab w:val="left" w:pos="425"/>
          <w:tab w:val="left" w:pos="540"/>
        </w:tabs>
        <w:snapToGrid w:val="0"/>
        <w:spacing w:line="360" w:lineRule="auto"/>
        <w:ind w:firstLine="482" w:firstLineChars="200"/>
        <w:outlineLvl w:val="1"/>
        <w:rPr>
          <w:rFonts w:ascii="宋体" w:hAnsi="宋体" w:cs="仿宋_GB2312"/>
          <w:b/>
          <w:sz w:val="24"/>
        </w:rPr>
      </w:pPr>
      <w:bookmarkStart w:id="347" w:name="_Toc470172692"/>
      <w:bookmarkStart w:id="348" w:name="_Toc46771670"/>
      <w:bookmarkStart w:id="349" w:name="_Toc6691"/>
      <w:r>
        <w:rPr>
          <w:rFonts w:hint="eastAsia" w:ascii="宋体" w:hAnsi="宋体" w:cs="仿宋_GB2312"/>
          <w:b/>
          <w:sz w:val="24"/>
        </w:rPr>
        <w:t>（六）成交与签订合同</w:t>
      </w:r>
      <w:bookmarkEnd w:id="347"/>
      <w:bookmarkEnd w:id="348"/>
      <w:bookmarkEnd w:id="349"/>
    </w:p>
    <w:p>
      <w:pPr>
        <w:tabs>
          <w:tab w:val="left" w:pos="540"/>
        </w:tabs>
        <w:snapToGrid w:val="0"/>
        <w:spacing w:line="360" w:lineRule="auto"/>
        <w:ind w:firstLine="482" w:firstLineChars="200"/>
        <w:outlineLvl w:val="1"/>
        <w:rPr>
          <w:rFonts w:ascii="宋体" w:hAnsi="宋体" w:cs="仿宋_GB2312"/>
          <w:b/>
          <w:sz w:val="24"/>
        </w:rPr>
      </w:pPr>
      <w:bookmarkStart w:id="350" w:name="_Toc52962758"/>
      <w:bookmarkStart w:id="351" w:name="_Toc46772272"/>
      <w:bookmarkStart w:id="352" w:name="_Toc46771671"/>
      <w:bookmarkStart w:id="353" w:name="_Toc48688820"/>
      <w:bookmarkStart w:id="354" w:name="_Toc22718"/>
      <w:bookmarkStart w:id="355" w:name="_Toc52960584"/>
      <w:bookmarkStart w:id="356" w:name="_Toc51674242"/>
      <w:bookmarkStart w:id="357" w:name="_Toc48846140"/>
      <w:r>
        <w:rPr>
          <w:rFonts w:hint="eastAsia" w:ascii="宋体" w:hAnsi="宋体" w:cs="仿宋_GB2312"/>
          <w:b/>
          <w:sz w:val="24"/>
        </w:rPr>
        <w:t>2</w:t>
      </w:r>
      <w:r>
        <w:rPr>
          <w:rFonts w:ascii="宋体" w:hAnsi="宋体" w:cs="仿宋_GB2312"/>
          <w:b/>
          <w:sz w:val="24"/>
        </w:rPr>
        <w:t>7</w:t>
      </w:r>
      <w:r>
        <w:rPr>
          <w:rFonts w:hint="eastAsia" w:ascii="宋体" w:hAnsi="宋体" w:cs="仿宋_GB2312"/>
          <w:b/>
          <w:sz w:val="24"/>
        </w:rPr>
        <w:t>.确定成交供应商</w:t>
      </w:r>
      <w:bookmarkEnd w:id="350"/>
      <w:bookmarkEnd w:id="351"/>
      <w:bookmarkEnd w:id="352"/>
      <w:bookmarkEnd w:id="353"/>
      <w:bookmarkEnd w:id="354"/>
      <w:bookmarkEnd w:id="355"/>
      <w:bookmarkEnd w:id="356"/>
      <w:bookmarkEnd w:id="357"/>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2</w:t>
      </w:r>
      <w:r>
        <w:rPr>
          <w:rFonts w:ascii="宋体" w:hAnsi="宋体" w:cs="仿宋_GB2312"/>
          <w:snapToGrid w:val="0"/>
          <w:kern w:val="0"/>
          <w:sz w:val="24"/>
          <w:lang w:val="zh-CN"/>
        </w:rPr>
        <w:t>7</w:t>
      </w:r>
      <w:r>
        <w:rPr>
          <w:rFonts w:hint="eastAsia" w:ascii="宋体" w:hAnsi="宋体" w:cs="仿宋_GB2312"/>
          <w:snapToGrid w:val="0"/>
          <w:kern w:val="0"/>
          <w:sz w:val="24"/>
          <w:lang w:val="zh-CN"/>
        </w:rPr>
        <w:t>.1采购代理机构应当在评审结束后2个工作日内将评审报告送采购人确认。</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2</w:t>
      </w:r>
      <w:r>
        <w:rPr>
          <w:rFonts w:ascii="宋体" w:hAnsi="宋体" w:cs="仿宋_GB2312"/>
          <w:snapToGrid w:val="0"/>
          <w:kern w:val="0"/>
          <w:sz w:val="24"/>
          <w:lang w:val="zh-CN"/>
        </w:rPr>
        <w:t>7</w:t>
      </w:r>
      <w:r>
        <w:rPr>
          <w:rFonts w:hint="eastAsia" w:ascii="宋体" w:hAnsi="宋体" w:cs="仿宋_GB2312"/>
          <w:snapToGrid w:val="0"/>
          <w:kern w:val="0"/>
          <w:sz w:val="24"/>
          <w:lang w:val="zh-CN"/>
        </w:rPr>
        <w:t>.2采购人应当在收到评审报告后5个工作日内，从评审报告提出的成交候选供应商中，按照推荐排序确定成交供应商，也可以书面授权磋商小组直接确定成交供应商。采购人逾期未确定成交供应商且不提出异议的，视为确定评审报告提出的排序第一的供应商为成交供应商。</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2</w:t>
      </w:r>
      <w:r>
        <w:rPr>
          <w:rFonts w:ascii="宋体" w:hAnsi="宋体" w:cs="仿宋_GB2312"/>
          <w:snapToGrid w:val="0"/>
          <w:kern w:val="0"/>
          <w:sz w:val="24"/>
          <w:lang w:val="zh-CN"/>
        </w:rPr>
        <w:t>7</w:t>
      </w:r>
      <w:r>
        <w:rPr>
          <w:rFonts w:hint="eastAsia" w:ascii="宋体" w:hAnsi="宋体" w:cs="仿宋_GB2312"/>
          <w:snapToGrid w:val="0"/>
          <w:kern w:val="0"/>
          <w:sz w:val="24"/>
          <w:lang w:val="zh-CN"/>
        </w:rPr>
        <w:t>.3采购人或者采购代理机构应当在成交供应商确定后2个工作日内，在省级以上财政部门指定的政府采购信息发布媒体上公告成交结果，同时向成交供应商发出成交通知书，并将磋商文件随成交结果同时公告。</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2</w:t>
      </w:r>
      <w:r>
        <w:rPr>
          <w:rFonts w:ascii="宋体" w:hAnsi="宋体" w:cs="仿宋_GB2312"/>
          <w:snapToGrid w:val="0"/>
          <w:kern w:val="0"/>
          <w:sz w:val="24"/>
          <w:lang w:val="zh-CN"/>
        </w:rPr>
        <w:t>7</w:t>
      </w:r>
      <w:r>
        <w:rPr>
          <w:rFonts w:hint="eastAsia" w:ascii="宋体" w:hAnsi="宋体" w:cs="仿宋_GB2312"/>
          <w:snapToGrid w:val="0"/>
          <w:kern w:val="0"/>
          <w:sz w:val="24"/>
          <w:lang w:val="zh-CN"/>
        </w:rPr>
        <w:t>.4成交通知书的领取时间详见《供应商须知前附表》。</w:t>
      </w:r>
    </w:p>
    <w:p>
      <w:pPr>
        <w:tabs>
          <w:tab w:val="left" w:pos="540"/>
        </w:tabs>
        <w:snapToGrid w:val="0"/>
        <w:spacing w:line="360" w:lineRule="auto"/>
        <w:ind w:firstLine="482" w:firstLineChars="200"/>
        <w:outlineLvl w:val="1"/>
        <w:rPr>
          <w:rFonts w:ascii="宋体" w:hAnsi="宋体" w:cs="仿宋_GB2312"/>
          <w:b/>
          <w:sz w:val="24"/>
        </w:rPr>
      </w:pPr>
      <w:bookmarkStart w:id="358" w:name="_Toc52960585"/>
      <w:bookmarkStart w:id="359" w:name="_Toc48846141"/>
      <w:bookmarkStart w:id="360" w:name="_Toc24818"/>
      <w:bookmarkStart w:id="361" w:name="_Toc46772273"/>
      <w:bookmarkStart w:id="362" w:name="_Toc46771672"/>
      <w:bookmarkStart w:id="363" w:name="_Toc52962759"/>
      <w:bookmarkStart w:id="364" w:name="_Toc48688821"/>
      <w:bookmarkStart w:id="365" w:name="_Toc51674243"/>
      <w:r>
        <w:rPr>
          <w:rFonts w:hint="eastAsia" w:ascii="宋体" w:hAnsi="宋体" w:cs="仿宋_GB2312"/>
          <w:b/>
          <w:sz w:val="24"/>
        </w:rPr>
        <w:t>2</w:t>
      </w:r>
      <w:r>
        <w:rPr>
          <w:rFonts w:ascii="宋体" w:hAnsi="宋体" w:cs="仿宋_GB2312"/>
          <w:b/>
          <w:sz w:val="24"/>
        </w:rPr>
        <w:t>8</w:t>
      </w:r>
      <w:r>
        <w:rPr>
          <w:rFonts w:hint="eastAsia" w:ascii="宋体" w:hAnsi="宋体" w:cs="仿宋_GB2312"/>
          <w:b/>
          <w:sz w:val="24"/>
        </w:rPr>
        <w:t>.签订合同</w:t>
      </w:r>
      <w:bookmarkEnd w:id="358"/>
      <w:bookmarkEnd w:id="359"/>
      <w:bookmarkEnd w:id="360"/>
      <w:bookmarkEnd w:id="361"/>
      <w:bookmarkEnd w:id="362"/>
      <w:bookmarkEnd w:id="363"/>
      <w:bookmarkEnd w:id="364"/>
      <w:bookmarkEnd w:id="365"/>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2</w:t>
      </w:r>
      <w:r>
        <w:rPr>
          <w:rFonts w:ascii="宋体" w:hAnsi="宋体" w:cs="仿宋_GB2312"/>
          <w:snapToGrid w:val="0"/>
          <w:kern w:val="0"/>
          <w:sz w:val="24"/>
          <w:lang w:val="zh-CN"/>
        </w:rPr>
        <w:t>8</w:t>
      </w:r>
      <w:r>
        <w:rPr>
          <w:rFonts w:hint="eastAsia" w:ascii="宋体" w:hAnsi="宋体" w:cs="仿宋_GB2312"/>
          <w:snapToGrid w:val="0"/>
          <w:kern w:val="0"/>
          <w:sz w:val="24"/>
          <w:lang w:val="zh-CN"/>
        </w:rPr>
        <w:t>.1磋商文件对履约保证金有规定的，成交供应商应按规定在签订合同前交纳履约保证金。有关履约保证金的规定详见《供应商须知前附表》。</w:t>
      </w:r>
    </w:p>
    <w:p>
      <w:pPr>
        <w:tabs>
          <w:tab w:val="left" w:pos="426"/>
        </w:tabs>
        <w:autoSpaceDE w:val="0"/>
        <w:autoSpaceDN w:val="0"/>
        <w:adjustRightInd w:val="0"/>
        <w:snapToGrid w:val="0"/>
        <w:spacing w:line="360" w:lineRule="auto"/>
        <w:ind w:firstLine="480" w:firstLineChars="200"/>
        <w:rPr>
          <w:rFonts w:ascii="宋体" w:hAnsi="宋体" w:cs="仿宋_GB2312"/>
          <w:sz w:val="24"/>
        </w:rPr>
      </w:pPr>
      <w:r>
        <w:rPr>
          <w:rFonts w:hint="eastAsia" w:ascii="宋体" w:hAnsi="宋体" w:cs="仿宋_GB2312"/>
          <w:snapToGrid w:val="0"/>
          <w:sz w:val="24"/>
          <w:lang w:val="zh-CN"/>
        </w:rPr>
        <w:t>2</w:t>
      </w:r>
      <w:r>
        <w:rPr>
          <w:rFonts w:ascii="宋体" w:hAnsi="宋体" w:cs="仿宋_GB2312"/>
          <w:snapToGrid w:val="0"/>
          <w:sz w:val="24"/>
          <w:lang w:val="zh-CN"/>
        </w:rPr>
        <w:t>8</w:t>
      </w:r>
      <w:r>
        <w:rPr>
          <w:rFonts w:hint="eastAsia" w:ascii="宋体" w:hAnsi="宋体" w:cs="仿宋_GB2312"/>
          <w:snapToGrid w:val="0"/>
          <w:sz w:val="24"/>
          <w:lang w:val="zh-CN"/>
        </w:rPr>
        <w:t>.2采购人与成交供应商应当在成交通知书发出之日起30日内，按照磋商文件确定的合同文本以及采购标的、规格型号、采购金额、采购数量、技术和服务要求等事项签订政府采购合同。</w:t>
      </w:r>
    </w:p>
    <w:p>
      <w:pPr>
        <w:autoSpaceDE w:val="0"/>
        <w:autoSpaceDN w:val="0"/>
        <w:adjustRightInd w:val="0"/>
        <w:snapToGrid w:val="0"/>
        <w:spacing w:line="360" w:lineRule="auto"/>
        <w:ind w:firstLine="480" w:firstLineChars="200"/>
        <w:rPr>
          <w:rFonts w:ascii="宋体" w:hAnsi="宋体" w:cs="仿宋_GB2312"/>
          <w:sz w:val="24"/>
        </w:rPr>
      </w:pPr>
      <w:r>
        <w:rPr>
          <w:rFonts w:hint="eastAsia" w:ascii="宋体" w:hAnsi="宋体" w:cs="仿宋_GB2312"/>
          <w:sz w:val="24"/>
        </w:rPr>
        <w:t>采购人应当自政府采购合同签订之日起2个工作日内，将政府采购合同在省级以上人民政府指定的媒体上公告，但政府采购合同中涉及国家秘密、商业秘密的内容除外。</w:t>
      </w:r>
    </w:p>
    <w:p>
      <w:pPr>
        <w:autoSpaceDE w:val="0"/>
        <w:autoSpaceDN w:val="0"/>
        <w:adjustRightInd w:val="0"/>
        <w:snapToGrid w:val="0"/>
        <w:spacing w:line="360" w:lineRule="auto"/>
        <w:ind w:firstLine="480" w:firstLineChars="200"/>
        <w:rPr>
          <w:rFonts w:ascii="宋体" w:hAnsi="宋体" w:cs="仿宋_GB2312"/>
          <w:sz w:val="24"/>
        </w:rPr>
      </w:pPr>
      <w:r>
        <w:rPr>
          <w:rFonts w:hint="eastAsia" w:ascii="宋体" w:hAnsi="宋体" w:cs="仿宋_GB2312"/>
          <w:sz w:val="24"/>
        </w:rPr>
        <w:t>2</w:t>
      </w:r>
      <w:r>
        <w:rPr>
          <w:rFonts w:ascii="宋体" w:hAnsi="宋体" w:cs="仿宋_GB2312"/>
          <w:sz w:val="24"/>
        </w:rPr>
        <w:t>8</w:t>
      </w:r>
      <w:r>
        <w:rPr>
          <w:rFonts w:hint="eastAsia" w:ascii="宋体" w:hAnsi="宋体" w:cs="仿宋_GB2312"/>
          <w:sz w:val="24"/>
        </w:rPr>
        <w:t>.3</w:t>
      </w:r>
      <w:r>
        <w:rPr>
          <w:rFonts w:hint="eastAsia" w:ascii="宋体" w:hAnsi="宋体" w:cs="仿宋_GB2312"/>
          <w:sz w:val="24"/>
          <w:lang w:val="zh-CN"/>
        </w:rPr>
        <w:t>成交供应商拒绝签订政府采购合同的，采购人可以《政府采购竞争性磋商采购方式管理暂行办法》（财库[2014]214号）第二十八条第二款规定的原则确定其他供应商作为成交供应商并签订政府采购合同，也可以重新开展采购活动。拒绝签订政府采购合同的成交供应商不得参加对该项目重新开展的采购活动。</w:t>
      </w:r>
    </w:p>
    <w:p>
      <w:pPr>
        <w:tabs>
          <w:tab w:val="left" w:pos="540"/>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sz w:val="24"/>
          <w:lang w:val="zh-CN"/>
        </w:rPr>
        <w:t>2</w:t>
      </w:r>
      <w:r>
        <w:rPr>
          <w:rFonts w:ascii="宋体" w:hAnsi="宋体" w:cs="仿宋_GB2312"/>
          <w:snapToGrid w:val="0"/>
          <w:sz w:val="24"/>
          <w:lang w:val="zh-CN"/>
        </w:rPr>
        <w:t>8</w:t>
      </w:r>
      <w:r>
        <w:rPr>
          <w:rFonts w:hint="eastAsia" w:ascii="宋体" w:hAnsi="宋体" w:cs="仿宋_GB2312"/>
          <w:snapToGrid w:val="0"/>
          <w:sz w:val="24"/>
          <w:lang w:val="zh-CN"/>
        </w:rPr>
        <w:t>.4除不可抗力等因素外，成交通知书发出后，采购人改变成交结果，或者成交供应商拒绝签订政府采购合同的，应当承担相应的法律责任。</w:t>
      </w:r>
    </w:p>
    <w:p>
      <w:pPr>
        <w:tabs>
          <w:tab w:val="left" w:pos="540"/>
        </w:tabs>
        <w:snapToGrid w:val="0"/>
        <w:spacing w:line="360" w:lineRule="auto"/>
        <w:ind w:firstLine="482" w:firstLineChars="200"/>
        <w:outlineLvl w:val="1"/>
        <w:rPr>
          <w:rFonts w:ascii="宋体" w:hAnsi="宋体" w:cs="仿宋_GB2312"/>
          <w:b/>
          <w:snapToGrid w:val="0"/>
          <w:kern w:val="0"/>
          <w:sz w:val="24"/>
          <w:lang w:val="zh-CN"/>
        </w:rPr>
      </w:pPr>
      <w:bookmarkStart w:id="366" w:name="_Toc24567"/>
      <w:bookmarkStart w:id="367" w:name="_Toc46771673"/>
      <w:bookmarkStart w:id="368" w:name="_Toc470172693"/>
      <w:r>
        <w:rPr>
          <w:rFonts w:hint="eastAsia" w:ascii="宋体" w:hAnsi="宋体" w:cs="仿宋_GB2312"/>
          <w:b/>
          <w:snapToGrid w:val="0"/>
          <w:kern w:val="0"/>
          <w:sz w:val="24"/>
          <w:lang w:val="zh-CN"/>
        </w:rPr>
        <w:t>（七）质疑和投诉</w:t>
      </w:r>
      <w:bookmarkEnd w:id="366"/>
      <w:bookmarkEnd w:id="367"/>
    </w:p>
    <w:p>
      <w:pPr>
        <w:tabs>
          <w:tab w:val="left" w:pos="540"/>
        </w:tabs>
        <w:snapToGrid w:val="0"/>
        <w:spacing w:line="360" w:lineRule="auto"/>
        <w:ind w:firstLine="482" w:firstLineChars="200"/>
        <w:outlineLvl w:val="1"/>
        <w:rPr>
          <w:rFonts w:ascii="宋体" w:hAnsi="宋体" w:cs="仿宋_GB2312"/>
          <w:b/>
          <w:sz w:val="24"/>
        </w:rPr>
      </w:pPr>
      <w:bookmarkStart w:id="369" w:name="_Toc46772275"/>
      <w:bookmarkStart w:id="370" w:name="_Toc51674245"/>
      <w:bookmarkStart w:id="371" w:name="_Toc52962761"/>
      <w:bookmarkStart w:id="372" w:name="_Toc48846143"/>
      <w:bookmarkStart w:id="373" w:name="_Toc48688823"/>
      <w:bookmarkStart w:id="374" w:name="_Toc46771674"/>
      <w:bookmarkStart w:id="375" w:name="_Toc12537"/>
      <w:bookmarkStart w:id="376" w:name="_Toc52960587"/>
      <w:r>
        <w:rPr>
          <w:rFonts w:ascii="宋体" w:hAnsi="宋体" w:cs="仿宋_GB2312"/>
          <w:b/>
          <w:sz w:val="24"/>
        </w:rPr>
        <w:t>29</w:t>
      </w:r>
      <w:r>
        <w:rPr>
          <w:rFonts w:hint="eastAsia" w:ascii="宋体" w:hAnsi="宋体" w:cs="仿宋_GB2312"/>
          <w:b/>
          <w:sz w:val="24"/>
        </w:rPr>
        <w:t>.质疑</w:t>
      </w:r>
      <w:bookmarkEnd w:id="369"/>
      <w:bookmarkEnd w:id="370"/>
      <w:bookmarkEnd w:id="371"/>
      <w:bookmarkEnd w:id="372"/>
      <w:bookmarkEnd w:id="373"/>
      <w:bookmarkEnd w:id="374"/>
      <w:bookmarkEnd w:id="375"/>
      <w:bookmarkEnd w:id="376"/>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ascii="宋体" w:hAnsi="宋体" w:cs="仿宋_GB2312"/>
          <w:snapToGrid w:val="0"/>
          <w:kern w:val="0"/>
          <w:sz w:val="24"/>
        </w:rPr>
        <w:t>29</w:t>
      </w:r>
      <w:r>
        <w:rPr>
          <w:rFonts w:hint="eastAsia" w:ascii="宋体" w:hAnsi="宋体" w:cs="仿宋_GB2312"/>
          <w:snapToGrid w:val="0"/>
          <w:kern w:val="0"/>
          <w:sz w:val="24"/>
          <w:lang w:val="zh-CN"/>
        </w:rPr>
        <w:t>.1供应商认为磋商文件、磋商过程和成交结果使自己的权益受到损害的，可以在知道或者应知其权益受到损害之日起7个工作日内，以书面形式向采购人或采购代理机构提出质疑。</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ascii="宋体" w:hAnsi="宋体" w:cs="仿宋_GB2312"/>
          <w:snapToGrid w:val="0"/>
          <w:kern w:val="0"/>
          <w:sz w:val="24"/>
        </w:rPr>
        <w:t>29</w:t>
      </w:r>
      <w:r>
        <w:rPr>
          <w:rFonts w:hint="eastAsia" w:ascii="宋体" w:hAnsi="宋体" w:cs="仿宋_GB2312"/>
          <w:snapToGrid w:val="0"/>
          <w:kern w:val="0"/>
          <w:sz w:val="24"/>
          <w:lang w:val="zh-CN"/>
        </w:rPr>
        <w:t>.2</w:t>
      </w:r>
      <w:r>
        <w:rPr>
          <w:rFonts w:hint="eastAsia" w:ascii="Segoe UI" w:hAnsi="Segoe UI" w:cs="Segoe UI"/>
          <w:color w:val="333333"/>
          <w:sz w:val="24"/>
        </w:rPr>
        <w:t>供应商</w:t>
      </w:r>
      <w:r>
        <w:rPr>
          <w:rFonts w:ascii="Segoe UI" w:hAnsi="Segoe UI" w:cs="Segoe UI"/>
          <w:color w:val="333333"/>
          <w:sz w:val="24"/>
        </w:rPr>
        <w:t>提出质疑应当提交质疑函和必要的证明材料。质疑函应当包括下列内容：</w:t>
      </w:r>
    </w:p>
    <w:p>
      <w:pPr>
        <w:spacing w:line="360" w:lineRule="auto"/>
        <w:ind w:firstLine="480" w:firstLineChars="200"/>
        <w:rPr>
          <w:rFonts w:ascii="宋体" w:hAnsi="宋体" w:cs="仿宋_GB2312"/>
          <w:sz w:val="24"/>
        </w:rPr>
      </w:pPr>
      <w:r>
        <w:rPr>
          <w:rFonts w:hint="eastAsia" w:ascii="宋体" w:hAnsi="宋体" w:cs="仿宋_GB2312"/>
          <w:sz w:val="24"/>
        </w:rPr>
        <w:t>（1）质疑人的</w:t>
      </w:r>
      <w:r>
        <w:rPr>
          <w:rFonts w:hint="eastAsia" w:ascii="宋体" w:hAnsi="宋体" w:cs="宋体"/>
          <w:snapToGrid w:val="0"/>
          <w:sz w:val="24"/>
          <w:lang w:val="zh-CN"/>
        </w:rPr>
        <w:t>姓名或者名称、地址、邮编、联系人及联系电话；</w:t>
      </w:r>
      <w:r>
        <w:rPr>
          <w:rFonts w:hint="eastAsia" w:ascii="宋体" w:hAnsi="宋体" w:cs="仿宋_GB2312"/>
          <w:sz w:val="24"/>
        </w:rPr>
        <w:t>；</w:t>
      </w:r>
    </w:p>
    <w:p>
      <w:pPr>
        <w:spacing w:line="360" w:lineRule="auto"/>
        <w:ind w:firstLine="480" w:firstLineChars="200"/>
        <w:rPr>
          <w:rFonts w:ascii="宋体" w:hAnsi="宋体" w:cs="仿宋_GB2312"/>
          <w:sz w:val="24"/>
        </w:rPr>
      </w:pPr>
      <w:r>
        <w:rPr>
          <w:rFonts w:hint="eastAsia" w:ascii="宋体" w:hAnsi="宋体" w:cs="仿宋_GB2312"/>
          <w:sz w:val="24"/>
        </w:rPr>
        <w:t>（2）</w:t>
      </w:r>
      <w:r>
        <w:rPr>
          <w:rFonts w:hint="eastAsia" w:ascii="宋体" w:hAnsi="宋体" w:cs="宋体"/>
          <w:snapToGrid w:val="0"/>
          <w:sz w:val="24"/>
          <w:lang w:val="zh-CN"/>
        </w:rPr>
        <w:t>质疑项目的名称、编号；</w:t>
      </w:r>
    </w:p>
    <w:p>
      <w:pPr>
        <w:spacing w:line="360" w:lineRule="auto"/>
        <w:ind w:firstLine="480" w:firstLineChars="200"/>
        <w:rPr>
          <w:rFonts w:ascii="宋体" w:hAnsi="宋体" w:cs="仿宋_GB2312"/>
          <w:sz w:val="24"/>
        </w:rPr>
      </w:pPr>
      <w:r>
        <w:rPr>
          <w:rFonts w:hint="eastAsia" w:ascii="宋体" w:hAnsi="宋体" w:cs="仿宋_GB2312"/>
          <w:sz w:val="24"/>
        </w:rPr>
        <w:t>（3）</w:t>
      </w:r>
      <w:r>
        <w:rPr>
          <w:rFonts w:ascii="Segoe UI" w:hAnsi="Segoe UI" w:cs="Segoe UI"/>
          <w:color w:val="333333"/>
          <w:sz w:val="24"/>
        </w:rPr>
        <w:t>具体、明确的质疑事项和与质疑事项相关的请求</w:t>
      </w:r>
      <w:r>
        <w:rPr>
          <w:rFonts w:hint="eastAsia" w:ascii="宋体" w:hAnsi="宋体" w:cs="仿宋_GB2312"/>
          <w:sz w:val="24"/>
        </w:rPr>
        <w:t>；</w:t>
      </w:r>
    </w:p>
    <w:p>
      <w:pPr>
        <w:spacing w:line="360" w:lineRule="auto"/>
        <w:ind w:firstLine="480" w:firstLineChars="200"/>
        <w:rPr>
          <w:rFonts w:ascii="宋体" w:hAnsi="宋体" w:cs="仿宋_GB2312"/>
          <w:sz w:val="24"/>
        </w:rPr>
      </w:pPr>
      <w:r>
        <w:rPr>
          <w:rFonts w:hint="eastAsia" w:ascii="宋体" w:hAnsi="宋体" w:cs="仿宋_GB2312"/>
          <w:sz w:val="24"/>
        </w:rPr>
        <w:t>（4）质疑事项的事实根据、法律依据及其他必要的证明材料；质疑人提供的证明材料属于其他供应商响应文件未公开内容的，应当提供书面材料证明其合法来源；</w:t>
      </w:r>
    </w:p>
    <w:p>
      <w:pPr>
        <w:spacing w:line="360" w:lineRule="auto"/>
        <w:ind w:firstLine="480" w:firstLineChars="200"/>
        <w:rPr>
          <w:rFonts w:ascii="宋体" w:hAnsi="宋体" w:cs="仿宋_GB2312"/>
          <w:sz w:val="24"/>
        </w:rPr>
      </w:pPr>
      <w:r>
        <w:rPr>
          <w:rFonts w:hint="eastAsia" w:ascii="宋体" w:hAnsi="宋体" w:cs="仿宋_GB2312"/>
          <w:sz w:val="24"/>
        </w:rPr>
        <w:t>（5）提出质疑的日期；</w:t>
      </w:r>
    </w:p>
    <w:p>
      <w:pPr>
        <w:spacing w:line="360" w:lineRule="auto"/>
        <w:ind w:firstLine="480" w:firstLineChars="200"/>
        <w:rPr>
          <w:rFonts w:ascii="宋体" w:hAnsi="宋体" w:cs="仿宋_GB2312"/>
          <w:sz w:val="24"/>
        </w:rPr>
      </w:pPr>
      <w:r>
        <w:rPr>
          <w:rFonts w:hint="eastAsia" w:ascii="宋体" w:hAnsi="宋体" w:cs="仿宋_GB2312"/>
          <w:sz w:val="24"/>
        </w:rPr>
        <w:t>（6）质疑人的署名及签章（</w:t>
      </w:r>
      <w:r>
        <w:rPr>
          <w:rFonts w:hint="eastAsia" w:ascii="Segoe UI" w:hAnsi="Segoe UI" w:cs="Segoe UI"/>
          <w:color w:val="333333"/>
          <w:sz w:val="24"/>
        </w:rPr>
        <w:t>质疑人</w:t>
      </w:r>
      <w:r>
        <w:rPr>
          <w:rFonts w:ascii="Segoe UI" w:hAnsi="Segoe UI" w:cs="Segoe UI"/>
          <w:color w:val="333333"/>
          <w:sz w:val="24"/>
        </w:rPr>
        <w:t>为自然人的，应当由本人签字；</w:t>
      </w:r>
      <w:r>
        <w:rPr>
          <w:rFonts w:hint="eastAsia" w:ascii="Segoe UI" w:hAnsi="Segoe UI" w:cs="Segoe UI"/>
          <w:color w:val="333333"/>
          <w:sz w:val="24"/>
        </w:rPr>
        <w:t>质疑</w:t>
      </w:r>
      <w:r>
        <w:rPr>
          <w:rFonts w:ascii="Segoe UI" w:hAnsi="Segoe UI" w:cs="Segoe UI"/>
          <w:color w:val="333333"/>
          <w:sz w:val="24"/>
        </w:rPr>
        <w:t>人为法人或者其他组织的，应当由法定代表人、主要负责人，或者其授权代表签字或者盖章，并加盖公章。</w:t>
      </w:r>
      <w:r>
        <w:rPr>
          <w:rFonts w:hint="eastAsia" w:ascii="宋体" w:hAnsi="宋体" w:cs="仿宋_GB2312"/>
          <w:sz w:val="24"/>
        </w:rPr>
        <w:t>）；</w:t>
      </w:r>
    </w:p>
    <w:p>
      <w:pPr>
        <w:spacing w:line="360" w:lineRule="auto"/>
        <w:ind w:firstLine="480" w:firstLineChars="200"/>
        <w:rPr>
          <w:rFonts w:ascii="宋体" w:hAnsi="宋体" w:cs="仿宋_GB2312"/>
          <w:sz w:val="24"/>
        </w:rPr>
      </w:pPr>
      <w:r>
        <w:rPr>
          <w:rFonts w:hint="eastAsia" w:ascii="宋体" w:hAnsi="宋体" w:cs="仿宋_GB2312"/>
          <w:sz w:val="24"/>
        </w:rPr>
        <w:t>（7）法人授权委托书（质疑人委托代理人办理质疑事务的，应当提供授权委托书，授权委托书应当载明委托代理的具体权限和事项）。</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质疑函不符合上述要求的，采购人或代理机构应书面告知具体事项，质疑人应当按要求进行修改或补充，并在质疑有效期限内提交。</w:t>
      </w:r>
    </w:p>
    <w:p>
      <w:pPr>
        <w:tabs>
          <w:tab w:val="left" w:pos="540"/>
        </w:tabs>
        <w:snapToGrid w:val="0"/>
        <w:spacing w:line="360" w:lineRule="auto"/>
        <w:ind w:firstLine="482" w:firstLineChars="200"/>
        <w:outlineLvl w:val="1"/>
        <w:rPr>
          <w:rFonts w:ascii="宋体" w:hAnsi="宋体" w:cs="仿宋_GB2312"/>
          <w:b/>
          <w:sz w:val="24"/>
        </w:rPr>
      </w:pPr>
      <w:bookmarkStart w:id="377" w:name="_Toc52962762"/>
      <w:bookmarkStart w:id="378" w:name="_Toc46771675"/>
      <w:bookmarkStart w:id="379" w:name="_Toc52960588"/>
      <w:bookmarkStart w:id="380" w:name="_Toc48846144"/>
      <w:bookmarkStart w:id="381" w:name="_Toc46772276"/>
      <w:bookmarkStart w:id="382" w:name="_Toc48688824"/>
      <w:bookmarkStart w:id="383" w:name="_Toc51674246"/>
      <w:bookmarkStart w:id="384" w:name="_Toc21751"/>
      <w:r>
        <w:rPr>
          <w:rFonts w:hint="eastAsia" w:ascii="宋体" w:hAnsi="宋体" w:cs="仿宋_GB2312"/>
          <w:b/>
          <w:sz w:val="24"/>
        </w:rPr>
        <w:t>3</w:t>
      </w:r>
      <w:r>
        <w:rPr>
          <w:rFonts w:ascii="宋体" w:hAnsi="宋体" w:cs="仿宋_GB2312"/>
          <w:b/>
          <w:sz w:val="24"/>
        </w:rPr>
        <w:t>0</w:t>
      </w:r>
      <w:r>
        <w:rPr>
          <w:rFonts w:hint="eastAsia" w:ascii="宋体" w:hAnsi="宋体" w:cs="仿宋_GB2312"/>
          <w:b/>
          <w:sz w:val="24"/>
        </w:rPr>
        <w:t>.质疑回复</w:t>
      </w:r>
      <w:bookmarkEnd w:id="377"/>
      <w:bookmarkEnd w:id="378"/>
      <w:bookmarkEnd w:id="379"/>
      <w:bookmarkEnd w:id="380"/>
      <w:bookmarkEnd w:id="381"/>
      <w:bookmarkEnd w:id="382"/>
      <w:bookmarkEnd w:id="383"/>
      <w:bookmarkEnd w:id="384"/>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3</w:t>
      </w:r>
      <w:r>
        <w:rPr>
          <w:rFonts w:ascii="宋体" w:hAnsi="宋体" w:cs="仿宋_GB2312"/>
          <w:snapToGrid w:val="0"/>
          <w:kern w:val="0"/>
          <w:sz w:val="24"/>
          <w:lang w:val="zh-CN"/>
        </w:rPr>
        <w:t>0</w:t>
      </w:r>
      <w:r>
        <w:rPr>
          <w:rFonts w:hint="eastAsia" w:ascii="宋体" w:hAnsi="宋体" w:cs="仿宋_GB2312"/>
          <w:snapToGrid w:val="0"/>
          <w:kern w:val="0"/>
          <w:sz w:val="24"/>
          <w:lang w:val="zh-CN"/>
        </w:rPr>
        <w:t>.1采购人或采购代理机构应当在收到供应商的书面质疑后7个工作日内作出答复，并以书面形式通知质疑供应商和其他有关供应商，但答复的内容不得涉及商业秘密。</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3</w:t>
      </w:r>
      <w:r>
        <w:rPr>
          <w:rFonts w:ascii="宋体" w:hAnsi="宋体" w:cs="仿宋_GB2312"/>
          <w:snapToGrid w:val="0"/>
          <w:kern w:val="0"/>
          <w:sz w:val="24"/>
          <w:lang w:val="zh-CN"/>
        </w:rPr>
        <w:t>0</w:t>
      </w:r>
      <w:r>
        <w:rPr>
          <w:rFonts w:hint="eastAsia" w:ascii="宋体" w:hAnsi="宋体" w:cs="仿宋_GB2312"/>
          <w:snapToGrid w:val="0"/>
          <w:kern w:val="0"/>
          <w:sz w:val="24"/>
          <w:lang w:val="zh-CN"/>
        </w:rPr>
        <w:t>.2质疑答复应当包括下列内容：</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bookmarkStart w:id="385" w:name="_Toc46771676"/>
      <w:bookmarkStart w:id="386" w:name="_Toc51674247"/>
      <w:bookmarkStart w:id="387" w:name="_Toc48846145"/>
      <w:bookmarkStart w:id="388" w:name="_Toc46772277"/>
      <w:bookmarkStart w:id="389" w:name="_Toc48688825"/>
      <w:bookmarkStart w:id="390" w:name="_Toc52960589"/>
      <w:bookmarkStart w:id="391" w:name="_Toc52962763"/>
      <w:r>
        <w:rPr>
          <w:rFonts w:hint="eastAsia" w:ascii="宋体" w:hAnsi="宋体" w:cs="宋体"/>
          <w:snapToGrid w:val="0"/>
          <w:sz w:val="24"/>
          <w:lang w:val="zh-CN"/>
        </w:rPr>
        <w:t>（1）质疑人的姓名或者名称；</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（2）收到质疑函的日期、质疑项目名称及编号；</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（3）质疑事项、质疑答复的具体内容、事实依据和法律依据；</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（4）告知质疑人依法投诉的权利；</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（5）质疑答复人名称；</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（6）答复质疑的日期。</w:t>
      </w:r>
    </w:p>
    <w:p>
      <w:pPr>
        <w:tabs>
          <w:tab w:val="left" w:pos="540"/>
        </w:tabs>
        <w:snapToGrid w:val="0"/>
        <w:spacing w:line="360" w:lineRule="auto"/>
        <w:ind w:firstLine="482" w:firstLineChars="200"/>
        <w:outlineLvl w:val="1"/>
        <w:rPr>
          <w:rFonts w:ascii="宋体" w:hAnsi="宋体" w:cs="仿宋_GB2312"/>
          <w:b/>
          <w:sz w:val="24"/>
        </w:rPr>
      </w:pPr>
      <w:bookmarkStart w:id="392" w:name="_Toc24670"/>
      <w:r>
        <w:rPr>
          <w:rFonts w:hint="eastAsia" w:ascii="宋体" w:hAnsi="宋体" w:cs="仿宋_GB2312"/>
          <w:b/>
          <w:sz w:val="24"/>
        </w:rPr>
        <w:t>3</w:t>
      </w:r>
      <w:r>
        <w:rPr>
          <w:rFonts w:ascii="宋体" w:hAnsi="宋体" w:cs="仿宋_GB2312"/>
          <w:b/>
          <w:sz w:val="24"/>
        </w:rPr>
        <w:t>1</w:t>
      </w:r>
      <w:r>
        <w:rPr>
          <w:rFonts w:hint="eastAsia" w:ascii="宋体" w:hAnsi="宋体" w:cs="仿宋_GB2312"/>
          <w:b/>
          <w:sz w:val="24"/>
        </w:rPr>
        <w:t>.投诉</w:t>
      </w:r>
      <w:bookmarkEnd w:id="385"/>
      <w:bookmarkEnd w:id="386"/>
      <w:bookmarkEnd w:id="387"/>
      <w:bookmarkEnd w:id="388"/>
      <w:bookmarkEnd w:id="389"/>
      <w:bookmarkEnd w:id="390"/>
      <w:bookmarkEnd w:id="391"/>
      <w:bookmarkEnd w:id="392"/>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3</w:t>
      </w:r>
      <w:r>
        <w:rPr>
          <w:rFonts w:ascii="宋体" w:hAnsi="宋体" w:cs="仿宋_GB2312"/>
          <w:snapToGrid w:val="0"/>
          <w:kern w:val="0"/>
          <w:sz w:val="24"/>
          <w:lang w:val="zh-CN"/>
        </w:rPr>
        <w:t>1</w:t>
      </w:r>
      <w:r>
        <w:rPr>
          <w:rFonts w:hint="eastAsia" w:ascii="宋体" w:hAnsi="宋体" w:cs="仿宋_GB2312"/>
          <w:snapToGrid w:val="0"/>
          <w:kern w:val="0"/>
          <w:sz w:val="24"/>
          <w:lang w:val="zh-CN"/>
        </w:rPr>
        <w:t>.1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3</w:t>
      </w:r>
      <w:r>
        <w:rPr>
          <w:rFonts w:ascii="宋体" w:hAnsi="宋体" w:cs="仿宋_GB2312"/>
          <w:snapToGrid w:val="0"/>
          <w:kern w:val="0"/>
          <w:sz w:val="24"/>
          <w:lang w:val="zh-CN"/>
        </w:rPr>
        <w:t>1</w:t>
      </w:r>
      <w:r>
        <w:rPr>
          <w:rFonts w:hint="eastAsia" w:ascii="宋体" w:hAnsi="宋体" w:cs="仿宋_GB2312"/>
          <w:snapToGrid w:val="0"/>
          <w:kern w:val="0"/>
          <w:sz w:val="24"/>
          <w:lang w:val="zh-CN"/>
        </w:rPr>
        <w:t>.2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bookmarkEnd w:id="80"/>
    <w:bookmarkEnd w:id="368"/>
    <w:p>
      <w:pPr>
        <w:tabs>
          <w:tab w:val="left" w:pos="540"/>
        </w:tabs>
        <w:snapToGrid w:val="0"/>
        <w:spacing w:line="360" w:lineRule="auto"/>
        <w:ind w:firstLine="482" w:firstLineChars="200"/>
        <w:outlineLvl w:val="1"/>
        <w:rPr>
          <w:rFonts w:ascii="宋体" w:hAnsi="宋体" w:cs="仿宋_GB2312"/>
          <w:b/>
          <w:snapToGrid w:val="0"/>
          <w:kern w:val="0"/>
          <w:sz w:val="24"/>
          <w:lang w:val="zh-CN"/>
        </w:rPr>
      </w:pPr>
      <w:bookmarkStart w:id="393" w:name="_Toc25265"/>
      <w:bookmarkStart w:id="394" w:name="_Hlk60570485"/>
      <w:r>
        <w:rPr>
          <w:rFonts w:hint="eastAsia" w:ascii="宋体" w:hAnsi="宋体" w:cs="仿宋_GB2312"/>
          <w:b/>
          <w:snapToGrid w:val="0"/>
          <w:kern w:val="0"/>
          <w:sz w:val="24"/>
          <w:lang w:val="zh-CN"/>
        </w:rPr>
        <w:t>（八）政府采购政策</w:t>
      </w:r>
      <w:bookmarkEnd w:id="393"/>
    </w:p>
    <w:p>
      <w:pPr>
        <w:tabs>
          <w:tab w:val="left" w:pos="540"/>
        </w:tabs>
        <w:snapToGrid w:val="0"/>
        <w:spacing w:line="360" w:lineRule="auto"/>
        <w:ind w:firstLine="482" w:firstLineChars="200"/>
        <w:outlineLvl w:val="1"/>
        <w:rPr>
          <w:rFonts w:ascii="宋体" w:hAnsi="宋体" w:cs="仿宋_GB2312"/>
          <w:b/>
          <w:sz w:val="24"/>
        </w:rPr>
      </w:pPr>
      <w:bookmarkStart w:id="395" w:name="_Toc3602"/>
      <w:r>
        <w:rPr>
          <w:rFonts w:hint="eastAsia" w:ascii="宋体" w:hAnsi="宋体" w:cs="仿宋_GB2312"/>
          <w:b/>
          <w:sz w:val="24"/>
        </w:rPr>
        <w:t>3</w:t>
      </w:r>
      <w:r>
        <w:rPr>
          <w:rFonts w:ascii="宋体" w:hAnsi="宋体" w:cs="仿宋_GB2312"/>
          <w:b/>
          <w:sz w:val="24"/>
        </w:rPr>
        <w:t>2.</w:t>
      </w:r>
      <w:r>
        <w:rPr>
          <w:rFonts w:hint="eastAsia" w:ascii="宋体" w:hAnsi="宋体" w:cs="仿宋_GB2312"/>
          <w:b/>
          <w:sz w:val="24"/>
        </w:rPr>
        <w:t>是否接受进口产品</w:t>
      </w:r>
      <w:bookmarkEnd w:id="395"/>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ascii="宋体" w:hAnsi="宋体" w:cs="仿宋_GB2312"/>
          <w:snapToGrid w:val="0"/>
          <w:kern w:val="0"/>
          <w:sz w:val="24"/>
          <w:lang w:val="zh-CN"/>
        </w:rPr>
        <w:t xml:space="preserve">32.1 </w:t>
      </w:r>
      <w:r>
        <w:rPr>
          <w:rFonts w:hint="eastAsia" w:ascii="宋体" w:hAnsi="宋体" w:cs="仿宋_GB2312"/>
          <w:snapToGrid w:val="0"/>
          <w:kern w:val="0"/>
          <w:sz w:val="24"/>
          <w:lang w:val="zh-CN"/>
        </w:rPr>
        <w:t>除非《供应商须知前附表》中有特殊规定，本项目所采购的货物应当为中华人民共和国境内提供。</w:t>
      </w:r>
    </w:p>
    <w:p>
      <w:pPr>
        <w:tabs>
          <w:tab w:val="left" w:pos="540"/>
        </w:tabs>
        <w:snapToGrid w:val="0"/>
        <w:spacing w:line="360" w:lineRule="auto"/>
        <w:ind w:firstLine="482" w:firstLineChars="200"/>
        <w:outlineLvl w:val="1"/>
        <w:rPr>
          <w:rFonts w:ascii="宋体" w:hAnsi="宋体" w:cs="仿宋_GB2312"/>
          <w:b/>
          <w:sz w:val="24"/>
        </w:rPr>
      </w:pPr>
      <w:bookmarkStart w:id="396" w:name="_Toc21778"/>
      <w:r>
        <w:rPr>
          <w:rFonts w:hint="eastAsia" w:ascii="宋体" w:hAnsi="宋体" w:cs="仿宋_GB2312"/>
          <w:b/>
          <w:sz w:val="24"/>
        </w:rPr>
        <w:t>3</w:t>
      </w:r>
      <w:r>
        <w:rPr>
          <w:rFonts w:ascii="宋体" w:hAnsi="宋体" w:cs="仿宋_GB2312"/>
          <w:b/>
          <w:sz w:val="24"/>
        </w:rPr>
        <w:t>3.</w:t>
      </w:r>
      <w:r>
        <w:rPr>
          <w:rFonts w:hint="eastAsia" w:ascii="宋体" w:hAnsi="宋体" w:cs="仿宋_GB2312"/>
          <w:b/>
          <w:sz w:val="24"/>
        </w:rPr>
        <w:t>中小企业扶持政策</w:t>
      </w:r>
      <w:bookmarkEnd w:id="396"/>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kern w:val="0"/>
          <w:sz w:val="24"/>
          <w:lang w:val="zh-CN"/>
        </w:rPr>
        <w:t>3</w:t>
      </w:r>
      <w:r>
        <w:rPr>
          <w:rFonts w:ascii="宋体" w:hAnsi="宋体" w:cs="仿宋_GB2312"/>
          <w:snapToGrid w:val="0"/>
          <w:kern w:val="0"/>
          <w:sz w:val="24"/>
          <w:lang w:val="zh-CN"/>
        </w:rPr>
        <w:t>3.1</w:t>
      </w:r>
      <w:r>
        <w:rPr>
          <w:rFonts w:hint="eastAsia" w:ascii="宋体" w:hAnsi="宋体" w:cs="仿宋_GB2312"/>
          <w:snapToGrid w:val="0"/>
          <w:sz w:val="24"/>
          <w:lang w:val="zh-CN"/>
        </w:rPr>
        <w:t>为促进中小企业发展，依据财政部、工业和信息化部《</w:t>
      </w:r>
      <w:r>
        <w:rPr>
          <w:rFonts w:ascii="宋体" w:hAnsi="宋体" w:cs="仿宋_GB2312"/>
          <w:snapToGrid w:val="0"/>
          <w:sz w:val="24"/>
          <w:lang w:val="zh-CN"/>
        </w:rPr>
        <w:t>关于印发</w:t>
      </w:r>
      <w:r>
        <w:rPr>
          <w:rFonts w:hint="eastAsia" w:ascii="宋体" w:hAnsi="宋体" w:cs="仿宋_GB2312"/>
          <w:snapToGrid w:val="0"/>
          <w:sz w:val="24"/>
          <w:lang w:val="zh-CN"/>
        </w:rPr>
        <w:t>&lt;</w:t>
      </w:r>
      <w:r>
        <w:rPr>
          <w:rFonts w:ascii="宋体" w:hAnsi="宋体" w:cs="仿宋_GB2312"/>
          <w:snapToGrid w:val="0"/>
          <w:sz w:val="24"/>
          <w:lang w:val="zh-CN"/>
        </w:rPr>
        <w:t>政府采购促进中小企业发展管理办法</w:t>
      </w:r>
      <w:r>
        <w:rPr>
          <w:rFonts w:hint="eastAsia" w:ascii="宋体" w:hAnsi="宋体" w:cs="仿宋_GB2312"/>
          <w:snapToGrid w:val="0"/>
          <w:sz w:val="24"/>
          <w:lang w:val="zh-CN"/>
        </w:rPr>
        <w:t>&gt;</w:t>
      </w:r>
      <w:r>
        <w:rPr>
          <w:rFonts w:ascii="宋体" w:hAnsi="宋体" w:cs="仿宋_GB2312"/>
          <w:snapToGrid w:val="0"/>
          <w:sz w:val="24"/>
          <w:lang w:val="zh-CN"/>
        </w:rPr>
        <w:t>的通知</w:t>
      </w:r>
      <w:r>
        <w:rPr>
          <w:rFonts w:hint="eastAsia" w:ascii="宋体" w:hAnsi="宋体" w:cs="仿宋_GB2312"/>
          <w:snapToGrid w:val="0"/>
          <w:sz w:val="24"/>
          <w:lang w:val="zh-CN"/>
        </w:rPr>
        <w:t>》（财库[2020]46号）、财政部 司法部《关于政府采购支持监狱企业发展有关问题的通知》（财库[2014]68号）、财政部 民政部 中国残疾人联合会《关于促进残疾人就业政府采购政策的通知》（财库[2017]141号），本项目供应商如符合上述文件规定的，需提供《中小企业声明函》、监狱企业证明文件、</w:t>
      </w:r>
      <w:r>
        <w:rPr>
          <w:rFonts w:ascii="宋体" w:hAnsi="宋体" w:cs="仿宋_GB2312"/>
          <w:snapToGrid w:val="0"/>
          <w:sz w:val="24"/>
          <w:lang w:val="zh-CN"/>
        </w:rPr>
        <w:t>《残疾人福利性单位声明函》</w:t>
      </w:r>
      <w:r>
        <w:rPr>
          <w:rFonts w:hint="eastAsia" w:ascii="宋体" w:hAnsi="宋体" w:cs="仿宋_GB2312"/>
          <w:snapToGrid w:val="0"/>
          <w:sz w:val="24"/>
          <w:lang w:val="zh-CN"/>
        </w:rPr>
        <w:t>，评审时将对供应商报价给予一定比例的扣除，用扣除后的价格参与评审。具体扣除比例详见《供应商须知前附表》。</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依据湖北省财政厅 湖北省经济和信息化厅《关于进一步加强政府采购促进中小企业发展的通知》（鄂财采发〔2021〕8号）的规定，对于非专门面向中小企业的项目或采购包，按照《政府采购促进中小企业发展管理办法》（财库[2020]46号）第九条规定，对符合条件的供应商给予价格评审优惠。其中，对符合以下情形之一的小微企业，以价格优惠幅度的上限享受评审优惠：残疾人企业或监狱企业；纳入创新产品应用示范推荐目录内的企业；政府采购项目的品目属于政府优先采购《节能产品政府采购品目清单》《环境标志产品政府采购品目》范围内，获得相关证书的企业。</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对中小企业在资金支付期限方面的优惠措施：按《湖北省财政厅湖北省经济和信息化厅关于进一步加强政府采购促进中小企业发展的通知》鄂财采发〔2021〕8 号执行。</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中小企业划型标准详见附件：工业和信息化部 国家统计局 国家发展和改革委员会 财政部《中小企业划型标准规定》（工信部联企业〔2011〕300号）。</w:t>
      </w:r>
    </w:p>
    <w:p>
      <w:pPr>
        <w:tabs>
          <w:tab w:val="left" w:pos="540"/>
        </w:tabs>
        <w:snapToGrid w:val="0"/>
        <w:spacing w:line="360" w:lineRule="auto"/>
        <w:ind w:firstLine="482" w:firstLineChars="200"/>
        <w:outlineLvl w:val="1"/>
        <w:rPr>
          <w:rFonts w:ascii="宋体" w:hAnsi="宋体" w:cs="仿宋_GB2312"/>
          <w:b/>
          <w:sz w:val="24"/>
        </w:rPr>
      </w:pPr>
      <w:bookmarkStart w:id="397" w:name="_Toc17437"/>
      <w:r>
        <w:rPr>
          <w:rFonts w:hint="eastAsia" w:ascii="宋体" w:hAnsi="宋体" w:cs="仿宋_GB2312"/>
          <w:b/>
          <w:sz w:val="24"/>
        </w:rPr>
        <w:t>3</w:t>
      </w:r>
      <w:r>
        <w:rPr>
          <w:rFonts w:ascii="宋体" w:hAnsi="宋体" w:cs="仿宋_GB2312"/>
          <w:b/>
          <w:sz w:val="24"/>
        </w:rPr>
        <w:t>4.</w:t>
      </w:r>
      <w:r>
        <w:rPr>
          <w:rFonts w:hint="eastAsia" w:ascii="宋体" w:hAnsi="宋体" w:cs="仿宋_GB2312"/>
          <w:b/>
          <w:sz w:val="24"/>
        </w:rPr>
        <w:t>节能产品、环境标志产品采购政策</w:t>
      </w:r>
      <w:bookmarkEnd w:id="397"/>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rPr>
      </w:pPr>
      <w:r>
        <w:rPr>
          <w:rFonts w:ascii="宋体" w:hAnsi="宋体" w:cs="仿宋_GB2312"/>
          <w:snapToGrid w:val="0"/>
          <w:kern w:val="0"/>
          <w:sz w:val="24"/>
          <w:lang w:val="zh-CN"/>
        </w:rPr>
        <w:t>34.1</w:t>
      </w:r>
      <w:r>
        <w:rPr>
          <w:rFonts w:hint="eastAsia" w:ascii="宋体" w:hAnsi="宋体" w:cs="仿宋_GB2312"/>
          <w:snapToGrid w:val="0"/>
          <w:kern w:val="0"/>
          <w:sz w:val="24"/>
        </w:rPr>
        <w:t>依据财库[2019]19号文的规定，投标产品为《节能产品政府采购品目清单》内容的，须提供国家确定的认证机构出具的节能产品认证证书。</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rPr>
        <w:t>供应商所投产品如属于政府优先采购节能产品范围的，给予该项产品价格1%的扣除，用扣除后的价格参与评审。</w:t>
      </w:r>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ascii="宋体" w:hAnsi="宋体" w:cs="仿宋_GB2312"/>
          <w:snapToGrid w:val="0"/>
          <w:kern w:val="0"/>
          <w:sz w:val="24"/>
          <w:lang w:val="zh-CN"/>
        </w:rPr>
        <w:t>34.2</w:t>
      </w:r>
      <w:r>
        <w:rPr>
          <w:rFonts w:hint="eastAsia" w:ascii="宋体" w:hAnsi="宋体" w:cs="仿宋_GB2312"/>
          <w:snapToGrid w:val="0"/>
          <w:kern w:val="0"/>
          <w:sz w:val="24"/>
        </w:rPr>
        <w:t>依据财库[2019]18号文的规定，投标产品为《环保标志产品政府采购品目清单》内容的，须提供国家确定的认证机构出具的环保标志产品认证证书，给予该项产品价格1%的扣除，用扣除后的价格参与评审。</w:t>
      </w:r>
    </w:p>
    <w:bookmarkEnd w:id="394"/>
    <w:p>
      <w:pPr>
        <w:tabs>
          <w:tab w:val="left" w:pos="540"/>
        </w:tabs>
        <w:snapToGrid w:val="0"/>
        <w:spacing w:line="360" w:lineRule="auto"/>
        <w:ind w:firstLine="482" w:firstLineChars="200"/>
        <w:outlineLvl w:val="1"/>
        <w:rPr>
          <w:rFonts w:ascii="宋体" w:hAnsi="宋体" w:cs="仿宋_GB2312"/>
          <w:b/>
          <w:snapToGrid w:val="0"/>
          <w:kern w:val="0"/>
          <w:sz w:val="24"/>
          <w:lang w:val="zh-CN"/>
        </w:rPr>
      </w:pPr>
      <w:bookmarkStart w:id="398" w:name="_Toc3205"/>
      <w:r>
        <w:rPr>
          <w:rFonts w:hint="eastAsia" w:ascii="宋体" w:hAnsi="宋体" w:cs="仿宋_GB2312"/>
          <w:b/>
          <w:snapToGrid w:val="0"/>
          <w:kern w:val="0"/>
          <w:sz w:val="24"/>
          <w:lang w:val="zh-CN"/>
        </w:rPr>
        <w:t>（九）其他要求</w:t>
      </w:r>
      <w:bookmarkEnd w:id="398"/>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见《供应商须知前附表》。</w:t>
      </w:r>
    </w:p>
    <w:p>
      <w:pPr>
        <w:tabs>
          <w:tab w:val="left" w:pos="540"/>
        </w:tabs>
        <w:snapToGrid w:val="0"/>
        <w:spacing w:line="360" w:lineRule="auto"/>
        <w:ind w:firstLine="482" w:firstLineChars="200"/>
        <w:outlineLvl w:val="1"/>
        <w:rPr>
          <w:rFonts w:ascii="宋体" w:hAnsi="宋体" w:cs="仿宋_GB2312"/>
          <w:b/>
          <w:snapToGrid w:val="0"/>
          <w:kern w:val="0"/>
          <w:sz w:val="24"/>
          <w:lang w:val="zh-CN"/>
        </w:rPr>
      </w:pPr>
      <w:bookmarkStart w:id="399" w:name="_Toc3489"/>
      <w:r>
        <w:rPr>
          <w:rFonts w:hint="eastAsia" w:ascii="宋体" w:hAnsi="宋体" w:cs="仿宋_GB2312"/>
          <w:b/>
          <w:snapToGrid w:val="0"/>
          <w:kern w:val="0"/>
          <w:sz w:val="24"/>
          <w:lang w:val="zh-CN"/>
        </w:rPr>
        <w:t>（十）适用法律</w:t>
      </w:r>
      <w:bookmarkEnd w:id="399"/>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采购人、采购代理机构及供应商的一切采购活动均适用于《政府采购法》及相关规定。</w:t>
      </w:r>
    </w:p>
    <w:p>
      <w:pPr>
        <w:pStyle w:val="3"/>
        <w:spacing w:before="0" w:after="0" w:line="360" w:lineRule="auto"/>
        <w:rPr>
          <w:rFonts w:hint="eastAsia" w:ascii="微软雅黑" w:hAnsi="微软雅黑" w:eastAsia="微软雅黑"/>
          <w:szCs w:val="32"/>
        </w:rPr>
        <w:sectPr>
          <w:footerReference r:id="rId6" w:type="default"/>
          <w:type w:val="nextColumn"/>
          <w:pgSz w:w="11910" w:h="16840"/>
          <w:pgMar w:top="1340" w:right="1060" w:bottom="1080" w:left="1160" w:header="933" w:footer="889" w:gutter="0"/>
          <w:pgBorders>
            <w:top w:val="none" w:sz="0" w:space="0"/>
            <w:left w:val="none" w:sz="0" w:space="0"/>
            <w:bottom w:val="none" w:sz="0" w:space="0"/>
            <w:right w:val="none" w:sz="0" w:space="0"/>
          </w:pgBorders>
          <w:cols w:space="720" w:num="1"/>
        </w:sectPr>
      </w:pPr>
      <w:bookmarkStart w:id="400" w:name="_Toc27271"/>
    </w:p>
    <w:p>
      <w:pPr>
        <w:pStyle w:val="3"/>
        <w:spacing w:before="0" w:after="0" w:line="360" w:lineRule="auto"/>
        <w:rPr>
          <w:rFonts w:ascii="微软雅黑" w:hAnsi="微软雅黑" w:eastAsia="微软雅黑"/>
          <w:szCs w:val="32"/>
        </w:rPr>
      </w:pPr>
      <w:r>
        <w:rPr>
          <w:rFonts w:hint="eastAsia" w:ascii="微软雅黑" w:hAnsi="微软雅黑" w:eastAsia="微软雅黑"/>
          <w:szCs w:val="32"/>
        </w:rPr>
        <w:t>第三章 项目采购需求</w:t>
      </w:r>
      <w:bookmarkEnd w:id="400"/>
      <w:bookmarkStart w:id="401" w:name="_Toc535832547"/>
      <w:bookmarkStart w:id="402" w:name="_Toc162164501"/>
    </w:p>
    <w:bookmarkEnd w:id="401"/>
    <w:bookmarkEnd w:id="402"/>
    <w:p>
      <w:pPr>
        <w:spacing w:line="288" w:lineRule="auto"/>
        <w:rPr>
          <w:rFonts w:ascii="宋体" w:hAnsi="宋体" w:cs="宋体"/>
          <w:b/>
          <w:bCs/>
          <w:sz w:val="24"/>
          <w:szCs w:val="28"/>
          <w:lang w:val="zh-CN"/>
        </w:rPr>
      </w:pPr>
      <w:bookmarkStart w:id="403" w:name="_Toc1062"/>
      <w:bookmarkStart w:id="404" w:name="_Toc48846161"/>
      <w:bookmarkStart w:id="405" w:name="_Toc7654"/>
      <w:bookmarkStart w:id="406" w:name="_Toc535814466"/>
      <w:bookmarkStart w:id="407" w:name="_Toc535815711"/>
      <w:bookmarkStart w:id="408" w:name="_Toc535832555"/>
      <w:r>
        <w:rPr>
          <w:rFonts w:hint="eastAsia" w:ascii="宋体" w:hAnsi="宋体" w:cs="宋体"/>
          <w:b/>
          <w:bCs/>
          <w:sz w:val="24"/>
          <w:szCs w:val="28"/>
          <w:lang w:val="zh-CN"/>
        </w:rPr>
        <w:t>注：</w:t>
      </w:r>
    </w:p>
    <w:p>
      <w:pPr>
        <w:spacing w:line="288" w:lineRule="auto"/>
        <w:rPr>
          <w:rFonts w:ascii="宋体" w:hAnsi="宋体" w:cs="宋体"/>
          <w:b/>
          <w:bCs/>
          <w:sz w:val="24"/>
          <w:szCs w:val="28"/>
          <w:lang w:val="zh-CN"/>
        </w:rPr>
      </w:pPr>
      <w:r>
        <w:rPr>
          <w:rFonts w:hint="eastAsia" w:ascii="宋体" w:hAnsi="宋体" w:cs="宋体"/>
          <w:b/>
          <w:bCs/>
          <w:sz w:val="24"/>
          <w:szCs w:val="28"/>
          <w:lang w:val="zh-CN"/>
        </w:rPr>
        <w:t>1、以下所有品目为一个整体，供应商须对本项目整体性</w:t>
      </w:r>
      <w:r>
        <w:rPr>
          <w:rFonts w:hint="eastAsia" w:ascii="宋体" w:hAnsi="宋体" w:cs="宋体"/>
          <w:b/>
          <w:bCs/>
          <w:sz w:val="24"/>
          <w:szCs w:val="28"/>
          <w:lang w:val="en-US" w:eastAsia="zh-CN"/>
        </w:rPr>
        <w:t>响应</w:t>
      </w:r>
      <w:r>
        <w:rPr>
          <w:rFonts w:hint="eastAsia" w:ascii="宋体" w:hAnsi="宋体" w:cs="宋体"/>
          <w:b/>
          <w:bCs/>
          <w:sz w:val="24"/>
          <w:szCs w:val="28"/>
          <w:lang w:val="zh-CN"/>
        </w:rPr>
        <w:t>。</w:t>
      </w:r>
    </w:p>
    <w:p>
      <w:pPr>
        <w:spacing w:line="288" w:lineRule="auto"/>
        <w:rPr>
          <w:strike/>
          <w:lang w:val="zh-CN"/>
        </w:rPr>
      </w:pPr>
      <w:r>
        <w:rPr>
          <w:rFonts w:hint="eastAsia" w:ascii="宋体" w:hAnsi="宋体" w:cs="宋体"/>
          <w:b/>
          <w:bCs/>
          <w:sz w:val="24"/>
          <w:szCs w:val="28"/>
        </w:rPr>
        <w:t>2</w:t>
      </w:r>
      <w:r>
        <w:rPr>
          <w:rFonts w:hint="eastAsia" w:ascii="宋体" w:hAnsi="宋体" w:cs="宋体"/>
          <w:b/>
          <w:bCs/>
          <w:sz w:val="24"/>
          <w:szCs w:val="28"/>
          <w:lang w:val="zh-CN"/>
        </w:rPr>
        <w:t>、其中标注“</w:t>
      </w:r>
      <w:r>
        <w:rPr>
          <w:rFonts w:hint="eastAsia" w:ascii="宋体" w:hAnsi="宋体"/>
          <w:color w:val="000000"/>
          <w:kern w:val="0"/>
          <w:sz w:val="20"/>
          <w:szCs w:val="20"/>
        </w:rPr>
        <w:t>▲</w:t>
      </w:r>
      <w:r>
        <w:rPr>
          <w:rFonts w:hint="eastAsia" w:ascii="宋体" w:hAnsi="宋体" w:cs="宋体"/>
          <w:b/>
          <w:bCs/>
          <w:sz w:val="24"/>
          <w:szCs w:val="28"/>
          <w:lang w:val="zh-CN"/>
        </w:rPr>
        <w:t>”号的参数为关键性技术参数，未标注“</w:t>
      </w:r>
      <w:r>
        <w:rPr>
          <w:rFonts w:hint="eastAsia" w:ascii="宋体" w:hAnsi="宋体"/>
          <w:color w:val="000000"/>
          <w:kern w:val="0"/>
          <w:sz w:val="20"/>
          <w:szCs w:val="20"/>
        </w:rPr>
        <w:t>▲</w:t>
      </w:r>
      <w:r>
        <w:rPr>
          <w:rFonts w:hint="eastAsia" w:ascii="宋体" w:hAnsi="宋体" w:cs="宋体"/>
          <w:b/>
          <w:bCs/>
          <w:sz w:val="24"/>
          <w:szCs w:val="28"/>
          <w:lang w:val="zh-CN"/>
        </w:rPr>
        <w:t>”号的参数为一般性技术参数。</w:t>
      </w:r>
    </w:p>
    <w:bookmarkEnd w:id="403"/>
    <w:p>
      <w:pPr>
        <w:keepNext w:val="0"/>
        <w:keepLines w:val="0"/>
        <w:pageBreakBefore w:val="0"/>
        <w:widowControl w:val="0"/>
        <w:kinsoku/>
        <w:wordWrap/>
        <w:overflowPunct/>
        <w:topLinePunct w:val="0"/>
        <w:autoSpaceDE/>
        <w:autoSpaceDN/>
        <w:bidi w:val="0"/>
        <w:adjustRightInd/>
        <w:snapToGrid/>
        <w:spacing w:after="0" w:afterLines="100" w:line="288" w:lineRule="auto"/>
        <w:textAlignment w:val="auto"/>
        <w:rPr>
          <w:rFonts w:hint="eastAsia" w:ascii="宋体" w:hAnsi="宋体" w:cs="宋体"/>
          <w:b/>
          <w:bCs/>
          <w:sz w:val="24"/>
          <w:szCs w:val="28"/>
          <w:lang w:val="en-US" w:eastAsia="zh-CN"/>
        </w:rPr>
      </w:pPr>
      <w:r>
        <w:rPr>
          <w:rFonts w:hint="eastAsia" w:ascii="宋体" w:hAnsi="宋体" w:cs="宋体"/>
          <w:b/>
          <w:bCs/>
          <w:sz w:val="24"/>
          <w:szCs w:val="28"/>
          <w:lang w:val="en-US" w:eastAsia="zh-CN"/>
        </w:rPr>
        <w:t>3、</w:t>
      </w:r>
      <w:r>
        <w:rPr>
          <w:rFonts w:hint="eastAsia" w:ascii="宋体" w:hAnsi="宋体" w:cs="宋体"/>
          <w:b/>
          <w:bCs/>
          <w:sz w:val="24"/>
          <w:szCs w:val="28"/>
          <w:lang w:val="zh-CN"/>
        </w:rPr>
        <w:t>其中标注“★”号的参数为</w:t>
      </w:r>
      <w:r>
        <w:rPr>
          <w:rFonts w:hint="eastAsia" w:ascii="宋体" w:hAnsi="宋体" w:cs="宋体"/>
          <w:b/>
          <w:bCs/>
          <w:sz w:val="24"/>
          <w:szCs w:val="28"/>
          <w:lang w:val="en-US" w:eastAsia="zh-CN"/>
        </w:rPr>
        <w:t>需要现场演示的功能参数。</w:t>
      </w:r>
    </w:p>
    <w:p>
      <w:pPr>
        <w:pStyle w:val="4"/>
        <w:spacing w:before="0" w:after="0"/>
        <w:rPr>
          <w:rFonts w:hint="eastAsia" w:ascii="宋体" w:hAnsi="宋体" w:eastAsia="宋体" w:cs="宋体"/>
          <w:sz w:val="21"/>
          <w:szCs w:val="21"/>
        </w:rPr>
      </w:pPr>
      <w:r>
        <w:rPr>
          <w:rFonts w:hint="eastAsia" w:ascii="宋体" w:hAnsi="宋体" w:eastAsia="宋体" w:cs="宋体"/>
          <w:sz w:val="21"/>
          <w:szCs w:val="21"/>
        </w:rPr>
        <w:t>一、项目名称</w:t>
      </w:r>
    </w:p>
    <w:p>
      <w:pPr>
        <w:tabs>
          <w:tab w:val="left" w:pos="426"/>
        </w:tabs>
        <w:autoSpaceDE w:val="0"/>
        <w:autoSpaceDN w:val="0"/>
        <w:adjustRightInd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荆州理工职业学院数字校园“教务系统”建设项目。</w:t>
      </w:r>
    </w:p>
    <w:p>
      <w:pPr>
        <w:pStyle w:val="4"/>
        <w:spacing w:before="0" w:after="0"/>
        <w:rPr>
          <w:rFonts w:hint="eastAsia" w:ascii="宋体" w:hAnsi="宋体" w:eastAsia="宋体" w:cs="宋体"/>
          <w:sz w:val="21"/>
          <w:szCs w:val="21"/>
        </w:rPr>
      </w:pPr>
      <w:r>
        <w:rPr>
          <w:rFonts w:hint="eastAsia" w:ascii="宋体" w:hAnsi="宋体" w:eastAsia="宋体" w:cs="宋体"/>
          <w:sz w:val="21"/>
          <w:szCs w:val="21"/>
        </w:rPr>
        <w:t>二、项目内容</w:t>
      </w:r>
    </w:p>
    <w:p>
      <w:pPr>
        <w:tabs>
          <w:tab w:val="left" w:pos="426"/>
        </w:tabs>
        <w:autoSpaceDE w:val="0"/>
        <w:autoSpaceDN w:val="0"/>
        <w:adjustRightInd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教务管理系统、教务门户、移动服务体系</w:t>
      </w:r>
    </w:p>
    <w:p>
      <w:pPr>
        <w:pStyle w:val="5"/>
        <w:spacing w:before="0" w:after="0" w:line="413" w:lineRule="auto"/>
        <w:jc w:val="both"/>
        <w:rPr>
          <w:rFonts w:hint="eastAsia" w:ascii="宋体" w:hAnsi="宋体" w:cs="宋体"/>
          <w:bCs/>
          <w:sz w:val="21"/>
          <w:szCs w:val="21"/>
        </w:rPr>
      </w:pPr>
      <w:r>
        <w:rPr>
          <w:rFonts w:hint="eastAsia" w:ascii="宋体" w:hAnsi="宋体" w:cs="宋体"/>
          <w:bCs/>
          <w:sz w:val="21"/>
          <w:szCs w:val="21"/>
        </w:rPr>
        <w:t>（一）建设目标</w:t>
      </w:r>
    </w:p>
    <w:p>
      <w:pPr>
        <w:tabs>
          <w:tab w:val="left" w:pos="426"/>
        </w:tabs>
        <w:autoSpaceDE w:val="0"/>
        <w:autoSpaceDN w:val="0"/>
        <w:adjustRightInd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1、总体建设目标</w:t>
      </w:r>
    </w:p>
    <w:p>
      <w:pPr>
        <w:tabs>
          <w:tab w:val="left" w:pos="426"/>
        </w:tabs>
        <w:autoSpaceDE w:val="0"/>
        <w:autoSpaceDN w:val="0"/>
        <w:adjustRightInd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在学校整体信息化规划的指导下，完善和深化教务管理系统建设，实现教学工作信息化、智能化的管理，以信息化、智能化提升教学管理的科学化，提高教学管理的效率和水平，优化专业布局和专业设置，以信息化、智能化服务教学模式改革和深化教学方法的改革。</w:t>
      </w:r>
    </w:p>
    <w:p>
      <w:pPr>
        <w:tabs>
          <w:tab w:val="left" w:pos="426"/>
        </w:tabs>
        <w:autoSpaceDE w:val="0"/>
        <w:autoSpaceDN w:val="0"/>
        <w:adjustRightInd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本项目总体目标是实现学校人才培养管理信息化手段的创新，实现人才培养管理手段的变革，实现学校多元化人才培养创新改革的需要，实现课程、培养方案、人才培养闭环管理。</w:t>
      </w:r>
    </w:p>
    <w:p>
      <w:pPr>
        <w:tabs>
          <w:tab w:val="left" w:pos="426"/>
        </w:tabs>
        <w:autoSpaceDE w:val="0"/>
        <w:autoSpaceDN w:val="0"/>
        <w:adjustRightInd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本项目建设应体现出以人为本的核心目标，实现良好的用户体验，能够最大限度的降低改革中各种事务的用户工作量，为学校人才培养创新改革提供一个良好基础支撑平台。</w:t>
      </w:r>
    </w:p>
    <w:p>
      <w:pPr>
        <w:tabs>
          <w:tab w:val="left" w:pos="426"/>
        </w:tabs>
        <w:autoSpaceDE w:val="0"/>
        <w:autoSpaceDN w:val="0"/>
        <w:adjustRightInd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2、项目建设的意义</w:t>
      </w:r>
    </w:p>
    <w:p>
      <w:pPr>
        <w:tabs>
          <w:tab w:val="left" w:pos="426"/>
        </w:tabs>
        <w:autoSpaceDE w:val="0"/>
        <w:autoSpaceDN w:val="0"/>
        <w:adjustRightInd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教务管理系统应通过运用现代化信息技术手段整合教务数据、创新教学管理理念、改进教学管理方法，促进教学管理从“事务型”方式向“战略型”方式转变，完善教学管理全生命周期的全过程管理，从而使院校教学管理工作更加科学、规范和高效，进一步提升院校的教学管理水平，增强了安全机制，并且进一步提高了性能，更好满足学校教育教学改革的需要。</w:t>
      </w:r>
    </w:p>
    <w:p>
      <w:pPr>
        <w:tabs>
          <w:tab w:val="left" w:pos="426"/>
        </w:tabs>
        <w:autoSpaceDE w:val="0"/>
        <w:autoSpaceDN w:val="0"/>
        <w:adjustRightInd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1.实现综合教务一体化管理</w:t>
      </w:r>
    </w:p>
    <w:p>
      <w:pPr>
        <w:tabs>
          <w:tab w:val="left" w:pos="426"/>
        </w:tabs>
        <w:autoSpaceDE w:val="0"/>
        <w:autoSpaceDN w:val="0"/>
        <w:adjustRightInd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系统整合人才培养全过程教务管理业务，实现全校教务一体化管理，实现课程资源、教师资源、教室资源的有效使用，改变数据孤岛问题，实现全校统一的教务信息化管理，为未来学校教学管理改革和发展提供信息化支撑。</w:t>
      </w:r>
    </w:p>
    <w:p>
      <w:pPr>
        <w:tabs>
          <w:tab w:val="left" w:pos="426"/>
        </w:tabs>
        <w:autoSpaceDE w:val="0"/>
        <w:autoSpaceDN w:val="0"/>
        <w:adjustRightInd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2.规范化教务信息管理模式需要</w:t>
      </w:r>
    </w:p>
    <w:p>
      <w:pPr>
        <w:tabs>
          <w:tab w:val="left" w:pos="426"/>
        </w:tabs>
        <w:autoSpaceDE w:val="0"/>
        <w:autoSpaceDN w:val="0"/>
        <w:adjustRightInd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教学管理业务是学校覆盖范围最广、难度最高的业务，通过教务系统的项目实施，理清业务主线，梳理业务流程，进行教学管理流程的重整与再造，指定明确的业务管理规范，实现管理变革，贯彻学校的管理目标和管理要求，提升学校的综合竞争能力和软实力，实现教学管理业务的咨询规划、流程优化和规范制定。</w:t>
      </w:r>
    </w:p>
    <w:p>
      <w:pPr>
        <w:tabs>
          <w:tab w:val="left" w:pos="426"/>
        </w:tabs>
        <w:autoSpaceDE w:val="0"/>
        <w:autoSpaceDN w:val="0"/>
        <w:adjustRightInd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3.多级管理与同级协同，打破“信息孤岛”</w:t>
      </w:r>
    </w:p>
    <w:p>
      <w:pPr>
        <w:tabs>
          <w:tab w:val="left" w:pos="426"/>
        </w:tabs>
        <w:autoSpaceDE w:val="0"/>
        <w:autoSpaceDN w:val="0"/>
        <w:adjustRightInd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实现学校的多级管理机制，从纵向的教务处、院系、专业间管理到横向的院系间、部门间协同，令整个教学管理活动可以在系统中实现。通过教务系统，实现高水平的部门间信息资源共享，打破惯有的“信息孤岛”现象，让高校真正做到统一化、一体化管理。</w:t>
      </w:r>
    </w:p>
    <w:p>
      <w:pPr>
        <w:tabs>
          <w:tab w:val="left" w:pos="426"/>
        </w:tabs>
        <w:autoSpaceDE w:val="0"/>
        <w:autoSpaceDN w:val="0"/>
        <w:adjustRightInd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4.为教师、学生提供良好的信息服务</w:t>
      </w:r>
    </w:p>
    <w:p>
      <w:pPr>
        <w:tabs>
          <w:tab w:val="left" w:pos="426"/>
        </w:tabs>
        <w:autoSpaceDE w:val="0"/>
        <w:autoSpaceDN w:val="0"/>
        <w:adjustRightInd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在教务信息标准化、规范化的基础上，对信息进行合理的布局，在提供高水平、高效的业务管理和事务处理的同时，使全校师生可以在任意平台上对所需数据进行访问。</w:t>
      </w:r>
    </w:p>
    <w:p>
      <w:pPr>
        <w:pStyle w:val="5"/>
        <w:spacing w:before="0" w:after="0" w:line="413" w:lineRule="auto"/>
        <w:jc w:val="both"/>
        <w:rPr>
          <w:rFonts w:hint="eastAsia" w:ascii="宋体" w:hAnsi="宋体" w:cs="宋体"/>
          <w:snapToGrid w:val="0"/>
          <w:kern w:val="0"/>
          <w:szCs w:val="21"/>
        </w:rPr>
      </w:pPr>
      <w:r>
        <w:rPr>
          <w:rFonts w:hint="eastAsia" w:ascii="宋体" w:hAnsi="宋体" w:cs="宋体"/>
          <w:bCs/>
          <w:sz w:val="21"/>
          <w:szCs w:val="21"/>
        </w:rPr>
        <w:t>（二）技术要求</w:t>
      </w:r>
    </w:p>
    <w:p>
      <w:pPr>
        <w:tabs>
          <w:tab w:val="left" w:pos="540"/>
        </w:tabs>
        <w:snapToGrid w:val="0"/>
        <w:spacing w:line="360" w:lineRule="auto"/>
        <w:outlineLvl w:val="3"/>
        <w:rPr>
          <w:rFonts w:hint="eastAsia" w:ascii="宋体" w:hAnsi="宋体"/>
          <w:b/>
          <w:szCs w:val="21"/>
          <w:lang w:val="zh-CN"/>
        </w:rPr>
      </w:pPr>
      <w:bookmarkStart w:id="409" w:name="_Toc85458104"/>
      <w:bookmarkStart w:id="410" w:name="_Toc85458102"/>
      <w:bookmarkStart w:id="411" w:name="_Toc358282485"/>
      <w:r>
        <w:rPr>
          <w:rFonts w:hint="eastAsia" w:ascii="宋体" w:hAnsi="宋体"/>
          <w:b/>
          <w:szCs w:val="21"/>
          <w:lang w:val="zh-CN"/>
        </w:rPr>
        <w:t>2.1系统设计要求</w:t>
      </w:r>
      <w:bookmarkEnd w:id="409"/>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1067"/>
        <w:gridCol w:w="7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shd w:val="clear" w:color="auto" w:fill="D7D7D7"/>
            <w:noWrap w:val="0"/>
            <w:vAlign w:val="center"/>
          </w:tcPr>
          <w:p>
            <w:pPr>
              <w:pStyle w:val="24"/>
              <w:spacing w:after="0" w:line="360" w:lineRule="auto"/>
              <w:ind w:left="0" w:leftChars="0" w:firstLine="0" w:firstLineChars="0"/>
              <w:jc w:val="center"/>
              <w:rPr>
                <w:b/>
                <w:bCs/>
                <w:color w:val="000000"/>
                <w:sz w:val="21"/>
                <w:szCs w:val="21"/>
              </w:rPr>
            </w:pPr>
            <w:r>
              <w:rPr>
                <w:rFonts w:hint="eastAsia"/>
                <w:b/>
                <w:bCs/>
                <w:color w:val="000000"/>
                <w:sz w:val="21"/>
                <w:szCs w:val="21"/>
              </w:rPr>
              <w:t>序号</w:t>
            </w:r>
          </w:p>
        </w:tc>
        <w:tc>
          <w:tcPr>
            <w:tcW w:w="1067" w:type="dxa"/>
            <w:shd w:val="clear" w:color="auto" w:fill="D7D7D7"/>
            <w:noWrap w:val="0"/>
            <w:vAlign w:val="center"/>
          </w:tcPr>
          <w:p>
            <w:pPr>
              <w:pStyle w:val="24"/>
              <w:spacing w:after="0" w:line="360" w:lineRule="auto"/>
              <w:ind w:left="0" w:leftChars="0" w:firstLine="0" w:firstLineChars="0"/>
              <w:jc w:val="center"/>
              <w:rPr>
                <w:b/>
                <w:bCs/>
                <w:color w:val="000000"/>
                <w:sz w:val="21"/>
                <w:szCs w:val="21"/>
              </w:rPr>
            </w:pPr>
            <w:r>
              <w:rPr>
                <w:rFonts w:hint="eastAsia"/>
                <w:b/>
                <w:bCs/>
                <w:color w:val="000000"/>
                <w:sz w:val="21"/>
                <w:szCs w:val="21"/>
              </w:rPr>
              <w:t>需求类别</w:t>
            </w:r>
          </w:p>
        </w:tc>
        <w:tc>
          <w:tcPr>
            <w:tcW w:w="7612" w:type="dxa"/>
            <w:shd w:val="clear" w:color="auto" w:fill="D7D7D7"/>
            <w:noWrap w:val="0"/>
            <w:vAlign w:val="center"/>
          </w:tcPr>
          <w:p>
            <w:pPr>
              <w:pStyle w:val="24"/>
              <w:spacing w:after="0" w:line="360" w:lineRule="auto"/>
              <w:ind w:left="0" w:leftChars="0" w:firstLine="0" w:firstLineChars="0"/>
              <w:jc w:val="center"/>
              <w:rPr>
                <w:b/>
                <w:bCs/>
                <w:color w:val="000000"/>
                <w:sz w:val="21"/>
                <w:szCs w:val="21"/>
              </w:rPr>
            </w:pPr>
            <w:r>
              <w:rPr>
                <w:rFonts w:hint="eastAsia"/>
                <w:b/>
                <w:bCs/>
                <w:color w:val="000000"/>
                <w:sz w:val="21"/>
                <w:szCs w:val="21"/>
              </w:rPr>
              <w:t>具体需求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noWrap w:val="0"/>
            <w:vAlign w:val="center"/>
          </w:tcPr>
          <w:p>
            <w:pPr>
              <w:pStyle w:val="24"/>
              <w:spacing w:line="360" w:lineRule="auto"/>
              <w:ind w:left="0" w:leftChars="0" w:firstLine="0" w:firstLineChars="0"/>
              <w:jc w:val="center"/>
              <w:rPr>
                <w:rFonts w:hint="eastAsia" w:ascii="宋体" w:hAnsi="宋体"/>
                <w:color w:val="000000"/>
                <w:sz w:val="21"/>
                <w:szCs w:val="21"/>
              </w:rPr>
            </w:pPr>
            <w:r>
              <w:rPr>
                <w:rFonts w:hint="eastAsia" w:ascii="Calibri" w:hAnsi="Calibri"/>
                <w:color w:val="000000"/>
                <w:sz w:val="21"/>
                <w:szCs w:val="21"/>
              </w:rPr>
              <w:t>2.1.1</w:t>
            </w:r>
          </w:p>
        </w:tc>
        <w:tc>
          <w:tcPr>
            <w:tcW w:w="1067" w:type="dxa"/>
            <w:noWrap w:val="0"/>
            <w:vAlign w:val="center"/>
          </w:tcPr>
          <w:p>
            <w:pPr>
              <w:pStyle w:val="24"/>
              <w:spacing w:line="360" w:lineRule="auto"/>
              <w:ind w:left="0" w:leftChars="0" w:firstLine="0" w:firstLineChars="0"/>
              <w:jc w:val="center"/>
              <w:rPr>
                <w:rFonts w:hint="eastAsia" w:ascii="宋体" w:hAnsi="宋体"/>
                <w:color w:val="000000"/>
                <w:sz w:val="21"/>
                <w:szCs w:val="21"/>
              </w:rPr>
            </w:pPr>
            <w:r>
              <w:rPr>
                <w:rFonts w:hint="eastAsia" w:ascii="Calibri" w:hAnsi="Calibri"/>
                <w:color w:val="000000"/>
                <w:sz w:val="21"/>
                <w:szCs w:val="21"/>
              </w:rPr>
              <w:t>先进性和成熟性</w:t>
            </w:r>
          </w:p>
        </w:tc>
        <w:tc>
          <w:tcPr>
            <w:tcW w:w="7612" w:type="dxa"/>
            <w:noWrap w:val="0"/>
            <w:vAlign w:val="top"/>
          </w:tcPr>
          <w:p>
            <w:pPr>
              <w:pStyle w:val="24"/>
              <w:spacing w:after="0" w:line="360" w:lineRule="auto"/>
              <w:ind w:left="0" w:leftChars="0" w:firstLine="0" w:firstLineChars="0"/>
              <w:rPr>
                <w:rFonts w:hint="eastAsia" w:ascii="宋体" w:hAnsi="宋体"/>
                <w:color w:val="000000"/>
                <w:sz w:val="21"/>
                <w:szCs w:val="21"/>
              </w:rPr>
            </w:pPr>
            <w:r>
              <w:rPr>
                <w:rFonts w:hint="eastAsia" w:ascii="Calibri" w:hAnsi="Calibri"/>
                <w:color w:val="000000"/>
                <w:sz w:val="21"/>
                <w:szCs w:val="21"/>
              </w:rPr>
              <w:t>教务管理系统的开发设计，从设计思路、开发原则、系统架构、网络拓扑、实施软件系统、硬件设备、开发工具等各种角度考虑整体解决方案的先进性，所选主体产品的技术架构具有先进及前瞻性，可以跨平台应用或配置，确保所选主体产品在技术上处于领先水平，充分考虑系统今后的延伸，保证系统不落后。系统采用了纯B/S的图形化界面，确保核心应用的客户化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noWrap w:val="0"/>
            <w:vAlign w:val="center"/>
          </w:tcPr>
          <w:p>
            <w:pPr>
              <w:pStyle w:val="24"/>
              <w:spacing w:line="360" w:lineRule="auto"/>
              <w:ind w:left="0" w:leftChars="0" w:firstLine="0" w:firstLineChars="0"/>
              <w:jc w:val="center"/>
              <w:rPr>
                <w:rFonts w:ascii="Calibri" w:hAnsi="Calibri"/>
                <w:color w:val="000000"/>
                <w:sz w:val="21"/>
                <w:szCs w:val="21"/>
              </w:rPr>
            </w:pPr>
            <w:r>
              <w:rPr>
                <w:rFonts w:hint="eastAsia" w:ascii="Calibri" w:hAnsi="Calibri"/>
                <w:color w:val="000000"/>
                <w:sz w:val="21"/>
                <w:szCs w:val="21"/>
              </w:rPr>
              <w:t>2.1.2</w:t>
            </w:r>
          </w:p>
        </w:tc>
        <w:tc>
          <w:tcPr>
            <w:tcW w:w="1067" w:type="dxa"/>
            <w:noWrap w:val="0"/>
            <w:vAlign w:val="center"/>
          </w:tcPr>
          <w:p>
            <w:pPr>
              <w:pStyle w:val="24"/>
              <w:spacing w:line="360" w:lineRule="auto"/>
              <w:ind w:left="0" w:leftChars="0" w:firstLine="0" w:firstLineChars="0"/>
              <w:jc w:val="center"/>
              <w:rPr>
                <w:rFonts w:hint="eastAsia" w:ascii="Calibri" w:hAnsi="Calibri"/>
                <w:color w:val="000000"/>
                <w:sz w:val="21"/>
                <w:szCs w:val="21"/>
              </w:rPr>
            </w:pPr>
            <w:r>
              <w:rPr>
                <w:rFonts w:hint="eastAsia" w:ascii="Calibri" w:hAnsi="Calibri"/>
                <w:color w:val="000000"/>
                <w:sz w:val="21"/>
                <w:szCs w:val="21"/>
              </w:rPr>
              <w:t>开放性、兼容性和标准性</w:t>
            </w:r>
          </w:p>
        </w:tc>
        <w:tc>
          <w:tcPr>
            <w:tcW w:w="7612" w:type="dxa"/>
            <w:noWrap w:val="0"/>
            <w:vAlign w:val="top"/>
          </w:tcPr>
          <w:p>
            <w:pPr>
              <w:pStyle w:val="24"/>
              <w:spacing w:after="0" w:line="360" w:lineRule="auto"/>
              <w:ind w:left="0" w:leftChars="0" w:firstLine="0" w:firstLineChars="0"/>
              <w:rPr>
                <w:rFonts w:hint="eastAsia" w:ascii="Calibri" w:hAnsi="Calibri"/>
                <w:color w:val="000000"/>
                <w:sz w:val="21"/>
                <w:szCs w:val="21"/>
              </w:rPr>
            </w:pPr>
            <w:r>
              <w:rPr>
                <w:rFonts w:hint="eastAsia" w:ascii="Calibri" w:hAnsi="Calibri"/>
                <w:color w:val="000000"/>
                <w:sz w:val="21"/>
                <w:szCs w:val="21"/>
              </w:rPr>
              <w:t>教务系统的底层应支持各个层次的多种协议，支持与业务系统的互通、互联，应用系统采用标准的数据交换方式，保证数据共享。优良的体系结构设计，对于系统是否能够</w:t>
            </w:r>
            <w:r>
              <w:rPr>
                <w:rFonts w:hint="eastAsia"/>
                <w:color w:val="000000"/>
                <w:sz w:val="21"/>
                <w:szCs w:val="21"/>
              </w:rPr>
              <w:t>适应</w:t>
            </w:r>
            <w:r>
              <w:rPr>
                <w:rFonts w:hint="eastAsia" w:ascii="Calibri" w:hAnsi="Calibri"/>
                <w:color w:val="000000"/>
                <w:sz w:val="21"/>
                <w:szCs w:val="21"/>
              </w:rPr>
              <w:t>将来新业务的发展至关重要。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noWrap w:val="0"/>
            <w:vAlign w:val="center"/>
          </w:tcPr>
          <w:p>
            <w:pPr>
              <w:pStyle w:val="24"/>
              <w:spacing w:line="360" w:lineRule="auto"/>
              <w:ind w:left="0" w:leftChars="0" w:firstLine="0" w:firstLineChars="0"/>
              <w:jc w:val="center"/>
              <w:rPr>
                <w:rFonts w:hint="eastAsia" w:ascii="Calibri" w:hAnsi="Calibri"/>
                <w:color w:val="000000"/>
                <w:sz w:val="21"/>
                <w:szCs w:val="21"/>
              </w:rPr>
            </w:pPr>
            <w:r>
              <w:rPr>
                <w:rFonts w:hint="eastAsia" w:ascii="Calibri" w:hAnsi="Calibri"/>
                <w:color w:val="000000"/>
                <w:sz w:val="21"/>
                <w:szCs w:val="21"/>
              </w:rPr>
              <w:t>2.1.3</w:t>
            </w:r>
          </w:p>
        </w:tc>
        <w:tc>
          <w:tcPr>
            <w:tcW w:w="1067" w:type="dxa"/>
            <w:noWrap w:val="0"/>
            <w:vAlign w:val="center"/>
          </w:tcPr>
          <w:p>
            <w:pPr>
              <w:pStyle w:val="24"/>
              <w:spacing w:line="360" w:lineRule="auto"/>
              <w:ind w:left="0" w:leftChars="0" w:firstLine="0" w:firstLineChars="0"/>
              <w:jc w:val="center"/>
              <w:rPr>
                <w:rFonts w:hint="eastAsia" w:ascii="Calibri" w:hAnsi="Calibri"/>
                <w:color w:val="000000"/>
                <w:sz w:val="21"/>
                <w:szCs w:val="21"/>
              </w:rPr>
            </w:pPr>
            <w:r>
              <w:rPr>
                <w:rFonts w:hint="eastAsia" w:ascii="Calibri" w:hAnsi="Calibri"/>
                <w:color w:val="000000"/>
                <w:sz w:val="21"/>
                <w:szCs w:val="21"/>
              </w:rPr>
              <w:t>可靠性和稳定性</w:t>
            </w:r>
          </w:p>
        </w:tc>
        <w:tc>
          <w:tcPr>
            <w:tcW w:w="7612" w:type="dxa"/>
            <w:noWrap w:val="0"/>
            <w:vAlign w:val="top"/>
          </w:tcPr>
          <w:p>
            <w:pPr>
              <w:pStyle w:val="24"/>
              <w:spacing w:after="0" w:line="360" w:lineRule="auto"/>
              <w:ind w:left="0" w:leftChars="0" w:firstLine="0" w:firstLineChars="0"/>
              <w:rPr>
                <w:rFonts w:hint="eastAsia" w:ascii="Calibri" w:hAnsi="Calibri"/>
                <w:color w:val="000000"/>
                <w:sz w:val="21"/>
                <w:szCs w:val="21"/>
              </w:rPr>
            </w:pPr>
            <w:r>
              <w:rPr>
                <w:rFonts w:hint="eastAsia" w:ascii="Calibri" w:hAnsi="Calibri"/>
                <w:color w:val="000000"/>
                <w:sz w:val="21"/>
                <w:szCs w:val="21"/>
              </w:rPr>
              <w:t>教务系统是可靠的，一般的人为和外部的异常事件不会引起系统的崩溃；同时系统有较高的可用性，当系统出现问题后能在较短的时间内恢复，而且系统的数据是完整的，不会引起数据的不一致。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noWrap w:val="0"/>
            <w:vAlign w:val="center"/>
          </w:tcPr>
          <w:p>
            <w:pPr>
              <w:pStyle w:val="24"/>
              <w:spacing w:line="360" w:lineRule="auto"/>
              <w:ind w:left="0" w:leftChars="0" w:firstLine="0" w:firstLineChars="0"/>
              <w:jc w:val="center"/>
              <w:rPr>
                <w:rFonts w:hint="eastAsia" w:ascii="Calibri" w:hAnsi="Calibri"/>
                <w:color w:val="000000"/>
                <w:sz w:val="21"/>
                <w:szCs w:val="21"/>
              </w:rPr>
            </w:pPr>
            <w:r>
              <w:rPr>
                <w:rFonts w:hint="eastAsia" w:ascii="Calibri" w:hAnsi="Calibri"/>
                <w:color w:val="000000"/>
                <w:sz w:val="21"/>
                <w:szCs w:val="21"/>
              </w:rPr>
              <w:t>2.1.4</w:t>
            </w:r>
          </w:p>
        </w:tc>
        <w:tc>
          <w:tcPr>
            <w:tcW w:w="1067" w:type="dxa"/>
            <w:noWrap w:val="0"/>
            <w:vAlign w:val="center"/>
          </w:tcPr>
          <w:p>
            <w:pPr>
              <w:pStyle w:val="24"/>
              <w:spacing w:line="360" w:lineRule="auto"/>
              <w:ind w:left="0" w:leftChars="0" w:firstLine="0" w:firstLineChars="0"/>
              <w:jc w:val="center"/>
              <w:rPr>
                <w:rFonts w:hint="eastAsia" w:ascii="Calibri" w:hAnsi="Calibri"/>
                <w:color w:val="000000"/>
                <w:sz w:val="21"/>
                <w:szCs w:val="21"/>
              </w:rPr>
            </w:pPr>
            <w:r>
              <w:rPr>
                <w:rFonts w:hint="eastAsia" w:ascii="Calibri" w:hAnsi="Calibri"/>
                <w:color w:val="000000"/>
                <w:sz w:val="21"/>
                <w:szCs w:val="21"/>
              </w:rPr>
              <w:t>安全性、可靠性和保密性</w:t>
            </w:r>
          </w:p>
        </w:tc>
        <w:tc>
          <w:tcPr>
            <w:tcW w:w="7612" w:type="dxa"/>
            <w:noWrap w:val="0"/>
            <w:vAlign w:val="top"/>
          </w:tcPr>
          <w:p>
            <w:pPr>
              <w:pStyle w:val="24"/>
              <w:spacing w:line="360" w:lineRule="auto"/>
              <w:ind w:left="0" w:leftChars="0" w:firstLine="0" w:firstLineChars="0"/>
              <w:rPr>
                <w:rFonts w:hint="eastAsia" w:ascii="Calibri" w:hAnsi="Calibri"/>
                <w:color w:val="000000"/>
                <w:sz w:val="21"/>
                <w:szCs w:val="21"/>
              </w:rPr>
            </w:pPr>
            <w:r>
              <w:rPr>
                <w:rFonts w:hint="eastAsia" w:ascii="Calibri" w:hAnsi="Calibri"/>
                <w:color w:val="000000"/>
                <w:sz w:val="21"/>
                <w:szCs w:val="21"/>
              </w:rPr>
              <w:t>系统的开发设计既需要考虑信息资源的充分共享，又注意信息的保护与隔离。因此教务系统分别针对不同的应用、不同的网络通信环境和不同的存储设备，采取不同的措施，包括系统安全机制、数据存取的权限控制等以确保系统的安全性。措施如：应用安全、数据安全、容灾备份、管理安全、密码策略等。</w:t>
            </w:r>
          </w:p>
          <w:p>
            <w:pPr>
              <w:pStyle w:val="24"/>
              <w:spacing w:line="360" w:lineRule="auto"/>
              <w:ind w:left="0" w:leftChars="0" w:firstLine="0" w:firstLineChars="0"/>
              <w:rPr>
                <w:rFonts w:hint="eastAsia" w:ascii="Calibri" w:hAnsi="Calibri"/>
                <w:color w:val="000000"/>
                <w:sz w:val="21"/>
                <w:szCs w:val="21"/>
              </w:rPr>
            </w:pPr>
            <w:r>
              <w:rPr>
                <w:rFonts w:hint="eastAsia" w:ascii="Calibri" w:hAnsi="Calibri"/>
                <w:color w:val="000000"/>
                <w:sz w:val="21"/>
                <w:szCs w:val="21"/>
              </w:rPr>
              <w:t>系统有整体的用户/权限管理体系，可统一进行用户/权限的管理，同时支持二级权限分配模式，二级管理员可以在已分配的权限范围内进行权限的二次分配。</w:t>
            </w:r>
          </w:p>
          <w:p>
            <w:pPr>
              <w:pStyle w:val="24"/>
              <w:spacing w:line="360" w:lineRule="auto"/>
              <w:ind w:left="0" w:leftChars="0" w:firstLine="0" w:firstLineChars="0"/>
              <w:rPr>
                <w:rFonts w:hint="eastAsia" w:ascii="Calibri" w:hAnsi="Calibri"/>
                <w:color w:val="000000"/>
                <w:sz w:val="21"/>
                <w:szCs w:val="21"/>
              </w:rPr>
            </w:pPr>
            <w:r>
              <w:rPr>
                <w:rFonts w:hint="eastAsia" w:ascii="Calibri" w:hAnsi="Calibri"/>
                <w:color w:val="000000"/>
                <w:sz w:val="21"/>
                <w:szCs w:val="21"/>
              </w:rPr>
              <w:t>系统提供用户认证、数据传输、数据存储等安全手段接口，可在各个环节提供对第三方安全认证系统的支持。</w:t>
            </w:r>
          </w:p>
          <w:p>
            <w:pPr>
              <w:pStyle w:val="24"/>
              <w:spacing w:after="0" w:line="360" w:lineRule="auto"/>
              <w:ind w:left="0" w:leftChars="0" w:firstLine="0" w:firstLineChars="0"/>
              <w:rPr>
                <w:rFonts w:hint="eastAsia" w:ascii="Calibri" w:hAnsi="Calibri"/>
                <w:color w:val="000000"/>
                <w:sz w:val="21"/>
                <w:szCs w:val="21"/>
              </w:rPr>
            </w:pPr>
            <w:r>
              <w:rPr>
                <w:rFonts w:hint="eastAsia" w:ascii="Calibri" w:hAnsi="Calibri"/>
                <w:color w:val="000000"/>
                <w:sz w:val="21"/>
                <w:szCs w:val="21"/>
              </w:rPr>
              <w:t>系统基于用户、IP对系统进行管理，提供查看重要数据（如排课数据、选课数据、成绩数据等）的操作日志功能，日志内容包括修改时间、使用人（用户及IP）、操作模块、修改内容等。更好的保障系统及其数据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noWrap w:val="0"/>
            <w:vAlign w:val="center"/>
          </w:tcPr>
          <w:p>
            <w:pPr>
              <w:pStyle w:val="24"/>
              <w:spacing w:line="360" w:lineRule="auto"/>
              <w:ind w:left="0" w:leftChars="0" w:firstLine="0" w:firstLineChars="0"/>
              <w:jc w:val="center"/>
              <w:rPr>
                <w:rFonts w:hint="eastAsia" w:ascii="Calibri" w:hAnsi="Calibri"/>
                <w:color w:val="000000"/>
                <w:sz w:val="21"/>
                <w:szCs w:val="21"/>
              </w:rPr>
            </w:pPr>
            <w:r>
              <w:rPr>
                <w:rFonts w:hint="eastAsia" w:ascii="Calibri" w:hAnsi="Calibri"/>
                <w:color w:val="000000"/>
                <w:sz w:val="21"/>
                <w:szCs w:val="21"/>
              </w:rPr>
              <w:t>2.1.5</w:t>
            </w:r>
          </w:p>
        </w:tc>
        <w:tc>
          <w:tcPr>
            <w:tcW w:w="1067" w:type="dxa"/>
            <w:noWrap w:val="0"/>
            <w:vAlign w:val="center"/>
          </w:tcPr>
          <w:p>
            <w:pPr>
              <w:pStyle w:val="24"/>
              <w:spacing w:line="360" w:lineRule="auto"/>
              <w:ind w:left="0" w:leftChars="0" w:firstLine="0" w:firstLineChars="0"/>
              <w:jc w:val="center"/>
              <w:rPr>
                <w:rFonts w:hint="eastAsia" w:ascii="Calibri" w:hAnsi="Calibri"/>
                <w:color w:val="000000"/>
                <w:sz w:val="21"/>
                <w:szCs w:val="21"/>
              </w:rPr>
            </w:pPr>
            <w:r>
              <w:rPr>
                <w:rFonts w:hint="eastAsia" w:ascii="Calibri" w:hAnsi="Calibri"/>
                <w:color w:val="000000"/>
                <w:sz w:val="21"/>
                <w:szCs w:val="21"/>
              </w:rPr>
              <w:t>可移植性、可扩展性和易维护性</w:t>
            </w:r>
          </w:p>
        </w:tc>
        <w:tc>
          <w:tcPr>
            <w:tcW w:w="7612" w:type="dxa"/>
            <w:noWrap w:val="0"/>
            <w:vAlign w:val="top"/>
          </w:tcPr>
          <w:p>
            <w:pPr>
              <w:pStyle w:val="24"/>
              <w:spacing w:after="0" w:line="360" w:lineRule="auto"/>
              <w:ind w:left="0" w:leftChars="0" w:firstLine="0" w:firstLineChars="0"/>
              <w:rPr>
                <w:rFonts w:hint="eastAsia" w:ascii="Calibri" w:hAnsi="Calibri"/>
                <w:color w:val="000000"/>
                <w:sz w:val="21"/>
                <w:szCs w:val="21"/>
              </w:rPr>
            </w:pPr>
            <w:r>
              <w:rPr>
                <w:rFonts w:hint="eastAsia" w:ascii="Calibri" w:hAnsi="Calibri"/>
                <w:color w:val="000000"/>
                <w:sz w:val="21"/>
                <w:szCs w:val="21"/>
              </w:rPr>
              <w:t>系统基于可移植性较好的编程技术，采用Java编程语言和服务器端Java技术开发，可实现跨平台部署，系统用户端和管理端均采用B/S架构，并采用先进的、开放性的J2EE架构，以便能够和学校以后购买的其它软件进行良好的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noWrap w:val="0"/>
            <w:vAlign w:val="center"/>
          </w:tcPr>
          <w:p>
            <w:pPr>
              <w:pStyle w:val="24"/>
              <w:spacing w:line="360" w:lineRule="auto"/>
              <w:ind w:left="0" w:leftChars="0" w:firstLine="0" w:firstLineChars="0"/>
              <w:jc w:val="center"/>
              <w:rPr>
                <w:rFonts w:hint="eastAsia" w:ascii="Calibri" w:hAnsi="Calibri"/>
                <w:color w:val="000000"/>
                <w:sz w:val="21"/>
                <w:szCs w:val="21"/>
              </w:rPr>
            </w:pPr>
            <w:r>
              <w:rPr>
                <w:rFonts w:hint="eastAsia" w:ascii="Calibri" w:hAnsi="Calibri"/>
                <w:color w:val="000000"/>
                <w:sz w:val="21"/>
                <w:szCs w:val="21"/>
              </w:rPr>
              <w:t>2.1.6</w:t>
            </w:r>
          </w:p>
        </w:tc>
        <w:tc>
          <w:tcPr>
            <w:tcW w:w="1067" w:type="dxa"/>
            <w:noWrap w:val="0"/>
            <w:vAlign w:val="center"/>
          </w:tcPr>
          <w:p>
            <w:pPr>
              <w:pStyle w:val="24"/>
              <w:spacing w:line="360" w:lineRule="auto"/>
              <w:ind w:left="0" w:leftChars="0" w:firstLine="0" w:firstLineChars="0"/>
              <w:jc w:val="center"/>
              <w:rPr>
                <w:rFonts w:hint="eastAsia" w:ascii="Calibri" w:hAnsi="Calibri"/>
                <w:color w:val="000000"/>
                <w:sz w:val="21"/>
                <w:szCs w:val="21"/>
              </w:rPr>
            </w:pPr>
            <w:r>
              <w:rPr>
                <w:rFonts w:hint="eastAsia" w:ascii="Calibri" w:hAnsi="Calibri"/>
                <w:color w:val="000000"/>
                <w:sz w:val="21"/>
                <w:szCs w:val="21"/>
              </w:rPr>
              <w:t>美观性和易用性</w:t>
            </w:r>
          </w:p>
        </w:tc>
        <w:tc>
          <w:tcPr>
            <w:tcW w:w="7612" w:type="dxa"/>
            <w:noWrap w:val="0"/>
            <w:vAlign w:val="top"/>
          </w:tcPr>
          <w:p>
            <w:pPr>
              <w:pStyle w:val="24"/>
              <w:spacing w:after="0" w:line="360" w:lineRule="auto"/>
              <w:ind w:left="0" w:leftChars="0" w:firstLine="0" w:firstLineChars="0"/>
              <w:rPr>
                <w:rFonts w:hint="eastAsia" w:ascii="Calibri" w:hAnsi="Calibri"/>
                <w:color w:val="000000"/>
                <w:sz w:val="21"/>
                <w:szCs w:val="21"/>
              </w:rPr>
            </w:pPr>
            <w:r>
              <w:rPr>
                <w:rFonts w:hint="eastAsia" w:ascii="Calibri" w:hAnsi="Calibri"/>
                <w:color w:val="000000"/>
                <w:sz w:val="21"/>
                <w:szCs w:val="21"/>
              </w:rPr>
              <w:t>作为全员应用系统，易用性和用户体验是项目成败的关键要素。教务产品采用纯B/S的登录方式，可以支持主流浏览器使用（IE、360、火狐、chrome等），并且易读、易理解、易操作，用户界面简洁、美观、友好，易于用户掌握、操作和使用；系统管理的</w:t>
            </w:r>
            <w:r>
              <w:rPr>
                <w:rFonts w:hint="eastAsia"/>
                <w:color w:val="000000"/>
                <w:sz w:val="21"/>
                <w:szCs w:val="21"/>
              </w:rPr>
              <w:t>使用</w:t>
            </w:r>
            <w:r>
              <w:rPr>
                <w:rFonts w:hint="eastAsia" w:ascii="Calibri" w:hAnsi="Calibri"/>
                <w:color w:val="000000"/>
                <w:sz w:val="21"/>
                <w:szCs w:val="21"/>
              </w:rPr>
              <w:t>及管理也以简便、易于操作、方便实用为准则。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noWrap w:val="0"/>
            <w:vAlign w:val="center"/>
          </w:tcPr>
          <w:p>
            <w:pPr>
              <w:pStyle w:val="24"/>
              <w:spacing w:line="360" w:lineRule="auto"/>
              <w:ind w:left="0" w:leftChars="0" w:firstLine="0" w:firstLineChars="0"/>
              <w:jc w:val="center"/>
              <w:rPr>
                <w:rFonts w:hint="eastAsia" w:ascii="Calibri" w:hAnsi="Calibri"/>
                <w:color w:val="000000"/>
                <w:sz w:val="21"/>
                <w:szCs w:val="21"/>
              </w:rPr>
            </w:pPr>
            <w:r>
              <w:rPr>
                <w:rFonts w:hint="eastAsia" w:ascii="Calibri" w:hAnsi="Calibri"/>
                <w:color w:val="000000"/>
                <w:sz w:val="21"/>
                <w:szCs w:val="21"/>
              </w:rPr>
              <w:t>2.1.7</w:t>
            </w:r>
          </w:p>
        </w:tc>
        <w:tc>
          <w:tcPr>
            <w:tcW w:w="1067" w:type="dxa"/>
            <w:noWrap w:val="0"/>
            <w:vAlign w:val="center"/>
          </w:tcPr>
          <w:p>
            <w:pPr>
              <w:pStyle w:val="24"/>
              <w:spacing w:line="360" w:lineRule="auto"/>
              <w:ind w:left="0" w:leftChars="0" w:firstLine="0" w:firstLineChars="0"/>
              <w:jc w:val="center"/>
              <w:rPr>
                <w:rFonts w:hint="eastAsia" w:ascii="Calibri" w:hAnsi="Calibri"/>
                <w:color w:val="000000"/>
                <w:sz w:val="21"/>
                <w:szCs w:val="21"/>
              </w:rPr>
            </w:pPr>
            <w:r>
              <w:rPr>
                <w:rFonts w:hint="eastAsia" w:ascii="Calibri" w:hAnsi="Calibri"/>
                <w:color w:val="000000"/>
                <w:sz w:val="21"/>
                <w:szCs w:val="21"/>
              </w:rPr>
              <w:t>高并发能力支撑</w:t>
            </w:r>
          </w:p>
        </w:tc>
        <w:tc>
          <w:tcPr>
            <w:tcW w:w="7612" w:type="dxa"/>
            <w:noWrap w:val="0"/>
            <w:vAlign w:val="top"/>
          </w:tcPr>
          <w:p>
            <w:pPr>
              <w:pStyle w:val="24"/>
              <w:spacing w:after="0" w:line="360" w:lineRule="auto"/>
              <w:ind w:left="0" w:leftChars="0" w:firstLine="0" w:firstLineChars="0"/>
              <w:rPr>
                <w:rFonts w:hint="eastAsia" w:ascii="Calibri" w:hAnsi="Calibri"/>
                <w:color w:val="000000"/>
                <w:sz w:val="21"/>
                <w:szCs w:val="21"/>
              </w:rPr>
            </w:pPr>
            <w:r>
              <w:rPr>
                <w:rFonts w:hint="eastAsia" w:ascii="Calibri" w:hAnsi="Calibri"/>
                <w:color w:val="000000"/>
                <w:sz w:val="21"/>
                <w:szCs w:val="21"/>
              </w:rPr>
              <w:t>教务系统的开发设计，支持应用和数据库等多重负载均衡能力，支持附件服务器和数据库服务器分离技术，从而支持大量用户同时在线和同时操作的能力，不会因为用户数的增长或者信息量的增加，而导致系统响应能力下降</w:t>
            </w:r>
          </w:p>
        </w:tc>
      </w:tr>
    </w:tbl>
    <w:p>
      <w:pPr>
        <w:tabs>
          <w:tab w:val="left" w:pos="540"/>
        </w:tabs>
        <w:snapToGrid w:val="0"/>
        <w:spacing w:before="240" w:beforeLines="100" w:line="360" w:lineRule="auto"/>
        <w:outlineLvl w:val="3"/>
        <w:rPr>
          <w:rFonts w:hint="eastAsia" w:ascii="宋体" w:hAnsi="宋体"/>
          <w:b/>
          <w:szCs w:val="21"/>
          <w:lang w:val="zh-CN"/>
        </w:rPr>
      </w:pPr>
      <w:bookmarkStart w:id="412" w:name="_Toc85458105"/>
      <w:r>
        <w:rPr>
          <w:rFonts w:hint="eastAsia" w:ascii="宋体" w:hAnsi="宋体"/>
          <w:b/>
          <w:szCs w:val="21"/>
          <w:lang w:val="zh-CN"/>
        </w:rPr>
        <w:t>2.2安全性要求</w:t>
      </w:r>
      <w:bookmarkEnd w:id="412"/>
    </w:p>
    <w:tbl>
      <w:tblPr>
        <w:tblStyle w:val="55"/>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D7D7D7"/>
            <w:noWrap w:val="0"/>
            <w:vAlign w:val="center"/>
          </w:tcPr>
          <w:p>
            <w:pPr>
              <w:pStyle w:val="24"/>
              <w:spacing w:after="0" w:line="360" w:lineRule="auto"/>
              <w:ind w:left="0" w:leftChars="0" w:firstLine="0" w:firstLineChars="0"/>
              <w:jc w:val="center"/>
              <w:rPr>
                <w:b/>
                <w:bCs/>
                <w:color w:val="000000"/>
                <w:sz w:val="21"/>
                <w:szCs w:val="21"/>
              </w:rPr>
            </w:pPr>
            <w:r>
              <w:rPr>
                <w:rFonts w:hint="eastAsia"/>
                <w:b/>
                <w:bCs/>
                <w:color w:val="000000"/>
                <w:sz w:val="21"/>
                <w:szCs w:val="21"/>
              </w:rPr>
              <w:t>序号</w:t>
            </w:r>
          </w:p>
        </w:tc>
        <w:tc>
          <w:tcPr>
            <w:tcW w:w="8690" w:type="dxa"/>
            <w:shd w:val="clear" w:color="auto" w:fill="D7D7D7"/>
            <w:noWrap w:val="0"/>
            <w:vAlign w:val="center"/>
          </w:tcPr>
          <w:p>
            <w:pPr>
              <w:pStyle w:val="24"/>
              <w:spacing w:after="0" w:line="360" w:lineRule="auto"/>
              <w:ind w:left="0" w:leftChars="0" w:firstLine="0" w:firstLineChars="0"/>
              <w:jc w:val="center"/>
              <w:rPr>
                <w:b/>
                <w:bCs/>
                <w:color w:val="000000"/>
                <w:sz w:val="21"/>
                <w:szCs w:val="21"/>
              </w:rPr>
            </w:pPr>
            <w:r>
              <w:rPr>
                <w:rFonts w:hint="eastAsia"/>
                <w:b/>
                <w:bCs/>
                <w:color w:val="000000"/>
                <w:sz w:val="21"/>
                <w:szCs w:val="21"/>
              </w:rPr>
              <w:t>具体需求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line="360" w:lineRule="auto"/>
              <w:ind w:left="0" w:leftChars="0" w:firstLine="0" w:firstLineChars="0"/>
              <w:rPr>
                <w:rFonts w:hint="eastAsia" w:ascii="Calibri" w:hAnsi="Calibri"/>
                <w:color w:val="000000"/>
                <w:sz w:val="21"/>
                <w:szCs w:val="21"/>
              </w:rPr>
            </w:pPr>
            <w:r>
              <w:rPr>
                <w:rFonts w:hint="eastAsia" w:ascii="Calibri" w:hAnsi="Calibri"/>
                <w:color w:val="000000"/>
                <w:sz w:val="21"/>
                <w:szCs w:val="21"/>
              </w:rPr>
              <w:t>2.2.1</w:t>
            </w:r>
          </w:p>
        </w:tc>
        <w:tc>
          <w:tcPr>
            <w:tcW w:w="8690" w:type="dxa"/>
            <w:noWrap w:val="0"/>
            <w:vAlign w:val="center"/>
          </w:tcPr>
          <w:p>
            <w:pPr>
              <w:pStyle w:val="24"/>
              <w:spacing w:after="0" w:line="360" w:lineRule="auto"/>
              <w:ind w:left="0" w:leftChars="0" w:firstLine="0" w:firstLineChars="0"/>
              <w:rPr>
                <w:rFonts w:hint="eastAsia" w:ascii="Calibri" w:hAnsi="Calibri"/>
                <w:color w:val="000000"/>
                <w:sz w:val="21"/>
                <w:szCs w:val="21"/>
              </w:rPr>
            </w:pPr>
            <w:r>
              <w:rPr>
                <w:rFonts w:hint="eastAsia" w:ascii="Calibri" w:hAnsi="Calibri"/>
                <w:color w:val="000000"/>
                <w:sz w:val="21"/>
                <w:szCs w:val="21"/>
              </w:rPr>
              <w:t>系统的开发设计既需要考虑信息资源的充分共享，又注意信息的保护与隔离。因此教务系统分别针对不同的应用、不同的网络通信环境和不同的存储设备，采取不同的措施，包括系统安全机制、数据存取的权限控制等以确保系统的安全性。措施如：应用安全、数据安全、容灾备份、管理安全、</w:t>
            </w:r>
            <w:r>
              <w:rPr>
                <w:rFonts w:hint="eastAsia"/>
                <w:color w:val="000000"/>
                <w:sz w:val="21"/>
                <w:szCs w:val="21"/>
              </w:rPr>
              <w:t>密码</w:t>
            </w:r>
            <w:r>
              <w:rPr>
                <w:rFonts w:hint="eastAsia" w:ascii="Calibri" w:hAnsi="Calibri"/>
                <w:color w:val="000000"/>
                <w:sz w:val="21"/>
                <w:szCs w:val="21"/>
              </w:rPr>
              <w:t>策略等。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line="360" w:lineRule="auto"/>
              <w:ind w:left="0" w:leftChars="0" w:firstLine="0" w:firstLineChars="0"/>
              <w:rPr>
                <w:rFonts w:ascii="Calibri" w:hAnsi="Calibri"/>
                <w:color w:val="000000"/>
                <w:sz w:val="21"/>
                <w:szCs w:val="21"/>
              </w:rPr>
            </w:pPr>
            <w:r>
              <w:rPr>
                <w:rFonts w:hint="eastAsia" w:ascii="Calibri" w:hAnsi="Calibri"/>
                <w:color w:val="000000"/>
                <w:sz w:val="21"/>
                <w:szCs w:val="21"/>
              </w:rPr>
              <w:t>2.2.1</w:t>
            </w:r>
          </w:p>
        </w:tc>
        <w:tc>
          <w:tcPr>
            <w:tcW w:w="8690" w:type="dxa"/>
            <w:noWrap w:val="0"/>
            <w:vAlign w:val="center"/>
          </w:tcPr>
          <w:p>
            <w:pPr>
              <w:pStyle w:val="24"/>
              <w:spacing w:after="0" w:line="360" w:lineRule="auto"/>
              <w:ind w:left="0" w:leftChars="0" w:firstLine="0" w:firstLineChars="0"/>
              <w:rPr>
                <w:rFonts w:hint="eastAsia" w:ascii="Calibri" w:hAnsi="Calibri"/>
                <w:color w:val="000000"/>
                <w:sz w:val="21"/>
                <w:szCs w:val="21"/>
              </w:rPr>
            </w:pPr>
            <w:r>
              <w:rPr>
                <w:rFonts w:hint="eastAsia" w:ascii="Calibri" w:hAnsi="Calibri"/>
                <w:color w:val="000000"/>
                <w:sz w:val="21"/>
                <w:szCs w:val="21"/>
              </w:rPr>
              <w:t>系统有整体的用户/权限管理体系，可统一进行用户/权限的管理，同时支持二级权限分配模式，二级管理员可以在已分配的权限范围内进行权限的二次分配。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noWrap w:val="0"/>
            <w:vAlign w:val="center"/>
          </w:tcPr>
          <w:p>
            <w:pPr>
              <w:pStyle w:val="24"/>
              <w:spacing w:line="360" w:lineRule="auto"/>
              <w:ind w:left="0" w:leftChars="0" w:firstLine="0" w:firstLineChars="0"/>
              <w:rPr>
                <w:rFonts w:ascii="Calibri" w:hAnsi="Calibri"/>
                <w:color w:val="000000"/>
                <w:sz w:val="21"/>
                <w:szCs w:val="21"/>
              </w:rPr>
            </w:pPr>
            <w:r>
              <w:rPr>
                <w:rFonts w:hint="eastAsia" w:ascii="Calibri" w:hAnsi="Calibri"/>
                <w:color w:val="000000"/>
                <w:sz w:val="21"/>
                <w:szCs w:val="21"/>
              </w:rPr>
              <w:t>2.2.3</w:t>
            </w:r>
          </w:p>
        </w:tc>
        <w:tc>
          <w:tcPr>
            <w:tcW w:w="8690" w:type="dxa"/>
            <w:noWrap w:val="0"/>
            <w:vAlign w:val="center"/>
          </w:tcPr>
          <w:p>
            <w:pPr>
              <w:pStyle w:val="24"/>
              <w:spacing w:after="0" w:line="360" w:lineRule="auto"/>
              <w:ind w:left="0" w:leftChars="0" w:firstLine="0" w:firstLineChars="0"/>
              <w:rPr>
                <w:rFonts w:hint="eastAsia" w:ascii="Calibri" w:hAnsi="Calibri"/>
                <w:color w:val="000000"/>
                <w:sz w:val="21"/>
                <w:szCs w:val="21"/>
              </w:rPr>
            </w:pPr>
            <w:r>
              <w:rPr>
                <w:rFonts w:hint="eastAsia" w:ascii="Calibri" w:hAnsi="Calibri"/>
                <w:color w:val="000000"/>
                <w:sz w:val="21"/>
                <w:szCs w:val="21"/>
              </w:rPr>
              <w:t>系统提供用户认证、数据传输、数据存储等安全手段接口，可在各个环节提供对第三方安全认证系统的支持。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line="360" w:lineRule="auto"/>
              <w:ind w:left="0" w:leftChars="0" w:firstLine="0" w:firstLineChars="0"/>
              <w:rPr>
                <w:rFonts w:ascii="Calibri" w:hAnsi="Calibri"/>
                <w:color w:val="000000"/>
                <w:sz w:val="21"/>
                <w:szCs w:val="21"/>
              </w:rPr>
            </w:pPr>
            <w:r>
              <w:rPr>
                <w:rFonts w:hint="eastAsia" w:ascii="Calibri" w:hAnsi="Calibri"/>
                <w:color w:val="000000"/>
                <w:sz w:val="21"/>
                <w:szCs w:val="21"/>
              </w:rPr>
              <w:t>2.2.4</w:t>
            </w:r>
          </w:p>
        </w:tc>
        <w:tc>
          <w:tcPr>
            <w:tcW w:w="8690" w:type="dxa"/>
            <w:noWrap w:val="0"/>
            <w:vAlign w:val="center"/>
          </w:tcPr>
          <w:p>
            <w:pPr>
              <w:pStyle w:val="24"/>
              <w:spacing w:after="0" w:line="360" w:lineRule="auto"/>
              <w:ind w:left="0" w:leftChars="0" w:firstLine="0" w:firstLineChars="0"/>
              <w:rPr>
                <w:rFonts w:hint="eastAsia" w:ascii="Calibri" w:hAnsi="Calibri"/>
                <w:color w:val="000000"/>
                <w:sz w:val="21"/>
                <w:szCs w:val="21"/>
              </w:rPr>
            </w:pPr>
            <w:r>
              <w:rPr>
                <w:rFonts w:hint="eastAsia" w:ascii="Calibri" w:hAnsi="Calibri"/>
                <w:color w:val="000000"/>
                <w:sz w:val="21"/>
                <w:szCs w:val="21"/>
              </w:rPr>
              <w:t>提供查看系统操作日志</w:t>
            </w:r>
            <w:r>
              <w:rPr>
                <w:rFonts w:hint="eastAsia"/>
                <w:color w:val="000000"/>
                <w:sz w:val="21"/>
                <w:szCs w:val="21"/>
              </w:rPr>
              <w:t>功能</w:t>
            </w:r>
            <w:r>
              <w:rPr>
                <w:rFonts w:hint="eastAsia" w:ascii="Calibri" w:hAnsi="Calibri"/>
                <w:color w:val="000000"/>
                <w:sz w:val="21"/>
                <w:szCs w:val="21"/>
              </w:rPr>
              <w:t>，更好的保障系统及其数据的安全性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line="360" w:lineRule="auto"/>
              <w:ind w:left="0" w:leftChars="0" w:firstLine="0" w:firstLineChars="0"/>
              <w:rPr>
                <w:rFonts w:ascii="Calibri" w:hAnsi="Calibri"/>
                <w:color w:val="000000"/>
                <w:sz w:val="21"/>
                <w:szCs w:val="21"/>
              </w:rPr>
            </w:pPr>
            <w:r>
              <w:rPr>
                <w:rFonts w:hint="eastAsia" w:ascii="Calibri" w:hAnsi="Calibri"/>
                <w:color w:val="000000"/>
                <w:sz w:val="21"/>
                <w:szCs w:val="21"/>
              </w:rPr>
              <w:t>2.2.5</w:t>
            </w:r>
          </w:p>
        </w:tc>
        <w:tc>
          <w:tcPr>
            <w:tcW w:w="8690" w:type="dxa"/>
            <w:noWrap w:val="0"/>
            <w:vAlign w:val="center"/>
          </w:tcPr>
          <w:p>
            <w:pPr>
              <w:pStyle w:val="24"/>
              <w:spacing w:after="0" w:line="360" w:lineRule="auto"/>
              <w:ind w:left="0" w:leftChars="0" w:firstLine="0" w:firstLineChars="0"/>
              <w:rPr>
                <w:rFonts w:hint="eastAsia" w:ascii="Calibri" w:hAnsi="Calibri"/>
                <w:color w:val="000000"/>
                <w:sz w:val="21"/>
                <w:szCs w:val="21"/>
              </w:rPr>
            </w:pPr>
            <w:r>
              <w:rPr>
                <w:rFonts w:hint="eastAsia" w:ascii="Calibri" w:hAnsi="Calibri"/>
                <w:color w:val="000000"/>
                <w:sz w:val="21"/>
                <w:szCs w:val="21"/>
              </w:rPr>
              <w:t>提供成绩数据安全的管理方案。系统应具备自动数据备份功能，按期定时完成数据的备份操作。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noWrap w:val="0"/>
            <w:vAlign w:val="center"/>
          </w:tcPr>
          <w:p>
            <w:pPr>
              <w:pStyle w:val="24"/>
              <w:spacing w:line="360" w:lineRule="auto"/>
              <w:ind w:left="0" w:leftChars="0" w:firstLine="0" w:firstLineChars="0"/>
              <w:rPr>
                <w:rFonts w:ascii="Calibri" w:hAnsi="Calibri"/>
                <w:color w:val="000000"/>
                <w:sz w:val="21"/>
                <w:szCs w:val="21"/>
              </w:rPr>
            </w:pPr>
            <w:r>
              <w:rPr>
                <w:rFonts w:hint="eastAsia" w:ascii="Calibri" w:hAnsi="Calibri"/>
                <w:color w:val="000000"/>
                <w:sz w:val="21"/>
                <w:szCs w:val="21"/>
              </w:rPr>
              <w:t>▲2.2.6</w:t>
            </w:r>
          </w:p>
        </w:tc>
        <w:tc>
          <w:tcPr>
            <w:tcW w:w="8690" w:type="dxa"/>
            <w:noWrap w:val="0"/>
            <w:vAlign w:val="center"/>
          </w:tcPr>
          <w:p>
            <w:pPr>
              <w:pStyle w:val="24"/>
              <w:spacing w:after="0" w:line="360" w:lineRule="auto"/>
              <w:ind w:left="0" w:leftChars="0" w:firstLine="0" w:firstLineChars="0"/>
              <w:rPr>
                <w:rFonts w:hint="eastAsia" w:ascii="Calibri" w:hAnsi="Calibri"/>
                <w:color w:val="000000"/>
                <w:sz w:val="21"/>
                <w:szCs w:val="21"/>
              </w:rPr>
            </w:pPr>
            <w:r>
              <w:rPr>
                <w:rFonts w:hint="eastAsia" w:ascii="Calibri" w:hAnsi="Calibri"/>
                <w:color w:val="000000"/>
                <w:sz w:val="21"/>
                <w:szCs w:val="21"/>
              </w:rPr>
              <w:t>要求系统具有严格的安全机制，包括真正的三层结构（数据层、应用层、WEB层），提供维护以及查看系统所有数据库表操作日志功能，系统需支持对业务表初始化操作，初始化过程需有初始化进度条以及详细的初始化日志展示，便于用户对初始化情况进行跟踪了解，对于教务系统中的所有数据库表可以提供设置开关，包括启用、禁用、自定义表名、配置可查角色、显示字段、配置字段，显示字段能够作为业务搜索数据，通过该字段内信息对系统日志进行检索查询，配置字段能够自定义表中所需记录修改详情的字段，字段修改详情信息包括字段名、字段名（自定义）、修改前、修改前（外键值）、修改后、修改后（外键值），提供日志机制记录数据的跟踪，用户敏感数据具有加密脱敏机制，更好的保障系统及其数据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line="360" w:lineRule="auto"/>
              <w:ind w:left="0" w:leftChars="0" w:firstLine="0" w:firstLineChars="0"/>
              <w:rPr>
                <w:rFonts w:hint="eastAsia" w:ascii="Calibri" w:hAnsi="Calibri"/>
                <w:color w:val="000000"/>
                <w:sz w:val="21"/>
                <w:szCs w:val="21"/>
              </w:rPr>
            </w:pPr>
            <w:r>
              <w:rPr>
                <w:rFonts w:hint="eastAsia"/>
                <w:color w:val="000000"/>
                <w:sz w:val="21"/>
                <w:szCs w:val="21"/>
              </w:rPr>
              <w:t>★</w:t>
            </w:r>
            <w:r>
              <w:rPr>
                <w:rFonts w:hint="eastAsia" w:ascii="Calibri" w:hAnsi="Calibri"/>
                <w:color w:val="000000"/>
                <w:sz w:val="21"/>
                <w:szCs w:val="21"/>
              </w:rPr>
              <w:t>2.2.</w:t>
            </w:r>
            <w:r>
              <w:rPr>
                <w:rFonts w:ascii="Calibri" w:hAnsi="Calibri"/>
                <w:color w:val="000000"/>
                <w:sz w:val="21"/>
                <w:szCs w:val="21"/>
              </w:rPr>
              <w:t>7</w:t>
            </w:r>
          </w:p>
        </w:tc>
        <w:tc>
          <w:tcPr>
            <w:tcW w:w="8690" w:type="dxa"/>
            <w:noWrap w:val="0"/>
            <w:vAlign w:val="center"/>
          </w:tcPr>
          <w:p>
            <w:pPr>
              <w:pStyle w:val="24"/>
              <w:spacing w:after="0" w:line="360" w:lineRule="auto"/>
              <w:ind w:left="0" w:leftChars="0" w:firstLine="0" w:firstLineChars="0"/>
              <w:rPr>
                <w:rFonts w:hint="eastAsia" w:ascii="Calibri" w:hAnsi="Calibri"/>
                <w:color w:val="000000"/>
                <w:sz w:val="21"/>
                <w:szCs w:val="21"/>
              </w:rPr>
            </w:pPr>
            <w:r>
              <w:rPr>
                <w:rFonts w:ascii="宋体" w:hAnsi="宋体"/>
                <w:sz w:val="21"/>
                <w:szCs w:val="21"/>
              </w:rPr>
              <w:t>为保障用户账号的安全性，系统需提供账号安全管理功能，可由管理员自主配置用户密码组成规则以及密码长度相关要求；需支持按照不同角色进行定期更换密码要求进行配置；具有账号锁功能，可设置启用/不启用，可根据一定周期内连续登陆失败次数进行账号自动冻结功能，要求冻结时长可自定义配置</w:t>
            </w:r>
            <w:r>
              <w:rPr>
                <w:rFonts w:hint="eastAsia" w:ascii="宋体" w:hAnsi="宋体"/>
                <w:sz w:val="21"/>
                <w:szCs w:val="21"/>
              </w:rPr>
              <w:t>。</w:t>
            </w:r>
          </w:p>
        </w:tc>
      </w:tr>
    </w:tbl>
    <w:p>
      <w:pPr>
        <w:tabs>
          <w:tab w:val="left" w:pos="540"/>
        </w:tabs>
        <w:snapToGrid w:val="0"/>
        <w:spacing w:before="240" w:beforeLines="100" w:line="360" w:lineRule="auto"/>
        <w:outlineLvl w:val="3"/>
        <w:rPr>
          <w:rFonts w:hint="eastAsia" w:ascii="宋体" w:hAnsi="宋体"/>
          <w:b/>
          <w:szCs w:val="21"/>
          <w:lang w:val="zh-CN"/>
        </w:rPr>
      </w:pPr>
      <w:bookmarkStart w:id="413" w:name="_Toc85458106"/>
      <w:r>
        <w:rPr>
          <w:rFonts w:hint="eastAsia" w:ascii="宋体" w:hAnsi="宋体"/>
          <w:b/>
          <w:szCs w:val="21"/>
          <w:lang w:val="zh-CN"/>
        </w:rPr>
        <w:t>2.3技术路线要求</w:t>
      </w:r>
      <w:bookmarkEnd w:id="413"/>
    </w:p>
    <w:tbl>
      <w:tblPr>
        <w:tblStyle w:val="55"/>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D7D7D7"/>
            <w:noWrap w:val="0"/>
            <w:vAlign w:val="center"/>
          </w:tcPr>
          <w:p>
            <w:pPr>
              <w:pStyle w:val="24"/>
              <w:spacing w:after="0" w:line="360" w:lineRule="auto"/>
              <w:ind w:left="0" w:leftChars="0" w:firstLine="0" w:firstLineChars="0"/>
              <w:jc w:val="center"/>
              <w:rPr>
                <w:b/>
                <w:bCs/>
                <w:color w:val="000000"/>
                <w:sz w:val="21"/>
                <w:szCs w:val="21"/>
              </w:rPr>
            </w:pPr>
            <w:r>
              <w:rPr>
                <w:rFonts w:hint="eastAsia"/>
                <w:b/>
                <w:bCs/>
                <w:color w:val="000000"/>
                <w:sz w:val="21"/>
                <w:szCs w:val="21"/>
              </w:rPr>
              <w:t>序号</w:t>
            </w:r>
          </w:p>
        </w:tc>
        <w:tc>
          <w:tcPr>
            <w:tcW w:w="8711" w:type="dxa"/>
            <w:shd w:val="clear" w:color="auto" w:fill="D7D7D7"/>
            <w:noWrap w:val="0"/>
            <w:vAlign w:val="center"/>
          </w:tcPr>
          <w:p>
            <w:pPr>
              <w:pStyle w:val="24"/>
              <w:spacing w:after="0" w:line="360" w:lineRule="auto"/>
              <w:ind w:left="0" w:leftChars="0" w:firstLine="0" w:firstLineChars="0"/>
              <w:jc w:val="center"/>
              <w:rPr>
                <w:b/>
                <w:bCs/>
                <w:color w:val="000000"/>
                <w:sz w:val="21"/>
                <w:szCs w:val="21"/>
              </w:rPr>
            </w:pPr>
            <w:r>
              <w:rPr>
                <w:rFonts w:hint="eastAsia"/>
                <w:b/>
                <w:bCs/>
                <w:color w:val="000000"/>
                <w:sz w:val="21"/>
                <w:szCs w:val="21"/>
              </w:rPr>
              <w:t>具体需求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noWrap w:val="0"/>
            <w:vAlign w:val="center"/>
          </w:tcPr>
          <w:p>
            <w:pPr>
              <w:pStyle w:val="24"/>
              <w:spacing w:line="360" w:lineRule="auto"/>
              <w:ind w:left="0" w:leftChars="0" w:firstLine="0" w:firstLineChars="0"/>
              <w:jc w:val="center"/>
              <w:rPr>
                <w:rFonts w:hint="eastAsia" w:ascii="Calibri" w:hAnsi="Calibri"/>
                <w:color w:val="000000"/>
                <w:sz w:val="21"/>
                <w:szCs w:val="21"/>
              </w:rPr>
            </w:pPr>
            <w:r>
              <w:rPr>
                <w:rFonts w:hint="eastAsia" w:ascii="Calibri" w:hAnsi="Calibri"/>
                <w:color w:val="000000"/>
                <w:sz w:val="21"/>
                <w:szCs w:val="21"/>
              </w:rPr>
              <w:t>2.3.1</w:t>
            </w:r>
          </w:p>
        </w:tc>
        <w:tc>
          <w:tcPr>
            <w:tcW w:w="8711" w:type="dxa"/>
            <w:noWrap w:val="0"/>
            <w:vAlign w:val="center"/>
          </w:tcPr>
          <w:p>
            <w:pPr>
              <w:pStyle w:val="24"/>
              <w:spacing w:after="0" w:line="360" w:lineRule="auto"/>
              <w:ind w:left="0" w:leftChars="0" w:firstLine="0" w:firstLineChars="0"/>
              <w:rPr>
                <w:rFonts w:hint="eastAsia" w:ascii="Calibri" w:hAnsi="Calibri"/>
                <w:color w:val="000000"/>
                <w:sz w:val="21"/>
                <w:szCs w:val="21"/>
              </w:rPr>
            </w:pPr>
            <w:r>
              <w:rPr>
                <w:rFonts w:hint="eastAsia" w:ascii="Calibri" w:hAnsi="Calibri"/>
                <w:color w:val="000000"/>
                <w:sz w:val="21"/>
                <w:szCs w:val="21"/>
              </w:rPr>
              <w:t>系统用户端和管理端均采用</w:t>
            </w:r>
            <w:r>
              <w:rPr>
                <w:rFonts w:hint="eastAsia"/>
                <w:color w:val="000000"/>
                <w:sz w:val="21"/>
                <w:szCs w:val="21"/>
              </w:rPr>
              <w:t>完全</w:t>
            </w:r>
            <w:r>
              <w:rPr>
                <w:rFonts w:hint="eastAsia" w:ascii="Calibri" w:hAnsi="Calibri"/>
                <w:color w:val="000000"/>
                <w:sz w:val="21"/>
                <w:szCs w:val="21"/>
              </w:rPr>
              <w:t>的B/S架构，客户端免安装；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line="360" w:lineRule="auto"/>
              <w:ind w:left="0" w:leftChars="0" w:firstLine="0" w:firstLineChars="0"/>
              <w:jc w:val="center"/>
              <w:rPr>
                <w:rFonts w:hint="eastAsia" w:ascii="Calibri" w:hAnsi="Calibri"/>
                <w:color w:val="000000"/>
                <w:sz w:val="21"/>
                <w:szCs w:val="21"/>
              </w:rPr>
            </w:pPr>
            <w:r>
              <w:rPr>
                <w:rFonts w:hint="eastAsia" w:ascii="Calibri" w:hAnsi="Calibri"/>
                <w:color w:val="000000"/>
                <w:sz w:val="21"/>
                <w:szCs w:val="21"/>
              </w:rPr>
              <w:t>2.3.2</w:t>
            </w:r>
          </w:p>
        </w:tc>
        <w:tc>
          <w:tcPr>
            <w:tcW w:w="8711" w:type="dxa"/>
            <w:noWrap w:val="0"/>
            <w:vAlign w:val="center"/>
          </w:tcPr>
          <w:p>
            <w:pPr>
              <w:pStyle w:val="24"/>
              <w:spacing w:after="0" w:line="360" w:lineRule="auto"/>
              <w:ind w:left="0" w:leftChars="0" w:firstLine="0" w:firstLineChars="0"/>
              <w:rPr>
                <w:rFonts w:hint="eastAsia" w:ascii="Calibri" w:hAnsi="Calibri"/>
                <w:color w:val="000000"/>
                <w:sz w:val="21"/>
                <w:szCs w:val="21"/>
              </w:rPr>
            </w:pPr>
            <w:r>
              <w:rPr>
                <w:rFonts w:hint="eastAsia" w:ascii="Calibri" w:hAnsi="Calibri"/>
                <w:color w:val="000000"/>
                <w:sz w:val="21"/>
                <w:szCs w:val="21"/>
              </w:rPr>
              <w:t>系统应具备良好的浏览器兼容性，管理员、教师、学生都能在IE、Firefox、Chrome等主流浏览器下进行系统所有的功能操作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line="360" w:lineRule="auto"/>
              <w:ind w:left="0" w:leftChars="0" w:firstLine="0" w:firstLineChars="0"/>
              <w:jc w:val="center"/>
              <w:rPr>
                <w:rFonts w:hint="eastAsia" w:ascii="Calibri" w:hAnsi="Calibri"/>
                <w:color w:val="000000"/>
                <w:sz w:val="21"/>
                <w:szCs w:val="21"/>
              </w:rPr>
            </w:pPr>
            <w:r>
              <w:rPr>
                <w:rFonts w:hint="eastAsia" w:ascii="Calibri" w:hAnsi="Calibri"/>
                <w:color w:val="000000"/>
                <w:sz w:val="21"/>
                <w:szCs w:val="21"/>
              </w:rPr>
              <w:t>2.3.3</w:t>
            </w:r>
          </w:p>
        </w:tc>
        <w:tc>
          <w:tcPr>
            <w:tcW w:w="8711" w:type="dxa"/>
            <w:noWrap w:val="0"/>
            <w:vAlign w:val="center"/>
          </w:tcPr>
          <w:p>
            <w:pPr>
              <w:pStyle w:val="24"/>
              <w:spacing w:after="0" w:line="360" w:lineRule="auto"/>
              <w:ind w:left="0" w:leftChars="0" w:firstLine="0" w:firstLineChars="0"/>
              <w:rPr>
                <w:rFonts w:hint="eastAsia" w:ascii="Calibri" w:hAnsi="Calibri"/>
                <w:color w:val="000000"/>
                <w:sz w:val="21"/>
                <w:szCs w:val="21"/>
              </w:rPr>
            </w:pPr>
            <w:r>
              <w:rPr>
                <w:rFonts w:hint="eastAsia" w:ascii="Calibri" w:hAnsi="Calibri"/>
                <w:color w:val="000000"/>
                <w:sz w:val="21"/>
                <w:szCs w:val="21"/>
              </w:rPr>
              <w:t>支持快捷菜单自定义配置</w:t>
            </w:r>
            <w:r>
              <w:rPr>
                <w:rFonts w:hint="eastAsia"/>
                <w:color w:val="000000"/>
                <w:sz w:val="21"/>
                <w:szCs w:val="21"/>
              </w:rPr>
              <w:t>功能</w:t>
            </w:r>
            <w:r>
              <w:rPr>
                <w:rFonts w:hint="eastAsia" w:ascii="Calibri" w:hAnsi="Calibri"/>
                <w:color w:val="000000"/>
                <w:sz w:val="21"/>
                <w:szCs w:val="21"/>
              </w:rPr>
              <w:t>，提供扁平化界面风格显示的快捷菜单界面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noWrap w:val="0"/>
            <w:vAlign w:val="center"/>
          </w:tcPr>
          <w:p>
            <w:pPr>
              <w:pStyle w:val="24"/>
              <w:spacing w:line="360" w:lineRule="auto"/>
              <w:ind w:left="0" w:leftChars="0" w:firstLine="0" w:firstLineChars="0"/>
              <w:jc w:val="center"/>
              <w:rPr>
                <w:rFonts w:hint="eastAsia" w:ascii="Calibri" w:hAnsi="Calibri"/>
                <w:color w:val="000000"/>
                <w:sz w:val="21"/>
                <w:szCs w:val="21"/>
              </w:rPr>
            </w:pPr>
            <w:r>
              <w:rPr>
                <w:rFonts w:hint="eastAsia"/>
                <w:color w:val="000000"/>
                <w:sz w:val="21"/>
                <w:szCs w:val="21"/>
              </w:rPr>
              <w:t>★</w:t>
            </w:r>
            <w:r>
              <w:rPr>
                <w:rFonts w:hint="eastAsia" w:ascii="Calibri" w:hAnsi="Calibri"/>
                <w:color w:val="000000"/>
                <w:sz w:val="21"/>
                <w:szCs w:val="21"/>
              </w:rPr>
              <w:t>2.3.4</w:t>
            </w:r>
          </w:p>
        </w:tc>
        <w:tc>
          <w:tcPr>
            <w:tcW w:w="8711" w:type="dxa"/>
            <w:noWrap w:val="0"/>
            <w:vAlign w:val="center"/>
          </w:tcPr>
          <w:p>
            <w:pPr>
              <w:pStyle w:val="24"/>
              <w:spacing w:after="0" w:line="360" w:lineRule="auto"/>
              <w:ind w:left="0" w:leftChars="0" w:firstLine="0" w:firstLineChars="0"/>
              <w:rPr>
                <w:rFonts w:hint="eastAsia" w:ascii="Calibri" w:hAnsi="Calibri"/>
                <w:color w:val="000000"/>
                <w:sz w:val="21"/>
                <w:szCs w:val="21"/>
              </w:rPr>
            </w:pPr>
            <w:r>
              <w:rPr>
                <w:rFonts w:hint="eastAsia" w:ascii="Calibri" w:hAnsi="Calibri"/>
                <w:color w:val="000000"/>
                <w:sz w:val="21"/>
                <w:szCs w:val="21"/>
              </w:rPr>
              <w:t>系统需支持不同学历层次、上课时间安排不同的多种教学日历模式，上课时间安排需要包含各学期的起始时间与结束时间，同时还需要支持多套上课节次的设置，如：例如Ａ校区８：30上课，一天11节，一节课45min；B校区8:00上课，一天8节，一节课50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line="360" w:lineRule="auto"/>
              <w:ind w:left="0" w:leftChars="0" w:firstLine="0" w:firstLineChars="0"/>
              <w:jc w:val="center"/>
              <w:rPr>
                <w:rFonts w:hint="eastAsia" w:ascii="Calibri" w:hAnsi="Calibri"/>
                <w:color w:val="000000"/>
                <w:sz w:val="21"/>
                <w:szCs w:val="21"/>
              </w:rPr>
            </w:pPr>
            <w:r>
              <w:rPr>
                <w:rFonts w:hint="eastAsia" w:ascii="Calibri" w:hAnsi="Calibri"/>
                <w:color w:val="000000"/>
                <w:sz w:val="21"/>
                <w:szCs w:val="21"/>
              </w:rPr>
              <w:t>▲2.3.5</w:t>
            </w:r>
          </w:p>
        </w:tc>
        <w:tc>
          <w:tcPr>
            <w:tcW w:w="8711" w:type="dxa"/>
            <w:noWrap w:val="0"/>
            <w:vAlign w:val="center"/>
          </w:tcPr>
          <w:p>
            <w:pPr>
              <w:pStyle w:val="24"/>
              <w:spacing w:after="0" w:line="360" w:lineRule="auto"/>
              <w:ind w:left="0" w:leftChars="0" w:firstLine="0" w:firstLineChars="0"/>
              <w:rPr>
                <w:rFonts w:hint="eastAsia" w:ascii="Calibri" w:hAnsi="Calibri"/>
                <w:color w:val="000000"/>
                <w:sz w:val="21"/>
                <w:szCs w:val="21"/>
              </w:rPr>
            </w:pPr>
            <w:r>
              <w:rPr>
                <w:rFonts w:hint="eastAsia" w:ascii="Calibri" w:hAnsi="Calibri"/>
                <w:color w:val="000000"/>
                <w:sz w:val="21"/>
                <w:szCs w:val="21"/>
              </w:rPr>
              <w:t>系统需满足用户在拥有多重身份的情况下（如双肩挑教师），实现一次登录，且不退出登录，即可实现管理员或用户的身份转换，相关数据权限与功能权限随着转换而相应改变；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line="360" w:lineRule="auto"/>
              <w:ind w:left="0" w:leftChars="0" w:firstLine="0" w:firstLineChars="0"/>
              <w:jc w:val="center"/>
              <w:rPr>
                <w:rFonts w:hint="eastAsia" w:ascii="Calibri" w:hAnsi="Calibri"/>
                <w:color w:val="000000"/>
                <w:sz w:val="21"/>
                <w:szCs w:val="21"/>
              </w:rPr>
            </w:pPr>
            <w:r>
              <w:rPr>
                <w:rFonts w:hint="eastAsia" w:ascii="Calibri" w:hAnsi="Calibri"/>
                <w:color w:val="000000"/>
                <w:sz w:val="21"/>
                <w:szCs w:val="21"/>
              </w:rPr>
              <w:t>★2.3.6</w:t>
            </w:r>
          </w:p>
        </w:tc>
        <w:tc>
          <w:tcPr>
            <w:tcW w:w="8711" w:type="dxa"/>
            <w:noWrap w:val="0"/>
            <w:vAlign w:val="center"/>
          </w:tcPr>
          <w:p>
            <w:pPr>
              <w:pStyle w:val="24"/>
              <w:spacing w:after="0" w:line="360" w:lineRule="auto"/>
              <w:ind w:left="0" w:leftChars="0" w:firstLine="0" w:firstLineChars="0"/>
              <w:rPr>
                <w:rFonts w:hint="eastAsia" w:ascii="Calibri" w:hAnsi="Calibri"/>
                <w:color w:val="000000"/>
                <w:sz w:val="21"/>
                <w:szCs w:val="21"/>
              </w:rPr>
            </w:pPr>
            <w:r>
              <w:rPr>
                <w:rFonts w:hint="eastAsia" w:ascii="Calibri" w:hAnsi="Calibri"/>
                <w:color w:val="000000"/>
                <w:sz w:val="21"/>
                <w:szCs w:val="21"/>
              </w:rPr>
              <w:t>系统需满足基于同一框架、同一数据库实现多个教学项目（高职、交换生、辅修等）的镜像系统式管理，系统登录能够自动判断显示当前用户所属项目，如果一个用户存在多重项目的情况下（如高职、辅修），可实现一次登陆，且不退出登陆即可实现教学项目（如高职、辅修）的切换，相关数据权限和功能权限与其它教学项目各自独立管理，实现多个教学项目教学资源的统一调度，教学资源冲突判断基于唯一数据源和算法，支持新增、修改、删除教学项目数据功能，教学项目需</w:t>
            </w:r>
            <w:r>
              <w:rPr>
                <w:rFonts w:hint="eastAsia"/>
                <w:color w:val="000000"/>
                <w:sz w:val="21"/>
                <w:szCs w:val="21"/>
              </w:rPr>
              <w:t>关联</w:t>
            </w:r>
            <w:r>
              <w:rPr>
                <w:rFonts w:hint="eastAsia" w:ascii="Calibri" w:hAnsi="Calibri"/>
                <w:color w:val="000000"/>
                <w:sz w:val="21"/>
                <w:szCs w:val="21"/>
              </w:rPr>
              <w:t>校区、部门、学历层次、学生类别、校历、时间。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line="360" w:lineRule="auto"/>
              <w:ind w:left="0" w:leftChars="0" w:firstLine="0" w:firstLineChars="0"/>
              <w:jc w:val="center"/>
              <w:rPr>
                <w:rFonts w:hint="eastAsia" w:ascii="Calibri" w:hAnsi="Calibri"/>
                <w:color w:val="000000"/>
                <w:sz w:val="21"/>
                <w:szCs w:val="21"/>
              </w:rPr>
            </w:pPr>
            <w:r>
              <w:rPr>
                <w:rFonts w:hint="eastAsia" w:ascii="Calibri" w:hAnsi="Calibri"/>
                <w:color w:val="000000"/>
                <w:sz w:val="21"/>
                <w:szCs w:val="21"/>
              </w:rPr>
              <w:t>2.3.7</w:t>
            </w:r>
          </w:p>
        </w:tc>
        <w:tc>
          <w:tcPr>
            <w:tcW w:w="8711" w:type="dxa"/>
            <w:noWrap w:val="0"/>
            <w:vAlign w:val="center"/>
          </w:tcPr>
          <w:p>
            <w:pPr>
              <w:pStyle w:val="24"/>
              <w:spacing w:after="0" w:line="360" w:lineRule="auto"/>
              <w:ind w:left="0" w:leftChars="0" w:firstLine="0" w:firstLineChars="0"/>
              <w:rPr>
                <w:rFonts w:hint="eastAsia" w:ascii="Calibri" w:hAnsi="Calibri"/>
                <w:color w:val="000000"/>
                <w:sz w:val="21"/>
                <w:szCs w:val="21"/>
              </w:rPr>
            </w:pPr>
            <w:r>
              <w:rPr>
                <w:rFonts w:hint="eastAsia" w:ascii="Calibri" w:hAnsi="Calibri"/>
                <w:color w:val="000000"/>
                <w:sz w:val="21"/>
                <w:szCs w:val="21"/>
              </w:rPr>
              <w:t>系统应具有足够的安全性、可靠性，保障教务系统及其数据具有较高的安全级别，对于教务系统中的重要数据（如排课数据、</w:t>
            </w:r>
            <w:r>
              <w:rPr>
                <w:rFonts w:hint="eastAsia"/>
                <w:color w:val="000000"/>
                <w:sz w:val="21"/>
                <w:szCs w:val="21"/>
              </w:rPr>
              <w:t>选课</w:t>
            </w:r>
            <w:r>
              <w:rPr>
                <w:rFonts w:hint="eastAsia" w:ascii="Calibri" w:hAnsi="Calibri"/>
                <w:color w:val="000000"/>
                <w:sz w:val="21"/>
                <w:szCs w:val="21"/>
              </w:rPr>
              <w:t>数据、成绩数据等），提供日志机制记录数据的维护。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line="360" w:lineRule="auto"/>
              <w:ind w:left="0" w:leftChars="0" w:firstLine="0" w:firstLineChars="0"/>
              <w:jc w:val="center"/>
              <w:rPr>
                <w:rFonts w:hint="eastAsia" w:ascii="Calibri" w:hAnsi="Calibri"/>
                <w:color w:val="000000"/>
                <w:sz w:val="21"/>
                <w:szCs w:val="21"/>
              </w:rPr>
            </w:pPr>
            <w:r>
              <w:rPr>
                <w:rFonts w:hint="eastAsia" w:ascii="Calibri" w:hAnsi="Calibri"/>
                <w:color w:val="000000"/>
                <w:sz w:val="21"/>
                <w:szCs w:val="21"/>
              </w:rPr>
              <w:t>2.3.8</w:t>
            </w:r>
          </w:p>
        </w:tc>
        <w:tc>
          <w:tcPr>
            <w:tcW w:w="8711" w:type="dxa"/>
            <w:noWrap w:val="0"/>
            <w:vAlign w:val="center"/>
          </w:tcPr>
          <w:p>
            <w:pPr>
              <w:pStyle w:val="24"/>
              <w:spacing w:after="0" w:line="360" w:lineRule="auto"/>
              <w:ind w:left="0" w:leftChars="0" w:firstLine="0" w:firstLineChars="0"/>
              <w:rPr>
                <w:rFonts w:hint="eastAsia" w:ascii="Calibri" w:hAnsi="Calibri"/>
                <w:color w:val="000000"/>
                <w:sz w:val="21"/>
                <w:szCs w:val="21"/>
              </w:rPr>
            </w:pPr>
            <w:r>
              <w:rPr>
                <w:rFonts w:hint="eastAsia" w:ascii="Calibri" w:hAnsi="Calibri"/>
                <w:color w:val="000000"/>
                <w:sz w:val="21"/>
                <w:szCs w:val="21"/>
              </w:rPr>
              <w:t>数据库服务器和应用服务器必须使用主流服务系统Linux或Unix，系统用户方操作系统支持Windows 2000、Windows XP、Windwos Vista、Windows 7及以上版本。</w:t>
            </w:r>
          </w:p>
        </w:tc>
      </w:tr>
      <w:bookmarkEnd w:id="410"/>
      <w:bookmarkEnd w:id="411"/>
    </w:tbl>
    <w:p>
      <w:pPr>
        <w:pStyle w:val="5"/>
        <w:spacing w:before="240" w:beforeLines="100" w:after="0" w:line="413" w:lineRule="auto"/>
        <w:jc w:val="both"/>
        <w:rPr>
          <w:rFonts w:hint="eastAsia" w:ascii="宋体" w:hAnsi="宋体" w:cs="宋体"/>
          <w:snapToGrid w:val="0"/>
          <w:kern w:val="0"/>
          <w:sz w:val="21"/>
          <w:szCs w:val="21"/>
        </w:rPr>
      </w:pPr>
      <w:r>
        <w:rPr>
          <w:rFonts w:hint="eastAsia" w:ascii="宋体" w:hAnsi="宋体" w:cs="宋体"/>
          <w:snapToGrid w:val="0"/>
          <w:kern w:val="0"/>
          <w:sz w:val="21"/>
          <w:szCs w:val="21"/>
        </w:rPr>
        <w:t>（三）教务管理服务内容</w:t>
      </w:r>
    </w:p>
    <w:p>
      <w:pPr>
        <w:tabs>
          <w:tab w:val="left" w:pos="540"/>
        </w:tabs>
        <w:snapToGrid w:val="0"/>
        <w:spacing w:before="120" w:beforeLines="50" w:line="360" w:lineRule="auto"/>
        <w:outlineLvl w:val="3"/>
        <w:rPr>
          <w:rFonts w:hint="eastAsia" w:ascii="宋体" w:hAnsi="宋体"/>
          <w:b/>
          <w:szCs w:val="21"/>
        </w:rPr>
      </w:pPr>
      <w:r>
        <w:rPr>
          <w:rFonts w:hint="eastAsia" w:ascii="宋体" w:hAnsi="宋体"/>
          <w:b/>
          <w:szCs w:val="21"/>
        </w:rPr>
        <w:t>3.1</w:t>
      </w:r>
      <w:bookmarkStart w:id="414" w:name="_Toc85458108"/>
      <w:r>
        <w:rPr>
          <w:rFonts w:hint="eastAsia" w:ascii="宋体" w:hAnsi="宋体"/>
          <w:b/>
          <w:szCs w:val="21"/>
        </w:rPr>
        <w:t>课程管理</w:t>
      </w:r>
      <w:bookmarkEnd w:id="414"/>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296"/>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D7D7D7"/>
            <w:noWrap w:val="0"/>
            <w:vAlign w:val="center"/>
          </w:tcPr>
          <w:p>
            <w:pPr>
              <w:pStyle w:val="24"/>
              <w:spacing w:after="0" w:line="360" w:lineRule="auto"/>
              <w:ind w:left="0" w:leftChars="0" w:firstLine="0" w:firstLineChars="0"/>
              <w:jc w:val="center"/>
              <w:rPr>
                <w:b/>
                <w:bCs/>
                <w:color w:val="000000"/>
                <w:sz w:val="21"/>
                <w:szCs w:val="21"/>
              </w:rPr>
            </w:pPr>
            <w:r>
              <w:rPr>
                <w:rFonts w:hint="eastAsia"/>
                <w:b/>
                <w:bCs/>
                <w:color w:val="000000"/>
                <w:sz w:val="21"/>
                <w:szCs w:val="21"/>
              </w:rPr>
              <w:t>序号</w:t>
            </w:r>
          </w:p>
        </w:tc>
        <w:tc>
          <w:tcPr>
            <w:tcW w:w="1296" w:type="dxa"/>
            <w:shd w:val="clear" w:color="auto" w:fill="D7D7D7"/>
            <w:noWrap w:val="0"/>
            <w:vAlign w:val="center"/>
          </w:tcPr>
          <w:p>
            <w:pPr>
              <w:pStyle w:val="24"/>
              <w:spacing w:after="0" w:line="360" w:lineRule="auto"/>
              <w:ind w:left="0" w:leftChars="0" w:firstLine="0" w:firstLineChars="0"/>
              <w:jc w:val="center"/>
              <w:rPr>
                <w:rFonts w:hint="eastAsia"/>
                <w:b/>
                <w:bCs/>
                <w:color w:val="000000"/>
                <w:sz w:val="21"/>
                <w:szCs w:val="21"/>
              </w:rPr>
            </w:pPr>
            <w:r>
              <w:rPr>
                <w:rFonts w:hint="eastAsia"/>
                <w:b/>
                <w:bCs/>
                <w:color w:val="000000"/>
                <w:sz w:val="21"/>
                <w:szCs w:val="21"/>
              </w:rPr>
              <w:t>需求类别</w:t>
            </w:r>
          </w:p>
        </w:tc>
        <w:tc>
          <w:tcPr>
            <w:tcW w:w="7336" w:type="dxa"/>
            <w:shd w:val="clear" w:color="auto" w:fill="D7D7D7"/>
            <w:noWrap w:val="0"/>
            <w:vAlign w:val="center"/>
          </w:tcPr>
          <w:p>
            <w:pPr>
              <w:pStyle w:val="24"/>
              <w:spacing w:after="0" w:line="360" w:lineRule="auto"/>
              <w:ind w:left="0" w:leftChars="0" w:firstLine="0" w:firstLineChars="0"/>
              <w:jc w:val="center"/>
              <w:rPr>
                <w:b/>
                <w:bCs/>
                <w:color w:val="000000"/>
                <w:sz w:val="21"/>
                <w:szCs w:val="21"/>
              </w:rPr>
            </w:pPr>
            <w:r>
              <w:rPr>
                <w:rFonts w:hint="eastAsia"/>
                <w:b/>
                <w:bCs/>
                <w:color w:val="000000"/>
                <w:sz w:val="21"/>
                <w:szCs w:val="21"/>
              </w:rPr>
              <w:t>具体需求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line="360" w:lineRule="auto"/>
              <w:ind w:left="0" w:leftChars="0" w:firstLine="0" w:firstLineChars="0"/>
              <w:jc w:val="center"/>
              <w:rPr>
                <w:color w:val="000000"/>
                <w:sz w:val="21"/>
                <w:szCs w:val="21"/>
              </w:rPr>
            </w:pPr>
            <w:r>
              <w:rPr>
                <w:rFonts w:hint="eastAsia"/>
                <w:color w:val="000000"/>
                <w:sz w:val="21"/>
                <w:szCs w:val="21"/>
              </w:rPr>
              <w:t>▲3.1.1</w:t>
            </w:r>
          </w:p>
        </w:tc>
        <w:tc>
          <w:tcPr>
            <w:tcW w:w="1296" w:type="dxa"/>
            <w:noWrap w:val="0"/>
            <w:vAlign w:val="center"/>
          </w:tcPr>
          <w:p>
            <w:pPr>
              <w:pStyle w:val="24"/>
              <w:spacing w:line="360" w:lineRule="auto"/>
              <w:ind w:left="0" w:leftChars="0" w:firstLine="0" w:firstLineChars="0"/>
              <w:jc w:val="center"/>
              <w:rPr>
                <w:rFonts w:hint="eastAsia"/>
                <w:color w:val="000000"/>
                <w:sz w:val="21"/>
                <w:szCs w:val="21"/>
              </w:rPr>
            </w:pPr>
            <w:r>
              <w:rPr>
                <w:rFonts w:hint="eastAsia"/>
                <w:color w:val="000000"/>
                <w:sz w:val="21"/>
                <w:szCs w:val="21"/>
              </w:rPr>
              <w:t>课程编码规则定义</w:t>
            </w: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系统应具有课程编码规则定义功能，能够按照选定的规则自动生成课程编码，支持先修课程、小项课程、阶段课业务的管理，支持对小项课程和阶段课程的管理，选课环节能够对小项课程是否重复进行判断，能够对先修课程进行检测（所选课程如果包含先修课程,则必须获得所有先修课程的通过成绩），学业审核环节能够对阶段课程进行判断并明确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line="360" w:lineRule="auto"/>
              <w:ind w:left="0" w:leftChars="0" w:firstLine="0" w:firstLineChars="0"/>
              <w:jc w:val="center"/>
              <w:rPr>
                <w:color w:val="000000"/>
                <w:sz w:val="21"/>
                <w:szCs w:val="21"/>
              </w:rPr>
            </w:pPr>
            <w:r>
              <w:rPr>
                <w:rFonts w:hint="eastAsia"/>
                <w:color w:val="000000"/>
                <w:sz w:val="21"/>
                <w:szCs w:val="21"/>
              </w:rPr>
              <w:t>3.1.2</w:t>
            </w:r>
          </w:p>
        </w:tc>
        <w:tc>
          <w:tcPr>
            <w:tcW w:w="1296" w:type="dxa"/>
            <w:noWrap w:val="0"/>
            <w:vAlign w:val="center"/>
          </w:tcPr>
          <w:p>
            <w:pPr>
              <w:pStyle w:val="24"/>
              <w:spacing w:line="360" w:lineRule="auto"/>
              <w:ind w:left="0" w:leftChars="0" w:firstLine="0" w:firstLineChars="0"/>
              <w:jc w:val="center"/>
              <w:rPr>
                <w:rFonts w:hint="eastAsia"/>
                <w:color w:val="000000"/>
                <w:sz w:val="21"/>
                <w:szCs w:val="21"/>
              </w:rPr>
            </w:pPr>
            <w:r>
              <w:rPr>
                <w:rFonts w:hint="eastAsia"/>
                <w:color w:val="000000"/>
                <w:sz w:val="21"/>
                <w:szCs w:val="21"/>
              </w:rPr>
              <w:t>课程维护</w:t>
            </w: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能实现对课程信息的增、删、改、查，导入导出的功能，有课程编码规则功能，按规则自动生成课程编码，支持先修课程、小项课程、阶段课业务，能实现课时分布，绩点以及实验课的设置，支持对课程信息的分级维护，提供课程负责人，适用专业，建议教材等信息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line="360" w:lineRule="auto"/>
              <w:ind w:left="0" w:leftChars="0" w:firstLine="0" w:firstLineChars="0"/>
              <w:jc w:val="center"/>
              <w:rPr>
                <w:color w:val="000000"/>
                <w:sz w:val="21"/>
                <w:szCs w:val="21"/>
              </w:rPr>
            </w:pPr>
            <w:r>
              <w:rPr>
                <w:rFonts w:hint="eastAsia"/>
                <w:color w:val="000000"/>
                <w:sz w:val="21"/>
                <w:szCs w:val="21"/>
              </w:rPr>
              <w:t>3.1.3</w:t>
            </w:r>
          </w:p>
        </w:tc>
        <w:tc>
          <w:tcPr>
            <w:tcW w:w="1296" w:type="dxa"/>
            <w:noWrap w:val="0"/>
            <w:vAlign w:val="center"/>
          </w:tcPr>
          <w:p>
            <w:pPr>
              <w:pStyle w:val="24"/>
              <w:spacing w:line="360" w:lineRule="auto"/>
              <w:ind w:left="0" w:leftChars="0" w:firstLine="0" w:firstLineChars="0"/>
              <w:jc w:val="center"/>
              <w:rPr>
                <w:rFonts w:hint="eastAsia"/>
                <w:color w:val="000000"/>
                <w:sz w:val="21"/>
                <w:szCs w:val="21"/>
              </w:rPr>
            </w:pPr>
            <w:r>
              <w:rPr>
                <w:rFonts w:hint="eastAsia"/>
                <w:color w:val="000000"/>
                <w:sz w:val="21"/>
                <w:szCs w:val="21"/>
              </w:rPr>
              <w:t>开课申请及审核</w:t>
            </w: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授课教师可以在教师界面进行新开课程的申请功能，管理员界面支持教务处、院系进行新开课程的审核，在教务处设置开课申请审核通过时，需要为课程设置课程代码，可以手动输入课程代码，可以批量按已配置的代码规范生成课程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line="360" w:lineRule="auto"/>
              <w:ind w:left="0" w:leftChars="0" w:firstLine="0" w:firstLineChars="0"/>
              <w:jc w:val="center"/>
              <w:rPr>
                <w:color w:val="000000"/>
                <w:sz w:val="21"/>
                <w:szCs w:val="21"/>
              </w:rPr>
            </w:pPr>
            <w:r>
              <w:rPr>
                <w:rFonts w:hint="eastAsia"/>
                <w:color w:val="000000"/>
                <w:sz w:val="21"/>
                <w:szCs w:val="21"/>
              </w:rPr>
              <w:t>3.1.4</w:t>
            </w:r>
          </w:p>
        </w:tc>
        <w:tc>
          <w:tcPr>
            <w:tcW w:w="1296" w:type="dxa"/>
            <w:noWrap w:val="0"/>
            <w:vAlign w:val="center"/>
          </w:tcPr>
          <w:p>
            <w:pPr>
              <w:pStyle w:val="24"/>
              <w:spacing w:line="360" w:lineRule="auto"/>
              <w:ind w:left="0" w:leftChars="0" w:firstLine="0" w:firstLineChars="0"/>
              <w:jc w:val="center"/>
              <w:rPr>
                <w:rFonts w:hint="eastAsia"/>
                <w:color w:val="000000"/>
                <w:sz w:val="21"/>
                <w:szCs w:val="21"/>
              </w:rPr>
            </w:pPr>
            <w:bookmarkStart w:id="415" w:name="_Toc85458109"/>
            <w:r>
              <w:rPr>
                <w:rFonts w:hint="eastAsia"/>
                <w:color w:val="000000"/>
                <w:sz w:val="21"/>
                <w:szCs w:val="21"/>
              </w:rPr>
              <w:t>教学大纲</w:t>
            </w:r>
            <w:bookmarkEnd w:id="415"/>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系统支持教学大纲上传、教学大纲下载、查看教学大纲信息和大纲状态变更信息的功能，并支持审核流程的配置功能，可自定义教学大纲的审核流程，支持配置成一级审核或多级审核，可以设置成循环审核或一次性审核。</w:t>
            </w:r>
          </w:p>
        </w:tc>
      </w:tr>
    </w:tbl>
    <w:p>
      <w:pPr>
        <w:tabs>
          <w:tab w:val="left" w:pos="540"/>
        </w:tabs>
        <w:snapToGrid w:val="0"/>
        <w:spacing w:before="120" w:beforeLines="50" w:line="360" w:lineRule="auto"/>
        <w:outlineLvl w:val="3"/>
      </w:pPr>
      <w:r>
        <w:rPr>
          <w:rFonts w:hint="eastAsia" w:ascii="宋体" w:hAnsi="宋体"/>
          <w:b/>
          <w:szCs w:val="21"/>
        </w:rPr>
        <w:t>3.2</w:t>
      </w:r>
      <w:bookmarkStart w:id="416" w:name="_Toc85458110"/>
      <w:r>
        <w:rPr>
          <w:rFonts w:hint="eastAsia" w:ascii="宋体" w:hAnsi="宋体"/>
          <w:b/>
          <w:szCs w:val="21"/>
        </w:rPr>
        <w:t>培养方案</w:t>
      </w:r>
      <w:bookmarkEnd w:id="416"/>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296"/>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D7D7D7"/>
            <w:noWrap w:val="0"/>
            <w:vAlign w:val="center"/>
          </w:tcPr>
          <w:p>
            <w:pPr>
              <w:pStyle w:val="24"/>
              <w:spacing w:after="0" w:line="360" w:lineRule="auto"/>
              <w:ind w:left="0" w:leftChars="0" w:firstLine="0" w:firstLineChars="0"/>
              <w:jc w:val="center"/>
              <w:rPr>
                <w:b/>
                <w:bCs/>
                <w:color w:val="000000"/>
                <w:sz w:val="21"/>
                <w:szCs w:val="21"/>
              </w:rPr>
            </w:pPr>
            <w:r>
              <w:rPr>
                <w:rFonts w:hint="eastAsia"/>
                <w:b/>
                <w:bCs/>
                <w:color w:val="000000"/>
                <w:sz w:val="21"/>
                <w:szCs w:val="21"/>
              </w:rPr>
              <w:t>序号</w:t>
            </w:r>
          </w:p>
        </w:tc>
        <w:tc>
          <w:tcPr>
            <w:tcW w:w="1296" w:type="dxa"/>
            <w:shd w:val="clear" w:color="auto" w:fill="D7D7D7"/>
            <w:noWrap w:val="0"/>
            <w:vAlign w:val="center"/>
          </w:tcPr>
          <w:p>
            <w:pPr>
              <w:pStyle w:val="24"/>
              <w:spacing w:after="0" w:line="360" w:lineRule="auto"/>
              <w:ind w:left="0" w:leftChars="0" w:firstLine="0" w:firstLineChars="0"/>
              <w:jc w:val="center"/>
              <w:rPr>
                <w:rFonts w:hint="eastAsia"/>
                <w:b/>
                <w:bCs/>
                <w:color w:val="000000"/>
                <w:sz w:val="21"/>
                <w:szCs w:val="21"/>
              </w:rPr>
            </w:pPr>
            <w:r>
              <w:rPr>
                <w:rFonts w:hint="eastAsia"/>
                <w:b/>
                <w:bCs/>
                <w:color w:val="000000"/>
                <w:sz w:val="21"/>
                <w:szCs w:val="21"/>
              </w:rPr>
              <w:t>需求类别</w:t>
            </w:r>
          </w:p>
        </w:tc>
        <w:tc>
          <w:tcPr>
            <w:tcW w:w="7336" w:type="dxa"/>
            <w:shd w:val="clear" w:color="auto" w:fill="D7D7D7"/>
            <w:noWrap w:val="0"/>
            <w:vAlign w:val="center"/>
          </w:tcPr>
          <w:p>
            <w:pPr>
              <w:pStyle w:val="24"/>
              <w:spacing w:after="0" w:line="360" w:lineRule="auto"/>
              <w:ind w:left="0" w:leftChars="0" w:firstLine="0" w:firstLineChars="0"/>
              <w:jc w:val="center"/>
              <w:rPr>
                <w:rFonts w:ascii="Calibri" w:hAnsi="Calibri"/>
                <w:b/>
                <w:bCs/>
                <w:color w:val="000000"/>
                <w:sz w:val="21"/>
                <w:szCs w:val="21"/>
              </w:rPr>
            </w:pPr>
            <w:r>
              <w:rPr>
                <w:rFonts w:hint="eastAsia" w:ascii="Calibri" w:hAnsi="Calibri"/>
                <w:b/>
                <w:bCs/>
                <w:color w:val="000000"/>
                <w:sz w:val="21"/>
                <w:szCs w:val="21"/>
              </w:rPr>
              <w:t>具体需求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line="360" w:lineRule="auto"/>
              <w:ind w:left="0" w:leftChars="0" w:firstLine="0" w:firstLineChars="0"/>
              <w:jc w:val="center"/>
              <w:rPr>
                <w:color w:val="000000"/>
                <w:sz w:val="21"/>
                <w:szCs w:val="21"/>
              </w:rPr>
            </w:pPr>
            <w:r>
              <w:rPr>
                <w:rFonts w:hint="eastAsia"/>
                <w:color w:val="000000"/>
                <w:sz w:val="21"/>
                <w:szCs w:val="21"/>
              </w:rPr>
              <w:t>3.2.1</w:t>
            </w:r>
          </w:p>
        </w:tc>
        <w:tc>
          <w:tcPr>
            <w:tcW w:w="1296" w:type="dxa"/>
            <w:noWrap w:val="0"/>
            <w:vAlign w:val="center"/>
          </w:tcPr>
          <w:p>
            <w:pPr>
              <w:pStyle w:val="24"/>
              <w:spacing w:line="360" w:lineRule="auto"/>
              <w:ind w:left="0" w:leftChars="0" w:firstLine="0" w:firstLineChars="0"/>
              <w:jc w:val="center"/>
              <w:rPr>
                <w:rFonts w:hint="eastAsia"/>
                <w:color w:val="000000"/>
                <w:sz w:val="21"/>
                <w:szCs w:val="21"/>
              </w:rPr>
            </w:pPr>
            <w:r>
              <w:rPr>
                <w:rFonts w:hint="eastAsia"/>
                <w:color w:val="000000"/>
                <w:sz w:val="21"/>
                <w:szCs w:val="21"/>
              </w:rPr>
              <w:t>专业方案编制</w:t>
            </w: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专业培养方案包含该专业学生从入学到毕业整个学习过程的教学计划。系统需满足对培养方案模板的配置，模板配置适用范围需具体到学历层次、语言、适用学生类别。各院系相关人员可以在系统中编制本院系下各专业的培养方案，并提交审核。各院系想要对审核通过后的培养方案进行修订时，需要提交申请单，在教务处审核通过后系统自动对培养方案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846" w:type="dxa"/>
            <w:noWrap w:val="0"/>
            <w:vAlign w:val="center"/>
          </w:tcPr>
          <w:p>
            <w:pPr>
              <w:pStyle w:val="24"/>
              <w:spacing w:line="360" w:lineRule="auto"/>
              <w:ind w:left="0" w:leftChars="0" w:firstLine="0" w:firstLineChars="0"/>
              <w:jc w:val="center"/>
              <w:rPr>
                <w:color w:val="000000"/>
                <w:sz w:val="21"/>
                <w:szCs w:val="21"/>
              </w:rPr>
            </w:pPr>
            <w:r>
              <w:rPr>
                <w:rFonts w:hint="eastAsia"/>
                <w:color w:val="000000"/>
                <w:sz w:val="21"/>
                <w:szCs w:val="21"/>
              </w:rPr>
              <w:t>▲3.2.2</w:t>
            </w:r>
          </w:p>
        </w:tc>
        <w:tc>
          <w:tcPr>
            <w:tcW w:w="1296" w:type="dxa"/>
            <w:noWrap w:val="0"/>
            <w:vAlign w:val="center"/>
          </w:tcPr>
          <w:p>
            <w:pPr>
              <w:pStyle w:val="24"/>
              <w:spacing w:line="360" w:lineRule="auto"/>
              <w:ind w:left="0" w:leftChars="0" w:firstLine="0" w:firstLineChars="0"/>
              <w:jc w:val="center"/>
              <w:rPr>
                <w:rFonts w:hint="eastAsia"/>
                <w:color w:val="000000"/>
                <w:sz w:val="21"/>
                <w:szCs w:val="21"/>
              </w:rPr>
            </w:pPr>
            <w:r>
              <w:rPr>
                <w:rFonts w:hint="eastAsia"/>
                <w:color w:val="000000"/>
                <w:sz w:val="21"/>
                <w:szCs w:val="21"/>
              </w:rPr>
              <w:t>培养方案基本信息维护</w:t>
            </w: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系统需支持维护培养方案基本信息，课程设置(包括课程组和课程设置)和方案内容(内容根据培养方案内容模板配置，模板配置适用范围需具体到学历层次、语言、适用学生类别)且方案内容支持富文本编辑。系统需支持匿名子组的划分，以及批量复制培养方案的功能；具备pdf、 EXCEL格式导出培养方案课程信息功能，支持完全学分制培养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line="360" w:lineRule="auto"/>
              <w:ind w:left="0" w:leftChars="0" w:firstLine="0" w:firstLineChars="0"/>
              <w:jc w:val="center"/>
              <w:rPr>
                <w:color w:val="000000"/>
                <w:sz w:val="21"/>
                <w:szCs w:val="21"/>
              </w:rPr>
            </w:pPr>
            <w:r>
              <w:rPr>
                <w:rFonts w:hint="eastAsia"/>
                <w:color w:val="000000"/>
                <w:sz w:val="21"/>
                <w:szCs w:val="21"/>
              </w:rPr>
              <w:t>★</w:t>
            </w:r>
          </w:p>
          <w:p>
            <w:pPr>
              <w:pStyle w:val="24"/>
              <w:spacing w:line="360" w:lineRule="auto"/>
              <w:ind w:left="0" w:leftChars="0" w:firstLine="0" w:firstLineChars="0"/>
              <w:jc w:val="center"/>
              <w:rPr>
                <w:color w:val="000000"/>
                <w:sz w:val="21"/>
                <w:szCs w:val="21"/>
              </w:rPr>
            </w:pPr>
            <w:r>
              <w:rPr>
                <w:rFonts w:hint="eastAsia"/>
                <w:color w:val="000000"/>
                <w:sz w:val="21"/>
                <w:szCs w:val="21"/>
              </w:rPr>
              <w:t>3.2.3</w:t>
            </w:r>
          </w:p>
        </w:tc>
        <w:tc>
          <w:tcPr>
            <w:tcW w:w="1296" w:type="dxa"/>
            <w:noWrap w:val="0"/>
            <w:vAlign w:val="center"/>
          </w:tcPr>
          <w:p>
            <w:pPr>
              <w:pStyle w:val="24"/>
              <w:spacing w:line="360" w:lineRule="auto"/>
              <w:ind w:left="0" w:leftChars="0" w:firstLine="0" w:firstLineChars="0"/>
              <w:jc w:val="center"/>
              <w:rPr>
                <w:rFonts w:hint="eastAsia"/>
                <w:color w:val="000000"/>
                <w:sz w:val="21"/>
                <w:szCs w:val="21"/>
              </w:rPr>
            </w:pPr>
            <w:r>
              <w:rPr>
                <w:rFonts w:hint="eastAsia"/>
                <w:color w:val="000000"/>
                <w:sz w:val="21"/>
                <w:szCs w:val="21"/>
              </w:rPr>
              <w:t>培养方案编制计划课程的批量导入</w:t>
            </w: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提供培养方案编制计划课程的批量导入功能，下载导入模板时能够把当前培养方案下所具有的课程数据导出，在创建同专业新生培养方案时只需微调即可完成新方案课程的设置工作。系统支持在培养方案中显示各个课程类别的学分占比以及实践周课程的信息，支持批量增加和修改培养方案中的课程信息, 提供在执行计划中统一为全校各专业添加某一门课程的功能。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line="360" w:lineRule="auto"/>
              <w:ind w:left="0" w:leftChars="0" w:firstLine="0" w:firstLineChars="0"/>
              <w:jc w:val="center"/>
              <w:rPr>
                <w:color w:val="000000"/>
                <w:sz w:val="21"/>
                <w:szCs w:val="21"/>
              </w:rPr>
            </w:pPr>
            <w:r>
              <w:rPr>
                <w:rFonts w:hint="eastAsia"/>
                <w:color w:val="000000"/>
                <w:sz w:val="21"/>
                <w:szCs w:val="21"/>
              </w:rPr>
              <w:t>3.2.4</w:t>
            </w:r>
          </w:p>
        </w:tc>
        <w:tc>
          <w:tcPr>
            <w:tcW w:w="1296" w:type="dxa"/>
            <w:noWrap w:val="0"/>
            <w:vAlign w:val="center"/>
          </w:tcPr>
          <w:p>
            <w:pPr>
              <w:pStyle w:val="24"/>
              <w:spacing w:line="360" w:lineRule="auto"/>
              <w:ind w:left="0" w:leftChars="0" w:firstLine="0" w:firstLineChars="0"/>
              <w:jc w:val="center"/>
              <w:rPr>
                <w:rFonts w:hint="eastAsia"/>
                <w:color w:val="000000"/>
                <w:sz w:val="21"/>
                <w:szCs w:val="21"/>
              </w:rPr>
            </w:pPr>
            <w:r>
              <w:rPr>
                <w:rFonts w:hint="eastAsia"/>
                <w:color w:val="000000"/>
                <w:sz w:val="21"/>
                <w:szCs w:val="21"/>
              </w:rPr>
              <w:t>个人方案编制</w:t>
            </w: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系统支持对学生和与其匹配的专业培养方案进行绑定，支持自动绑定和手动绑定两种方式。支持批量与学生匹配，生成学生个人方案的功能；提供设置课程组、课程及匿名子组，批量生成个人计划的功能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line="360" w:lineRule="auto"/>
              <w:ind w:left="0" w:leftChars="0" w:firstLine="0" w:firstLineChars="0"/>
              <w:jc w:val="center"/>
              <w:rPr>
                <w:color w:val="000000"/>
                <w:sz w:val="21"/>
                <w:szCs w:val="21"/>
              </w:rPr>
            </w:pPr>
            <w:r>
              <w:rPr>
                <w:rFonts w:hint="eastAsia"/>
                <w:color w:val="000000"/>
                <w:sz w:val="21"/>
                <w:szCs w:val="21"/>
              </w:rPr>
              <w:t>3.2.5</w:t>
            </w:r>
          </w:p>
        </w:tc>
        <w:tc>
          <w:tcPr>
            <w:tcW w:w="1296" w:type="dxa"/>
            <w:noWrap w:val="0"/>
            <w:vAlign w:val="center"/>
          </w:tcPr>
          <w:p>
            <w:pPr>
              <w:pStyle w:val="24"/>
              <w:spacing w:after="0" w:line="360" w:lineRule="auto"/>
              <w:ind w:left="0" w:leftChars="0" w:firstLine="0" w:firstLineChars="0"/>
              <w:jc w:val="center"/>
              <w:rPr>
                <w:rFonts w:hint="eastAsia"/>
                <w:color w:val="000000"/>
                <w:sz w:val="21"/>
                <w:szCs w:val="21"/>
              </w:rPr>
            </w:pPr>
            <w:r>
              <w:rPr>
                <w:rFonts w:hint="eastAsia"/>
                <w:color w:val="000000"/>
                <w:sz w:val="21"/>
                <w:szCs w:val="21"/>
              </w:rPr>
              <w:t>公共课程计划</w:t>
            </w: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提供新增、修改公共课程计划、课程组，设置匿名子组的功能，对于学校的公共选修课，教务处可以在系统中制定全校公选课的培养方案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line="360" w:lineRule="auto"/>
              <w:ind w:left="0" w:leftChars="0" w:firstLine="0" w:firstLineChars="0"/>
              <w:jc w:val="center"/>
              <w:rPr>
                <w:color w:val="000000"/>
                <w:sz w:val="21"/>
                <w:szCs w:val="21"/>
              </w:rPr>
            </w:pPr>
            <w:r>
              <w:rPr>
                <w:rFonts w:hint="eastAsia"/>
                <w:color w:val="000000"/>
                <w:sz w:val="21"/>
                <w:szCs w:val="21"/>
              </w:rPr>
              <w:t>3.2.6</w:t>
            </w:r>
          </w:p>
        </w:tc>
        <w:tc>
          <w:tcPr>
            <w:tcW w:w="1296" w:type="dxa"/>
            <w:noWrap w:val="0"/>
            <w:vAlign w:val="center"/>
          </w:tcPr>
          <w:p>
            <w:pPr>
              <w:pStyle w:val="24"/>
              <w:spacing w:line="360" w:lineRule="auto"/>
              <w:ind w:left="0" w:leftChars="0" w:firstLine="0" w:firstLineChars="0"/>
              <w:jc w:val="center"/>
              <w:rPr>
                <w:rFonts w:hint="eastAsia"/>
                <w:color w:val="000000"/>
                <w:sz w:val="21"/>
                <w:szCs w:val="21"/>
              </w:rPr>
            </w:pPr>
            <w:r>
              <w:rPr>
                <w:rFonts w:hint="eastAsia"/>
                <w:color w:val="000000"/>
                <w:sz w:val="21"/>
                <w:szCs w:val="21"/>
              </w:rPr>
              <w:t>方案课程维护</w:t>
            </w: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支持培养方案课程的批量维护功能，可以批量增加，修改培养方案中的课程信息。培养方案提供计划课程的导入功能，下载导入模板时能够把当前培养方案下所有课程导出，在创建同专业新生培养方案时只需微调即可完成新方案课程的设置工作。支持批量增加和修改培养方案中的课程信息,提供在执行计划中统一为全校各专业添加某一门课程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line="360" w:lineRule="auto"/>
              <w:ind w:left="0" w:leftChars="0" w:firstLine="0" w:firstLineChars="0"/>
              <w:jc w:val="center"/>
              <w:rPr>
                <w:rFonts w:hint="eastAsia"/>
                <w:color w:val="000000"/>
                <w:sz w:val="21"/>
                <w:szCs w:val="21"/>
              </w:rPr>
            </w:pPr>
            <w:r>
              <w:rPr>
                <w:rFonts w:hint="eastAsia"/>
                <w:color w:val="000000"/>
                <w:sz w:val="21"/>
                <w:szCs w:val="21"/>
              </w:rPr>
              <w:t>★3.2.</w:t>
            </w:r>
            <w:r>
              <w:rPr>
                <w:color w:val="000000"/>
                <w:sz w:val="21"/>
                <w:szCs w:val="21"/>
              </w:rPr>
              <w:t>7</w:t>
            </w:r>
          </w:p>
        </w:tc>
        <w:tc>
          <w:tcPr>
            <w:tcW w:w="1296" w:type="dxa"/>
            <w:noWrap w:val="0"/>
            <w:vAlign w:val="center"/>
          </w:tcPr>
          <w:p>
            <w:pPr>
              <w:pStyle w:val="24"/>
              <w:spacing w:line="360" w:lineRule="auto"/>
              <w:ind w:left="0" w:leftChars="0" w:firstLine="0" w:firstLineChars="0"/>
              <w:jc w:val="center"/>
              <w:rPr>
                <w:rFonts w:hint="eastAsia"/>
                <w:color w:val="000000"/>
                <w:sz w:val="21"/>
                <w:szCs w:val="21"/>
              </w:rPr>
            </w:pPr>
            <w:r>
              <w:rPr>
                <w:rFonts w:ascii="宋体" w:hAnsi="宋体"/>
                <w:sz w:val="21"/>
                <w:szCs w:val="21"/>
              </w:rPr>
              <w:t>核心能力指标及雷达图</w:t>
            </w: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支持在培养方案编制中设置核心能力指标，可以新增、删除、修改这门课程的指标；在课程设置中设置权重，并支持批量设置权重，设置成功提交审核后，在培养方案设置了n个核心能力，则该雷达图为n变形，该雷达图可以导出Word、PDF、打印功能，培养方案展示界面支持自主选择是否展示核心能力指标及雷达图。</w:t>
            </w:r>
          </w:p>
        </w:tc>
      </w:tr>
    </w:tbl>
    <w:p>
      <w:pPr>
        <w:tabs>
          <w:tab w:val="left" w:pos="540"/>
        </w:tabs>
        <w:snapToGrid w:val="0"/>
        <w:spacing w:before="120" w:beforeLines="50" w:line="360" w:lineRule="auto"/>
        <w:outlineLvl w:val="3"/>
      </w:pPr>
      <w:r>
        <w:rPr>
          <w:rFonts w:hint="eastAsia" w:ascii="宋体" w:hAnsi="宋体"/>
          <w:b/>
          <w:szCs w:val="21"/>
        </w:rPr>
        <w:t>3.3</w:t>
      </w:r>
      <w:bookmarkStart w:id="417" w:name="_Toc85458111"/>
      <w:r>
        <w:rPr>
          <w:rFonts w:hint="eastAsia" w:ascii="宋体" w:hAnsi="宋体"/>
          <w:b/>
          <w:szCs w:val="21"/>
        </w:rPr>
        <w:t>教学任务</w:t>
      </w:r>
      <w:bookmarkEnd w:id="417"/>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296"/>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D7D7D7"/>
            <w:noWrap w:val="0"/>
            <w:vAlign w:val="center"/>
          </w:tcPr>
          <w:p>
            <w:pPr>
              <w:pStyle w:val="24"/>
              <w:spacing w:after="0" w:line="360" w:lineRule="auto"/>
              <w:ind w:left="0" w:leftChars="0" w:firstLine="0" w:firstLineChars="0"/>
              <w:jc w:val="center"/>
              <w:rPr>
                <w:b/>
                <w:bCs/>
                <w:color w:val="000000"/>
                <w:sz w:val="21"/>
                <w:szCs w:val="21"/>
              </w:rPr>
            </w:pPr>
            <w:r>
              <w:rPr>
                <w:rFonts w:hint="eastAsia"/>
                <w:b/>
                <w:bCs/>
                <w:color w:val="000000"/>
                <w:sz w:val="21"/>
                <w:szCs w:val="21"/>
              </w:rPr>
              <w:t>序号</w:t>
            </w:r>
          </w:p>
        </w:tc>
        <w:tc>
          <w:tcPr>
            <w:tcW w:w="1296" w:type="dxa"/>
            <w:shd w:val="clear" w:color="auto" w:fill="D7D7D7"/>
            <w:noWrap w:val="0"/>
            <w:vAlign w:val="center"/>
          </w:tcPr>
          <w:p>
            <w:pPr>
              <w:pStyle w:val="24"/>
              <w:spacing w:after="0" w:line="360" w:lineRule="auto"/>
              <w:ind w:left="0" w:leftChars="0" w:firstLine="0" w:firstLineChars="0"/>
              <w:jc w:val="center"/>
              <w:rPr>
                <w:rFonts w:hint="eastAsia"/>
                <w:b/>
                <w:bCs/>
                <w:color w:val="000000"/>
                <w:sz w:val="21"/>
                <w:szCs w:val="21"/>
              </w:rPr>
            </w:pPr>
            <w:r>
              <w:rPr>
                <w:rFonts w:hint="eastAsia"/>
                <w:b/>
                <w:bCs/>
                <w:color w:val="000000"/>
                <w:sz w:val="21"/>
                <w:szCs w:val="21"/>
              </w:rPr>
              <w:t>需求类别</w:t>
            </w:r>
          </w:p>
        </w:tc>
        <w:tc>
          <w:tcPr>
            <w:tcW w:w="7336" w:type="dxa"/>
            <w:shd w:val="clear" w:color="auto" w:fill="D7D7D7"/>
            <w:noWrap w:val="0"/>
            <w:vAlign w:val="center"/>
          </w:tcPr>
          <w:p>
            <w:pPr>
              <w:pStyle w:val="24"/>
              <w:spacing w:after="0" w:line="360" w:lineRule="auto"/>
              <w:ind w:left="0" w:leftChars="0" w:firstLine="0" w:firstLineChars="0"/>
              <w:jc w:val="center"/>
              <w:rPr>
                <w:rFonts w:ascii="Calibri" w:hAnsi="Calibri"/>
                <w:b/>
                <w:bCs/>
                <w:color w:val="000000"/>
                <w:sz w:val="21"/>
                <w:szCs w:val="21"/>
              </w:rPr>
            </w:pPr>
            <w:r>
              <w:rPr>
                <w:rFonts w:hint="eastAsia" w:ascii="Calibri" w:hAnsi="Calibri"/>
                <w:b/>
                <w:bCs/>
                <w:color w:val="000000"/>
                <w:sz w:val="21"/>
                <w:szCs w:val="21"/>
              </w:rPr>
              <w:t>具体需求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after="0" w:line="360" w:lineRule="auto"/>
              <w:ind w:left="0" w:leftChars="0" w:firstLine="0" w:firstLineChars="0"/>
              <w:rPr>
                <w:color w:val="000000"/>
                <w:sz w:val="21"/>
                <w:szCs w:val="21"/>
              </w:rPr>
            </w:pPr>
            <w:r>
              <w:rPr>
                <w:rFonts w:hint="eastAsia"/>
                <w:color w:val="000000"/>
                <w:sz w:val="21"/>
                <w:szCs w:val="21"/>
              </w:rPr>
              <w:t>3.3.1</w:t>
            </w:r>
          </w:p>
        </w:tc>
        <w:tc>
          <w:tcPr>
            <w:tcW w:w="129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开课管理</w:t>
            </w: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能够实现自动从培养方案生成当前学期的开课计划，能进行校区和开课对象的维护，并根据需要自动生成教学任务；系统支持院系和教务处结合当前学期从培养计划初始化本学期计划开设课程，并可以对计划开设课程进行管理和维护，设置开课或不开课，设置开课校区，以及是否生成任务。其中，院系只能维护本学院的开课计划信息；支持对执行计划按照开课对象、专业计划进行导出功能。支持执行计划按照学期进行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after="0" w:line="360" w:lineRule="auto"/>
              <w:ind w:left="0" w:leftChars="0" w:firstLine="0" w:firstLineChars="0"/>
              <w:rPr>
                <w:color w:val="000000"/>
                <w:sz w:val="21"/>
                <w:szCs w:val="21"/>
              </w:rPr>
            </w:pPr>
            <w:r>
              <w:rPr>
                <w:rFonts w:hint="eastAsia"/>
                <w:color w:val="000000"/>
                <w:sz w:val="21"/>
                <w:szCs w:val="21"/>
              </w:rPr>
              <w:t>3.3.2</w:t>
            </w:r>
          </w:p>
        </w:tc>
        <w:tc>
          <w:tcPr>
            <w:tcW w:w="1296" w:type="dxa"/>
            <w:noWrap w:val="0"/>
            <w:vAlign w:val="center"/>
          </w:tcPr>
          <w:p>
            <w:pPr>
              <w:pStyle w:val="24"/>
              <w:spacing w:after="0" w:line="360" w:lineRule="auto"/>
              <w:ind w:left="0" w:leftChars="0" w:firstLine="0" w:firstLineChars="0"/>
              <w:jc w:val="center"/>
              <w:rPr>
                <w:rFonts w:hint="eastAsia"/>
                <w:color w:val="000000"/>
                <w:sz w:val="21"/>
                <w:szCs w:val="21"/>
              </w:rPr>
            </w:pPr>
            <w:r>
              <w:rPr>
                <w:rFonts w:hint="eastAsia"/>
                <w:color w:val="000000"/>
                <w:sz w:val="21"/>
                <w:szCs w:val="21"/>
              </w:rPr>
              <w:t>任务管理</w:t>
            </w: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提供由全程培养方案生成开课计划，由开课计划生成教学任务的功能；系统支持教务处分配院系教学任务管理权限的功能，院系在被分配权限内对教学任务信息进行调整。系统支持教务处和院系管理和维护任务信息，根据实际情况对教学任务进行拆分与合并，按照人数分组，大课任务的打包等功能，支持打印任务书、学生名单、点名册等；支持多维度的任务统计，并可以查看任务维护日志。其中，院系维护的教学任务信息可以提交至教务处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▲3.3.3</w:t>
            </w:r>
          </w:p>
        </w:tc>
        <w:tc>
          <w:tcPr>
            <w:tcW w:w="129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基本信息和教学安排修改</w:t>
            </w: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支持批量修改基本信息和教学安排、教学班信息的功能，基本信息和教学安排包括开课院系、校区、教师（批量修改界面需同时提供按照院系快速筛选院系下教师的功能）、教室类型、起止周、授课语言、考核方式、人数上限的批量修改功能，教学班信息包括教学班名称和人数上限的批量修改的功能；批量修改界面需要能够支持某个字段的批量设置，也可以针对特殊教学任务的单独设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after="0" w:line="360" w:lineRule="auto"/>
              <w:ind w:left="0" w:leftChars="0" w:firstLine="0" w:firstLineChars="0"/>
              <w:jc w:val="center"/>
              <w:rPr>
                <w:color w:val="000000"/>
                <w:sz w:val="21"/>
                <w:szCs w:val="21"/>
              </w:rPr>
            </w:pPr>
            <w:r>
              <w:rPr>
                <w:rFonts w:hint="eastAsia"/>
                <w:color w:val="000000"/>
                <w:sz w:val="21"/>
                <w:szCs w:val="21"/>
              </w:rPr>
              <w:t>3.3.4</w:t>
            </w:r>
          </w:p>
        </w:tc>
        <w:tc>
          <w:tcPr>
            <w:tcW w:w="1296" w:type="dxa"/>
            <w:noWrap w:val="0"/>
            <w:vAlign w:val="center"/>
          </w:tcPr>
          <w:p>
            <w:r>
              <w:rPr>
                <w:rFonts w:hint="eastAsia"/>
                <w:color w:val="000000"/>
                <w:sz w:val="21"/>
                <w:szCs w:val="21"/>
              </w:rPr>
              <w:t>分级教学管理</w:t>
            </w:r>
          </w:p>
          <w:p>
            <w:pPr>
              <w:pStyle w:val="24"/>
              <w:spacing w:after="0" w:line="360" w:lineRule="auto"/>
              <w:ind w:left="0" w:leftChars="0" w:firstLine="0" w:firstLineChars="0"/>
              <w:rPr>
                <w:rFonts w:hint="eastAsia"/>
                <w:color w:val="000000"/>
                <w:sz w:val="21"/>
                <w:szCs w:val="21"/>
              </w:rPr>
            </w:pP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对于大学英语等需要分级教学的课程，系统支持按照分级教学的要求，通过为课程设置标签、为学生设置学生能力等级，能够快速准确地在课程及上课班级与学生之间建立允许修读关系，确定分级教学课程，确定分级教学课程等级，确定分级教学课程等级及学生范围，设置分级教学课程教学任务，确定分级教学课程上课班级及学生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after="0" w:line="360" w:lineRule="auto"/>
              <w:ind w:left="0" w:leftChars="0" w:firstLine="0" w:firstLineChars="0"/>
              <w:jc w:val="center"/>
              <w:rPr>
                <w:rFonts w:hint="eastAsia"/>
                <w:color w:val="000000"/>
                <w:sz w:val="21"/>
                <w:szCs w:val="21"/>
              </w:rPr>
            </w:pPr>
            <w:r>
              <w:rPr>
                <w:rFonts w:hint="eastAsia"/>
                <w:color w:val="000000"/>
                <w:sz w:val="21"/>
                <w:szCs w:val="21"/>
              </w:rPr>
              <w:t>★3</w:t>
            </w:r>
            <w:r>
              <w:rPr>
                <w:color w:val="000000"/>
                <w:sz w:val="21"/>
                <w:szCs w:val="21"/>
              </w:rPr>
              <w:t>.3.5</w:t>
            </w:r>
          </w:p>
        </w:tc>
        <w:tc>
          <w:tcPr>
            <w:tcW w:w="129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任务编排</w:t>
            </w: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ascii="宋体" w:hAnsi="宋体"/>
                <w:sz w:val="21"/>
                <w:szCs w:val="21"/>
              </w:rPr>
              <w:t>支持批量修改课程开课周次功能，同时具备通过图形化界面设置排课建议，包括教室类型，排课时间，文字建议，教师建议，支持对在编辑教学任务时可以进行分组操作，并提供让系统自动生成分组名单功能（提供按行政班、学生学号和随机三种自动分名单规则）。</w:t>
            </w:r>
          </w:p>
        </w:tc>
      </w:tr>
    </w:tbl>
    <w:p>
      <w:pPr>
        <w:tabs>
          <w:tab w:val="left" w:pos="540"/>
        </w:tabs>
        <w:snapToGrid w:val="0"/>
        <w:spacing w:before="120" w:beforeLines="50" w:line="360" w:lineRule="auto"/>
        <w:outlineLvl w:val="3"/>
        <w:rPr>
          <w:rFonts w:hint="eastAsia" w:ascii="宋体" w:hAnsi="宋体"/>
          <w:b/>
          <w:szCs w:val="21"/>
        </w:rPr>
      </w:pPr>
      <w:bookmarkStart w:id="418" w:name="_Toc85458112"/>
      <w:r>
        <w:rPr>
          <w:rFonts w:hint="eastAsia" w:ascii="宋体" w:hAnsi="宋体"/>
          <w:b/>
          <w:szCs w:val="21"/>
        </w:rPr>
        <w:t>3.4排课管理</w:t>
      </w:r>
      <w:bookmarkEnd w:id="418"/>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296"/>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D7D7D7"/>
            <w:noWrap w:val="0"/>
            <w:vAlign w:val="center"/>
          </w:tcPr>
          <w:p>
            <w:pPr>
              <w:pStyle w:val="24"/>
              <w:spacing w:after="0" w:line="360" w:lineRule="auto"/>
              <w:ind w:left="0" w:leftChars="0" w:firstLine="0" w:firstLineChars="0"/>
              <w:jc w:val="center"/>
              <w:rPr>
                <w:b/>
                <w:bCs/>
                <w:color w:val="000000"/>
                <w:sz w:val="21"/>
                <w:szCs w:val="21"/>
              </w:rPr>
            </w:pPr>
            <w:r>
              <w:rPr>
                <w:rFonts w:hint="eastAsia"/>
                <w:b/>
                <w:bCs/>
                <w:color w:val="000000"/>
                <w:sz w:val="21"/>
                <w:szCs w:val="21"/>
              </w:rPr>
              <w:t>序号</w:t>
            </w:r>
          </w:p>
        </w:tc>
        <w:tc>
          <w:tcPr>
            <w:tcW w:w="1296" w:type="dxa"/>
            <w:shd w:val="clear" w:color="auto" w:fill="D7D7D7"/>
            <w:noWrap w:val="0"/>
            <w:vAlign w:val="center"/>
          </w:tcPr>
          <w:p>
            <w:pPr>
              <w:pStyle w:val="24"/>
              <w:spacing w:after="0" w:line="360" w:lineRule="auto"/>
              <w:ind w:left="0" w:leftChars="0" w:firstLine="0" w:firstLineChars="0"/>
              <w:jc w:val="center"/>
              <w:rPr>
                <w:rFonts w:hint="eastAsia"/>
                <w:b/>
                <w:bCs/>
                <w:color w:val="000000"/>
                <w:sz w:val="21"/>
                <w:szCs w:val="21"/>
              </w:rPr>
            </w:pPr>
            <w:r>
              <w:rPr>
                <w:rFonts w:hint="eastAsia"/>
                <w:b/>
                <w:bCs/>
                <w:color w:val="000000"/>
                <w:sz w:val="21"/>
                <w:szCs w:val="21"/>
              </w:rPr>
              <w:t>需求类别</w:t>
            </w:r>
          </w:p>
        </w:tc>
        <w:tc>
          <w:tcPr>
            <w:tcW w:w="7336" w:type="dxa"/>
            <w:shd w:val="clear" w:color="auto" w:fill="D7D7D7"/>
            <w:noWrap w:val="0"/>
            <w:vAlign w:val="center"/>
          </w:tcPr>
          <w:p>
            <w:pPr>
              <w:pStyle w:val="24"/>
              <w:spacing w:after="0" w:line="360" w:lineRule="auto"/>
              <w:ind w:left="0" w:leftChars="0" w:firstLine="0" w:firstLineChars="0"/>
              <w:jc w:val="center"/>
              <w:rPr>
                <w:rFonts w:ascii="Calibri" w:hAnsi="Calibri"/>
                <w:b/>
                <w:bCs/>
                <w:color w:val="000000"/>
                <w:sz w:val="21"/>
                <w:szCs w:val="21"/>
              </w:rPr>
            </w:pPr>
            <w:r>
              <w:rPr>
                <w:rFonts w:hint="eastAsia" w:ascii="Calibri" w:hAnsi="Calibri"/>
                <w:b/>
                <w:bCs/>
                <w:color w:val="000000"/>
                <w:sz w:val="21"/>
                <w:szCs w:val="21"/>
              </w:rPr>
              <w:t>具体需求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after="0" w:line="360" w:lineRule="auto"/>
              <w:ind w:left="0" w:leftChars="0" w:firstLine="0" w:firstLineChars="0"/>
              <w:rPr>
                <w:color w:val="000000"/>
                <w:sz w:val="21"/>
                <w:szCs w:val="21"/>
              </w:rPr>
            </w:pPr>
            <w:r>
              <w:rPr>
                <w:rFonts w:hint="eastAsia"/>
                <w:color w:val="000000"/>
                <w:sz w:val="21"/>
                <w:szCs w:val="21"/>
              </w:rPr>
              <w:t>3.4.1</w:t>
            </w:r>
          </w:p>
        </w:tc>
        <w:tc>
          <w:tcPr>
            <w:tcW w:w="129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排课参数</w:t>
            </w: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系统支持对排课模块的全局参数配置，设置是否允许教学资源冲突、课表显示信息、配置排课状态等；教务处可以把任务分配给所属院系进行排课，并设置院系排课的时间范围。</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学校和院系分权限排课，支持大课排课以及分组排课，实现多条教务任务的打包排课和同一条教务任务的分小组排课。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after="0" w:line="360" w:lineRule="auto"/>
              <w:ind w:left="0" w:leftChars="0" w:firstLine="0" w:firstLineChars="0"/>
              <w:rPr>
                <w:color w:val="000000"/>
                <w:sz w:val="21"/>
                <w:szCs w:val="21"/>
              </w:rPr>
            </w:pPr>
            <w:r>
              <w:rPr>
                <w:rFonts w:hint="eastAsia"/>
                <w:color w:val="000000"/>
                <w:sz w:val="21"/>
                <w:szCs w:val="21"/>
              </w:rPr>
              <w:t>3.4.2</w:t>
            </w:r>
          </w:p>
        </w:tc>
        <w:tc>
          <w:tcPr>
            <w:tcW w:w="129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排课建议</w:t>
            </w: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由于一些老师对上课时间、地点有特殊的要求（如老师A只有在周二上午才有时间上课），为了避免排课后不满足老师需求需要重新排课的情况，提供排课建议功能。院系根据老师的特殊要求在线填写排课建议，填写界面需为图形化课表界面，教务处排课时可以根据院系的排课建议进行排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after="0" w:line="360" w:lineRule="auto"/>
              <w:ind w:left="0" w:leftChars="0" w:firstLine="0" w:firstLineChars="0"/>
              <w:rPr>
                <w:color w:val="000000"/>
                <w:sz w:val="21"/>
                <w:szCs w:val="21"/>
              </w:rPr>
            </w:pPr>
            <w:r>
              <w:rPr>
                <w:rFonts w:hint="eastAsia"/>
                <w:color w:val="000000"/>
                <w:sz w:val="21"/>
                <w:szCs w:val="21"/>
              </w:rPr>
              <w:t>3.4.3</w:t>
            </w:r>
          </w:p>
        </w:tc>
        <w:tc>
          <w:tcPr>
            <w:tcW w:w="129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自动排课</w:t>
            </w: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系统支持设置自动排课课程、排课教室、设置排课规则与约束，系统对任务进行自动排课功能，可以设置系统自动排课的时间，并且要求排课时参照历史排课信息。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after="0" w:line="360" w:lineRule="auto"/>
              <w:ind w:left="0" w:leftChars="0" w:firstLine="0" w:firstLineChars="0"/>
              <w:rPr>
                <w:color w:val="000000"/>
                <w:sz w:val="21"/>
                <w:szCs w:val="21"/>
              </w:rPr>
            </w:pPr>
            <w:r>
              <w:rPr>
                <w:rFonts w:hint="eastAsia"/>
                <w:color w:val="000000"/>
                <w:sz w:val="21"/>
                <w:szCs w:val="21"/>
              </w:rPr>
              <w:t>3.4.4</w:t>
            </w:r>
          </w:p>
        </w:tc>
        <w:tc>
          <w:tcPr>
            <w:tcW w:w="129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手动排课</w:t>
            </w: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教务处和院系可以对未自动排课或需要调整的课程进行手动排课，设置上课时间、地点，系统支持单任务排课、多任务排课、批量排课、分组排课，大课排课，要求使用图形化排课界面，并在界面中显示冲突时间、可排课时间，排课提交时如果存在冲突，系统可以进行冲突提醒。排课完成后教务处可以进行排课信息发布，教师、学生可以在教务系统中查看相关课程安排情况。</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系统支持查询、查看排课日志机制，保证排课信息的安全性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★3.4.</w:t>
            </w:r>
            <w:r>
              <w:rPr>
                <w:color w:val="000000"/>
                <w:sz w:val="21"/>
                <w:szCs w:val="21"/>
              </w:rPr>
              <w:t>5</w:t>
            </w:r>
          </w:p>
        </w:tc>
        <w:tc>
          <w:tcPr>
            <w:tcW w:w="129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大课管理</w:t>
            </w: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系统需支持多个课程序号绑定后视为一门大课功能，管理员可以对大课课程进行集中排课/分散排课并能够检测相应资源冲突：</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①集中排课：即对大课下的所有教学任务安排统一的上课时间、地点、教师、起止周的功能。</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②分散排课：即对大课下的教学任务分别设置上课时间、地点、教师及起始周的功能。</w:t>
            </w:r>
          </w:p>
        </w:tc>
      </w:tr>
    </w:tbl>
    <w:p>
      <w:pPr>
        <w:tabs>
          <w:tab w:val="left" w:pos="540"/>
        </w:tabs>
        <w:snapToGrid w:val="0"/>
        <w:spacing w:before="120" w:beforeLines="50" w:line="360" w:lineRule="auto"/>
        <w:outlineLvl w:val="3"/>
      </w:pPr>
      <w:bookmarkStart w:id="419" w:name="_Toc85458114"/>
      <w:r>
        <w:rPr>
          <w:rFonts w:hint="eastAsia" w:ascii="宋体" w:hAnsi="宋体"/>
          <w:b/>
          <w:szCs w:val="21"/>
        </w:rPr>
        <w:t>3.5调课管理</w:t>
      </w:r>
      <w:bookmarkEnd w:id="419"/>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296"/>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D7D7D7"/>
            <w:noWrap w:val="0"/>
            <w:vAlign w:val="center"/>
          </w:tcPr>
          <w:p>
            <w:pPr>
              <w:pStyle w:val="24"/>
              <w:spacing w:after="0" w:line="360" w:lineRule="auto"/>
              <w:ind w:left="0" w:leftChars="0" w:firstLine="0" w:firstLineChars="0"/>
              <w:jc w:val="center"/>
              <w:rPr>
                <w:b/>
                <w:bCs/>
                <w:color w:val="000000"/>
                <w:sz w:val="21"/>
                <w:szCs w:val="21"/>
              </w:rPr>
            </w:pPr>
            <w:r>
              <w:rPr>
                <w:rFonts w:hint="eastAsia"/>
                <w:b/>
                <w:bCs/>
                <w:color w:val="000000"/>
                <w:sz w:val="21"/>
                <w:szCs w:val="21"/>
              </w:rPr>
              <w:t>序号</w:t>
            </w:r>
          </w:p>
        </w:tc>
        <w:tc>
          <w:tcPr>
            <w:tcW w:w="1296" w:type="dxa"/>
            <w:shd w:val="clear" w:color="auto" w:fill="D7D7D7"/>
            <w:noWrap w:val="0"/>
            <w:vAlign w:val="center"/>
          </w:tcPr>
          <w:p>
            <w:pPr>
              <w:pStyle w:val="24"/>
              <w:spacing w:after="0" w:line="360" w:lineRule="auto"/>
              <w:ind w:left="0" w:leftChars="0" w:firstLine="0" w:firstLineChars="0"/>
              <w:jc w:val="center"/>
              <w:rPr>
                <w:rFonts w:hint="eastAsia"/>
                <w:b/>
                <w:bCs/>
                <w:color w:val="000000"/>
                <w:sz w:val="21"/>
                <w:szCs w:val="21"/>
              </w:rPr>
            </w:pPr>
            <w:r>
              <w:rPr>
                <w:rFonts w:hint="eastAsia"/>
                <w:b/>
                <w:bCs/>
                <w:color w:val="000000"/>
                <w:sz w:val="21"/>
                <w:szCs w:val="21"/>
              </w:rPr>
              <w:t>需求类别</w:t>
            </w:r>
          </w:p>
        </w:tc>
        <w:tc>
          <w:tcPr>
            <w:tcW w:w="7336" w:type="dxa"/>
            <w:shd w:val="clear" w:color="auto" w:fill="D7D7D7"/>
            <w:noWrap w:val="0"/>
            <w:vAlign w:val="center"/>
          </w:tcPr>
          <w:p>
            <w:pPr>
              <w:pStyle w:val="24"/>
              <w:spacing w:after="0" w:line="360" w:lineRule="auto"/>
              <w:ind w:left="0" w:leftChars="0" w:firstLine="0" w:firstLineChars="0"/>
              <w:jc w:val="center"/>
              <w:rPr>
                <w:rFonts w:ascii="Calibri" w:hAnsi="Calibri"/>
                <w:b/>
                <w:bCs/>
                <w:color w:val="000000"/>
                <w:sz w:val="21"/>
                <w:szCs w:val="21"/>
              </w:rPr>
            </w:pPr>
            <w:r>
              <w:rPr>
                <w:rFonts w:hint="eastAsia" w:ascii="Calibri" w:hAnsi="Calibri"/>
                <w:b/>
                <w:bCs/>
                <w:color w:val="000000"/>
                <w:sz w:val="21"/>
                <w:szCs w:val="21"/>
              </w:rPr>
              <w:t>具体需求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after="0" w:line="360" w:lineRule="auto"/>
              <w:ind w:left="0" w:leftChars="0" w:firstLine="0" w:firstLineChars="0"/>
              <w:rPr>
                <w:color w:val="000000"/>
                <w:sz w:val="21"/>
                <w:szCs w:val="21"/>
              </w:rPr>
            </w:pPr>
            <w:r>
              <w:rPr>
                <w:rFonts w:hint="eastAsia"/>
                <w:color w:val="000000"/>
                <w:sz w:val="21"/>
                <w:szCs w:val="21"/>
              </w:rPr>
              <w:t>3.5.1</w:t>
            </w:r>
          </w:p>
        </w:tc>
        <w:tc>
          <w:tcPr>
            <w:tcW w:w="129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调课管理</w:t>
            </w: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提供图形化界面模式的调停课功能，支持分组调课，支持更换时间地点、更换地点、更换老师，能够智能推荐合适时间、老师、空闲教室。提供全校一键停课功能。教师可以在教务系统教师界面设置调课信息，提交给上级部门进行审核，教务处审核通过后对课程进行调整，并可以把调课结果发送邮件通知相关人员。支持院系和教务的代理调课，拥有调课日志机制，实现院系和教师等多个维度的调课记录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after="0" w:line="360" w:lineRule="auto"/>
              <w:ind w:left="0" w:leftChars="0" w:firstLine="0" w:firstLineChars="0"/>
              <w:rPr>
                <w:color w:val="000000"/>
                <w:sz w:val="21"/>
                <w:szCs w:val="21"/>
              </w:rPr>
            </w:pPr>
            <w:r>
              <w:rPr>
                <w:rFonts w:hint="eastAsia"/>
                <w:color w:val="000000"/>
                <w:sz w:val="21"/>
                <w:szCs w:val="21"/>
              </w:rPr>
              <w:t>3.5.2</w:t>
            </w:r>
          </w:p>
        </w:tc>
        <w:tc>
          <w:tcPr>
            <w:tcW w:w="129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调课申请</w:t>
            </w: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应支持按照课表样式进行新增调课申请的功能，系统自动判断能够申请的时间节次，能够对已过申请时间的排课周次智能显示已过调课时间，能够智能检测时间冲突；</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应支持更换时间地点、更换地点、更换老师、停课、补课、全校停课、批量停课多种调课模式；</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应支持查询、查看、提交调课申请的功能，调课支持附件上传和查看、下载功能；</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应支持管理员代理调课申请的功能；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after="0" w:line="360" w:lineRule="auto"/>
              <w:ind w:left="0" w:leftChars="0" w:firstLine="0" w:firstLineChars="0"/>
              <w:rPr>
                <w:color w:val="000000"/>
                <w:sz w:val="21"/>
                <w:szCs w:val="21"/>
              </w:rPr>
            </w:pPr>
            <w:r>
              <w:rPr>
                <w:rFonts w:hint="eastAsia"/>
                <w:color w:val="000000"/>
                <w:sz w:val="21"/>
                <w:szCs w:val="21"/>
              </w:rPr>
              <w:t>3.5.3</w:t>
            </w:r>
          </w:p>
        </w:tc>
        <w:tc>
          <w:tcPr>
            <w:tcW w:w="129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调课审核</w:t>
            </w: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应支持开课院系/教务处二级审核调课申请；审核通过后课表及时变更；</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应支持查询、查看、删除调课申请的功能；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after="0" w:line="360" w:lineRule="auto"/>
              <w:ind w:left="0" w:leftChars="0" w:firstLine="0" w:firstLineChars="0"/>
              <w:rPr>
                <w:color w:val="000000"/>
                <w:sz w:val="21"/>
                <w:szCs w:val="21"/>
              </w:rPr>
            </w:pPr>
            <w:r>
              <w:rPr>
                <w:rFonts w:hint="eastAsia"/>
                <w:color w:val="000000"/>
                <w:sz w:val="21"/>
                <w:szCs w:val="21"/>
              </w:rPr>
              <w:t>3.5.4</w:t>
            </w:r>
          </w:p>
        </w:tc>
        <w:tc>
          <w:tcPr>
            <w:tcW w:w="129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调课统计</w:t>
            </w: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应支持调课统计功能，统计类型包括前后无变化统计、前后有变化统计。应支持学校调课情况统计和教师调课情况统计功能。</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应具有调课日志记录、查询和导出功能；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after="0" w:line="360" w:lineRule="auto"/>
              <w:ind w:left="0" w:leftChars="0" w:firstLine="0" w:firstLineChars="0"/>
              <w:rPr>
                <w:color w:val="000000"/>
                <w:sz w:val="21"/>
                <w:szCs w:val="21"/>
              </w:rPr>
            </w:pPr>
            <w:r>
              <w:rPr>
                <w:rFonts w:hint="eastAsia"/>
                <w:color w:val="000000"/>
                <w:sz w:val="21"/>
                <w:szCs w:val="21"/>
              </w:rPr>
              <w:t>★3.5.5</w:t>
            </w:r>
          </w:p>
        </w:tc>
        <w:tc>
          <w:tcPr>
            <w:tcW w:w="129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批量挪课</w:t>
            </w: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可按日期进行批量挪课，并支持挪课预览功能，有冲突的话预览界面能够对冲突信息进行明确展示；支持平移教学周功能，支持向前平移和向后平移XX周</w:t>
            </w:r>
          </w:p>
        </w:tc>
      </w:tr>
    </w:tbl>
    <w:p>
      <w:pPr>
        <w:tabs>
          <w:tab w:val="left" w:pos="540"/>
        </w:tabs>
        <w:snapToGrid w:val="0"/>
        <w:spacing w:before="120" w:beforeLines="50" w:line="360" w:lineRule="auto"/>
        <w:outlineLvl w:val="3"/>
        <w:rPr>
          <w:rFonts w:hint="eastAsia" w:ascii="宋体" w:hAnsi="宋体"/>
          <w:b/>
          <w:szCs w:val="21"/>
        </w:rPr>
      </w:pPr>
      <w:r>
        <w:rPr>
          <w:rFonts w:hint="eastAsia" w:ascii="宋体" w:hAnsi="宋体"/>
          <w:b/>
          <w:szCs w:val="21"/>
        </w:rPr>
        <w:t>3.6教室借用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296"/>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D7D7D7"/>
            <w:noWrap w:val="0"/>
            <w:vAlign w:val="center"/>
          </w:tcPr>
          <w:p>
            <w:pPr>
              <w:pStyle w:val="24"/>
              <w:spacing w:after="0" w:line="360" w:lineRule="auto"/>
              <w:ind w:left="0" w:leftChars="0" w:firstLine="0" w:firstLineChars="0"/>
              <w:jc w:val="center"/>
              <w:rPr>
                <w:b/>
                <w:bCs/>
                <w:color w:val="000000"/>
                <w:sz w:val="21"/>
                <w:szCs w:val="21"/>
              </w:rPr>
            </w:pPr>
            <w:r>
              <w:rPr>
                <w:rFonts w:hint="eastAsia"/>
                <w:b/>
                <w:bCs/>
                <w:color w:val="000000"/>
                <w:sz w:val="21"/>
                <w:szCs w:val="21"/>
              </w:rPr>
              <w:t>序号</w:t>
            </w:r>
          </w:p>
        </w:tc>
        <w:tc>
          <w:tcPr>
            <w:tcW w:w="1296" w:type="dxa"/>
            <w:shd w:val="clear" w:color="auto" w:fill="D7D7D7"/>
            <w:noWrap w:val="0"/>
            <w:vAlign w:val="center"/>
          </w:tcPr>
          <w:p>
            <w:pPr>
              <w:pStyle w:val="24"/>
              <w:spacing w:after="0" w:line="360" w:lineRule="auto"/>
              <w:ind w:left="0" w:leftChars="0" w:firstLine="0" w:firstLineChars="0"/>
              <w:jc w:val="center"/>
              <w:rPr>
                <w:rFonts w:hint="eastAsia"/>
                <w:b/>
                <w:bCs/>
                <w:color w:val="000000"/>
                <w:sz w:val="21"/>
                <w:szCs w:val="21"/>
              </w:rPr>
            </w:pPr>
            <w:r>
              <w:rPr>
                <w:rFonts w:hint="eastAsia"/>
                <w:b/>
                <w:bCs/>
                <w:color w:val="000000"/>
                <w:sz w:val="21"/>
                <w:szCs w:val="21"/>
              </w:rPr>
              <w:t>需求类别</w:t>
            </w:r>
          </w:p>
        </w:tc>
        <w:tc>
          <w:tcPr>
            <w:tcW w:w="7336" w:type="dxa"/>
            <w:shd w:val="clear" w:color="auto" w:fill="D7D7D7"/>
            <w:noWrap w:val="0"/>
            <w:vAlign w:val="center"/>
          </w:tcPr>
          <w:p>
            <w:pPr>
              <w:pStyle w:val="24"/>
              <w:spacing w:after="0" w:line="360" w:lineRule="auto"/>
              <w:ind w:left="0" w:leftChars="0" w:firstLine="0" w:firstLineChars="0"/>
              <w:jc w:val="center"/>
              <w:rPr>
                <w:rFonts w:ascii="Calibri" w:hAnsi="Calibri"/>
                <w:b/>
                <w:bCs/>
                <w:color w:val="000000"/>
                <w:sz w:val="21"/>
                <w:szCs w:val="21"/>
              </w:rPr>
            </w:pPr>
            <w:r>
              <w:rPr>
                <w:rFonts w:hint="eastAsia" w:ascii="Calibri" w:hAnsi="Calibri"/>
                <w:b/>
                <w:bCs/>
                <w:color w:val="000000"/>
                <w:sz w:val="21"/>
                <w:szCs w:val="21"/>
              </w:rPr>
              <w:t>具体需求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after="0" w:line="360" w:lineRule="auto"/>
              <w:ind w:left="0" w:leftChars="0" w:firstLine="0" w:firstLineChars="0"/>
              <w:rPr>
                <w:color w:val="000000"/>
                <w:sz w:val="21"/>
                <w:szCs w:val="21"/>
              </w:rPr>
            </w:pPr>
            <w:r>
              <w:rPr>
                <w:rFonts w:hint="eastAsia"/>
                <w:color w:val="000000"/>
                <w:sz w:val="21"/>
                <w:szCs w:val="21"/>
              </w:rPr>
              <w:t>3.6.1</w:t>
            </w:r>
          </w:p>
        </w:tc>
        <w:tc>
          <w:tcPr>
            <w:tcW w:w="1296" w:type="dxa"/>
            <w:noWrap w:val="0"/>
            <w:vAlign w:val="center"/>
          </w:tcPr>
          <w:p>
            <w:pPr>
              <w:pStyle w:val="24"/>
              <w:spacing w:after="0" w:line="360" w:lineRule="auto"/>
              <w:ind w:left="0" w:leftChars="0" w:firstLine="0" w:firstLineChars="0"/>
              <w:jc w:val="center"/>
              <w:rPr>
                <w:rFonts w:hint="eastAsia"/>
                <w:color w:val="000000"/>
                <w:sz w:val="21"/>
                <w:szCs w:val="21"/>
              </w:rPr>
            </w:pPr>
            <w:r>
              <w:rPr>
                <w:rFonts w:hint="eastAsia"/>
                <w:color w:val="000000"/>
                <w:sz w:val="21"/>
                <w:szCs w:val="21"/>
              </w:rPr>
              <w:t>教室管理</w:t>
            </w: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供维护现有教室和统计功能，包括数量统计、类型统计、分布统计、利用率统计等；实现在线查看教室课表和无课教室等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after="0" w:line="360" w:lineRule="auto"/>
              <w:ind w:left="0" w:leftChars="0" w:firstLine="0" w:firstLineChars="0"/>
              <w:rPr>
                <w:color w:val="000000"/>
                <w:sz w:val="21"/>
                <w:szCs w:val="21"/>
              </w:rPr>
            </w:pPr>
            <w:r>
              <w:rPr>
                <w:rFonts w:hint="eastAsia"/>
                <w:color w:val="000000"/>
                <w:sz w:val="21"/>
                <w:szCs w:val="21"/>
              </w:rPr>
              <w:t>3.6.2</w:t>
            </w:r>
          </w:p>
        </w:tc>
        <w:tc>
          <w:tcPr>
            <w:tcW w:w="1296" w:type="dxa"/>
            <w:noWrap w:val="0"/>
            <w:vAlign w:val="center"/>
          </w:tcPr>
          <w:p>
            <w:pPr>
              <w:pStyle w:val="24"/>
              <w:spacing w:after="0" w:line="360" w:lineRule="auto"/>
              <w:ind w:left="0" w:leftChars="0" w:firstLine="0" w:firstLineChars="0"/>
              <w:jc w:val="center"/>
              <w:rPr>
                <w:rFonts w:hint="eastAsia"/>
                <w:color w:val="000000"/>
                <w:sz w:val="21"/>
                <w:szCs w:val="21"/>
              </w:rPr>
            </w:pPr>
            <w:r>
              <w:rPr>
                <w:rFonts w:hint="eastAsia"/>
                <w:color w:val="000000"/>
                <w:sz w:val="21"/>
                <w:szCs w:val="21"/>
              </w:rPr>
              <w:t>教室借用</w:t>
            </w: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系统支持了查看，修改，删除教室借用申请的功能，支持学生、教师、管理员进行线上空闲教室查询的功能，同时支持归口审核与物管审核与代理申请流程，相关审核通过后，借用人可在用户端界面查看借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after="0" w:line="360" w:lineRule="auto"/>
              <w:ind w:left="0" w:leftChars="0" w:firstLine="0" w:firstLineChars="0"/>
              <w:rPr>
                <w:color w:val="000000"/>
                <w:sz w:val="21"/>
                <w:szCs w:val="21"/>
              </w:rPr>
            </w:pPr>
            <w:r>
              <w:rPr>
                <w:rFonts w:hint="eastAsia"/>
                <w:color w:val="000000"/>
                <w:sz w:val="21"/>
                <w:szCs w:val="21"/>
              </w:rPr>
              <w:t>3.6.3</w:t>
            </w:r>
          </w:p>
        </w:tc>
        <w:tc>
          <w:tcPr>
            <w:tcW w:w="1296" w:type="dxa"/>
            <w:noWrap w:val="0"/>
            <w:vAlign w:val="center"/>
          </w:tcPr>
          <w:p>
            <w:pPr>
              <w:pStyle w:val="24"/>
              <w:spacing w:after="0" w:line="360" w:lineRule="auto"/>
              <w:ind w:left="0" w:leftChars="0" w:firstLine="0" w:firstLineChars="0"/>
              <w:jc w:val="center"/>
              <w:rPr>
                <w:rFonts w:hint="eastAsia"/>
                <w:color w:val="000000"/>
                <w:sz w:val="21"/>
                <w:szCs w:val="21"/>
              </w:rPr>
            </w:pPr>
            <w:r>
              <w:rPr>
                <w:rFonts w:hint="eastAsia"/>
                <w:color w:val="000000"/>
                <w:sz w:val="21"/>
                <w:szCs w:val="21"/>
              </w:rPr>
              <w:t>占用统计</w:t>
            </w: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系统支持查看教室占用状态情况、查看教室课表，并支持统计所有使用时间有冲突的教室的功能，该模块主要针对教室资源的占用进行统计计算。</w:t>
            </w:r>
          </w:p>
        </w:tc>
      </w:tr>
    </w:tbl>
    <w:p>
      <w:pPr>
        <w:tabs>
          <w:tab w:val="left" w:pos="540"/>
        </w:tabs>
        <w:snapToGrid w:val="0"/>
        <w:spacing w:before="120" w:beforeLines="50" w:line="360" w:lineRule="auto"/>
        <w:outlineLvl w:val="3"/>
        <w:rPr>
          <w:rFonts w:hint="eastAsia" w:ascii="宋体" w:hAnsi="宋体"/>
          <w:b/>
          <w:szCs w:val="21"/>
        </w:rPr>
      </w:pPr>
      <w:r>
        <w:rPr>
          <w:rFonts w:hint="eastAsia" w:ascii="宋体" w:hAnsi="宋体"/>
          <w:b/>
          <w:szCs w:val="21"/>
        </w:rPr>
        <w:t>3.7选课管理</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296"/>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D7D7D7"/>
            <w:noWrap w:val="0"/>
            <w:vAlign w:val="center"/>
          </w:tcPr>
          <w:p>
            <w:pPr>
              <w:pStyle w:val="24"/>
              <w:spacing w:after="0" w:line="360" w:lineRule="auto"/>
              <w:ind w:left="0" w:leftChars="0" w:firstLine="0" w:firstLineChars="0"/>
              <w:jc w:val="center"/>
              <w:rPr>
                <w:b/>
                <w:bCs/>
                <w:color w:val="000000"/>
                <w:sz w:val="21"/>
                <w:szCs w:val="21"/>
              </w:rPr>
            </w:pPr>
            <w:r>
              <w:rPr>
                <w:rFonts w:hint="eastAsia"/>
                <w:b/>
                <w:bCs/>
                <w:color w:val="000000"/>
                <w:sz w:val="21"/>
                <w:szCs w:val="21"/>
              </w:rPr>
              <w:t>序号</w:t>
            </w:r>
          </w:p>
        </w:tc>
        <w:tc>
          <w:tcPr>
            <w:tcW w:w="1296" w:type="dxa"/>
            <w:shd w:val="clear" w:color="auto" w:fill="D7D7D7"/>
            <w:noWrap w:val="0"/>
            <w:vAlign w:val="center"/>
          </w:tcPr>
          <w:p>
            <w:pPr>
              <w:pStyle w:val="24"/>
              <w:spacing w:after="0" w:line="360" w:lineRule="auto"/>
              <w:ind w:left="0" w:leftChars="0" w:firstLine="0" w:firstLineChars="0"/>
              <w:jc w:val="center"/>
              <w:rPr>
                <w:rFonts w:hint="eastAsia"/>
                <w:b/>
                <w:bCs/>
                <w:color w:val="000000"/>
                <w:sz w:val="21"/>
                <w:szCs w:val="21"/>
              </w:rPr>
            </w:pPr>
            <w:r>
              <w:rPr>
                <w:rFonts w:hint="eastAsia"/>
                <w:b/>
                <w:bCs/>
                <w:color w:val="000000"/>
                <w:sz w:val="21"/>
                <w:szCs w:val="21"/>
              </w:rPr>
              <w:t>需求类别</w:t>
            </w:r>
          </w:p>
        </w:tc>
        <w:tc>
          <w:tcPr>
            <w:tcW w:w="7336" w:type="dxa"/>
            <w:shd w:val="clear" w:color="auto" w:fill="D7D7D7"/>
            <w:noWrap w:val="0"/>
            <w:vAlign w:val="center"/>
          </w:tcPr>
          <w:p>
            <w:pPr>
              <w:pStyle w:val="24"/>
              <w:spacing w:after="0" w:line="360" w:lineRule="auto"/>
              <w:ind w:left="0" w:leftChars="0" w:firstLine="0" w:firstLineChars="0"/>
              <w:jc w:val="center"/>
              <w:rPr>
                <w:rFonts w:ascii="Calibri" w:hAnsi="Calibri"/>
                <w:b/>
                <w:bCs/>
                <w:color w:val="000000"/>
                <w:sz w:val="21"/>
                <w:szCs w:val="21"/>
              </w:rPr>
            </w:pPr>
            <w:r>
              <w:rPr>
                <w:rFonts w:hint="eastAsia" w:ascii="Calibri" w:hAnsi="Calibri"/>
                <w:b/>
                <w:bCs/>
                <w:color w:val="000000"/>
                <w:sz w:val="21"/>
                <w:szCs w:val="21"/>
              </w:rPr>
              <w:t>具体需求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after="0" w:line="360" w:lineRule="auto"/>
              <w:ind w:left="0" w:leftChars="0" w:firstLine="0" w:firstLineChars="0"/>
              <w:rPr>
                <w:color w:val="000000"/>
                <w:sz w:val="21"/>
                <w:szCs w:val="21"/>
              </w:rPr>
            </w:pPr>
            <w:r>
              <w:rPr>
                <w:rFonts w:hint="eastAsia"/>
                <w:color w:val="000000"/>
                <w:sz w:val="21"/>
                <w:szCs w:val="21"/>
              </w:rPr>
              <w:t>3.7.1</w:t>
            </w:r>
          </w:p>
        </w:tc>
        <w:tc>
          <w:tcPr>
            <w:tcW w:w="1296" w:type="dxa"/>
            <w:noWrap w:val="0"/>
            <w:vAlign w:val="center"/>
          </w:tcPr>
          <w:p>
            <w:pPr>
              <w:pStyle w:val="24"/>
              <w:spacing w:after="0" w:line="360" w:lineRule="auto"/>
              <w:ind w:left="0" w:leftChars="0" w:firstLine="0" w:firstLineChars="0"/>
              <w:jc w:val="center"/>
              <w:rPr>
                <w:rFonts w:hint="eastAsia"/>
                <w:color w:val="000000"/>
                <w:sz w:val="21"/>
                <w:szCs w:val="21"/>
              </w:rPr>
            </w:pPr>
            <w:r>
              <w:rPr>
                <w:rFonts w:hint="eastAsia"/>
                <w:color w:val="000000"/>
                <w:sz w:val="21"/>
                <w:szCs w:val="21"/>
              </w:rPr>
              <w:t>选课参数设置</w:t>
            </w: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系统即支持教务处设置选课批次，设置批次的时间开关、允许选课学生类型、选课规则等参数信息，也支持院系根据教务设置批次独立设置参选任务。系统需支持电子货币（意愿值）选课，教务处可以在选课前为学生初始化货币值（意愿值），保障学生在选课时可以根据个人爱好、意愿进行赋值、选课。系统支持小项课程选课，并且能自由选择是否判断小项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after="0" w:line="360" w:lineRule="auto"/>
              <w:ind w:left="0" w:leftChars="0" w:firstLine="0" w:firstLineChars="0"/>
              <w:rPr>
                <w:color w:val="000000"/>
                <w:sz w:val="21"/>
                <w:szCs w:val="21"/>
              </w:rPr>
            </w:pPr>
            <w:r>
              <w:rPr>
                <w:rFonts w:hint="eastAsia"/>
                <w:color w:val="000000"/>
                <w:sz w:val="21"/>
                <w:szCs w:val="21"/>
              </w:rPr>
              <w:t>3.7.2</w:t>
            </w:r>
          </w:p>
        </w:tc>
        <w:tc>
          <w:tcPr>
            <w:tcW w:w="1296" w:type="dxa"/>
            <w:noWrap w:val="0"/>
            <w:vAlign w:val="center"/>
          </w:tcPr>
          <w:p>
            <w:pPr>
              <w:pStyle w:val="24"/>
              <w:spacing w:after="0" w:line="360" w:lineRule="auto"/>
              <w:ind w:left="0" w:leftChars="0" w:firstLine="0" w:firstLineChars="0"/>
              <w:jc w:val="center"/>
              <w:rPr>
                <w:rFonts w:hint="eastAsia"/>
                <w:color w:val="000000"/>
                <w:sz w:val="21"/>
                <w:szCs w:val="21"/>
              </w:rPr>
            </w:pPr>
            <w:r>
              <w:rPr>
                <w:rFonts w:hint="eastAsia"/>
                <w:color w:val="000000"/>
                <w:sz w:val="21"/>
                <w:szCs w:val="21"/>
              </w:rPr>
              <w:t>学生选课</w:t>
            </w: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教务处可以在系统中维护学生选课时的个人学分、全程学分、课程门数和课程类别等选课限制。学生在选课批次时间范围内，登录教务系统学生界面可以进行选课、退课；系统支持学生按照分组选课，当学生不能选课时，教务处、院系可以为学生代理选课，也可以进行整班置课或者按分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after="0" w:line="360" w:lineRule="auto"/>
              <w:ind w:left="0" w:leftChars="0" w:firstLine="0" w:firstLineChars="0"/>
              <w:rPr>
                <w:color w:val="000000"/>
                <w:sz w:val="21"/>
                <w:szCs w:val="21"/>
              </w:rPr>
            </w:pPr>
            <w:r>
              <w:rPr>
                <w:rFonts w:hint="eastAsia"/>
                <w:color w:val="000000"/>
                <w:sz w:val="21"/>
                <w:szCs w:val="21"/>
              </w:rPr>
              <w:t>▲3.7.3</w:t>
            </w:r>
          </w:p>
        </w:tc>
        <w:tc>
          <w:tcPr>
            <w:tcW w:w="1296" w:type="dxa"/>
            <w:noWrap w:val="0"/>
            <w:vAlign w:val="center"/>
          </w:tcPr>
          <w:p>
            <w:pPr>
              <w:pStyle w:val="24"/>
              <w:spacing w:after="0" w:line="360" w:lineRule="auto"/>
              <w:ind w:left="0" w:leftChars="0" w:firstLine="0" w:firstLineChars="0"/>
              <w:jc w:val="center"/>
              <w:rPr>
                <w:rFonts w:hint="eastAsia"/>
                <w:color w:val="000000"/>
                <w:sz w:val="21"/>
                <w:szCs w:val="21"/>
              </w:rPr>
            </w:pPr>
            <w:r>
              <w:rPr>
                <w:rFonts w:hint="eastAsia"/>
                <w:color w:val="000000"/>
                <w:sz w:val="21"/>
                <w:szCs w:val="21"/>
              </w:rPr>
              <w:t>选课筛选与回收站</w:t>
            </w: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课程选课人数超过课程容量时，系统会根据规则对学生进行筛选，管理员也可以手动调整上课学生名单，被筛选掉、删除的学生名单会进入选课回收站；管理员可以查看、并恢复学生的选课结果，被恢复的学生又重新选中了被筛选、删除的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after="0" w:line="360" w:lineRule="auto"/>
              <w:ind w:left="0" w:leftChars="0" w:firstLine="0" w:firstLineChars="0"/>
              <w:rPr>
                <w:color w:val="000000"/>
                <w:sz w:val="21"/>
                <w:szCs w:val="21"/>
              </w:rPr>
            </w:pPr>
            <w:r>
              <w:rPr>
                <w:rFonts w:hint="eastAsia"/>
                <w:color w:val="000000"/>
                <w:sz w:val="21"/>
                <w:szCs w:val="21"/>
              </w:rPr>
              <w:t>3.7.4</w:t>
            </w:r>
          </w:p>
        </w:tc>
        <w:tc>
          <w:tcPr>
            <w:tcW w:w="1296" w:type="dxa"/>
            <w:noWrap w:val="0"/>
            <w:vAlign w:val="center"/>
          </w:tcPr>
          <w:p>
            <w:pPr>
              <w:pStyle w:val="24"/>
              <w:spacing w:after="0" w:line="360" w:lineRule="auto"/>
              <w:ind w:left="0" w:leftChars="0" w:firstLine="0" w:firstLineChars="0"/>
              <w:jc w:val="center"/>
              <w:rPr>
                <w:rFonts w:hint="eastAsia"/>
                <w:color w:val="000000"/>
                <w:sz w:val="21"/>
                <w:szCs w:val="21"/>
              </w:rPr>
            </w:pPr>
            <w:r>
              <w:rPr>
                <w:rFonts w:hint="eastAsia"/>
                <w:color w:val="000000"/>
                <w:sz w:val="21"/>
                <w:szCs w:val="21"/>
              </w:rPr>
              <w:t>上课名单管理</w:t>
            </w: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学生选课结束后，系统生成课程的上课名单，支持教务处管理和维护上课名单信息，在线为学生进行加课、退课，导入、导出上课名单信息；并可以统计上课时间冲突的学生名单。支持查询学生选课记录明细以及发送相关选/退课消息的功能</w:t>
            </w:r>
          </w:p>
        </w:tc>
      </w:tr>
    </w:tbl>
    <w:p>
      <w:pPr>
        <w:tabs>
          <w:tab w:val="left" w:pos="540"/>
        </w:tabs>
        <w:snapToGrid w:val="0"/>
        <w:spacing w:before="120" w:beforeLines="50" w:line="360" w:lineRule="auto"/>
        <w:outlineLvl w:val="3"/>
        <w:rPr>
          <w:rFonts w:hint="eastAsia" w:ascii="宋体" w:hAnsi="宋体"/>
          <w:b/>
          <w:szCs w:val="21"/>
        </w:rPr>
      </w:pPr>
      <w:r>
        <w:rPr>
          <w:rFonts w:hint="eastAsia" w:ascii="宋体" w:hAnsi="宋体"/>
          <w:b/>
          <w:szCs w:val="21"/>
        </w:rPr>
        <w:t>3.8</w:t>
      </w:r>
      <w:bookmarkStart w:id="420" w:name="_Toc85458115"/>
      <w:r>
        <w:rPr>
          <w:rFonts w:hint="eastAsia" w:ascii="宋体" w:hAnsi="宋体"/>
          <w:b/>
          <w:szCs w:val="21"/>
        </w:rPr>
        <w:t>考务管理</w:t>
      </w:r>
      <w:bookmarkEnd w:id="420"/>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296"/>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D7D7D7"/>
            <w:noWrap w:val="0"/>
            <w:vAlign w:val="center"/>
          </w:tcPr>
          <w:p>
            <w:pPr>
              <w:pStyle w:val="24"/>
              <w:spacing w:after="0" w:line="360" w:lineRule="auto"/>
              <w:ind w:left="0" w:leftChars="0" w:firstLine="0" w:firstLineChars="0"/>
              <w:jc w:val="center"/>
              <w:rPr>
                <w:b/>
                <w:bCs/>
                <w:color w:val="000000"/>
                <w:sz w:val="21"/>
                <w:szCs w:val="21"/>
              </w:rPr>
            </w:pPr>
            <w:r>
              <w:rPr>
                <w:rFonts w:hint="eastAsia"/>
                <w:b/>
                <w:bCs/>
                <w:color w:val="000000"/>
                <w:sz w:val="21"/>
                <w:szCs w:val="21"/>
              </w:rPr>
              <w:t>序号</w:t>
            </w:r>
          </w:p>
        </w:tc>
        <w:tc>
          <w:tcPr>
            <w:tcW w:w="1296" w:type="dxa"/>
            <w:shd w:val="clear" w:color="auto" w:fill="D7D7D7"/>
            <w:noWrap w:val="0"/>
            <w:vAlign w:val="center"/>
          </w:tcPr>
          <w:p>
            <w:pPr>
              <w:pStyle w:val="24"/>
              <w:spacing w:after="0" w:line="360" w:lineRule="auto"/>
              <w:ind w:left="0" w:leftChars="0" w:firstLine="0" w:firstLineChars="0"/>
              <w:jc w:val="center"/>
              <w:rPr>
                <w:rFonts w:hint="eastAsia"/>
                <w:b/>
                <w:bCs/>
                <w:color w:val="000000"/>
                <w:sz w:val="21"/>
                <w:szCs w:val="21"/>
              </w:rPr>
            </w:pPr>
            <w:r>
              <w:rPr>
                <w:rFonts w:hint="eastAsia"/>
                <w:b/>
                <w:bCs/>
                <w:color w:val="000000"/>
                <w:sz w:val="21"/>
                <w:szCs w:val="21"/>
              </w:rPr>
              <w:t>需求类别</w:t>
            </w:r>
          </w:p>
        </w:tc>
        <w:tc>
          <w:tcPr>
            <w:tcW w:w="7336" w:type="dxa"/>
            <w:shd w:val="clear" w:color="auto" w:fill="D7D7D7"/>
            <w:noWrap w:val="0"/>
            <w:vAlign w:val="center"/>
          </w:tcPr>
          <w:p>
            <w:pPr>
              <w:pStyle w:val="24"/>
              <w:spacing w:after="0" w:line="360" w:lineRule="auto"/>
              <w:ind w:left="0" w:leftChars="0" w:firstLine="0" w:firstLineChars="0"/>
              <w:jc w:val="center"/>
              <w:rPr>
                <w:rFonts w:ascii="Calibri" w:hAnsi="Calibri"/>
                <w:b/>
                <w:bCs/>
                <w:color w:val="000000"/>
                <w:sz w:val="21"/>
                <w:szCs w:val="21"/>
              </w:rPr>
            </w:pPr>
            <w:r>
              <w:rPr>
                <w:rFonts w:hint="eastAsia" w:ascii="Calibri" w:hAnsi="Calibri"/>
                <w:b/>
                <w:bCs/>
                <w:color w:val="000000"/>
                <w:sz w:val="21"/>
                <w:szCs w:val="21"/>
              </w:rPr>
              <w:t>具体需求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after="0" w:line="360" w:lineRule="auto"/>
              <w:ind w:left="0" w:leftChars="0" w:firstLine="0" w:firstLineChars="0"/>
              <w:rPr>
                <w:color w:val="000000"/>
                <w:sz w:val="21"/>
                <w:szCs w:val="21"/>
              </w:rPr>
            </w:pPr>
            <w:r>
              <w:rPr>
                <w:rFonts w:hint="eastAsia"/>
                <w:color w:val="000000"/>
                <w:sz w:val="21"/>
                <w:szCs w:val="21"/>
              </w:rPr>
              <w:t>3.8.1</w:t>
            </w:r>
          </w:p>
        </w:tc>
        <w:tc>
          <w:tcPr>
            <w:tcW w:w="1296" w:type="dxa"/>
            <w:noWrap w:val="0"/>
            <w:vAlign w:val="center"/>
          </w:tcPr>
          <w:p>
            <w:pPr>
              <w:pStyle w:val="24"/>
              <w:spacing w:after="0" w:line="360" w:lineRule="auto"/>
              <w:ind w:left="0" w:leftChars="0" w:firstLine="0" w:firstLineChars="0"/>
              <w:jc w:val="center"/>
              <w:rPr>
                <w:rFonts w:hint="eastAsia"/>
                <w:color w:val="000000"/>
                <w:sz w:val="21"/>
                <w:szCs w:val="21"/>
              </w:rPr>
            </w:pPr>
            <w:r>
              <w:rPr>
                <w:rFonts w:hint="eastAsia"/>
                <w:color w:val="000000"/>
                <w:sz w:val="21"/>
                <w:szCs w:val="21"/>
              </w:rPr>
              <w:t>排考批次</w:t>
            </w: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系统支持设置排考批次，教务处和院系均可以分批次对任务进行排考，设置批次内允许排考任务，为任务分配排考院系，查看任务的参加考试的学生名单；并支持批次发布、归档的功能。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▲3.8.2</w:t>
            </w:r>
          </w:p>
        </w:tc>
        <w:tc>
          <w:tcPr>
            <w:tcW w:w="1296" w:type="dxa"/>
            <w:noWrap w:val="0"/>
            <w:vAlign w:val="center"/>
          </w:tcPr>
          <w:p>
            <w:pPr>
              <w:pStyle w:val="24"/>
              <w:spacing w:after="0" w:line="360" w:lineRule="auto"/>
              <w:ind w:left="0" w:leftChars="0" w:firstLine="0" w:firstLineChars="0"/>
              <w:jc w:val="center"/>
              <w:rPr>
                <w:rFonts w:hint="eastAsia"/>
                <w:color w:val="000000"/>
                <w:sz w:val="21"/>
                <w:szCs w:val="21"/>
              </w:rPr>
            </w:pPr>
            <w:r>
              <w:rPr>
                <w:rFonts w:hint="eastAsia"/>
                <w:color w:val="000000"/>
                <w:sz w:val="21"/>
                <w:szCs w:val="21"/>
              </w:rPr>
              <w:t>排考管理</w:t>
            </w: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系统需支持教务处和院系均可在系统中对批次内任务进行排考，设置考试时间、考试地点，设置考生的考试座位表；排考结束后，系统需支持导出、发布排考信息、调整排考结果的功能。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★3.8.3</w:t>
            </w:r>
          </w:p>
        </w:tc>
        <w:tc>
          <w:tcPr>
            <w:tcW w:w="1296" w:type="dxa"/>
            <w:noWrap w:val="0"/>
            <w:vAlign w:val="center"/>
          </w:tcPr>
          <w:p>
            <w:pPr>
              <w:pStyle w:val="24"/>
              <w:spacing w:after="0" w:line="360" w:lineRule="auto"/>
              <w:ind w:left="0" w:leftChars="0" w:firstLine="0" w:firstLineChars="0"/>
              <w:jc w:val="center"/>
              <w:rPr>
                <w:rFonts w:hint="eastAsia"/>
                <w:color w:val="000000"/>
                <w:sz w:val="21"/>
                <w:szCs w:val="21"/>
              </w:rPr>
            </w:pPr>
            <w:r>
              <w:rPr>
                <w:rFonts w:hint="eastAsia"/>
                <w:color w:val="000000"/>
                <w:sz w:val="21"/>
                <w:szCs w:val="21"/>
              </w:rPr>
              <w:t>排考座位编排</w:t>
            </w: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系统需支持考场座位编排功能，至少支持三种排序规则及两种排序方式，能够自定义每行/每列人数，可自定义鼠标功能（调整座位/启用禁用座位），可针对特殊学生进行特定座位调整。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3.8.4</w:t>
            </w:r>
          </w:p>
        </w:tc>
        <w:tc>
          <w:tcPr>
            <w:tcW w:w="1296" w:type="dxa"/>
            <w:noWrap w:val="0"/>
            <w:vAlign w:val="center"/>
          </w:tcPr>
          <w:p>
            <w:pPr>
              <w:pStyle w:val="24"/>
              <w:spacing w:after="0" w:line="360" w:lineRule="auto"/>
              <w:ind w:left="0" w:leftChars="0" w:firstLine="0" w:firstLineChars="0"/>
              <w:jc w:val="center"/>
              <w:rPr>
                <w:rFonts w:hint="eastAsia"/>
                <w:color w:val="000000"/>
                <w:sz w:val="21"/>
                <w:szCs w:val="21"/>
              </w:rPr>
            </w:pPr>
            <w:r>
              <w:rPr>
                <w:rFonts w:hint="eastAsia"/>
                <w:color w:val="000000"/>
                <w:sz w:val="21"/>
                <w:szCs w:val="21"/>
              </w:rPr>
              <w:t>排考管理</w:t>
            </w: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提供自动生成试卷编号功能，支持对应考名单、上课学生、行政班的冲突检测和冲突比例的灵活设置功能。提供预排考功能，能够对本次排考的可行性和合理性进行预排分析，支持按试卷编号、课程代码分组排考功能。排考支持对教室利用率下限的设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3.8.5</w:t>
            </w:r>
          </w:p>
        </w:tc>
        <w:tc>
          <w:tcPr>
            <w:tcW w:w="1296" w:type="dxa"/>
            <w:noWrap w:val="0"/>
            <w:vAlign w:val="center"/>
          </w:tcPr>
          <w:p>
            <w:pPr>
              <w:pStyle w:val="24"/>
              <w:spacing w:after="0" w:line="360" w:lineRule="auto"/>
              <w:ind w:left="0" w:leftChars="0" w:firstLine="0" w:firstLineChars="0"/>
              <w:jc w:val="center"/>
              <w:rPr>
                <w:rFonts w:hint="eastAsia"/>
                <w:color w:val="000000"/>
                <w:sz w:val="21"/>
                <w:szCs w:val="21"/>
              </w:rPr>
            </w:pPr>
            <w:r>
              <w:rPr>
                <w:rFonts w:hint="eastAsia"/>
                <w:color w:val="000000"/>
                <w:sz w:val="21"/>
                <w:szCs w:val="21"/>
              </w:rPr>
              <w:t>监考设置</w:t>
            </w: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教务处可以在系统中维护监考教师信息，支持教师监考或非教师监考两种模式。系统支持教务处、院系为任务手动设置主考老师、监考老师，也支持自动排监考（至少支持1种规避规则），并发布监考信息，支持监考老师的可排场次限制以及可排考的场次数设置，教师和学生可以在个人考试信息界面查看相应的监考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3.8.6</w:t>
            </w:r>
          </w:p>
        </w:tc>
        <w:tc>
          <w:tcPr>
            <w:tcW w:w="1296" w:type="dxa"/>
            <w:noWrap w:val="0"/>
            <w:vAlign w:val="center"/>
          </w:tcPr>
          <w:p>
            <w:pPr>
              <w:pStyle w:val="24"/>
              <w:spacing w:after="0" w:line="360" w:lineRule="auto"/>
              <w:ind w:left="0" w:leftChars="0" w:firstLine="0" w:firstLineChars="0"/>
              <w:jc w:val="center"/>
              <w:rPr>
                <w:rFonts w:hint="eastAsia"/>
                <w:color w:val="000000"/>
                <w:sz w:val="21"/>
                <w:szCs w:val="21"/>
              </w:rPr>
            </w:pPr>
            <w:r>
              <w:rPr>
                <w:rFonts w:hint="eastAsia"/>
                <w:color w:val="000000"/>
                <w:sz w:val="21"/>
                <w:szCs w:val="21"/>
              </w:rPr>
              <w:t>应考学生</w:t>
            </w: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系统支持管理和维护任务应考学生名单的功能，手动增加、删除学生考试记录，维护考试记录类型、考试情况，并支持修改学生任务的考试情况以及考试类型。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3.8.7</w:t>
            </w:r>
          </w:p>
        </w:tc>
        <w:tc>
          <w:tcPr>
            <w:tcW w:w="1296" w:type="dxa"/>
            <w:noWrap w:val="0"/>
            <w:vAlign w:val="center"/>
          </w:tcPr>
          <w:p>
            <w:pPr>
              <w:pStyle w:val="24"/>
              <w:spacing w:after="0" w:line="360" w:lineRule="auto"/>
              <w:ind w:left="0" w:leftChars="0" w:firstLine="0" w:firstLineChars="0"/>
              <w:jc w:val="center"/>
              <w:rPr>
                <w:rFonts w:hint="eastAsia"/>
                <w:color w:val="000000"/>
                <w:sz w:val="21"/>
                <w:szCs w:val="21"/>
              </w:rPr>
            </w:pPr>
            <w:r>
              <w:rPr>
                <w:rFonts w:hint="eastAsia"/>
                <w:color w:val="000000"/>
                <w:sz w:val="21"/>
                <w:szCs w:val="21"/>
              </w:rPr>
              <w:t>缓考申请</w:t>
            </w: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系统支持教务设置缓考申请参数，学生报名审核，并于成绩模块关联。</w:t>
            </w:r>
          </w:p>
        </w:tc>
      </w:tr>
    </w:tbl>
    <w:p>
      <w:pPr>
        <w:tabs>
          <w:tab w:val="left" w:pos="540"/>
        </w:tabs>
        <w:snapToGrid w:val="0"/>
        <w:spacing w:before="120" w:beforeLines="50" w:line="360" w:lineRule="auto"/>
        <w:outlineLvl w:val="3"/>
        <w:rPr>
          <w:rFonts w:hint="eastAsia" w:ascii="宋体" w:hAnsi="宋体"/>
          <w:b/>
          <w:szCs w:val="21"/>
        </w:rPr>
      </w:pPr>
      <w:r>
        <w:rPr>
          <w:rFonts w:hint="eastAsia" w:ascii="宋体" w:hAnsi="宋体"/>
          <w:b/>
          <w:szCs w:val="21"/>
        </w:rPr>
        <w:t>3.9</w:t>
      </w:r>
      <w:bookmarkStart w:id="421" w:name="_Toc85458116"/>
      <w:r>
        <w:rPr>
          <w:rFonts w:hint="eastAsia" w:ascii="宋体" w:hAnsi="宋体"/>
          <w:b/>
          <w:szCs w:val="21"/>
        </w:rPr>
        <w:t>成绩管理</w:t>
      </w:r>
      <w:bookmarkEnd w:id="421"/>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296"/>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D7D7D7"/>
            <w:noWrap w:val="0"/>
            <w:vAlign w:val="center"/>
          </w:tcPr>
          <w:p>
            <w:pPr>
              <w:pStyle w:val="24"/>
              <w:spacing w:after="0" w:line="360" w:lineRule="auto"/>
              <w:ind w:left="0" w:leftChars="0" w:firstLine="0" w:firstLineChars="0"/>
              <w:jc w:val="center"/>
              <w:rPr>
                <w:b/>
                <w:bCs/>
                <w:color w:val="000000"/>
                <w:sz w:val="21"/>
                <w:szCs w:val="21"/>
              </w:rPr>
            </w:pPr>
            <w:r>
              <w:rPr>
                <w:rFonts w:hint="eastAsia"/>
                <w:b/>
                <w:bCs/>
                <w:color w:val="000000"/>
                <w:sz w:val="21"/>
                <w:szCs w:val="21"/>
              </w:rPr>
              <w:t>序号</w:t>
            </w:r>
          </w:p>
        </w:tc>
        <w:tc>
          <w:tcPr>
            <w:tcW w:w="1296" w:type="dxa"/>
            <w:shd w:val="clear" w:color="auto" w:fill="D7D7D7"/>
            <w:noWrap w:val="0"/>
            <w:vAlign w:val="center"/>
          </w:tcPr>
          <w:p>
            <w:pPr>
              <w:pStyle w:val="24"/>
              <w:spacing w:after="0" w:line="360" w:lineRule="auto"/>
              <w:ind w:left="0" w:leftChars="0" w:firstLine="0" w:firstLineChars="0"/>
              <w:jc w:val="center"/>
              <w:rPr>
                <w:rFonts w:hint="eastAsia"/>
                <w:b/>
                <w:bCs/>
                <w:color w:val="000000"/>
                <w:sz w:val="21"/>
                <w:szCs w:val="21"/>
              </w:rPr>
            </w:pPr>
            <w:r>
              <w:rPr>
                <w:rFonts w:hint="eastAsia"/>
                <w:b/>
                <w:bCs/>
                <w:color w:val="000000"/>
                <w:sz w:val="21"/>
                <w:szCs w:val="21"/>
              </w:rPr>
              <w:t>需求类别</w:t>
            </w:r>
          </w:p>
        </w:tc>
        <w:tc>
          <w:tcPr>
            <w:tcW w:w="7336" w:type="dxa"/>
            <w:shd w:val="clear" w:color="auto" w:fill="D7D7D7"/>
            <w:noWrap w:val="0"/>
            <w:vAlign w:val="center"/>
          </w:tcPr>
          <w:p>
            <w:pPr>
              <w:pStyle w:val="24"/>
              <w:spacing w:after="0" w:line="360" w:lineRule="auto"/>
              <w:ind w:left="0" w:leftChars="0" w:firstLine="0" w:firstLineChars="0"/>
              <w:jc w:val="center"/>
              <w:rPr>
                <w:rFonts w:ascii="Calibri" w:hAnsi="Calibri"/>
                <w:b/>
                <w:bCs/>
                <w:color w:val="000000"/>
                <w:sz w:val="21"/>
                <w:szCs w:val="21"/>
              </w:rPr>
            </w:pPr>
            <w:r>
              <w:rPr>
                <w:rFonts w:hint="eastAsia" w:ascii="Calibri" w:hAnsi="Calibri"/>
                <w:b/>
                <w:bCs/>
                <w:color w:val="000000"/>
                <w:sz w:val="21"/>
                <w:szCs w:val="21"/>
              </w:rPr>
              <w:t>具体需求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after="0" w:line="360" w:lineRule="auto"/>
              <w:ind w:left="0" w:leftChars="0" w:firstLine="0" w:firstLineChars="0"/>
              <w:jc w:val="center"/>
              <w:rPr>
                <w:color w:val="000000"/>
                <w:sz w:val="21"/>
                <w:szCs w:val="21"/>
              </w:rPr>
            </w:pPr>
            <w:r>
              <w:rPr>
                <w:rFonts w:hint="eastAsia"/>
                <w:color w:val="000000"/>
                <w:sz w:val="21"/>
                <w:szCs w:val="21"/>
              </w:rPr>
              <w:t>3.9.1</w:t>
            </w:r>
          </w:p>
        </w:tc>
        <w:tc>
          <w:tcPr>
            <w:tcW w:w="1296" w:type="dxa"/>
            <w:noWrap w:val="0"/>
            <w:vAlign w:val="center"/>
          </w:tcPr>
          <w:p>
            <w:pPr>
              <w:pStyle w:val="24"/>
              <w:spacing w:after="0" w:line="360" w:lineRule="auto"/>
              <w:ind w:left="0" w:leftChars="0" w:firstLine="0" w:firstLineChars="0"/>
              <w:jc w:val="center"/>
              <w:rPr>
                <w:rFonts w:hint="eastAsia"/>
                <w:color w:val="000000"/>
                <w:sz w:val="21"/>
                <w:szCs w:val="21"/>
              </w:rPr>
            </w:pPr>
            <w:r>
              <w:rPr>
                <w:rFonts w:hint="eastAsia"/>
                <w:color w:val="000000"/>
                <w:sz w:val="21"/>
                <w:szCs w:val="21"/>
              </w:rPr>
              <w:t>成绩参数设置</w:t>
            </w: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教务处可以在系统中设置成绩的全局参数，包括最终成绩来源、成绩组成成分、允许发布成绩类型等；支持多种成绩记录方式，如百分制、英文等级制、中文等级制、两级制等。教务处统一设置成绩录入的开关、允许录入成绩的任务范围，教师在时间范围内进行课程成绩录入，并可以实现学生成绩录入标志与考务模块的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after="0" w:line="360" w:lineRule="auto"/>
              <w:ind w:left="0" w:leftChars="0" w:firstLine="0" w:firstLineChars="0"/>
              <w:jc w:val="center"/>
              <w:rPr>
                <w:color w:val="000000"/>
                <w:sz w:val="21"/>
                <w:szCs w:val="21"/>
              </w:rPr>
            </w:pPr>
            <w:r>
              <w:rPr>
                <w:rFonts w:hint="eastAsia"/>
                <w:color w:val="000000"/>
                <w:sz w:val="21"/>
                <w:szCs w:val="21"/>
              </w:rPr>
              <w:t>3.9.2</w:t>
            </w:r>
          </w:p>
        </w:tc>
        <w:tc>
          <w:tcPr>
            <w:tcW w:w="1296" w:type="dxa"/>
            <w:noWrap w:val="0"/>
            <w:vAlign w:val="center"/>
          </w:tcPr>
          <w:p>
            <w:pPr>
              <w:pStyle w:val="24"/>
              <w:spacing w:after="0" w:line="360" w:lineRule="auto"/>
              <w:ind w:left="0" w:leftChars="0" w:firstLine="0" w:firstLineChars="0"/>
              <w:jc w:val="center"/>
              <w:rPr>
                <w:rFonts w:hint="eastAsia"/>
                <w:color w:val="000000"/>
                <w:sz w:val="21"/>
                <w:szCs w:val="21"/>
              </w:rPr>
            </w:pPr>
            <w:r>
              <w:rPr>
                <w:rFonts w:hint="eastAsia"/>
                <w:color w:val="000000"/>
                <w:sz w:val="21"/>
                <w:szCs w:val="21"/>
              </w:rPr>
              <w:t>成绩录入</w:t>
            </w: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教师可以在教务系统教师界面进行课程成绩的录入，教师可以自定义总评成绩各成分的组成比例、成绩精度，最终成绩系统自动生成，无需手动录入；同时，系统支持成绩录入暂存、成绩最终提交功能，为教师录入成绩支持方便。成绩录入完成后，学生在系统中查看个人成绩。</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提供院系及管理员操作录入及发布成绩功能，提供平时成绩和期末成绩等多时间批次录入功能，提供单个修改或添加学生成绩功能，提供补考成绩多端口录入（教师和管理员），院系成绩修改申请以及教务审核功能，系统支持成绩日志机制，保证成绩数据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after="0" w:line="360" w:lineRule="auto"/>
              <w:ind w:left="0" w:leftChars="0" w:firstLine="0" w:firstLineChars="0"/>
              <w:jc w:val="center"/>
              <w:rPr>
                <w:color w:val="000000"/>
                <w:sz w:val="21"/>
                <w:szCs w:val="21"/>
              </w:rPr>
            </w:pPr>
            <w:r>
              <w:rPr>
                <w:rFonts w:hint="eastAsia"/>
                <w:color w:val="000000"/>
                <w:sz w:val="21"/>
                <w:szCs w:val="21"/>
              </w:rPr>
              <w:t>3.9.3</w:t>
            </w:r>
          </w:p>
        </w:tc>
        <w:tc>
          <w:tcPr>
            <w:tcW w:w="1296" w:type="dxa"/>
            <w:noWrap w:val="0"/>
            <w:vAlign w:val="center"/>
          </w:tcPr>
          <w:p>
            <w:pPr>
              <w:pStyle w:val="24"/>
              <w:spacing w:after="0" w:line="360" w:lineRule="auto"/>
              <w:ind w:left="0" w:leftChars="0" w:firstLine="0" w:firstLineChars="0"/>
              <w:jc w:val="center"/>
              <w:rPr>
                <w:rFonts w:hint="eastAsia"/>
                <w:color w:val="000000"/>
                <w:sz w:val="21"/>
                <w:szCs w:val="21"/>
              </w:rPr>
            </w:pPr>
            <w:r>
              <w:rPr>
                <w:rFonts w:hint="eastAsia"/>
                <w:color w:val="000000"/>
                <w:sz w:val="21"/>
                <w:szCs w:val="21"/>
              </w:rPr>
              <w:t>成绩统计分析</w:t>
            </w: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系统支持多维度的成绩统计分析功能，对平时成绩、期中成绩、期末成绩、总评成绩从班级、院系、全校多角度进行排名、分析，支持以图形化形式显示成绩分析结果。院系、教务处可以查看成绩分析情况，并可以导入、打印相关成绩报表。</w:t>
            </w:r>
          </w:p>
        </w:tc>
      </w:tr>
    </w:tbl>
    <w:p>
      <w:pPr>
        <w:tabs>
          <w:tab w:val="left" w:pos="540"/>
        </w:tabs>
        <w:snapToGrid w:val="0"/>
        <w:spacing w:before="120" w:beforeLines="50" w:line="360" w:lineRule="auto"/>
        <w:outlineLvl w:val="3"/>
      </w:pPr>
      <w:r>
        <w:rPr>
          <w:rFonts w:hint="eastAsia" w:ascii="宋体" w:hAnsi="宋体"/>
          <w:b/>
          <w:szCs w:val="21"/>
        </w:rPr>
        <w:t>3.10</w:t>
      </w:r>
      <w:bookmarkStart w:id="422" w:name="_Toc85458118"/>
      <w:r>
        <w:rPr>
          <w:rFonts w:hint="eastAsia" w:ascii="宋体" w:hAnsi="宋体"/>
          <w:b/>
          <w:szCs w:val="21"/>
        </w:rPr>
        <w:t>学籍</w:t>
      </w:r>
      <w:bookmarkEnd w:id="422"/>
      <w:r>
        <w:rPr>
          <w:rFonts w:hint="eastAsia" w:ascii="宋体" w:hAnsi="宋体"/>
          <w:b/>
          <w:szCs w:val="21"/>
        </w:rPr>
        <w:t>维护</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296"/>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D7D7D7"/>
            <w:noWrap w:val="0"/>
            <w:vAlign w:val="center"/>
          </w:tcPr>
          <w:p>
            <w:pPr>
              <w:pStyle w:val="24"/>
              <w:spacing w:after="0" w:line="360" w:lineRule="auto"/>
              <w:ind w:left="0" w:leftChars="0" w:firstLine="0" w:firstLineChars="0"/>
              <w:jc w:val="center"/>
              <w:rPr>
                <w:b/>
                <w:bCs/>
                <w:color w:val="000000"/>
                <w:sz w:val="21"/>
                <w:szCs w:val="21"/>
              </w:rPr>
            </w:pPr>
            <w:r>
              <w:rPr>
                <w:rFonts w:hint="eastAsia"/>
                <w:b/>
                <w:bCs/>
                <w:color w:val="000000"/>
                <w:sz w:val="21"/>
                <w:szCs w:val="21"/>
              </w:rPr>
              <w:t>序号</w:t>
            </w:r>
          </w:p>
        </w:tc>
        <w:tc>
          <w:tcPr>
            <w:tcW w:w="1296" w:type="dxa"/>
            <w:shd w:val="clear" w:color="auto" w:fill="D7D7D7"/>
            <w:noWrap w:val="0"/>
            <w:vAlign w:val="center"/>
          </w:tcPr>
          <w:p>
            <w:pPr>
              <w:pStyle w:val="24"/>
              <w:spacing w:after="0" w:line="360" w:lineRule="auto"/>
              <w:ind w:left="0" w:leftChars="0" w:firstLine="0" w:firstLineChars="0"/>
              <w:jc w:val="center"/>
              <w:rPr>
                <w:rFonts w:hint="eastAsia"/>
                <w:b/>
                <w:bCs/>
                <w:color w:val="000000"/>
                <w:sz w:val="21"/>
                <w:szCs w:val="21"/>
              </w:rPr>
            </w:pPr>
            <w:r>
              <w:rPr>
                <w:rFonts w:hint="eastAsia"/>
                <w:b/>
                <w:bCs/>
                <w:color w:val="000000"/>
                <w:sz w:val="21"/>
                <w:szCs w:val="21"/>
              </w:rPr>
              <w:t>需求类别</w:t>
            </w:r>
          </w:p>
        </w:tc>
        <w:tc>
          <w:tcPr>
            <w:tcW w:w="7336" w:type="dxa"/>
            <w:shd w:val="clear" w:color="auto" w:fill="D7D7D7"/>
            <w:noWrap w:val="0"/>
            <w:vAlign w:val="center"/>
          </w:tcPr>
          <w:p>
            <w:pPr>
              <w:pStyle w:val="24"/>
              <w:spacing w:after="0" w:line="360" w:lineRule="auto"/>
              <w:ind w:left="0" w:leftChars="0" w:firstLine="0" w:firstLineChars="0"/>
              <w:jc w:val="center"/>
              <w:rPr>
                <w:rFonts w:ascii="Calibri" w:hAnsi="Calibri"/>
                <w:b/>
                <w:bCs/>
                <w:color w:val="000000"/>
                <w:sz w:val="21"/>
                <w:szCs w:val="21"/>
              </w:rPr>
            </w:pPr>
            <w:r>
              <w:rPr>
                <w:rFonts w:hint="eastAsia" w:ascii="Calibri" w:hAnsi="Calibri"/>
                <w:b/>
                <w:bCs/>
                <w:color w:val="000000"/>
                <w:sz w:val="21"/>
                <w:szCs w:val="21"/>
              </w:rPr>
              <w:t>具体需求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after="0" w:line="360" w:lineRule="auto"/>
              <w:ind w:left="0" w:leftChars="0" w:firstLine="0" w:firstLineChars="0"/>
              <w:rPr>
                <w:color w:val="000000"/>
                <w:sz w:val="21"/>
                <w:szCs w:val="21"/>
              </w:rPr>
            </w:pPr>
            <w:r>
              <w:rPr>
                <w:rFonts w:hint="eastAsia"/>
                <w:color w:val="000000"/>
                <w:sz w:val="21"/>
                <w:szCs w:val="21"/>
              </w:rPr>
              <w:t>3.10.1</w:t>
            </w:r>
          </w:p>
        </w:tc>
        <w:tc>
          <w:tcPr>
            <w:tcW w:w="1296" w:type="dxa"/>
            <w:noWrap w:val="0"/>
            <w:vAlign w:val="center"/>
          </w:tcPr>
          <w:p>
            <w:pPr>
              <w:pStyle w:val="24"/>
              <w:spacing w:after="0" w:line="360" w:lineRule="auto"/>
              <w:ind w:left="0" w:leftChars="0" w:firstLine="0" w:firstLineChars="0"/>
              <w:jc w:val="center"/>
              <w:rPr>
                <w:rFonts w:hint="eastAsia"/>
                <w:color w:val="000000"/>
                <w:sz w:val="21"/>
                <w:szCs w:val="21"/>
              </w:rPr>
            </w:pPr>
            <w:r>
              <w:rPr>
                <w:rFonts w:hint="eastAsia"/>
                <w:color w:val="000000"/>
                <w:sz w:val="21"/>
                <w:szCs w:val="21"/>
              </w:rPr>
              <w:t>学籍维护</w:t>
            </w: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系统支持对学籍信息、招生信息、录取信息、毕业信息管理，系统支持分级教学，在学籍维护模块可以设置学生能力等级，与课程库中的课程能力等级相匹配以支持相关分级教学课程，并将保留学籍数据变动后的数据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3.10.2</w:t>
            </w:r>
          </w:p>
        </w:tc>
        <w:tc>
          <w:tcPr>
            <w:tcW w:w="1296" w:type="dxa"/>
            <w:noWrap w:val="0"/>
            <w:vAlign w:val="center"/>
          </w:tcPr>
          <w:p>
            <w:pPr>
              <w:pStyle w:val="24"/>
              <w:spacing w:after="0" w:line="360" w:lineRule="auto"/>
              <w:ind w:left="0" w:leftChars="0" w:firstLine="0" w:firstLineChars="0"/>
              <w:jc w:val="center"/>
              <w:rPr>
                <w:rFonts w:hint="eastAsia"/>
                <w:color w:val="000000"/>
                <w:sz w:val="21"/>
                <w:szCs w:val="21"/>
              </w:rPr>
            </w:pPr>
            <w:r>
              <w:rPr>
                <w:rFonts w:hint="eastAsia"/>
                <w:color w:val="000000"/>
                <w:sz w:val="21"/>
                <w:szCs w:val="21"/>
              </w:rPr>
              <w:t>学籍异动</w:t>
            </w: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系统支持在设置完学籍异动类型后，学生在线申请学籍异动，审核通过后自动发送邮件将相关信息发送给相关人员，还支持学生在学籍异动成功后的选课数据自动退课的功能。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3.10.3</w:t>
            </w:r>
          </w:p>
        </w:tc>
        <w:tc>
          <w:tcPr>
            <w:tcW w:w="1296" w:type="dxa"/>
            <w:noWrap w:val="0"/>
            <w:vAlign w:val="center"/>
          </w:tcPr>
          <w:p>
            <w:pPr>
              <w:pStyle w:val="24"/>
              <w:spacing w:after="0" w:line="360" w:lineRule="auto"/>
              <w:ind w:left="0" w:leftChars="0" w:firstLine="0" w:firstLineChars="0"/>
              <w:jc w:val="center"/>
              <w:rPr>
                <w:rFonts w:hint="eastAsia"/>
                <w:color w:val="000000"/>
                <w:sz w:val="21"/>
                <w:szCs w:val="21"/>
              </w:rPr>
            </w:pPr>
            <w:r>
              <w:rPr>
                <w:rFonts w:hint="eastAsia"/>
                <w:color w:val="000000"/>
                <w:sz w:val="21"/>
                <w:szCs w:val="21"/>
              </w:rPr>
              <w:t>学籍统计</w:t>
            </w: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系统支持学籍数据和学籍异动数据的实时统计，并可以导出相关统计信息。</w:t>
            </w:r>
          </w:p>
        </w:tc>
      </w:tr>
    </w:tbl>
    <w:p>
      <w:pPr>
        <w:tabs>
          <w:tab w:val="left" w:pos="540"/>
        </w:tabs>
        <w:snapToGrid w:val="0"/>
        <w:spacing w:before="120" w:beforeLines="50" w:line="360" w:lineRule="auto"/>
        <w:outlineLvl w:val="3"/>
      </w:pPr>
      <w:r>
        <w:rPr>
          <w:rFonts w:hint="eastAsia" w:ascii="宋体" w:hAnsi="宋体"/>
          <w:b/>
          <w:szCs w:val="21"/>
        </w:rPr>
        <w:t>3.11</w:t>
      </w:r>
      <w:bookmarkStart w:id="423" w:name="_Toc85458119"/>
      <w:r>
        <w:rPr>
          <w:rFonts w:hint="eastAsia" w:ascii="宋体" w:hAnsi="宋体"/>
          <w:b/>
          <w:szCs w:val="21"/>
        </w:rPr>
        <w:t>学生工作</w:t>
      </w:r>
      <w:bookmarkEnd w:id="423"/>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296"/>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D7D7D7"/>
            <w:noWrap w:val="0"/>
            <w:vAlign w:val="center"/>
          </w:tcPr>
          <w:p>
            <w:pPr>
              <w:pStyle w:val="24"/>
              <w:spacing w:after="0" w:line="360" w:lineRule="auto"/>
              <w:ind w:left="0" w:leftChars="0" w:firstLine="0" w:firstLineChars="0"/>
              <w:jc w:val="center"/>
              <w:rPr>
                <w:b/>
                <w:bCs/>
                <w:color w:val="000000"/>
                <w:sz w:val="21"/>
                <w:szCs w:val="21"/>
              </w:rPr>
            </w:pPr>
            <w:r>
              <w:rPr>
                <w:rFonts w:hint="eastAsia"/>
                <w:b/>
                <w:bCs/>
                <w:color w:val="000000"/>
                <w:sz w:val="21"/>
                <w:szCs w:val="21"/>
              </w:rPr>
              <w:t>序号</w:t>
            </w:r>
          </w:p>
        </w:tc>
        <w:tc>
          <w:tcPr>
            <w:tcW w:w="1296" w:type="dxa"/>
            <w:shd w:val="clear" w:color="auto" w:fill="D7D7D7"/>
            <w:noWrap w:val="0"/>
            <w:vAlign w:val="center"/>
          </w:tcPr>
          <w:p>
            <w:pPr>
              <w:pStyle w:val="24"/>
              <w:spacing w:after="0" w:line="360" w:lineRule="auto"/>
              <w:ind w:left="0" w:leftChars="0" w:firstLine="0" w:firstLineChars="0"/>
              <w:jc w:val="center"/>
              <w:rPr>
                <w:rFonts w:hint="eastAsia"/>
                <w:b/>
                <w:bCs/>
                <w:color w:val="000000"/>
                <w:sz w:val="21"/>
                <w:szCs w:val="21"/>
              </w:rPr>
            </w:pPr>
            <w:r>
              <w:rPr>
                <w:rFonts w:hint="eastAsia"/>
                <w:b/>
                <w:bCs/>
                <w:color w:val="000000"/>
                <w:sz w:val="21"/>
                <w:szCs w:val="21"/>
              </w:rPr>
              <w:t>需求类别</w:t>
            </w:r>
          </w:p>
        </w:tc>
        <w:tc>
          <w:tcPr>
            <w:tcW w:w="7336" w:type="dxa"/>
            <w:shd w:val="clear" w:color="auto" w:fill="D7D7D7"/>
            <w:noWrap w:val="0"/>
            <w:vAlign w:val="center"/>
          </w:tcPr>
          <w:p>
            <w:pPr>
              <w:pStyle w:val="24"/>
              <w:spacing w:after="0" w:line="360" w:lineRule="auto"/>
              <w:ind w:left="0" w:leftChars="0" w:firstLine="0" w:firstLineChars="0"/>
              <w:jc w:val="center"/>
              <w:rPr>
                <w:rFonts w:ascii="Calibri" w:hAnsi="Calibri"/>
                <w:b/>
                <w:bCs/>
                <w:color w:val="000000"/>
                <w:sz w:val="21"/>
                <w:szCs w:val="21"/>
              </w:rPr>
            </w:pPr>
            <w:r>
              <w:rPr>
                <w:rFonts w:hint="eastAsia" w:ascii="Calibri" w:hAnsi="Calibri"/>
                <w:b/>
                <w:bCs/>
                <w:color w:val="000000"/>
                <w:sz w:val="21"/>
                <w:szCs w:val="21"/>
              </w:rPr>
              <w:t>具体需求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noWrap w:val="0"/>
            <w:vAlign w:val="center"/>
          </w:tcPr>
          <w:p>
            <w:pPr>
              <w:pStyle w:val="24"/>
              <w:spacing w:after="0" w:line="360" w:lineRule="auto"/>
              <w:ind w:left="0" w:leftChars="0" w:firstLine="0" w:firstLineChars="0"/>
              <w:rPr>
                <w:color w:val="000000"/>
                <w:sz w:val="21"/>
                <w:szCs w:val="21"/>
              </w:rPr>
            </w:pPr>
            <w:r>
              <w:rPr>
                <w:rFonts w:hint="eastAsia"/>
                <w:color w:val="000000"/>
                <w:sz w:val="21"/>
                <w:szCs w:val="21"/>
              </w:rPr>
              <w:t>3.11.1</w:t>
            </w:r>
          </w:p>
        </w:tc>
        <w:tc>
          <w:tcPr>
            <w:tcW w:w="129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学生信息</w:t>
            </w: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支持对学生非学籍信息的维护管理，信息查询，信息维护权限，学籍属性元功能。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3.11.2</w:t>
            </w:r>
          </w:p>
        </w:tc>
        <w:tc>
          <w:tcPr>
            <w:tcW w:w="129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班级信息</w:t>
            </w: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支持对行政班数据的维护管理，查询，支持新建、修改、删除班级信息功能；支持下载模板、以模板格式导入班级数据功能；支持导出班级数据；打印学生名单功能。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3.11.3</w:t>
            </w:r>
          </w:p>
        </w:tc>
        <w:tc>
          <w:tcPr>
            <w:tcW w:w="129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报道管理</w:t>
            </w: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支持对已登记和未登记的学生数据进行维护，统计，注册管理功能。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3.11.4</w:t>
            </w:r>
          </w:p>
        </w:tc>
        <w:tc>
          <w:tcPr>
            <w:tcW w:w="129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奖惩管理</w:t>
            </w: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1、处分管理支持新增、修改、删除学生处分数据，查询，导出学生数据管理。</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2、奖励管理支持新增、修改、删除学生处分数据，查询，导出学生数据管理。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3.11.5</w:t>
            </w:r>
          </w:p>
        </w:tc>
        <w:tc>
          <w:tcPr>
            <w:tcW w:w="129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学生证补办开关</w:t>
            </w: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提供修改、删除学生证补办开关的功能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3.11.6</w:t>
            </w:r>
          </w:p>
        </w:tc>
        <w:tc>
          <w:tcPr>
            <w:tcW w:w="129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学生证补办审核</w:t>
            </w: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1、提供院系代理学生申请学生证补办的功能。</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2、提供管理员对学生证补办申请进行审核的功能。</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3、提供设置学生证发放状态为已发放/未发放。</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4、提供查看、查看，以excel格式导出学生证补办数据的功能。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3.11.7</w:t>
            </w:r>
          </w:p>
        </w:tc>
        <w:tc>
          <w:tcPr>
            <w:tcW w:w="129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学生信息统计</w:t>
            </w:r>
          </w:p>
        </w:tc>
        <w:tc>
          <w:tcPr>
            <w:tcW w:w="7336"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在籍学生人数统计：提供按年级、院系统计、导出、打印在籍学生人数的功能。</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在校在籍学生人数统计：提供按年级、院系统计、导出、打印在校在籍学生人数的功能</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学生人数分布情况统计：提供按年级、院系统计、导出、打印学生人数分布情况的功能</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在校生人数统计：提供按学院、专业、年级查询、统计、导出在校生人数的功能；</w:t>
            </w:r>
          </w:p>
        </w:tc>
      </w:tr>
    </w:tbl>
    <w:p>
      <w:pPr>
        <w:tabs>
          <w:tab w:val="left" w:pos="540"/>
        </w:tabs>
        <w:snapToGrid w:val="0"/>
        <w:spacing w:before="120" w:beforeLines="50" w:line="360" w:lineRule="auto"/>
        <w:outlineLvl w:val="3"/>
      </w:pPr>
      <w:r>
        <w:rPr>
          <w:rFonts w:hint="eastAsia" w:ascii="宋体" w:hAnsi="宋体"/>
          <w:b/>
          <w:szCs w:val="21"/>
        </w:rPr>
        <w:t>3.12学业进度完成情况</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437"/>
        <w:gridCol w:w="7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shd w:val="clear" w:color="auto" w:fill="D7D7D7"/>
            <w:noWrap w:val="0"/>
            <w:vAlign w:val="center"/>
          </w:tcPr>
          <w:p>
            <w:pPr>
              <w:pStyle w:val="24"/>
              <w:spacing w:after="0" w:line="360" w:lineRule="auto"/>
              <w:ind w:left="0" w:leftChars="0" w:firstLine="0" w:firstLineChars="0"/>
              <w:jc w:val="center"/>
              <w:rPr>
                <w:b/>
                <w:bCs/>
                <w:color w:val="000000"/>
                <w:sz w:val="21"/>
                <w:szCs w:val="21"/>
              </w:rPr>
            </w:pPr>
            <w:r>
              <w:rPr>
                <w:rFonts w:hint="eastAsia"/>
                <w:b/>
                <w:bCs/>
                <w:color w:val="000000"/>
                <w:sz w:val="21"/>
                <w:szCs w:val="21"/>
              </w:rPr>
              <w:t>序号</w:t>
            </w:r>
          </w:p>
        </w:tc>
        <w:tc>
          <w:tcPr>
            <w:tcW w:w="1437" w:type="dxa"/>
            <w:shd w:val="clear" w:color="auto" w:fill="D7D7D7"/>
            <w:noWrap w:val="0"/>
            <w:vAlign w:val="center"/>
          </w:tcPr>
          <w:p>
            <w:pPr>
              <w:pStyle w:val="24"/>
              <w:spacing w:after="0" w:line="360" w:lineRule="auto"/>
              <w:ind w:left="0" w:leftChars="0" w:firstLine="0" w:firstLineChars="0"/>
              <w:jc w:val="center"/>
              <w:rPr>
                <w:rFonts w:hint="eastAsia"/>
                <w:b/>
                <w:bCs/>
                <w:color w:val="000000"/>
                <w:sz w:val="21"/>
                <w:szCs w:val="21"/>
              </w:rPr>
            </w:pPr>
            <w:r>
              <w:rPr>
                <w:rFonts w:hint="eastAsia"/>
                <w:b/>
                <w:bCs/>
                <w:color w:val="000000"/>
                <w:sz w:val="21"/>
                <w:szCs w:val="21"/>
              </w:rPr>
              <w:t>需求类别</w:t>
            </w:r>
          </w:p>
        </w:tc>
        <w:tc>
          <w:tcPr>
            <w:tcW w:w="7274" w:type="dxa"/>
            <w:shd w:val="clear" w:color="auto" w:fill="D7D7D7"/>
            <w:noWrap w:val="0"/>
            <w:vAlign w:val="center"/>
          </w:tcPr>
          <w:p>
            <w:pPr>
              <w:pStyle w:val="24"/>
              <w:spacing w:after="0" w:line="360" w:lineRule="auto"/>
              <w:ind w:left="0" w:leftChars="0" w:firstLine="0" w:firstLineChars="0"/>
              <w:jc w:val="center"/>
              <w:rPr>
                <w:rFonts w:ascii="Calibri" w:hAnsi="Calibri"/>
                <w:b/>
                <w:bCs/>
                <w:color w:val="000000"/>
                <w:sz w:val="21"/>
                <w:szCs w:val="21"/>
              </w:rPr>
            </w:pPr>
            <w:r>
              <w:rPr>
                <w:rFonts w:hint="eastAsia" w:ascii="Calibri" w:hAnsi="Calibri"/>
                <w:b/>
                <w:bCs/>
                <w:color w:val="000000"/>
                <w:sz w:val="21"/>
                <w:szCs w:val="21"/>
              </w:rPr>
              <w:t>具体需求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noWrap w:val="0"/>
            <w:vAlign w:val="center"/>
          </w:tcPr>
          <w:p>
            <w:pPr>
              <w:pStyle w:val="24"/>
              <w:spacing w:after="0" w:line="360" w:lineRule="auto"/>
              <w:ind w:left="0" w:leftChars="0" w:firstLine="0" w:firstLineChars="0"/>
              <w:rPr>
                <w:color w:val="000000"/>
                <w:sz w:val="21"/>
                <w:szCs w:val="21"/>
              </w:rPr>
            </w:pPr>
            <w:r>
              <w:rPr>
                <w:rFonts w:hint="eastAsia"/>
                <w:color w:val="000000"/>
                <w:sz w:val="21"/>
                <w:szCs w:val="21"/>
              </w:rPr>
              <w:t>3.12.1</w:t>
            </w:r>
          </w:p>
        </w:tc>
        <w:tc>
          <w:tcPr>
            <w:tcW w:w="1437" w:type="dxa"/>
            <w:noWrap w:val="0"/>
            <w:vAlign w:val="center"/>
          </w:tcPr>
          <w:p>
            <w:pPr>
              <w:pStyle w:val="24"/>
              <w:spacing w:after="0" w:line="360" w:lineRule="auto"/>
              <w:ind w:left="0" w:leftChars="0" w:firstLine="0" w:firstLineChars="0"/>
              <w:jc w:val="center"/>
              <w:rPr>
                <w:rFonts w:hint="eastAsia"/>
                <w:color w:val="000000"/>
                <w:sz w:val="21"/>
                <w:szCs w:val="21"/>
              </w:rPr>
            </w:pPr>
            <w:r>
              <w:rPr>
                <w:rFonts w:hint="eastAsia"/>
                <w:color w:val="000000"/>
                <w:sz w:val="21"/>
                <w:szCs w:val="21"/>
              </w:rPr>
              <w:t>审核标准</w:t>
            </w:r>
          </w:p>
        </w:tc>
        <w:tc>
          <w:tcPr>
            <w:tcW w:w="7274"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系统支持查询、查看、配置、修改、删除培养计划完成情况的审核标准功能。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3.12.2</w:t>
            </w:r>
          </w:p>
        </w:tc>
        <w:tc>
          <w:tcPr>
            <w:tcW w:w="1437" w:type="dxa"/>
            <w:noWrap w:val="0"/>
            <w:vAlign w:val="center"/>
          </w:tcPr>
          <w:p>
            <w:pPr>
              <w:pStyle w:val="24"/>
              <w:spacing w:after="0" w:line="360" w:lineRule="auto"/>
              <w:ind w:left="0" w:leftChars="0" w:firstLine="0" w:firstLineChars="0"/>
              <w:jc w:val="center"/>
              <w:rPr>
                <w:rFonts w:hint="eastAsia"/>
                <w:color w:val="000000"/>
                <w:sz w:val="21"/>
                <w:szCs w:val="21"/>
              </w:rPr>
            </w:pPr>
            <w:r>
              <w:rPr>
                <w:rFonts w:hint="eastAsia"/>
                <w:color w:val="000000"/>
                <w:sz w:val="21"/>
                <w:szCs w:val="21"/>
              </w:rPr>
              <w:t>初审</w:t>
            </w:r>
          </w:p>
        </w:tc>
        <w:tc>
          <w:tcPr>
            <w:tcW w:w="7274"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系统按年级和院系筛选后，支持对筛选出的培养计划自动审核的功能，默认根据学生是否获得培养方案相应组的学分进行审核，并判断出计划外学分，支持对“阶段课”的审核；同时系统支持查询、查看、打印计划完成情况的功能以及自动或手动审核的功能。审核完成后，系统支持统计某学生的所有未通过课程数据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▲3.12.3</w:t>
            </w:r>
          </w:p>
        </w:tc>
        <w:tc>
          <w:tcPr>
            <w:tcW w:w="1437" w:type="dxa"/>
            <w:noWrap w:val="0"/>
            <w:vAlign w:val="center"/>
          </w:tcPr>
          <w:p>
            <w:pPr>
              <w:pStyle w:val="24"/>
              <w:spacing w:after="0" w:line="360" w:lineRule="auto"/>
              <w:ind w:left="0" w:leftChars="0" w:firstLine="0" w:firstLineChars="0"/>
              <w:jc w:val="center"/>
              <w:rPr>
                <w:rFonts w:hint="eastAsia"/>
                <w:color w:val="000000"/>
                <w:sz w:val="21"/>
                <w:szCs w:val="21"/>
              </w:rPr>
            </w:pPr>
            <w:r>
              <w:rPr>
                <w:rFonts w:hint="eastAsia"/>
                <w:color w:val="000000"/>
                <w:sz w:val="21"/>
                <w:szCs w:val="21"/>
              </w:rPr>
              <w:t>终审</w:t>
            </w:r>
          </w:p>
        </w:tc>
        <w:tc>
          <w:tcPr>
            <w:tcW w:w="7274"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系统支持设置审核标准的功能。同时，系统结合学生培养方案与成绩支持自动审核，自动计算出计划完成情况的功能。支持对“阶段课”、计划外课程的审核。审核通过后，系统支持统计某一审核状态为未通过的学生的所有未通过课程数据的功能，以及自动审核，手动审核功能，对于一些特殊情况允许管理部门手动审核意见。系统还支持了批量打印，导出，删除审核结果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3.12.4</w:t>
            </w:r>
          </w:p>
        </w:tc>
        <w:tc>
          <w:tcPr>
            <w:tcW w:w="1437" w:type="dxa"/>
            <w:noWrap w:val="0"/>
            <w:vAlign w:val="center"/>
          </w:tcPr>
          <w:p>
            <w:pPr>
              <w:pStyle w:val="24"/>
              <w:spacing w:after="0" w:line="360" w:lineRule="auto"/>
              <w:ind w:left="0" w:leftChars="0" w:firstLine="0" w:firstLineChars="0"/>
              <w:jc w:val="center"/>
              <w:rPr>
                <w:rFonts w:hint="eastAsia"/>
                <w:color w:val="000000"/>
                <w:sz w:val="21"/>
                <w:szCs w:val="21"/>
              </w:rPr>
            </w:pPr>
            <w:r>
              <w:rPr>
                <w:rFonts w:hint="eastAsia"/>
                <w:color w:val="000000"/>
                <w:sz w:val="21"/>
                <w:szCs w:val="21"/>
              </w:rPr>
              <w:t>结果查询</w:t>
            </w:r>
          </w:p>
        </w:tc>
        <w:tc>
          <w:tcPr>
            <w:tcW w:w="7274"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系统支持统计某一计划完成审核未通过学生的所有未通过课程数据的功能，支持批量打印，导出审核结果的功能。</w:t>
            </w:r>
          </w:p>
        </w:tc>
      </w:tr>
    </w:tbl>
    <w:p>
      <w:pPr>
        <w:tabs>
          <w:tab w:val="left" w:pos="540"/>
        </w:tabs>
        <w:snapToGrid w:val="0"/>
        <w:spacing w:before="120" w:beforeLines="50" w:line="360" w:lineRule="auto"/>
        <w:outlineLvl w:val="3"/>
      </w:pPr>
      <w:r>
        <w:rPr>
          <w:rFonts w:hint="eastAsia" w:ascii="宋体" w:hAnsi="宋体"/>
          <w:b/>
          <w:szCs w:val="21"/>
        </w:rPr>
        <w:br w:type="page"/>
      </w:r>
      <w:r>
        <w:rPr>
          <w:rFonts w:hint="eastAsia" w:ascii="宋体" w:hAnsi="宋体"/>
          <w:b/>
          <w:szCs w:val="21"/>
        </w:rPr>
        <w:t>3.13</w:t>
      </w:r>
      <w:bookmarkStart w:id="424" w:name="_Toc85458121"/>
      <w:r>
        <w:rPr>
          <w:rFonts w:hint="eastAsia" w:ascii="宋体" w:hAnsi="宋体"/>
          <w:b/>
          <w:szCs w:val="21"/>
        </w:rPr>
        <w:t>毕业审核</w:t>
      </w:r>
      <w:bookmarkEnd w:id="424"/>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437"/>
        <w:gridCol w:w="7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shd w:val="clear" w:color="auto" w:fill="D7D7D7"/>
            <w:noWrap w:val="0"/>
            <w:vAlign w:val="center"/>
          </w:tcPr>
          <w:p>
            <w:pPr>
              <w:pStyle w:val="24"/>
              <w:spacing w:after="0" w:line="360" w:lineRule="auto"/>
              <w:ind w:left="0" w:leftChars="0" w:firstLine="0" w:firstLineChars="0"/>
              <w:jc w:val="center"/>
              <w:rPr>
                <w:b/>
                <w:bCs/>
                <w:color w:val="000000"/>
                <w:sz w:val="21"/>
                <w:szCs w:val="21"/>
              </w:rPr>
            </w:pPr>
            <w:r>
              <w:rPr>
                <w:rFonts w:hint="eastAsia"/>
                <w:b/>
                <w:bCs/>
                <w:color w:val="000000"/>
                <w:sz w:val="21"/>
                <w:szCs w:val="21"/>
              </w:rPr>
              <w:t>序号</w:t>
            </w:r>
          </w:p>
        </w:tc>
        <w:tc>
          <w:tcPr>
            <w:tcW w:w="1437" w:type="dxa"/>
            <w:shd w:val="clear" w:color="auto" w:fill="D7D7D7"/>
            <w:noWrap w:val="0"/>
            <w:vAlign w:val="center"/>
          </w:tcPr>
          <w:p>
            <w:pPr>
              <w:pStyle w:val="24"/>
              <w:spacing w:after="0" w:line="360" w:lineRule="auto"/>
              <w:ind w:left="0" w:leftChars="0" w:firstLine="0" w:firstLineChars="0"/>
              <w:jc w:val="center"/>
              <w:rPr>
                <w:rFonts w:hint="eastAsia"/>
                <w:b/>
                <w:bCs/>
                <w:color w:val="000000"/>
                <w:sz w:val="21"/>
                <w:szCs w:val="21"/>
              </w:rPr>
            </w:pPr>
            <w:r>
              <w:rPr>
                <w:rFonts w:hint="eastAsia"/>
                <w:b/>
                <w:bCs/>
                <w:color w:val="000000"/>
                <w:sz w:val="21"/>
                <w:szCs w:val="21"/>
              </w:rPr>
              <w:t>需求类别</w:t>
            </w:r>
          </w:p>
        </w:tc>
        <w:tc>
          <w:tcPr>
            <w:tcW w:w="7274" w:type="dxa"/>
            <w:shd w:val="clear" w:color="auto" w:fill="D7D7D7"/>
            <w:noWrap w:val="0"/>
            <w:vAlign w:val="center"/>
          </w:tcPr>
          <w:p>
            <w:pPr>
              <w:pStyle w:val="24"/>
              <w:spacing w:after="0" w:line="360" w:lineRule="auto"/>
              <w:ind w:left="0" w:leftChars="0" w:firstLine="0" w:firstLineChars="0"/>
              <w:jc w:val="center"/>
              <w:rPr>
                <w:rFonts w:ascii="Calibri" w:hAnsi="Calibri"/>
                <w:b/>
                <w:bCs/>
                <w:color w:val="000000"/>
                <w:sz w:val="21"/>
                <w:szCs w:val="21"/>
              </w:rPr>
            </w:pPr>
            <w:r>
              <w:rPr>
                <w:rFonts w:hint="eastAsia" w:ascii="Calibri" w:hAnsi="Calibri"/>
                <w:b/>
                <w:bCs/>
                <w:color w:val="000000"/>
                <w:sz w:val="21"/>
                <w:szCs w:val="21"/>
              </w:rPr>
              <w:t>具体需求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noWrap w:val="0"/>
            <w:vAlign w:val="center"/>
          </w:tcPr>
          <w:p>
            <w:pPr>
              <w:pStyle w:val="24"/>
              <w:spacing w:after="0" w:line="360" w:lineRule="auto"/>
              <w:ind w:left="0" w:leftChars="0" w:firstLine="0" w:firstLineChars="0"/>
              <w:rPr>
                <w:color w:val="000000"/>
                <w:sz w:val="21"/>
                <w:szCs w:val="21"/>
              </w:rPr>
            </w:pPr>
            <w:r>
              <w:rPr>
                <w:rFonts w:hint="eastAsia"/>
                <w:color w:val="000000"/>
                <w:sz w:val="21"/>
                <w:szCs w:val="21"/>
              </w:rPr>
              <w:t>3.13.1</w:t>
            </w:r>
          </w:p>
        </w:tc>
        <w:tc>
          <w:tcPr>
            <w:tcW w:w="1437"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审核标准</w:t>
            </w:r>
          </w:p>
        </w:tc>
        <w:tc>
          <w:tcPr>
            <w:tcW w:w="7274"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系统支持查看、新增、修改、删除毕业审核标准，审核项目及审核规则的功能。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noWrap w:val="0"/>
            <w:vAlign w:val="center"/>
          </w:tcPr>
          <w:p>
            <w:pPr>
              <w:pStyle w:val="24"/>
              <w:spacing w:after="0" w:line="360" w:lineRule="auto"/>
              <w:ind w:left="0" w:leftChars="0" w:firstLine="0" w:firstLineChars="0"/>
              <w:rPr>
                <w:color w:val="000000"/>
                <w:sz w:val="21"/>
                <w:szCs w:val="21"/>
              </w:rPr>
            </w:pPr>
            <w:r>
              <w:rPr>
                <w:rFonts w:hint="eastAsia"/>
                <w:color w:val="000000"/>
                <w:sz w:val="21"/>
                <w:szCs w:val="21"/>
              </w:rPr>
              <w:t>3.13.2</w:t>
            </w:r>
          </w:p>
        </w:tc>
        <w:tc>
          <w:tcPr>
            <w:tcW w:w="1437"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终审及查询</w:t>
            </w:r>
          </w:p>
        </w:tc>
        <w:tc>
          <w:tcPr>
            <w:tcW w:w="7274"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系统支持添加、修改、删除毕业审核批次，以及维护批次内学生的功能，支持根据毕业审核标准自动审核或手动审核，支持个别特殊情况下、单独设置审核结果的功能；支持审核结果的查询，导出，清空功能。</w:t>
            </w:r>
          </w:p>
        </w:tc>
      </w:tr>
    </w:tbl>
    <w:p>
      <w:pPr>
        <w:tabs>
          <w:tab w:val="left" w:pos="540"/>
        </w:tabs>
        <w:snapToGrid w:val="0"/>
        <w:spacing w:before="120" w:beforeLines="50" w:line="360" w:lineRule="auto"/>
        <w:outlineLvl w:val="3"/>
      </w:pPr>
      <w:r>
        <w:rPr>
          <w:rFonts w:hint="eastAsia" w:ascii="宋体" w:hAnsi="宋体"/>
          <w:b/>
          <w:szCs w:val="21"/>
        </w:rPr>
        <w:t>3.14教职工</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437"/>
        <w:gridCol w:w="7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shd w:val="clear" w:color="auto" w:fill="D7D7D7"/>
            <w:noWrap w:val="0"/>
            <w:vAlign w:val="center"/>
          </w:tcPr>
          <w:p>
            <w:pPr>
              <w:pStyle w:val="24"/>
              <w:spacing w:after="0" w:line="360" w:lineRule="auto"/>
              <w:ind w:left="0" w:leftChars="0" w:firstLine="0" w:firstLineChars="0"/>
              <w:jc w:val="center"/>
              <w:rPr>
                <w:b/>
                <w:bCs/>
                <w:color w:val="000000"/>
                <w:sz w:val="21"/>
                <w:szCs w:val="21"/>
              </w:rPr>
            </w:pPr>
            <w:r>
              <w:rPr>
                <w:rFonts w:hint="eastAsia"/>
                <w:b/>
                <w:bCs/>
                <w:color w:val="000000"/>
                <w:sz w:val="21"/>
                <w:szCs w:val="21"/>
              </w:rPr>
              <w:t>序号</w:t>
            </w:r>
          </w:p>
        </w:tc>
        <w:tc>
          <w:tcPr>
            <w:tcW w:w="1437" w:type="dxa"/>
            <w:shd w:val="clear" w:color="auto" w:fill="D7D7D7"/>
            <w:noWrap w:val="0"/>
            <w:vAlign w:val="center"/>
          </w:tcPr>
          <w:p>
            <w:pPr>
              <w:pStyle w:val="24"/>
              <w:spacing w:after="0" w:line="360" w:lineRule="auto"/>
              <w:ind w:left="0" w:leftChars="0" w:firstLine="0" w:firstLineChars="0"/>
              <w:jc w:val="center"/>
              <w:rPr>
                <w:rFonts w:hint="eastAsia"/>
                <w:b/>
                <w:bCs/>
                <w:color w:val="000000"/>
                <w:sz w:val="21"/>
                <w:szCs w:val="21"/>
              </w:rPr>
            </w:pPr>
            <w:r>
              <w:rPr>
                <w:rFonts w:hint="eastAsia"/>
                <w:b/>
                <w:bCs/>
                <w:color w:val="000000"/>
                <w:sz w:val="21"/>
                <w:szCs w:val="21"/>
              </w:rPr>
              <w:t>需求类别</w:t>
            </w:r>
          </w:p>
        </w:tc>
        <w:tc>
          <w:tcPr>
            <w:tcW w:w="7274" w:type="dxa"/>
            <w:shd w:val="clear" w:color="auto" w:fill="D7D7D7"/>
            <w:noWrap w:val="0"/>
            <w:vAlign w:val="center"/>
          </w:tcPr>
          <w:p>
            <w:pPr>
              <w:pStyle w:val="24"/>
              <w:spacing w:after="0" w:line="360" w:lineRule="auto"/>
              <w:ind w:left="0" w:leftChars="0" w:firstLine="0" w:firstLineChars="0"/>
              <w:jc w:val="center"/>
              <w:rPr>
                <w:rFonts w:ascii="Calibri" w:hAnsi="Calibri"/>
                <w:b/>
                <w:bCs/>
                <w:color w:val="000000"/>
                <w:sz w:val="21"/>
                <w:szCs w:val="21"/>
              </w:rPr>
            </w:pPr>
            <w:r>
              <w:rPr>
                <w:rFonts w:hint="eastAsia" w:ascii="Calibri" w:hAnsi="Calibri"/>
                <w:b/>
                <w:bCs/>
                <w:color w:val="000000"/>
                <w:sz w:val="21"/>
                <w:szCs w:val="21"/>
              </w:rPr>
              <w:t>具体需求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1" w:type="dxa"/>
            <w:noWrap w:val="0"/>
            <w:vAlign w:val="center"/>
          </w:tcPr>
          <w:p>
            <w:pPr>
              <w:pStyle w:val="24"/>
              <w:spacing w:after="0" w:line="360" w:lineRule="auto"/>
              <w:ind w:left="0" w:leftChars="0" w:firstLine="0" w:firstLineChars="0"/>
              <w:rPr>
                <w:color w:val="000000"/>
                <w:sz w:val="21"/>
                <w:szCs w:val="21"/>
              </w:rPr>
            </w:pPr>
            <w:r>
              <w:rPr>
                <w:rFonts w:hint="eastAsia"/>
                <w:color w:val="000000"/>
                <w:sz w:val="21"/>
                <w:szCs w:val="21"/>
              </w:rPr>
              <w:t>3.14.1</w:t>
            </w:r>
          </w:p>
        </w:tc>
        <w:tc>
          <w:tcPr>
            <w:tcW w:w="1437"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数据的维护管理</w:t>
            </w:r>
          </w:p>
        </w:tc>
        <w:tc>
          <w:tcPr>
            <w:tcW w:w="7274"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提供对教师数据的维护管理，校内教师及外聘教师，兼职教师的管理，查询，新增，修改，删除等功能。</w:t>
            </w:r>
          </w:p>
        </w:tc>
      </w:tr>
    </w:tbl>
    <w:p>
      <w:pPr>
        <w:tabs>
          <w:tab w:val="left" w:pos="540"/>
        </w:tabs>
        <w:snapToGrid w:val="0"/>
        <w:spacing w:before="120" w:beforeLines="50" w:line="360" w:lineRule="auto"/>
        <w:outlineLvl w:val="3"/>
      </w:pPr>
      <w:r>
        <w:rPr>
          <w:rFonts w:hint="eastAsia" w:ascii="宋体" w:hAnsi="宋体"/>
          <w:b/>
          <w:szCs w:val="21"/>
        </w:rPr>
        <w:t>3.15</w:t>
      </w:r>
      <w:bookmarkStart w:id="425" w:name="_Toc85458122"/>
      <w:bookmarkStart w:id="426" w:name="_Toc62486444"/>
      <w:r>
        <w:rPr>
          <w:rFonts w:hint="eastAsia" w:ascii="宋体" w:hAnsi="宋体"/>
          <w:b/>
          <w:szCs w:val="21"/>
        </w:rPr>
        <w:t>实践专周</w:t>
      </w:r>
      <w:bookmarkEnd w:id="425"/>
      <w:bookmarkEnd w:id="426"/>
      <w:r>
        <w:rPr>
          <w:rFonts w:hint="eastAsia" w:ascii="宋体" w:hAnsi="宋体"/>
          <w:b/>
          <w:szCs w:val="21"/>
        </w:rPr>
        <w:t>管理</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437"/>
        <w:gridCol w:w="7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shd w:val="clear" w:color="auto" w:fill="D7D7D7"/>
            <w:noWrap w:val="0"/>
            <w:vAlign w:val="center"/>
          </w:tcPr>
          <w:p>
            <w:pPr>
              <w:pStyle w:val="24"/>
              <w:spacing w:after="0" w:line="360" w:lineRule="auto"/>
              <w:ind w:left="0" w:leftChars="0" w:firstLine="0" w:firstLineChars="0"/>
              <w:jc w:val="center"/>
              <w:rPr>
                <w:b/>
                <w:bCs/>
                <w:color w:val="000000"/>
                <w:sz w:val="21"/>
                <w:szCs w:val="21"/>
              </w:rPr>
            </w:pPr>
            <w:r>
              <w:rPr>
                <w:rFonts w:hint="eastAsia"/>
                <w:b/>
                <w:bCs/>
                <w:color w:val="000000"/>
                <w:sz w:val="21"/>
                <w:szCs w:val="21"/>
              </w:rPr>
              <w:t>序号</w:t>
            </w:r>
          </w:p>
        </w:tc>
        <w:tc>
          <w:tcPr>
            <w:tcW w:w="1437" w:type="dxa"/>
            <w:shd w:val="clear" w:color="auto" w:fill="D7D7D7"/>
            <w:noWrap w:val="0"/>
            <w:vAlign w:val="center"/>
          </w:tcPr>
          <w:p>
            <w:pPr>
              <w:pStyle w:val="24"/>
              <w:spacing w:after="0" w:line="360" w:lineRule="auto"/>
              <w:ind w:left="0" w:leftChars="0" w:firstLine="0" w:firstLineChars="0"/>
              <w:jc w:val="center"/>
              <w:rPr>
                <w:rFonts w:hint="eastAsia"/>
                <w:b/>
                <w:bCs/>
                <w:color w:val="000000"/>
                <w:sz w:val="21"/>
                <w:szCs w:val="21"/>
              </w:rPr>
            </w:pPr>
            <w:r>
              <w:rPr>
                <w:rFonts w:hint="eastAsia"/>
                <w:b/>
                <w:bCs/>
                <w:color w:val="000000"/>
                <w:sz w:val="21"/>
                <w:szCs w:val="21"/>
              </w:rPr>
              <w:t>需求类别</w:t>
            </w:r>
          </w:p>
        </w:tc>
        <w:tc>
          <w:tcPr>
            <w:tcW w:w="7274" w:type="dxa"/>
            <w:shd w:val="clear" w:color="auto" w:fill="D7D7D7"/>
            <w:noWrap w:val="0"/>
            <w:vAlign w:val="center"/>
          </w:tcPr>
          <w:p>
            <w:pPr>
              <w:pStyle w:val="24"/>
              <w:spacing w:after="0" w:line="360" w:lineRule="auto"/>
              <w:ind w:left="0" w:leftChars="0" w:firstLine="0" w:firstLineChars="0"/>
              <w:jc w:val="center"/>
              <w:rPr>
                <w:rFonts w:ascii="Calibri" w:hAnsi="Calibri"/>
                <w:b/>
                <w:bCs/>
                <w:color w:val="000000"/>
                <w:sz w:val="21"/>
                <w:szCs w:val="21"/>
              </w:rPr>
            </w:pPr>
            <w:r>
              <w:rPr>
                <w:rFonts w:hint="eastAsia" w:ascii="Calibri" w:hAnsi="Calibri"/>
                <w:b/>
                <w:bCs/>
                <w:color w:val="000000"/>
                <w:sz w:val="21"/>
                <w:szCs w:val="21"/>
              </w:rPr>
              <w:t>具体需求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noWrap w:val="0"/>
            <w:vAlign w:val="center"/>
          </w:tcPr>
          <w:p>
            <w:pPr>
              <w:pStyle w:val="24"/>
              <w:spacing w:after="0" w:line="360" w:lineRule="auto"/>
              <w:ind w:left="0" w:leftChars="0" w:firstLine="0" w:firstLineChars="0"/>
              <w:rPr>
                <w:color w:val="000000"/>
                <w:sz w:val="21"/>
                <w:szCs w:val="21"/>
              </w:rPr>
            </w:pPr>
            <w:r>
              <w:rPr>
                <w:rFonts w:hint="eastAsia"/>
                <w:color w:val="000000"/>
                <w:sz w:val="21"/>
                <w:szCs w:val="21"/>
              </w:rPr>
              <w:t>▲3.15.1</w:t>
            </w:r>
          </w:p>
        </w:tc>
        <w:tc>
          <w:tcPr>
            <w:tcW w:w="1437"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实践专周管理</w:t>
            </w:r>
          </w:p>
        </w:tc>
        <w:tc>
          <w:tcPr>
            <w:tcW w:w="7274"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系统支持在培养方案中针对实践专周课程的配置，需拥有独立的实践专周课程管理模块，能够通过执行计划自动获取本学期实践专周课程，可维护实践专周课程开课对象，对确定开课的课程生成教学任务，排课支持全周和非全周占用排课模式，分别实现按照整个专业和专业下班级的实践周课程安排，具有实践专周排课视图功能。</w:t>
            </w:r>
          </w:p>
        </w:tc>
      </w:tr>
    </w:tbl>
    <w:p>
      <w:pPr>
        <w:tabs>
          <w:tab w:val="left" w:pos="540"/>
        </w:tabs>
        <w:snapToGrid w:val="0"/>
        <w:spacing w:before="120" w:beforeLines="50" w:line="360" w:lineRule="auto"/>
        <w:outlineLvl w:val="3"/>
      </w:pPr>
      <w:r>
        <w:rPr>
          <w:rFonts w:hint="eastAsia" w:ascii="宋体" w:hAnsi="宋体"/>
          <w:b/>
          <w:szCs w:val="21"/>
        </w:rPr>
        <w:t>3.16</w:t>
      </w:r>
      <w:bookmarkStart w:id="427" w:name="_Toc85458126"/>
      <w:r>
        <w:rPr>
          <w:rFonts w:hint="eastAsia" w:ascii="宋体" w:hAnsi="宋体"/>
          <w:b/>
          <w:szCs w:val="21"/>
        </w:rPr>
        <w:t>学业预警</w:t>
      </w:r>
      <w:bookmarkEnd w:id="427"/>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437"/>
        <w:gridCol w:w="7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shd w:val="clear" w:color="auto" w:fill="D7D7D7"/>
            <w:noWrap w:val="0"/>
            <w:vAlign w:val="center"/>
          </w:tcPr>
          <w:p>
            <w:pPr>
              <w:pStyle w:val="24"/>
              <w:spacing w:after="0" w:line="360" w:lineRule="auto"/>
              <w:ind w:left="0" w:leftChars="0" w:firstLine="0" w:firstLineChars="0"/>
              <w:jc w:val="center"/>
              <w:rPr>
                <w:b/>
                <w:bCs/>
                <w:color w:val="000000"/>
                <w:sz w:val="21"/>
                <w:szCs w:val="21"/>
              </w:rPr>
            </w:pPr>
            <w:r>
              <w:rPr>
                <w:rFonts w:hint="eastAsia"/>
                <w:b/>
                <w:bCs/>
                <w:color w:val="000000"/>
                <w:sz w:val="21"/>
                <w:szCs w:val="21"/>
              </w:rPr>
              <w:t>序号</w:t>
            </w:r>
          </w:p>
        </w:tc>
        <w:tc>
          <w:tcPr>
            <w:tcW w:w="1437" w:type="dxa"/>
            <w:shd w:val="clear" w:color="auto" w:fill="D7D7D7"/>
            <w:noWrap w:val="0"/>
            <w:vAlign w:val="center"/>
          </w:tcPr>
          <w:p>
            <w:pPr>
              <w:pStyle w:val="24"/>
              <w:spacing w:after="0" w:line="360" w:lineRule="auto"/>
              <w:ind w:left="0" w:leftChars="0" w:firstLine="0" w:firstLineChars="0"/>
              <w:jc w:val="center"/>
              <w:rPr>
                <w:rFonts w:hint="eastAsia"/>
                <w:b/>
                <w:bCs/>
                <w:color w:val="000000"/>
                <w:sz w:val="21"/>
                <w:szCs w:val="21"/>
              </w:rPr>
            </w:pPr>
            <w:r>
              <w:rPr>
                <w:rFonts w:hint="eastAsia"/>
                <w:b/>
                <w:bCs/>
                <w:color w:val="000000"/>
                <w:sz w:val="21"/>
                <w:szCs w:val="21"/>
              </w:rPr>
              <w:t>需求类别</w:t>
            </w:r>
          </w:p>
        </w:tc>
        <w:tc>
          <w:tcPr>
            <w:tcW w:w="7274" w:type="dxa"/>
            <w:shd w:val="clear" w:color="auto" w:fill="D7D7D7"/>
            <w:noWrap w:val="0"/>
            <w:vAlign w:val="center"/>
          </w:tcPr>
          <w:p>
            <w:pPr>
              <w:pStyle w:val="24"/>
              <w:spacing w:after="0" w:line="360" w:lineRule="auto"/>
              <w:ind w:left="0" w:leftChars="0" w:firstLine="0" w:firstLineChars="0"/>
              <w:jc w:val="center"/>
              <w:rPr>
                <w:rFonts w:ascii="Calibri" w:hAnsi="Calibri"/>
                <w:b/>
                <w:bCs/>
                <w:color w:val="000000"/>
                <w:sz w:val="21"/>
                <w:szCs w:val="21"/>
              </w:rPr>
            </w:pPr>
            <w:r>
              <w:rPr>
                <w:rFonts w:hint="eastAsia" w:ascii="Calibri" w:hAnsi="Calibri"/>
                <w:b/>
                <w:bCs/>
                <w:color w:val="000000"/>
                <w:sz w:val="21"/>
                <w:szCs w:val="21"/>
              </w:rPr>
              <w:t>具体需求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noWrap w:val="0"/>
            <w:vAlign w:val="center"/>
          </w:tcPr>
          <w:p>
            <w:pPr>
              <w:pStyle w:val="24"/>
              <w:spacing w:after="0" w:line="360" w:lineRule="auto"/>
              <w:ind w:left="0" w:leftChars="0" w:firstLine="0" w:firstLineChars="0"/>
              <w:rPr>
                <w:color w:val="000000"/>
                <w:sz w:val="21"/>
                <w:szCs w:val="21"/>
              </w:rPr>
            </w:pPr>
            <w:r>
              <w:rPr>
                <w:rFonts w:hint="eastAsia"/>
                <w:color w:val="000000"/>
                <w:sz w:val="21"/>
                <w:szCs w:val="21"/>
              </w:rPr>
              <w:t>▲3.16.1</w:t>
            </w:r>
          </w:p>
        </w:tc>
        <w:tc>
          <w:tcPr>
            <w:tcW w:w="1437" w:type="dxa"/>
            <w:noWrap w:val="0"/>
            <w:vAlign w:val="center"/>
          </w:tcPr>
          <w:p>
            <w:pPr>
              <w:pStyle w:val="24"/>
              <w:spacing w:after="0" w:line="360" w:lineRule="auto"/>
              <w:ind w:left="0" w:leftChars="0" w:firstLine="0" w:firstLineChars="0"/>
              <w:jc w:val="center"/>
              <w:rPr>
                <w:rFonts w:hint="eastAsia"/>
                <w:color w:val="000000"/>
                <w:sz w:val="21"/>
                <w:szCs w:val="21"/>
              </w:rPr>
            </w:pPr>
            <w:r>
              <w:rPr>
                <w:rFonts w:hint="eastAsia"/>
                <w:color w:val="000000"/>
                <w:sz w:val="21"/>
                <w:szCs w:val="21"/>
              </w:rPr>
              <w:t>学业预警</w:t>
            </w:r>
          </w:p>
        </w:tc>
        <w:tc>
          <w:tcPr>
            <w:tcW w:w="7274"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同时支持按阈值和占比两种方式设置预警规则的功能，要求支持学年不及格学分、学年不及格学分(比例)、学年不及格门数、学年不及格门数(比例)、学期不及格学分、学期不及格学分(比例)、学期不及格门数、学期不及格门数(比例)、平均绩点过低、总不及格学分、总不及格学分(比例)、总不及格门数、总不及格门数(比例)的预警功能，并可对相关预警的阈值进行维护，学生界面可查看到相关的学业预警的情况。</w:t>
            </w:r>
          </w:p>
        </w:tc>
      </w:tr>
    </w:tbl>
    <w:p>
      <w:pPr>
        <w:tabs>
          <w:tab w:val="left" w:pos="540"/>
        </w:tabs>
        <w:snapToGrid w:val="0"/>
        <w:spacing w:before="120" w:beforeLines="50" w:line="360" w:lineRule="auto"/>
        <w:outlineLvl w:val="3"/>
      </w:pPr>
      <w:r>
        <w:rPr>
          <w:rFonts w:hint="eastAsia" w:ascii="宋体" w:hAnsi="宋体"/>
          <w:b/>
          <w:szCs w:val="21"/>
        </w:rPr>
        <w:t>3.17</w:t>
      </w:r>
      <w:bookmarkStart w:id="428" w:name="_Toc85458128"/>
      <w:bookmarkStart w:id="429" w:name="_Toc62486449"/>
      <w:r>
        <w:rPr>
          <w:rFonts w:hint="eastAsia" w:ascii="宋体" w:hAnsi="宋体"/>
          <w:b/>
          <w:szCs w:val="21"/>
        </w:rPr>
        <w:t>评教管理</w:t>
      </w:r>
      <w:bookmarkEnd w:id="428"/>
      <w:bookmarkEnd w:id="429"/>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437"/>
        <w:gridCol w:w="7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shd w:val="clear" w:color="auto" w:fill="D7D7D7"/>
            <w:noWrap w:val="0"/>
            <w:vAlign w:val="center"/>
          </w:tcPr>
          <w:p>
            <w:pPr>
              <w:pStyle w:val="24"/>
              <w:spacing w:after="0" w:line="360" w:lineRule="auto"/>
              <w:ind w:left="0" w:leftChars="0" w:firstLine="0" w:firstLineChars="0"/>
              <w:jc w:val="center"/>
              <w:rPr>
                <w:b/>
                <w:bCs/>
                <w:color w:val="000000"/>
                <w:sz w:val="21"/>
                <w:szCs w:val="21"/>
              </w:rPr>
            </w:pPr>
            <w:r>
              <w:rPr>
                <w:rFonts w:hint="eastAsia"/>
                <w:b/>
                <w:bCs/>
                <w:color w:val="000000"/>
                <w:sz w:val="21"/>
                <w:szCs w:val="21"/>
              </w:rPr>
              <w:t>序号</w:t>
            </w:r>
          </w:p>
        </w:tc>
        <w:tc>
          <w:tcPr>
            <w:tcW w:w="1437" w:type="dxa"/>
            <w:shd w:val="clear" w:color="auto" w:fill="D7D7D7"/>
            <w:noWrap w:val="0"/>
            <w:vAlign w:val="center"/>
          </w:tcPr>
          <w:p>
            <w:pPr>
              <w:pStyle w:val="24"/>
              <w:spacing w:after="0" w:line="360" w:lineRule="auto"/>
              <w:ind w:left="0" w:leftChars="0" w:firstLine="0" w:firstLineChars="0"/>
              <w:jc w:val="center"/>
              <w:rPr>
                <w:rFonts w:hint="eastAsia"/>
                <w:b/>
                <w:bCs/>
                <w:color w:val="000000"/>
                <w:sz w:val="21"/>
                <w:szCs w:val="21"/>
              </w:rPr>
            </w:pPr>
            <w:r>
              <w:rPr>
                <w:rFonts w:hint="eastAsia"/>
                <w:b/>
                <w:bCs/>
                <w:color w:val="000000"/>
                <w:sz w:val="21"/>
                <w:szCs w:val="21"/>
              </w:rPr>
              <w:t>需求类别</w:t>
            </w:r>
          </w:p>
        </w:tc>
        <w:tc>
          <w:tcPr>
            <w:tcW w:w="7274" w:type="dxa"/>
            <w:shd w:val="clear" w:color="auto" w:fill="D7D7D7"/>
            <w:noWrap w:val="0"/>
            <w:vAlign w:val="center"/>
          </w:tcPr>
          <w:p>
            <w:pPr>
              <w:pStyle w:val="24"/>
              <w:spacing w:after="0" w:line="360" w:lineRule="auto"/>
              <w:ind w:left="0" w:leftChars="0" w:firstLine="0" w:firstLineChars="0"/>
              <w:jc w:val="center"/>
              <w:rPr>
                <w:rFonts w:ascii="Calibri" w:hAnsi="Calibri"/>
                <w:b/>
                <w:bCs/>
                <w:color w:val="000000"/>
                <w:sz w:val="21"/>
                <w:szCs w:val="21"/>
              </w:rPr>
            </w:pPr>
            <w:r>
              <w:rPr>
                <w:rFonts w:hint="eastAsia" w:ascii="Calibri" w:hAnsi="Calibri"/>
                <w:b/>
                <w:bCs/>
                <w:color w:val="000000"/>
                <w:sz w:val="21"/>
                <w:szCs w:val="21"/>
              </w:rPr>
              <w:t>具体需求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noWrap w:val="0"/>
            <w:vAlign w:val="center"/>
          </w:tcPr>
          <w:p>
            <w:pPr>
              <w:pStyle w:val="24"/>
              <w:spacing w:after="0" w:line="360" w:lineRule="auto"/>
              <w:ind w:left="0" w:leftChars="0" w:firstLine="0" w:firstLineChars="0"/>
              <w:jc w:val="center"/>
              <w:rPr>
                <w:color w:val="000000"/>
                <w:sz w:val="21"/>
                <w:szCs w:val="21"/>
              </w:rPr>
            </w:pPr>
            <w:r>
              <w:rPr>
                <w:rFonts w:hint="eastAsia"/>
                <w:color w:val="000000"/>
                <w:sz w:val="21"/>
                <w:szCs w:val="21"/>
              </w:rPr>
              <w:t>3.17.1</w:t>
            </w:r>
          </w:p>
        </w:tc>
        <w:tc>
          <w:tcPr>
            <w:tcW w:w="1437" w:type="dxa"/>
            <w:noWrap w:val="0"/>
            <w:vAlign w:val="center"/>
          </w:tcPr>
          <w:p>
            <w:pPr>
              <w:pStyle w:val="24"/>
              <w:spacing w:after="0" w:line="360" w:lineRule="auto"/>
              <w:ind w:left="0" w:leftChars="0" w:firstLine="0" w:firstLineChars="0"/>
              <w:jc w:val="center"/>
              <w:rPr>
                <w:rFonts w:hint="eastAsia"/>
                <w:color w:val="000000"/>
                <w:sz w:val="21"/>
                <w:szCs w:val="21"/>
              </w:rPr>
            </w:pPr>
            <w:r>
              <w:rPr>
                <w:rFonts w:hint="eastAsia"/>
                <w:color w:val="000000"/>
                <w:sz w:val="21"/>
                <w:szCs w:val="21"/>
              </w:rPr>
              <w:t>评教管理</w:t>
            </w:r>
          </w:p>
        </w:tc>
        <w:tc>
          <w:tcPr>
            <w:tcW w:w="7274"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提供学生评教、同行评教、督导评教管理功能；系统支持了维护评教问卷的功能，包括新增、修改、删除问题类别，选项组，问题信息，问卷信息，问卷评价标准的功能。支持问卷与教学任务的绑定，解除绑定，以及评教开关的维护。管理，查询，实时统计学生评教、院系评教进度，多维度分析最终评教结果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noWrap w:val="0"/>
            <w:vAlign w:val="center"/>
          </w:tcPr>
          <w:p>
            <w:pPr>
              <w:pStyle w:val="24"/>
              <w:spacing w:after="0" w:line="360" w:lineRule="auto"/>
              <w:ind w:left="0" w:leftChars="0" w:firstLine="0" w:firstLineChars="0"/>
              <w:jc w:val="center"/>
              <w:rPr>
                <w:rFonts w:hint="eastAsia"/>
                <w:color w:val="000000"/>
                <w:sz w:val="21"/>
                <w:szCs w:val="21"/>
              </w:rPr>
            </w:pPr>
            <w:r>
              <w:rPr>
                <w:rFonts w:hint="eastAsia"/>
                <w:color w:val="000000"/>
                <w:sz w:val="21"/>
                <w:szCs w:val="21"/>
              </w:rPr>
              <w:t>3.17.2</w:t>
            </w:r>
          </w:p>
        </w:tc>
        <w:tc>
          <w:tcPr>
            <w:tcW w:w="1437" w:type="dxa"/>
            <w:noWrap w:val="0"/>
            <w:vAlign w:val="center"/>
          </w:tcPr>
          <w:p>
            <w:pPr>
              <w:pStyle w:val="24"/>
              <w:spacing w:after="0" w:line="360" w:lineRule="auto"/>
              <w:ind w:left="0" w:leftChars="0" w:firstLine="0" w:firstLineChars="0"/>
              <w:jc w:val="center"/>
              <w:rPr>
                <w:rFonts w:hint="eastAsia"/>
                <w:color w:val="000000"/>
                <w:sz w:val="21"/>
                <w:szCs w:val="21"/>
              </w:rPr>
            </w:pPr>
            <w:r>
              <w:rPr>
                <w:rFonts w:hint="eastAsia"/>
                <w:color w:val="000000"/>
                <w:sz w:val="21"/>
                <w:szCs w:val="21"/>
              </w:rPr>
              <w:t>教师评学</w:t>
            </w:r>
          </w:p>
        </w:tc>
        <w:tc>
          <w:tcPr>
            <w:tcW w:w="7274"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系统支持任课教师对所授课的班级进行评学打分，根据班级的平均得分来看班级的学风，支持院系和教务处进行结果统计，并支持批量导出和打印评价表。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noWrap w:val="0"/>
            <w:vAlign w:val="center"/>
          </w:tcPr>
          <w:p>
            <w:pPr>
              <w:pStyle w:val="24"/>
              <w:spacing w:after="0" w:line="360" w:lineRule="auto"/>
              <w:ind w:left="0" w:leftChars="0" w:firstLine="0" w:firstLineChars="0"/>
              <w:jc w:val="center"/>
              <w:rPr>
                <w:rFonts w:hint="eastAsia"/>
                <w:color w:val="000000"/>
                <w:sz w:val="21"/>
                <w:szCs w:val="21"/>
              </w:rPr>
            </w:pPr>
            <w:r>
              <w:rPr>
                <w:rFonts w:hint="eastAsia"/>
                <w:color w:val="000000"/>
                <w:sz w:val="21"/>
                <w:szCs w:val="21"/>
              </w:rPr>
              <w:t>3.17.3</w:t>
            </w:r>
          </w:p>
        </w:tc>
        <w:tc>
          <w:tcPr>
            <w:tcW w:w="1437" w:type="dxa"/>
            <w:noWrap w:val="0"/>
            <w:vAlign w:val="center"/>
          </w:tcPr>
          <w:p>
            <w:pPr>
              <w:pStyle w:val="24"/>
              <w:spacing w:after="0" w:line="360" w:lineRule="auto"/>
              <w:ind w:left="0" w:leftChars="0" w:firstLine="0" w:firstLineChars="0"/>
              <w:jc w:val="center"/>
              <w:rPr>
                <w:rFonts w:hint="eastAsia"/>
                <w:color w:val="000000"/>
                <w:sz w:val="21"/>
                <w:szCs w:val="21"/>
              </w:rPr>
            </w:pPr>
            <w:r>
              <w:rPr>
                <w:rFonts w:hint="eastAsia"/>
                <w:color w:val="000000"/>
                <w:sz w:val="21"/>
                <w:szCs w:val="21"/>
              </w:rPr>
              <w:t>网上问卷调查</w:t>
            </w:r>
          </w:p>
        </w:tc>
        <w:tc>
          <w:tcPr>
            <w:tcW w:w="7274"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提供网上问卷调查功能，可对问卷问题进行设置，可设置主观题和客观题，对题库进行维护，可根据题库进行组卷，可设置问卷说明，支持在线预览问卷；</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提供对问卷调查批次设置功能，包括开放调查时间，问卷调查用户范围，绑定问卷的选取，提供对问卷调查结果、院系问卷统计和调查问卷分析功能。</w:t>
            </w:r>
          </w:p>
        </w:tc>
      </w:tr>
    </w:tbl>
    <w:p>
      <w:pPr>
        <w:tabs>
          <w:tab w:val="left" w:pos="540"/>
        </w:tabs>
        <w:snapToGrid w:val="0"/>
        <w:spacing w:before="120" w:beforeLines="50" w:line="360" w:lineRule="auto"/>
        <w:outlineLvl w:val="3"/>
      </w:pPr>
      <w:r>
        <w:rPr>
          <w:rFonts w:hint="eastAsia" w:ascii="宋体" w:hAnsi="宋体"/>
          <w:b/>
          <w:szCs w:val="21"/>
        </w:rPr>
        <w:t>3.18</w:t>
      </w:r>
      <w:bookmarkStart w:id="430" w:name="_Toc83847339"/>
      <w:bookmarkStart w:id="431" w:name="_Toc85458123"/>
      <w:r>
        <w:rPr>
          <w:rFonts w:hint="eastAsia" w:ascii="宋体" w:hAnsi="宋体"/>
          <w:b/>
          <w:szCs w:val="21"/>
        </w:rPr>
        <w:t>重修</w:t>
      </w:r>
      <w:bookmarkEnd w:id="430"/>
      <w:bookmarkEnd w:id="431"/>
      <w:r>
        <w:rPr>
          <w:rFonts w:hint="eastAsia" w:ascii="宋体" w:hAnsi="宋体"/>
          <w:b/>
          <w:szCs w:val="21"/>
        </w:rPr>
        <w:t>及免听</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437"/>
        <w:gridCol w:w="7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shd w:val="clear" w:color="auto" w:fill="D7D7D7"/>
            <w:noWrap w:val="0"/>
            <w:vAlign w:val="center"/>
          </w:tcPr>
          <w:p>
            <w:pPr>
              <w:pStyle w:val="24"/>
              <w:spacing w:after="0" w:line="360" w:lineRule="auto"/>
              <w:ind w:left="0" w:leftChars="0" w:firstLine="0" w:firstLineChars="0"/>
              <w:jc w:val="center"/>
              <w:rPr>
                <w:b/>
                <w:bCs/>
                <w:color w:val="000000"/>
                <w:sz w:val="21"/>
                <w:szCs w:val="21"/>
              </w:rPr>
            </w:pPr>
            <w:r>
              <w:rPr>
                <w:rFonts w:hint="eastAsia"/>
                <w:b/>
                <w:bCs/>
                <w:color w:val="000000"/>
                <w:sz w:val="21"/>
                <w:szCs w:val="21"/>
              </w:rPr>
              <w:t>序号</w:t>
            </w:r>
          </w:p>
        </w:tc>
        <w:tc>
          <w:tcPr>
            <w:tcW w:w="1437" w:type="dxa"/>
            <w:shd w:val="clear" w:color="auto" w:fill="D7D7D7"/>
            <w:noWrap w:val="0"/>
            <w:vAlign w:val="center"/>
          </w:tcPr>
          <w:p>
            <w:pPr>
              <w:pStyle w:val="24"/>
              <w:spacing w:after="0" w:line="360" w:lineRule="auto"/>
              <w:ind w:left="0" w:leftChars="0" w:firstLine="0" w:firstLineChars="0"/>
              <w:jc w:val="center"/>
              <w:rPr>
                <w:rFonts w:hint="eastAsia"/>
                <w:b/>
                <w:bCs/>
                <w:color w:val="000000"/>
                <w:sz w:val="21"/>
                <w:szCs w:val="21"/>
              </w:rPr>
            </w:pPr>
            <w:r>
              <w:rPr>
                <w:rFonts w:hint="eastAsia"/>
                <w:b/>
                <w:bCs/>
                <w:color w:val="000000"/>
                <w:sz w:val="21"/>
                <w:szCs w:val="21"/>
              </w:rPr>
              <w:t>需求类别</w:t>
            </w:r>
          </w:p>
        </w:tc>
        <w:tc>
          <w:tcPr>
            <w:tcW w:w="7274" w:type="dxa"/>
            <w:shd w:val="clear" w:color="auto" w:fill="D7D7D7"/>
            <w:noWrap w:val="0"/>
            <w:vAlign w:val="center"/>
          </w:tcPr>
          <w:p>
            <w:pPr>
              <w:pStyle w:val="24"/>
              <w:spacing w:after="0" w:line="360" w:lineRule="auto"/>
              <w:ind w:left="0" w:leftChars="0" w:firstLine="0" w:firstLineChars="0"/>
              <w:jc w:val="center"/>
              <w:rPr>
                <w:rFonts w:ascii="Calibri" w:hAnsi="Calibri"/>
                <w:b/>
                <w:bCs/>
                <w:color w:val="000000"/>
                <w:sz w:val="21"/>
                <w:szCs w:val="21"/>
              </w:rPr>
            </w:pPr>
            <w:r>
              <w:rPr>
                <w:rFonts w:hint="eastAsia" w:ascii="Calibri" w:hAnsi="Calibri"/>
                <w:b/>
                <w:bCs/>
                <w:color w:val="000000"/>
                <w:sz w:val="21"/>
                <w:szCs w:val="21"/>
              </w:rPr>
              <w:t>具体需求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noWrap w:val="0"/>
            <w:vAlign w:val="center"/>
          </w:tcPr>
          <w:p>
            <w:pPr>
              <w:pStyle w:val="24"/>
              <w:spacing w:after="0" w:line="360" w:lineRule="auto"/>
              <w:ind w:left="0" w:leftChars="0" w:firstLine="0" w:firstLineChars="0"/>
              <w:rPr>
                <w:color w:val="000000"/>
                <w:sz w:val="21"/>
                <w:szCs w:val="21"/>
              </w:rPr>
            </w:pPr>
            <w:r>
              <w:rPr>
                <w:rFonts w:hint="eastAsia"/>
                <w:color w:val="000000"/>
                <w:sz w:val="21"/>
                <w:szCs w:val="21"/>
              </w:rPr>
              <w:t>3.18.1</w:t>
            </w:r>
          </w:p>
        </w:tc>
        <w:tc>
          <w:tcPr>
            <w:tcW w:w="1437"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重修开课规模参数管理</w:t>
            </w:r>
          </w:p>
        </w:tc>
        <w:tc>
          <w:tcPr>
            <w:tcW w:w="7274"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系统支持自定义重修统计的筛选条件，统计出符合条件、需要开设重修任务的课程需求，设置重修开课、取消重修开课，并对统计出的重修需求进行汇总。支持对重修开课规模参数的配置，包括学年学期、名称、统计年级范围、学历层次、是否只统计在校生、是否只统计在籍学生，支持对课程类别的限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3.18.2</w:t>
            </w:r>
          </w:p>
        </w:tc>
        <w:tc>
          <w:tcPr>
            <w:tcW w:w="1437"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重修开课管理</w:t>
            </w:r>
          </w:p>
        </w:tc>
        <w:tc>
          <w:tcPr>
            <w:tcW w:w="7274"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系统支持根据重修开课规模参数设置进行智能统计重修开课功能，支持对重修开课数据的修改和批量修改，支持对重修课程的删除、导出和教学任务的生成。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3.18.3</w:t>
            </w:r>
          </w:p>
        </w:tc>
        <w:tc>
          <w:tcPr>
            <w:tcW w:w="1437"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重修报名管理</w:t>
            </w:r>
          </w:p>
        </w:tc>
        <w:tc>
          <w:tcPr>
            <w:tcW w:w="7274"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系统支持对重修报名批次的管理，包括重修开课学期，报名起止时间，是否开放报名，能够对重修报名名单的批量导入、导出和删除功能。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3.18.4</w:t>
            </w:r>
          </w:p>
        </w:tc>
        <w:tc>
          <w:tcPr>
            <w:tcW w:w="1437"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免听管理</w:t>
            </w:r>
          </w:p>
        </w:tc>
        <w:tc>
          <w:tcPr>
            <w:tcW w:w="7274"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提供免听申请开放开关及开放的时间范围。</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提供审核通过、审核不通过、删除、导出申请表、撤回功能。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3.18.5</w:t>
            </w:r>
          </w:p>
        </w:tc>
        <w:tc>
          <w:tcPr>
            <w:tcW w:w="1437"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免修管理</w:t>
            </w:r>
          </w:p>
        </w:tc>
        <w:tc>
          <w:tcPr>
            <w:tcW w:w="7274"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提供免修申请开放开关及开放的时间范围及免修申请院系、教务处审核管理功能。</w:t>
            </w:r>
          </w:p>
        </w:tc>
      </w:tr>
    </w:tbl>
    <w:p>
      <w:pPr>
        <w:tabs>
          <w:tab w:val="left" w:pos="540"/>
        </w:tabs>
        <w:snapToGrid w:val="0"/>
        <w:spacing w:before="120" w:beforeLines="50" w:line="360" w:lineRule="auto"/>
        <w:outlineLvl w:val="3"/>
      </w:pPr>
      <w:r>
        <w:rPr>
          <w:rFonts w:hint="eastAsia" w:ascii="宋体" w:hAnsi="宋体"/>
          <w:b/>
          <w:szCs w:val="21"/>
        </w:rPr>
        <w:t>3.19</w:t>
      </w:r>
      <w:bookmarkStart w:id="432" w:name="_Toc83847338"/>
      <w:bookmarkStart w:id="433" w:name="_Toc85458130"/>
      <w:r>
        <w:rPr>
          <w:rFonts w:hint="eastAsia" w:ascii="宋体" w:hAnsi="宋体"/>
          <w:b/>
          <w:szCs w:val="21"/>
        </w:rPr>
        <w:t>教材管理</w:t>
      </w:r>
      <w:bookmarkEnd w:id="432"/>
      <w:bookmarkEnd w:id="433"/>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1717"/>
        <w:gridCol w:w="7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shd w:val="clear" w:color="auto" w:fill="D7D7D7"/>
            <w:noWrap w:val="0"/>
            <w:vAlign w:val="center"/>
          </w:tcPr>
          <w:p>
            <w:pPr>
              <w:pStyle w:val="24"/>
              <w:spacing w:after="0" w:line="360" w:lineRule="auto"/>
              <w:ind w:left="0" w:leftChars="0" w:firstLine="0" w:firstLineChars="0"/>
              <w:jc w:val="center"/>
              <w:rPr>
                <w:b/>
                <w:bCs/>
                <w:color w:val="000000"/>
                <w:sz w:val="21"/>
                <w:szCs w:val="21"/>
              </w:rPr>
            </w:pPr>
            <w:r>
              <w:rPr>
                <w:rFonts w:hint="eastAsia"/>
                <w:b/>
                <w:bCs/>
                <w:color w:val="000000"/>
                <w:sz w:val="21"/>
                <w:szCs w:val="21"/>
              </w:rPr>
              <w:t>序号</w:t>
            </w:r>
          </w:p>
        </w:tc>
        <w:tc>
          <w:tcPr>
            <w:tcW w:w="1717" w:type="dxa"/>
            <w:shd w:val="clear" w:color="auto" w:fill="D7D7D7"/>
            <w:noWrap w:val="0"/>
            <w:vAlign w:val="center"/>
          </w:tcPr>
          <w:p>
            <w:pPr>
              <w:pStyle w:val="24"/>
              <w:spacing w:after="0" w:line="360" w:lineRule="auto"/>
              <w:ind w:left="0" w:leftChars="0" w:firstLine="0" w:firstLineChars="0"/>
              <w:jc w:val="center"/>
              <w:rPr>
                <w:rFonts w:hint="eastAsia"/>
                <w:b/>
                <w:bCs/>
                <w:color w:val="000000"/>
                <w:sz w:val="21"/>
                <w:szCs w:val="21"/>
              </w:rPr>
            </w:pPr>
            <w:r>
              <w:rPr>
                <w:rFonts w:hint="eastAsia"/>
                <w:b/>
                <w:bCs/>
                <w:color w:val="000000"/>
                <w:sz w:val="21"/>
                <w:szCs w:val="21"/>
              </w:rPr>
              <w:t>需求类别</w:t>
            </w:r>
          </w:p>
        </w:tc>
        <w:tc>
          <w:tcPr>
            <w:tcW w:w="7239" w:type="dxa"/>
            <w:shd w:val="clear" w:color="auto" w:fill="D7D7D7"/>
            <w:noWrap w:val="0"/>
            <w:vAlign w:val="center"/>
          </w:tcPr>
          <w:p>
            <w:pPr>
              <w:pStyle w:val="24"/>
              <w:spacing w:after="0" w:line="360" w:lineRule="auto"/>
              <w:ind w:left="0" w:leftChars="0" w:firstLine="0" w:firstLineChars="0"/>
              <w:jc w:val="center"/>
              <w:rPr>
                <w:rFonts w:ascii="Calibri" w:hAnsi="Calibri"/>
                <w:b/>
                <w:bCs/>
                <w:color w:val="000000"/>
                <w:sz w:val="21"/>
                <w:szCs w:val="21"/>
              </w:rPr>
            </w:pPr>
            <w:r>
              <w:rPr>
                <w:rFonts w:hint="eastAsia" w:ascii="Calibri" w:hAnsi="Calibri"/>
                <w:b/>
                <w:bCs/>
                <w:color w:val="000000"/>
                <w:sz w:val="21"/>
                <w:szCs w:val="21"/>
              </w:rPr>
              <w:t>具体需求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vAlign w:val="center"/>
          </w:tcPr>
          <w:p>
            <w:pPr>
              <w:pStyle w:val="24"/>
              <w:spacing w:after="0" w:line="360" w:lineRule="auto"/>
              <w:ind w:left="0" w:leftChars="0" w:firstLine="0" w:firstLineChars="0"/>
              <w:rPr>
                <w:color w:val="000000"/>
                <w:sz w:val="21"/>
                <w:szCs w:val="21"/>
              </w:rPr>
            </w:pPr>
            <w:r>
              <w:rPr>
                <w:rFonts w:hint="eastAsia"/>
                <w:color w:val="000000"/>
                <w:sz w:val="21"/>
                <w:szCs w:val="21"/>
              </w:rPr>
              <w:t>3.19.1</w:t>
            </w:r>
          </w:p>
        </w:tc>
        <w:tc>
          <w:tcPr>
            <w:tcW w:w="1717"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教材信息管理与审核</w:t>
            </w:r>
          </w:p>
        </w:tc>
        <w:tc>
          <w:tcPr>
            <w:tcW w:w="7239"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系统支持管理员维护教材与教材库信息的功能；并支持管理教材订单与价格的维护。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3.19.2</w:t>
            </w:r>
          </w:p>
        </w:tc>
        <w:tc>
          <w:tcPr>
            <w:tcW w:w="1717"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需求管理</w:t>
            </w:r>
          </w:p>
        </w:tc>
        <w:tc>
          <w:tcPr>
            <w:tcW w:w="7239"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管理员可在系统内设置需求登记开关，为教学任务指定教材。支持新、老生教材需求分别管理功能，可对教材需求情况与详细信息进行统计导出。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3.19.3</w:t>
            </w:r>
          </w:p>
        </w:tc>
        <w:tc>
          <w:tcPr>
            <w:tcW w:w="1717"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教材订单管理</w:t>
            </w:r>
          </w:p>
        </w:tc>
        <w:tc>
          <w:tcPr>
            <w:tcW w:w="7239"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管理员可在系统内设置教材订购开关，支持学生在学生界面进行教材选用的功能，管理员端支持教材订单的查询及管理。</w:t>
            </w:r>
          </w:p>
        </w:tc>
      </w:tr>
    </w:tbl>
    <w:p>
      <w:pPr>
        <w:tabs>
          <w:tab w:val="left" w:pos="540"/>
        </w:tabs>
        <w:snapToGrid w:val="0"/>
        <w:spacing w:before="120" w:beforeLines="50" w:line="360" w:lineRule="auto"/>
        <w:outlineLvl w:val="3"/>
      </w:pPr>
      <w:r>
        <w:rPr>
          <w:rFonts w:hint="eastAsia" w:ascii="宋体" w:hAnsi="宋体"/>
          <w:b/>
          <w:szCs w:val="21"/>
        </w:rPr>
        <w:t>3.20</w:t>
      </w:r>
      <w:bookmarkStart w:id="434" w:name="_Toc85458129"/>
      <w:bookmarkStart w:id="435" w:name="_Toc83847337"/>
      <w:r>
        <w:rPr>
          <w:rFonts w:hint="eastAsia" w:ascii="宋体" w:hAnsi="宋体"/>
          <w:b/>
          <w:szCs w:val="21"/>
        </w:rPr>
        <w:t>工作量</w:t>
      </w:r>
      <w:bookmarkEnd w:id="434"/>
      <w:bookmarkEnd w:id="435"/>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1717"/>
        <w:gridCol w:w="7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shd w:val="clear" w:color="auto" w:fill="D7D7D7"/>
            <w:noWrap w:val="0"/>
            <w:vAlign w:val="center"/>
          </w:tcPr>
          <w:p>
            <w:pPr>
              <w:pStyle w:val="24"/>
              <w:spacing w:after="0" w:line="360" w:lineRule="auto"/>
              <w:ind w:left="0" w:leftChars="0" w:firstLine="0" w:firstLineChars="0"/>
              <w:jc w:val="center"/>
              <w:rPr>
                <w:b/>
                <w:bCs/>
                <w:color w:val="000000"/>
                <w:sz w:val="21"/>
                <w:szCs w:val="21"/>
              </w:rPr>
            </w:pPr>
            <w:r>
              <w:rPr>
                <w:rFonts w:hint="eastAsia"/>
                <w:b/>
                <w:bCs/>
                <w:color w:val="000000"/>
                <w:sz w:val="21"/>
                <w:szCs w:val="21"/>
              </w:rPr>
              <w:t>序号</w:t>
            </w:r>
          </w:p>
        </w:tc>
        <w:tc>
          <w:tcPr>
            <w:tcW w:w="1717" w:type="dxa"/>
            <w:shd w:val="clear" w:color="auto" w:fill="D7D7D7"/>
            <w:noWrap w:val="0"/>
            <w:vAlign w:val="center"/>
          </w:tcPr>
          <w:p>
            <w:pPr>
              <w:pStyle w:val="24"/>
              <w:spacing w:after="0" w:line="360" w:lineRule="auto"/>
              <w:ind w:left="0" w:leftChars="0" w:firstLine="0" w:firstLineChars="0"/>
              <w:jc w:val="center"/>
              <w:rPr>
                <w:rFonts w:hint="eastAsia"/>
                <w:b/>
                <w:bCs/>
                <w:color w:val="000000"/>
                <w:sz w:val="21"/>
                <w:szCs w:val="21"/>
              </w:rPr>
            </w:pPr>
            <w:r>
              <w:rPr>
                <w:rFonts w:hint="eastAsia"/>
                <w:b/>
                <w:bCs/>
                <w:color w:val="000000"/>
                <w:sz w:val="21"/>
                <w:szCs w:val="21"/>
              </w:rPr>
              <w:t>需求类别</w:t>
            </w:r>
          </w:p>
        </w:tc>
        <w:tc>
          <w:tcPr>
            <w:tcW w:w="7239" w:type="dxa"/>
            <w:shd w:val="clear" w:color="auto" w:fill="D7D7D7"/>
            <w:noWrap w:val="0"/>
            <w:vAlign w:val="center"/>
          </w:tcPr>
          <w:p>
            <w:pPr>
              <w:pStyle w:val="24"/>
              <w:spacing w:after="0" w:line="360" w:lineRule="auto"/>
              <w:ind w:left="0" w:leftChars="0" w:firstLine="0" w:firstLineChars="0"/>
              <w:jc w:val="center"/>
              <w:rPr>
                <w:rFonts w:ascii="Calibri" w:hAnsi="Calibri"/>
                <w:b/>
                <w:bCs/>
                <w:color w:val="000000"/>
                <w:sz w:val="21"/>
                <w:szCs w:val="21"/>
              </w:rPr>
            </w:pPr>
            <w:r>
              <w:rPr>
                <w:rFonts w:hint="eastAsia" w:ascii="Calibri" w:hAnsi="Calibri"/>
                <w:b/>
                <w:bCs/>
                <w:color w:val="000000"/>
                <w:sz w:val="21"/>
                <w:szCs w:val="21"/>
              </w:rPr>
              <w:t>具体需求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vAlign w:val="center"/>
          </w:tcPr>
          <w:p>
            <w:pPr>
              <w:pStyle w:val="24"/>
              <w:spacing w:after="0" w:line="360" w:lineRule="auto"/>
              <w:ind w:left="0" w:leftChars="0" w:firstLine="0" w:firstLineChars="0"/>
              <w:rPr>
                <w:color w:val="000000"/>
                <w:sz w:val="21"/>
                <w:szCs w:val="21"/>
              </w:rPr>
            </w:pPr>
            <w:r>
              <w:rPr>
                <w:rFonts w:hint="eastAsia"/>
                <w:color w:val="000000"/>
                <w:sz w:val="21"/>
                <w:szCs w:val="21"/>
              </w:rPr>
              <w:t>3.20.1</w:t>
            </w:r>
          </w:p>
        </w:tc>
        <w:tc>
          <w:tcPr>
            <w:tcW w:w="1717"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系数设置</w:t>
            </w:r>
          </w:p>
        </w:tc>
        <w:tc>
          <w:tcPr>
            <w:tcW w:w="7239"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系统支持新建、修改、删除、配置教师工作量属性系数的功能，支持新建、修改、删除、配置教师工作量范围系数的功能。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3.20.2</w:t>
            </w:r>
          </w:p>
        </w:tc>
        <w:tc>
          <w:tcPr>
            <w:tcW w:w="1717"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公式设置</w:t>
            </w:r>
          </w:p>
        </w:tc>
        <w:tc>
          <w:tcPr>
            <w:tcW w:w="7239"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系统支持配置、修改教师工作量计算公式的功能。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3.20.3</w:t>
            </w:r>
          </w:p>
        </w:tc>
        <w:tc>
          <w:tcPr>
            <w:tcW w:w="1717"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工作量管理</w:t>
            </w:r>
          </w:p>
        </w:tc>
        <w:tc>
          <w:tcPr>
            <w:tcW w:w="7239"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管理员可添加（批量生成或手动）、修改、删除、自动计算以及清空教师工作量。</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院系可对教师工作量进行确认；院系教务秘书可以对本院系开设课程的上课教师的教学工作量进行核算和修改，并可以实现教师工作量的统计与历年工作量的查询。</w:t>
            </w:r>
          </w:p>
        </w:tc>
      </w:tr>
    </w:tbl>
    <w:p>
      <w:pPr>
        <w:tabs>
          <w:tab w:val="left" w:pos="540"/>
        </w:tabs>
        <w:snapToGrid w:val="0"/>
        <w:spacing w:before="120" w:beforeLines="50" w:line="360" w:lineRule="auto"/>
        <w:outlineLvl w:val="3"/>
      </w:pPr>
      <w:r>
        <w:rPr>
          <w:rFonts w:hint="eastAsia" w:ascii="宋体" w:hAnsi="宋体"/>
          <w:b/>
          <w:szCs w:val="21"/>
        </w:rPr>
        <w:t>3.21</w:t>
      </w:r>
      <w:bookmarkStart w:id="436" w:name="_Toc85458133"/>
      <w:bookmarkStart w:id="437" w:name="_Toc83847345"/>
      <w:r>
        <w:rPr>
          <w:rFonts w:hint="eastAsia" w:ascii="宋体" w:hAnsi="宋体"/>
          <w:b/>
          <w:szCs w:val="21"/>
        </w:rPr>
        <w:t>实习管理</w:t>
      </w:r>
      <w:bookmarkEnd w:id="436"/>
      <w:bookmarkEnd w:id="437"/>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1717"/>
        <w:gridCol w:w="7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shd w:val="clear" w:color="auto" w:fill="D7D7D7"/>
            <w:noWrap w:val="0"/>
            <w:vAlign w:val="center"/>
          </w:tcPr>
          <w:p>
            <w:pPr>
              <w:pStyle w:val="24"/>
              <w:spacing w:after="0" w:line="360" w:lineRule="auto"/>
              <w:ind w:left="0" w:leftChars="0" w:firstLine="0" w:firstLineChars="0"/>
              <w:jc w:val="center"/>
              <w:rPr>
                <w:b/>
                <w:bCs/>
                <w:color w:val="000000"/>
                <w:sz w:val="21"/>
                <w:szCs w:val="21"/>
              </w:rPr>
            </w:pPr>
            <w:r>
              <w:rPr>
                <w:rFonts w:hint="eastAsia"/>
                <w:b/>
                <w:bCs/>
                <w:color w:val="000000"/>
                <w:sz w:val="21"/>
                <w:szCs w:val="21"/>
              </w:rPr>
              <w:t>序号</w:t>
            </w:r>
          </w:p>
        </w:tc>
        <w:tc>
          <w:tcPr>
            <w:tcW w:w="1717" w:type="dxa"/>
            <w:shd w:val="clear" w:color="auto" w:fill="D7D7D7"/>
            <w:noWrap w:val="0"/>
            <w:vAlign w:val="center"/>
          </w:tcPr>
          <w:p>
            <w:pPr>
              <w:pStyle w:val="24"/>
              <w:spacing w:after="0" w:line="360" w:lineRule="auto"/>
              <w:ind w:left="0" w:leftChars="0" w:firstLine="0" w:firstLineChars="0"/>
              <w:jc w:val="center"/>
              <w:rPr>
                <w:rFonts w:hint="eastAsia"/>
                <w:b/>
                <w:bCs/>
                <w:color w:val="000000"/>
                <w:sz w:val="21"/>
                <w:szCs w:val="21"/>
              </w:rPr>
            </w:pPr>
            <w:r>
              <w:rPr>
                <w:rFonts w:hint="eastAsia"/>
                <w:b/>
                <w:bCs/>
                <w:color w:val="000000"/>
                <w:sz w:val="21"/>
                <w:szCs w:val="21"/>
              </w:rPr>
              <w:t>需求类别</w:t>
            </w:r>
          </w:p>
        </w:tc>
        <w:tc>
          <w:tcPr>
            <w:tcW w:w="7239" w:type="dxa"/>
            <w:shd w:val="clear" w:color="auto" w:fill="D7D7D7"/>
            <w:noWrap w:val="0"/>
            <w:vAlign w:val="center"/>
          </w:tcPr>
          <w:p>
            <w:pPr>
              <w:pStyle w:val="24"/>
              <w:spacing w:after="0" w:line="360" w:lineRule="auto"/>
              <w:ind w:left="0" w:leftChars="0" w:firstLine="0" w:firstLineChars="0"/>
              <w:jc w:val="center"/>
              <w:rPr>
                <w:rFonts w:ascii="Calibri" w:hAnsi="Calibri"/>
                <w:b/>
                <w:bCs/>
                <w:color w:val="000000"/>
                <w:sz w:val="21"/>
                <w:szCs w:val="21"/>
              </w:rPr>
            </w:pPr>
            <w:r>
              <w:rPr>
                <w:rFonts w:hint="eastAsia" w:ascii="Calibri" w:hAnsi="Calibri"/>
                <w:b/>
                <w:bCs/>
                <w:color w:val="000000"/>
                <w:sz w:val="21"/>
                <w:szCs w:val="21"/>
              </w:rPr>
              <w:t>具体需求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vAlign w:val="center"/>
          </w:tcPr>
          <w:p>
            <w:pPr>
              <w:pStyle w:val="24"/>
              <w:spacing w:after="0" w:line="360" w:lineRule="auto"/>
              <w:ind w:left="0" w:leftChars="0" w:firstLine="0" w:firstLineChars="0"/>
              <w:jc w:val="center"/>
              <w:rPr>
                <w:color w:val="000000"/>
                <w:sz w:val="21"/>
                <w:szCs w:val="21"/>
              </w:rPr>
            </w:pPr>
            <w:r>
              <w:rPr>
                <w:rFonts w:hint="eastAsia"/>
                <w:color w:val="000000"/>
                <w:sz w:val="21"/>
                <w:szCs w:val="21"/>
              </w:rPr>
              <w:t>3.21.1</w:t>
            </w:r>
          </w:p>
        </w:tc>
        <w:tc>
          <w:tcPr>
            <w:tcW w:w="1717" w:type="dxa"/>
            <w:noWrap w:val="0"/>
            <w:vAlign w:val="center"/>
          </w:tcPr>
          <w:p>
            <w:pPr>
              <w:pStyle w:val="24"/>
              <w:spacing w:after="0" w:line="360" w:lineRule="auto"/>
              <w:ind w:left="0" w:leftChars="0" w:firstLine="0" w:firstLineChars="0"/>
              <w:jc w:val="center"/>
              <w:rPr>
                <w:rFonts w:hint="eastAsia"/>
                <w:color w:val="000000"/>
                <w:sz w:val="21"/>
                <w:szCs w:val="21"/>
              </w:rPr>
            </w:pPr>
            <w:r>
              <w:rPr>
                <w:rFonts w:hint="eastAsia"/>
                <w:color w:val="000000"/>
                <w:sz w:val="21"/>
                <w:szCs w:val="21"/>
              </w:rPr>
              <w:t>实习企业、基地管理</w:t>
            </w:r>
          </w:p>
        </w:tc>
        <w:tc>
          <w:tcPr>
            <w:tcW w:w="7239"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系统支持教务处对实习企业、实习基地的管理维护功能，支持为实习基地导师开通账号的功能。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vAlign w:val="center"/>
          </w:tcPr>
          <w:p>
            <w:pPr>
              <w:pStyle w:val="24"/>
              <w:spacing w:after="0" w:line="360" w:lineRule="auto"/>
              <w:ind w:left="0" w:leftChars="0" w:firstLine="0" w:firstLineChars="0"/>
              <w:jc w:val="center"/>
              <w:rPr>
                <w:rFonts w:hint="eastAsia"/>
                <w:color w:val="000000"/>
                <w:sz w:val="21"/>
                <w:szCs w:val="21"/>
              </w:rPr>
            </w:pPr>
            <w:r>
              <w:rPr>
                <w:rFonts w:hint="eastAsia"/>
                <w:color w:val="000000"/>
                <w:sz w:val="21"/>
                <w:szCs w:val="21"/>
              </w:rPr>
              <w:t>3.21.2</w:t>
            </w:r>
          </w:p>
        </w:tc>
        <w:tc>
          <w:tcPr>
            <w:tcW w:w="1717" w:type="dxa"/>
            <w:noWrap w:val="0"/>
            <w:vAlign w:val="center"/>
          </w:tcPr>
          <w:p>
            <w:pPr>
              <w:pStyle w:val="24"/>
              <w:spacing w:after="0" w:line="360" w:lineRule="auto"/>
              <w:ind w:left="0" w:leftChars="0" w:firstLine="0" w:firstLineChars="0"/>
              <w:jc w:val="center"/>
              <w:rPr>
                <w:rFonts w:hint="eastAsia"/>
                <w:color w:val="000000"/>
                <w:sz w:val="21"/>
                <w:szCs w:val="21"/>
              </w:rPr>
            </w:pPr>
            <w:r>
              <w:rPr>
                <w:rFonts w:hint="eastAsia"/>
                <w:color w:val="000000"/>
                <w:sz w:val="21"/>
                <w:szCs w:val="21"/>
              </w:rPr>
              <w:t>实习计划、大纲管理</w:t>
            </w:r>
          </w:p>
        </w:tc>
        <w:tc>
          <w:tcPr>
            <w:tcW w:w="7239"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支持多种实习类型，为实习学生安排实习指导老师，支持指导老师在线填写巡查日志功能系统，支持院系上报实习计划，教务处审核及查看实习计划及具体实习安排的功能，并支持院系提交实习大纲、教务处审批、查看、上传及下载实习大纲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vAlign w:val="center"/>
          </w:tcPr>
          <w:p>
            <w:pPr>
              <w:pStyle w:val="24"/>
              <w:spacing w:after="0" w:line="360" w:lineRule="auto"/>
              <w:ind w:left="0" w:leftChars="0" w:firstLine="0" w:firstLineChars="0"/>
              <w:jc w:val="center"/>
              <w:rPr>
                <w:rFonts w:hint="eastAsia"/>
                <w:color w:val="000000"/>
                <w:sz w:val="21"/>
                <w:szCs w:val="21"/>
              </w:rPr>
            </w:pPr>
            <w:r>
              <w:rPr>
                <w:rFonts w:hint="eastAsia"/>
                <w:color w:val="000000"/>
                <w:sz w:val="21"/>
                <w:szCs w:val="21"/>
              </w:rPr>
              <w:t>3.21.3</w:t>
            </w:r>
          </w:p>
        </w:tc>
        <w:tc>
          <w:tcPr>
            <w:tcW w:w="1717" w:type="dxa"/>
            <w:noWrap w:val="0"/>
            <w:vAlign w:val="center"/>
          </w:tcPr>
          <w:p>
            <w:pPr>
              <w:pStyle w:val="24"/>
              <w:spacing w:after="0" w:line="360" w:lineRule="auto"/>
              <w:ind w:left="0" w:leftChars="0" w:firstLine="0" w:firstLineChars="0"/>
              <w:jc w:val="center"/>
              <w:rPr>
                <w:rFonts w:hint="eastAsia"/>
                <w:color w:val="000000"/>
                <w:sz w:val="21"/>
                <w:szCs w:val="21"/>
              </w:rPr>
            </w:pPr>
            <w:r>
              <w:rPr>
                <w:rFonts w:hint="eastAsia"/>
                <w:color w:val="000000"/>
                <w:sz w:val="21"/>
                <w:szCs w:val="21"/>
              </w:rPr>
              <w:t>实习异动</w:t>
            </w:r>
          </w:p>
        </w:tc>
        <w:tc>
          <w:tcPr>
            <w:tcW w:w="7239"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系统支持院系管理学生实习异动的功能，包括转岗和离岗两种类型的异动，并支持院系、教务处审核功能。</w:t>
            </w:r>
          </w:p>
          <w:p>
            <w:pPr>
              <w:pStyle w:val="24"/>
              <w:spacing w:after="0" w:line="360" w:lineRule="auto"/>
              <w:ind w:left="0" w:leftChars="0" w:firstLine="0" w:firstLineChars="0"/>
              <w:rPr>
                <w:rFonts w:hint="eastAsia"/>
                <w:color w:val="000000"/>
                <w:sz w:val="21"/>
                <w:szCs w:val="21"/>
              </w:rPr>
            </w:pPr>
          </w:p>
        </w:tc>
      </w:tr>
    </w:tbl>
    <w:p>
      <w:pPr>
        <w:tabs>
          <w:tab w:val="left" w:pos="540"/>
        </w:tabs>
        <w:snapToGrid w:val="0"/>
        <w:spacing w:before="120" w:beforeLines="50" w:line="360" w:lineRule="auto"/>
        <w:outlineLvl w:val="3"/>
      </w:pPr>
      <w:r>
        <w:rPr>
          <w:rFonts w:hint="eastAsia" w:ascii="宋体" w:hAnsi="宋体"/>
          <w:b/>
          <w:szCs w:val="21"/>
        </w:rPr>
        <w:t>3.22</w:t>
      </w:r>
      <w:bookmarkStart w:id="438" w:name="_Toc62486451"/>
      <w:bookmarkStart w:id="439" w:name="_Toc85458136"/>
      <w:r>
        <w:rPr>
          <w:rFonts w:hint="eastAsia" w:ascii="宋体" w:hAnsi="宋体"/>
          <w:b/>
          <w:szCs w:val="21"/>
        </w:rPr>
        <w:t>收费管理</w:t>
      </w:r>
      <w:bookmarkEnd w:id="438"/>
      <w:bookmarkEnd w:id="439"/>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1717"/>
        <w:gridCol w:w="7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shd w:val="clear" w:color="auto" w:fill="D7D7D7"/>
            <w:noWrap w:val="0"/>
            <w:vAlign w:val="center"/>
          </w:tcPr>
          <w:p>
            <w:pPr>
              <w:pStyle w:val="24"/>
              <w:spacing w:after="0" w:line="360" w:lineRule="auto"/>
              <w:ind w:left="0" w:leftChars="0" w:firstLine="0" w:firstLineChars="0"/>
              <w:jc w:val="center"/>
              <w:rPr>
                <w:b/>
                <w:bCs/>
                <w:color w:val="000000"/>
                <w:sz w:val="21"/>
                <w:szCs w:val="21"/>
              </w:rPr>
            </w:pPr>
            <w:r>
              <w:rPr>
                <w:rFonts w:hint="eastAsia"/>
                <w:b/>
                <w:bCs/>
                <w:color w:val="000000"/>
                <w:sz w:val="21"/>
                <w:szCs w:val="21"/>
              </w:rPr>
              <w:t>序号</w:t>
            </w:r>
          </w:p>
        </w:tc>
        <w:tc>
          <w:tcPr>
            <w:tcW w:w="1717" w:type="dxa"/>
            <w:shd w:val="clear" w:color="auto" w:fill="D7D7D7"/>
            <w:noWrap w:val="0"/>
            <w:vAlign w:val="center"/>
          </w:tcPr>
          <w:p>
            <w:pPr>
              <w:pStyle w:val="24"/>
              <w:spacing w:after="0" w:line="360" w:lineRule="auto"/>
              <w:ind w:left="0" w:leftChars="0" w:firstLine="0" w:firstLineChars="0"/>
              <w:jc w:val="center"/>
              <w:rPr>
                <w:rFonts w:hint="eastAsia"/>
                <w:b/>
                <w:bCs/>
                <w:color w:val="000000"/>
                <w:sz w:val="21"/>
                <w:szCs w:val="21"/>
              </w:rPr>
            </w:pPr>
            <w:r>
              <w:rPr>
                <w:rFonts w:hint="eastAsia"/>
                <w:b/>
                <w:bCs/>
                <w:color w:val="000000"/>
                <w:sz w:val="21"/>
                <w:szCs w:val="21"/>
              </w:rPr>
              <w:t>需求类别</w:t>
            </w:r>
          </w:p>
        </w:tc>
        <w:tc>
          <w:tcPr>
            <w:tcW w:w="7239" w:type="dxa"/>
            <w:shd w:val="clear" w:color="auto" w:fill="D7D7D7"/>
            <w:noWrap w:val="0"/>
            <w:vAlign w:val="center"/>
          </w:tcPr>
          <w:p>
            <w:pPr>
              <w:pStyle w:val="24"/>
              <w:spacing w:after="0" w:line="360" w:lineRule="auto"/>
              <w:ind w:left="0" w:leftChars="0" w:firstLine="0" w:firstLineChars="0"/>
              <w:jc w:val="center"/>
              <w:rPr>
                <w:rFonts w:ascii="Calibri" w:hAnsi="Calibri"/>
                <w:b/>
                <w:bCs/>
                <w:color w:val="000000"/>
                <w:sz w:val="21"/>
                <w:szCs w:val="21"/>
              </w:rPr>
            </w:pPr>
            <w:r>
              <w:rPr>
                <w:rFonts w:hint="eastAsia" w:ascii="Calibri" w:hAnsi="Calibri"/>
                <w:b/>
                <w:bCs/>
                <w:color w:val="000000"/>
                <w:sz w:val="21"/>
                <w:szCs w:val="21"/>
              </w:rPr>
              <w:t>具体需求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0" w:type="dxa"/>
            <w:noWrap w:val="0"/>
            <w:vAlign w:val="center"/>
          </w:tcPr>
          <w:p>
            <w:pPr>
              <w:pStyle w:val="24"/>
              <w:spacing w:after="0" w:line="360" w:lineRule="auto"/>
              <w:ind w:left="0" w:leftChars="0" w:firstLine="0" w:firstLineChars="0"/>
              <w:jc w:val="center"/>
              <w:rPr>
                <w:color w:val="000000"/>
                <w:sz w:val="21"/>
                <w:szCs w:val="21"/>
              </w:rPr>
            </w:pPr>
            <w:r>
              <w:rPr>
                <w:rFonts w:hint="eastAsia"/>
                <w:color w:val="000000"/>
                <w:sz w:val="21"/>
                <w:szCs w:val="21"/>
              </w:rPr>
              <w:t>3.22.1</w:t>
            </w:r>
          </w:p>
        </w:tc>
        <w:tc>
          <w:tcPr>
            <w:tcW w:w="1717" w:type="dxa"/>
            <w:noWrap w:val="0"/>
            <w:vAlign w:val="center"/>
          </w:tcPr>
          <w:p>
            <w:pPr>
              <w:pStyle w:val="24"/>
              <w:spacing w:after="0" w:line="360" w:lineRule="auto"/>
              <w:ind w:left="0" w:leftChars="0" w:firstLine="0" w:firstLineChars="0"/>
              <w:jc w:val="center"/>
              <w:rPr>
                <w:rFonts w:hint="eastAsia"/>
                <w:color w:val="000000"/>
                <w:sz w:val="21"/>
                <w:szCs w:val="21"/>
              </w:rPr>
            </w:pPr>
            <w:r>
              <w:rPr>
                <w:rFonts w:hint="eastAsia"/>
                <w:color w:val="000000"/>
                <w:sz w:val="21"/>
                <w:szCs w:val="21"/>
              </w:rPr>
              <w:t>收费管理</w:t>
            </w:r>
          </w:p>
        </w:tc>
        <w:tc>
          <w:tcPr>
            <w:tcW w:w="7239"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系统支持了维护收费项目与收费管理权限的功能，以及维护账单及查看账单日志的功能，包括支持对学费、资格考试报名费、重修缴费、教材费的账单导入功能，并能与财务系统对接实现在线缴费功能。</w:t>
            </w:r>
          </w:p>
        </w:tc>
      </w:tr>
    </w:tbl>
    <w:p>
      <w:pPr>
        <w:tabs>
          <w:tab w:val="left" w:pos="540"/>
        </w:tabs>
        <w:snapToGrid w:val="0"/>
        <w:spacing w:before="120" w:beforeLines="50" w:line="360" w:lineRule="auto"/>
        <w:outlineLvl w:val="3"/>
      </w:pPr>
      <w:r>
        <w:rPr>
          <w:rFonts w:hint="eastAsia" w:ascii="宋体" w:hAnsi="宋体"/>
          <w:b/>
          <w:szCs w:val="21"/>
        </w:rPr>
        <w:t>3.23学费清算</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1717"/>
        <w:gridCol w:w="7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shd w:val="clear" w:color="auto" w:fill="D7D7D7"/>
            <w:noWrap w:val="0"/>
            <w:vAlign w:val="center"/>
          </w:tcPr>
          <w:p>
            <w:pPr>
              <w:pStyle w:val="24"/>
              <w:spacing w:after="0" w:line="360" w:lineRule="auto"/>
              <w:ind w:left="0" w:leftChars="0" w:firstLine="0" w:firstLineChars="0"/>
              <w:jc w:val="center"/>
              <w:rPr>
                <w:b/>
                <w:bCs/>
                <w:color w:val="000000"/>
                <w:sz w:val="21"/>
                <w:szCs w:val="21"/>
              </w:rPr>
            </w:pPr>
            <w:r>
              <w:rPr>
                <w:rFonts w:hint="eastAsia"/>
                <w:b/>
                <w:bCs/>
                <w:color w:val="000000"/>
                <w:sz w:val="21"/>
                <w:szCs w:val="21"/>
              </w:rPr>
              <w:t>序号</w:t>
            </w:r>
          </w:p>
        </w:tc>
        <w:tc>
          <w:tcPr>
            <w:tcW w:w="1717" w:type="dxa"/>
            <w:shd w:val="clear" w:color="auto" w:fill="D7D7D7"/>
            <w:noWrap w:val="0"/>
            <w:vAlign w:val="center"/>
          </w:tcPr>
          <w:p>
            <w:pPr>
              <w:pStyle w:val="24"/>
              <w:spacing w:after="0" w:line="360" w:lineRule="auto"/>
              <w:ind w:left="0" w:leftChars="0" w:firstLine="0" w:firstLineChars="0"/>
              <w:jc w:val="center"/>
              <w:rPr>
                <w:rFonts w:hint="eastAsia"/>
                <w:b/>
                <w:bCs/>
                <w:color w:val="000000"/>
                <w:sz w:val="21"/>
                <w:szCs w:val="21"/>
              </w:rPr>
            </w:pPr>
            <w:r>
              <w:rPr>
                <w:rFonts w:hint="eastAsia"/>
                <w:b/>
                <w:bCs/>
                <w:color w:val="000000"/>
                <w:sz w:val="21"/>
                <w:szCs w:val="21"/>
              </w:rPr>
              <w:t>需求类别</w:t>
            </w:r>
          </w:p>
        </w:tc>
        <w:tc>
          <w:tcPr>
            <w:tcW w:w="7239" w:type="dxa"/>
            <w:shd w:val="clear" w:color="auto" w:fill="D7D7D7"/>
            <w:noWrap w:val="0"/>
            <w:vAlign w:val="center"/>
          </w:tcPr>
          <w:p>
            <w:pPr>
              <w:pStyle w:val="24"/>
              <w:spacing w:after="0" w:line="360" w:lineRule="auto"/>
              <w:ind w:left="0" w:leftChars="0" w:firstLine="0" w:firstLineChars="0"/>
              <w:jc w:val="center"/>
              <w:rPr>
                <w:rFonts w:ascii="Calibri" w:hAnsi="Calibri"/>
                <w:b/>
                <w:bCs/>
                <w:color w:val="000000"/>
                <w:sz w:val="21"/>
                <w:szCs w:val="21"/>
              </w:rPr>
            </w:pPr>
            <w:r>
              <w:rPr>
                <w:rFonts w:hint="eastAsia" w:ascii="Calibri" w:hAnsi="Calibri"/>
                <w:b/>
                <w:bCs/>
                <w:color w:val="000000"/>
                <w:sz w:val="21"/>
                <w:szCs w:val="21"/>
              </w:rPr>
              <w:t>具体需求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vAlign w:val="center"/>
          </w:tcPr>
          <w:p>
            <w:pPr>
              <w:pStyle w:val="24"/>
              <w:spacing w:after="0" w:line="360" w:lineRule="auto"/>
              <w:ind w:left="0" w:leftChars="0" w:firstLine="0" w:firstLineChars="0"/>
              <w:jc w:val="center"/>
              <w:rPr>
                <w:color w:val="000000"/>
                <w:sz w:val="21"/>
                <w:szCs w:val="21"/>
              </w:rPr>
            </w:pPr>
            <w:r>
              <w:rPr>
                <w:rFonts w:hint="eastAsia"/>
                <w:color w:val="000000"/>
                <w:sz w:val="21"/>
                <w:szCs w:val="21"/>
              </w:rPr>
              <w:t>3.23.1</w:t>
            </w:r>
          </w:p>
        </w:tc>
        <w:tc>
          <w:tcPr>
            <w:tcW w:w="1717"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学费清算</w:t>
            </w:r>
          </w:p>
        </w:tc>
        <w:tc>
          <w:tcPr>
            <w:tcW w:w="7239"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学分制收费采取“按年预收、年末结算、毕业结清“的方式，即：学年初按学年收费标准预收学费，在下学年开学时根据学生上一学年实际所修学分，按多退少补的原则进行学费结算，以此类推直至毕业时结清。</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学生学费分学分学费和专业学费，学分学费按实际所选应缴学分进行计算。一般情况下，每学年应缴学费=每学年专业学费+每学年修读学分之和*每学分单价。</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1.应支持对各年级专业的学年专业学费和每学分学费进行配置；</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2.应支持按学期维护免修专业学费的学生名单的功能；</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3.应支持按照学期、学年、全程进行学生学年学费的管理，统计学年学费的同时需要自动统计学期学费和全程学费；</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4.应支持查询、查看、导出、打印学费清单；</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5.应支持学生查看、确认学费的功能。</w:t>
            </w:r>
          </w:p>
        </w:tc>
      </w:tr>
    </w:tbl>
    <w:p>
      <w:pPr>
        <w:jc w:val="left"/>
        <w:sectPr>
          <w:footerReference r:id="rId7" w:type="default"/>
          <w:pgSz w:w="11910" w:h="16840"/>
          <w:pgMar w:top="1340" w:right="1060" w:bottom="1080" w:left="1160" w:header="933" w:footer="889" w:gutter="0"/>
          <w:pgBorders>
            <w:top w:val="none" w:sz="0" w:space="0"/>
            <w:left w:val="none" w:sz="0" w:space="0"/>
            <w:bottom w:val="none" w:sz="0" w:space="0"/>
            <w:right w:val="none" w:sz="0" w:space="0"/>
          </w:pgBorders>
          <w:cols w:space="720" w:num="1"/>
        </w:sectPr>
      </w:pPr>
    </w:p>
    <w:p>
      <w:pPr>
        <w:tabs>
          <w:tab w:val="left" w:pos="540"/>
        </w:tabs>
        <w:snapToGrid w:val="0"/>
        <w:spacing w:before="120" w:beforeLines="50" w:line="360" w:lineRule="auto"/>
        <w:outlineLvl w:val="3"/>
        <w:rPr>
          <w:rFonts w:hint="eastAsia" w:ascii="宋体" w:hAnsi="宋体"/>
          <w:b/>
          <w:szCs w:val="21"/>
        </w:rPr>
      </w:pPr>
      <w:r>
        <w:rPr>
          <w:rFonts w:hint="eastAsia" w:ascii="宋体" w:hAnsi="宋体"/>
          <w:b/>
          <w:szCs w:val="21"/>
        </w:rPr>
        <w:t>3.24</w:t>
      </w:r>
      <w:bookmarkStart w:id="440" w:name="_Toc85458138"/>
      <w:bookmarkStart w:id="441" w:name="_Toc83847349"/>
      <w:r>
        <w:rPr>
          <w:rFonts w:hint="eastAsia" w:ascii="宋体" w:hAnsi="宋体"/>
          <w:b/>
          <w:szCs w:val="21"/>
        </w:rPr>
        <w:t>移动教务</w:t>
      </w:r>
      <w:bookmarkEnd w:id="440"/>
      <w:bookmarkEnd w:id="441"/>
    </w:p>
    <w:p>
      <w:r>
        <w:rPr>
          <w:rFonts w:hint="eastAsia"/>
        </w:rPr>
        <w:t>提供移动端教务常用服务。实现教师和学生用户常用功能的移动端服务功能。</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1717"/>
        <w:gridCol w:w="7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shd w:val="clear" w:color="auto" w:fill="D7D7D7"/>
            <w:noWrap w:val="0"/>
            <w:vAlign w:val="center"/>
          </w:tcPr>
          <w:p>
            <w:pPr>
              <w:pStyle w:val="24"/>
              <w:spacing w:after="0" w:line="360" w:lineRule="auto"/>
              <w:ind w:left="0" w:leftChars="0" w:firstLine="0" w:firstLineChars="0"/>
              <w:jc w:val="center"/>
              <w:rPr>
                <w:b/>
                <w:bCs/>
                <w:color w:val="000000"/>
                <w:sz w:val="21"/>
                <w:szCs w:val="21"/>
              </w:rPr>
            </w:pPr>
            <w:r>
              <w:rPr>
                <w:rFonts w:hint="eastAsia"/>
                <w:b/>
                <w:bCs/>
                <w:color w:val="000000"/>
                <w:sz w:val="21"/>
                <w:szCs w:val="21"/>
              </w:rPr>
              <w:t>序号</w:t>
            </w:r>
          </w:p>
        </w:tc>
        <w:tc>
          <w:tcPr>
            <w:tcW w:w="1717" w:type="dxa"/>
            <w:shd w:val="clear" w:color="auto" w:fill="D7D7D7"/>
            <w:noWrap w:val="0"/>
            <w:vAlign w:val="center"/>
          </w:tcPr>
          <w:p>
            <w:pPr>
              <w:pStyle w:val="24"/>
              <w:spacing w:after="0" w:line="360" w:lineRule="auto"/>
              <w:ind w:left="0" w:leftChars="0" w:firstLine="0" w:firstLineChars="0"/>
              <w:jc w:val="center"/>
              <w:rPr>
                <w:rFonts w:hint="eastAsia"/>
                <w:b/>
                <w:bCs/>
                <w:color w:val="000000"/>
                <w:sz w:val="21"/>
                <w:szCs w:val="21"/>
              </w:rPr>
            </w:pPr>
            <w:r>
              <w:rPr>
                <w:rFonts w:hint="eastAsia"/>
                <w:b/>
                <w:bCs/>
                <w:color w:val="000000"/>
                <w:sz w:val="21"/>
                <w:szCs w:val="21"/>
              </w:rPr>
              <w:t>需求类别</w:t>
            </w:r>
          </w:p>
        </w:tc>
        <w:tc>
          <w:tcPr>
            <w:tcW w:w="7239" w:type="dxa"/>
            <w:shd w:val="clear" w:color="auto" w:fill="D7D7D7"/>
            <w:noWrap w:val="0"/>
            <w:vAlign w:val="center"/>
          </w:tcPr>
          <w:p>
            <w:pPr>
              <w:pStyle w:val="24"/>
              <w:spacing w:after="0" w:line="360" w:lineRule="auto"/>
              <w:ind w:left="0" w:leftChars="0" w:firstLine="0" w:firstLineChars="0"/>
              <w:jc w:val="center"/>
              <w:rPr>
                <w:rFonts w:ascii="Calibri" w:hAnsi="Calibri"/>
                <w:b/>
                <w:bCs/>
                <w:color w:val="000000"/>
                <w:sz w:val="21"/>
                <w:szCs w:val="21"/>
              </w:rPr>
            </w:pPr>
            <w:r>
              <w:rPr>
                <w:rFonts w:hint="eastAsia" w:ascii="Calibri" w:hAnsi="Calibri"/>
                <w:b/>
                <w:bCs/>
                <w:color w:val="000000"/>
                <w:sz w:val="21"/>
                <w:szCs w:val="21"/>
              </w:rPr>
              <w:t>具体需求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vAlign w:val="center"/>
          </w:tcPr>
          <w:p>
            <w:pPr>
              <w:pStyle w:val="24"/>
              <w:spacing w:after="0" w:line="360" w:lineRule="auto"/>
              <w:ind w:left="0" w:leftChars="0" w:firstLine="0" w:firstLineChars="0"/>
              <w:jc w:val="center"/>
              <w:rPr>
                <w:color w:val="000000"/>
                <w:sz w:val="21"/>
                <w:szCs w:val="21"/>
              </w:rPr>
            </w:pPr>
            <w:r>
              <w:rPr>
                <w:rFonts w:hint="eastAsia"/>
                <w:color w:val="000000"/>
                <w:sz w:val="21"/>
                <w:szCs w:val="21"/>
              </w:rPr>
              <w:t>3.24.1</w:t>
            </w:r>
          </w:p>
        </w:tc>
        <w:tc>
          <w:tcPr>
            <w:tcW w:w="1717"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学生端功能</w:t>
            </w:r>
          </w:p>
        </w:tc>
        <w:tc>
          <w:tcPr>
            <w:tcW w:w="7239"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1)个人信息</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 xml:space="preserve">应支持学生查询个人信息的功能； </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2)课表查询</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系统应能够默认展示当前学期当前周次的课表；支持可切换学期和周次，根据所选学期和周次显示对应课表；</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支持“课程详情”页面查看功能；支持可查看学期全部课程列表（已安排/未安排），点击人数可进入“课堂同学”页面，查看具体名单。</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应支持存在多个学籍（如专科/辅修）的情况，可支持点击界面按钮切换学籍项目，查看对应学籍下的课表。</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3)考试查询</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提供学生考试安排查询功能，包括当前学期和过往学期的考试安排信息。</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4)成绩查询</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应提供学生成绩查询的功能，包括当前学期和过往学期的成绩信息。</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系统默认定位在全部学期，学生也可自主切换学期查看；</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基于当前所选学期的课程总范围，界面上需能够显示对应的“平均学分绩点（即GPA）”和“总学分”；</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成绩记录排序规则：一级按学年学期由近及远倒序显示，二级按课程名称顺序显示；</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5)空闲教室查询</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应支持学生查询空闲教室功能。</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应支持用户可以依次选择校区、教学楼，查看所选教学楼下各教室不同节次的空闲情况；也可直接在全校范围内通过输入关键词检索相关教室的空闲情况；</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在教室空闲情况详情展示界面，应支持查询指定日期下的教室空闲情况（系统默认定位在当天）；也可按教室名称、教室类型和楼层等条件进行查询。</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6)我的培养方案</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应支持学生查看自身绑定的培养方案详情。培养方案整体分为三部分内容：</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a.方案内容：</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每个方案都要有对应的方案内容模板，每个模板中支持定义章节顺序号和章节名称，可依据模板显示每个章节的文字内容；</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学分占比情况；</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b.方案课程：支持横向维度层层递进查看方案课程结构（课组-&gt;子课组-&gt;课程）并显示当前所在位置；</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支持查看课组对应的“应修学分”、课组备注信息；</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支持查看课程详情；</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支持按课程名称模糊查询方案课程，并显示课程所在方案路径。</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c.替代课程：包括专业替代课程和个人替代课程。</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7) 计划完成情况</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应支持学生即时查看方案修读情况。具体如下：</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a.审核结果概览：可查看方案要求学分、目前实修学分、GPA、以及审核结果；</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b.支持查看修读详情：</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(1)</w:t>
            </w:r>
            <w:r>
              <w:rPr>
                <w:rFonts w:hint="eastAsia"/>
                <w:color w:val="000000"/>
                <w:sz w:val="21"/>
                <w:szCs w:val="21"/>
              </w:rPr>
              <w:tab/>
            </w:r>
            <w:r>
              <w:rPr>
                <w:rFonts w:hint="eastAsia"/>
                <w:color w:val="000000"/>
                <w:sz w:val="21"/>
                <w:szCs w:val="21"/>
              </w:rPr>
              <w:t>同培养方案课组结构，按“课组-&gt;子课组”的横向维度层层递进显示；</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(2)</w:t>
            </w:r>
            <w:r>
              <w:rPr>
                <w:rFonts w:hint="eastAsia"/>
                <w:color w:val="000000"/>
                <w:sz w:val="21"/>
                <w:szCs w:val="21"/>
              </w:rPr>
              <w:tab/>
            </w:r>
            <w:r>
              <w:rPr>
                <w:rFonts w:hint="eastAsia"/>
                <w:color w:val="000000"/>
                <w:sz w:val="21"/>
                <w:szCs w:val="21"/>
              </w:rPr>
              <w:t>课组下的课程：</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①方案中的必修课：直接显示在方案对应的课组下</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②方案中的选修课：只要存在选课记录，就可以显示在方案对应的课组下</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③计划外课程：</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w:t>
            </w:r>
            <w:r>
              <w:rPr>
                <w:rFonts w:hint="eastAsia"/>
                <w:color w:val="000000"/>
                <w:sz w:val="21"/>
                <w:szCs w:val="21"/>
              </w:rPr>
              <w:tab/>
            </w:r>
            <w:r>
              <w:rPr>
                <w:rFonts w:hint="eastAsia"/>
                <w:color w:val="000000"/>
                <w:sz w:val="21"/>
                <w:szCs w:val="21"/>
              </w:rPr>
              <w:t>若计划外课程，最终成绩“已发布”&amp;成绩对应的“课程类别A”在方案中存在：无论是否存在匹配的多余学分转换规则，这些课程均显示在课组A下，并备注“计划外”；</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w:t>
            </w:r>
            <w:r>
              <w:rPr>
                <w:rFonts w:hint="eastAsia"/>
                <w:color w:val="000000"/>
                <w:sz w:val="21"/>
                <w:szCs w:val="21"/>
              </w:rPr>
              <w:tab/>
            </w:r>
            <w:r>
              <w:rPr>
                <w:rFonts w:hint="eastAsia"/>
                <w:color w:val="000000"/>
                <w:sz w:val="21"/>
                <w:szCs w:val="21"/>
              </w:rPr>
              <w:t>若计划外课程，最终成绩“已发布”&amp;成绩对应的“课程类别A”在方案中不存在：当存在匹配的多余学分转换规则时，这些课程显示在目标课组B下，并备注“计划外”（可抵充学分、抵充门数）</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w:t>
            </w:r>
            <w:r>
              <w:rPr>
                <w:rFonts w:hint="eastAsia"/>
                <w:color w:val="000000"/>
                <w:sz w:val="21"/>
                <w:szCs w:val="21"/>
              </w:rPr>
              <w:tab/>
            </w:r>
            <w:r>
              <w:rPr>
                <w:rFonts w:hint="eastAsia"/>
                <w:color w:val="000000"/>
                <w:sz w:val="21"/>
                <w:szCs w:val="21"/>
              </w:rPr>
              <w:t>其余情况，均不在计划完成情况中显示；</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(3)</w:t>
            </w:r>
            <w:r>
              <w:rPr>
                <w:rFonts w:hint="eastAsia"/>
                <w:color w:val="000000"/>
                <w:sz w:val="21"/>
                <w:szCs w:val="21"/>
              </w:rPr>
              <w:tab/>
            </w:r>
            <w:r>
              <w:rPr>
                <w:rFonts w:hint="eastAsia"/>
                <w:color w:val="000000"/>
                <w:sz w:val="21"/>
                <w:szCs w:val="21"/>
              </w:rPr>
              <w:t>直观显示课组修读情况（通过/缺几分/缺几门）;直观显示课程修读情况（通过/未通过）;</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8)校历查询</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应支持学生查看学期校历。</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默认显示当时时间所在学年学期对应的校历，且默认定位在当天所在的教学周；若当前时间无对应学期，则显示下学期的校历；</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9)作息时间</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应支持学生查看作息时间表。</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默认显示当前时间所在学期及学生所属校区的作息时间表；若当前时间无归属学期，则默认显示该生下学期所属校区的作息时间表。</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10)缓考申请</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支持学生进行缓考申请并查看审核结果。</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11)个人信息核对</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应支持学生进行个人信息核对，若信息有误可发起修改申请并查看审核结果。。</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12)学籍异动申请</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应支持学生进行学籍异动申请并查看审核结果。</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13)借教室申请</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应支持学生发起借用教室申请并查看申请结果。</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14)学生选课</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应支持学生在线选课并查看选课结果。</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15）学生评教</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应支持学生在规定时间范围内，对每学期所修课程进行评教，包括主观评价和客观评价；</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应支持按学期查看历史评教结果，并提供筛选功能，可按课程名称查询；</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16）学业预警</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应支持学生学业预警查询功能；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vAlign w:val="center"/>
          </w:tcPr>
          <w:p>
            <w:pPr>
              <w:pStyle w:val="24"/>
              <w:spacing w:after="0" w:line="360" w:lineRule="auto"/>
              <w:ind w:left="0" w:leftChars="0" w:firstLine="0" w:firstLineChars="0"/>
              <w:jc w:val="center"/>
              <w:rPr>
                <w:color w:val="000000"/>
                <w:sz w:val="21"/>
                <w:szCs w:val="21"/>
              </w:rPr>
            </w:pPr>
            <w:r>
              <w:rPr>
                <w:rFonts w:hint="eastAsia"/>
                <w:color w:val="000000"/>
                <w:sz w:val="21"/>
                <w:szCs w:val="21"/>
              </w:rPr>
              <w:t>3.24.2</w:t>
            </w:r>
          </w:p>
        </w:tc>
        <w:tc>
          <w:tcPr>
            <w:tcW w:w="1717"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教师端功能</w:t>
            </w:r>
          </w:p>
        </w:tc>
        <w:tc>
          <w:tcPr>
            <w:tcW w:w="7239"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1)个人信息</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应支持教师查询个人信息的功能；包括基本信息和任职信息两部分；</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2)课表查询</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应支持教师个人课表查询功能，包括当前学期和历史学期的课表。</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系统默认定位在当前学期，教师也可自主选择查看哪一学期哪一周的课表，并可在课表上选择某一课程查询该课程的详细信息及课堂学生名册；</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3)考试查询</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应提供教师按学期查看考试安排的功能，包括自己所任课程的考试安排以及担任主考/监考的课程考试安排。</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1.</w:t>
            </w:r>
            <w:r>
              <w:rPr>
                <w:rFonts w:hint="eastAsia"/>
                <w:color w:val="000000"/>
                <w:sz w:val="21"/>
                <w:szCs w:val="21"/>
              </w:rPr>
              <w:tab/>
            </w:r>
            <w:r>
              <w:rPr>
                <w:rFonts w:hint="eastAsia"/>
                <w:color w:val="000000"/>
                <w:sz w:val="21"/>
                <w:szCs w:val="21"/>
              </w:rPr>
              <w:t>系统默认定位在当前学期，教师也可自主切换学期查看。</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2.</w:t>
            </w:r>
            <w:r>
              <w:rPr>
                <w:rFonts w:hint="eastAsia"/>
                <w:color w:val="000000"/>
                <w:sz w:val="21"/>
                <w:szCs w:val="21"/>
              </w:rPr>
              <w:tab/>
            </w:r>
            <w:r>
              <w:rPr>
                <w:rFonts w:hint="eastAsia"/>
                <w:color w:val="000000"/>
                <w:sz w:val="21"/>
                <w:szCs w:val="21"/>
              </w:rPr>
              <w:t>每条考试安排记录展示的信息包括课程序号、课程名称、考试时间、考试地点、考试类型和考生人数；</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3.</w:t>
            </w:r>
            <w:r>
              <w:rPr>
                <w:rFonts w:hint="eastAsia"/>
                <w:color w:val="000000"/>
                <w:sz w:val="21"/>
                <w:szCs w:val="21"/>
              </w:rPr>
              <w:tab/>
            </w:r>
            <w:r>
              <w:rPr>
                <w:rFonts w:hint="eastAsia"/>
                <w:color w:val="000000"/>
                <w:sz w:val="21"/>
                <w:szCs w:val="21"/>
              </w:rPr>
              <w:t>对于自己所任课程的考试安排，支持查看每个考场的考生名单，展示的信息包括学号、姓名和班级。</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4)课程成绩查询</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应支持教师课程成绩查询功能，教师在查询成绩时，支持查看本学期成绩和查看过往学期的成绩信息。</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每条课程成绩记录展示的信息应包括课程序号、课程名称、学分、课程类别和学生人数；应支持查看该课程上课学生的修读类别成绩明细的功能。</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5)空闲教室查询</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应支持教师可以实时查询空闲教室情况；</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应支持用户可以依次选择校区、教学楼，查看所选教学楼下各教室不同节次的空闲情况；也可直接在全校范围内通过输入关键词检索相关教室的空闲情况；</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在教室空闲情况详情展示界面，应支持查询指定日期下的教室空闲情况；也可按教室名称、教室类型和楼层等条件进行查询。</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6)校历查询</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应支持教师查看学期校历的功能。默认显示当时时间所在学年学期对应的校历，且默认定位在当天所在的教学周；若当前时间无对应学期，则显示下学期的校历；</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7)作息时间</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应支持教师查看作息时间表的功能。默认显示当前时间所在学期默认校区的作息时间表；若当前时间无归属学期，则默认显示下学期默认校区的作息时间表。</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8)借教室申请</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应支持教师发起借用教室申请并查看申请结果。</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9)调停课申请</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应支持教师按学期查看自己所任课程并按需发起调停课申请（提供五种调停课类型：更换时间地点/更换地点/更换老师/停课/补课）；调停课申请记录：支持教师查看调停课申请结果。</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10)我的工作量</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应支持教师查看个人工作量，在线工作了确认功能。</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11)我的评教结果</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应支持教师查看个人评教结果功能。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vAlign w:val="center"/>
          </w:tcPr>
          <w:p>
            <w:pPr>
              <w:pStyle w:val="24"/>
              <w:spacing w:after="0" w:line="360" w:lineRule="auto"/>
              <w:ind w:left="0" w:leftChars="0" w:firstLine="0" w:firstLineChars="0"/>
              <w:jc w:val="center"/>
              <w:rPr>
                <w:rFonts w:hint="default" w:eastAsia="宋体"/>
                <w:color w:val="000000"/>
                <w:sz w:val="21"/>
                <w:szCs w:val="21"/>
                <w:lang w:val="en-US" w:eastAsia="zh-CN"/>
              </w:rPr>
            </w:pPr>
            <w:r>
              <w:rPr>
                <w:rFonts w:hint="eastAsia"/>
                <w:color w:val="000000"/>
                <w:sz w:val="21"/>
                <w:szCs w:val="21"/>
                <w:lang w:val="en-US" w:eastAsia="zh-CN"/>
              </w:rPr>
              <w:t>3.24.3</w:t>
            </w:r>
          </w:p>
        </w:tc>
        <w:tc>
          <w:tcPr>
            <w:tcW w:w="1717"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管理端功能</w:t>
            </w:r>
          </w:p>
        </w:tc>
        <w:tc>
          <w:tcPr>
            <w:tcW w:w="7239"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1)大课表查询</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应支持管理员查看自己权限范围内的班级课表/教师课表/学生课表/教室课程/任务课表。</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2)空闲教室查询</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应支持管理员实时查询空闲教室情况；应支持用户可以依次选择校区、教学楼，查看所选教学楼下各教室不同节次的空闲情况；也可直接在全校范围内通过输入关键词检索相关教室的空闲情况；</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3)校历查询</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应支持管理员查看学期校历的功能。默认显示当时时间所在学年学期对应的校历，且默认定位在当天所在的教学周；</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4)作息时间</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应支持管理员查看作息时间表的功能。默认显示当前时间所在学期默认校区的作息时间表；</w:t>
            </w:r>
          </w:p>
        </w:tc>
      </w:tr>
    </w:tbl>
    <w:p>
      <w:pPr>
        <w:jc w:val="left"/>
        <w:sectPr>
          <w:pgSz w:w="11910" w:h="16840"/>
          <w:pgMar w:top="1340" w:right="1060" w:bottom="1080" w:left="1160" w:header="933" w:footer="889" w:gutter="0"/>
          <w:pgBorders>
            <w:top w:val="none" w:sz="0" w:space="0"/>
            <w:left w:val="none" w:sz="0" w:space="0"/>
            <w:bottom w:val="none" w:sz="0" w:space="0"/>
            <w:right w:val="none" w:sz="0" w:space="0"/>
          </w:pgBorders>
          <w:cols w:space="720" w:num="1"/>
        </w:sectPr>
      </w:pPr>
    </w:p>
    <w:p>
      <w:pPr>
        <w:tabs>
          <w:tab w:val="left" w:pos="540"/>
        </w:tabs>
        <w:snapToGrid w:val="0"/>
        <w:spacing w:before="120" w:beforeLines="50" w:line="360" w:lineRule="auto"/>
        <w:outlineLvl w:val="3"/>
        <w:rPr>
          <w:rFonts w:hint="eastAsia" w:ascii="宋体" w:hAnsi="宋体"/>
          <w:b/>
          <w:szCs w:val="21"/>
        </w:rPr>
      </w:pPr>
      <w:r>
        <w:rPr>
          <w:rFonts w:hint="eastAsia" w:ascii="宋体" w:hAnsi="宋体"/>
          <w:b/>
          <w:szCs w:val="21"/>
        </w:rPr>
        <w:t>3.25</w:t>
      </w:r>
      <w:bookmarkStart w:id="442" w:name="_Toc85458140"/>
      <w:r>
        <w:rPr>
          <w:rFonts w:hint="eastAsia" w:ascii="宋体" w:hAnsi="宋体"/>
          <w:b/>
          <w:szCs w:val="21"/>
        </w:rPr>
        <w:t>系统管理</w:t>
      </w:r>
      <w:bookmarkEnd w:id="442"/>
    </w:p>
    <w:p>
      <w:r>
        <w:t>系统管理为系统管理员提供实时监控系统运行的有效手段，涉及到数据字典、流程管理、用户管理、权限管理、参数设置与系统日志等。</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1489"/>
        <w:gridCol w:w="6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shd w:val="clear" w:color="auto" w:fill="D7D7D7"/>
            <w:noWrap w:val="0"/>
            <w:vAlign w:val="center"/>
          </w:tcPr>
          <w:p>
            <w:pPr>
              <w:pStyle w:val="24"/>
              <w:spacing w:after="0" w:line="360" w:lineRule="auto"/>
              <w:ind w:left="0" w:leftChars="0" w:firstLine="0" w:firstLineChars="0"/>
              <w:jc w:val="center"/>
              <w:rPr>
                <w:b/>
                <w:bCs/>
                <w:color w:val="000000"/>
                <w:sz w:val="21"/>
                <w:szCs w:val="21"/>
              </w:rPr>
            </w:pPr>
            <w:r>
              <w:rPr>
                <w:rFonts w:hint="eastAsia"/>
                <w:b/>
                <w:bCs/>
                <w:color w:val="000000"/>
                <w:sz w:val="21"/>
                <w:szCs w:val="21"/>
              </w:rPr>
              <w:t>序号</w:t>
            </w:r>
          </w:p>
        </w:tc>
        <w:tc>
          <w:tcPr>
            <w:tcW w:w="1717" w:type="dxa"/>
            <w:shd w:val="clear" w:color="auto" w:fill="D7D7D7"/>
            <w:noWrap w:val="0"/>
            <w:vAlign w:val="center"/>
          </w:tcPr>
          <w:p>
            <w:pPr>
              <w:pStyle w:val="24"/>
              <w:spacing w:after="0" w:line="360" w:lineRule="auto"/>
              <w:ind w:left="0" w:leftChars="0" w:firstLine="0" w:firstLineChars="0"/>
              <w:jc w:val="center"/>
              <w:rPr>
                <w:rFonts w:hint="eastAsia"/>
                <w:b/>
                <w:bCs/>
                <w:color w:val="000000"/>
                <w:sz w:val="21"/>
                <w:szCs w:val="21"/>
              </w:rPr>
            </w:pPr>
            <w:r>
              <w:rPr>
                <w:rFonts w:hint="eastAsia"/>
                <w:b/>
                <w:bCs/>
                <w:color w:val="000000"/>
                <w:sz w:val="21"/>
                <w:szCs w:val="21"/>
              </w:rPr>
              <w:t>需求类别</w:t>
            </w:r>
          </w:p>
        </w:tc>
        <w:tc>
          <w:tcPr>
            <w:tcW w:w="7239" w:type="dxa"/>
            <w:shd w:val="clear" w:color="auto" w:fill="D7D7D7"/>
            <w:noWrap w:val="0"/>
            <w:vAlign w:val="center"/>
          </w:tcPr>
          <w:p>
            <w:pPr>
              <w:pStyle w:val="24"/>
              <w:spacing w:after="0" w:line="360" w:lineRule="auto"/>
              <w:ind w:left="0" w:leftChars="0" w:firstLine="0" w:firstLineChars="0"/>
              <w:jc w:val="center"/>
              <w:rPr>
                <w:rFonts w:ascii="Calibri" w:hAnsi="Calibri"/>
                <w:b/>
                <w:bCs/>
                <w:color w:val="000000"/>
                <w:sz w:val="21"/>
                <w:szCs w:val="21"/>
              </w:rPr>
            </w:pPr>
            <w:r>
              <w:rPr>
                <w:rFonts w:hint="eastAsia" w:ascii="Calibri" w:hAnsi="Calibri"/>
                <w:b/>
                <w:bCs/>
                <w:color w:val="000000"/>
                <w:sz w:val="21"/>
                <w:szCs w:val="21"/>
              </w:rPr>
              <w:t>具体需求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0" w:type="dxa"/>
            <w:noWrap w:val="0"/>
            <w:vAlign w:val="center"/>
          </w:tcPr>
          <w:p>
            <w:pPr>
              <w:pStyle w:val="24"/>
              <w:spacing w:after="0" w:line="360" w:lineRule="auto"/>
              <w:ind w:left="0" w:leftChars="0" w:firstLine="0" w:firstLineChars="0"/>
              <w:rPr>
                <w:color w:val="000000"/>
                <w:sz w:val="21"/>
                <w:szCs w:val="21"/>
              </w:rPr>
            </w:pPr>
            <w:r>
              <w:rPr>
                <w:rFonts w:hint="eastAsia"/>
                <w:color w:val="000000"/>
                <w:sz w:val="21"/>
                <w:szCs w:val="21"/>
              </w:rPr>
              <w:t>3.25.1</w:t>
            </w:r>
          </w:p>
        </w:tc>
        <w:tc>
          <w:tcPr>
            <w:tcW w:w="1717"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系统管理</w:t>
            </w:r>
          </w:p>
        </w:tc>
        <w:tc>
          <w:tcPr>
            <w:tcW w:w="7239"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（1）提供数据字典管理，对系统中基础代码和基础信息的维护管理功能，能维护系统国家标准、校内标准、行业标准、教育部标准4大类基础代码表。</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（2）提供用户权限管理，维护系统用户操作权限，支持按照角色对权限进行分配，能按照校区、院系、年级、专业设置用户的数据权限范围，权限分离清晰、明确。</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3）提供账户管理，支持新增、修改、删除用户的功能，无用户数据则不能登录系统。能设置用户的登陆信息包括登录名,状态,姓名,邮箱,生效时间（开始时间）；也可以设置用户密码过期时间，在有效期内，用户可以正常登陆，超出有效期，则用户冻结或则用户密码失效。</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4）提供日志查询功能，能更好的保障系统及其数据的安全性。可以基于用户、IP对系统进行管理，提供查看重要数据（如排课数据、选课数据、成绩数据等）的操作日志功能，可查询的日志内容包括：修改时间、使用人（用户及IP）、操作模块、修改内容等。</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5）提供会话监控功能，能实时监控用户的登陆情况，包括用户ip，操作系统以及浏览器版本，在线时长等信息，查询用户的历史登陆情况，为管理员提供用户活动数据，并在需要的时候，可以对某个用户的上线情况进行跟踪。</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提供系统运行信息，包括运行状态，服务器内存使用情况，当前线程数等运行参数，为系统的运行管理提供便捷</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6）提供系统参数配置功能，可以设置文件上传路径设置功能，能自定义设置学生照片、教师照片、实习报告、毕业设计报告等文档在服务器的保存路径。同时支持学生照片，教学大纲，课程小结，课程计划的上传的文件路径设置。</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（7）提供流程管理功能，提供系统业务流程（例如课程大纲管理流程）的配置管理功能，实现流程的动态配置。</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8）提供发布通知公告的功能，实现按不同用户类型推送不同的公告信息的功能。提供添加、修改、删除、查看面向学生、教师、管理员公告。公告数据必填字段包括公告标题,公告内容；选填字段为学生类别，所在院系；</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（9）提供站内消息发送功能，实现系统内消息的发送与接收，提供维护教务系统内站内信功能（发送站内信、接受站内信、查看站内信、删除站内信），并可以根据用户角色来限制发送信息的范围时间。</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（10）提供发布文件的功能，实现上传、删除、查看面向学生、教师、管理员系统文档；新增时必填信息为学生类别，所在院系，上传文件路径；</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（11）★系统需支持管理员自定义设置系统默认每页展示数据条数，支持自定义字段显示，例如显示界面共有多个字段，可以任意选择需显示的字段，并支持通过拖拽字段自定义字段显示宽度。</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12）★支持邮箱、短信、app和微信推送设置和消息模板设置，可推送的信息包括但不限于课表发布提醒（面向老师和学生），退课提醒，考试安排发布，监考安排发布，成绩发布，调课发布。支持消息留言板功能，学生端可以发布消息留言，管理员进行问题回复。</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13）★系统应支持快捷入口自定义功能，并且能够通过拖拽方式对各快捷入口进行显示顺序的调整；应能够支持记录最近访问的功能（至少包括十个），在任一界面均可调取最近访问功能，且每个访问功能可以展示多久前访问的，系统根据访问时间由近及远进行排序展示，点击相应功能可快速访问相应功能界面；系统应支持管理员可以在任何操作界面进行功能菜单的检索，应支持模糊查询，输入查询过程中能够实时展示相关功能菜单，帮助操作人员快速定位所需功能。</w:t>
            </w:r>
          </w:p>
        </w:tc>
      </w:tr>
    </w:tbl>
    <w:p>
      <w:pPr>
        <w:tabs>
          <w:tab w:val="left" w:pos="540"/>
        </w:tabs>
        <w:snapToGrid w:val="0"/>
        <w:spacing w:before="120" w:beforeLines="50" w:line="360" w:lineRule="auto"/>
        <w:outlineLvl w:val="3"/>
      </w:pPr>
      <w:r>
        <w:rPr>
          <w:rFonts w:hint="eastAsia" w:ascii="宋体" w:hAnsi="宋体"/>
          <w:b/>
          <w:szCs w:val="21"/>
        </w:rPr>
        <w:t>3.26</w:t>
      </w:r>
      <w:bookmarkStart w:id="443" w:name="_Toc85458141"/>
      <w:r>
        <w:rPr>
          <w:rFonts w:hint="eastAsia" w:ascii="宋体" w:hAnsi="宋体"/>
          <w:b/>
          <w:szCs w:val="21"/>
        </w:rPr>
        <w:t>其他服务</w:t>
      </w:r>
      <w:bookmarkEnd w:id="443"/>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1495"/>
        <w:gridCol w:w="6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 w:type="dxa"/>
            <w:shd w:val="clear" w:color="auto" w:fill="D7D7D7"/>
            <w:noWrap w:val="0"/>
            <w:vAlign w:val="center"/>
          </w:tcPr>
          <w:p>
            <w:pPr>
              <w:pStyle w:val="24"/>
              <w:spacing w:after="0" w:line="360" w:lineRule="auto"/>
              <w:ind w:left="0" w:leftChars="0" w:firstLine="0" w:firstLineChars="0"/>
              <w:jc w:val="center"/>
              <w:rPr>
                <w:b/>
                <w:bCs/>
                <w:color w:val="000000"/>
                <w:sz w:val="21"/>
                <w:szCs w:val="21"/>
              </w:rPr>
            </w:pPr>
            <w:r>
              <w:rPr>
                <w:rFonts w:hint="eastAsia"/>
                <w:b/>
                <w:bCs/>
                <w:color w:val="000000"/>
                <w:sz w:val="21"/>
                <w:szCs w:val="21"/>
              </w:rPr>
              <w:t>序号</w:t>
            </w:r>
          </w:p>
        </w:tc>
        <w:tc>
          <w:tcPr>
            <w:tcW w:w="1495" w:type="dxa"/>
            <w:shd w:val="clear" w:color="auto" w:fill="D7D7D7"/>
            <w:noWrap w:val="0"/>
            <w:vAlign w:val="center"/>
          </w:tcPr>
          <w:p>
            <w:pPr>
              <w:pStyle w:val="24"/>
              <w:spacing w:after="0" w:line="360" w:lineRule="auto"/>
              <w:ind w:left="0" w:leftChars="0" w:firstLine="0" w:firstLineChars="0"/>
              <w:jc w:val="center"/>
              <w:rPr>
                <w:rFonts w:hint="eastAsia"/>
                <w:b/>
                <w:bCs/>
                <w:color w:val="000000"/>
                <w:sz w:val="21"/>
                <w:szCs w:val="21"/>
              </w:rPr>
            </w:pPr>
            <w:r>
              <w:rPr>
                <w:rFonts w:hint="eastAsia"/>
                <w:b/>
                <w:bCs/>
                <w:color w:val="000000"/>
                <w:sz w:val="21"/>
                <w:szCs w:val="21"/>
              </w:rPr>
              <w:t>需求类别</w:t>
            </w:r>
          </w:p>
        </w:tc>
        <w:tc>
          <w:tcPr>
            <w:tcW w:w="6102" w:type="dxa"/>
            <w:shd w:val="clear" w:color="auto" w:fill="D7D7D7"/>
            <w:noWrap w:val="0"/>
            <w:vAlign w:val="center"/>
          </w:tcPr>
          <w:p>
            <w:pPr>
              <w:pStyle w:val="24"/>
              <w:spacing w:after="0" w:line="360" w:lineRule="auto"/>
              <w:ind w:left="0" w:leftChars="0" w:firstLine="0" w:firstLineChars="0"/>
              <w:jc w:val="center"/>
              <w:rPr>
                <w:rFonts w:ascii="Calibri" w:hAnsi="Calibri"/>
                <w:b/>
                <w:bCs/>
                <w:color w:val="000000"/>
                <w:sz w:val="21"/>
                <w:szCs w:val="21"/>
              </w:rPr>
            </w:pPr>
            <w:r>
              <w:rPr>
                <w:rFonts w:hint="eastAsia" w:ascii="Calibri" w:hAnsi="Calibri"/>
                <w:b/>
                <w:bCs/>
                <w:color w:val="000000"/>
                <w:sz w:val="21"/>
                <w:szCs w:val="21"/>
              </w:rPr>
              <w:t>具体需求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 w:type="dxa"/>
            <w:noWrap w:val="0"/>
            <w:vAlign w:val="center"/>
          </w:tcPr>
          <w:p>
            <w:pPr>
              <w:pStyle w:val="24"/>
              <w:spacing w:after="0" w:line="360" w:lineRule="auto"/>
              <w:ind w:left="0" w:leftChars="0" w:firstLine="0" w:firstLineChars="0"/>
              <w:rPr>
                <w:color w:val="000000"/>
                <w:sz w:val="21"/>
                <w:szCs w:val="21"/>
              </w:rPr>
            </w:pPr>
            <w:r>
              <w:rPr>
                <w:rFonts w:hint="eastAsia"/>
                <w:color w:val="000000"/>
                <w:sz w:val="21"/>
                <w:szCs w:val="21"/>
              </w:rPr>
              <w:t>3.2</w:t>
            </w:r>
            <w:r>
              <w:rPr>
                <w:rFonts w:hint="eastAsia"/>
                <w:color w:val="000000"/>
                <w:sz w:val="21"/>
                <w:szCs w:val="21"/>
                <w:lang w:val="en-US" w:eastAsia="zh-CN"/>
              </w:rPr>
              <w:t>6</w:t>
            </w:r>
            <w:r>
              <w:rPr>
                <w:rFonts w:hint="eastAsia"/>
                <w:color w:val="000000"/>
                <w:sz w:val="21"/>
                <w:szCs w:val="21"/>
              </w:rPr>
              <w:t>.1</w:t>
            </w:r>
          </w:p>
        </w:tc>
        <w:tc>
          <w:tcPr>
            <w:tcW w:w="1495" w:type="dxa"/>
            <w:vMerge w:val="restart"/>
            <w:noWrap w:val="0"/>
            <w:vAlign w:val="center"/>
          </w:tcPr>
          <w:p>
            <w:pPr>
              <w:pStyle w:val="24"/>
              <w:spacing w:after="0" w:line="360" w:lineRule="auto"/>
              <w:ind w:left="0" w:leftChars="0" w:firstLine="0" w:firstLineChars="0"/>
              <w:jc w:val="center"/>
              <w:rPr>
                <w:rFonts w:hint="eastAsia"/>
                <w:color w:val="000000"/>
                <w:sz w:val="21"/>
                <w:szCs w:val="21"/>
              </w:rPr>
            </w:pPr>
            <w:r>
              <w:rPr>
                <w:rFonts w:hint="eastAsia"/>
                <w:color w:val="000000"/>
                <w:sz w:val="21"/>
                <w:szCs w:val="21"/>
              </w:rPr>
              <w:t>数据集成</w:t>
            </w:r>
          </w:p>
        </w:tc>
        <w:tc>
          <w:tcPr>
            <w:tcW w:w="6102" w:type="dxa"/>
            <w:noWrap w:val="0"/>
            <w:vAlign w:val="center"/>
          </w:tcPr>
          <w:p>
            <w:pPr>
              <w:pStyle w:val="24"/>
              <w:spacing w:after="0" w:line="360" w:lineRule="auto"/>
              <w:ind w:left="0" w:leftChars="0" w:firstLine="0" w:firstLineChars="0"/>
              <w:rPr>
                <w:rFonts w:hint="eastAsia"/>
                <w:color w:val="000000"/>
                <w:sz w:val="21"/>
                <w:szCs w:val="21"/>
              </w:rPr>
            </w:pPr>
            <w:r>
              <w:rPr>
                <w:rFonts w:hint="eastAsia"/>
                <w:color w:val="000000"/>
                <w:sz w:val="21"/>
                <w:szCs w:val="21"/>
              </w:rPr>
              <w:t>1、提供单点登录接口，实现同学校统一身份认证平台的集成。</w:t>
            </w:r>
          </w:p>
          <w:p>
            <w:pPr>
              <w:pStyle w:val="24"/>
              <w:spacing w:after="0" w:line="360" w:lineRule="auto"/>
              <w:ind w:left="0" w:leftChars="0" w:firstLine="0" w:firstLineChars="0"/>
              <w:rPr>
                <w:rFonts w:hint="eastAsia"/>
                <w:color w:val="000000"/>
                <w:sz w:val="21"/>
                <w:szCs w:val="21"/>
              </w:rPr>
            </w:pPr>
            <w:r>
              <w:rPr>
                <w:rFonts w:hint="eastAsia"/>
                <w:color w:val="000000"/>
                <w:sz w:val="21"/>
                <w:szCs w:val="21"/>
              </w:rPr>
              <w:t>2、按照学校统一的信息标准实施，提供对接其他业务系统的数据采集视图，包含全部数据结构、字典、字段说明文档。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 w:type="dxa"/>
            <w:noWrap w:val="0"/>
            <w:vAlign w:val="center"/>
          </w:tcPr>
          <w:p>
            <w:pPr>
              <w:pStyle w:val="24"/>
              <w:spacing w:after="0" w:line="360" w:lineRule="auto"/>
              <w:ind w:left="0" w:leftChars="0" w:firstLine="0" w:firstLineChars="0"/>
              <w:rPr>
                <w:rFonts w:hint="default" w:eastAsia="宋体"/>
                <w:color w:val="000000"/>
                <w:sz w:val="21"/>
                <w:szCs w:val="21"/>
                <w:lang w:val="en-US" w:eastAsia="zh-CN"/>
              </w:rPr>
            </w:pPr>
            <w:r>
              <w:rPr>
                <w:rFonts w:hint="eastAsia"/>
                <w:color w:val="000000"/>
                <w:sz w:val="21"/>
                <w:szCs w:val="21"/>
                <w:lang w:val="en-US" w:eastAsia="zh-CN"/>
              </w:rPr>
              <w:t>3.26.2</w:t>
            </w:r>
          </w:p>
        </w:tc>
        <w:tc>
          <w:tcPr>
            <w:tcW w:w="1495" w:type="dxa"/>
            <w:vMerge w:val="continue"/>
            <w:noWrap w:val="0"/>
            <w:vAlign w:val="center"/>
          </w:tcPr>
          <w:p>
            <w:pPr>
              <w:pStyle w:val="24"/>
              <w:spacing w:after="0" w:line="360" w:lineRule="auto"/>
              <w:ind w:left="0" w:leftChars="0" w:firstLine="0" w:firstLineChars="0"/>
              <w:jc w:val="center"/>
              <w:rPr>
                <w:rFonts w:hint="eastAsia"/>
                <w:color w:val="000000"/>
                <w:sz w:val="21"/>
                <w:szCs w:val="21"/>
              </w:rPr>
            </w:pPr>
          </w:p>
        </w:tc>
        <w:tc>
          <w:tcPr>
            <w:tcW w:w="6102" w:type="dxa"/>
            <w:noWrap w:val="0"/>
            <w:vAlign w:val="center"/>
          </w:tcPr>
          <w:p>
            <w:pPr>
              <w:rPr>
                <w:rFonts w:hint="eastAsia"/>
              </w:rPr>
            </w:pPr>
            <w:r>
              <w:rPr>
                <w:rFonts w:hint="eastAsia"/>
              </w:rPr>
              <w:t>1、与学校统一身份认证平台对接，实现同学校统一身份认证平台的集成。</w:t>
            </w:r>
          </w:p>
          <w:p>
            <w:pPr>
              <w:rPr>
                <w:rFonts w:hint="eastAsia"/>
                <w:lang w:eastAsia="zh-CN"/>
              </w:rPr>
            </w:pPr>
            <w:r>
              <w:rPr>
                <w:rFonts w:hint="eastAsia"/>
              </w:rPr>
              <w:t>2、按照学校统一的信息标准实施,与学校数据中心平台实现对接与学校信息门户对接</w:t>
            </w:r>
            <w:r>
              <w:rPr>
                <w:rFonts w:hint="eastAsia"/>
                <w:lang w:eastAsia="zh-CN"/>
              </w:rPr>
              <w:t>。</w:t>
            </w:r>
          </w:p>
          <w:p>
            <w:pPr>
              <w:rPr>
                <w:rFonts w:hint="eastAsia"/>
                <w:lang w:val="en-US" w:eastAsia="zh-CN"/>
              </w:rPr>
            </w:pPr>
            <w:r>
              <w:rPr>
                <w:rFonts w:hint="eastAsia"/>
                <w:lang w:val="en-US" w:eastAsia="zh-CN"/>
              </w:rPr>
              <w:t>3、与学校信息门户对接，实现与学校信息门户的集成。</w:t>
            </w:r>
          </w:p>
          <w:p>
            <w:pPr>
              <w:rPr>
                <w:rFonts w:hint="eastAsia"/>
                <w:lang w:val="en-US" w:eastAsia="zh-CN"/>
              </w:rPr>
            </w:pPr>
            <w:r>
              <w:rPr>
                <w:rFonts w:hint="eastAsia"/>
                <w:lang w:val="en-US" w:eastAsia="zh-CN"/>
              </w:rPr>
              <w:t>4、与学校顶岗实习系统对接，实现与顶岗实习系统集成。</w:t>
            </w:r>
          </w:p>
          <w:p>
            <w:pPr>
              <w:rPr>
                <w:rFonts w:hint="eastAsia"/>
                <w:color w:val="000000"/>
                <w:sz w:val="21"/>
                <w:szCs w:val="21"/>
              </w:rPr>
            </w:pPr>
            <w:r>
              <w:rPr>
                <w:rFonts w:hint="eastAsia"/>
                <w:lang w:val="en-US" w:eastAsia="zh-CN"/>
              </w:rPr>
              <w:t>供应商需针对此项提供可以履约的承诺书。</w:t>
            </w:r>
          </w:p>
        </w:tc>
      </w:tr>
    </w:tbl>
    <w:p>
      <w:pPr>
        <w:pStyle w:val="5"/>
        <w:spacing w:before="240" w:beforeLines="100" w:after="0" w:line="413" w:lineRule="auto"/>
        <w:jc w:val="both"/>
        <w:rPr>
          <w:rFonts w:hint="default" w:ascii="宋体" w:hAnsi="宋体" w:eastAsia="宋体" w:cs="宋体"/>
          <w:snapToGrid w:val="0"/>
          <w:kern w:val="0"/>
          <w:sz w:val="21"/>
          <w:szCs w:val="21"/>
          <w:lang w:val="en-US" w:eastAsia="zh-CN"/>
        </w:rPr>
      </w:pPr>
      <w:r>
        <w:rPr>
          <w:rFonts w:hint="eastAsia" w:ascii="宋体" w:hAnsi="宋体" w:cs="宋体"/>
          <w:snapToGrid w:val="0"/>
          <w:kern w:val="0"/>
          <w:sz w:val="21"/>
          <w:szCs w:val="21"/>
        </w:rPr>
        <w:t>（四）</w:t>
      </w:r>
      <w:r>
        <w:rPr>
          <w:rFonts w:hint="eastAsia" w:hAnsi="宋体" w:cs="宋体"/>
          <w:snapToGrid w:val="0"/>
          <w:kern w:val="0"/>
          <w:sz w:val="21"/>
          <w:szCs w:val="21"/>
          <w:lang w:val="en-US" w:eastAsia="zh-CN"/>
        </w:rPr>
        <w:t>商务要求</w:t>
      </w:r>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1372"/>
        <w:gridCol w:w="5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87" w:type="dxa"/>
            <w:shd w:val="clear" w:color="auto" w:fill="BEBEBE" w:themeFill="background1" w:themeFillShade="BF"/>
            <w:vAlign w:val="top"/>
          </w:tcPr>
          <w:p>
            <w:pPr>
              <w:tabs>
                <w:tab w:val="left" w:pos="426"/>
              </w:tabs>
              <w:autoSpaceDE w:val="0"/>
              <w:autoSpaceDN w:val="0"/>
              <w:adjustRightInd w:val="0"/>
              <w:snapToGrid w:val="0"/>
              <w:spacing w:line="360" w:lineRule="auto"/>
              <w:jc w:val="center"/>
              <w:rPr>
                <w:rFonts w:hint="eastAsia" w:ascii="宋体" w:hAnsi="宋体" w:eastAsia="宋体" w:cs="宋体"/>
                <w:b/>
                <w:bCs/>
                <w:snapToGrid w:val="0"/>
                <w:kern w:val="0"/>
                <w:szCs w:val="21"/>
                <w:vertAlign w:val="baseline"/>
                <w:lang w:val="en-US" w:eastAsia="zh-CN"/>
              </w:rPr>
            </w:pPr>
            <w:r>
              <w:rPr>
                <w:rFonts w:hint="eastAsia" w:ascii="宋体" w:hAnsi="宋体" w:cs="宋体"/>
                <w:b/>
                <w:bCs/>
                <w:snapToGrid w:val="0"/>
                <w:kern w:val="0"/>
                <w:szCs w:val="21"/>
                <w:vertAlign w:val="baseline"/>
                <w:lang w:val="en-US" w:eastAsia="zh-CN"/>
              </w:rPr>
              <w:t>序号</w:t>
            </w:r>
          </w:p>
        </w:tc>
        <w:tc>
          <w:tcPr>
            <w:tcW w:w="1372" w:type="dxa"/>
            <w:shd w:val="clear" w:color="auto" w:fill="BEBEBE" w:themeFill="background1" w:themeFillShade="BF"/>
            <w:vAlign w:val="top"/>
          </w:tcPr>
          <w:p>
            <w:pPr>
              <w:tabs>
                <w:tab w:val="left" w:pos="426"/>
              </w:tabs>
              <w:autoSpaceDE w:val="0"/>
              <w:autoSpaceDN w:val="0"/>
              <w:adjustRightInd w:val="0"/>
              <w:snapToGrid w:val="0"/>
              <w:spacing w:line="360" w:lineRule="auto"/>
              <w:jc w:val="center"/>
              <w:rPr>
                <w:rFonts w:hint="default" w:ascii="宋体" w:hAnsi="宋体" w:eastAsia="宋体" w:cs="宋体"/>
                <w:b/>
                <w:bCs/>
                <w:snapToGrid w:val="0"/>
                <w:kern w:val="0"/>
                <w:szCs w:val="21"/>
                <w:vertAlign w:val="baseline"/>
                <w:lang w:val="en-US" w:eastAsia="zh-CN"/>
              </w:rPr>
            </w:pPr>
            <w:r>
              <w:rPr>
                <w:rFonts w:hint="eastAsia" w:ascii="宋体" w:hAnsi="宋体" w:cs="宋体"/>
                <w:b/>
                <w:bCs/>
                <w:snapToGrid w:val="0"/>
                <w:kern w:val="0"/>
                <w:szCs w:val="21"/>
                <w:vertAlign w:val="baseline"/>
                <w:lang w:val="en-US" w:eastAsia="zh-CN"/>
              </w:rPr>
              <w:t>商务内容</w:t>
            </w:r>
          </w:p>
        </w:tc>
        <w:tc>
          <w:tcPr>
            <w:tcW w:w="5770" w:type="dxa"/>
            <w:shd w:val="clear" w:color="auto" w:fill="BEBEBE" w:themeFill="background1" w:themeFillShade="BF"/>
            <w:vAlign w:val="top"/>
          </w:tcPr>
          <w:p>
            <w:pPr>
              <w:tabs>
                <w:tab w:val="left" w:pos="426"/>
              </w:tabs>
              <w:autoSpaceDE w:val="0"/>
              <w:autoSpaceDN w:val="0"/>
              <w:adjustRightInd w:val="0"/>
              <w:snapToGrid w:val="0"/>
              <w:spacing w:line="360" w:lineRule="auto"/>
              <w:jc w:val="center"/>
              <w:rPr>
                <w:rFonts w:hint="default" w:ascii="宋体" w:hAnsi="宋体" w:eastAsia="宋体" w:cs="宋体"/>
                <w:b/>
                <w:bCs/>
                <w:snapToGrid w:val="0"/>
                <w:kern w:val="0"/>
                <w:szCs w:val="21"/>
                <w:vertAlign w:val="baseline"/>
                <w:lang w:val="en-US" w:eastAsia="zh-CN"/>
              </w:rPr>
            </w:pPr>
            <w:r>
              <w:rPr>
                <w:rFonts w:hint="eastAsia" w:ascii="宋体" w:hAnsi="宋体" w:cs="宋体"/>
                <w:b/>
                <w:bCs/>
                <w:snapToGrid w:val="0"/>
                <w:kern w:val="0"/>
                <w:szCs w:val="21"/>
                <w:vertAlign w:val="baseline"/>
                <w:lang w:val="en-US" w:eastAsia="zh-CN"/>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vAlign w:val="center"/>
          </w:tcPr>
          <w:p>
            <w:pPr>
              <w:tabs>
                <w:tab w:val="left" w:pos="426"/>
              </w:tabs>
              <w:autoSpaceDE w:val="0"/>
              <w:autoSpaceDN w:val="0"/>
              <w:adjustRightInd w:val="0"/>
              <w:snapToGrid w:val="0"/>
              <w:spacing w:line="360" w:lineRule="auto"/>
              <w:jc w:val="center"/>
              <w:rPr>
                <w:rFonts w:hint="default" w:ascii="宋体" w:hAnsi="宋体" w:cs="宋体"/>
                <w:snapToGrid w:val="0"/>
                <w:kern w:val="0"/>
                <w:szCs w:val="21"/>
                <w:vertAlign w:val="baseline"/>
                <w:lang w:val="en-US" w:eastAsia="zh-CN"/>
              </w:rPr>
            </w:pPr>
            <w:r>
              <w:rPr>
                <w:rFonts w:hint="eastAsia" w:ascii="宋体" w:hAnsi="宋体" w:cs="宋体"/>
                <w:snapToGrid w:val="0"/>
                <w:kern w:val="0"/>
                <w:szCs w:val="21"/>
                <w:vertAlign w:val="baseline"/>
                <w:lang w:val="en-US" w:eastAsia="zh-CN"/>
              </w:rPr>
              <w:t>4.1</w:t>
            </w:r>
          </w:p>
        </w:tc>
        <w:tc>
          <w:tcPr>
            <w:tcW w:w="1372" w:type="dxa"/>
            <w:vAlign w:val="center"/>
          </w:tcPr>
          <w:p>
            <w:pPr>
              <w:tabs>
                <w:tab w:val="left" w:pos="426"/>
              </w:tabs>
              <w:autoSpaceDE w:val="0"/>
              <w:autoSpaceDN w:val="0"/>
              <w:adjustRightInd w:val="0"/>
              <w:snapToGrid w:val="0"/>
              <w:spacing w:line="360" w:lineRule="auto"/>
              <w:jc w:val="center"/>
              <w:rPr>
                <w:rFonts w:hint="eastAsia" w:ascii="宋体" w:hAnsi="宋体" w:cs="宋体"/>
                <w:b w:val="0"/>
                <w:bCs w:val="0"/>
                <w:snapToGrid w:val="0"/>
                <w:kern w:val="0"/>
                <w:szCs w:val="21"/>
                <w:vertAlign w:val="baseline"/>
                <w:lang w:val="en-US" w:eastAsia="zh-CN"/>
              </w:rPr>
            </w:pPr>
            <w:r>
              <w:rPr>
                <w:rFonts w:hint="eastAsia" w:ascii="宋体" w:hAnsi="宋体" w:cs="宋体"/>
                <w:b w:val="0"/>
                <w:bCs w:val="0"/>
                <w:snapToGrid w:val="0"/>
                <w:kern w:val="0"/>
                <w:szCs w:val="21"/>
                <w:vertAlign w:val="baseline"/>
                <w:lang w:val="en-US" w:eastAsia="zh-CN"/>
              </w:rPr>
              <w:t>项目实施要求</w:t>
            </w:r>
          </w:p>
        </w:tc>
        <w:tc>
          <w:tcPr>
            <w:tcW w:w="5770" w:type="dxa"/>
            <w:vAlign w:val="center"/>
          </w:tcPr>
          <w:p>
            <w:pPr>
              <w:tabs>
                <w:tab w:val="left" w:pos="426"/>
              </w:tabs>
              <w:autoSpaceDE w:val="0"/>
              <w:autoSpaceDN w:val="0"/>
              <w:adjustRightInd w:val="0"/>
              <w:snapToGrid w:val="0"/>
              <w:spacing w:line="360" w:lineRule="auto"/>
              <w:jc w:val="left"/>
              <w:rPr>
                <w:rFonts w:hint="eastAsia" w:ascii="宋体" w:hAnsi="宋体" w:cs="宋体"/>
                <w:snapToGrid w:val="0"/>
                <w:kern w:val="0"/>
                <w:szCs w:val="21"/>
              </w:rPr>
            </w:pPr>
            <w:r>
              <w:rPr>
                <w:rFonts w:hint="eastAsia" w:ascii="宋体" w:hAnsi="宋体" w:cs="宋体"/>
                <w:snapToGrid w:val="0"/>
                <w:kern w:val="0"/>
                <w:szCs w:val="21"/>
              </w:rPr>
              <w:t>（1）</w:t>
            </w:r>
            <w:r>
              <w:rPr>
                <w:rFonts w:hint="eastAsia" w:ascii="宋体" w:hAnsi="宋体" w:cs="宋体"/>
                <w:snapToGrid w:val="0"/>
                <w:kern w:val="0"/>
                <w:szCs w:val="21"/>
                <w:lang w:eastAsia="zh-CN"/>
              </w:rPr>
              <w:t>供应商</w:t>
            </w:r>
            <w:r>
              <w:rPr>
                <w:rFonts w:hint="eastAsia" w:ascii="宋体" w:hAnsi="宋体" w:cs="宋体"/>
                <w:snapToGrid w:val="0"/>
                <w:kern w:val="0"/>
                <w:szCs w:val="21"/>
              </w:rPr>
              <w:t>必须成立合理的组织机构，建立健全保障项目顺利实施的各项管理制度和质量保证体系，安排好足够的高素质人才参加本项目的建设；在项目机构中应明确各岗位的职责、任职资格及成果，确保工程顺利实施。根据工作的业务性质，应配备有优势的项目经理、技术总监等人员承担本项目工作。</w:t>
            </w:r>
          </w:p>
          <w:p>
            <w:pPr>
              <w:tabs>
                <w:tab w:val="left" w:pos="426"/>
              </w:tabs>
              <w:autoSpaceDE w:val="0"/>
              <w:autoSpaceDN w:val="0"/>
              <w:adjustRightInd w:val="0"/>
              <w:snapToGrid w:val="0"/>
              <w:spacing w:line="360" w:lineRule="auto"/>
              <w:jc w:val="left"/>
              <w:rPr>
                <w:rFonts w:hint="eastAsia" w:ascii="宋体" w:hAnsi="宋体" w:cs="宋体"/>
                <w:snapToGrid w:val="0"/>
                <w:kern w:val="0"/>
                <w:szCs w:val="21"/>
              </w:rPr>
            </w:pPr>
            <w:r>
              <w:rPr>
                <w:rFonts w:hint="eastAsia" w:ascii="宋体" w:hAnsi="宋体" w:cs="宋体"/>
                <w:snapToGrid w:val="0"/>
                <w:kern w:val="0"/>
                <w:szCs w:val="21"/>
              </w:rPr>
              <w:t>（2）项目组人员必须具有类似职责的集成、开发经验，能够与用户进行良好的沟通，并掌握智慧校园和教务领域的相关基础知识。</w:t>
            </w:r>
          </w:p>
          <w:p>
            <w:pPr>
              <w:tabs>
                <w:tab w:val="left" w:pos="426"/>
              </w:tabs>
              <w:autoSpaceDE w:val="0"/>
              <w:autoSpaceDN w:val="0"/>
              <w:adjustRightInd w:val="0"/>
              <w:snapToGrid w:val="0"/>
              <w:spacing w:line="360" w:lineRule="auto"/>
              <w:jc w:val="left"/>
              <w:rPr>
                <w:rFonts w:hint="eastAsia" w:ascii="宋体" w:hAnsi="宋体" w:cs="宋体"/>
                <w:snapToGrid w:val="0"/>
                <w:kern w:val="0"/>
                <w:szCs w:val="21"/>
                <w:vertAlign w:val="baseline"/>
                <w:lang w:val="en-US" w:eastAsia="zh-CN"/>
              </w:rPr>
            </w:pPr>
            <w:r>
              <w:rPr>
                <w:rFonts w:hint="eastAsia" w:ascii="宋体" w:hAnsi="宋体" w:cs="宋体"/>
                <w:snapToGrid w:val="0"/>
                <w:kern w:val="0"/>
                <w:szCs w:val="21"/>
              </w:rPr>
              <w:t>（3）参与此项目的技术人员必须具有强烈的服务意识和高度的责任感。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vAlign w:val="center"/>
          </w:tcPr>
          <w:p>
            <w:pPr>
              <w:tabs>
                <w:tab w:val="left" w:pos="426"/>
              </w:tabs>
              <w:autoSpaceDE w:val="0"/>
              <w:autoSpaceDN w:val="0"/>
              <w:adjustRightInd w:val="0"/>
              <w:snapToGrid w:val="0"/>
              <w:spacing w:line="360" w:lineRule="auto"/>
              <w:jc w:val="center"/>
              <w:rPr>
                <w:rFonts w:hint="default" w:ascii="宋体" w:hAnsi="宋体" w:cs="宋体"/>
                <w:snapToGrid w:val="0"/>
                <w:kern w:val="0"/>
                <w:szCs w:val="21"/>
                <w:vertAlign w:val="baseline"/>
                <w:lang w:val="en-US" w:eastAsia="zh-CN"/>
              </w:rPr>
            </w:pPr>
            <w:r>
              <w:rPr>
                <w:rFonts w:hint="eastAsia" w:ascii="宋体" w:hAnsi="宋体" w:cs="宋体"/>
                <w:snapToGrid w:val="0"/>
                <w:kern w:val="0"/>
                <w:szCs w:val="21"/>
                <w:vertAlign w:val="baseline"/>
                <w:lang w:val="en-US" w:eastAsia="zh-CN"/>
              </w:rPr>
              <w:t>4.2</w:t>
            </w:r>
          </w:p>
        </w:tc>
        <w:tc>
          <w:tcPr>
            <w:tcW w:w="1372" w:type="dxa"/>
            <w:vAlign w:val="center"/>
          </w:tcPr>
          <w:p>
            <w:pPr>
              <w:tabs>
                <w:tab w:val="left" w:pos="426"/>
              </w:tabs>
              <w:autoSpaceDE w:val="0"/>
              <w:autoSpaceDN w:val="0"/>
              <w:adjustRightInd w:val="0"/>
              <w:snapToGrid w:val="0"/>
              <w:spacing w:line="360" w:lineRule="auto"/>
              <w:jc w:val="center"/>
              <w:rPr>
                <w:rFonts w:hint="eastAsia" w:ascii="宋体" w:hAnsi="宋体" w:cs="宋体"/>
                <w:b w:val="0"/>
                <w:bCs w:val="0"/>
                <w:snapToGrid w:val="0"/>
                <w:kern w:val="0"/>
                <w:szCs w:val="21"/>
                <w:vertAlign w:val="baseline"/>
                <w:lang w:val="en-US" w:eastAsia="zh-CN"/>
              </w:rPr>
            </w:pPr>
            <w:r>
              <w:rPr>
                <w:rFonts w:hint="eastAsia" w:ascii="宋体" w:hAnsi="宋体"/>
                <w:b w:val="0"/>
                <w:bCs w:val="0"/>
                <w:szCs w:val="21"/>
              </w:rPr>
              <w:t>安全要求</w:t>
            </w:r>
          </w:p>
        </w:tc>
        <w:tc>
          <w:tcPr>
            <w:tcW w:w="5770" w:type="dxa"/>
            <w:vAlign w:val="center"/>
          </w:tcPr>
          <w:p>
            <w:pPr>
              <w:tabs>
                <w:tab w:val="left" w:pos="426"/>
              </w:tabs>
              <w:autoSpaceDE w:val="0"/>
              <w:autoSpaceDN w:val="0"/>
              <w:adjustRightInd w:val="0"/>
              <w:snapToGrid w:val="0"/>
              <w:spacing w:line="360" w:lineRule="auto"/>
              <w:jc w:val="left"/>
              <w:rPr>
                <w:rFonts w:hint="eastAsia" w:ascii="宋体" w:hAnsi="宋体" w:cs="宋体"/>
                <w:snapToGrid w:val="0"/>
                <w:kern w:val="0"/>
                <w:szCs w:val="21"/>
              </w:rPr>
            </w:pPr>
            <w:r>
              <w:rPr>
                <w:rFonts w:hint="eastAsia" w:ascii="宋体" w:hAnsi="宋体" w:cs="宋体"/>
                <w:snapToGrid w:val="0"/>
                <w:kern w:val="0"/>
                <w:szCs w:val="21"/>
              </w:rPr>
              <w:t>随着信息安全的重要性越来越突出，为保障项目实施过程中的信息安全，</w:t>
            </w:r>
            <w:r>
              <w:rPr>
                <w:rFonts w:hint="eastAsia" w:ascii="宋体" w:hAnsi="宋体" w:cs="宋体"/>
                <w:snapToGrid w:val="0"/>
                <w:kern w:val="0"/>
                <w:szCs w:val="21"/>
                <w:lang w:eastAsia="zh-CN"/>
              </w:rPr>
              <w:t>供应商</w:t>
            </w:r>
            <w:r>
              <w:rPr>
                <w:rFonts w:hint="eastAsia" w:ascii="宋体" w:hAnsi="宋体" w:cs="宋体"/>
                <w:snapToGrid w:val="0"/>
                <w:kern w:val="0"/>
                <w:szCs w:val="21"/>
              </w:rPr>
              <w:t>必须具有丰富的系统信息安全服务经验，且具有一定的安全认证资质。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vAlign w:val="center"/>
          </w:tcPr>
          <w:p>
            <w:pPr>
              <w:tabs>
                <w:tab w:val="left" w:pos="426"/>
              </w:tabs>
              <w:autoSpaceDE w:val="0"/>
              <w:autoSpaceDN w:val="0"/>
              <w:adjustRightInd w:val="0"/>
              <w:snapToGrid w:val="0"/>
              <w:spacing w:line="360" w:lineRule="auto"/>
              <w:jc w:val="center"/>
              <w:rPr>
                <w:rFonts w:hint="default" w:ascii="宋体" w:hAnsi="宋体" w:cs="宋体"/>
                <w:snapToGrid w:val="0"/>
                <w:kern w:val="0"/>
                <w:szCs w:val="21"/>
                <w:vertAlign w:val="baseline"/>
                <w:lang w:val="en-US" w:eastAsia="zh-CN"/>
              </w:rPr>
            </w:pPr>
            <w:r>
              <w:rPr>
                <w:rFonts w:hint="eastAsia" w:ascii="宋体" w:hAnsi="宋体" w:cs="宋体"/>
                <w:snapToGrid w:val="0"/>
                <w:kern w:val="0"/>
                <w:szCs w:val="21"/>
                <w:vertAlign w:val="baseline"/>
                <w:lang w:val="en-US" w:eastAsia="zh-CN"/>
              </w:rPr>
              <w:t>4.3</w:t>
            </w:r>
          </w:p>
        </w:tc>
        <w:tc>
          <w:tcPr>
            <w:tcW w:w="1372" w:type="dxa"/>
            <w:vAlign w:val="center"/>
          </w:tcPr>
          <w:p>
            <w:pPr>
              <w:tabs>
                <w:tab w:val="left" w:pos="426"/>
              </w:tabs>
              <w:autoSpaceDE w:val="0"/>
              <w:autoSpaceDN w:val="0"/>
              <w:adjustRightInd w:val="0"/>
              <w:snapToGrid w:val="0"/>
              <w:spacing w:line="360" w:lineRule="auto"/>
              <w:jc w:val="center"/>
              <w:rPr>
                <w:rFonts w:hint="eastAsia" w:ascii="宋体" w:hAnsi="宋体"/>
                <w:b w:val="0"/>
                <w:bCs w:val="0"/>
                <w:szCs w:val="21"/>
              </w:rPr>
            </w:pPr>
            <w:r>
              <w:rPr>
                <w:rFonts w:hint="eastAsia" w:ascii="宋体" w:hAnsi="宋体"/>
                <w:b w:val="0"/>
                <w:bCs w:val="0"/>
                <w:szCs w:val="21"/>
              </w:rPr>
              <w:t>软件系统部署与安装</w:t>
            </w:r>
          </w:p>
        </w:tc>
        <w:tc>
          <w:tcPr>
            <w:tcW w:w="5770" w:type="dxa"/>
            <w:vAlign w:val="center"/>
          </w:tcPr>
          <w:p>
            <w:pPr>
              <w:tabs>
                <w:tab w:val="left" w:pos="426"/>
              </w:tabs>
              <w:autoSpaceDE w:val="0"/>
              <w:autoSpaceDN w:val="0"/>
              <w:adjustRightInd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提供本项目采购的教务软件系统的部署与安装、调试和已有应用系统集成及后期维护服务的全部内容。</w:t>
            </w:r>
          </w:p>
          <w:p>
            <w:pPr>
              <w:tabs>
                <w:tab w:val="left" w:pos="426"/>
              </w:tabs>
              <w:autoSpaceDE w:val="0"/>
              <w:autoSpaceDN w:val="0"/>
              <w:adjustRightInd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项目启动后，</w:t>
            </w:r>
            <w:r>
              <w:rPr>
                <w:rFonts w:hint="eastAsia" w:ascii="宋体" w:hAnsi="宋体" w:cs="宋体"/>
                <w:snapToGrid w:val="0"/>
                <w:kern w:val="0"/>
                <w:szCs w:val="21"/>
                <w:lang w:eastAsia="zh-CN"/>
              </w:rPr>
              <w:t>供应商</w:t>
            </w:r>
            <w:r>
              <w:rPr>
                <w:rFonts w:hint="eastAsia" w:ascii="宋体" w:hAnsi="宋体" w:cs="宋体"/>
                <w:snapToGrid w:val="0"/>
                <w:kern w:val="0"/>
                <w:szCs w:val="21"/>
              </w:rPr>
              <w:t>就应允许采购方以及相关的工作人员参与项目系统功能及系统整合本身必须的需求分析、初步设计、单元测试等相关工作。</w:t>
            </w:r>
          </w:p>
          <w:p>
            <w:pPr>
              <w:tabs>
                <w:tab w:val="left" w:pos="426"/>
              </w:tabs>
              <w:autoSpaceDE w:val="0"/>
              <w:autoSpaceDN w:val="0"/>
              <w:adjustRightInd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要求</w:t>
            </w:r>
            <w:r>
              <w:rPr>
                <w:rFonts w:hint="eastAsia" w:ascii="宋体" w:hAnsi="宋体" w:cs="宋体"/>
                <w:snapToGrid w:val="0"/>
                <w:kern w:val="0"/>
                <w:szCs w:val="21"/>
                <w:lang w:eastAsia="zh-CN"/>
              </w:rPr>
              <w:t>供应商</w:t>
            </w:r>
            <w:r>
              <w:rPr>
                <w:rFonts w:hint="eastAsia" w:ascii="宋体" w:hAnsi="宋体" w:cs="宋体"/>
                <w:snapToGrid w:val="0"/>
                <w:kern w:val="0"/>
                <w:szCs w:val="21"/>
              </w:rPr>
              <w:t>必须具有良好信誉和相关实力的技术队伍。</w:t>
            </w:r>
          </w:p>
          <w:p>
            <w:pPr>
              <w:tabs>
                <w:tab w:val="left" w:pos="426"/>
              </w:tabs>
              <w:autoSpaceDE w:val="0"/>
              <w:autoSpaceDN w:val="0"/>
              <w:adjustRightInd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lang w:eastAsia="zh-CN"/>
              </w:rPr>
              <w:t>供应商</w:t>
            </w:r>
            <w:r>
              <w:rPr>
                <w:rFonts w:hint="eastAsia" w:ascii="宋体" w:hAnsi="宋体" w:cs="宋体"/>
                <w:snapToGrid w:val="0"/>
                <w:kern w:val="0"/>
                <w:szCs w:val="21"/>
              </w:rPr>
              <w:t>应本着认真负责态度，组织技术队伍，做好投标的整体方案，并书面提出长期保修、维护、服务以及今后技术支持的措施计划和承诺。</w:t>
            </w:r>
          </w:p>
          <w:p>
            <w:pPr>
              <w:tabs>
                <w:tab w:val="left" w:pos="426"/>
              </w:tabs>
              <w:autoSpaceDE w:val="0"/>
              <w:autoSpaceDN w:val="0"/>
              <w:adjustRightInd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教务系统的部署与安装根据实施计划执行。</w:t>
            </w:r>
          </w:p>
          <w:p>
            <w:pPr>
              <w:tabs>
                <w:tab w:val="left" w:pos="426"/>
              </w:tabs>
              <w:autoSpaceDE w:val="0"/>
              <w:autoSpaceDN w:val="0"/>
              <w:adjustRightInd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所有软件系统均须由</w:t>
            </w:r>
            <w:r>
              <w:rPr>
                <w:rFonts w:hint="eastAsia" w:ascii="宋体" w:hAnsi="宋体" w:cs="宋体"/>
                <w:snapToGrid w:val="0"/>
                <w:kern w:val="0"/>
                <w:szCs w:val="21"/>
                <w:lang w:eastAsia="zh-CN"/>
              </w:rPr>
              <w:t>供应商</w:t>
            </w:r>
            <w:r>
              <w:rPr>
                <w:rFonts w:hint="eastAsia" w:ascii="宋体" w:hAnsi="宋体" w:cs="宋体"/>
                <w:snapToGrid w:val="0"/>
                <w:kern w:val="0"/>
                <w:szCs w:val="21"/>
              </w:rPr>
              <w:t>送货上门并安装调试，用户不再支付任何费用。</w:t>
            </w:r>
          </w:p>
          <w:p>
            <w:pPr>
              <w:tabs>
                <w:tab w:val="left" w:pos="426"/>
              </w:tabs>
              <w:autoSpaceDE w:val="0"/>
              <w:autoSpaceDN w:val="0"/>
              <w:adjustRightInd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lang w:eastAsia="zh-CN"/>
              </w:rPr>
              <w:t>供应商</w:t>
            </w:r>
            <w:r>
              <w:rPr>
                <w:rFonts w:hint="eastAsia" w:ascii="宋体" w:hAnsi="宋体" w:cs="宋体"/>
                <w:snapToGrid w:val="0"/>
                <w:kern w:val="0"/>
                <w:szCs w:val="21"/>
              </w:rPr>
              <w:t>应根据学校师生用户规模和信息安全技术网络安全等级保护要求，所提供产品满足一定的性能和安全要求。</w:t>
            </w:r>
          </w:p>
          <w:p>
            <w:pPr>
              <w:tabs>
                <w:tab w:val="left" w:pos="426"/>
              </w:tabs>
              <w:autoSpaceDE w:val="0"/>
              <w:autoSpaceDN w:val="0"/>
              <w:adjustRightInd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项目实施过程中，需配合学校完成系统通过信息安全技术网络安全等级保护测评工作。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vAlign w:val="center"/>
          </w:tcPr>
          <w:p>
            <w:pPr>
              <w:tabs>
                <w:tab w:val="left" w:pos="426"/>
              </w:tabs>
              <w:autoSpaceDE w:val="0"/>
              <w:autoSpaceDN w:val="0"/>
              <w:adjustRightInd w:val="0"/>
              <w:snapToGrid w:val="0"/>
              <w:spacing w:line="360" w:lineRule="auto"/>
              <w:jc w:val="center"/>
              <w:rPr>
                <w:rFonts w:hint="default" w:ascii="宋体" w:hAnsi="宋体" w:cs="宋体"/>
                <w:snapToGrid w:val="0"/>
                <w:kern w:val="0"/>
                <w:szCs w:val="21"/>
                <w:vertAlign w:val="baseline"/>
                <w:lang w:val="en-US" w:eastAsia="zh-CN"/>
              </w:rPr>
            </w:pPr>
            <w:r>
              <w:rPr>
                <w:rFonts w:hint="eastAsia" w:ascii="宋体" w:hAnsi="宋体" w:cs="宋体"/>
                <w:snapToGrid w:val="0"/>
                <w:kern w:val="0"/>
                <w:szCs w:val="21"/>
                <w:vertAlign w:val="baseline"/>
                <w:lang w:val="en-US" w:eastAsia="zh-CN"/>
              </w:rPr>
              <w:t>4.4</w:t>
            </w:r>
          </w:p>
        </w:tc>
        <w:tc>
          <w:tcPr>
            <w:tcW w:w="1372" w:type="dxa"/>
            <w:vAlign w:val="center"/>
          </w:tcPr>
          <w:p>
            <w:pPr>
              <w:tabs>
                <w:tab w:val="left" w:pos="426"/>
              </w:tabs>
              <w:autoSpaceDE w:val="0"/>
              <w:autoSpaceDN w:val="0"/>
              <w:adjustRightInd w:val="0"/>
              <w:snapToGrid w:val="0"/>
              <w:spacing w:line="360" w:lineRule="auto"/>
              <w:jc w:val="center"/>
              <w:rPr>
                <w:rFonts w:hint="eastAsia" w:ascii="宋体" w:hAnsi="宋体"/>
                <w:b w:val="0"/>
                <w:bCs w:val="0"/>
                <w:szCs w:val="21"/>
              </w:rPr>
            </w:pPr>
            <w:r>
              <w:rPr>
                <w:rFonts w:hint="eastAsia" w:ascii="宋体" w:hAnsi="宋体"/>
                <w:b w:val="0"/>
                <w:bCs w:val="0"/>
                <w:szCs w:val="21"/>
              </w:rPr>
              <w:t>成果交付要求</w:t>
            </w:r>
          </w:p>
        </w:tc>
        <w:tc>
          <w:tcPr>
            <w:tcW w:w="5770" w:type="dxa"/>
            <w:vAlign w:val="center"/>
          </w:tcPr>
          <w:p>
            <w:pPr>
              <w:tabs>
                <w:tab w:val="left" w:pos="426"/>
              </w:tabs>
              <w:autoSpaceDE w:val="0"/>
              <w:autoSpaceDN w:val="0"/>
              <w:adjustRightInd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为了保证项目顺利验收，同时为了保证学校后续对项目的可持续性运行维护和扩展，在验收过程中，中标人需向学校提交所有相关技术资料和管理资料。项目验收过程中移交资料主要包括：系统部署手册（项目平台环境配置说明书）、数据库说明书、数据结构文档、数据字典、业务需求采集与分析文档、需求说明书、系统功能与性能测试报告、用户培训材料、系统维护手册、系统集成接口说明书、项目实施计划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vAlign w:val="center"/>
          </w:tcPr>
          <w:p>
            <w:pPr>
              <w:tabs>
                <w:tab w:val="left" w:pos="426"/>
              </w:tabs>
              <w:autoSpaceDE w:val="0"/>
              <w:autoSpaceDN w:val="0"/>
              <w:adjustRightInd w:val="0"/>
              <w:snapToGrid w:val="0"/>
              <w:spacing w:line="360" w:lineRule="auto"/>
              <w:jc w:val="center"/>
              <w:rPr>
                <w:rFonts w:hint="default" w:ascii="宋体" w:hAnsi="宋体" w:cs="宋体"/>
                <w:snapToGrid w:val="0"/>
                <w:kern w:val="0"/>
                <w:szCs w:val="21"/>
                <w:vertAlign w:val="baseline"/>
                <w:lang w:val="en-US" w:eastAsia="zh-CN"/>
              </w:rPr>
            </w:pPr>
            <w:r>
              <w:rPr>
                <w:rFonts w:hint="eastAsia" w:ascii="宋体" w:hAnsi="宋体" w:cs="宋体"/>
                <w:snapToGrid w:val="0"/>
                <w:kern w:val="0"/>
                <w:szCs w:val="21"/>
                <w:vertAlign w:val="baseline"/>
                <w:lang w:val="en-US" w:eastAsia="zh-CN"/>
              </w:rPr>
              <w:t>4.5</w:t>
            </w:r>
          </w:p>
        </w:tc>
        <w:tc>
          <w:tcPr>
            <w:tcW w:w="1372" w:type="dxa"/>
            <w:vAlign w:val="center"/>
          </w:tcPr>
          <w:p>
            <w:pPr>
              <w:tabs>
                <w:tab w:val="left" w:pos="426"/>
              </w:tabs>
              <w:autoSpaceDE w:val="0"/>
              <w:autoSpaceDN w:val="0"/>
              <w:adjustRightInd w:val="0"/>
              <w:snapToGrid w:val="0"/>
              <w:spacing w:line="360" w:lineRule="auto"/>
              <w:jc w:val="center"/>
              <w:rPr>
                <w:rFonts w:hint="eastAsia" w:ascii="宋体" w:hAnsi="宋体"/>
                <w:b w:val="0"/>
                <w:bCs w:val="0"/>
                <w:szCs w:val="21"/>
              </w:rPr>
            </w:pPr>
            <w:r>
              <w:rPr>
                <w:rFonts w:hint="eastAsia" w:ascii="宋体" w:hAnsi="宋体"/>
                <w:b w:val="0"/>
                <w:bCs w:val="0"/>
                <w:szCs w:val="21"/>
              </w:rPr>
              <w:t>项目验收要求</w:t>
            </w:r>
          </w:p>
        </w:tc>
        <w:tc>
          <w:tcPr>
            <w:tcW w:w="5770" w:type="dxa"/>
            <w:vAlign w:val="center"/>
          </w:tcPr>
          <w:p>
            <w:pPr>
              <w:tabs>
                <w:tab w:val="left" w:pos="426"/>
              </w:tabs>
              <w:autoSpaceDE w:val="0"/>
              <w:autoSpaceDN w:val="0"/>
              <w:adjustRightInd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系统验收在试运行通过后进行：即系统安装测试达到技术规范书规定的指标并开通业务后，可进行验收测试。采购人、</w:t>
            </w:r>
            <w:r>
              <w:rPr>
                <w:rFonts w:hint="eastAsia" w:ascii="宋体" w:hAnsi="宋体" w:cs="宋体"/>
                <w:snapToGrid w:val="0"/>
                <w:kern w:val="0"/>
                <w:szCs w:val="21"/>
                <w:lang w:eastAsia="zh-CN"/>
              </w:rPr>
              <w:t>供应商</w:t>
            </w:r>
            <w:r>
              <w:rPr>
                <w:rFonts w:hint="eastAsia" w:ascii="宋体" w:hAnsi="宋体" w:cs="宋体"/>
                <w:snapToGrid w:val="0"/>
                <w:kern w:val="0"/>
                <w:szCs w:val="21"/>
              </w:rPr>
              <w:t>双方按确认后的验收规范进行验收测试。验收测试合格后，经双方签章后，系统开通试运行。</w:t>
            </w:r>
          </w:p>
          <w:p>
            <w:pPr>
              <w:tabs>
                <w:tab w:val="left" w:pos="426"/>
              </w:tabs>
              <w:autoSpaceDE w:val="0"/>
              <w:autoSpaceDN w:val="0"/>
              <w:adjustRightInd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lang w:eastAsia="zh-CN"/>
              </w:rPr>
              <w:t>供应商</w:t>
            </w:r>
            <w:r>
              <w:rPr>
                <w:rFonts w:hint="eastAsia" w:ascii="宋体" w:hAnsi="宋体" w:cs="宋体"/>
                <w:snapToGrid w:val="0"/>
                <w:kern w:val="0"/>
                <w:szCs w:val="21"/>
              </w:rPr>
              <w:t>应负责在项目完成时将系统的全部操作说明书、应用系统相关接口资料及验收报告等文档汇集成册，并提供电子文档，采购方将根据验收方案对系统每个部分进行逐一进行项目用户验收。</w:t>
            </w:r>
          </w:p>
          <w:p>
            <w:pPr>
              <w:tabs>
                <w:tab w:val="left" w:pos="426"/>
              </w:tabs>
              <w:autoSpaceDE w:val="0"/>
              <w:autoSpaceDN w:val="0"/>
              <w:adjustRightInd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试运行：系统建设完成且经过试运行后，所有性能指标达到技术规范书和验收规范的要求时，可进行最终验收。在试运行期间，由于系统程序等造成某些指标达不到要求，允许</w:t>
            </w:r>
            <w:r>
              <w:rPr>
                <w:rFonts w:hint="eastAsia" w:ascii="宋体" w:hAnsi="宋体" w:cs="宋体"/>
                <w:snapToGrid w:val="0"/>
                <w:kern w:val="0"/>
                <w:szCs w:val="21"/>
                <w:lang w:eastAsia="zh-CN"/>
              </w:rPr>
              <w:t>供应商</w:t>
            </w:r>
            <w:r>
              <w:rPr>
                <w:rFonts w:hint="eastAsia" w:ascii="宋体" w:hAnsi="宋体" w:cs="宋体"/>
                <w:snapToGrid w:val="0"/>
                <w:kern w:val="0"/>
                <w:szCs w:val="21"/>
              </w:rPr>
              <w:t>进行修复，在全部达到要求时，双方签署最终验收文件。</w:t>
            </w:r>
          </w:p>
          <w:p>
            <w:pPr>
              <w:tabs>
                <w:tab w:val="left" w:pos="426"/>
              </w:tabs>
              <w:autoSpaceDE w:val="0"/>
              <w:autoSpaceDN w:val="0"/>
              <w:adjustRightInd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最终验收：试运行通过后，采购人、</w:t>
            </w:r>
            <w:r>
              <w:rPr>
                <w:rFonts w:hint="eastAsia" w:ascii="宋体" w:hAnsi="宋体" w:cs="宋体"/>
                <w:snapToGrid w:val="0"/>
                <w:kern w:val="0"/>
                <w:szCs w:val="21"/>
                <w:lang w:eastAsia="zh-CN"/>
              </w:rPr>
              <w:t>供应商</w:t>
            </w:r>
            <w:r>
              <w:rPr>
                <w:rFonts w:hint="eastAsia" w:ascii="宋体" w:hAnsi="宋体" w:cs="宋体"/>
                <w:snapToGrid w:val="0"/>
                <w:kern w:val="0"/>
                <w:szCs w:val="21"/>
              </w:rPr>
              <w:t>双方按验收要求对项目文档、培训情况及试运行出现问题进行验收。在所有验收项全部达到相应要求后，由</w:t>
            </w:r>
            <w:r>
              <w:rPr>
                <w:rFonts w:hint="eastAsia" w:ascii="宋体" w:hAnsi="宋体" w:cs="宋体"/>
                <w:snapToGrid w:val="0"/>
                <w:kern w:val="0"/>
                <w:szCs w:val="21"/>
                <w:lang w:eastAsia="zh-CN"/>
              </w:rPr>
              <w:t>供应商</w:t>
            </w:r>
            <w:r>
              <w:rPr>
                <w:rFonts w:hint="eastAsia" w:ascii="宋体" w:hAnsi="宋体" w:cs="宋体"/>
                <w:snapToGrid w:val="0"/>
                <w:kern w:val="0"/>
                <w:szCs w:val="21"/>
              </w:rPr>
              <w:t>出具《验收报告》，双方签署《验收报告》。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vAlign w:val="center"/>
          </w:tcPr>
          <w:p>
            <w:pPr>
              <w:tabs>
                <w:tab w:val="left" w:pos="426"/>
              </w:tabs>
              <w:autoSpaceDE w:val="0"/>
              <w:autoSpaceDN w:val="0"/>
              <w:adjustRightInd w:val="0"/>
              <w:snapToGrid w:val="0"/>
              <w:spacing w:line="360" w:lineRule="auto"/>
              <w:jc w:val="center"/>
              <w:rPr>
                <w:rFonts w:hint="default" w:ascii="宋体" w:hAnsi="宋体" w:cs="宋体"/>
                <w:snapToGrid w:val="0"/>
                <w:kern w:val="0"/>
                <w:szCs w:val="21"/>
                <w:vertAlign w:val="baseline"/>
                <w:lang w:val="en-US" w:eastAsia="zh-CN"/>
              </w:rPr>
            </w:pPr>
            <w:r>
              <w:rPr>
                <w:rFonts w:hint="eastAsia" w:ascii="宋体" w:hAnsi="宋体" w:cs="宋体"/>
                <w:snapToGrid w:val="0"/>
                <w:kern w:val="0"/>
                <w:szCs w:val="21"/>
                <w:vertAlign w:val="baseline"/>
                <w:lang w:val="en-US" w:eastAsia="zh-CN"/>
              </w:rPr>
              <w:t>4.6</w:t>
            </w:r>
          </w:p>
        </w:tc>
        <w:tc>
          <w:tcPr>
            <w:tcW w:w="1372" w:type="dxa"/>
            <w:vAlign w:val="center"/>
          </w:tcPr>
          <w:p>
            <w:pPr>
              <w:tabs>
                <w:tab w:val="left" w:pos="426"/>
              </w:tabs>
              <w:autoSpaceDE w:val="0"/>
              <w:autoSpaceDN w:val="0"/>
              <w:adjustRightInd w:val="0"/>
              <w:snapToGrid w:val="0"/>
              <w:spacing w:line="360" w:lineRule="auto"/>
              <w:jc w:val="center"/>
              <w:rPr>
                <w:rFonts w:hint="eastAsia" w:ascii="宋体" w:hAnsi="宋体"/>
                <w:b w:val="0"/>
                <w:bCs w:val="0"/>
                <w:szCs w:val="21"/>
              </w:rPr>
            </w:pPr>
            <w:r>
              <w:rPr>
                <w:rFonts w:hint="eastAsia" w:ascii="宋体" w:hAnsi="宋体"/>
                <w:b w:val="0"/>
                <w:bCs w:val="0"/>
                <w:sz w:val="21"/>
                <w:szCs w:val="21"/>
              </w:rPr>
              <w:t>售后服务和培训要求</w:t>
            </w:r>
          </w:p>
        </w:tc>
        <w:tc>
          <w:tcPr>
            <w:tcW w:w="5770" w:type="dxa"/>
            <w:vAlign w:val="center"/>
          </w:tcPr>
          <w:p>
            <w:pPr>
              <w:tabs>
                <w:tab w:val="left" w:pos="426"/>
              </w:tabs>
              <w:autoSpaceDE w:val="0"/>
              <w:autoSpaceDN w:val="0"/>
              <w:adjustRightInd w:val="0"/>
              <w:snapToGrid w:val="0"/>
              <w:spacing w:line="360" w:lineRule="auto"/>
              <w:jc w:val="left"/>
              <w:rPr>
                <w:rFonts w:hint="eastAsia" w:ascii="宋体" w:hAnsi="宋体" w:cs="宋体"/>
                <w:snapToGrid w:val="0"/>
                <w:kern w:val="0"/>
                <w:szCs w:val="21"/>
              </w:rPr>
            </w:pPr>
            <w:bookmarkStart w:id="444" w:name="_Hlk8075838"/>
            <w:r>
              <w:rPr>
                <w:rFonts w:hint="eastAsia" w:ascii="宋体" w:hAnsi="宋体" w:cs="宋体"/>
                <w:snapToGrid w:val="0"/>
                <w:kern w:val="0"/>
                <w:szCs w:val="21"/>
              </w:rPr>
              <w:t>1）</w:t>
            </w:r>
            <w:r>
              <w:rPr>
                <w:rFonts w:hint="eastAsia" w:ascii="宋体" w:hAnsi="宋体" w:cs="宋体"/>
                <w:snapToGrid w:val="0"/>
                <w:kern w:val="0"/>
                <w:szCs w:val="21"/>
                <w:lang w:eastAsia="zh-CN"/>
              </w:rPr>
              <w:t>供应商</w:t>
            </w:r>
            <w:r>
              <w:rPr>
                <w:rFonts w:hint="eastAsia" w:ascii="宋体" w:hAnsi="宋体" w:cs="宋体"/>
                <w:snapToGrid w:val="0"/>
                <w:kern w:val="0"/>
                <w:szCs w:val="21"/>
              </w:rPr>
              <w:t>应承诺保证该项目按时正式稳定地运行。</w:t>
            </w:r>
          </w:p>
          <w:p>
            <w:pPr>
              <w:tabs>
                <w:tab w:val="left" w:pos="426"/>
              </w:tabs>
              <w:autoSpaceDE w:val="0"/>
              <w:autoSpaceDN w:val="0"/>
              <w:adjustRightInd w:val="0"/>
              <w:snapToGrid w:val="0"/>
              <w:spacing w:line="360" w:lineRule="auto"/>
              <w:jc w:val="left"/>
              <w:rPr>
                <w:rFonts w:hint="eastAsia" w:ascii="宋体" w:hAnsi="宋体" w:cs="宋体"/>
                <w:snapToGrid w:val="0"/>
                <w:kern w:val="0"/>
                <w:szCs w:val="21"/>
              </w:rPr>
            </w:pPr>
            <w:r>
              <w:rPr>
                <w:rFonts w:hint="eastAsia" w:ascii="宋体" w:hAnsi="宋体" w:cs="宋体"/>
                <w:snapToGrid w:val="0"/>
                <w:kern w:val="0"/>
                <w:szCs w:val="21"/>
              </w:rPr>
              <w:t>2）售后服务从系统验收通过之日起计算。</w:t>
            </w:r>
          </w:p>
          <w:p>
            <w:pPr>
              <w:tabs>
                <w:tab w:val="left" w:pos="426"/>
              </w:tabs>
              <w:autoSpaceDE w:val="0"/>
              <w:autoSpaceDN w:val="0"/>
              <w:adjustRightInd w:val="0"/>
              <w:snapToGrid w:val="0"/>
              <w:spacing w:line="360" w:lineRule="auto"/>
              <w:jc w:val="left"/>
              <w:rPr>
                <w:rFonts w:hint="eastAsia" w:ascii="宋体" w:hAnsi="宋体" w:cs="宋体"/>
                <w:snapToGrid w:val="0"/>
                <w:kern w:val="0"/>
                <w:szCs w:val="21"/>
              </w:rPr>
            </w:pPr>
            <w:r>
              <w:rPr>
                <w:rFonts w:hint="eastAsia" w:ascii="宋体" w:hAnsi="宋体" w:cs="宋体"/>
                <w:snapToGrid w:val="0"/>
                <w:kern w:val="0"/>
                <w:szCs w:val="21"/>
              </w:rPr>
              <w:t>3）</w:t>
            </w:r>
            <w:r>
              <w:rPr>
                <w:rFonts w:hint="eastAsia" w:ascii="宋体" w:hAnsi="宋体" w:cs="宋体"/>
                <w:snapToGrid w:val="0"/>
                <w:kern w:val="0"/>
                <w:szCs w:val="21"/>
                <w:lang w:eastAsia="zh-CN"/>
              </w:rPr>
              <w:t>供应商</w:t>
            </w:r>
            <w:r>
              <w:rPr>
                <w:rFonts w:hint="eastAsia" w:ascii="宋体" w:hAnsi="宋体" w:cs="宋体"/>
                <w:snapToGrid w:val="0"/>
                <w:kern w:val="0"/>
                <w:szCs w:val="21"/>
              </w:rPr>
              <w:t>在项目终验后，必须提供3年的维护期，本次投标价包含质保期内的全部费用。</w:t>
            </w:r>
          </w:p>
          <w:p>
            <w:pPr>
              <w:tabs>
                <w:tab w:val="left" w:pos="426"/>
              </w:tabs>
              <w:autoSpaceDE w:val="0"/>
              <w:autoSpaceDN w:val="0"/>
              <w:adjustRightInd w:val="0"/>
              <w:snapToGrid w:val="0"/>
              <w:spacing w:line="360" w:lineRule="auto"/>
              <w:jc w:val="left"/>
              <w:rPr>
                <w:rFonts w:hint="eastAsia" w:ascii="宋体" w:hAnsi="宋体" w:cs="宋体"/>
                <w:snapToGrid w:val="0"/>
                <w:kern w:val="0"/>
                <w:szCs w:val="21"/>
              </w:rPr>
            </w:pPr>
            <w:r>
              <w:rPr>
                <w:rFonts w:hint="eastAsia" w:ascii="宋体" w:hAnsi="宋体" w:cs="宋体"/>
                <w:snapToGrid w:val="0"/>
                <w:kern w:val="0"/>
                <w:szCs w:val="21"/>
              </w:rPr>
              <w:t>4）驻场服务要求：项目实施过程中，供应商提供不少于1-2人的驻场实施人员，且人员须具有同类项目实施经验；为保证驻场人员的稳定性和连续性，未经学校同意，供应商不得随意更换驻场人员。</w:t>
            </w:r>
          </w:p>
          <w:p>
            <w:pPr>
              <w:tabs>
                <w:tab w:val="left" w:pos="426"/>
              </w:tabs>
              <w:autoSpaceDE w:val="0"/>
              <w:autoSpaceDN w:val="0"/>
              <w:adjustRightInd w:val="0"/>
              <w:snapToGrid w:val="0"/>
              <w:spacing w:line="360" w:lineRule="auto"/>
              <w:jc w:val="left"/>
              <w:rPr>
                <w:rFonts w:hint="eastAsia" w:ascii="宋体" w:hAnsi="宋体" w:cs="宋体"/>
                <w:snapToGrid w:val="0"/>
                <w:kern w:val="0"/>
                <w:szCs w:val="21"/>
              </w:rPr>
            </w:pPr>
            <w:r>
              <w:rPr>
                <w:rFonts w:hint="eastAsia" w:ascii="宋体" w:hAnsi="宋体" w:cs="宋体"/>
                <w:snapToGrid w:val="0"/>
                <w:kern w:val="0"/>
                <w:szCs w:val="21"/>
              </w:rPr>
              <w:t>5）中标人接到使用方产品出现问题的通知后立即作出响应，2小时内通过远程处理，远程不能解决的，4小时内到达现场进行处理。</w:t>
            </w:r>
          </w:p>
          <w:bookmarkEnd w:id="444"/>
          <w:p>
            <w:pPr>
              <w:tabs>
                <w:tab w:val="left" w:pos="426"/>
              </w:tabs>
              <w:autoSpaceDE w:val="0"/>
              <w:autoSpaceDN w:val="0"/>
              <w:adjustRightInd w:val="0"/>
              <w:snapToGrid w:val="0"/>
              <w:spacing w:line="360" w:lineRule="auto"/>
              <w:jc w:val="left"/>
              <w:rPr>
                <w:rFonts w:hint="eastAsia" w:ascii="宋体" w:hAnsi="宋体" w:cs="宋体"/>
                <w:snapToGrid w:val="0"/>
                <w:kern w:val="0"/>
                <w:szCs w:val="21"/>
              </w:rPr>
            </w:pPr>
            <w:bookmarkStart w:id="445" w:name="_Hlk8075859"/>
            <w:r>
              <w:rPr>
                <w:rFonts w:hint="eastAsia" w:ascii="宋体" w:hAnsi="宋体" w:cs="宋体"/>
                <w:snapToGrid w:val="0"/>
                <w:kern w:val="0"/>
                <w:szCs w:val="21"/>
              </w:rPr>
              <w:t>6）</w:t>
            </w:r>
            <w:r>
              <w:rPr>
                <w:rFonts w:hint="eastAsia" w:ascii="宋体" w:hAnsi="宋体" w:cs="宋体"/>
                <w:snapToGrid w:val="0"/>
                <w:kern w:val="0"/>
                <w:szCs w:val="21"/>
                <w:lang w:eastAsia="zh-CN"/>
              </w:rPr>
              <w:t>供应商</w:t>
            </w:r>
            <w:r>
              <w:rPr>
                <w:rFonts w:hint="eastAsia" w:ascii="宋体" w:hAnsi="宋体" w:cs="宋体"/>
                <w:snapToGrid w:val="0"/>
                <w:kern w:val="0"/>
                <w:szCs w:val="21"/>
              </w:rPr>
              <w:t>在实施过程中提供免费、全面的应用软件技术、系统操作等方面的培训，有关应用软件的操作培训课程，培训应该在系统验收前完成，免费服务期限内，为学校免费提供各种技术服务，包括在线答疑、定期回访、软件更新与技术培训。对于发现的软件自身功能问题，免费提供永久支持、及时给予圆满解决；在远程维护无法解决问题的情况下，免费派遣技术人员上门解决。</w:t>
            </w:r>
          </w:p>
          <w:p>
            <w:pPr>
              <w:tabs>
                <w:tab w:val="left" w:pos="426"/>
              </w:tabs>
              <w:autoSpaceDE w:val="0"/>
              <w:autoSpaceDN w:val="0"/>
              <w:adjustRightInd w:val="0"/>
              <w:snapToGrid w:val="0"/>
              <w:spacing w:line="360" w:lineRule="auto"/>
              <w:jc w:val="left"/>
              <w:rPr>
                <w:rFonts w:hint="eastAsia" w:ascii="宋体" w:hAnsi="宋体" w:cs="宋体"/>
                <w:snapToGrid w:val="0"/>
                <w:kern w:val="0"/>
                <w:szCs w:val="21"/>
              </w:rPr>
            </w:pPr>
            <w:r>
              <w:rPr>
                <w:rFonts w:hint="eastAsia" w:ascii="宋体" w:hAnsi="宋体" w:cs="宋体"/>
                <w:snapToGrid w:val="0"/>
                <w:kern w:val="0"/>
                <w:szCs w:val="21"/>
              </w:rPr>
              <w:t>7）</w:t>
            </w:r>
            <w:r>
              <w:rPr>
                <w:rFonts w:hint="eastAsia" w:ascii="宋体" w:hAnsi="宋体" w:cs="宋体"/>
                <w:snapToGrid w:val="0"/>
                <w:kern w:val="0"/>
                <w:szCs w:val="21"/>
              </w:rPr>
              <w:tab/>
            </w:r>
            <w:r>
              <w:rPr>
                <w:rFonts w:hint="eastAsia" w:ascii="宋体" w:hAnsi="宋体" w:cs="宋体"/>
                <w:snapToGrid w:val="0"/>
                <w:kern w:val="0"/>
                <w:szCs w:val="21"/>
              </w:rPr>
              <w:t>质量保证期后，中标人和厂家应提供同等的免费电话咨询服务，并应承诺提供产品上门维护服务；</w:t>
            </w:r>
          </w:p>
          <w:p>
            <w:pPr>
              <w:tabs>
                <w:tab w:val="left" w:pos="426"/>
              </w:tabs>
              <w:autoSpaceDE w:val="0"/>
              <w:autoSpaceDN w:val="0"/>
              <w:adjustRightInd w:val="0"/>
              <w:snapToGrid w:val="0"/>
              <w:spacing w:line="360" w:lineRule="auto"/>
              <w:jc w:val="left"/>
              <w:rPr>
                <w:rFonts w:hint="eastAsia" w:ascii="宋体" w:hAnsi="宋体" w:cs="宋体"/>
                <w:snapToGrid w:val="0"/>
                <w:kern w:val="0"/>
                <w:szCs w:val="21"/>
              </w:rPr>
            </w:pPr>
            <w:r>
              <w:rPr>
                <w:rFonts w:hint="eastAsia" w:ascii="宋体" w:hAnsi="宋体" w:cs="宋体"/>
                <w:snapToGrid w:val="0"/>
                <w:kern w:val="0"/>
                <w:szCs w:val="21"/>
              </w:rPr>
              <w:t>8）</w:t>
            </w:r>
            <w:r>
              <w:rPr>
                <w:rFonts w:hint="eastAsia" w:ascii="宋体" w:hAnsi="宋体" w:cs="宋体"/>
                <w:snapToGrid w:val="0"/>
                <w:kern w:val="0"/>
                <w:szCs w:val="21"/>
              </w:rPr>
              <w:tab/>
            </w:r>
            <w:r>
              <w:rPr>
                <w:rFonts w:hint="eastAsia" w:ascii="宋体" w:hAnsi="宋体" w:cs="宋体"/>
                <w:snapToGrid w:val="0"/>
                <w:kern w:val="0"/>
                <w:szCs w:val="21"/>
              </w:rPr>
              <w:t>质量保证期过后，采购人需要继续由原中标人和厂家提供售后服务的，该中标人和厂家应以优惠价格提供售后服务。</w:t>
            </w:r>
            <w:bookmarkEnd w:id="4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vAlign w:val="center"/>
          </w:tcPr>
          <w:p>
            <w:pPr>
              <w:tabs>
                <w:tab w:val="left" w:pos="426"/>
              </w:tabs>
              <w:autoSpaceDE w:val="0"/>
              <w:autoSpaceDN w:val="0"/>
              <w:adjustRightInd w:val="0"/>
              <w:snapToGrid w:val="0"/>
              <w:spacing w:line="360" w:lineRule="auto"/>
              <w:jc w:val="center"/>
              <w:rPr>
                <w:rFonts w:hint="default" w:ascii="宋体" w:hAnsi="宋体" w:cs="宋体"/>
                <w:snapToGrid w:val="0"/>
                <w:kern w:val="0"/>
                <w:szCs w:val="21"/>
                <w:vertAlign w:val="baseline"/>
                <w:lang w:val="en-US" w:eastAsia="zh-CN"/>
              </w:rPr>
            </w:pPr>
            <w:r>
              <w:rPr>
                <w:rFonts w:hint="eastAsia" w:ascii="宋体" w:hAnsi="宋体" w:cs="宋体"/>
                <w:snapToGrid w:val="0"/>
                <w:kern w:val="0"/>
                <w:szCs w:val="21"/>
                <w:vertAlign w:val="baseline"/>
                <w:lang w:val="en-US" w:eastAsia="zh-CN"/>
              </w:rPr>
              <w:t>4.7</w:t>
            </w:r>
          </w:p>
        </w:tc>
        <w:tc>
          <w:tcPr>
            <w:tcW w:w="1372" w:type="dxa"/>
            <w:vAlign w:val="center"/>
          </w:tcPr>
          <w:p>
            <w:pPr>
              <w:tabs>
                <w:tab w:val="left" w:pos="426"/>
              </w:tabs>
              <w:autoSpaceDE w:val="0"/>
              <w:autoSpaceDN w:val="0"/>
              <w:adjustRightInd w:val="0"/>
              <w:snapToGrid w:val="0"/>
              <w:spacing w:line="360" w:lineRule="auto"/>
              <w:jc w:val="center"/>
              <w:rPr>
                <w:rFonts w:hint="eastAsia" w:ascii="宋体" w:hAnsi="宋体"/>
                <w:b w:val="0"/>
                <w:bCs w:val="0"/>
                <w:szCs w:val="21"/>
              </w:rPr>
            </w:pPr>
            <w:r>
              <w:rPr>
                <w:rFonts w:hint="eastAsia" w:ascii="宋体" w:hAnsi="宋体"/>
                <w:b w:val="0"/>
                <w:bCs w:val="0"/>
                <w:sz w:val="21"/>
                <w:szCs w:val="21"/>
              </w:rPr>
              <w:t>进度要求</w:t>
            </w:r>
          </w:p>
        </w:tc>
        <w:tc>
          <w:tcPr>
            <w:tcW w:w="5770" w:type="dxa"/>
            <w:vAlign w:val="center"/>
          </w:tcPr>
          <w:p>
            <w:pPr>
              <w:tabs>
                <w:tab w:val="left" w:pos="426"/>
              </w:tabs>
              <w:autoSpaceDE w:val="0"/>
              <w:autoSpaceDN w:val="0"/>
              <w:adjustRightInd w:val="0"/>
              <w:snapToGrid w:val="0"/>
              <w:spacing w:line="360" w:lineRule="auto"/>
              <w:jc w:val="left"/>
              <w:rPr>
                <w:rFonts w:hint="eastAsia" w:ascii="宋体" w:hAnsi="宋体" w:cs="宋体"/>
                <w:snapToGrid w:val="0"/>
                <w:kern w:val="0"/>
                <w:szCs w:val="21"/>
              </w:rPr>
            </w:pPr>
            <w:r>
              <w:rPr>
                <w:rFonts w:hint="eastAsia" w:ascii="宋体" w:hAnsi="宋体" w:cs="宋体"/>
                <w:snapToGrid w:val="0"/>
                <w:kern w:val="0"/>
                <w:szCs w:val="21"/>
              </w:rPr>
              <w:t>必须在合同签订后在3个月内完成开发、实施、测试及试运行，如达到验收标准则组织验收。</w:t>
            </w:r>
          </w:p>
        </w:tc>
      </w:tr>
    </w:tbl>
    <w:p>
      <w:pPr>
        <w:tabs>
          <w:tab w:val="left" w:pos="426"/>
        </w:tabs>
        <w:autoSpaceDE w:val="0"/>
        <w:autoSpaceDN w:val="0"/>
        <w:adjustRightInd w:val="0"/>
        <w:snapToGrid w:val="0"/>
        <w:spacing w:line="360" w:lineRule="auto"/>
        <w:ind w:firstLine="420" w:firstLineChars="200"/>
        <w:jc w:val="left"/>
        <w:rPr>
          <w:rFonts w:hint="eastAsia" w:ascii="宋体" w:hAnsi="宋体" w:cs="宋体"/>
          <w:snapToGrid w:val="0"/>
          <w:kern w:val="0"/>
          <w:szCs w:val="21"/>
        </w:rPr>
      </w:pPr>
    </w:p>
    <w:p>
      <w:pPr>
        <w:tabs>
          <w:tab w:val="left" w:pos="426"/>
        </w:tabs>
        <w:autoSpaceDE w:val="0"/>
        <w:autoSpaceDN w:val="0"/>
        <w:adjustRightInd w:val="0"/>
        <w:snapToGrid w:val="0"/>
        <w:spacing w:line="360" w:lineRule="auto"/>
        <w:ind w:firstLine="420" w:firstLineChars="200"/>
      </w:pPr>
    </w:p>
    <w:p>
      <w:pPr>
        <w:rPr>
          <w:rFonts w:ascii="微软雅黑" w:hAnsi="微软雅黑" w:eastAsia="微软雅黑"/>
          <w:szCs w:val="32"/>
        </w:rPr>
      </w:pPr>
      <w:bookmarkStart w:id="446" w:name="_Toc9621"/>
      <w:r>
        <w:rPr>
          <w:rFonts w:ascii="微软雅黑" w:hAnsi="微软雅黑" w:eastAsia="微软雅黑"/>
          <w:szCs w:val="32"/>
        </w:rPr>
        <w:br w:type="page"/>
      </w:r>
    </w:p>
    <w:p>
      <w:pPr>
        <w:pStyle w:val="3"/>
        <w:spacing w:before="0" w:after="0" w:line="360" w:lineRule="auto"/>
        <w:rPr>
          <w:rFonts w:ascii="微软雅黑" w:hAnsi="微软雅黑" w:eastAsia="微软雅黑"/>
          <w:szCs w:val="32"/>
        </w:rPr>
      </w:pPr>
      <w:r>
        <w:rPr>
          <w:rFonts w:ascii="微软雅黑" w:hAnsi="微软雅黑" w:eastAsia="微软雅黑"/>
          <w:szCs w:val="32"/>
        </w:rPr>
        <w:t>第四章</w:t>
      </w:r>
      <w:r>
        <w:rPr>
          <w:rFonts w:hint="eastAsia" w:ascii="微软雅黑" w:hAnsi="微软雅黑" w:eastAsia="微软雅黑"/>
          <w:szCs w:val="32"/>
        </w:rPr>
        <w:t xml:space="preserve"> 合同</w:t>
      </w:r>
      <w:bookmarkEnd w:id="404"/>
      <w:r>
        <w:rPr>
          <w:rFonts w:hint="eastAsia" w:ascii="微软雅黑" w:hAnsi="微软雅黑" w:eastAsia="微软雅黑"/>
          <w:szCs w:val="32"/>
        </w:rPr>
        <w:t>草案</w:t>
      </w:r>
      <w:bookmarkEnd w:id="446"/>
    </w:p>
    <w:p>
      <w:pPr>
        <w:pStyle w:val="4"/>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eastAsia="黑体"/>
          <w:b w:val="0"/>
          <w:color w:val="000000"/>
          <w:kern w:val="0"/>
          <w:lang w:eastAsia="zh-CN"/>
        </w:rPr>
      </w:pPr>
      <w:bookmarkStart w:id="447" w:name="_Toc26580"/>
      <w:r>
        <w:rPr>
          <w:rFonts w:hint="eastAsia"/>
          <w:b w:val="0"/>
          <w:color w:val="000000"/>
          <w:spacing w:val="120"/>
          <w:kern w:val="0"/>
        </w:rPr>
        <w:t>合同格</w:t>
      </w:r>
      <w:r>
        <w:rPr>
          <w:rFonts w:hint="eastAsia"/>
          <w:b w:val="0"/>
          <w:color w:val="000000"/>
          <w:kern w:val="0"/>
        </w:rPr>
        <w:t>式</w:t>
      </w:r>
      <w:r>
        <w:rPr>
          <w:rFonts w:hint="eastAsia"/>
          <w:b w:val="0"/>
          <w:color w:val="000000"/>
          <w:kern w:val="0"/>
          <w:lang w:eastAsia="zh-CN"/>
        </w:rPr>
        <w:t>（</w:t>
      </w:r>
      <w:r>
        <w:rPr>
          <w:rFonts w:hint="eastAsia"/>
          <w:b w:val="0"/>
          <w:color w:val="000000"/>
          <w:kern w:val="0"/>
          <w:lang w:val="en-US" w:eastAsia="zh-CN"/>
        </w:rPr>
        <w:t>参考</w:t>
      </w:r>
      <w:r>
        <w:rPr>
          <w:rFonts w:hint="eastAsia"/>
          <w:b w:val="0"/>
          <w:color w:val="000000"/>
          <w:kern w:val="0"/>
          <w:lang w:eastAsia="zh-CN"/>
        </w:rPr>
        <w:t>）</w:t>
      </w:r>
      <w:bookmarkEnd w:id="447"/>
    </w:p>
    <w:p>
      <w:pPr>
        <w:pStyle w:val="419"/>
        <w:spacing w:line="440" w:lineRule="exact"/>
        <w:ind w:firstLine="420"/>
        <w:jc w:val="left"/>
        <w:rPr>
          <w:rFonts w:hint="eastAsia" w:ascii="宋体"/>
          <w:bCs/>
          <w:color w:val="000000"/>
          <w:szCs w:val="21"/>
        </w:rPr>
      </w:pPr>
      <w:r>
        <w:rPr>
          <w:rFonts w:hint="eastAsia" w:ascii="宋体"/>
          <w:bCs/>
          <w:color w:val="000000"/>
          <w:szCs w:val="21"/>
        </w:rPr>
        <w:t>（根据《政府采购法》和《</w:t>
      </w:r>
      <w:r>
        <w:rPr>
          <w:rFonts w:hint="eastAsia" w:ascii="宋体"/>
          <w:bCs/>
          <w:color w:val="000000"/>
          <w:szCs w:val="21"/>
          <w:lang w:val="en-US" w:eastAsia="zh-CN"/>
        </w:rPr>
        <w:t>民法典</w:t>
      </w:r>
      <w:r>
        <w:rPr>
          <w:rFonts w:hint="eastAsia" w:ascii="宋体"/>
          <w:bCs/>
          <w:color w:val="000000"/>
          <w:szCs w:val="21"/>
        </w:rPr>
        <w:t>》。采购人和供应商之间的权利和义务，应当按照平等的原则以合同方式约定。此合同书仅作为签订正式合同时的参考，正式合同书应包括本参考格式之内容。）</w:t>
      </w:r>
    </w:p>
    <w:p>
      <w:pPr>
        <w:pStyle w:val="419"/>
        <w:spacing w:line="440" w:lineRule="exact"/>
        <w:ind w:firstLine="422"/>
        <w:jc w:val="left"/>
        <w:rPr>
          <w:rFonts w:hint="eastAsia" w:ascii="宋体"/>
          <w:b/>
          <w:color w:val="000000"/>
          <w:szCs w:val="21"/>
        </w:rPr>
      </w:pPr>
      <w:r>
        <w:rPr>
          <w:rFonts w:hint="eastAsia" w:ascii="宋体"/>
          <w:b/>
          <w:color w:val="000000"/>
          <w:szCs w:val="21"/>
        </w:rPr>
        <w:t>1. 合同文件</w:t>
      </w:r>
    </w:p>
    <w:p>
      <w:pPr>
        <w:pStyle w:val="419"/>
        <w:spacing w:line="440" w:lineRule="exact"/>
        <w:ind w:firstLine="420"/>
        <w:jc w:val="left"/>
        <w:rPr>
          <w:rFonts w:hint="eastAsia" w:ascii="宋体"/>
          <w:bCs/>
          <w:color w:val="000000"/>
          <w:szCs w:val="21"/>
        </w:rPr>
      </w:pPr>
      <w:r>
        <w:rPr>
          <w:rFonts w:hint="eastAsia" w:ascii="宋体"/>
          <w:bCs/>
          <w:color w:val="000000"/>
          <w:szCs w:val="21"/>
        </w:rPr>
        <w:t>本合同所附下列文件是构成本合同不可分割的部分：</w:t>
      </w:r>
    </w:p>
    <w:p>
      <w:pPr>
        <w:pStyle w:val="419"/>
        <w:spacing w:line="440" w:lineRule="exact"/>
        <w:ind w:left="560" w:firstLine="0" w:firstLineChars="0"/>
        <w:jc w:val="left"/>
        <w:rPr>
          <w:rFonts w:hint="eastAsia" w:ascii="宋体"/>
          <w:bCs/>
          <w:color w:val="000000"/>
          <w:szCs w:val="21"/>
        </w:rPr>
      </w:pPr>
      <w:r>
        <w:rPr>
          <w:rFonts w:hint="eastAsia" w:ascii="宋体"/>
          <w:bCs/>
          <w:color w:val="000000"/>
          <w:szCs w:val="21"/>
        </w:rPr>
        <w:t>(1)采购文件</w:t>
      </w:r>
    </w:p>
    <w:p>
      <w:pPr>
        <w:pStyle w:val="419"/>
        <w:spacing w:line="440" w:lineRule="exact"/>
        <w:ind w:left="560" w:firstLine="0" w:firstLineChars="0"/>
        <w:jc w:val="left"/>
        <w:rPr>
          <w:rFonts w:hint="eastAsia" w:ascii="宋体"/>
          <w:bCs/>
          <w:color w:val="000000"/>
          <w:szCs w:val="21"/>
        </w:rPr>
      </w:pPr>
      <w:r>
        <w:rPr>
          <w:rFonts w:hint="eastAsia" w:ascii="宋体"/>
          <w:bCs/>
          <w:color w:val="000000"/>
          <w:szCs w:val="21"/>
        </w:rPr>
        <w:t>(2)合同条款</w:t>
      </w:r>
    </w:p>
    <w:p>
      <w:pPr>
        <w:pStyle w:val="419"/>
        <w:spacing w:line="440" w:lineRule="exact"/>
        <w:ind w:left="560" w:firstLine="0" w:firstLineChars="0"/>
        <w:jc w:val="left"/>
        <w:rPr>
          <w:rFonts w:hint="eastAsia" w:ascii="宋体"/>
          <w:bCs/>
          <w:color w:val="000000"/>
          <w:szCs w:val="21"/>
        </w:rPr>
      </w:pPr>
      <w:r>
        <w:rPr>
          <w:rFonts w:hint="eastAsia" w:ascii="宋体"/>
          <w:bCs/>
          <w:color w:val="000000"/>
          <w:szCs w:val="21"/>
        </w:rPr>
        <w:t>(3)中标人提交的响应文件</w:t>
      </w:r>
    </w:p>
    <w:p>
      <w:pPr>
        <w:pStyle w:val="419"/>
        <w:spacing w:line="440" w:lineRule="exact"/>
        <w:ind w:left="560" w:firstLine="0" w:firstLineChars="0"/>
        <w:jc w:val="left"/>
        <w:rPr>
          <w:rFonts w:hint="eastAsia" w:ascii="宋体"/>
          <w:bCs/>
          <w:color w:val="000000"/>
          <w:szCs w:val="21"/>
        </w:rPr>
      </w:pPr>
      <w:r>
        <w:rPr>
          <w:rFonts w:hint="eastAsia" w:ascii="宋体"/>
          <w:bCs/>
          <w:color w:val="000000"/>
          <w:szCs w:val="21"/>
        </w:rPr>
        <w:t>(4)技术规格（包括图纸，如果有的话）</w:t>
      </w:r>
    </w:p>
    <w:p>
      <w:pPr>
        <w:pStyle w:val="419"/>
        <w:spacing w:line="440" w:lineRule="exact"/>
        <w:ind w:left="560" w:firstLine="0" w:firstLineChars="0"/>
        <w:jc w:val="left"/>
        <w:rPr>
          <w:rFonts w:hint="eastAsia" w:ascii="宋体"/>
          <w:bCs/>
          <w:color w:val="000000"/>
          <w:szCs w:val="21"/>
        </w:rPr>
      </w:pPr>
      <w:r>
        <w:rPr>
          <w:rFonts w:hint="eastAsia" w:ascii="宋体"/>
          <w:bCs/>
          <w:color w:val="000000"/>
          <w:szCs w:val="21"/>
        </w:rPr>
        <w:t>(5)中标/成交通知书</w:t>
      </w:r>
    </w:p>
    <w:p>
      <w:pPr>
        <w:pStyle w:val="419"/>
        <w:spacing w:line="440" w:lineRule="exact"/>
        <w:ind w:firstLine="422"/>
        <w:jc w:val="left"/>
        <w:rPr>
          <w:rFonts w:hint="eastAsia" w:ascii="宋体"/>
          <w:b/>
          <w:color w:val="000000"/>
          <w:szCs w:val="21"/>
        </w:rPr>
      </w:pPr>
      <w:r>
        <w:rPr>
          <w:rFonts w:hint="eastAsia" w:ascii="宋体"/>
          <w:b/>
          <w:color w:val="000000"/>
          <w:szCs w:val="21"/>
        </w:rPr>
        <w:t>2．合同范围和条件</w:t>
      </w:r>
    </w:p>
    <w:p>
      <w:pPr>
        <w:pStyle w:val="419"/>
        <w:spacing w:line="440" w:lineRule="exact"/>
        <w:ind w:firstLine="420"/>
        <w:jc w:val="left"/>
        <w:rPr>
          <w:rFonts w:hint="eastAsia" w:ascii="宋体"/>
          <w:bCs/>
          <w:color w:val="000000"/>
          <w:szCs w:val="21"/>
        </w:rPr>
      </w:pPr>
      <w:r>
        <w:rPr>
          <w:rFonts w:hint="eastAsia" w:ascii="宋体"/>
          <w:bCs/>
          <w:color w:val="000000"/>
          <w:szCs w:val="21"/>
        </w:rPr>
        <w:t>本合同的范围和条件与上述文件的规定相一致。</w:t>
      </w:r>
    </w:p>
    <w:p>
      <w:pPr>
        <w:pStyle w:val="419"/>
        <w:spacing w:line="440" w:lineRule="exact"/>
        <w:ind w:firstLine="422"/>
        <w:jc w:val="left"/>
        <w:rPr>
          <w:rFonts w:hint="eastAsia" w:ascii="宋体"/>
          <w:b/>
          <w:color w:val="000000"/>
          <w:szCs w:val="21"/>
        </w:rPr>
      </w:pPr>
      <w:r>
        <w:rPr>
          <w:rFonts w:hint="eastAsia" w:ascii="宋体"/>
          <w:b/>
          <w:color w:val="000000"/>
          <w:szCs w:val="21"/>
        </w:rPr>
        <w:t>3．货物及数量</w:t>
      </w:r>
    </w:p>
    <w:p>
      <w:pPr>
        <w:pStyle w:val="419"/>
        <w:spacing w:line="440" w:lineRule="exact"/>
        <w:ind w:firstLine="420"/>
        <w:jc w:val="left"/>
        <w:rPr>
          <w:rFonts w:hint="eastAsia" w:ascii="宋体"/>
          <w:bCs/>
          <w:color w:val="000000"/>
          <w:szCs w:val="21"/>
        </w:rPr>
      </w:pPr>
      <w:r>
        <w:rPr>
          <w:rFonts w:hint="eastAsia" w:ascii="宋体"/>
          <w:bCs/>
          <w:color w:val="000000"/>
          <w:szCs w:val="21"/>
        </w:rPr>
        <w:t xml:space="preserve">本合同所提供的货物数量/服务详见采购文件“第三章  </w:t>
      </w:r>
      <w:r>
        <w:rPr>
          <w:rFonts w:hint="eastAsia" w:ascii="宋体"/>
          <w:color w:val="000000"/>
          <w:szCs w:val="21"/>
        </w:rPr>
        <w:t>采购需求</w:t>
      </w:r>
      <w:r>
        <w:rPr>
          <w:rFonts w:hint="eastAsia" w:ascii="宋体"/>
          <w:bCs/>
          <w:color w:val="000000"/>
          <w:szCs w:val="21"/>
        </w:rPr>
        <w:t>”。</w:t>
      </w:r>
    </w:p>
    <w:p>
      <w:pPr>
        <w:pStyle w:val="419"/>
        <w:spacing w:line="440" w:lineRule="exact"/>
        <w:ind w:firstLine="422"/>
        <w:jc w:val="left"/>
        <w:rPr>
          <w:rFonts w:hint="eastAsia" w:ascii="宋体"/>
          <w:b/>
          <w:color w:val="000000"/>
          <w:szCs w:val="21"/>
        </w:rPr>
      </w:pPr>
      <w:r>
        <w:rPr>
          <w:rFonts w:hint="eastAsia" w:ascii="宋体"/>
          <w:b/>
          <w:color w:val="000000"/>
          <w:szCs w:val="21"/>
        </w:rPr>
        <w:t>4．合同金额</w:t>
      </w:r>
    </w:p>
    <w:p>
      <w:pPr>
        <w:pStyle w:val="419"/>
        <w:spacing w:line="440" w:lineRule="exact"/>
        <w:ind w:firstLine="420"/>
        <w:jc w:val="left"/>
        <w:rPr>
          <w:rFonts w:hint="eastAsia" w:ascii="宋体"/>
          <w:bCs/>
          <w:color w:val="000000"/>
          <w:szCs w:val="21"/>
        </w:rPr>
      </w:pPr>
      <w:r>
        <w:rPr>
          <w:rFonts w:hint="eastAsia" w:ascii="宋体"/>
          <w:bCs/>
          <w:color w:val="000000"/>
          <w:szCs w:val="21"/>
        </w:rPr>
        <w:t>合同总金额为人民币__________元，分项价格见响应文件报价明细表。</w:t>
      </w:r>
    </w:p>
    <w:p>
      <w:pPr>
        <w:pStyle w:val="419"/>
        <w:spacing w:line="440" w:lineRule="exact"/>
        <w:ind w:firstLine="422"/>
        <w:jc w:val="left"/>
        <w:rPr>
          <w:rFonts w:hint="eastAsia" w:ascii="宋体"/>
          <w:b/>
          <w:color w:val="000000"/>
          <w:szCs w:val="21"/>
        </w:rPr>
      </w:pPr>
      <w:r>
        <w:rPr>
          <w:rFonts w:hint="eastAsia" w:ascii="宋体"/>
          <w:b/>
          <w:color w:val="000000"/>
          <w:szCs w:val="21"/>
        </w:rPr>
        <w:t>5．合同生效及支付条件和方式</w:t>
      </w:r>
    </w:p>
    <w:p>
      <w:pPr>
        <w:pStyle w:val="419"/>
        <w:spacing w:line="440" w:lineRule="exact"/>
        <w:ind w:firstLine="420"/>
        <w:jc w:val="left"/>
        <w:rPr>
          <w:rFonts w:hint="eastAsia" w:ascii="宋体"/>
          <w:color w:val="000000"/>
          <w:szCs w:val="21"/>
        </w:rPr>
      </w:pPr>
      <w:r>
        <w:rPr>
          <w:rFonts w:hint="eastAsia" w:ascii="宋体"/>
          <w:color w:val="000000"/>
          <w:szCs w:val="21"/>
        </w:rPr>
        <w:t>____________________________________________________</w:t>
      </w:r>
    </w:p>
    <w:p>
      <w:pPr>
        <w:pStyle w:val="419"/>
        <w:spacing w:line="440" w:lineRule="exact"/>
        <w:ind w:firstLine="422"/>
        <w:jc w:val="left"/>
        <w:rPr>
          <w:rFonts w:hint="eastAsia" w:ascii="宋体"/>
          <w:b/>
          <w:color w:val="000000"/>
          <w:szCs w:val="21"/>
        </w:rPr>
      </w:pPr>
      <w:r>
        <w:rPr>
          <w:rFonts w:hint="eastAsia" w:ascii="宋体"/>
          <w:b/>
          <w:color w:val="000000"/>
          <w:szCs w:val="21"/>
        </w:rPr>
        <w:t>6．交货时间和交货地点</w:t>
      </w:r>
    </w:p>
    <w:p>
      <w:pPr>
        <w:pStyle w:val="419"/>
        <w:spacing w:line="440" w:lineRule="exact"/>
        <w:ind w:firstLine="420"/>
        <w:jc w:val="left"/>
        <w:rPr>
          <w:rFonts w:hint="eastAsia" w:ascii="宋体"/>
          <w:bCs/>
          <w:color w:val="000000"/>
          <w:szCs w:val="21"/>
        </w:rPr>
      </w:pPr>
      <w:r>
        <w:rPr>
          <w:rFonts w:hint="eastAsia" w:ascii="宋体"/>
          <w:bCs/>
          <w:color w:val="000000"/>
          <w:szCs w:val="21"/>
        </w:rPr>
        <w:t xml:space="preserve">本合同货物的交货时间和交货地点按采购文件“第三章  </w:t>
      </w:r>
      <w:r>
        <w:rPr>
          <w:rFonts w:hint="eastAsia" w:ascii="宋体"/>
          <w:color w:val="000000"/>
          <w:szCs w:val="21"/>
        </w:rPr>
        <w:t>采购需求</w:t>
      </w:r>
      <w:r>
        <w:rPr>
          <w:rFonts w:hint="eastAsia" w:ascii="宋体"/>
          <w:bCs/>
          <w:color w:val="000000"/>
          <w:szCs w:val="21"/>
        </w:rPr>
        <w:t>”执行。</w:t>
      </w:r>
    </w:p>
    <w:tbl>
      <w:tblPr>
        <w:tblStyle w:val="55"/>
        <w:tblW w:w="8916" w:type="dxa"/>
        <w:jc w:val="center"/>
        <w:tblLayout w:type="fixed"/>
        <w:tblCellMar>
          <w:top w:w="0" w:type="dxa"/>
          <w:left w:w="108" w:type="dxa"/>
          <w:bottom w:w="0" w:type="dxa"/>
          <w:right w:w="108" w:type="dxa"/>
        </w:tblCellMar>
      </w:tblPr>
      <w:tblGrid>
        <w:gridCol w:w="2627"/>
        <w:gridCol w:w="1926"/>
        <w:gridCol w:w="599"/>
        <w:gridCol w:w="1901"/>
        <w:gridCol w:w="1863"/>
      </w:tblGrid>
      <w:tr>
        <w:tblPrEx>
          <w:tblCellMar>
            <w:top w:w="0" w:type="dxa"/>
            <w:left w:w="108" w:type="dxa"/>
            <w:bottom w:w="0" w:type="dxa"/>
            <w:right w:w="108" w:type="dxa"/>
          </w:tblCellMar>
        </w:tblPrEx>
        <w:trPr>
          <w:jc w:val="center"/>
        </w:trPr>
        <w:tc>
          <w:tcPr>
            <w:tcW w:w="2627" w:type="dxa"/>
            <w:tcBorders>
              <w:top w:val="nil"/>
              <w:left w:val="nil"/>
              <w:bottom w:val="nil"/>
              <w:right w:val="nil"/>
            </w:tcBorders>
            <w:noWrap w:val="0"/>
            <w:vAlign w:val="top"/>
          </w:tcPr>
          <w:p>
            <w:pPr>
              <w:pStyle w:val="419"/>
              <w:spacing w:line="440" w:lineRule="exact"/>
              <w:ind w:firstLine="0" w:firstLineChars="0"/>
              <w:jc w:val="right"/>
              <w:rPr>
                <w:rFonts w:hint="eastAsia" w:ascii="宋体"/>
                <w:bCs/>
                <w:color w:val="000000"/>
                <w:szCs w:val="21"/>
              </w:rPr>
            </w:pPr>
            <w:r>
              <w:rPr>
                <w:rFonts w:hint="eastAsia" w:ascii="宋体"/>
                <w:bCs/>
                <w:color w:val="000000"/>
                <w:szCs w:val="21"/>
              </w:rPr>
              <w:t>采 购 人（盖章）：</w:t>
            </w:r>
          </w:p>
        </w:tc>
        <w:tc>
          <w:tcPr>
            <w:tcW w:w="1926" w:type="dxa"/>
            <w:tcBorders>
              <w:top w:val="nil"/>
              <w:left w:val="nil"/>
              <w:bottom w:val="nil"/>
              <w:right w:val="nil"/>
            </w:tcBorders>
            <w:noWrap w:val="0"/>
            <w:vAlign w:val="top"/>
          </w:tcPr>
          <w:p>
            <w:pPr>
              <w:pStyle w:val="419"/>
              <w:spacing w:line="440" w:lineRule="exact"/>
              <w:ind w:firstLine="0" w:firstLineChars="0"/>
              <w:jc w:val="left"/>
              <w:rPr>
                <w:rFonts w:hint="eastAsia" w:ascii="宋体"/>
                <w:bCs/>
                <w:color w:val="000000"/>
                <w:szCs w:val="21"/>
                <w:highlight w:val="green"/>
              </w:rPr>
            </w:pPr>
            <w:r>
              <w:rPr>
                <w:rFonts w:hint="eastAsia" w:ascii="宋体"/>
                <w:b/>
                <w:bCs/>
                <w:color w:val="000000"/>
                <w:szCs w:val="21"/>
                <w:u w:val="single"/>
              </w:rPr>
              <w:t xml:space="preserve">             </w:t>
            </w:r>
          </w:p>
        </w:tc>
        <w:tc>
          <w:tcPr>
            <w:tcW w:w="2500" w:type="dxa"/>
            <w:gridSpan w:val="2"/>
            <w:tcBorders>
              <w:top w:val="nil"/>
              <w:left w:val="nil"/>
              <w:bottom w:val="nil"/>
              <w:right w:val="nil"/>
            </w:tcBorders>
            <w:noWrap w:val="0"/>
            <w:vAlign w:val="top"/>
          </w:tcPr>
          <w:p>
            <w:pPr>
              <w:pStyle w:val="419"/>
              <w:spacing w:line="440" w:lineRule="exact"/>
              <w:ind w:firstLine="0" w:firstLineChars="0"/>
              <w:jc w:val="right"/>
              <w:rPr>
                <w:rFonts w:hint="eastAsia" w:ascii="宋体"/>
                <w:bCs/>
                <w:color w:val="000000"/>
                <w:szCs w:val="21"/>
              </w:rPr>
            </w:pPr>
            <w:r>
              <w:rPr>
                <w:rFonts w:hint="eastAsia" w:ascii="宋体"/>
                <w:bCs/>
                <w:color w:val="000000"/>
                <w:szCs w:val="21"/>
              </w:rPr>
              <w:t>卖    方（盖章）：</w:t>
            </w:r>
          </w:p>
        </w:tc>
        <w:tc>
          <w:tcPr>
            <w:tcW w:w="1863" w:type="dxa"/>
            <w:tcBorders>
              <w:top w:val="nil"/>
              <w:left w:val="nil"/>
              <w:bottom w:val="nil"/>
              <w:right w:val="nil"/>
            </w:tcBorders>
            <w:noWrap w:val="0"/>
            <w:vAlign w:val="top"/>
          </w:tcPr>
          <w:p>
            <w:pPr>
              <w:pStyle w:val="419"/>
              <w:spacing w:line="440" w:lineRule="exact"/>
              <w:ind w:firstLine="0" w:firstLineChars="0"/>
              <w:jc w:val="left"/>
              <w:rPr>
                <w:rFonts w:hint="eastAsia" w:ascii="宋体"/>
                <w:bCs/>
                <w:color w:val="000000"/>
                <w:szCs w:val="21"/>
                <w:highlight w:val="green"/>
              </w:rPr>
            </w:pPr>
            <w:r>
              <w:rPr>
                <w:rFonts w:hint="eastAsia" w:ascii="宋体"/>
                <w:b/>
                <w:bCs/>
                <w:color w:val="000000"/>
                <w:szCs w:val="21"/>
                <w:u w:val="single"/>
              </w:rPr>
              <w:t xml:space="preserve">             </w:t>
            </w:r>
          </w:p>
        </w:tc>
      </w:tr>
      <w:tr>
        <w:tblPrEx>
          <w:tblCellMar>
            <w:top w:w="0" w:type="dxa"/>
            <w:left w:w="108" w:type="dxa"/>
            <w:bottom w:w="0" w:type="dxa"/>
            <w:right w:w="108" w:type="dxa"/>
          </w:tblCellMar>
        </w:tblPrEx>
        <w:trPr>
          <w:jc w:val="center"/>
        </w:trPr>
        <w:tc>
          <w:tcPr>
            <w:tcW w:w="2627" w:type="dxa"/>
            <w:tcBorders>
              <w:top w:val="nil"/>
              <w:left w:val="nil"/>
              <w:bottom w:val="nil"/>
              <w:right w:val="nil"/>
            </w:tcBorders>
            <w:noWrap w:val="0"/>
            <w:vAlign w:val="top"/>
          </w:tcPr>
          <w:p>
            <w:pPr>
              <w:pStyle w:val="419"/>
              <w:spacing w:line="440" w:lineRule="exact"/>
              <w:ind w:firstLine="0" w:firstLineChars="0"/>
              <w:jc w:val="right"/>
              <w:rPr>
                <w:rFonts w:hint="eastAsia" w:ascii="宋体"/>
                <w:bCs/>
                <w:color w:val="000000"/>
                <w:szCs w:val="21"/>
              </w:rPr>
            </w:pPr>
            <w:r>
              <w:rPr>
                <w:rFonts w:hint="eastAsia" w:ascii="宋体"/>
                <w:bCs/>
                <w:color w:val="000000"/>
                <w:szCs w:val="21"/>
              </w:rPr>
              <w:t>单位地址：</w:t>
            </w:r>
          </w:p>
        </w:tc>
        <w:tc>
          <w:tcPr>
            <w:tcW w:w="1926" w:type="dxa"/>
            <w:tcBorders>
              <w:top w:val="nil"/>
              <w:left w:val="nil"/>
              <w:bottom w:val="nil"/>
              <w:right w:val="nil"/>
            </w:tcBorders>
            <w:noWrap w:val="0"/>
            <w:vAlign w:val="top"/>
          </w:tcPr>
          <w:p>
            <w:pPr>
              <w:pStyle w:val="419"/>
              <w:spacing w:line="440" w:lineRule="exact"/>
              <w:ind w:firstLine="0" w:firstLineChars="0"/>
              <w:jc w:val="left"/>
              <w:rPr>
                <w:rFonts w:hint="eastAsia" w:ascii="宋体"/>
                <w:bCs/>
                <w:color w:val="000000"/>
                <w:szCs w:val="21"/>
                <w:highlight w:val="green"/>
              </w:rPr>
            </w:pPr>
            <w:r>
              <w:rPr>
                <w:rFonts w:hint="eastAsia" w:ascii="宋体"/>
                <w:b/>
                <w:bCs/>
                <w:color w:val="000000"/>
                <w:szCs w:val="21"/>
                <w:u w:val="single"/>
              </w:rPr>
              <w:t xml:space="preserve">             </w:t>
            </w:r>
          </w:p>
        </w:tc>
        <w:tc>
          <w:tcPr>
            <w:tcW w:w="2500" w:type="dxa"/>
            <w:gridSpan w:val="2"/>
            <w:tcBorders>
              <w:top w:val="nil"/>
              <w:left w:val="nil"/>
              <w:bottom w:val="nil"/>
              <w:right w:val="nil"/>
            </w:tcBorders>
            <w:noWrap w:val="0"/>
            <w:vAlign w:val="top"/>
          </w:tcPr>
          <w:p>
            <w:pPr>
              <w:pStyle w:val="419"/>
              <w:spacing w:line="440" w:lineRule="exact"/>
              <w:ind w:firstLine="0" w:firstLineChars="0"/>
              <w:jc w:val="right"/>
              <w:rPr>
                <w:rFonts w:hint="eastAsia" w:ascii="宋体"/>
                <w:bCs/>
                <w:color w:val="000000"/>
                <w:szCs w:val="21"/>
              </w:rPr>
            </w:pPr>
            <w:r>
              <w:rPr>
                <w:rFonts w:hint="eastAsia" w:ascii="宋体"/>
                <w:bCs/>
                <w:color w:val="000000"/>
                <w:szCs w:val="21"/>
              </w:rPr>
              <w:t>单位地址：</w:t>
            </w:r>
          </w:p>
        </w:tc>
        <w:tc>
          <w:tcPr>
            <w:tcW w:w="1863" w:type="dxa"/>
            <w:tcBorders>
              <w:top w:val="nil"/>
              <w:left w:val="nil"/>
              <w:bottom w:val="nil"/>
              <w:right w:val="nil"/>
            </w:tcBorders>
            <w:noWrap w:val="0"/>
            <w:vAlign w:val="top"/>
          </w:tcPr>
          <w:p>
            <w:pPr>
              <w:pStyle w:val="419"/>
              <w:spacing w:line="440" w:lineRule="exact"/>
              <w:ind w:firstLine="0" w:firstLineChars="0"/>
              <w:jc w:val="left"/>
              <w:rPr>
                <w:rFonts w:hint="eastAsia" w:ascii="宋体"/>
                <w:bCs/>
                <w:color w:val="000000"/>
                <w:szCs w:val="21"/>
                <w:highlight w:val="green"/>
              </w:rPr>
            </w:pPr>
            <w:r>
              <w:rPr>
                <w:rFonts w:hint="eastAsia" w:ascii="宋体"/>
                <w:b/>
                <w:bCs/>
                <w:color w:val="000000"/>
                <w:szCs w:val="21"/>
                <w:u w:val="single"/>
              </w:rPr>
              <w:t xml:space="preserve">             </w:t>
            </w:r>
          </w:p>
        </w:tc>
      </w:tr>
      <w:tr>
        <w:tblPrEx>
          <w:tblCellMar>
            <w:top w:w="0" w:type="dxa"/>
            <w:left w:w="108" w:type="dxa"/>
            <w:bottom w:w="0" w:type="dxa"/>
            <w:right w:w="108" w:type="dxa"/>
          </w:tblCellMar>
        </w:tblPrEx>
        <w:trPr>
          <w:jc w:val="center"/>
        </w:trPr>
        <w:tc>
          <w:tcPr>
            <w:tcW w:w="2627" w:type="dxa"/>
            <w:tcBorders>
              <w:top w:val="nil"/>
              <w:left w:val="nil"/>
              <w:bottom w:val="nil"/>
              <w:right w:val="nil"/>
            </w:tcBorders>
            <w:noWrap w:val="0"/>
            <w:vAlign w:val="center"/>
          </w:tcPr>
          <w:p>
            <w:pPr>
              <w:pStyle w:val="419"/>
              <w:spacing w:line="440" w:lineRule="exact"/>
              <w:ind w:firstLine="0" w:firstLineChars="0"/>
              <w:jc w:val="right"/>
              <w:rPr>
                <w:rFonts w:hint="eastAsia" w:ascii="宋体"/>
                <w:bCs/>
                <w:color w:val="000000"/>
                <w:szCs w:val="21"/>
              </w:rPr>
            </w:pPr>
            <w:r>
              <w:rPr>
                <w:rFonts w:hint="eastAsia" w:ascii="宋体"/>
                <w:bCs/>
                <w:color w:val="000000"/>
                <w:szCs w:val="21"/>
              </w:rPr>
              <w:t>法人代表授权人(签字)：</w:t>
            </w:r>
          </w:p>
        </w:tc>
        <w:tc>
          <w:tcPr>
            <w:tcW w:w="1926" w:type="dxa"/>
            <w:tcBorders>
              <w:top w:val="nil"/>
              <w:left w:val="nil"/>
              <w:bottom w:val="nil"/>
              <w:right w:val="nil"/>
            </w:tcBorders>
            <w:noWrap w:val="0"/>
            <w:vAlign w:val="top"/>
          </w:tcPr>
          <w:p>
            <w:pPr>
              <w:pStyle w:val="419"/>
              <w:spacing w:line="440" w:lineRule="exact"/>
              <w:ind w:firstLine="0" w:firstLineChars="0"/>
              <w:jc w:val="left"/>
              <w:rPr>
                <w:rFonts w:hint="eastAsia" w:ascii="宋体"/>
                <w:bCs/>
                <w:color w:val="000000"/>
                <w:szCs w:val="21"/>
                <w:highlight w:val="green"/>
              </w:rPr>
            </w:pPr>
            <w:r>
              <w:rPr>
                <w:rFonts w:hint="eastAsia" w:ascii="宋体"/>
                <w:b/>
                <w:bCs/>
                <w:color w:val="000000"/>
                <w:szCs w:val="21"/>
                <w:u w:val="single"/>
              </w:rPr>
              <w:t xml:space="preserve">             </w:t>
            </w:r>
          </w:p>
        </w:tc>
        <w:tc>
          <w:tcPr>
            <w:tcW w:w="2500" w:type="dxa"/>
            <w:gridSpan w:val="2"/>
            <w:tcBorders>
              <w:top w:val="nil"/>
              <w:left w:val="nil"/>
              <w:bottom w:val="nil"/>
              <w:right w:val="nil"/>
            </w:tcBorders>
            <w:noWrap w:val="0"/>
            <w:vAlign w:val="top"/>
          </w:tcPr>
          <w:p>
            <w:pPr>
              <w:pStyle w:val="419"/>
              <w:spacing w:line="440" w:lineRule="exact"/>
              <w:ind w:firstLine="0" w:firstLineChars="0"/>
              <w:jc w:val="right"/>
              <w:rPr>
                <w:rFonts w:hint="eastAsia" w:ascii="宋体"/>
                <w:bCs/>
                <w:color w:val="000000"/>
                <w:szCs w:val="21"/>
              </w:rPr>
            </w:pPr>
            <w:r>
              <w:rPr>
                <w:rFonts w:hint="eastAsia" w:ascii="宋体"/>
                <w:bCs/>
                <w:color w:val="000000"/>
                <w:szCs w:val="21"/>
              </w:rPr>
              <w:t>法人代表授权人(签字)：</w:t>
            </w:r>
          </w:p>
        </w:tc>
        <w:tc>
          <w:tcPr>
            <w:tcW w:w="1863" w:type="dxa"/>
            <w:tcBorders>
              <w:top w:val="nil"/>
              <w:left w:val="nil"/>
              <w:bottom w:val="nil"/>
              <w:right w:val="nil"/>
            </w:tcBorders>
            <w:noWrap w:val="0"/>
            <w:vAlign w:val="top"/>
          </w:tcPr>
          <w:p>
            <w:pPr>
              <w:pStyle w:val="419"/>
              <w:spacing w:line="440" w:lineRule="exact"/>
              <w:ind w:firstLine="0" w:firstLineChars="0"/>
              <w:jc w:val="left"/>
              <w:rPr>
                <w:rFonts w:hint="eastAsia" w:ascii="宋体"/>
                <w:bCs/>
                <w:color w:val="000000"/>
                <w:szCs w:val="21"/>
                <w:highlight w:val="green"/>
              </w:rPr>
            </w:pPr>
            <w:r>
              <w:rPr>
                <w:rFonts w:hint="eastAsia" w:ascii="宋体"/>
                <w:b/>
                <w:bCs/>
                <w:color w:val="000000"/>
                <w:szCs w:val="21"/>
                <w:u w:val="single"/>
              </w:rPr>
              <w:t xml:space="preserve">             </w:t>
            </w:r>
          </w:p>
        </w:tc>
      </w:tr>
      <w:tr>
        <w:tblPrEx>
          <w:tblCellMar>
            <w:top w:w="0" w:type="dxa"/>
            <w:left w:w="108" w:type="dxa"/>
            <w:bottom w:w="0" w:type="dxa"/>
            <w:right w:w="108" w:type="dxa"/>
          </w:tblCellMar>
        </w:tblPrEx>
        <w:trPr>
          <w:jc w:val="center"/>
        </w:trPr>
        <w:tc>
          <w:tcPr>
            <w:tcW w:w="2627" w:type="dxa"/>
            <w:tcBorders>
              <w:top w:val="nil"/>
              <w:left w:val="nil"/>
              <w:bottom w:val="nil"/>
              <w:right w:val="nil"/>
            </w:tcBorders>
            <w:noWrap w:val="0"/>
            <w:vAlign w:val="top"/>
          </w:tcPr>
          <w:p>
            <w:pPr>
              <w:pStyle w:val="419"/>
              <w:spacing w:line="440" w:lineRule="exact"/>
              <w:ind w:firstLine="0" w:firstLineChars="0"/>
              <w:jc w:val="right"/>
              <w:rPr>
                <w:rFonts w:hint="eastAsia" w:ascii="宋体"/>
                <w:bCs/>
                <w:color w:val="000000"/>
                <w:szCs w:val="21"/>
              </w:rPr>
            </w:pPr>
            <w:r>
              <w:rPr>
                <w:rFonts w:hint="eastAsia" w:ascii="宋体"/>
                <w:bCs/>
                <w:color w:val="000000"/>
                <w:szCs w:val="21"/>
              </w:rPr>
              <w:t>联 系 人：</w:t>
            </w:r>
          </w:p>
        </w:tc>
        <w:tc>
          <w:tcPr>
            <w:tcW w:w="1926" w:type="dxa"/>
            <w:tcBorders>
              <w:top w:val="nil"/>
              <w:left w:val="nil"/>
              <w:bottom w:val="nil"/>
              <w:right w:val="nil"/>
            </w:tcBorders>
            <w:noWrap w:val="0"/>
            <w:vAlign w:val="top"/>
          </w:tcPr>
          <w:p>
            <w:pPr>
              <w:pStyle w:val="419"/>
              <w:spacing w:line="440" w:lineRule="exact"/>
              <w:ind w:firstLine="0" w:firstLineChars="0"/>
              <w:jc w:val="left"/>
              <w:rPr>
                <w:rFonts w:hint="eastAsia" w:ascii="宋体"/>
                <w:bCs/>
                <w:color w:val="000000"/>
                <w:szCs w:val="21"/>
                <w:highlight w:val="green"/>
              </w:rPr>
            </w:pPr>
            <w:r>
              <w:rPr>
                <w:rFonts w:hint="eastAsia" w:ascii="宋体"/>
                <w:b/>
                <w:bCs/>
                <w:color w:val="000000"/>
                <w:szCs w:val="21"/>
                <w:u w:val="single"/>
              </w:rPr>
              <w:t xml:space="preserve">             </w:t>
            </w:r>
          </w:p>
        </w:tc>
        <w:tc>
          <w:tcPr>
            <w:tcW w:w="2500" w:type="dxa"/>
            <w:gridSpan w:val="2"/>
            <w:tcBorders>
              <w:top w:val="nil"/>
              <w:left w:val="nil"/>
              <w:bottom w:val="nil"/>
              <w:right w:val="nil"/>
            </w:tcBorders>
            <w:noWrap w:val="0"/>
            <w:vAlign w:val="top"/>
          </w:tcPr>
          <w:p>
            <w:pPr>
              <w:pStyle w:val="419"/>
              <w:spacing w:line="440" w:lineRule="exact"/>
              <w:ind w:firstLine="0" w:firstLineChars="0"/>
              <w:jc w:val="right"/>
              <w:rPr>
                <w:rFonts w:hint="eastAsia" w:ascii="宋体"/>
                <w:bCs/>
                <w:color w:val="000000"/>
                <w:szCs w:val="21"/>
              </w:rPr>
            </w:pPr>
            <w:r>
              <w:rPr>
                <w:rFonts w:hint="eastAsia" w:ascii="宋体"/>
                <w:bCs/>
                <w:color w:val="000000"/>
                <w:szCs w:val="21"/>
              </w:rPr>
              <w:t>联 系 人：</w:t>
            </w:r>
          </w:p>
        </w:tc>
        <w:tc>
          <w:tcPr>
            <w:tcW w:w="1863" w:type="dxa"/>
            <w:tcBorders>
              <w:top w:val="nil"/>
              <w:left w:val="nil"/>
              <w:bottom w:val="nil"/>
              <w:right w:val="nil"/>
            </w:tcBorders>
            <w:noWrap w:val="0"/>
            <w:vAlign w:val="top"/>
          </w:tcPr>
          <w:p>
            <w:pPr>
              <w:pStyle w:val="419"/>
              <w:spacing w:line="440" w:lineRule="exact"/>
              <w:ind w:firstLine="0" w:firstLineChars="0"/>
              <w:jc w:val="left"/>
              <w:rPr>
                <w:rFonts w:hint="eastAsia" w:ascii="宋体"/>
                <w:bCs/>
                <w:color w:val="000000"/>
                <w:szCs w:val="21"/>
                <w:highlight w:val="green"/>
              </w:rPr>
            </w:pPr>
            <w:r>
              <w:rPr>
                <w:rFonts w:hint="eastAsia" w:ascii="宋体"/>
                <w:b/>
                <w:bCs/>
                <w:color w:val="000000"/>
                <w:szCs w:val="21"/>
                <w:u w:val="single"/>
              </w:rPr>
              <w:t xml:space="preserve">             </w:t>
            </w:r>
          </w:p>
        </w:tc>
      </w:tr>
      <w:tr>
        <w:tblPrEx>
          <w:tblCellMar>
            <w:top w:w="0" w:type="dxa"/>
            <w:left w:w="108" w:type="dxa"/>
            <w:bottom w:w="0" w:type="dxa"/>
            <w:right w:w="108" w:type="dxa"/>
          </w:tblCellMar>
        </w:tblPrEx>
        <w:trPr>
          <w:jc w:val="center"/>
        </w:trPr>
        <w:tc>
          <w:tcPr>
            <w:tcW w:w="2627" w:type="dxa"/>
            <w:tcBorders>
              <w:top w:val="nil"/>
              <w:left w:val="nil"/>
              <w:bottom w:val="nil"/>
              <w:right w:val="nil"/>
            </w:tcBorders>
            <w:noWrap w:val="0"/>
            <w:vAlign w:val="top"/>
          </w:tcPr>
          <w:p>
            <w:pPr>
              <w:pStyle w:val="419"/>
              <w:spacing w:line="440" w:lineRule="exact"/>
              <w:ind w:firstLine="0" w:firstLineChars="0"/>
              <w:jc w:val="right"/>
              <w:rPr>
                <w:rFonts w:hint="eastAsia" w:ascii="宋体"/>
                <w:bCs/>
                <w:color w:val="000000"/>
                <w:szCs w:val="21"/>
              </w:rPr>
            </w:pPr>
            <w:r>
              <w:rPr>
                <w:rFonts w:hint="eastAsia" w:ascii="宋体"/>
                <w:bCs/>
                <w:color w:val="000000"/>
                <w:szCs w:val="21"/>
              </w:rPr>
              <w:t>电    话：</w:t>
            </w:r>
          </w:p>
        </w:tc>
        <w:tc>
          <w:tcPr>
            <w:tcW w:w="1926" w:type="dxa"/>
            <w:tcBorders>
              <w:top w:val="nil"/>
              <w:left w:val="nil"/>
              <w:bottom w:val="nil"/>
              <w:right w:val="nil"/>
            </w:tcBorders>
            <w:noWrap w:val="0"/>
            <w:vAlign w:val="top"/>
          </w:tcPr>
          <w:p>
            <w:pPr>
              <w:pStyle w:val="419"/>
              <w:spacing w:line="440" w:lineRule="exact"/>
              <w:ind w:firstLine="0" w:firstLineChars="0"/>
              <w:jc w:val="left"/>
              <w:rPr>
                <w:rFonts w:hint="eastAsia" w:ascii="宋体"/>
                <w:b/>
                <w:bCs/>
                <w:color w:val="000000"/>
                <w:szCs w:val="21"/>
                <w:u w:val="single"/>
              </w:rPr>
            </w:pPr>
            <w:r>
              <w:rPr>
                <w:rFonts w:hint="eastAsia" w:ascii="宋体"/>
                <w:b/>
                <w:bCs/>
                <w:color w:val="000000"/>
                <w:szCs w:val="21"/>
                <w:u w:val="single"/>
              </w:rPr>
              <w:t xml:space="preserve">             </w:t>
            </w:r>
          </w:p>
        </w:tc>
        <w:tc>
          <w:tcPr>
            <w:tcW w:w="2500" w:type="dxa"/>
            <w:gridSpan w:val="2"/>
            <w:tcBorders>
              <w:top w:val="nil"/>
              <w:left w:val="nil"/>
              <w:bottom w:val="nil"/>
              <w:right w:val="nil"/>
            </w:tcBorders>
            <w:noWrap w:val="0"/>
            <w:vAlign w:val="top"/>
          </w:tcPr>
          <w:p>
            <w:pPr>
              <w:pStyle w:val="419"/>
              <w:spacing w:line="440" w:lineRule="exact"/>
              <w:ind w:firstLine="0" w:firstLineChars="0"/>
              <w:jc w:val="right"/>
              <w:rPr>
                <w:rFonts w:hint="eastAsia" w:ascii="宋体"/>
                <w:bCs/>
                <w:color w:val="000000"/>
                <w:szCs w:val="21"/>
              </w:rPr>
            </w:pPr>
            <w:r>
              <w:rPr>
                <w:rFonts w:hint="eastAsia" w:ascii="宋体"/>
                <w:bCs/>
                <w:color w:val="000000"/>
                <w:szCs w:val="21"/>
              </w:rPr>
              <w:t>电    话：</w:t>
            </w:r>
          </w:p>
        </w:tc>
        <w:tc>
          <w:tcPr>
            <w:tcW w:w="1863" w:type="dxa"/>
            <w:tcBorders>
              <w:top w:val="nil"/>
              <w:left w:val="nil"/>
              <w:bottom w:val="nil"/>
              <w:right w:val="nil"/>
            </w:tcBorders>
            <w:noWrap w:val="0"/>
            <w:vAlign w:val="top"/>
          </w:tcPr>
          <w:p>
            <w:pPr>
              <w:pStyle w:val="419"/>
              <w:spacing w:line="440" w:lineRule="exact"/>
              <w:ind w:firstLine="0" w:firstLineChars="0"/>
              <w:jc w:val="left"/>
              <w:rPr>
                <w:rFonts w:hint="eastAsia" w:ascii="宋体"/>
                <w:b/>
                <w:bCs/>
                <w:color w:val="000000"/>
                <w:szCs w:val="21"/>
                <w:u w:val="single"/>
              </w:rPr>
            </w:pPr>
            <w:r>
              <w:rPr>
                <w:rFonts w:hint="eastAsia" w:ascii="宋体"/>
                <w:b/>
                <w:bCs/>
                <w:color w:val="000000"/>
                <w:szCs w:val="21"/>
                <w:u w:val="single"/>
              </w:rPr>
              <w:t xml:space="preserve">             </w:t>
            </w:r>
          </w:p>
        </w:tc>
      </w:tr>
      <w:tr>
        <w:tblPrEx>
          <w:tblCellMar>
            <w:top w:w="0" w:type="dxa"/>
            <w:left w:w="108" w:type="dxa"/>
            <w:bottom w:w="0" w:type="dxa"/>
            <w:right w:w="108" w:type="dxa"/>
          </w:tblCellMar>
        </w:tblPrEx>
        <w:trPr>
          <w:jc w:val="center"/>
        </w:trPr>
        <w:tc>
          <w:tcPr>
            <w:tcW w:w="2627" w:type="dxa"/>
            <w:tcBorders>
              <w:top w:val="nil"/>
              <w:left w:val="nil"/>
              <w:bottom w:val="nil"/>
              <w:right w:val="nil"/>
            </w:tcBorders>
            <w:noWrap w:val="0"/>
            <w:vAlign w:val="top"/>
          </w:tcPr>
          <w:p>
            <w:pPr>
              <w:pStyle w:val="419"/>
              <w:spacing w:line="440" w:lineRule="exact"/>
              <w:ind w:firstLine="0" w:firstLineChars="0"/>
              <w:jc w:val="right"/>
              <w:rPr>
                <w:rFonts w:hint="eastAsia" w:ascii="宋体"/>
                <w:bCs/>
                <w:color w:val="000000"/>
                <w:szCs w:val="21"/>
              </w:rPr>
            </w:pPr>
            <w:r>
              <w:rPr>
                <w:rFonts w:hint="eastAsia" w:ascii="宋体"/>
                <w:bCs/>
                <w:color w:val="000000"/>
                <w:szCs w:val="21"/>
              </w:rPr>
              <w:t>传    真：</w:t>
            </w:r>
          </w:p>
        </w:tc>
        <w:tc>
          <w:tcPr>
            <w:tcW w:w="1926" w:type="dxa"/>
            <w:tcBorders>
              <w:top w:val="nil"/>
              <w:left w:val="nil"/>
              <w:bottom w:val="nil"/>
              <w:right w:val="nil"/>
            </w:tcBorders>
            <w:noWrap w:val="0"/>
            <w:vAlign w:val="top"/>
          </w:tcPr>
          <w:p>
            <w:pPr>
              <w:pStyle w:val="419"/>
              <w:spacing w:line="440" w:lineRule="exact"/>
              <w:ind w:firstLine="0" w:firstLineChars="0"/>
              <w:jc w:val="left"/>
              <w:rPr>
                <w:rFonts w:hint="eastAsia" w:ascii="宋体"/>
                <w:b/>
                <w:bCs/>
                <w:color w:val="000000"/>
                <w:szCs w:val="21"/>
                <w:u w:val="single"/>
              </w:rPr>
            </w:pPr>
            <w:r>
              <w:rPr>
                <w:rFonts w:hint="eastAsia" w:ascii="宋体"/>
                <w:b/>
                <w:bCs/>
                <w:color w:val="000000"/>
                <w:szCs w:val="21"/>
                <w:u w:val="single"/>
              </w:rPr>
              <w:t xml:space="preserve">             </w:t>
            </w:r>
          </w:p>
        </w:tc>
        <w:tc>
          <w:tcPr>
            <w:tcW w:w="2500" w:type="dxa"/>
            <w:gridSpan w:val="2"/>
            <w:tcBorders>
              <w:top w:val="nil"/>
              <w:left w:val="nil"/>
              <w:bottom w:val="nil"/>
              <w:right w:val="nil"/>
            </w:tcBorders>
            <w:noWrap w:val="0"/>
            <w:vAlign w:val="top"/>
          </w:tcPr>
          <w:p>
            <w:pPr>
              <w:pStyle w:val="419"/>
              <w:spacing w:line="440" w:lineRule="exact"/>
              <w:ind w:firstLine="0" w:firstLineChars="0"/>
              <w:jc w:val="right"/>
              <w:rPr>
                <w:rFonts w:hint="eastAsia" w:ascii="宋体"/>
                <w:bCs/>
                <w:color w:val="000000"/>
                <w:szCs w:val="21"/>
              </w:rPr>
            </w:pPr>
            <w:r>
              <w:rPr>
                <w:rFonts w:hint="eastAsia" w:ascii="宋体"/>
                <w:bCs/>
                <w:color w:val="000000"/>
                <w:szCs w:val="21"/>
              </w:rPr>
              <w:t>传    真：</w:t>
            </w:r>
          </w:p>
        </w:tc>
        <w:tc>
          <w:tcPr>
            <w:tcW w:w="1863" w:type="dxa"/>
            <w:tcBorders>
              <w:top w:val="nil"/>
              <w:left w:val="nil"/>
              <w:bottom w:val="nil"/>
              <w:right w:val="nil"/>
            </w:tcBorders>
            <w:noWrap w:val="0"/>
            <w:vAlign w:val="top"/>
          </w:tcPr>
          <w:p>
            <w:pPr>
              <w:pStyle w:val="419"/>
              <w:spacing w:line="440" w:lineRule="exact"/>
              <w:ind w:firstLine="0" w:firstLineChars="0"/>
              <w:jc w:val="left"/>
              <w:rPr>
                <w:rFonts w:hint="eastAsia" w:ascii="宋体"/>
                <w:b/>
                <w:bCs/>
                <w:color w:val="000000"/>
                <w:szCs w:val="21"/>
                <w:u w:val="single"/>
              </w:rPr>
            </w:pPr>
            <w:r>
              <w:rPr>
                <w:rFonts w:hint="eastAsia" w:ascii="宋体"/>
                <w:b/>
                <w:bCs/>
                <w:color w:val="000000"/>
                <w:szCs w:val="21"/>
                <w:u w:val="single"/>
              </w:rPr>
              <w:t xml:space="preserve">             </w:t>
            </w:r>
          </w:p>
        </w:tc>
      </w:tr>
      <w:tr>
        <w:tblPrEx>
          <w:tblCellMar>
            <w:top w:w="0" w:type="dxa"/>
            <w:left w:w="108" w:type="dxa"/>
            <w:bottom w:w="0" w:type="dxa"/>
            <w:right w:w="108" w:type="dxa"/>
          </w:tblCellMar>
        </w:tblPrEx>
        <w:trPr>
          <w:jc w:val="center"/>
        </w:trPr>
        <w:tc>
          <w:tcPr>
            <w:tcW w:w="2627" w:type="dxa"/>
            <w:tcBorders>
              <w:top w:val="nil"/>
              <w:left w:val="nil"/>
              <w:bottom w:val="nil"/>
              <w:right w:val="nil"/>
            </w:tcBorders>
            <w:noWrap w:val="0"/>
            <w:vAlign w:val="top"/>
          </w:tcPr>
          <w:p>
            <w:pPr>
              <w:pStyle w:val="419"/>
              <w:spacing w:line="440" w:lineRule="exact"/>
              <w:ind w:firstLine="0" w:firstLineChars="0"/>
              <w:jc w:val="right"/>
              <w:rPr>
                <w:rFonts w:hint="eastAsia" w:ascii="宋体"/>
                <w:bCs/>
                <w:color w:val="000000"/>
                <w:szCs w:val="21"/>
              </w:rPr>
            </w:pPr>
            <w:r>
              <w:rPr>
                <w:rFonts w:hint="eastAsia" w:ascii="宋体"/>
                <w:bCs/>
                <w:color w:val="000000"/>
                <w:szCs w:val="21"/>
              </w:rPr>
              <w:t>邮政编码：</w:t>
            </w:r>
          </w:p>
        </w:tc>
        <w:tc>
          <w:tcPr>
            <w:tcW w:w="1926" w:type="dxa"/>
            <w:tcBorders>
              <w:top w:val="nil"/>
              <w:left w:val="nil"/>
              <w:bottom w:val="nil"/>
              <w:right w:val="nil"/>
            </w:tcBorders>
            <w:noWrap w:val="0"/>
            <w:vAlign w:val="top"/>
          </w:tcPr>
          <w:p>
            <w:pPr>
              <w:pStyle w:val="419"/>
              <w:spacing w:line="440" w:lineRule="exact"/>
              <w:ind w:firstLine="0" w:firstLineChars="0"/>
              <w:jc w:val="left"/>
              <w:rPr>
                <w:rFonts w:hint="eastAsia" w:ascii="宋体"/>
                <w:bCs/>
                <w:color w:val="000000"/>
                <w:szCs w:val="21"/>
                <w:highlight w:val="green"/>
              </w:rPr>
            </w:pPr>
            <w:r>
              <w:rPr>
                <w:rFonts w:hint="eastAsia" w:ascii="宋体"/>
                <w:b/>
                <w:bCs/>
                <w:color w:val="000000"/>
                <w:szCs w:val="21"/>
                <w:u w:val="single"/>
              </w:rPr>
              <w:t xml:space="preserve">             </w:t>
            </w:r>
          </w:p>
        </w:tc>
        <w:tc>
          <w:tcPr>
            <w:tcW w:w="2500" w:type="dxa"/>
            <w:gridSpan w:val="2"/>
            <w:tcBorders>
              <w:top w:val="nil"/>
              <w:left w:val="nil"/>
              <w:bottom w:val="nil"/>
              <w:right w:val="nil"/>
            </w:tcBorders>
            <w:noWrap w:val="0"/>
            <w:vAlign w:val="top"/>
          </w:tcPr>
          <w:p>
            <w:pPr>
              <w:pStyle w:val="419"/>
              <w:spacing w:line="440" w:lineRule="exact"/>
              <w:ind w:firstLine="0" w:firstLineChars="0"/>
              <w:jc w:val="right"/>
              <w:rPr>
                <w:rFonts w:hint="eastAsia" w:ascii="宋体"/>
                <w:bCs/>
                <w:color w:val="000000"/>
                <w:szCs w:val="21"/>
              </w:rPr>
            </w:pPr>
            <w:r>
              <w:rPr>
                <w:rFonts w:hint="eastAsia" w:ascii="宋体"/>
                <w:bCs/>
                <w:color w:val="000000"/>
                <w:szCs w:val="21"/>
              </w:rPr>
              <w:t>邮政编码：</w:t>
            </w:r>
          </w:p>
        </w:tc>
        <w:tc>
          <w:tcPr>
            <w:tcW w:w="1863" w:type="dxa"/>
            <w:tcBorders>
              <w:top w:val="nil"/>
              <w:left w:val="nil"/>
              <w:bottom w:val="nil"/>
              <w:right w:val="nil"/>
            </w:tcBorders>
            <w:noWrap w:val="0"/>
            <w:vAlign w:val="top"/>
          </w:tcPr>
          <w:p>
            <w:pPr>
              <w:pStyle w:val="419"/>
              <w:spacing w:line="440" w:lineRule="exact"/>
              <w:ind w:firstLine="0" w:firstLineChars="0"/>
              <w:jc w:val="left"/>
              <w:rPr>
                <w:rFonts w:hint="eastAsia" w:ascii="宋体"/>
                <w:b/>
                <w:bCs/>
                <w:color w:val="000000"/>
                <w:szCs w:val="21"/>
                <w:u w:val="single"/>
              </w:rPr>
            </w:pPr>
            <w:r>
              <w:rPr>
                <w:rFonts w:hint="eastAsia" w:ascii="宋体"/>
                <w:b/>
                <w:bCs/>
                <w:color w:val="000000"/>
                <w:szCs w:val="21"/>
                <w:u w:val="single"/>
              </w:rPr>
              <w:t xml:space="preserve">             </w:t>
            </w:r>
          </w:p>
        </w:tc>
      </w:tr>
      <w:tr>
        <w:tblPrEx>
          <w:tblCellMar>
            <w:top w:w="0" w:type="dxa"/>
            <w:left w:w="108" w:type="dxa"/>
            <w:bottom w:w="0" w:type="dxa"/>
            <w:right w:w="108" w:type="dxa"/>
          </w:tblCellMar>
        </w:tblPrEx>
        <w:trPr>
          <w:jc w:val="center"/>
        </w:trPr>
        <w:tc>
          <w:tcPr>
            <w:tcW w:w="2627" w:type="dxa"/>
            <w:tcBorders>
              <w:top w:val="nil"/>
              <w:left w:val="nil"/>
              <w:bottom w:val="nil"/>
              <w:right w:val="nil"/>
            </w:tcBorders>
            <w:noWrap w:val="0"/>
            <w:vAlign w:val="top"/>
          </w:tcPr>
          <w:p>
            <w:pPr>
              <w:pStyle w:val="419"/>
              <w:spacing w:line="440" w:lineRule="exact"/>
              <w:ind w:firstLine="0" w:firstLineChars="0"/>
              <w:jc w:val="right"/>
              <w:rPr>
                <w:rFonts w:hint="eastAsia" w:ascii="宋体"/>
                <w:bCs/>
                <w:color w:val="000000"/>
                <w:szCs w:val="21"/>
              </w:rPr>
            </w:pPr>
            <w:r>
              <w:rPr>
                <w:rFonts w:hint="eastAsia" w:ascii="宋体"/>
                <w:bCs/>
                <w:color w:val="000000"/>
                <w:szCs w:val="21"/>
              </w:rPr>
              <w:t>开户银行：</w:t>
            </w:r>
          </w:p>
        </w:tc>
        <w:tc>
          <w:tcPr>
            <w:tcW w:w="1926" w:type="dxa"/>
            <w:tcBorders>
              <w:top w:val="nil"/>
              <w:left w:val="nil"/>
              <w:bottom w:val="nil"/>
              <w:right w:val="nil"/>
            </w:tcBorders>
            <w:noWrap w:val="0"/>
            <w:vAlign w:val="top"/>
          </w:tcPr>
          <w:p>
            <w:pPr>
              <w:pStyle w:val="419"/>
              <w:spacing w:line="440" w:lineRule="exact"/>
              <w:ind w:firstLine="0" w:firstLineChars="0"/>
              <w:jc w:val="left"/>
              <w:rPr>
                <w:rFonts w:hint="eastAsia" w:ascii="宋体"/>
                <w:b/>
                <w:bCs/>
                <w:color w:val="000000"/>
                <w:szCs w:val="21"/>
                <w:u w:val="single"/>
              </w:rPr>
            </w:pPr>
            <w:r>
              <w:rPr>
                <w:rFonts w:hint="eastAsia" w:ascii="宋体"/>
                <w:b/>
                <w:bCs/>
                <w:color w:val="000000"/>
                <w:szCs w:val="21"/>
                <w:u w:val="single"/>
              </w:rPr>
              <w:t xml:space="preserve">             </w:t>
            </w:r>
          </w:p>
        </w:tc>
        <w:tc>
          <w:tcPr>
            <w:tcW w:w="2500" w:type="dxa"/>
            <w:gridSpan w:val="2"/>
            <w:tcBorders>
              <w:top w:val="nil"/>
              <w:left w:val="nil"/>
              <w:bottom w:val="nil"/>
              <w:right w:val="nil"/>
            </w:tcBorders>
            <w:noWrap w:val="0"/>
            <w:vAlign w:val="top"/>
          </w:tcPr>
          <w:p>
            <w:pPr>
              <w:pStyle w:val="419"/>
              <w:spacing w:line="440" w:lineRule="exact"/>
              <w:ind w:firstLine="0" w:firstLineChars="0"/>
              <w:jc w:val="right"/>
              <w:rPr>
                <w:rFonts w:hint="eastAsia" w:ascii="宋体"/>
                <w:bCs/>
                <w:color w:val="000000"/>
                <w:szCs w:val="21"/>
              </w:rPr>
            </w:pPr>
            <w:r>
              <w:rPr>
                <w:rFonts w:hint="eastAsia" w:ascii="宋体"/>
                <w:bCs/>
                <w:color w:val="000000"/>
                <w:szCs w:val="21"/>
              </w:rPr>
              <w:t>开户银行：</w:t>
            </w:r>
          </w:p>
        </w:tc>
        <w:tc>
          <w:tcPr>
            <w:tcW w:w="1863" w:type="dxa"/>
            <w:tcBorders>
              <w:top w:val="nil"/>
              <w:left w:val="nil"/>
              <w:bottom w:val="nil"/>
              <w:right w:val="nil"/>
            </w:tcBorders>
            <w:noWrap w:val="0"/>
            <w:vAlign w:val="top"/>
          </w:tcPr>
          <w:p>
            <w:pPr>
              <w:pStyle w:val="419"/>
              <w:spacing w:line="440" w:lineRule="exact"/>
              <w:ind w:firstLine="0" w:firstLineChars="0"/>
              <w:jc w:val="left"/>
              <w:rPr>
                <w:rFonts w:hint="eastAsia" w:ascii="宋体"/>
                <w:b/>
                <w:bCs/>
                <w:color w:val="000000"/>
                <w:szCs w:val="21"/>
                <w:u w:val="single"/>
              </w:rPr>
            </w:pPr>
            <w:r>
              <w:rPr>
                <w:rFonts w:hint="eastAsia" w:ascii="宋体"/>
                <w:b/>
                <w:bCs/>
                <w:color w:val="000000"/>
                <w:szCs w:val="21"/>
                <w:u w:val="single"/>
              </w:rPr>
              <w:t xml:space="preserve">             </w:t>
            </w:r>
          </w:p>
        </w:tc>
      </w:tr>
      <w:tr>
        <w:tblPrEx>
          <w:tblCellMar>
            <w:top w:w="0" w:type="dxa"/>
            <w:left w:w="108" w:type="dxa"/>
            <w:bottom w:w="0" w:type="dxa"/>
            <w:right w:w="108" w:type="dxa"/>
          </w:tblCellMar>
        </w:tblPrEx>
        <w:trPr>
          <w:jc w:val="center"/>
        </w:trPr>
        <w:tc>
          <w:tcPr>
            <w:tcW w:w="2627" w:type="dxa"/>
            <w:tcBorders>
              <w:top w:val="nil"/>
              <w:left w:val="nil"/>
              <w:bottom w:val="nil"/>
              <w:right w:val="nil"/>
            </w:tcBorders>
            <w:noWrap w:val="0"/>
            <w:vAlign w:val="top"/>
          </w:tcPr>
          <w:p>
            <w:pPr>
              <w:pStyle w:val="419"/>
              <w:spacing w:line="440" w:lineRule="exact"/>
              <w:ind w:firstLine="0" w:firstLineChars="0"/>
              <w:jc w:val="right"/>
              <w:rPr>
                <w:rFonts w:hint="eastAsia" w:ascii="宋体"/>
                <w:bCs/>
                <w:color w:val="000000"/>
                <w:szCs w:val="21"/>
              </w:rPr>
            </w:pPr>
            <w:r>
              <w:rPr>
                <w:rFonts w:hint="eastAsia" w:ascii="宋体"/>
                <w:bCs/>
                <w:color w:val="000000"/>
                <w:szCs w:val="21"/>
              </w:rPr>
              <w:t>账    号：</w:t>
            </w:r>
          </w:p>
        </w:tc>
        <w:tc>
          <w:tcPr>
            <w:tcW w:w="2525" w:type="dxa"/>
            <w:gridSpan w:val="2"/>
            <w:tcBorders>
              <w:top w:val="nil"/>
              <w:left w:val="nil"/>
              <w:bottom w:val="nil"/>
              <w:right w:val="nil"/>
            </w:tcBorders>
            <w:noWrap w:val="0"/>
            <w:vAlign w:val="top"/>
          </w:tcPr>
          <w:p>
            <w:pPr>
              <w:pStyle w:val="419"/>
              <w:spacing w:line="440" w:lineRule="exact"/>
              <w:ind w:firstLine="0" w:firstLineChars="0"/>
              <w:jc w:val="left"/>
              <w:rPr>
                <w:rFonts w:hint="eastAsia" w:ascii="宋体"/>
                <w:b/>
                <w:bCs/>
                <w:color w:val="000000"/>
                <w:szCs w:val="21"/>
                <w:u w:val="single"/>
              </w:rPr>
            </w:pPr>
            <w:r>
              <w:rPr>
                <w:rFonts w:hint="eastAsia" w:ascii="宋体"/>
                <w:b/>
                <w:bCs/>
                <w:color w:val="000000"/>
                <w:szCs w:val="21"/>
                <w:u w:val="single"/>
              </w:rPr>
              <w:t xml:space="preserve">             </w:t>
            </w:r>
          </w:p>
        </w:tc>
        <w:tc>
          <w:tcPr>
            <w:tcW w:w="1901" w:type="dxa"/>
            <w:tcBorders>
              <w:top w:val="nil"/>
              <w:left w:val="nil"/>
              <w:bottom w:val="nil"/>
              <w:right w:val="nil"/>
            </w:tcBorders>
            <w:noWrap w:val="0"/>
            <w:vAlign w:val="top"/>
          </w:tcPr>
          <w:p>
            <w:pPr>
              <w:pStyle w:val="419"/>
              <w:spacing w:line="440" w:lineRule="exact"/>
              <w:ind w:firstLine="0" w:firstLineChars="0"/>
              <w:jc w:val="right"/>
              <w:rPr>
                <w:rFonts w:hint="eastAsia" w:ascii="宋体"/>
                <w:bCs/>
                <w:color w:val="000000"/>
                <w:szCs w:val="21"/>
              </w:rPr>
            </w:pPr>
            <w:r>
              <w:rPr>
                <w:rFonts w:hint="eastAsia" w:ascii="宋体"/>
                <w:bCs/>
                <w:color w:val="000000"/>
                <w:szCs w:val="21"/>
              </w:rPr>
              <w:t>账    号：</w:t>
            </w:r>
          </w:p>
        </w:tc>
        <w:tc>
          <w:tcPr>
            <w:tcW w:w="1863" w:type="dxa"/>
            <w:tcBorders>
              <w:top w:val="nil"/>
              <w:left w:val="nil"/>
              <w:bottom w:val="nil"/>
              <w:right w:val="nil"/>
            </w:tcBorders>
            <w:noWrap w:val="0"/>
            <w:vAlign w:val="top"/>
          </w:tcPr>
          <w:p>
            <w:pPr>
              <w:pStyle w:val="419"/>
              <w:spacing w:line="440" w:lineRule="exact"/>
              <w:ind w:firstLine="0" w:firstLineChars="0"/>
              <w:jc w:val="left"/>
              <w:rPr>
                <w:rFonts w:hint="eastAsia" w:ascii="宋体"/>
                <w:b/>
                <w:bCs/>
                <w:color w:val="000000"/>
                <w:szCs w:val="21"/>
                <w:u w:val="single"/>
              </w:rPr>
            </w:pPr>
            <w:r>
              <w:rPr>
                <w:rFonts w:hint="eastAsia" w:ascii="宋体"/>
                <w:b/>
                <w:bCs/>
                <w:color w:val="000000"/>
                <w:szCs w:val="21"/>
                <w:u w:val="single"/>
              </w:rPr>
              <w:t xml:space="preserve">             </w:t>
            </w:r>
          </w:p>
        </w:tc>
      </w:tr>
    </w:tbl>
    <w:p>
      <w:pPr>
        <w:pStyle w:val="4"/>
        <w:jc w:val="center"/>
        <w:rPr>
          <w:rFonts w:hint="eastAsia" w:ascii="黑体" w:hAnsi="黑体" w:eastAsia="黑体" w:cs="黑体"/>
          <w:bCs/>
          <w:color w:val="000000"/>
          <w:kern w:val="0"/>
          <w:sz w:val="32"/>
          <w:szCs w:val="32"/>
        </w:rPr>
      </w:pPr>
      <w:bookmarkStart w:id="448" w:name="_Toc19661"/>
      <w:r>
        <w:rPr>
          <w:rFonts w:hint="eastAsia" w:ascii="黑体" w:hAnsi="黑体" w:eastAsia="黑体" w:cs="黑体"/>
          <w:bCs/>
          <w:color w:val="000000"/>
          <w:spacing w:val="120"/>
          <w:kern w:val="0"/>
          <w:sz w:val="32"/>
          <w:szCs w:val="32"/>
        </w:rPr>
        <w:t>合同条</w:t>
      </w:r>
      <w:r>
        <w:rPr>
          <w:rFonts w:hint="eastAsia" w:ascii="黑体" w:hAnsi="黑体" w:eastAsia="黑体" w:cs="黑体"/>
          <w:bCs/>
          <w:color w:val="000000"/>
          <w:kern w:val="0"/>
          <w:sz w:val="32"/>
          <w:szCs w:val="32"/>
        </w:rPr>
        <w:t>款</w:t>
      </w:r>
      <w:bookmarkEnd w:id="448"/>
    </w:p>
    <w:p>
      <w:pPr>
        <w:pStyle w:val="420"/>
        <w:spacing w:line="500" w:lineRule="exact"/>
        <w:ind w:firstLine="562" w:firstLineChars="200"/>
        <w:jc w:val="left"/>
        <w:rPr>
          <w:rFonts w:hint="eastAsia" w:ascii="宋体"/>
          <w:b/>
          <w:color w:val="000000"/>
          <w:sz w:val="28"/>
          <w:szCs w:val="28"/>
        </w:rPr>
      </w:pPr>
      <w:r>
        <w:rPr>
          <w:rFonts w:hint="eastAsia" w:ascii="宋体"/>
          <w:b/>
          <w:color w:val="000000"/>
          <w:sz w:val="28"/>
          <w:szCs w:val="28"/>
        </w:rPr>
        <w:t>1.有关概念</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本合同下列术语应解释为：</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1.1“合同”，系指买供双方签署的、合同格式中载明的买供双方所达成的协议，包括所有的附件、附录和上述文件所提到的构成合同的所有文件。</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1.2“合同价”，系指根据合同规定供方在正确地履行合同义务后采购人应支付给供方的价格。</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1.3“货物”，系指供方根据合同规定须向采购人提供的各种形态和种类的物品，包括产品、设备、配件等。</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1.4“服务”，系指伴随本项目产生的，根据合同规定由供方承担的与供货有关的辅助服务，例如安装、调试、技术援助、培训、售后服务等以及合同中规定供方应承担的所有其它类似义务。</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1.5“采购人”，系指招标文件中所述购买货物和服务的单位。</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1.6“供方”，系指招标文件中所述提供货物和服务的公司或实体，亦即中标人。</w:t>
      </w:r>
    </w:p>
    <w:p>
      <w:pPr>
        <w:pStyle w:val="420"/>
        <w:spacing w:line="500" w:lineRule="exact"/>
        <w:ind w:firstLine="562" w:firstLineChars="200"/>
        <w:jc w:val="left"/>
        <w:rPr>
          <w:rFonts w:hint="eastAsia" w:ascii="宋体"/>
          <w:b/>
          <w:color w:val="000000"/>
          <w:sz w:val="28"/>
          <w:szCs w:val="28"/>
        </w:rPr>
      </w:pPr>
      <w:r>
        <w:rPr>
          <w:rFonts w:hint="eastAsia" w:ascii="宋体"/>
          <w:b/>
          <w:color w:val="000000"/>
          <w:sz w:val="28"/>
          <w:szCs w:val="28"/>
        </w:rPr>
        <w:t>2.技术规格</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2.1交付货物的技术规格应与投标文件规定的技术规格以及所附的技术规格响应表相一致。</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2.2除技术规格另有规定外，计量单位均使用中华人民共和国法定计量单位。</w:t>
      </w:r>
    </w:p>
    <w:p>
      <w:pPr>
        <w:pStyle w:val="420"/>
        <w:spacing w:line="500" w:lineRule="exact"/>
        <w:ind w:firstLine="562" w:firstLineChars="200"/>
        <w:jc w:val="left"/>
        <w:rPr>
          <w:rFonts w:hint="eastAsia" w:ascii="宋体"/>
          <w:b/>
          <w:color w:val="000000"/>
          <w:sz w:val="28"/>
          <w:szCs w:val="28"/>
        </w:rPr>
      </w:pPr>
      <w:r>
        <w:rPr>
          <w:rFonts w:hint="eastAsia" w:ascii="宋体"/>
          <w:b/>
          <w:color w:val="000000"/>
          <w:sz w:val="28"/>
          <w:szCs w:val="28"/>
        </w:rPr>
        <w:t>3.专利权</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3.1供方应保证采购人在使用该货物或其任何一部分时免受第三方提出侵犯其专利权、商标权或工业设计权的起诉。若由此出现侵权诉讼，由供方承担全部责任。</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3.2供方按合同要求为采购人提交的设计方案，其所有权、使用权等所有权力均转为采购人所拥有，供方放弃拥有关于设计方案的所有权力。</w:t>
      </w:r>
    </w:p>
    <w:p>
      <w:pPr>
        <w:pStyle w:val="420"/>
        <w:spacing w:line="500" w:lineRule="exact"/>
        <w:ind w:firstLine="562" w:firstLineChars="200"/>
        <w:jc w:val="left"/>
        <w:rPr>
          <w:rFonts w:hint="eastAsia" w:ascii="宋体"/>
          <w:b/>
          <w:color w:val="000000"/>
          <w:sz w:val="28"/>
          <w:szCs w:val="28"/>
        </w:rPr>
      </w:pPr>
      <w:r>
        <w:rPr>
          <w:rFonts w:hint="eastAsia" w:ascii="宋体"/>
          <w:b/>
          <w:color w:val="000000"/>
          <w:sz w:val="28"/>
          <w:szCs w:val="28"/>
        </w:rPr>
        <w:t>4.包装要求</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4.1除合同另有规定外，供方提供的所有单独包装的货物都应具有原始的、完好的标准包装。如遇交付前已拆封货物，采购人有权拒绝接受或要求更换。</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4.2每个包装箱内的装箱清单、使用说明书、质量证书、保修卡及软件使用说明等所有资料均须齐全。</w:t>
      </w:r>
    </w:p>
    <w:p>
      <w:pPr>
        <w:pStyle w:val="420"/>
        <w:spacing w:line="500" w:lineRule="exact"/>
        <w:ind w:firstLine="562" w:firstLineChars="200"/>
        <w:jc w:val="left"/>
        <w:rPr>
          <w:rFonts w:hint="eastAsia" w:ascii="宋体"/>
          <w:b/>
          <w:color w:val="000000"/>
          <w:sz w:val="28"/>
          <w:szCs w:val="28"/>
        </w:rPr>
      </w:pPr>
      <w:r>
        <w:rPr>
          <w:rFonts w:hint="eastAsia" w:ascii="宋体"/>
          <w:b/>
          <w:color w:val="000000"/>
          <w:sz w:val="28"/>
          <w:szCs w:val="28"/>
        </w:rPr>
        <w:t>5.装运条件</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5.1供方负责安排运输，运输费由供方承担。</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5.2提单日期应视为实际交货日期。</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5.3供方装运的货物不得超过合同规定的数量或重量。否则，供方应对超运数量或重量而产生的一切后果负责。</w:t>
      </w:r>
    </w:p>
    <w:p>
      <w:pPr>
        <w:pStyle w:val="420"/>
        <w:spacing w:line="500" w:lineRule="exact"/>
        <w:ind w:firstLine="562" w:firstLineChars="200"/>
        <w:jc w:val="left"/>
        <w:rPr>
          <w:rFonts w:hint="eastAsia" w:ascii="宋体"/>
          <w:b/>
          <w:color w:val="000000"/>
          <w:szCs w:val="21"/>
        </w:rPr>
      </w:pPr>
      <w:r>
        <w:rPr>
          <w:rFonts w:hint="eastAsia" w:ascii="宋体"/>
          <w:b/>
          <w:color w:val="000000"/>
          <w:sz w:val="28"/>
          <w:szCs w:val="28"/>
        </w:rPr>
        <w:t>6.付款</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6.1本合同以人民币支付。</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6.2供方按照合同规定交货。交货后供方把下列单据提交给采购人,采购人按合同规定审核后办理付款手续：</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（1）发票</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（2）质量证书</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（3）详细配置、数量清单</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（4）检验报告</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6.3采购人按合同规定的合同生效及支付条件和方式安排付款。</w:t>
      </w:r>
    </w:p>
    <w:p>
      <w:pPr>
        <w:pStyle w:val="420"/>
        <w:spacing w:line="500" w:lineRule="exact"/>
        <w:ind w:firstLine="562" w:firstLineChars="200"/>
        <w:jc w:val="left"/>
        <w:rPr>
          <w:rFonts w:hint="eastAsia" w:ascii="宋体"/>
          <w:b/>
          <w:color w:val="000000"/>
          <w:sz w:val="28"/>
          <w:szCs w:val="28"/>
        </w:rPr>
      </w:pPr>
      <w:r>
        <w:rPr>
          <w:rFonts w:hint="eastAsia" w:ascii="宋体"/>
          <w:b/>
          <w:color w:val="000000"/>
          <w:sz w:val="28"/>
          <w:szCs w:val="28"/>
        </w:rPr>
        <w:t>7.伴随服务</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7.1供方随同货物提交所供货物的技术资料。包括相应每套货物的中文技术文件，如：产品目录、操作手册、使用说明、维护手册或服务指南等。</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7.2供方应提供下列服务：</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（1）货物的现场安装和启动监督；</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（2）提供货物组装和维修所必须的工具；</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（3）在项目现场就货物的安装、启动、运行和维护，按采购人的要求提供技术培训。</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7.3伴随服务的费用含在合同价中，不另行支付。</w:t>
      </w:r>
    </w:p>
    <w:p>
      <w:pPr>
        <w:pStyle w:val="420"/>
        <w:spacing w:line="500" w:lineRule="exact"/>
        <w:ind w:firstLine="562" w:firstLineChars="200"/>
        <w:jc w:val="left"/>
        <w:rPr>
          <w:rFonts w:hint="eastAsia" w:ascii="宋体"/>
          <w:b/>
          <w:color w:val="000000"/>
          <w:sz w:val="28"/>
          <w:szCs w:val="28"/>
        </w:rPr>
      </w:pPr>
      <w:r>
        <w:rPr>
          <w:rFonts w:hint="eastAsia" w:ascii="宋体"/>
          <w:b/>
          <w:color w:val="000000"/>
          <w:sz w:val="28"/>
          <w:szCs w:val="28"/>
        </w:rPr>
        <w:t>8.备品备件</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8.1供方可能被要求提供下列与备件有关的材料、通知和资料：</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（1）采购方从供方选购备件，但前提条件是该选购并不能免除供方在合同保证期内所承担的义务；</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（2）在备件停止生产的情况下，供方应事先将要停止生产的计划通知买方有足够的时间采购所需的备件；</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（3）在备件停止生产后，如果采购方要求，供方应免费向采购方提供备件的蓝图、图纸和规格。</w:t>
      </w:r>
    </w:p>
    <w:p>
      <w:pPr>
        <w:pStyle w:val="420"/>
        <w:spacing w:line="500" w:lineRule="exact"/>
        <w:ind w:firstLine="562" w:firstLineChars="200"/>
        <w:jc w:val="left"/>
        <w:rPr>
          <w:rFonts w:hint="eastAsia" w:ascii="宋体"/>
          <w:b/>
          <w:color w:val="000000"/>
          <w:sz w:val="28"/>
          <w:szCs w:val="28"/>
        </w:rPr>
      </w:pPr>
      <w:r>
        <w:rPr>
          <w:rFonts w:hint="eastAsia" w:ascii="宋体"/>
          <w:b/>
          <w:color w:val="000000"/>
          <w:sz w:val="28"/>
          <w:szCs w:val="28"/>
        </w:rPr>
        <w:t>9.质量保证及售后服务</w:t>
      </w:r>
    </w:p>
    <w:p>
      <w:pPr>
        <w:pStyle w:val="420"/>
        <w:spacing w:line="500" w:lineRule="exact"/>
        <w:ind w:firstLine="422" w:firstLineChars="200"/>
        <w:jc w:val="left"/>
        <w:rPr>
          <w:rFonts w:hint="eastAsia" w:ascii="宋体"/>
          <w:b/>
          <w:color w:val="000000"/>
          <w:szCs w:val="21"/>
        </w:rPr>
      </w:pPr>
      <w:r>
        <w:rPr>
          <w:rFonts w:hint="eastAsia" w:ascii="宋体"/>
          <w:b/>
          <w:color w:val="000000"/>
          <w:szCs w:val="21"/>
        </w:rPr>
        <w:t>（一）质量保证</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9.1供方保证所提供的货物是全新的、未使用过的，是完全符合合同规定的质量、规格和性能要求的。保证货物在正常使用和保养条件下，在其使用寿命内具有满意的性能。在质保期内供方免费提供货物正常使用情况下发生故障的维修服务和更换配件服务。在供方或制造商承诺的货物质量保证期内，供方对由于设计工艺或材料的缺陷而产生的故障负责；货物无质保期的，供方在两年内对由于设计工艺或材料的缺陷而产生的故障负责。</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9.2在质保期内或货物无质保期的则在两年内，如果货物的数量、质量或规格与合同不符，或证实货物有缺陷的，采购人可尽快以书面形式向供方提出本保证下的索赔。</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9.3供方在收到索赔通知后十日内须免费更换有缺陷的货物或部件。</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9.4供方在收到索赔通知后十日内没有弥补缺陷，采购人可采取必要的补救措施，其风险和费用将由供方承担，采购人根据合同规定向供方行使的其它权利不受影响。</w:t>
      </w:r>
    </w:p>
    <w:p>
      <w:pPr>
        <w:pStyle w:val="420"/>
        <w:spacing w:line="500" w:lineRule="exact"/>
        <w:ind w:firstLine="422" w:firstLineChars="200"/>
        <w:jc w:val="left"/>
        <w:rPr>
          <w:rFonts w:hint="eastAsia" w:ascii="宋体"/>
          <w:b/>
          <w:color w:val="000000"/>
          <w:szCs w:val="21"/>
        </w:rPr>
      </w:pPr>
      <w:r>
        <w:rPr>
          <w:rFonts w:hint="eastAsia" w:ascii="宋体"/>
          <w:b/>
          <w:color w:val="000000"/>
          <w:szCs w:val="21"/>
        </w:rPr>
        <w:t>(二)质量保证期后服务</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9.5 质保期满后，若有零部件出现故障，经权威部门鉴定属于寿命异常问题（明显短于该零部件正常寿命时），则由供方负责免费更换及维修。</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9.6 质保期满后，应采购方要求，供方应按投标时的价格与采购方签订定期维修保养合同及提供采购方所需零配件，若投标时的价格高于市场价，则按市场价与与采购方签订定期维修保养合同及提供采购方所需零配件。</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9.7 乙方交货后，若设备发生故障，乙方应在甲方报修后24小时内到达。</w:t>
      </w:r>
    </w:p>
    <w:p>
      <w:pPr>
        <w:pStyle w:val="420"/>
        <w:spacing w:line="500" w:lineRule="exact"/>
        <w:ind w:firstLine="562" w:firstLineChars="200"/>
        <w:jc w:val="left"/>
        <w:rPr>
          <w:rFonts w:hint="eastAsia" w:ascii="宋体"/>
          <w:b/>
          <w:color w:val="000000"/>
          <w:sz w:val="28"/>
          <w:szCs w:val="28"/>
        </w:rPr>
      </w:pPr>
      <w:r>
        <w:rPr>
          <w:rFonts w:hint="eastAsia" w:ascii="宋体"/>
          <w:b/>
          <w:color w:val="000000"/>
          <w:sz w:val="28"/>
          <w:szCs w:val="28"/>
        </w:rPr>
        <w:t>10．检验</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10.1在交货前，供方应对货物的质量、规格、性能、数量等进行详细全面的检验，并出具一份证明货物符合合同规定要求的检验报告。检验报告是付款必要的文件组成部分，但不作为对有关质量、规格、数量的最终检验。</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10.2货物交付后，采购人申请有关部门对货物的质量、数量等进行检验并出具检验证书。</w:t>
      </w:r>
    </w:p>
    <w:p>
      <w:pPr>
        <w:pStyle w:val="420"/>
        <w:spacing w:line="500" w:lineRule="exact"/>
        <w:ind w:firstLine="562" w:firstLineChars="200"/>
        <w:jc w:val="left"/>
        <w:rPr>
          <w:rFonts w:hint="eastAsia" w:ascii="宋体"/>
          <w:b/>
          <w:color w:val="000000"/>
          <w:sz w:val="28"/>
          <w:szCs w:val="28"/>
        </w:rPr>
      </w:pPr>
      <w:r>
        <w:rPr>
          <w:rFonts w:hint="eastAsia" w:ascii="宋体"/>
          <w:b/>
          <w:color w:val="000000"/>
          <w:sz w:val="28"/>
          <w:szCs w:val="28"/>
        </w:rPr>
        <w:t>11.索赔</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11.1采购人有权根据有关部门出具的检验证书向供方提出索赔。</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11.2在合同条款第8条规定的质保期内，如果供方对差异负有责任而采购人提出索赔，供方应按照采购人的损失程度进行赔偿。</w:t>
      </w:r>
    </w:p>
    <w:p>
      <w:pPr>
        <w:pStyle w:val="420"/>
        <w:spacing w:line="500" w:lineRule="exact"/>
        <w:ind w:firstLine="562" w:firstLineChars="200"/>
        <w:jc w:val="left"/>
        <w:rPr>
          <w:rFonts w:hint="eastAsia" w:ascii="宋体"/>
          <w:b/>
          <w:color w:val="000000"/>
          <w:sz w:val="28"/>
          <w:szCs w:val="28"/>
        </w:rPr>
      </w:pPr>
      <w:r>
        <w:rPr>
          <w:rFonts w:hint="eastAsia" w:ascii="宋体"/>
          <w:b/>
          <w:color w:val="000000"/>
          <w:sz w:val="28"/>
          <w:szCs w:val="28"/>
        </w:rPr>
        <w:t>12.供方履约延误</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12.1供方应按规定的时间交货和提供服务。</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12.2如供方无正当理由而拖延交货，采购人将从货款中扣除误期赔偿费而不影响合同项下的其他补救方法，赔偿费按每周迟交货物交货价或未提供服务费用的1%计收，直至交货或提供服务为止。误期赔偿费的最高限额不超过误期货物或服务合同价的5%。一周按7日计算，不足7日按一周计算。一旦达到误期赔偿费的最高限额，采购人有权终止合同。</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12.3在履行合同过程中，如果供方遇到可能妨碍按时交货和提供服务的情况时，应及时以书面形式将拖延的事实、可能拖延的期限和理由通知采购人。采购人在收到通知后，要尽快对情况进行评价，并确定是否通过修改合同酌情延长交货时间以及是否收取误期赔偿费。延期应通过修改合同的方式由双方认可。</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12.4供方交付的货物不符合招标文件、投标文件和本合同规定的，采购方有权拒收，并且供方需向采购方支付本合同总价10%的违约金。</w:t>
      </w:r>
    </w:p>
    <w:p>
      <w:pPr>
        <w:pStyle w:val="420"/>
        <w:spacing w:line="500" w:lineRule="exact"/>
        <w:ind w:firstLine="562" w:firstLineChars="200"/>
        <w:jc w:val="left"/>
        <w:rPr>
          <w:rFonts w:hint="eastAsia" w:ascii="宋体"/>
          <w:b/>
          <w:color w:val="000000"/>
          <w:sz w:val="28"/>
          <w:szCs w:val="28"/>
        </w:rPr>
      </w:pPr>
      <w:r>
        <w:rPr>
          <w:rFonts w:hint="eastAsia" w:ascii="宋体"/>
          <w:b/>
          <w:color w:val="000000"/>
          <w:sz w:val="28"/>
          <w:szCs w:val="28"/>
        </w:rPr>
        <w:t>13.不可抗力</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13.1如果双方任何一方由于经双方认可属于不可抗力的事故，致使影响合同履行时，履行合同的期限予以延长，延长的期限应相当于事故所影响的时间。不可抗力事件是指买供双方在缔结合同时所不能预见、并且它的发生及其后果是无法避免及无法克服的事件，比如战争、严重火灾、洪水、台风、地震等。</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13.2受事故影响的一方应在不可抗力发生后尽快以传真、电报通知另一方，并在事故发生后14天内，将有关部门出具的证明文件用特快专递或挂号信寄给另一方。如果不可抗力影响时间延续90日以上时，双方可通过友好协商在合理的时间内达成进一步履行或解除合同的协议。</w:t>
      </w:r>
    </w:p>
    <w:p>
      <w:pPr>
        <w:pStyle w:val="420"/>
        <w:spacing w:line="500" w:lineRule="exact"/>
        <w:ind w:firstLine="562" w:firstLineChars="200"/>
        <w:jc w:val="left"/>
        <w:rPr>
          <w:rFonts w:hint="eastAsia" w:ascii="宋体"/>
          <w:b/>
          <w:color w:val="000000"/>
          <w:sz w:val="28"/>
          <w:szCs w:val="28"/>
        </w:rPr>
      </w:pPr>
      <w:r>
        <w:rPr>
          <w:rFonts w:hint="eastAsia" w:ascii="宋体"/>
          <w:b/>
          <w:color w:val="000000"/>
          <w:sz w:val="28"/>
          <w:szCs w:val="28"/>
        </w:rPr>
        <w:t>14.税费</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14.1政府根据现行税法对供方征收的与本合同有关的一切税费均由供方负担。</w:t>
      </w:r>
    </w:p>
    <w:p>
      <w:pPr>
        <w:pStyle w:val="420"/>
        <w:spacing w:line="500" w:lineRule="exact"/>
        <w:ind w:firstLine="562" w:firstLineChars="200"/>
        <w:jc w:val="left"/>
        <w:rPr>
          <w:rFonts w:hint="eastAsia" w:ascii="宋体"/>
          <w:b/>
          <w:color w:val="000000"/>
          <w:sz w:val="28"/>
          <w:szCs w:val="28"/>
        </w:rPr>
      </w:pPr>
      <w:r>
        <w:rPr>
          <w:rFonts w:hint="eastAsia" w:ascii="宋体"/>
          <w:b/>
          <w:color w:val="000000"/>
          <w:sz w:val="28"/>
          <w:szCs w:val="28"/>
        </w:rPr>
        <w:t>15.违约终止合同</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15.1出现下列情况之一，采购人在对供方违约而采取的任何补救措施不受影响的情况下，可向供方发出终止部分或全部合同的书面通知书。</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（1）如果供方未能按合同规定的期限或采购人同意延长的限期内提供部分或全部货物（服务）、完成工程施工；</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（2）供方在收到采购人发出的违约通知后20日内，或经采购人书面认可延长的时间内未能纠正其过失；</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（3）如果供方未能履行合同规定的其它任何义务。</w:t>
      </w:r>
    </w:p>
    <w:p>
      <w:pPr>
        <w:pStyle w:val="420"/>
        <w:spacing w:line="500" w:lineRule="exact"/>
        <w:ind w:firstLine="420" w:firstLineChars="200"/>
        <w:jc w:val="left"/>
        <w:rPr>
          <w:rFonts w:hint="eastAsia" w:ascii="宋体"/>
          <w:color w:val="000000"/>
          <w:szCs w:val="21"/>
        </w:rPr>
      </w:pPr>
      <w:r>
        <w:rPr>
          <w:rFonts w:hint="eastAsia" w:ascii="宋体"/>
          <w:bCs/>
          <w:color w:val="000000"/>
          <w:szCs w:val="21"/>
        </w:rPr>
        <w:t>15.2在采购人根据上述第15.1条规定，终止了全部或部分合同后，</w:t>
      </w:r>
      <w:r>
        <w:rPr>
          <w:rFonts w:hint="eastAsia" w:ascii="宋体"/>
          <w:color w:val="000000"/>
          <w:szCs w:val="21"/>
        </w:rPr>
        <w:t>采购人可以依其认为适当的条件和方法购买类似未交的货物、服务或进行工程施工，供方应对采购人购买类似货物、服务或进行工程施工所超出的费用部分负责，并继续执行合同中未终止部分。</w:t>
      </w:r>
    </w:p>
    <w:p>
      <w:pPr>
        <w:pStyle w:val="420"/>
        <w:spacing w:line="500" w:lineRule="exact"/>
        <w:ind w:firstLine="562" w:firstLineChars="200"/>
        <w:jc w:val="left"/>
        <w:rPr>
          <w:rFonts w:hint="eastAsia" w:ascii="宋体"/>
          <w:b/>
          <w:color w:val="000000"/>
          <w:sz w:val="28"/>
          <w:szCs w:val="28"/>
        </w:rPr>
      </w:pPr>
      <w:r>
        <w:rPr>
          <w:rFonts w:hint="eastAsia" w:ascii="宋体"/>
          <w:b/>
          <w:color w:val="000000"/>
          <w:sz w:val="28"/>
          <w:szCs w:val="28"/>
        </w:rPr>
        <w:t>16.破产终止合同</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16.1如果供方破产或无清偿能力时，采购人可在任何时候以书面形式通知供方终止合同而无须给供方补偿。终止该合同将不损害或影响采购人已经采取或将要采取的补救措施的权利。</w:t>
      </w:r>
    </w:p>
    <w:p>
      <w:pPr>
        <w:pStyle w:val="420"/>
        <w:spacing w:line="500" w:lineRule="exact"/>
        <w:ind w:firstLine="562" w:firstLineChars="200"/>
        <w:jc w:val="left"/>
        <w:rPr>
          <w:rFonts w:hint="eastAsia" w:ascii="宋体"/>
          <w:b/>
          <w:color w:val="000000"/>
          <w:sz w:val="28"/>
          <w:szCs w:val="28"/>
        </w:rPr>
      </w:pPr>
      <w:r>
        <w:rPr>
          <w:rFonts w:hint="eastAsia" w:ascii="宋体"/>
          <w:b/>
          <w:color w:val="000000"/>
          <w:sz w:val="28"/>
          <w:szCs w:val="28"/>
        </w:rPr>
        <w:t>17.转让</w:t>
      </w:r>
    </w:p>
    <w:p>
      <w:pPr>
        <w:pStyle w:val="420"/>
        <w:spacing w:line="500" w:lineRule="exact"/>
        <w:ind w:firstLine="420" w:firstLineChars="200"/>
        <w:jc w:val="left"/>
        <w:rPr>
          <w:rFonts w:hint="eastAsia" w:ascii="宋体"/>
          <w:color w:val="000000"/>
          <w:szCs w:val="21"/>
        </w:rPr>
      </w:pPr>
      <w:r>
        <w:rPr>
          <w:rFonts w:hint="eastAsia" w:ascii="宋体"/>
          <w:bCs/>
          <w:color w:val="000000"/>
          <w:szCs w:val="21"/>
        </w:rPr>
        <w:t>17.1除采购人事先书面同意外，供方不得部分转让或全部转让其应</w:t>
      </w:r>
      <w:r>
        <w:rPr>
          <w:rFonts w:hint="eastAsia" w:ascii="宋体"/>
          <w:color w:val="000000"/>
          <w:szCs w:val="21"/>
        </w:rPr>
        <w:t>履行的合同义务。</w:t>
      </w:r>
    </w:p>
    <w:p>
      <w:pPr>
        <w:pStyle w:val="420"/>
        <w:spacing w:line="500" w:lineRule="exact"/>
        <w:ind w:firstLine="562" w:firstLineChars="200"/>
        <w:jc w:val="left"/>
        <w:rPr>
          <w:rFonts w:hint="eastAsia" w:ascii="宋体"/>
          <w:b/>
          <w:color w:val="000000"/>
          <w:sz w:val="28"/>
          <w:szCs w:val="28"/>
        </w:rPr>
      </w:pPr>
      <w:r>
        <w:rPr>
          <w:rFonts w:hint="eastAsia" w:ascii="宋体"/>
          <w:b/>
          <w:color w:val="000000"/>
          <w:sz w:val="28"/>
          <w:szCs w:val="28"/>
        </w:rPr>
        <w:t>18.适用法律</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18.1本合同应按中华人民共和国的法律进行解释。</w:t>
      </w:r>
    </w:p>
    <w:p>
      <w:pPr>
        <w:pStyle w:val="420"/>
        <w:spacing w:line="500" w:lineRule="exact"/>
        <w:ind w:firstLine="562" w:firstLineChars="200"/>
        <w:jc w:val="left"/>
        <w:rPr>
          <w:rFonts w:hint="eastAsia" w:ascii="宋体"/>
          <w:b/>
          <w:color w:val="000000"/>
          <w:sz w:val="28"/>
          <w:szCs w:val="28"/>
        </w:rPr>
      </w:pPr>
      <w:r>
        <w:rPr>
          <w:rFonts w:hint="eastAsia" w:ascii="宋体"/>
          <w:b/>
          <w:color w:val="000000"/>
          <w:sz w:val="28"/>
          <w:szCs w:val="28"/>
        </w:rPr>
        <w:t>19.合同生效</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19.1合同在双方授权代表签字并盖章后生效。</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19.2本合同一式四份，以中文书写，采购人、供方、采购中心、政府采购监管部门各执一份。</w:t>
      </w:r>
    </w:p>
    <w:p>
      <w:pPr>
        <w:pStyle w:val="420"/>
        <w:spacing w:line="500" w:lineRule="exact"/>
        <w:ind w:firstLine="562" w:firstLineChars="200"/>
        <w:jc w:val="left"/>
        <w:rPr>
          <w:rFonts w:hint="eastAsia" w:ascii="宋体"/>
          <w:b/>
          <w:color w:val="000000"/>
          <w:sz w:val="28"/>
          <w:szCs w:val="28"/>
        </w:rPr>
      </w:pPr>
      <w:r>
        <w:rPr>
          <w:rFonts w:hint="eastAsia" w:ascii="宋体"/>
          <w:b/>
          <w:color w:val="000000"/>
          <w:sz w:val="28"/>
          <w:szCs w:val="28"/>
        </w:rPr>
        <w:t>20.争议解决方式</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20.1 合同实施或与合同有关的一切争议应通过双方协商解决。若协商不成，则向采购人所在地法院提起诉讼。</w:t>
      </w:r>
    </w:p>
    <w:p>
      <w:pPr>
        <w:pStyle w:val="420"/>
        <w:spacing w:line="500" w:lineRule="exact"/>
        <w:ind w:firstLine="562" w:firstLineChars="200"/>
        <w:jc w:val="left"/>
        <w:rPr>
          <w:rFonts w:hint="eastAsia" w:ascii="宋体"/>
          <w:b/>
          <w:color w:val="000000"/>
          <w:sz w:val="28"/>
          <w:szCs w:val="28"/>
        </w:rPr>
      </w:pPr>
      <w:r>
        <w:rPr>
          <w:rFonts w:hint="eastAsia" w:ascii="宋体"/>
          <w:b/>
          <w:color w:val="000000"/>
          <w:sz w:val="28"/>
          <w:szCs w:val="28"/>
        </w:rPr>
        <w:t>21.合同修改</w:t>
      </w:r>
    </w:p>
    <w:p>
      <w:pPr>
        <w:pStyle w:val="420"/>
        <w:spacing w:line="500" w:lineRule="exact"/>
        <w:ind w:firstLine="420" w:firstLineChars="200"/>
        <w:jc w:val="left"/>
        <w:rPr>
          <w:rFonts w:hint="eastAsia" w:ascii="宋体"/>
          <w:bCs/>
          <w:color w:val="000000"/>
          <w:szCs w:val="21"/>
        </w:rPr>
      </w:pPr>
      <w:r>
        <w:rPr>
          <w:rFonts w:hint="eastAsia" w:ascii="宋体"/>
          <w:bCs/>
          <w:color w:val="000000"/>
          <w:szCs w:val="21"/>
        </w:rPr>
        <w:t>21.1除双方签署书面修改协议，并成为本合同不可分割的一部分的情况之外，本合同不得有任何变化或修改。</w:t>
      </w:r>
    </w:p>
    <w:p>
      <w:pPr>
        <w:adjustRightInd w:val="0"/>
        <w:snapToGrid w:val="0"/>
        <w:spacing w:line="360" w:lineRule="auto"/>
        <w:ind w:firstLine="566" w:firstLineChars="236"/>
        <w:rPr>
          <w:rFonts w:ascii="宋体" w:hAnsi="宋体"/>
          <w:sz w:val="24"/>
        </w:rPr>
      </w:pPr>
    </w:p>
    <w:p>
      <w:pPr>
        <w:rPr>
          <w:rFonts w:hint="eastAsia" w:ascii="微软雅黑" w:hAnsi="微软雅黑" w:eastAsia="微软雅黑"/>
          <w:szCs w:val="32"/>
        </w:rPr>
      </w:pPr>
      <w:r>
        <w:rPr>
          <w:rFonts w:hint="eastAsia" w:ascii="微软雅黑" w:hAnsi="微软雅黑" w:eastAsia="微软雅黑"/>
          <w:szCs w:val="32"/>
        </w:rPr>
        <w:br w:type="page"/>
      </w:r>
    </w:p>
    <w:p>
      <w:pPr>
        <w:pStyle w:val="3"/>
        <w:spacing w:before="0" w:after="0" w:line="360" w:lineRule="auto"/>
        <w:rPr>
          <w:rFonts w:ascii="微软雅黑" w:hAnsi="微软雅黑" w:eastAsia="微软雅黑"/>
          <w:szCs w:val="32"/>
        </w:rPr>
      </w:pPr>
      <w:bookmarkStart w:id="449" w:name="_Toc18673"/>
      <w:r>
        <w:rPr>
          <w:rFonts w:hint="eastAsia" w:ascii="微软雅黑" w:hAnsi="微软雅黑" w:eastAsia="微软雅黑"/>
          <w:szCs w:val="32"/>
        </w:rPr>
        <w:t xml:space="preserve">第五章 </w:t>
      </w:r>
      <w:bookmarkEnd w:id="405"/>
      <w:r>
        <w:rPr>
          <w:rFonts w:hint="eastAsia" w:ascii="微软雅黑" w:hAnsi="微软雅黑" w:eastAsia="微软雅黑"/>
          <w:szCs w:val="32"/>
        </w:rPr>
        <w:t>评审程序、方法及标准</w:t>
      </w:r>
      <w:bookmarkEnd w:id="449"/>
    </w:p>
    <w:p>
      <w:pPr>
        <w:pStyle w:val="4"/>
        <w:snapToGrid w:val="0"/>
        <w:spacing w:before="0" w:after="0" w:line="360" w:lineRule="auto"/>
        <w:ind w:firstLine="482" w:firstLineChars="200"/>
        <w:jc w:val="left"/>
        <w:rPr>
          <w:rFonts w:ascii="宋体" w:hAnsi="宋体" w:eastAsia="宋体" w:cs="仿宋_GB2312"/>
          <w:b/>
          <w:bCs w:val="0"/>
          <w:sz w:val="24"/>
          <w:szCs w:val="24"/>
        </w:rPr>
      </w:pPr>
      <w:bookmarkStart w:id="450" w:name="_Toc2249"/>
      <w:bookmarkStart w:id="451" w:name="_Toc470172701"/>
      <w:r>
        <w:rPr>
          <w:rFonts w:hint="eastAsia" w:ascii="宋体" w:hAnsi="宋体" w:eastAsia="宋体" w:cs="仿宋_GB2312"/>
          <w:b/>
          <w:bCs w:val="0"/>
          <w:sz w:val="24"/>
          <w:szCs w:val="24"/>
        </w:rPr>
        <w:t>一、评审方法</w:t>
      </w:r>
      <w:bookmarkEnd w:id="450"/>
    </w:p>
    <w:p>
      <w:pPr>
        <w:pStyle w:val="14"/>
        <w:snapToGrid w:val="0"/>
        <w:spacing w:line="360" w:lineRule="auto"/>
        <w:ind w:firstLine="480" w:firstLineChars="200"/>
        <w:rPr>
          <w:rFonts w:ascii="宋体" w:hAnsi="宋体" w:cs="仿宋_GB2312"/>
          <w:bCs/>
          <w:sz w:val="24"/>
          <w:szCs w:val="24"/>
        </w:rPr>
      </w:pPr>
      <w:r>
        <w:rPr>
          <w:rFonts w:hint="eastAsia" w:ascii="宋体" w:hAnsi="宋体" w:cs="仿宋_GB2312"/>
          <w:bCs/>
          <w:sz w:val="24"/>
          <w:szCs w:val="24"/>
        </w:rPr>
        <w:t>本次评审采用综合评分法（百分制），即响应文件满足磋商文件全部实质性要求且按评审因素的量化指标评审得分最高的供应商为成交候选供应商的评审方法。</w:t>
      </w:r>
    </w:p>
    <w:p>
      <w:pPr>
        <w:pStyle w:val="14"/>
        <w:snapToGrid w:val="0"/>
        <w:spacing w:line="360" w:lineRule="auto"/>
        <w:ind w:firstLine="480" w:firstLineChars="200"/>
        <w:rPr>
          <w:rFonts w:ascii="宋体" w:hAnsi="宋体" w:cs="仿宋_GB2312"/>
          <w:bCs/>
          <w:sz w:val="24"/>
          <w:szCs w:val="24"/>
        </w:rPr>
      </w:pPr>
      <w:r>
        <w:rPr>
          <w:rFonts w:hint="eastAsia" w:ascii="宋体" w:hAnsi="宋体" w:cs="仿宋_GB2312"/>
          <w:bCs/>
          <w:sz w:val="24"/>
          <w:szCs w:val="24"/>
        </w:rPr>
        <w:t>综合评分法中的价格分统一采用低价优先法计算，即满足磋商文件要求且最后报价最低的供应商的价格为磋商基准价，其价格分为满分。其他供应商的价格分统一按照下列公式计算：</w:t>
      </w:r>
    </w:p>
    <w:p>
      <w:pPr>
        <w:pStyle w:val="14"/>
        <w:snapToGrid w:val="0"/>
        <w:spacing w:line="360" w:lineRule="auto"/>
        <w:ind w:firstLine="480" w:firstLineChars="200"/>
        <w:rPr>
          <w:rFonts w:ascii="宋体" w:hAnsi="宋体" w:cs="仿宋_GB2312"/>
          <w:bCs/>
          <w:sz w:val="24"/>
          <w:szCs w:val="24"/>
        </w:rPr>
      </w:pPr>
      <w:r>
        <w:rPr>
          <w:rFonts w:hint="eastAsia" w:ascii="宋体" w:hAnsi="宋体" w:cs="仿宋_GB2312"/>
          <w:bCs/>
          <w:sz w:val="24"/>
          <w:szCs w:val="24"/>
        </w:rPr>
        <w:t>磋商报价得分=（磋商基准价/最后磋商报价）×价格权值×100</w:t>
      </w:r>
    </w:p>
    <w:p>
      <w:pPr>
        <w:pStyle w:val="14"/>
        <w:snapToGrid w:val="0"/>
        <w:spacing w:line="360" w:lineRule="auto"/>
        <w:ind w:firstLine="480" w:firstLineChars="200"/>
        <w:rPr>
          <w:rFonts w:ascii="宋体" w:hAnsi="宋体" w:cs="仿宋_GB2312"/>
          <w:bCs/>
          <w:sz w:val="24"/>
          <w:szCs w:val="24"/>
        </w:rPr>
      </w:pPr>
      <w:r>
        <w:rPr>
          <w:rFonts w:hint="eastAsia" w:ascii="宋体" w:hAnsi="宋体" w:cs="仿宋_GB2312"/>
          <w:bCs/>
          <w:sz w:val="24"/>
          <w:szCs w:val="24"/>
        </w:rPr>
        <w:t>项目评审过程中，不得去掉最后报价中的最高报价和最低报价。</w:t>
      </w:r>
    </w:p>
    <w:p>
      <w:pPr>
        <w:pStyle w:val="14"/>
        <w:snapToGrid w:val="0"/>
        <w:spacing w:line="360" w:lineRule="auto"/>
        <w:ind w:firstLine="480" w:firstLineChars="200"/>
        <w:rPr>
          <w:rFonts w:ascii="宋体" w:hAnsi="宋体" w:cs="仿宋_GB2312"/>
          <w:bCs/>
          <w:sz w:val="24"/>
          <w:szCs w:val="24"/>
        </w:rPr>
      </w:pPr>
      <w:r>
        <w:rPr>
          <w:rFonts w:hint="eastAsia" w:ascii="宋体" w:hAnsi="宋体" w:cs="仿宋_GB2312"/>
          <w:bCs/>
          <w:sz w:val="24"/>
          <w:szCs w:val="24"/>
        </w:rPr>
        <w:t>推荐成交候选供应商的方法：磋商小组按评审后得分由高到低顺序进行推荐。得分相同的，按最后报价由低到高顺序排列；得分且最后报价相同的，按技术指标优劣顺序排列。</w:t>
      </w:r>
    </w:p>
    <w:p>
      <w:pPr>
        <w:keepNext/>
        <w:keepLines/>
        <w:snapToGrid w:val="0"/>
        <w:spacing w:line="360" w:lineRule="auto"/>
        <w:ind w:firstLine="482" w:firstLineChars="200"/>
        <w:jc w:val="left"/>
        <w:outlineLvl w:val="1"/>
        <w:rPr>
          <w:rFonts w:ascii="宋体" w:hAnsi="宋体" w:cs="仿宋_GB2312"/>
          <w:b/>
          <w:sz w:val="24"/>
        </w:rPr>
      </w:pPr>
      <w:bookmarkStart w:id="452" w:name="_Toc44425308"/>
      <w:bookmarkStart w:id="453" w:name="_Toc2251986"/>
      <w:bookmarkStart w:id="454" w:name="_Toc19493"/>
      <w:r>
        <w:rPr>
          <w:rFonts w:hint="eastAsia" w:ascii="宋体" w:hAnsi="宋体" w:cs="仿宋_GB2312"/>
          <w:b/>
          <w:sz w:val="24"/>
        </w:rPr>
        <w:t>二、评审程序</w:t>
      </w:r>
      <w:bookmarkEnd w:id="452"/>
      <w:bookmarkEnd w:id="453"/>
      <w:bookmarkEnd w:id="454"/>
    </w:p>
    <w:p>
      <w:pPr>
        <w:keepNext/>
        <w:keepLines/>
        <w:snapToGrid w:val="0"/>
        <w:spacing w:line="360" w:lineRule="auto"/>
        <w:ind w:firstLine="482" w:firstLineChars="200"/>
        <w:jc w:val="left"/>
        <w:outlineLvl w:val="1"/>
        <w:rPr>
          <w:rFonts w:ascii="宋体" w:hAnsi="宋体" w:cs="仿宋_GB2312"/>
          <w:b/>
          <w:sz w:val="24"/>
        </w:rPr>
      </w:pPr>
      <w:bookmarkStart w:id="455" w:name="_Toc48846165"/>
      <w:bookmarkStart w:id="456" w:name="_Toc51674267"/>
      <w:bookmarkStart w:id="457" w:name="_Toc52962783"/>
      <w:bookmarkStart w:id="458" w:name="_Toc23128"/>
      <w:bookmarkStart w:id="459" w:name="_Toc46772286"/>
      <w:bookmarkStart w:id="460" w:name="_Toc52960609"/>
      <w:bookmarkStart w:id="461" w:name="_Toc48688848"/>
      <w:bookmarkStart w:id="462" w:name="_Toc492403840"/>
      <w:r>
        <w:rPr>
          <w:rFonts w:hint="eastAsia" w:ascii="宋体" w:hAnsi="宋体" w:cs="仿宋_GB2312"/>
          <w:b/>
          <w:sz w:val="24"/>
        </w:rPr>
        <w:t>（一）资格审查表</w:t>
      </w:r>
      <w:bookmarkEnd w:id="455"/>
      <w:bookmarkEnd w:id="456"/>
      <w:bookmarkEnd w:id="457"/>
      <w:bookmarkEnd w:id="458"/>
      <w:bookmarkEnd w:id="459"/>
      <w:bookmarkEnd w:id="460"/>
      <w:bookmarkEnd w:id="461"/>
      <w:bookmarkEnd w:id="462"/>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643"/>
        <w:gridCol w:w="2690"/>
        <w:gridCol w:w="5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7" w:type="pct"/>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序号</w:t>
            </w:r>
          </w:p>
        </w:tc>
        <w:tc>
          <w:tcPr>
            <w:tcW w:w="1577" w:type="pct"/>
            <w:vAlign w:val="center"/>
          </w:tcPr>
          <w:p>
            <w:pPr>
              <w:adjustRightInd w:val="0"/>
              <w:snapToGrid w:val="0"/>
              <w:jc w:val="center"/>
              <w:rPr>
                <w:rFonts w:ascii="宋体" w:hAnsi="宋体" w:cs="宋体"/>
                <w:kern w:val="0"/>
                <w:szCs w:val="21"/>
              </w:rPr>
            </w:pPr>
            <w:r>
              <w:rPr>
                <w:rFonts w:hint="eastAsia" w:ascii="宋体" w:hAnsi="宋体" w:cs="宋体"/>
                <w:kern w:val="0"/>
                <w:szCs w:val="21"/>
              </w:rPr>
              <w:t>资格要求</w:t>
            </w:r>
          </w:p>
        </w:tc>
        <w:tc>
          <w:tcPr>
            <w:tcW w:w="3046" w:type="pct"/>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须提供的资料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7" w:type="pct"/>
            <w:vMerge w:val="restart"/>
            <w:vAlign w:val="center"/>
          </w:tcPr>
          <w:p>
            <w:pPr>
              <w:widowControl/>
              <w:numPr>
                <w:ilvl w:val="0"/>
                <w:numId w:val="1"/>
              </w:numPr>
              <w:adjustRightInd w:val="0"/>
              <w:snapToGrid w:val="0"/>
              <w:rPr>
                <w:rFonts w:ascii="宋体" w:hAnsi="宋体" w:cs="宋体"/>
                <w:kern w:val="0"/>
                <w:szCs w:val="21"/>
              </w:rPr>
            </w:pPr>
          </w:p>
        </w:tc>
        <w:tc>
          <w:tcPr>
            <w:tcW w:w="1577" w:type="pct"/>
            <w:vAlign w:val="center"/>
          </w:tcPr>
          <w:p>
            <w:pPr>
              <w:snapToGrid w:val="0"/>
              <w:rPr>
                <w:rFonts w:ascii="宋体" w:hAnsi="宋体"/>
                <w:szCs w:val="21"/>
                <w:lang w:val="hr-HR"/>
              </w:rPr>
            </w:pPr>
            <w:r>
              <w:rPr>
                <w:rFonts w:hint="eastAsia" w:ascii="宋体" w:hAnsi="宋体"/>
                <w:szCs w:val="21"/>
                <w:lang w:val="hr-HR"/>
              </w:rPr>
              <w:t xml:space="preserve">具有独立承担民事责任的能力 </w:t>
            </w:r>
          </w:p>
        </w:tc>
        <w:tc>
          <w:tcPr>
            <w:tcW w:w="3046" w:type="pct"/>
            <w:vAlign w:val="center"/>
          </w:tcPr>
          <w:p>
            <w:pPr>
              <w:snapToGrid w:val="0"/>
              <w:rPr>
                <w:rFonts w:ascii="宋体" w:hAnsi="宋体"/>
                <w:bCs/>
                <w:szCs w:val="21"/>
              </w:rPr>
            </w:pPr>
            <w:r>
              <w:rPr>
                <w:rFonts w:hint="eastAsia" w:ascii="宋体" w:hAnsi="宋体"/>
                <w:bCs/>
                <w:szCs w:val="21"/>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7" w:type="pct"/>
            <w:vMerge w:val="continue"/>
            <w:vAlign w:val="center"/>
          </w:tcPr>
          <w:p>
            <w:pPr>
              <w:widowControl/>
              <w:numPr>
                <w:ilvl w:val="0"/>
                <w:numId w:val="1"/>
              </w:numPr>
              <w:adjustRightInd w:val="0"/>
              <w:snapToGrid w:val="0"/>
              <w:rPr>
                <w:rFonts w:ascii="宋体" w:hAnsi="宋体" w:cs="宋体"/>
                <w:kern w:val="0"/>
                <w:szCs w:val="21"/>
              </w:rPr>
            </w:pPr>
          </w:p>
        </w:tc>
        <w:tc>
          <w:tcPr>
            <w:tcW w:w="1577" w:type="pct"/>
            <w:vAlign w:val="center"/>
          </w:tcPr>
          <w:p>
            <w:pPr>
              <w:widowControl/>
              <w:adjustRightInd w:val="0"/>
              <w:snapToGrid w:val="0"/>
              <w:rPr>
                <w:rFonts w:ascii="宋体" w:hAnsi="宋体" w:cs="宋体"/>
                <w:kern w:val="0"/>
                <w:szCs w:val="21"/>
              </w:rPr>
            </w:pPr>
            <w:r>
              <w:rPr>
                <w:rFonts w:hint="eastAsia" w:ascii="宋体" w:hAnsi="宋体"/>
                <w:szCs w:val="21"/>
                <w:lang w:val="hr-HR"/>
              </w:rPr>
              <w:t>具有良好的商业信誉和健全的财务会计制度</w:t>
            </w:r>
          </w:p>
        </w:tc>
        <w:tc>
          <w:tcPr>
            <w:tcW w:w="3046" w:type="pct"/>
            <w:vAlign w:val="center"/>
          </w:tcPr>
          <w:p>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pPr>
              <w:adjustRightInd w:val="0"/>
              <w:snapToGrid w:val="0"/>
              <w:rPr>
                <w:rFonts w:ascii="宋体" w:hAnsi="宋体"/>
                <w:bCs/>
                <w:szCs w:val="21"/>
              </w:rPr>
            </w:pPr>
            <w:r>
              <w:rPr>
                <w:rFonts w:hint="eastAsia" w:ascii="宋体" w:hAnsi="宋体"/>
                <w:bCs/>
                <w:szCs w:val="21"/>
              </w:rPr>
              <w:t>供应商</w:t>
            </w:r>
            <w:r>
              <w:rPr>
                <w:rFonts w:ascii="宋体" w:hAnsi="宋体"/>
                <w:bCs/>
                <w:szCs w:val="21"/>
              </w:rPr>
              <w:t>是法人的，应</w:t>
            </w:r>
            <w:r>
              <w:rPr>
                <w:rFonts w:hint="eastAsia" w:ascii="宋体" w:hAnsi="宋体"/>
                <w:bCs/>
                <w:szCs w:val="21"/>
              </w:rPr>
              <w:t>具有上一年度（20</w:t>
            </w:r>
            <w:r>
              <w:rPr>
                <w:rFonts w:ascii="宋体" w:hAnsi="宋体"/>
                <w:bCs/>
                <w:szCs w:val="21"/>
              </w:rPr>
              <w:t>20</w:t>
            </w:r>
            <w:r>
              <w:rPr>
                <w:rFonts w:hint="eastAsia" w:ascii="宋体" w:hAnsi="宋体"/>
                <w:bCs/>
                <w:szCs w:val="21"/>
              </w:rPr>
              <w:t>年度或202</w:t>
            </w:r>
            <w:r>
              <w:rPr>
                <w:rFonts w:ascii="宋体" w:hAnsi="宋体"/>
                <w:bCs/>
                <w:szCs w:val="21"/>
              </w:rPr>
              <w:t>1</w:t>
            </w:r>
            <w:r>
              <w:rPr>
                <w:rFonts w:hint="eastAsia" w:ascii="宋体" w:hAnsi="宋体"/>
                <w:bCs/>
                <w:szCs w:val="21"/>
              </w:rPr>
              <w:t>年度）</w:t>
            </w:r>
            <w:r>
              <w:rPr>
                <w:rFonts w:ascii="宋体" w:hAnsi="宋体"/>
                <w:bCs/>
                <w:szCs w:val="21"/>
              </w:rPr>
              <w:t>经审计的财务报告，或其基本开户银行出具的资信证明。其他组织和自然人，没有经审计的财务报告，</w:t>
            </w:r>
            <w:r>
              <w:rPr>
                <w:rFonts w:hint="eastAsia" w:ascii="宋体" w:hAnsi="宋体"/>
                <w:bCs/>
                <w:szCs w:val="21"/>
              </w:rPr>
              <w:t>应具有</w:t>
            </w:r>
            <w:r>
              <w:rPr>
                <w:rFonts w:ascii="宋体" w:hAnsi="宋体"/>
                <w:bCs/>
                <w:szCs w:val="21"/>
              </w:rPr>
              <w:t>银行出具的资信证明。</w:t>
            </w:r>
          </w:p>
          <w:p>
            <w:pPr>
              <w:adjustRightInd w:val="0"/>
              <w:snapToGrid w:val="0"/>
              <w:rPr>
                <w:rFonts w:ascii="宋体" w:hAnsi="宋体"/>
                <w:bCs/>
                <w:szCs w:val="21"/>
              </w:rPr>
            </w:pPr>
            <w:r>
              <w:rPr>
                <w:rFonts w:hint="eastAsia" w:ascii="宋体" w:hAnsi="宋体"/>
                <w:bCs/>
                <w:szCs w:val="21"/>
              </w:rPr>
              <w:t>有专业担保机构对供应商进行资信审查后出具投标担保函的，可以不用具备经审计的财务报告和银行资信证明文件。</w:t>
            </w:r>
          </w:p>
          <w:p>
            <w:pPr>
              <w:snapToGrid w:val="0"/>
              <w:rPr>
                <w:rFonts w:ascii="宋体" w:hAnsi="宋体"/>
                <w:bCs/>
                <w:szCs w:val="21"/>
              </w:rPr>
            </w:pPr>
            <w:r>
              <w:rPr>
                <w:rFonts w:hint="eastAsia"/>
                <w:b/>
              </w:rPr>
              <w:t>备注：如果供应商</w:t>
            </w:r>
            <w:r>
              <w:rPr>
                <w:b/>
              </w:rPr>
              <w:t>同时提供了</w:t>
            </w:r>
            <w:r>
              <w:rPr>
                <w:rFonts w:hint="eastAsia"/>
                <w:b/>
              </w:rPr>
              <w:t>1）</w:t>
            </w:r>
            <w:r>
              <w:rPr>
                <w:b/>
              </w:rPr>
              <w:t>书面承诺及声明、</w:t>
            </w:r>
            <w:r>
              <w:rPr>
                <w:rFonts w:hint="eastAsia"/>
                <w:b/>
              </w:rPr>
              <w:t>2）</w:t>
            </w:r>
            <w:r>
              <w:rPr>
                <w:b/>
              </w:rPr>
              <w:t>相应证明材料</w:t>
            </w:r>
            <w:r>
              <w:rPr>
                <w:rFonts w:hint="eastAsia"/>
                <w:b/>
              </w:rPr>
              <w:t>，且二者</w:t>
            </w:r>
            <w:r>
              <w:rPr>
                <w:b/>
              </w:rPr>
              <w:t>内容不一致的，</w:t>
            </w:r>
            <w:r>
              <w:rPr>
                <w:rFonts w:hint="eastAsia"/>
                <w:b/>
              </w:rPr>
              <w:t>评审</w:t>
            </w:r>
            <w:r>
              <w:rPr>
                <w:b/>
              </w:rPr>
              <w:t>专家有权</w:t>
            </w:r>
            <w:r>
              <w:rPr>
                <w:rFonts w:hint="eastAsia"/>
                <w:b/>
              </w:rPr>
              <w:t>任选</w:t>
            </w:r>
            <w:r>
              <w:rPr>
                <w:b/>
              </w:rPr>
              <w:t>其中一种进行</w:t>
            </w:r>
            <w:r>
              <w:rPr>
                <w:rFonts w:hint="eastAsia"/>
                <w:b/>
              </w:rPr>
              <w:t>评审</w:t>
            </w:r>
            <w:r>
              <w:rPr>
                <w:b/>
              </w:rPr>
              <w:t>，</w:t>
            </w:r>
            <w:r>
              <w:rPr>
                <w:rFonts w:hint="eastAsia"/>
                <w:b/>
              </w:rPr>
              <w:t>由</w:t>
            </w:r>
            <w:r>
              <w:rPr>
                <w:b/>
              </w:rPr>
              <w:t>供应商自行承担一切后果。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7" w:type="pct"/>
            <w:vMerge w:val="continue"/>
            <w:vAlign w:val="center"/>
          </w:tcPr>
          <w:p>
            <w:pPr>
              <w:widowControl/>
              <w:numPr>
                <w:ilvl w:val="0"/>
                <w:numId w:val="1"/>
              </w:numPr>
              <w:adjustRightInd w:val="0"/>
              <w:snapToGrid w:val="0"/>
              <w:rPr>
                <w:rFonts w:ascii="宋体" w:hAnsi="宋体" w:cs="宋体"/>
                <w:kern w:val="0"/>
                <w:szCs w:val="21"/>
              </w:rPr>
            </w:pPr>
          </w:p>
        </w:tc>
        <w:tc>
          <w:tcPr>
            <w:tcW w:w="1577" w:type="pct"/>
            <w:vAlign w:val="center"/>
          </w:tcPr>
          <w:p>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3046" w:type="pct"/>
            <w:vAlign w:val="center"/>
          </w:tcPr>
          <w:p>
            <w:pPr>
              <w:snapToGrid w:val="0"/>
              <w:rPr>
                <w:rFonts w:ascii="宋体" w:hAnsi="宋体"/>
                <w:bCs/>
                <w:szCs w:val="21"/>
              </w:rPr>
            </w:pPr>
            <w:r>
              <w:rPr>
                <w:rFonts w:hint="eastAsia" w:ascii="宋体" w:hAnsi="宋体"/>
                <w:bCs/>
                <w:szCs w:val="21"/>
              </w:rPr>
              <w:t>由供应商提供书面承诺及声明</w:t>
            </w:r>
            <w:r>
              <w:t>，或提供相应证明材料。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7" w:type="pct"/>
            <w:vMerge w:val="continue"/>
            <w:vAlign w:val="center"/>
          </w:tcPr>
          <w:p>
            <w:pPr>
              <w:widowControl/>
              <w:numPr>
                <w:ilvl w:val="0"/>
                <w:numId w:val="1"/>
              </w:numPr>
              <w:adjustRightInd w:val="0"/>
              <w:snapToGrid w:val="0"/>
              <w:rPr>
                <w:rFonts w:ascii="宋体" w:hAnsi="宋体" w:cs="宋体"/>
                <w:kern w:val="0"/>
                <w:szCs w:val="21"/>
              </w:rPr>
            </w:pPr>
          </w:p>
        </w:tc>
        <w:tc>
          <w:tcPr>
            <w:tcW w:w="1577" w:type="pct"/>
            <w:vAlign w:val="center"/>
          </w:tcPr>
          <w:p>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3046" w:type="pct"/>
            <w:vAlign w:val="center"/>
          </w:tcPr>
          <w:p>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pPr>
              <w:adjustRightInd w:val="0"/>
              <w:snapToGrid w:val="0"/>
              <w:ind w:firstLine="42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pPr>
              <w:adjustRightInd w:val="0"/>
              <w:snapToGrid w:val="0"/>
              <w:ind w:firstLine="42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pPr>
              <w:adjustRightInd w:val="0"/>
              <w:snapToGrid w:val="0"/>
              <w:ind w:firstLine="42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pPr>
              <w:adjustRightInd w:val="0"/>
              <w:snapToGrid w:val="0"/>
              <w:ind w:firstLine="420" w:firstLineChars="200"/>
              <w:rPr>
                <w:rFonts w:ascii="宋体" w:hAnsi="宋体"/>
                <w:szCs w:val="21"/>
                <w:lang w:val="hr-HR"/>
              </w:rPr>
            </w:pPr>
            <w:r>
              <w:rPr>
                <w:rFonts w:hint="eastAsia" w:ascii="宋体" w:hAnsi="宋体"/>
                <w:szCs w:val="21"/>
                <w:lang w:val="hr-HR"/>
              </w:rPr>
              <w:t>依法免税或不需要缴纳社会保障资金的供应商，具有相应文件证明其依法免税或不需要交纳社会保障资金。</w:t>
            </w:r>
          </w:p>
          <w:p>
            <w:pPr>
              <w:snapToGrid w:val="0"/>
              <w:spacing w:line="300" w:lineRule="auto"/>
              <w:ind w:firstLine="422" w:firstLineChars="200"/>
              <w:rPr>
                <w:rFonts w:ascii="宋体" w:hAnsi="宋体"/>
                <w:bCs/>
                <w:szCs w:val="21"/>
              </w:rPr>
            </w:pPr>
            <w:r>
              <w:rPr>
                <w:rFonts w:hint="eastAsia" w:ascii="宋体" w:hAnsi="宋体"/>
                <w:b/>
                <w:szCs w:val="21"/>
                <w:lang w:val="hr-HR"/>
              </w:rPr>
              <w:t>备注：如果供应商</w:t>
            </w:r>
            <w:r>
              <w:rPr>
                <w:rFonts w:ascii="宋体" w:hAnsi="宋体"/>
                <w:b/>
                <w:szCs w:val="21"/>
                <w:lang w:val="hr-HR"/>
              </w:rPr>
              <w:t>同时提供了</w:t>
            </w:r>
            <w:r>
              <w:rPr>
                <w:rFonts w:hint="eastAsia" w:ascii="宋体" w:hAnsi="宋体"/>
                <w:b/>
                <w:szCs w:val="21"/>
                <w:lang w:val="hr-HR"/>
              </w:rPr>
              <w:t>1）</w:t>
            </w:r>
            <w:r>
              <w:rPr>
                <w:rFonts w:ascii="宋体" w:hAnsi="宋体"/>
                <w:b/>
                <w:szCs w:val="21"/>
                <w:lang w:val="hr-HR"/>
              </w:rPr>
              <w:t>书面承诺及声明、</w:t>
            </w:r>
            <w:r>
              <w:rPr>
                <w:rFonts w:hint="eastAsia" w:ascii="宋体" w:hAnsi="宋体"/>
                <w:b/>
                <w:szCs w:val="21"/>
                <w:lang w:val="hr-HR"/>
              </w:rPr>
              <w:t>2）</w:t>
            </w:r>
            <w:r>
              <w:rPr>
                <w:rFonts w:ascii="宋体" w:hAnsi="宋体"/>
                <w:b/>
                <w:szCs w:val="21"/>
                <w:lang w:val="hr-HR"/>
              </w:rPr>
              <w:t>相应证明材料</w:t>
            </w:r>
            <w:r>
              <w:rPr>
                <w:rFonts w:hint="eastAsia" w:ascii="宋体" w:hAnsi="宋体"/>
                <w:b/>
                <w:szCs w:val="21"/>
                <w:lang w:val="hr-HR"/>
              </w:rPr>
              <w:t>，且二者</w:t>
            </w:r>
            <w:r>
              <w:rPr>
                <w:rFonts w:ascii="宋体" w:hAnsi="宋体"/>
                <w:b/>
                <w:szCs w:val="21"/>
                <w:lang w:val="hr-HR"/>
              </w:rPr>
              <w:t>内容不一致的，</w:t>
            </w:r>
            <w:r>
              <w:rPr>
                <w:rFonts w:hint="eastAsia" w:ascii="宋体" w:hAnsi="宋体"/>
                <w:b/>
                <w:szCs w:val="21"/>
                <w:lang w:val="hr-HR"/>
              </w:rPr>
              <w:t>评审</w:t>
            </w:r>
            <w:r>
              <w:rPr>
                <w:rFonts w:ascii="宋体" w:hAnsi="宋体"/>
                <w:b/>
                <w:szCs w:val="21"/>
                <w:lang w:val="hr-HR"/>
              </w:rPr>
              <w:t>专家有权</w:t>
            </w:r>
            <w:r>
              <w:rPr>
                <w:rFonts w:hint="eastAsia" w:ascii="宋体" w:hAnsi="宋体"/>
                <w:b/>
                <w:szCs w:val="21"/>
                <w:lang w:val="hr-HR"/>
              </w:rPr>
              <w:t>任选</w:t>
            </w:r>
            <w:r>
              <w:rPr>
                <w:rFonts w:ascii="宋体" w:hAnsi="宋体"/>
                <w:b/>
                <w:szCs w:val="21"/>
                <w:lang w:val="hr-HR"/>
              </w:rPr>
              <w:t>其中一种进行</w:t>
            </w:r>
            <w:r>
              <w:rPr>
                <w:rFonts w:hint="eastAsia" w:ascii="宋体" w:hAnsi="宋体"/>
                <w:b/>
                <w:szCs w:val="21"/>
                <w:lang w:val="hr-HR"/>
              </w:rPr>
              <w:t>评审</w:t>
            </w:r>
            <w:r>
              <w:rPr>
                <w:rFonts w:ascii="宋体" w:hAnsi="宋体"/>
                <w:b/>
                <w:szCs w:val="21"/>
                <w:lang w:val="hr-HR"/>
              </w:rPr>
              <w:t>，</w:t>
            </w:r>
            <w:r>
              <w:rPr>
                <w:rFonts w:hint="eastAsia" w:ascii="宋体" w:hAnsi="宋体"/>
                <w:b/>
                <w:szCs w:val="21"/>
                <w:lang w:val="hr-HR"/>
              </w:rPr>
              <w:t>由</w:t>
            </w:r>
            <w:r>
              <w:rPr>
                <w:rFonts w:ascii="宋体" w:hAnsi="宋体"/>
                <w:b/>
                <w:szCs w:val="21"/>
                <w:lang w:val="hr-HR"/>
              </w:rPr>
              <w:t>供应商自行承担一切后果。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7" w:type="pct"/>
            <w:vMerge w:val="continue"/>
            <w:vAlign w:val="center"/>
          </w:tcPr>
          <w:p>
            <w:pPr>
              <w:widowControl/>
              <w:numPr>
                <w:ilvl w:val="0"/>
                <w:numId w:val="1"/>
              </w:numPr>
              <w:adjustRightInd w:val="0"/>
              <w:snapToGrid w:val="0"/>
              <w:rPr>
                <w:rFonts w:ascii="宋体" w:hAnsi="宋体" w:cs="宋体"/>
                <w:kern w:val="0"/>
                <w:szCs w:val="21"/>
              </w:rPr>
            </w:pPr>
          </w:p>
        </w:tc>
        <w:tc>
          <w:tcPr>
            <w:tcW w:w="1577" w:type="pct"/>
            <w:vAlign w:val="center"/>
          </w:tcPr>
          <w:p>
            <w:pPr>
              <w:widowControl/>
              <w:adjustRightInd w:val="0"/>
              <w:snapToGrid w:val="0"/>
              <w:rPr>
                <w:rFonts w:ascii="宋体" w:hAnsi="宋体"/>
                <w:szCs w:val="21"/>
                <w:lang w:val="hr-HR"/>
              </w:rPr>
            </w:pPr>
            <w:r>
              <w:rPr>
                <w:rFonts w:hint="eastAsia" w:ascii="宋体" w:hAnsi="宋体"/>
                <w:szCs w:val="21"/>
                <w:lang w:val="hr-HR"/>
              </w:rPr>
              <w:t>参加政府采购活动前三年内，在经营活动中没有重大违法记录</w:t>
            </w:r>
          </w:p>
        </w:tc>
        <w:tc>
          <w:tcPr>
            <w:tcW w:w="3046" w:type="pct"/>
            <w:vAlign w:val="center"/>
          </w:tcPr>
          <w:p>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7" w:type="pct"/>
            <w:vMerge w:val="continue"/>
            <w:vAlign w:val="center"/>
          </w:tcPr>
          <w:p>
            <w:pPr>
              <w:widowControl/>
              <w:numPr>
                <w:ilvl w:val="0"/>
                <w:numId w:val="1"/>
              </w:numPr>
              <w:adjustRightInd w:val="0"/>
              <w:snapToGrid w:val="0"/>
              <w:rPr>
                <w:rFonts w:ascii="宋体" w:hAnsi="宋体" w:cs="宋体"/>
                <w:kern w:val="0"/>
                <w:szCs w:val="21"/>
              </w:rPr>
            </w:pPr>
          </w:p>
        </w:tc>
        <w:tc>
          <w:tcPr>
            <w:tcW w:w="1577" w:type="pct"/>
            <w:vAlign w:val="center"/>
          </w:tcPr>
          <w:p>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3046" w:type="pct"/>
            <w:vAlign w:val="center"/>
          </w:tcPr>
          <w:p>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7" w:type="pct"/>
            <w:vAlign w:val="center"/>
          </w:tcPr>
          <w:p>
            <w:pPr>
              <w:widowControl/>
              <w:numPr>
                <w:ilvl w:val="0"/>
                <w:numId w:val="1"/>
              </w:numPr>
              <w:adjustRightInd w:val="0"/>
              <w:snapToGrid w:val="0"/>
              <w:rPr>
                <w:rFonts w:ascii="宋体" w:hAnsi="宋体" w:cs="宋体"/>
                <w:kern w:val="0"/>
                <w:szCs w:val="21"/>
              </w:rPr>
            </w:pPr>
          </w:p>
        </w:tc>
        <w:tc>
          <w:tcPr>
            <w:tcW w:w="1577" w:type="pct"/>
            <w:vAlign w:val="center"/>
          </w:tcPr>
          <w:p>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单位负责人为同一人或者存在直接控股、管理关系的不同的供应商，不得参加本项目同一合同项下的政府采购活动</w:t>
            </w:r>
          </w:p>
        </w:tc>
        <w:tc>
          <w:tcPr>
            <w:tcW w:w="3046" w:type="pct"/>
            <w:vAlign w:val="center"/>
          </w:tcPr>
          <w:p>
            <w:pPr>
              <w:widowControl/>
              <w:adjustRightInd w:val="0"/>
              <w:snapToGrid w:val="0"/>
              <w:rPr>
                <w:rFonts w:ascii="宋体" w:hAnsi="宋体"/>
                <w:szCs w:val="21"/>
                <w:lang w:val="hr-HR"/>
              </w:rPr>
            </w:pPr>
            <w:r>
              <w:rPr>
                <w:rFonts w:hint="eastAsia" w:ascii="宋体" w:hAnsi="宋体"/>
                <w:szCs w:val="21"/>
                <w:lang w:val="hr-HR"/>
              </w:rPr>
              <w:t>由供应商在《响应函》中声明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7" w:type="pct"/>
            <w:vAlign w:val="center"/>
          </w:tcPr>
          <w:p>
            <w:pPr>
              <w:widowControl/>
              <w:numPr>
                <w:ilvl w:val="0"/>
                <w:numId w:val="1"/>
              </w:numPr>
              <w:adjustRightInd w:val="0"/>
              <w:snapToGrid w:val="0"/>
              <w:rPr>
                <w:rFonts w:ascii="宋体" w:hAnsi="宋体" w:cs="宋体"/>
                <w:kern w:val="0"/>
                <w:szCs w:val="21"/>
              </w:rPr>
            </w:pPr>
          </w:p>
        </w:tc>
        <w:tc>
          <w:tcPr>
            <w:tcW w:w="1577" w:type="pct"/>
            <w:vAlign w:val="center"/>
          </w:tcPr>
          <w:p>
            <w:pPr>
              <w:widowControl/>
              <w:adjustRightInd w:val="0"/>
              <w:snapToGrid w:val="0"/>
              <w:rPr>
                <w:rFonts w:ascii="宋体" w:hAnsi="宋体" w:cs="宋体"/>
                <w:szCs w:val="21"/>
              </w:rPr>
            </w:pPr>
            <w:r>
              <w:rPr>
                <w:rFonts w:hint="eastAsia" w:ascii="宋体" w:hAnsi="宋体" w:cs="宋体"/>
                <w:szCs w:val="21"/>
              </w:rPr>
              <w:t>为本采购项目提供整体设计、规范编制或者项目管理、监理、检测等服务的，不得再参加本项目的其他招标采购活动。</w:t>
            </w:r>
          </w:p>
        </w:tc>
        <w:tc>
          <w:tcPr>
            <w:tcW w:w="3046" w:type="pct"/>
            <w:vAlign w:val="center"/>
          </w:tcPr>
          <w:p>
            <w:pPr>
              <w:widowControl/>
              <w:adjustRightInd w:val="0"/>
              <w:snapToGrid w:val="0"/>
              <w:rPr>
                <w:rFonts w:ascii="宋体" w:hAnsi="宋体"/>
                <w:szCs w:val="21"/>
                <w:lang w:val="hr-HR"/>
              </w:rPr>
            </w:pPr>
            <w:r>
              <w:rPr>
                <w:rFonts w:hint="eastAsia" w:ascii="宋体" w:hAnsi="宋体"/>
                <w:szCs w:val="21"/>
                <w:lang w:val="hr-HR"/>
              </w:rPr>
              <w:t>由供应商在《响应函》中声明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7" w:type="pct"/>
            <w:vAlign w:val="center"/>
          </w:tcPr>
          <w:p>
            <w:pPr>
              <w:widowControl/>
              <w:numPr>
                <w:ilvl w:val="0"/>
                <w:numId w:val="1"/>
              </w:numPr>
              <w:adjustRightInd w:val="0"/>
              <w:snapToGrid w:val="0"/>
              <w:rPr>
                <w:rFonts w:ascii="宋体" w:hAnsi="宋体" w:cs="宋体"/>
                <w:kern w:val="0"/>
                <w:szCs w:val="21"/>
              </w:rPr>
            </w:pPr>
          </w:p>
        </w:tc>
        <w:tc>
          <w:tcPr>
            <w:tcW w:w="1577" w:type="pct"/>
            <w:vAlign w:val="center"/>
          </w:tcPr>
          <w:p>
            <w:pPr>
              <w:widowControl/>
              <w:adjustRightInd w:val="0"/>
              <w:snapToGrid w:val="0"/>
              <w:rPr>
                <w:rFonts w:ascii="宋体" w:hAnsi="宋体" w:cs="宋体"/>
                <w:szCs w:val="21"/>
              </w:rPr>
            </w:pPr>
            <w:r>
              <w:rPr>
                <w:rFonts w:hint="eastAsia" w:ascii="宋体" w:hAnsi="宋体" w:cs="宋体"/>
                <w:szCs w:val="21"/>
              </w:rPr>
              <w:t>未被列入失信被执行人、</w:t>
            </w:r>
            <w:r>
              <w:rPr>
                <w:rFonts w:hint="eastAsia" w:ascii="宋体" w:hAnsi="宋体" w:cs="宋体"/>
                <w:szCs w:val="21"/>
                <w:lang w:eastAsia="zh-CN"/>
              </w:rPr>
              <w:t>重大税收违法失信主体</w:t>
            </w:r>
            <w:r>
              <w:rPr>
                <w:rFonts w:hint="eastAsia" w:ascii="宋体" w:hAnsi="宋体" w:cs="宋体"/>
                <w:szCs w:val="21"/>
              </w:rPr>
              <w:t>，未被列入政府采购严重违法失信行为记录名单。</w:t>
            </w:r>
          </w:p>
        </w:tc>
        <w:tc>
          <w:tcPr>
            <w:tcW w:w="3046" w:type="pct"/>
            <w:vAlign w:val="center"/>
          </w:tcPr>
          <w:p>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结果为准（采购人和采购代理机构对信用信息查询记录和证据截图或下载存档）</w:t>
            </w:r>
            <w:r>
              <w:rPr>
                <w:rFonts w:hint="eastAsia" w:ascii="宋体" w:hAnsi="宋体"/>
                <w:szCs w:val="21"/>
                <w:lang w:val="hr-H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7" w:type="pct"/>
            <w:vAlign w:val="center"/>
          </w:tcPr>
          <w:p>
            <w:pPr>
              <w:widowControl/>
              <w:numPr>
                <w:ilvl w:val="0"/>
                <w:numId w:val="1"/>
              </w:numPr>
              <w:adjustRightInd w:val="0"/>
              <w:snapToGrid w:val="0"/>
              <w:rPr>
                <w:rFonts w:ascii="宋体" w:hAnsi="宋体" w:cs="宋体"/>
                <w:kern w:val="0"/>
                <w:szCs w:val="21"/>
              </w:rPr>
            </w:pPr>
          </w:p>
        </w:tc>
        <w:tc>
          <w:tcPr>
            <w:tcW w:w="1577" w:type="pct"/>
            <w:vAlign w:val="center"/>
          </w:tcPr>
          <w:p>
            <w:pPr>
              <w:widowControl/>
              <w:adjustRightInd w:val="0"/>
              <w:snapToGrid w:val="0"/>
              <w:jc w:val="left"/>
              <w:rPr>
                <w:rFonts w:ascii="宋体" w:hAnsi="宋体" w:cs="宋体"/>
                <w:szCs w:val="21"/>
              </w:rPr>
            </w:pPr>
            <w:r>
              <w:rPr>
                <w:rFonts w:hint="eastAsia" w:ascii="宋体" w:hAnsi="宋体" w:cs="宋体"/>
                <w:szCs w:val="21"/>
              </w:rPr>
              <w:t>落实政府采购政策需满足的资格要求</w:t>
            </w:r>
          </w:p>
        </w:tc>
        <w:tc>
          <w:tcPr>
            <w:tcW w:w="3046" w:type="pct"/>
            <w:vAlign w:val="center"/>
          </w:tcPr>
          <w:p>
            <w:pPr>
              <w:jc w:val="left"/>
              <w:rPr>
                <w:rFonts w:ascii="宋体" w:hAnsi="宋体" w:cs="宋体"/>
                <w:szCs w:val="21"/>
              </w:rPr>
            </w:pPr>
            <w:r>
              <w:rPr>
                <w:rFonts w:hint="eastAsia" w:ascii="宋体" w:hAnsi="宋体" w:cs="宋体"/>
                <w:szCs w:val="21"/>
              </w:rPr>
              <w:t>本政府采购项目非专门面向中小企业，即小微企业参与本项目可享受政府采购中小企业扶持政策，本项目企业划分标准所属行业为“软件和信息技术服务业” （如供应商提供的货物全部由符合政策要求的小微企业制造，则需提供相应中小企业声明函）。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7" w:type="pct"/>
            <w:vAlign w:val="center"/>
          </w:tcPr>
          <w:p>
            <w:pPr>
              <w:widowControl/>
              <w:numPr>
                <w:ilvl w:val="0"/>
                <w:numId w:val="1"/>
              </w:numPr>
              <w:adjustRightInd w:val="0"/>
              <w:snapToGrid w:val="0"/>
              <w:rPr>
                <w:rFonts w:ascii="宋体" w:hAnsi="宋体" w:cs="宋体"/>
                <w:kern w:val="0"/>
                <w:szCs w:val="21"/>
              </w:rPr>
            </w:pPr>
          </w:p>
        </w:tc>
        <w:tc>
          <w:tcPr>
            <w:tcW w:w="1577" w:type="pct"/>
            <w:vAlign w:val="center"/>
          </w:tcPr>
          <w:p>
            <w:pPr>
              <w:widowControl/>
              <w:adjustRightInd w:val="0"/>
              <w:snapToGrid w:val="0"/>
              <w:jc w:val="left"/>
              <w:rPr>
                <w:rFonts w:ascii="宋体" w:hAnsi="宋体"/>
                <w:szCs w:val="21"/>
                <w:lang w:val="hr-HR"/>
              </w:rPr>
            </w:pPr>
            <w:r>
              <w:rPr>
                <w:rFonts w:hint="eastAsia" w:ascii="宋体" w:hAnsi="宋体"/>
                <w:szCs w:val="21"/>
                <w:lang w:val="hr-HR"/>
              </w:rPr>
              <w:t>本项目的特定资格要求</w:t>
            </w:r>
          </w:p>
        </w:tc>
        <w:tc>
          <w:tcPr>
            <w:tcW w:w="3046" w:type="pct"/>
            <w:vAlign w:val="center"/>
          </w:tcPr>
          <w:p>
            <w:r>
              <w:rPr>
                <w:rFonts w:hint="eastAsia" w:ascii="宋体" w:hAnsi="宋体" w:cs="宋体"/>
                <w:szCs w:val="21"/>
              </w:rPr>
              <w:t>/</w:t>
            </w:r>
          </w:p>
        </w:tc>
      </w:tr>
    </w:tbl>
    <w:p>
      <w:pPr>
        <w:spacing w:before="120" w:beforeLines="50" w:line="360" w:lineRule="auto"/>
        <w:rPr>
          <w:rFonts w:ascii="宋体" w:hAnsi="宋体" w:cs="仿宋_GB2312"/>
          <w:kern w:val="0"/>
          <w:sz w:val="24"/>
        </w:rPr>
      </w:pPr>
    </w:p>
    <w:p>
      <w:pPr>
        <w:spacing w:before="120" w:beforeLines="50" w:line="360" w:lineRule="auto"/>
        <w:rPr>
          <w:rFonts w:ascii="宋体" w:hAnsi="宋体" w:cs="仿宋_GB2312"/>
          <w:kern w:val="0"/>
          <w:sz w:val="24"/>
        </w:rPr>
      </w:pPr>
      <w:r>
        <w:rPr>
          <w:rFonts w:hint="eastAsia" w:ascii="宋体" w:hAnsi="宋体" w:cs="仿宋_GB2312"/>
          <w:kern w:val="0"/>
          <w:sz w:val="24"/>
        </w:rPr>
        <w:t>备注：</w:t>
      </w:r>
    </w:p>
    <w:p>
      <w:pPr>
        <w:spacing w:line="360" w:lineRule="auto"/>
        <w:ind w:firstLine="480" w:firstLineChars="200"/>
        <w:rPr>
          <w:rFonts w:ascii="宋体" w:hAnsi="宋体" w:cs="仿宋_GB2312"/>
          <w:sz w:val="24"/>
        </w:rPr>
      </w:pPr>
      <w:r>
        <w:rPr>
          <w:rFonts w:hint="eastAsia" w:ascii="宋体" w:hAnsi="宋体" w:cs="仿宋_GB2312"/>
          <w:sz w:val="24"/>
        </w:rPr>
        <w:t>1.所有证书、证明文件包括按要求提供的官网截图必须是真实、有效、可查证的，须注明资料来源。资格证明文件应为原件的扫描件，响应文件中须编入清晰的扫描件或复印件。所有证明材料须清晰可辨认，如因证明材料模糊无法辨认，缺页、漏页导致无法进行评审认定的责任由供应商自负。如发现弄虚作假将按照有关规定严肃处理。</w:t>
      </w:r>
    </w:p>
    <w:p>
      <w:pPr>
        <w:spacing w:line="360" w:lineRule="auto"/>
        <w:ind w:firstLine="480" w:firstLineChars="200"/>
        <w:rPr>
          <w:rFonts w:ascii="宋体" w:hAnsi="宋体" w:cs="仿宋_GB2312"/>
          <w:sz w:val="24"/>
        </w:rPr>
      </w:pPr>
      <w:r>
        <w:rPr>
          <w:rFonts w:hint="eastAsia" w:ascii="宋体" w:hAnsi="宋体" w:cs="仿宋_GB2312"/>
          <w:sz w:val="24"/>
        </w:rPr>
        <w:t>证明材料仅限于供应商单位本身，参股或控股单位及独立法人子公司的材料不能作为证明材料，但供应商单位兼并的企业的材料可作为证明材料。</w:t>
      </w:r>
    </w:p>
    <w:p>
      <w:pPr>
        <w:snapToGrid w:val="0"/>
        <w:spacing w:line="360" w:lineRule="auto"/>
        <w:ind w:firstLine="480" w:firstLineChars="200"/>
        <w:rPr>
          <w:rFonts w:ascii="宋体" w:hAnsi="宋体" w:cs="仿宋_GB2312"/>
          <w:sz w:val="24"/>
        </w:rPr>
      </w:pPr>
      <w:r>
        <w:rPr>
          <w:rFonts w:hint="eastAsia" w:ascii="宋体" w:hAnsi="宋体" w:cs="仿宋_GB2312"/>
          <w:sz w:val="24"/>
        </w:rPr>
        <w:t>2.对于响应文件中有任意一条不满足上表要求的将导致其投标无效，不进入下一项评审</w:t>
      </w:r>
      <w:r>
        <w:rPr>
          <w:rFonts w:hint="eastAsia" w:ascii="宋体" w:hAnsi="宋体" w:cs="仿宋_GB2312"/>
          <w:kern w:val="0"/>
          <w:sz w:val="24"/>
        </w:rPr>
        <w:t>。</w:t>
      </w:r>
      <w:r>
        <w:rPr>
          <w:rFonts w:hint="eastAsia" w:ascii="宋体" w:hAnsi="宋体" w:cs="仿宋_GB2312"/>
          <w:sz w:val="24"/>
        </w:rPr>
        <w:br w:type="page"/>
      </w:r>
    </w:p>
    <w:p>
      <w:pPr>
        <w:keepNext/>
        <w:keepLines/>
        <w:snapToGrid w:val="0"/>
        <w:spacing w:line="360" w:lineRule="auto"/>
        <w:ind w:firstLine="482" w:firstLineChars="200"/>
        <w:jc w:val="left"/>
        <w:outlineLvl w:val="1"/>
        <w:rPr>
          <w:rFonts w:ascii="宋体" w:hAnsi="宋体" w:cs="仿宋_GB2312"/>
          <w:b/>
          <w:sz w:val="24"/>
        </w:rPr>
      </w:pPr>
      <w:bookmarkStart w:id="463" w:name="_Toc48846166"/>
      <w:bookmarkStart w:id="464" w:name="_Toc46772287"/>
      <w:bookmarkStart w:id="465" w:name="_Toc12832"/>
      <w:bookmarkStart w:id="466" w:name="_Toc52962784"/>
      <w:bookmarkStart w:id="467" w:name="_Toc52960610"/>
      <w:bookmarkStart w:id="468" w:name="_Toc48688849"/>
      <w:bookmarkStart w:id="469" w:name="_Toc51674268"/>
      <w:r>
        <w:rPr>
          <w:rFonts w:hint="eastAsia" w:ascii="宋体" w:hAnsi="宋体" w:cs="仿宋_GB2312"/>
          <w:b/>
          <w:sz w:val="24"/>
        </w:rPr>
        <w:t>（二）符合性检查表</w:t>
      </w:r>
      <w:bookmarkEnd w:id="463"/>
      <w:bookmarkEnd w:id="464"/>
      <w:bookmarkEnd w:id="465"/>
      <w:bookmarkEnd w:id="466"/>
      <w:bookmarkEnd w:id="467"/>
      <w:bookmarkEnd w:id="468"/>
      <w:bookmarkEnd w:id="469"/>
    </w:p>
    <w:tbl>
      <w:tblPr>
        <w:tblStyle w:val="55"/>
        <w:tblW w:w="5000" w:type="pct"/>
        <w:jc w:val="center"/>
        <w:tblLayout w:type="autofit"/>
        <w:tblCellMar>
          <w:top w:w="0" w:type="dxa"/>
          <w:left w:w="108" w:type="dxa"/>
          <w:bottom w:w="0" w:type="dxa"/>
          <w:right w:w="108" w:type="dxa"/>
        </w:tblCellMar>
      </w:tblPr>
      <w:tblGrid>
        <w:gridCol w:w="1041"/>
        <w:gridCol w:w="7488"/>
      </w:tblGrid>
      <w:tr>
        <w:tblPrEx>
          <w:tblCellMar>
            <w:top w:w="0" w:type="dxa"/>
            <w:left w:w="108" w:type="dxa"/>
            <w:bottom w:w="0" w:type="dxa"/>
            <w:right w:w="108" w:type="dxa"/>
          </w:tblCellMar>
        </w:tblPrEx>
        <w:trPr>
          <w:trHeight w:val="567" w:hRule="atLeast"/>
          <w:jc w:val="center"/>
        </w:trPr>
        <w:tc>
          <w:tcPr>
            <w:tcW w:w="61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仿宋_GB2312"/>
                <w:b/>
                <w:bCs/>
                <w:szCs w:val="21"/>
                <w:lang w:val="hr-HR"/>
              </w:rPr>
            </w:pPr>
            <w:bookmarkStart w:id="470" w:name="_Hlk56711845"/>
            <w:r>
              <w:rPr>
                <w:rFonts w:hint="eastAsia" w:ascii="宋体" w:hAnsi="宋体" w:cs="仿宋_GB2312"/>
                <w:b/>
                <w:bCs/>
                <w:szCs w:val="21"/>
                <w:lang w:val="hr-HR"/>
              </w:rPr>
              <w:t>序号</w:t>
            </w:r>
          </w:p>
        </w:tc>
        <w:tc>
          <w:tcPr>
            <w:tcW w:w="43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仿宋_GB2312"/>
                <w:b/>
                <w:bCs/>
                <w:szCs w:val="21"/>
                <w:lang w:val="hr-HR"/>
              </w:rPr>
            </w:pPr>
            <w:r>
              <w:rPr>
                <w:rFonts w:hint="eastAsia" w:ascii="宋体" w:hAnsi="宋体" w:cs="仿宋_GB2312"/>
                <w:b/>
                <w:bCs/>
                <w:szCs w:val="21"/>
                <w:lang w:val="hr-HR"/>
              </w:rPr>
              <w:t>审核内容</w:t>
            </w:r>
          </w:p>
        </w:tc>
      </w:tr>
      <w:tr>
        <w:tblPrEx>
          <w:tblCellMar>
            <w:top w:w="0" w:type="dxa"/>
            <w:left w:w="108" w:type="dxa"/>
            <w:bottom w:w="0" w:type="dxa"/>
            <w:right w:w="108" w:type="dxa"/>
          </w:tblCellMar>
        </w:tblPrEx>
        <w:trPr>
          <w:trHeight w:val="454"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lang w:val="hr-HR"/>
              </w:rPr>
            </w:pPr>
            <w:r>
              <w:rPr>
                <w:rFonts w:hint="eastAsia" w:ascii="宋体" w:hAnsi="宋体" w:cs="仿宋_GB2312"/>
                <w:szCs w:val="21"/>
                <w:lang w:val="hr-HR"/>
              </w:rPr>
              <w:t>1</w:t>
            </w:r>
          </w:p>
        </w:tc>
        <w:tc>
          <w:tcPr>
            <w:tcW w:w="4390" w:type="pct"/>
            <w:tcBorders>
              <w:top w:val="single" w:color="auto" w:sz="4" w:space="0"/>
              <w:left w:val="nil"/>
              <w:bottom w:val="single" w:color="auto" w:sz="4" w:space="0"/>
              <w:right w:val="single" w:color="auto" w:sz="4" w:space="0"/>
            </w:tcBorders>
            <w:vAlign w:val="center"/>
          </w:tcPr>
          <w:p>
            <w:pPr>
              <w:spacing w:line="360" w:lineRule="auto"/>
              <w:rPr>
                <w:rFonts w:ascii="宋体" w:hAnsi="宋体" w:cs="仿宋_GB2312"/>
                <w:szCs w:val="21"/>
                <w:lang w:val="hr-HR"/>
              </w:rPr>
            </w:pPr>
            <w:r>
              <w:rPr>
                <w:rFonts w:hint="eastAsia" w:ascii="宋体" w:hAnsi="宋体" w:cs="仿宋_GB2312"/>
                <w:szCs w:val="21"/>
                <w:lang w:val="hr-HR"/>
              </w:rPr>
              <w:t>按照磋商文件规定要求签署、盖章；</w:t>
            </w:r>
          </w:p>
        </w:tc>
      </w:tr>
      <w:tr>
        <w:tblPrEx>
          <w:tblCellMar>
            <w:top w:w="0" w:type="dxa"/>
            <w:left w:w="108" w:type="dxa"/>
            <w:bottom w:w="0" w:type="dxa"/>
            <w:right w:w="108" w:type="dxa"/>
          </w:tblCellMar>
        </w:tblPrEx>
        <w:trPr>
          <w:trHeight w:val="454"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lang w:val="hr-HR"/>
              </w:rPr>
            </w:pPr>
            <w:r>
              <w:rPr>
                <w:rFonts w:hint="eastAsia" w:ascii="宋体" w:hAnsi="宋体" w:cs="仿宋_GB2312"/>
                <w:szCs w:val="21"/>
                <w:lang w:val="hr-HR"/>
              </w:rPr>
              <w:t>2</w:t>
            </w:r>
          </w:p>
        </w:tc>
        <w:tc>
          <w:tcPr>
            <w:tcW w:w="4390" w:type="pct"/>
            <w:tcBorders>
              <w:top w:val="single" w:color="auto" w:sz="4" w:space="0"/>
              <w:left w:val="nil"/>
              <w:bottom w:val="single" w:color="auto" w:sz="4" w:space="0"/>
              <w:right w:val="single" w:color="auto" w:sz="4" w:space="0"/>
            </w:tcBorders>
            <w:vAlign w:val="center"/>
          </w:tcPr>
          <w:p>
            <w:pPr>
              <w:spacing w:line="360" w:lineRule="auto"/>
              <w:rPr>
                <w:rFonts w:ascii="宋体" w:hAnsi="宋体" w:cs="仿宋_GB2312"/>
                <w:szCs w:val="21"/>
                <w:lang w:val="hr-HR"/>
              </w:rPr>
            </w:pPr>
            <w:r>
              <w:rPr>
                <w:rFonts w:hint="eastAsia" w:ascii="宋体" w:hAnsi="宋体" w:cs="仿宋_GB2312"/>
                <w:szCs w:val="21"/>
                <w:lang w:val="hr-HR"/>
              </w:rPr>
              <w:t>按磋商文件要求进行报价；</w:t>
            </w:r>
          </w:p>
        </w:tc>
      </w:tr>
      <w:tr>
        <w:tblPrEx>
          <w:tblCellMar>
            <w:top w:w="0" w:type="dxa"/>
            <w:left w:w="108" w:type="dxa"/>
            <w:bottom w:w="0" w:type="dxa"/>
            <w:right w:w="108" w:type="dxa"/>
          </w:tblCellMar>
        </w:tblPrEx>
        <w:trPr>
          <w:trHeight w:val="454"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lang w:val="hr-HR"/>
              </w:rPr>
            </w:pPr>
            <w:r>
              <w:rPr>
                <w:rFonts w:hint="eastAsia" w:ascii="宋体" w:hAnsi="宋体" w:cs="仿宋_GB2312"/>
                <w:szCs w:val="21"/>
                <w:lang w:val="hr-HR"/>
              </w:rPr>
              <w:t>3</w:t>
            </w:r>
          </w:p>
        </w:tc>
        <w:tc>
          <w:tcPr>
            <w:tcW w:w="4390" w:type="pct"/>
            <w:tcBorders>
              <w:top w:val="single" w:color="auto" w:sz="4" w:space="0"/>
              <w:left w:val="nil"/>
              <w:bottom w:val="single" w:color="auto" w:sz="4" w:space="0"/>
              <w:right w:val="single" w:color="auto" w:sz="4" w:space="0"/>
            </w:tcBorders>
            <w:vAlign w:val="center"/>
          </w:tcPr>
          <w:p>
            <w:pPr>
              <w:spacing w:line="360" w:lineRule="auto"/>
              <w:rPr>
                <w:rFonts w:ascii="宋体" w:hAnsi="宋体" w:cs="仿宋_GB2312"/>
                <w:szCs w:val="21"/>
                <w:lang w:val="hr-HR"/>
              </w:rPr>
            </w:pPr>
            <w:r>
              <w:rPr>
                <w:rFonts w:hint="eastAsia" w:ascii="宋体" w:hAnsi="宋体" w:cs="仿宋_GB2312"/>
                <w:szCs w:val="21"/>
                <w:lang w:val="hr-HR"/>
              </w:rPr>
              <w:t>磋商有效期满足磋商文件规定；</w:t>
            </w:r>
          </w:p>
        </w:tc>
      </w:tr>
      <w:tr>
        <w:tblPrEx>
          <w:tblCellMar>
            <w:top w:w="0" w:type="dxa"/>
            <w:left w:w="108" w:type="dxa"/>
            <w:bottom w:w="0" w:type="dxa"/>
            <w:right w:w="108" w:type="dxa"/>
          </w:tblCellMar>
        </w:tblPrEx>
        <w:trPr>
          <w:trHeight w:val="454"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lang w:val="hr-HR"/>
              </w:rPr>
            </w:pPr>
            <w:r>
              <w:rPr>
                <w:rFonts w:hint="eastAsia" w:ascii="宋体" w:hAnsi="宋体" w:cs="仿宋_GB2312"/>
                <w:szCs w:val="21"/>
                <w:lang w:val="hr-HR"/>
              </w:rPr>
              <w:t>4</w:t>
            </w:r>
          </w:p>
        </w:tc>
        <w:tc>
          <w:tcPr>
            <w:tcW w:w="4390" w:type="pct"/>
            <w:tcBorders>
              <w:top w:val="single" w:color="auto" w:sz="4" w:space="0"/>
              <w:left w:val="nil"/>
              <w:bottom w:val="single" w:color="auto" w:sz="4" w:space="0"/>
              <w:right w:val="single" w:color="auto" w:sz="4" w:space="0"/>
            </w:tcBorders>
            <w:vAlign w:val="center"/>
          </w:tcPr>
          <w:p>
            <w:pPr>
              <w:spacing w:line="360" w:lineRule="auto"/>
              <w:rPr>
                <w:rFonts w:ascii="宋体" w:hAnsi="宋体" w:cs="仿宋_GB2312"/>
                <w:szCs w:val="21"/>
                <w:lang w:val="hr-HR"/>
              </w:rPr>
            </w:pPr>
            <w:r>
              <w:rPr>
                <w:rFonts w:hint="eastAsia" w:ascii="宋体" w:hAnsi="宋体" w:cs="仿宋_GB2312"/>
                <w:szCs w:val="21"/>
                <w:lang w:val="hr-HR"/>
              </w:rPr>
              <w:t>响应文件中未附有采购人不能接受条件；</w:t>
            </w:r>
          </w:p>
        </w:tc>
      </w:tr>
      <w:tr>
        <w:tblPrEx>
          <w:tblCellMar>
            <w:top w:w="0" w:type="dxa"/>
            <w:left w:w="108" w:type="dxa"/>
            <w:bottom w:w="0" w:type="dxa"/>
            <w:right w:w="108" w:type="dxa"/>
          </w:tblCellMar>
        </w:tblPrEx>
        <w:trPr>
          <w:trHeight w:val="454"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lang w:val="hr-HR"/>
              </w:rPr>
            </w:pPr>
            <w:r>
              <w:rPr>
                <w:rFonts w:hint="eastAsia" w:ascii="宋体" w:hAnsi="宋体" w:cs="仿宋_GB2312"/>
                <w:szCs w:val="21"/>
                <w:lang w:val="hr-HR"/>
              </w:rPr>
              <w:t>5</w:t>
            </w:r>
          </w:p>
        </w:tc>
        <w:tc>
          <w:tcPr>
            <w:tcW w:w="4390" w:type="pct"/>
            <w:tcBorders>
              <w:top w:val="single" w:color="auto" w:sz="4" w:space="0"/>
              <w:left w:val="nil"/>
              <w:bottom w:val="single" w:color="auto" w:sz="4" w:space="0"/>
              <w:right w:val="single" w:color="auto" w:sz="4" w:space="0"/>
            </w:tcBorders>
            <w:vAlign w:val="center"/>
          </w:tcPr>
          <w:p>
            <w:pPr>
              <w:spacing w:line="360" w:lineRule="auto"/>
              <w:rPr>
                <w:rFonts w:ascii="宋体" w:hAnsi="宋体" w:cs="仿宋_GB2312"/>
                <w:szCs w:val="21"/>
                <w:lang w:val="hr-HR"/>
              </w:rPr>
            </w:pPr>
            <w:r>
              <w:rPr>
                <w:rFonts w:hint="eastAsia" w:ascii="宋体" w:hAnsi="宋体" w:cs="仿宋_GB2312"/>
                <w:szCs w:val="21"/>
                <w:lang w:val="hr-HR"/>
              </w:rPr>
              <w:t>响应文件满足磋商文件商务、技术等实质性要求；</w:t>
            </w:r>
          </w:p>
        </w:tc>
      </w:tr>
      <w:tr>
        <w:tblPrEx>
          <w:tblCellMar>
            <w:top w:w="0" w:type="dxa"/>
            <w:left w:w="108" w:type="dxa"/>
            <w:bottom w:w="0" w:type="dxa"/>
            <w:right w:w="108" w:type="dxa"/>
          </w:tblCellMar>
        </w:tblPrEx>
        <w:trPr>
          <w:trHeight w:val="454"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lang w:val="hr-HR"/>
              </w:rPr>
            </w:pPr>
            <w:r>
              <w:rPr>
                <w:rFonts w:hint="eastAsia" w:ascii="宋体" w:hAnsi="宋体" w:cs="仿宋_GB2312"/>
                <w:szCs w:val="21"/>
                <w:lang w:val="hr-HR"/>
              </w:rPr>
              <w:t>6</w:t>
            </w:r>
          </w:p>
        </w:tc>
        <w:tc>
          <w:tcPr>
            <w:tcW w:w="4390" w:type="pct"/>
            <w:tcBorders>
              <w:top w:val="single" w:color="auto" w:sz="4" w:space="0"/>
              <w:left w:val="nil"/>
              <w:bottom w:val="single" w:color="auto" w:sz="4" w:space="0"/>
              <w:right w:val="single" w:color="auto" w:sz="4" w:space="0"/>
            </w:tcBorders>
            <w:vAlign w:val="center"/>
          </w:tcPr>
          <w:p>
            <w:pPr>
              <w:spacing w:line="360" w:lineRule="auto"/>
              <w:rPr>
                <w:rFonts w:ascii="宋体" w:hAnsi="宋体" w:cs="仿宋_GB2312"/>
                <w:szCs w:val="21"/>
                <w:lang w:val="hr-HR"/>
              </w:rPr>
            </w:pPr>
            <w:r>
              <w:rPr>
                <w:rFonts w:hint="eastAsia" w:ascii="宋体" w:hAnsi="宋体" w:cs="仿宋_GB2312"/>
                <w:szCs w:val="21"/>
                <w:lang w:val="hr-HR"/>
              </w:rPr>
              <w:t>供应商未出现磋商文件中规定无效投标的其它条款；</w:t>
            </w:r>
          </w:p>
        </w:tc>
      </w:tr>
      <w:tr>
        <w:tblPrEx>
          <w:tblCellMar>
            <w:top w:w="0" w:type="dxa"/>
            <w:left w:w="108" w:type="dxa"/>
            <w:bottom w:w="0" w:type="dxa"/>
            <w:right w:w="108" w:type="dxa"/>
          </w:tblCellMar>
        </w:tblPrEx>
        <w:trPr>
          <w:trHeight w:val="454"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lang w:val="hr-HR"/>
              </w:rPr>
            </w:pPr>
            <w:r>
              <w:rPr>
                <w:rFonts w:hint="eastAsia" w:ascii="宋体" w:hAnsi="宋体" w:cs="仿宋_GB2312"/>
                <w:szCs w:val="21"/>
                <w:lang w:val="hr-HR"/>
              </w:rPr>
              <w:t>7</w:t>
            </w:r>
          </w:p>
        </w:tc>
        <w:tc>
          <w:tcPr>
            <w:tcW w:w="4390" w:type="pct"/>
            <w:tcBorders>
              <w:top w:val="nil"/>
              <w:left w:val="nil"/>
              <w:bottom w:val="single" w:color="auto" w:sz="4" w:space="0"/>
              <w:right w:val="single" w:color="auto" w:sz="4" w:space="0"/>
            </w:tcBorders>
            <w:vAlign w:val="center"/>
          </w:tcPr>
          <w:p>
            <w:pPr>
              <w:spacing w:line="360" w:lineRule="auto"/>
              <w:rPr>
                <w:rFonts w:ascii="宋体" w:hAnsi="宋体" w:cs="仿宋_GB2312"/>
                <w:szCs w:val="21"/>
                <w:lang w:val="hr-HR"/>
              </w:rPr>
            </w:pPr>
            <w:r>
              <w:rPr>
                <w:rFonts w:hint="eastAsia" w:ascii="宋体" w:hAnsi="宋体" w:cs="仿宋_GB2312"/>
                <w:szCs w:val="21"/>
                <w:lang w:val="hr-HR"/>
              </w:rPr>
              <w:t>供应商未有下列任一情形：</w:t>
            </w:r>
          </w:p>
          <w:p>
            <w:pPr>
              <w:spacing w:line="360" w:lineRule="auto"/>
              <w:rPr>
                <w:rFonts w:ascii="宋体" w:hAnsi="宋体" w:cs="仿宋_GB2312"/>
                <w:szCs w:val="21"/>
                <w:lang w:val="hr-HR"/>
              </w:rPr>
            </w:pPr>
            <w:r>
              <w:rPr>
                <w:rFonts w:hint="eastAsia" w:ascii="宋体" w:hAnsi="宋体" w:cs="仿宋_GB2312"/>
                <w:szCs w:val="21"/>
                <w:lang w:val="hr-HR"/>
              </w:rPr>
              <w:t>（1）不同供应商的响应文件由同一单位或者个人编制；</w:t>
            </w:r>
          </w:p>
          <w:p>
            <w:pPr>
              <w:spacing w:line="360" w:lineRule="auto"/>
              <w:rPr>
                <w:rFonts w:ascii="宋体" w:hAnsi="宋体" w:cs="仿宋_GB2312"/>
                <w:szCs w:val="21"/>
                <w:lang w:val="hr-HR"/>
              </w:rPr>
            </w:pPr>
            <w:r>
              <w:rPr>
                <w:rFonts w:hint="eastAsia" w:ascii="宋体" w:hAnsi="宋体" w:cs="仿宋_GB2312"/>
                <w:szCs w:val="21"/>
                <w:lang w:val="hr-HR"/>
              </w:rPr>
              <w:t>（2）不同供应商委托同一单位或者个人办理投标事宜；</w:t>
            </w:r>
          </w:p>
          <w:p>
            <w:pPr>
              <w:spacing w:line="360" w:lineRule="auto"/>
              <w:rPr>
                <w:rFonts w:ascii="宋体" w:hAnsi="宋体" w:cs="仿宋_GB2312"/>
                <w:szCs w:val="21"/>
                <w:lang w:val="hr-HR"/>
              </w:rPr>
            </w:pPr>
            <w:r>
              <w:rPr>
                <w:rFonts w:hint="eastAsia" w:ascii="宋体" w:hAnsi="宋体" w:cs="仿宋_GB2312"/>
                <w:szCs w:val="21"/>
                <w:lang w:val="hr-HR"/>
              </w:rPr>
              <w:t>（3）不同供应商的响应文件载明的项目管理成员或者联系人员为同一人；</w:t>
            </w:r>
          </w:p>
          <w:p>
            <w:pPr>
              <w:spacing w:line="360" w:lineRule="auto"/>
              <w:rPr>
                <w:rFonts w:ascii="宋体" w:hAnsi="宋体" w:cs="仿宋_GB2312"/>
                <w:szCs w:val="21"/>
                <w:lang w:val="hr-HR"/>
              </w:rPr>
            </w:pPr>
            <w:r>
              <w:rPr>
                <w:rFonts w:hint="eastAsia" w:ascii="宋体" w:hAnsi="宋体" w:cs="仿宋_GB2312"/>
                <w:szCs w:val="21"/>
                <w:lang w:val="hr-HR"/>
              </w:rPr>
              <w:t>（4）不同供应商的响应文件异常一致或者投标报价呈规律性差异；</w:t>
            </w:r>
          </w:p>
          <w:p>
            <w:pPr>
              <w:spacing w:line="360" w:lineRule="auto"/>
              <w:rPr>
                <w:rFonts w:ascii="宋体" w:hAnsi="宋体" w:cs="仿宋_GB2312"/>
                <w:szCs w:val="21"/>
                <w:lang w:val="hr-HR"/>
              </w:rPr>
            </w:pPr>
            <w:r>
              <w:rPr>
                <w:rFonts w:hint="eastAsia" w:ascii="宋体" w:hAnsi="宋体" w:cs="仿宋_GB2312"/>
                <w:szCs w:val="21"/>
                <w:lang w:val="hr-HR"/>
              </w:rPr>
              <w:t>（5）不同供应商的响应文件相互混装。</w:t>
            </w:r>
          </w:p>
        </w:tc>
      </w:tr>
      <w:bookmarkEnd w:id="470"/>
    </w:tbl>
    <w:p>
      <w:pPr>
        <w:spacing w:line="360" w:lineRule="auto"/>
        <w:rPr>
          <w:rFonts w:ascii="宋体" w:hAnsi="宋体" w:cs="仿宋_GB2312"/>
          <w:sz w:val="24"/>
        </w:rPr>
      </w:pPr>
      <w:r>
        <w:rPr>
          <w:rFonts w:hint="eastAsia" w:ascii="宋体" w:hAnsi="宋体" w:cs="仿宋_GB2312"/>
          <w:sz w:val="24"/>
        </w:rPr>
        <w:t>备注：</w:t>
      </w:r>
    </w:p>
    <w:p>
      <w:pPr>
        <w:spacing w:line="360" w:lineRule="auto"/>
        <w:ind w:firstLine="480" w:firstLineChars="200"/>
        <w:rPr>
          <w:rFonts w:ascii="宋体" w:hAnsi="宋体" w:cs="仿宋_GB2312"/>
          <w:sz w:val="24"/>
        </w:rPr>
      </w:pPr>
      <w:r>
        <w:rPr>
          <w:rFonts w:hint="eastAsia" w:ascii="宋体" w:hAnsi="宋体" w:cs="仿宋_GB2312"/>
          <w:sz w:val="24"/>
        </w:rPr>
        <w:t>1.评标委员会分别对每一响应文件依据上表进行检查。</w:t>
      </w:r>
    </w:p>
    <w:p>
      <w:pPr>
        <w:spacing w:line="360" w:lineRule="auto"/>
        <w:ind w:firstLine="480" w:firstLineChars="200"/>
        <w:rPr>
          <w:rFonts w:ascii="宋体" w:hAnsi="宋体" w:cs="仿宋_GB2312"/>
          <w:sz w:val="24"/>
        </w:rPr>
      </w:pPr>
      <w:r>
        <w:rPr>
          <w:rFonts w:hint="eastAsia" w:ascii="宋体" w:hAnsi="宋体" w:cs="仿宋_GB2312"/>
          <w:sz w:val="24"/>
        </w:rPr>
        <w:t>2.评标委员会决定投标的响应性只根据响应文件本身的真实无误的内容，而不依据外部的证据，但响应文件有不真实不正确的内容时除外。</w:t>
      </w:r>
    </w:p>
    <w:p>
      <w:pPr>
        <w:spacing w:line="360" w:lineRule="auto"/>
        <w:ind w:firstLine="480" w:firstLineChars="200"/>
        <w:rPr>
          <w:rFonts w:ascii="宋体" w:hAnsi="宋体" w:cs="仿宋_GB2312"/>
          <w:sz w:val="24"/>
        </w:rPr>
      </w:pPr>
      <w:r>
        <w:rPr>
          <w:rFonts w:hint="eastAsia" w:ascii="宋体" w:hAnsi="宋体" w:cs="仿宋_GB2312"/>
          <w:sz w:val="24"/>
        </w:rPr>
        <w:t>3.满足要求的条款打“√”，否则为“×”。</w:t>
      </w:r>
    </w:p>
    <w:p>
      <w:pPr>
        <w:spacing w:line="360" w:lineRule="auto"/>
        <w:ind w:firstLine="480" w:firstLineChars="200"/>
        <w:rPr>
          <w:rFonts w:ascii="宋体" w:hAnsi="宋体" w:cs="仿宋_GB2312"/>
          <w:sz w:val="24"/>
        </w:rPr>
      </w:pPr>
      <w:r>
        <w:rPr>
          <w:rFonts w:hint="eastAsia" w:ascii="宋体" w:hAnsi="宋体" w:cs="仿宋_GB2312"/>
          <w:sz w:val="24"/>
        </w:rPr>
        <w:t>4.对于响应文件中有任意一条不满足要求将导致其投标无效，不进入下一项评审。</w:t>
      </w:r>
    </w:p>
    <w:p>
      <w:pPr>
        <w:widowControl/>
        <w:jc w:val="left"/>
        <w:rPr>
          <w:rFonts w:ascii="宋体" w:hAnsi="宋体" w:cs="仿宋_GB2312"/>
          <w:b/>
          <w:bCs/>
          <w:szCs w:val="21"/>
        </w:rPr>
      </w:pPr>
      <w:r>
        <w:rPr>
          <w:rFonts w:hint="eastAsia" w:ascii="宋体" w:hAnsi="宋体" w:cs="仿宋_GB2312"/>
          <w:b/>
          <w:bCs/>
          <w:szCs w:val="21"/>
        </w:rPr>
        <w:br w:type="page"/>
      </w:r>
    </w:p>
    <w:p>
      <w:pPr>
        <w:keepNext/>
        <w:keepLines/>
        <w:snapToGrid w:val="0"/>
        <w:spacing w:line="360" w:lineRule="auto"/>
        <w:ind w:firstLine="482" w:firstLineChars="200"/>
        <w:jc w:val="left"/>
        <w:outlineLvl w:val="1"/>
        <w:rPr>
          <w:rFonts w:ascii="宋体" w:hAnsi="宋体" w:cs="仿宋_GB2312"/>
          <w:b/>
          <w:sz w:val="24"/>
        </w:rPr>
      </w:pPr>
      <w:bookmarkStart w:id="471" w:name="_Toc52962785"/>
      <w:bookmarkStart w:id="472" w:name="_Toc27857"/>
      <w:bookmarkStart w:id="473" w:name="_Toc48688850"/>
      <w:bookmarkStart w:id="474" w:name="_Toc52960611"/>
      <w:bookmarkStart w:id="475" w:name="_Toc51674269"/>
      <w:bookmarkStart w:id="476" w:name="_Toc46772288"/>
      <w:bookmarkStart w:id="477" w:name="_Toc48846167"/>
      <w:r>
        <w:rPr>
          <w:rFonts w:hint="eastAsia" w:ascii="宋体" w:hAnsi="宋体" w:cs="仿宋_GB2312"/>
          <w:b/>
          <w:sz w:val="24"/>
        </w:rPr>
        <w:t>（三）详细评审</w:t>
      </w:r>
      <w:bookmarkEnd w:id="471"/>
      <w:bookmarkEnd w:id="472"/>
      <w:bookmarkEnd w:id="473"/>
      <w:bookmarkEnd w:id="474"/>
      <w:bookmarkEnd w:id="475"/>
      <w:bookmarkEnd w:id="476"/>
      <w:bookmarkEnd w:id="477"/>
    </w:p>
    <w:tbl>
      <w:tblPr>
        <w:tblStyle w:val="55"/>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145"/>
        <w:gridCol w:w="666"/>
        <w:gridCol w:w="6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090" w:type="dxa"/>
            <w:noWrap w:val="0"/>
            <w:vAlign w:val="center"/>
          </w:tcPr>
          <w:p>
            <w:pPr>
              <w:adjustRightInd w:val="0"/>
              <w:snapToGrid w:val="0"/>
              <w:jc w:val="center"/>
              <w:rPr>
                <w:rFonts w:ascii="宋体" w:hAnsi="宋体"/>
                <w:b/>
                <w:spacing w:val="-6"/>
                <w:szCs w:val="21"/>
              </w:rPr>
            </w:pPr>
            <w:bookmarkStart w:id="478" w:name="_Toc2408"/>
            <w:bookmarkStart w:id="479" w:name="_Toc44425309"/>
            <w:bookmarkStart w:id="480" w:name="_Toc490552765"/>
            <w:r>
              <w:rPr>
                <w:rFonts w:hint="eastAsia" w:ascii="宋体" w:hAnsi="宋体"/>
                <w:b/>
                <w:spacing w:val="-6"/>
                <w:szCs w:val="21"/>
              </w:rPr>
              <w:t>评标项目</w:t>
            </w:r>
          </w:p>
        </w:tc>
        <w:tc>
          <w:tcPr>
            <w:tcW w:w="1145" w:type="dxa"/>
            <w:noWrap w:val="0"/>
            <w:vAlign w:val="center"/>
          </w:tcPr>
          <w:p>
            <w:pPr>
              <w:adjustRightInd w:val="0"/>
              <w:snapToGrid w:val="0"/>
              <w:jc w:val="center"/>
              <w:rPr>
                <w:rFonts w:ascii="宋体" w:hAnsi="宋体"/>
                <w:b/>
                <w:szCs w:val="21"/>
              </w:rPr>
            </w:pPr>
            <w:r>
              <w:rPr>
                <w:rFonts w:hint="eastAsia" w:ascii="宋体" w:hAnsi="宋体"/>
                <w:b/>
                <w:szCs w:val="21"/>
              </w:rPr>
              <w:t>评标分项</w:t>
            </w:r>
          </w:p>
        </w:tc>
        <w:tc>
          <w:tcPr>
            <w:tcW w:w="666" w:type="dxa"/>
            <w:noWrap w:val="0"/>
            <w:vAlign w:val="center"/>
          </w:tcPr>
          <w:p>
            <w:pPr>
              <w:snapToGrid w:val="0"/>
              <w:jc w:val="center"/>
              <w:rPr>
                <w:rFonts w:ascii="宋体" w:hAnsi="宋体"/>
                <w:b/>
                <w:szCs w:val="21"/>
              </w:rPr>
            </w:pPr>
            <w:r>
              <w:rPr>
                <w:rFonts w:hint="eastAsia" w:ascii="宋体" w:hAnsi="宋体"/>
                <w:b/>
                <w:szCs w:val="21"/>
              </w:rPr>
              <w:t>分值</w:t>
            </w:r>
          </w:p>
        </w:tc>
        <w:tc>
          <w:tcPr>
            <w:tcW w:w="6046" w:type="dxa"/>
            <w:noWrap w:val="0"/>
            <w:vAlign w:val="center"/>
          </w:tcPr>
          <w:p>
            <w:pPr>
              <w:snapToGrid w:val="0"/>
              <w:jc w:val="center"/>
              <w:rPr>
                <w:rFonts w:ascii="宋体" w:hAnsi="宋体"/>
                <w:b/>
                <w:szCs w:val="21"/>
              </w:rPr>
            </w:pPr>
            <w:r>
              <w:rPr>
                <w:rFonts w:hint="eastAsia" w:ascii="宋体" w:hAnsi="宋体"/>
                <w:b/>
                <w:szCs w:val="21"/>
              </w:rPr>
              <w:t>子项目及分值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0" w:type="dxa"/>
            <w:noWrap w:val="0"/>
            <w:vAlign w:val="center"/>
          </w:tcPr>
          <w:p>
            <w:pPr>
              <w:adjustRightInd w:val="0"/>
              <w:snapToGrid w:val="0"/>
              <w:jc w:val="center"/>
              <w:rPr>
                <w:rFonts w:ascii="宋体" w:hAnsi="宋体"/>
                <w:spacing w:val="-6"/>
                <w:szCs w:val="21"/>
              </w:rPr>
            </w:pPr>
            <w:r>
              <w:rPr>
                <w:rFonts w:hint="eastAsia" w:ascii="宋体" w:hAnsi="宋体"/>
                <w:spacing w:val="-6"/>
                <w:szCs w:val="21"/>
              </w:rPr>
              <w:t>价格部分</w:t>
            </w:r>
          </w:p>
          <w:p>
            <w:pPr>
              <w:adjustRightInd w:val="0"/>
              <w:snapToGrid w:val="0"/>
              <w:jc w:val="center"/>
              <w:rPr>
                <w:rFonts w:ascii="宋体" w:hAnsi="宋体"/>
                <w:spacing w:val="-6"/>
                <w:szCs w:val="21"/>
              </w:rPr>
            </w:pPr>
            <w:r>
              <w:rPr>
                <w:rFonts w:hint="eastAsia" w:ascii="宋体" w:hAnsi="宋体"/>
                <w:spacing w:val="-6"/>
                <w:szCs w:val="21"/>
              </w:rPr>
              <w:t>（</w:t>
            </w:r>
            <w:r>
              <w:rPr>
                <w:rFonts w:ascii="宋体" w:hAnsi="宋体"/>
                <w:spacing w:val="-6"/>
                <w:szCs w:val="21"/>
              </w:rPr>
              <w:t>1</w:t>
            </w:r>
            <w:r>
              <w:rPr>
                <w:rFonts w:hint="eastAsia" w:ascii="宋体" w:hAnsi="宋体"/>
                <w:spacing w:val="-6"/>
                <w:szCs w:val="21"/>
              </w:rPr>
              <w:t>0分）</w:t>
            </w:r>
          </w:p>
        </w:tc>
        <w:tc>
          <w:tcPr>
            <w:tcW w:w="1145" w:type="dxa"/>
            <w:tcBorders>
              <w:bottom w:val="single" w:color="auto" w:sz="4" w:space="0"/>
            </w:tcBorders>
            <w:noWrap w:val="0"/>
            <w:vAlign w:val="center"/>
          </w:tcPr>
          <w:p>
            <w:pPr>
              <w:adjustRightInd w:val="0"/>
              <w:snapToGrid w:val="0"/>
              <w:jc w:val="center"/>
              <w:rPr>
                <w:rFonts w:ascii="宋体" w:hAnsi="宋体"/>
                <w:szCs w:val="21"/>
              </w:rPr>
            </w:pPr>
            <w:r>
              <w:rPr>
                <w:rFonts w:hint="eastAsia" w:ascii="宋体" w:hAnsi="宋体" w:cs="宋体"/>
                <w:sz w:val="20"/>
                <w:szCs w:val="20"/>
              </w:rPr>
              <w:t>投标报价</w:t>
            </w:r>
          </w:p>
        </w:tc>
        <w:tc>
          <w:tcPr>
            <w:tcW w:w="666" w:type="dxa"/>
            <w:noWrap w:val="0"/>
            <w:vAlign w:val="center"/>
          </w:tcPr>
          <w:p>
            <w:pPr>
              <w:snapToGrid w:val="0"/>
              <w:jc w:val="center"/>
              <w:rPr>
                <w:rFonts w:ascii="宋体" w:hAnsi="宋体"/>
                <w:szCs w:val="21"/>
              </w:rPr>
            </w:pPr>
            <w:r>
              <w:rPr>
                <w:rFonts w:ascii="宋体" w:hAnsi="宋体"/>
                <w:szCs w:val="21"/>
              </w:rPr>
              <w:t>1</w:t>
            </w:r>
            <w:r>
              <w:rPr>
                <w:rFonts w:hint="eastAsia" w:ascii="宋体" w:hAnsi="宋体"/>
                <w:szCs w:val="21"/>
              </w:rPr>
              <w:t>0</w:t>
            </w:r>
          </w:p>
        </w:tc>
        <w:tc>
          <w:tcPr>
            <w:tcW w:w="6046" w:type="dxa"/>
            <w:noWrap w:val="0"/>
            <w:vAlign w:val="center"/>
          </w:tcPr>
          <w:p>
            <w:pPr>
              <w:adjustRightInd w:val="0"/>
              <w:spacing w:line="300" w:lineRule="exact"/>
              <w:contextualSpacing/>
              <w:jc w:val="left"/>
              <w:rPr>
                <w:rFonts w:ascii="宋体" w:hAnsi="宋体"/>
                <w:szCs w:val="21"/>
              </w:rPr>
            </w:pPr>
            <w:r>
              <w:rPr>
                <w:rFonts w:hint="eastAsia" w:ascii="宋体" w:hAnsi="宋体"/>
                <w:szCs w:val="21"/>
              </w:rPr>
              <w:t>价格评分的计算方法如下：</w:t>
            </w:r>
          </w:p>
          <w:p>
            <w:pPr>
              <w:adjustRightInd w:val="0"/>
              <w:spacing w:line="300" w:lineRule="exact"/>
              <w:contextualSpacing/>
              <w:jc w:val="left"/>
              <w:rPr>
                <w:rFonts w:ascii="宋体" w:hAnsi="宋体"/>
                <w:szCs w:val="21"/>
              </w:rPr>
            </w:pPr>
            <w:r>
              <w:rPr>
                <w:rFonts w:hint="eastAsia" w:ascii="宋体" w:hAnsi="宋体"/>
                <w:szCs w:val="21"/>
              </w:rPr>
              <w:t>1、满足磋商文件要求且最后磋商报价最低的报价为磋商基准价（D），其价格分为满分；</w:t>
            </w:r>
          </w:p>
          <w:p>
            <w:pPr>
              <w:adjustRightInd w:val="0"/>
              <w:spacing w:line="300" w:lineRule="exact"/>
              <w:contextualSpacing/>
              <w:jc w:val="left"/>
              <w:rPr>
                <w:rFonts w:ascii="宋体" w:hAnsi="宋体"/>
                <w:szCs w:val="21"/>
              </w:rPr>
            </w:pPr>
            <w:r>
              <w:rPr>
                <w:rFonts w:hint="eastAsia" w:ascii="宋体" w:hAnsi="宋体"/>
                <w:szCs w:val="21"/>
              </w:rPr>
              <w:t>2、其他合格供应商的磋商报价得分按如下公式计算：磋商报价得分=（磋商基准价D/最后磋商报价V）×价格权值×100</w:t>
            </w:r>
          </w:p>
          <w:p>
            <w:pPr>
              <w:adjustRightInd w:val="0"/>
              <w:snapToGrid w:val="0"/>
              <w:jc w:val="left"/>
              <w:rPr>
                <w:rFonts w:ascii="宋体" w:hAnsi="宋体"/>
                <w:szCs w:val="21"/>
              </w:rPr>
            </w:pPr>
            <w:r>
              <w:rPr>
                <w:rFonts w:hint="eastAsia" w:ascii="宋体" w:hAnsi="宋体"/>
                <w:szCs w:val="21"/>
              </w:rPr>
              <w:t>价格权值=</w:t>
            </w:r>
            <w:r>
              <w:rPr>
                <w:rFonts w:ascii="宋体" w:hAnsi="宋体"/>
                <w:szCs w:val="21"/>
                <w:u w:val="single"/>
              </w:rPr>
              <w:t>1</w:t>
            </w:r>
            <w:r>
              <w:rPr>
                <w:rFonts w:hint="eastAsia" w:ascii="宋体" w:hAnsi="宋体"/>
                <w:szCs w:val="21"/>
                <w:u w:val="single"/>
              </w:rPr>
              <w:t>0</w:t>
            </w:r>
            <w:r>
              <w:rPr>
                <w:rFonts w:hint="eastAsia" w:ascii="宋体" w:hAnsi="宋体"/>
                <w:szCs w:val="21"/>
              </w:rPr>
              <w:t>%</w:t>
            </w:r>
          </w:p>
          <w:p>
            <w:pPr>
              <w:autoSpaceDE w:val="0"/>
              <w:autoSpaceDN w:val="0"/>
              <w:adjustRightInd w:val="0"/>
              <w:snapToGrid w:val="0"/>
              <w:rPr>
                <w:rFonts w:ascii="宋体" w:hAnsi="宋体"/>
                <w:szCs w:val="21"/>
              </w:rPr>
            </w:pPr>
            <w:r>
              <w:rPr>
                <w:rFonts w:hint="eastAsia" w:ascii="宋体" w:hAnsi="宋体"/>
                <w:szCs w:val="21"/>
              </w:rPr>
              <w:t>备注：符合本磋商文件第二章“八、政府采购政策”规定的，在评审时予以价格扣除，用扣除后的价格参与评审。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0" w:type="dxa"/>
            <w:vMerge w:val="restart"/>
            <w:noWrap w:val="0"/>
            <w:vAlign w:val="center"/>
          </w:tcPr>
          <w:p>
            <w:pPr>
              <w:adjustRightInd w:val="0"/>
              <w:snapToGrid w:val="0"/>
              <w:jc w:val="center"/>
              <w:rPr>
                <w:rFonts w:ascii="宋体" w:hAnsi="宋体"/>
                <w:spacing w:val="-6"/>
                <w:szCs w:val="21"/>
              </w:rPr>
            </w:pPr>
            <w:r>
              <w:rPr>
                <w:rFonts w:hint="eastAsia" w:ascii="宋体" w:hAnsi="宋体"/>
                <w:spacing w:val="-6"/>
                <w:szCs w:val="21"/>
              </w:rPr>
              <w:t>商务部分</w:t>
            </w:r>
          </w:p>
          <w:p>
            <w:pPr>
              <w:adjustRightInd w:val="0"/>
              <w:snapToGrid w:val="0"/>
              <w:jc w:val="center"/>
              <w:rPr>
                <w:rFonts w:ascii="宋体" w:hAnsi="宋体"/>
                <w:spacing w:val="-6"/>
                <w:szCs w:val="21"/>
              </w:rPr>
            </w:pPr>
            <w:r>
              <w:rPr>
                <w:rFonts w:hint="eastAsia" w:ascii="宋体" w:hAnsi="宋体"/>
                <w:spacing w:val="-6"/>
                <w:szCs w:val="21"/>
              </w:rPr>
              <w:t>（</w:t>
            </w:r>
            <w:r>
              <w:rPr>
                <w:rFonts w:ascii="宋体" w:hAnsi="宋体"/>
                <w:spacing w:val="-6"/>
                <w:szCs w:val="21"/>
              </w:rPr>
              <w:t>3</w:t>
            </w:r>
            <w:r>
              <w:rPr>
                <w:rFonts w:hint="eastAsia" w:ascii="宋体" w:hAnsi="宋体"/>
                <w:spacing w:val="-6"/>
                <w:szCs w:val="21"/>
                <w:lang w:val="en-US" w:eastAsia="zh-CN"/>
              </w:rPr>
              <w:t>1</w:t>
            </w:r>
            <w:r>
              <w:rPr>
                <w:rFonts w:hint="eastAsia" w:ascii="宋体" w:hAnsi="宋体"/>
                <w:spacing w:val="-6"/>
                <w:szCs w:val="21"/>
              </w:rPr>
              <w:t>分）</w:t>
            </w:r>
          </w:p>
        </w:tc>
        <w:tc>
          <w:tcPr>
            <w:tcW w:w="1145" w:type="dxa"/>
            <w:tcBorders>
              <w:top w:val="single" w:color="auto" w:sz="4" w:space="0"/>
            </w:tcBorders>
            <w:noWrap w:val="0"/>
            <w:vAlign w:val="center"/>
          </w:tcPr>
          <w:p>
            <w:pPr>
              <w:adjustRightInd w:val="0"/>
              <w:snapToGrid w:val="0"/>
              <w:jc w:val="center"/>
              <w:rPr>
                <w:rFonts w:hint="eastAsia" w:ascii="宋体" w:hAnsi="宋体"/>
                <w:szCs w:val="21"/>
              </w:rPr>
            </w:pPr>
            <w:r>
              <w:rPr>
                <w:rFonts w:hint="eastAsia" w:ascii="宋体" w:hAnsi="宋体"/>
                <w:szCs w:val="21"/>
              </w:rPr>
              <w:t>业绩</w:t>
            </w:r>
          </w:p>
        </w:tc>
        <w:tc>
          <w:tcPr>
            <w:tcW w:w="666" w:type="dxa"/>
            <w:noWrap w:val="0"/>
            <w:vAlign w:val="center"/>
          </w:tcPr>
          <w:p>
            <w:pPr>
              <w:snapToGrid w:val="0"/>
              <w:jc w:val="center"/>
              <w:rPr>
                <w:rFonts w:hint="eastAsia" w:ascii="宋体" w:hAnsi="宋体" w:eastAsia="宋体"/>
                <w:szCs w:val="21"/>
                <w:lang w:eastAsia="zh-CN"/>
              </w:rPr>
            </w:pPr>
            <w:r>
              <w:rPr>
                <w:rFonts w:hint="eastAsia" w:ascii="宋体" w:hAnsi="宋体"/>
                <w:szCs w:val="21"/>
                <w:lang w:val="en-US" w:eastAsia="zh-CN"/>
              </w:rPr>
              <w:t>7</w:t>
            </w:r>
          </w:p>
        </w:tc>
        <w:tc>
          <w:tcPr>
            <w:tcW w:w="6046" w:type="dxa"/>
            <w:noWrap w:val="0"/>
            <w:vAlign w:val="center"/>
          </w:tcPr>
          <w:p>
            <w:pPr>
              <w:adjustRightInd w:val="0"/>
              <w:snapToGrid w:val="0"/>
              <w:rPr>
                <w:rFonts w:ascii="宋体" w:hAnsi="宋体"/>
                <w:szCs w:val="21"/>
              </w:rPr>
            </w:pPr>
            <w:r>
              <w:rPr>
                <w:rFonts w:hint="eastAsia" w:ascii="宋体" w:hAnsi="宋体"/>
                <w:szCs w:val="21"/>
              </w:rPr>
              <w:t>近三年以来（以合同签订日期为准）供应商</w:t>
            </w:r>
            <w:r>
              <w:rPr>
                <w:rFonts w:hint="eastAsia" w:ascii="宋体" w:hAnsi="宋体"/>
                <w:szCs w:val="21"/>
                <w:lang w:val="en-US" w:eastAsia="zh-CN"/>
              </w:rPr>
              <w:t>或所投软件制造商</w:t>
            </w:r>
            <w:r>
              <w:rPr>
                <w:rFonts w:hint="eastAsia" w:ascii="宋体" w:hAnsi="宋体"/>
                <w:szCs w:val="21"/>
              </w:rPr>
              <w:t>拥有类似业绩的提供</w:t>
            </w:r>
            <w:r>
              <w:rPr>
                <w:rFonts w:ascii="宋体" w:hAnsi="宋体"/>
                <w:szCs w:val="21"/>
              </w:rPr>
              <w:t>1份得</w:t>
            </w:r>
            <w:r>
              <w:rPr>
                <w:rFonts w:hint="eastAsia" w:ascii="宋体" w:hAnsi="宋体"/>
                <w:szCs w:val="21"/>
              </w:rPr>
              <w:t>1</w:t>
            </w:r>
            <w:r>
              <w:rPr>
                <w:rFonts w:ascii="宋体" w:hAnsi="宋体"/>
                <w:szCs w:val="21"/>
              </w:rPr>
              <w:t>分，最高得</w:t>
            </w:r>
            <w:r>
              <w:rPr>
                <w:rFonts w:hint="eastAsia" w:ascii="宋体" w:hAnsi="宋体"/>
                <w:szCs w:val="21"/>
                <w:lang w:val="en-US" w:eastAsia="zh-CN"/>
              </w:rPr>
              <w:t>7</w:t>
            </w:r>
            <w:r>
              <w:rPr>
                <w:rFonts w:ascii="宋体" w:hAnsi="宋体"/>
                <w:szCs w:val="21"/>
              </w:rPr>
              <w:t>分。</w:t>
            </w:r>
          </w:p>
          <w:p>
            <w:pPr>
              <w:adjustRightInd w:val="0"/>
              <w:snapToGrid w:val="0"/>
              <w:rPr>
                <w:rFonts w:ascii="宋体" w:hAnsi="宋体"/>
                <w:szCs w:val="21"/>
              </w:rPr>
            </w:pPr>
            <w:r>
              <w:rPr>
                <w:rFonts w:hint="eastAsia" w:ascii="宋体" w:hAnsi="宋体"/>
                <w:szCs w:val="21"/>
              </w:rPr>
              <w:t>注：提供</w:t>
            </w:r>
            <w:r>
              <w:rPr>
                <w:rFonts w:ascii="宋体" w:hAnsi="宋体"/>
                <w:szCs w:val="21"/>
              </w:rPr>
              <w:t>合同</w:t>
            </w:r>
            <w:r>
              <w:rPr>
                <w:rFonts w:hint="eastAsia" w:ascii="宋体" w:hAnsi="宋体"/>
                <w:szCs w:val="21"/>
              </w:rPr>
              <w:t>、</w:t>
            </w:r>
            <w:r>
              <w:rPr>
                <w:rFonts w:ascii="宋体" w:hAnsi="宋体"/>
                <w:szCs w:val="21"/>
              </w:rPr>
              <w:t>中标通知书</w:t>
            </w:r>
            <w:r>
              <w:rPr>
                <w:rFonts w:hint="eastAsia" w:ascii="宋体" w:hAnsi="宋体"/>
                <w:szCs w:val="21"/>
              </w:rPr>
              <w:t>、</w:t>
            </w:r>
            <w:r>
              <w:rPr>
                <w:rFonts w:ascii="宋体" w:hAnsi="宋体"/>
                <w:szCs w:val="21"/>
              </w:rPr>
              <w:t>验收报告</w:t>
            </w:r>
            <w:r>
              <w:rPr>
                <w:rFonts w:hint="eastAsia" w:ascii="宋体" w:hAnsi="宋体"/>
                <w:szCs w:val="21"/>
                <w:lang w:eastAsia="zh-CN"/>
              </w:rPr>
              <w:t>，</w:t>
            </w:r>
            <w:r>
              <w:rPr>
                <w:rFonts w:hint="eastAsia" w:ascii="宋体" w:hAnsi="宋体"/>
                <w:szCs w:val="21"/>
                <w:lang w:val="en-US" w:eastAsia="zh-CN"/>
              </w:rPr>
              <w:t>所有资料复印件加盖公章</w:t>
            </w:r>
            <w:r>
              <w:rPr>
                <w:rFonts w:hint="eastAsia" w:ascii="宋体" w:hAnsi="宋体"/>
                <w:szCs w:val="21"/>
              </w:rPr>
              <w:t>，三者缺一不可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0" w:type="dxa"/>
            <w:vMerge w:val="continue"/>
            <w:noWrap w:val="0"/>
            <w:vAlign w:val="center"/>
          </w:tcPr>
          <w:p>
            <w:pPr>
              <w:adjustRightInd w:val="0"/>
              <w:snapToGrid w:val="0"/>
              <w:jc w:val="center"/>
              <w:rPr>
                <w:rFonts w:ascii="宋体" w:hAnsi="宋体"/>
                <w:spacing w:val="-6"/>
                <w:szCs w:val="21"/>
              </w:rPr>
            </w:pPr>
          </w:p>
        </w:tc>
        <w:tc>
          <w:tcPr>
            <w:tcW w:w="1145" w:type="dxa"/>
            <w:tcBorders>
              <w:top w:val="single" w:color="auto" w:sz="4" w:space="0"/>
            </w:tcBorders>
            <w:noWrap w:val="0"/>
            <w:vAlign w:val="center"/>
          </w:tcPr>
          <w:p>
            <w:pPr>
              <w:adjustRightInd w:val="0"/>
              <w:snapToGrid w:val="0"/>
              <w:jc w:val="center"/>
              <w:rPr>
                <w:rFonts w:hint="eastAsia" w:ascii="宋体" w:hAnsi="宋体"/>
                <w:szCs w:val="21"/>
              </w:rPr>
            </w:pPr>
            <w:r>
              <w:rPr>
                <w:rFonts w:hint="eastAsia" w:ascii="宋体" w:hAnsi="宋体"/>
                <w:color w:val="000000"/>
                <w:szCs w:val="21"/>
              </w:rPr>
              <w:t>产品成熟度</w:t>
            </w:r>
          </w:p>
        </w:tc>
        <w:tc>
          <w:tcPr>
            <w:tcW w:w="666" w:type="dxa"/>
            <w:noWrap w:val="0"/>
            <w:vAlign w:val="center"/>
          </w:tcPr>
          <w:p>
            <w:pPr>
              <w:snapToGrid w:val="0"/>
              <w:jc w:val="center"/>
              <w:rPr>
                <w:rFonts w:hint="eastAsia" w:ascii="宋体" w:hAnsi="宋体" w:cs="宋体"/>
                <w:sz w:val="20"/>
                <w:szCs w:val="20"/>
              </w:rPr>
            </w:pPr>
            <w:r>
              <w:rPr>
                <w:rFonts w:hint="eastAsia" w:ascii="宋体" w:hAnsi="宋体" w:cs="宋体"/>
                <w:sz w:val="20"/>
                <w:szCs w:val="20"/>
              </w:rPr>
              <w:t>7</w:t>
            </w:r>
          </w:p>
        </w:tc>
        <w:tc>
          <w:tcPr>
            <w:tcW w:w="6046" w:type="dxa"/>
            <w:noWrap w:val="0"/>
            <w:vAlign w:val="center"/>
          </w:tcPr>
          <w:p>
            <w:pPr>
              <w:rPr>
                <w:rFonts w:hint="eastAsia" w:ascii="宋体" w:hAnsi="宋体"/>
                <w:color w:val="000000"/>
                <w:szCs w:val="21"/>
                <w:lang w:eastAsia="zh-CN"/>
              </w:rPr>
            </w:pPr>
            <w:r>
              <w:rPr>
                <w:rFonts w:hint="eastAsia" w:ascii="宋体" w:hAnsi="宋体"/>
                <w:color w:val="000000"/>
                <w:szCs w:val="21"/>
              </w:rPr>
              <w:t>供应商</w:t>
            </w:r>
            <w:r>
              <w:rPr>
                <w:rFonts w:ascii="宋体" w:hAnsi="宋体"/>
                <w:color w:val="000000"/>
                <w:szCs w:val="21"/>
              </w:rPr>
              <w:t>或软件制造商具有相关产品软件著作权</w:t>
            </w:r>
            <w:r>
              <w:rPr>
                <w:rFonts w:hint="eastAsia" w:ascii="宋体" w:hAnsi="宋体"/>
                <w:color w:val="000000"/>
                <w:szCs w:val="21"/>
                <w:lang w:eastAsia="zh-CN"/>
              </w:rPr>
              <w:t>。</w:t>
            </w:r>
          </w:p>
          <w:p>
            <w:pPr>
              <w:rPr>
                <w:rFonts w:hint="eastAsia" w:ascii="宋体" w:hAnsi="宋体"/>
                <w:color w:val="000000"/>
                <w:szCs w:val="21"/>
              </w:rPr>
            </w:pPr>
            <w:r>
              <w:rPr>
                <w:rFonts w:ascii="宋体" w:hAnsi="宋体"/>
                <w:color w:val="000000"/>
                <w:szCs w:val="21"/>
              </w:rPr>
              <w:t>需提供</w:t>
            </w:r>
            <w:r>
              <w:rPr>
                <w:rFonts w:hint="eastAsia" w:ascii="宋体" w:hAnsi="宋体"/>
                <w:color w:val="000000"/>
                <w:szCs w:val="21"/>
                <w:lang w:val="en-US" w:eastAsia="zh-CN"/>
              </w:rPr>
              <w:t>1、</w:t>
            </w:r>
            <w:r>
              <w:rPr>
                <w:rFonts w:ascii="宋体" w:hAnsi="宋体"/>
                <w:color w:val="000000"/>
                <w:szCs w:val="21"/>
              </w:rPr>
              <w:t>综合教学管理软件方面</w:t>
            </w:r>
            <w:r>
              <w:rPr>
                <w:rFonts w:hint="eastAsia" w:ascii="宋体" w:hAnsi="宋体"/>
                <w:color w:val="000000"/>
                <w:szCs w:val="21"/>
                <w:lang w:eastAsia="zh-CN"/>
              </w:rPr>
              <w:t>、</w:t>
            </w:r>
            <w:r>
              <w:rPr>
                <w:rFonts w:hint="eastAsia" w:ascii="宋体" w:hAnsi="宋体"/>
                <w:color w:val="000000"/>
                <w:szCs w:val="21"/>
                <w:lang w:val="en-US" w:eastAsia="zh-CN"/>
              </w:rPr>
              <w:t>2、</w:t>
            </w:r>
            <w:r>
              <w:rPr>
                <w:rFonts w:ascii="宋体" w:hAnsi="宋体"/>
                <w:color w:val="000000"/>
                <w:szCs w:val="21"/>
              </w:rPr>
              <w:t>数据交换管理软件方面、</w:t>
            </w:r>
            <w:r>
              <w:rPr>
                <w:rFonts w:hint="eastAsia" w:ascii="宋体" w:hAnsi="宋体"/>
                <w:color w:val="000000"/>
                <w:szCs w:val="21"/>
                <w:lang w:val="en-US" w:eastAsia="zh-CN"/>
              </w:rPr>
              <w:t>3、</w:t>
            </w:r>
            <w:r>
              <w:rPr>
                <w:rFonts w:ascii="宋体" w:hAnsi="宋体"/>
                <w:color w:val="000000"/>
                <w:szCs w:val="21"/>
              </w:rPr>
              <w:t>数据质量管理软件方面</w:t>
            </w:r>
            <w:r>
              <w:rPr>
                <w:rFonts w:hint="eastAsia" w:ascii="宋体" w:hAnsi="宋体"/>
                <w:color w:val="000000"/>
                <w:szCs w:val="21"/>
                <w:lang w:val="en-US" w:eastAsia="zh-CN"/>
              </w:rPr>
              <w:t>、4、</w:t>
            </w:r>
            <w:r>
              <w:rPr>
                <w:rFonts w:ascii="宋体" w:hAnsi="宋体"/>
                <w:color w:val="000000"/>
                <w:szCs w:val="21"/>
              </w:rPr>
              <w:t>数据脱敏及加密安全管理软件方面、</w:t>
            </w:r>
            <w:r>
              <w:rPr>
                <w:rFonts w:hint="eastAsia" w:ascii="宋体" w:hAnsi="宋体"/>
                <w:color w:val="000000"/>
                <w:szCs w:val="21"/>
                <w:lang w:val="en-US" w:eastAsia="zh-CN"/>
              </w:rPr>
              <w:t>5、</w:t>
            </w:r>
            <w:r>
              <w:rPr>
                <w:rFonts w:ascii="宋体" w:hAnsi="宋体"/>
                <w:color w:val="000000"/>
                <w:szCs w:val="21"/>
              </w:rPr>
              <w:t>全景数据地图管理软件方面</w:t>
            </w:r>
            <w:r>
              <w:rPr>
                <w:rFonts w:hint="eastAsia" w:ascii="宋体" w:hAnsi="宋体"/>
                <w:color w:val="000000"/>
                <w:szCs w:val="21"/>
                <w:lang w:val="en-US" w:eastAsia="zh-CN"/>
              </w:rPr>
              <w:t>、6、</w:t>
            </w:r>
            <w:r>
              <w:rPr>
                <w:rFonts w:ascii="宋体" w:hAnsi="宋体"/>
                <w:color w:val="000000"/>
                <w:szCs w:val="21"/>
              </w:rPr>
              <w:t>数据备份管理方面、</w:t>
            </w:r>
            <w:r>
              <w:rPr>
                <w:rFonts w:hint="eastAsia" w:ascii="宋体" w:hAnsi="宋体"/>
                <w:color w:val="000000"/>
                <w:szCs w:val="21"/>
                <w:lang w:val="en-US" w:eastAsia="zh-CN"/>
              </w:rPr>
              <w:t>7、</w:t>
            </w:r>
            <w:r>
              <w:rPr>
                <w:rFonts w:ascii="宋体" w:hAnsi="宋体"/>
                <w:color w:val="000000"/>
                <w:szCs w:val="21"/>
              </w:rPr>
              <w:t>数据架构设计相关的软件著作权证书，</w:t>
            </w:r>
            <w:r>
              <w:rPr>
                <w:rFonts w:hint="eastAsia" w:ascii="宋体" w:hAnsi="宋体"/>
                <w:color w:val="000000"/>
                <w:szCs w:val="21"/>
                <w:lang w:eastAsia="zh-CN"/>
              </w:rPr>
              <w:t>供应商</w:t>
            </w:r>
            <w:r>
              <w:rPr>
                <w:rFonts w:ascii="宋体" w:hAnsi="宋体"/>
                <w:color w:val="000000"/>
                <w:szCs w:val="21"/>
              </w:rPr>
              <w:t>每提供1项得1分，全部满足得7分，本项最高得7分。</w:t>
            </w:r>
          </w:p>
          <w:p>
            <w:pPr>
              <w:adjustRightInd w:val="0"/>
              <w:snapToGrid w:val="0"/>
              <w:rPr>
                <w:rFonts w:hint="eastAsia" w:ascii="宋体" w:hAnsi="宋体" w:cs="宋体"/>
                <w:sz w:val="20"/>
                <w:szCs w:val="20"/>
              </w:rPr>
            </w:pPr>
            <w:r>
              <w:rPr>
                <w:rFonts w:hint="eastAsia" w:ascii="宋体" w:hAnsi="宋体"/>
                <w:color w:val="000000"/>
                <w:szCs w:val="21"/>
              </w:rPr>
              <w:t>注：需提供相关证书复印件并加盖</w:t>
            </w:r>
            <w:r>
              <w:rPr>
                <w:rFonts w:hint="eastAsia" w:ascii="宋体" w:hAnsi="宋体"/>
                <w:color w:val="000000"/>
                <w:szCs w:val="21"/>
                <w:lang w:eastAsia="zh-CN"/>
              </w:rPr>
              <w:t>供应商</w:t>
            </w:r>
            <w:r>
              <w:rPr>
                <w:rFonts w:hint="eastAsia" w:ascii="宋体" w:hAnsi="宋体"/>
                <w:color w:val="000000"/>
                <w:szCs w:val="21"/>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0" w:type="dxa"/>
            <w:vMerge w:val="continue"/>
            <w:noWrap w:val="0"/>
            <w:vAlign w:val="center"/>
          </w:tcPr>
          <w:p>
            <w:pPr>
              <w:adjustRightInd w:val="0"/>
              <w:snapToGrid w:val="0"/>
              <w:jc w:val="center"/>
              <w:rPr>
                <w:rFonts w:ascii="宋体" w:hAnsi="宋体"/>
                <w:spacing w:val="-6"/>
                <w:szCs w:val="21"/>
              </w:rPr>
            </w:pPr>
          </w:p>
        </w:tc>
        <w:tc>
          <w:tcPr>
            <w:tcW w:w="1145" w:type="dxa"/>
            <w:tcBorders>
              <w:top w:val="single" w:color="auto" w:sz="4" w:space="0"/>
            </w:tcBorders>
            <w:noWrap w:val="0"/>
            <w:vAlign w:val="center"/>
          </w:tcPr>
          <w:p>
            <w:pPr>
              <w:adjustRightInd w:val="0"/>
              <w:snapToGrid w:val="0"/>
              <w:jc w:val="center"/>
              <w:rPr>
                <w:rFonts w:hint="eastAsia" w:ascii="宋体" w:hAnsi="宋体"/>
                <w:color w:val="000000"/>
                <w:szCs w:val="21"/>
              </w:rPr>
            </w:pPr>
            <w:r>
              <w:rPr>
                <w:rFonts w:hint="eastAsia" w:ascii="宋体" w:hAnsi="宋体"/>
                <w:color w:val="000000"/>
                <w:szCs w:val="21"/>
              </w:rPr>
              <w:t>平台安全性</w:t>
            </w:r>
          </w:p>
        </w:tc>
        <w:tc>
          <w:tcPr>
            <w:tcW w:w="666" w:type="dxa"/>
            <w:noWrap w:val="0"/>
            <w:vAlign w:val="center"/>
          </w:tcPr>
          <w:p>
            <w:pPr>
              <w:snapToGrid w:val="0"/>
              <w:jc w:val="center"/>
              <w:rPr>
                <w:rFonts w:hint="eastAsia" w:ascii="宋体" w:hAnsi="宋体" w:eastAsia="宋体" w:cs="宋体"/>
                <w:sz w:val="20"/>
                <w:szCs w:val="20"/>
                <w:lang w:eastAsia="zh-CN"/>
              </w:rPr>
            </w:pPr>
            <w:r>
              <w:rPr>
                <w:rFonts w:hint="eastAsia" w:ascii="宋体" w:hAnsi="宋体" w:cs="宋体"/>
                <w:sz w:val="20"/>
                <w:szCs w:val="20"/>
                <w:lang w:val="en-US" w:eastAsia="zh-CN"/>
              </w:rPr>
              <w:t>3</w:t>
            </w:r>
          </w:p>
        </w:tc>
        <w:tc>
          <w:tcPr>
            <w:tcW w:w="6046" w:type="dxa"/>
            <w:noWrap w:val="0"/>
            <w:vAlign w:val="center"/>
          </w:tcPr>
          <w:p>
            <w:pPr>
              <w:ind w:firstLine="0" w:firstLineChars="0"/>
              <w:rPr>
                <w:rFonts w:ascii="宋体" w:hAnsi="宋体"/>
                <w:szCs w:val="21"/>
              </w:rPr>
            </w:pPr>
            <w:r>
              <w:rPr>
                <w:rFonts w:hint="eastAsia" w:ascii="宋体" w:hAnsi="宋体"/>
                <w:color w:val="auto"/>
                <w:szCs w:val="21"/>
                <w:lang w:eastAsia="zh-CN"/>
              </w:rPr>
              <w:t>供应商</w:t>
            </w:r>
            <w:r>
              <w:rPr>
                <w:rFonts w:hint="eastAsia" w:ascii="宋体" w:hAnsi="宋体"/>
                <w:color w:val="auto"/>
                <w:szCs w:val="21"/>
              </w:rPr>
              <w:t>提供信息</w:t>
            </w:r>
            <w:r>
              <w:rPr>
                <w:rFonts w:hint="eastAsia" w:ascii="宋体" w:hAnsi="宋体"/>
                <w:szCs w:val="21"/>
              </w:rPr>
              <w:t>安全等级测评证明文件（含用户证明）和信息安全等级备案证明文件得</w:t>
            </w:r>
            <w:r>
              <w:rPr>
                <w:rFonts w:hint="eastAsia" w:ascii="宋体" w:hAnsi="宋体"/>
                <w:szCs w:val="21"/>
                <w:lang w:val="en-US" w:eastAsia="zh-CN"/>
              </w:rPr>
              <w:t>3</w:t>
            </w:r>
            <w:r>
              <w:rPr>
                <w:rFonts w:hint="eastAsia" w:ascii="宋体" w:hAnsi="宋体"/>
                <w:szCs w:val="21"/>
              </w:rPr>
              <w:t>分，不提供或提供不全不得分。</w:t>
            </w:r>
          </w:p>
          <w:p>
            <w:pPr>
              <w:rPr>
                <w:rFonts w:hint="eastAsia" w:ascii="宋体" w:hAnsi="宋体"/>
                <w:color w:val="000000"/>
                <w:szCs w:val="21"/>
              </w:rPr>
            </w:pPr>
            <w:r>
              <w:rPr>
                <w:rFonts w:hint="eastAsia" w:ascii="宋体" w:hAnsi="宋体"/>
                <w:szCs w:val="21"/>
              </w:rPr>
              <w:t>注：需提供信息安全等级测评证明文件、公安部门出具的信息安全等级备案证明文件和用户盖章的等保证明，加盖</w:t>
            </w:r>
            <w:r>
              <w:rPr>
                <w:rFonts w:hint="eastAsia" w:ascii="宋体" w:hAnsi="宋体"/>
                <w:szCs w:val="21"/>
                <w:lang w:eastAsia="zh-CN"/>
              </w:rPr>
              <w:t>供应商</w:t>
            </w:r>
            <w:r>
              <w:rPr>
                <w:rFonts w:hint="eastAsia" w:ascii="宋体" w:hAnsi="宋体"/>
                <w:szCs w:val="21"/>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1090" w:type="dxa"/>
            <w:vMerge w:val="continue"/>
            <w:noWrap w:val="0"/>
            <w:vAlign w:val="center"/>
          </w:tcPr>
          <w:p>
            <w:pPr>
              <w:adjustRightInd w:val="0"/>
              <w:snapToGrid w:val="0"/>
              <w:jc w:val="center"/>
              <w:rPr>
                <w:rFonts w:ascii="宋体" w:hAnsi="宋体"/>
                <w:spacing w:val="-6"/>
                <w:szCs w:val="21"/>
              </w:rPr>
            </w:pPr>
          </w:p>
        </w:tc>
        <w:tc>
          <w:tcPr>
            <w:tcW w:w="1145" w:type="dxa"/>
            <w:tcBorders>
              <w:top w:val="single" w:color="auto" w:sz="4" w:space="0"/>
            </w:tcBorders>
            <w:noWrap w:val="0"/>
            <w:vAlign w:val="center"/>
          </w:tcPr>
          <w:p>
            <w:pPr>
              <w:adjustRightInd w:val="0"/>
              <w:snapToGrid w:val="0"/>
              <w:jc w:val="center"/>
              <w:rPr>
                <w:rFonts w:hint="eastAsia" w:ascii="宋体" w:hAnsi="宋体"/>
                <w:szCs w:val="21"/>
              </w:rPr>
            </w:pPr>
            <w:r>
              <w:rPr>
                <w:rFonts w:hint="eastAsia" w:ascii="宋体" w:hAnsi="宋体"/>
                <w:szCs w:val="21"/>
              </w:rPr>
              <w:t>团队成员</w:t>
            </w:r>
          </w:p>
        </w:tc>
        <w:tc>
          <w:tcPr>
            <w:tcW w:w="666" w:type="dxa"/>
            <w:noWrap w:val="0"/>
            <w:vAlign w:val="center"/>
          </w:tcPr>
          <w:p>
            <w:pPr>
              <w:widowControl/>
              <w:jc w:val="center"/>
              <w:textAlignment w:val="center"/>
              <w:rPr>
                <w:rFonts w:hint="eastAsia" w:ascii="宋体" w:hAnsi="宋体" w:cs="宋体"/>
                <w:kern w:val="0"/>
                <w:szCs w:val="21"/>
              </w:rPr>
            </w:pPr>
            <w:r>
              <w:rPr>
                <w:rFonts w:ascii="宋体" w:hAnsi="宋体" w:cs="宋体"/>
                <w:kern w:val="0"/>
                <w:szCs w:val="21"/>
              </w:rPr>
              <w:t>6</w:t>
            </w:r>
          </w:p>
        </w:tc>
        <w:tc>
          <w:tcPr>
            <w:tcW w:w="6046" w:type="dxa"/>
            <w:noWrap w:val="0"/>
            <w:vAlign w:val="center"/>
          </w:tcPr>
          <w:p>
            <w:pPr>
              <w:adjustRightInd w:val="0"/>
              <w:snapToGrid w:val="0"/>
            </w:pPr>
            <w:r>
              <w:rPr>
                <w:rFonts w:hint="eastAsia"/>
              </w:rPr>
              <w:t>为保证项目顺利实施、按时交付，供应商应具备专业技术力量支持，以保障项目的高质量交付。</w:t>
            </w:r>
          </w:p>
          <w:p>
            <w:pPr>
              <w:adjustRightInd w:val="0"/>
              <w:snapToGrid w:val="0"/>
            </w:pPr>
            <w:r>
              <w:rPr>
                <w:rFonts w:hint="eastAsia"/>
              </w:rPr>
              <w:t>供应商在本项目中投入的技术人员</w:t>
            </w:r>
          </w:p>
          <w:p>
            <w:pPr>
              <w:adjustRightInd w:val="0"/>
              <w:snapToGrid w:val="0"/>
              <w:rPr>
                <w:color w:val="auto"/>
              </w:rPr>
            </w:pPr>
            <w:r>
              <w:rPr>
                <w:rFonts w:hint="eastAsia"/>
              </w:rPr>
              <w:t>具</w:t>
            </w:r>
            <w:r>
              <w:rPr>
                <w:rFonts w:hint="eastAsia"/>
                <w:color w:val="auto"/>
              </w:rPr>
              <w:t>备高级系统架构设计师的得</w:t>
            </w:r>
            <w:r>
              <w:rPr>
                <w:color w:val="auto"/>
              </w:rPr>
              <w:t>1分，</w:t>
            </w:r>
          </w:p>
          <w:p>
            <w:pPr>
              <w:adjustRightInd w:val="0"/>
              <w:snapToGrid w:val="0"/>
              <w:rPr>
                <w:color w:val="auto"/>
              </w:rPr>
            </w:pPr>
            <w:r>
              <w:rPr>
                <w:rFonts w:hint="eastAsia"/>
                <w:color w:val="auto"/>
              </w:rPr>
              <w:t>具备数据库应用系统设计工程师证书得</w:t>
            </w:r>
            <w:r>
              <w:rPr>
                <w:color w:val="auto"/>
              </w:rPr>
              <w:t>1分，</w:t>
            </w:r>
          </w:p>
          <w:p>
            <w:pPr>
              <w:adjustRightInd w:val="0"/>
              <w:snapToGrid w:val="0"/>
              <w:rPr>
                <w:color w:val="auto"/>
              </w:rPr>
            </w:pPr>
            <w:r>
              <w:rPr>
                <w:rFonts w:hint="eastAsia"/>
                <w:color w:val="auto"/>
              </w:rPr>
              <w:t>具备国家注册信息安全工程师证书</w:t>
            </w:r>
            <w:r>
              <w:rPr>
                <w:color w:val="auto"/>
              </w:rPr>
              <w:t>得1分，</w:t>
            </w:r>
          </w:p>
          <w:p>
            <w:pPr>
              <w:adjustRightInd w:val="0"/>
              <w:snapToGrid w:val="0"/>
              <w:rPr>
                <w:color w:val="auto"/>
              </w:rPr>
            </w:pPr>
            <w:r>
              <w:rPr>
                <w:rFonts w:hint="eastAsia"/>
                <w:color w:val="auto"/>
              </w:rPr>
              <w:t>具备</w:t>
            </w:r>
            <w:r>
              <w:rPr>
                <w:rFonts w:hint="eastAsia"/>
                <w:color w:val="auto"/>
              </w:rPr>
              <w:fldChar w:fldCharType="begin"/>
            </w:r>
            <w:r>
              <w:rPr>
                <w:rFonts w:hint="eastAsia"/>
                <w:color w:val="auto"/>
              </w:rPr>
              <w:instrText xml:space="preserve"> HYPERLINK "http://www.baidu.com/link?url=JHAw5GFmASyJCjlofC0alfVgtqok9srzQi4A_GqXLSAaV1821T2O3Wd6hrvgz3tV" \t "https://www.baidu.com/_blank" </w:instrText>
            </w:r>
            <w:r>
              <w:rPr>
                <w:rFonts w:hint="eastAsia"/>
                <w:color w:val="auto"/>
              </w:rPr>
              <w:fldChar w:fldCharType="separate"/>
            </w:r>
            <w:r>
              <w:rPr>
                <w:rFonts w:hint="eastAsia"/>
                <w:color w:val="auto"/>
              </w:rPr>
              <w:t>系统集成项目管理工程师证书</w:t>
            </w:r>
            <w:r>
              <w:rPr>
                <w:rFonts w:hint="eastAsia"/>
                <w:color w:val="auto"/>
              </w:rPr>
              <w:fldChar w:fldCharType="end"/>
            </w:r>
            <w:r>
              <w:rPr>
                <w:color w:val="auto"/>
              </w:rPr>
              <w:t>得1分，</w:t>
            </w:r>
          </w:p>
          <w:p>
            <w:pPr>
              <w:adjustRightInd w:val="0"/>
              <w:snapToGrid w:val="0"/>
            </w:pPr>
            <w:r>
              <w:rPr>
                <w:rFonts w:hint="eastAsia"/>
                <w:color w:val="auto"/>
              </w:rPr>
              <w:t>具备</w:t>
            </w:r>
            <w:r>
              <w:rPr>
                <w:color w:val="auto"/>
              </w:rPr>
              <w:t>软件设计师</w:t>
            </w:r>
            <w:r>
              <w:rPr>
                <w:rFonts w:hint="eastAsia"/>
                <w:color w:val="auto"/>
              </w:rPr>
              <w:t>证书得</w:t>
            </w:r>
            <w:r>
              <w:rPr>
                <w:color w:val="auto"/>
              </w:rPr>
              <w:t>1分，</w:t>
            </w:r>
          </w:p>
          <w:p>
            <w:pPr>
              <w:rPr>
                <w:rFonts w:hint="eastAsia" w:ascii="宋体" w:hAnsi="宋体"/>
                <w:color w:val="000000"/>
                <w:szCs w:val="21"/>
              </w:rPr>
            </w:pPr>
            <w:r>
              <w:rPr>
                <w:rFonts w:hint="eastAsia" w:ascii="宋体" w:hAnsi="宋体"/>
                <w:color w:val="000000"/>
                <w:szCs w:val="21"/>
              </w:rPr>
              <w:t>具备软件测试工程师证书得</w:t>
            </w:r>
            <w:r>
              <w:rPr>
                <w:rFonts w:ascii="宋体" w:hAnsi="宋体"/>
                <w:color w:val="000000"/>
                <w:szCs w:val="21"/>
              </w:rPr>
              <w:t>1分，</w:t>
            </w:r>
          </w:p>
          <w:p>
            <w:pPr>
              <w:adjustRightInd w:val="0"/>
              <w:snapToGrid w:val="0"/>
            </w:pPr>
            <w:r>
              <w:rPr>
                <w:rFonts w:hint="eastAsia"/>
              </w:rPr>
              <w:t>本项最高得</w:t>
            </w:r>
            <w:r>
              <w:t>6分。</w:t>
            </w:r>
          </w:p>
          <w:p>
            <w:pPr>
              <w:adjustRightInd w:val="0"/>
              <w:snapToGrid w:val="0"/>
            </w:pPr>
            <w:r>
              <w:rPr>
                <w:rFonts w:hint="eastAsia"/>
              </w:rPr>
              <w:t>注：同一人存在多个证书者按照一个证书计，提供证书复印件加盖</w:t>
            </w:r>
            <w:r>
              <w:rPr>
                <w:rFonts w:hint="eastAsia"/>
                <w:lang w:eastAsia="zh-CN"/>
              </w:rPr>
              <w:t>供应商</w:t>
            </w:r>
            <w:r>
              <w:rPr>
                <w:rFonts w:hint="eastAsia"/>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90" w:type="dxa"/>
            <w:vMerge w:val="continue"/>
            <w:noWrap w:val="0"/>
            <w:vAlign w:val="center"/>
          </w:tcPr>
          <w:p>
            <w:pPr>
              <w:adjustRightInd w:val="0"/>
              <w:snapToGrid w:val="0"/>
              <w:jc w:val="center"/>
              <w:rPr>
                <w:rFonts w:ascii="宋体" w:hAnsi="宋体"/>
                <w:spacing w:val="-6"/>
                <w:szCs w:val="21"/>
              </w:rPr>
            </w:pPr>
          </w:p>
        </w:tc>
        <w:tc>
          <w:tcPr>
            <w:tcW w:w="1145" w:type="dxa"/>
            <w:noWrap w:val="0"/>
            <w:vAlign w:val="center"/>
          </w:tcPr>
          <w:p>
            <w:pPr>
              <w:adjustRightInd w:val="0"/>
              <w:snapToGrid w:val="0"/>
              <w:jc w:val="center"/>
              <w:rPr>
                <w:rFonts w:ascii="宋体" w:hAnsi="宋体" w:cs="宋体"/>
                <w:sz w:val="20"/>
                <w:szCs w:val="20"/>
              </w:rPr>
            </w:pPr>
            <w:r>
              <w:rPr>
                <w:rFonts w:hint="eastAsia" w:ascii="宋体" w:hAnsi="宋体" w:cs="宋体"/>
                <w:kern w:val="0"/>
                <w:sz w:val="20"/>
                <w:szCs w:val="20"/>
                <w:lang w:val="en-US" w:eastAsia="zh-CN"/>
              </w:rPr>
              <w:t>企业实力</w:t>
            </w:r>
          </w:p>
        </w:tc>
        <w:tc>
          <w:tcPr>
            <w:tcW w:w="666" w:type="dxa"/>
            <w:noWrap w:val="0"/>
            <w:vAlign w:val="center"/>
          </w:tcPr>
          <w:p>
            <w:pPr>
              <w:widowControl/>
              <w:jc w:val="center"/>
              <w:textAlignment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8</w:t>
            </w:r>
          </w:p>
        </w:tc>
        <w:tc>
          <w:tcPr>
            <w:tcW w:w="6046" w:type="dxa"/>
            <w:noWrap w:val="0"/>
            <w:vAlign w:val="center"/>
          </w:tcPr>
          <w:p>
            <w:pPr>
              <w:rPr>
                <w:rFonts w:ascii="宋体" w:hAnsi="宋体"/>
                <w:color w:val="000000"/>
                <w:szCs w:val="21"/>
              </w:rPr>
            </w:pPr>
            <w:r>
              <w:rPr>
                <w:rFonts w:ascii="宋体" w:hAnsi="宋体"/>
                <w:color w:val="000000"/>
                <w:szCs w:val="21"/>
              </w:rPr>
              <w:t>1、</w:t>
            </w:r>
            <w:r>
              <w:rPr>
                <w:rFonts w:hint="eastAsia" w:ascii="宋体" w:hAnsi="宋体"/>
                <w:color w:val="auto"/>
                <w:szCs w:val="21"/>
                <w:lang w:eastAsia="zh-CN"/>
              </w:rPr>
              <w:t>供应商</w:t>
            </w:r>
            <w:r>
              <w:rPr>
                <w:rFonts w:hint="eastAsia" w:ascii="宋体" w:hAnsi="宋体"/>
                <w:color w:val="auto"/>
                <w:szCs w:val="21"/>
              </w:rPr>
              <w:t>具备知识产权</w:t>
            </w:r>
            <w:r>
              <w:rPr>
                <w:rFonts w:hint="eastAsia" w:ascii="宋体" w:hAnsi="宋体"/>
                <w:szCs w:val="21"/>
              </w:rPr>
              <w:t>管理体系认证证书者得</w:t>
            </w:r>
            <w:r>
              <w:rPr>
                <w:rFonts w:hint="eastAsia" w:ascii="宋体" w:hAnsi="宋体"/>
                <w:szCs w:val="21"/>
                <w:lang w:val="en-US" w:eastAsia="zh-CN"/>
              </w:rPr>
              <w:t>4</w:t>
            </w:r>
            <w:r>
              <w:rPr>
                <w:rFonts w:hint="eastAsia" w:ascii="宋体" w:hAnsi="宋体"/>
                <w:szCs w:val="21"/>
              </w:rPr>
              <w:t>分，不具备不得分；</w:t>
            </w:r>
          </w:p>
          <w:p>
            <w:pPr>
              <w:rPr>
                <w:rFonts w:hint="eastAsia" w:ascii="宋体" w:hAnsi="宋体" w:eastAsia="宋体"/>
                <w:color w:val="000000"/>
                <w:szCs w:val="21"/>
                <w:lang w:eastAsia="zh-CN"/>
              </w:rPr>
            </w:pPr>
            <w:r>
              <w:rPr>
                <w:rFonts w:ascii="宋体" w:hAnsi="宋体"/>
                <w:color w:val="000000"/>
                <w:szCs w:val="21"/>
              </w:rPr>
              <w:t>2</w:t>
            </w:r>
            <w:r>
              <w:rPr>
                <w:rFonts w:hint="eastAsia" w:ascii="宋体" w:hAnsi="宋体"/>
                <w:color w:val="000000"/>
                <w:szCs w:val="21"/>
              </w:rPr>
              <w:t>、</w:t>
            </w:r>
            <w:r>
              <w:rPr>
                <w:rFonts w:hint="eastAsia" w:ascii="宋体" w:hAnsi="宋体"/>
                <w:color w:val="000000"/>
                <w:szCs w:val="21"/>
                <w:lang w:eastAsia="zh-CN"/>
              </w:rPr>
              <w:t>供应商</w:t>
            </w:r>
            <w:r>
              <w:rPr>
                <w:rFonts w:ascii="宋体" w:hAnsi="宋体"/>
                <w:color w:val="000000"/>
                <w:szCs w:val="21"/>
              </w:rPr>
              <w:t>具有隐私信息管理体系认证证书者得</w:t>
            </w:r>
            <w:r>
              <w:rPr>
                <w:rFonts w:hint="eastAsia" w:ascii="宋体" w:hAnsi="宋体"/>
                <w:color w:val="000000"/>
                <w:szCs w:val="21"/>
                <w:lang w:val="en-US" w:eastAsia="zh-CN"/>
              </w:rPr>
              <w:t>4</w:t>
            </w:r>
            <w:r>
              <w:rPr>
                <w:rFonts w:ascii="宋体" w:hAnsi="宋体"/>
                <w:color w:val="000000"/>
                <w:szCs w:val="21"/>
              </w:rPr>
              <w:t>分</w:t>
            </w:r>
            <w:r>
              <w:rPr>
                <w:rFonts w:hint="eastAsia" w:ascii="宋体" w:hAnsi="宋体"/>
                <w:szCs w:val="21"/>
              </w:rPr>
              <w:t>，不具备不得分</w:t>
            </w:r>
            <w:r>
              <w:rPr>
                <w:rFonts w:ascii="宋体" w:hAnsi="宋体"/>
                <w:color w:val="000000"/>
                <w:szCs w:val="21"/>
              </w:rPr>
              <w:t>；</w:t>
            </w:r>
          </w:p>
          <w:p>
            <w:pPr>
              <w:rPr>
                <w:rFonts w:ascii="宋体" w:hAnsi="宋体"/>
                <w:color w:val="000000"/>
                <w:szCs w:val="21"/>
              </w:rPr>
            </w:pPr>
            <w:r>
              <w:rPr>
                <w:rFonts w:ascii="宋体" w:hAnsi="宋体"/>
                <w:color w:val="000000"/>
                <w:szCs w:val="21"/>
              </w:rPr>
              <w:t>提供有效证书复印件及证书对应的全国认证认可信息公共服务平台网站官网查询内容状态显示有效的截图。</w:t>
            </w:r>
          </w:p>
          <w:p>
            <w:pPr>
              <w:widowControl/>
              <w:jc w:val="left"/>
              <w:textAlignment w:val="center"/>
              <w:rPr>
                <w:rFonts w:hint="eastAsia"/>
              </w:rPr>
            </w:pPr>
            <w:r>
              <w:rPr>
                <w:rFonts w:hint="eastAsia" w:ascii="宋体" w:hAnsi="宋体"/>
                <w:color w:val="000000"/>
                <w:szCs w:val="21"/>
              </w:rPr>
              <w:t>需提供有效期内相关证明材料复印件并加盖</w:t>
            </w:r>
            <w:r>
              <w:rPr>
                <w:rFonts w:hint="eastAsia" w:ascii="宋体" w:hAnsi="宋体"/>
                <w:color w:val="000000"/>
                <w:szCs w:val="21"/>
                <w:lang w:eastAsia="zh-CN"/>
              </w:rPr>
              <w:t>供应商</w:t>
            </w:r>
            <w:r>
              <w:rPr>
                <w:rFonts w:hint="eastAsia" w:ascii="宋体" w:hAnsi="宋体"/>
                <w:color w:val="000000"/>
                <w:szCs w:val="21"/>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090" w:type="dxa"/>
            <w:vMerge w:val="restart"/>
            <w:noWrap w:val="0"/>
            <w:vAlign w:val="center"/>
          </w:tcPr>
          <w:p>
            <w:pPr>
              <w:adjustRightInd w:val="0"/>
              <w:snapToGrid w:val="0"/>
              <w:jc w:val="center"/>
              <w:rPr>
                <w:rFonts w:ascii="宋体" w:hAnsi="宋体"/>
                <w:spacing w:val="-6"/>
                <w:szCs w:val="21"/>
              </w:rPr>
            </w:pPr>
            <w:r>
              <w:rPr>
                <w:rFonts w:hint="eastAsia" w:ascii="宋体" w:hAnsi="宋体"/>
                <w:spacing w:val="-6"/>
                <w:szCs w:val="21"/>
              </w:rPr>
              <w:t>技术部分（</w:t>
            </w:r>
            <w:r>
              <w:rPr>
                <w:rFonts w:hint="eastAsia" w:ascii="宋体" w:hAnsi="宋体"/>
                <w:spacing w:val="-6"/>
                <w:szCs w:val="21"/>
                <w:lang w:val="en-US" w:eastAsia="zh-CN"/>
              </w:rPr>
              <w:t>59</w:t>
            </w:r>
            <w:r>
              <w:rPr>
                <w:rFonts w:hint="eastAsia" w:ascii="宋体" w:hAnsi="宋体"/>
                <w:spacing w:val="-6"/>
                <w:szCs w:val="21"/>
              </w:rPr>
              <w:t>分）</w:t>
            </w:r>
          </w:p>
        </w:tc>
        <w:tc>
          <w:tcPr>
            <w:tcW w:w="1145" w:type="dxa"/>
            <w:tcBorders>
              <w:top w:val="single" w:color="auto" w:sz="4" w:space="0"/>
            </w:tcBorders>
            <w:noWrap w:val="0"/>
            <w:vAlign w:val="center"/>
          </w:tcPr>
          <w:p>
            <w:pPr>
              <w:adjustRightInd w:val="0"/>
              <w:snapToGrid w:val="0"/>
              <w:jc w:val="center"/>
              <w:rPr>
                <w:rFonts w:hint="eastAsia" w:ascii="宋体" w:hAnsi="宋体" w:cs="宋体"/>
                <w:sz w:val="20"/>
                <w:szCs w:val="20"/>
              </w:rPr>
            </w:pPr>
            <w:r>
              <w:rPr>
                <w:rFonts w:hint="eastAsia" w:ascii="宋体" w:hAnsi="宋体" w:cs="宋体"/>
                <w:sz w:val="20"/>
                <w:szCs w:val="20"/>
              </w:rPr>
              <w:t>技术指标响应情况</w:t>
            </w:r>
          </w:p>
        </w:tc>
        <w:tc>
          <w:tcPr>
            <w:tcW w:w="666" w:type="dxa"/>
            <w:noWrap w:val="0"/>
            <w:vAlign w:val="center"/>
          </w:tcPr>
          <w:p>
            <w:pPr>
              <w:snapToGrid w:val="0"/>
              <w:jc w:val="center"/>
              <w:rPr>
                <w:rFonts w:ascii="宋体" w:hAnsi="宋体"/>
                <w:szCs w:val="21"/>
              </w:rPr>
            </w:pPr>
            <w:r>
              <w:rPr>
                <w:rFonts w:ascii="宋体" w:hAnsi="宋体"/>
                <w:szCs w:val="21"/>
              </w:rPr>
              <w:t>20</w:t>
            </w:r>
          </w:p>
        </w:tc>
        <w:tc>
          <w:tcPr>
            <w:tcW w:w="6046" w:type="dxa"/>
            <w:noWrap w:val="0"/>
            <w:vAlign w:val="center"/>
          </w:tcPr>
          <w:p>
            <w:pPr>
              <w:pStyle w:val="18"/>
              <w:rPr>
                <w:rFonts w:hint="eastAsia" w:ascii="宋体" w:hAnsi="宋体"/>
                <w:color w:val="000000"/>
                <w:kern w:val="0"/>
                <w:sz w:val="20"/>
                <w:szCs w:val="20"/>
              </w:rPr>
            </w:pPr>
            <w:r>
              <w:rPr>
                <w:rFonts w:hint="eastAsia" w:ascii="宋体" w:hAnsi="宋体"/>
                <w:color w:val="000000"/>
                <w:kern w:val="0"/>
                <w:sz w:val="20"/>
                <w:szCs w:val="20"/>
              </w:rPr>
              <w:t>对各供应商“第三章项目采购需求（二）、（三）中“重要性”项标注“▲”技术指标响应情况进行评审，全部满足采购要求的得</w:t>
            </w:r>
            <w:r>
              <w:rPr>
                <w:rFonts w:ascii="宋体" w:hAnsi="宋体"/>
                <w:color w:val="000000"/>
                <w:kern w:val="0"/>
                <w:sz w:val="20"/>
                <w:szCs w:val="20"/>
              </w:rPr>
              <w:t>20</w:t>
            </w:r>
            <w:r>
              <w:rPr>
                <w:rFonts w:hint="eastAsia" w:ascii="宋体" w:hAnsi="宋体"/>
                <w:color w:val="000000"/>
                <w:kern w:val="0"/>
                <w:sz w:val="20"/>
                <w:szCs w:val="20"/>
              </w:rPr>
              <w:t>分，</w:t>
            </w:r>
          </w:p>
          <w:p>
            <w:pPr>
              <w:pStyle w:val="18"/>
              <w:rPr>
                <w:rFonts w:hint="eastAsia" w:ascii="宋体" w:hAnsi="宋体"/>
                <w:color w:val="000000"/>
                <w:kern w:val="0"/>
                <w:sz w:val="20"/>
                <w:szCs w:val="20"/>
              </w:rPr>
            </w:pPr>
            <w:r>
              <w:rPr>
                <w:rFonts w:hint="eastAsia" w:ascii="宋体" w:hAnsi="宋体"/>
                <w:color w:val="000000"/>
                <w:kern w:val="0"/>
                <w:sz w:val="20"/>
                <w:szCs w:val="20"/>
              </w:rPr>
              <w:t>每有一项“▲”技术指标（共1</w:t>
            </w:r>
            <w:r>
              <w:rPr>
                <w:rFonts w:ascii="宋体" w:hAnsi="宋体"/>
                <w:color w:val="000000"/>
                <w:kern w:val="0"/>
                <w:sz w:val="20"/>
                <w:szCs w:val="20"/>
              </w:rPr>
              <w:t>0</w:t>
            </w:r>
            <w:r>
              <w:rPr>
                <w:rFonts w:hint="eastAsia" w:ascii="宋体" w:hAnsi="宋体"/>
                <w:color w:val="000000"/>
                <w:kern w:val="0"/>
                <w:sz w:val="20"/>
                <w:szCs w:val="20"/>
              </w:rPr>
              <w:t>项）负偏离的，扣</w:t>
            </w:r>
            <w:r>
              <w:rPr>
                <w:rFonts w:ascii="宋体" w:hAnsi="宋体"/>
                <w:color w:val="000000"/>
                <w:kern w:val="0"/>
                <w:sz w:val="20"/>
                <w:szCs w:val="20"/>
              </w:rPr>
              <w:t>2</w:t>
            </w:r>
            <w:r>
              <w:rPr>
                <w:rFonts w:hint="eastAsia" w:ascii="宋体" w:hAnsi="宋体"/>
                <w:color w:val="000000"/>
                <w:kern w:val="0"/>
                <w:sz w:val="20"/>
                <w:szCs w:val="20"/>
              </w:rPr>
              <w:t>分，扣完为止。</w:t>
            </w:r>
          </w:p>
          <w:p>
            <w:pPr>
              <w:pStyle w:val="18"/>
              <w:rPr>
                <w:rFonts w:hint="eastAsia" w:ascii="宋体" w:hAnsi="宋体"/>
                <w:color w:val="000000"/>
                <w:kern w:val="0"/>
                <w:sz w:val="20"/>
                <w:szCs w:val="20"/>
              </w:rPr>
            </w:pPr>
            <w:r>
              <w:rPr>
                <w:rFonts w:hint="eastAsia" w:ascii="宋体" w:hAnsi="宋体"/>
                <w:color w:val="000000"/>
                <w:kern w:val="0"/>
                <w:sz w:val="20"/>
                <w:szCs w:val="20"/>
              </w:rPr>
              <w:t>应答时需提供证明材料，未提供则视同负偏离处理。（证明材料按招标文件第三章项目采购需求要求提供，并在投标文件中给出明确的索引。）</w:t>
            </w:r>
          </w:p>
          <w:p>
            <w:pPr>
              <w:pStyle w:val="18"/>
              <w:rPr>
                <w:rFonts w:ascii="宋体" w:hAnsi="宋体"/>
                <w:color w:val="000000"/>
                <w:kern w:val="0"/>
                <w:sz w:val="20"/>
                <w:szCs w:val="20"/>
              </w:rPr>
            </w:pPr>
            <w:r>
              <w:rPr>
                <w:rFonts w:hint="eastAsia" w:ascii="宋体" w:hAnsi="宋体"/>
                <w:color w:val="000000"/>
                <w:kern w:val="0"/>
                <w:sz w:val="20"/>
                <w:szCs w:val="20"/>
              </w:rPr>
              <w:t>注：标▲参数为重要技术要求和功能要求，根据实质性响应情况进行评判，实质性响应需提供产品实际运行案例截图及详细说明，否则视为不满足。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090" w:type="dxa"/>
            <w:vMerge w:val="continue"/>
            <w:noWrap w:val="0"/>
            <w:vAlign w:val="center"/>
          </w:tcPr>
          <w:p>
            <w:pPr>
              <w:adjustRightInd w:val="0"/>
              <w:snapToGrid w:val="0"/>
              <w:jc w:val="center"/>
              <w:rPr>
                <w:rFonts w:hint="eastAsia" w:ascii="宋体" w:hAnsi="宋体"/>
                <w:spacing w:val="-6"/>
                <w:szCs w:val="21"/>
              </w:rPr>
            </w:pPr>
          </w:p>
        </w:tc>
        <w:tc>
          <w:tcPr>
            <w:tcW w:w="1145" w:type="dxa"/>
            <w:tcBorders>
              <w:top w:val="single" w:color="auto" w:sz="4" w:space="0"/>
            </w:tcBorders>
            <w:noWrap w:val="0"/>
            <w:vAlign w:val="center"/>
          </w:tcPr>
          <w:p>
            <w:pPr>
              <w:adjustRightInd w:val="0"/>
              <w:snapToGrid w:val="0"/>
              <w:jc w:val="center"/>
              <w:rPr>
                <w:rFonts w:hint="eastAsia" w:ascii="宋体" w:hAnsi="宋体" w:cs="宋体"/>
                <w:sz w:val="20"/>
                <w:szCs w:val="20"/>
              </w:rPr>
            </w:pPr>
            <w:r>
              <w:rPr>
                <w:rFonts w:hint="eastAsia" w:ascii="宋体" w:hAnsi="宋体" w:cs="宋体"/>
                <w:sz w:val="20"/>
                <w:szCs w:val="20"/>
              </w:rPr>
              <w:t>功能演示</w:t>
            </w:r>
          </w:p>
        </w:tc>
        <w:tc>
          <w:tcPr>
            <w:tcW w:w="666" w:type="dxa"/>
            <w:noWrap w:val="0"/>
            <w:vAlign w:val="center"/>
          </w:tcPr>
          <w:p>
            <w:pPr>
              <w:snapToGrid w:val="0"/>
              <w:jc w:val="center"/>
              <w:rPr>
                <w:rFonts w:hint="eastAsia" w:ascii="宋体" w:hAnsi="宋体"/>
                <w:szCs w:val="21"/>
              </w:rPr>
            </w:pPr>
            <w:r>
              <w:rPr>
                <w:rFonts w:hint="eastAsia" w:ascii="宋体" w:hAnsi="宋体"/>
                <w:szCs w:val="21"/>
              </w:rPr>
              <w:t>2</w:t>
            </w:r>
            <w:r>
              <w:rPr>
                <w:rFonts w:ascii="宋体" w:hAnsi="宋体"/>
                <w:szCs w:val="21"/>
              </w:rPr>
              <w:t>4</w:t>
            </w:r>
          </w:p>
        </w:tc>
        <w:tc>
          <w:tcPr>
            <w:tcW w:w="6046" w:type="dxa"/>
            <w:noWrap w:val="0"/>
            <w:vAlign w:val="center"/>
          </w:tcPr>
          <w:p>
            <w:pPr>
              <w:pStyle w:val="18"/>
            </w:pPr>
            <w:r>
              <w:rPr>
                <w:rFonts w:hint="eastAsia"/>
              </w:rPr>
              <w:t>对各供应商“第三章项目采购需求（二）、（三）中标注“★”技术指标响应情况进行现场演示，全部满足采购要求的得24分，</w:t>
            </w:r>
          </w:p>
          <w:p>
            <w:pPr>
              <w:pStyle w:val="18"/>
            </w:pPr>
            <w:r>
              <w:rPr>
                <w:rFonts w:hint="eastAsia"/>
              </w:rPr>
              <w:t>每有一项“★”技术指标（共12项）负偏离的，扣2分，扣完为止。</w:t>
            </w:r>
          </w:p>
          <w:p>
            <w:pPr>
              <w:pStyle w:val="18"/>
            </w:pPr>
          </w:p>
          <w:p>
            <w:pPr>
              <w:pStyle w:val="18"/>
            </w:pPr>
            <w:r>
              <w:rPr>
                <w:rFonts w:hint="eastAsia"/>
              </w:rPr>
              <w:t>演示要求：采用可实际运行的原型系统或案例系统进行演示，不接受DEMO、静态网站形式或PPT形式。</w:t>
            </w:r>
          </w:p>
          <w:p>
            <w:pPr>
              <w:pStyle w:val="18"/>
            </w:pPr>
          </w:p>
          <w:p>
            <w:pPr>
              <w:rPr>
                <w:rFonts w:hint="eastAsia" w:ascii="宋体" w:hAnsi="宋体"/>
                <w:color w:val="000000"/>
                <w:kern w:val="0"/>
                <w:sz w:val="20"/>
                <w:szCs w:val="20"/>
              </w:rPr>
            </w:pPr>
            <w:r>
              <w:rPr>
                <w:rFonts w:hint="eastAsia"/>
              </w:rPr>
              <w:t>注：演示时间不能超过25分钟，不提供演示或未按照演示要求的形式进行现场演示的，视同负偏离处理。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0" w:type="dxa"/>
            <w:vMerge w:val="continue"/>
            <w:noWrap w:val="0"/>
            <w:vAlign w:val="center"/>
          </w:tcPr>
          <w:p>
            <w:pPr>
              <w:adjustRightInd w:val="0"/>
              <w:snapToGrid w:val="0"/>
              <w:jc w:val="center"/>
              <w:rPr>
                <w:rFonts w:ascii="宋体" w:hAnsi="宋体"/>
                <w:spacing w:val="-6"/>
                <w:szCs w:val="21"/>
              </w:rPr>
            </w:pPr>
          </w:p>
        </w:tc>
        <w:tc>
          <w:tcPr>
            <w:tcW w:w="1145" w:type="dxa"/>
            <w:noWrap w:val="0"/>
            <w:vAlign w:val="center"/>
          </w:tcPr>
          <w:p>
            <w:pPr>
              <w:jc w:val="center"/>
              <w:rPr>
                <w:rFonts w:ascii="宋体" w:hAnsi="宋体" w:cs="宋体"/>
                <w:kern w:val="0"/>
                <w:szCs w:val="21"/>
              </w:rPr>
            </w:pPr>
            <w:r>
              <w:rPr>
                <w:rFonts w:hint="eastAsia" w:ascii="宋体" w:hAnsi="宋体" w:cs="宋体"/>
                <w:kern w:val="0"/>
                <w:szCs w:val="21"/>
              </w:rPr>
              <w:t>项目实施方案</w:t>
            </w:r>
          </w:p>
        </w:tc>
        <w:tc>
          <w:tcPr>
            <w:tcW w:w="666" w:type="dxa"/>
            <w:noWrap w:val="0"/>
            <w:vAlign w:val="center"/>
          </w:tcPr>
          <w:p>
            <w:pPr>
              <w:widowControl/>
              <w:jc w:val="center"/>
              <w:rPr>
                <w:rFonts w:hint="eastAsia" w:ascii="宋体" w:hAnsi="宋体" w:cs="宋体"/>
                <w:kern w:val="0"/>
                <w:szCs w:val="21"/>
              </w:rPr>
            </w:pPr>
            <w:r>
              <w:rPr>
                <w:rFonts w:ascii="宋体" w:hAnsi="宋体" w:cs="宋体"/>
                <w:kern w:val="0"/>
                <w:szCs w:val="21"/>
              </w:rPr>
              <w:t>5</w:t>
            </w:r>
          </w:p>
        </w:tc>
        <w:tc>
          <w:tcPr>
            <w:tcW w:w="6046" w:type="dxa"/>
            <w:tcBorders>
              <w:bottom w:val="single" w:color="auto" w:sz="4" w:space="0"/>
            </w:tcBorders>
            <w:noWrap w:val="0"/>
            <w:vAlign w:val="center"/>
          </w:tcPr>
          <w:p>
            <w:pPr>
              <w:spacing w:line="320" w:lineRule="exact"/>
              <w:rPr>
                <w:rFonts w:hint="eastAsia" w:ascii="宋体" w:hAnsi="宋体" w:cs="宋体"/>
                <w:kern w:val="0"/>
                <w:szCs w:val="21"/>
              </w:rPr>
            </w:pPr>
            <w:r>
              <w:rPr>
                <w:rFonts w:hint="eastAsia" w:ascii="宋体" w:hAnsi="宋体" w:cs="宋体"/>
                <w:kern w:val="0"/>
                <w:szCs w:val="21"/>
              </w:rPr>
              <w:t>针对本项目有详细、具体、可行的实施方案，且方案合理科学，措施得当，有进度安排、质量保证综合比较打分，</w:t>
            </w:r>
          </w:p>
          <w:p>
            <w:pPr>
              <w:pStyle w:val="18"/>
              <w:rPr>
                <w:rFonts w:ascii="宋体" w:hAnsi="宋体" w:cs="宋体"/>
                <w:color w:val="000000"/>
                <w:szCs w:val="20"/>
              </w:rPr>
            </w:pPr>
            <w:r>
              <w:rPr>
                <w:rFonts w:hint="eastAsia" w:ascii="宋体" w:hAnsi="宋体" w:cs="宋体"/>
                <w:color w:val="000000"/>
                <w:szCs w:val="20"/>
              </w:rPr>
              <w:t>1、实施方案符合度、完整性、合理性强的得</w:t>
            </w:r>
            <w:r>
              <w:rPr>
                <w:rFonts w:ascii="宋体" w:hAnsi="宋体" w:cs="宋体"/>
                <w:color w:val="000000"/>
                <w:szCs w:val="20"/>
              </w:rPr>
              <w:t>5</w:t>
            </w:r>
            <w:r>
              <w:rPr>
                <w:rFonts w:hint="eastAsia" w:ascii="宋体" w:hAnsi="宋体" w:cs="宋体"/>
                <w:color w:val="000000"/>
                <w:szCs w:val="20"/>
              </w:rPr>
              <w:t>分</w:t>
            </w:r>
          </w:p>
          <w:p>
            <w:pPr>
              <w:pStyle w:val="18"/>
              <w:rPr>
                <w:rFonts w:ascii="宋体" w:hAnsi="宋体" w:cs="宋体"/>
                <w:color w:val="000000"/>
                <w:szCs w:val="20"/>
              </w:rPr>
            </w:pPr>
            <w:r>
              <w:rPr>
                <w:rFonts w:hint="eastAsia" w:ascii="宋体" w:hAnsi="宋体" w:cs="宋体"/>
                <w:color w:val="000000"/>
                <w:szCs w:val="20"/>
              </w:rPr>
              <w:t>2、实施方案符合度、完整性、合理较性强的得3分</w:t>
            </w:r>
          </w:p>
          <w:p>
            <w:pPr>
              <w:pStyle w:val="18"/>
              <w:rPr>
                <w:rFonts w:ascii="宋体" w:hAnsi="宋体" w:cs="宋体"/>
                <w:color w:val="000000"/>
                <w:szCs w:val="20"/>
              </w:rPr>
            </w:pPr>
            <w:r>
              <w:rPr>
                <w:rFonts w:hint="eastAsia" w:ascii="宋体" w:hAnsi="宋体" w:cs="宋体"/>
                <w:color w:val="000000"/>
                <w:szCs w:val="20"/>
              </w:rPr>
              <w:t>3、实施方案符合度、完整性、合理一般的得1分</w:t>
            </w:r>
          </w:p>
          <w:p>
            <w:pPr>
              <w:pStyle w:val="18"/>
              <w:rPr>
                <w:rFonts w:ascii="宋体" w:hAnsi="宋体" w:cs="宋体"/>
                <w:b/>
                <w:bCs/>
                <w:color w:val="000000"/>
                <w:szCs w:val="20"/>
              </w:rPr>
            </w:pPr>
            <w:r>
              <w:rPr>
                <w:rFonts w:hint="eastAsia" w:ascii="宋体" w:hAnsi="宋体" w:cs="宋体"/>
                <w:b/>
                <w:bCs/>
                <w:color w:val="000000"/>
                <w:szCs w:val="20"/>
              </w:rPr>
              <w:t>符合度：方案需对以上重点考察内容进行充分响应，不得提供与本评标项无关内容；</w:t>
            </w:r>
          </w:p>
          <w:p>
            <w:pPr>
              <w:pStyle w:val="18"/>
              <w:rPr>
                <w:rFonts w:ascii="宋体" w:hAnsi="宋体" w:cs="宋体"/>
                <w:b/>
                <w:bCs/>
                <w:color w:val="000000"/>
                <w:szCs w:val="20"/>
              </w:rPr>
            </w:pPr>
            <w:r>
              <w:rPr>
                <w:rFonts w:hint="eastAsia" w:ascii="宋体" w:hAnsi="宋体" w:cs="宋体"/>
                <w:b/>
                <w:bCs/>
                <w:color w:val="000000"/>
                <w:szCs w:val="20"/>
              </w:rPr>
              <w:t>完整性：方案需结合整体需求，进行全方面的系统建议，不得存在内容缺陷；</w:t>
            </w:r>
          </w:p>
          <w:p>
            <w:pPr>
              <w:spacing w:line="320" w:lineRule="exact"/>
              <w:rPr>
                <w:rFonts w:ascii="宋体" w:hAnsi="宋体" w:cs="宋体"/>
                <w:kern w:val="0"/>
                <w:szCs w:val="21"/>
              </w:rPr>
            </w:pPr>
            <w:r>
              <w:rPr>
                <w:rFonts w:hint="eastAsia" w:ascii="宋体" w:hAnsi="宋体" w:cs="宋体"/>
                <w:b/>
                <w:bCs/>
                <w:color w:val="000000"/>
                <w:szCs w:val="20"/>
              </w:rPr>
              <w:t>合理性：方案需依据项目功能性能要求及相关技术标准规范进行科学表述，要求方案合理可落地；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9" w:hRule="atLeast"/>
          <w:jc w:val="center"/>
        </w:trPr>
        <w:tc>
          <w:tcPr>
            <w:tcW w:w="1090" w:type="dxa"/>
            <w:vMerge w:val="continue"/>
            <w:noWrap w:val="0"/>
            <w:vAlign w:val="center"/>
          </w:tcPr>
          <w:p>
            <w:pPr>
              <w:adjustRightInd w:val="0"/>
              <w:snapToGrid w:val="0"/>
              <w:jc w:val="center"/>
              <w:rPr>
                <w:rFonts w:ascii="宋体" w:hAnsi="宋体"/>
                <w:spacing w:val="-6"/>
                <w:szCs w:val="21"/>
              </w:rPr>
            </w:pPr>
          </w:p>
        </w:tc>
        <w:tc>
          <w:tcPr>
            <w:tcW w:w="1145" w:type="dxa"/>
            <w:noWrap w:val="0"/>
            <w:vAlign w:val="center"/>
          </w:tcPr>
          <w:p>
            <w:pPr>
              <w:adjustRightInd w:val="0"/>
              <w:snapToGrid w:val="0"/>
              <w:jc w:val="center"/>
              <w:rPr>
                <w:rFonts w:ascii="宋体" w:hAnsi="宋体"/>
                <w:szCs w:val="21"/>
              </w:rPr>
            </w:pPr>
            <w:r>
              <w:rPr>
                <w:rFonts w:hint="eastAsia" w:ascii="宋体" w:hAnsi="宋体"/>
                <w:color w:val="000000"/>
                <w:szCs w:val="21"/>
              </w:rPr>
              <w:t>售后服务与培训方案</w:t>
            </w:r>
          </w:p>
        </w:tc>
        <w:tc>
          <w:tcPr>
            <w:tcW w:w="666" w:type="dxa"/>
            <w:tcBorders>
              <w:bottom w:val="single" w:color="auto" w:sz="4" w:space="0"/>
            </w:tcBorders>
            <w:noWrap w:val="0"/>
            <w:vAlign w:val="center"/>
          </w:tcPr>
          <w:p>
            <w:pPr>
              <w:snapToGrid w:val="0"/>
              <w:jc w:val="center"/>
              <w:rPr>
                <w:rFonts w:hint="eastAsia" w:ascii="宋体" w:hAnsi="宋体"/>
                <w:szCs w:val="21"/>
              </w:rPr>
            </w:pPr>
            <w:r>
              <w:rPr>
                <w:rFonts w:hint="eastAsia" w:ascii="宋体" w:hAnsi="宋体"/>
                <w:szCs w:val="21"/>
              </w:rPr>
              <w:t>5</w:t>
            </w:r>
          </w:p>
        </w:tc>
        <w:tc>
          <w:tcPr>
            <w:tcW w:w="6046" w:type="dxa"/>
            <w:tcBorders>
              <w:bottom w:val="single" w:color="auto" w:sz="4" w:space="0"/>
            </w:tcBorders>
            <w:noWrap w:val="0"/>
            <w:vAlign w:val="center"/>
          </w:tcPr>
          <w:p>
            <w:pPr>
              <w:spacing w:line="276" w:lineRule="auto"/>
              <w:rPr>
                <w:rFonts w:ascii="宋体" w:hAnsi="宋体"/>
                <w:color w:val="000000"/>
                <w:szCs w:val="21"/>
              </w:rPr>
            </w:pPr>
            <w:r>
              <w:rPr>
                <w:rFonts w:hint="eastAsia" w:ascii="宋体" w:hAnsi="宋体"/>
                <w:color w:val="000000"/>
                <w:szCs w:val="21"/>
              </w:rPr>
              <w:t>根据供应商的售后服务方案包括但不仅限于（售后服务响应机制、技术支持方式、保障措施、培训方案等）进行评分。</w:t>
            </w:r>
          </w:p>
          <w:p>
            <w:pPr>
              <w:pStyle w:val="18"/>
              <w:rPr>
                <w:rFonts w:ascii="宋体" w:hAnsi="宋体" w:cs="宋体"/>
                <w:color w:val="000000"/>
                <w:szCs w:val="20"/>
              </w:rPr>
            </w:pPr>
            <w:r>
              <w:rPr>
                <w:rFonts w:hint="eastAsia" w:ascii="宋体" w:hAnsi="宋体" w:cs="宋体"/>
                <w:color w:val="000000"/>
                <w:szCs w:val="20"/>
              </w:rPr>
              <w:t>1、方案符合度、完整性、合理性强的得5分</w:t>
            </w:r>
          </w:p>
          <w:p>
            <w:pPr>
              <w:pStyle w:val="18"/>
              <w:rPr>
                <w:rFonts w:ascii="宋体" w:hAnsi="宋体" w:cs="宋体"/>
                <w:color w:val="000000"/>
                <w:szCs w:val="20"/>
              </w:rPr>
            </w:pPr>
            <w:r>
              <w:rPr>
                <w:rFonts w:hint="eastAsia" w:ascii="宋体" w:hAnsi="宋体" w:cs="宋体"/>
                <w:color w:val="000000"/>
                <w:szCs w:val="20"/>
              </w:rPr>
              <w:t>2、方案符合度、完整性、合理较性强的得3分</w:t>
            </w:r>
          </w:p>
          <w:p>
            <w:pPr>
              <w:pStyle w:val="18"/>
              <w:rPr>
                <w:rFonts w:ascii="宋体" w:hAnsi="宋体" w:cs="宋体"/>
                <w:color w:val="000000"/>
                <w:szCs w:val="20"/>
              </w:rPr>
            </w:pPr>
            <w:r>
              <w:rPr>
                <w:rFonts w:hint="eastAsia" w:ascii="宋体" w:hAnsi="宋体" w:cs="宋体"/>
                <w:color w:val="000000"/>
                <w:szCs w:val="20"/>
              </w:rPr>
              <w:t>3、方案符合度、完整性、合理一般的得1分</w:t>
            </w:r>
          </w:p>
          <w:p>
            <w:pPr>
              <w:pStyle w:val="18"/>
              <w:rPr>
                <w:rFonts w:ascii="宋体" w:hAnsi="宋体" w:cs="宋体"/>
                <w:b/>
                <w:bCs/>
                <w:color w:val="000000"/>
                <w:szCs w:val="20"/>
              </w:rPr>
            </w:pPr>
            <w:r>
              <w:rPr>
                <w:rFonts w:hint="eastAsia" w:ascii="宋体" w:hAnsi="宋体" w:cs="宋体"/>
                <w:b/>
                <w:bCs/>
                <w:color w:val="000000"/>
                <w:szCs w:val="20"/>
              </w:rPr>
              <w:t>符合度：方案需对以上重点考察内容进行充分响应，不得提供与本评标项无关内容；</w:t>
            </w:r>
          </w:p>
          <w:p>
            <w:pPr>
              <w:pStyle w:val="18"/>
              <w:rPr>
                <w:rFonts w:ascii="宋体" w:hAnsi="宋体" w:cs="宋体"/>
                <w:b/>
                <w:bCs/>
                <w:color w:val="000000"/>
                <w:szCs w:val="20"/>
              </w:rPr>
            </w:pPr>
            <w:r>
              <w:rPr>
                <w:rFonts w:hint="eastAsia" w:ascii="宋体" w:hAnsi="宋体" w:cs="宋体"/>
                <w:b/>
                <w:bCs/>
                <w:color w:val="000000"/>
                <w:szCs w:val="20"/>
              </w:rPr>
              <w:t>完整性：方案需结合整体需求，进行全方面的系统建议，不得存在内容缺陷；</w:t>
            </w:r>
          </w:p>
          <w:p>
            <w:pPr>
              <w:pStyle w:val="18"/>
              <w:rPr>
                <w:rFonts w:ascii="宋体" w:hAnsi="宋体" w:cs="宋体"/>
                <w:color w:val="000000"/>
                <w:szCs w:val="20"/>
              </w:rPr>
            </w:pPr>
            <w:r>
              <w:rPr>
                <w:rFonts w:hint="eastAsia" w:ascii="宋体" w:hAnsi="宋体" w:cs="宋体"/>
                <w:b/>
                <w:bCs/>
                <w:color w:val="000000"/>
                <w:szCs w:val="20"/>
              </w:rPr>
              <w:t>合理性：方案需依据项目功能性能要求及相关技术标准规范进行科学表述，要求方案合理可落地；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0" w:type="dxa"/>
            <w:vMerge w:val="continue"/>
            <w:noWrap w:val="0"/>
            <w:vAlign w:val="center"/>
          </w:tcPr>
          <w:p>
            <w:pPr>
              <w:adjustRightInd w:val="0"/>
              <w:snapToGrid w:val="0"/>
              <w:jc w:val="center"/>
              <w:rPr>
                <w:rFonts w:ascii="宋体" w:hAnsi="宋体"/>
                <w:spacing w:val="-6"/>
                <w:szCs w:val="21"/>
              </w:rPr>
            </w:pPr>
          </w:p>
        </w:tc>
        <w:tc>
          <w:tcPr>
            <w:tcW w:w="1145" w:type="dxa"/>
            <w:noWrap w:val="0"/>
            <w:vAlign w:val="center"/>
          </w:tcPr>
          <w:p>
            <w:pPr>
              <w:pStyle w:val="421"/>
              <w:adjustRightInd/>
              <w:spacing w:line="240" w:lineRule="auto"/>
              <w:ind w:firstLine="0" w:firstLineChars="0"/>
              <w:jc w:val="center"/>
              <w:textAlignment w:val="auto"/>
              <w:rPr>
                <w:rFonts w:hint="eastAsia"/>
                <w:color w:val="000000"/>
                <w:sz w:val="21"/>
                <w:szCs w:val="21"/>
                <w:highlight w:val="none"/>
                <w:lang w:val="en-US" w:bidi="ar-SA"/>
              </w:rPr>
            </w:pPr>
            <w:r>
              <w:rPr>
                <w:rFonts w:hint="eastAsia"/>
                <w:color w:val="000000"/>
                <w:sz w:val="21"/>
                <w:szCs w:val="21"/>
                <w:highlight w:val="none"/>
                <w:lang w:val="en-US" w:bidi="ar-SA"/>
              </w:rPr>
              <w:t>对本项目</w:t>
            </w:r>
          </w:p>
          <w:p>
            <w:pPr>
              <w:spacing w:line="320" w:lineRule="exact"/>
              <w:jc w:val="center"/>
              <w:rPr>
                <w:rFonts w:hint="default" w:ascii="宋体" w:hAnsi="宋体" w:eastAsia="宋体"/>
                <w:szCs w:val="21"/>
                <w:lang w:val="en-US" w:eastAsia="zh-CN"/>
              </w:rPr>
            </w:pPr>
            <w:r>
              <w:rPr>
                <w:rFonts w:hint="eastAsia"/>
                <w:color w:val="000000"/>
                <w:sz w:val="21"/>
                <w:szCs w:val="21"/>
                <w:highlight w:val="none"/>
                <w:lang w:val="en-US" w:bidi="ar-SA"/>
              </w:rPr>
              <w:t>重点、难点分析</w:t>
            </w:r>
          </w:p>
        </w:tc>
        <w:tc>
          <w:tcPr>
            <w:tcW w:w="666" w:type="dxa"/>
            <w:tcBorders>
              <w:bottom w:val="single" w:color="auto" w:sz="4" w:space="0"/>
            </w:tcBorders>
            <w:noWrap w:val="0"/>
            <w:vAlign w:val="center"/>
          </w:tcPr>
          <w:p>
            <w:pPr>
              <w:snapToGrid w:val="0"/>
              <w:jc w:val="center"/>
              <w:rPr>
                <w:rFonts w:hint="eastAsia" w:ascii="宋体" w:hAnsi="宋体"/>
                <w:color w:val="000000"/>
                <w:szCs w:val="21"/>
              </w:rPr>
            </w:pPr>
            <w:r>
              <w:rPr>
                <w:rFonts w:hint="eastAsia" w:ascii="宋体" w:hAnsi="宋体"/>
                <w:szCs w:val="21"/>
                <w:lang w:val="en-US" w:eastAsia="zh-CN"/>
              </w:rPr>
              <w:t>5</w:t>
            </w:r>
          </w:p>
        </w:tc>
        <w:tc>
          <w:tcPr>
            <w:tcW w:w="6046" w:type="dxa"/>
            <w:tcBorders>
              <w:bottom w:val="single" w:color="auto" w:sz="4" w:space="0"/>
            </w:tcBorders>
            <w:noWrap w:val="0"/>
            <w:vAlign w:val="center"/>
          </w:tcPr>
          <w:p>
            <w:pPr>
              <w:autoSpaceDE w:val="0"/>
              <w:autoSpaceDN w:val="0"/>
              <w:spacing w:line="240" w:lineRule="auto"/>
              <w:ind w:firstLine="0" w:firstLineChars="0"/>
              <w:textAlignment w:val="auto"/>
              <w:rPr>
                <w:rFonts w:ascii="宋体" w:cs="宋体"/>
                <w:sz w:val="21"/>
                <w:szCs w:val="21"/>
                <w:highlight w:val="none"/>
              </w:rPr>
            </w:pPr>
            <w:r>
              <w:rPr>
                <w:rFonts w:hint="eastAsia" w:ascii="宋体" w:cs="宋体"/>
                <w:sz w:val="21"/>
                <w:szCs w:val="21"/>
                <w:highlight w:val="none"/>
                <w:lang w:val="en-US" w:eastAsia="zh-CN"/>
              </w:rPr>
              <w:t>结合实际情况</w:t>
            </w:r>
            <w:r>
              <w:rPr>
                <w:rFonts w:hint="eastAsia" w:ascii="宋体" w:cs="宋体"/>
                <w:sz w:val="21"/>
                <w:szCs w:val="21"/>
                <w:highlight w:val="none"/>
              </w:rPr>
              <w:t>对</w:t>
            </w:r>
            <w:r>
              <w:rPr>
                <w:rFonts w:hint="eastAsia" w:ascii="宋体" w:cs="宋体"/>
                <w:sz w:val="21"/>
                <w:szCs w:val="21"/>
                <w:highlight w:val="none"/>
                <w:lang w:val="en-US" w:eastAsia="zh-CN"/>
              </w:rPr>
              <w:t>本项目系统搭建</w:t>
            </w:r>
            <w:r>
              <w:rPr>
                <w:rFonts w:hint="eastAsia" w:ascii="宋体" w:cs="宋体"/>
                <w:sz w:val="21"/>
                <w:szCs w:val="21"/>
                <w:highlight w:val="none"/>
              </w:rPr>
              <w:t>的重难点进行分析</w:t>
            </w:r>
            <w:r>
              <w:rPr>
                <w:rFonts w:hint="eastAsia" w:ascii="宋体" w:cs="宋体"/>
                <w:sz w:val="21"/>
                <w:szCs w:val="21"/>
                <w:highlight w:val="none"/>
                <w:lang w:eastAsia="zh-CN"/>
              </w:rPr>
              <w:t>（</w:t>
            </w:r>
            <w:r>
              <w:rPr>
                <w:rFonts w:hint="eastAsia" w:ascii="宋体" w:cs="宋体"/>
                <w:sz w:val="21"/>
                <w:szCs w:val="21"/>
                <w:highlight w:val="none"/>
                <w:lang w:val="en-US" w:eastAsia="zh-CN"/>
              </w:rPr>
              <w:t>包括但不限于</w:t>
            </w:r>
            <w:r>
              <w:rPr>
                <w:rFonts w:ascii="宋体" w:hAnsi="宋体"/>
                <w:color w:val="000000"/>
                <w:sz w:val="21"/>
                <w:szCs w:val="21"/>
                <w:highlight w:val="none"/>
              </w:rPr>
              <w:t>培养方案</w:t>
            </w:r>
            <w:r>
              <w:rPr>
                <w:rFonts w:hint="eastAsia" w:ascii="宋体" w:hAnsi="宋体"/>
                <w:color w:val="000000"/>
                <w:sz w:val="21"/>
                <w:szCs w:val="21"/>
                <w:highlight w:val="none"/>
                <w:lang w:eastAsia="zh-CN"/>
              </w:rPr>
              <w:t>、</w:t>
            </w:r>
            <w:r>
              <w:rPr>
                <w:rFonts w:ascii="宋体" w:hAnsi="宋体"/>
                <w:color w:val="000000"/>
                <w:sz w:val="21"/>
                <w:szCs w:val="21"/>
                <w:highlight w:val="none"/>
              </w:rPr>
              <w:t>教学任务</w:t>
            </w:r>
            <w:r>
              <w:rPr>
                <w:rFonts w:hint="eastAsia" w:ascii="宋体" w:hAnsi="宋体"/>
                <w:color w:val="000000"/>
                <w:sz w:val="21"/>
                <w:szCs w:val="21"/>
                <w:highlight w:val="none"/>
                <w:lang w:eastAsia="zh-CN"/>
              </w:rPr>
              <w:t>、</w:t>
            </w:r>
            <w:r>
              <w:rPr>
                <w:rFonts w:ascii="宋体" w:hAnsi="宋体"/>
                <w:color w:val="000000"/>
                <w:sz w:val="21"/>
                <w:szCs w:val="21"/>
                <w:highlight w:val="none"/>
              </w:rPr>
              <w:t>排课管理</w:t>
            </w:r>
            <w:r>
              <w:rPr>
                <w:rFonts w:hint="eastAsia" w:ascii="宋体" w:cs="宋体"/>
                <w:sz w:val="21"/>
                <w:szCs w:val="21"/>
                <w:highlight w:val="none"/>
                <w:lang w:val="en-US" w:eastAsia="zh-CN"/>
              </w:rPr>
              <w:t>等</w:t>
            </w:r>
            <w:r>
              <w:rPr>
                <w:rFonts w:hint="eastAsia" w:ascii="宋体" w:cs="宋体"/>
                <w:sz w:val="21"/>
                <w:szCs w:val="21"/>
                <w:highlight w:val="none"/>
                <w:lang w:eastAsia="zh-CN"/>
              </w:rPr>
              <w:t>）</w:t>
            </w:r>
            <w:r>
              <w:rPr>
                <w:rFonts w:hint="eastAsia" w:ascii="宋体" w:cs="宋体"/>
                <w:sz w:val="21"/>
                <w:szCs w:val="21"/>
                <w:highlight w:val="none"/>
              </w:rPr>
              <w:t>：</w:t>
            </w:r>
          </w:p>
          <w:p>
            <w:pPr>
              <w:autoSpaceDE w:val="0"/>
              <w:autoSpaceDN w:val="0"/>
              <w:spacing w:line="240" w:lineRule="auto"/>
              <w:ind w:firstLine="0" w:firstLineChars="0"/>
              <w:textAlignment w:val="auto"/>
              <w:rPr>
                <w:rFonts w:ascii="宋体" w:cs="宋体"/>
                <w:sz w:val="21"/>
                <w:szCs w:val="21"/>
                <w:highlight w:val="none"/>
              </w:rPr>
            </w:pPr>
            <w:r>
              <w:rPr>
                <w:rFonts w:ascii="宋体" w:cs="宋体"/>
                <w:sz w:val="21"/>
                <w:szCs w:val="21"/>
                <w:highlight w:val="none"/>
              </w:rPr>
              <w:t>1</w:t>
            </w:r>
            <w:r>
              <w:rPr>
                <w:rFonts w:hint="eastAsia" w:ascii="宋体" w:cs="宋体"/>
                <w:sz w:val="21"/>
                <w:szCs w:val="21"/>
                <w:highlight w:val="none"/>
                <w:lang w:eastAsia="zh-CN"/>
              </w:rPr>
              <w:t>、</w:t>
            </w:r>
            <w:r>
              <w:rPr>
                <w:rFonts w:hint="eastAsia" w:ascii="宋体" w:cs="宋体"/>
                <w:sz w:val="21"/>
                <w:szCs w:val="21"/>
                <w:highlight w:val="none"/>
                <w:lang w:val="en-US" w:eastAsia="zh-CN"/>
              </w:rPr>
              <w:t>重难点分析</w:t>
            </w:r>
            <w:r>
              <w:rPr>
                <w:rFonts w:hint="eastAsia" w:ascii="宋体" w:cs="宋体"/>
                <w:sz w:val="21"/>
                <w:szCs w:val="21"/>
                <w:highlight w:val="none"/>
              </w:rPr>
              <w:t>紧密围绕项目的实际情况进行重点和难点分析，分析系统深入，提出的应对措施以及合理化建议针对性强，具有显著的可行性的</w:t>
            </w:r>
            <w:r>
              <w:rPr>
                <w:rFonts w:hint="eastAsia" w:ascii="宋体" w:cs="宋体"/>
                <w:sz w:val="21"/>
                <w:szCs w:val="21"/>
                <w:highlight w:val="none"/>
                <w:lang w:val="en-US" w:eastAsia="zh-CN"/>
              </w:rPr>
              <w:t>得5分</w:t>
            </w:r>
            <w:r>
              <w:rPr>
                <w:rFonts w:hint="eastAsia" w:ascii="宋体" w:cs="宋体"/>
                <w:sz w:val="21"/>
                <w:szCs w:val="21"/>
                <w:highlight w:val="none"/>
              </w:rPr>
              <w:t>；</w:t>
            </w:r>
          </w:p>
          <w:p>
            <w:pPr>
              <w:autoSpaceDE w:val="0"/>
              <w:autoSpaceDN w:val="0"/>
              <w:spacing w:line="240" w:lineRule="auto"/>
              <w:ind w:firstLine="0" w:firstLineChars="0"/>
              <w:textAlignment w:val="auto"/>
              <w:rPr>
                <w:rFonts w:ascii="宋体" w:cs="宋体"/>
                <w:sz w:val="21"/>
                <w:szCs w:val="21"/>
                <w:highlight w:val="none"/>
              </w:rPr>
            </w:pPr>
            <w:r>
              <w:rPr>
                <w:rFonts w:ascii="宋体" w:cs="宋体"/>
                <w:sz w:val="21"/>
                <w:szCs w:val="21"/>
                <w:highlight w:val="none"/>
              </w:rPr>
              <w:t>2</w:t>
            </w:r>
            <w:r>
              <w:rPr>
                <w:rFonts w:hint="eastAsia" w:ascii="宋体" w:cs="宋体"/>
                <w:sz w:val="21"/>
                <w:szCs w:val="21"/>
                <w:highlight w:val="none"/>
                <w:lang w:eastAsia="zh-CN"/>
              </w:rPr>
              <w:t>、</w:t>
            </w:r>
            <w:r>
              <w:rPr>
                <w:rFonts w:hint="eastAsia" w:ascii="宋体" w:cs="宋体"/>
                <w:sz w:val="21"/>
                <w:szCs w:val="21"/>
                <w:highlight w:val="none"/>
                <w:lang w:val="en-US" w:eastAsia="zh-CN"/>
              </w:rPr>
              <w:t>重难点分析</w:t>
            </w:r>
            <w:r>
              <w:rPr>
                <w:rFonts w:hint="eastAsia" w:ascii="宋体" w:cs="宋体"/>
                <w:sz w:val="21"/>
                <w:szCs w:val="21"/>
                <w:highlight w:val="none"/>
              </w:rPr>
              <w:t>围绕项目的实际情况进行重点和难点分析，分析较为系统深入，提出的应对措施以及合理化建议部分内容和本项目内容贴合，并阐述了部分的实施方案，但经评审认为可能部分不确定性的</w:t>
            </w:r>
            <w:r>
              <w:rPr>
                <w:rFonts w:hint="eastAsia" w:ascii="宋体" w:cs="宋体"/>
                <w:sz w:val="21"/>
                <w:szCs w:val="21"/>
                <w:highlight w:val="none"/>
                <w:lang w:val="en-US" w:eastAsia="zh-CN"/>
              </w:rPr>
              <w:t>得3分</w:t>
            </w:r>
            <w:r>
              <w:rPr>
                <w:rFonts w:hint="eastAsia" w:ascii="宋体" w:cs="宋体"/>
                <w:sz w:val="21"/>
                <w:szCs w:val="21"/>
                <w:highlight w:val="none"/>
              </w:rPr>
              <w:t>；</w:t>
            </w:r>
          </w:p>
          <w:p>
            <w:pPr>
              <w:autoSpaceDE w:val="0"/>
              <w:autoSpaceDN w:val="0"/>
              <w:spacing w:line="240" w:lineRule="auto"/>
              <w:ind w:firstLine="0" w:firstLineChars="0"/>
              <w:textAlignment w:val="auto"/>
              <w:rPr>
                <w:sz w:val="21"/>
                <w:szCs w:val="21"/>
                <w:highlight w:val="none"/>
              </w:rPr>
            </w:pPr>
            <w:r>
              <w:rPr>
                <w:rFonts w:ascii="宋体" w:cs="宋体"/>
                <w:sz w:val="21"/>
                <w:szCs w:val="21"/>
                <w:highlight w:val="none"/>
              </w:rPr>
              <w:t>3</w:t>
            </w:r>
            <w:r>
              <w:rPr>
                <w:rFonts w:hint="eastAsia" w:ascii="宋体" w:cs="宋体"/>
                <w:sz w:val="21"/>
                <w:szCs w:val="21"/>
                <w:highlight w:val="none"/>
                <w:lang w:eastAsia="zh-CN"/>
              </w:rPr>
              <w:t>、</w:t>
            </w:r>
            <w:r>
              <w:rPr>
                <w:rFonts w:hint="eastAsia" w:ascii="宋体" w:cs="宋体"/>
                <w:sz w:val="21"/>
                <w:szCs w:val="21"/>
                <w:highlight w:val="none"/>
                <w:lang w:val="en-US" w:eastAsia="zh-CN"/>
              </w:rPr>
              <w:t>重难点分析</w:t>
            </w:r>
            <w:r>
              <w:rPr>
                <w:rFonts w:hint="eastAsia" w:ascii="宋体" w:cs="宋体"/>
                <w:sz w:val="21"/>
                <w:szCs w:val="21"/>
                <w:highlight w:val="none"/>
              </w:rPr>
              <w:t>围绕项目的实际情况进行重点和难点分析，只做了简要分析，并未展开数据或论述观点，</w:t>
            </w:r>
            <w:r>
              <w:rPr>
                <w:rFonts w:hint="eastAsia"/>
                <w:sz w:val="21"/>
                <w:szCs w:val="21"/>
                <w:highlight w:val="none"/>
              </w:rPr>
              <w:t>只提出部分合理化建议，但未展开实施方案及路径或保障措施的</w:t>
            </w:r>
            <w:r>
              <w:rPr>
                <w:rFonts w:hint="eastAsia"/>
                <w:sz w:val="21"/>
                <w:szCs w:val="21"/>
                <w:highlight w:val="none"/>
                <w:lang w:val="en-US" w:eastAsia="zh-CN"/>
              </w:rPr>
              <w:t>得1分</w:t>
            </w:r>
            <w:r>
              <w:rPr>
                <w:rFonts w:hint="eastAsia"/>
                <w:sz w:val="21"/>
                <w:szCs w:val="21"/>
                <w:highlight w:val="none"/>
              </w:rPr>
              <w:t>；</w:t>
            </w:r>
          </w:p>
          <w:p>
            <w:pPr>
              <w:adjustRightInd w:val="0"/>
              <w:spacing w:line="320" w:lineRule="exact"/>
              <w:rPr>
                <w:rFonts w:hint="eastAsia" w:ascii="宋体" w:hAnsi="宋体"/>
                <w:color w:val="000000"/>
                <w:szCs w:val="21"/>
              </w:rPr>
            </w:pPr>
            <w:r>
              <w:rPr>
                <w:sz w:val="21"/>
                <w:szCs w:val="21"/>
                <w:highlight w:val="none"/>
              </w:rPr>
              <w:t>4</w:t>
            </w:r>
            <w:r>
              <w:rPr>
                <w:rFonts w:hint="eastAsia"/>
                <w:sz w:val="21"/>
                <w:szCs w:val="21"/>
                <w:highlight w:val="none"/>
                <w:lang w:eastAsia="zh-CN"/>
              </w:rPr>
              <w:t>、</w:t>
            </w:r>
            <w:r>
              <w:rPr>
                <w:rFonts w:hint="eastAsia"/>
                <w:sz w:val="21"/>
                <w:szCs w:val="21"/>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gridSpan w:val="2"/>
            <w:noWrap w:val="0"/>
            <w:vAlign w:val="center"/>
          </w:tcPr>
          <w:p>
            <w:pPr>
              <w:snapToGrid w:val="0"/>
              <w:jc w:val="center"/>
              <w:rPr>
                <w:rFonts w:ascii="宋体" w:hAnsi="宋体"/>
                <w:szCs w:val="21"/>
              </w:rPr>
            </w:pPr>
          </w:p>
        </w:tc>
        <w:tc>
          <w:tcPr>
            <w:tcW w:w="666" w:type="dxa"/>
            <w:tcBorders>
              <w:bottom w:val="single" w:color="auto" w:sz="4" w:space="0"/>
            </w:tcBorders>
            <w:noWrap w:val="0"/>
            <w:vAlign w:val="center"/>
          </w:tcPr>
          <w:p>
            <w:pPr>
              <w:snapToGrid w:val="0"/>
              <w:jc w:val="center"/>
              <w:rPr>
                <w:rFonts w:hint="eastAsia" w:ascii="宋体" w:hAnsi="宋体"/>
                <w:szCs w:val="21"/>
              </w:rPr>
            </w:pPr>
            <w:r>
              <w:rPr>
                <w:rFonts w:hint="eastAsia" w:ascii="宋体" w:hAnsi="宋体"/>
                <w:szCs w:val="21"/>
              </w:rPr>
              <w:t>100</w:t>
            </w:r>
          </w:p>
        </w:tc>
        <w:tc>
          <w:tcPr>
            <w:tcW w:w="6046" w:type="dxa"/>
            <w:noWrap w:val="0"/>
            <w:vAlign w:val="center"/>
          </w:tcPr>
          <w:p>
            <w:pPr>
              <w:adjustRightInd w:val="0"/>
              <w:spacing w:line="320" w:lineRule="exact"/>
              <w:jc w:val="center"/>
              <w:rPr>
                <w:rFonts w:ascii="宋体" w:hAnsi="宋体" w:cs="宋体"/>
                <w:color w:val="000000"/>
                <w:kern w:val="0"/>
                <w:sz w:val="20"/>
                <w:szCs w:val="20"/>
              </w:rPr>
            </w:pPr>
          </w:p>
        </w:tc>
      </w:tr>
    </w:tbl>
    <w:p>
      <w:pPr>
        <w:keepNext/>
        <w:keepLines/>
        <w:snapToGrid w:val="0"/>
        <w:spacing w:before="120" w:beforeLines="50" w:line="360" w:lineRule="auto"/>
        <w:ind w:firstLine="482" w:firstLineChars="200"/>
        <w:jc w:val="left"/>
        <w:outlineLvl w:val="1"/>
        <w:rPr>
          <w:rFonts w:ascii="宋体" w:hAnsi="宋体" w:cs="仿宋_GB2312"/>
          <w:b/>
          <w:sz w:val="24"/>
        </w:rPr>
      </w:pPr>
      <w:r>
        <w:rPr>
          <w:rFonts w:hint="eastAsia" w:ascii="宋体" w:hAnsi="宋体" w:cs="仿宋_GB2312"/>
          <w:b/>
          <w:sz w:val="24"/>
        </w:rPr>
        <w:t>三、编写评审报告</w:t>
      </w:r>
      <w:bookmarkEnd w:id="478"/>
      <w:bookmarkEnd w:id="479"/>
      <w:bookmarkEnd w:id="480"/>
    </w:p>
    <w:p>
      <w:pPr>
        <w:keepNext/>
        <w:keepLines/>
        <w:snapToGrid w:val="0"/>
        <w:spacing w:line="360" w:lineRule="auto"/>
        <w:ind w:firstLine="482" w:firstLineChars="200"/>
        <w:jc w:val="left"/>
        <w:outlineLvl w:val="1"/>
        <w:rPr>
          <w:rFonts w:ascii="宋体" w:hAnsi="宋体" w:cs="仿宋_GB2312"/>
          <w:b/>
          <w:sz w:val="24"/>
        </w:rPr>
      </w:pPr>
      <w:bookmarkStart w:id="481" w:name="_Toc51674271"/>
      <w:bookmarkStart w:id="482" w:name="_Toc48688852"/>
      <w:bookmarkStart w:id="483" w:name="_Toc46772290"/>
      <w:bookmarkStart w:id="484" w:name="_Toc52962787"/>
      <w:bookmarkStart w:id="485" w:name="_Toc16383"/>
      <w:bookmarkStart w:id="486" w:name="_Toc52960613"/>
      <w:bookmarkStart w:id="487" w:name="_Toc48846169"/>
      <w:r>
        <w:rPr>
          <w:rFonts w:hint="eastAsia" w:ascii="宋体" w:hAnsi="宋体" w:cs="仿宋_GB2312"/>
          <w:b/>
          <w:sz w:val="24"/>
        </w:rPr>
        <w:t>（一）评审报告的内容</w:t>
      </w:r>
      <w:bookmarkEnd w:id="481"/>
      <w:bookmarkEnd w:id="482"/>
      <w:bookmarkEnd w:id="483"/>
      <w:bookmarkEnd w:id="484"/>
      <w:bookmarkEnd w:id="485"/>
      <w:bookmarkEnd w:id="486"/>
      <w:bookmarkEnd w:id="487"/>
    </w:p>
    <w:p>
      <w:pPr>
        <w:adjustRightInd w:val="0"/>
        <w:snapToGrid w:val="0"/>
        <w:spacing w:line="360" w:lineRule="auto"/>
        <w:ind w:firstLine="480" w:firstLineChars="200"/>
        <w:textAlignment w:val="baseline"/>
        <w:rPr>
          <w:rFonts w:ascii="宋体" w:hAnsi="宋体" w:cs="仿宋_GB2312"/>
          <w:bCs/>
          <w:kern w:val="0"/>
          <w:sz w:val="24"/>
        </w:rPr>
      </w:pPr>
      <w:r>
        <w:rPr>
          <w:rFonts w:hint="eastAsia" w:ascii="宋体" w:hAnsi="宋体" w:cs="仿宋_GB2312"/>
          <w:bCs/>
          <w:kern w:val="0"/>
          <w:sz w:val="24"/>
        </w:rPr>
        <w:t>评审报告应当包括以下主要内容：</w:t>
      </w:r>
    </w:p>
    <w:p>
      <w:pPr>
        <w:adjustRightInd w:val="0"/>
        <w:snapToGrid w:val="0"/>
        <w:spacing w:line="360" w:lineRule="auto"/>
        <w:ind w:firstLine="480" w:firstLineChars="200"/>
        <w:textAlignment w:val="baseline"/>
        <w:rPr>
          <w:rFonts w:ascii="宋体" w:hAnsi="宋体" w:cs="仿宋_GB2312"/>
          <w:bCs/>
          <w:kern w:val="0"/>
          <w:sz w:val="24"/>
        </w:rPr>
      </w:pPr>
      <w:r>
        <w:rPr>
          <w:rFonts w:hint="eastAsia" w:ascii="宋体" w:hAnsi="宋体" w:cs="仿宋_GB2312"/>
          <w:bCs/>
          <w:kern w:val="0"/>
          <w:sz w:val="24"/>
        </w:rPr>
        <w:t>（1）邀请供应商参加采购活动的具体方式和相关情况。</w:t>
      </w:r>
    </w:p>
    <w:p>
      <w:pPr>
        <w:adjustRightInd w:val="0"/>
        <w:snapToGrid w:val="0"/>
        <w:spacing w:line="360" w:lineRule="auto"/>
        <w:ind w:firstLine="480" w:firstLineChars="200"/>
        <w:textAlignment w:val="baseline"/>
        <w:rPr>
          <w:rFonts w:ascii="宋体" w:hAnsi="宋体" w:cs="仿宋_GB2312"/>
          <w:bCs/>
          <w:kern w:val="0"/>
          <w:sz w:val="24"/>
        </w:rPr>
      </w:pPr>
      <w:r>
        <w:rPr>
          <w:rFonts w:hint="eastAsia" w:ascii="宋体" w:hAnsi="宋体" w:cs="仿宋_GB2312"/>
          <w:bCs/>
          <w:kern w:val="0"/>
          <w:sz w:val="24"/>
        </w:rPr>
        <w:t>（2）响应文件开启日期和地点。</w:t>
      </w:r>
    </w:p>
    <w:p>
      <w:pPr>
        <w:adjustRightInd w:val="0"/>
        <w:snapToGrid w:val="0"/>
        <w:spacing w:line="360" w:lineRule="auto"/>
        <w:ind w:firstLine="480" w:firstLineChars="200"/>
        <w:textAlignment w:val="baseline"/>
        <w:rPr>
          <w:rFonts w:ascii="宋体" w:hAnsi="宋体" w:cs="仿宋_GB2312"/>
          <w:bCs/>
          <w:kern w:val="0"/>
          <w:sz w:val="24"/>
        </w:rPr>
      </w:pPr>
      <w:r>
        <w:rPr>
          <w:rFonts w:hint="eastAsia" w:ascii="宋体" w:hAnsi="宋体" w:cs="仿宋_GB2312"/>
          <w:bCs/>
          <w:kern w:val="0"/>
          <w:sz w:val="24"/>
        </w:rPr>
        <w:t>（3）获取磋商文件的供应商名单和磋商小组成员名单。</w:t>
      </w:r>
    </w:p>
    <w:p>
      <w:pPr>
        <w:adjustRightInd w:val="0"/>
        <w:snapToGrid w:val="0"/>
        <w:spacing w:line="360" w:lineRule="auto"/>
        <w:ind w:firstLine="480" w:firstLineChars="200"/>
        <w:textAlignment w:val="baseline"/>
        <w:rPr>
          <w:rFonts w:ascii="宋体" w:hAnsi="宋体" w:cs="仿宋_GB2312"/>
          <w:bCs/>
          <w:kern w:val="0"/>
          <w:sz w:val="24"/>
        </w:rPr>
      </w:pPr>
      <w:r>
        <w:rPr>
          <w:rFonts w:hint="eastAsia" w:ascii="宋体" w:hAnsi="宋体" w:cs="仿宋_GB2312"/>
          <w:bCs/>
          <w:kern w:val="0"/>
          <w:sz w:val="24"/>
        </w:rPr>
        <w:t>（4）评审情况记录和说明，包括对供应商的资格审查情况、供应商响应文件评审情况、磋商情况、报价情况等。</w:t>
      </w:r>
    </w:p>
    <w:p>
      <w:pPr>
        <w:adjustRightInd w:val="0"/>
        <w:snapToGrid w:val="0"/>
        <w:spacing w:line="360" w:lineRule="auto"/>
        <w:ind w:firstLine="480" w:firstLineChars="200"/>
        <w:textAlignment w:val="baseline"/>
        <w:rPr>
          <w:rFonts w:ascii="宋体" w:hAnsi="宋体" w:cs="仿宋_GB2312"/>
          <w:bCs/>
          <w:kern w:val="0"/>
          <w:sz w:val="24"/>
        </w:rPr>
      </w:pPr>
      <w:r>
        <w:rPr>
          <w:rFonts w:hint="eastAsia" w:ascii="宋体" w:hAnsi="宋体" w:cs="仿宋_GB2312"/>
          <w:bCs/>
          <w:kern w:val="0"/>
          <w:sz w:val="24"/>
        </w:rPr>
        <w:t>（5）提出的成交候选供应商的排序名单及理由。</w:t>
      </w:r>
    </w:p>
    <w:p>
      <w:pPr>
        <w:keepNext/>
        <w:keepLines/>
        <w:snapToGrid w:val="0"/>
        <w:spacing w:line="360" w:lineRule="auto"/>
        <w:ind w:firstLine="482" w:firstLineChars="200"/>
        <w:jc w:val="left"/>
        <w:outlineLvl w:val="1"/>
        <w:rPr>
          <w:rFonts w:ascii="宋体" w:hAnsi="宋体" w:cs="仿宋_GB2312"/>
          <w:b/>
          <w:sz w:val="24"/>
        </w:rPr>
      </w:pPr>
      <w:bookmarkStart w:id="488" w:name="_Toc51674272"/>
      <w:bookmarkStart w:id="489" w:name="_Toc52962788"/>
      <w:bookmarkStart w:id="490" w:name="_Toc8738"/>
      <w:bookmarkStart w:id="491" w:name="_Toc48846170"/>
      <w:bookmarkStart w:id="492" w:name="_Toc52960614"/>
      <w:bookmarkStart w:id="493" w:name="_Toc46772291"/>
      <w:bookmarkStart w:id="494" w:name="_Toc48688853"/>
      <w:r>
        <w:rPr>
          <w:rFonts w:hint="eastAsia" w:ascii="宋体" w:hAnsi="宋体" w:cs="仿宋_GB2312"/>
          <w:b/>
          <w:sz w:val="24"/>
        </w:rPr>
        <w:t>（二）评审报告的签署</w:t>
      </w:r>
      <w:bookmarkEnd w:id="488"/>
      <w:bookmarkEnd w:id="489"/>
      <w:bookmarkEnd w:id="490"/>
      <w:bookmarkEnd w:id="491"/>
      <w:bookmarkEnd w:id="492"/>
      <w:bookmarkEnd w:id="493"/>
      <w:bookmarkEnd w:id="494"/>
    </w:p>
    <w:p>
      <w:pPr>
        <w:adjustRightInd w:val="0"/>
        <w:snapToGrid w:val="0"/>
        <w:spacing w:line="360" w:lineRule="auto"/>
        <w:ind w:firstLine="480" w:firstLineChars="200"/>
        <w:textAlignment w:val="baseline"/>
        <w:rPr>
          <w:rFonts w:ascii="宋体" w:hAnsi="宋体" w:cs="仿宋_GB2312"/>
          <w:bCs/>
          <w:kern w:val="0"/>
          <w:sz w:val="24"/>
        </w:rPr>
      </w:pPr>
      <w:r>
        <w:rPr>
          <w:rFonts w:hint="eastAsia" w:ascii="宋体" w:hAnsi="宋体" w:cs="仿宋_GB2312"/>
          <w:bCs/>
          <w:kern w:val="0"/>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adjustRightInd w:val="0"/>
        <w:snapToGrid w:val="0"/>
        <w:spacing w:line="360" w:lineRule="auto"/>
        <w:ind w:firstLine="480" w:firstLineChars="200"/>
        <w:textAlignment w:val="baseline"/>
        <w:rPr>
          <w:rFonts w:ascii="宋体" w:hAnsi="宋体" w:cs="仿宋_GB2312"/>
          <w:bCs/>
          <w:kern w:val="0"/>
          <w:sz w:val="24"/>
        </w:rPr>
        <w:sectPr>
          <w:footerReference r:id="rId8" w:type="even"/>
          <w:type w:val="nextColumn"/>
          <w:pgSz w:w="11907" w:h="16840"/>
          <w:pgMar w:top="1440" w:right="1797" w:bottom="1440" w:left="1797" w:header="907" w:footer="907" w:gutter="0"/>
          <w:pgBorders>
            <w:top w:val="none" w:sz="0" w:space="0"/>
            <w:left w:val="none" w:sz="0" w:space="0"/>
            <w:bottom w:val="none" w:sz="0" w:space="0"/>
            <w:right w:val="none" w:sz="0" w:space="0"/>
          </w:pgBorders>
          <w:cols w:space="720" w:num="1"/>
          <w:docGrid w:linePitch="312" w:charSpace="0"/>
        </w:sectPr>
      </w:pPr>
    </w:p>
    <w:bookmarkEnd w:id="406"/>
    <w:bookmarkEnd w:id="407"/>
    <w:bookmarkEnd w:id="408"/>
    <w:bookmarkEnd w:id="451"/>
    <w:p>
      <w:pPr>
        <w:pStyle w:val="3"/>
        <w:spacing w:before="0" w:after="0" w:line="360" w:lineRule="auto"/>
        <w:rPr>
          <w:rFonts w:ascii="微软雅黑" w:hAnsi="微软雅黑" w:eastAsia="微软雅黑"/>
          <w:szCs w:val="32"/>
        </w:rPr>
        <w:sectPr>
          <w:type w:val="nextColumn"/>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bookmarkStart w:id="495" w:name="_Toc29999"/>
      <w:bookmarkStart w:id="496" w:name="_Hlk89853661"/>
      <w:r>
        <w:rPr>
          <w:rFonts w:ascii="微软雅黑" w:hAnsi="微软雅黑" w:eastAsia="微软雅黑"/>
          <w:szCs w:val="32"/>
        </w:rPr>
        <w:t>第</w:t>
      </w:r>
      <w:r>
        <w:rPr>
          <w:rFonts w:hint="eastAsia" w:ascii="微软雅黑" w:hAnsi="微软雅黑" w:eastAsia="微软雅黑"/>
          <w:szCs w:val="32"/>
        </w:rPr>
        <w:t>六</w:t>
      </w:r>
      <w:r>
        <w:rPr>
          <w:rFonts w:ascii="微软雅黑" w:hAnsi="微软雅黑" w:eastAsia="微软雅黑"/>
          <w:szCs w:val="32"/>
        </w:rPr>
        <w:t>章</w:t>
      </w:r>
      <w:r>
        <w:rPr>
          <w:rFonts w:hint="eastAsia" w:ascii="微软雅黑" w:hAnsi="微软雅黑" w:eastAsia="微软雅黑"/>
          <w:szCs w:val="32"/>
        </w:rPr>
        <w:t xml:space="preserve"> 响应</w:t>
      </w:r>
      <w:r>
        <w:rPr>
          <w:rFonts w:ascii="微软雅黑" w:hAnsi="微软雅黑" w:eastAsia="微软雅黑"/>
          <w:szCs w:val="32"/>
        </w:rPr>
        <w:t>文件的格式</w:t>
      </w:r>
      <w:bookmarkEnd w:id="495"/>
      <w:bookmarkStart w:id="497" w:name="_Toc68574771"/>
    </w:p>
    <w:p>
      <w:pPr>
        <w:spacing w:line="360" w:lineRule="auto"/>
        <w:ind w:firstLine="480" w:firstLineChars="200"/>
        <w:rPr>
          <w:rFonts w:ascii="宋体" w:hAnsi="宋体" w:cs="仿宋_GB2312"/>
          <w:sz w:val="24"/>
          <w:lang w:val="zh-CN"/>
        </w:rPr>
      </w:pPr>
      <w:bookmarkStart w:id="498" w:name="_Toc23858"/>
      <w:bookmarkStart w:id="499" w:name="_Toc5751"/>
      <w:r>
        <w:rPr>
          <w:rFonts w:hint="eastAsia" w:ascii="宋体" w:hAnsi="宋体" w:cs="仿宋_GB2312"/>
          <w:sz w:val="24"/>
          <w:lang w:val="zh-CN"/>
        </w:rPr>
        <w:t>封面：</w:t>
      </w:r>
    </w:p>
    <w:p>
      <w:pPr>
        <w:tabs>
          <w:tab w:val="left" w:pos="1260"/>
        </w:tabs>
        <w:spacing w:line="300" w:lineRule="auto"/>
        <w:jc w:val="center"/>
        <w:rPr>
          <w:rFonts w:ascii="宋体" w:hAnsi="宋体"/>
          <w:b/>
          <w:bCs/>
          <w:spacing w:val="100"/>
          <w:kern w:val="0"/>
          <w:sz w:val="52"/>
          <w:szCs w:val="56"/>
        </w:rPr>
      </w:pPr>
    </w:p>
    <w:p>
      <w:pPr>
        <w:tabs>
          <w:tab w:val="left" w:pos="1260"/>
        </w:tabs>
        <w:spacing w:line="300" w:lineRule="auto"/>
        <w:jc w:val="center"/>
        <w:rPr>
          <w:rFonts w:ascii="宋体" w:hAnsi="宋体"/>
          <w:b/>
          <w:bCs/>
          <w:spacing w:val="100"/>
          <w:kern w:val="0"/>
          <w:sz w:val="52"/>
          <w:szCs w:val="56"/>
        </w:rPr>
      </w:pPr>
      <w:r>
        <w:rPr>
          <w:rFonts w:hint="eastAsia" w:ascii="宋体" w:hAnsi="宋体"/>
          <w:b/>
          <w:bCs/>
          <w:spacing w:val="100"/>
          <w:kern w:val="0"/>
          <w:sz w:val="52"/>
          <w:szCs w:val="56"/>
        </w:rPr>
        <w:t>采购人名称项目</w:t>
      </w:r>
    </w:p>
    <w:p>
      <w:pPr>
        <w:autoSpaceDE w:val="0"/>
        <w:autoSpaceDN w:val="0"/>
        <w:adjustRightInd w:val="0"/>
        <w:rPr>
          <w:rFonts w:ascii="宋体" w:hAnsi="宋体"/>
        </w:rPr>
      </w:pPr>
    </w:p>
    <w:p>
      <w:pPr>
        <w:autoSpaceDE w:val="0"/>
        <w:autoSpaceDN w:val="0"/>
        <w:adjustRightInd w:val="0"/>
        <w:rPr>
          <w:rFonts w:ascii="宋体" w:hAnsi="宋体"/>
        </w:rPr>
      </w:pPr>
    </w:p>
    <w:p>
      <w:pPr>
        <w:autoSpaceDE w:val="0"/>
        <w:autoSpaceDN w:val="0"/>
        <w:adjustRightInd w:val="0"/>
        <w:jc w:val="center"/>
        <w:rPr>
          <w:rFonts w:ascii="宋体" w:hAnsi="宋体"/>
        </w:rPr>
      </w:pPr>
    </w:p>
    <w:p>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pPr>
        <w:autoSpaceDE w:val="0"/>
        <w:autoSpaceDN w:val="0"/>
        <w:adjustRightInd w:val="0"/>
        <w:rPr>
          <w:rFonts w:ascii="宋体" w:hAnsi="宋体"/>
          <w:b/>
          <w:bCs/>
          <w:sz w:val="22"/>
          <w:szCs w:val="22"/>
        </w:rPr>
      </w:pPr>
    </w:p>
    <w:p>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项目编号：</w:t>
      </w:r>
    </w:p>
    <w:p>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 xml:space="preserve">项目名称：                            </w:t>
      </w:r>
    </w:p>
    <w:p>
      <w:pPr>
        <w:autoSpaceDE w:val="0"/>
        <w:autoSpaceDN w:val="0"/>
        <w:adjustRightInd w:val="0"/>
        <w:spacing w:line="360" w:lineRule="auto"/>
        <w:rPr>
          <w:rFonts w:ascii="宋体" w:hAnsi="宋体"/>
          <w:b/>
          <w:bCs/>
          <w:sz w:val="30"/>
          <w:szCs w:val="30"/>
          <w:u w:val="single"/>
        </w:rPr>
      </w:pPr>
    </w:p>
    <w:p>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供应商：</w:t>
      </w:r>
    </w:p>
    <w:p>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pPr>
        <w:pStyle w:val="4"/>
        <w:spacing w:before="120" w:beforeLines="50" w:after="120" w:afterLines="50" w:line="300" w:lineRule="auto"/>
        <w:jc w:val="center"/>
        <w:rPr>
          <w:rFonts w:ascii="宋体" w:hAnsi="宋体" w:eastAsia="宋体"/>
          <w:b/>
          <w:kern w:val="0"/>
          <w:sz w:val="36"/>
          <w:szCs w:val="36"/>
        </w:rPr>
      </w:pPr>
      <w:r>
        <w:rPr>
          <w:rFonts w:ascii="宋体" w:hAnsi="宋体" w:eastAsia="宋体"/>
          <w:b/>
          <w:sz w:val="44"/>
          <w:szCs w:val="44"/>
        </w:rPr>
        <w:br w:type="page"/>
      </w:r>
      <w:bookmarkEnd w:id="496"/>
      <w:bookmarkStart w:id="500" w:name="_Toc56714501"/>
      <w:bookmarkStart w:id="501" w:name="_Toc57148501"/>
      <w:bookmarkStart w:id="502" w:name="_Toc60575575"/>
      <w:bookmarkStart w:id="503" w:name="_Toc11802"/>
      <w:bookmarkStart w:id="504" w:name="_Toc264644272"/>
      <w:bookmarkStart w:id="505" w:name="_Toc360174584"/>
      <w:bookmarkStart w:id="506" w:name="_Toc211783342"/>
      <w:bookmarkStart w:id="507" w:name="_Toc11320441"/>
      <w:bookmarkStart w:id="508" w:name="_Toc533330957"/>
      <w:bookmarkStart w:id="509" w:name="_Toc533331084"/>
      <w:r>
        <w:rPr>
          <w:rFonts w:hint="eastAsia" w:ascii="宋体" w:hAnsi="宋体" w:eastAsia="宋体" w:cs="仿宋_GB2312"/>
          <w:b/>
          <w:bCs w:val="0"/>
          <w:szCs w:val="21"/>
        </w:rPr>
        <w:t>资格自查表</w:t>
      </w:r>
      <w:bookmarkEnd w:id="500"/>
      <w:bookmarkEnd w:id="501"/>
      <w:bookmarkEnd w:id="502"/>
      <w:bookmarkEnd w:id="503"/>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426"/>
        <w:gridCol w:w="1661"/>
        <w:gridCol w:w="5319"/>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238" w:type="pct"/>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序号</w:t>
            </w:r>
          </w:p>
        </w:tc>
        <w:tc>
          <w:tcPr>
            <w:tcW w:w="978" w:type="pct"/>
            <w:vAlign w:val="center"/>
          </w:tcPr>
          <w:p>
            <w:pPr>
              <w:adjustRightInd w:val="0"/>
              <w:snapToGrid w:val="0"/>
              <w:jc w:val="center"/>
              <w:rPr>
                <w:rFonts w:ascii="宋体" w:hAnsi="宋体" w:cs="宋体"/>
                <w:kern w:val="0"/>
                <w:szCs w:val="21"/>
              </w:rPr>
            </w:pPr>
            <w:r>
              <w:rPr>
                <w:rFonts w:hint="eastAsia" w:ascii="宋体" w:hAnsi="宋体" w:cs="宋体"/>
                <w:kern w:val="0"/>
                <w:szCs w:val="21"/>
              </w:rPr>
              <w:t>资格要求</w:t>
            </w:r>
          </w:p>
        </w:tc>
        <w:tc>
          <w:tcPr>
            <w:tcW w:w="3123" w:type="pct"/>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须提供的资料</w:t>
            </w:r>
          </w:p>
        </w:tc>
        <w:tc>
          <w:tcPr>
            <w:tcW w:w="661" w:type="pct"/>
          </w:tcPr>
          <w:p>
            <w:pPr>
              <w:widowControl/>
              <w:adjustRightInd w:val="0"/>
              <w:snapToGrid w:val="0"/>
              <w:jc w:val="center"/>
              <w:rPr>
                <w:rFonts w:ascii="宋体" w:hAnsi="宋体" w:cs="宋体"/>
                <w:kern w:val="0"/>
                <w:szCs w:val="21"/>
              </w:rPr>
            </w:pPr>
            <w:r>
              <w:rPr>
                <w:rFonts w:hint="eastAsia" w:ascii="宋体" w:hAnsi="宋体" w:cs="宋体"/>
                <w:kern w:val="0"/>
                <w:szCs w:val="21"/>
              </w:rPr>
              <w:t>响应文件对应页码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238" w:type="pct"/>
            <w:vMerge w:val="restart"/>
            <w:vAlign w:val="center"/>
          </w:tcPr>
          <w:p>
            <w:pPr>
              <w:widowControl/>
              <w:numPr>
                <w:ilvl w:val="0"/>
                <w:numId w:val="2"/>
              </w:numPr>
              <w:adjustRightInd w:val="0"/>
              <w:snapToGrid w:val="0"/>
              <w:rPr>
                <w:rFonts w:ascii="宋体" w:hAnsi="宋体" w:cs="宋体"/>
                <w:kern w:val="0"/>
                <w:szCs w:val="21"/>
              </w:rPr>
            </w:pPr>
          </w:p>
        </w:tc>
        <w:tc>
          <w:tcPr>
            <w:tcW w:w="978" w:type="pct"/>
            <w:vAlign w:val="center"/>
          </w:tcPr>
          <w:p>
            <w:pPr>
              <w:snapToGrid w:val="0"/>
              <w:rPr>
                <w:rFonts w:ascii="宋体" w:hAnsi="宋体"/>
                <w:szCs w:val="21"/>
                <w:lang w:val="hr-HR"/>
              </w:rPr>
            </w:pPr>
            <w:r>
              <w:rPr>
                <w:rFonts w:hint="eastAsia" w:ascii="宋体" w:hAnsi="宋体"/>
                <w:szCs w:val="21"/>
                <w:lang w:val="hr-HR"/>
              </w:rPr>
              <w:t xml:space="preserve">具有独立承担民事责任的能力 </w:t>
            </w:r>
          </w:p>
        </w:tc>
        <w:tc>
          <w:tcPr>
            <w:tcW w:w="3123" w:type="pct"/>
            <w:vAlign w:val="center"/>
          </w:tcPr>
          <w:p>
            <w:pPr>
              <w:snapToGrid w:val="0"/>
              <w:rPr>
                <w:rFonts w:ascii="宋体" w:hAnsi="宋体"/>
                <w:bCs/>
                <w:szCs w:val="21"/>
              </w:rPr>
            </w:pPr>
            <w:r>
              <w:rPr>
                <w:rFonts w:hint="eastAsia" w:ascii="宋体" w:hAnsi="宋体"/>
                <w:bCs/>
                <w:szCs w:val="21"/>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c>
          <w:tcPr>
            <w:tcW w:w="661" w:type="pct"/>
          </w:tcPr>
          <w:p>
            <w:pPr>
              <w:snapToGrid w:val="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238" w:type="pct"/>
            <w:vMerge w:val="continue"/>
            <w:vAlign w:val="center"/>
          </w:tcPr>
          <w:p>
            <w:pPr>
              <w:widowControl/>
              <w:numPr>
                <w:ilvl w:val="0"/>
                <w:numId w:val="2"/>
              </w:numPr>
              <w:adjustRightInd w:val="0"/>
              <w:snapToGrid w:val="0"/>
              <w:rPr>
                <w:rFonts w:ascii="宋体" w:hAnsi="宋体" w:cs="宋体"/>
                <w:kern w:val="0"/>
                <w:szCs w:val="21"/>
              </w:rPr>
            </w:pPr>
          </w:p>
        </w:tc>
        <w:tc>
          <w:tcPr>
            <w:tcW w:w="978" w:type="pct"/>
            <w:vAlign w:val="center"/>
          </w:tcPr>
          <w:p>
            <w:pPr>
              <w:widowControl/>
              <w:adjustRightInd w:val="0"/>
              <w:snapToGrid w:val="0"/>
              <w:rPr>
                <w:rFonts w:ascii="宋体" w:hAnsi="宋体" w:cs="宋体"/>
                <w:kern w:val="0"/>
                <w:szCs w:val="21"/>
              </w:rPr>
            </w:pPr>
            <w:r>
              <w:rPr>
                <w:rFonts w:hint="eastAsia" w:ascii="宋体" w:hAnsi="宋体"/>
                <w:szCs w:val="21"/>
                <w:lang w:val="hr-HR"/>
              </w:rPr>
              <w:t>具有良好的商业信誉和健全的财务会计制度</w:t>
            </w:r>
          </w:p>
        </w:tc>
        <w:tc>
          <w:tcPr>
            <w:tcW w:w="3123" w:type="pct"/>
            <w:vAlign w:val="center"/>
          </w:tcPr>
          <w:p>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pPr>
              <w:adjustRightInd w:val="0"/>
              <w:snapToGrid w:val="0"/>
              <w:rPr>
                <w:rFonts w:ascii="宋体" w:hAnsi="宋体"/>
                <w:bCs/>
                <w:szCs w:val="21"/>
              </w:rPr>
            </w:pPr>
            <w:r>
              <w:rPr>
                <w:rFonts w:hint="eastAsia" w:ascii="宋体" w:hAnsi="宋体"/>
                <w:bCs/>
                <w:szCs w:val="21"/>
              </w:rPr>
              <w:t>供应商</w:t>
            </w:r>
            <w:r>
              <w:rPr>
                <w:rFonts w:ascii="宋体" w:hAnsi="宋体"/>
                <w:bCs/>
                <w:szCs w:val="21"/>
              </w:rPr>
              <w:t>是法人的，应</w:t>
            </w:r>
            <w:r>
              <w:rPr>
                <w:rFonts w:hint="eastAsia" w:ascii="宋体" w:hAnsi="宋体"/>
                <w:bCs/>
                <w:szCs w:val="21"/>
              </w:rPr>
              <w:t>具有上一年度（20</w:t>
            </w:r>
            <w:r>
              <w:rPr>
                <w:rFonts w:ascii="宋体" w:hAnsi="宋体"/>
                <w:bCs/>
                <w:szCs w:val="21"/>
              </w:rPr>
              <w:t>20</w:t>
            </w:r>
            <w:r>
              <w:rPr>
                <w:rFonts w:hint="eastAsia" w:ascii="宋体" w:hAnsi="宋体"/>
                <w:bCs/>
                <w:szCs w:val="21"/>
              </w:rPr>
              <w:t>年度或20</w:t>
            </w:r>
            <w:r>
              <w:rPr>
                <w:rFonts w:ascii="宋体" w:hAnsi="宋体"/>
                <w:bCs/>
                <w:szCs w:val="21"/>
              </w:rPr>
              <w:t>21</w:t>
            </w:r>
            <w:r>
              <w:rPr>
                <w:rFonts w:hint="eastAsia" w:ascii="宋体" w:hAnsi="宋体"/>
                <w:bCs/>
                <w:szCs w:val="21"/>
              </w:rPr>
              <w:t>年度）</w:t>
            </w:r>
            <w:r>
              <w:rPr>
                <w:rFonts w:ascii="宋体" w:hAnsi="宋体"/>
                <w:bCs/>
                <w:szCs w:val="21"/>
              </w:rPr>
              <w:t>经审计的财务报告，或其基本开户银行出具的资信证明。其他组织和自然人，没有经审计的财务报告，</w:t>
            </w:r>
            <w:r>
              <w:rPr>
                <w:rFonts w:hint="eastAsia" w:ascii="宋体" w:hAnsi="宋体"/>
                <w:bCs/>
                <w:szCs w:val="21"/>
              </w:rPr>
              <w:t>应具有</w:t>
            </w:r>
            <w:r>
              <w:rPr>
                <w:rFonts w:ascii="宋体" w:hAnsi="宋体"/>
                <w:bCs/>
                <w:szCs w:val="21"/>
              </w:rPr>
              <w:t>银行出具的资信证明。</w:t>
            </w:r>
          </w:p>
          <w:p>
            <w:pPr>
              <w:adjustRightInd w:val="0"/>
              <w:snapToGrid w:val="0"/>
              <w:rPr>
                <w:rFonts w:ascii="宋体" w:hAnsi="宋体"/>
                <w:bCs/>
                <w:szCs w:val="21"/>
              </w:rPr>
            </w:pPr>
            <w:r>
              <w:rPr>
                <w:rFonts w:hint="eastAsia" w:ascii="宋体" w:hAnsi="宋体"/>
                <w:bCs/>
                <w:szCs w:val="21"/>
              </w:rPr>
              <w:t>有专业担保机构对供应商进行资信审查后出具投标担保函的，可以不用具备经审计的财务报告和银行资信证明文件。</w:t>
            </w:r>
          </w:p>
          <w:p>
            <w:pPr>
              <w:snapToGrid w:val="0"/>
              <w:rPr>
                <w:rFonts w:ascii="宋体" w:hAnsi="宋体"/>
                <w:bCs/>
                <w:szCs w:val="21"/>
              </w:rPr>
            </w:pPr>
            <w:r>
              <w:rPr>
                <w:rFonts w:hint="eastAsia"/>
                <w:b/>
              </w:rPr>
              <w:t>备注：如果供应商</w:t>
            </w:r>
            <w:r>
              <w:rPr>
                <w:b/>
              </w:rPr>
              <w:t>同时提供了</w:t>
            </w:r>
            <w:r>
              <w:rPr>
                <w:rFonts w:hint="eastAsia"/>
                <w:b/>
              </w:rPr>
              <w:t>1）</w:t>
            </w:r>
            <w:r>
              <w:rPr>
                <w:b/>
              </w:rPr>
              <w:t>书面承诺及声明、</w:t>
            </w:r>
            <w:r>
              <w:rPr>
                <w:rFonts w:hint="eastAsia"/>
                <w:b/>
              </w:rPr>
              <w:t>2）</w:t>
            </w:r>
            <w:r>
              <w:rPr>
                <w:b/>
              </w:rPr>
              <w:t>相应证明材料</w:t>
            </w:r>
            <w:r>
              <w:rPr>
                <w:rFonts w:hint="eastAsia"/>
                <w:b/>
              </w:rPr>
              <w:t>，且二者</w:t>
            </w:r>
            <w:r>
              <w:rPr>
                <w:b/>
              </w:rPr>
              <w:t>内容不一致的，</w:t>
            </w:r>
            <w:r>
              <w:rPr>
                <w:rFonts w:hint="eastAsia"/>
                <w:b/>
              </w:rPr>
              <w:t>评审</w:t>
            </w:r>
            <w:r>
              <w:rPr>
                <w:b/>
              </w:rPr>
              <w:t>专家有权</w:t>
            </w:r>
            <w:r>
              <w:rPr>
                <w:rFonts w:hint="eastAsia"/>
                <w:b/>
              </w:rPr>
              <w:t>任选</w:t>
            </w:r>
            <w:r>
              <w:rPr>
                <w:b/>
              </w:rPr>
              <w:t>其中一种进行</w:t>
            </w:r>
            <w:r>
              <w:rPr>
                <w:rFonts w:hint="eastAsia"/>
                <w:b/>
              </w:rPr>
              <w:t>评审</w:t>
            </w:r>
            <w:r>
              <w:rPr>
                <w:b/>
              </w:rPr>
              <w:t>，</w:t>
            </w:r>
            <w:r>
              <w:rPr>
                <w:rFonts w:hint="eastAsia"/>
                <w:b/>
              </w:rPr>
              <w:t>由</w:t>
            </w:r>
            <w:r>
              <w:rPr>
                <w:b/>
              </w:rPr>
              <w:t>供应商自行承担一切后果。</w:t>
            </w:r>
          </w:p>
        </w:tc>
        <w:tc>
          <w:tcPr>
            <w:tcW w:w="661" w:type="pct"/>
          </w:tcPr>
          <w:p>
            <w:pPr>
              <w:snapToGrid w:val="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238" w:type="pct"/>
            <w:vMerge w:val="continue"/>
            <w:vAlign w:val="center"/>
          </w:tcPr>
          <w:p>
            <w:pPr>
              <w:widowControl/>
              <w:numPr>
                <w:ilvl w:val="0"/>
                <w:numId w:val="2"/>
              </w:numPr>
              <w:adjustRightInd w:val="0"/>
              <w:snapToGrid w:val="0"/>
              <w:rPr>
                <w:rFonts w:ascii="宋体" w:hAnsi="宋体" w:cs="宋体"/>
                <w:kern w:val="0"/>
                <w:szCs w:val="21"/>
              </w:rPr>
            </w:pPr>
          </w:p>
        </w:tc>
        <w:tc>
          <w:tcPr>
            <w:tcW w:w="978" w:type="pct"/>
            <w:vAlign w:val="center"/>
          </w:tcPr>
          <w:p>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3123" w:type="pct"/>
            <w:vAlign w:val="center"/>
          </w:tcPr>
          <w:p>
            <w:pPr>
              <w:snapToGrid w:val="0"/>
              <w:rPr>
                <w:rFonts w:ascii="宋体" w:hAnsi="宋体"/>
                <w:bCs/>
                <w:szCs w:val="21"/>
              </w:rPr>
            </w:pPr>
            <w:r>
              <w:rPr>
                <w:rFonts w:hint="eastAsia" w:ascii="宋体" w:hAnsi="宋体"/>
                <w:bCs/>
                <w:szCs w:val="21"/>
              </w:rPr>
              <w:t>由供应商提供书面承诺及声明</w:t>
            </w:r>
            <w:r>
              <w:t>，或提供相应证明材料。</w:t>
            </w:r>
          </w:p>
        </w:tc>
        <w:tc>
          <w:tcPr>
            <w:tcW w:w="661" w:type="pct"/>
          </w:tcPr>
          <w:p>
            <w:pPr>
              <w:snapToGrid w:val="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238" w:type="pct"/>
            <w:vMerge w:val="continue"/>
            <w:vAlign w:val="center"/>
          </w:tcPr>
          <w:p>
            <w:pPr>
              <w:widowControl/>
              <w:numPr>
                <w:ilvl w:val="0"/>
                <w:numId w:val="2"/>
              </w:numPr>
              <w:adjustRightInd w:val="0"/>
              <w:snapToGrid w:val="0"/>
              <w:rPr>
                <w:rFonts w:ascii="宋体" w:hAnsi="宋体" w:cs="宋体"/>
                <w:kern w:val="0"/>
                <w:szCs w:val="21"/>
              </w:rPr>
            </w:pPr>
          </w:p>
        </w:tc>
        <w:tc>
          <w:tcPr>
            <w:tcW w:w="978" w:type="pct"/>
            <w:vAlign w:val="center"/>
          </w:tcPr>
          <w:p>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3123" w:type="pct"/>
            <w:vAlign w:val="center"/>
          </w:tcPr>
          <w:p>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pPr>
              <w:adjustRightInd w:val="0"/>
              <w:snapToGrid w:val="0"/>
              <w:ind w:firstLine="42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pPr>
              <w:adjustRightInd w:val="0"/>
              <w:snapToGrid w:val="0"/>
              <w:ind w:firstLine="42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pPr>
              <w:adjustRightInd w:val="0"/>
              <w:snapToGrid w:val="0"/>
              <w:ind w:firstLine="42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pPr>
              <w:adjustRightInd w:val="0"/>
              <w:snapToGrid w:val="0"/>
              <w:ind w:firstLine="420" w:firstLineChars="200"/>
              <w:rPr>
                <w:rFonts w:ascii="宋体" w:hAnsi="宋体"/>
                <w:szCs w:val="21"/>
                <w:lang w:val="hr-HR"/>
              </w:rPr>
            </w:pPr>
            <w:r>
              <w:rPr>
                <w:rFonts w:hint="eastAsia" w:ascii="宋体" w:hAnsi="宋体"/>
                <w:szCs w:val="21"/>
                <w:lang w:val="hr-HR"/>
              </w:rPr>
              <w:t>依法免税或不需要缴纳社会保障资金的供应商，具有相应文件证明其依法免税或不需要交纳社会保障资金。</w:t>
            </w:r>
          </w:p>
          <w:p>
            <w:pPr>
              <w:snapToGrid w:val="0"/>
              <w:spacing w:line="300" w:lineRule="auto"/>
              <w:ind w:firstLine="422" w:firstLineChars="200"/>
              <w:rPr>
                <w:rFonts w:ascii="宋体" w:hAnsi="宋体"/>
                <w:bCs/>
                <w:szCs w:val="21"/>
              </w:rPr>
            </w:pPr>
            <w:r>
              <w:rPr>
                <w:rFonts w:hint="eastAsia" w:ascii="宋体" w:hAnsi="宋体"/>
                <w:b/>
                <w:szCs w:val="21"/>
                <w:lang w:val="hr-HR"/>
              </w:rPr>
              <w:t>备注：如果供应商</w:t>
            </w:r>
            <w:r>
              <w:rPr>
                <w:rFonts w:ascii="宋体" w:hAnsi="宋体"/>
                <w:b/>
                <w:szCs w:val="21"/>
                <w:lang w:val="hr-HR"/>
              </w:rPr>
              <w:t>同时提供了</w:t>
            </w:r>
            <w:r>
              <w:rPr>
                <w:rFonts w:hint="eastAsia" w:ascii="宋体" w:hAnsi="宋体"/>
                <w:b/>
                <w:szCs w:val="21"/>
                <w:lang w:val="hr-HR"/>
              </w:rPr>
              <w:t>1）</w:t>
            </w:r>
            <w:r>
              <w:rPr>
                <w:rFonts w:ascii="宋体" w:hAnsi="宋体"/>
                <w:b/>
                <w:szCs w:val="21"/>
                <w:lang w:val="hr-HR"/>
              </w:rPr>
              <w:t>书面承诺及声明、</w:t>
            </w:r>
            <w:r>
              <w:rPr>
                <w:rFonts w:hint="eastAsia" w:ascii="宋体" w:hAnsi="宋体"/>
                <w:b/>
                <w:szCs w:val="21"/>
                <w:lang w:val="hr-HR"/>
              </w:rPr>
              <w:t>2）</w:t>
            </w:r>
            <w:r>
              <w:rPr>
                <w:rFonts w:ascii="宋体" w:hAnsi="宋体"/>
                <w:b/>
                <w:szCs w:val="21"/>
                <w:lang w:val="hr-HR"/>
              </w:rPr>
              <w:t>相应证明材料</w:t>
            </w:r>
            <w:r>
              <w:rPr>
                <w:rFonts w:hint="eastAsia" w:ascii="宋体" w:hAnsi="宋体"/>
                <w:b/>
                <w:szCs w:val="21"/>
                <w:lang w:val="hr-HR"/>
              </w:rPr>
              <w:t>，且二者</w:t>
            </w:r>
            <w:r>
              <w:rPr>
                <w:rFonts w:ascii="宋体" w:hAnsi="宋体"/>
                <w:b/>
                <w:szCs w:val="21"/>
                <w:lang w:val="hr-HR"/>
              </w:rPr>
              <w:t>内容不一致的，</w:t>
            </w:r>
            <w:r>
              <w:rPr>
                <w:rFonts w:hint="eastAsia" w:ascii="宋体" w:hAnsi="宋体"/>
                <w:b/>
                <w:szCs w:val="21"/>
                <w:lang w:val="hr-HR"/>
              </w:rPr>
              <w:t>评审</w:t>
            </w:r>
            <w:r>
              <w:rPr>
                <w:rFonts w:ascii="宋体" w:hAnsi="宋体"/>
                <w:b/>
                <w:szCs w:val="21"/>
                <w:lang w:val="hr-HR"/>
              </w:rPr>
              <w:t>专家有权</w:t>
            </w:r>
            <w:r>
              <w:rPr>
                <w:rFonts w:hint="eastAsia" w:ascii="宋体" w:hAnsi="宋体"/>
                <w:b/>
                <w:szCs w:val="21"/>
                <w:lang w:val="hr-HR"/>
              </w:rPr>
              <w:t>任选</w:t>
            </w:r>
            <w:r>
              <w:rPr>
                <w:rFonts w:ascii="宋体" w:hAnsi="宋体"/>
                <w:b/>
                <w:szCs w:val="21"/>
                <w:lang w:val="hr-HR"/>
              </w:rPr>
              <w:t>其中一种进行</w:t>
            </w:r>
            <w:r>
              <w:rPr>
                <w:rFonts w:hint="eastAsia" w:ascii="宋体" w:hAnsi="宋体"/>
                <w:b/>
                <w:szCs w:val="21"/>
                <w:lang w:val="hr-HR"/>
              </w:rPr>
              <w:t>评审</w:t>
            </w:r>
            <w:r>
              <w:rPr>
                <w:rFonts w:ascii="宋体" w:hAnsi="宋体"/>
                <w:b/>
                <w:szCs w:val="21"/>
                <w:lang w:val="hr-HR"/>
              </w:rPr>
              <w:t>，</w:t>
            </w:r>
            <w:r>
              <w:rPr>
                <w:rFonts w:hint="eastAsia" w:ascii="宋体" w:hAnsi="宋体"/>
                <w:b/>
                <w:szCs w:val="21"/>
                <w:lang w:val="hr-HR"/>
              </w:rPr>
              <w:t>由</w:t>
            </w:r>
            <w:r>
              <w:rPr>
                <w:rFonts w:ascii="宋体" w:hAnsi="宋体"/>
                <w:b/>
                <w:szCs w:val="21"/>
                <w:lang w:val="hr-HR"/>
              </w:rPr>
              <w:t>供应商自行承担一切后果。</w:t>
            </w:r>
          </w:p>
        </w:tc>
        <w:tc>
          <w:tcPr>
            <w:tcW w:w="661" w:type="pct"/>
          </w:tcPr>
          <w:p>
            <w:pPr>
              <w:snapToGrid w:val="0"/>
              <w:spacing w:line="300" w:lineRule="auto"/>
              <w:ind w:firstLine="315" w:firstLineChars="15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238" w:type="pct"/>
            <w:vMerge w:val="continue"/>
            <w:vAlign w:val="center"/>
          </w:tcPr>
          <w:p>
            <w:pPr>
              <w:widowControl/>
              <w:numPr>
                <w:ilvl w:val="0"/>
                <w:numId w:val="2"/>
              </w:numPr>
              <w:adjustRightInd w:val="0"/>
              <w:snapToGrid w:val="0"/>
              <w:rPr>
                <w:rFonts w:ascii="宋体" w:hAnsi="宋体" w:cs="宋体"/>
                <w:kern w:val="0"/>
                <w:szCs w:val="21"/>
              </w:rPr>
            </w:pPr>
          </w:p>
        </w:tc>
        <w:tc>
          <w:tcPr>
            <w:tcW w:w="978" w:type="pct"/>
            <w:vAlign w:val="center"/>
          </w:tcPr>
          <w:p>
            <w:pPr>
              <w:widowControl/>
              <w:adjustRightInd w:val="0"/>
              <w:snapToGrid w:val="0"/>
              <w:rPr>
                <w:rFonts w:ascii="宋体" w:hAnsi="宋体"/>
                <w:szCs w:val="21"/>
                <w:lang w:val="hr-HR"/>
              </w:rPr>
            </w:pPr>
            <w:r>
              <w:rPr>
                <w:rFonts w:hint="eastAsia" w:ascii="宋体" w:hAnsi="宋体"/>
                <w:szCs w:val="21"/>
                <w:lang w:val="hr-HR"/>
              </w:rPr>
              <w:t>参加政府采购活动前三年内，在经营活动中没有重大违法记录</w:t>
            </w:r>
          </w:p>
        </w:tc>
        <w:tc>
          <w:tcPr>
            <w:tcW w:w="3123" w:type="pct"/>
            <w:vAlign w:val="center"/>
          </w:tcPr>
          <w:p>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661" w:type="pct"/>
          </w:tcPr>
          <w:p>
            <w:pPr>
              <w:widowControl/>
              <w:adjustRightInd w:val="0"/>
              <w:snapToGrid w:val="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238" w:type="pct"/>
            <w:vMerge w:val="continue"/>
            <w:vAlign w:val="center"/>
          </w:tcPr>
          <w:p>
            <w:pPr>
              <w:widowControl/>
              <w:numPr>
                <w:ilvl w:val="0"/>
                <w:numId w:val="2"/>
              </w:numPr>
              <w:adjustRightInd w:val="0"/>
              <w:snapToGrid w:val="0"/>
              <w:rPr>
                <w:rFonts w:ascii="宋体" w:hAnsi="宋体" w:cs="宋体"/>
                <w:kern w:val="0"/>
                <w:szCs w:val="21"/>
              </w:rPr>
            </w:pPr>
          </w:p>
        </w:tc>
        <w:tc>
          <w:tcPr>
            <w:tcW w:w="978" w:type="pct"/>
            <w:vAlign w:val="center"/>
          </w:tcPr>
          <w:p>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3123" w:type="pct"/>
            <w:vAlign w:val="center"/>
          </w:tcPr>
          <w:p>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661" w:type="pct"/>
          </w:tcPr>
          <w:p>
            <w:pPr>
              <w:widowControl/>
              <w:adjustRightInd w:val="0"/>
              <w:snapToGrid w:val="0"/>
              <w:rPr>
                <w:rFonts w:ascii="宋体" w:hAnsi="宋体"/>
                <w:szCs w:val="21"/>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238" w:type="pct"/>
            <w:vAlign w:val="center"/>
          </w:tcPr>
          <w:p>
            <w:pPr>
              <w:widowControl/>
              <w:numPr>
                <w:ilvl w:val="0"/>
                <w:numId w:val="2"/>
              </w:numPr>
              <w:adjustRightInd w:val="0"/>
              <w:snapToGrid w:val="0"/>
              <w:rPr>
                <w:rFonts w:ascii="宋体" w:hAnsi="宋体" w:cs="宋体"/>
                <w:kern w:val="0"/>
                <w:szCs w:val="21"/>
              </w:rPr>
            </w:pPr>
          </w:p>
        </w:tc>
        <w:tc>
          <w:tcPr>
            <w:tcW w:w="978" w:type="pct"/>
            <w:vAlign w:val="center"/>
          </w:tcPr>
          <w:p>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单位负责人为同一人或者存在直接控股、管理关系的不同的供应商，不得参加本项目同一合同项下的政府采购活动</w:t>
            </w:r>
          </w:p>
        </w:tc>
        <w:tc>
          <w:tcPr>
            <w:tcW w:w="3123" w:type="pct"/>
            <w:vAlign w:val="center"/>
          </w:tcPr>
          <w:p>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661" w:type="pct"/>
          </w:tcPr>
          <w:p>
            <w:pPr>
              <w:widowControl/>
              <w:adjustRightInd w:val="0"/>
              <w:snapToGrid w:val="0"/>
              <w:rPr>
                <w:rFonts w:ascii="宋体" w:hAnsi="宋体"/>
                <w:szCs w:val="21"/>
                <w:highlight w:val="yellow"/>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238" w:type="pct"/>
            <w:vAlign w:val="center"/>
          </w:tcPr>
          <w:p>
            <w:pPr>
              <w:widowControl/>
              <w:numPr>
                <w:ilvl w:val="0"/>
                <w:numId w:val="2"/>
              </w:numPr>
              <w:adjustRightInd w:val="0"/>
              <w:snapToGrid w:val="0"/>
              <w:rPr>
                <w:rFonts w:ascii="宋体" w:hAnsi="宋体" w:cs="宋体"/>
                <w:kern w:val="0"/>
                <w:szCs w:val="21"/>
              </w:rPr>
            </w:pPr>
          </w:p>
        </w:tc>
        <w:tc>
          <w:tcPr>
            <w:tcW w:w="978" w:type="pct"/>
            <w:vAlign w:val="center"/>
          </w:tcPr>
          <w:p>
            <w:pPr>
              <w:widowControl/>
              <w:adjustRightInd w:val="0"/>
              <w:snapToGrid w:val="0"/>
              <w:rPr>
                <w:rFonts w:ascii="宋体" w:hAnsi="宋体" w:cs="宋体"/>
                <w:szCs w:val="21"/>
              </w:rPr>
            </w:pPr>
            <w:r>
              <w:rPr>
                <w:rFonts w:hint="eastAsia" w:ascii="宋体" w:hAnsi="宋体" w:cs="宋体"/>
                <w:szCs w:val="21"/>
              </w:rPr>
              <w:t>为本采购项目提供整体设计、规范编制或者项目管理、监理、检测等服务的，不得再参加本项目的其他招标采购活动。</w:t>
            </w:r>
          </w:p>
        </w:tc>
        <w:tc>
          <w:tcPr>
            <w:tcW w:w="3123" w:type="pct"/>
            <w:vAlign w:val="center"/>
          </w:tcPr>
          <w:p>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661" w:type="pct"/>
          </w:tcPr>
          <w:p>
            <w:pPr>
              <w:widowControl/>
              <w:adjustRightInd w:val="0"/>
              <w:snapToGrid w:val="0"/>
              <w:rPr>
                <w:rFonts w:ascii="宋体" w:hAnsi="宋体"/>
                <w:szCs w:val="21"/>
                <w:highlight w:val="yellow"/>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238" w:type="pct"/>
            <w:vAlign w:val="center"/>
          </w:tcPr>
          <w:p>
            <w:pPr>
              <w:widowControl/>
              <w:numPr>
                <w:ilvl w:val="0"/>
                <w:numId w:val="2"/>
              </w:numPr>
              <w:adjustRightInd w:val="0"/>
              <w:snapToGrid w:val="0"/>
              <w:rPr>
                <w:rFonts w:ascii="宋体" w:hAnsi="宋体" w:cs="宋体"/>
                <w:kern w:val="0"/>
                <w:szCs w:val="21"/>
              </w:rPr>
            </w:pPr>
          </w:p>
        </w:tc>
        <w:tc>
          <w:tcPr>
            <w:tcW w:w="978" w:type="pct"/>
            <w:vAlign w:val="center"/>
          </w:tcPr>
          <w:p>
            <w:pPr>
              <w:widowControl/>
              <w:adjustRightInd w:val="0"/>
              <w:snapToGrid w:val="0"/>
              <w:rPr>
                <w:rFonts w:ascii="宋体" w:hAnsi="宋体" w:cs="宋体"/>
                <w:szCs w:val="21"/>
              </w:rPr>
            </w:pPr>
            <w:r>
              <w:rPr>
                <w:rFonts w:hint="eastAsia" w:ascii="宋体" w:hAnsi="宋体" w:cs="宋体"/>
                <w:szCs w:val="21"/>
              </w:rPr>
              <w:t>未被列入失信被执行人、</w:t>
            </w:r>
            <w:r>
              <w:rPr>
                <w:rFonts w:hint="eastAsia" w:ascii="宋体" w:hAnsi="宋体" w:cs="宋体"/>
                <w:szCs w:val="21"/>
                <w:lang w:eastAsia="zh-CN"/>
              </w:rPr>
              <w:t>重大税收违法失信主体</w:t>
            </w:r>
            <w:r>
              <w:rPr>
                <w:rFonts w:hint="eastAsia" w:ascii="宋体" w:hAnsi="宋体" w:cs="宋体"/>
                <w:szCs w:val="21"/>
              </w:rPr>
              <w:t>，未被列入政府采购严重违法失信行为记录名单。</w:t>
            </w:r>
          </w:p>
        </w:tc>
        <w:tc>
          <w:tcPr>
            <w:tcW w:w="3123" w:type="pct"/>
            <w:vAlign w:val="center"/>
          </w:tcPr>
          <w:p>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结果为准（采购人和采购代理机构对信用信息查询记录和证据截图或下载存档）</w:t>
            </w:r>
            <w:r>
              <w:rPr>
                <w:rFonts w:hint="eastAsia" w:ascii="宋体" w:hAnsi="宋体"/>
                <w:szCs w:val="21"/>
                <w:lang w:val="hr-HR"/>
              </w:rPr>
              <w:t>。</w:t>
            </w:r>
          </w:p>
        </w:tc>
        <w:tc>
          <w:tcPr>
            <w:tcW w:w="661" w:type="pct"/>
          </w:tcPr>
          <w:p>
            <w:pPr>
              <w:widowControl/>
              <w:adjustRightInd w:val="0"/>
              <w:snapToGrid w:val="0"/>
              <w:rPr>
                <w:rFonts w:ascii="宋体" w:hAnsi="宋体"/>
                <w:szCs w:val="21"/>
                <w:highlight w:val="yellow"/>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238" w:type="pct"/>
            <w:vAlign w:val="center"/>
          </w:tcPr>
          <w:p>
            <w:pPr>
              <w:widowControl/>
              <w:numPr>
                <w:ilvl w:val="0"/>
                <w:numId w:val="2"/>
              </w:numPr>
              <w:adjustRightInd w:val="0"/>
              <w:snapToGrid w:val="0"/>
              <w:rPr>
                <w:rFonts w:ascii="宋体" w:hAnsi="宋体" w:cs="宋体"/>
                <w:kern w:val="0"/>
                <w:szCs w:val="21"/>
              </w:rPr>
            </w:pPr>
          </w:p>
        </w:tc>
        <w:tc>
          <w:tcPr>
            <w:tcW w:w="978" w:type="pct"/>
          </w:tcPr>
          <w:p>
            <w:pPr>
              <w:widowControl/>
              <w:adjustRightInd w:val="0"/>
              <w:snapToGrid w:val="0"/>
              <w:rPr>
                <w:rFonts w:ascii="宋体" w:hAnsi="宋体" w:cs="宋体"/>
                <w:szCs w:val="21"/>
              </w:rPr>
            </w:pPr>
            <w:r>
              <w:rPr>
                <w:rFonts w:hint="eastAsia" w:ascii="宋体" w:hAnsi="宋体" w:cs="宋体"/>
                <w:szCs w:val="21"/>
              </w:rPr>
              <w:t>落实政府采购政策需满足的资格要求</w:t>
            </w:r>
          </w:p>
        </w:tc>
        <w:tc>
          <w:tcPr>
            <w:tcW w:w="3123" w:type="pct"/>
            <w:vAlign w:val="center"/>
          </w:tcPr>
          <w:p>
            <w:pPr>
              <w:jc w:val="left"/>
              <w:rPr>
                <w:rFonts w:ascii="宋体" w:hAnsi="宋体" w:cs="宋体"/>
                <w:szCs w:val="21"/>
              </w:rPr>
            </w:pPr>
            <w:r>
              <w:rPr>
                <w:rFonts w:hint="eastAsia" w:ascii="宋体" w:hAnsi="宋体" w:cs="宋体"/>
                <w:szCs w:val="21"/>
              </w:rPr>
              <w:t>本政府采购项目非专门面向中小企业，即小微企业参与本项目可享受政府采购中小企业扶持政策，本项目企业划分标准所属行业为“软件和信息技术服务业” （如供应商提供的货物全部由符合政策要求的小微企业制造，则需提供相应中小企业声明函）。</w:t>
            </w:r>
          </w:p>
        </w:tc>
        <w:tc>
          <w:tcPr>
            <w:tcW w:w="661" w:type="pct"/>
          </w:tcPr>
          <w:p>
            <w:pPr>
              <w:jc w:val="left"/>
              <w:rPr>
                <w:rFonts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238" w:type="pct"/>
            <w:vAlign w:val="center"/>
          </w:tcPr>
          <w:p>
            <w:pPr>
              <w:widowControl/>
              <w:numPr>
                <w:ilvl w:val="0"/>
                <w:numId w:val="2"/>
              </w:numPr>
              <w:adjustRightInd w:val="0"/>
              <w:snapToGrid w:val="0"/>
              <w:rPr>
                <w:rFonts w:ascii="宋体" w:hAnsi="宋体" w:cs="宋体"/>
                <w:kern w:val="0"/>
                <w:szCs w:val="21"/>
              </w:rPr>
            </w:pPr>
          </w:p>
        </w:tc>
        <w:tc>
          <w:tcPr>
            <w:tcW w:w="978" w:type="pct"/>
          </w:tcPr>
          <w:p>
            <w:pPr>
              <w:widowControl/>
              <w:adjustRightInd w:val="0"/>
              <w:snapToGrid w:val="0"/>
              <w:jc w:val="left"/>
              <w:rPr>
                <w:rFonts w:ascii="宋体" w:hAnsi="宋体"/>
                <w:szCs w:val="21"/>
                <w:lang w:val="hr-HR"/>
              </w:rPr>
            </w:pPr>
            <w:r>
              <w:rPr>
                <w:rFonts w:hint="eastAsia" w:ascii="宋体" w:hAnsi="宋体"/>
                <w:szCs w:val="21"/>
                <w:lang w:val="hr-HR"/>
              </w:rPr>
              <w:t>本项目的特定资格要求</w:t>
            </w:r>
          </w:p>
        </w:tc>
        <w:tc>
          <w:tcPr>
            <w:tcW w:w="3123" w:type="pct"/>
            <w:vAlign w:val="center"/>
          </w:tcPr>
          <w:p>
            <w:r>
              <w:rPr>
                <w:rFonts w:hint="eastAsia" w:ascii="宋体" w:hAnsi="宋体" w:cs="宋体"/>
                <w:szCs w:val="21"/>
              </w:rPr>
              <w:t>/</w:t>
            </w:r>
          </w:p>
        </w:tc>
        <w:tc>
          <w:tcPr>
            <w:tcW w:w="661" w:type="pct"/>
          </w:tcPr>
          <w:p/>
        </w:tc>
      </w:tr>
    </w:tbl>
    <w:p>
      <w:pPr>
        <w:rPr>
          <w:rFonts w:ascii="宋体" w:hAnsi="宋体"/>
          <w:kern w:val="0"/>
          <w:sz w:val="20"/>
          <w:szCs w:val="20"/>
        </w:rPr>
      </w:pPr>
    </w:p>
    <w:p>
      <w:pPr>
        <w:pStyle w:val="4"/>
        <w:spacing w:before="120" w:beforeLines="50" w:after="120" w:afterLines="50" w:line="300" w:lineRule="auto"/>
        <w:jc w:val="center"/>
        <w:rPr>
          <w:rFonts w:ascii="宋体" w:hAnsi="宋体" w:eastAsia="宋体" w:cs="仿宋_GB2312"/>
          <w:b/>
          <w:bCs w:val="0"/>
          <w:szCs w:val="21"/>
        </w:rPr>
        <w:sectPr>
          <w:type w:val="nextColumn"/>
          <w:pgSz w:w="11905" w:h="16838"/>
          <w:pgMar w:top="1440" w:right="1797" w:bottom="1440" w:left="1797" w:header="850" w:footer="850" w:gutter="0"/>
          <w:pgBorders>
            <w:top w:val="none" w:sz="0" w:space="0"/>
            <w:left w:val="none" w:sz="0" w:space="0"/>
            <w:bottom w:val="none" w:sz="0" w:space="0"/>
            <w:right w:val="none" w:sz="0" w:space="0"/>
          </w:pgBorders>
          <w:cols w:space="720" w:num="1"/>
          <w:docGrid w:linePitch="312" w:charSpace="0"/>
        </w:sectPr>
      </w:pPr>
      <w:bookmarkStart w:id="510" w:name="_Toc60575577"/>
      <w:bookmarkStart w:id="511" w:name="_Toc56714503"/>
      <w:bookmarkStart w:id="512" w:name="_Toc57148503"/>
    </w:p>
    <w:p>
      <w:pPr>
        <w:pStyle w:val="4"/>
        <w:spacing w:before="120" w:beforeLines="50" w:after="120" w:afterLines="50" w:line="300" w:lineRule="auto"/>
        <w:jc w:val="center"/>
        <w:rPr>
          <w:rFonts w:ascii="宋体" w:hAnsi="宋体" w:eastAsia="宋体"/>
          <w:b/>
          <w:kern w:val="0"/>
        </w:rPr>
      </w:pPr>
      <w:bookmarkStart w:id="513" w:name="_Toc20947"/>
      <w:r>
        <w:rPr>
          <w:rFonts w:hint="eastAsia" w:ascii="宋体" w:hAnsi="宋体" w:eastAsia="宋体" w:cs="仿宋_GB2312"/>
          <w:b/>
          <w:bCs w:val="0"/>
          <w:szCs w:val="21"/>
        </w:rPr>
        <w:t>评标导航表</w:t>
      </w:r>
      <w:bookmarkEnd w:id="510"/>
      <w:bookmarkEnd w:id="511"/>
      <w:bookmarkEnd w:id="512"/>
      <w:bookmarkEnd w:id="513"/>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16"/>
        <w:gridCol w:w="938"/>
        <w:gridCol w:w="2796"/>
        <w:gridCol w:w="2173"/>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76" w:type="dxa"/>
            <w:shd w:val="clear" w:color="auto" w:fill="BFBFBF"/>
            <w:vAlign w:val="center"/>
          </w:tcPr>
          <w:p>
            <w:pPr>
              <w:widowControl/>
              <w:snapToGrid w:val="0"/>
              <w:jc w:val="center"/>
              <w:rPr>
                <w:rFonts w:ascii="宋体" w:hAnsi="宋体"/>
                <w:b/>
                <w:bCs/>
                <w:szCs w:val="21"/>
              </w:rPr>
            </w:pPr>
            <w:r>
              <w:rPr>
                <w:rFonts w:hint="eastAsia" w:ascii="宋体" w:hAnsi="宋体"/>
                <w:b/>
                <w:bCs/>
                <w:szCs w:val="21"/>
              </w:rPr>
              <w:t>评审</w:t>
            </w:r>
          </w:p>
          <w:p>
            <w:pPr>
              <w:widowControl/>
              <w:snapToGrid w:val="0"/>
              <w:jc w:val="center"/>
              <w:rPr>
                <w:rFonts w:ascii="宋体" w:hAnsi="宋体"/>
                <w:b/>
                <w:bCs/>
                <w:szCs w:val="21"/>
              </w:rPr>
            </w:pPr>
            <w:r>
              <w:rPr>
                <w:rFonts w:hint="eastAsia" w:ascii="宋体" w:hAnsi="宋体"/>
                <w:b/>
                <w:bCs/>
                <w:szCs w:val="21"/>
              </w:rPr>
              <w:t>项目</w:t>
            </w:r>
          </w:p>
        </w:tc>
        <w:tc>
          <w:tcPr>
            <w:tcW w:w="816" w:type="dxa"/>
            <w:shd w:val="clear" w:color="auto" w:fill="BFBFBF"/>
            <w:vAlign w:val="center"/>
          </w:tcPr>
          <w:p>
            <w:pPr>
              <w:widowControl/>
              <w:snapToGrid w:val="0"/>
              <w:jc w:val="center"/>
              <w:rPr>
                <w:rFonts w:ascii="宋体" w:hAnsi="宋体"/>
                <w:b/>
                <w:bCs/>
                <w:szCs w:val="21"/>
              </w:rPr>
            </w:pPr>
            <w:r>
              <w:rPr>
                <w:rFonts w:hint="eastAsia" w:ascii="宋体" w:hAnsi="宋体"/>
                <w:b/>
                <w:bCs/>
                <w:szCs w:val="21"/>
              </w:rPr>
              <w:t>项目</w:t>
            </w:r>
          </w:p>
        </w:tc>
        <w:tc>
          <w:tcPr>
            <w:tcW w:w="938" w:type="dxa"/>
            <w:shd w:val="clear" w:color="auto" w:fill="BFBFBF"/>
            <w:vAlign w:val="center"/>
          </w:tcPr>
          <w:p>
            <w:pPr>
              <w:widowControl/>
              <w:snapToGrid w:val="0"/>
              <w:jc w:val="center"/>
              <w:rPr>
                <w:rFonts w:ascii="宋体" w:hAnsi="宋体"/>
                <w:b/>
                <w:bCs/>
                <w:szCs w:val="21"/>
              </w:rPr>
            </w:pPr>
            <w:r>
              <w:rPr>
                <w:rFonts w:hint="eastAsia" w:ascii="宋体" w:hAnsi="宋体"/>
                <w:b/>
                <w:bCs/>
                <w:szCs w:val="21"/>
              </w:rPr>
              <w:t>分值</w:t>
            </w:r>
          </w:p>
        </w:tc>
        <w:tc>
          <w:tcPr>
            <w:tcW w:w="2796" w:type="dxa"/>
            <w:shd w:val="clear" w:color="auto" w:fill="BFBFBF"/>
            <w:vAlign w:val="center"/>
          </w:tcPr>
          <w:p>
            <w:pPr>
              <w:widowControl/>
              <w:snapToGrid w:val="0"/>
              <w:jc w:val="center"/>
              <w:rPr>
                <w:rFonts w:ascii="宋体" w:hAnsi="宋体"/>
                <w:b/>
                <w:bCs/>
                <w:szCs w:val="21"/>
              </w:rPr>
            </w:pPr>
            <w:r>
              <w:rPr>
                <w:rFonts w:hint="eastAsia" w:ascii="宋体" w:hAnsi="宋体"/>
                <w:b/>
                <w:bCs/>
                <w:szCs w:val="21"/>
              </w:rPr>
              <w:t>评分标准</w:t>
            </w:r>
          </w:p>
        </w:tc>
        <w:tc>
          <w:tcPr>
            <w:tcW w:w="2173" w:type="dxa"/>
            <w:shd w:val="clear" w:color="auto" w:fill="BFBFBF"/>
            <w:vAlign w:val="center"/>
          </w:tcPr>
          <w:p>
            <w:pPr>
              <w:widowControl/>
              <w:snapToGrid w:val="0"/>
              <w:jc w:val="center"/>
              <w:rPr>
                <w:rFonts w:ascii="宋体" w:hAnsi="宋体"/>
                <w:b/>
                <w:bCs/>
                <w:szCs w:val="21"/>
              </w:rPr>
            </w:pPr>
            <w:r>
              <w:rPr>
                <w:rFonts w:hint="eastAsia" w:ascii="宋体" w:hAnsi="宋体"/>
                <w:b/>
                <w:bCs/>
                <w:szCs w:val="21"/>
              </w:rPr>
              <w:t>供应商响应</w:t>
            </w:r>
          </w:p>
        </w:tc>
        <w:tc>
          <w:tcPr>
            <w:tcW w:w="1122" w:type="dxa"/>
            <w:shd w:val="clear" w:color="auto" w:fill="BFBFBF"/>
            <w:vAlign w:val="center"/>
          </w:tcPr>
          <w:p>
            <w:pPr>
              <w:widowControl/>
              <w:snapToGrid w:val="0"/>
              <w:jc w:val="center"/>
              <w:rPr>
                <w:rFonts w:ascii="宋体" w:hAnsi="宋体"/>
                <w:b/>
                <w:bCs/>
                <w:szCs w:val="21"/>
              </w:rPr>
            </w:pPr>
            <w:r>
              <w:rPr>
                <w:rFonts w:hint="eastAsia" w:ascii="宋体" w:hAnsi="宋体"/>
                <w:b/>
                <w:bCs/>
                <w:szCs w:val="21"/>
              </w:rPr>
              <w:t>响应文件对应页码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76" w:type="dxa"/>
            <w:vMerge w:val="restart"/>
            <w:vAlign w:val="center"/>
          </w:tcPr>
          <w:p>
            <w:pPr>
              <w:pStyle w:val="20"/>
              <w:widowControl/>
              <w:tabs>
                <w:tab w:val="left" w:pos="0"/>
              </w:tabs>
              <w:topLinePunct/>
              <w:snapToGrid w:val="0"/>
              <w:jc w:val="center"/>
              <w:rPr>
                <w:rFonts w:ascii="宋体" w:hAnsi="宋体"/>
                <w:b/>
                <w:bCs/>
                <w:color w:val="000000"/>
                <w:szCs w:val="21"/>
              </w:rPr>
            </w:pPr>
            <w:r>
              <w:rPr>
                <w:rFonts w:hint="eastAsia" w:ascii="宋体" w:hAnsi="宋体"/>
                <w:b/>
                <w:bCs/>
                <w:color w:val="000000"/>
                <w:szCs w:val="21"/>
              </w:rPr>
              <w:t>报价</w:t>
            </w:r>
          </w:p>
          <w:p>
            <w:pPr>
              <w:pStyle w:val="20"/>
              <w:widowControl/>
              <w:tabs>
                <w:tab w:val="left" w:pos="0"/>
              </w:tabs>
              <w:topLinePunct/>
              <w:snapToGrid w:val="0"/>
              <w:jc w:val="center"/>
              <w:rPr>
                <w:rFonts w:ascii="宋体" w:hAnsi="宋体"/>
                <w:b/>
                <w:bCs/>
                <w:color w:val="000000"/>
                <w:szCs w:val="21"/>
              </w:rPr>
            </w:pPr>
            <w:r>
              <w:rPr>
                <w:rFonts w:hint="eastAsia" w:ascii="宋体" w:hAnsi="宋体"/>
                <w:b/>
                <w:bCs/>
                <w:color w:val="000000"/>
                <w:szCs w:val="21"/>
              </w:rPr>
              <w:t>部分</w:t>
            </w:r>
          </w:p>
        </w:tc>
        <w:tc>
          <w:tcPr>
            <w:tcW w:w="816" w:type="dxa"/>
            <w:vAlign w:val="center"/>
          </w:tcPr>
          <w:p>
            <w:pPr>
              <w:pStyle w:val="20"/>
              <w:widowControl/>
              <w:tabs>
                <w:tab w:val="left" w:pos="0"/>
              </w:tabs>
              <w:topLinePunct/>
              <w:snapToGrid w:val="0"/>
              <w:jc w:val="center"/>
              <w:rPr>
                <w:rFonts w:ascii="宋体" w:hAnsi="宋体"/>
                <w:bCs/>
                <w:color w:val="000000"/>
                <w:szCs w:val="21"/>
              </w:rPr>
            </w:pPr>
          </w:p>
        </w:tc>
        <w:tc>
          <w:tcPr>
            <w:tcW w:w="938" w:type="dxa"/>
            <w:vAlign w:val="center"/>
          </w:tcPr>
          <w:p>
            <w:pPr>
              <w:pStyle w:val="20"/>
              <w:widowControl/>
              <w:tabs>
                <w:tab w:val="left" w:pos="0"/>
              </w:tabs>
              <w:topLinePunct/>
              <w:snapToGrid w:val="0"/>
              <w:jc w:val="center"/>
              <w:rPr>
                <w:rFonts w:ascii="宋体" w:hAnsi="宋体"/>
                <w:bCs/>
                <w:color w:val="000000"/>
                <w:szCs w:val="21"/>
              </w:rPr>
            </w:pPr>
          </w:p>
        </w:tc>
        <w:tc>
          <w:tcPr>
            <w:tcW w:w="2796" w:type="dxa"/>
            <w:vAlign w:val="center"/>
          </w:tcPr>
          <w:p>
            <w:pPr>
              <w:pStyle w:val="20"/>
              <w:widowControl/>
              <w:tabs>
                <w:tab w:val="left" w:pos="0"/>
              </w:tabs>
              <w:topLinePunct/>
              <w:snapToGrid w:val="0"/>
              <w:jc w:val="center"/>
              <w:rPr>
                <w:rFonts w:ascii="宋体" w:hAnsi="宋体"/>
                <w:bCs/>
                <w:color w:val="000000"/>
                <w:szCs w:val="21"/>
              </w:rPr>
            </w:pPr>
          </w:p>
        </w:tc>
        <w:tc>
          <w:tcPr>
            <w:tcW w:w="2173" w:type="dxa"/>
            <w:vAlign w:val="center"/>
          </w:tcPr>
          <w:p>
            <w:pPr>
              <w:widowControl/>
              <w:snapToGrid w:val="0"/>
              <w:jc w:val="center"/>
              <w:rPr>
                <w:rFonts w:ascii="宋体" w:hAnsi="宋体"/>
                <w:b/>
                <w:bCs/>
                <w:szCs w:val="21"/>
              </w:rPr>
            </w:pPr>
          </w:p>
        </w:tc>
        <w:tc>
          <w:tcPr>
            <w:tcW w:w="1122" w:type="dxa"/>
            <w:vAlign w:val="center"/>
          </w:tcPr>
          <w:p>
            <w:pPr>
              <w:widowControl/>
              <w:snapToGrid w:val="0"/>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6" w:type="dxa"/>
            <w:vMerge w:val="continue"/>
            <w:vAlign w:val="center"/>
          </w:tcPr>
          <w:p>
            <w:pPr>
              <w:pStyle w:val="20"/>
              <w:widowControl/>
              <w:tabs>
                <w:tab w:val="left" w:pos="0"/>
              </w:tabs>
              <w:topLinePunct/>
              <w:snapToGrid w:val="0"/>
              <w:jc w:val="center"/>
              <w:rPr>
                <w:rFonts w:ascii="宋体" w:hAnsi="宋体"/>
                <w:b/>
                <w:bCs/>
                <w:color w:val="000000"/>
                <w:szCs w:val="21"/>
              </w:rPr>
            </w:pPr>
          </w:p>
        </w:tc>
        <w:tc>
          <w:tcPr>
            <w:tcW w:w="816" w:type="dxa"/>
            <w:vAlign w:val="center"/>
          </w:tcPr>
          <w:p>
            <w:pPr>
              <w:pStyle w:val="20"/>
              <w:widowControl/>
              <w:tabs>
                <w:tab w:val="left" w:pos="0"/>
              </w:tabs>
              <w:topLinePunct/>
              <w:snapToGrid w:val="0"/>
              <w:jc w:val="center"/>
              <w:rPr>
                <w:rFonts w:ascii="宋体" w:hAnsi="宋体"/>
                <w:bCs/>
                <w:color w:val="000000"/>
                <w:szCs w:val="21"/>
              </w:rPr>
            </w:pPr>
          </w:p>
        </w:tc>
        <w:tc>
          <w:tcPr>
            <w:tcW w:w="938" w:type="dxa"/>
            <w:vAlign w:val="center"/>
          </w:tcPr>
          <w:p>
            <w:pPr>
              <w:pStyle w:val="20"/>
              <w:widowControl/>
              <w:tabs>
                <w:tab w:val="left" w:pos="0"/>
              </w:tabs>
              <w:topLinePunct/>
              <w:snapToGrid w:val="0"/>
              <w:jc w:val="center"/>
              <w:rPr>
                <w:rFonts w:ascii="宋体" w:hAnsi="宋体"/>
                <w:bCs/>
                <w:color w:val="000000"/>
                <w:szCs w:val="21"/>
              </w:rPr>
            </w:pPr>
          </w:p>
        </w:tc>
        <w:tc>
          <w:tcPr>
            <w:tcW w:w="2796" w:type="dxa"/>
            <w:vAlign w:val="center"/>
          </w:tcPr>
          <w:p>
            <w:pPr>
              <w:pStyle w:val="20"/>
              <w:widowControl/>
              <w:tabs>
                <w:tab w:val="left" w:pos="0"/>
              </w:tabs>
              <w:topLinePunct/>
              <w:snapToGrid w:val="0"/>
              <w:jc w:val="center"/>
              <w:rPr>
                <w:rFonts w:ascii="宋体" w:hAnsi="宋体"/>
                <w:b/>
                <w:color w:val="000000"/>
                <w:szCs w:val="21"/>
              </w:rPr>
            </w:pPr>
            <w:r>
              <w:rPr>
                <w:rFonts w:ascii="宋体" w:hAnsi="宋体"/>
                <w:b/>
                <w:color w:val="000000"/>
                <w:szCs w:val="21"/>
              </w:rPr>
              <w:t>支持中小企业政策</w:t>
            </w:r>
          </w:p>
        </w:tc>
        <w:tc>
          <w:tcPr>
            <w:tcW w:w="2173" w:type="dxa"/>
            <w:vAlign w:val="center"/>
          </w:tcPr>
          <w:p>
            <w:pPr>
              <w:widowControl/>
              <w:snapToGrid w:val="0"/>
              <w:jc w:val="center"/>
              <w:rPr>
                <w:rFonts w:ascii="宋体" w:hAnsi="宋体"/>
                <w:b/>
                <w:bCs/>
                <w:szCs w:val="21"/>
              </w:rPr>
            </w:pPr>
          </w:p>
        </w:tc>
        <w:tc>
          <w:tcPr>
            <w:tcW w:w="1122" w:type="dxa"/>
            <w:vAlign w:val="center"/>
          </w:tcPr>
          <w:p>
            <w:pPr>
              <w:widowControl/>
              <w:snapToGrid w:val="0"/>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vMerge w:val="continue"/>
            <w:vAlign w:val="center"/>
          </w:tcPr>
          <w:p>
            <w:pPr>
              <w:pStyle w:val="20"/>
              <w:widowControl/>
              <w:tabs>
                <w:tab w:val="left" w:pos="0"/>
              </w:tabs>
              <w:topLinePunct/>
              <w:snapToGrid w:val="0"/>
              <w:jc w:val="center"/>
              <w:rPr>
                <w:rFonts w:ascii="宋体" w:hAnsi="宋体"/>
                <w:b/>
                <w:bCs/>
                <w:color w:val="000000"/>
                <w:szCs w:val="21"/>
              </w:rPr>
            </w:pPr>
          </w:p>
        </w:tc>
        <w:tc>
          <w:tcPr>
            <w:tcW w:w="816" w:type="dxa"/>
            <w:vAlign w:val="center"/>
          </w:tcPr>
          <w:p>
            <w:pPr>
              <w:pStyle w:val="20"/>
              <w:widowControl/>
              <w:tabs>
                <w:tab w:val="left" w:pos="0"/>
              </w:tabs>
              <w:topLinePunct/>
              <w:snapToGrid w:val="0"/>
              <w:jc w:val="center"/>
              <w:rPr>
                <w:rFonts w:ascii="宋体" w:hAnsi="宋体"/>
                <w:bCs/>
                <w:color w:val="000000"/>
                <w:szCs w:val="21"/>
              </w:rPr>
            </w:pPr>
          </w:p>
        </w:tc>
        <w:tc>
          <w:tcPr>
            <w:tcW w:w="938" w:type="dxa"/>
            <w:vAlign w:val="center"/>
          </w:tcPr>
          <w:p>
            <w:pPr>
              <w:pStyle w:val="20"/>
              <w:widowControl/>
              <w:tabs>
                <w:tab w:val="left" w:pos="0"/>
              </w:tabs>
              <w:topLinePunct/>
              <w:snapToGrid w:val="0"/>
              <w:jc w:val="center"/>
              <w:rPr>
                <w:rFonts w:ascii="宋体" w:hAnsi="宋体"/>
                <w:bCs/>
                <w:color w:val="000000"/>
                <w:szCs w:val="21"/>
              </w:rPr>
            </w:pPr>
          </w:p>
        </w:tc>
        <w:tc>
          <w:tcPr>
            <w:tcW w:w="2796" w:type="dxa"/>
            <w:vAlign w:val="center"/>
          </w:tcPr>
          <w:p>
            <w:pPr>
              <w:pStyle w:val="20"/>
              <w:widowControl/>
              <w:tabs>
                <w:tab w:val="left" w:pos="0"/>
              </w:tabs>
              <w:topLinePunct/>
              <w:snapToGrid w:val="0"/>
              <w:jc w:val="center"/>
              <w:rPr>
                <w:rFonts w:ascii="宋体" w:hAnsi="宋体"/>
                <w:b/>
                <w:color w:val="000000"/>
                <w:szCs w:val="21"/>
              </w:rPr>
            </w:pPr>
            <w:r>
              <w:rPr>
                <w:rFonts w:ascii="宋体" w:hAnsi="宋体"/>
                <w:b/>
                <w:color w:val="000000"/>
                <w:szCs w:val="21"/>
              </w:rPr>
              <w:t>采购节能产品政策</w:t>
            </w:r>
          </w:p>
        </w:tc>
        <w:tc>
          <w:tcPr>
            <w:tcW w:w="2173" w:type="dxa"/>
            <w:vAlign w:val="center"/>
          </w:tcPr>
          <w:p>
            <w:pPr>
              <w:widowControl/>
              <w:snapToGrid w:val="0"/>
              <w:jc w:val="center"/>
              <w:rPr>
                <w:rFonts w:ascii="宋体" w:hAnsi="宋体"/>
                <w:b/>
                <w:bCs/>
                <w:szCs w:val="21"/>
              </w:rPr>
            </w:pPr>
          </w:p>
        </w:tc>
        <w:tc>
          <w:tcPr>
            <w:tcW w:w="1122" w:type="dxa"/>
            <w:vAlign w:val="center"/>
          </w:tcPr>
          <w:p>
            <w:pPr>
              <w:widowControl/>
              <w:snapToGrid w:val="0"/>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6" w:type="dxa"/>
            <w:vMerge w:val="continue"/>
            <w:vAlign w:val="center"/>
          </w:tcPr>
          <w:p>
            <w:pPr>
              <w:pStyle w:val="20"/>
              <w:widowControl/>
              <w:tabs>
                <w:tab w:val="left" w:pos="0"/>
              </w:tabs>
              <w:topLinePunct/>
              <w:snapToGrid w:val="0"/>
              <w:jc w:val="center"/>
              <w:rPr>
                <w:rFonts w:ascii="宋体" w:hAnsi="宋体"/>
                <w:b/>
                <w:bCs/>
                <w:color w:val="000000"/>
                <w:szCs w:val="21"/>
              </w:rPr>
            </w:pPr>
          </w:p>
        </w:tc>
        <w:tc>
          <w:tcPr>
            <w:tcW w:w="816" w:type="dxa"/>
            <w:vAlign w:val="center"/>
          </w:tcPr>
          <w:p>
            <w:pPr>
              <w:pStyle w:val="20"/>
              <w:widowControl/>
              <w:tabs>
                <w:tab w:val="left" w:pos="0"/>
              </w:tabs>
              <w:topLinePunct/>
              <w:snapToGrid w:val="0"/>
              <w:jc w:val="center"/>
              <w:rPr>
                <w:rFonts w:ascii="宋体" w:hAnsi="宋体"/>
                <w:bCs/>
                <w:color w:val="000000"/>
                <w:szCs w:val="21"/>
              </w:rPr>
            </w:pPr>
          </w:p>
        </w:tc>
        <w:tc>
          <w:tcPr>
            <w:tcW w:w="938" w:type="dxa"/>
            <w:vAlign w:val="center"/>
          </w:tcPr>
          <w:p>
            <w:pPr>
              <w:pStyle w:val="20"/>
              <w:widowControl/>
              <w:tabs>
                <w:tab w:val="left" w:pos="0"/>
              </w:tabs>
              <w:topLinePunct/>
              <w:snapToGrid w:val="0"/>
              <w:jc w:val="center"/>
              <w:rPr>
                <w:rFonts w:ascii="宋体" w:hAnsi="宋体"/>
                <w:bCs/>
                <w:color w:val="000000"/>
                <w:szCs w:val="21"/>
              </w:rPr>
            </w:pPr>
          </w:p>
        </w:tc>
        <w:tc>
          <w:tcPr>
            <w:tcW w:w="2796" w:type="dxa"/>
            <w:vAlign w:val="center"/>
          </w:tcPr>
          <w:p>
            <w:pPr>
              <w:pStyle w:val="20"/>
              <w:widowControl/>
              <w:tabs>
                <w:tab w:val="left" w:pos="0"/>
              </w:tabs>
              <w:topLinePunct/>
              <w:snapToGrid w:val="0"/>
              <w:jc w:val="center"/>
              <w:rPr>
                <w:rFonts w:ascii="宋体" w:hAnsi="宋体"/>
                <w:b/>
                <w:color w:val="000000"/>
                <w:szCs w:val="21"/>
              </w:rPr>
            </w:pPr>
            <w:r>
              <w:rPr>
                <w:rFonts w:ascii="宋体" w:hAnsi="宋体"/>
                <w:b/>
                <w:color w:val="000000"/>
                <w:szCs w:val="21"/>
              </w:rPr>
              <w:t>采购环保产品政策</w:t>
            </w:r>
          </w:p>
        </w:tc>
        <w:tc>
          <w:tcPr>
            <w:tcW w:w="2173" w:type="dxa"/>
            <w:vAlign w:val="center"/>
          </w:tcPr>
          <w:p>
            <w:pPr>
              <w:widowControl/>
              <w:snapToGrid w:val="0"/>
              <w:jc w:val="center"/>
              <w:rPr>
                <w:rFonts w:ascii="宋体" w:hAnsi="宋体"/>
                <w:b/>
                <w:bCs/>
                <w:szCs w:val="21"/>
              </w:rPr>
            </w:pPr>
          </w:p>
        </w:tc>
        <w:tc>
          <w:tcPr>
            <w:tcW w:w="1122" w:type="dxa"/>
            <w:vAlign w:val="center"/>
          </w:tcPr>
          <w:p>
            <w:pPr>
              <w:widowControl/>
              <w:snapToGrid w:val="0"/>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restart"/>
            <w:vAlign w:val="center"/>
          </w:tcPr>
          <w:p>
            <w:pPr>
              <w:snapToGrid w:val="0"/>
              <w:jc w:val="center"/>
              <w:rPr>
                <w:rFonts w:ascii="宋体" w:hAnsi="宋体"/>
                <w:b/>
                <w:bCs/>
                <w:szCs w:val="21"/>
              </w:rPr>
            </w:pPr>
            <w:r>
              <w:rPr>
                <w:rFonts w:hint="eastAsia" w:ascii="宋体" w:hAnsi="宋体"/>
                <w:b/>
                <w:bCs/>
                <w:szCs w:val="21"/>
              </w:rPr>
              <w:t>商务</w:t>
            </w:r>
          </w:p>
          <w:p>
            <w:pPr>
              <w:snapToGrid w:val="0"/>
              <w:jc w:val="center"/>
              <w:rPr>
                <w:rFonts w:ascii="宋体" w:hAnsi="宋体"/>
                <w:b/>
                <w:bCs/>
                <w:szCs w:val="21"/>
              </w:rPr>
            </w:pPr>
            <w:r>
              <w:rPr>
                <w:rFonts w:hint="eastAsia" w:ascii="宋体" w:hAnsi="宋体"/>
                <w:b/>
                <w:bCs/>
                <w:szCs w:val="21"/>
              </w:rPr>
              <w:t>部分</w:t>
            </w:r>
          </w:p>
        </w:tc>
        <w:tc>
          <w:tcPr>
            <w:tcW w:w="816" w:type="dxa"/>
            <w:vMerge w:val="restart"/>
            <w:vAlign w:val="center"/>
          </w:tcPr>
          <w:p>
            <w:pPr>
              <w:pStyle w:val="20"/>
              <w:widowControl/>
              <w:tabs>
                <w:tab w:val="left" w:pos="0"/>
              </w:tabs>
              <w:topLinePunct/>
              <w:snapToGrid w:val="0"/>
              <w:jc w:val="center"/>
              <w:rPr>
                <w:rFonts w:ascii="宋体" w:hAnsi="宋体"/>
                <w:bCs/>
                <w:szCs w:val="21"/>
              </w:rPr>
            </w:pPr>
          </w:p>
        </w:tc>
        <w:tc>
          <w:tcPr>
            <w:tcW w:w="938" w:type="dxa"/>
            <w:vAlign w:val="center"/>
          </w:tcPr>
          <w:p>
            <w:pPr>
              <w:pStyle w:val="20"/>
              <w:widowControl/>
              <w:tabs>
                <w:tab w:val="left" w:pos="0"/>
              </w:tabs>
              <w:topLinePunct/>
              <w:snapToGrid w:val="0"/>
              <w:jc w:val="center"/>
              <w:rPr>
                <w:rFonts w:ascii="宋体" w:hAnsi="宋体"/>
                <w:bCs/>
                <w:szCs w:val="21"/>
              </w:rPr>
            </w:pPr>
          </w:p>
        </w:tc>
        <w:tc>
          <w:tcPr>
            <w:tcW w:w="2796" w:type="dxa"/>
            <w:vAlign w:val="center"/>
          </w:tcPr>
          <w:p>
            <w:pPr>
              <w:pStyle w:val="20"/>
              <w:widowControl/>
              <w:tabs>
                <w:tab w:val="left" w:pos="0"/>
              </w:tabs>
              <w:topLinePunct/>
              <w:snapToGrid w:val="0"/>
              <w:jc w:val="center"/>
              <w:rPr>
                <w:rFonts w:ascii="宋体" w:hAnsi="宋体"/>
                <w:bCs/>
                <w:szCs w:val="21"/>
              </w:rPr>
            </w:pPr>
          </w:p>
        </w:tc>
        <w:tc>
          <w:tcPr>
            <w:tcW w:w="2173" w:type="dxa"/>
            <w:vAlign w:val="center"/>
          </w:tcPr>
          <w:p>
            <w:pPr>
              <w:widowControl/>
              <w:snapToGrid w:val="0"/>
              <w:jc w:val="center"/>
              <w:rPr>
                <w:rFonts w:ascii="宋体" w:hAnsi="宋体"/>
                <w:bCs/>
                <w:szCs w:val="21"/>
              </w:rPr>
            </w:pPr>
          </w:p>
        </w:tc>
        <w:tc>
          <w:tcPr>
            <w:tcW w:w="1122" w:type="dxa"/>
            <w:vAlign w:val="center"/>
          </w:tcPr>
          <w:p>
            <w:pPr>
              <w:widowControl/>
              <w:snapToGrid w:val="0"/>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pPr>
              <w:snapToGrid w:val="0"/>
              <w:jc w:val="center"/>
              <w:rPr>
                <w:rFonts w:ascii="宋体" w:hAnsi="宋体"/>
                <w:b/>
                <w:szCs w:val="21"/>
              </w:rPr>
            </w:pPr>
          </w:p>
        </w:tc>
        <w:tc>
          <w:tcPr>
            <w:tcW w:w="816" w:type="dxa"/>
            <w:vMerge w:val="continue"/>
            <w:vAlign w:val="center"/>
          </w:tcPr>
          <w:p>
            <w:pPr>
              <w:pStyle w:val="20"/>
              <w:widowControl/>
              <w:tabs>
                <w:tab w:val="left" w:pos="0"/>
              </w:tabs>
              <w:topLinePunct/>
              <w:snapToGrid w:val="0"/>
              <w:jc w:val="center"/>
              <w:rPr>
                <w:rFonts w:ascii="宋体" w:hAnsi="宋体"/>
                <w:bCs/>
                <w:szCs w:val="21"/>
              </w:rPr>
            </w:pPr>
          </w:p>
        </w:tc>
        <w:tc>
          <w:tcPr>
            <w:tcW w:w="938" w:type="dxa"/>
            <w:vAlign w:val="center"/>
          </w:tcPr>
          <w:p>
            <w:pPr>
              <w:pStyle w:val="20"/>
              <w:widowControl/>
              <w:tabs>
                <w:tab w:val="left" w:pos="0"/>
              </w:tabs>
              <w:topLinePunct/>
              <w:snapToGrid w:val="0"/>
              <w:jc w:val="center"/>
              <w:rPr>
                <w:rFonts w:ascii="宋体" w:hAnsi="宋体"/>
                <w:bCs/>
                <w:szCs w:val="21"/>
              </w:rPr>
            </w:pPr>
          </w:p>
        </w:tc>
        <w:tc>
          <w:tcPr>
            <w:tcW w:w="2796" w:type="dxa"/>
            <w:vAlign w:val="center"/>
          </w:tcPr>
          <w:p>
            <w:pPr>
              <w:pStyle w:val="20"/>
              <w:widowControl/>
              <w:tabs>
                <w:tab w:val="left" w:pos="0"/>
              </w:tabs>
              <w:topLinePunct/>
              <w:snapToGrid w:val="0"/>
              <w:jc w:val="center"/>
              <w:rPr>
                <w:rFonts w:ascii="宋体" w:hAnsi="宋体"/>
                <w:bCs/>
                <w:szCs w:val="21"/>
              </w:rPr>
            </w:pPr>
          </w:p>
        </w:tc>
        <w:tc>
          <w:tcPr>
            <w:tcW w:w="2173" w:type="dxa"/>
            <w:vAlign w:val="center"/>
          </w:tcPr>
          <w:p>
            <w:pPr>
              <w:widowControl/>
              <w:snapToGrid w:val="0"/>
              <w:jc w:val="center"/>
              <w:rPr>
                <w:rFonts w:ascii="宋体" w:hAnsi="宋体"/>
                <w:bCs/>
                <w:szCs w:val="21"/>
              </w:rPr>
            </w:pPr>
          </w:p>
        </w:tc>
        <w:tc>
          <w:tcPr>
            <w:tcW w:w="1122" w:type="dxa"/>
            <w:vAlign w:val="center"/>
          </w:tcPr>
          <w:p>
            <w:pPr>
              <w:widowControl/>
              <w:snapToGrid w:val="0"/>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pPr>
              <w:snapToGrid w:val="0"/>
              <w:jc w:val="center"/>
              <w:rPr>
                <w:rFonts w:ascii="宋体" w:hAnsi="宋体"/>
                <w:b/>
                <w:szCs w:val="21"/>
              </w:rPr>
            </w:pPr>
          </w:p>
        </w:tc>
        <w:tc>
          <w:tcPr>
            <w:tcW w:w="816" w:type="dxa"/>
            <w:vMerge w:val="continue"/>
            <w:vAlign w:val="center"/>
          </w:tcPr>
          <w:p>
            <w:pPr>
              <w:pStyle w:val="20"/>
              <w:widowControl/>
              <w:tabs>
                <w:tab w:val="left" w:pos="0"/>
              </w:tabs>
              <w:topLinePunct/>
              <w:snapToGrid w:val="0"/>
              <w:jc w:val="center"/>
              <w:rPr>
                <w:rFonts w:ascii="宋体" w:hAnsi="宋体"/>
                <w:bCs/>
                <w:szCs w:val="21"/>
              </w:rPr>
            </w:pPr>
          </w:p>
        </w:tc>
        <w:tc>
          <w:tcPr>
            <w:tcW w:w="938" w:type="dxa"/>
            <w:vAlign w:val="center"/>
          </w:tcPr>
          <w:p>
            <w:pPr>
              <w:pStyle w:val="20"/>
              <w:widowControl/>
              <w:tabs>
                <w:tab w:val="left" w:pos="0"/>
              </w:tabs>
              <w:topLinePunct/>
              <w:snapToGrid w:val="0"/>
              <w:jc w:val="center"/>
              <w:rPr>
                <w:rFonts w:ascii="宋体" w:hAnsi="宋体"/>
                <w:bCs/>
                <w:szCs w:val="21"/>
              </w:rPr>
            </w:pPr>
          </w:p>
        </w:tc>
        <w:tc>
          <w:tcPr>
            <w:tcW w:w="2796" w:type="dxa"/>
            <w:vAlign w:val="center"/>
          </w:tcPr>
          <w:p>
            <w:pPr>
              <w:pStyle w:val="20"/>
              <w:widowControl/>
              <w:tabs>
                <w:tab w:val="left" w:pos="0"/>
              </w:tabs>
              <w:topLinePunct/>
              <w:snapToGrid w:val="0"/>
              <w:jc w:val="center"/>
              <w:rPr>
                <w:rFonts w:ascii="宋体" w:hAnsi="宋体"/>
                <w:bCs/>
                <w:szCs w:val="21"/>
              </w:rPr>
            </w:pPr>
          </w:p>
        </w:tc>
        <w:tc>
          <w:tcPr>
            <w:tcW w:w="2173" w:type="dxa"/>
            <w:vAlign w:val="center"/>
          </w:tcPr>
          <w:p>
            <w:pPr>
              <w:widowControl/>
              <w:snapToGrid w:val="0"/>
              <w:jc w:val="center"/>
              <w:rPr>
                <w:rFonts w:ascii="宋体" w:hAnsi="宋体"/>
                <w:bCs/>
                <w:szCs w:val="21"/>
              </w:rPr>
            </w:pPr>
          </w:p>
        </w:tc>
        <w:tc>
          <w:tcPr>
            <w:tcW w:w="1122" w:type="dxa"/>
            <w:vAlign w:val="center"/>
          </w:tcPr>
          <w:p>
            <w:pPr>
              <w:widowControl/>
              <w:snapToGrid w:val="0"/>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pPr>
              <w:snapToGrid w:val="0"/>
              <w:jc w:val="center"/>
              <w:rPr>
                <w:rFonts w:ascii="宋体" w:hAnsi="宋体"/>
                <w:b/>
                <w:szCs w:val="21"/>
              </w:rPr>
            </w:pPr>
          </w:p>
        </w:tc>
        <w:tc>
          <w:tcPr>
            <w:tcW w:w="816" w:type="dxa"/>
            <w:vMerge w:val="continue"/>
            <w:vAlign w:val="center"/>
          </w:tcPr>
          <w:p>
            <w:pPr>
              <w:pStyle w:val="20"/>
              <w:widowControl/>
              <w:tabs>
                <w:tab w:val="left" w:pos="0"/>
              </w:tabs>
              <w:topLinePunct/>
              <w:snapToGrid w:val="0"/>
              <w:jc w:val="center"/>
              <w:rPr>
                <w:rFonts w:ascii="宋体" w:hAnsi="宋体"/>
                <w:bCs/>
                <w:szCs w:val="21"/>
              </w:rPr>
            </w:pPr>
          </w:p>
        </w:tc>
        <w:tc>
          <w:tcPr>
            <w:tcW w:w="938" w:type="dxa"/>
            <w:vAlign w:val="center"/>
          </w:tcPr>
          <w:p>
            <w:pPr>
              <w:pStyle w:val="20"/>
              <w:widowControl/>
              <w:tabs>
                <w:tab w:val="left" w:pos="0"/>
              </w:tabs>
              <w:topLinePunct/>
              <w:snapToGrid w:val="0"/>
              <w:jc w:val="center"/>
              <w:rPr>
                <w:rFonts w:ascii="宋体" w:hAnsi="宋体"/>
                <w:bCs/>
                <w:szCs w:val="21"/>
              </w:rPr>
            </w:pPr>
          </w:p>
        </w:tc>
        <w:tc>
          <w:tcPr>
            <w:tcW w:w="2796" w:type="dxa"/>
            <w:vAlign w:val="center"/>
          </w:tcPr>
          <w:p>
            <w:pPr>
              <w:pStyle w:val="20"/>
              <w:widowControl/>
              <w:tabs>
                <w:tab w:val="left" w:pos="0"/>
              </w:tabs>
              <w:topLinePunct/>
              <w:snapToGrid w:val="0"/>
              <w:jc w:val="center"/>
              <w:rPr>
                <w:rFonts w:ascii="宋体" w:hAnsi="宋体"/>
                <w:bCs/>
                <w:szCs w:val="21"/>
              </w:rPr>
            </w:pPr>
          </w:p>
        </w:tc>
        <w:tc>
          <w:tcPr>
            <w:tcW w:w="2173" w:type="dxa"/>
            <w:vAlign w:val="center"/>
          </w:tcPr>
          <w:p>
            <w:pPr>
              <w:widowControl/>
              <w:snapToGrid w:val="0"/>
              <w:jc w:val="center"/>
              <w:rPr>
                <w:rFonts w:ascii="宋体" w:hAnsi="宋体"/>
                <w:bCs/>
                <w:szCs w:val="21"/>
              </w:rPr>
            </w:pPr>
          </w:p>
        </w:tc>
        <w:tc>
          <w:tcPr>
            <w:tcW w:w="1122" w:type="dxa"/>
            <w:vAlign w:val="center"/>
          </w:tcPr>
          <w:p>
            <w:pPr>
              <w:widowControl/>
              <w:snapToGrid w:val="0"/>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pPr>
              <w:snapToGrid w:val="0"/>
              <w:jc w:val="center"/>
              <w:rPr>
                <w:rFonts w:ascii="宋体" w:hAnsi="宋体"/>
                <w:b/>
                <w:szCs w:val="21"/>
              </w:rPr>
            </w:pPr>
          </w:p>
        </w:tc>
        <w:tc>
          <w:tcPr>
            <w:tcW w:w="816" w:type="dxa"/>
            <w:vMerge w:val="continue"/>
            <w:vAlign w:val="center"/>
          </w:tcPr>
          <w:p>
            <w:pPr>
              <w:pStyle w:val="20"/>
              <w:widowControl/>
              <w:tabs>
                <w:tab w:val="left" w:pos="0"/>
              </w:tabs>
              <w:topLinePunct/>
              <w:snapToGrid w:val="0"/>
              <w:jc w:val="center"/>
              <w:rPr>
                <w:rFonts w:ascii="宋体" w:hAnsi="宋体"/>
                <w:bCs/>
                <w:szCs w:val="21"/>
              </w:rPr>
            </w:pPr>
          </w:p>
        </w:tc>
        <w:tc>
          <w:tcPr>
            <w:tcW w:w="938" w:type="dxa"/>
            <w:vAlign w:val="center"/>
          </w:tcPr>
          <w:p>
            <w:pPr>
              <w:pStyle w:val="20"/>
              <w:widowControl/>
              <w:tabs>
                <w:tab w:val="left" w:pos="0"/>
              </w:tabs>
              <w:topLinePunct/>
              <w:snapToGrid w:val="0"/>
              <w:jc w:val="center"/>
              <w:rPr>
                <w:rFonts w:ascii="宋体" w:hAnsi="宋体"/>
                <w:bCs/>
                <w:szCs w:val="21"/>
              </w:rPr>
            </w:pPr>
          </w:p>
        </w:tc>
        <w:tc>
          <w:tcPr>
            <w:tcW w:w="2796" w:type="dxa"/>
            <w:vAlign w:val="center"/>
          </w:tcPr>
          <w:p>
            <w:pPr>
              <w:pStyle w:val="20"/>
              <w:widowControl/>
              <w:tabs>
                <w:tab w:val="left" w:pos="0"/>
              </w:tabs>
              <w:topLinePunct/>
              <w:snapToGrid w:val="0"/>
              <w:jc w:val="center"/>
              <w:rPr>
                <w:rFonts w:ascii="宋体" w:hAnsi="宋体"/>
                <w:bCs/>
                <w:szCs w:val="21"/>
              </w:rPr>
            </w:pPr>
          </w:p>
        </w:tc>
        <w:tc>
          <w:tcPr>
            <w:tcW w:w="2173" w:type="dxa"/>
            <w:vAlign w:val="center"/>
          </w:tcPr>
          <w:p>
            <w:pPr>
              <w:widowControl/>
              <w:snapToGrid w:val="0"/>
              <w:jc w:val="center"/>
              <w:rPr>
                <w:rFonts w:ascii="宋体" w:hAnsi="宋体"/>
                <w:bCs/>
                <w:szCs w:val="21"/>
              </w:rPr>
            </w:pPr>
          </w:p>
        </w:tc>
        <w:tc>
          <w:tcPr>
            <w:tcW w:w="1122" w:type="dxa"/>
            <w:vAlign w:val="center"/>
          </w:tcPr>
          <w:p>
            <w:pPr>
              <w:widowControl/>
              <w:snapToGrid w:val="0"/>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pPr>
              <w:snapToGrid w:val="0"/>
              <w:jc w:val="center"/>
              <w:rPr>
                <w:rFonts w:ascii="宋体" w:hAnsi="宋体"/>
                <w:b/>
                <w:bCs/>
                <w:szCs w:val="21"/>
              </w:rPr>
            </w:pPr>
          </w:p>
        </w:tc>
        <w:tc>
          <w:tcPr>
            <w:tcW w:w="816" w:type="dxa"/>
            <w:vMerge w:val="restart"/>
            <w:vAlign w:val="center"/>
          </w:tcPr>
          <w:p>
            <w:pPr>
              <w:pStyle w:val="20"/>
              <w:widowControl/>
              <w:tabs>
                <w:tab w:val="left" w:pos="0"/>
              </w:tabs>
              <w:topLinePunct/>
              <w:snapToGrid w:val="0"/>
              <w:jc w:val="center"/>
              <w:rPr>
                <w:rFonts w:ascii="宋体" w:hAnsi="宋体"/>
                <w:bCs/>
                <w:szCs w:val="21"/>
              </w:rPr>
            </w:pPr>
          </w:p>
        </w:tc>
        <w:tc>
          <w:tcPr>
            <w:tcW w:w="938" w:type="dxa"/>
            <w:vAlign w:val="center"/>
          </w:tcPr>
          <w:p>
            <w:pPr>
              <w:pStyle w:val="20"/>
              <w:widowControl/>
              <w:tabs>
                <w:tab w:val="left" w:pos="0"/>
              </w:tabs>
              <w:topLinePunct/>
              <w:snapToGrid w:val="0"/>
              <w:jc w:val="center"/>
              <w:rPr>
                <w:rFonts w:ascii="宋体" w:hAnsi="宋体"/>
                <w:bCs/>
                <w:szCs w:val="21"/>
              </w:rPr>
            </w:pPr>
          </w:p>
        </w:tc>
        <w:tc>
          <w:tcPr>
            <w:tcW w:w="2796" w:type="dxa"/>
            <w:vAlign w:val="center"/>
          </w:tcPr>
          <w:p>
            <w:pPr>
              <w:pStyle w:val="20"/>
              <w:widowControl/>
              <w:tabs>
                <w:tab w:val="left" w:pos="0"/>
              </w:tabs>
              <w:topLinePunct/>
              <w:snapToGrid w:val="0"/>
              <w:jc w:val="center"/>
              <w:rPr>
                <w:rFonts w:ascii="宋体" w:hAnsi="宋体"/>
                <w:bCs/>
                <w:szCs w:val="21"/>
              </w:rPr>
            </w:pPr>
          </w:p>
        </w:tc>
        <w:tc>
          <w:tcPr>
            <w:tcW w:w="2173" w:type="dxa"/>
            <w:vAlign w:val="center"/>
          </w:tcPr>
          <w:p>
            <w:pPr>
              <w:widowControl/>
              <w:snapToGrid w:val="0"/>
              <w:jc w:val="center"/>
              <w:rPr>
                <w:rFonts w:ascii="宋体" w:hAnsi="宋体"/>
                <w:bCs/>
                <w:szCs w:val="21"/>
              </w:rPr>
            </w:pPr>
          </w:p>
        </w:tc>
        <w:tc>
          <w:tcPr>
            <w:tcW w:w="1122" w:type="dxa"/>
            <w:vAlign w:val="center"/>
          </w:tcPr>
          <w:p>
            <w:pPr>
              <w:widowControl/>
              <w:snapToGrid w:val="0"/>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pPr>
              <w:widowControl/>
              <w:snapToGrid w:val="0"/>
              <w:jc w:val="center"/>
              <w:rPr>
                <w:rFonts w:ascii="宋体" w:hAnsi="宋体"/>
                <w:b/>
                <w:szCs w:val="21"/>
              </w:rPr>
            </w:pPr>
          </w:p>
        </w:tc>
        <w:tc>
          <w:tcPr>
            <w:tcW w:w="816" w:type="dxa"/>
            <w:vMerge w:val="continue"/>
            <w:vAlign w:val="center"/>
          </w:tcPr>
          <w:p>
            <w:pPr>
              <w:pStyle w:val="20"/>
              <w:widowControl/>
              <w:tabs>
                <w:tab w:val="left" w:pos="0"/>
              </w:tabs>
              <w:topLinePunct/>
              <w:snapToGrid w:val="0"/>
              <w:jc w:val="center"/>
              <w:rPr>
                <w:rFonts w:ascii="宋体" w:hAnsi="宋体"/>
                <w:bCs/>
                <w:szCs w:val="21"/>
              </w:rPr>
            </w:pPr>
          </w:p>
        </w:tc>
        <w:tc>
          <w:tcPr>
            <w:tcW w:w="938" w:type="dxa"/>
            <w:vAlign w:val="center"/>
          </w:tcPr>
          <w:p>
            <w:pPr>
              <w:pStyle w:val="20"/>
              <w:widowControl/>
              <w:tabs>
                <w:tab w:val="left" w:pos="0"/>
              </w:tabs>
              <w:topLinePunct/>
              <w:snapToGrid w:val="0"/>
              <w:jc w:val="center"/>
              <w:rPr>
                <w:rFonts w:ascii="宋体" w:hAnsi="宋体"/>
                <w:bCs/>
                <w:szCs w:val="21"/>
              </w:rPr>
            </w:pPr>
          </w:p>
        </w:tc>
        <w:tc>
          <w:tcPr>
            <w:tcW w:w="2796" w:type="dxa"/>
            <w:vAlign w:val="center"/>
          </w:tcPr>
          <w:p>
            <w:pPr>
              <w:pStyle w:val="20"/>
              <w:widowControl/>
              <w:tabs>
                <w:tab w:val="left" w:pos="0"/>
              </w:tabs>
              <w:topLinePunct/>
              <w:snapToGrid w:val="0"/>
              <w:jc w:val="center"/>
              <w:rPr>
                <w:rFonts w:ascii="宋体" w:hAnsi="宋体"/>
                <w:bCs/>
                <w:szCs w:val="21"/>
              </w:rPr>
            </w:pPr>
          </w:p>
        </w:tc>
        <w:tc>
          <w:tcPr>
            <w:tcW w:w="2173" w:type="dxa"/>
            <w:vAlign w:val="center"/>
          </w:tcPr>
          <w:p>
            <w:pPr>
              <w:widowControl/>
              <w:snapToGrid w:val="0"/>
              <w:jc w:val="center"/>
              <w:rPr>
                <w:rFonts w:ascii="宋体" w:hAnsi="宋体"/>
                <w:bCs/>
                <w:szCs w:val="21"/>
              </w:rPr>
            </w:pPr>
          </w:p>
        </w:tc>
        <w:tc>
          <w:tcPr>
            <w:tcW w:w="1122" w:type="dxa"/>
            <w:vAlign w:val="center"/>
          </w:tcPr>
          <w:p>
            <w:pPr>
              <w:widowControl/>
              <w:snapToGrid w:val="0"/>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pPr>
              <w:widowControl/>
              <w:snapToGrid w:val="0"/>
              <w:jc w:val="center"/>
              <w:rPr>
                <w:rFonts w:ascii="宋体" w:hAnsi="宋体"/>
                <w:b/>
                <w:szCs w:val="21"/>
              </w:rPr>
            </w:pPr>
          </w:p>
        </w:tc>
        <w:tc>
          <w:tcPr>
            <w:tcW w:w="816" w:type="dxa"/>
            <w:vMerge w:val="continue"/>
            <w:vAlign w:val="center"/>
          </w:tcPr>
          <w:p>
            <w:pPr>
              <w:pStyle w:val="20"/>
              <w:widowControl/>
              <w:tabs>
                <w:tab w:val="left" w:pos="0"/>
              </w:tabs>
              <w:topLinePunct/>
              <w:snapToGrid w:val="0"/>
              <w:jc w:val="center"/>
              <w:rPr>
                <w:rFonts w:ascii="宋体" w:hAnsi="宋体"/>
                <w:bCs/>
                <w:szCs w:val="21"/>
              </w:rPr>
            </w:pPr>
          </w:p>
        </w:tc>
        <w:tc>
          <w:tcPr>
            <w:tcW w:w="938" w:type="dxa"/>
            <w:vAlign w:val="center"/>
          </w:tcPr>
          <w:p>
            <w:pPr>
              <w:pStyle w:val="20"/>
              <w:widowControl/>
              <w:tabs>
                <w:tab w:val="left" w:pos="0"/>
              </w:tabs>
              <w:topLinePunct/>
              <w:snapToGrid w:val="0"/>
              <w:jc w:val="center"/>
              <w:rPr>
                <w:rFonts w:ascii="宋体" w:hAnsi="宋体"/>
                <w:bCs/>
                <w:szCs w:val="21"/>
              </w:rPr>
            </w:pPr>
          </w:p>
        </w:tc>
        <w:tc>
          <w:tcPr>
            <w:tcW w:w="2796" w:type="dxa"/>
            <w:vAlign w:val="center"/>
          </w:tcPr>
          <w:p>
            <w:pPr>
              <w:pStyle w:val="20"/>
              <w:widowControl/>
              <w:tabs>
                <w:tab w:val="left" w:pos="0"/>
              </w:tabs>
              <w:topLinePunct/>
              <w:snapToGrid w:val="0"/>
              <w:jc w:val="center"/>
              <w:rPr>
                <w:rFonts w:ascii="宋体" w:hAnsi="宋体"/>
                <w:bCs/>
                <w:szCs w:val="21"/>
              </w:rPr>
            </w:pPr>
          </w:p>
        </w:tc>
        <w:tc>
          <w:tcPr>
            <w:tcW w:w="2173" w:type="dxa"/>
            <w:vAlign w:val="center"/>
          </w:tcPr>
          <w:p>
            <w:pPr>
              <w:snapToGrid w:val="0"/>
              <w:jc w:val="center"/>
              <w:rPr>
                <w:rFonts w:ascii="宋体" w:hAnsi="宋体"/>
                <w:bCs/>
                <w:szCs w:val="21"/>
              </w:rPr>
            </w:pPr>
          </w:p>
        </w:tc>
        <w:tc>
          <w:tcPr>
            <w:tcW w:w="1122" w:type="dxa"/>
            <w:vAlign w:val="center"/>
          </w:tcPr>
          <w:p>
            <w:pPr>
              <w:widowControl/>
              <w:snapToGrid w:val="0"/>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restart"/>
            <w:vAlign w:val="center"/>
          </w:tcPr>
          <w:p>
            <w:pPr>
              <w:widowControl/>
              <w:snapToGrid w:val="0"/>
              <w:jc w:val="center"/>
              <w:rPr>
                <w:rFonts w:ascii="宋体" w:hAnsi="宋体"/>
                <w:b/>
                <w:szCs w:val="21"/>
              </w:rPr>
            </w:pPr>
            <w:r>
              <w:rPr>
                <w:rFonts w:hint="eastAsia" w:ascii="宋体" w:hAnsi="宋体"/>
                <w:b/>
                <w:szCs w:val="21"/>
              </w:rPr>
              <w:t>技术</w:t>
            </w:r>
          </w:p>
          <w:p>
            <w:pPr>
              <w:widowControl/>
              <w:snapToGrid w:val="0"/>
              <w:jc w:val="center"/>
              <w:rPr>
                <w:rFonts w:ascii="宋体" w:hAnsi="宋体"/>
                <w:b/>
                <w:szCs w:val="21"/>
              </w:rPr>
            </w:pPr>
            <w:r>
              <w:rPr>
                <w:rFonts w:hint="eastAsia" w:ascii="宋体" w:hAnsi="宋体"/>
                <w:b/>
                <w:szCs w:val="21"/>
              </w:rPr>
              <w:t>部分</w:t>
            </w:r>
          </w:p>
        </w:tc>
        <w:tc>
          <w:tcPr>
            <w:tcW w:w="816" w:type="dxa"/>
            <w:vMerge w:val="restart"/>
            <w:vAlign w:val="center"/>
          </w:tcPr>
          <w:p>
            <w:pPr>
              <w:widowControl/>
              <w:snapToGrid w:val="0"/>
              <w:jc w:val="center"/>
              <w:rPr>
                <w:rFonts w:ascii="宋体" w:hAnsi="宋体"/>
                <w:szCs w:val="21"/>
              </w:rPr>
            </w:pPr>
          </w:p>
        </w:tc>
        <w:tc>
          <w:tcPr>
            <w:tcW w:w="938" w:type="dxa"/>
            <w:vAlign w:val="center"/>
          </w:tcPr>
          <w:p>
            <w:pPr>
              <w:widowControl/>
              <w:snapToGrid w:val="0"/>
              <w:jc w:val="center"/>
              <w:rPr>
                <w:rFonts w:ascii="宋体" w:hAnsi="宋体"/>
                <w:szCs w:val="21"/>
              </w:rPr>
            </w:pPr>
          </w:p>
        </w:tc>
        <w:tc>
          <w:tcPr>
            <w:tcW w:w="2796" w:type="dxa"/>
            <w:vAlign w:val="center"/>
          </w:tcPr>
          <w:p>
            <w:pPr>
              <w:pStyle w:val="20"/>
              <w:widowControl/>
              <w:tabs>
                <w:tab w:val="left" w:pos="0"/>
              </w:tabs>
              <w:topLinePunct/>
              <w:snapToGrid w:val="0"/>
              <w:jc w:val="center"/>
              <w:rPr>
                <w:rFonts w:ascii="宋体" w:hAnsi="宋体"/>
                <w:bCs/>
                <w:szCs w:val="21"/>
              </w:rPr>
            </w:pPr>
          </w:p>
        </w:tc>
        <w:tc>
          <w:tcPr>
            <w:tcW w:w="2173" w:type="dxa"/>
            <w:vAlign w:val="center"/>
          </w:tcPr>
          <w:p>
            <w:pPr>
              <w:pStyle w:val="20"/>
              <w:widowControl/>
              <w:tabs>
                <w:tab w:val="left" w:pos="0"/>
              </w:tabs>
              <w:topLinePunct/>
              <w:snapToGrid w:val="0"/>
              <w:jc w:val="center"/>
              <w:rPr>
                <w:rFonts w:ascii="宋体" w:hAnsi="宋体"/>
                <w:bCs/>
                <w:szCs w:val="21"/>
              </w:rPr>
            </w:pPr>
          </w:p>
        </w:tc>
        <w:tc>
          <w:tcPr>
            <w:tcW w:w="1122" w:type="dxa"/>
            <w:vAlign w:val="center"/>
          </w:tcPr>
          <w:p>
            <w:pPr>
              <w:pStyle w:val="20"/>
              <w:widowControl/>
              <w:tabs>
                <w:tab w:val="left" w:pos="0"/>
              </w:tabs>
              <w:topLinePunct/>
              <w:snapToGrid w:val="0"/>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pPr>
              <w:widowControl/>
              <w:snapToGrid w:val="0"/>
              <w:jc w:val="center"/>
              <w:rPr>
                <w:rFonts w:ascii="宋体" w:hAnsi="宋体"/>
                <w:b/>
                <w:szCs w:val="21"/>
              </w:rPr>
            </w:pPr>
          </w:p>
        </w:tc>
        <w:tc>
          <w:tcPr>
            <w:tcW w:w="816" w:type="dxa"/>
            <w:vMerge w:val="continue"/>
            <w:vAlign w:val="center"/>
          </w:tcPr>
          <w:p>
            <w:pPr>
              <w:widowControl/>
              <w:snapToGrid w:val="0"/>
              <w:jc w:val="center"/>
              <w:rPr>
                <w:rFonts w:ascii="宋体" w:hAnsi="宋体"/>
                <w:szCs w:val="21"/>
              </w:rPr>
            </w:pPr>
          </w:p>
        </w:tc>
        <w:tc>
          <w:tcPr>
            <w:tcW w:w="938" w:type="dxa"/>
            <w:vAlign w:val="center"/>
          </w:tcPr>
          <w:p>
            <w:pPr>
              <w:widowControl/>
              <w:snapToGrid w:val="0"/>
              <w:jc w:val="center"/>
              <w:rPr>
                <w:rFonts w:ascii="宋体" w:hAnsi="宋体"/>
                <w:szCs w:val="21"/>
              </w:rPr>
            </w:pPr>
          </w:p>
        </w:tc>
        <w:tc>
          <w:tcPr>
            <w:tcW w:w="2796" w:type="dxa"/>
            <w:vAlign w:val="center"/>
          </w:tcPr>
          <w:p>
            <w:pPr>
              <w:pStyle w:val="20"/>
              <w:widowControl/>
              <w:tabs>
                <w:tab w:val="left" w:pos="0"/>
              </w:tabs>
              <w:topLinePunct/>
              <w:snapToGrid w:val="0"/>
              <w:jc w:val="center"/>
              <w:rPr>
                <w:rFonts w:ascii="宋体" w:hAnsi="宋体"/>
                <w:bCs/>
                <w:szCs w:val="21"/>
              </w:rPr>
            </w:pPr>
          </w:p>
        </w:tc>
        <w:tc>
          <w:tcPr>
            <w:tcW w:w="2173" w:type="dxa"/>
            <w:vAlign w:val="center"/>
          </w:tcPr>
          <w:p>
            <w:pPr>
              <w:pStyle w:val="20"/>
              <w:widowControl/>
              <w:tabs>
                <w:tab w:val="left" w:pos="0"/>
              </w:tabs>
              <w:topLinePunct/>
              <w:snapToGrid w:val="0"/>
              <w:jc w:val="center"/>
              <w:rPr>
                <w:rFonts w:ascii="宋体" w:hAnsi="宋体"/>
                <w:bCs/>
                <w:szCs w:val="21"/>
              </w:rPr>
            </w:pPr>
          </w:p>
        </w:tc>
        <w:tc>
          <w:tcPr>
            <w:tcW w:w="1122" w:type="dxa"/>
            <w:vAlign w:val="center"/>
          </w:tcPr>
          <w:p>
            <w:pPr>
              <w:pStyle w:val="20"/>
              <w:widowControl/>
              <w:tabs>
                <w:tab w:val="left" w:pos="0"/>
              </w:tabs>
              <w:topLinePunct/>
              <w:snapToGrid w:val="0"/>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pPr>
              <w:widowControl/>
              <w:snapToGrid w:val="0"/>
              <w:jc w:val="center"/>
              <w:rPr>
                <w:rFonts w:ascii="宋体" w:hAnsi="宋体"/>
                <w:b/>
                <w:szCs w:val="21"/>
              </w:rPr>
            </w:pPr>
          </w:p>
        </w:tc>
        <w:tc>
          <w:tcPr>
            <w:tcW w:w="816" w:type="dxa"/>
            <w:vMerge w:val="continue"/>
            <w:vAlign w:val="center"/>
          </w:tcPr>
          <w:p>
            <w:pPr>
              <w:widowControl/>
              <w:snapToGrid w:val="0"/>
              <w:jc w:val="center"/>
              <w:rPr>
                <w:rFonts w:ascii="宋体" w:hAnsi="宋体"/>
                <w:szCs w:val="21"/>
              </w:rPr>
            </w:pPr>
          </w:p>
        </w:tc>
        <w:tc>
          <w:tcPr>
            <w:tcW w:w="938" w:type="dxa"/>
            <w:vAlign w:val="center"/>
          </w:tcPr>
          <w:p>
            <w:pPr>
              <w:widowControl/>
              <w:snapToGrid w:val="0"/>
              <w:jc w:val="center"/>
              <w:rPr>
                <w:rFonts w:ascii="宋体" w:hAnsi="宋体"/>
                <w:szCs w:val="21"/>
              </w:rPr>
            </w:pPr>
          </w:p>
        </w:tc>
        <w:tc>
          <w:tcPr>
            <w:tcW w:w="2796" w:type="dxa"/>
            <w:vAlign w:val="center"/>
          </w:tcPr>
          <w:p>
            <w:pPr>
              <w:pStyle w:val="20"/>
              <w:widowControl/>
              <w:tabs>
                <w:tab w:val="left" w:pos="0"/>
              </w:tabs>
              <w:topLinePunct/>
              <w:snapToGrid w:val="0"/>
              <w:jc w:val="center"/>
              <w:rPr>
                <w:rFonts w:ascii="宋体" w:hAnsi="宋体"/>
                <w:bCs/>
                <w:szCs w:val="21"/>
              </w:rPr>
            </w:pPr>
          </w:p>
        </w:tc>
        <w:tc>
          <w:tcPr>
            <w:tcW w:w="2173" w:type="dxa"/>
            <w:vAlign w:val="center"/>
          </w:tcPr>
          <w:p>
            <w:pPr>
              <w:pStyle w:val="20"/>
              <w:widowControl/>
              <w:tabs>
                <w:tab w:val="left" w:pos="0"/>
              </w:tabs>
              <w:topLinePunct/>
              <w:snapToGrid w:val="0"/>
              <w:jc w:val="center"/>
              <w:rPr>
                <w:rFonts w:ascii="宋体" w:hAnsi="宋体"/>
                <w:bCs/>
                <w:szCs w:val="21"/>
              </w:rPr>
            </w:pPr>
          </w:p>
        </w:tc>
        <w:tc>
          <w:tcPr>
            <w:tcW w:w="1122" w:type="dxa"/>
            <w:vAlign w:val="center"/>
          </w:tcPr>
          <w:p>
            <w:pPr>
              <w:pStyle w:val="20"/>
              <w:widowControl/>
              <w:tabs>
                <w:tab w:val="left" w:pos="0"/>
              </w:tabs>
              <w:topLinePunct/>
              <w:snapToGrid w:val="0"/>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pPr>
              <w:widowControl/>
              <w:snapToGrid w:val="0"/>
              <w:jc w:val="center"/>
              <w:rPr>
                <w:rFonts w:ascii="宋体" w:hAnsi="宋体"/>
                <w:b/>
                <w:szCs w:val="21"/>
              </w:rPr>
            </w:pPr>
          </w:p>
        </w:tc>
        <w:tc>
          <w:tcPr>
            <w:tcW w:w="816" w:type="dxa"/>
            <w:vMerge w:val="continue"/>
            <w:vAlign w:val="center"/>
          </w:tcPr>
          <w:p>
            <w:pPr>
              <w:widowControl/>
              <w:snapToGrid w:val="0"/>
              <w:jc w:val="center"/>
              <w:rPr>
                <w:rFonts w:ascii="宋体" w:hAnsi="宋体"/>
                <w:szCs w:val="21"/>
              </w:rPr>
            </w:pPr>
          </w:p>
        </w:tc>
        <w:tc>
          <w:tcPr>
            <w:tcW w:w="938" w:type="dxa"/>
            <w:vAlign w:val="center"/>
          </w:tcPr>
          <w:p>
            <w:pPr>
              <w:widowControl/>
              <w:snapToGrid w:val="0"/>
              <w:jc w:val="center"/>
              <w:rPr>
                <w:rFonts w:ascii="宋体" w:hAnsi="宋体"/>
                <w:szCs w:val="21"/>
              </w:rPr>
            </w:pPr>
          </w:p>
        </w:tc>
        <w:tc>
          <w:tcPr>
            <w:tcW w:w="2796" w:type="dxa"/>
            <w:vAlign w:val="center"/>
          </w:tcPr>
          <w:p>
            <w:pPr>
              <w:pStyle w:val="20"/>
              <w:widowControl/>
              <w:tabs>
                <w:tab w:val="left" w:pos="0"/>
              </w:tabs>
              <w:topLinePunct/>
              <w:snapToGrid w:val="0"/>
              <w:jc w:val="center"/>
              <w:rPr>
                <w:rFonts w:ascii="宋体" w:hAnsi="宋体"/>
                <w:bCs/>
                <w:szCs w:val="21"/>
              </w:rPr>
            </w:pPr>
          </w:p>
        </w:tc>
        <w:tc>
          <w:tcPr>
            <w:tcW w:w="2173" w:type="dxa"/>
            <w:vAlign w:val="center"/>
          </w:tcPr>
          <w:p>
            <w:pPr>
              <w:pStyle w:val="20"/>
              <w:widowControl/>
              <w:tabs>
                <w:tab w:val="left" w:pos="0"/>
              </w:tabs>
              <w:topLinePunct/>
              <w:snapToGrid w:val="0"/>
              <w:jc w:val="center"/>
              <w:rPr>
                <w:rFonts w:ascii="宋体" w:hAnsi="宋体"/>
                <w:bCs/>
                <w:szCs w:val="21"/>
              </w:rPr>
            </w:pPr>
          </w:p>
        </w:tc>
        <w:tc>
          <w:tcPr>
            <w:tcW w:w="1122" w:type="dxa"/>
            <w:vAlign w:val="center"/>
          </w:tcPr>
          <w:p>
            <w:pPr>
              <w:pStyle w:val="20"/>
              <w:widowControl/>
              <w:tabs>
                <w:tab w:val="left" w:pos="0"/>
              </w:tabs>
              <w:topLinePunct/>
              <w:snapToGrid w:val="0"/>
              <w:jc w:val="center"/>
              <w:rPr>
                <w:rFonts w:ascii="宋体" w:hAnsi="宋体"/>
                <w:bCs/>
                <w:szCs w:val="21"/>
              </w:rPr>
            </w:pPr>
          </w:p>
        </w:tc>
      </w:tr>
    </w:tbl>
    <w:p>
      <w:pPr>
        <w:rPr>
          <w:rFonts w:ascii="宋体" w:hAnsi="宋体"/>
          <w:kern w:val="0"/>
          <w:sz w:val="20"/>
          <w:szCs w:val="21"/>
        </w:rPr>
      </w:pPr>
    </w:p>
    <w:p>
      <w:pPr>
        <w:spacing w:line="360" w:lineRule="auto"/>
        <w:jc w:val="left"/>
        <w:rPr>
          <w:rFonts w:ascii="宋体" w:hAnsi="宋体"/>
          <w:sz w:val="24"/>
        </w:rPr>
      </w:pPr>
      <w:r>
        <w:rPr>
          <w:rFonts w:hint="eastAsia" w:ascii="宋体" w:hAnsi="宋体" w:cs="仿宋_GB2312"/>
          <w:sz w:val="24"/>
          <w:lang w:val="hr-HR"/>
        </w:rPr>
        <w:t>备注：为方便评委评标，投标供应商可根据磋商文件中载明的《评分标准》，将具体响应情况及响应文件中对应页码在上表中注明。</w:t>
      </w:r>
    </w:p>
    <w:p>
      <w:pPr>
        <w:spacing w:line="360" w:lineRule="auto"/>
        <w:jc w:val="center"/>
        <w:rPr>
          <w:rFonts w:ascii="宋体" w:hAnsi="宋体"/>
          <w:b/>
          <w:sz w:val="32"/>
          <w:szCs w:val="32"/>
        </w:rPr>
      </w:pPr>
      <w:r>
        <w:rPr>
          <w:rFonts w:hint="eastAsia" w:ascii="宋体" w:hAnsi="宋体"/>
          <w:szCs w:val="21"/>
        </w:rPr>
        <w:br w:type="page"/>
      </w:r>
      <w:r>
        <w:rPr>
          <w:rFonts w:hint="eastAsia" w:ascii="宋体" w:hAnsi="宋体"/>
          <w:b/>
          <w:sz w:val="36"/>
          <w:szCs w:val="36"/>
        </w:rPr>
        <w:t>响应文件目录</w:t>
      </w:r>
      <w:bookmarkEnd w:id="498"/>
      <w:bookmarkEnd w:id="499"/>
      <w:bookmarkEnd w:id="504"/>
      <w:bookmarkEnd w:id="505"/>
    </w:p>
    <w:p>
      <w:pPr>
        <w:autoSpaceDE w:val="0"/>
        <w:autoSpaceDN w:val="0"/>
        <w:adjustRightInd w:val="0"/>
        <w:snapToGrid w:val="0"/>
        <w:spacing w:line="360" w:lineRule="auto"/>
        <w:ind w:firstLine="480" w:firstLineChars="200"/>
        <w:rPr>
          <w:rFonts w:ascii="宋体" w:hAnsi="宋体" w:cs="仿宋_GB2312"/>
          <w:snapToGrid w:val="0"/>
          <w:kern w:val="0"/>
          <w:sz w:val="24"/>
          <w:lang w:val="zh-CN"/>
        </w:rPr>
      </w:pPr>
      <w:r>
        <w:rPr>
          <w:rFonts w:hint="eastAsia" w:ascii="宋体" w:hAnsi="宋体" w:cs="仿宋_GB2312"/>
          <w:snapToGrid w:val="0"/>
          <w:kern w:val="0"/>
          <w:sz w:val="24"/>
          <w:lang w:val="zh-CN"/>
        </w:rPr>
        <w:t>格式自拟，须与正文页码一一对应。</w:t>
      </w:r>
    </w:p>
    <w:p>
      <w:pPr>
        <w:pStyle w:val="4"/>
        <w:spacing w:before="0" w:after="0" w:line="360" w:lineRule="auto"/>
        <w:jc w:val="center"/>
        <w:rPr>
          <w:rFonts w:ascii="宋体" w:hAnsi="宋体" w:eastAsia="宋体" w:cs="Arial"/>
          <w:b/>
          <w:sz w:val="36"/>
          <w:szCs w:val="36"/>
        </w:rPr>
      </w:pPr>
      <w:r>
        <w:rPr>
          <w:rFonts w:hint="eastAsia" w:ascii="宋体" w:hAnsi="宋体" w:eastAsia="宋体" w:cs="宋体"/>
          <w:b/>
          <w:bCs w:val="0"/>
          <w:szCs w:val="21"/>
        </w:rPr>
        <w:br w:type="page"/>
      </w:r>
      <w:bookmarkStart w:id="514" w:name="_Toc470172707"/>
      <w:bookmarkStart w:id="515" w:name="_Toc3365"/>
      <w:r>
        <w:rPr>
          <w:rFonts w:hint="eastAsia" w:ascii="宋体" w:hAnsi="宋体" w:eastAsia="宋体" w:cs="Arial"/>
          <w:b/>
        </w:rPr>
        <w:t>一、磋商书</w:t>
      </w:r>
      <w:bookmarkEnd w:id="514"/>
      <w:r>
        <w:rPr>
          <w:rFonts w:hint="eastAsia" w:ascii="宋体" w:hAnsi="宋体" w:eastAsia="宋体" w:cs="Arial"/>
          <w:b/>
        </w:rPr>
        <w:t>及附件</w:t>
      </w:r>
      <w:bookmarkEnd w:id="515"/>
    </w:p>
    <w:p>
      <w:pPr>
        <w:keepNext/>
        <w:keepLines/>
        <w:spacing w:line="360" w:lineRule="auto"/>
        <w:ind w:left="3747" w:hanging="3747" w:hangingChars="1333"/>
        <w:jc w:val="center"/>
        <w:outlineLvl w:val="1"/>
        <w:rPr>
          <w:rFonts w:ascii="宋体" w:hAnsi="宋体" w:cs="仿宋_GB2312"/>
          <w:b/>
          <w:sz w:val="28"/>
          <w:szCs w:val="28"/>
        </w:rPr>
      </w:pPr>
      <w:bookmarkStart w:id="516" w:name="_Toc29161"/>
      <w:r>
        <w:rPr>
          <w:rFonts w:hint="eastAsia" w:ascii="宋体" w:hAnsi="宋体" w:cs="仿宋_GB2312"/>
          <w:b/>
          <w:sz w:val="28"/>
          <w:szCs w:val="28"/>
        </w:rPr>
        <w:t>（一）磋商书</w:t>
      </w:r>
      <w:bookmarkEnd w:id="516"/>
    </w:p>
    <w:p>
      <w:pPr>
        <w:autoSpaceDE w:val="0"/>
        <w:autoSpaceDN w:val="0"/>
        <w:adjustRightInd w:val="0"/>
        <w:snapToGrid w:val="0"/>
        <w:spacing w:line="360" w:lineRule="auto"/>
        <w:jc w:val="left"/>
        <w:rPr>
          <w:rFonts w:ascii="宋体" w:hAnsi="宋体" w:cs="宋体"/>
          <w:bCs/>
          <w:sz w:val="24"/>
        </w:rPr>
      </w:pPr>
    </w:p>
    <w:p>
      <w:pPr>
        <w:autoSpaceDE w:val="0"/>
        <w:autoSpaceDN w:val="0"/>
        <w:adjustRightInd w:val="0"/>
        <w:snapToGrid w:val="0"/>
        <w:spacing w:line="360" w:lineRule="auto"/>
        <w:jc w:val="left"/>
        <w:rPr>
          <w:rFonts w:ascii="宋体" w:hAnsi="宋体" w:cs="仿宋_GB2312"/>
          <w:kern w:val="0"/>
          <w:sz w:val="24"/>
        </w:rPr>
      </w:pPr>
      <w:r>
        <w:rPr>
          <w:rFonts w:hint="eastAsia" w:ascii="宋体" w:hAnsi="宋体" w:cs="仿宋_GB2312"/>
          <w:bCs/>
          <w:sz w:val="24"/>
        </w:rPr>
        <w:t>（采购代理机构）：</w:t>
      </w:r>
    </w:p>
    <w:p>
      <w:pPr>
        <w:autoSpaceDE w:val="0"/>
        <w:autoSpaceDN w:val="0"/>
        <w:adjustRightInd w:val="0"/>
        <w:snapToGrid w:val="0"/>
        <w:spacing w:line="360" w:lineRule="auto"/>
        <w:ind w:firstLine="480" w:firstLineChars="200"/>
        <w:rPr>
          <w:rFonts w:ascii="宋体" w:hAnsi="宋体" w:cs="仿宋_GB2312"/>
          <w:kern w:val="0"/>
          <w:sz w:val="24"/>
        </w:rPr>
      </w:pPr>
      <w:r>
        <w:rPr>
          <w:rFonts w:hint="eastAsia" w:ascii="宋体" w:hAnsi="宋体" w:cs="仿宋_GB2312"/>
          <w:kern w:val="0"/>
          <w:sz w:val="24"/>
        </w:rPr>
        <w:t>依据贵方（项目名称/项目编号）项目采购货物及服务的磋商邀请，我方代表（姓名、职务）经正式授权并代表供应商（供应商的名称、地址）提交响应文件正本一份，副本</w:t>
      </w:r>
      <w:r>
        <w:rPr>
          <w:rFonts w:hint="eastAsia" w:ascii="宋体" w:hAnsi="宋体" w:cs="仿宋_GB2312"/>
          <w:kern w:val="0"/>
          <w:sz w:val="24"/>
          <w:u w:val="single"/>
        </w:rPr>
        <w:t xml:space="preserve">  </w:t>
      </w:r>
      <w:r>
        <w:rPr>
          <w:rFonts w:hint="eastAsia" w:ascii="宋体" w:hAnsi="宋体" w:cs="仿宋_GB2312"/>
          <w:kern w:val="0"/>
          <w:sz w:val="24"/>
        </w:rPr>
        <w:t>份。</w:t>
      </w:r>
      <w:r>
        <w:rPr>
          <w:rFonts w:hint="eastAsia" w:ascii="宋体" w:hAnsi="宋体" w:cs="仿宋_GB2312"/>
          <w:b/>
          <w:bCs/>
          <w:kern w:val="0"/>
          <w:sz w:val="24"/>
        </w:rPr>
        <w:t>并进行如下承诺声明：</w:t>
      </w:r>
    </w:p>
    <w:p>
      <w:pPr>
        <w:numPr>
          <w:ilvl w:val="0"/>
          <w:numId w:val="3"/>
        </w:numPr>
        <w:tabs>
          <w:tab w:val="left" w:pos="840"/>
        </w:tabs>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lang w:val="zh-CN"/>
        </w:rPr>
        <w:t>我方在参加本次政府采购活动前</w:t>
      </w:r>
      <w:r>
        <w:rPr>
          <w:rFonts w:hint="eastAsia" w:ascii="宋体" w:hAnsi="宋体" w:cs="宋体"/>
          <w:kern w:val="0"/>
          <w:sz w:val="24"/>
        </w:rPr>
        <w:t>三年内在经营活动中没有重大违法记录；</w:t>
      </w:r>
    </w:p>
    <w:p>
      <w:pPr>
        <w:numPr>
          <w:ilvl w:val="0"/>
          <w:numId w:val="3"/>
        </w:numPr>
        <w:tabs>
          <w:tab w:val="left" w:pos="840"/>
        </w:tabs>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我方在本响应文件中所提供的全部资料均真实有效，我方承诺对其真实性负责并承担相应后果；</w:t>
      </w:r>
    </w:p>
    <w:p>
      <w:pPr>
        <w:numPr>
          <w:ilvl w:val="0"/>
          <w:numId w:val="3"/>
        </w:numPr>
        <w:tabs>
          <w:tab w:val="left" w:pos="840"/>
        </w:tabs>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我方在本响应文件中所响应的内容均将成为签订合同的依据，并承诺按响应内容提供相应服务；</w:t>
      </w:r>
    </w:p>
    <w:p>
      <w:pPr>
        <w:numPr>
          <w:ilvl w:val="0"/>
          <w:numId w:val="3"/>
        </w:numPr>
        <w:snapToGrid w:val="0"/>
        <w:spacing w:line="324" w:lineRule="auto"/>
        <w:rPr>
          <w:rFonts w:ascii="Arial" w:hAnsi="Arial" w:cs="Arial"/>
          <w:b/>
          <w:sz w:val="24"/>
        </w:rPr>
      </w:pPr>
      <w:r>
        <w:rPr>
          <w:rFonts w:hint="eastAsia" w:ascii="Arial" w:hAnsi="Arial" w:cs="Arial"/>
          <w:b/>
          <w:sz w:val="24"/>
        </w:rPr>
        <w:t>重要声明：</w:t>
      </w:r>
    </w:p>
    <w:p>
      <w:pPr>
        <w:snapToGrid w:val="0"/>
        <w:spacing w:line="324" w:lineRule="auto"/>
        <w:ind w:left="400"/>
        <w:rPr>
          <w:rFonts w:ascii="宋体" w:hAnsi="宋体"/>
          <w:b/>
          <w:sz w:val="24"/>
        </w:rPr>
      </w:pPr>
      <w:r>
        <w:rPr>
          <w:rFonts w:hint="eastAsia" w:ascii="宋体" w:hAnsi="宋体"/>
          <w:b/>
          <w:sz w:val="24"/>
        </w:rPr>
        <w:t>1）与我方单位负责人为同一人的其他单位名称：</w:t>
      </w:r>
    </w:p>
    <w:p>
      <w:pPr>
        <w:snapToGrid w:val="0"/>
        <w:spacing w:line="324" w:lineRule="auto"/>
        <w:ind w:left="399" w:leftChars="190" w:firstLine="236" w:firstLineChars="98"/>
        <w:rPr>
          <w:rFonts w:ascii="宋体" w:hAnsi="宋体"/>
          <w:b/>
          <w:sz w:val="24"/>
        </w:rPr>
      </w:pPr>
      <w:r>
        <w:rPr>
          <w:rFonts w:hint="eastAsia" w:ascii="宋体" w:hAnsi="宋体"/>
          <w:b/>
          <w:sz w:val="24"/>
        </w:rPr>
        <w:t>□无；□有，具体单位名称为：</w:t>
      </w:r>
      <w:r>
        <w:rPr>
          <w:rFonts w:hint="eastAsia" w:ascii="宋体" w:hAnsi="宋体"/>
          <w:b/>
          <w:sz w:val="24"/>
          <w:u w:val="single"/>
        </w:rPr>
        <w:t xml:space="preserve">     </w:t>
      </w:r>
      <w:r>
        <w:rPr>
          <w:rFonts w:hint="eastAsia" w:ascii="宋体" w:hAnsi="宋体" w:cs="宋体"/>
          <w:i/>
          <w:kern w:val="0"/>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pPr>
        <w:snapToGrid w:val="0"/>
        <w:spacing w:line="324" w:lineRule="auto"/>
        <w:ind w:left="400"/>
        <w:rPr>
          <w:rFonts w:ascii="宋体" w:hAnsi="宋体"/>
          <w:b/>
          <w:sz w:val="24"/>
        </w:rPr>
      </w:pPr>
      <w:r>
        <w:rPr>
          <w:rFonts w:hint="eastAsia" w:ascii="宋体" w:hAnsi="宋体"/>
          <w:b/>
          <w:sz w:val="24"/>
        </w:rPr>
        <w:t>2）与我方存在控股、管理关系的其他单位的名称：</w:t>
      </w:r>
    </w:p>
    <w:p>
      <w:pPr>
        <w:snapToGrid w:val="0"/>
        <w:spacing w:line="324" w:lineRule="auto"/>
        <w:ind w:left="399" w:leftChars="190" w:firstLine="236" w:firstLineChars="98"/>
        <w:rPr>
          <w:rFonts w:ascii="宋体" w:hAnsi="宋体"/>
          <w:b/>
          <w:sz w:val="24"/>
        </w:rPr>
      </w:pPr>
      <w:r>
        <w:rPr>
          <w:rFonts w:hint="eastAsia" w:ascii="宋体" w:hAnsi="宋体"/>
          <w:b/>
          <w:sz w:val="24"/>
        </w:rPr>
        <w:t xml:space="preserve">□无；□有，具体单位名称为： </w:t>
      </w:r>
      <w:r>
        <w:rPr>
          <w:rFonts w:hint="eastAsia" w:ascii="宋体" w:hAnsi="宋体"/>
          <w:b/>
          <w:sz w:val="24"/>
          <w:u w:val="single"/>
        </w:rPr>
        <w:t xml:space="preserve">      </w:t>
      </w:r>
      <w:r>
        <w:rPr>
          <w:rFonts w:hint="eastAsia" w:ascii="宋体" w:hAnsi="宋体" w:cs="宋体"/>
          <w:i/>
          <w:kern w:val="0"/>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pPr>
        <w:snapToGrid w:val="0"/>
        <w:spacing w:line="324" w:lineRule="auto"/>
        <w:ind w:left="400"/>
        <w:rPr>
          <w:rFonts w:ascii="宋体" w:hAnsi="宋体"/>
          <w:b/>
          <w:sz w:val="24"/>
        </w:rPr>
      </w:pPr>
      <w:r>
        <w:rPr>
          <w:rFonts w:hint="eastAsia" w:ascii="宋体" w:hAnsi="宋体"/>
          <w:b/>
          <w:sz w:val="24"/>
        </w:rPr>
        <w:t>3）参与本项目采购活动前，是否为本项目前期准备提供过整体设计、规范编制或者项目管理、监理、检测等服务：</w:t>
      </w:r>
    </w:p>
    <w:p>
      <w:pPr>
        <w:snapToGrid w:val="0"/>
        <w:spacing w:line="324" w:lineRule="auto"/>
        <w:ind w:left="399" w:leftChars="190" w:firstLine="236" w:firstLineChars="98"/>
        <w:rPr>
          <w:rFonts w:ascii="宋体" w:hAnsi="宋体"/>
          <w:b/>
          <w:sz w:val="24"/>
        </w:rPr>
      </w:pPr>
      <w:r>
        <w:rPr>
          <w:rFonts w:hint="eastAsia" w:ascii="宋体" w:hAnsi="宋体" w:cs="Arial"/>
          <w:b/>
          <w:sz w:val="24"/>
          <w:bdr w:val="single" w:color="auto" w:sz="4" w:space="0"/>
        </w:rPr>
        <w:t>√</w:t>
      </w:r>
      <w:r>
        <w:rPr>
          <w:rFonts w:hint="eastAsia" w:ascii="宋体" w:hAnsi="宋体"/>
          <w:b/>
          <w:sz w:val="24"/>
        </w:rPr>
        <w:t xml:space="preserve">无；□有，已提供的具体服务内容为： </w:t>
      </w:r>
      <w:r>
        <w:rPr>
          <w:rFonts w:hint="eastAsia" w:ascii="宋体" w:hAnsi="宋体"/>
          <w:b/>
          <w:sz w:val="24"/>
          <w:u w:val="single"/>
        </w:rPr>
        <w:t xml:space="preserve">      </w:t>
      </w:r>
      <w:r>
        <w:rPr>
          <w:rFonts w:hint="eastAsia" w:ascii="宋体" w:hAnsi="宋体" w:cs="宋体"/>
          <w:i/>
          <w:kern w:val="0"/>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pPr>
        <w:spacing w:line="324" w:lineRule="auto"/>
        <w:ind w:left="400"/>
        <w:rPr>
          <w:rFonts w:ascii="Arial" w:hAnsi="Arial" w:cs="Arial"/>
          <w:b/>
          <w:sz w:val="24"/>
        </w:rPr>
      </w:pPr>
      <w:r>
        <w:rPr>
          <w:rFonts w:hint="eastAsia"/>
          <w:b/>
          <w:sz w:val="24"/>
        </w:rPr>
        <w:t>（备注：以上3项声明，必须如实选择，选中项用</w:t>
      </w:r>
      <w:r>
        <w:rPr>
          <w:rFonts w:hint="eastAsia"/>
          <w:b/>
          <w:sz w:val="24"/>
          <w:bdr w:val="single" w:color="auto" w:sz="4" w:space="0"/>
        </w:rPr>
        <w:t>√</w:t>
      </w:r>
      <w:r>
        <w:rPr>
          <w:rFonts w:hint="eastAsia" w:ascii="宋体" w:hAnsi="宋体"/>
          <w:b/>
          <w:sz w:val="24"/>
        </w:rPr>
        <w:t>表示，未选中项用□表示</w:t>
      </w:r>
      <w:r>
        <w:rPr>
          <w:rFonts w:hint="eastAsia"/>
          <w:b/>
          <w:sz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pPr>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其它承诺：如有的话，可自行填写。</w:t>
      </w:r>
    </w:p>
    <w:p>
      <w:pPr>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在此，我方宣布同意如下：</w:t>
      </w:r>
    </w:p>
    <w:p>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kern w:val="0"/>
          <w:sz w:val="24"/>
        </w:rPr>
      </w:pPr>
      <w:r>
        <w:rPr>
          <w:rFonts w:hint="eastAsia" w:ascii="宋体" w:hAnsi="宋体" w:cs="宋体"/>
          <w:kern w:val="0"/>
          <w:sz w:val="24"/>
        </w:rPr>
        <w:t>所附《报价一览表》中规定的应提交和交付的货物报价总价为</w:t>
      </w:r>
      <w:r>
        <w:rPr>
          <w:rFonts w:hint="eastAsia" w:ascii="宋体" w:hAnsi="宋体" w:cs="宋体"/>
          <w:kern w:val="0"/>
          <w:sz w:val="24"/>
          <w:u w:val="single"/>
        </w:rPr>
        <w:t xml:space="preserve">              </w:t>
      </w:r>
      <w:r>
        <w:rPr>
          <w:rFonts w:hint="eastAsia" w:ascii="宋体" w:hAnsi="宋体" w:cs="宋体"/>
          <w:i/>
          <w:kern w:val="0"/>
          <w:sz w:val="24"/>
          <w:u w:val="single"/>
        </w:rPr>
        <w:t xml:space="preserve">（注明币种，并用文字和数字表示的报价总价） </w:t>
      </w:r>
      <w:r>
        <w:rPr>
          <w:rFonts w:hint="eastAsia" w:ascii="宋体" w:hAnsi="宋体" w:cs="宋体"/>
          <w:kern w:val="0"/>
          <w:sz w:val="24"/>
          <w:u w:val="single"/>
        </w:rPr>
        <w:t xml:space="preserve">         </w:t>
      </w:r>
      <w:r>
        <w:rPr>
          <w:rFonts w:hint="eastAsia" w:ascii="宋体" w:hAnsi="宋体" w:cs="宋体"/>
          <w:kern w:val="0"/>
          <w:sz w:val="24"/>
        </w:rPr>
        <w:t>。</w:t>
      </w:r>
    </w:p>
    <w:p>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kern w:val="0"/>
          <w:sz w:val="24"/>
        </w:rPr>
      </w:pPr>
      <w:r>
        <w:rPr>
          <w:rFonts w:hint="eastAsia" w:ascii="宋体" w:hAnsi="宋体" w:cs="宋体"/>
          <w:kern w:val="0"/>
          <w:sz w:val="24"/>
        </w:rPr>
        <w:t>将按磋商文件的约定履行合同责任和义务。</w:t>
      </w:r>
    </w:p>
    <w:p>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kern w:val="0"/>
          <w:sz w:val="24"/>
        </w:rPr>
      </w:pPr>
      <w:r>
        <w:rPr>
          <w:rFonts w:hint="eastAsia" w:ascii="宋体" w:hAnsi="宋体" w:cs="宋体"/>
          <w:kern w:val="0"/>
          <w:sz w:val="24"/>
        </w:rPr>
        <w:t>已详细审查全部磋商文件，包括</w:t>
      </w:r>
      <w:r>
        <w:rPr>
          <w:rFonts w:hint="eastAsia" w:ascii="宋体" w:hAnsi="宋体" w:cs="宋体"/>
          <w:kern w:val="0"/>
          <w:sz w:val="24"/>
          <w:u w:val="single"/>
        </w:rPr>
        <w:t>（补充文件等）</w:t>
      </w:r>
      <w:r>
        <w:rPr>
          <w:rFonts w:hint="eastAsia" w:ascii="宋体" w:hAnsi="宋体" w:cs="宋体"/>
          <w:kern w:val="0"/>
          <w:sz w:val="24"/>
        </w:rPr>
        <w:t>，对此无异议。</w:t>
      </w:r>
    </w:p>
    <w:p>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kern w:val="0"/>
          <w:sz w:val="24"/>
        </w:rPr>
      </w:pPr>
      <w:r>
        <w:rPr>
          <w:rFonts w:hint="eastAsia" w:ascii="宋体" w:hAnsi="宋体" w:cs="宋体"/>
          <w:kern w:val="0"/>
          <w:sz w:val="24"/>
        </w:rPr>
        <w:t>本竞争性磋商响应文件的有效期自递交响应文件</w:t>
      </w:r>
      <w:r>
        <w:rPr>
          <w:rFonts w:hint="eastAsia" w:ascii="宋体" w:hAnsi="宋体" w:cs="宋体"/>
          <w:kern w:val="0"/>
          <w:sz w:val="24"/>
          <w:lang w:val="en-US" w:eastAsia="zh-CN"/>
        </w:rPr>
        <w:t>截止</w:t>
      </w:r>
      <w:r>
        <w:rPr>
          <w:rFonts w:hint="eastAsia" w:ascii="宋体" w:hAnsi="宋体" w:cs="宋体"/>
          <w:kern w:val="0"/>
          <w:sz w:val="24"/>
        </w:rPr>
        <w:t>之日起共</w:t>
      </w:r>
      <w:r>
        <w:rPr>
          <w:rFonts w:hint="eastAsia" w:ascii="宋体" w:hAnsi="宋体" w:cs="宋体"/>
          <w:kern w:val="0"/>
          <w:sz w:val="24"/>
          <w:u w:val="single"/>
        </w:rPr>
        <w:t xml:space="preserve">               </w:t>
      </w:r>
      <w:r>
        <w:rPr>
          <w:rFonts w:hint="eastAsia" w:ascii="宋体" w:hAnsi="宋体" w:cs="宋体"/>
          <w:i/>
          <w:kern w:val="0"/>
          <w:sz w:val="24"/>
          <w:u w:val="single"/>
        </w:rPr>
        <w:t xml:space="preserve">（由供应商填写）  </w:t>
      </w:r>
      <w:r>
        <w:rPr>
          <w:rFonts w:hint="eastAsia" w:ascii="宋体" w:hAnsi="宋体" w:cs="宋体"/>
          <w:kern w:val="0"/>
          <w:sz w:val="24"/>
          <w:u w:val="single"/>
        </w:rPr>
        <w:t xml:space="preserve">          </w:t>
      </w:r>
      <w:r>
        <w:rPr>
          <w:rFonts w:hint="eastAsia" w:ascii="宋体" w:hAnsi="宋体" w:cs="宋体"/>
          <w:kern w:val="0"/>
          <w:sz w:val="24"/>
        </w:rPr>
        <w:t>个日历日。</w:t>
      </w:r>
    </w:p>
    <w:p>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kern w:val="0"/>
          <w:sz w:val="24"/>
        </w:rPr>
      </w:pPr>
      <w:r>
        <w:rPr>
          <w:rFonts w:hint="eastAsia" w:ascii="宋体" w:hAnsi="宋体" w:cs="宋体"/>
          <w:kern w:val="0"/>
          <w:sz w:val="24"/>
        </w:rPr>
        <w:t>如果我方为成交供应商，承诺按照磋商文件的规定支付采购代理服务费。</w:t>
      </w:r>
    </w:p>
    <w:p>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kern w:val="0"/>
          <w:sz w:val="24"/>
        </w:rPr>
      </w:pPr>
      <w:r>
        <w:rPr>
          <w:rFonts w:hint="eastAsia" w:ascii="宋体" w:hAnsi="宋体" w:cs="宋体"/>
          <w:kern w:val="0"/>
          <w:sz w:val="24"/>
        </w:rPr>
        <w:t>同意提供按照贵方可能要求的与其报价有关的一切数据或资料。</w:t>
      </w:r>
    </w:p>
    <w:p>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kern w:val="0"/>
          <w:sz w:val="24"/>
        </w:rPr>
      </w:pPr>
      <w:r>
        <w:rPr>
          <w:rFonts w:hint="eastAsia" w:ascii="宋体" w:hAnsi="宋体" w:cs="宋体"/>
          <w:kern w:val="0"/>
          <w:sz w:val="24"/>
        </w:rPr>
        <w:t>与本报价有关的一切正式往来信函请寄：</w:t>
      </w:r>
      <w:r>
        <w:rPr>
          <w:rFonts w:hint="eastAsia" w:ascii="宋体" w:hAnsi="宋体" w:cs="宋体"/>
          <w:kern w:val="0"/>
          <w:sz w:val="24"/>
          <w:u w:val="single"/>
        </w:rPr>
        <w:t xml:space="preserve">      </w:t>
      </w:r>
      <w:r>
        <w:rPr>
          <w:rFonts w:hint="eastAsia" w:ascii="宋体" w:hAnsi="宋体" w:cs="宋体"/>
          <w:i/>
          <w:kern w:val="0"/>
          <w:sz w:val="24"/>
          <w:u w:val="single"/>
        </w:rPr>
        <w:t>（由供应商填写）</w:t>
      </w:r>
      <w:r>
        <w:rPr>
          <w:rFonts w:hint="eastAsia" w:ascii="宋体" w:hAnsi="宋体" w:cs="宋体"/>
          <w:kern w:val="0"/>
          <w:sz w:val="24"/>
          <w:u w:val="single"/>
        </w:rPr>
        <w:t xml:space="preserve">            </w:t>
      </w:r>
      <w:r>
        <w:rPr>
          <w:rFonts w:hint="eastAsia" w:ascii="宋体" w:hAnsi="宋体" w:cs="宋体"/>
          <w:kern w:val="0"/>
          <w:sz w:val="24"/>
        </w:rPr>
        <w:t>。</w:t>
      </w:r>
    </w:p>
    <w:p>
      <w:pPr>
        <w:autoSpaceDE w:val="0"/>
        <w:autoSpaceDN w:val="0"/>
        <w:adjustRightInd w:val="0"/>
        <w:snapToGrid w:val="0"/>
        <w:spacing w:line="360" w:lineRule="auto"/>
        <w:ind w:firstLine="480" w:firstLineChars="200"/>
        <w:jc w:val="left"/>
        <w:rPr>
          <w:rFonts w:ascii="宋体" w:hAnsi="宋体" w:cs="宋体"/>
          <w:kern w:val="0"/>
          <w:sz w:val="24"/>
        </w:rPr>
      </w:pPr>
    </w:p>
    <w:p>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供    应    商：（公章）</w:t>
      </w:r>
    </w:p>
    <w:p>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通  讯  地  址：</w:t>
      </w:r>
    </w:p>
    <w:p>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传        　真：</w:t>
      </w:r>
    </w:p>
    <w:p>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电          话：</w:t>
      </w:r>
    </w:p>
    <w:p>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电  子  函  件：</w:t>
      </w:r>
    </w:p>
    <w:p>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授权 代表 签字：</w:t>
      </w:r>
    </w:p>
    <w:p>
      <w:pPr>
        <w:autoSpaceDE w:val="0"/>
        <w:autoSpaceDN w:val="0"/>
        <w:adjustRightInd w:val="0"/>
        <w:snapToGrid w:val="0"/>
        <w:spacing w:line="360" w:lineRule="auto"/>
        <w:ind w:firstLine="480" w:firstLineChars="200"/>
        <w:rPr>
          <w:rFonts w:ascii="宋体" w:hAnsi="宋体" w:cs="仿宋_GB2312"/>
          <w:kern w:val="0"/>
          <w:sz w:val="24"/>
          <w:u w:val="single"/>
        </w:rPr>
      </w:pPr>
      <w:r>
        <w:rPr>
          <w:rFonts w:hint="eastAsia" w:ascii="宋体" w:hAnsi="宋体" w:cs="宋体"/>
          <w:kern w:val="0"/>
          <w:sz w:val="24"/>
        </w:rPr>
        <w:t>日         期：</w:t>
      </w:r>
    </w:p>
    <w:p>
      <w:pPr>
        <w:pStyle w:val="4"/>
        <w:spacing w:before="0" w:after="0" w:line="360" w:lineRule="auto"/>
        <w:jc w:val="center"/>
        <w:rPr>
          <w:rFonts w:ascii="宋体" w:hAnsi="宋体" w:eastAsia="宋体" w:cs="仿宋_GB2312"/>
          <w:sz w:val="24"/>
        </w:rPr>
        <w:sectPr>
          <w:type w:val="nextColumn"/>
          <w:pgSz w:w="11905" w:h="16838"/>
          <w:pgMar w:top="1440" w:right="1797" w:bottom="1440" w:left="1797" w:header="850" w:footer="850" w:gutter="0"/>
          <w:pgBorders>
            <w:top w:val="none" w:sz="0" w:space="0"/>
            <w:left w:val="none" w:sz="0" w:space="0"/>
            <w:bottom w:val="none" w:sz="0" w:space="0"/>
            <w:right w:val="none" w:sz="0" w:space="0"/>
          </w:pgBorders>
          <w:cols w:space="720" w:num="1"/>
          <w:docGrid w:linePitch="312" w:charSpace="0"/>
        </w:sectPr>
      </w:pPr>
      <w:r>
        <w:rPr>
          <w:rFonts w:ascii="宋体" w:hAnsi="宋体" w:eastAsia="宋体" w:cs="宋体"/>
          <w:kern w:val="0"/>
          <w:sz w:val="40"/>
          <w:szCs w:val="24"/>
        </w:rPr>
        <w:br w:type="page"/>
      </w:r>
      <w:bookmarkEnd w:id="497"/>
      <w:bookmarkEnd w:id="506"/>
      <w:bookmarkEnd w:id="507"/>
      <w:bookmarkEnd w:id="508"/>
      <w:bookmarkEnd w:id="509"/>
      <w:bookmarkStart w:id="517" w:name="_Toc432367424"/>
      <w:bookmarkStart w:id="518" w:name="_Toc415646544"/>
      <w:bookmarkStart w:id="519" w:name="_Toc325617414"/>
      <w:bookmarkStart w:id="520" w:name="_Toc424245523"/>
      <w:bookmarkStart w:id="521" w:name="_Toc430813344"/>
    </w:p>
    <w:bookmarkEnd w:id="517"/>
    <w:bookmarkEnd w:id="518"/>
    <w:bookmarkEnd w:id="519"/>
    <w:bookmarkEnd w:id="520"/>
    <w:bookmarkEnd w:id="521"/>
    <w:p>
      <w:pPr>
        <w:keepNext/>
        <w:keepLines/>
        <w:spacing w:line="360" w:lineRule="auto"/>
        <w:ind w:left="3747" w:hanging="3747" w:hangingChars="1333"/>
        <w:jc w:val="center"/>
        <w:outlineLvl w:val="1"/>
        <w:rPr>
          <w:rFonts w:ascii="宋体" w:hAnsi="宋体" w:cs="仿宋_GB2312"/>
          <w:b/>
          <w:sz w:val="28"/>
          <w:szCs w:val="28"/>
        </w:rPr>
      </w:pPr>
      <w:bookmarkStart w:id="522" w:name="_Toc56708576"/>
      <w:bookmarkStart w:id="523" w:name="_Toc432367425"/>
      <w:bookmarkStart w:id="524" w:name="_Toc430813345"/>
      <w:bookmarkStart w:id="525" w:name="_Toc8416"/>
      <w:bookmarkStart w:id="526" w:name="_Hlk89853749"/>
      <w:r>
        <w:rPr>
          <w:rFonts w:hint="eastAsia" w:ascii="宋体" w:hAnsi="宋体" w:cs="仿宋_GB2312"/>
          <w:b/>
          <w:sz w:val="28"/>
          <w:szCs w:val="28"/>
        </w:rPr>
        <w:t>（二）法定代表人身份证明</w:t>
      </w:r>
      <w:bookmarkEnd w:id="522"/>
      <w:bookmarkEnd w:id="523"/>
      <w:bookmarkEnd w:id="524"/>
      <w:bookmarkEnd w:id="525"/>
      <w:r>
        <w:rPr>
          <w:rFonts w:hint="eastAsia" w:ascii="宋体" w:hAnsi="宋体" w:cs="仿宋_GB2312"/>
          <w:b/>
          <w:sz w:val="28"/>
          <w:szCs w:val="28"/>
        </w:rPr>
        <w:t xml:space="preserve"> </w:t>
      </w:r>
    </w:p>
    <w:p>
      <w:pPr>
        <w:widowControl/>
        <w:spacing w:line="360" w:lineRule="auto"/>
        <w:rPr>
          <w:rFonts w:ascii="宋体" w:hAnsi="宋体"/>
          <w:kern w:val="0"/>
          <w:szCs w:val="20"/>
        </w:rPr>
      </w:pPr>
    </w:p>
    <w:p>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ascii="宋体" w:hAnsi="宋体" w:cs="仿宋_GB2312"/>
          <w:sz w:val="24"/>
          <w:u w:val="single"/>
        </w:rPr>
        <w:t xml:space="preserve"> </w:t>
      </w:r>
      <w:r>
        <w:rPr>
          <w:rFonts w:hint="eastAsia" w:ascii="宋体" w:hAnsi="宋体" w:cs="仿宋_GB2312"/>
          <w:sz w:val="24"/>
        </w:rPr>
        <w:t xml:space="preserve">  </w:t>
      </w:r>
    </w:p>
    <w:p>
      <w:pPr>
        <w:spacing w:line="360" w:lineRule="auto"/>
        <w:ind w:firstLine="480" w:firstLineChars="200"/>
        <w:rPr>
          <w:rFonts w:ascii="宋体" w:hAnsi="宋体" w:cs="仿宋_GB2312"/>
          <w:sz w:val="24"/>
        </w:rPr>
      </w:pPr>
      <w:r>
        <w:rPr>
          <w:rFonts w:hint="eastAsia" w:ascii="宋体" w:hAnsi="宋体" w:cs="仿宋_GB2312"/>
          <w:sz w:val="24"/>
        </w:rPr>
        <w:t xml:space="preserve">单位性质：                                       </w:t>
      </w:r>
    </w:p>
    <w:p>
      <w:pPr>
        <w:spacing w:line="360" w:lineRule="auto"/>
        <w:ind w:firstLine="480" w:firstLineChars="200"/>
        <w:rPr>
          <w:rFonts w:ascii="宋体" w:hAnsi="宋体" w:cs="仿宋_GB2312"/>
          <w:sz w:val="24"/>
        </w:rPr>
      </w:pPr>
      <w:r>
        <w:rPr>
          <w:rFonts w:hint="eastAsia" w:ascii="宋体" w:hAnsi="宋体" w:cs="仿宋_GB2312"/>
          <w:sz w:val="24"/>
        </w:rPr>
        <w:t xml:space="preserve">地    址：                                             </w:t>
      </w:r>
    </w:p>
    <w:p>
      <w:pPr>
        <w:spacing w:line="360" w:lineRule="auto"/>
        <w:ind w:firstLine="480" w:firstLineChars="200"/>
        <w:rPr>
          <w:rFonts w:ascii="宋体" w:hAnsi="宋体" w:cs="仿宋_GB2312"/>
          <w:sz w:val="24"/>
        </w:rPr>
      </w:pPr>
      <w:r>
        <w:rPr>
          <w:rFonts w:hint="eastAsia" w:ascii="宋体" w:hAnsi="宋体" w:cs="仿宋_GB2312"/>
          <w:sz w:val="24"/>
        </w:rPr>
        <w:t xml:space="preserve">成立时间：  </w:t>
      </w:r>
    </w:p>
    <w:p>
      <w:pPr>
        <w:spacing w:line="360" w:lineRule="auto"/>
        <w:ind w:firstLine="480" w:firstLineChars="200"/>
        <w:rPr>
          <w:rFonts w:ascii="宋体" w:hAnsi="宋体" w:cs="仿宋_GB2312"/>
          <w:sz w:val="24"/>
        </w:rPr>
      </w:pPr>
      <w:r>
        <w:rPr>
          <w:rFonts w:hint="eastAsia" w:ascii="宋体" w:hAnsi="宋体" w:cs="仿宋_GB2312"/>
          <w:sz w:val="24"/>
        </w:rPr>
        <w:t xml:space="preserve">经营期限：                                          </w:t>
      </w:r>
    </w:p>
    <w:p>
      <w:pPr>
        <w:spacing w:line="360" w:lineRule="auto"/>
        <w:ind w:firstLine="480" w:firstLineChars="200"/>
        <w:rPr>
          <w:rFonts w:ascii="宋体" w:hAnsi="宋体" w:cs="仿宋_GB2312"/>
          <w:sz w:val="24"/>
        </w:rPr>
      </w:pPr>
      <w:r>
        <w:rPr>
          <w:rFonts w:hint="eastAsia" w:ascii="宋体" w:hAnsi="宋体" w:cs="仿宋_GB2312"/>
          <w:sz w:val="24"/>
        </w:rPr>
        <w:t xml:space="preserve">姓    名：                性别：                   </w:t>
      </w:r>
    </w:p>
    <w:p>
      <w:pPr>
        <w:spacing w:line="360" w:lineRule="auto"/>
        <w:ind w:firstLine="480" w:firstLineChars="200"/>
        <w:rPr>
          <w:rFonts w:ascii="宋体" w:hAnsi="宋体" w:cs="仿宋_GB2312"/>
          <w:sz w:val="24"/>
        </w:rPr>
      </w:pPr>
      <w:r>
        <w:rPr>
          <w:rFonts w:hint="eastAsia" w:ascii="宋体" w:hAnsi="宋体" w:cs="仿宋_GB2312"/>
          <w:sz w:val="24"/>
        </w:rPr>
        <w:t xml:space="preserve">年龄：                    职务：                     </w:t>
      </w:r>
    </w:p>
    <w:p>
      <w:pPr>
        <w:spacing w:line="360" w:lineRule="auto"/>
        <w:ind w:firstLine="480" w:firstLineChars="200"/>
        <w:rPr>
          <w:rFonts w:ascii="宋体" w:hAnsi="宋体" w:cs="仿宋_GB2312"/>
          <w:sz w:val="24"/>
        </w:rPr>
      </w:pPr>
      <w:r>
        <w:rPr>
          <w:rFonts w:hint="eastAsia" w:ascii="宋体" w:hAnsi="宋体" w:cs="仿宋_GB2312"/>
          <w:sz w:val="24"/>
        </w:rPr>
        <w:t xml:space="preserve">系                      （供应商名称）的法定代表人。 </w:t>
      </w:r>
    </w:p>
    <w:p>
      <w:pPr>
        <w:spacing w:line="360" w:lineRule="auto"/>
        <w:ind w:firstLine="480" w:firstLineChars="200"/>
        <w:rPr>
          <w:rFonts w:ascii="宋体" w:hAnsi="宋体" w:cs="仿宋_GB2312"/>
          <w:sz w:val="24"/>
        </w:rPr>
      </w:pPr>
      <w:r>
        <w:rPr>
          <w:rFonts w:hint="eastAsia" w:ascii="宋体" w:hAnsi="宋体" w:cs="仿宋_GB2312"/>
          <w:sz w:val="24"/>
        </w:rPr>
        <w:t>特此证明。</w:t>
      </w:r>
    </w:p>
    <w:p>
      <w:pPr>
        <w:spacing w:line="360" w:lineRule="auto"/>
        <w:ind w:firstLine="480" w:firstLineChars="200"/>
        <w:rPr>
          <w:rFonts w:ascii="宋体" w:hAnsi="宋体" w:cs="仿宋_GB2312"/>
          <w:sz w:val="24"/>
        </w:rPr>
      </w:pPr>
    </w:p>
    <w:p>
      <w:pPr>
        <w:widowControl/>
        <w:spacing w:line="360" w:lineRule="auto"/>
        <w:rPr>
          <w:rFonts w:ascii="宋体" w:hAnsi="宋体"/>
          <w:kern w:val="0"/>
          <w:szCs w:val="20"/>
        </w:rPr>
      </w:pPr>
    </w:p>
    <w:p>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pPr>
        <w:spacing w:line="360" w:lineRule="auto"/>
        <w:ind w:firstLine="480" w:firstLineChars="200"/>
        <w:rPr>
          <w:rFonts w:ascii="宋体" w:hAnsi="宋体" w:cs="仿宋_GB2312"/>
          <w:sz w:val="24"/>
        </w:rPr>
      </w:pPr>
      <w:r>
        <w:rPr>
          <w:rFonts w:hint="eastAsia" w:ascii="宋体" w:hAnsi="宋体" w:cs="仿宋_GB2312"/>
          <w:sz w:val="24"/>
        </w:rPr>
        <w:t>日      期：   年  月  日</w:t>
      </w:r>
    </w:p>
    <w:p>
      <w:pPr>
        <w:rPr>
          <w:rFonts w:ascii="宋体" w:hAnsi="宋体" w:cs="Arial"/>
          <w:kern w:val="0"/>
          <w:szCs w:val="21"/>
        </w:rPr>
      </w:pPr>
    </w:p>
    <w:tbl>
      <w:tblPr>
        <w:tblStyle w:val="5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5000" w:type="pct"/>
          </w:tcPr>
          <w:p>
            <w:pPr>
              <w:rPr>
                <w:rFonts w:ascii="宋体" w:hAnsi="宋体" w:cs="Arial"/>
                <w:kern w:val="0"/>
                <w:sz w:val="20"/>
                <w:szCs w:val="20"/>
              </w:rPr>
            </w:pPr>
            <w:r>
              <w:rPr>
                <w:rFonts w:hint="eastAsia" w:ascii="宋体" w:hAnsi="宋体" w:cs="仿宋_GB2312"/>
                <w:sz w:val="24"/>
              </w:rPr>
              <w:t>附：法定代表人身份证复印件</w:t>
            </w:r>
          </w:p>
        </w:tc>
      </w:tr>
    </w:tbl>
    <w:p>
      <w:pPr>
        <w:spacing w:line="360" w:lineRule="auto"/>
        <w:ind w:firstLine="700" w:firstLineChars="350"/>
        <w:jc w:val="center"/>
        <w:rPr>
          <w:rFonts w:ascii="宋体" w:hAnsi="宋体" w:cs="Arial"/>
          <w:kern w:val="0"/>
          <w:sz w:val="20"/>
          <w:szCs w:val="20"/>
        </w:rPr>
      </w:pPr>
    </w:p>
    <w:p>
      <w:pPr>
        <w:rPr>
          <w:rFonts w:ascii="宋体" w:hAnsi="宋体"/>
          <w:kern w:val="0"/>
          <w:sz w:val="20"/>
          <w:szCs w:val="20"/>
        </w:rPr>
      </w:pPr>
      <w:r>
        <w:rPr>
          <w:rFonts w:ascii="宋体" w:hAnsi="宋体"/>
          <w:kern w:val="0"/>
          <w:sz w:val="20"/>
          <w:szCs w:val="20"/>
        </w:rPr>
        <w:br w:type="page"/>
      </w:r>
    </w:p>
    <w:p>
      <w:pPr>
        <w:keepNext/>
        <w:keepLines/>
        <w:spacing w:line="360" w:lineRule="auto"/>
        <w:ind w:left="3747" w:hanging="3747" w:hangingChars="1333"/>
        <w:jc w:val="center"/>
        <w:outlineLvl w:val="1"/>
        <w:rPr>
          <w:rFonts w:ascii="宋体" w:hAnsi="宋体" w:cs="仿宋_GB2312"/>
          <w:b/>
          <w:sz w:val="28"/>
          <w:szCs w:val="28"/>
        </w:rPr>
      </w:pPr>
      <w:bookmarkStart w:id="527" w:name="_Toc430813346"/>
      <w:bookmarkStart w:id="528" w:name="_Toc22499"/>
      <w:bookmarkStart w:id="529" w:name="_Toc56708577"/>
      <w:bookmarkStart w:id="530" w:name="_Toc432367426"/>
      <w:r>
        <w:rPr>
          <w:rFonts w:hint="eastAsia" w:ascii="宋体" w:hAnsi="宋体" w:cs="仿宋_GB2312"/>
          <w:b/>
          <w:sz w:val="28"/>
          <w:szCs w:val="28"/>
        </w:rPr>
        <w:t>（三）法定代表人授权书</w:t>
      </w:r>
      <w:bookmarkEnd w:id="527"/>
      <w:bookmarkEnd w:id="528"/>
      <w:bookmarkEnd w:id="529"/>
      <w:bookmarkEnd w:id="530"/>
    </w:p>
    <w:p>
      <w:pPr>
        <w:spacing w:line="360" w:lineRule="auto"/>
        <w:rPr>
          <w:rFonts w:ascii="宋体" w:hAnsi="宋体" w:cs="Arial"/>
          <w:kern w:val="0"/>
          <w:sz w:val="20"/>
          <w:szCs w:val="20"/>
        </w:rPr>
      </w:pPr>
    </w:p>
    <w:p>
      <w:pPr>
        <w:spacing w:line="360" w:lineRule="auto"/>
        <w:ind w:firstLine="480" w:firstLineChars="200"/>
        <w:rPr>
          <w:rFonts w:ascii="宋体" w:hAnsi="宋体" w:cs="仿宋_GB2312"/>
          <w:sz w:val="24"/>
        </w:rPr>
      </w:pPr>
      <w:r>
        <w:rPr>
          <w:rFonts w:hint="eastAsia" w:ascii="宋体" w:hAnsi="宋体" w:cs="仿宋_GB2312"/>
          <w:sz w:val="24"/>
        </w:rPr>
        <w:t>本人</w:t>
      </w:r>
      <w:r>
        <w:rPr>
          <w:rFonts w:hint="eastAsia" w:ascii="宋体" w:hAnsi="宋体" w:cs="仿宋_GB2312"/>
          <w:sz w:val="24"/>
          <w:u w:val="single"/>
        </w:rPr>
        <w:t xml:space="preserve">       </w:t>
      </w:r>
      <w:r>
        <w:rPr>
          <w:rFonts w:hint="eastAsia" w:ascii="宋体" w:hAnsi="宋体" w:cs="仿宋_GB2312"/>
          <w:sz w:val="24"/>
        </w:rPr>
        <w:t>（姓名）系</w:t>
      </w:r>
      <w:r>
        <w:rPr>
          <w:rFonts w:hint="eastAsia" w:ascii="宋体" w:hAnsi="宋体" w:cs="仿宋_GB2312"/>
          <w:sz w:val="24"/>
          <w:u w:val="single"/>
        </w:rPr>
        <w:t xml:space="preserve">            </w:t>
      </w:r>
      <w:r>
        <w:rPr>
          <w:rFonts w:hint="eastAsia" w:ascii="宋体" w:hAnsi="宋体" w:cs="仿宋_GB2312"/>
          <w:sz w:val="24"/>
        </w:rPr>
        <w:t xml:space="preserve">（供应商名称）的法定代表人，现委托 </w:t>
      </w:r>
      <w:r>
        <w:rPr>
          <w:rFonts w:hint="eastAsia" w:ascii="宋体" w:hAnsi="宋体" w:cs="仿宋_GB2312"/>
          <w:sz w:val="24"/>
          <w:u w:val="single"/>
        </w:rPr>
        <w:t xml:space="preserve">       </w:t>
      </w:r>
      <w:r>
        <w:rPr>
          <w:rFonts w:hint="eastAsia" w:ascii="宋体" w:hAnsi="宋体" w:cs="仿宋_GB2312"/>
          <w:sz w:val="24"/>
        </w:rPr>
        <w:t>（姓名）为我方代理人。代理人根据授权，以我方名义签署、澄清、说明、补正、递交、撤回、修改</w:t>
      </w:r>
      <w:r>
        <w:rPr>
          <w:rFonts w:hint="eastAsia" w:ascii="宋体" w:hAnsi="宋体" w:cs="仿宋_GB2312"/>
          <w:sz w:val="24"/>
          <w:u w:val="single"/>
        </w:rPr>
        <w:t xml:space="preserve">           </w:t>
      </w:r>
      <w:r>
        <w:rPr>
          <w:rFonts w:hint="eastAsia" w:ascii="宋体" w:hAnsi="宋体" w:cs="仿宋_GB2312"/>
          <w:sz w:val="24"/>
        </w:rPr>
        <w:t>（项目名称）响应文件、签订合同和处理有关事宜，其法律后果由我方承担。</w:t>
      </w:r>
    </w:p>
    <w:p>
      <w:pPr>
        <w:spacing w:line="360" w:lineRule="auto"/>
        <w:ind w:firstLine="480" w:firstLineChars="200"/>
        <w:rPr>
          <w:rFonts w:ascii="宋体" w:hAnsi="宋体" w:cs="仿宋_GB2312"/>
          <w:sz w:val="24"/>
        </w:rPr>
      </w:pPr>
      <w:r>
        <w:rPr>
          <w:rFonts w:hint="eastAsia" w:ascii="宋体" w:hAnsi="宋体" w:cs="仿宋_GB2312"/>
          <w:sz w:val="24"/>
        </w:rPr>
        <w:t xml:space="preserve">委托期限：                   </w:t>
      </w:r>
    </w:p>
    <w:p>
      <w:pPr>
        <w:spacing w:line="360" w:lineRule="auto"/>
        <w:ind w:firstLine="480" w:firstLineChars="200"/>
        <w:rPr>
          <w:rFonts w:ascii="宋体" w:hAnsi="宋体" w:cs="仿宋_GB2312"/>
          <w:sz w:val="24"/>
        </w:rPr>
      </w:pPr>
      <w:r>
        <w:rPr>
          <w:rFonts w:hint="eastAsia" w:ascii="宋体" w:hAnsi="宋体" w:cs="仿宋_GB2312"/>
          <w:sz w:val="24"/>
        </w:rPr>
        <w:t>代理人无转委托权。</w:t>
      </w:r>
    </w:p>
    <w:p>
      <w:pPr>
        <w:spacing w:line="360" w:lineRule="auto"/>
        <w:ind w:firstLine="480" w:firstLineChars="200"/>
        <w:rPr>
          <w:rFonts w:ascii="宋体" w:hAnsi="宋体" w:cs="仿宋_GB2312"/>
          <w:sz w:val="24"/>
        </w:rPr>
      </w:pPr>
      <w:r>
        <w:rPr>
          <w:rFonts w:hint="eastAsia" w:ascii="宋体" w:hAnsi="宋体" w:cs="仿宋_GB2312"/>
          <w:sz w:val="24"/>
        </w:rPr>
        <w:t>附：法定代表人身份证明</w:t>
      </w:r>
    </w:p>
    <w:p>
      <w:pPr>
        <w:spacing w:line="360" w:lineRule="auto"/>
        <w:ind w:firstLine="480" w:firstLineChars="200"/>
        <w:rPr>
          <w:rFonts w:ascii="宋体" w:hAnsi="宋体" w:cs="仿宋_GB2312"/>
          <w:sz w:val="24"/>
        </w:rPr>
      </w:pPr>
    </w:p>
    <w:p>
      <w:pPr>
        <w:spacing w:line="360" w:lineRule="auto"/>
        <w:ind w:firstLine="480" w:firstLineChars="200"/>
        <w:rPr>
          <w:rFonts w:ascii="宋体" w:hAnsi="宋体" w:cs="仿宋_GB2312"/>
          <w:sz w:val="24"/>
        </w:rPr>
      </w:pPr>
      <w:r>
        <w:rPr>
          <w:rFonts w:hint="eastAsia" w:ascii="宋体" w:hAnsi="宋体" w:cs="仿宋_GB2312"/>
          <w:sz w:val="24"/>
        </w:rPr>
        <w:t>供应商：</w:t>
      </w:r>
      <w:r>
        <w:rPr>
          <w:rFonts w:hint="eastAsia" w:ascii="宋体" w:hAnsi="宋体" w:cs="仿宋_GB2312"/>
          <w:sz w:val="24"/>
          <w:u w:val="single"/>
        </w:rPr>
        <w:t xml:space="preserve">                           </w:t>
      </w:r>
      <w:r>
        <w:rPr>
          <w:rFonts w:hint="eastAsia" w:ascii="宋体" w:hAnsi="宋体" w:cs="仿宋_GB2312"/>
          <w:sz w:val="24"/>
        </w:rPr>
        <w:t>（盖单位章）</w:t>
      </w:r>
    </w:p>
    <w:p>
      <w:pPr>
        <w:spacing w:line="360" w:lineRule="auto"/>
        <w:ind w:firstLine="480" w:firstLineChars="200"/>
        <w:rPr>
          <w:rFonts w:ascii="宋体" w:hAnsi="宋体" w:cs="仿宋_GB2312"/>
          <w:sz w:val="24"/>
        </w:rPr>
      </w:pPr>
      <w:r>
        <w:rPr>
          <w:rFonts w:hint="eastAsia" w:ascii="宋体" w:hAnsi="宋体" w:cs="仿宋_GB2312"/>
          <w:sz w:val="24"/>
        </w:rPr>
        <w:t>法定代表人：</w:t>
      </w:r>
      <w:r>
        <w:rPr>
          <w:rFonts w:hint="eastAsia" w:ascii="宋体" w:hAnsi="宋体" w:cs="仿宋_GB2312"/>
          <w:sz w:val="24"/>
          <w:u w:val="single"/>
        </w:rPr>
        <w:t xml:space="preserve">                       </w:t>
      </w:r>
      <w:r>
        <w:rPr>
          <w:rFonts w:hint="eastAsia" w:ascii="宋体" w:hAnsi="宋体" w:cs="仿宋_GB2312"/>
          <w:sz w:val="24"/>
        </w:rPr>
        <w:t>（签字）</w:t>
      </w:r>
    </w:p>
    <w:p>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r>
        <w:rPr>
          <w:rFonts w:hint="eastAsia" w:ascii="宋体" w:hAnsi="宋体" w:cs="仿宋_GB2312"/>
          <w:sz w:val="24"/>
          <w:u w:val="single"/>
        </w:rPr>
        <w:t xml:space="preserve">                           </w:t>
      </w:r>
      <w:r>
        <w:rPr>
          <w:rFonts w:hint="eastAsia" w:ascii="宋体" w:hAnsi="宋体" w:cs="仿宋_GB2312"/>
          <w:sz w:val="24"/>
        </w:rPr>
        <w:t xml:space="preserve">                                        </w:t>
      </w:r>
    </w:p>
    <w:p>
      <w:pPr>
        <w:spacing w:line="360" w:lineRule="auto"/>
        <w:ind w:firstLine="480" w:firstLineChars="200"/>
        <w:rPr>
          <w:rFonts w:ascii="宋体" w:hAnsi="宋体" w:cs="仿宋_GB2312"/>
          <w:sz w:val="24"/>
        </w:rPr>
      </w:pPr>
      <w:r>
        <w:rPr>
          <w:rFonts w:hint="eastAsia" w:ascii="宋体" w:hAnsi="宋体" w:cs="仿宋_GB2312"/>
          <w:sz w:val="24"/>
        </w:rPr>
        <w:t>委托代理人：</w:t>
      </w:r>
      <w:r>
        <w:rPr>
          <w:rFonts w:hint="eastAsia" w:ascii="宋体" w:hAnsi="宋体" w:cs="仿宋_GB2312"/>
          <w:sz w:val="24"/>
          <w:u w:val="single"/>
        </w:rPr>
        <w:t xml:space="preserve">                           </w:t>
      </w:r>
      <w:r>
        <w:rPr>
          <w:rFonts w:hint="eastAsia" w:ascii="宋体" w:hAnsi="宋体" w:cs="仿宋_GB2312"/>
          <w:sz w:val="24"/>
        </w:rPr>
        <w:t>（签字）</w:t>
      </w:r>
    </w:p>
    <w:p>
      <w:pPr>
        <w:spacing w:line="360" w:lineRule="auto"/>
        <w:ind w:firstLine="480" w:firstLineChars="200"/>
        <w:rPr>
          <w:rFonts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r>
        <w:rPr>
          <w:rFonts w:hint="eastAsia" w:ascii="宋体" w:hAnsi="宋体" w:cs="仿宋_GB2312"/>
          <w:sz w:val="24"/>
        </w:rPr>
        <w:t xml:space="preserve">           </w:t>
      </w:r>
    </w:p>
    <w:p>
      <w:pPr>
        <w:spacing w:line="360" w:lineRule="auto"/>
        <w:ind w:firstLine="480" w:firstLineChars="200"/>
        <w:rPr>
          <w:rFonts w:ascii="宋体" w:hAnsi="宋体" w:cs="仿宋_GB2312"/>
          <w:sz w:val="24"/>
        </w:rPr>
      </w:pPr>
      <w:r>
        <w:rPr>
          <w:rFonts w:hint="eastAsia" w:ascii="宋体" w:hAnsi="宋体" w:cs="仿宋_GB2312"/>
          <w:sz w:val="24"/>
        </w:rPr>
        <w:t>日      期：</w:t>
      </w:r>
    </w:p>
    <w:p>
      <w:pPr>
        <w:autoSpaceDE w:val="0"/>
        <w:autoSpaceDN w:val="0"/>
        <w:adjustRightInd w:val="0"/>
        <w:spacing w:line="300" w:lineRule="auto"/>
        <w:ind w:right="480" w:firstLine="3990" w:firstLineChars="1900"/>
        <w:jc w:val="left"/>
        <w:rPr>
          <w:rFonts w:ascii="宋体" w:hAnsi="宋体" w:cs="Arial"/>
          <w:kern w:val="0"/>
          <w:szCs w:val="21"/>
        </w:rPr>
      </w:pPr>
    </w:p>
    <w:p>
      <w:pPr>
        <w:rPr>
          <w:rFonts w:ascii="宋体" w:hAnsi="宋体" w:cs="Arial"/>
          <w:kern w:val="0"/>
          <w:sz w:val="20"/>
          <w:szCs w:val="20"/>
        </w:rPr>
      </w:pPr>
    </w:p>
    <w:tbl>
      <w:tblPr>
        <w:tblStyle w:val="5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5000" w:type="pct"/>
          </w:tcPr>
          <w:p>
            <w:pPr>
              <w:rPr>
                <w:rFonts w:ascii="宋体" w:hAnsi="宋体" w:cs="Arial"/>
                <w:kern w:val="0"/>
                <w:sz w:val="20"/>
                <w:szCs w:val="20"/>
              </w:rPr>
            </w:pPr>
            <w:r>
              <w:rPr>
                <w:rFonts w:hint="eastAsia" w:ascii="宋体" w:hAnsi="宋体" w:cs="仿宋_GB2312"/>
                <w:sz w:val="24"/>
              </w:rPr>
              <w:t>附：授权代表身份证复印件</w:t>
            </w:r>
          </w:p>
        </w:tc>
      </w:tr>
    </w:tbl>
    <w:p>
      <w:pPr>
        <w:spacing w:line="300" w:lineRule="auto"/>
        <w:rPr>
          <w:rFonts w:ascii="宋体" w:hAnsi="宋体" w:cs="Arial"/>
          <w:kern w:val="0"/>
          <w:sz w:val="20"/>
          <w:szCs w:val="20"/>
        </w:rPr>
      </w:pPr>
    </w:p>
    <w:p>
      <w:pPr>
        <w:keepNext/>
        <w:keepLines/>
        <w:spacing w:line="360" w:lineRule="auto"/>
        <w:ind w:left="4282" w:hanging="4282" w:hangingChars="1333"/>
        <w:jc w:val="center"/>
        <w:outlineLvl w:val="1"/>
        <w:rPr>
          <w:rFonts w:ascii="宋体" w:hAnsi="宋体" w:cs="仿宋_GB2312"/>
          <w:b/>
          <w:sz w:val="28"/>
          <w:szCs w:val="28"/>
        </w:rPr>
      </w:pPr>
      <w:r>
        <w:rPr>
          <w:rFonts w:ascii="宋体" w:hAnsi="宋体" w:cs="Arial"/>
          <w:b/>
          <w:bCs/>
          <w:sz w:val="32"/>
          <w:szCs w:val="32"/>
        </w:rPr>
        <w:br w:type="page"/>
      </w:r>
      <w:bookmarkStart w:id="531" w:name="_Toc432367427"/>
      <w:bookmarkStart w:id="532" w:name="_Toc513198131"/>
      <w:bookmarkStart w:id="533" w:name="_Toc493702796"/>
      <w:bookmarkStart w:id="534" w:name="_Toc430813347"/>
      <w:bookmarkStart w:id="535" w:name="_Toc5142"/>
      <w:bookmarkStart w:id="536" w:name="_Toc430813348"/>
      <w:bookmarkStart w:id="537" w:name="_Toc56708578"/>
      <w:bookmarkStart w:id="538" w:name="_Toc432367428"/>
      <w:r>
        <w:rPr>
          <w:rFonts w:hint="eastAsia" w:ascii="宋体" w:hAnsi="宋体" w:cs="仿宋_GB2312"/>
          <w:b/>
          <w:sz w:val="28"/>
          <w:szCs w:val="28"/>
        </w:rPr>
        <w:t>（四）联合体协议书（如适用）</w:t>
      </w:r>
      <w:bookmarkEnd w:id="531"/>
      <w:bookmarkEnd w:id="532"/>
      <w:bookmarkEnd w:id="533"/>
      <w:bookmarkEnd w:id="534"/>
      <w:bookmarkEnd w:id="535"/>
    </w:p>
    <w:p>
      <w:pPr>
        <w:topLinePunct/>
        <w:spacing w:line="360" w:lineRule="auto"/>
        <w:ind w:firstLine="480" w:firstLineChars="200"/>
        <w:rPr>
          <w:rFonts w:ascii="宋体" w:hAnsi="宋体"/>
          <w:sz w:val="24"/>
          <w:szCs w:val="32"/>
          <w:u w:val="single"/>
        </w:rPr>
      </w:pPr>
    </w:p>
    <w:p>
      <w:pPr>
        <w:topLinePunct/>
        <w:spacing w:line="360" w:lineRule="auto"/>
        <w:ind w:firstLine="480" w:firstLineChars="200"/>
        <w:rPr>
          <w:rFonts w:ascii="宋体" w:hAnsi="宋体"/>
          <w:sz w:val="24"/>
          <w:szCs w:val="32"/>
        </w:rPr>
      </w:pPr>
      <w:r>
        <w:rPr>
          <w:rFonts w:ascii="宋体" w:hAnsi="宋体"/>
          <w:sz w:val="24"/>
          <w:szCs w:val="32"/>
          <w:u w:val="single"/>
        </w:rPr>
        <w:t xml:space="preserve">          </w:t>
      </w:r>
      <w:r>
        <w:rPr>
          <w:rFonts w:ascii="宋体" w:hAnsi="宋体"/>
          <w:sz w:val="24"/>
          <w:szCs w:val="32"/>
        </w:rPr>
        <w:t>（所有成员单位名称）自愿组成</w:t>
      </w:r>
      <w:r>
        <w:rPr>
          <w:rFonts w:ascii="宋体" w:hAnsi="宋体"/>
          <w:sz w:val="24"/>
          <w:szCs w:val="32"/>
          <w:u w:val="single"/>
        </w:rPr>
        <w:t xml:space="preserve">   </w:t>
      </w:r>
      <w:r>
        <w:rPr>
          <w:rFonts w:hint="eastAsia" w:ascii="宋体" w:hAnsi="宋体"/>
          <w:sz w:val="24"/>
          <w:szCs w:val="32"/>
          <w:u w:val="single"/>
        </w:rPr>
        <w:t xml:space="preserve">    </w:t>
      </w:r>
      <w:r>
        <w:rPr>
          <w:rFonts w:ascii="宋体" w:hAnsi="宋体"/>
          <w:sz w:val="24"/>
          <w:szCs w:val="32"/>
          <w:u w:val="single"/>
        </w:rPr>
        <w:t xml:space="preserve">  </w:t>
      </w:r>
      <w:r>
        <w:rPr>
          <w:rFonts w:ascii="宋体" w:hAnsi="宋体"/>
          <w:sz w:val="24"/>
          <w:szCs w:val="32"/>
        </w:rPr>
        <w:t>（联合体名称）</w:t>
      </w:r>
      <w:r>
        <w:rPr>
          <w:rFonts w:hint="eastAsia" w:ascii="宋体" w:hAnsi="宋体"/>
          <w:sz w:val="24"/>
          <w:szCs w:val="32"/>
        </w:rPr>
        <w:t>联合体</w:t>
      </w:r>
      <w:r>
        <w:rPr>
          <w:rFonts w:ascii="宋体" w:hAnsi="宋体"/>
          <w:sz w:val="24"/>
          <w:szCs w:val="32"/>
        </w:rPr>
        <w:t>，共同参加</w:t>
      </w:r>
      <w:r>
        <w:rPr>
          <w:rFonts w:ascii="宋体" w:hAnsi="宋体"/>
          <w:sz w:val="24"/>
          <w:szCs w:val="32"/>
          <w:u w:val="single"/>
        </w:rPr>
        <w:t xml:space="preserve">   </w:t>
      </w:r>
      <w:r>
        <w:rPr>
          <w:rFonts w:hint="eastAsia" w:ascii="宋体" w:hAnsi="宋体"/>
          <w:sz w:val="24"/>
          <w:szCs w:val="32"/>
          <w:u w:val="single"/>
        </w:rPr>
        <w:t xml:space="preserve">           </w:t>
      </w:r>
      <w:r>
        <w:rPr>
          <w:rFonts w:ascii="宋体" w:hAnsi="宋体"/>
          <w:sz w:val="24"/>
          <w:szCs w:val="32"/>
          <w:u w:val="single"/>
        </w:rPr>
        <w:t xml:space="preserve">  </w:t>
      </w:r>
      <w:r>
        <w:rPr>
          <w:rFonts w:ascii="宋体" w:hAnsi="宋体"/>
          <w:sz w:val="24"/>
          <w:szCs w:val="32"/>
        </w:rPr>
        <w:t>（项目名称）</w:t>
      </w:r>
      <w:r>
        <w:rPr>
          <w:rFonts w:hint="eastAsia" w:ascii="宋体" w:hAnsi="宋体"/>
          <w:sz w:val="24"/>
          <w:szCs w:val="32"/>
        </w:rPr>
        <w:t>的投标并争取赢得本项目供货合同（以下简称合同）</w:t>
      </w:r>
      <w:r>
        <w:rPr>
          <w:rFonts w:ascii="宋体" w:hAnsi="宋体"/>
          <w:sz w:val="24"/>
          <w:szCs w:val="32"/>
        </w:rPr>
        <w:t>。现就联合体投标事宜订立如下协议。</w:t>
      </w:r>
    </w:p>
    <w:p>
      <w:pPr>
        <w:topLinePunct/>
        <w:spacing w:line="360" w:lineRule="auto"/>
        <w:ind w:firstLine="480" w:firstLineChars="200"/>
        <w:rPr>
          <w:rFonts w:ascii="宋体" w:hAnsi="宋体"/>
          <w:sz w:val="24"/>
          <w:szCs w:val="32"/>
        </w:rPr>
      </w:pPr>
      <w:r>
        <w:rPr>
          <w:rFonts w:ascii="宋体" w:hAnsi="宋体"/>
          <w:sz w:val="24"/>
          <w:szCs w:val="32"/>
        </w:rPr>
        <w:t>1.</w:t>
      </w:r>
      <w:r>
        <w:rPr>
          <w:rFonts w:ascii="宋体" w:hAnsi="宋体"/>
          <w:sz w:val="24"/>
          <w:szCs w:val="32"/>
          <w:u w:val="single"/>
        </w:rPr>
        <w:t xml:space="preserve">       </w:t>
      </w:r>
      <w:r>
        <w:rPr>
          <w:rFonts w:ascii="宋体" w:hAnsi="宋体"/>
          <w:sz w:val="24"/>
          <w:szCs w:val="32"/>
        </w:rPr>
        <w:t>（某成员单位名称）为</w:t>
      </w:r>
      <w:r>
        <w:rPr>
          <w:rFonts w:ascii="宋体" w:hAnsi="宋体"/>
          <w:sz w:val="24"/>
          <w:szCs w:val="32"/>
          <w:u w:val="single"/>
        </w:rPr>
        <w:t xml:space="preserve">   </w:t>
      </w:r>
      <w:r>
        <w:rPr>
          <w:rFonts w:hint="eastAsia" w:ascii="宋体" w:hAnsi="宋体"/>
          <w:sz w:val="24"/>
          <w:szCs w:val="32"/>
          <w:u w:val="single"/>
        </w:rPr>
        <w:t xml:space="preserve">   </w:t>
      </w:r>
      <w:r>
        <w:rPr>
          <w:rFonts w:ascii="宋体" w:hAnsi="宋体"/>
          <w:sz w:val="24"/>
          <w:szCs w:val="32"/>
          <w:u w:val="single"/>
        </w:rPr>
        <w:t xml:space="preserve">  </w:t>
      </w:r>
      <w:r>
        <w:rPr>
          <w:rFonts w:ascii="宋体" w:hAnsi="宋体"/>
          <w:sz w:val="24"/>
          <w:szCs w:val="32"/>
        </w:rPr>
        <w:t>（联合体名称）牵头人。</w:t>
      </w:r>
    </w:p>
    <w:p>
      <w:pPr>
        <w:topLinePunct/>
        <w:spacing w:line="360" w:lineRule="auto"/>
        <w:ind w:firstLine="480" w:firstLineChars="200"/>
        <w:rPr>
          <w:rFonts w:ascii="宋体" w:hAnsi="宋体"/>
          <w:sz w:val="24"/>
          <w:szCs w:val="32"/>
        </w:rPr>
      </w:pPr>
      <w:r>
        <w:rPr>
          <w:rFonts w:ascii="宋体" w:hAnsi="宋体"/>
          <w:sz w:val="24"/>
          <w:szCs w:val="32"/>
        </w:rPr>
        <w:t>2.</w:t>
      </w:r>
      <w:r>
        <w:rPr>
          <w:rFonts w:hint="eastAsia" w:ascii="宋体" w:hAnsi="宋体"/>
          <w:sz w:val="24"/>
          <w:szCs w:val="32"/>
        </w:rPr>
        <w:t>在本项目投标阶段，</w:t>
      </w:r>
      <w:r>
        <w:rPr>
          <w:rFonts w:ascii="宋体" w:hAnsi="宋体"/>
          <w:sz w:val="24"/>
          <w:szCs w:val="32"/>
        </w:rPr>
        <w:t>联合体牵头人</w:t>
      </w:r>
      <w:r>
        <w:rPr>
          <w:rFonts w:hint="eastAsia" w:ascii="宋体" w:hAnsi="宋体"/>
          <w:sz w:val="24"/>
          <w:szCs w:val="32"/>
        </w:rPr>
        <w:t>合法代表联合体各成员负责本项目投标文件编制活动，代表联合体提交和接收相关的资料、信息及指示，并处理与投标和中标有关的一切事务；联合体中标后，联合体牵头人</w:t>
      </w:r>
      <w:r>
        <w:rPr>
          <w:rFonts w:ascii="宋体" w:hAnsi="宋体"/>
          <w:sz w:val="24"/>
          <w:szCs w:val="32"/>
        </w:rPr>
        <w:t>负责合同</w:t>
      </w:r>
      <w:r>
        <w:rPr>
          <w:rFonts w:hint="eastAsia" w:ascii="宋体" w:hAnsi="宋体"/>
          <w:sz w:val="24"/>
          <w:szCs w:val="32"/>
        </w:rPr>
        <w:t>订立和合同</w:t>
      </w:r>
      <w:r>
        <w:rPr>
          <w:rFonts w:ascii="宋体" w:hAnsi="宋体"/>
          <w:sz w:val="24"/>
          <w:szCs w:val="32"/>
        </w:rPr>
        <w:t>实施阶段的主办、组织和协调工作。</w:t>
      </w:r>
    </w:p>
    <w:p>
      <w:pPr>
        <w:topLinePunct/>
        <w:spacing w:line="360" w:lineRule="auto"/>
        <w:ind w:firstLine="480" w:firstLineChars="200"/>
        <w:rPr>
          <w:rFonts w:ascii="宋体" w:hAnsi="宋体"/>
          <w:sz w:val="24"/>
          <w:szCs w:val="32"/>
        </w:rPr>
      </w:pPr>
      <w:r>
        <w:rPr>
          <w:rFonts w:ascii="宋体" w:hAnsi="宋体"/>
          <w:sz w:val="24"/>
          <w:szCs w:val="32"/>
        </w:rPr>
        <w:t>3.联合体将严格按照招标文件的各项要求，递交投标文件，履行</w:t>
      </w:r>
      <w:r>
        <w:rPr>
          <w:rFonts w:hint="eastAsia" w:ascii="宋体" w:hAnsi="宋体"/>
          <w:sz w:val="24"/>
          <w:szCs w:val="32"/>
        </w:rPr>
        <w:t>投标义务和中标后的</w:t>
      </w:r>
      <w:r>
        <w:rPr>
          <w:rFonts w:ascii="宋体" w:hAnsi="宋体"/>
          <w:sz w:val="24"/>
          <w:szCs w:val="32"/>
        </w:rPr>
        <w:t>合同，</w:t>
      </w:r>
      <w:r>
        <w:rPr>
          <w:rFonts w:hint="eastAsia" w:ascii="宋体" w:hAnsi="宋体"/>
          <w:sz w:val="24"/>
          <w:szCs w:val="32"/>
        </w:rPr>
        <w:t>共同承担合同规定的一切义务和责任，联合体各成员单位按照内部职责的划分，承担各自所负的责任和风险，并向采购人</w:t>
      </w:r>
      <w:r>
        <w:rPr>
          <w:rFonts w:ascii="宋体" w:hAnsi="宋体"/>
          <w:sz w:val="24"/>
          <w:szCs w:val="32"/>
        </w:rPr>
        <w:t>承担连带责任。</w:t>
      </w:r>
    </w:p>
    <w:p>
      <w:pPr>
        <w:topLinePunct/>
        <w:spacing w:line="360" w:lineRule="auto"/>
        <w:ind w:firstLine="480" w:firstLineChars="200"/>
        <w:rPr>
          <w:rFonts w:ascii="宋体" w:hAnsi="宋体"/>
          <w:sz w:val="24"/>
          <w:szCs w:val="32"/>
        </w:rPr>
      </w:pPr>
      <w:r>
        <w:rPr>
          <w:rFonts w:ascii="宋体" w:hAnsi="宋体"/>
          <w:sz w:val="24"/>
          <w:szCs w:val="32"/>
        </w:rPr>
        <w:t>4.联合体各成员单位内部的职责分工如下：</w:t>
      </w:r>
      <w:r>
        <w:rPr>
          <w:rFonts w:ascii="宋体" w:hAnsi="宋体"/>
          <w:sz w:val="24"/>
          <w:szCs w:val="32"/>
          <w:u w:val="single"/>
        </w:rPr>
        <w:t xml:space="preserve">                 </w:t>
      </w:r>
      <w:r>
        <w:rPr>
          <w:rFonts w:ascii="宋体" w:hAnsi="宋体"/>
          <w:sz w:val="24"/>
          <w:szCs w:val="32"/>
        </w:rPr>
        <w:t xml:space="preserve"> 。</w:t>
      </w:r>
      <w:r>
        <w:rPr>
          <w:rFonts w:hint="eastAsia" w:ascii="宋体" w:hAnsi="宋体"/>
          <w:sz w:val="24"/>
          <w:szCs w:val="32"/>
        </w:rPr>
        <w:t>按照本条上述分工，联合体成员单位各自所承担的合同工作量比例如下：</w:t>
      </w:r>
      <w:r>
        <w:rPr>
          <w:rFonts w:hint="eastAsia" w:ascii="宋体" w:hAnsi="宋体"/>
          <w:sz w:val="24"/>
          <w:szCs w:val="32"/>
          <w:u w:val="single"/>
        </w:rPr>
        <w:t xml:space="preserve">                   </w:t>
      </w:r>
      <w:r>
        <w:rPr>
          <w:rFonts w:hint="eastAsia" w:ascii="宋体" w:hAnsi="宋体"/>
          <w:sz w:val="24"/>
          <w:szCs w:val="32"/>
        </w:rPr>
        <w:t xml:space="preserve">。 </w:t>
      </w:r>
    </w:p>
    <w:p>
      <w:pPr>
        <w:topLinePunct/>
        <w:spacing w:line="360" w:lineRule="auto"/>
        <w:ind w:firstLine="482" w:firstLineChars="200"/>
        <w:rPr>
          <w:rFonts w:ascii="宋体" w:hAnsi="宋体"/>
          <w:b/>
          <w:bCs/>
          <w:sz w:val="24"/>
          <w:szCs w:val="32"/>
        </w:rPr>
      </w:pPr>
      <w:r>
        <w:rPr>
          <w:rFonts w:hint="eastAsia" w:ascii="宋体" w:hAnsi="宋体"/>
          <w:b/>
          <w:bCs/>
          <w:sz w:val="24"/>
          <w:szCs w:val="32"/>
        </w:rPr>
        <w:t>其中：联合体各成员单位属于中小企业如下：</w:t>
      </w:r>
      <w:r>
        <w:rPr>
          <w:rFonts w:ascii="宋体" w:hAnsi="宋体"/>
          <w:b/>
          <w:bCs/>
          <w:sz w:val="24"/>
          <w:szCs w:val="32"/>
          <w:u w:val="single"/>
        </w:rPr>
        <w:t xml:space="preserve">                 </w:t>
      </w:r>
      <w:r>
        <w:rPr>
          <w:rFonts w:ascii="宋体" w:hAnsi="宋体"/>
          <w:b/>
          <w:bCs/>
          <w:sz w:val="24"/>
          <w:szCs w:val="32"/>
        </w:rPr>
        <w:t xml:space="preserve"> 。</w:t>
      </w:r>
      <w:r>
        <w:rPr>
          <w:rFonts w:hint="eastAsia" w:ascii="宋体" w:hAnsi="宋体"/>
          <w:b/>
          <w:bCs/>
          <w:sz w:val="24"/>
          <w:szCs w:val="32"/>
        </w:rPr>
        <w:t>中小企业所占合同份额达到：</w:t>
      </w:r>
      <w:r>
        <w:rPr>
          <w:rFonts w:hint="eastAsia" w:ascii="宋体" w:hAnsi="宋体"/>
          <w:b/>
          <w:bCs/>
          <w:sz w:val="24"/>
          <w:szCs w:val="32"/>
          <w:u w:val="single"/>
        </w:rPr>
        <w:t xml:space="preserve"> </w:t>
      </w:r>
      <w:r>
        <w:rPr>
          <w:rFonts w:ascii="宋体" w:hAnsi="宋体"/>
          <w:b/>
          <w:bCs/>
          <w:sz w:val="24"/>
          <w:szCs w:val="32"/>
          <w:u w:val="single"/>
        </w:rPr>
        <w:t xml:space="preserve">   </w:t>
      </w:r>
      <w:r>
        <w:rPr>
          <w:rFonts w:hint="eastAsia" w:ascii="宋体" w:hAnsi="宋体"/>
          <w:b/>
          <w:bCs/>
          <w:sz w:val="24"/>
          <w:szCs w:val="32"/>
        </w:rPr>
        <w:t>%；小微企业所占合同份额达到：</w:t>
      </w:r>
      <w:r>
        <w:rPr>
          <w:rFonts w:hint="eastAsia" w:ascii="宋体" w:hAnsi="宋体"/>
          <w:b/>
          <w:bCs/>
          <w:sz w:val="24"/>
          <w:szCs w:val="32"/>
          <w:u w:val="single"/>
        </w:rPr>
        <w:t xml:space="preserve"> </w:t>
      </w:r>
      <w:r>
        <w:rPr>
          <w:rFonts w:ascii="宋体" w:hAnsi="宋体"/>
          <w:b/>
          <w:bCs/>
          <w:sz w:val="24"/>
          <w:szCs w:val="32"/>
          <w:u w:val="single"/>
        </w:rPr>
        <w:t xml:space="preserve">    </w:t>
      </w:r>
      <w:r>
        <w:rPr>
          <w:rFonts w:hint="eastAsia" w:ascii="宋体" w:hAnsi="宋体"/>
          <w:b/>
          <w:bCs/>
          <w:sz w:val="24"/>
          <w:szCs w:val="32"/>
        </w:rPr>
        <w:t>%。（此项必填）</w:t>
      </w:r>
    </w:p>
    <w:p>
      <w:pPr>
        <w:topLinePunct/>
        <w:spacing w:line="360" w:lineRule="auto"/>
        <w:ind w:firstLine="480" w:firstLineChars="200"/>
        <w:rPr>
          <w:rFonts w:ascii="宋体" w:hAnsi="宋体"/>
          <w:sz w:val="24"/>
          <w:szCs w:val="32"/>
        </w:rPr>
      </w:pPr>
      <w:r>
        <w:rPr>
          <w:rFonts w:ascii="宋体" w:hAnsi="宋体"/>
          <w:sz w:val="24"/>
          <w:szCs w:val="32"/>
        </w:rPr>
        <w:t>5.</w:t>
      </w:r>
      <w:r>
        <w:rPr>
          <w:rFonts w:hint="eastAsia" w:ascii="宋体" w:hAnsi="宋体"/>
          <w:sz w:val="24"/>
          <w:szCs w:val="32"/>
        </w:rPr>
        <w:t>投标工作以及联合体在中标后工程实施过程中的有关费用按各自承担的工作量分摊。</w:t>
      </w:r>
    </w:p>
    <w:p>
      <w:pPr>
        <w:topLinePunct/>
        <w:spacing w:line="360" w:lineRule="auto"/>
        <w:ind w:firstLine="480" w:firstLineChars="200"/>
        <w:rPr>
          <w:rFonts w:ascii="宋体" w:hAnsi="宋体"/>
          <w:sz w:val="24"/>
          <w:szCs w:val="32"/>
        </w:rPr>
      </w:pPr>
      <w:r>
        <w:rPr>
          <w:rFonts w:ascii="宋体" w:hAnsi="宋体"/>
          <w:sz w:val="24"/>
          <w:szCs w:val="32"/>
        </w:rPr>
        <w:t>6.</w:t>
      </w:r>
      <w:r>
        <w:rPr>
          <w:rFonts w:hint="eastAsia" w:ascii="宋体" w:hAnsi="宋体"/>
          <w:sz w:val="24"/>
          <w:szCs w:val="32"/>
        </w:rPr>
        <w:t>联合体中标后，本联合体协议是合同的附件，对联合体各成员单位有合同约束力。</w:t>
      </w:r>
    </w:p>
    <w:p>
      <w:pPr>
        <w:topLinePunct/>
        <w:spacing w:line="360" w:lineRule="auto"/>
        <w:ind w:firstLine="480" w:firstLineChars="200"/>
        <w:rPr>
          <w:rFonts w:ascii="宋体" w:hAnsi="宋体"/>
          <w:sz w:val="24"/>
          <w:szCs w:val="32"/>
        </w:rPr>
      </w:pPr>
      <w:r>
        <w:rPr>
          <w:rFonts w:ascii="宋体" w:hAnsi="宋体"/>
          <w:sz w:val="24"/>
          <w:szCs w:val="32"/>
        </w:rPr>
        <w:t>7.本协议书自签署之日起生效，</w:t>
      </w:r>
      <w:r>
        <w:rPr>
          <w:rFonts w:hint="eastAsia" w:ascii="宋体" w:hAnsi="宋体"/>
          <w:sz w:val="24"/>
          <w:szCs w:val="32"/>
        </w:rPr>
        <w:t>联合体未中标或者中标时</w:t>
      </w:r>
      <w:r>
        <w:rPr>
          <w:rFonts w:ascii="宋体" w:hAnsi="宋体"/>
          <w:sz w:val="24"/>
          <w:szCs w:val="32"/>
        </w:rPr>
        <w:t xml:space="preserve">合同履行完毕后自动失效。 </w:t>
      </w:r>
    </w:p>
    <w:p>
      <w:pPr>
        <w:topLinePunct/>
        <w:spacing w:line="360" w:lineRule="auto"/>
        <w:ind w:firstLine="480" w:firstLineChars="200"/>
        <w:rPr>
          <w:rFonts w:ascii="宋体" w:hAnsi="宋体"/>
          <w:sz w:val="24"/>
          <w:szCs w:val="32"/>
        </w:rPr>
      </w:pPr>
      <w:r>
        <w:rPr>
          <w:rFonts w:ascii="宋体" w:hAnsi="宋体"/>
          <w:sz w:val="24"/>
          <w:szCs w:val="32"/>
        </w:rPr>
        <w:t>8.本协议书一式</w:t>
      </w:r>
      <w:r>
        <w:rPr>
          <w:rFonts w:ascii="宋体" w:hAnsi="宋体"/>
          <w:sz w:val="24"/>
          <w:szCs w:val="32"/>
          <w:u w:val="single"/>
        </w:rPr>
        <w:t xml:space="preserve">  </w:t>
      </w:r>
      <w:r>
        <w:rPr>
          <w:rFonts w:hint="eastAsia" w:ascii="宋体" w:hAnsi="宋体"/>
          <w:sz w:val="24"/>
          <w:szCs w:val="32"/>
          <w:u w:val="single"/>
        </w:rPr>
        <w:t xml:space="preserve">  </w:t>
      </w:r>
      <w:r>
        <w:rPr>
          <w:rFonts w:ascii="宋体" w:hAnsi="宋体"/>
          <w:sz w:val="24"/>
          <w:szCs w:val="32"/>
          <w:u w:val="single"/>
        </w:rPr>
        <w:t xml:space="preserve"> </w:t>
      </w:r>
      <w:r>
        <w:rPr>
          <w:rFonts w:ascii="宋体" w:hAnsi="宋体"/>
          <w:sz w:val="24"/>
          <w:szCs w:val="32"/>
        </w:rPr>
        <w:t>份，联合体成员和采购人各执一份。</w:t>
      </w:r>
    </w:p>
    <w:p>
      <w:pPr>
        <w:topLinePunct/>
        <w:spacing w:line="360" w:lineRule="auto"/>
        <w:ind w:firstLine="200"/>
        <w:rPr>
          <w:rFonts w:ascii="宋体" w:hAnsi="宋体"/>
          <w:sz w:val="24"/>
          <w:szCs w:val="32"/>
        </w:rPr>
      </w:pPr>
    </w:p>
    <w:p>
      <w:pPr>
        <w:topLinePunct/>
        <w:spacing w:line="360" w:lineRule="auto"/>
        <w:ind w:firstLine="480" w:firstLineChars="200"/>
        <w:rPr>
          <w:rFonts w:ascii="宋体" w:hAnsi="宋体"/>
          <w:sz w:val="24"/>
          <w:szCs w:val="32"/>
        </w:rPr>
      </w:pPr>
      <w:r>
        <w:rPr>
          <w:rFonts w:hint="eastAsia" w:ascii="宋体" w:hAnsi="宋体"/>
          <w:sz w:val="24"/>
          <w:szCs w:val="32"/>
        </w:rPr>
        <w:t>注：本协议书由委托代理人签字的，应附法定代表人签字的授权委托书。</w:t>
      </w:r>
    </w:p>
    <w:p>
      <w:pPr>
        <w:topLinePunct/>
        <w:spacing w:line="360" w:lineRule="auto"/>
        <w:ind w:firstLine="200"/>
        <w:rPr>
          <w:rFonts w:ascii="宋体" w:hAnsi="宋体"/>
          <w:sz w:val="24"/>
          <w:szCs w:val="32"/>
        </w:rPr>
      </w:pPr>
    </w:p>
    <w:p/>
    <w:p>
      <w:pPr>
        <w:topLinePunct/>
        <w:spacing w:line="360" w:lineRule="auto"/>
        <w:ind w:firstLine="200"/>
        <w:rPr>
          <w:rFonts w:ascii="宋体" w:hAnsi="宋体"/>
          <w:sz w:val="24"/>
          <w:szCs w:val="32"/>
        </w:rPr>
      </w:pPr>
      <w:r>
        <w:rPr>
          <w:rFonts w:ascii="宋体" w:hAnsi="宋体"/>
          <w:sz w:val="24"/>
          <w:szCs w:val="32"/>
        </w:rPr>
        <w:t>牵头人名称：</w:t>
      </w:r>
      <w:r>
        <w:rPr>
          <w:rFonts w:ascii="宋体" w:hAnsi="宋体"/>
          <w:sz w:val="24"/>
          <w:szCs w:val="32"/>
          <w:u w:val="single"/>
        </w:rPr>
        <w:t xml:space="preserve">                                 </w:t>
      </w:r>
      <w:r>
        <w:rPr>
          <w:rFonts w:ascii="宋体" w:hAnsi="宋体"/>
          <w:sz w:val="24"/>
          <w:szCs w:val="32"/>
        </w:rPr>
        <w:t>（盖单位章）</w:t>
      </w:r>
    </w:p>
    <w:p>
      <w:pPr>
        <w:topLinePunct/>
        <w:spacing w:line="360" w:lineRule="auto"/>
        <w:ind w:firstLine="200"/>
        <w:rPr>
          <w:rFonts w:ascii="宋体" w:hAnsi="宋体"/>
          <w:sz w:val="24"/>
          <w:szCs w:val="32"/>
        </w:rPr>
      </w:pPr>
      <w:r>
        <w:rPr>
          <w:rFonts w:ascii="宋体" w:hAnsi="宋体"/>
          <w:sz w:val="24"/>
          <w:szCs w:val="32"/>
        </w:rPr>
        <w:t>法定代表人或其委托代理人：</w:t>
      </w:r>
      <w:r>
        <w:rPr>
          <w:rFonts w:ascii="宋体" w:hAnsi="宋体"/>
          <w:sz w:val="24"/>
          <w:szCs w:val="32"/>
          <w:u w:val="single"/>
        </w:rPr>
        <w:t xml:space="preserve">                       </w:t>
      </w:r>
      <w:r>
        <w:rPr>
          <w:rFonts w:ascii="宋体" w:hAnsi="宋体"/>
          <w:sz w:val="24"/>
          <w:szCs w:val="32"/>
        </w:rPr>
        <w:t>（签字）</w:t>
      </w:r>
    </w:p>
    <w:p>
      <w:pPr>
        <w:topLinePunct/>
        <w:spacing w:line="360" w:lineRule="auto"/>
        <w:ind w:firstLine="200"/>
        <w:rPr>
          <w:rFonts w:ascii="宋体" w:hAnsi="宋体"/>
          <w:sz w:val="24"/>
          <w:szCs w:val="32"/>
        </w:rPr>
      </w:pPr>
    </w:p>
    <w:p>
      <w:pPr>
        <w:topLinePunct/>
        <w:spacing w:line="360" w:lineRule="auto"/>
        <w:ind w:firstLine="200"/>
        <w:rPr>
          <w:rFonts w:ascii="宋体" w:hAnsi="宋体"/>
          <w:sz w:val="24"/>
          <w:szCs w:val="32"/>
        </w:rPr>
      </w:pPr>
      <w:r>
        <w:rPr>
          <w:rFonts w:ascii="宋体" w:hAnsi="宋体"/>
          <w:sz w:val="24"/>
          <w:szCs w:val="32"/>
        </w:rPr>
        <w:t>成员一名称：</w:t>
      </w:r>
      <w:r>
        <w:rPr>
          <w:rFonts w:ascii="宋体" w:hAnsi="宋体"/>
          <w:sz w:val="24"/>
          <w:szCs w:val="32"/>
          <w:u w:val="single"/>
        </w:rPr>
        <w:t xml:space="preserve">                                 </w:t>
      </w:r>
      <w:r>
        <w:rPr>
          <w:rFonts w:ascii="宋体" w:hAnsi="宋体"/>
          <w:sz w:val="24"/>
          <w:szCs w:val="32"/>
        </w:rPr>
        <w:t>（盖单位章）</w:t>
      </w:r>
    </w:p>
    <w:p>
      <w:pPr>
        <w:topLinePunct/>
        <w:spacing w:line="360" w:lineRule="auto"/>
        <w:ind w:firstLine="200"/>
        <w:rPr>
          <w:rFonts w:ascii="宋体" w:hAnsi="宋体"/>
          <w:sz w:val="24"/>
          <w:szCs w:val="32"/>
        </w:rPr>
      </w:pPr>
      <w:r>
        <w:rPr>
          <w:rFonts w:ascii="宋体" w:hAnsi="宋体"/>
          <w:sz w:val="24"/>
          <w:szCs w:val="32"/>
        </w:rPr>
        <w:t>法定代表人或其委托代理人：</w:t>
      </w:r>
      <w:r>
        <w:rPr>
          <w:rFonts w:ascii="宋体" w:hAnsi="宋体"/>
          <w:sz w:val="24"/>
          <w:szCs w:val="32"/>
          <w:u w:val="single"/>
        </w:rPr>
        <w:t xml:space="preserve">                       </w:t>
      </w:r>
      <w:r>
        <w:rPr>
          <w:rFonts w:ascii="宋体" w:hAnsi="宋体"/>
          <w:sz w:val="24"/>
          <w:szCs w:val="32"/>
        </w:rPr>
        <w:t>（签字）</w:t>
      </w:r>
    </w:p>
    <w:p>
      <w:pPr>
        <w:topLinePunct/>
        <w:spacing w:line="360" w:lineRule="auto"/>
        <w:ind w:firstLine="200"/>
        <w:rPr>
          <w:rFonts w:ascii="宋体" w:hAnsi="宋体"/>
          <w:sz w:val="24"/>
          <w:szCs w:val="32"/>
        </w:rPr>
      </w:pPr>
      <w:r>
        <w:rPr>
          <w:rFonts w:ascii="宋体" w:hAnsi="宋体"/>
          <w:sz w:val="24"/>
          <w:szCs w:val="32"/>
        </w:rPr>
        <w:t xml:space="preserve"> </w:t>
      </w:r>
    </w:p>
    <w:p>
      <w:pPr>
        <w:topLinePunct/>
        <w:spacing w:line="360" w:lineRule="auto"/>
        <w:ind w:firstLine="200"/>
        <w:rPr>
          <w:rFonts w:ascii="宋体" w:hAnsi="宋体"/>
          <w:sz w:val="24"/>
          <w:szCs w:val="32"/>
        </w:rPr>
      </w:pPr>
      <w:r>
        <w:rPr>
          <w:rFonts w:ascii="宋体" w:hAnsi="宋体"/>
          <w:sz w:val="24"/>
          <w:szCs w:val="32"/>
        </w:rPr>
        <w:t>成员二名称：</w:t>
      </w:r>
      <w:r>
        <w:rPr>
          <w:rFonts w:ascii="宋体" w:hAnsi="宋体"/>
          <w:sz w:val="24"/>
          <w:szCs w:val="32"/>
          <w:u w:val="single"/>
        </w:rPr>
        <w:t xml:space="preserve">                                 </w:t>
      </w:r>
      <w:r>
        <w:rPr>
          <w:rFonts w:ascii="宋体" w:hAnsi="宋体"/>
          <w:sz w:val="24"/>
          <w:szCs w:val="32"/>
        </w:rPr>
        <w:t>（盖单位章）</w:t>
      </w:r>
    </w:p>
    <w:p>
      <w:pPr>
        <w:topLinePunct/>
        <w:spacing w:line="360" w:lineRule="auto"/>
        <w:ind w:firstLine="200"/>
        <w:rPr>
          <w:rFonts w:ascii="宋体" w:hAnsi="宋体"/>
          <w:sz w:val="24"/>
          <w:szCs w:val="32"/>
        </w:rPr>
      </w:pPr>
      <w:r>
        <w:rPr>
          <w:rFonts w:ascii="宋体" w:hAnsi="宋体"/>
          <w:sz w:val="24"/>
          <w:szCs w:val="32"/>
        </w:rPr>
        <w:t>法定代表人或其委托代理人：</w:t>
      </w:r>
      <w:r>
        <w:rPr>
          <w:rFonts w:ascii="宋体" w:hAnsi="宋体"/>
          <w:sz w:val="24"/>
          <w:szCs w:val="32"/>
          <w:u w:val="single"/>
        </w:rPr>
        <w:t xml:space="preserve">                       </w:t>
      </w:r>
      <w:r>
        <w:rPr>
          <w:rFonts w:ascii="宋体" w:hAnsi="宋体"/>
          <w:sz w:val="24"/>
          <w:szCs w:val="32"/>
        </w:rPr>
        <w:t>（签字）</w:t>
      </w:r>
    </w:p>
    <w:p>
      <w:pPr>
        <w:topLinePunct/>
        <w:spacing w:line="360" w:lineRule="auto"/>
        <w:ind w:firstLine="200"/>
        <w:rPr>
          <w:rFonts w:ascii="宋体" w:hAnsi="宋体"/>
          <w:sz w:val="24"/>
          <w:szCs w:val="32"/>
        </w:rPr>
      </w:pPr>
      <w:r>
        <w:rPr>
          <w:rFonts w:ascii="宋体" w:hAnsi="宋体"/>
          <w:sz w:val="24"/>
          <w:szCs w:val="32"/>
        </w:rPr>
        <w:t xml:space="preserve">…… </w:t>
      </w:r>
    </w:p>
    <w:p>
      <w:pPr>
        <w:topLinePunct/>
        <w:spacing w:line="360" w:lineRule="auto"/>
        <w:ind w:firstLine="200"/>
        <w:rPr>
          <w:rFonts w:ascii="宋体" w:hAnsi="宋体"/>
          <w:sz w:val="24"/>
          <w:szCs w:val="32"/>
        </w:rPr>
      </w:pPr>
    </w:p>
    <w:p>
      <w:pPr>
        <w:spacing w:line="360" w:lineRule="auto"/>
        <w:ind w:firstLine="200"/>
        <w:rPr>
          <w:rFonts w:ascii="宋体" w:hAnsi="宋体" w:cs="Arial"/>
          <w:sz w:val="24"/>
          <w:szCs w:val="32"/>
        </w:rPr>
      </w:pPr>
      <w:r>
        <w:rPr>
          <w:rFonts w:hint="eastAsia" w:ascii="宋体" w:hAnsi="宋体" w:cs="宋体"/>
          <w:sz w:val="24"/>
          <w:szCs w:val="32"/>
        </w:rPr>
        <w:t xml:space="preserve">                          </w:t>
      </w:r>
      <w:r>
        <w:rPr>
          <w:rFonts w:hint="eastAsia" w:ascii="宋体" w:hAnsi="宋体" w:cs="宋体"/>
          <w:sz w:val="24"/>
          <w:szCs w:val="32"/>
          <w:u w:val="single"/>
        </w:rPr>
        <w:t xml:space="preserve">        </w:t>
      </w:r>
      <w:r>
        <w:rPr>
          <w:rFonts w:hint="eastAsia" w:ascii="宋体" w:hAnsi="宋体" w:cs="宋体"/>
          <w:sz w:val="24"/>
          <w:szCs w:val="32"/>
        </w:rPr>
        <w:t>年</w:t>
      </w:r>
      <w:r>
        <w:rPr>
          <w:rFonts w:hint="eastAsia" w:ascii="宋体" w:hAnsi="宋体" w:cs="宋体"/>
          <w:sz w:val="24"/>
          <w:szCs w:val="32"/>
          <w:u w:val="single"/>
        </w:rPr>
        <w:t xml:space="preserve">       </w:t>
      </w:r>
      <w:r>
        <w:rPr>
          <w:rFonts w:hint="eastAsia" w:ascii="宋体" w:hAnsi="宋体" w:cs="宋体"/>
          <w:sz w:val="24"/>
          <w:szCs w:val="32"/>
        </w:rPr>
        <w:t>月</w:t>
      </w:r>
      <w:r>
        <w:rPr>
          <w:rFonts w:hint="eastAsia" w:ascii="宋体" w:hAnsi="宋体" w:cs="宋体"/>
          <w:sz w:val="24"/>
          <w:szCs w:val="32"/>
          <w:u w:val="single"/>
        </w:rPr>
        <w:t xml:space="preserve">       </w:t>
      </w:r>
      <w:r>
        <w:rPr>
          <w:rFonts w:hint="eastAsia" w:ascii="宋体" w:hAnsi="宋体" w:cs="宋体"/>
          <w:sz w:val="24"/>
          <w:szCs w:val="32"/>
        </w:rPr>
        <w:t>日</w:t>
      </w:r>
    </w:p>
    <w:p>
      <w:pPr>
        <w:keepNext/>
        <w:keepLines/>
        <w:spacing w:line="360" w:lineRule="auto"/>
        <w:jc w:val="center"/>
        <w:outlineLvl w:val="1"/>
        <w:rPr>
          <w:rFonts w:ascii="宋体" w:hAnsi="宋体" w:cs="Arial"/>
          <w:b/>
          <w:sz w:val="36"/>
          <w:szCs w:val="36"/>
        </w:rPr>
        <w:sectPr>
          <w:type w:val="nextColumn"/>
          <w:pgSz w:w="11905" w:h="16838"/>
          <w:pgMar w:top="1440" w:right="1797" w:bottom="1440" w:left="1797" w:header="850" w:footer="850" w:gutter="0"/>
          <w:pgBorders>
            <w:top w:val="none" w:sz="0" w:space="0"/>
            <w:left w:val="none" w:sz="0" w:space="0"/>
            <w:bottom w:val="none" w:sz="0" w:space="0"/>
            <w:right w:val="none" w:sz="0" w:space="0"/>
          </w:pgBorders>
          <w:cols w:space="720" w:num="1"/>
        </w:sectPr>
      </w:pPr>
    </w:p>
    <w:p>
      <w:pPr>
        <w:keepNext/>
        <w:keepLines/>
        <w:spacing w:line="360" w:lineRule="auto"/>
        <w:ind w:left="3747" w:hanging="3747" w:hangingChars="1333"/>
        <w:jc w:val="center"/>
        <w:outlineLvl w:val="1"/>
        <w:rPr>
          <w:rFonts w:ascii="宋体" w:hAnsi="宋体" w:cs="仿宋_GB2312"/>
          <w:b/>
          <w:sz w:val="28"/>
          <w:szCs w:val="28"/>
        </w:rPr>
      </w:pPr>
      <w:bookmarkStart w:id="539" w:name="_Toc29943"/>
      <w:r>
        <w:rPr>
          <w:rFonts w:hint="eastAsia" w:ascii="宋体" w:hAnsi="宋体" w:cs="仿宋_GB2312"/>
          <w:b/>
          <w:sz w:val="28"/>
          <w:szCs w:val="28"/>
        </w:rPr>
        <w:t>（五）分包意向协议书（如适用）</w:t>
      </w:r>
      <w:bookmarkEnd w:id="539"/>
    </w:p>
    <w:p>
      <w:pPr>
        <w:topLinePunct/>
        <w:spacing w:line="360" w:lineRule="auto"/>
        <w:ind w:firstLine="480" w:firstLineChars="200"/>
        <w:rPr>
          <w:rFonts w:ascii="宋体" w:hAnsi="宋体"/>
          <w:sz w:val="24"/>
          <w:szCs w:val="32"/>
        </w:rPr>
      </w:pPr>
      <w:r>
        <w:rPr>
          <w:rFonts w:hint="eastAsia" w:ascii="宋体" w:hAnsi="宋体"/>
          <w:sz w:val="24"/>
          <w:szCs w:val="32"/>
        </w:rPr>
        <w:t>格式自拟。其中必须包含如下内容：</w:t>
      </w:r>
    </w:p>
    <w:p>
      <w:pPr>
        <w:topLinePunct/>
        <w:spacing w:line="360" w:lineRule="auto"/>
        <w:ind w:firstLine="480" w:firstLineChars="200"/>
        <w:rPr>
          <w:rFonts w:ascii="宋体" w:hAnsi="宋体"/>
          <w:sz w:val="24"/>
          <w:szCs w:val="32"/>
        </w:rPr>
      </w:pPr>
      <w:r>
        <w:rPr>
          <w:rFonts w:hint="eastAsia" w:ascii="宋体" w:hAnsi="宋体"/>
          <w:sz w:val="24"/>
          <w:szCs w:val="32"/>
        </w:rPr>
        <w:t>拟分包单位属于中小企业如下：</w:t>
      </w:r>
      <w:r>
        <w:rPr>
          <w:rFonts w:ascii="宋体" w:hAnsi="宋体"/>
          <w:sz w:val="24"/>
          <w:szCs w:val="32"/>
          <w:u w:val="single"/>
        </w:rPr>
        <w:t xml:space="preserve">                 </w:t>
      </w:r>
      <w:r>
        <w:rPr>
          <w:rFonts w:ascii="宋体" w:hAnsi="宋体"/>
          <w:sz w:val="24"/>
          <w:szCs w:val="32"/>
        </w:rPr>
        <w:t xml:space="preserve"> 。</w:t>
      </w:r>
      <w:r>
        <w:rPr>
          <w:rFonts w:hint="eastAsia" w:ascii="宋体" w:hAnsi="宋体"/>
          <w:sz w:val="24"/>
          <w:szCs w:val="32"/>
        </w:rPr>
        <w:t>中小企业所占合同份额达到：</w:t>
      </w:r>
      <w:r>
        <w:rPr>
          <w:rFonts w:hint="eastAsia" w:ascii="宋体" w:hAnsi="宋体"/>
          <w:sz w:val="24"/>
          <w:szCs w:val="32"/>
          <w:u w:val="single"/>
        </w:rPr>
        <w:t xml:space="preserve"> </w:t>
      </w:r>
      <w:r>
        <w:rPr>
          <w:rFonts w:ascii="宋体" w:hAnsi="宋体"/>
          <w:sz w:val="24"/>
          <w:szCs w:val="32"/>
          <w:u w:val="single"/>
        </w:rPr>
        <w:t xml:space="preserve">   </w:t>
      </w:r>
      <w:r>
        <w:rPr>
          <w:rFonts w:hint="eastAsia" w:ascii="宋体" w:hAnsi="宋体"/>
          <w:sz w:val="24"/>
          <w:szCs w:val="32"/>
        </w:rPr>
        <w:t>%；小微企业所占合同份额达到：</w:t>
      </w:r>
      <w:r>
        <w:rPr>
          <w:rFonts w:hint="eastAsia" w:ascii="宋体" w:hAnsi="宋体"/>
          <w:sz w:val="24"/>
          <w:szCs w:val="32"/>
          <w:u w:val="single"/>
        </w:rPr>
        <w:t xml:space="preserve"> </w:t>
      </w:r>
      <w:r>
        <w:rPr>
          <w:rFonts w:ascii="宋体" w:hAnsi="宋体"/>
          <w:sz w:val="24"/>
          <w:szCs w:val="32"/>
          <w:u w:val="single"/>
        </w:rPr>
        <w:t xml:space="preserve">    </w:t>
      </w:r>
      <w:r>
        <w:rPr>
          <w:rFonts w:hint="eastAsia" w:ascii="宋体" w:hAnsi="宋体"/>
          <w:sz w:val="24"/>
          <w:szCs w:val="32"/>
        </w:rPr>
        <w:t>%。</w:t>
      </w:r>
    </w:p>
    <w:p>
      <w:pPr>
        <w:keepNext/>
        <w:keepLines/>
        <w:spacing w:line="360" w:lineRule="auto"/>
        <w:jc w:val="center"/>
        <w:outlineLvl w:val="1"/>
        <w:rPr>
          <w:rFonts w:ascii="宋体" w:hAnsi="宋体" w:cs="Arial"/>
          <w:b/>
          <w:sz w:val="36"/>
          <w:szCs w:val="36"/>
        </w:rPr>
        <w:sectPr>
          <w:type w:val="nextColumn"/>
          <w:pgSz w:w="11905" w:h="16838"/>
          <w:pgMar w:top="1440" w:right="1797" w:bottom="1440" w:left="1797" w:header="850" w:footer="850" w:gutter="0"/>
          <w:pgBorders>
            <w:top w:val="none" w:sz="0" w:space="0"/>
            <w:left w:val="none" w:sz="0" w:space="0"/>
            <w:bottom w:val="none" w:sz="0" w:space="0"/>
            <w:right w:val="none" w:sz="0" w:space="0"/>
          </w:pgBorders>
          <w:cols w:space="720" w:num="1"/>
        </w:sectPr>
      </w:pPr>
    </w:p>
    <w:p>
      <w:pPr>
        <w:pStyle w:val="4"/>
        <w:spacing w:before="0" w:after="0" w:line="360" w:lineRule="auto"/>
        <w:jc w:val="center"/>
        <w:rPr>
          <w:rFonts w:ascii="宋体" w:hAnsi="宋体" w:eastAsia="宋体" w:cs="Arial"/>
          <w:b/>
        </w:rPr>
      </w:pPr>
      <w:bookmarkStart w:id="540" w:name="_Toc9812"/>
      <w:r>
        <w:rPr>
          <w:rFonts w:hint="eastAsia" w:ascii="宋体" w:hAnsi="宋体" w:eastAsia="宋体" w:cs="Arial"/>
          <w:b/>
        </w:rPr>
        <w:t>二、报价</w:t>
      </w:r>
      <w:r>
        <w:rPr>
          <w:rFonts w:ascii="宋体" w:hAnsi="宋体" w:eastAsia="宋体" w:cs="Arial"/>
          <w:b/>
        </w:rPr>
        <w:t>文件</w:t>
      </w:r>
      <w:bookmarkEnd w:id="536"/>
      <w:bookmarkEnd w:id="537"/>
      <w:bookmarkEnd w:id="538"/>
      <w:bookmarkEnd w:id="540"/>
    </w:p>
    <w:p>
      <w:pPr>
        <w:keepNext/>
        <w:keepLines/>
        <w:spacing w:line="360" w:lineRule="auto"/>
        <w:ind w:left="3732" w:hanging="3732" w:hangingChars="1333"/>
        <w:jc w:val="center"/>
        <w:outlineLvl w:val="1"/>
        <w:rPr>
          <w:rFonts w:ascii="宋体" w:hAnsi="宋体" w:cs="仿宋_GB2312"/>
          <w:bCs/>
          <w:sz w:val="28"/>
          <w:szCs w:val="28"/>
        </w:rPr>
      </w:pPr>
      <w:bookmarkStart w:id="541" w:name="_Toc56708579"/>
      <w:bookmarkStart w:id="542" w:name="_Toc6379"/>
      <w:bookmarkStart w:id="543" w:name="_Toc430813349"/>
      <w:bookmarkStart w:id="544" w:name="_Toc432367429"/>
      <w:r>
        <w:rPr>
          <w:rFonts w:hint="eastAsia" w:ascii="宋体" w:hAnsi="宋体" w:cs="仿宋_GB2312"/>
          <w:bCs/>
          <w:sz w:val="28"/>
          <w:szCs w:val="28"/>
        </w:rPr>
        <w:t>（一）报价一览表</w:t>
      </w:r>
      <w:bookmarkEnd w:id="541"/>
      <w:bookmarkEnd w:id="542"/>
      <w:bookmarkEnd w:id="543"/>
      <w:bookmarkEnd w:id="544"/>
    </w:p>
    <w:p>
      <w:pPr>
        <w:rPr>
          <w:sz w:val="24"/>
        </w:rPr>
      </w:pPr>
      <w:bookmarkStart w:id="545" w:name="_Toc46776088"/>
      <w:bookmarkStart w:id="546" w:name="_Hlk56713846"/>
    </w:p>
    <w:p>
      <w:pPr>
        <w:spacing w:line="300" w:lineRule="auto"/>
        <w:rPr>
          <w:rFonts w:ascii="Arial" w:hAnsi="Arial" w:cs="Arial"/>
          <w:szCs w:val="21"/>
        </w:rPr>
      </w:pPr>
      <w:r>
        <w:rPr>
          <w:rFonts w:ascii="Arial" w:hAnsi="Arial" w:cs="Arial"/>
          <w:szCs w:val="21"/>
        </w:rPr>
        <w:t>项目名称：</w:t>
      </w:r>
      <w:r>
        <w:rPr>
          <w:rFonts w:ascii="Arial" w:hAnsi="Arial" w:cs="Arial"/>
          <w:szCs w:val="21"/>
          <w:u w:val="single"/>
        </w:rPr>
        <w:t xml:space="preserve">          </w:t>
      </w:r>
      <w:r>
        <w:rPr>
          <w:rFonts w:hint="eastAsia" w:ascii="Arial" w:hAnsi="Arial" w:cs="Arial"/>
          <w:szCs w:val="21"/>
        </w:rPr>
        <w:t xml:space="preserve">              </w:t>
      </w: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货币单位：人民币</w:t>
      </w:r>
    </w:p>
    <w:tbl>
      <w:tblPr>
        <w:tblStyle w:val="5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2436"/>
        <w:gridCol w:w="1228"/>
        <w:gridCol w:w="1320"/>
        <w:gridCol w:w="1320"/>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527" w:type="pct"/>
            <w:vAlign w:val="center"/>
          </w:tcPr>
          <w:p>
            <w:pPr>
              <w:snapToGrid w:val="0"/>
              <w:jc w:val="center"/>
              <w:rPr>
                <w:rFonts w:ascii="Arial" w:hAnsi="Arial" w:cs="Arial"/>
                <w:szCs w:val="21"/>
              </w:rPr>
            </w:pPr>
            <w:r>
              <w:rPr>
                <w:rFonts w:ascii="Arial" w:hAnsi="Arial" w:cs="Arial"/>
                <w:szCs w:val="21"/>
              </w:rPr>
              <w:t>序号</w:t>
            </w:r>
          </w:p>
        </w:tc>
        <w:tc>
          <w:tcPr>
            <w:tcW w:w="1428" w:type="pct"/>
            <w:vAlign w:val="center"/>
          </w:tcPr>
          <w:p>
            <w:pPr>
              <w:snapToGrid w:val="0"/>
              <w:jc w:val="center"/>
              <w:rPr>
                <w:rFonts w:ascii="Arial" w:hAnsi="Arial" w:cs="Arial"/>
                <w:szCs w:val="21"/>
              </w:rPr>
            </w:pPr>
            <w:r>
              <w:rPr>
                <w:rFonts w:hint="eastAsia" w:ascii="Arial" w:hAnsi="Arial" w:cs="Arial"/>
                <w:szCs w:val="21"/>
              </w:rPr>
              <w:t>磋商报价（万元）</w:t>
            </w:r>
          </w:p>
        </w:tc>
        <w:tc>
          <w:tcPr>
            <w:tcW w:w="720" w:type="pct"/>
            <w:vAlign w:val="center"/>
          </w:tcPr>
          <w:p>
            <w:pPr>
              <w:snapToGrid w:val="0"/>
              <w:jc w:val="center"/>
              <w:rPr>
                <w:rFonts w:ascii="Arial" w:hAnsi="Arial" w:cs="Arial"/>
                <w:szCs w:val="21"/>
              </w:rPr>
            </w:pPr>
            <w:r>
              <w:rPr>
                <w:rFonts w:hint="eastAsia" w:ascii="Arial" w:hAnsi="Arial" w:cs="Arial"/>
                <w:szCs w:val="21"/>
              </w:rPr>
              <w:t>服务期</w:t>
            </w:r>
          </w:p>
        </w:tc>
        <w:tc>
          <w:tcPr>
            <w:tcW w:w="774" w:type="pct"/>
            <w:vAlign w:val="center"/>
          </w:tcPr>
          <w:p>
            <w:pPr>
              <w:snapToGrid w:val="0"/>
              <w:jc w:val="center"/>
              <w:rPr>
                <w:rFonts w:hint="eastAsia" w:ascii="Arial" w:hAnsi="Arial" w:eastAsia="宋体" w:cs="Arial"/>
                <w:szCs w:val="21"/>
                <w:lang w:val="en-US" w:eastAsia="zh-CN"/>
              </w:rPr>
            </w:pPr>
            <w:r>
              <w:rPr>
                <w:rFonts w:hint="eastAsia" w:ascii="Arial" w:hAnsi="Arial" w:cs="Arial"/>
                <w:szCs w:val="21"/>
                <w:lang w:val="en-US" w:eastAsia="zh-CN"/>
              </w:rPr>
              <w:t>质保期</w:t>
            </w:r>
          </w:p>
        </w:tc>
        <w:tc>
          <w:tcPr>
            <w:tcW w:w="774" w:type="pct"/>
            <w:vAlign w:val="center"/>
          </w:tcPr>
          <w:p>
            <w:pPr>
              <w:snapToGrid w:val="0"/>
              <w:jc w:val="center"/>
              <w:rPr>
                <w:rFonts w:ascii="Arial" w:hAnsi="Arial" w:cs="Arial"/>
                <w:szCs w:val="21"/>
              </w:rPr>
            </w:pPr>
            <w:r>
              <w:rPr>
                <w:rFonts w:hint="eastAsia" w:ascii="Arial" w:hAnsi="Arial" w:cs="Arial"/>
                <w:szCs w:val="21"/>
              </w:rPr>
              <w:t>项目负责人</w:t>
            </w:r>
          </w:p>
        </w:tc>
        <w:tc>
          <w:tcPr>
            <w:tcW w:w="774" w:type="pct"/>
            <w:vAlign w:val="center"/>
          </w:tcPr>
          <w:p>
            <w:pPr>
              <w:snapToGrid w:val="0"/>
              <w:jc w:val="center"/>
              <w:rPr>
                <w:rFonts w:ascii="Arial" w:hAnsi="Arial" w:cs="Arial"/>
                <w:szCs w:val="21"/>
              </w:rPr>
            </w:pPr>
            <w:r>
              <w:rPr>
                <w:rFonts w:hint="eastAsia" w:ascii="Arial" w:hAnsi="Arial" w:cs="Arial"/>
                <w:szCs w:val="21"/>
              </w:rPr>
              <w:t>磋商声明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527" w:type="pct"/>
            <w:vAlign w:val="center"/>
          </w:tcPr>
          <w:p>
            <w:pPr>
              <w:snapToGrid w:val="0"/>
              <w:jc w:val="center"/>
              <w:rPr>
                <w:rFonts w:ascii="Arial" w:hAnsi="Arial" w:cs="Arial"/>
                <w:szCs w:val="21"/>
              </w:rPr>
            </w:pPr>
          </w:p>
        </w:tc>
        <w:tc>
          <w:tcPr>
            <w:tcW w:w="1428" w:type="pct"/>
            <w:vAlign w:val="center"/>
          </w:tcPr>
          <w:p>
            <w:pPr>
              <w:snapToGrid w:val="0"/>
              <w:jc w:val="center"/>
              <w:rPr>
                <w:rFonts w:ascii="Arial" w:hAnsi="Arial" w:cs="Arial"/>
                <w:szCs w:val="21"/>
              </w:rPr>
            </w:pPr>
          </w:p>
        </w:tc>
        <w:tc>
          <w:tcPr>
            <w:tcW w:w="720" w:type="pct"/>
            <w:vAlign w:val="center"/>
          </w:tcPr>
          <w:p>
            <w:pPr>
              <w:snapToGrid w:val="0"/>
              <w:jc w:val="center"/>
              <w:rPr>
                <w:rFonts w:ascii="Arial" w:hAnsi="Arial" w:cs="Arial"/>
                <w:szCs w:val="21"/>
              </w:rPr>
            </w:pPr>
          </w:p>
        </w:tc>
        <w:tc>
          <w:tcPr>
            <w:tcW w:w="774" w:type="pct"/>
            <w:vAlign w:val="center"/>
          </w:tcPr>
          <w:p>
            <w:pPr>
              <w:snapToGrid w:val="0"/>
              <w:jc w:val="center"/>
              <w:rPr>
                <w:rFonts w:ascii="Arial" w:hAnsi="Arial" w:cs="Arial"/>
                <w:szCs w:val="21"/>
              </w:rPr>
            </w:pPr>
          </w:p>
        </w:tc>
        <w:tc>
          <w:tcPr>
            <w:tcW w:w="774" w:type="pct"/>
            <w:vAlign w:val="center"/>
          </w:tcPr>
          <w:p>
            <w:pPr>
              <w:snapToGrid w:val="0"/>
              <w:jc w:val="center"/>
              <w:rPr>
                <w:rFonts w:ascii="Arial" w:hAnsi="Arial" w:cs="Arial"/>
                <w:szCs w:val="21"/>
              </w:rPr>
            </w:pPr>
          </w:p>
        </w:tc>
        <w:tc>
          <w:tcPr>
            <w:tcW w:w="774" w:type="pct"/>
            <w:vAlign w:val="center"/>
          </w:tcPr>
          <w:p>
            <w:pPr>
              <w:snapToGrid w:val="0"/>
              <w:jc w:val="center"/>
              <w:rPr>
                <w:rFonts w:ascii="Arial" w:hAnsi="Arial" w:cs="Arial"/>
                <w:szCs w:val="21"/>
              </w:rPr>
            </w:pPr>
          </w:p>
        </w:tc>
      </w:tr>
    </w:tbl>
    <w:p>
      <w:pPr>
        <w:spacing w:line="300" w:lineRule="auto"/>
        <w:rPr>
          <w:rFonts w:ascii="Arial" w:hAnsi="Arial" w:cs="Arial"/>
          <w:szCs w:val="21"/>
          <w:u w:val="single"/>
        </w:rPr>
      </w:pPr>
    </w:p>
    <w:p>
      <w:pPr>
        <w:spacing w:line="300" w:lineRule="auto"/>
        <w:rPr>
          <w:rFonts w:ascii="Arial" w:hAnsi="Arial" w:cs="Arial"/>
          <w:szCs w:val="21"/>
        </w:rPr>
      </w:pPr>
      <w:r>
        <w:rPr>
          <w:rFonts w:ascii="Arial" w:hAnsi="Arial" w:cs="Arial"/>
          <w:szCs w:val="21"/>
        </w:rPr>
        <w:t>供应商名称[盖章]：</w:t>
      </w:r>
      <w:r>
        <w:rPr>
          <w:rFonts w:ascii="Arial" w:hAnsi="Arial" w:cs="Arial"/>
          <w:szCs w:val="21"/>
          <w:u w:val="single"/>
        </w:rPr>
        <w:t xml:space="preserve">                              </w:t>
      </w:r>
      <w:r>
        <w:rPr>
          <w:rFonts w:ascii="Arial" w:hAnsi="Arial" w:cs="Arial"/>
          <w:szCs w:val="21"/>
        </w:rPr>
        <w:t xml:space="preserve"> </w:t>
      </w:r>
    </w:p>
    <w:p>
      <w:pPr>
        <w:spacing w:line="300" w:lineRule="auto"/>
        <w:rPr>
          <w:rFonts w:ascii="Arial" w:hAnsi="Arial" w:cs="Arial"/>
          <w:szCs w:val="21"/>
          <w:u w:val="single"/>
        </w:rPr>
        <w:sectPr>
          <w:type w:val="nextColumn"/>
          <w:pgSz w:w="11905" w:h="16838"/>
          <w:pgMar w:top="1440" w:right="1797" w:bottom="1440" w:left="1797" w:header="850" w:footer="850" w:gutter="0"/>
          <w:pgBorders>
            <w:top w:val="none" w:sz="0" w:space="0"/>
            <w:left w:val="none" w:sz="0" w:space="0"/>
            <w:bottom w:val="none" w:sz="0" w:space="0"/>
            <w:right w:val="none" w:sz="0" w:space="0"/>
          </w:pgBorders>
          <w:cols w:space="720" w:num="1"/>
        </w:sectPr>
      </w:pPr>
      <w:r>
        <w:rPr>
          <w:rFonts w:ascii="Arial" w:hAnsi="Arial" w:cs="Arial"/>
          <w:szCs w:val="21"/>
        </w:rPr>
        <w:t>供应商授权代表签字：</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 xml:space="preserve">        日期：</w:t>
      </w:r>
      <w:r>
        <w:rPr>
          <w:rFonts w:ascii="Arial" w:hAnsi="Arial" w:cs="Arial"/>
          <w:szCs w:val="21"/>
          <w:u w:val="single"/>
        </w:rPr>
        <w:t xml:space="preserve">                   </w:t>
      </w:r>
    </w:p>
    <w:p>
      <w:pPr>
        <w:spacing w:line="300" w:lineRule="auto"/>
        <w:rPr>
          <w:rFonts w:ascii="Arial" w:hAnsi="Arial" w:cs="Arial"/>
          <w:szCs w:val="21"/>
          <w:u w:val="single"/>
        </w:rPr>
      </w:pPr>
    </w:p>
    <w:p>
      <w:pPr>
        <w:keepNext/>
        <w:keepLines/>
        <w:spacing w:line="360" w:lineRule="auto"/>
        <w:ind w:left="3747" w:hanging="3747" w:hangingChars="1333"/>
        <w:jc w:val="center"/>
        <w:outlineLvl w:val="1"/>
        <w:rPr>
          <w:rFonts w:ascii="宋体" w:hAnsi="宋体" w:cs="仿宋_GB2312"/>
          <w:b/>
          <w:sz w:val="28"/>
          <w:szCs w:val="28"/>
        </w:rPr>
      </w:pPr>
      <w:bookmarkStart w:id="547" w:name="_Toc25872"/>
      <w:r>
        <w:rPr>
          <w:rFonts w:hint="eastAsia" w:ascii="宋体" w:hAnsi="宋体" w:cs="仿宋_GB2312"/>
          <w:b/>
          <w:sz w:val="28"/>
          <w:szCs w:val="28"/>
        </w:rPr>
        <w:t>（二）分项报价表（如有）</w:t>
      </w:r>
      <w:bookmarkEnd w:id="545"/>
      <w:bookmarkEnd w:id="547"/>
    </w:p>
    <w:bookmarkEnd w:id="546"/>
    <w:p>
      <w:pPr>
        <w:rPr>
          <w:sz w:val="24"/>
        </w:rPr>
      </w:pPr>
      <w:r>
        <w:rPr>
          <w:rFonts w:hint="eastAsia"/>
          <w:sz w:val="24"/>
        </w:rPr>
        <w:t>（适用于服务）</w:t>
      </w:r>
    </w:p>
    <w:p>
      <w:pPr>
        <w:spacing w:line="300" w:lineRule="auto"/>
        <w:rPr>
          <w:rFonts w:ascii="Arial" w:hAnsi="Arial" w:cs="Arial"/>
          <w:szCs w:val="21"/>
        </w:rPr>
      </w:pPr>
      <w:r>
        <w:rPr>
          <w:rFonts w:ascii="Arial" w:hAnsi="Arial" w:cs="Arial"/>
          <w:szCs w:val="21"/>
        </w:rPr>
        <w:t>项目名称：</w:t>
      </w:r>
      <w:r>
        <w:rPr>
          <w:rFonts w:ascii="Arial" w:hAnsi="Arial" w:cs="Arial"/>
          <w:szCs w:val="21"/>
          <w:u w:val="single"/>
        </w:rPr>
        <w:t xml:space="preserve">          </w:t>
      </w:r>
      <w:r>
        <w:rPr>
          <w:rFonts w:hint="eastAsia" w:ascii="Arial" w:hAnsi="Arial" w:cs="Arial"/>
          <w:szCs w:val="21"/>
        </w:rPr>
        <w:t xml:space="preserve">             </w:t>
      </w: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货币单位：人民币</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3720"/>
        <w:gridCol w:w="1065"/>
        <w:gridCol w:w="1065"/>
        <w:gridCol w:w="1066"/>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adjustRightInd w:val="0"/>
              <w:snapToGrid w:val="0"/>
              <w:jc w:val="center"/>
              <w:rPr>
                <w:rFonts w:ascii="宋体" w:hAnsi="宋体"/>
                <w:szCs w:val="21"/>
              </w:rPr>
            </w:pPr>
            <w:r>
              <w:rPr>
                <w:rFonts w:hint="eastAsia" w:ascii="宋体" w:hAnsi="宋体"/>
                <w:szCs w:val="21"/>
              </w:rPr>
              <w:t>序号</w:t>
            </w:r>
          </w:p>
        </w:tc>
        <w:tc>
          <w:tcPr>
            <w:tcW w:w="3720" w:type="dxa"/>
            <w:vAlign w:val="center"/>
          </w:tcPr>
          <w:p>
            <w:pPr>
              <w:adjustRightInd w:val="0"/>
              <w:snapToGrid w:val="0"/>
              <w:jc w:val="center"/>
              <w:rPr>
                <w:rFonts w:ascii="宋体" w:hAnsi="宋体"/>
                <w:szCs w:val="21"/>
              </w:rPr>
            </w:pPr>
            <w:r>
              <w:rPr>
                <w:rFonts w:hint="eastAsia" w:ascii="宋体" w:hAnsi="宋体"/>
                <w:szCs w:val="21"/>
              </w:rPr>
              <w:t>名称</w:t>
            </w:r>
          </w:p>
        </w:tc>
        <w:tc>
          <w:tcPr>
            <w:tcW w:w="1065" w:type="dxa"/>
            <w:vAlign w:val="center"/>
          </w:tcPr>
          <w:p>
            <w:pPr>
              <w:adjustRightInd w:val="0"/>
              <w:snapToGrid w:val="0"/>
              <w:jc w:val="center"/>
              <w:rPr>
                <w:rFonts w:ascii="宋体" w:hAnsi="宋体"/>
                <w:szCs w:val="21"/>
              </w:rPr>
            </w:pPr>
            <w:r>
              <w:rPr>
                <w:rFonts w:hint="eastAsia" w:ascii="宋体" w:hAnsi="宋体"/>
                <w:szCs w:val="21"/>
              </w:rPr>
              <w:t>数量</w:t>
            </w:r>
          </w:p>
        </w:tc>
        <w:tc>
          <w:tcPr>
            <w:tcW w:w="1065" w:type="dxa"/>
            <w:vAlign w:val="center"/>
          </w:tcPr>
          <w:p>
            <w:pPr>
              <w:adjustRightInd w:val="0"/>
              <w:snapToGrid w:val="0"/>
              <w:jc w:val="center"/>
              <w:rPr>
                <w:rFonts w:ascii="宋体" w:hAnsi="宋体"/>
                <w:szCs w:val="21"/>
              </w:rPr>
            </w:pPr>
            <w:r>
              <w:rPr>
                <w:rFonts w:hint="eastAsia" w:ascii="宋体" w:hAnsi="宋体"/>
                <w:szCs w:val="21"/>
              </w:rPr>
              <w:t>单价</w:t>
            </w:r>
          </w:p>
        </w:tc>
        <w:tc>
          <w:tcPr>
            <w:tcW w:w="1066" w:type="dxa"/>
            <w:vAlign w:val="center"/>
          </w:tcPr>
          <w:p>
            <w:pPr>
              <w:adjustRightInd w:val="0"/>
              <w:snapToGrid w:val="0"/>
              <w:jc w:val="center"/>
              <w:rPr>
                <w:rFonts w:ascii="宋体" w:hAnsi="宋体"/>
                <w:szCs w:val="21"/>
              </w:rPr>
            </w:pPr>
            <w:r>
              <w:rPr>
                <w:rFonts w:hint="eastAsia" w:ascii="宋体" w:hAnsi="宋体"/>
                <w:szCs w:val="21"/>
              </w:rPr>
              <w:t>总价</w:t>
            </w:r>
          </w:p>
        </w:tc>
        <w:tc>
          <w:tcPr>
            <w:tcW w:w="947" w:type="dxa"/>
            <w:vAlign w:val="center"/>
          </w:tcPr>
          <w:p>
            <w:pPr>
              <w:adjustRightInd w:val="0"/>
              <w:snapToGrid w:val="0"/>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adjustRightInd w:val="0"/>
              <w:snapToGrid w:val="0"/>
              <w:jc w:val="center"/>
              <w:rPr>
                <w:rFonts w:ascii="宋体" w:hAnsi="宋体"/>
                <w:szCs w:val="21"/>
              </w:rPr>
            </w:pPr>
            <w:r>
              <w:rPr>
                <w:rFonts w:hint="eastAsia" w:ascii="宋体" w:hAnsi="宋体"/>
                <w:szCs w:val="21"/>
              </w:rPr>
              <w:t>1</w:t>
            </w:r>
          </w:p>
        </w:tc>
        <w:tc>
          <w:tcPr>
            <w:tcW w:w="3720"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6" w:type="dxa"/>
            <w:vAlign w:val="center"/>
          </w:tcPr>
          <w:p>
            <w:pPr>
              <w:adjustRightInd w:val="0"/>
              <w:snapToGrid w:val="0"/>
              <w:jc w:val="center"/>
              <w:rPr>
                <w:rFonts w:ascii="宋体" w:hAnsi="宋体"/>
                <w:szCs w:val="21"/>
              </w:rPr>
            </w:pPr>
          </w:p>
        </w:tc>
        <w:tc>
          <w:tcPr>
            <w:tcW w:w="947" w:type="dxa"/>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adjustRightInd w:val="0"/>
              <w:snapToGrid w:val="0"/>
              <w:jc w:val="center"/>
              <w:rPr>
                <w:rFonts w:ascii="宋体" w:hAnsi="宋体"/>
                <w:szCs w:val="21"/>
              </w:rPr>
            </w:pPr>
            <w:r>
              <w:rPr>
                <w:rFonts w:hint="eastAsia" w:ascii="宋体" w:hAnsi="宋体"/>
                <w:szCs w:val="21"/>
              </w:rPr>
              <w:t>2</w:t>
            </w:r>
          </w:p>
        </w:tc>
        <w:tc>
          <w:tcPr>
            <w:tcW w:w="3720"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6" w:type="dxa"/>
            <w:vAlign w:val="center"/>
          </w:tcPr>
          <w:p>
            <w:pPr>
              <w:adjustRightInd w:val="0"/>
              <w:snapToGrid w:val="0"/>
              <w:jc w:val="center"/>
              <w:rPr>
                <w:rFonts w:ascii="宋体" w:hAnsi="宋体"/>
                <w:szCs w:val="21"/>
              </w:rPr>
            </w:pPr>
          </w:p>
        </w:tc>
        <w:tc>
          <w:tcPr>
            <w:tcW w:w="947" w:type="dxa"/>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adjustRightInd w:val="0"/>
              <w:snapToGrid w:val="0"/>
              <w:jc w:val="center"/>
              <w:rPr>
                <w:rFonts w:ascii="宋体" w:hAnsi="宋体"/>
                <w:szCs w:val="21"/>
              </w:rPr>
            </w:pPr>
            <w:r>
              <w:rPr>
                <w:rFonts w:hint="eastAsia" w:ascii="宋体" w:hAnsi="宋体"/>
                <w:szCs w:val="21"/>
              </w:rPr>
              <w:t>3</w:t>
            </w:r>
          </w:p>
        </w:tc>
        <w:tc>
          <w:tcPr>
            <w:tcW w:w="3720"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6" w:type="dxa"/>
            <w:vAlign w:val="center"/>
          </w:tcPr>
          <w:p>
            <w:pPr>
              <w:adjustRightInd w:val="0"/>
              <w:snapToGrid w:val="0"/>
              <w:jc w:val="center"/>
              <w:rPr>
                <w:rFonts w:ascii="宋体" w:hAnsi="宋体"/>
                <w:szCs w:val="21"/>
              </w:rPr>
            </w:pPr>
          </w:p>
        </w:tc>
        <w:tc>
          <w:tcPr>
            <w:tcW w:w="947" w:type="dxa"/>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adjustRightInd w:val="0"/>
              <w:snapToGrid w:val="0"/>
              <w:jc w:val="center"/>
              <w:rPr>
                <w:rFonts w:ascii="宋体" w:hAnsi="宋体"/>
                <w:szCs w:val="21"/>
              </w:rPr>
            </w:pPr>
            <w:r>
              <w:rPr>
                <w:rFonts w:hint="eastAsia" w:ascii="宋体" w:hAnsi="宋体"/>
                <w:szCs w:val="21"/>
              </w:rPr>
              <w:t>4</w:t>
            </w:r>
          </w:p>
        </w:tc>
        <w:tc>
          <w:tcPr>
            <w:tcW w:w="3720"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6" w:type="dxa"/>
            <w:vAlign w:val="center"/>
          </w:tcPr>
          <w:p>
            <w:pPr>
              <w:adjustRightInd w:val="0"/>
              <w:snapToGrid w:val="0"/>
              <w:jc w:val="center"/>
              <w:rPr>
                <w:rFonts w:ascii="宋体" w:hAnsi="宋体"/>
                <w:szCs w:val="21"/>
              </w:rPr>
            </w:pPr>
          </w:p>
        </w:tc>
        <w:tc>
          <w:tcPr>
            <w:tcW w:w="947" w:type="dxa"/>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adjustRightInd w:val="0"/>
              <w:snapToGrid w:val="0"/>
              <w:jc w:val="center"/>
              <w:rPr>
                <w:rFonts w:ascii="宋体" w:hAnsi="宋体"/>
                <w:szCs w:val="21"/>
              </w:rPr>
            </w:pPr>
            <w:r>
              <w:rPr>
                <w:rFonts w:hint="eastAsia" w:ascii="宋体" w:hAnsi="宋体"/>
                <w:szCs w:val="21"/>
              </w:rPr>
              <w:t>5</w:t>
            </w:r>
          </w:p>
        </w:tc>
        <w:tc>
          <w:tcPr>
            <w:tcW w:w="3720"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6" w:type="dxa"/>
            <w:vAlign w:val="center"/>
          </w:tcPr>
          <w:p>
            <w:pPr>
              <w:adjustRightInd w:val="0"/>
              <w:snapToGrid w:val="0"/>
              <w:jc w:val="center"/>
              <w:rPr>
                <w:rFonts w:ascii="宋体" w:hAnsi="宋体"/>
                <w:szCs w:val="21"/>
              </w:rPr>
            </w:pPr>
          </w:p>
        </w:tc>
        <w:tc>
          <w:tcPr>
            <w:tcW w:w="947" w:type="dxa"/>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adjustRightInd w:val="0"/>
              <w:snapToGrid w:val="0"/>
              <w:jc w:val="center"/>
              <w:rPr>
                <w:rFonts w:ascii="宋体" w:hAnsi="宋体"/>
                <w:szCs w:val="21"/>
              </w:rPr>
            </w:pPr>
            <w:r>
              <w:rPr>
                <w:rFonts w:hint="eastAsia" w:ascii="宋体" w:hAnsi="宋体"/>
                <w:szCs w:val="21"/>
              </w:rPr>
              <w:t>6</w:t>
            </w:r>
          </w:p>
        </w:tc>
        <w:tc>
          <w:tcPr>
            <w:tcW w:w="3720"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6" w:type="dxa"/>
            <w:vAlign w:val="center"/>
          </w:tcPr>
          <w:p>
            <w:pPr>
              <w:adjustRightInd w:val="0"/>
              <w:snapToGrid w:val="0"/>
              <w:jc w:val="center"/>
              <w:rPr>
                <w:rFonts w:ascii="宋体" w:hAnsi="宋体"/>
                <w:szCs w:val="21"/>
              </w:rPr>
            </w:pPr>
          </w:p>
        </w:tc>
        <w:tc>
          <w:tcPr>
            <w:tcW w:w="947" w:type="dxa"/>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adjustRightInd w:val="0"/>
              <w:snapToGrid w:val="0"/>
              <w:jc w:val="center"/>
              <w:rPr>
                <w:rFonts w:ascii="宋体" w:hAnsi="宋体"/>
                <w:szCs w:val="21"/>
              </w:rPr>
            </w:pPr>
            <w:r>
              <w:rPr>
                <w:rFonts w:hint="eastAsia" w:ascii="宋体" w:hAnsi="宋体"/>
                <w:szCs w:val="21"/>
              </w:rPr>
              <w:t>7</w:t>
            </w:r>
          </w:p>
        </w:tc>
        <w:tc>
          <w:tcPr>
            <w:tcW w:w="3720"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6" w:type="dxa"/>
            <w:vAlign w:val="center"/>
          </w:tcPr>
          <w:p>
            <w:pPr>
              <w:adjustRightInd w:val="0"/>
              <w:snapToGrid w:val="0"/>
              <w:jc w:val="center"/>
              <w:rPr>
                <w:rFonts w:ascii="宋体" w:hAnsi="宋体"/>
                <w:szCs w:val="21"/>
              </w:rPr>
            </w:pPr>
          </w:p>
        </w:tc>
        <w:tc>
          <w:tcPr>
            <w:tcW w:w="947" w:type="dxa"/>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adjustRightInd w:val="0"/>
              <w:snapToGrid w:val="0"/>
              <w:jc w:val="center"/>
              <w:rPr>
                <w:rFonts w:ascii="宋体" w:hAnsi="宋体"/>
                <w:szCs w:val="21"/>
              </w:rPr>
            </w:pPr>
            <w:r>
              <w:rPr>
                <w:rFonts w:hint="eastAsia" w:ascii="宋体" w:hAnsi="宋体"/>
                <w:szCs w:val="21"/>
              </w:rPr>
              <w:t>8</w:t>
            </w:r>
          </w:p>
        </w:tc>
        <w:tc>
          <w:tcPr>
            <w:tcW w:w="3720"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6" w:type="dxa"/>
            <w:vAlign w:val="center"/>
          </w:tcPr>
          <w:p>
            <w:pPr>
              <w:adjustRightInd w:val="0"/>
              <w:snapToGrid w:val="0"/>
              <w:jc w:val="center"/>
              <w:rPr>
                <w:rFonts w:ascii="宋体" w:hAnsi="宋体"/>
                <w:szCs w:val="21"/>
              </w:rPr>
            </w:pPr>
          </w:p>
        </w:tc>
        <w:tc>
          <w:tcPr>
            <w:tcW w:w="947" w:type="dxa"/>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adjustRightInd w:val="0"/>
              <w:snapToGrid w:val="0"/>
              <w:jc w:val="center"/>
              <w:rPr>
                <w:rFonts w:ascii="宋体" w:hAnsi="宋体"/>
                <w:szCs w:val="21"/>
              </w:rPr>
            </w:pPr>
            <w:r>
              <w:rPr>
                <w:rFonts w:hint="eastAsia" w:ascii="宋体" w:hAnsi="宋体"/>
                <w:szCs w:val="21"/>
              </w:rPr>
              <w:t>9</w:t>
            </w:r>
          </w:p>
        </w:tc>
        <w:tc>
          <w:tcPr>
            <w:tcW w:w="3720"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6" w:type="dxa"/>
            <w:vAlign w:val="center"/>
          </w:tcPr>
          <w:p>
            <w:pPr>
              <w:adjustRightInd w:val="0"/>
              <w:snapToGrid w:val="0"/>
              <w:jc w:val="center"/>
              <w:rPr>
                <w:rFonts w:ascii="宋体" w:hAnsi="宋体"/>
                <w:szCs w:val="21"/>
              </w:rPr>
            </w:pPr>
          </w:p>
        </w:tc>
        <w:tc>
          <w:tcPr>
            <w:tcW w:w="947" w:type="dxa"/>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adjustRightInd w:val="0"/>
              <w:snapToGrid w:val="0"/>
              <w:jc w:val="center"/>
              <w:rPr>
                <w:rFonts w:ascii="宋体" w:hAnsi="宋体"/>
                <w:szCs w:val="21"/>
              </w:rPr>
            </w:pPr>
            <w:r>
              <w:rPr>
                <w:rFonts w:hint="eastAsia" w:ascii="宋体" w:hAnsi="宋体"/>
                <w:szCs w:val="21"/>
              </w:rPr>
              <w:t>10</w:t>
            </w:r>
          </w:p>
        </w:tc>
        <w:tc>
          <w:tcPr>
            <w:tcW w:w="3720"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6" w:type="dxa"/>
            <w:vAlign w:val="center"/>
          </w:tcPr>
          <w:p>
            <w:pPr>
              <w:adjustRightInd w:val="0"/>
              <w:snapToGrid w:val="0"/>
              <w:jc w:val="center"/>
              <w:rPr>
                <w:rFonts w:ascii="宋体" w:hAnsi="宋体"/>
                <w:szCs w:val="21"/>
              </w:rPr>
            </w:pPr>
          </w:p>
        </w:tc>
        <w:tc>
          <w:tcPr>
            <w:tcW w:w="947" w:type="dxa"/>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adjustRightInd w:val="0"/>
              <w:snapToGrid w:val="0"/>
              <w:jc w:val="center"/>
              <w:rPr>
                <w:rFonts w:ascii="宋体" w:hAnsi="宋体"/>
                <w:szCs w:val="21"/>
              </w:rPr>
            </w:pPr>
            <w:r>
              <w:rPr>
                <w:rFonts w:hint="eastAsia" w:ascii="宋体" w:hAnsi="宋体"/>
                <w:szCs w:val="21"/>
              </w:rPr>
              <w:t>……</w:t>
            </w:r>
          </w:p>
        </w:tc>
        <w:tc>
          <w:tcPr>
            <w:tcW w:w="3720" w:type="dxa"/>
            <w:vAlign w:val="center"/>
          </w:tcPr>
          <w:p>
            <w:pPr>
              <w:adjustRightInd w:val="0"/>
              <w:snapToGrid w:val="0"/>
              <w:jc w:val="center"/>
              <w:rPr>
                <w:rFonts w:ascii="宋体" w:hAnsi="宋体"/>
                <w:szCs w:val="21"/>
              </w:rPr>
            </w:pPr>
            <w:r>
              <w:rPr>
                <w:rFonts w:hint="eastAsia" w:ascii="宋体" w:hAnsi="宋体"/>
                <w:szCs w:val="21"/>
              </w:rPr>
              <w:t>……</w:t>
            </w:r>
          </w:p>
        </w:tc>
        <w:tc>
          <w:tcPr>
            <w:tcW w:w="1065"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6" w:type="dxa"/>
            <w:vAlign w:val="center"/>
          </w:tcPr>
          <w:p>
            <w:pPr>
              <w:adjustRightInd w:val="0"/>
              <w:snapToGrid w:val="0"/>
              <w:jc w:val="center"/>
              <w:rPr>
                <w:rFonts w:ascii="宋体" w:hAnsi="宋体"/>
                <w:szCs w:val="21"/>
              </w:rPr>
            </w:pPr>
          </w:p>
        </w:tc>
        <w:tc>
          <w:tcPr>
            <w:tcW w:w="947" w:type="dxa"/>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15" w:type="dxa"/>
            <w:gridSpan w:val="4"/>
            <w:vAlign w:val="center"/>
          </w:tcPr>
          <w:p>
            <w:pPr>
              <w:adjustRightInd w:val="0"/>
              <w:snapToGrid w:val="0"/>
              <w:jc w:val="center"/>
              <w:rPr>
                <w:rFonts w:ascii="宋体" w:hAnsi="宋体"/>
                <w:szCs w:val="21"/>
              </w:rPr>
            </w:pPr>
            <w:r>
              <w:rPr>
                <w:rFonts w:hint="eastAsia" w:ascii="宋体" w:hAnsi="宋体"/>
                <w:szCs w:val="21"/>
              </w:rPr>
              <w:t>总计</w:t>
            </w:r>
          </w:p>
        </w:tc>
        <w:tc>
          <w:tcPr>
            <w:tcW w:w="2013" w:type="dxa"/>
            <w:gridSpan w:val="2"/>
            <w:vAlign w:val="center"/>
          </w:tcPr>
          <w:p>
            <w:pPr>
              <w:adjustRightInd w:val="0"/>
              <w:snapToGrid w:val="0"/>
              <w:jc w:val="center"/>
              <w:rPr>
                <w:rFonts w:ascii="宋体" w:hAnsi="宋体"/>
                <w:szCs w:val="21"/>
              </w:rPr>
            </w:pPr>
          </w:p>
        </w:tc>
      </w:tr>
    </w:tbl>
    <w:p>
      <w:pPr>
        <w:spacing w:line="300" w:lineRule="auto"/>
        <w:rPr>
          <w:rFonts w:ascii="Arial" w:hAnsi="Arial" w:cs="Arial"/>
          <w:szCs w:val="21"/>
        </w:rPr>
      </w:pPr>
    </w:p>
    <w:p>
      <w:pPr>
        <w:spacing w:line="300" w:lineRule="auto"/>
        <w:rPr>
          <w:rFonts w:ascii="Arial" w:hAnsi="Arial" w:cs="Arial"/>
          <w:szCs w:val="21"/>
        </w:rPr>
      </w:pPr>
    </w:p>
    <w:p>
      <w:pPr>
        <w:spacing w:line="300" w:lineRule="auto"/>
        <w:rPr>
          <w:rFonts w:ascii="Arial" w:hAnsi="Arial" w:cs="Arial"/>
          <w:szCs w:val="21"/>
        </w:rPr>
      </w:pPr>
      <w:r>
        <w:rPr>
          <w:rFonts w:ascii="Arial" w:hAnsi="Arial" w:cs="Arial"/>
          <w:szCs w:val="21"/>
        </w:rPr>
        <w:t>供应商名称[盖章]：</w:t>
      </w:r>
      <w:r>
        <w:rPr>
          <w:rFonts w:ascii="Arial" w:hAnsi="Arial" w:cs="Arial"/>
          <w:szCs w:val="21"/>
          <w:u w:val="single"/>
        </w:rPr>
        <w:t xml:space="preserve">                              </w:t>
      </w:r>
      <w:r>
        <w:rPr>
          <w:rFonts w:ascii="Arial" w:hAnsi="Arial" w:cs="Arial"/>
          <w:szCs w:val="21"/>
        </w:rPr>
        <w:t xml:space="preserve"> </w:t>
      </w:r>
    </w:p>
    <w:p>
      <w:pPr>
        <w:spacing w:line="300" w:lineRule="auto"/>
        <w:rPr>
          <w:rFonts w:ascii="Arial" w:hAnsi="Arial" w:cs="Arial"/>
          <w:szCs w:val="21"/>
          <w:u w:val="single"/>
        </w:rPr>
      </w:pPr>
      <w:r>
        <w:rPr>
          <w:rFonts w:ascii="Arial" w:hAnsi="Arial" w:cs="Arial"/>
          <w:szCs w:val="21"/>
        </w:rPr>
        <w:t>供应商授权代表签字：</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 xml:space="preserve">      日期：</w:t>
      </w:r>
      <w:r>
        <w:rPr>
          <w:rFonts w:ascii="Arial" w:hAnsi="Arial" w:cs="Arial"/>
          <w:szCs w:val="21"/>
          <w:u w:val="single"/>
        </w:rPr>
        <w:t xml:space="preserve">                   </w:t>
      </w:r>
    </w:p>
    <w:p/>
    <w:p/>
    <w:p>
      <w:pPr>
        <w:adjustRightInd w:val="0"/>
        <w:snapToGrid w:val="0"/>
        <w:rPr>
          <w:rFonts w:ascii="宋体" w:hAnsi="宋体"/>
          <w:szCs w:val="21"/>
        </w:rPr>
      </w:pPr>
      <w:r>
        <w:rPr>
          <w:rFonts w:hint="eastAsia" w:ascii="宋体" w:hAnsi="宋体"/>
          <w:szCs w:val="21"/>
        </w:rPr>
        <w:t>说明：</w:t>
      </w:r>
    </w:p>
    <w:p>
      <w:pPr>
        <w:numPr>
          <w:ilvl w:val="0"/>
          <w:numId w:val="5"/>
        </w:numPr>
        <w:adjustRightInd w:val="0"/>
        <w:snapToGrid w:val="0"/>
        <w:rPr>
          <w:rFonts w:ascii="宋体" w:hAnsi="宋体"/>
          <w:szCs w:val="21"/>
        </w:rPr>
      </w:pPr>
      <w:r>
        <w:rPr>
          <w:rFonts w:ascii="宋体" w:hAnsi="宋体"/>
          <w:szCs w:val="21"/>
        </w:rPr>
        <w:t>所有价格</w:t>
      </w:r>
      <w:r>
        <w:rPr>
          <w:rFonts w:hint="eastAsia" w:ascii="宋体" w:hAnsi="宋体"/>
          <w:szCs w:val="21"/>
        </w:rPr>
        <w:t>按照“供应商须知”要求执行，</w:t>
      </w:r>
      <w:r>
        <w:rPr>
          <w:rFonts w:ascii="宋体" w:hAnsi="宋体"/>
          <w:szCs w:val="21"/>
        </w:rPr>
        <w:t>精确到个数位。</w:t>
      </w:r>
    </w:p>
    <w:p>
      <w:pPr>
        <w:numPr>
          <w:ilvl w:val="0"/>
          <w:numId w:val="5"/>
        </w:numPr>
        <w:adjustRightInd w:val="0"/>
        <w:snapToGrid w:val="0"/>
        <w:rPr>
          <w:rFonts w:ascii="宋体" w:hAnsi="宋体"/>
          <w:szCs w:val="21"/>
        </w:rPr>
      </w:pPr>
      <w:r>
        <w:rPr>
          <w:rFonts w:hint="eastAsia" w:ascii="宋体" w:hAnsi="宋体"/>
          <w:szCs w:val="21"/>
        </w:rPr>
        <w:t>分项报价总计价格必须与《报价一览表》报价一致。</w:t>
      </w:r>
    </w:p>
    <w:p>
      <w:pPr>
        <w:adjustRightInd w:val="0"/>
        <w:snapToGrid w:val="0"/>
        <w:rPr>
          <w:rFonts w:ascii="宋体" w:hAnsi="宋体"/>
          <w:b/>
          <w:szCs w:val="21"/>
        </w:rPr>
      </w:pPr>
    </w:p>
    <w:p>
      <w:pPr>
        <w:spacing w:line="360" w:lineRule="auto"/>
        <w:ind w:firstLine="3120" w:firstLineChars="1300"/>
        <w:rPr>
          <w:rFonts w:ascii="宋体" w:hAnsi="宋体"/>
          <w:sz w:val="24"/>
        </w:rPr>
      </w:pPr>
    </w:p>
    <w:p>
      <w:pPr>
        <w:spacing w:line="360" w:lineRule="auto"/>
        <w:ind w:firstLine="480" w:firstLineChars="200"/>
        <w:rPr>
          <w:rFonts w:ascii="宋体" w:hAnsi="宋体" w:cs="仿宋_GB2312"/>
          <w:sz w:val="24"/>
        </w:rPr>
      </w:pPr>
    </w:p>
    <w:p>
      <w:pPr>
        <w:spacing w:line="300" w:lineRule="auto"/>
        <w:rPr>
          <w:rFonts w:ascii="宋体" w:hAnsi="宋体" w:cs="Arial"/>
          <w:kern w:val="0"/>
          <w:sz w:val="20"/>
          <w:szCs w:val="21"/>
        </w:rPr>
        <w:sectPr>
          <w:pgSz w:w="11905" w:h="16838"/>
          <w:pgMar w:top="1440" w:right="1797" w:bottom="1440" w:left="1797" w:header="850" w:footer="850" w:gutter="0"/>
          <w:pgBorders>
            <w:top w:val="none" w:sz="0" w:space="0"/>
            <w:left w:val="none" w:sz="0" w:space="0"/>
            <w:bottom w:val="none" w:sz="0" w:space="0"/>
            <w:right w:val="none" w:sz="0" w:space="0"/>
          </w:pgBorders>
          <w:cols w:space="720" w:num="1"/>
        </w:sectPr>
      </w:pPr>
    </w:p>
    <w:p>
      <w:pPr>
        <w:pStyle w:val="4"/>
        <w:spacing w:before="0" w:after="0" w:line="360" w:lineRule="auto"/>
        <w:jc w:val="center"/>
        <w:rPr>
          <w:rFonts w:ascii="宋体" w:hAnsi="宋体" w:eastAsia="宋体" w:cs="Arial"/>
          <w:b/>
        </w:rPr>
      </w:pPr>
      <w:bookmarkStart w:id="548" w:name="_Toc56708580"/>
      <w:bookmarkStart w:id="549" w:name="_Toc432367432"/>
      <w:bookmarkStart w:id="550" w:name="_Toc11544"/>
      <w:bookmarkStart w:id="551" w:name="_Toc430813355"/>
      <w:r>
        <w:rPr>
          <w:rFonts w:hint="eastAsia" w:ascii="宋体" w:hAnsi="宋体" w:eastAsia="宋体" w:cs="Arial"/>
          <w:b/>
        </w:rPr>
        <w:t>三、商务</w:t>
      </w:r>
      <w:r>
        <w:rPr>
          <w:rFonts w:ascii="宋体" w:hAnsi="宋体" w:eastAsia="宋体" w:cs="Arial"/>
          <w:b/>
        </w:rPr>
        <w:t>文件</w:t>
      </w:r>
      <w:bookmarkEnd w:id="548"/>
      <w:bookmarkEnd w:id="549"/>
      <w:bookmarkEnd w:id="550"/>
      <w:bookmarkEnd w:id="551"/>
    </w:p>
    <w:p>
      <w:pPr>
        <w:keepNext/>
        <w:keepLines/>
        <w:spacing w:line="360" w:lineRule="auto"/>
        <w:ind w:left="3747" w:hanging="3747" w:hangingChars="1333"/>
        <w:jc w:val="center"/>
        <w:outlineLvl w:val="1"/>
        <w:rPr>
          <w:rFonts w:ascii="宋体" w:hAnsi="宋体" w:cs="仿宋_GB2312"/>
          <w:b/>
          <w:sz w:val="28"/>
          <w:szCs w:val="28"/>
        </w:rPr>
      </w:pPr>
      <w:bookmarkStart w:id="552" w:name="_Toc56708581"/>
      <w:bookmarkStart w:id="553" w:name="_Toc430813356"/>
      <w:bookmarkStart w:id="554" w:name="_Toc18187"/>
      <w:bookmarkStart w:id="555" w:name="_Toc432367433"/>
      <w:r>
        <w:rPr>
          <w:rFonts w:hint="eastAsia" w:ascii="宋体" w:hAnsi="宋体" w:cs="仿宋_GB2312"/>
          <w:b/>
          <w:sz w:val="28"/>
          <w:szCs w:val="28"/>
        </w:rPr>
        <w:t>（一）供应商基本情况表</w:t>
      </w:r>
      <w:bookmarkEnd w:id="552"/>
      <w:bookmarkEnd w:id="553"/>
      <w:bookmarkEnd w:id="554"/>
      <w:bookmarkEnd w:id="555"/>
    </w:p>
    <w:p>
      <w:pPr>
        <w:spacing w:line="360" w:lineRule="auto"/>
        <w:rPr>
          <w:rFonts w:ascii="宋体" w:hAnsi="宋体" w:cs="仿宋_GB2312"/>
          <w:sz w:val="24"/>
        </w:rPr>
      </w:pPr>
      <w:r>
        <w:rPr>
          <w:rFonts w:hint="eastAsia" w:ascii="宋体" w:hAnsi="宋体" w:cs="仿宋_GB2312"/>
          <w:sz w:val="24"/>
        </w:rPr>
        <w:t xml:space="preserve">项目名称：             </w:t>
      </w:r>
    </w:p>
    <w:p>
      <w:pPr>
        <w:spacing w:line="360" w:lineRule="auto"/>
        <w:rPr>
          <w:rFonts w:ascii="宋体" w:hAnsi="宋体" w:cs="仿宋_GB2312"/>
          <w:sz w:val="24"/>
        </w:rPr>
      </w:pPr>
      <w:r>
        <w:rPr>
          <w:rFonts w:hint="eastAsia" w:ascii="宋体" w:hAnsi="宋体" w:cs="仿宋_GB2312"/>
          <w:sz w:val="24"/>
        </w:rPr>
        <w:t xml:space="preserve">项目编号：                         </w:t>
      </w:r>
    </w:p>
    <w:tbl>
      <w:tblPr>
        <w:tblStyle w:val="5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2"/>
        <w:gridCol w:w="1840"/>
        <w:gridCol w:w="1052"/>
        <w:gridCol w:w="1061"/>
        <w:gridCol w:w="133"/>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5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kern w:val="0"/>
                <w:sz w:val="24"/>
              </w:rPr>
            </w:pPr>
            <w:r>
              <w:rPr>
                <w:rFonts w:hint="eastAsia" w:ascii="宋体" w:hAnsi="宋体" w:cs="仿宋_GB2312"/>
                <w:sz w:val="24"/>
              </w:rPr>
              <w:t>供应商名称</w:t>
            </w:r>
          </w:p>
        </w:tc>
        <w:tc>
          <w:tcPr>
            <w:tcW w:w="3743"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5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注册地址</w:t>
            </w:r>
          </w:p>
        </w:tc>
        <w:tc>
          <w:tcPr>
            <w:tcW w:w="169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p>
        </w:tc>
        <w:tc>
          <w:tcPr>
            <w:tcW w:w="700"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邮政编码</w:t>
            </w:r>
          </w:p>
        </w:tc>
        <w:tc>
          <w:tcPr>
            <w:tcW w:w="134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5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企业资质</w:t>
            </w:r>
          </w:p>
        </w:tc>
        <w:tc>
          <w:tcPr>
            <w:tcW w:w="3743" w:type="pct"/>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 w:val="24"/>
              </w:rPr>
            </w:pPr>
            <w:r>
              <w:rPr>
                <w:rFonts w:hint="eastAsia" w:ascii="宋体" w:hAnsi="宋体" w:cs="仿宋_GB2312"/>
                <w:sz w:val="24"/>
              </w:rPr>
              <w:t>1.等级：　　　2.证书号：　　 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1257" w:type="pct"/>
            <w:tcBorders>
              <w:top w:val="single" w:color="auto" w:sz="4" w:space="0"/>
              <w:left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营业执照注册号</w:t>
            </w:r>
          </w:p>
        </w:tc>
        <w:tc>
          <w:tcPr>
            <w:tcW w:w="1079" w:type="pct"/>
            <w:tcBorders>
              <w:top w:val="single" w:color="auto" w:sz="4" w:space="0"/>
              <w:left w:val="single" w:color="auto" w:sz="4" w:space="0"/>
              <w:right w:val="single" w:color="auto" w:sz="4" w:space="0"/>
            </w:tcBorders>
            <w:vAlign w:val="center"/>
          </w:tcPr>
          <w:p>
            <w:pPr>
              <w:jc w:val="center"/>
              <w:rPr>
                <w:rFonts w:ascii="宋体" w:hAnsi="宋体" w:cs="仿宋_GB2312"/>
                <w:sz w:val="24"/>
              </w:rPr>
            </w:pPr>
          </w:p>
        </w:tc>
        <w:tc>
          <w:tcPr>
            <w:tcW w:w="1239" w:type="pct"/>
            <w:gridSpan w:val="2"/>
            <w:tcBorders>
              <w:top w:val="single" w:color="auto" w:sz="4" w:space="0"/>
              <w:left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现有员工总人数</w:t>
            </w:r>
          </w:p>
        </w:tc>
        <w:tc>
          <w:tcPr>
            <w:tcW w:w="1425" w:type="pct"/>
            <w:gridSpan w:val="2"/>
            <w:tcBorders>
              <w:top w:val="single" w:color="auto" w:sz="4" w:space="0"/>
              <w:left w:val="single" w:color="auto" w:sz="4" w:space="0"/>
              <w:right w:val="single" w:color="auto" w:sz="4" w:space="0"/>
            </w:tcBorders>
            <w:vAlign w:val="center"/>
          </w:tcPr>
          <w:p>
            <w:pP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1257" w:type="pct"/>
            <w:tcBorders>
              <w:top w:val="single" w:color="auto" w:sz="4" w:space="0"/>
              <w:left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注册资本金</w:t>
            </w:r>
          </w:p>
        </w:tc>
        <w:tc>
          <w:tcPr>
            <w:tcW w:w="1079" w:type="pct"/>
            <w:tcBorders>
              <w:top w:val="single" w:color="auto" w:sz="4" w:space="0"/>
              <w:left w:val="single" w:color="auto" w:sz="4" w:space="0"/>
              <w:right w:val="single" w:color="auto" w:sz="4" w:space="0"/>
            </w:tcBorders>
            <w:vAlign w:val="center"/>
          </w:tcPr>
          <w:p>
            <w:pPr>
              <w:jc w:val="center"/>
              <w:rPr>
                <w:rFonts w:ascii="宋体" w:hAnsi="宋体" w:cs="仿宋_GB2312"/>
                <w:sz w:val="24"/>
              </w:rPr>
            </w:pPr>
          </w:p>
        </w:tc>
        <w:tc>
          <w:tcPr>
            <w:tcW w:w="1239" w:type="pct"/>
            <w:gridSpan w:val="2"/>
            <w:tcBorders>
              <w:top w:val="single" w:color="auto" w:sz="4" w:space="0"/>
              <w:left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高级职称人员</w:t>
            </w:r>
          </w:p>
        </w:tc>
        <w:tc>
          <w:tcPr>
            <w:tcW w:w="1425" w:type="pct"/>
            <w:gridSpan w:val="2"/>
            <w:tcBorders>
              <w:top w:val="single" w:color="auto" w:sz="4" w:space="0"/>
              <w:left w:val="single" w:color="auto" w:sz="4" w:space="0"/>
              <w:right w:val="single" w:color="auto" w:sz="4" w:space="0"/>
            </w:tcBorders>
            <w:vAlign w:val="center"/>
          </w:tcPr>
          <w:p>
            <w:pP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1257" w:type="pct"/>
            <w:tcBorders>
              <w:top w:val="single" w:color="auto" w:sz="4" w:space="0"/>
              <w:left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成立时间</w:t>
            </w:r>
          </w:p>
        </w:tc>
        <w:tc>
          <w:tcPr>
            <w:tcW w:w="1079" w:type="pct"/>
            <w:tcBorders>
              <w:top w:val="single" w:color="auto" w:sz="4" w:space="0"/>
              <w:left w:val="single" w:color="auto" w:sz="4" w:space="0"/>
              <w:right w:val="single" w:color="auto" w:sz="4" w:space="0"/>
            </w:tcBorders>
            <w:vAlign w:val="center"/>
          </w:tcPr>
          <w:p>
            <w:pPr>
              <w:jc w:val="center"/>
              <w:rPr>
                <w:rFonts w:ascii="宋体" w:hAnsi="宋体" w:cs="仿宋_GB2312"/>
                <w:sz w:val="24"/>
              </w:rPr>
            </w:pPr>
          </w:p>
        </w:tc>
        <w:tc>
          <w:tcPr>
            <w:tcW w:w="1239" w:type="pct"/>
            <w:gridSpan w:val="2"/>
            <w:tcBorders>
              <w:top w:val="single" w:color="auto" w:sz="4" w:space="0"/>
              <w:left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中级职称人员</w:t>
            </w:r>
          </w:p>
        </w:tc>
        <w:tc>
          <w:tcPr>
            <w:tcW w:w="1425" w:type="pct"/>
            <w:gridSpan w:val="2"/>
            <w:tcBorders>
              <w:top w:val="single" w:color="auto" w:sz="4" w:space="0"/>
              <w:left w:val="single" w:color="auto" w:sz="4" w:space="0"/>
              <w:right w:val="single" w:color="auto" w:sz="4" w:space="0"/>
            </w:tcBorders>
            <w:vAlign w:val="center"/>
          </w:tcPr>
          <w:p>
            <w:pP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5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法定代表人</w:t>
            </w:r>
          </w:p>
        </w:tc>
        <w:tc>
          <w:tcPr>
            <w:tcW w:w="3743" w:type="pct"/>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 w:val="24"/>
              </w:rPr>
            </w:pPr>
            <w:r>
              <w:rPr>
                <w:rFonts w:hint="eastAsia" w:ascii="宋体" w:hAnsi="宋体" w:cs="仿宋_GB2312"/>
                <w:sz w:val="24"/>
              </w:rPr>
              <w:t>姓名：　　　职务：　　　职称：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5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技术负责人</w:t>
            </w:r>
          </w:p>
        </w:tc>
        <w:tc>
          <w:tcPr>
            <w:tcW w:w="3743" w:type="pct"/>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 w:val="24"/>
              </w:rPr>
            </w:pPr>
            <w:r>
              <w:rPr>
                <w:rFonts w:hint="eastAsia" w:ascii="宋体" w:hAnsi="宋体" w:cs="仿宋_GB2312"/>
                <w:sz w:val="24"/>
              </w:rPr>
              <w:t>姓名：　　　职务：　　　职称：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5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联系方式</w:t>
            </w:r>
          </w:p>
        </w:tc>
        <w:tc>
          <w:tcPr>
            <w:tcW w:w="3743" w:type="pct"/>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 w:val="24"/>
              </w:rPr>
            </w:pPr>
            <w:r>
              <w:rPr>
                <w:rFonts w:hint="eastAsia" w:ascii="宋体" w:hAnsi="宋体" w:cs="仿宋_GB2312"/>
                <w:sz w:val="24"/>
              </w:rPr>
              <w:t>联系人：                      电　话：</w:t>
            </w:r>
          </w:p>
          <w:p>
            <w:pPr>
              <w:rPr>
                <w:rFonts w:ascii="宋体" w:hAnsi="宋体" w:cs="仿宋_GB2312"/>
                <w:sz w:val="24"/>
              </w:rPr>
            </w:pPr>
            <w:r>
              <w:rPr>
                <w:rFonts w:hint="eastAsia" w:ascii="宋体" w:hAnsi="宋体" w:cs="仿宋_GB2312"/>
                <w:sz w:val="24"/>
              </w:rPr>
              <w:t>传　真：　　　　　　　　　　　网  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5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开户银行</w:t>
            </w:r>
          </w:p>
        </w:tc>
        <w:tc>
          <w:tcPr>
            <w:tcW w:w="3743" w:type="pct"/>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 w:val="24"/>
              </w:rPr>
            </w:pPr>
            <w:r>
              <w:rPr>
                <w:rFonts w:hint="eastAsia" w:ascii="宋体" w:hAnsi="宋体" w:cs="仿宋_GB2312"/>
                <w:sz w:val="24"/>
              </w:rPr>
              <w:t>名　称：　　　　　　　　　　　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5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资金情况</w:t>
            </w:r>
          </w:p>
        </w:tc>
        <w:tc>
          <w:tcPr>
            <w:tcW w:w="3743" w:type="pct"/>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 w:val="24"/>
              </w:rPr>
            </w:pPr>
            <w:r>
              <w:rPr>
                <w:rFonts w:hint="eastAsia" w:ascii="宋体" w:hAnsi="宋体" w:cs="仿宋_GB2312"/>
                <w:sz w:val="24"/>
              </w:rPr>
              <w:t xml:space="preserve">固定资产：（万元） </w:t>
            </w:r>
            <w:r>
              <w:rPr>
                <w:rFonts w:ascii="宋体" w:hAnsi="宋体" w:cs="仿宋_GB2312"/>
                <w:sz w:val="24"/>
              </w:rPr>
              <w:t xml:space="preserve">           </w:t>
            </w:r>
            <w:r>
              <w:rPr>
                <w:rFonts w:hint="eastAsia" w:ascii="宋体" w:hAnsi="宋体" w:cs="仿宋_GB2312"/>
                <w:sz w:val="24"/>
              </w:rPr>
              <w:t>流动资产：（万元）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5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经营范围</w:t>
            </w:r>
          </w:p>
        </w:tc>
        <w:tc>
          <w:tcPr>
            <w:tcW w:w="3743"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5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组织结构框图</w:t>
            </w:r>
          </w:p>
        </w:tc>
        <w:tc>
          <w:tcPr>
            <w:tcW w:w="3743"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p>
          <w:p>
            <w:pP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25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备注</w:t>
            </w:r>
          </w:p>
        </w:tc>
        <w:tc>
          <w:tcPr>
            <w:tcW w:w="3743"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p>
        </w:tc>
      </w:tr>
    </w:tbl>
    <w:p>
      <w:pPr>
        <w:spacing w:line="360" w:lineRule="auto"/>
        <w:ind w:firstLine="480" w:firstLineChars="200"/>
        <w:rPr>
          <w:rFonts w:ascii="宋体" w:hAnsi="宋体" w:cs="仿宋_GB2312"/>
          <w:sz w:val="24"/>
        </w:rPr>
      </w:pPr>
      <w:r>
        <w:rPr>
          <w:rFonts w:hint="eastAsia" w:ascii="宋体" w:hAnsi="宋体" w:cs="仿宋_GB2312"/>
          <w:sz w:val="24"/>
        </w:rPr>
        <w:t>说明：表后应附供应商营业执照复印件等资料，并加盖单位章。</w:t>
      </w:r>
    </w:p>
    <w:p>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pPr>
        <w:spacing w:line="360" w:lineRule="auto"/>
        <w:ind w:firstLine="480" w:firstLineChars="200"/>
        <w:rPr>
          <w:rFonts w:ascii="宋体" w:hAnsi="宋体" w:cs="仿宋_GB2312"/>
          <w:sz w:val="24"/>
        </w:rPr>
      </w:pPr>
      <w:r>
        <w:rPr>
          <w:rFonts w:hint="eastAsia" w:ascii="宋体" w:hAnsi="宋体" w:cs="仿宋_GB2312"/>
          <w:sz w:val="24"/>
        </w:rPr>
        <w:t>法定代表人或授权代表：</w:t>
      </w:r>
      <w:r>
        <w:rPr>
          <w:rFonts w:hint="eastAsia" w:ascii="宋体" w:hAnsi="宋体" w:cs="仿宋_GB2312"/>
          <w:sz w:val="24"/>
          <w:u w:val="single"/>
        </w:rPr>
        <w:t xml:space="preserve">          </w:t>
      </w:r>
      <w:r>
        <w:rPr>
          <w:rFonts w:hint="eastAsia" w:ascii="宋体" w:hAnsi="宋体" w:cs="仿宋_GB2312"/>
          <w:sz w:val="24"/>
        </w:rPr>
        <w:t>（签字）</w:t>
      </w:r>
    </w:p>
    <w:p>
      <w:pPr>
        <w:spacing w:line="360" w:lineRule="auto"/>
        <w:ind w:firstLine="480" w:firstLineChars="200"/>
        <w:rPr>
          <w:rFonts w:ascii="宋体" w:hAnsi="宋体" w:cs="仿宋_GB2312"/>
          <w:sz w:val="24"/>
        </w:rPr>
      </w:pPr>
      <w:r>
        <w:rPr>
          <w:rFonts w:hint="eastAsia" w:ascii="宋体" w:hAnsi="宋体" w:cs="仿宋_GB2312"/>
          <w:sz w:val="24"/>
        </w:rPr>
        <w:t>日      期：   年   月   日</w:t>
      </w:r>
    </w:p>
    <w:p>
      <w:pPr>
        <w:spacing w:line="360" w:lineRule="auto"/>
        <w:rPr>
          <w:rFonts w:ascii="宋体" w:hAnsi="宋体" w:cs="仿宋_GB2312"/>
          <w:sz w:val="24"/>
        </w:rPr>
      </w:pPr>
    </w:p>
    <w:p>
      <w:pPr>
        <w:keepNext/>
        <w:keepLines/>
        <w:spacing w:before="260" w:after="260" w:line="413" w:lineRule="auto"/>
        <w:outlineLvl w:val="1"/>
        <w:rPr>
          <w:rFonts w:ascii="宋体" w:hAnsi="宋体" w:cs="Arial"/>
          <w:b/>
          <w:sz w:val="32"/>
          <w:szCs w:val="32"/>
        </w:rPr>
        <w:sectPr>
          <w:type w:val="nextColumn"/>
          <w:pgSz w:w="11905" w:h="16838"/>
          <w:pgMar w:top="1440" w:right="1797" w:bottom="1440" w:left="1797" w:header="850" w:footer="850" w:gutter="0"/>
          <w:pgBorders>
            <w:top w:val="none" w:sz="0" w:space="0"/>
            <w:left w:val="none" w:sz="0" w:space="0"/>
            <w:bottom w:val="none" w:sz="0" w:space="0"/>
            <w:right w:val="none" w:sz="0" w:space="0"/>
          </w:pgBorders>
          <w:cols w:space="720" w:num="1"/>
        </w:sectPr>
      </w:pPr>
      <w:bookmarkStart w:id="556" w:name="_Toc430813357"/>
      <w:bookmarkStart w:id="557" w:name="_Toc432367434"/>
    </w:p>
    <w:p>
      <w:pPr>
        <w:keepNext/>
        <w:keepLines/>
        <w:snapToGrid w:val="0"/>
        <w:spacing w:before="120" w:after="120" w:line="360" w:lineRule="auto"/>
        <w:jc w:val="center"/>
        <w:outlineLvl w:val="1"/>
        <w:rPr>
          <w:rFonts w:ascii="宋体" w:hAnsi="宋体" w:cs="Arial"/>
          <w:b/>
          <w:sz w:val="28"/>
          <w:szCs w:val="28"/>
        </w:rPr>
      </w:pPr>
      <w:bookmarkStart w:id="558" w:name="_Toc3151881"/>
      <w:bookmarkStart w:id="559" w:name="_Toc101444793"/>
      <w:bookmarkStart w:id="560" w:name="_Toc104196136"/>
      <w:bookmarkStart w:id="561" w:name="_Toc31937"/>
      <w:bookmarkStart w:id="562" w:name="_Toc56708582"/>
      <w:r>
        <w:rPr>
          <w:rFonts w:hint="eastAsia" w:ascii="宋体" w:hAnsi="宋体" w:cs="Arial"/>
          <w:b/>
          <w:sz w:val="28"/>
          <w:szCs w:val="28"/>
        </w:rPr>
        <w:t>（二）关于资格条件的有关承诺</w:t>
      </w:r>
      <w:bookmarkEnd w:id="558"/>
      <w:bookmarkEnd w:id="559"/>
      <w:bookmarkEnd w:id="560"/>
      <w:r>
        <w:rPr>
          <w:rFonts w:hint="eastAsia" w:ascii="宋体" w:hAnsi="宋体" w:cs="Arial"/>
          <w:b/>
          <w:sz w:val="28"/>
          <w:szCs w:val="28"/>
        </w:rPr>
        <w:t>及声明</w:t>
      </w:r>
      <w:bookmarkEnd w:id="561"/>
    </w:p>
    <w:p>
      <w:pPr>
        <w:snapToGrid w:val="0"/>
        <w:spacing w:line="480" w:lineRule="auto"/>
        <w:ind w:firstLine="482" w:firstLineChars="200"/>
        <w:jc w:val="center"/>
        <w:rPr>
          <w:b/>
          <w:sz w:val="24"/>
          <w:szCs w:val="21"/>
          <w:highlight w:val="cyan"/>
        </w:rPr>
      </w:pPr>
    </w:p>
    <w:p>
      <w:pPr>
        <w:snapToGrid w:val="0"/>
        <w:spacing w:line="480" w:lineRule="auto"/>
        <w:ind w:firstLine="482" w:firstLineChars="200"/>
        <w:jc w:val="center"/>
        <w:rPr>
          <w:b/>
          <w:sz w:val="24"/>
        </w:rPr>
      </w:pPr>
      <w:r>
        <w:rPr>
          <w:rFonts w:hint="eastAsia"/>
          <w:b/>
          <w:sz w:val="24"/>
        </w:rPr>
        <w:t>（磋商供应商应根据本单位实际情况进行承诺和声明）</w:t>
      </w:r>
    </w:p>
    <w:p>
      <w:pPr>
        <w:snapToGrid w:val="0"/>
        <w:spacing w:line="480" w:lineRule="auto"/>
        <w:rPr>
          <w:kern w:val="0"/>
          <w:sz w:val="24"/>
        </w:rPr>
      </w:pPr>
    </w:p>
    <w:p>
      <w:pPr>
        <w:snapToGrid w:val="0"/>
        <w:spacing w:line="360" w:lineRule="auto"/>
        <w:rPr>
          <w:sz w:val="24"/>
        </w:rPr>
      </w:pPr>
      <w:r>
        <w:rPr>
          <w:rFonts w:hint="eastAsia"/>
          <w:kern w:val="0"/>
          <w:sz w:val="24"/>
        </w:rPr>
        <w:t>采购人和采购代理机构：</w:t>
      </w:r>
    </w:p>
    <w:p>
      <w:pPr>
        <w:snapToGrid w:val="0"/>
        <w:spacing w:line="360" w:lineRule="auto"/>
        <w:ind w:firstLine="480" w:firstLineChars="200"/>
        <w:rPr>
          <w:rFonts w:cs="Segoe UI"/>
          <w:color w:val="333333"/>
          <w:sz w:val="24"/>
        </w:rPr>
      </w:pPr>
      <w:r>
        <w:rPr>
          <w:rFonts w:hint="eastAsia"/>
          <w:kern w:val="0"/>
          <w:sz w:val="24"/>
        </w:rPr>
        <w:t>一、我方在此郑重承诺，我方</w:t>
      </w:r>
      <w:r>
        <w:rPr>
          <w:rFonts w:hint="eastAsia" w:cs="Segoe UI"/>
          <w:color w:val="333333"/>
          <w:sz w:val="24"/>
        </w:rPr>
        <w:t>满足《中华人民共和国政府采购法》第二十二条的以下规定且无纳税、社保等方面失信记录：</w:t>
      </w:r>
    </w:p>
    <w:p>
      <w:pPr>
        <w:pStyle w:val="50"/>
        <w:snapToGrid w:val="0"/>
        <w:spacing w:before="0" w:beforeAutospacing="0" w:after="0" w:afterAutospacing="0" w:line="360" w:lineRule="auto"/>
        <w:ind w:left="420" w:hanging="420"/>
        <w:jc w:val="both"/>
        <w:rPr>
          <w:rFonts w:cs="Segoe UI"/>
          <w:color w:val="333333"/>
        </w:rPr>
      </w:pPr>
      <w:r>
        <w:rPr>
          <w:rFonts w:hint="eastAsia" w:cs="Segoe UI"/>
          <w:color w:val="333333"/>
        </w:rPr>
        <w:t>1、具有良好的商业信誉和健全的财务会计制度；</w:t>
      </w:r>
      <w:r>
        <w:rPr>
          <w:rFonts w:cs="Segoe UI"/>
          <w:color w:val="333333"/>
        </w:rPr>
        <w:t xml:space="preserve"> </w:t>
      </w:r>
    </w:p>
    <w:p>
      <w:pPr>
        <w:pStyle w:val="50"/>
        <w:snapToGrid w:val="0"/>
        <w:spacing w:before="0" w:beforeAutospacing="0" w:after="0" w:afterAutospacing="0" w:line="360" w:lineRule="auto"/>
        <w:ind w:left="420" w:hanging="420"/>
        <w:jc w:val="both"/>
        <w:rPr>
          <w:rFonts w:cs="Segoe UI"/>
          <w:color w:val="333333"/>
        </w:rPr>
      </w:pPr>
      <w:r>
        <w:rPr>
          <w:rFonts w:cs="Segoe UI"/>
          <w:color w:val="333333"/>
        </w:rPr>
        <w:t>2</w:t>
      </w:r>
      <w:r>
        <w:rPr>
          <w:rFonts w:hint="eastAsia" w:cs="Segoe UI"/>
          <w:color w:val="333333"/>
        </w:rPr>
        <w:t>、具有履行合同所必需的设备和专业技术能力；</w:t>
      </w:r>
      <w:r>
        <w:rPr>
          <w:rFonts w:cs="Segoe UI"/>
          <w:color w:val="333333"/>
        </w:rPr>
        <w:t xml:space="preserve"> </w:t>
      </w:r>
    </w:p>
    <w:p>
      <w:pPr>
        <w:pStyle w:val="50"/>
        <w:snapToGrid w:val="0"/>
        <w:spacing w:before="0" w:beforeAutospacing="0" w:after="0" w:afterAutospacing="0" w:line="360" w:lineRule="auto"/>
        <w:ind w:left="420" w:hanging="420"/>
        <w:jc w:val="both"/>
        <w:rPr>
          <w:rFonts w:cs="Segoe UI"/>
          <w:color w:val="333333"/>
        </w:rPr>
      </w:pPr>
      <w:r>
        <w:rPr>
          <w:rFonts w:hint="eastAsia" w:cs="Segoe UI"/>
          <w:color w:val="333333"/>
        </w:rPr>
        <w:t>3、有依法缴纳税收和社会保障资金的良好记录；</w:t>
      </w:r>
      <w:r>
        <w:rPr>
          <w:rFonts w:cs="Segoe UI"/>
          <w:color w:val="333333"/>
        </w:rPr>
        <w:t xml:space="preserve"> </w:t>
      </w:r>
    </w:p>
    <w:p>
      <w:pPr>
        <w:pStyle w:val="50"/>
        <w:snapToGrid w:val="0"/>
        <w:spacing w:before="0" w:beforeAutospacing="0" w:after="0" w:afterAutospacing="0" w:line="360" w:lineRule="auto"/>
        <w:ind w:left="420" w:hanging="420"/>
        <w:jc w:val="both"/>
        <w:rPr>
          <w:rFonts w:cs="Segoe UI"/>
          <w:color w:val="333333"/>
        </w:rPr>
      </w:pPr>
      <w:r>
        <w:rPr>
          <w:rFonts w:cs="Segoe UI"/>
          <w:color w:val="333333"/>
        </w:rPr>
        <w:t>4</w:t>
      </w:r>
      <w:r>
        <w:rPr>
          <w:rFonts w:hint="eastAsia" w:cs="Segoe UI"/>
          <w:color w:val="333333"/>
        </w:rPr>
        <w:t>、参加政府采购活动前三年内，在经营活动中没有重大违法记录；</w:t>
      </w:r>
      <w:r>
        <w:rPr>
          <w:rFonts w:cs="Segoe UI"/>
          <w:color w:val="333333"/>
        </w:rPr>
        <w:t xml:space="preserve"> </w:t>
      </w:r>
    </w:p>
    <w:p>
      <w:pPr>
        <w:snapToGrid w:val="0"/>
        <w:spacing w:line="360" w:lineRule="auto"/>
        <w:rPr>
          <w:kern w:val="0"/>
          <w:sz w:val="24"/>
        </w:rPr>
      </w:pPr>
      <w:r>
        <w:rPr>
          <w:rFonts w:hint="eastAsia" w:cs="Segoe UI"/>
          <w:color w:val="333333"/>
          <w:sz w:val="24"/>
        </w:rPr>
        <w:t>5、法律、行政法规规定的其他条件。</w:t>
      </w:r>
    </w:p>
    <w:p>
      <w:pPr>
        <w:snapToGrid w:val="0"/>
        <w:spacing w:line="360" w:lineRule="auto"/>
        <w:ind w:firstLine="480" w:firstLineChars="200"/>
        <w:rPr>
          <w:sz w:val="24"/>
        </w:rPr>
      </w:pPr>
      <w:r>
        <w:rPr>
          <w:rFonts w:hint="eastAsia"/>
          <w:kern w:val="0"/>
          <w:sz w:val="24"/>
        </w:rPr>
        <w:t>二、我方在此声明，我方在参加本</w:t>
      </w:r>
      <w:r>
        <w:rPr>
          <w:rFonts w:hint="eastAsia"/>
          <w:kern w:val="0"/>
          <w:sz w:val="24"/>
          <w:shd w:val="clear" w:color="auto" w:fill="FFFFFF"/>
        </w:rPr>
        <w:t>次政府采购活动前三年内，在经营活动中没有以下重大违法记录：</w:t>
      </w:r>
    </w:p>
    <w:p>
      <w:pPr>
        <w:snapToGrid w:val="0"/>
        <w:spacing w:line="360" w:lineRule="auto"/>
        <w:ind w:firstLine="480" w:firstLineChars="200"/>
        <w:rPr>
          <w:sz w:val="24"/>
        </w:rPr>
      </w:pPr>
      <w:r>
        <w:rPr>
          <w:rFonts w:hint="eastAsia"/>
          <w:kern w:val="0"/>
          <w:sz w:val="24"/>
          <w:shd w:val="clear" w:color="auto" w:fill="FFFFFF"/>
        </w:rPr>
        <w:t>1、我方因违法经营被追究过刑事责任；</w:t>
      </w:r>
    </w:p>
    <w:p>
      <w:pPr>
        <w:snapToGrid w:val="0"/>
        <w:spacing w:line="360" w:lineRule="auto"/>
        <w:ind w:firstLine="480" w:firstLineChars="200"/>
        <w:rPr>
          <w:sz w:val="24"/>
        </w:rPr>
      </w:pPr>
      <w:r>
        <w:rPr>
          <w:rFonts w:hint="eastAsia"/>
          <w:kern w:val="0"/>
          <w:sz w:val="24"/>
          <w:shd w:val="clear" w:color="auto" w:fill="FFFFFF"/>
        </w:rPr>
        <w:t>2、我方因违法经营被责令停产停业、吊销许可证或者执照；</w:t>
      </w:r>
    </w:p>
    <w:p>
      <w:pPr>
        <w:snapToGrid w:val="0"/>
        <w:spacing w:line="360" w:lineRule="auto"/>
        <w:ind w:firstLine="480" w:firstLineChars="200"/>
        <w:rPr>
          <w:sz w:val="24"/>
        </w:rPr>
      </w:pPr>
      <w:r>
        <w:rPr>
          <w:rFonts w:hint="eastAsia"/>
          <w:kern w:val="0"/>
          <w:sz w:val="24"/>
          <w:shd w:val="clear" w:color="auto" w:fill="FFFFFF"/>
        </w:rPr>
        <w:t>3、我方因违法经营被处以较大数额罚款等行政处罚。</w:t>
      </w:r>
    </w:p>
    <w:p>
      <w:pPr>
        <w:snapToGrid w:val="0"/>
        <w:spacing w:line="360" w:lineRule="auto"/>
        <w:ind w:firstLine="480" w:firstLineChars="200"/>
        <w:rPr>
          <w:sz w:val="24"/>
        </w:rPr>
      </w:pPr>
      <w:r>
        <w:rPr>
          <w:rFonts w:hint="eastAsia"/>
          <w:kern w:val="0"/>
          <w:sz w:val="24"/>
          <w:shd w:val="clear" w:color="auto" w:fill="FFFFFF"/>
        </w:rPr>
        <w:t>我方保证上述承诺或声明内容的客观、真实、准确，并愿意承担我方因提供虚假承诺或声明谋骗取中标、成交所引起的一切法律后果。</w:t>
      </w:r>
    </w:p>
    <w:p>
      <w:pPr>
        <w:snapToGrid w:val="0"/>
        <w:spacing w:line="360" w:lineRule="auto"/>
        <w:ind w:firstLine="480" w:firstLineChars="200"/>
        <w:rPr>
          <w:sz w:val="24"/>
        </w:rPr>
      </w:pPr>
      <w:r>
        <w:rPr>
          <w:rFonts w:hint="eastAsia"/>
          <w:kern w:val="0"/>
          <w:sz w:val="24"/>
          <w:shd w:val="clear" w:color="auto" w:fill="FFFFFF"/>
        </w:rPr>
        <w:t>特此声明！</w:t>
      </w:r>
    </w:p>
    <w:p>
      <w:pPr>
        <w:snapToGrid w:val="0"/>
        <w:spacing w:line="480" w:lineRule="auto"/>
        <w:ind w:firstLine="480" w:firstLineChars="200"/>
        <w:rPr>
          <w:sz w:val="24"/>
        </w:rPr>
      </w:pPr>
    </w:p>
    <w:p>
      <w:pPr>
        <w:snapToGrid w:val="0"/>
        <w:spacing w:line="480" w:lineRule="auto"/>
        <w:ind w:firstLine="480" w:firstLineChars="200"/>
        <w:rPr>
          <w:sz w:val="24"/>
        </w:rPr>
      </w:pPr>
      <w:r>
        <w:rPr>
          <w:rFonts w:hint="eastAsia"/>
          <w:kern w:val="0"/>
          <w:sz w:val="24"/>
          <w:shd w:val="clear" w:color="auto" w:fill="FFFFFF"/>
        </w:rPr>
        <w:t> </w:t>
      </w:r>
    </w:p>
    <w:p>
      <w:pPr>
        <w:snapToGrid w:val="0"/>
        <w:spacing w:line="480" w:lineRule="auto"/>
        <w:ind w:firstLine="480" w:firstLineChars="200"/>
        <w:jc w:val="right"/>
        <w:rPr>
          <w:sz w:val="24"/>
        </w:rPr>
      </w:pPr>
      <w:r>
        <w:rPr>
          <w:rFonts w:hint="eastAsia"/>
          <w:kern w:val="0"/>
          <w:sz w:val="24"/>
          <w:shd w:val="clear" w:color="auto" w:fill="FFFFFF"/>
        </w:rPr>
        <w:t>供应商：</w:t>
      </w:r>
      <w:r>
        <w:rPr>
          <w:rFonts w:hint="eastAsia"/>
          <w:kern w:val="0"/>
          <w:sz w:val="24"/>
          <w:u w:val="single"/>
          <w:shd w:val="clear" w:color="auto" w:fill="FFFFFF"/>
        </w:rPr>
        <w:t>                    </w:t>
      </w:r>
      <w:r>
        <w:rPr>
          <w:rFonts w:hint="eastAsia"/>
          <w:kern w:val="0"/>
          <w:sz w:val="24"/>
          <w:shd w:val="clear" w:color="auto" w:fill="FFFFFF"/>
        </w:rPr>
        <w:t>（盖单位章）</w:t>
      </w:r>
    </w:p>
    <w:p>
      <w:pPr>
        <w:snapToGrid w:val="0"/>
        <w:spacing w:line="480" w:lineRule="auto"/>
        <w:ind w:firstLine="480" w:firstLineChars="200"/>
        <w:jc w:val="right"/>
        <w:rPr>
          <w:sz w:val="24"/>
        </w:rPr>
      </w:pPr>
      <w:r>
        <w:rPr>
          <w:rFonts w:hint="eastAsia"/>
          <w:kern w:val="0"/>
          <w:sz w:val="24"/>
          <w:shd w:val="clear" w:color="auto" w:fill="FFFFFF"/>
        </w:rPr>
        <w:t>法定代表人或其委托代理人：</w:t>
      </w:r>
      <w:r>
        <w:rPr>
          <w:rFonts w:hint="eastAsia"/>
          <w:kern w:val="0"/>
          <w:sz w:val="24"/>
          <w:u w:val="single"/>
          <w:shd w:val="clear" w:color="auto" w:fill="FFFFFF"/>
        </w:rPr>
        <w:t>               </w:t>
      </w:r>
      <w:r>
        <w:rPr>
          <w:rFonts w:hint="eastAsia"/>
          <w:kern w:val="0"/>
          <w:sz w:val="24"/>
          <w:shd w:val="clear" w:color="auto" w:fill="FFFFFF"/>
        </w:rPr>
        <w:t>（签字）</w:t>
      </w:r>
    </w:p>
    <w:p>
      <w:pPr>
        <w:snapToGrid w:val="0"/>
        <w:spacing w:line="480" w:lineRule="auto"/>
        <w:ind w:firstLine="480" w:firstLineChars="200"/>
        <w:jc w:val="right"/>
        <w:rPr>
          <w:kern w:val="0"/>
          <w:sz w:val="24"/>
          <w:shd w:val="clear" w:color="auto" w:fill="FFFFFF"/>
        </w:rPr>
        <w:sectPr>
          <w:type w:val="nextColumn"/>
          <w:pgSz w:w="11905" w:h="16838"/>
          <w:pgMar w:top="1440" w:right="1797" w:bottom="1440" w:left="1797" w:header="850" w:footer="850" w:gutter="0"/>
          <w:pgBorders>
            <w:top w:val="none" w:sz="0" w:space="0"/>
            <w:left w:val="none" w:sz="0" w:space="0"/>
            <w:bottom w:val="none" w:sz="0" w:space="0"/>
            <w:right w:val="none" w:sz="0" w:space="0"/>
          </w:pgBorders>
          <w:cols w:space="720" w:num="1"/>
        </w:sectPr>
      </w:pPr>
      <w:r>
        <w:rPr>
          <w:rFonts w:hint="eastAsia"/>
          <w:kern w:val="0"/>
          <w:sz w:val="24"/>
          <w:u w:val="single"/>
          <w:shd w:val="clear" w:color="auto" w:fill="FFFFFF"/>
        </w:rPr>
        <w:t>          </w:t>
      </w:r>
      <w:r>
        <w:rPr>
          <w:rFonts w:hint="eastAsia"/>
          <w:kern w:val="0"/>
          <w:sz w:val="24"/>
          <w:shd w:val="clear" w:color="auto" w:fill="FFFFFF"/>
        </w:rPr>
        <w:t>年</w:t>
      </w:r>
      <w:r>
        <w:rPr>
          <w:rFonts w:hint="eastAsia"/>
          <w:kern w:val="0"/>
          <w:sz w:val="24"/>
          <w:u w:val="single"/>
          <w:shd w:val="clear" w:color="auto" w:fill="FFFFFF"/>
        </w:rPr>
        <w:t>        </w:t>
      </w:r>
      <w:r>
        <w:rPr>
          <w:rFonts w:hint="eastAsia"/>
          <w:kern w:val="0"/>
          <w:sz w:val="24"/>
          <w:shd w:val="clear" w:color="auto" w:fill="FFFFFF"/>
        </w:rPr>
        <w:t>月</w:t>
      </w:r>
      <w:r>
        <w:rPr>
          <w:rFonts w:hint="eastAsia"/>
          <w:kern w:val="0"/>
          <w:sz w:val="24"/>
          <w:u w:val="single"/>
          <w:shd w:val="clear" w:color="auto" w:fill="FFFFFF"/>
        </w:rPr>
        <w:t>        </w:t>
      </w:r>
      <w:r>
        <w:rPr>
          <w:rFonts w:hint="eastAsia"/>
          <w:kern w:val="0"/>
          <w:sz w:val="24"/>
          <w:shd w:val="clear" w:color="auto" w:fill="FFFFFF"/>
        </w:rPr>
        <w:t>日</w:t>
      </w:r>
      <w:bookmarkStart w:id="563" w:name="_Toc27204"/>
      <w:bookmarkEnd w:id="563"/>
      <w:bookmarkStart w:id="564" w:name="_Toc25994"/>
      <w:bookmarkEnd w:id="564"/>
    </w:p>
    <w:p>
      <w:pPr>
        <w:keepNext/>
        <w:keepLines/>
        <w:spacing w:line="360" w:lineRule="auto"/>
        <w:ind w:left="3747" w:hanging="3747" w:hangingChars="1333"/>
        <w:jc w:val="center"/>
        <w:outlineLvl w:val="1"/>
        <w:rPr>
          <w:rFonts w:ascii="宋体" w:hAnsi="宋体" w:cs="仿宋_GB2312"/>
          <w:b/>
          <w:sz w:val="28"/>
          <w:szCs w:val="28"/>
        </w:rPr>
      </w:pPr>
      <w:bookmarkStart w:id="565" w:name="_Toc991"/>
      <w:r>
        <w:rPr>
          <w:rFonts w:hint="eastAsia" w:ascii="宋体" w:hAnsi="宋体" w:cs="仿宋_GB2312"/>
          <w:b/>
          <w:sz w:val="28"/>
          <w:szCs w:val="28"/>
        </w:rPr>
        <w:t>（三）资质</w:t>
      </w:r>
      <w:bookmarkEnd w:id="556"/>
      <w:bookmarkEnd w:id="557"/>
      <w:r>
        <w:rPr>
          <w:rFonts w:hint="eastAsia" w:ascii="宋体" w:hAnsi="宋体" w:cs="仿宋_GB2312"/>
          <w:b/>
          <w:sz w:val="28"/>
          <w:szCs w:val="28"/>
        </w:rPr>
        <w:t>证明文件</w:t>
      </w:r>
      <w:bookmarkEnd w:id="562"/>
      <w:bookmarkEnd w:id="565"/>
    </w:p>
    <w:p>
      <w:pPr>
        <w:spacing w:line="360" w:lineRule="auto"/>
        <w:ind w:firstLine="480" w:firstLineChars="200"/>
        <w:rPr>
          <w:rFonts w:ascii="宋体" w:hAnsi="宋体" w:cs="仿宋_GB2312"/>
          <w:sz w:val="24"/>
        </w:rPr>
      </w:pPr>
      <w:bookmarkStart w:id="566" w:name="_Hlk46779191"/>
    </w:p>
    <w:bookmarkEnd w:id="566"/>
    <w:p>
      <w:pPr>
        <w:snapToGrid w:val="0"/>
        <w:spacing w:line="360" w:lineRule="auto"/>
        <w:ind w:firstLine="480" w:firstLineChars="200"/>
        <w:rPr>
          <w:rFonts w:ascii="Arial" w:hAnsi="Arial" w:cs="Arial"/>
          <w:sz w:val="24"/>
        </w:rPr>
        <w:sectPr>
          <w:type w:val="nextColumn"/>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r>
        <w:rPr>
          <w:rFonts w:hint="eastAsia" w:ascii="Arial" w:hAnsi="Arial" w:cs="Arial"/>
          <w:sz w:val="24"/>
        </w:rPr>
        <w:t>供应商须提供的资格证明文件详见第四章《资格审查表》。</w:t>
      </w:r>
    </w:p>
    <w:p>
      <w:pPr>
        <w:keepNext/>
        <w:keepLines/>
        <w:snapToGrid w:val="0"/>
        <w:spacing w:before="120" w:after="120" w:line="360" w:lineRule="auto"/>
        <w:jc w:val="center"/>
        <w:outlineLvl w:val="1"/>
        <w:rPr>
          <w:rFonts w:ascii="宋体" w:hAnsi="宋体" w:cs="Arial"/>
          <w:b/>
          <w:sz w:val="28"/>
          <w:szCs w:val="28"/>
        </w:rPr>
      </w:pPr>
      <w:bookmarkStart w:id="567" w:name="_Toc56708583"/>
      <w:bookmarkStart w:id="568" w:name="_Toc432367435"/>
      <w:bookmarkStart w:id="569" w:name="_Toc7413"/>
      <w:bookmarkStart w:id="570" w:name="_Toc430813365"/>
      <w:r>
        <w:rPr>
          <w:rFonts w:hint="eastAsia" w:ascii="宋体" w:hAnsi="宋体" w:cs="Arial"/>
          <w:b/>
          <w:sz w:val="28"/>
          <w:szCs w:val="28"/>
        </w:rPr>
        <w:t>（四）业绩证明文件</w:t>
      </w:r>
      <w:bookmarkEnd w:id="567"/>
      <w:bookmarkEnd w:id="568"/>
      <w:bookmarkEnd w:id="569"/>
      <w:bookmarkEnd w:id="570"/>
    </w:p>
    <w:p>
      <w:pPr>
        <w:spacing w:line="360" w:lineRule="auto"/>
        <w:rPr>
          <w:rFonts w:ascii="宋体" w:hAnsi="宋体" w:cs="仿宋_GB2312"/>
          <w:sz w:val="24"/>
        </w:rPr>
      </w:pPr>
      <w:r>
        <w:rPr>
          <w:rFonts w:ascii="宋体" w:hAnsi="宋体" w:cs="Arial"/>
          <w:bCs/>
          <w:kern w:val="0"/>
          <w:sz w:val="20"/>
          <w:szCs w:val="21"/>
        </w:rPr>
        <w:fldChar w:fldCharType="begin"/>
      </w:r>
      <w:r>
        <w:rPr>
          <w:rFonts w:ascii="宋体" w:hAnsi="宋体" w:cs="Arial"/>
          <w:bCs/>
          <w:kern w:val="0"/>
          <w:sz w:val="20"/>
          <w:szCs w:val="21"/>
        </w:rPr>
        <w:instrText xml:space="preserve"> LINK Word.Document.8 "D:\\音乐厅\\4通用设备\\招标文件\\音乐厅空调设备招标文件v1.0.doc" "OLE_LINK8" \r  \* MERGEFORMAT </w:instrText>
      </w:r>
      <w:r>
        <w:rPr>
          <w:rFonts w:ascii="宋体" w:hAnsi="宋体" w:cs="Arial"/>
          <w:bCs/>
          <w:kern w:val="0"/>
          <w:sz w:val="20"/>
          <w:szCs w:val="21"/>
        </w:rPr>
        <w:fldChar w:fldCharType="separate"/>
      </w:r>
      <w:r>
        <w:rPr>
          <w:rFonts w:hint="eastAsia" w:ascii="宋体" w:hAnsi="宋体" w:cs="仿宋_GB2312"/>
          <w:sz w:val="24"/>
        </w:rPr>
        <w:t xml:space="preserve">项目名称：                                         </w:t>
      </w:r>
    </w:p>
    <w:p>
      <w:pPr>
        <w:spacing w:line="360" w:lineRule="auto"/>
        <w:rPr>
          <w:rFonts w:ascii="宋体" w:hAnsi="宋体" w:cs="Arial"/>
          <w:bCs/>
          <w:kern w:val="0"/>
          <w:sz w:val="20"/>
          <w:szCs w:val="21"/>
        </w:rPr>
      </w:pPr>
      <w:r>
        <w:rPr>
          <w:rFonts w:hint="eastAsia" w:ascii="宋体" w:hAnsi="宋体" w:cs="仿宋_GB2312"/>
          <w:sz w:val="24"/>
        </w:rPr>
        <w:t>项目编号：</w:t>
      </w:r>
      <w:r>
        <w:rPr>
          <w:rFonts w:ascii="宋体" w:hAnsi="宋体" w:cs="Arial"/>
          <w:bCs/>
          <w:kern w:val="0"/>
          <w:sz w:val="20"/>
          <w:szCs w:val="21"/>
        </w:rPr>
        <w:fldChar w:fldCharType="end"/>
      </w:r>
    </w:p>
    <w:tbl>
      <w:tblPr>
        <w:tblStyle w:val="5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1290"/>
        <w:gridCol w:w="1290"/>
        <w:gridCol w:w="1290"/>
        <w:gridCol w:w="1290"/>
        <w:gridCol w:w="1290"/>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vAlign w:val="center"/>
          </w:tcPr>
          <w:p>
            <w:pPr>
              <w:spacing w:line="360" w:lineRule="auto"/>
              <w:jc w:val="center"/>
              <w:rPr>
                <w:rFonts w:ascii="宋体" w:hAnsi="宋体" w:cs="仿宋_GB2312"/>
                <w:sz w:val="24"/>
              </w:rPr>
            </w:pPr>
            <w:bookmarkStart w:id="571" w:name="_Hlk46779239"/>
            <w:r>
              <w:rPr>
                <w:rFonts w:hint="eastAsia" w:ascii="宋体" w:hAnsi="宋体" w:cs="仿宋_GB2312"/>
                <w:sz w:val="24"/>
              </w:rPr>
              <w:t>序号</w:t>
            </w:r>
          </w:p>
        </w:tc>
        <w:tc>
          <w:tcPr>
            <w:tcW w:w="756" w:type="pct"/>
            <w:vAlign w:val="center"/>
          </w:tcPr>
          <w:p>
            <w:pPr>
              <w:spacing w:line="360" w:lineRule="auto"/>
              <w:rPr>
                <w:rFonts w:ascii="宋体" w:hAnsi="宋体" w:cs="仿宋_GB2312"/>
                <w:sz w:val="24"/>
              </w:rPr>
            </w:pPr>
            <w:r>
              <w:rPr>
                <w:rFonts w:hint="eastAsia" w:ascii="宋体" w:hAnsi="宋体" w:cs="仿宋_GB2312"/>
                <w:sz w:val="24"/>
              </w:rPr>
              <w:t>完成时间</w:t>
            </w:r>
          </w:p>
        </w:tc>
        <w:tc>
          <w:tcPr>
            <w:tcW w:w="756" w:type="pct"/>
            <w:vAlign w:val="center"/>
          </w:tcPr>
          <w:p>
            <w:pPr>
              <w:spacing w:line="360" w:lineRule="auto"/>
              <w:jc w:val="center"/>
              <w:rPr>
                <w:rFonts w:ascii="宋体" w:hAnsi="宋体" w:cs="仿宋_GB2312"/>
                <w:sz w:val="24"/>
              </w:rPr>
            </w:pPr>
            <w:r>
              <w:rPr>
                <w:rFonts w:hint="eastAsia" w:ascii="宋体" w:hAnsi="宋体" w:cs="仿宋_GB2312"/>
                <w:sz w:val="24"/>
              </w:rPr>
              <w:t>项目名称</w:t>
            </w:r>
          </w:p>
        </w:tc>
        <w:tc>
          <w:tcPr>
            <w:tcW w:w="756" w:type="pct"/>
            <w:vAlign w:val="center"/>
          </w:tcPr>
          <w:p>
            <w:pPr>
              <w:spacing w:line="360" w:lineRule="auto"/>
              <w:jc w:val="center"/>
              <w:rPr>
                <w:rFonts w:ascii="宋体" w:hAnsi="宋体" w:cs="仿宋_GB2312"/>
                <w:sz w:val="24"/>
              </w:rPr>
            </w:pPr>
            <w:r>
              <w:rPr>
                <w:rFonts w:hint="eastAsia" w:ascii="宋体" w:hAnsi="宋体" w:cs="仿宋_GB2312"/>
                <w:sz w:val="24"/>
              </w:rPr>
              <w:t>服务内容</w:t>
            </w:r>
          </w:p>
        </w:tc>
        <w:tc>
          <w:tcPr>
            <w:tcW w:w="756" w:type="pct"/>
            <w:vAlign w:val="center"/>
          </w:tcPr>
          <w:p>
            <w:pPr>
              <w:spacing w:line="360" w:lineRule="auto"/>
              <w:jc w:val="center"/>
              <w:rPr>
                <w:rFonts w:ascii="宋体" w:hAnsi="宋体" w:cs="仿宋_GB2312"/>
                <w:sz w:val="24"/>
              </w:rPr>
            </w:pPr>
            <w:r>
              <w:rPr>
                <w:rFonts w:hint="eastAsia" w:ascii="宋体" w:hAnsi="宋体" w:cs="仿宋_GB2312"/>
                <w:sz w:val="24"/>
              </w:rPr>
              <w:t>甲方名称</w:t>
            </w:r>
          </w:p>
        </w:tc>
        <w:tc>
          <w:tcPr>
            <w:tcW w:w="756" w:type="pct"/>
            <w:vAlign w:val="center"/>
          </w:tcPr>
          <w:p>
            <w:pPr>
              <w:spacing w:line="360" w:lineRule="auto"/>
              <w:jc w:val="center"/>
              <w:rPr>
                <w:rFonts w:ascii="宋体" w:hAnsi="宋体" w:cs="仿宋_GB2312"/>
                <w:sz w:val="24"/>
              </w:rPr>
            </w:pPr>
            <w:r>
              <w:rPr>
                <w:rFonts w:hint="eastAsia" w:ascii="宋体" w:hAnsi="宋体" w:cs="仿宋_GB2312"/>
                <w:sz w:val="24"/>
              </w:rPr>
              <w:t>联系人</w:t>
            </w:r>
          </w:p>
        </w:tc>
        <w:tc>
          <w:tcPr>
            <w:tcW w:w="758" w:type="pct"/>
            <w:vAlign w:val="center"/>
          </w:tcPr>
          <w:p>
            <w:pPr>
              <w:spacing w:line="360" w:lineRule="auto"/>
              <w:jc w:val="center"/>
              <w:rPr>
                <w:rFonts w:ascii="宋体" w:hAnsi="宋体" w:cs="仿宋_GB2312"/>
                <w:sz w:val="24"/>
              </w:rPr>
            </w:pPr>
            <w:r>
              <w:rPr>
                <w:rFonts w:hint="eastAsia" w:ascii="宋体" w:hAnsi="宋体" w:cs="仿宋_GB2312"/>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vAlign w:val="center"/>
          </w:tcPr>
          <w:p>
            <w:pPr>
              <w:spacing w:line="360" w:lineRule="auto"/>
              <w:jc w:val="center"/>
              <w:rPr>
                <w:rFonts w:ascii="宋体" w:hAnsi="宋体" w:cs="仿宋_GB2312"/>
                <w:sz w:val="24"/>
              </w:rPr>
            </w:pPr>
            <w:r>
              <w:rPr>
                <w:rFonts w:hint="eastAsia" w:ascii="宋体" w:hAnsi="宋体" w:cs="仿宋_GB2312"/>
                <w:sz w:val="24"/>
              </w:rPr>
              <w:t>1</w:t>
            </w:r>
          </w:p>
        </w:tc>
        <w:tc>
          <w:tcPr>
            <w:tcW w:w="756" w:type="pct"/>
            <w:vAlign w:val="center"/>
          </w:tcPr>
          <w:p>
            <w:pPr>
              <w:spacing w:line="360" w:lineRule="auto"/>
              <w:rPr>
                <w:rFonts w:ascii="宋体" w:hAnsi="宋体" w:cs="仿宋_GB2312"/>
                <w:sz w:val="24"/>
              </w:rPr>
            </w:pPr>
          </w:p>
        </w:tc>
        <w:tc>
          <w:tcPr>
            <w:tcW w:w="756" w:type="pct"/>
            <w:vAlign w:val="center"/>
          </w:tcPr>
          <w:p>
            <w:pPr>
              <w:spacing w:line="360" w:lineRule="auto"/>
              <w:rPr>
                <w:rFonts w:ascii="宋体" w:hAnsi="宋体" w:cs="仿宋_GB2312"/>
                <w:sz w:val="24"/>
              </w:rPr>
            </w:pPr>
          </w:p>
        </w:tc>
        <w:tc>
          <w:tcPr>
            <w:tcW w:w="756" w:type="pct"/>
            <w:vAlign w:val="center"/>
          </w:tcPr>
          <w:p>
            <w:pPr>
              <w:spacing w:line="360" w:lineRule="auto"/>
              <w:rPr>
                <w:rFonts w:ascii="宋体" w:hAnsi="宋体" w:cs="仿宋_GB2312"/>
                <w:sz w:val="24"/>
              </w:rPr>
            </w:pPr>
          </w:p>
        </w:tc>
        <w:tc>
          <w:tcPr>
            <w:tcW w:w="756" w:type="pct"/>
            <w:vAlign w:val="center"/>
          </w:tcPr>
          <w:p>
            <w:pPr>
              <w:spacing w:line="360" w:lineRule="auto"/>
              <w:rPr>
                <w:rFonts w:ascii="宋体" w:hAnsi="宋体" w:cs="仿宋_GB2312"/>
                <w:sz w:val="24"/>
              </w:rPr>
            </w:pPr>
          </w:p>
        </w:tc>
        <w:tc>
          <w:tcPr>
            <w:tcW w:w="756" w:type="pct"/>
            <w:vAlign w:val="center"/>
          </w:tcPr>
          <w:p>
            <w:pPr>
              <w:spacing w:line="360" w:lineRule="auto"/>
              <w:rPr>
                <w:rFonts w:ascii="宋体" w:hAnsi="宋体" w:cs="仿宋_GB2312"/>
                <w:sz w:val="24"/>
              </w:rPr>
            </w:pPr>
          </w:p>
        </w:tc>
        <w:tc>
          <w:tcPr>
            <w:tcW w:w="758" w:type="pct"/>
            <w:vAlign w:val="center"/>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vAlign w:val="center"/>
          </w:tcPr>
          <w:p>
            <w:pPr>
              <w:spacing w:line="360" w:lineRule="auto"/>
              <w:jc w:val="center"/>
              <w:rPr>
                <w:rFonts w:ascii="宋体" w:hAnsi="宋体" w:cs="仿宋_GB2312"/>
                <w:sz w:val="24"/>
              </w:rPr>
            </w:pPr>
            <w:r>
              <w:rPr>
                <w:rFonts w:hint="eastAsia" w:ascii="宋体" w:hAnsi="宋体" w:cs="仿宋_GB2312"/>
                <w:sz w:val="24"/>
              </w:rPr>
              <w:t>2</w:t>
            </w:r>
          </w:p>
        </w:tc>
        <w:tc>
          <w:tcPr>
            <w:tcW w:w="756" w:type="pct"/>
            <w:vAlign w:val="center"/>
          </w:tcPr>
          <w:p>
            <w:pPr>
              <w:spacing w:line="360" w:lineRule="auto"/>
              <w:rPr>
                <w:rFonts w:ascii="宋体" w:hAnsi="宋体" w:cs="仿宋_GB2312"/>
                <w:sz w:val="24"/>
              </w:rPr>
            </w:pPr>
          </w:p>
        </w:tc>
        <w:tc>
          <w:tcPr>
            <w:tcW w:w="756" w:type="pct"/>
            <w:vAlign w:val="center"/>
          </w:tcPr>
          <w:p>
            <w:pPr>
              <w:spacing w:line="360" w:lineRule="auto"/>
              <w:rPr>
                <w:rFonts w:ascii="宋体" w:hAnsi="宋体" w:cs="仿宋_GB2312"/>
                <w:sz w:val="24"/>
              </w:rPr>
            </w:pPr>
          </w:p>
        </w:tc>
        <w:tc>
          <w:tcPr>
            <w:tcW w:w="756" w:type="pct"/>
            <w:vAlign w:val="center"/>
          </w:tcPr>
          <w:p>
            <w:pPr>
              <w:spacing w:line="360" w:lineRule="auto"/>
              <w:rPr>
                <w:rFonts w:ascii="宋体" w:hAnsi="宋体" w:cs="仿宋_GB2312"/>
                <w:sz w:val="24"/>
              </w:rPr>
            </w:pPr>
          </w:p>
        </w:tc>
        <w:tc>
          <w:tcPr>
            <w:tcW w:w="756" w:type="pct"/>
            <w:vAlign w:val="center"/>
          </w:tcPr>
          <w:p>
            <w:pPr>
              <w:spacing w:line="360" w:lineRule="auto"/>
              <w:rPr>
                <w:rFonts w:ascii="宋体" w:hAnsi="宋体" w:cs="仿宋_GB2312"/>
                <w:sz w:val="24"/>
              </w:rPr>
            </w:pPr>
          </w:p>
        </w:tc>
        <w:tc>
          <w:tcPr>
            <w:tcW w:w="756" w:type="pct"/>
            <w:vAlign w:val="center"/>
          </w:tcPr>
          <w:p>
            <w:pPr>
              <w:spacing w:line="360" w:lineRule="auto"/>
              <w:rPr>
                <w:rFonts w:ascii="宋体" w:hAnsi="宋体" w:cs="仿宋_GB2312"/>
                <w:sz w:val="24"/>
              </w:rPr>
            </w:pPr>
          </w:p>
        </w:tc>
        <w:tc>
          <w:tcPr>
            <w:tcW w:w="758" w:type="pct"/>
            <w:vAlign w:val="center"/>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vAlign w:val="center"/>
          </w:tcPr>
          <w:p>
            <w:pPr>
              <w:spacing w:line="360" w:lineRule="auto"/>
              <w:jc w:val="center"/>
              <w:rPr>
                <w:rFonts w:ascii="宋体" w:hAnsi="宋体" w:cs="仿宋_GB2312"/>
                <w:sz w:val="24"/>
              </w:rPr>
            </w:pPr>
            <w:r>
              <w:rPr>
                <w:rFonts w:hint="eastAsia" w:ascii="宋体" w:hAnsi="宋体" w:cs="仿宋_GB2312"/>
                <w:sz w:val="24"/>
              </w:rPr>
              <w:t>3</w:t>
            </w:r>
          </w:p>
        </w:tc>
        <w:tc>
          <w:tcPr>
            <w:tcW w:w="756" w:type="pct"/>
            <w:vAlign w:val="center"/>
          </w:tcPr>
          <w:p>
            <w:pPr>
              <w:spacing w:line="360" w:lineRule="auto"/>
              <w:rPr>
                <w:rFonts w:ascii="宋体" w:hAnsi="宋体" w:cs="仿宋_GB2312"/>
                <w:sz w:val="24"/>
              </w:rPr>
            </w:pPr>
          </w:p>
        </w:tc>
        <w:tc>
          <w:tcPr>
            <w:tcW w:w="756" w:type="pct"/>
            <w:vAlign w:val="center"/>
          </w:tcPr>
          <w:p>
            <w:pPr>
              <w:spacing w:line="360" w:lineRule="auto"/>
              <w:rPr>
                <w:rFonts w:ascii="宋体" w:hAnsi="宋体" w:cs="仿宋_GB2312"/>
                <w:sz w:val="24"/>
              </w:rPr>
            </w:pPr>
          </w:p>
        </w:tc>
        <w:tc>
          <w:tcPr>
            <w:tcW w:w="756" w:type="pct"/>
            <w:vAlign w:val="center"/>
          </w:tcPr>
          <w:p>
            <w:pPr>
              <w:spacing w:line="360" w:lineRule="auto"/>
              <w:rPr>
                <w:rFonts w:ascii="宋体" w:hAnsi="宋体" w:cs="仿宋_GB2312"/>
                <w:sz w:val="24"/>
              </w:rPr>
            </w:pPr>
          </w:p>
        </w:tc>
        <w:tc>
          <w:tcPr>
            <w:tcW w:w="756" w:type="pct"/>
            <w:vAlign w:val="center"/>
          </w:tcPr>
          <w:p>
            <w:pPr>
              <w:spacing w:line="360" w:lineRule="auto"/>
              <w:rPr>
                <w:rFonts w:ascii="宋体" w:hAnsi="宋体" w:cs="仿宋_GB2312"/>
                <w:sz w:val="24"/>
              </w:rPr>
            </w:pPr>
          </w:p>
        </w:tc>
        <w:tc>
          <w:tcPr>
            <w:tcW w:w="756" w:type="pct"/>
            <w:vAlign w:val="center"/>
          </w:tcPr>
          <w:p>
            <w:pPr>
              <w:spacing w:line="360" w:lineRule="auto"/>
              <w:rPr>
                <w:rFonts w:ascii="宋体" w:hAnsi="宋体" w:cs="仿宋_GB2312"/>
                <w:sz w:val="24"/>
              </w:rPr>
            </w:pPr>
          </w:p>
        </w:tc>
        <w:tc>
          <w:tcPr>
            <w:tcW w:w="758" w:type="pct"/>
            <w:vAlign w:val="center"/>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vAlign w:val="center"/>
          </w:tcPr>
          <w:p>
            <w:pPr>
              <w:spacing w:line="360" w:lineRule="auto"/>
              <w:jc w:val="center"/>
              <w:rPr>
                <w:rFonts w:ascii="宋体" w:hAnsi="宋体" w:cs="仿宋_GB2312"/>
                <w:sz w:val="24"/>
              </w:rPr>
            </w:pPr>
            <w:r>
              <w:rPr>
                <w:rFonts w:hint="eastAsia" w:ascii="宋体" w:hAnsi="宋体" w:cs="仿宋_GB2312"/>
                <w:sz w:val="24"/>
              </w:rPr>
              <w:t>4</w:t>
            </w:r>
          </w:p>
        </w:tc>
        <w:tc>
          <w:tcPr>
            <w:tcW w:w="756" w:type="pct"/>
            <w:vAlign w:val="center"/>
          </w:tcPr>
          <w:p>
            <w:pPr>
              <w:spacing w:line="360" w:lineRule="auto"/>
              <w:rPr>
                <w:rFonts w:ascii="宋体" w:hAnsi="宋体" w:cs="仿宋_GB2312"/>
                <w:sz w:val="24"/>
              </w:rPr>
            </w:pPr>
          </w:p>
        </w:tc>
        <w:tc>
          <w:tcPr>
            <w:tcW w:w="756" w:type="pct"/>
            <w:vAlign w:val="center"/>
          </w:tcPr>
          <w:p>
            <w:pPr>
              <w:spacing w:line="360" w:lineRule="auto"/>
              <w:rPr>
                <w:rFonts w:ascii="宋体" w:hAnsi="宋体" w:cs="仿宋_GB2312"/>
                <w:sz w:val="24"/>
              </w:rPr>
            </w:pPr>
          </w:p>
        </w:tc>
        <w:tc>
          <w:tcPr>
            <w:tcW w:w="756" w:type="pct"/>
            <w:vAlign w:val="center"/>
          </w:tcPr>
          <w:p>
            <w:pPr>
              <w:spacing w:line="360" w:lineRule="auto"/>
              <w:rPr>
                <w:rFonts w:ascii="宋体" w:hAnsi="宋体" w:cs="仿宋_GB2312"/>
                <w:sz w:val="24"/>
              </w:rPr>
            </w:pPr>
          </w:p>
        </w:tc>
        <w:tc>
          <w:tcPr>
            <w:tcW w:w="756" w:type="pct"/>
            <w:vAlign w:val="center"/>
          </w:tcPr>
          <w:p>
            <w:pPr>
              <w:spacing w:line="360" w:lineRule="auto"/>
              <w:rPr>
                <w:rFonts w:ascii="宋体" w:hAnsi="宋体" w:cs="仿宋_GB2312"/>
                <w:sz w:val="24"/>
              </w:rPr>
            </w:pPr>
          </w:p>
        </w:tc>
        <w:tc>
          <w:tcPr>
            <w:tcW w:w="756" w:type="pct"/>
            <w:vAlign w:val="center"/>
          </w:tcPr>
          <w:p>
            <w:pPr>
              <w:spacing w:line="360" w:lineRule="auto"/>
              <w:rPr>
                <w:rFonts w:ascii="宋体" w:hAnsi="宋体" w:cs="仿宋_GB2312"/>
                <w:sz w:val="24"/>
              </w:rPr>
            </w:pPr>
          </w:p>
        </w:tc>
        <w:tc>
          <w:tcPr>
            <w:tcW w:w="758" w:type="pct"/>
            <w:vAlign w:val="center"/>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vAlign w:val="center"/>
          </w:tcPr>
          <w:p>
            <w:pPr>
              <w:spacing w:line="360" w:lineRule="auto"/>
              <w:jc w:val="center"/>
              <w:rPr>
                <w:rFonts w:ascii="宋体" w:hAnsi="宋体" w:cs="仿宋_GB2312"/>
                <w:sz w:val="24"/>
              </w:rPr>
            </w:pPr>
            <w:r>
              <w:rPr>
                <w:rFonts w:hint="eastAsia" w:ascii="宋体" w:hAnsi="宋体" w:cs="仿宋_GB2312"/>
                <w:sz w:val="24"/>
              </w:rPr>
              <w:t>5</w:t>
            </w:r>
          </w:p>
        </w:tc>
        <w:tc>
          <w:tcPr>
            <w:tcW w:w="756" w:type="pct"/>
            <w:vAlign w:val="center"/>
          </w:tcPr>
          <w:p>
            <w:pPr>
              <w:spacing w:line="360" w:lineRule="auto"/>
              <w:rPr>
                <w:rFonts w:ascii="宋体" w:hAnsi="宋体" w:cs="仿宋_GB2312"/>
                <w:sz w:val="24"/>
              </w:rPr>
            </w:pPr>
          </w:p>
        </w:tc>
        <w:tc>
          <w:tcPr>
            <w:tcW w:w="756" w:type="pct"/>
            <w:vAlign w:val="center"/>
          </w:tcPr>
          <w:p>
            <w:pPr>
              <w:spacing w:line="360" w:lineRule="auto"/>
              <w:rPr>
                <w:rFonts w:ascii="宋体" w:hAnsi="宋体" w:cs="仿宋_GB2312"/>
                <w:sz w:val="24"/>
              </w:rPr>
            </w:pPr>
          </w:p>
        </w:tc>
        <w:tc>
          <w:tcPr>
            <w:tcW w:w="756" w:type="pct"/>
            <w:vAlign w:val="center"/>
          </w:tcPr>
          <w:p>
            <w:pPr>
              <w:spacing w:line="360" w:lineRule="auto"/>
              <w:rPr>
                <w:rFonts w:ascii="宋体" w:hAnsi="宋体" w:cs="仿宋_GB2312"/>
                <w:sz w:val="24"/>
              </w:rPr>
            </w:pPr>
          </w:p>
        </w:tc>
        <w:tc>
          <w:tcPr>
            <w:tcW w:w="756" w:type="pct"/>
            <w:vAlign w:val="center"/>
          </w:tcPr>
          <w:p>
            <w:pPr>
              <w:spacing w:line="360" w:lineRule="auto"/>
              <w:rPr>
                <w:rFonts w:ascii="宋体" w:hAnsi="宋体" w:cs="仿宋_GB2312"/>
                <w:sz w:val="24"/>
              </w:rPr>
            </w:pPr>
          </w:p>
        </w:tc>
        <w:tc>
          <w:tcPr>
            <w:tcW w:w="756" w:type="pct"/>
            <w:vAlign w:val="center"/>
          </w:tcPr>
          <w:p>
            <w:pPr>
              <w:spacing w:line="360" w:lineRule="auto"/>
              <w:rPr>
                <w:rFonts w:ascii="宋体" w:hAnsi="宋体" w:cs="仿宋_GB2312"/>
                <w:sz w:val="24"/>
              </w:rPr>
            </w:pPr>
          </w:p>
        </w:tc>
        <w:tc>
          <w:tcPr>
            <w:tcW w:w="758" w:type="pct"/>
            <w:vAlign w:val="center"/>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vAlign w:val="center"/>
          </w:tcPr>
          <w:p>
            <w:pPr>
              <w:spacing w:line="360" w:lineRule="auto"/>
              <w:jc w:val="center"/>
              <w:rPr>
                <w:rFonts w:ascii="宋体" w:hAnsi="宋体" w:cs="仿宋_GB2312"/>
                <w:sz w:val="24"/>
              </w:rPr>
            </w:pPr>
            <w:r>
              <w:rPr>
                <w:rFonts w:hint="eastAsia" w:ascii="宋体" w:hAnsi="宋体" w:cs="仿宋_GB2312"/>
                <w:sz w:val="24"/>
              </w:rPr>
              <w:t>6</w:t>
            </w:r>
          </w:p>
        </w:tc>
        <w:tc>
          <w:tcPr>
            <w:tcW w:w="756" w:type="pct"/>
            <w:vAlign w:val="center"/>
          </w:tcPr>
          <w:p>
            <w:pPr>
              <w:spacing w:line="360" w:lineRule="auto"/>
              <w:rPr>
                <w:rFonts w:ascii="宋体" w:hAnsi="宋体" w:cs="仿宋_GB2312"/>
                <w:sz w:val="24"/>
              </w:rPr>
            </w:pPr>
          </w:p>
        </w:tc>
        <w:tc>
          <w:tcPr>
            <w:tcW w:w="756" w:type="pct"/>
            <w:vAlign w:val="center"/>
          </w:tcPr>
          <w:p>
            <w:pPr>
              <w:spacing w:line="360" w:lineRule="auto"/>
              <w:rPr>
                <w:rFonts w:ascii="宋体" w:hAnsi="宋体" w:cs="仿宋_GB2312"/>
                <w:sz w:val="24"/>
              </w:rPr>
            </w:pPr>
          </w:p>
        </w:tc>
        <w:tc>
          <w:tcPr>
            <w:tcW w:w="756" w:type="pct"/>
            <w:vAlign w:val="center"/>
          </w:tcPr>
          <w:p>
            <w:pPr>
              <w:spacing w:line="360" w:lineRule="auto"/>
              <w:rPr>
                <w:rFonts w:ascii="宋体" w:hAnsi="宋体" w:cs="仿宋_GB2312"/>
                <w:sz w:val="24"/>
              </w:rPr>
            </w:pPr>
          </w:p>
        </w:tc>
        <w:tc>
          <w:tcPr>
            <w:tcW w:w="756" w:type="pct"/>
            <w:vAlign w:val="center"/>
          </w:tcPr>
          <w:p>
            <w:pPr>
              <w:spacing w:line="360" w:lineRule="auto"/>
              <w:rPr>
                <w:rFonts w:ascii="宋体" w:hAnsi="宋体" w:cs="仿宋_GB2312"/>
                <w:sz w:val="24"/>
              </w:rPr>
            </w:pPr>
          </w:p>
        </w:tc>
        <w:tc>
          <w:tcPr>
            <w:tcW w:w="756" w:type="pct"/>
            <w:vAlign w:val="center"/>
          </w:tcPr>
          <w:p>
            <w:pPr>
              <w:spacing w:line="360" w:lineRule="auto"/>
              <w:rPr>
                <w:rFonts w:ascii="宋体" w:hAnsi="宋体" w:cs="仿宋_GB2312"/>
                <w:sz w:val="24"/>
              </w:rPr>
            </w:pPr>
          </w:p>
        </w:tc>
        <w:tc>
          <w:tcPr>
            <w:tcW w:w="758" w:type="pct"/>
            <w:vAlign w:val="center"/>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vAlign w:val="center"/>
          </w:tcPr>
          <w:p>
            <w:pPr>
              <w:spacing w:line="360" w:lineRule="auto"/>
              <w:jc w:val="center"/>
              <w:rPr>
                <w:rFonts w:ascii="宋体" w:hAnsi="宋体" w:cs="仿宋_GB2312"/>
                <w:sz w:val="24"/>
              </w:rPr>
            </w:pPr>
            <w:r>
              <w:rPr>
                <w:rFonts w:hint="eastAsia" w:ascii="宋体" w:hAnsi="宋体" w:cs="仿宋_GB2312"/>
                <w:sz w:val="24"/>
              </w:rPr>
              <w:t>7</w:t>
            </w:r>
          </w:p>
        </w:tc>
        <w:tc>
          <w:tcPr>
            <w:tcW w:w="756" w:type="pct"/>
            <w:vAlign w:val="center"/>
          </w:tcPr>
          <w:p>
            <w:pPr>
              <w:spacing w:line="360" w:lineRule="auto"/>
              <w:rPr>
                <w:rFonts w:ascii="宋体" w:hAnsi="宋体" w:cs="仿宋_GB2312"/>
                <w:sz w:val="24"/>
              </w:rPr>
            </w:pPr>
          </w:p>
        </w:tc>
        <w:tc>
          <w:tcPr>
            <w:tcW w:w="756" w:type="pct"/>
            <w:vAlign w:val="center"/>
          </w:tcPr>
          <w:p>
            <w:pPr>
              <w:spacing w:line="360" w:lineRule="auto"/>
              <w:rPr>
                <w:rFonts w:ascii="宋体" w:hAnsi="宋体" w:cs="仿宋_GB2312"/>
                <w:sz w:val="24"/>
              </w:rPr>
            </w:pPr>
          </w:p>
        </w:tc>
        <w:tc>
          <w:tcPr>
            <w:tcW w:w="756" w:type="pct"/>
            <w:vAlign w:val="center"/>
          </w:tcPr>
          <w:p>
            <w:pPr>
              <w:spacing w:line="360" w:lineRule="auto"/>
              <w:rPr>
                <w:rFonts w:ascii="宋体" w:hAnsi="宋体" w:cs="仿宋_GB2312"/>
                <w:sz w:val="24"/>
              </w:rPr>
            </w:pPr>
          </w:p>
        </w:tc>
        <w:tc>
          <w:tcPr>
            <w:tcW w:w="756" w:type="pct"/>
            <w:vAlign w:val="center"/>
          </w:tcPr>
          <w:p>
            <w:pPr>
              <w:spacing w:line="360" w:lineRule="auto"/>
              <w:rPr>
                <w:rFonts w:ascii="宋体" w:hAnsi="宋体" w:cs="仿宋_GB2312"/>
                <w:sz w:val="24"/>
              </w:rPr>
            </w:pPr>
          </w:p>
        </w:tc>
        <w:tc>
          <w:tcPr>
            <w:tcW w:w="756" w:type="pct"/>
            <w:vAlign w:val="center"/>
          </w:tcPr>
          <w:p>
            <w:pPr>
              <w:spacing w:line="360" w:lineRule="auto"/>
              <w:rPr>
                <w:rFonts w:ascii="宋体" w:hAnsi="宋体" w:cs="仿宋_GB2312"/>
                <w:sz w:val="24"/>
              </w:rPr>
            </w:pPr>
          </w:p>
        </w:tc>
        <w:tc>
          <w:tcPr>
            <w:tcW w:w="758" w:type="pct"/>
            <w:vAlign w:val="center"/>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vAlign w:val="center"/>
          </w:tcPr>
          <w:p>
            <w:pPr>
              <w:spacing w:line="360" w:lineRule="auto"/>
              <w:jc w:val="center"/>
              <w:rPr>
                <w:rFonts w:ascii="宋体" w:hAnsi="宋体" w:cs="仿宋_GB2312"/>
                <w:sz w:val="24"/>
              </w:rPr>
            </w:pPr>
            <w:r>
              <w:rPr>
                <w:rFonts w:hint="eastAsia" w:ascii="宋体" w:hAnsi="宋体" w:cs="仿宋_GB2312"/>
                <w:sz w:val="24"/>
              </w:rPr>
              <w:t>8</w:t>
            </w:r>
          </w:p>
        </w:tc>
        <w:tc>
          <w:tcPr>
            <w:tcW w:w="756" w:type="pct"/>
            <w:vAlign w:val="center"/>
          </w:tcPr>
          <w:p>
            <w:pPr>
              <w:spacing w:line="360" w:lineRule="auto"/>
              <w:rPr>
                <w:rFonts w:ascii="宋体" w:hAnsi="宋体" w:cs="仿宋_GB2312"/>
                <w:sz w:val="24"/>
              </w:rPr>
            </w:pPr>
          </w:p>
        </w:tc>
        <w:tc>
          <w:tcPr>
            <w:tcW w:w="756" w:type="pct"/>
            <w:vAlign w:val="center"/>
          </w:tcPr>
          <w:p>
            <w:pPr>
              <w:spacing w:line="360" w:lineRule="auto"/>
              <w:rPr>
                <w:rFonts w:ascii="宋体" w:hAnsi="宋体" w:cs="仿宋_GB2312"/>
                <w:sz w:val="24"/>
              </w:rPr>
            </w:pPr>
          </w:p>
        </w:tc>
        <w:tc>
          <w:tcPr>
            <w:tcW w:w="756" w:type="pct"/>
            <w:vAlign w:val="center"/>
          </w:tcPr>
          <w:p>
            <w:pPr>
              <w:spacing w:line="360" w:lineRule="auto"/>
              <w:rPr>
                <w:rFonts w:ascii="宋体" w:hAnsi="宋体" w:cs="仿宋_GB2312"/>
                <w:sz w:val="24"/>
              </w:rPr>
            </w:pPr>
          </w:p>
        </w:tc>
        <w:tc>
          <w:tcPr>
            <w:tcW w:w="756" w:type="pct"/>
            <w:vAlign w:val="center"/>
          </w:tcPr>
          <w:p>
            <w:pPr>
              <w:spacing w:line="360" w:lineRule="auto"/>
              <w:rPr>
                <w:rFonts w:ascii="宋体" w:hAnsi="宋体" w:cs="仿宋_GB2312"/>
                <w:sz w:val="24"/>
              </w:rPr>
            </w:pPr>
          </w:p>
        </w:tc>
        <w:tc>
          <w:tcPr>
            <w:tcW w:w="756" w:type="pct"/>
            <w:vAlign w:val="center"/>
          </w:tcPr>
          <w:p>
            <w:pPr>
              <w:spacing w:line="360" w:lineRule="auto"/>
              <w:rPr>
                <w:rFonts w:ascii="宋体" w:hAnsi="宋体" w:cs="仿宋_GB2312"/>
                <w:sz w:val="24"/>
              </w:rPr>
            </w:pPr>
          </w:p>
        </w:tc>
        <w:tc>
          <w:tcPr>
            <w:tcW w:w="758" w:type="pct"/>
            <w:vAlign w:val="center"/>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vAlign w:val="center"/>
          </w:tcPr>
          <w:p>
            <w:pPr>
              <w:spacing w:line="360" w:lineRule="auto"/>
              <w:jc w:val="center"/>
              <w:rPr>
                <w:rFonts w:ascii="宋体" w:hAnsi="宋体" w:cs="仿宋_GB2312"/>
                <w:sz w:val="24"/>
              </w:rPr>
            </w:pPr>
            <w:r>
              <w:rPr>
                <w:rFonts w:hint="eastAsia" w:ascii="宋体" w:hAnsi="宋体" w:cs="仿宋_GB2312"/>
                <w:sz w:val="24"/>
              </w:rPr>
              <w:t>9</w:t>
            </w:r>
          </w:p>
        </w:tc>
        <w:tc>
          <w:tcPr>
            <w:tcW w:w="756" w:type="pct"/>
            <w:vAlign w:val="center"/>
          </w:tcPr>
          <w:p>
            <w:pPr>
              <w:spacing w:line="360" w:lineRule="auto"/>
              <w:rPr>
                <w:rFonts w:ascii="宋体" w:hAnsi="宋体" w:cs="仿宋_GB2312"/>
                <w:sz w:val="24"/>
              </w:rPr>
            </w:pPr>
          </w:p>
        </w:tc>
        <w:tc>
          <w:tcPr>
            <w:tcW w:w="756" w:type="pct"/>
            <w:vAlign w:val="center"/>
          </w:tcPr>
          <w:p>
            <w:pPr>
              <w:spacing w:line="360" w:lineRule="auto"/>
              <w:rPr>
                <w:rFonts w:ascii="宋体" w:hAnsi="宋体" w:cs="仿宋_GB2312"/>
                <w:sz w:val="24"/>
              </w:rPr>
            </w:pPr>
          </w:p>
        </w:tc>
        <w:tc>
          <w:tcPr>
            <w:tcW w:w="756" w:type="pct"/>
            <w:vAlign w:val="center"/>
          </w:tcPr>
          <w:p>
            <w:pPr>
              <w:spacing w:line="360" w:lineRule="auto"/>
              <w:rPr>
                <w:rFonts w:ascii="宋体" w:hAnsi="宋体" w:cs="仿宋_GB2312"/>
                <w:sz w:val="24"/>
              </w:rPr>
            </w:pPr>
          </w:p>
        </w:tc>
        <w:tc>
          <w:tcPr>
            <w:tcW w:w="756" w:type="pct"/>
            <w:vAlign w:val="center"/>
          </w:tcPr>
          <w:p>
            <w:pPr>
              <w:spacing w:line="360" w:lineRule="auto"/>
              <w:rPr>
                <w:rFonts w:ascii="宋体" w:hAnsi="宋体" w:cs="仿宋_GB2312"/>
                <w:sz w:val="24"/>
              </w:rPr>
            </w:pPr>
          </w:p>
        </w:tc>
        <w:tc>
          <w:tcPr>
            <w:tcW w:w="756" w:type="pct"/>
            <w:vAlign w:val="center"/>
          </w:tcPr>
          <w:p>
            <w:pPr>
              <w:spacing w:line="360" w:lineRule="auto"/>
              <w:rPr>
                <w:rFonts w:ascii="宋体" w:hAnsi="宋体" w:cs="仿宋_GB2312"/>
                <w:sz w:val="24"/>
              </w:rPr>
            </w:pPr>
          </w:p>
        </w:tc>
        <w:tc>
          <w:tcPr>
            <w:tcW w:w="758" w:type="pct"/>
            <w:vAlign w:val="center"/>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vAlign w:val="center"/>
          </w:tcPr>
          <w:p>
            <w:pPr>
              <w:spacing w:line="360" w:lineRule="auto"/>
              <w:jc w:val="center"/>
              <w:rPr>
                <w:rFonts w:ascii="宋体" w:hAnsi="宋体" w:cs="仿宋_GB2312"/>
                <w:sz w:val="24"/>
              </w:rPr>
            </w:pPr>
            <w:r>
              <w:rPr>
                <w:rFonts w:hint="eastAsia" w:ascii="宋体" w:hAnsi="宋体" w:cs="仿宋_GB2312"/>
                <w:sz w:val="24"/>
              </w:rPr>
              <w:t>…</w:t>
            </w:r>
          </w:p>
        </w:tc>
        <w:tc>
          <w:tcPr>
            <w:tcW w:w="756" w:type="pct"/>
            <w:vAlign w:val="center"/>
          </w:tcPr>
          <w:p>
            <w:pPr>
              <w:spacing w:line="360" w:lineRule="auto"/>
              <w:rPr>
                <w:rFonts w:ascii="宋体" w:hAnsi="宋体" w:cs="仿宋_GB2312"/>
                <w:sz w:val="24"/>
              </w:rPr>
            </w:pPr>
          </w:p>
        </w:tc>
        <w:tc>
          <w:tcPr>
            <w:tcW w:w="756" w:type="pct"/>
            <w:vAlign w:val="center"/>
          </w:tcPr>
          <w:p>
            <w:pPr>
              <w:spacing w:line="360" w:lineRule="auto"/>
              <w:rPr>
                <w:rFonts w:ascii="宋体" w:hAnsi="宋体" w:cs="仿宋_GB2312"/>
                <w:sz w:val="24"/>
              </w:rPr>
            </w:pPr>
          </w:p>
        </w:tc>
        <w:tc>
          <w:tcPr>
            <w:tcW w:w="756" w:type="pct"/>
            <w:vAlign w:val="center"/>
          </w:tcPr>
          <w:p>
            <w:pPr>
              <w:spacing w:line="360" w:lineRule="auto"/>
              <w:rPr>
                <w:rFonts w:ascii="宋体" w:hAnsi="宋体" w:cs="仿宋_GB2312"/>
                <w:sz w:val="24"/>
              </w:rPr>
            </w:pPr>
          </w:p>
        </w:tc>
        <w:tc>
          <w:tcPr>
            <w:tcW w:w="756" w:type="pct"/>
            <w:vAlign w:val="center"/>
          </w:tcPr>
          <w:p>
            <w:pPr>
              <w:spacing w:line="360" w:lineRule="auto"/>
              <w:rPr>
                <w:rFonts w:ascii="宋体" w:hAnsi="宋体" w:cs="仿宋_GB2312"/>
                <w:sz w:val="24"/>
              </w:rPr>
            </w:pPr>
          </w:p>
        </w:tc>
        <w:tc>
          <w:tcPr>
            <w:tcW w:w="756" w:type="pct"/>
            <w:vAlign w:val="center"/>
          </w:tcPr>
          <w:p>
            <w:pPr>
              <w:spacing w:line="360" w:lineRule="auto"/>
              <w:rPr>
                <w:rFonts w:ascii="宋体" w:hAnsi="宋体" w:cs="仿宋_GB2312"/>
                <w:sz w:val="24"/>
              </w:rPr>
            </w:pPr>
          </w:p>
        </w:tc>
        <w:tc>
          <w:tcPr>
            <w:tcW w:w="758" w:type="pct"/>
            <w:vAlign w:val="center"/>
          </w:tcPr>
          <w:p>
            <w:pPr>
              <w:spacing w:line="360" w:lineRule="auto"/>
              <w:rPr>
                <w:rFonts w:ascii="宋体" w:hAnsi="宋体" w:cs="仿宋_GB2312"/>
                <w:sz w:val="24"/>
              </w:rPr>
            </w:pPr>
          </w:p>
        </w:tc>
      </w:tr>
      <w:bookmarkEnd w:id="571"/>
    </w:tbl>
    <w:p>
      <w:pPr>
        <w:spacing w:line="360" w:lineRule="auto"/>
        <w:rPr>
          <w:rFonts w:ascii="宋体" w:hAnsi="宋体" w:cs="仿宋_GB2312"/>
          <w:sz w:val="24"/>
        </w:rPr>
      </w:pPr>
      <w:r>
        <w:rPr>
          <w:rFonts w:hint="eastAsia" w:ascii="宋体" w:hAnsi="宋体" w:cs="仿宋_GB2312"/>
          <w:sz w:val="24"/>
        </w:rPr>
        <w:t>注：供应商须按上表提供相应的业绩证明资料。</w:t>
      </w:r>
    </w:p>
    <w:p>
      <w:pPr>
        <w:widowControl/>
        <w:spacing w:before="100" w:beforeAutospacing="1" w:after="100" w:afterAutospacing="1"/>
        <w:rPr>
          <w:rFonts w:ascii="宋体" w:hAnsi="宋体" w:cs="Arial"/>
          <w:kern w:val="0"/>
          <w:sz w:val="20"/>
          <w:szCs w:val="21"/>
        </w:rPr>
      </w:pPr>
    </w:p>
    <w:p>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pPr>
        <w:spacing w:line="360" w:lineRule="auto"/>
        <w:ind w:firstLine="480" w:firstLineChars="200"/>
        <w:rPr>
          <w:rFonts w:ascii="宋体" w:hAnsi="宋体" w:cs="仿宋_GB2312"/>
          <w:sz w:val="24"/>
        </w:rPr>
      </w:pPr>
      <w:r>
        <w:rPr>
          <w:rFonts w:hint="eastAsia" w:ascii="宋体" w:hAnsi="宋体" w:cs="仿宋_GB2312"/>
          <w:sz w:val="24"/>
        </w:rPr>
        <w:t>法定代表人或授权代表：</w:t>
      </w:r>
      <w:r>
        <w:rPr>
          <w:rFonts w:hint="eastAsia" w:ascii="宋体" w:hAnsi="宋体" w:cs="仿宋_GB2312"/>
          <w:sz w:val="24"/>
          <w:u w:val="single"/>
        </w:rPr>
        <w:t xml:space="preserve">          </w:t>
      </w:r>
      <w:r>
        <w:rPr>
          <w:rFonts w:hint="eastAsia" w:ascii="宋体" w:hAnsi="宋体" w:cs="仿宋_GB2312"/>
          <w:sz w:val="24"/>
        </w:rPr>
        <w:t>（签字）</w:t>
      </w:r>
    </w:p>
    <w:p>
      <w:pPr>
        <w:spacing w:line="360" w:lineRule="auto"/>
        <w:ind w:firstLine="480" w:firstLineChars="200"/>
        <w:rPr>
          <w:rFonts w:ascii="宋体" w:hAnsi="宋体" w:cs="仿宋_GB2312"/>
          <w:sz w:val="24"/>
        </w:rPr>
      </w:pPr>
      <w:r>
        <w:rPr>
          <w:rFonts w:hint="eastAsia" w:ascii="宋体" w:hAnsi="宋体" w:cs="仿宋_GB2312"/>
          <w:sz w:val="24"/>
        </w:rPr>
        <w:t>日      期：    年   月   日</w:t>
      </w:r>
    </w:p>
    <w:p>
      <w:pPr>
        <w:keepNext/>
        <w:keepLines/>
        <w:spacing w:line="360" w:lineRule="auto"/>
        <w:ind w:left="2666" w:hanging="2666" w:hangingChars="1333"/>
        <w:jc w:val="center"/>
        <w:outlineLvl w:val="1"/>
        <w:rPr>
          <w:rFonts w:ascii="宋体" w:hAnsi="宋体" w:cs="仿宋_GB2312"/>
          <w:b/>
          <w:sz w:val="28"/>
          <w:szCs w:val="28"/>
        </w:rPr>
      </w:pPr>
      <w:r>
        <w:rPr>
          <w:rFonts w:ascii="宋体" w:hAnsi="宋体" w:cs="Arial"/>
          <w:kern w:val="0"/>
          <w:sz w:val="20"/>
          <w:szCs w:val="21"/>
        </w:rPr>
        <w:br w:type="page"/>
      </w:r>
      <w:bookmarkStart w:id="572" w:name="_Toc56708584"/>
      <w:bookmarkStart w:id="573" w:name="_Toc430813366"/>
      <w:bookmarkStart w:id="574" w:name="_Toc432367436"/>
      <w:bookmarkStart w:id="575" w:name="_Toc4306"/>
      <w:r>
        <w:rPr>
          <w:rFonts w:hint="eastAsia" w:ascii="宋体" w:hAnsi="宋体" w:cs="仿宋_GB2312"/>
          <w:b/>
          <w:sz w:val="28"/>
          <w:szCs w:val="28"/>
        </w:rPr>
        <w:t>（五）信誉、荣誉状况证明文件</w:t>
      </w:r>
      <w:bookmarkEnd w:id="572"/>
      <w:bookmarkEnd w:id="573"/>
      <w:bookmarkEnd w:id="574"/>
      <w:bookmarkEnd w:id="575"/>
    </w:p>
    <w:p>
      <w:pPr>
        <w:rPr>
          <w:rFonts w:ascii="宋体" w:hAnsi="宋体"/>
          <w:kern w:val="0"/>
          <w:sz w:val="20"/>
          <w:szCs w:val="20"/>
        </w:rPr>
      </w:pPr>
      <w:bookmarkStart w:id="576" w:name="_Toc430813367"/>
      <w:bookmarkStart w:id="577" w:name="_Toc6382"/>
    </w:p>
    <w:bookmarkEnd w:id="576"/>
    <w:bookmarkEnd w:id="577"/>
    <w:p>
      <w:pPr>
        <w:spacing w:line="360" w:lineRule="auto"/>
        <w:ind w:firstLine="480" w:firstLineChars="200"/>
        <w:rPr>
          <w:rFonts w:ascii="宋体" w:hAnsi="宋体" w:cs="仿宋_GB2312"/>
          <w:sz w:val="24"/>
        </w:rPr>
      </w:pPr>
      <w:r>
        <w:rPr>
          <w:rFonts w:hint="eastAsia" w:ascii="宋体" w:hAnsi="宋体" w:cs="仿宋_GB2312"/>
          <w:sz w:val="24"/>
        </w:rPr>
        <w:t>企业获得的荣誉证书、认证体系等。</w:t>
      </w:r>
    </w:p>
    <w:p>
      <w:pPr>
        <w:spacing w:line="360" w:lineRule="auto"/>
        <w:rPr>
          <w:rFonts w:ascii="宋体" w:hAnsi="宋体" w:cs="仿宋_GB2312"/>
          <w:sz w:val="24"/>
        </w:rPr>
      </w:pPr>
      <w:r>
        <w:rPr>
          <w:rFonts w:ascii="宋体" w:hAnsi="宋体" w:cs="仿宋_GB2312"/>
          <w:sz w:val="24"/>
        </w:rPr>
        <w:t xml:space="preserve"> </w:t>
      </w:r>
    </w:p>
    <w:p>
      <w:pPr>
        <w:rPr>
          <w:rFonts w:ascii="宋体" w:hAnsi="宋体"/>
          <w:kern w:val="0"/>
          <w:sz w:val="20"/>
          <w:szCs w:val="20"/>
        </w:rPr>
      </w:pPr>
    </w:p>
    <w:p>
      <w:pPr>
        <w:spacing w:line="360" w:lineRule="auto"/>
        <w:rPr>
          <w:rFonts w:ascii="宋体" w:hAnsi="宋体" w:cs="Arial"/>
          <w:bCs/>
          <w:kern w:val="0"/>
          <w:sz w:val="20"/>
          <w:szCs w:val="21"/>
        </w:rPr>
      </w:pPr>
      <w:r>
        <w:rPr>
          <w:rFonts w:ascii="宋体" w:hAnsi="宋体" w:cs="Arial"/>
          <w:kern w:val="0"/>
          <w:sz w:val="20"/>
          <w:szCs w:val="21"/>
        </w:rPr>
        <w:br w:type="page"/>
      </w:r>
    </w:p>
    <w:p>
      <w:pPr>
        <w:keepNext/>
        <w:keepLines/>
        <w:spacing w:line="360" w:lineRule="auto"/>
        <w:ind w:left="3747" w:hanging="3747" w:hangingChars="1333"/>
        <w:jc w:val="center"/>
        <w:outlineLvl w:val="1"/>
        <w:rPr>
          <w:rFonts w:ascii="宋体" w:hAnsi="宋体" w:cs="仿宋_GB2312"/>
          <w:b/>
          <w:sz w:val="28"/>
          <w:szCs w:val="28"/>
        </w:rPr>
      </w:pPr>
      <w:bookmarkStart w:id="578" w:name="_Toc56708585"/>
      <w:bookmarkStart w:id="579" w:name="_Toc430813369"/>
      <w:bookmarkStart w:id="580" w:name="_Toc432367437"/>
      <w:bookmarkStart w:id="581" w:name="_Toc22667"/>
      <w:r>
        <w:rPr>
          <w:rFonts w:hint="eastAsia" w:ascii="宋体" w:hAnsi="宋体" w:cs="仿宋_GB2312"/>
          <w:b/>
          <w:sz w:val="28"/>
          <w:szCs w:val="28"/>
        </w:rPr>
        <w:t>（六）商务偏离表</w:t>
      </w:r>
      <w:bookmarkEnd w:id="578"/>
      <w:bookmarkEnd w:id="579"/>
      <w:bookmarkEnd w:id="580"/>
      <w:bookmarkEnd w:id="581"/>
    </w:p>
    <w:p>
      <w:pPr>
        <w:spacing w:line="360" w:lineRule="auto"/>
        <w:rPr>
          <w:rFonts w:ascii="宋体" w:hAnsi="宋体" w:cs="仿宋_GB2312"/>
          <w:sz w:val="24"/>
        </w:rPr>
      </w:pPr>
      <w:r>
        <w:rPr>
          <w:rFonts w:hint="eastAsia" w:ascii="宋体" w:hAnsi="宋体" w:cs="仿宋_GB2312"/>
          <w:sz w:val="24"/>
        </w:rPr>
        <w:t xml:space="preserve">项目名称：                                         </w:t>
      </w:r>
    </w:p>
    <w:p>
      <w:pPr>
        <w:spacing w:line="360" w:lineRule="auto"/>
        <w:rPr>
          <w:rFonts w:ascii="宋体" w:hAnsi="宋体" w:cs="仿宋_GB2312"/>
          <w:sz w:val="24"/>
        </w:rPr>
      </w:pPr>
      <w:r>
        <w:rPr>
          <w:rFonts w:hint="eastAsia" w:ascii="宋体" w:hAnsi="宋体" w:cs="仿宋_GB2312"/>
          <w:sz w:val="24"/>
        </w:rPr>
        <w:t xml:space="preserve">项目编号：        </w:t>
      </w:r>
    </w:p>
    <w:tbl>
      <w:tblPr>
        <w:tblStyle w:val="5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2076"/>
        <w:gridCol w:w="2432"/>
        <w:gridCol w:w="2383"/>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Align w:val="center"/>
          </w:tcPr>
          <w:p>
            <w:pPr>
              <w:spacing w:line="360" w:lineRule="auto"/>
              <w:rPr>
                <w:rFonts w:ascii="宋体" w:hAnsi="宋体" w:cs="仿宋_GB2312"/>
                <w:sz w:val="24"/>
              </w:rPr>
            </w:pPr>
            <w:r>
              <w:rPr>
                <w:rFonts w:hint="eastAsia" w:ascii="宋体" w:hAnsi="宋体" w:cs="仿宋_GB2312"/>
                <w:sz w:val="24"/>
              </w:rPr>
              <w:t>序号</w:t>
            </w:r>
          </w:p>
        </w:tc>
        <w:tc>
          <w:tcPr>
            <w:tcW w:w="1217" w:type="pct"/>
            <w:vAlign w:val="center"/>
          </w:tcPr>
          <w:p>
            <w:pPr>
              <w:spacing w:line="360" w:lineRule="auto"/>
              <w:jc w:val="center"/>
              <w:rPr>
                <w:rFonts w:ascii="宋体" w:hAnsi="宋体" w:cs="仿宋_GB2312"/>
                <w:sz w:val="24"/>
              </w:rPr>
            </w:pPr>
            <w:r>
              <w:rPr>
                <w:rFonts w:hint="eastAsia" w:ascii="宋体" w:hAnsi="宋体" w:cs="仿宋_GB2312"/>
                <w:sz w:val="24"/>
              </w:rPr>
              <w:t>磋商文件条款项</w:t>
            </w:r>
          </w:p>
        </w:tc>
        <w:tc>
          <w:tcPr>
            <w:tcW w:w="1426" w:type="pct"/>
            <w:vAlign w:val="center"/>
          </w:tcPr>
          <w:p>
            <w:pPr>
              <w:spacing w:line="360" w:lineRule="auto"/>
              <w:jc w:val="center"/>
              <w:rPr>
                <w:rFonts w:ascii="宋体" w:hAnsi="宋体" w:cs="仿宋_GB2312"/>
                <w:sz w:val="24"/>
              </w:rPr>
            </w:pPr>
            <w:r>
              <w:rPr>
                <w:rFonts w:hint="eastAsia" w:ascii="宋体" w:hAnsi="宋体" w:cs="仿宋_GB2312"/>
                <w:sz w:val="24"/>
              </w:rPr>
              <w:t>磋商文件的商务条款</w:t>
            </w:r>
          </w:p>
        </w:tc>
        <w:tc>
          <w:tcPr>
            <w:tcW w:w="1397" w:type="pct"/>
            <w:vAlign w:val="center"/>
          </w:tcPr>
          <w:p>
            <w:pPr>
              <w:spacing w:line="360" w:lineRule="auto"/>
              <w:jc w:val="center"/>
              <w:rPr>
                <w:rFonts w:ascii="宋体" w:hAnsi="宋体" w:cs="仿宋_GB2312"/>
                <w:sz w:val="24"/>
              </w:rPr>
            </w:pPr>
            <w:r>
              <w:rPr>
                <w:rFonts w:hint="eastAsia" w:ascii="宋体" w:hAnsi="宋体" w:cs="仿宋_GB2312"/>
                <w:sz w:val="24"/>
              </w:rPr>
              <w:t>响应文件的商务条款</w:t>
            </w:r>
          </w:p>
        </w:tc>
        <w:tc>
          <w:tcPr>
            <w:tcW w:w="531" w:type="pct"/>
            <w:vAlign w:val="center"/>
          </w:tcPr>
          <w:p>
            <w:pPr>
              <w:spacing w:line="360" w:lineRule="auto"/>
              <w:jc w:val="center"/>
              <w:rPr>
                <w:rFonts w:ascii="宋体" w:hAnsi="宋体" w:cs="仿宋_GB2312"/>
                <w:sz w:val="24"/>
              </w:rPr>
            </w:pPr>
            <w:r>
              <w:rPr>
                <w:rFonts w:hint="eastAsia" w:ascii="宋体" w:hAnsi="宋体" w:cs="仿宋_GB2312"/>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pPr>
              <w:spacing w:line="360" w:lineRule="auto"/>
              <w:rPr>
                <w:rFonts w:ascii="宋体" w:hAnsi="宋体" w:cs="仿宋_GB2312"/>
                <w:sz w:val="24"/>
              </w:rPr>
            </w:pPr>
          </w:p>
        </w:tc>
        <w:tc>
          <w:tcPr>
            <w:tcW w:w="1217" w:type="pct"/>
          </w:tcPr>
          <w:p>
            <w:pPr>
              <w:spacing w:line="360" w:lineRule="auto"/>
              <w:rPr>
                <w:rFonts w:ascii="宋体" w:hAnsi="宋体" w:cs="仿宋_GB2312"/>
                <w:sz w:val="24"/>
              </w:rPr>
            </w:pPr>
          </w:p>
        </w:tc>
        <w:tc>
          <w:tcPr>
            <w:tcW w:w="1426" w:type="pct"/>
          </w:tcPr>
          <w:p>
            <w:pPr>
              <w:spacing w:line="360" w:lineRule="auto"/>
              <w:rPr>
                <w:rFonts w:ascii="宋体" w:hAnsi="宋体" w:cs="仿宋_GB2312"/>
                <w:sz w:val="24"/>
              </w:rPr>
            </w:pPr>
          </w:p>
        </w:tc>
        <w:tc>
          <w:tcPr>
            <w:tcW w:w="1397" w:type="pct"/>
          </w:tcPr>
          <w:p>
            <w:pPr>
              <w:spacing w:line="360" w:lineRule="auto"/>
              <w:rPr>
                <w:rFonts w:ascii="宋体" w:hAnsi="宋体" w:cs="仿宋_GB2312"/>
                <w:sz w:val="24"/>
              </w:rPr>
            </w:pPr>
          </w:p>
        </w:tc>
        <w:tc>
          <w:tcPr>
            <w:tcW w:w="531" w:type="pct"/>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pPr>
              <w:spacing w:line="360" w:lineRule="auto"/>
              <w:rPr>
                <w:rFonts w:ascii="宋体" w:hAnsi="宋体" w:cs="仿宋_GB2312"/>
                <w:sz w:val="24"/>
              </w:rPr>
            </w:pPr>
          </w:p>
        </w:tc>
        <w:tc>
          <w:tcPr>
            <w:tcW w:w="1217" w:type="pct"/>
          </w:tcPr>
          <w:p>
            <w:pPr>
              <w:spacing w:line="360" w:lineRule="auto"/>
              <w:rPr>
                <w:rFonts w:ascii="宋体" w:hAnsi="宋体" w:cs="仿宋_GB2312"/>
                <w:sz w:val="24"/>
              </w:rPr>
            </w:pPr>
          </w:p>
        </w:tc>
        <w:tc>
          <w:tcPr>
            <w:tcW w:w="1426" w:type="pct"/>
          </w:tcPr>
          <w:p>
            <w:pPr>
              <w:spacing w:line="360" w:lineRule="auto"/>
              <w:rPr>
                <w:rFonts w:ascii="宋体" w:hAnsi="宋体" w:cs="仿宋_GB2312"/>
                <w:sz w:val="24"/>
              </w:rPr>
            </w:pPr>
          </w:p>
        </w:tc>
        <w:tc>
          <w:tcPr>
            <w:tcW w:w="1397" w:type="pct"/>
          </w:tcPr>
          <w:p>
            <w:pPr>
              <w:spacing w:line="360" w:lineRule="auto"/>
              <w:rPr>
                <w:rFonts w:ascii="宋体" w:hAnsi="宋体" w:cs="仿宋_GB2312"/>
                <w:sz w:val="24"/>
              </w:rPr>
            </w:pPr>
          </w:p>
        </w:tc>
        <w:tc>
          <w:tcPr>
            <w:tcW w:w="531" w:type="pct"/>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pPr>
              <w:spacing w:line="360" w:lineRule="auto"/>
              <w:rPr>
                <w:rFonts w:ascii="宋体" w:hAnsi="宋体" w:cs="仿宋_GB2312"/>
                <w:sz w:val="24"/>
              </w:rPr>
            </w:pPr>
          </w:p>
        </w:tc>
        <w:tc>
          <w:tcPr>
            <w:tcW w:w="1217" w:type="pct"/>
          </w:tcPr>
          <w:p>
            <w:pPr>
              <w:spacing w:line="360" w:lineRule="auto"/>
              <w:rPr>
                <w:rFonts w:ascii="宋体" w:hAnsi="宋体" w:cs="仿宋_GB2312"/>
                <w:sz w:val="24"/>
              </w:rPr>
            </w:pPr>
          </w:p>
        </w:tc>
        <w:tc>
          <w:tcPr>
            <w:tcW w:w="1426" w:type="pct"/>
          </w:tcPr>
          <w:p>
            <w:pPr>
              <w:spacing w:line="360" w:lineRule="auto"/>
              <w:rPr>
                <w:rFonts w:ascii="宋体" w:hAnsi="宋体" w:cs="仿宋_GB2312"/>
                <w:sz w:val="24"/>
              </w:rPr>
            </w:pPr>
          </w:p>
        </w:tc>
        <w:tc>
          <w:tcPr>
            <w:tcW w:w="1397" w:type="pct"/>
          </w:tcPr>
          <w:p>
            <w:pPr>
              <w:spacing w:line="360" w:lineRule="auto"/>
              <w:rPr>
                <w:rFonts w:ascii="宋体" w:hAnsi="宋体" w:cs="仿宋_GB2312"/>
                <w:sz w:val="24"/>
              </w:rPr>
            </w:pPr>
          </w:p>
        </w:tc>
        <w:tc>
          <w:tcPr>
            <w:tcW w:w="531" w:type="pct"/>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pPr>
              <w:spacing w:line="300" w:lineRule="auto"/>
              <w:rPr>
                <w:rFonts w:ascii="宋体" w:hAnsi="宋体" w:cs="Arial"/>
                <w:kern w:val="0"/>
                <w:szCs w:val="21"/>
              </w:rPr>
            </w:pPr>
          </w:p>
        </w:tc>
        <w:tc>
          <w:tcPr>
            <w:tcW w:w="1217" w:type="pct"/>
          </w:tcPr>
          <w:p>
            <w:pPr>
              <w:spacing w:line="300" w:lineRule="auto"/>
              <w:rPr>
                <w:rFonts w:ascii="宋体" w:hAnsi="宋体" w:cs="Arial"/>
                <w:kern w:val="0"/>
                <w:szCs w:val="21"/>
              </w:rPr>
            </w:pPr>
          </w:p>
        </w:tc>
        <w:tc>
          <w:tcPr>
            <w:tcW w:w="1426" w:type="pct"/>
          </w:tcPr>
          <w:p>
            <w:pPr>
              <w:spacing w:line="300" w:lineRule="auto"/>
              <w:rPr>
                <w:rFonts w:ascii="宋体" w:hAnsi="宋体" w:cs="Arial"/>
                <w:kern w:val="0"/>
                <w:szCs w:val="21"/>
              </w:rPr>
            </w:pPr>
          </w:p>
        </w:tc>
        <w:tc>
          <w:tcPr>
            <w:tcW w:w="1397" w:type="pct"/>
          </w:tcPr>
          <w:p>
            <w:pPr>
              <w:spacing w:line="300" w:lineRule="auto"/>
              <w:rPr>
                <w:rFonts w:ascii="宋体" w:hAnsi="宋体" w:cs="Arial"/>
                <w:kern w:val="0"/>
                <w:szCs w:val="21"/>
              </w:rPr>
            </w:pPr>
          </w:p>
        </w:tc>
        <w:tc>
          <w:tcPr>
            <w:tcW w:w="531" w:type="pct"/>
          </w:tcPr>
          <w:p>
            <w:pPr>
              <w:spacing w:line="300" w:lineRule="auto"/>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pPr>
              <w:spacing w:line="300" w:lineRule="auto"/>
              <w:rPr>
                <w:rFonts w:ascii="宋体" w:hAnsi="宋体" w:cs="Arial"/>
                <w:kern w:val="0"/>
                <w:szCs w:val="21"/>
              </w:rPr>
            </w:pPr>
          </w:p>
        </w:tc>
        <w:tc>
          <w:tcPr>
            <w:tcW w:w="1217" w:type="pct"/>
          </w:tcPr>
          <w:p>
            <w:pPr>
              <w:spacing w:line="300" w:lineRule="auto"/>
              <w:rPr>
                <w:rFonts w:ascii="宋体" w:hAnsi="宋体" w:cs="Arial"/>
                <w:kern w:val="0"/>
                <w:szCs w:val="21"/>
              </w:rPr>
            </w:pPr>
          </w:p>
        </w:tc>
        <w:tc>
          <w:tcPr>
            <w:tcW w:w="1426" w:type="pct"/>
          </w:tcPr>
          <w:p>
            <w:pPr>
              <w:spacing w:line="300" w:lineRule="auto"/>
              <w:rPr>
                <w:rFonts w:ascii="宋体" w:hAnsi="宋体" w:cs="Arial"/>
                <w:kern w:val="0"/>
                <w:szCs w:val="21"/>
              </w:rPr>
            </w:pPr>
          </w:p>
        </w:tc>
        <w:tc>
          <w:tcPr>
            <w:tcW w:w="1397" w:type="pct"/>
          </w:tcPr>
          <w:p>
            <w:pPr>
              <w:spacing w:line="300" w:lineRule="auto"/>
              <w:rPr>
                <w:rFonts w:ascii="宋体" w:hAnsi="宋体" w:cs="Arial"/>
                <w:kern w:val="0"/>
                <w:szCs w:val="21"/>
              </w:rPr>
            </w:pPr>
          </w:p>
        </w:tc>
        <w:tc>
          <w:tcPr>
            <w:tcW w:w="531" w:type="pct"/>
          </w:tcPr>
          <w:p>
            <w:pPr>
              <w:spacing w:line="300" w:lineRule="auto"/>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pPr>
              <w:spacing w:line="300" w:lineRule="auto"/>
              <w:rPr>
                <w:rFonts w:ascii="宋体" w:hAnsi="宋体" w:cs="Arial"/>
                <w:kern w:val="0"/>
                <w:szCs w:val="21"/>
              </w:rPr>
            </w:pPr>
          </w:p>
        </w:tc>
        <w:tc>
          <w:tcPr>
            <w:tcW w:w="1217" w:type="pct"/>
          </w:tcPr>
          <w:p>
            <w:pPr>
              <w:spacing w:line="300" w:lineRule="auto"/>
              <w:rPr>
                <w:rFonts w:ascii="宋体" w:hAnsi="宋体" w:cs="Arial"/>
                <w:kern w:val="0"/>
                <w:szCs w:val="21"/>
              </w:rPr>
            </w:pPr>
          </w:p>
        </w:tc>
        <w:tc>
          <w:tcPr>
            <w:tcW w:w="1426" w:type="pct"/>
          </w:tcPr>
          <w:p>
            <w:pPr>
              <w:spacing w:line="300" w:lineRule="auto"/>
              <w:rPr>
                <w:rFonts w:ascii="宋体" w:hAnsi="宋体" w:cs="Arial"/>
                <w:kern w:val="0"/>
                <w:szCs w:val="21"/>
              </w:rPr>
            </w:pPr>
          </w:p>
        </w:tc>
        <w:tc>
          <w:tcPr>
            <w:tcW w:w="1397" w:type="pct"/>
          </w:tcPr>
          <w:p>
            <w:pPr>
              <w:spacing w:line="300" w:lineRule="auto"/>
              <w:rPr>
                <w:rFonts w:ascii="宋体" w:hAnsi="宋体" w:cs="Arial"/>
                <w:kern w:val="0"/>
                <w:szCs w:val="21"/>
              </w:rPr>
            </w:pPr>
          </w:p>
        </w:tc>
        <w:tc>
          <w:tcPr>
            <w:tcW w:w="531" w:type="pct"/>
          </w:tcPr>
          <w:p>
            <w:pPr>
              <w:spacing w:line="300" w:lineRule="auto"/>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pPr>
              <w:spacing w:line="300" w:lineRule="auto"/>
              <w:rPr>
                <w:rFonts w:ascii="宋体" w:hAnsi="宋体" w:cs="Arial"/>
                <w:kern w:val="0"/>
                <w:szCs w:val="21"/>
              </w:rPr>
            </w:pPr>
          </w:p>
        </w:tc>
        <w:tc>
          <w:tcPr>
            <w:tcW w:w="1217" w:type="pct"/>
          </w:tcPr>
          <w:p>
            <w:pPr>
              <w:spacing w:line="300" w:lineRule="auto"/>
              <w:rPr>
                <w:rFonts w:ascii="宋体" w:hAnsi="宋体" w:cs="Arial"/>
                <w:kern w:val="0"/>
                <w:szCs w:val="21"/>
              </w:rPr>
            </w:pPr>
          </w:p>
        </w:tc>
        <w:tc>
          <w:tcPr>
            <w:tcW w:w="1426" w:type="pct"/>
          </w:tcPr>
          <w:p>
            <w:pPr>
              <w:spacing w:line="300" w:lineRule="auto"/>
              <w:rPr>
                <w:rFonts w:ascii="宋体" w:hAnsi="宋体" w:cs="Arial"/>
                <w:kern w:val="0"/>
                <w:szCs w:val="21"/>
              </w:rPr>
            </w:pPr>
          </w:p>
        </w:tc>
        <w:tc>
          <w:tcPr>
            <w:tcW w:w="1397" w:type="pct"/>
          </w:tcPr>
          <w:p>
            <w:pPr>
              <w:spacing w:line="300" w:lineRule="auto"/>
              <w:rPr>
                <w:rFonts w:ascii="宋体" w:hAnsi="宋体" w:cs="Arial"/>
                <w:kern w:val="0"/>
                <w:szCs w:val="21"/>
              </w:rPr>
            </w:pPr>
          </w:p>
        </w:tc>
        <w:tc>
          <w:tcPr>
            <w:tcW w:w="531" w:type="pct"/>
          </w:tcPr>
          <w:p>
            <w:pPr>
              <w:spacing w:line="300" w:lineRule="auto"/>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pPr>
              <w:spacing w:line="300" w:lineRule="auto"/>
              <w:rPr>
                <w:rFonts w:ascii="宋体" w:hAnsi="宋体" w:cs="Arial"/>
                <w:kern w:val="0"/>
                <w:szCs w:val="21"/>
              </w:rPr>
            </w:pPr>
          </w:p>
        </w:tc>
        <w:tc>
          <w:tcPr>
            <w:tcW w:w="1217" w:type="pct"/>
          </w:tcPr>
          <w:p>
            <w:pPr>
              <w:spacing w:line="300" w:lineRule="auto"/>
              <w:rPr>
                <w:rFonts w:ascii="宋体" w:hAnsi="宋体" w:cs="Arial"/>
                <w:kern w:val="0"/>
                <w:szCs w:val="21"/>
              </w:rPr>
            </w:pPr>
          </w:p>
        </w:tc>
        <w:tc>
          <w:tcPr>
            <w:tcW w:w="1426" w:type="pct"/>
          </w:tcPr>
          <w:p>
            <w:pPr>
              <w:spacing w:line="300" w:lineRule="auto"/>
              <w:rPr>
                <w:rFonts w:ascii="宋体" w:hAnsi="宋体" w:cs="Arial"/>
                <w:kern w:val="0"/>
                <w:szCs w:val="21"/>
              </w:rPr>
            </w:pPr>
          </w:p>
        </w:tc>
        <w:tc>
          <w:tcPr>
            <w:tcW w:w="1397" w:type="pct"/>
          </w:tcPr>
          <w:p>
            <w:pPr>
              <w:spacing w:line="300" w:lineRule="auto"/>
              <w:rPr>
                <w:rFonts w:ascii="宋体" w:hAnsi="宋体" w:cs="Arial"/>
                <w:kern w:val="0"/>
                <w:szCs w:val="21"/>
              </w:rPr>
            </w:pPr>
          </w:p>
        </w:tc>
        <w:tc>
          <w:tcPr>
            <w:tcW w:w="531" w:type="pct"/>
          </w:tcPr>
          <w:p>
            <w:pPr>
              <w:spacing w:line="300" w:lineRule="auto"/>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pPr>
              <w:spacing w:line="300" w:lineRule="auto"/>
              <w:rPr>
                <w:rFonts w:ascii="宋体" w:hAnsi="宋体" w:cs="Arial"/>
                <w:kern w:val="0"/>
                <w:szCs w:val="21"/>
              </w:rPr>
            </w:pPr>
          </w:p>
        </w:tc>
        <w:tc>
          <w:tcPr>
            <w:tcW w:w="1217" w:type="pct"/>
          </w:tcPr>
          <w:p>
            <w:pPr>
              <w:spacing w:line="300" w:lineRule="auto"/>
              <w:rPr>
                <w:rFonts w:ascii="宋体" w:hAnsi="宋体" w:cs="Arial"/>
                <w:kern w:val="0"/>
                <w:szCs w:val="21"/>
              </w:rPr>
            </w:pPr>
          </w:p>
        </w:tc>
        <w:tc>
          <w:tcPr>
            <w:tcW w:w="1426" w:type="pct"/>
          </w:tcPr>
          <w:p>
            <w:pPr>
              <w:spacing w:line="300" w:lineRule="auto"/>
              <w:rPr>
                <w:rFonts w:ascii="宋体" w:hAnsi="宋体" w:cs="Arial"/>
                <w:kern w:val="0"/>
                <w:szCs w:val="21"/>
              </w:rPr>
            </w:pPr>
          </w:p>
        </w:tc>
        <w:tc>
          <w:tcPr>
            <w:tcW w:w="1397" w:type="pct"/>
          </w:tcPr>
          <w:p>
            <w:pPr>
              <w:spacing w:line="300" w:lineRule="auto"/>
              <w:rPr>
                <w:rFonts w:ascii="宋体" w:hAnsi="宋体" w:cs="Arial"/>
                <w:kern w:val="0"/>
                <w:szCs w:val="21"/>
              </w:rPr>
            </w:pPr>
          </w:p>
        </w:tc>
        <w:tc>
          <w:tcPr>
            <w:tcW w:w="531" w:type="pct"/>
          </w:tcPr>
          <w:p>
            <w:pPr>
              <w:spacing w:line="300" w:lineRule="auto"/>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pPr>
              <w:spacing w:line="300" w:lineRule="auto"/>
              <w:rPr>
                <w:rFonts w:ascii="宋体" w:hAnsi="宋体" w:cs="Arial"/>
                <w:kern w:val="0"/>
                <w:szCs w:val="21"/>
              </w:rPr>
            </w:pPr>
          </w:p>
        </w:tc>
        <w:tc>
          <w:tcPr>
            <w:tcW w:w="1217" w:type="pct"/>
          </w:tcPr>
          <w:p>
            <w:pPr>
              <w:spacing w:line="300" w:lineRule="auto"/>
              <w:rPr>
                <w:rFonts w:ascii="宋体" w:hAnsi="宋体" w:cs="Arial"/>
                <w:kern w:val="0"/>
                <w:szCs w:val="21"/>
              </w:rPr>
            </w:pPr>
          </w:p>
        </w:tc>
        <w:tc>
          <w:tcPr>
            <w:tcW w:w="1426" w:type="pct"/>
          </w:tcPr>
          <w:p>
            <w:pPr>
              <w:spacing w:line="300" w:lineRule="auto"/>
              <w:rPr>
                <w:rFonts w:ascii="宋体" w:hAnsi="宋体" w:cs="Arial"/>
                <w:kern w:val="0"/>
                <w:szCs w:val="21"/>
              </w:rPr>
            </w:pPr>
          </w:p>
        </w:tc>
        <w:tc>
          <w:tcPr>
            <w:tcW w:w="1397" w:type="pct"/>
          </w:tcPr>
          <w:p>
            <w:pPr>
              <w:spacing w:line="300" w:lineRule="auto"/>
              <w:rPr>
                <w:rFonts w:ascii="宋体" w:hAnsi="宋体" w:cs="Arial"/>
                <w:kern w:val="0"/>
                <w:szCs w:val="21"/>
              </w:rPr>
            </w:pPr>
          </w:p>
        </w:tc>
        <w:tc>
          <w:tcPr>
            <w:tcW w:w="531" w:type="pct"/>
          </w:tcPr>
          <w:p>
            <w:pPr>
              <w:spacing w:line="300" w:lineRule="auto"/>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pPr>
              <w:spacing w:line="300" w:lineRule="auto"/>
              <w:rPr>
                <w:rFonts w:ascii="宋体" w:hAnsi="宋体" w:cs="Arial"/>
                <w:kern w:val="0"/>
                <w:szCs w:val="21"/>
              </w:rPr>
            </w:pPr>
          </w:p>
        </w:tc>
        <w:tc>
          <w:tcPr>
            <w:tcW w:w="1217" w:type="pct"/>
          </w:tcPr>
          <w:p>
            <w:pPr>
              <w:spacing w:line="300" w:lineRule="auto"/>
              <w:rPr>
                <w:rFonts w:ascii="宋体" w:hAnsi="宋体" w:cs="Arial"/>
                <w:kern w:val="0"/>
                <w:szCs w:val="21"/>
              </w:rPr>
            </w:pPr>
          </w:p>
        </w:tc>
        <w:tc>
          <w:tcPr>
            <w:tcW w:w="1426" w:type="pct"/>
          </w:tcPr>
          <w:p>
            <w:pPr>
              <w:spacing w:line="300" w:lineRule="auto"/>
              <w:rPr>
                <w:rFonts w:ascii="宋体" w:hAnsi="宋体" w:cs="Arial"/>
                <w:kern w:val="0"/>
                <w:szCs w:val="21"/>
              </w:rPr>
            </w:pPr>
          </w:p>
        </w:tc>
        <w:tc>
          <w:tcPr>
            <w:tcW w:w="1397" w:type="pct"/>
          </w:tcPr>
          <w:p>
            <w:pPr>
              <w:spacing w:line="300" w:lineRule="auto"/>
              <w:rPr>
                <w:rFonts w:ascii="宋体" w:hAnsi="宋体" w:cs="Arial"/>
                <w:kern w:val="0"/>
                <w:szCs w:val="21"/>
              </w:rPr>
            </w:pPr>
          </w:p>
        </w:tc>
        <w:tc>
          <w:tcPr>
            <w:tcW w:w="531" w:type="pct"/>
          </w:tcPr>
          <w:p>
            <w:pPr>
              <w:spacing w:line="300" w:lineRule="auto"/>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pPr>
              <w:spacing w:line="300" w:lineRule="auto"/>
              <w:rPr>
                <w:rFonts w:ascii="宋体" w:hAnsi="宋体" w:cs="Arial"/>
                <w:kern w:val="0"/>
                <w:szCs w:val="21"/>
              </w:rPr>
            </w:pPr>
          </w:p>
        </w:tc>
        <w:tc>
          <w:tcPr>
            <w:tcW w:w="1217" w:type="pct"/>
          </w:tcPr>
          <w:p>
            <w:pPr>
              <w:spacing w:line="300" w:lineRule="auto"/>
              <w:rPr>
                <w:rFonts w:ascii="宋体" w:hAnsi="宋体" w:cs="Arial"/>
                <w:kern w:val="0"/>
                <w:szCs w:val="21"/>
              </w:rPr>
            </w:pPr>
          </w:p>
        </w:tc>
        <w:tc>
          <w:tcPr>
            <w:tcW w:w="1426" w:type="pct"/>
          </w:tcPr>
          <w:p>
            <w:pPr>
              <w:spacing w:line="300" w:lineRule="auto"/>
              <w:rPr>
                <w:rFonts w:ascii="宋体" w:hAnsi="宋体" w:cs="Arial"/>
                <w:kern w:val="0"/>
                <w:szCs w:val="21"/>
              </w:rPr>
            </w:pPr>
          </w:p>
        </w:tc>
        <w:tc>
          <w:tcPr>
            <w:tcW w:w="1397" w:type="pct"/>
          </w:tcPr>
          <w:p>
            <w:pPr>
              <w:spacing w:line="300" w:lineRule="auto"/>
              <w:rPr>
                <w:rFonts w:ascii="宋体" w:hAnsi="宋体" w:cs="Arial"/>
                <w:kern w:val="0"/>
                <w:szCs w:val="21"/>
              </w:rPr>
            </w:pPr>
          </w:p>
        </w:tc>
        <w:tc>
          <w:tcPr>
            <w:tcW w:w="531" w:type="pct"/>
          </w:tcPr>
          <w:p>
            <w:pPr>
              <w:spacing w:line="300" w:lineRule="auto"/>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pPr>
              <w:spacing w:line="300" w:lineRule="auto"/>
              <w:rPr>
                <w:rFonts w:ascii="宋体" w:hAnsi="宋体" w:cs="Arial"/>
                <w:kern w:val="0"/>
                <w:szCs w:val="21"/>
              </w:rPr>
            </w:pPr>
          </w:p>
        </w:tc>
        <w:tc>
          <w:tcPr>
            <w:tcW w:w="1217" w:type="pct"/>
          </w:tcPr>
          <w:p>
            <w:pPr>
              <w:spacing w:line="300" w:lineRule="auto"/>
              <w:rPr>
                <w:rFonts w:ascii="宋体" w:hAnsi="宋体" w:cs="Arial"/>
                <w:kern w:val="0"/>
                <w:szCs w:val="21"/>
              </w:rPr>
            </w:pPr>
          </w:p>
        </w:tc>
        <w:tc>
          <w:tcPr>
            <w:tcW w:w="1426" w:type="pct"/>
          </w:tcPr>
          <w:p>
            <w:pPr>
              <w:spacing w:line="300" w:lineRule="auto"/>
              <w:rPr>
                <w:rFonts w:ascii="宋体" w:hAnsi="宋体" w:cs="Arial"/>
                <w:kern w:val="0"/>
                <w:szCs w:val="21"/>
              </w:rPr>
            </w:pPr>
          </w:p>
        </w:tc>
        <w:tc>
          <w:tcPr>
            <w:tcW w:w="1397" w:type="pct"/>
          </w:tcPr>
          <w:p>
            <w:pPr>
              <w:spacing w:line="300" w:lineRule="auto"/>
              <w:rPr>
                <w:rFonts w:ascii="宋体" w:hAnsi="宋体" w:cs="Arial"/>
                <w:kern w:val="0"/>
                <w:szCs w:val="21"/>
              </w:rPr>
            </w:pPr>
          </w:p>
        </w:tc>
        <w:tc>
          <w:tcPr>
            <w:tcW w:w="531" w:type="pct"/>
          </w:tcPr>
          <w:p>
            <w:pPr>
              <w:spacing w:line="300" w:lineRule="auto"/>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pPr>
              <w:spacing w:line="300" w:lineRule="auto"/>
              <w:rPr>
                <w:rFonts w:ascii="宋体" w:hAnsi="宋体" w:cs="Arial"/>
                <w:kern w:val="0"/>
                <w:szCs w:val="21"/>
              </w:rPr>
            </w:pPr>
          </w:p>
        </w:tc>
        <w:tc>
          <w:tcPr>
            <w:tcW w:w="1217" w:type="pct"/>
          </w:tcPr>
          <w:p>
            <w:pPr>
              <w:spacing w:line="300" w:lineRule="auto"/>
              <w:rPr>
                <w:rFonts w:ascii="宋体" w:hAnsi="宋体" w:cs="Arial"/>
                <w:kern w:val="0"/>
                <w:szCs w:val="21"/>
              </w:rPr>
            </w:pPr>
          </w:p>
        </w:tc>
        <w:tc>
          <w:tcPr>
            <w:tcW w:w="1426" w:type="pct"/>
          </w:tcPr>
          <w:p>
            <w:pPr>
              <w:spacing w:line="300" w:lineRule="auto"/>
              <w:rPr>
                <w:rFonts w:ascii="宋体" w:hAnsi="宋体" w:cs="Arial"/>
                <w:kern w:val="0"/>
                <w:szCs w:val="21"/>
              </w:rPr>
            </w:pPr>
          </w:p>
        </w:tc>
        <w:tc>
          <w:tcPr>
            <w:tcW w:w="1397" w:type="pct"/>
          </w:tcPr>
          <w:p>
            <w:pPr>
              <w:spacing w:line="300" w:lineRule="auto"/>
              <w:rPr>
                <w:rFonts w:ascii="宋体" w:hAnsi="宋体" w:cs="Arial"/>
                <w:kern w:val="0"/>
                <w:szCs w:val="21"/>
              </w:rPr>
            </w:pPr>
          </w:p>
        </w:tc>
        <w:tc>
          <w:tcPr>
            <w:tcW w:w="531" w:type="pct"/>
          </w:tcPr>
          <w:p>
            <w:pPr>
              <w:spacing w:line="300" w:lineRule="auto"/>
              <w:rPr>
                <w:rFonts w:ascii="宋体" w:hAnsi="宋体" w:cs="Arial"/>
                <w:kern w:val="0"/>
                <w:szCs w:val="21"/>
              </w:rPr>
            </w:pPr>
          </w:p>
        </w:tc>
      </w:tr>
    </w:tbl>
    <w:p>
      <w:pPr>
        <w:spacing w:line="360" w:lineRule="auto"/>
        <w:ind w:firstLine="480" w:firstLineChars="200"/>
        <w:rPr>
          <w:rFonts w:ascii="宋体" w:hAnsi="宋体" w:cs="仿宋_GB2312"/>
          <w:sz w:val="24"/>
        </w:rPr>
      </w:pPr>
      <w:r>
        <w:rPr>
          <w:rFonts w:hint="eastAsia" w:ascii="宋体" w:hAnsi="宋体" w:cs="仿宋_GB2312"/>
          <w:sz w:val="24"/>
        </w:rPr>
        <w:t>注：</w:t>
      </w:r>
    </w:p>
    <w:p>
      <w:pPr>
        <w:spacing w:line="360" w:lineRule="auto"/>
        <w:ind w:firstLine="480" w:firstLineChars="200"/>
        <w:rPr>
          <w:rFonts w:ascii="宋体" w:hAnsi="宋体" w:cs="仿宋_GB2312"/>
          <w:sz w:val="24"/>
        </w:rPr>
      </w:pPr>
      <w:bookmarkStart w:id="582" w:name="_Hlk46779266"/>
      <w:r>
        <w:rPr>
          <w:rFonts w:hint="eastAsia" w:ascii="宋体" w:hAnsi="宋体" w:cs="仿宋_GB2312"/>
          <w:sz w:val="24"/>
        </w:rPr>
        <w:t>1. 供应商应对商务基本要求，提出遵守声明；</w:t>
      </w:r>
    </w:p>
    <w:p>
      <w:pPr>
        <w:spacing w:line="360" w:lineRule="auto"/>
        <w:ind w:firstLine="480" w:firstLineChars="200"/>
        <w:rPr>
          <w:rFonts w:ascii="宋体" w:hAnsi="宋体" w:cs="仿宋_GB2312"/>
          <w:sz w:val="24"/>
        </w:rPr>
      </w:pPr>
      <w:r>
        <w:rPr>
          <w:rFonts w:hint="eastAsia" w:ascii="宋体" w:hAnsi="宋体" w:cs="仿宋_GB2312"/>
          <w:sz w:val="24"/>
        </w:rPr>
        <w:t>2. 供应商须在本附件内，列出不能符合的有关段落，附件并举出原因，同时，供应商亦须提出解决偏离的详细方案；</w:t>
      </w:r>
    </w:p>
    <w:p>
      <w:pPr>
        <w:spacing w:line="360" w:lineRule="auto"/>
        <w:ind w:firstLine="480" w:firstLineChars="200"/>
        <w:rPr>
          <w:rFonts w:ascii="宋体" w:hAnsi="宋体" w:cs="仿宋_GB2312"/>
          <w:sz w:val="24"/>
        </w:rPr>
      </w:pPr>
      <w:r>
        <w:rPr>
          <w:rFonts w:hint="eastAsia" w:ascii="宋体" w:hAnsi="宋体" w:cs="仿宋_GB2312"/>
          <w:sz w:val="24"/>
        </w:rPr>
        <w:t>3. 除本附件列出的偏差获得采购人许可外，在合同签订后，所有不符合采购要求的项目，供应商必须加以纠正。</w:t>
      </w:r>
    </w:p>
    <w:bookmarkEnd w:id="582"/>
    <w:p>
      <w:pPr>
        <w:spacing w:line="360" w:lineRule="auto"/>
        <w:ind w:firstLine="480" w:firstLineChars="200"/>
        <w:rPr>
          <w:rFonts w:ascii="宋体" w:hAnsi="宋体" w:cs="仿宋_GB2312"/>
          <w:sz w:val="24"/>
        </w:rPr>
      </w:pPr>
    </w:p>
    <w:p>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pPr>
        <w:spacing w:line="360" w:lineRule="auto"/>
        <w:ind w:firstLine="480" w:firstLineChars="200"/>
        <w:rPr>
          <w:rFonts w:ascii="宋体" w:hAnsi="宋体" w:cs="仿宋_GB2312"/>
          <w:sz w:val="24"/>
        </w:rPr>
      </w:pPr>
      <w:r>
        <w:rPr>
          <w:rFonts w:hint="eastAsia" w:ascii="宋体" w:hAnsi="宋体" w:cs="仿宋_GB2312"/>
          <w:sz w:val="24"/>
        </w:rPr>
        <w:t>法定代表人或授权代表：</w:t>
      </w:r>
      <w:r>
        <w:rPr>
          <w:rFonts w:hint="eastAsia" w:ascii="宋体" w:hAnsi="宋体" w:cs="仿宋_GB2312"/>
          <w:sz w:val="24"/>
          <w:u w:val="single"/>
        </w:rPr>
        <w:t xml:space="preserve">          </w:t>
      </w:r>
      <w:r>
        <w:rPr>
          <w:rFonts w:hint="eastAsia" w:ascii="宋体" w:hAnsi="宋体" w:cs="仿宋_GB2312"/>
          <w:sz w:val="24"/>
        </w:rPr>
        <w:t>（签字）</w:t>
      </w:r>
    </w:p>
    <w:p>
      <w:pPr>
        <w:spacing w:line="360" w:lineRule="auto"/>
        <w:ind w:firstLine="480" w:firstLineChars="200"/>
        <w:rPr>
          <w:rFonts w:ascii="宋体" w:hAnsi="宋体" w:cs="仿宋_GB2312"/>
          <w:sz w:val="24"/>
        </w:rPr>
      </w:pPr>
      <w:r>
        <w:rPr>
          <w:rFonts w:hint="eastAsia" w:ascii="宋体" w:hAnsi="宋体" w:cs="仿宋_GB2312"/>
          <w:sz w:val="24"/>
        </w:rPr>
        <w:t>日      期：   年    月    日</w:t>
      </w:r>
    </w:p>
    <w:p>
      <w:pPr>
        <w:spacing w:line="360" w:lineRule="auto"/>
        <w:rPr>
          <w:rFonts w:ascii="宋体" w:hAnsi="宋体" w:cs="Arial"/>
          <w:b/>
          <w:bCs/>
          <w:kern w:val="0"/>
          <w:sz w:val="20"/>
          <w:szCs w:val="20"/>
        </w:rPr>
      </w:pPr>
    </w:p>
    <w:p>
      <w:pPr>
        <w:keepNext/>
        <w:keepLines/>
        <w:spacing w:line="360" w:lineRule="auto"/>
        <w:ind w:left="2666" w:hanging="2666" w:hangingChars="1333"/>
        <w:jc w:val="center"/>
        <w:outlineLvl w:val="1"/>
        <w:rPr>
          <w:rFonts w:ascii="宋体" w:hAnsi="宋体" w:cs="仿宋_GB2312"/>
          <w:b/>
          <w:sz w:val="28"/>
          <w:szCs w:val="28"/>
        </w:rPr>
      </w:pPr>
      <w:r>
        <w:rPr>
          <w:rFonts w:ascii="宋体" w:hAnsi="宋体" w:cs="Arial"/>
          <w:kern w:val="0"/>
          <w:sz w:val="20"/>
          <w:szCs w:val="20"/>
        </w:rPr>
        <w:br w:type="page"/>
      </w:r>
      <w:bookmarkStart w:id="583" w:name="_Toc432367438"/>
      <w:bookmarkStart w:id="584" w:name="_Toc430813370"/>
      <w:bookmarkStart w:id="585" w:name="_Toc13668"/>
      <w:bookmarkStart w:id="586" w:name="_Toc56708586"/>
      <w:r>
        <w:rPr>
          <w:rFonts w:hint="eastAsia" w:ascii="宋体" w:hAnsi="宋体" w:cs="仿宋_GB2312"/>
          <w:b/>
          <w:sz w:val="28"/>
          <w:szCs w:val="28"/>
        </w:rPr>
        <w:t>（七）其它</w:t>
      </w:r>
      <w:bookmarkEnd w:id="583"/>
      <w:bookmarkEnd w:id="584"/>
      <w:r>
        <w:rPr>
          <w:rFonts w:hint="eastAsia" w:ascii="宋体" w:hAnsi="宋体" w:cs="仿宋_GB2312"/>
          <w:b/>
          <w:sz w:val="28"/>
          <w:szCs w:val="28"/>
        </w:rPr>
        <w:t>商务文件</w:t>
      </w:r>
      <w:bookmarkEnd w:id="585"/>
      <w:bookmarkEnd w:id="586"/>
    </w:p>
    <w:p>
      <w:pPr>
        <w:spacing w:line="360" w:lineRule="auto"/>
        <w:ind w:firstLine="480" w:firstLineChars="200"/>
        <w:rPr>
          <w:rFonts w:ascii="宋体" w:hAnsi="宋体" w:cs="仿宋_GB2312"/>
          <w:sz w:val="24"/>
        </w:rPr>
      </w:pPr>
      <w:r>
        <w:rPr>
          <w:rFonts w:hint="eastAsia" w:ascii="宋体" w:hAnsi="宋体" w:cs="仿宋_GB2312"/>
          <w:sz w:val="24"/>
        </w:rPr>
        <w:t>1. 磋商文件要求提供的资料和证明材料；</w:t>
      </w:r>
    </w:p>
    <w:p>
      <w:pPr>
        <w:spacing w:line="360" w:lineRule="auto"/>
        <w:ind w:firstLine="480" w:firstLineChars="200"/>
        <w:rPr>
          <w:rFonts w:ascii="宋体" w:hAnsi="宋体" w:cs="仿宋_GB2312"/>
          <w:sz w:val="24"/>
        </w:rPr>
      </w:pPr>
      <w:r>
        <w:rPr>
          <w:rFonts w:hint="eastAsia" w:ascii="宋体" w:hAnsi="宋体" w:cs="仿宋_GB2312"/>
          <w:sz w:val="24"/>
        </w:rPr>
        <w:t>2. 供应商认为需要提供的其它商务资料和说明。</w:t>
      </w:r>
      <w:r>
        <w:rPr>
          <w:rFonts w:hint="eastAsia" w:ascii="宋体" w:hAnsi="宋体" w:cs="仿宋_GB2312"/>
          <w:sz w:val="24"/>
        </w:rPr>
        <w:br w:type="page"/>
      </w:r>
    </w:p>
    <w:p>
      <w:pPr>
        <w:pStyle w:val="4"/>
        <w:spacing w:before="0" w:after="0" w:line="360" w:lineRule="auto"/>
        <w:jc w:val="center"/>
        <w:rPr>
          <w:rFonts w:ascii="宋体" w:hAnsi="宋体" w:eastAsia="宋体" w:cs="Arial"/>
          <w:b/>
        </w:rPr>
      </w:pPr>
      <w:bookmarkStart w:id="587" w:name="_Toc430813371"/>
      <w:bookmarkStart w:id="588" w:name="_Toc26876"/>
      <w:bookmarkStart w:id="589" w:name="_Toc56708587"/>
      <w:bookmarkStart w:id="590" w:name="_Toc432367439"/>
      <w:r>
        <w:rPr>
          <w:rFonts w:hint="eastAsia" w:ascii="宋体" w:hAnsi="宋体" w:eastAsia="宋体" w:cs="Arial"/>
          <w:b/>
        </w:rPr>
        <w:t>四、技术</w:t>
      </w:r>
      <w:r>
        <w:rPr>
          <w:rFonts w:ascii="宋体" w:hAnsi="宋体" w:eastAsia="宋体" w:cs="Arial"/>
          <w:b/>
        </w:rPr>
        <w:t>文件</w:t>
      </w:r>
      <w:bookmarkEnd w:id="587"/>
      <w:bookmarkEnd w:id="588"/>
      <w:bookmarkEnd w:id="589"/>
      <w:bookmarkEnd w:id="590"/>
    </w:p>
    <w:p>
      <w:pPr>
        <w:keepNext/>
        <w:keepLines/>
        <w:spacing w:line="360" w:lineRule="auto"/>
        <w:ind w:left="3747" w:hanging="3747" w:hangingChars="1333"/>
        <w:jc w:val="center"/>
        <w:outlineLvl w:val="1"/>
        <w:rPr>
          <w:rFonts w:ascii="宋体" w:hAnsi="宋体" w:cs="仿宋_GB2312"/>
          <w:b/>
          <w:sz w:val="28"/>
          <w:szCs w:val="28"/>
        </w:rPr>
      </w:pPr>
      <w:bookmarkStart w:id="591" w:name="_Toc32055"/>
      <w:bookmarkStart w:id="592" w:name="_Toc56708588"/>
      <w:bookmarkStart w:id="593" w:name="_Toc432367441"/>
      <w:bookmarkStart w:id="594" w:name="_Toc430813373"/>
      <w:r>
        <w:rPr>
          <w:rFonts w:hint="eastAsia" w:ascii="宋体" w:hAnsi="宋体" w:cs="仿宋_GB2312"/>
          <w:b/>
          <w:sz w:val="28"/>
          <w:szCs w:val="28"/>
        </w:rPr>
        <w:t>（一）技术要求偏离表</w:t>
      </w:r>
      <w:bookmarkEnd w:id="591"/>
      <w:bookmarkEnd w:id="592"/>
      <w:bookmarkEnd w:id="593"/>
      <w:bookmarkEnd w:id="594"/>
    </w:p>
    <w:p>
      <w:pPr>
        <w:spacing w:line="360" w:lineRule="auto"/>
        <w:rPr>
          <w:rFonts w:ascii="宋体" w:hAnsi="宋体" w:cs="仿宋_GB2312"/>
          <w:sz w:val="24"/>
        </w:rPr>
      </w:pPr>
      <w:r>
        <w:rPr>
          <w:rFonts w:hint="eastAsia" w:ascii="宋体" w:hAnsi="宋体" w:cs="仿宋_GB2312"/>
          <w:sz w:val="24"/>
        </w:rPr>
        <w:t xml:space="preserve">项目名称：                                         </w:t>
      </w:r>
    </w:p>
    <w:p>
      <w:pPr>
        <w:spacing w:line="360" w:lineRule="auto"/>
        <w:rPr>
          <w:rFonts w:ascii="宋体" w:hAnsi="宋体" w:cs="仿宋_GB2312"/>
          <w:sz w:val="24"/>
        </w:rPr>
      </w:pPr>
      <w:r>
        <w:rPr>
          <w:rFonts w:hint="eastAsia" w:ascii="宋体" w:hAnsi="宋体" w:cs="仿宋_GB2312"/>
          <w:sz w:val="24"/>
        </w:rPr>
        <w:t xml:space="preserve">项目编号：         </w:t>
      </w:r>
    </w:p>
    <w:tbl>
      <w:tblPr>
        <w:tblStyle w:val="5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2470"/>
        <w:gridCol w:w="1706"/>
        <w:gridCol w:w="1706"/>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53" w:type="pct"/>
            <w:vAlign w:val="center"/>
          </w:tcPr>
          <w:p>
            <w:pPr>
              <w:spacing w:line="360" w:lineRule="auto"/>
              <w:jc w:val="center"/>
              <w:rPr>
                <w:rFonts w:ascii="宋体" w:hAnsi="宋体" w:cs="仿宋_GB2312"/>
                <w:sz w:val="24"/>
              </w:rPr>
            </w:pPr>
            <w:r>
              <w:rPr>
                <w:rFonts w:hint="eastAsia" w:ascii="宋体" w:hAnsi="宋体" w:cs="仿宋_GB2312"/>
                <w:sz w:val="24"/>
              </w:rPr>
              <w:t>序号</w:t>
            </w:r>
          </w:p>
        </w:tc>
        <w:tc>
          <w:tcPr>
            <w:tcW w:w="1448" w:type="pct"/>
            <w:vAlign w:val="center"/>
          </w:tcPr>
          <w:p>
            <w:pPr>
              <w:spacing w:line="360" w:lineRule="auto"/>
              <w:jc w:val="center"/>
              <w:rPr>
                <w:rFonts w:ascii="宋体" w:hAnsi="宋体" w:cs="仿宋_GB2312"/>
                <w:sz w:val="24"/>
              </w:rPr>
            </w:pPr>
            <w:r>
              <w:rPr>
                <w:rFonts w:hint="eastAsia" w:ascii="宋体" w:hAnsi="宋体" w:cs="仿宋_GB2312"/>
                <w:sz w:val="24"/>
              </w:rPr>
              <w:t>磋商文件技术、服务要求条款</w:t>
            </w:r>
          </w:p>
        </w:tc>
        <w:tc>
          <w:tcPr>
            <w:tcW w:w="1000" w:type="pct"/>
            <w:vAlign w:val="center"/>
          </w:tcPr>
          <w:p>
            <w:pPr>
              <w:spacing w:line="360" w:lineRule="auto"/>
              <w:jc w:val="center"/>
              <w:rPr>
                <w:rFonts w:ascii="宋体" w:hAnsi="宋体" w:cs="仿宋_GB2312"/>
                <w:sz w:val="24"/>
              </w:rPr>
            </w:pPr>
            <w:r>
              <w:rPr>
                <w:rFonts w:hint="eastAsia" w:ascii="宋体" w:hAnsi="宋体" w:cs="仿宋_GB2312"/>
                <w:sz w:val="24"/>
              </w:rPr>
              <w:t>响应文件内容对应简述</w:t>
            </w:r>
          </w:p>
        </w:tc>
        <w:tc>
          <w:tcPr>
            <w:tcW w:w="1000" w:type="pct"/>
            <w:vAlign w:val="center"/>
          </w:tcPr>
          <w:p>
            <w:pPr>
              <w:spacing w:line="360" w:lineRule="auto"/>
              <w:jc w:val="center"/>
              <w:rPr>
                <w:rFonts w:ascii="宋体" w:hAnsi="宋体" w:cs="仿宋_GB2312"/>
                <w:sz w:val="24"/>
              </w:rPr>
            </w:pPr>
            <w:r>
              <w:rPr>
                <w:rFonts w:hint="eastAsia" w:ascii="宋体" w:hAnsi="宋体" w:cs="仿宋_GB2312"/>
                <w:sz w:val="24"/>
              </w:rPr>
              <w:t>偏离说明</w:t>
            </w:r>
          </w:p>
        </w:tc>
        <w:tc>
          <w:tcPr>
            <w:tcW w:w="998" w:type="pct"/>
            <w:vAlign w:val="center"/>
          </w:tcPr>
          <w:p>
            <w:pPr>
              <w:spacing w:line="360" w:lineRule="auto"/>
              <w:jc w:val="center"/>
              <w:rPr>
                <w:rFonts w:ascii="宋体" w:hAnsi="宋体" w:cs="仿宋_GB2312"/>
                <w:sz w:val="24"/>
              </w:rPr>
            </w:pPr>
            <w:r>
              <w:rPr>
                <w:rFonts w:hint="eastAsia" w:ascii="宋体" w:hAnsi="宋体" w:cs="仿宋_GB2312"/>
                <w:sz w:val="24"/>
              </w:rPr>
              <w:t>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53" w:type="pct"/>
            <w:vAlign w:val="center"/>
          </w:tcPr>
          <w:p>
            <w:pPr>
              <w:spacing w:line="360" w:lineRule="auto"/>
              <w:rPr>
                <w:rFonts w:ascii="宋体" w:hAnsi="宋体" w:cs="仿宋_GB2312"/>
                <w:sz w:val="24"/>
              </w:rPr>
            </w:pPr>
          </w:p>
        </w:tc>
        <w:tc>
          <w:tcPr>
            <w:tcW w:w="1448" w:type="pct"/>
            <w:vAlign w:val="center"/>
          </w:tcPr>
          <w:p>
            <w:pPr>
              <w:spacing w:line="360" w:lineRule="auto"/>
              <w:rPr>
                <w:rFonts w:ascii="宋体" w:hAnsi="宋体" w:cs="仿宋_GB2312"/>
                <w:sz w:val="24"/>
              </w:rPr>
            </w:pPr>
          </w:p>
        </w:tc>
        <w:tc>
          <w:tcPr>
            <w:tcW w:w="1000" w:type="pct"/>
            <w:vAlign w:val="center"/>
          </w:tcPr>
          <w:p>
            <w:pPr>
              <w:spacing w:line="360" w:lineRule="auto"/>
              <w:rPr>
                <w:rFonts w:ascii="宋体" w:hAnsi="宋体" w:cs="仿宋_GB2312"/>
                <w:sz w:val="24"/>
              </w:rPr>
            </w:pPr>
          </w:p>
        </w:tc>
        <w:tc>
          <w:tcPr>
            <w:tcW w:w="1000" w:type="pct"/>
            <w:vAlign w:val="center"/>
          </w:tcPr>
          <w:p>
            <w:pPr>
              <w:spacing w:line="360" w:lineRule="auto"/>
              <w:rPr>
                <w:rFonts w:ascii="宋体" w:hAnsi="宋体" w:cs="仿宋_GB2312"/>
                <w:sz w:val="24"/>
              </w:rPr>
            </w:pPr>
          </w:p>
        </w:tc>
        <w:tc>
          <w:tcPr>
            <w:tcW w:w="998" w:type="pct"/>
            <w:vAlign w:val="center"/>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53" w:type="pct"/>
            <w:vAlign w:val="center"/>
          </w:tcPr>
          <w:p>
            <w:pPr>
              <w:spacing w:line="360" w:lineRule="auto"/>
              <w:jc w:val="center"/>
              <w:rPr>
                <w:rFonts w:ascii="宋体" w:hAnsi="宋体" w:cs="Arial"/>
                <w:kern w:val="0"/>
                <w:szCs w:val="21"/>
              </w:rPr>
            </w:pPr>
          </w:p>
        </w:tc>
        <w:tc>
          <w:tcPr>
            <w:tcW w:w="1448" w:type="pct"/>
            <w:vAlign w:val="center"/>
          </w:tcPr>
          <w:p>
            <w:pPr>
              <w:spacing w:line="360" w:lineRule="auto"/>
              <w:jc w:val="center"/>
              <w:rPr>
                <w:rFonts w:ascii="宋体" w:hAnsi="宋体" w:cs="Arial"/>
                <w:kern w:val="0"/>
                <w:szCs w:val="21"/>
              </w:rPr>
            </w:pPr>
          </w:p>
        </w:tc>
        <w:tc>
          <w:tcPr>
            <w:tcW w:w="1000" w:type="pct"/>
            <w:vAlign w:val="center"/>
          </w:tcPr>
          <w:p>
            <w:pPr>
              <w:spacing w:line="360" w:lineRule="auto"/>
              <w:jc w:val="center"/>
              <w:rPr>
                <w:rFonts w:ascii="宋体" w:hAnsi="宋体" w:cs="Arial"/>
                <w:kern w:val="0"/>
                <w:szCs w:val="21"/>
              </w:rPr>
            </w:pPr>
          </w:p>
        </w:tc>
        <w:tc>
          <w:tcPr>
            <w:tcW w:w="1000" w:type="pct"/>
            <w:vAlign w:val="center"/>
          </w:tcPr>
          <w:p>
            <w:pPr>
              <w:spacing w:line="360" w:lineRule="auto"/>
              <w:jc w:val="center"/>
              <w:rPr>
                <w:rFonts w:ascii="宋体" w:hAnsi="宋体" w:cs="Arial"/>
                <w:kern w:val="0"/>
                <w:szCs w:val="21"/>
              </w:rPr>
            </w:pPr>
          </w:p>
        </w:tc>
        <w:tc>
          <w:tcPr>
            <w:tcW w:w="998" w:type="pct"/>
            <w:vAlign w:val="center"/>
          </w:tcPr>
          <w:p>
            <w:pPr>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53" w:type="pct"/>
            <w:vAlign w:val="center"/>
          </w:tcPr>
          <w:p>
            <w:pPr>
              <w:spacing w:line="360" w:lineRule="auto"/>
              <w:jc w:val="center"/>
              <w:rPr>
                <w:rFonts w:ascii="宋体" w:hAnsi="宋体" w:cs="Arial"/>
                <w:kern w:val="0"/>
                <w:szCs w:val="21"/>
              </w:rPr>
            </w:pPr>
          </w:p>
        </w:tc>
        <w:tc>
          <w:tcPr>
            <w:tcW w:w="1448" w:type="pct"/>
            <w:vAlign w:val="center"/>
          </w:tcPr>
          <w:p>
            <w:pPr>
              <w:spacing w:line="360" w:lineRule="auto"/>
              <w:jc w:val="center"/>
              <w:rPr>
                <w:rFonts w:ascii="宋体" w:hAnsi="宋体" w:cs="Arial"/>
                <w:kern w:val="0"/>
                <w:szCs w:val="21"/>
              </w:rPr>
            </w:pPr>
          </w:p>
        </w:tc>
        <w:tc>
          <w:tcPr>
            <w:tcW w:w="1000" w:type="pct"/>
            <w:vAlign w:val="center"/>
          </w:tcPr>
          <w:p>
            <w:pPr>
              <w:spacing w:line="360" w:lineRule="auto"/>
              <w:jc w:val="center"/>
              <w:rPr>
                <w:rFonts w:ascii="宋体" w:hAnsi="宋体" w:cs="Arial"/>
                <w:kern w:val="0"/>
                <w:szCs w:val="21"/>
              </w:rPr>
            </w:pPr>
          </w:p>
        </w:tc>
        <w:tc>
          <w:tcPr>
            <w:tcW w:w="1000" w:type="pct"/>
            <w:vAlign w:val="center"/>
          </w:tcPr>
          <w:p>
            <w:pPr>
              <w:spacing w:line="360" w:lineRule="auto"/>
              <w:jc w:val="center"/>
              <w:rPr>
                <w:rFonts w:ascii="宋体" w:hAnsi="宋体" w:cs="Arial"/>
                <w:kern w:val="0"/>
                <w:szCs w:val="21"/>
              </w:rPr>
            </w:pPr>
          </w:p>
        </w:tc>
        <w:tc>
          <w:tcPr>
            <w:tcW w:w="998" w:type="pct"/>
            <w:vAlign w:val="center"/>
          </w:tcPr>
          <w:p>
            <w:pPr>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53" w:type="pct"/>
            <w:vAlign w:val="center"/>
          </w:tcPr>
          <w:p>
            <w:pPr>
              <w:spacing w:line="360" w:lineRule="auto"/>
              <w:jc w:val="center"/>
              <w:rPr>
                <w:rFonts w:ascii="宋体" w:hAnsi="宋体" w:cs="Arial"/>
                <w:kern w:val="0"/>
                <w:szCs w:val="21"/>
              </w:rPr>
            </w:pPr>
          </w:p>
        </w:tc>
        <w:tc>
          <w:tcPr>
            <w:tcW w:w="1448" w:type="pct"/>
            <w:vAlign w:val="center"/>
          </w:tcPr>
          <w:p>
            <w:pPr>
              <w:spacing w:line="360" w:lineRule="auto"/>
              <w:jc w:val="center"/>
              <w:rPr>
                <w:rFonts w:ascii="宋体" w:hAnsi="宋体" w:cs="Arial"/>
                <w:kern w:val="0"/>
                <w:szCs w:val="21"/>
              </w:rPr>
            </w:pPr>
          </w:p>
        </w:tc>
        <w:tc>
          <w:tcPr>
            <w:tcW w:w="1000" w:type="pct"/>
            <w:vAlign w:val="center"/>
          </w:tcPr>
          <w:p>
            <w:pPr>
              <w:spacing w:line="360" w:lineRule="auto"/>
              <w:jc w:val="center"/>
              <w:rPr>
                <w:rFonts w:ascii="宋体" w:hAnsi="宋体" w:cs="Arial"/>
                <w:kern w:val="0"/>
                <w:szCs w:val="21"/>
              </w:rPr>
            </w:pPr>
          </w:p>
        </w:tc>
        <w:tc>
          <w:tcPr>
            <w:tcW w:w="1000" w:type="pct"/>
            <w:vAlign w:val="center"/>
          </w:tcPr>
          <w:p>
            <w:pPr>
              <w:spacing w:line="360" w:lineRule="auto"/>
              <w:jc w:val="center"/>
              <w:rPr>
                <w:rFonts w:ascii="宋体" w:hAnsi="宋体" w:cs="Arial"/>
                <w:kern w:val="0"/>
                <w:szCs w:val="21"/>
              </w:rPr>
            </w:pPr>
          </w:p>
        </w:tc>
        <w:tc>
          <w:tcPr>
            <w:tcW w:w="998" w:type="pct"/>
            <w:vAlign w:val="center"/>
          </w:tcPr>
          <w:p>
            <w:pPr>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53" w:type="pct"/>
            <w:vAlign w:val="center"/>
          </w:tcPr>
          <w:p>
            <w:pPr>
              <w:spacing w:line="360" w:lineRule="auto"/>
              <w:jc w:val="center"/>
              <w:rPr>
                <w:rFonts w:ascii="宋体" w:hAnsi="宋体" w:cs="Arial"/>
                <w:kern w:val="0"/>
                <w:szCs w:val="21"/>
              </w:rPr>
            </w:pPr>
          </w:p>
        </w:tc>
        <w:tc>
          <w:tcPr>
            <w:tcW w:w="1448" w:type="pct"/>
            <w:vAlign w:val="center"/>
          </w:tcPr>
          <w:p>
            <w:pPr>
              <w:spacing w:line="360" w:lineRule="auto"/>
              <w:jc w:val="center"/>
              <w:rPr>
                <w:rFonts w:ascii="宋体" w:hAnsi="宋体" w:cs="Arial"/>
                <w:kern w:val="0"/>
                <w:szCs w:val="21"/>
              </w:rPr>
            </w:pPr>
          </w:p>
        </w:tc>
        <w:tc>
          <w:tcPr>
            <w:tcW w:w="1000" w:type="pct"/>
            <w:vAlign w:val="center"/>
          </w:tcPr>
          <w:p>
            <w:pPr>
              <w:spacing w:line="360" w:lineRule="auto"/>
              <w:jc w:val="center"/>
              <w:rPr>
                <w:rFonts w:ascii="宋体" w:hAnsi="宋体" w:cs="Arial"/>
                <w:kern w:val="0"/>
                <w:szCs w:val="21"/>
              </w:rPr>
            </w:pPr>
          </w:p>
        </w:tc>
        <w:tc>
          <w:tcPr>
            <w:tcW w:w="1000" w:type="pct"/>
            <w:vAlign w:val="center"/>
          </w:tcPr>
          <w:p>
            <w:pPr>
              <w:spacing w:line="360" w:lineRule="auto"/>
              <w:jc w:val="center"/>
              <w:rPr>
                <w:rFonts w:ascii="宋体" w:hAnsi="宋体" w:cs="Arial"/>
                <w:kern w:val="0"/>
                <w:szCs w:val="21"/>
              </w:rPr>
            </w:pPr>
          </w:p>
        </w:tc>
        <w:tc>
          <w:tcPr>
            <w:tcW w:w="998" w:type="pct"/>
            <w:vAlign w:val="center"/>
          </w:tcPr>
          <w:p>
            <w:pPr>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53" w:type="pct"/>
            <w:vAlign w:val="center"/>
          </w:tcPr>
          <w:p>
            <w:pPr>
              <w:spacing w:line="360" w:lineRule="auto"/>
              <w:jc w:val="center"/>
              <w:rPr>
                <w:rFonts w:ascii="宋体" w:hAnsi="宋体" w:cs="Arial"/>
                <w:kern w:val="0"/>
                <w:szCs w:val="21"/>
              </w:rPr>
            </w:pPr>
          </w:p>
        </w:tc>
        <w:tc>
          <w:tcPr>
            <w:tcW w:w="1448" w:type="pct"/>
            <w:vAlign w:val="center"/>
          </w:tcPr>
          <w:p>
            <w:pPr>
              <w:spacing w:line="360" w:lineRule="auto"/>
              <w:jc w:val="center"/>
              <w:rPr>
                <w:rFonts w:ascii="宋体" w:hAnsi="宋体" w:cs="Arial"/>
                <w:kern w:val="0"/>
                <w:szCs w:val="21"/>
              </w:rPr>
            </w:pPr>
          </w:p>
        </w:tc>
        <w:tc>
          <w:tcPr>
            <w:tcW w:w="1000" w:type="pct"/>
            <w:vAlign w:val="center"/>
          </w:tcPr>
          <w:p>
            <w:pPr>
              <w:spacing w:line="360" w:lineRule="auto"/>
              <w:jc w:val="center"/>
              <w:rPr>
                <w:rFonts w:ascii="宋体" w:hAnsi="宋体" w:cs="Arial"/>
                <w:kern w:val="0"/>
                <w:szCs w:val="21"/>
              </w:rPr>
            </w:pPr>
          </w:p>
        </w:tc>
        <w:tc>
          <w:tcPr>
            <w:tcW w:w="1000" w:type="pct"/>
            <w:vAlign w:val="center"/>
          </w:tcPr>
          <w:p>
            <w:pPr>
              <w:spacing w:line="360" w:lineRule="auto"/>
              <w:jc w:val="center"/>
              <w:rPr>
                <w:rFonts w:ascii="宋体" w:hAnsi="宋体" w:cs="Arial"/>
                <w:kern w:val="0"/>
                <w:szCs w:val="21"/>
              </w:rPr>
            </w:pPr>
          </w:p>
        </w:tc>
        <w:tc>
          <w:tcPr>
            <w:tcW w:w="998" w:type="pct"/>
            <w:vAlign w:val="center"/>
          </w:tcPr>
          <w:p>
            <w:pPr>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53" w:type="pct"/>
            <w:vAlign w:val="center"/>
          </w:tcPr>
          <w:p>
            <w:pPr>
              <w:spacing w:line="360" w:lineRule="auto"/>
              <w:jc w:val="center"/>
              <w:rPr>
                <w:rFonts w:ascii="宋体" w:hAnsi="宋体" w:cs="Arial"/>
                <w:kern w:val="0"/>
                <w:szCs w:val="21"/>
              </w:rPr>
            </w:pPr>
          </w:p>
        </w:tc>
        <w:tc>
          <w:tcPr>
            <w:tcW w:w="1448" w:type="pct"/>
            <w:vAlign w:val="center"/>
          </w:tcPr>
          <w:p>
            <w:pPr>
              <w:spacing w:line="360" w:lineRule="auto"/>
              <w:jc w:val="center"/>
              <w:rPr>
                <w:rFonts w:ascii="宋体" w:hAnsi="宋体" w:cs="Arial"/>
                <w:kern w:val="0"/>
                <w:szCs w:val="21"/>
              </w:rPr>
            </w:pPr>
          </w:p>
        </w:tc>
        <w:tc>
          <w:tcPr>
            <w:tcW w:w="1000" w:type="pct"/>
            <w:vAlign w:val="center"/>
          </w:tcPr>
          <w:p>
            <w:pPr>
              <w:spacing w:line="360" w:lineRule="auto"/>
              <w:jc w:val="center"/>
              <w:rPr>
                <w:rFonts w:ascii="宋体" w:hAnsi="宋体" w:cs="Arial"/>
                <w:kern w:val="0"/>
                <w:szCs w:val="21"/>
              </w:rPr>
            </w:pPr>
          </w:p>
        </w:tc>
        <w:tc>
          <w:tcPr>
            <w:tcW w:w="1000" w:type="pct"/>
            <w:vAlign w:val="center"/>
          </w:tcPr>
          <w:p>
            <w:pPr>
              <w:spacing w:line="360" w:lineRule="auto"/>
              <w:jc w:val="center"/>
              <w:rPr>
                <w:rFonts w:ascii="宋体" w:hAnsi="宋体" w:cs="Arial"/>
                <w:kern w:val="0"/>
                <w:szCs w:val="21"/>
              </w:rPr>
            </w:pPr>
          </w:p>
        </w:tc>
        <w:tc>
          <w:tcPr>
            <w:tcW w:w="998" w:type="pct"/>
            <w:vAlign w:val="center"/>
          </w:tcPr>
          <w:p>
            <w:pPr>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53" w:type="pct"/>
            <w:vAlign w:val="center"/>
          </w:tcPr>
          <w:p>
            <w:pPr>
              <w:spacing w:line="360" w:lineRule="auto"/>
              <w:jc w:val="center"/>
              <w:rPr>
                <w:rFonts w:ascii="宋体" w:hAnsi="宋体" w:cs="Arial"/>
                <w:kern w:val="0"/>
                <w:szCs w:val="21"/>
              </w:rPr>
            </w:pPr>
          </w:p>
        </w:tc>
        <w:tc>
          <w:tcPr>
            <w:tcW w:w="1448" w:type="pct"/>
            <w:vAlign w:val="center"/>
          </w:tcPr>
          <w:p>
            <w:pPr>
              <w:spacing w:line="360" w:lineRule="auto"/>
              <w:jc w:val="center"/>
              <w:rPr>
                <w:rFonts w:ascii="宋体" w:hAnsi="宋体" w:cs="Arial"/>
                <w:kern w:val="0"/>
                <w:szCs w:val="21"/>
              </w:rPr>
            </w:pPr>
          </w:p>
        </w:tc>
        <w:tc>
          <w:tcPr>
            <w:tcW w:w="1000" w:type="pct"/>
            <w:vAlign w:val="center"/>
          </w:tcPr>
          <w:p>
            <w:pPr>
              <w:spacing w:line="360" w:lineRule="auto"/>
              <w:jc w:val="center"/>
              <w:rPr>
                <w:rFonts w:ascii="宋体" w:hAnsi="宋体" w:cs="Arial"/>
                <w:kern w:val="0"/>
                <w:szCs w:val="21"/>
              </w:rPr>
            </w:pPr>
          </w:p>
        </w:tc>
        <w:tc>
          <w:tcPr>
            <w:tcW w:w="1000" w:type="pct"/>
            <w:vAlign w:val="center"/>
          </w:tcPr>
          <w:p>
            <w:pPr>
              <w:spacing w:line="360" w:lineRule="auto"/>
              <w:jc w:val="center"/>
              <w:rPr>
                <w:rFonts w:ascii="宋体" w:hAnsi="宋体" w:cs="Arial"/>
                <w:kern w:val="0"/>
                <w:szCs w:val="21"/>
              </w:rPr>
            </w:pPr>
          </w:p>
        </w:tc>
        <w:tc>
          <w:tcPr>
            <w:tcW w:w="998" w:type="pct"/>
            <w:vAlign w:val="center"/>
          </w:tcPr>
          <w:p>
            <w:pPr>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53" w:type="pct"/>
            <w:vAlign w:val="center"/>
          </w:tcPr>
          <w:p>
            <w:pPr>
              <w:spacing w:line="360" w:lineRule="auto"/>
              <w:jc w:val="center"/>
              <w:rPr>
                <w:rFonts w:ascii="宋体" w:hAnsi="宋体" w:cs="Arial"/>
                <w:kern w:val="0"/>
                <w:szCs w:val="21"/>
              </w:rPr>
            </w:pPr>
          </w:p>
        </w:tc>
        <w:tc>
          <w:tcPr>
            <w:tcW w:w="1448" w:type="pct"/>
            <w:vAlign w:val="center"/>
          </w:tcPr>
          <w:p>
            <w:pPr>
              <w:spacing w:line="360" w:lineRule="auto"/>
              <w:jc w:val="center"/>
              <w:rPr>
                <w:rFonts w:ascii="宋体" w:hAnsi="宋体" w:cs="Arial"/>
                <w:kern w:val="0"/>
                <w:szCs w:val="21"/>
              </w:rPr>
            </w:pPr>
          </w:p>
        </w:tc>
        <w:tc>
          <w:tcPr>
            <w:tcW w:w="1000" w:type="pct"/>
            <w:vAlign w:val="center"/>
          </w:tcPr>
          <w:p>
            <w:pPr>
              <w:spacing w:line="360" w:lineRule="auto"/>
              <w:jc w:val="center"/>
              <w:rPr>
                <w:rFonts w:ascii="宋体" w:hAnsi="宋体" w:cs="Arial"/>
                <w:kern w:val="0"/>
                <w:szCs w:val="21"/>
              </w:rPr>
            </w:pPr>
          </w:p>
        </w:tc>
        <w:tc>
          <w:tcPr>
            <w:tcW w:w="1000" w:type="pct"/>
            <w:vAlign w:val="center"/>
          </w:tcPr>
          <w:p>
            <w:pPr>
              <w:spacing w:line="360" w:lineRule="auto"/>
              <w:jc w:val="center"/>
              <w:rPr>
                <w:rFonts w:ascii="宋体" w:hAnsi="宋体" w:cs="Arial"/>
                <w:kern w:val="0"/>
                <w:szCs w:val="21"/>
              </w:rPr>
            </w:pPr>
          </w:p>
        </w:tc>
        <w:tc>
          <w:tcPr>
            <w:tcW w:w="998" w:type="pct"/>
            <w:vAlign w:val="center"/>
          </w:tcPr>
          <w:p>
            <w:pPr>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53" w:type="pct"/>
            <w:vAlign w:val="center"/>
          </w:tcPr>
          <w:p>
            <w:pPr>
              <w:spacing w:line="360" w:lineRule="auto"/>
              <w:jc w:val="center"/>
              <w:rPr>
                <w:rFonts w:ascii="宋体" w:hAnsi="宋体" w:cs="Arial"/>
                <w:kern w:val="0"/>
                <w:szCs w:val="21"/>
              </w:rPr>
            </w:pPr>
          </w:p>
        </w:tc>
        <w:tc>
          <w:tcPr>
            <w:tcW w:w="1448" w:type="pct"/>
            <w:vAlign w:val="center"/>
          </w:tcPr>
          <w:p>
            <w:pPr>
              <w:spacing w:line="360" w:lineRule="auto"/>
              <w:jc w:val="center"/>
              <w:rPr>
                <w:rFonts w:ascii="宋体" w:hAnsi="宋体" w:cs="Arial"/>
                <w:kern w:val="0"/>
                <w:szCs w:val="21"/>
              </w:rPr>
            </w:pPr>
          </w:p>
        </w:tc>
        <w:tc>
          <w:tcPr>
            <w:tcW w:w="1000" w:type="pct"/>
            <w:vAlign w:val="center"/>
          </w:tcPr>
          <w:p>
            <w:pPr>
              <w:spacing w:line="360" w:lineRule="auto"/>
              <w:jc w:val="center"/>
              <w:rPr>
                <w:rFonts w:ascii="宋体" w:hAnsi="宋体" w:cs="Arial"/>
                <w:kern w:val="0"/>
                <w:szCs w:val="21"/>
              </w:rPr>
            </w:pPr>
          </w:p>
        </w:tc>
        <w:tc>
          <w:tcPr>
            <w:tcW w:w="1000" w:type="pct"/>
            <w:vAlign w:val="center"/>
          </w:tcPr>
          <w:p>
            <w:pPr>
              <w:spacing w:line="360" w:lineRule="auto"/>
              <w:jc w:val="center"/>
              <w:rPr>
                <w:rFonts w:ascii="宋体" w:hAnsi="宋体" w:cs="Arial"/>
                <w:kern w:val="0"/>
                <w:szCs w:val="21"/>
              </w:rPr>
            </w:pPr>
          </w:p>
        </w:tc>
        <w:tc>
          <w:tcPr>
            <w:tcW w:w="998" w:type="pct"/>
            <w:vAlign w:val="center"/>
          </w:tcPr>
          <w:p>
            <w:pPr>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53" w:type="pct"/>
            <w:vAlign w:val="center"/>
          </w:tcPr>
          <w:p>
            <w:pPr>
              <w:spacing w:line="360" w:lineRule="auto"/>
              <w:jc w:val="center"/>
              <w:rPr>
                <w:rFonts w:ascii="宋体" w:hAnsi="宋体" w:cs="Arial"/>
                <w:kern w:val="0"/>
                <w:szCs w:val="21"/>
              </w:rPr>
            </w:pPr>
          </w:p>
        </w:tc>
        <w:tc>
          <w:tcPr>
            <w:tcW w:w="1448" w:type="pct"/>
            <w:vAlign w:val="center"/>
          </w:tcPr>
          <w:p>
            <w:pPr>
              <w:spacing w:line="360" w:lineRule="auto"/>
              <w:jc w:val="center"/>
              <w:rPr>
                <w:rFonts w:ascii="宋体" w:hAnsi="宋体" w:cs="Arial"/>
                <w:kern w:val="0"/>
                <w:szCs w:val="21"/>
              </w:rPr>
            </w:pPr>
          </w:p>
        </w:tc>
        <w:tc>
          <w:tcPr>
            <w:tcW w:w="1000" w:type="pct"/>
            <w:vAlign w:val="center"/>
          </w:tcPr>
          <w:p>
            <w:pPr>
              <w:spacing w:line="360" w:lineRule="auto"/>
              <w:jc w:val="center"/>
              <w:rPr>
                <w:rFonts w:ascii="宋体" w:hAnsi="宋体" w:cs="Arial"/>
                <w:kern w:val="0"/>
                <w:szCs w:val="21"/>
              </w:rPr>
            </w:pPr>
          </w:p>
        </w:tc>
        <w:tc>
          <w:tcPr>
            <w:tcW w:w="1000" w:type="pct"/>
            <w:vAlign w:val="center"/>
          </w:tcPr>
          <w:p>
            <w:pPr>
              <w:spacing w:line="360" w:lineRule="auto"/>
              <w:jc w:val="center"/>
              <w:rPr>
                <w:rFonts w:ascii="宋体" w:hAnsi="宋体" w:cs="Arial"/>
                <w:kern w:val="0"/>
                <w:szCs w:val="21"/>
              </w:rPr>
            </w:pPr>
          </w:p>
        </w:tc>
        <w:tc>
          <w:tcPr>
            <w:tcW w:w="998" w:type="pct"/>
            <w:vAlign w:val="center"/>
          </w:tcPr>
          <w:p>
            <w:pPr>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53" w:type="pct"/>
            <w:vAlign w:val="center"/>
          </w:tcPr>
          <w:p>
            <w:pPr>
              <w:spacing w:line="360" w:lineRule="auto"/>
              <w:jc w:val="center"/>
              <w:rPr>
                <w:rFonts w:ascii="宋体" w:hAnsi="宋体" w:cs="Arial"/>
                <w:kern w:val="0"/>
                <w:szCs w:val="21"/>
              </w:rPr>
            </w:pPr>
          </w:p>
        </w:tc>
        <w:tc>
          <w:tcPr>
            <w:tcW w:w="1448" w:type="pct"/>
            <w:vAlign w:val="center"/>
          </w:tcPr>
          <w:p>
            <w:pPr>
              <w:spacing w:line="360" w:lineRule="auto"/>
              <w:jc w:val="center"/>
              <w:rPr>
                <w:rFonts w:ascii="宋体" w:hAnsi="宋体" w:cs="Arial"/>
                <w:kern w:val="0"/>
                <w:szCs w:val="21"/>
              </w:rPr>
            </w:pPr>
          </w:p>
        </w:tc>
        <w:tc>
          <w:tcPr>
            <w:tcW w:w="1000" w:type="pct"/>
            <w:vAlign w:val="center"/>
          </w:tcPr>
          <w:p>
            <w:pPr>
              <w:spacing w:line="360" w:lineRule="auto"/>
              <w:jc w:val="center"/>
              <w:rPr>
                <w:rFonts w:ascii="宋体" w:hAnsi="宋体" w:cs="Arial"/>
                <w:kern w:val="0"/>
                <w:szCs w:val="21"/>
              </w:rPr>
            </w:pPr>
          </w:p>
        </w:tc>
        <w:tc>
          <w:tcPr>
            <w:tcW w:w="1000" w:type="pct"/>
            <w:vAlign w:val="center"/>
          </w:tcPr>
          <w:p>
            <w:pPr>
              <w:spacing w:line="360" w:lineRule="auto"/>
              <w:jc w:val="center"/>
              <w:rPr>
                <w:rFonts w:ascii="宋体" w:hAnsi="宋体" w:cs="Arial"/>
                <w:kern w:val="0"/>
                <w:szCs w:val="21"/>
              </w:rPr>
            </w:pPr>
          </w:p>
        </w:tc>
        <w:tc>
          <w:tcPr>
            <w:tcW w:w="998" w:type="pct"/>
            <w:vAlign w:val="center"/>
          </w:tcPr>
          <w:p>
            <w:pPr>
              <w:spacing w:line="360" w:lineRule="auto"/>
              <w:jc w:val="center"/>
              <w:rPr>
                <w:rFonts w:ascii="宋体" w:hAnsi="宋体" w:cs="Arial"/>
                <w:kern w:val="0"/>
                <w:szCs w:val="21"/>
              </w:rPr>
            </w:pPr>
          </w:p>
        </w:tc>
      </w:tr>
    </w:tbl>
    <w:p>
      <w:pPr>
        <w:spacing w:line="360" w:lineRule="auto"/>
        <w:ind w:firstLine="480" w:firstLineChars="200"/>
        <w:rPr>
          <w:rFonts w:ascii="宋体" w:hAnsi="宋体" w:cs="仿宋_GB2312"/>
          <w:sz w:val="24"/>
        </w:rPr>
      </w:pPr>
      <w:r>
        <w:rPr>
          <w:rFonts w:hint="eastAsia" w:ascii="宋体" w:hAnsi="宋体" w:cs="仿宋_GB2312"/>
          <w:sz w:val="24"/>
        </w:rPr>
        <w:t>说明：</w:t>
      </w:r>
    </w:p>
    <w:p>
      <w:pPr>
        <w:spacing w:line="360" w:lineRule="auto"/>
        <w:ind w:firstLine="480" w:firstLineChars="200"/>
        <w:rPr>
          <w:rFonts w:ascii="宋体" w:hAnsi="宋体" w:cs="仿宋_GB2312"/>
          <w:sz w:val="24"/>
        </w:rPr>
      </w:pPr>
      <w:r>
        <w:rPr>
          <w:rFonts w:hint="eastAsia" w:ascii="宋体" w:hAnsi="宋体" w:cs="仿宋_GB2312"/>
          <w:sz w:val="24"/>
        </w:rPr>
        <w:t>供应商应对照磋商文件技术服务要求，逐条说明所提供的服务已对磋商文件的要求做出了实质性的响应，并申明与技术要求条文的偏差和例外。</w:t>
      </w:r>
    </w:p>
    <w:p>
      <w:pPr>
        <w:spacing w:line="360" w:lineRule="auto"/>
        <w:ind w:firstLine="480" w:firstLineChars="200"/>
        <w:rPr>
          <w:rFonts w:ascii="宋体" w:hAnsi="宋体" w:cs="仿宋_GB2312"/>
          <w:sz w:val="24"/>
        </w:rPr>
      </w:pPr>
    </w:p>
    <w:p>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pPr>
        <w:spacing w:line="360" w:lineRule="auto"/>
        <w:ind w:firstLine="480" w:firstLineChars="200"/>
        <w:rPr>
          <w:rFonts w:ascii="宋体" w:hAnsi="宋体" w:cs="仿宋_GB2312"/>
          <w:sz w:val="24"/>
        </w:rPr>
      </w:pPr>
      <w:r>
        <w:rPr>
          <w:rFonts w:hint="eastAsia" w:ascii="宋体" w:hAnsi="宋体" w:cs="仿宋_GB2312"/>
          <w:sz w:val="24"/>
        </w:rPr>
        <w:t>法定代表人或授权代表：</w:t>
      </w:r>
      <w:r>
        <w:rPr>
          <w:rFonts w:hint="eastAsia" w:ascii="宋体" w:hAnsi="宋体" w:cs="仿宋_GB2312"/>
          <w:sz w:val="24"/>
          <w:u w:val="single"/>
        </w:rPr>
        <w:t xml:space="preserve">          </w:t>
      </w:r>
      <w:r>
        <w:rPr>
          <w:rFonts w:hint="eastAsia" w:ascii="宋体" w:hAnsi="宋体" w:cs="仿宋_GB2312"/>
          <w:sz w:val="24"/>
        </w:rPr>
        <w:t>（签字）</w:t>
      </w:r>
    </w:p>
    <w:p>
      <w:pPr>
        <w:spacing w:line="360" w:lineRule="auto"/>
        <w:ind w:firstLine="480" w:firstLineChars="200"/>
        <w:rPr>
          <w:rFonts w:ascii="宋体" w:hAnsi="宋体" w:cs="仿宋_GB2312"/>
          <w:sz w:val="24"/>
        </w:rPr>
      </w:pPr>
      <w:r>
        <w:rPr>
          <w:rFonts w:hint="eastAsia" w:ascii="宋体" w:hAnsi="宋体" w:cs="仿宋_GB2312"/>
          <w:sz w:val="24"/>
        </w:rPr>
        <w:t>日      期：   年    月    日</w:t>
      </w:r>
    </w:p>
    <w:p>
      <w:pPr>
        <w:spacing w:line="360" w:lineRule="auto"/>
        <w:rPr>
          <w:rFonts w:ascii="宋体" w:hAnsi="宋体" w:cs="Arial"/>
          <w:i/>
          <w:iCs/>
          <w:kern w:val="0"/>
          <w:sz w:val="20"/>
          <w:szCs w:val="20"/>
        </w:rPr>
      </w:pPr>
    </w:p>
    <w:p>
      <w:pPr>
        <w:spacing w:line="300" w:lineRule="auto"/>
        <w:rPr>
          <w:rFonts w:ascii="宋体" w:hAnsi="宋体" w:cs="Arial"/>
          <w:kern w:val="0"/>
          <w:sz w:val="20"/>
          <w:szCs w:val="20"/>
          <w:u w:val="single"/>
        </w:rPr>
      </w:pPr>
    </w:p>
    <w:p>
      <w:pPr>
        <w:keepNext/>
        <w:keepLines/>
        <w:spacing w:line="360" w:lineRule="auto"/>
        <w:ind w:left="2666" w:hanging="2666" w:hangingChars="1333"/>
        <w:jc w:val="center"/>
        <w:outlineLvl w:val="1"/>
        <w:rPr>
          <w:rFonts w:ascii="宋体" w:hAnsi="宋体" w:cs="仿宋_GB2312"/>
          <w:b/>
          <w:sz w:val="28"/>
          <w:szCs w:val="28"/>
        </w:rPr>
      </w:pPr>
      <w:r>
        <w:rPr>
          <w:rFonts w:ascii="宋体" w:hAnsi="宋体" w:cs="Arial"/>
          <w:kern w:val="0"/>
          <w:sz w:val="20"/>
          <w:szCs w:val="20"/>
          <w:u w:val="single"/>
        </w:rPr>
        <w:br w:type="page"/>
      </w:r>
      <w:bookmarkStart w:id="595" w:name="_Toc19247"/>
      <w:bookmarkStart w:id="596" w:name="_Toc56708589"/>
      <w:r>
        <w:rPr>
          <w:rFonts w:hint="eastAsia" w:ascii="宋体" w:hAnsi="宋体" w:cs="仿宋_GB2312"/>
          <w:b/>
          <w:sz w:val="28"/>
          <w:szCs w:val="28"/>
        </w:rPr>
        <w:t>（二）技术方案</w:t>
      </w:r>
      <w:bookmarkEnd w:id="595"/>
      <w:bookmarkEnd w:id="596"/>
    </w:p>
    <w:p>
      <w:pPr>
        <w:spacing w:line="360" w:lineRule="auto"/>
        <w:ind w:firstLine="480" w:firstLineChars="200"/>
        <w:rPr>
          <w:rFonts w:ascii="宋体" w:hAnsi="宋体" w:cs="仿宋_GB2312"/>
          <w:sz w:val="24"/>
        </w:rPr>
      </w:pPr>
      <w:r>
        <w:rPr>
          <w:rFonts w:hint="eastAsia" w:ascii="宋体" w:hAnsi="宋体" w:cs="仿宋_GB2312"/>
          <w:sz w:val="24"/>
        </w:rPr>
        <w:t>供应商应按照磋商文件的要求，提供详细的服务方案，包括文字描述或图表显示。方案格式自拟。</w:t>
      </w:r>
    </w:p>
    <w:p>
      <w:pPr>
        <w:spacing w:line="360" w:lineRule="auto"/>
        <w:rPr>
          <w:rFonts w:ascii="宋体" w:hAnsi="宋体" w:cs="Arial"/>
          <w:kern w:val="0"/>
          <w:sz w:val="24"/>
        </w:rPr>
      </w:pPr>
    </w:p>
    <w:p>
      <w:pPr>
        <w:tabs>
          <w:tab w:val="left" w:pos="3075"/>
        </w:tabs>
        <w:spacing w:line="300" w:lineRule="auto"/>
        <w:jc w:val="center"/>
        <w:rPr>
          <w:rFonts w:ascii="宋体" w:hAnsi="宋体" w:cs="Arial"/>
          <w:kern w:val="0"/>
          <w:sz w:val="24"/>
        </w:rPr>
      </w:pPr>
    </w:p>
    <w:p>
      <w:pPr>
        <w:tabs>
          <w:tab w:val="left" w:pos="3075"/>
        </w:tabs>
        <w:spacing w:line="300" w:lineRule="auto"/>
        <w:jc w:val="center"/>
        <w:rPr>
          <w:rFonts w:ascii="宋体" w:hAnsi="宋体" w:cs="Arial"/>
          <w:kern w:val="0"/>
          <w:sz w:val="24"/>
        </w:rPr>
      </w:pPr>
    </w:p>
    <w:p>
      <w:pPr>
        <w:tabs>
          <w:tab w:val="left" w:pos="3075"/>
        </w:tabs>
        <w:spacing w:line="300" w:lineRule="auto"/>
        <w:jc w:val="center"/>
        <w:rPr>
          <w:rFonts w:ascii="宋体" w:hAnsi="宋体" w:cs="Arial"/>
          <w:kern w:val="0"/>
          <w:sz w:val="24"/>
        </w:rPr>
      </w:pPr>
    </w:p>
    <w:p>
      <w:pPr>
        <w:tabs>
          <w:tab w:val="left" w:pos="3075"/>
        </w:tabs>
        <w:spacing w:line="300" w:lineRule="auto"/>
        <w:jc w:val="center"/>
        <w:rPr>
          <w:rFonts w:ascii="宋体" w:hAnsi="宋体" w:cs="Arial"/>
          <w:kern w:val="0"/>
          <w:sz w:val="24"/>
        </w:rPr>
      </w:pPr>
    </w:p>
    <w:p>
      <w:pPr>
        <w:tabs>
          <w:tab w:val="left" w:pos="3075"/>
        </w:tabs>
        <w:spacing w:line="300" w:lineRule="auto"/>
        <w:jc w:val="center"/>
        <w:rPr>
          <w:rFonts w:ascii="宋体" w:hAnsi="宋体" w:cs="Arial"/>
          <w:kern w:val="0"/>
          <w:sz w:val="20"/>
          <w:szCs w:val="20"/>
        </w:rPr>
      </w:pPr>
    </w:p>
    <w:p>
      <w:pPr>
        <w:tabs>
          <w:tab w:val="left" w:pos="3075"/>
        </w:tabs>
        <w:spacing w:line="300" w:lineRule="auto"/>
        <w:jc w:val="center"/>
        <w:rPr>
          <w:rFonts w:ascii="宋体" w:hAnsi="宋体" w:cs="Arial"/>
          <w:kern w:val="0"/>
          <w:sz w:val="20"/>
          <w:szCs w:val="20"/>
        </w:rPr>
      </w:pPr>
    </w:p>
    <w:p>
      <w:pPr>
        <w:tabs>
          <w:tab w:val="left" w:pos="3075"/>
        </w:tabs>
        <w:spacing w:line="300" w:lineRule="auto"/>
        <w:jc w:val="center"/>
        <w:rPr>
          <w:rFonts w:ascii="宋体" w:hAnsi="宋体" w:cs="Arial"/>
          <w:kern w:val="0"/>
          <w:sz w:val="20"/>
          <w:szCs w:val="20"/>
        </w:rPr>
      </w:pPr>
    </w:p>
    <w:p>
      <w:pPr>
        <w:tabs>
          <w:tab w:val="left" w:pos="3075"/>
        </w:tabs>
        <w:spacing w:line="300" w:lineRule="auto"/>
        <w:jc w:val="center"/>
        <w:rPr>
          <w:rFonts w:ascii="宋体" w:hAnsi="宋体" w:cs="Arial"/>
          <w:kern w:val="0"/>
          <w:sz w:val="20"/>
          <w:szCs w:val="20"/>
        </w:rPr>
      </w:pPr>
    </w:p>
    <w:p>
      <w:pPr>
        <w:tabs>
          <w:tab w:val="left" w:pos="3075"/>
        </w:tabs>
        <w:spacing w:line="300" w:lineRule="auto"/>
        <w:jc w:val="center"/>
        <w:rPr>
          <w:rFonts w:ascii="宋体" w:hAnsi="宋体" w:cs="Arial"/>
          <w:kern w:val="0"/>
          <w:sz w:val="20"/>
          <w:szCs w:val="20"/>
        </w:rPr>
      </w:pPr>
    </w:p>
    <w:p>
      <w:pPr>
        <w:tabs>
          <w:tab w:val="left" w:pos="3075"/>
        </w:tabs>
        <w:spacing w:line="300" w:lineRule="auto"/>
        <w:jc w:val="center"/>
        <w:rPr>
          <w:rFonts w:ascii="宋体" w:hAnsi="宋体" w:cs="Arial"/>
          <w:kern w:val="0"/>
          <w:sz w:val="20"/>
          <w:szCs w:val="20"/>
        </w:rPr>
      </w:pPr>
    </w:p>
    <w:p>
      <w:pPr>
        <w:tabs>
          <w:tab w:val="left" w:pos="3075"/>
        </w:tabs>
        <w:spacing w:line="300" w:lineRule="auto"/>
        <w:jc w:val="center"/>
        <w:rPr>
          <w:rFonts w:ascii="宋体" w:hAnsi="宋体" w:cs="Arial"/>
          <w:kern w:val="0"/>
          <w:sz w:val="20"/>
          <w:szCs w:val="20"/>
        </w:rPr>
      </w:pPr>
    </w:p>
    <w:p>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pPr>
        <w:spacing w:line="360" w:lineRule="auto"/>
        <w:ind w:firstLine="480" w:firstLineChars="200"/>
        <w:rPr>
          <w:rFonts w:ascii="宋体" w:hAnsi="宋体" w:cs="仿宋_GB2312"/>
          <w:sz w:val="24"/>
        </w:rPr>
      </w:pPr>
      <w:r>
        <w:rPr>
          <w:rFonts w:hint="eastAsia" w:ascii="宋体" w:hAnsi="宋体" w:cs="仿宋_GB2312"/>
          <w:sz w:val="24"/>
        </w:rPr>
        <w:t>法定代表人或授权代表：</w:t>
      </w:r>
      <w:r>
        <w:rPr>
          <w:rFonts w:hint="eastAsia" w:ascii="宋体" w:hAnsi="宋体" w:cs="仿宋_GB2312"/>
          <w:sz w:val="24"/>
          <w:u w:val="single"/>
        </w:rPr>
        <w:t xml:space="preserve">          </w:t>
      </w:r>
      <w:r>
        <w:rPr>
          <w:rFonts w:hint="eastAsia" w:ascii="宋体" w:hAnsi="宋体" w:cs="仿宋_GB2312"/>
          <w:sz w:val="24"/>
        </w:rPr>
        <w:t>（签字）</w:t>
      </w:r>
    </w:p>
    <w:p>
      <w:pPr>
        <w:spacing w:line="360" w:lineRule="auto"/>
        <w:ind w:firstLine="480" w:firstLineChars="200"/>
        <w:rPr>
          <w:rFonts w:ascii="宋体" w:hAnsi="宋体" w:cs="仿宋_GB2312"/>
          <w:sz w:val="24"/>
        </w:rPr>
      </w:pPr>
      <w:r>
        <w:rPr>
          <w:rFonts w:hint="eastAsia" w:ascii="宋体" w:hAnsi="宋体" w:cs="仿宋_GB2312"/>
          <w:sz w:val="24"/>
        </w:rPr>
        <w:t>日      期：   年    月    日</w:t>
      </w:r>
    </w:p>
    <w:p>
      <w:pPr>
        <w:spacing w:line="360" w:lineRule="auto"/>
        <w:ind w:firstLine="480" w:firstLineChars="200"/>
        <w:rPr>
          <w:rFonts w:ascii="宋体" w:hAnsi="宋体" w:cs="仿宋_GB2312"/>
          <w:sz w:val="24"/>
        </w:rPr>
      </w:pPr>
    </w:p>
    <w:p>
      <w:pPr>
        <w:keepNext/>
        <w:keepLines/>
        <w:spacing w:line="360" w:lineRule="auto"/>
        <w:ind w:left="2666" w:hanging="2666" w:hangingChars="1333"/>
        <w:jc w:val="center"/>
        <w:outlineLvl w:val="1"/>
        <w:rPr>
          <w:rFonts w:ascii="宋体" w:hAnsi="宋体" w:cs="仿宋_GB2312"/>
          <w:b/>
          <w:sz w:val="28"/>
          <w:szCs w:val="28"/>
        </w:rPr>
      </w:pPr>
      <w:r>
        <w:rPr>
          <w:rFonts w:ascii="宋体" w:hAnsi="宋体" w:cs="Arial"/>
          <w:kern w:val="0"/>
          <w:sz w:val="20"/>
          <w:szCs w:val="20"/>
          <w:u w:val="single"/>
        </w:rPr>
        <w:br w:type="page"/>
      </w:r>
      <w:bookmarkStart w:id="597" w:name="_Toc432367445"/>
      <w:bookmarkStart w:id="598" w:name="_Toc430813377"/>
      <w:bookmarkStart w:id="599" w:name="_Toc14907"/>
      <w:bookmarkStart w:id="600" w:name="_Toc56708590"/>
      <w:r>
        <w:rPr>
          <w:rFonts w:hint="eastAsia" w:ascii="宋体" w:hAnsi="宋体" w:cs="仿宋_GB2312"/>
          <w:b/>
          <w:sz w:val="28"/>
          <w:szCs w:val="28"/>
        </w:rPr>
        <w:t>（三）其它</w:t>
      </w:r>
      <w:bookmarkEnd w:id="597"/>
      <w:bookmarkEnd w:id="598"/>
      <w:r>
        <w:rPr>
          <w:rFonts w:hint="eastAsia" w:ascii="宋体" w:hAnsi="宋体" w:cs="仿宋_GB2312"/>
          <w:b/>
          <w:sz w:val="28"/>
          <w:szCs w:val="28"/>
        </w:rPr>
        <w:t>技术文件</w:t>
      </w:r>
      <w:bookmarkEnd w:id="599"/>
      <w:bookmarkEnd w:id="600"/>
    </w:p>
    <w:p>
      <w:pPr>
        <w:spacing w:line="360" w:lineRule="auto"/>
        <w:ind w:firstLine="480" w:firstLineChars="200"/>
        <w:rPr>
          <w:rFonts w:ascii="宋体" w:hAnsi="宋体" w:cs="仿宋_GB2312"/>
          <w:sz w:val="24"/>
        </w:rPr>
      </w:pPr>
    </w:p>
    <w:p>
      <w:pPr>
        <w:spacing w:line="360" w:lineRule="auto"/>
        <w:ind w:firstLine="480" w:firstLineChars="200"/>
        <w:rPr>
          <w:rFonts w:ascii="宋体" w:hAnsi="宋体" w:cs="仿宋_GB2312"/>
          <w:sz w:val="24"/>
        </w:rPr>
      </w:pPr>
      <w:r>
        <w:rPr>
          <w:rFonts w:hint="eastAsia" w:ascii="宋体" w:hAnsi="宋体" w:cs="仿宋_GB2312"/>
          <w:sz w:val="24"/>
        </w:rPr>
        <w:t>1. 磋商文件要求供应商须提交的其它技术资料；</w:t>
      </w:r>
    </w:p>
    <w:p>
      <w:pPr>
        <w:spacing w:line="360" w:lineRule="auto"/>
        <w:ind w:firstLine="480" w:firstLineChars="200"/>
        <w:rPr>
          <w:rFonts w:ascii="宋体" w:hAnsi="宋体" w:cs="仿宋_GB2312"/>
          <w:sz w:val="24"/>
        </w:rPr>
      </w:pPr>
      <w:r>
        <w:rPr>
          <w:rFonts w:hint="eastAsia" w:ascii="宋体" w:hAnsi="宋体" w:cs="仿宋_GB2312"/>
          <w:sz w:val="24"/>
        </w:rPr>
        <w:t>2. 供应商认为需加以说明的其它内容。</w:t>
      </w:r>
    </w:p>
    <w:p>
      <w:pPr>
        <w:spacing w:line="360" w:lineRule="auto"/>
        <w:ind w:firstLine="480" w:firstLineChars="200"/>
        <w:rPr>
          <w:rFonts w:ascii="宋体" w:hAnsi="宋体" w:cs="仿宋_GB2312"/>
          <w:sz w:val="24"/>
        </w:rPr>
      </w:pPr>
    </w:p>
    <w:p>
      <w:pPr>
        <w:spacing w:line="360" w:lineRule="auto"/>
        <w:ind w:firstLine="120"/>
        <w:jc w:val="center"/>
        <w:rPr>
          <w:rFonts w:ascii="宋体" w:hAnsi="宋体" w:cs="Arial"/>
          <w:b/>
          <w:bCs/>
          <w:kern w:val="0"/>
          <w:sz w:val="20"/>
          <w:szCs w:val="20"/>
        </w:rPr>
      </w:pPr>
    </w:p>
    <w:p>
      <w:pPr>
        <w:spacing w:line="360" w:lineRule="auto"/>
        <w:ind w:firstLine="120"/>
        <w:jc w:val="center"/>
        <w:rPr>
          <w:rFonts w:ascii="宋体" w:hAnsi="宋体" w:cs="Arial"/>
          <w:b/>
          <w:bCs/>
          <w:kern w:val="0"/>
          <w:sz w:val="20"/>
          <w:szCs w:val="20"/>
        </w:rPr>
      </w:pPr>
    </w:p>
    <w:p>
      <w:pPr>
        <w:spacing w:line="360" w:lineRule="auto"/>
        <w:ind w:firstLine="120"/>
        <w:jc w:val="center"/>
        <w:rPr>
          <w:rFonts w:ascii="宋体" w:hAnsi="宋体" w:cs="Arial"/>
          <w:b/>
          <w:bCs/>
          <w:kern w:val="0"/>
          <w:sz w:val="20"/>
          <w:szCs w:val="20"/>
        </w:rPr>
      </w:pPr>
    </w:p>
    <w:p>
      <w:pPr>
        <w:spacing w:line="360" w:lineRule="auto"/>
        <w:ind w:firstLine="120"/>
        <w:jc w:val="center"/>
        <w:rPr>
          <w:rFonts w:ascii="宋体" w:hAnsi="宋体" w:cs="Arial"/>
          <w:b/>
          <w:bCs/>
          <w:kern w:val="0"/>
          <w:sz w:val="20"/>
          <w:szCs w:val="20"/>
        </w:rPr>
      </w:pPr>
    </w:p>
    <w:p>
      <w:pPr>
        <w:spacing w:line="360" w:lineRule="auto"/>
        <w:ind w:firstLine="120"/>
        <w:jc w:val="center"/>
        <w:rPr>
          <w:rFonts w:ascii="宋体" w:hAnsi="宋体" w:cs="Arial"/>
          <w:b/>
          <w:bCs/>
          <w:kern w:val="0"/>
          <w:sz w:val="20"/>
          <w:szCs w:val="20"/>
        </w:rPr>
      </w:pPr>
    </w:p>
    <w:p>
      <w:pPr>
        <w:spacing w:line="360" w:lineRule="auto"/>
        <w:ind w:firstLine="120"/>
        <w:jc w:val="center"/>
        <w:rPr>
          <w:rFonts w:ascii="宋体" w:hAnsi="宋体" w:cs="Arial"/>
          <w:b/>
          <w:bCs/>
          <w:kern w:val="0"/>
          <w:sz w:val="20"/>
          <w:szCs w:val="20"/>
        </w:rPr>
      </w:pPr>
    </w:p>
    <w:p>
      <w:pPr>
        <w:spacing w:line="360" w:lineRule="auto"/>
        <w:ind w:firstLine="120"/>
        <w:jc w:val="center"/>
        <w:rPr>
          <w:rFonts w:ascii="宋体" w:hAnsi="宋体" w:cs="Arial"/>
          <w:b/>
          <w:bCs/>
          <w:kern w:val="0"/>
          <w:sz w:val="20"/>
          <w:szCs w:val="20"/>
        </w:rPr>
      </w:pPr>
    </w:p>
    <w:p>
      <w:pPr>
        <w:spacing w:line="360" w:lineRule="auto"/>
        <w:ind w:firstLine="120"/>
        <w:jc w:val="center"/>
        <w:rPr>
          <w:rFonts w:ascii="宋体" w:hAnsi="宋体" w:cs="Arial"/>
          <w:b/>
          <w:bCs/>
          <w:kern w:val="0"/>
          <w:sz w:val="20"/>
          <w:szCs w:val="20"/>
        </w:rPr>
      </w:pPr>
    </w:p>
    <w:p>
      <w:pPr>
        <w:spacing w:line="360" w:lineRule="auto"/>
        <w:ind w:firstLine="120"/>
        <w:jc w:val="center"/>
        <w:rPr>
          <w:rFonts w:ascii="宋体" w:hAnsi="宋体" w:cs="Arial"/>
          <w:b/>
          <w:bCs/>
          <w:kern w:val="0"/>
          <w:sz w:val="20"/>
          <w:szCs w:val="20"/>
        </w:rPr>
      </w:pPr>
    </w:p>
    <w:p>
      <w:pPr>
        <w:spacing w:line="360" w:lineRule="auto"/>
        <w:ind w:firstLine="120"/>
        <w:jc w:val="center"/>
        <w:rPr>
          <w:rFonts w:ascii="宋体" w:hAnsi="宋体" w:cs="Arial"/>
          <w:b/>
          <w:bCs/>
          <w:kern w:val="0"/>
          <w:sz w:val="20"/>
          <w:szCs w:val="20"/>
        </w:rPr>
      </w:pPr>
    </w:p>
    <w:p>
      <w:pPr>
        <w:spacing w:line="360" w:lineRule="auto"/>
        <w:ind w:firstLine="120"/>
        <w:jc w:val="center"/>
        <w:rPr>
          <w:rFonts w:ascii="宋体" w:hAnsi="宋体" w:cs="Arial"/>
          <w:b/>
          <w:bCs/>
          <w:kern w:val="0"/>
          <w:sz w:val="20"/>
          <w:szCs w:val="20"/>
        </w:rPr>
      </w:pPr>
    </w:p>
    <w:p>
      <w:pPr>
        <w:spacing w:line="360" w:lineRule="auto"/>
        <w:ind w:firstLine="120"/>
        <w:jc w:val="center"/>
        <w:rPr>
          <w:rFonts w:ascii="宋体" w:hAnsi="宋体" w:cs="Arial"/>
          <w:b/>
          <w:bCs/>
          <w:kern w:val="0"/>
          <w:sz w:val="20"/>
          <w:szCs w:val="20"/>
        </w:rPr>
      </w:pPr>
    </w:p>
    <w:p>
      <w:pPr>
        <w:spacing w:line="360" w:lineRule="auto"/>
        <w:ind w:firstLine="120"/>
        <w:jc w:val="center"/>
        <w:rPr>
          <w:rFonts w:ascii="宋体" w:hAnsi="宋体" w:cs="Arial"/>
          <w:b/>
          <w:bCs/>
          <w:kern w:val="0"/>
          <w:sz w:val="20"/>
          <w:szCs w:val="20"/>
        </w:rPr>
      </w:pPr>
    </w:p>
    <w:p>
      <w:pPr>
        <w:spacing w:line="360" w:lineRule="auto"/>
        <w:ind w:firstLine="120"/>
        <w:jc w:val="center"/>
        <w:rPr>
          <w:rFonts w:ascii="宋体" w:hAnsi="宋体" w:cs="Arial"/>
          <w:b/>
          <w:bCs/>
          <w:kern w:val="0"/>
          <w:sz w:val="20"/>
          <w:szCs w:val="20"/>
        </w:rPr>
      </w:pPr>
    </w:p>
    <w:p>
      <w:pPr>
        <w:spacing w:line="360" w:lineRule="auto"/>
        <w:ind w:firstLine="120"/>
        <w:jc w:val="center"/>
        <w:rPr>
          <w:rFonts w:ascii="宋体" w:hAnsi="宋体" w:cs="Arial"/>
          <w:b/>
          <w:bCs/>
          <w:kern w:val="0"/>
          <w:sz w:val="20"/>
          <w:szCs w:val="20"/>
        </w:rPr>
      </w:pPr>
    </w:p>
    <w:p>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pPr>
        <w:spacing w:line="360" w:lineRule="auto"/>
        <w:ind w:firstLine="480" w:firstLineChars="200"/>
        <w:rPr>
          <w:rFonts w:ascii="宋体" w:hAnsi="宋体" w:cs="仿宋_GB2312"/>
          <w:sz w:val="24"/>
        </w:rPr>
      </w:pPr>
      <w:r>
        <w:rPr>
          <w:rFonts w:hint="eastAsia" w:ascii="宋体" w:hAnsi="宋体" w:cs="仿宋_GB2312"/>
          <w:sz w:val="24"/>
        </w:rPr>
        <w:t>法定代表人或授权代表：</w:t>
      </w:r>
      <w:r>
        <w:rPr>
          <w:rFonts w:hint="eastAsia" w:ascii="宋体" w:hAnsi="宋体" w:cs="仿宋_GB2312"/>
          <w:sz w:val="24"/>
          <w:u w:val="single"/>
        </w:rPr>
        <w:t xml:space="preserve">          </w:t>
      </w:r>
      <w:r>
        <w:rPr>
          <w:rFonts w:hint="eastAsia" w:ascii="宋体" w:hAnsi="宋体" w:cs="仿宋_GB2312"/>
          <w:sz w:val="24"/>
        </w:rPr>
        <w:t>（签字）</w:t>
      </w:r>
    </w:p>
    <w:p>
      <w:pPr>
        <w:spacing w:line="360" w:lineRule="auto"/>
        <w:ind w:firstLine="480" w:firstLineChars="200"/>
        <w:rPr>
          <w:rFonts w:ascii="宋体" w:hAnsi="宋体" w:cs="仿宋_GB2312"/>
          <w:sz w:val="24"/>
        </w:rPr>
        <w:sectPr>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cs="仿宋_GB2312"/>
          <w:sz w:val="24"/>
        </w:rPr>
        <w:t>日      期：   年    月    日</w:t>
      </w:r>
    </w:p>
    <w:p>
      <w:pPr>
        <w:pStyle w:val="4"/>
        <w:spacing w:before="0" w:after="0" w:line="360" w:lineRule="auto"/>
        <w:jc w:val="center"/>
        <w:rPr>
          <w:rFonts w:ascii="宋体" w:hAnsi="宋体" w:eastAsia="宋体" w:cs="Arial"/>
          <w:b/>
        </w:rPr>
      </w:pPr>
      <w:bookmarkStart w:id="601" w:name="_Toc12119"/>
      <w:bookmarkStart w:id="602" w:name="_Toc44254402"/>
      <w:bookmarkStart w:id="603" w:name="_Toc356836516"/>
      <w:bookmarkStart w:id="604" w:name="_Toc355802499"/>
      <w:bookmarkStart w:id="605" w:name="_Toc22465"/>
      <w:bookmarkStart w:id="606" w:name="_Toc487555572"/>
      <w:bookmarkStart w:id="607" w:name="_Toc422466739"/>
      <w:bookmarkStart w:id="608" w:name="_Toc432149016"/>
      <w:bookmarkStart w:id="609" w:name="_Toc470172720"/>
      <w:bookmarkStart w:id="610" w:name="_Toc14187"/>
      <w:bookmarkStart w:id="611" w:name="_Hlk89808228"/>
      <w:r>
        <w:rPr>
          <w:rFonts w:hint="eastAsia" w:ascii="宋体" w:hAnsi="宋体" w:eastAsia="宋体" w:cs="Arial"/>
          <w:b/>
        </w:rPr>
        <w:t>五、</w:t>
      </w:r>
      <w:bookmarkEnd w:id="601"/>
      <w:bookmarkEnd w:id="602"/>
      <w:bookmarkEnd w:id="603"/>
      <w:bookmarkEnd w:id="604"/>
      <w:bookmarkEnd w:id="605"/>
      <w:bookmarkEnd w:id="606"/>
      <w:bookmarkEnd w:id="607"/>
      <w:bookmarkEnd w:id="608"/>
      <w:bookmarkEnd w:id="609"/>
      <w:r>
        <w:rPr>
          <w:rFonts w:hint="eastAsia" w:ascii="宋体" w:hAnsi="宋体" w:eastAsia="宋体" w:cs="Arial"/>
          <w:b/>
        </w:rPr>
        <w:t>落实政府采购政策相关证明文件</w:t>
      </w:r>
      <w:bookmarkEnd w:id="610"/>
    </w:p>
    <w:p>
      <w:pPr>
        <w:keepNext/>
        <w:keepLines/>
        <w:spacing w:line="360" w:lineRule="auto"/>
        <w:ind w:left="3747" w:hanging="3747" w:hangingChars="1333"/>
        <w:jc w:val="center"/>
        <w:outlineLvl w:val="1"/>
        <w:rPr>
          <w:rFonts w:ascii="宋体" w:hAnsi="宋体" w:cs="仿宋_GB2312"/>
          <w:b/>
          <w:sz w:val="28"/>
          <w:szCs w:val="28"/>
        </w:rPr>
      </w:pPr>
      <w:bookmarkStart w:id="612" w:name="_Toc8524"/>
      <w:r>
        <w:rPr>
          <w:rFonts w:hint="eastAsia" w:ascii="宋体" w:hAnsi="宋体" w:cs="仿宋_GB2312"/>
          <w:b/>
          <w:sz w:val="28"/>
          <w:szCs w:val="28"/>
        </w:rPr>
        <w:t>（一）中小企业声明函（货物）</w:t>
      </w:r>
      <w:bookmarkEnd w:id="612"/>
    </w:p>
    <w:p>
      <w:pPr>
        <w:spacing w:line="360" w:lineRule="auto"/>
        <w:ind w:firstLine="504" w:firstLineChars="200"/>
        <w:rPr>
          <w:rFonts w:ascii="宋体" w:hAnsi="宋体" w:cs="宋体"/>
          <w:spacing w:val="6"/>
          <w:sz w:val="24"/>
        </w:rPr>
      </w:pPr>
      <w:r>
        <w:rPr>
          <w:rFonts w:hint="eastAsia" w:ascii="宋体" w:hAnsi="宋体" w:cs="宋体"/>
          <w:spacing w:val="6"/>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504" w:firstLineChars="200"/>
        <w:rPr>
          <w:rFonts w:ascii="宋体" w:hAnsi="宋体" w:cs="宋体"/>
          <w:spacing w:val="6"/>
          <w:sz w:val="24"/>
        </w:rPr>
      </w:pPr>
      <w:r>
        <w:rPr>
          <w:rFonts w:hint="eastAsia" w:ascii="宋体" w:hAnsi="宋体" w:cs="宋体"/>
          <w:spacing w:val="6"/>
          <w:sz w:val="24"/>
        </w:rPr>
        <w:t>1.</w:t>
      </w:r>
      <w:r>
        <w:rPr>
          <w:rFonts w:hint="eastAsia" w:ascii="宋体" w:hAnsi="宋体" w:cs="宋体"/>
          <w:spacing w:val="6"/>
          <w:sz w:val="24"/>
          <w:u w:val="single"/>
        </w:rPr>
        <w:t xml:space="preserve"> （标的名称） </w:t>
      </w:r>
      <w:r>
        <w:rPr>
          <w:rFonts w:hint="eastAsia" w:ascii="宋体" w:hAnsi="宋体" w:cs="宋体"/>
          <w:spacing w:val="6"/>
          <w:sz w:val="24"/>
        </w:rPr>
        <w:t>，属于</w:t>
      </w:r>
      <w:r>
        <w:rPr>
          <w:rFonts w:hint="eastAsia" w:ascii="宋体" w:hAnsi="宋体" w:cs="宋体"/>
          <w:spacing w:val="6"/>
          <w:sz w:val="24"/>
          <w:u w:val="single"/>
        </w:rPr>
        <w:t xml:space="preserve"> （采购文件中明确的所属行业）</w:t>
      </w:r>
      <w:r>
        <w:rPr>
          <w:rFonts w:hint="eastAsia" w:ascii="宋体" w:hAnsi="宋体" w:cs="宋体"/>
          <w:spacing w:val="6"/>
          <w:sz w:val="24"/>
        </w:rPr>
        <w:t>行业 ；制造商为</w:t>
      </w:r>
      <w:r>
        <w:rPr>
          <w:rFonts w:hint="eastAsia" w:ascii="宋体" w:hAnsi="宋体" w:cs="宋体"/>
          <w:spacing w:val="6"/>
          <w:sz w:val="24"/>
          <w:u w:val="single"/>
        </w:rPr>
        <w:t xml:space="preserve"> （企业名称） </w:t>
      </w:r>
      <w:r>
        <w:rPr>
          <w:rFonts w:hint="eastAsia" w:ascii="宋体" w:hAnsi="宋体" w:cs="宋体"/>
          <w:spacing w:val="6"/>
          <w:sz w:val="24"/>
        </w:rPr>
        <w:t>，从业人员</w:t>
      </w:r>
      <w:r>
        <w:rPr>
          <w:rFonts w:ascii="宋体" w:hAnsi="宋体" w:cs="宋体"/>
          <w:spacing w:val="6"/>
          <w:sz w:val="24"/>
          <w:u w:val="single"/>
        </w:rPr>
        <w:t xml:space="preserve">      </w:t>
      </w:r>
      <w:r>
        <w:rPr>
          <w:rFonts w:hint="eastAsia" w:ascii="宋体" w:hAnsi="宋体" w:cs="宋体"/>
          <w:spacing w:val="6"/>
          <w:sz w:val="24"/>
        </w:rPr>
        <w:t>人，营业收入为</w:t>
      </w:r>
      <w:r>
        <w:rPr>
          <w:rFonts w:ascii="宋体" w:hAnsi="宋体" w:cs="宋体"/>
          <w:spacing w:val="6"/>
          <w:sz w:val="24"/>
          <w:u w:val="single"/>
        </w:rPr>
        <w:t xml:space="preserve">      </w:t>
      </w:r>
      <w:r>
        <w:rPr>
          <w:rFonts w:hint="eastAsia" w:ascii="宋体" w:hAnsi="宋体" w:cs="宋体"/>
          <w:spacing w:val="6"/>
          <w:sz w:val="24"/>
        </w:rPr>
        <w:t>万元，资产总额为</w:t>
      </w:r>
      <w:r>
        <w:rPr>
          <w:rFonts w:ascii="宋体" w:hAnsi="宋体" w:cs="宋体"/>
          <w:spacing w:val="6"/>
          <w:sz w:val="24"/>
          <w:u w:val="single"/>
        </w:rPr>
        <w:t xml:space="preserve">      </w:t>
      </w:r>
      <w:r>
        <w:rPr>
          <w:rFonts w:hint="eastAsia" w:ascii="宋体" w:hAnsi="宋体" w:cs="宋体"/>
          <w:spacing w:val="6"/>
          <w:sz w:val="24"/>
        </w:rPr>
        <w:t>万元，属于</w:t>
      </w:r>
      <w:r>
        <w:rPr>
          <w:rFonts w:hint="eastAsia" w:ascii="宋体" w:hAnsi="宋体" w:cs="宋体"/>
          <w:spacing w:val="6"/>
          <w:sz w:val="24"/>
          <w:u w:val="single"/>
        </w:rPr>
        <w:t xml:space="preserve"> （中型企业、小型企业、微型企业）</w:t>
      </w:r>
      <w:r>
        <w:rPr>
          <w:rFonts w:hint="eastAsia" w:ascii="宋体" w:hAnsi="宋体" w:cs="宋体"/>
          <w:spacing w:val="6"/>
          <w:sz w:val="24"/>
        </w:rPr>
        <w:t>；</w:t>
      </w:r>
    </w:p>
    <w:p>
      <w:pPr>
        <w:spacing w:line="360" w:lineRule="auto"/>
        <w:ind w:firstLine="504" w:firstLineChars="200"/>
        <w:rPr>
          <w:rFonts w:ascii="宋体" w:hAnsi="宋体" w:cs="宋体"/>
          <w:spacing w:val="6"/>
          <w:sz w:val="24"/>
        </w:rPr>
      </w:pPr>
      <w:r>
        <w:rPr>
          <w:rFonts w:hint="eastAsia" w:ascii="宋体" w:hAnsi="宋体" w:cs="宋体"/>
          <w:spacing w:val="6"/>
          <w:sz w:val="24"/>
        </w:rPr>
        <w:t>2.</w:t>
      </w:r>
      <w:r>
        <w:rPr>
          <w:rFonts w:hint="eastAsia" w:ascii="宋体" w:hAnsi="宋体" w:cs="宋体"/>
          <w:spacing w:val="6"/>
          <w:sz w:val="24"/>
          <w:u w:val="single"/>
        </w:rPr>
        <w:t xml:space="preserve"> （标的名称） </w:t>
      </w:r>
      <w:r>
        <w:rPr>
          <w:rFonts w:hint="eastAsia" w:ascii="宋体" w:hAnsi="宋体" w:cs="宋体"/>
          <w:spacing w:val="6"/>
          <w:sz w:val="24"/>
        </w:rPr>
        <w:t>，属于</w:t>
      </w:r>
      <w:r>
        <w:rPr>
          <w:rFonts w:hint="eastAsia" w:ascii="宋体" w:hAnsi="宋体" w:cs="宋体"/>
          <w:spacing w:val="6"/>
          <w:sz w:val="24"/>
          <w:u w:val="single"/>
        </w:rPr>
        <w:t xml:space="preserve"> （采购文件中明确的所属行业）</w:t>
      </w:r>
      <w:r>
        <w:rPr>
          <w:rFonts w:hint="eastAsia" w:ascii="宋体" w:hAnsi="宋体" w:cs="宋体"/>
          <w:spacing w:val="6"/>
          <w:sz w:val="24"/>
        </w:rPr>
        <w:t>行业 ；制造商为</w:t>
      </w:r>
      <w:r>
        <w:rPr>
          <w:rFonts w:hint="eastAsia" w:ascii="宋体" w:hAnsi="宋体" w:cs="宋体"/>
          <w:spacing w:val="6"/>
          <w:sz w:val="24"/>
          <w:u w:val="single"/>
        </w:rPr>
        <w:t xml:space="preserve"> （企业名称） </w:t>
      </w:r>
      <w:r>
        <w:rPr>
          <w:rFonts w:hint="eastAsia" w:ascii="宋体" w:hAnsi="宋体" w:cs="宋体"/>
          <w:spacing w:val="6"/>
          <w:sz w:val="24"/>
        </w:rPr>
        <w:t>，从业人员</w:t>
      </w:r>
      <w:r>
        <w:rPr>
          <w:rFonts w:ascii="宋体" w:hAnsi="宋体" w:cs="宋体"/>
          <w:spacing w:val="6"/>
          <w:sz w:val="24"/>
          <w:u w:val="single"/>
        </w:rPr>
        <w:t xml:space="preserve">      </w:t>
      </w:r>
      <w:r>
        <w:rPr>
          <w:rFonts w:hint="eastAsia" w:ascii="宋体" w:hAnsi="宋体" w:cs="宋体"/>
          <w:spacing w:val="6"/>
          <w:sz w:val="24"/>
        </w:rPr>
        <w:t>人，营业收入为</w:t>
      </w:r>
      <w:r>
        <w:rPr>
          <w:rFonts w:ascii="宋体" w:hAnsi="宋体" w:cs="宋体"/>
          <w:spacing w:val="6"/>
          <w:sz w:val="24"/>
          <w:u w:val="single"/>
        </w:rPr>
        <w:t xml:space="preserve">      </w:t>
      </w:r>
      <w:r>
        <w:rPr>
          <w:rFonts w:hint="eastAsia" w:ascii="宋体" w:hAnsi="宋体" w:cs="宋体"/>
          <w:spacing w:val="6"/>
          <w:sz w:val="24"/>
        </w:rPr>
        <w:t>万元，资产总额为</w:t>
      </w:r>
      <w:r>
        <w:rPr>
          <w:rFonts w:ascii="宋体" w:hAnsi="宋体" w:cs="宋体"/>
          <w:spacing w:val="6"/>
          <w:sz w:val="24"/>
          <w:u w:val="single"/>
        </w:rPr>
        <w:t xml:space="preserve">      </w:t>
      </w:r>
      <w:r>
        <w:rPr>
          <w:rFonts w:hint="eastAsia" w:ascii="宋体" w:hAnsi="宋体" w:cs="宋体"/>
          <w:spacing w:val="6"/>
          <w:sz w:val="24"/>
        </w:rPr>
        <w:t>万元，属于</w:t>
      </w:r>
      <w:r>
        <w:rPr>
          <w:rFonts w:hint="eastAsia" w:ascii="宋体" w:hAnsi="宋体" w:cs="宋体"/>
          <w:spacing w:val="6"/>
          <w:sz w:val="24"/>
          <w:u w:val="single"/>
        </w:rPr>
        <w:t xml:space="preserve"> （中型企业、小型企业、微型企业）</w:t>
      </w:r>
      <w:r>
        <w:rPr>
          <w:rFonts w:hint="eastAsia" w:ascii="宋体" w:hAnsi="宋体" w:cs="宋体"/>
          <w:spacing w:val="6"/>
          <w:sz w:val="24"/>
        </w:rPr>
        <w:t>；</w:t>
      </w:r>
    </w:p>
    <w:p>
      <w:pPr>
        <w:spacing w:line="360" w:lineRule="auto"/>
        <w:ind w:firstLine="504" w:firstLineChars="200"/>
        <w:rPr>
          <w:rFonts w:ascii="宋体" w:hAnsi="宋体" w:cs="宋体"/>
          <w:spacing w:val="6"/>
          <w:sz w:val="24"/>
        </w:rPr>
      </w:pPr>
      <w:r>
        <w:rPr>
          <w:rFonts w:hint="eastAsia" w:ascii="宋体" w:hAnsi="宋体" w:cs="宋体"/>
          <w:spacing w:val="6"/>
          <w:sz w:val="24"/>
        </w:rPr>
        <w:t>……</w:t>
      </w:r>
    </w:p>
    <w:p>
      <w:pPr>
        <w:spacing w:line="360" w:lineRule="auto"/>
        <w:ind w:firstLine="504" w:firstLineChars="200"/>
        <w:rPr>
          <w:rFonts w:ascii="宋体" w:hAnsi="宋体" w:cs="宋体"/>
          <w:spacing w:val="6"/>
          <w:sz w:val="24"/>
        </w:rPr>
      </w:pPr>
      <w:r>
        <w:rPr>
          <w:rFonts w:hint="eastAsia" w:ascii="宋体" w:hAnsi="宋体" w:cs="宋体"/>
          <w:spacing w:val="6"/>
          <w:sz w:val="24"/>
        </w:rPr>
        <w:t>以上企业，不属于大企业的分支机构，不存在控股股东为大企业的情形，也不存在与大企业的负责人为同一人的情形。</w:t>
      </w:r>
    </w:p>
    <w:p>
      <w:pPr>
        <w:spacing w:line="360" w:lineRule="auto"/>
        <w:ind w:firstLine="504" w:firstLineChars="200"/>
        <w:rPr>
          <w:rFonts w:ascii="宋体" w:hAnsi="宋体" w:cs="宋体"/>
          <w:spacing w:val="6"/>
          <w:sz w:val="24"/>
        </w:rPr>
      </w:pPr>
      <w:r>
        <w:rPr>
          <w:rFonts w:hint="eastAsia" w:ascii="宋体" w:hAnsi="宋体" w:cs="宋体"/>
          <w:spacing w:val="6"/>
          <w:sz w:val="24"/>
        </w:rPr>
        <w:t>本企业对上述声明内容的真实性负责。如有虚假，将依法承担相应责任。</w:t>
      </w:r>
    </w:p>
    <w:p>
      <w:pPr>
        <w:spacing w:line="360" w:lineRule="auto"/>
        <w:ind w:right="1008" w:firstLine="4788" w:firstLineChars="1900"/>
        <w:rPr>
          <w:rFonts w:ascii="宋体" w:hAnsi="宋体" w:cs="宋体"/>
          <w:spacing w:val="6"/>
          <w:sz w:val="24"/>
        </w:rPr>
      </w:pPr>
    </w:p>
    <w:p>
      <w:pPr>
        <w:spacing w:line="360" w:lineRule="auto"/>
        <w:ind w:right="1008" w:firstLine="4788" w:firstLineChars="1900"/>
        <w:rPr>
          <w:rFonts w:ascii="宋体" w:hAnsi="宋体" w:cs="宋体"/>
          <w:spacing w:val="6"/>
          <w:sz w:val="24"/>
        </w:rPr>
      </w:pPr>
      <w:r>
        <w:rPr>
          <w:rFonts w:hint="eastAsia" w:ascii="宋体" w:hAnsi="宋体" w:cs="宋体"/>
          <w:spacing w:val="6"/>
          <w:sz w:val="24"/>
        </w:rPr>
        <w:t>企业名称（盖章）：</w:t>
      </w:r>
    </w:p>
    <w:p>
      <w:pPr>
        <w:spacing w:line="360" w:lineRule="auto"/>
        <w:ind w:right="1008" w:firstLine="4788" w:firstLineChars="1900"/>
        <w:rPr>
          <w:rFonts w:ascii="宋体" w:hAnsi="宋体" w:cs="宋体"/>
          <w:spacing w:val="6"/>
          <w:sz w:val="24"/>
        </w:rPr>
      </w:pPr>
      <w:r>
        <w:rPr>
          <w:rFonts w:hint="eastAsia" w:ascii="宋体" w:hAnsi="宋体" w:cs="宋体"/>
          <w:spacing w:val="6"/>
          <w:sz w:val="24"/>
        </w:rPr>
        <w:t>日 期：</w:t>
      </w:r>
    </w:p>
    <w:p>
      <w:pPr>
        <w:spacing w:line="360" w:lineRule="auto"/>
        <w:ind w:firstLine="504" w:firstLineChars="200"/>
        <w:rPr>
          <w:rFonts w:ascii="宋体" w:hAnsi="宋体" w:cs="宋体"/>
          <w:spacing w:val="6"/>
          <w:sz w:val="24"/>
        </w:rPr>
      </w:pPr>
    </w:p>
    <w:p>
      <w:pPr>
        <w:spacing w:line="360" w:lineRule="auto"/>
        <w:ind w:firstLine="446" w:firstLineChars="200"/>
        <w:rPr>
          <w:rFonts w:ascii="宋体" w:hAnsi="宋体" w:cs="宋体"/>
          <w:spacing w:val="6"/>
          <w:szCs w:val="21"/>
        </w:rPr>
        <w:sectPr>
          <w:type w:val="nextColumn"/>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b/>
          <w:bCs/>
          <w:spacing w:val="6"/>
          <w:szCs w:val="21"/>
        </w:rPr>
        <w:t>说明：</w:t>
      </w:r>
      <w:r>
        <w:rPr>
          <w:rFonts w:hint="eastAsia" w:ascii="宋体" w:hAnsi="宋体" w:cs="宋体"/>
          <w:spacing w:val="6"/>
          <w:szCs w:val="21"/>
        </w:rPr>
        <w:t>从业人员、营业收入、资产总额填报上一年度数据，无上一年度数据的新成立企业可不填报。</w:t>
      </w:r>
    </w:p>
    <w:p>
      <w:pPr>
        <w:keepNext/>
        <w:keepLines/>
        <w:spacing w:line="360" w:lineRule="auto"/>
        <w:ind w:left="3747" w:hanging="3747" w:hangingChars="1333"/>
        <w:jc w:val="center"/>
        <w:outlineLvl w:val="1"/>
        <w:rPr>
          <w:rFonts w:ascii="宋体" w:hAnsi="宋体" w:cs="仿宋_GB2312"/>
          <w:b/>
          <w:sz w:val="28"/>
          <w:szCs w:val="28"/>
        </w:rPr>
      </w:pPr>
      <w:bookmarkStart w:id="613" w:name="_Toc15883"/>
      <w:r>
        <w:rPr>
          <w:rFonts w:hint="eastAsia" w:ascii="宋体" w:hAnsi="宋体" w:cs="仿宋_GB2312"/>
          <w:b/>
          <w:sz w:val="28"/>
          <w:szCs w:val="28"/>
        </w:rPr>
        <w:t>（二）中小企业声明函（工程、服务）</w:t>
      </w:r>
      <w:bookmarkEnd w:id="613"/>
    </w:p>
    <w:p>
      <w:pPr>
        <w:spacing w:line="360" w:lineRule="auto"/>
        <w:ind w:firstLine="504" w:firstLineChars="200"/>
        <w:rPr>
          <w:rFonts w:ascii="宋体" w:hAnsi="宋体" w:cs="宋体"/>
          <w:spacing w:val="6"/>
          <w:sz w:val="24"/>
        </w:rPr>
      </w:pPr>
      <w:r>
        <w:rPr>
          <w:rFonts w:hint="eastAsia" w:ascii="宋体" w:hAnsi="宋体" w:cs="宋体"/>
          <w:spacing w:val="6"/>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firstLineChars="200"/>
        <w:rPr>
          <w:rFonts w:ascii="宋体" w:hAnsi="宋体" w:cs="宋体"/>
          <w:spacing w:val="6"/>
          <w:sz w:val="24"/>
          <w:u w:val="single"/>
        </w:rPr>
      </w:pPr>
      <w:r>
        <w:rPr>
          <w:rFonts w:hint="eastAsia" w:ascii="宋体" w:hAnsi="宋体" w:cs="宋体"/>
          <w:spacing w:val="6"/>
          <w:sz w:val="24"/>
        </w:rPr>
        <w:t>1.</w:t>
      </w:r>
      <w:r>
        <w:rPr>
          <w:rFonts w:hint="eastAsia" w:ascii="宋体" w:hAnsi="宋体" w:cs="宋体"/>
          <w:spacing w:val="6"/>
          <w:sz w:val="24"/>
          <w:u w:val="single"/>
        </w:rPr>
        <w:t xml:space="preserve"> （标的名称） </w:t>
      </w:r>
      <w:r>
        <w:rPr>
          <w:rFonts w:hint="eastAsia" w:ascii="宋体" w:hAnsi="宋体" w:cs="宋体"/>
          <w:spacing w:val="6"/>
          <w:sz w:val="24"/>
        </w:rPr>
        <w:t>，属于</w:t>
      </w:r>
      <w:r>
        <w:rPr>
          <w:rFonts w:hint="eastAsia" w:ascii="宋体" w:hAnsi="宋体" w:cs="宋体"/>
          <w:spacing w:val="6"/>
          <w:sz w:val="24"/>
          <w:u w:val="single"/>
        </w:rPr>
        <w:t xml:space="preserve"> （采购文件中明确的所属行业） </w:t>
      </w:r>
      <w:r>
        <w:rPr>
          <w:rFonts w:hint="eastAsia" w:ascii="宋体" w:hAnsi="宋体" w:cs="宋体"/>
          <w:spacing w:val="6"/>
          <w:sz w:val="24"/>
        </w:rPr>
        <w:t>；承建（承接）企业为</w:t>
      </w:r>
      <w:r>
        <w:rPr>
          <w:rFonts w:hint="eastAsia" w:ascii="宋体" w:hAnsi="宋体" w:cs="宋体"/>
          <w:spacing w:val="6"/>
          <w:sz w:val="24"/>
          <w:u w:val="single"/>
        </w:rPr>
        <w:t xml:space="preserve"> （企业名称）  </w:t>
      </w:r>
      <w:r>
        <w:rPr>
          <w:rFonts w:hint="eastAsia" w:ascii="宋体" w:hAnsi="宋体" w:cs="宋体"/>
          <w:spacing w:val="6"/>
          <w:sz w:val="24"/>
        </w:rPr>
        <w:t>，从业人员</w:t>
      </w:r>
      <w:r>
        <w:rPr>
          <w:rFonts w:ascii="宋体" w:hAnsi="宋体" w:cs="宋体"/>
          <w:spacing w:val="6"/>
          <w:sz w:val="24"/>
          <w:u w:val="single"/>
        </w:rPr>
        <w:t xml:space="preserve">       </w:t>
      </w:r>
      <w:r>
        <w:rPr>
          <w:rFonts w:hint="eastAsia" w:ascii="宋体" w:hAnsi="宋体" w:cs="宋体"/>
          <w:spacing w:val="6"/>
          <w:sz w:val="24"/>
        </w:rPr>
        <w:t>人，营业收入为</w:t>
      </w:r>
      <w:r>
        <w:rPr>
          <w:rFonts w:ascii="宋体" w:hAnsi="宋体" w:cs="宋体"/>
          <w:spacing w:val="6"/>
          <w:sz w:val="24"/>
          <w:u w:val="single"/>
        </w:rPr>
        <w:t xml:space="preserve">       </w:t>
      </w:r>
      <w:r>
        <w:rPr>
          <w:rFonts w:hint="eastAsia" w:ascii="宋体" w:hAnsi="宋体" w:cs="宋体"/>
          <w:spacing w:val="6"/>
          <w:sz w:val="24"/>
        </w:rPr>
        <w:t>万元，资产总额为</w:t>
      </w:r>
      <w:r>
        <w:rPr>
          <w:rFonts w:ascii="宋体" w:hAnsi="宋体" w:cs="宋体"/>
          <w:spacing w:val="6"/>
          <w:sz w:val="24"/>
          <w:u w:val="single"/>
        </w:rPr>
        <w:t xml:space="preserve">      </w:t>
      </w:r>
      <w:r>
        <w:rPr>
          <w:rFonts w:hint="eastAsia" w:ascii="宋体" w:hAnsi="宋体" w:cs="宋体"/>
          <w:spacing w:val="6"/>
          <w:sz w:val="24"/>
        </w:rPr>
        <w:t>万元，属于</w:t>
      </w:r>
      <w:r>
        <w:rPr>
          <w:rFonts w:hint="eastAsia" w:ascii="宋体" w:hAnsi="宋体" w:cs="宋体"/>
          <w:spacing w:val="6"/>
          <w:sz w:val="24"/>
          <w:u w:val="single"/>
        </w:rPr>
        <w:t>（中型企业、小型企业、微型企业）</w:t>
      </w:r>
      <w:r>
        <w:rPr>
          <w:rFonts w:hint="eastAsia" w:ascii="宋体" w:hAnsi="宋体" w:cs="宋体"/>
          <w:spacing w:val="6"/>
          <w:sz w:val="24"/>
        </w:rPr>
        <w:t>；</w:t>
      </w:r>
    </w:p>
    <w:p>
      <w:pPr>
        <w:spacing w:line="360" w:lineRule="auto"/>
        <w:ind w:firstLine="504" w:firstLineChars="200"/>
        <w:rPr>
          <w:rFonts w:ascii="宋体" w:hAnsi="宋体" w:cs="宋体"/>
          <w:spacing w:val="6"/>
          <w:sz w:val="24"/>
          <w:u w:val="single"/>
        </w:rPr>
      </w:pPr>
      <w:r>
        <w:rPr>
          <w:rFonts w:hint="eastAsia" w:ascii="宋体" w:hAnsi="宋体" w:cs="宋体"/>
          <w:spacing w:val="6"/>
          <w:sz w:val="24"/>
        </w:rPr>
        <w:t>2.</w:t>
      </w:r>
      <w:r>
        <w:rPr>
          <w:rFonts w:hint="eastAsia" w:ascii="宋体" w:hAnsi="宋体" w:cs="宋体"/>
          <w:spacing w:val="6"/>
          <w:sz w:val="24"/>
          <w:u w:val="single"/>
        </w:rPr>
        <w:t xml:space="preserve"> （标的名称） </w:t>
      </w:r>
      <w:r>
        <w:rPr>
          <w:rFonts w:hint="eastAsia" w:ascii="宋体" w:hAnsi="宋体" w:cs="宋体"/>
          <w:spacing w:val="6"/>
          <w:sz w:val="24"/>
        </w:rPr>
        <w:t>，属于</w:t>
      </w:r>
      <w:r>
        <w:rPr>
          <w:rFonts w:hint="eastAsia" w:ascii="宋体" w:hAnsi="宋体" w:cs="宋体"/>
          <w:spacing w:val="6"/>
          <w:sz w:val="24"/>
          <w:u w:val="single"/>
        </w:rPr>
        <w:t xml:space="preserve"> （采购文件中明确的所属行业） </w:t>
      </w:r>
      <w:r>
        <w:rPr>
          <w:rFonts w:hint="eastAsia" w:ascii="宋体" w:hAnsi="宋体" w:cs="宋体"/>
          <w:spacing w:val="6"/>
          <w:sz w:val="24"/>
        </w:rPr>
        <w:t>；承建（承接）企业为</w:t>
      </w:r>
      <w:r>
        <w:rPr>
          <w:rFonts w:hint="eastAsia" w:ascii="宋体" w:hAnsi="宋体" w:cs="宋体"/>
          <w:spacing w:val="6"/>
          <w:sz w:val="24"/>
          <w:u w:val="single"/>
        </w:rPr>
        <w:t xml:space="preserve"> （企业名称）  </w:t>
      </w:r>
      <w:r>
        <w:rPr>
          <w:rFonts w:hint="eastAsia" w:ascii="宋体" w:hAnsi="宋体" w:cs="宋体"/>
          <w:spacing w:val="6"/>
          <w:sz w:val="24"/>
        </w:rPr>
        <w:t>，从业人员</w:t>
      </w:r>
      <w:r>
        <w:rPr>
          <w:rFonts w:ascii="宋体" w:hAnsi="宋体" w:cs="宋体"/>
          <w:spacing w:val="6"/>
          <w:sz w:val="24"/>
          <w:u w:val="single"/>
        </w:rPr>
        <w:t xml:space="preserve">       </w:t>
      </w:r>
      <w:r>
        <w:rPr>
          <w:rFonts w:hint="eastAsia" w:ascii="宋体" w:hAnsi="宋体" w:cs="宋体"/>
          <w:spacing w:val="6"/>
          <w:sz w:val="24"/>
        </w:rPr>
        <w:t>人，营业收入为</w:t>
      </w:r>
      <w:r>
        <w:rPr>
          <w:rFonts w:ascii="宋体" w:hAnsi="宋体" w:cs="宋体"/>
          <w:spacing w:val="6"/>
          <w:sz w:val="24"/>
          <w:u w:val="single"/>
        </w:rPr>
        <w:t xml:space="preserve">       </w:t>
      </w:r>
      <w:r>
        <w:rPr>
          <w:rFonts w:hint="eastAsia" w:ascii="宋体" w:hAnsi="宋体" w:cs="宋体"/>
          <w:spacing w:val="6"/>
          <w:sz w:val="24"/>
        </w:rPr>
        <w:t>万元，资产总额为</w:t>
      </w:r>
      <w:r>
        <w:rPr>
          <w:rFonts w:ascii="宋体" w:hAnsi="宋体" w:cs="宋体"/>
          <w:spacing w:val="6"/>
          <w:sz w:val="24"/>
          <w:u w:val="single"/>
        </w:rPr>
        <w:t xml:space="preserve">      </w:t>
      </w:r>
      <w:r>
        <w:rPr>
          <w:rFonts w:hint="eastAsia" w:ascii="宋体" w:hAnsi="宋体" w:cs="宋体"/>
          <w:spacing w:val="6"/>
          <w:sz w:val="24"/>
        </w:rPr>
        <w:t>万元，属于</w:t>
      </w:r>
      <w:r>
        <w:rPr>
          <w:rFonts w:hint="eastAsia" w:ascii="宋体" w:hAnsi="宋体" w:cs="宋体"/>
          <w:spacing w:val="6"/>
          <w:sz w:val="24"/>
          <w:u w:val="single"/>
        </w:rPr>
        <w:t>（中型企业、小型企业、微型企业）</w:t>
      </w:r>
      <w:r>
        <w:rPr>
          <w:rFonts w:hint="eastAsia" w:ascii="宋体" w:hAnsi="宋体" w:cs="宋体"/>
          <w:spacing w:val="6"/>
          <w:sz w:val="24"/>
        </w:rPr>
        <w:t>；</w:t>
      </w:r>
    </w:p>
    <w:p>
      <w:pPr>
        <w:spacing w:line="360" w:lineRule="auto"/>
        <w:ind w:firstLine="504" w:firstLineChars="200"/>
        <w:rPr>
          <w:rFonts w:ascii="宋体" w:hAnsi="宋体" w:cs="宋体"/>
          <w:spacing w:val="6"/>
          <w:sz w:val="24"/>
        </w:rPr>
      </w:pPr>
      <w:r>
        <w:rPr>
          <w:rFonts w:hint="eastAsia" w:ascii="宋体" w:hAnsi="宋体" w:cs="宋体"/>
          <w:spacing w:val="6"/>
          <w:sz w:val="24"/>
        </w:rPr>
        <w:t>……</w:t>
      </w:r>
    </w:p>
    <w:p>
      <w:pPr>
        <w:spacing w:line="360" w:lineRule="auto"/>
        <w:ind w:firstLine="504" w:firstLineChars="200"/>
        <w:rPr>
          <w:rFonts w:ascii="宋体" w:hAnsi="宋体" w:cs="宋体"/>
          <w:spacing w:val="6"/>
          <w:sz w:val="24"/>
        </w:rPr>
      </w:pPr>
      <w:r>
        <w:rPr>
          <w:rFonts w:hint="eastAsia" w:ascii="宋体" w:hAnsi="宋体" w:cs="宋体"/>
          <w:spacing w:val="6"/>
          <w:sz w:val="24"/>
        </w:rPr>
        <w:t>以上企业，不属于大企业的分支机构，不存在控股股东为大企业的情形，也不存在与大企业的负责人为同一人的情形。</w:t>
      </w:r>
    </w:p>
    <w:p>
      <w:pPr>
        <w:spacing w:line="360" w:lineRule="auto"/>
        <w:ind w:firstLine="504" w:firstLineChars="200"/>
        <w:rPr>
          <w:rFonts w:ascii="宋体" w:hAnsi="宋体" w:cs="宋体"/>
          <w:spacing w:val="6"/>
          <w:sz w:val="24"/>
        </w:rPr>
      </w:pPr>
      <w:r>
        <w:rPr>
          <w:rFonts w:hint="eastAsia" w:ascii="宋体" w:hAnsi="宋体" w:cs="宋体"/>
          <w:spacing w:val="6"/>
          <w:sz w:val="24"/>
        </w:rPr>
        <w:t>本企业对上述声明内容的真实性负责。如有虚假，将依法承担相应责任。</w:t>
      </w:r>
    </w:p>
    <w:p>
      <w:pPr>
        <w:spacing w:line="360" w:lineRule="auto"/>
        <w:ind w:right="1008" w:firstLine="4788" w:firstLineChars="1900"/>
        <w:rPr>
          <w:rFonts w:ascii="宋体" w:hAnsi="宋体" w:cs="宋体"/>
          <w:spacing w:val="6"/>
          <w:sz w:val="24"/>
        </w:rPr>
      </w:pPr>
    </w:p>
    <w:p>
      <w:pPr>
        <w:spacing w:line="360" w:lineRule="auto"/>
        <w:ind w:right="1008" w:firstLine="4788" w:firstLineChars="1900"/>
        <w:rPr>
          <w:rFonts w:ascii="宋体" w:hAnsi="宋体" w:cs="宋体"/>
          <w:spacing w:val="6"/>
          <w:sz w:val="24"/>
        </w:rPr>
      </w:pPr>
      <w:r>
        <w:rPr>
          <w:rFonts w:hint="eastAsia" w:ascii="宋体" w:hAnsi="宋体" w:cs="宋体"/>
          <w:spacing w:val="6"/>
          <w:sz w:val="24"/>
        </w:rPr>
        <w:t>企业名称（盖章）：</w:t>
      </w:r>
    </w:p>
    <w:p>
      <w:pPr>
        <w:spacing w:line="360" w:lineRule="auto"/>
        <w:ind w:right="1008" w:firstLine="4788" w:firstLineChars="1900"/>
        <w:rPr>
          <w:rFonts w:ascii="宋体" w:hAnsi="宋体" w:cs="宋体"/>
          <w:spacing w:val="6"/>
          <w:sz w:val="24"/>
        </w:rPr>
      </w:pPr>
      <w:r>
        <w:rPr>
          <w:rFonts w:hint="eastAsia" w:ascii="宋体" w:hAnsi="宋体" w:cs="宋体"/>
          <w:spacing w:val="6"/>
          <w:sz w:val="24"/>
        </w:rPr>
        <w:t>日 期：</w:t>
      </w:r>
    </w:p>
    <w:p>
      <w:pPr>
        <w:spacing w:line="360" w:lineRule="auto"/>
        <w:ind w:firstLine="504" w:firstLineChars="200"/>
        <w:rPr>
          <w:rFonts w:ascii="宋体" w:hAnsi="宋体" w:cs="宋体"/>
          <w:spacing w:val="6"/>
          <w:sz w:val="24"/>
        </w:rPr>
      </w:pPr>
    </w:p>
    <w:p>
      <w:pPr>
        <w:spacing w:line="360" w:lineRule="auto"/>
        <w:ind w:firstLine="446" w:firstLineChars="200"/>
        <w:rPr>
          <w:rFonts w:ascii="宋体" w:hAnsi="宋体" w:cs="宋体"/>
          <w:spacing w:val="6"/>
          <w:szCs w:val="21"/>
        </w:rPr>
      </w:pPr>
      <w:r>
        <w:rPr>
          <w:rFonts w:hint="eastAsia" w:ascii="宋体" w:hAnsi="宋体" w:cs="宋体"/>
          <w:b/>
          <w:bCs/>
          <w:spacing w:val="6"/>
          <w:szCs w:val="21"/>
        </w:rPr>
        <w:t>说明：</w:t>
      </w:r>
      <w:r>
        <w:rPr>
          <w:rFonts w:hint="eastAsia" w:ascii="宋体" w:hAnsi="宋体" w:cs="宋体"/>
          <w:spacing w:val="6"/>
          <w:szCs w:val="21"/>
        </w:rPr>
        <w:t>从业人员、营业收入、资产总额填报上一年度数据，无上一年度数据的新成立企业可不填报。</w:t>
      </w:r>
    </w:p>
    <w:p>
      <w:pPr>
        <w:spacing w:line="360" w:lineRule="auto"/>
        <w:ind w:firstLine="444" w:firstLineChars="200"/>
        <w:rPr>
          <w:rFonts w:ascii="宋体" w:hAnsi="宋体" w:cs="宋体"/>
          <w:spacing w:val="6"/>
          <w:szCs w:val="21"/>
        </w:rPr>
        <w:sectPr>
          <w:type w:val="nextColumn"/>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p>
      <w:pPr>
        <w:keepNext/>
        <w:keepLines/>
        <w:spacing w:line="360" w:lineRule="auto"/>
        <w:ind w:left="3747" w:hanging="3747" w:hangingChars="1333"/>
        <w:jc w:val="center"/>
        <w:outlineLvl w:val="1"/>
        <w:rPr>
          <w:rFonts w:ascii="宋体" w:hAnsi="宋体" w:cs="仿宋_GB2312"/>
          <w:b/>
          <w:sz w:val="28"/>
          <w:szCs w:val="28"/>
        </w:rPr>
      </w:pPr>
      <w:bookmarkStart w:id="614" w:name="_Toc7324"/>
      <w:bookmarkStart w:id="615" w:name="_Toc493702807"/>
      <w:bookmarkStart w:id="616" w:name="_Toc513198142"/>
      <w:r>
        <w:rPr>
          <w:rFonts w:hint="eastAsia" w:ascii="宋体" w:hAnsi="宋体" w:cs="仿宋_GB2312"/>
          <w:b/>
          <w:sz w:val="28"/>
          <w:szCs w:val="28"/>
        </w:rPr>
        <w:t>（三）监狱企业证明文件</w:t>
      </w:r>
      <w:bookmarkEnd w:id="614"/>
      <w:bookmarkEnd w:id="615"/>
      <w:bookmarkEnd w:id="616"/>
    </w:p>
    <w:p>
      <w:pPr>
        <w:widowControl/>
        <w:spacing w:before="100" w:beforeAutospacing="1" w:after="100" w:afterAutospacing="1"/>
        <w:ind w:firstLine="315" w:firstLineChars="150"/>
        <w:rPr>
          <w:rFonts w:ascii="Arial" w:hAnsi="Arial" w:cs="Arial"/>
          <w:szCs w:val="21"/>
        </w:rPr>
      </w:pPr>
      <w:r>
        <w:rPr>
          <w:rFonts w:hint="eastAsia" w:ascii="Arial" w:hAnsi="Arial" w:cs="Arial"/>
          <w:szCs w:val="21"/>
        </w:rPr>
        <w:t>供应商如是</w:t>
      </w:r>
      <w:r>
        <w:rPr>
          <w:rFonts w:hint="eastAsia" w:ascii="宋体" w:hAnsi="宋体" w:cs="Arial"/>
          <w:szCs w:val="21"/>
        </w:rPr>
        <w:t>监狱企业，提供相关证明文件。</w:t>
      </w:r>
    </w:p>
    <w:p>
      <w:pPr>
        <w:widowControl/>
        <w:spacing w:before="100" w:beforeAutospacing="1" w:after="100" w:afterAutospacing="1"/>
        <w:rPr>
          <w:rFonts w:ascii="Arial" w:hAnsi="Arial" w:cs="Arial"/>
          <w:szCs w:val="21"/>
        </w:rPr>
      </w:pPr>
    </w:p>
    <w:p>
      <w:pPr>
        <w:widowControl/>
        <w:spacing w:before="100" w:beforeAutospacing="1" w:after="100" w:afterAutospacing="1"/>
        <w:rPr>
          <w:rFonts w:ascii="Arial" w:hAnsi="Arial" w:cs="Arial"/>
          <w:szCs w:val="21"/>
        </w:rPr>
      </w:pPr>
    </w:p>
    <w:p>
      <w:pPr>
        <w:widowControl/>
        <w:spacing w:before="100" w:beforeAutospacing="1" w:after="100" w:afterAutospacing="1"/>
        <w:rPr>
          <w:rFonts w:ascii="Arial" w:hAnsi="Arial" w:cs="Arial"/>
          <w:szCs w:val="21"/>
        </w:rPr>
      </w:pPr>
    </w:p>
    <w:p>
      <w:pPr>
        <w:widowControl/>
        <w:spacing w:before="100" w:beforeAutospacing="1" w:after="100" w:afterAutospacing="1"/>
        <w:rPr>
          <w:rFonts w:ascii="Arial" w:hAnsi="Arial" w:cs="Arial"/>
          <w:szCs w:val="21"/>
        </w:rPr>
      </w:pPr>
    </w:p>
    <w:p>
      <w:pPr>
        <w:widowControl/>
        <w:spacing w:before="100" w:beforeAutospacing="1" w:after="100" w:afterAutospacing="1"/>
        <w:rPr>
          <w:rFonts w:ascii="Arial" w:hAnsi="Arial" w:cs="Arial"/>
          <w:szCs w:val="21"/>
        </w:rPr>
      </w:pPr>
    </w:p>
    <w:p>
      <w:pPr>
        <w:spacing w:line="300" w:lineRule="auto"/>
        <w:rPr>
          <w:rFonts w:ascii="Arial" w:hAnsi="Arial" w:cs="Arial"/>
          <w:szCs w:val="21"/>
        </w:rPr>
      </w:pPr>
      <w:r>
        <w:rPr>
          <w:rFonts w:ascii="Arial" w:hAnsi="Arial" w:cs="Arial"/>
          <w:szCs w:val="21"/>
        </w:rPr>
        <w:t xml:space="preserve">供应商名称[盖章]： </w:t>
      </w:r>
    </w:p>
    <w:p>
      <w:pPr>
        <w:widowControl/>
        <w:spacing w:before="100" w:beforeAutospacing="1" w:after="100" w:afterAutospacing="1"/>
        <w:rPr>
          <w:rFonts w:ascii="Arial" w:hAnsi="Arial" w:cs="Arial"/>
          <w:szCs w:val="21"/>
        </w:rPr>
      </w:pPr>
      <w:r>
        <w:rPr>
          <w:rFonts w:ascii="Arial" w:hAnsi="Arial" w:cs="Arial"/>
          <w:szCs w:val="21"/>
        </w:rPr>
        <w:t xml:space="preserve">供应商授权代表签字：               </w:t>
      </w:r>
    </w:p>
    <w:p>
      <w:pPr>
        <w:widowControl/>
        <w:spacing w:before="100" w:beforeAutospacing="1" w:after="100" w:afterAutospacing="1"/>
        <w:rPr>
          <w:rFonts w:ascii="Arial" w:hAnsi="Arial" w:cs="Arial"/>
          <w:szCs w:val="21"/>
          <w:u w:val="single"/>
        </w:rPr>
      </w:pPr>
      <w:r>
        <w:rPr>
          <w:rFonts w:ascii="Arial" w:hAnsi="Arial" w:cs="Arial"/>
          <w:szCs w:val="21"/>
        </w:rPr>
        <w:t>日期：</w:t>
      </w:r>
    </w:p>
    <w:p/>
    <w:p/>
    <w:p>
      <w:pPr>
        <w:keepNext/>
        <w:keepLines/>
        <w:spacing w:line="360" w:lineRule="auto"/>
        <w:ind w:left="4282" w:hanging="4282" w:hangingChars="1333"/>
        <w:jc w:val="center"/>
        <w:outlineLvl w:val="1"/>
        <w:rPr>
          <w:rFonts w:ascii="宋体" w:hAnsi="宋体" w:cs="仿宋_GB2312"/>
          <w:b/>
          <w:sz w:val="28"/>
          <w:szCs w:val="28"/>
        </w:rPr>
      </w:pPr>
      <w:r>
        <w:rPr>
          <w:rFonts w:ascii="Arial" w:hAnsi="Arial" w:eastAsia="黑体"/>
          <w:b/>
          <w:bCs/>
          <w:sz w:val="32"/>
          <w:szCs w:val="32"/>
        </w:rPr>
        <w:br w:type="page"/>
      </w:r>
      <w:bookmarkStart w:id="617" w:name="_Toc513198143"/>
      <w:bookmarkStart w:id="618" w:name="_Toc22187"/>
      <w:bookmarkStart w:id="619" w:name="_Toc493702808"/>
      <w:r>
        <w:rPr>
          <w:rFonts w:hint="eastAsia" w:ascii="宋体" w:hAnsi="宋体" w:cs="仿宋_GB2312"/>
          <w:b/>
          <w:sz w:val="28"/>
          <w:szCs w:val="28"/>
        </w:rPr>
        <w:t>（四）</w:t>
      </w:r>
      <w:r>
        <w:rPr>
          <w:rFonts w:ascii="宋体" w:hAnsi="宋体" w:cs="仿宋_GB2312"/>
          <w:b/>
          <w:sz w:val="28"/>
          <w:szCs w:val="28"/>
        </w:rPr>
        <w:t>残疾人福利性单位声明函</w:t>
      </w:r>
      <w:bookmarkEnd w:id="617"/>
      <w:bookmarkEnd w:id="618"/>
      <w:bookmarkEnd w:id="619"/>
    </w:p>
    <w:p>
      <w:pPr>
        <w:spacing w:line="588" w:lineRule="exact"/>
        <w:jc w:val="center"/>
        <w:rPr>
          <w:rFonts w:ascii="宋体" w:hAnsi="宋体"/>
          <w:b/>
          <w:spacing w:val="6"/>
          <w:szCs w:val="21"/>
        </w:rPr>
      </w:pPr>
      <w:bookmarkStart w:id="620" w:name="OLE_LINK14"/>
      <w:bookmarkStart w:id="621" w:name="OLE_LINK13"/>
      <w:r>
        <w:rPr>
          <w:rFonts w:hint="eastAsia" w:ascii="宋体" w:hAnsi="宋体"/>
          <w:b/>
          <w:spacing w:val="6"/>
          <w:szCs w:val="21"/>
        </w:rPr>
        <w:t>残疾人福利性单位声明函</w:t>
      </w:r>
    </w:p>
    <w:bookmarkEnd w:id="620"/>
    <w:bookmarkEnd w:id="621"/>
    <w:p>
      <w:pPr>
        <w:spacing w:line="588" w:lineRule="exact"/>
        <w:rPr>
          <w:rFonts w:ascii="宋体" w:hAnsi="宋体"/>
          <w:b/>
          <w:spacing w:val="6"/>
          <w:szCs w:val="21"/>
        </w:rPr>
      </w:pPr>
    </w:p>
    <w:p>
      <w:pPr>
        <w:spacing w:line="588" w:lineRule="exact"/>
        <w:ind w:firstLine="444" w:firstLineChars="200"/>
        <w:rPr>
          <w:rFonts w:ascii="宋体" w:hAnsi="宋体"/>
          <w:spacing w:val="6"/>
          <w:szCs w:val="21"/>
        </w:rPr>
      </w:pPr>
      <w:r>
        <w:rPr>
          <w:rFonts w:hint="eastAsia" w:ascii="宋体" w:hAnsi="宋体"/>
          <w:spacing w:val="6"/>
          <w:szCs w:val="21"/>
        </w:rPr>
        <w:t>本单位郑重声明，根据《财政部 民政部 中国残疾人联合会关于促进残疾人就业政府采购政策的通知》（财库</w:t>
      </w:r>
      <w:r>
        <w:rPr>
          <w:rFonts w:hint="eastAsia" w:ascii="宋体" w:hAnsi="宋体"/>
          <w:szCs w:val="21"/>
        </w:rPr>
        <w:t>〔2017〕 141</w:t>
      </w:r>
      <w:r>
        <w:rPr>
          <w:rFonts w:hint="eastAsia" w:ascii="宋体" w:hAnsi="宋体"/>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spacing w:val="6"/>
          <w:szCs w:val="21"/>
        </w:rPr>
      </w:pPr>
      <w:r>
        <w:rPr>
          <w:rFonts w:hint="eastAsia" w:ascii="宋体" w:hAnsi="宋体"/>
          <w:spacing w:val="6"/>
          <w:szCs w:val="21"/>
        </w:rPr>
        <w:t>本单位对上述声明的真实性负责。如有虚假，将依法承担相应责任。</w:t>
      </w:r>
    </w:p>
    <w:p>
      <w:pPr>
        <w:tabs>
          <w:tab w:val="left" w:pos="4860"/>
        </w:tabs>
        <w:spacing w:line="588" w:lineRule="exact"/>
        <w:ind w:right="1560" w:firstLine="444" w:firstLineChars="200"/>
        <w:jc w:val="right"/>
        <w:rPr>
          <w:rFonts w:ascii="宋体" w:hAnsi="宋体"/>
          <w:spacing w:val="6"/>
          <w:szCs w:val="21"/>
        </w:rPr>
      </w:pPr>
      <w:r>
        <w:rPr>
          <w:rFonts w:hint="eastAsia" w:ascii="宋体" w:hAnsi="宋体"/>
          <w:spacing w:val="6"/>
          <w:szCs w:val="21"/>
        </w:rPr>
        <w:t>单位名称（盖章）：</w:t>
      </w:r>
    </w:p>
    <w:p>
      <w:pPr>
        <w:tabs>
          <w:tab w:val="left" w:pos="4860"/>
        </w:tabs>
        <w:spacing w:line="588" w:lineRule="exact"/>
        <w:ind w:right="1560" w:firstLine="444" w:firstLineChars="200"/>
        <w:jc w:val="right"/>
        <w:rPr>
          <w:rFonts w:ascii="宋体" w:hAnsi="宋体"/>
          <w:spacing w:val="6"/>
          <w:szCs w:val="21"/>
        </w:rPr>
      </w:pPr>
      <w:r>
        <w:rPr>
          <w:rFonts w:hint="eastAsia" w:ascii="宋体" w:hAnsi="宋体"/>
          <w:spacing w:val="6"/>
          <w:szCs w:val="21"/>
        </w:rPr>
        <w:t>日  期：</w:t>
      </w:r>
    </w:p>
    <w:p>
      <w:pPr>
        <w:tabs>
          <w:tab w:val="left" w:pos="4860"/>
        </w:tabs>
        <w:spacing w:line="588" w:lineRule="exact"/>
        <w:ind w:right="1560" w:firstLine="444" w:firstLineChars="200"/>
        <w:jc w:val="right"/>
        <w:rPr>
          <w:rFonts w:ascii="宋体" w:hAnsi="宋体"/>
          <w:spacing w:val="6"/>
          <w:szCs w:val="21"/>
        </w:rPr>
      </w:pPr>
    </w:p>
    <w:p>
      <w:pPr>
        <w:tabs>
          <w:tab w:val="left" w:pos="4860"/>
        </w:tabs>
        <w:spacing w:line="588" w:lineRule="exact"/>
        <w:ind w:right="1560" w:firstLine="444" w:firstLineChars="200"/>
        <w:jc w:val="right"/>
        <w:rPr>
          <w:rFonts w:ascii="宋体" w:hAnsi="宋体"/>
          <w:spacing w:val="6"/>
          <w:szCs w:val="21"/>
        </w:rPr>
      </w:pPr>
    </w:p>
    <w:p>
      <w:pPr>
        <w:tabs>
          <w:tab w:val="left" w:pos="4860"/>
        </w:tabs>
        <w:spacing w:line="588" w:lineRule="exact"/>
        <w:ind w:right="1560" w:firstLine="444" w:firstLineChars="200"/>
        <w:jc w:val="right"/>
        <w:rPr>
          <w:rFonts w:ascii="宋体" w:hAnsi="宋体"/>
          <w:spacing w:val="6"/>
          <w:szCs w:val="21"/>
        </w:rPr>
      </w:pPr>
    </w:p>
    <w:p>
      <w:pPr>
        <w:tabs>
          <w:tab w:val="left" w:pos="4860"/>
        </w:tabs>
        <w:spacing w:line="588" w:lineRule="exact"/>
        <w:ind w:right="1560" w:firstLine="444" w:firstLineChars="200"/>
        <w:jc w:val="right"/>
        <w:rPr>
          <w:rFonts w:ascii="宋体" w:hAnsi="宋体"/>
          <w:spacing w:val="6"/>
          <w:szCs w:val="21"/>
        </w:rPr>
      </w:pPr>
    </w:p>
    <w:p>
      <w:pPr>
        <w:snapToGrid w:val="0"/>
        <w:spacing w:line="300" w:lineRule="auto"/>
        <w:rPr>
          <w:sz w:val="20"/>
        </w:rPr>
      </w:pPr>
      <w:r>
        <w:rPr>
          <w:rFonts w:hint="eastAsia"/>
          <w:sz w:val="20"/>
        </w:rPr>
        <w:t>备注：享受政府采购支持政策的残疾人福利性单位应当同时满足以下条件：</w:t>
      </w:r>
    </w:p>
    <w:p>
      <w:pPr>
        <w:snapToGrid w:val="0"/>
        <w:spacing w:line="300" w:lineRule="auto"/>
        <w:ind w:firstLine="400" w:firstLineChars="200"/>
        <w:rPr>
          <w:sz w:val="20"/>
        </w:rPr>
      </w:pPr>
      <w:r>
        <w:rPr>
          <w:rFonts w:hint="eastAsia"/>
          <w:sz w:val="20"/>
        </w:rPr>
        <w:t>（1）安置的残疾人占本单位在职职工人数的比例不低于25%（含25%），并且安置的残疾人人数不少于10人（含10人）；</w:t>
      </w:r>
    </w:p>
    <w:p>
      <w:pPr>
        <w:snapToGrid w:val="0"/>
        <w:spacing w:line="300" w:lineRule="auto"/>
        <w:ind w:firstLine="400" w:firstLineChars="200"/>
        <w:rPr>
          <w:sz w:val="20"/>
        </w:rPr>
      </w:pPr>
      <w:r>
        <w:rPr>
          <w:rFonts w:hint="eastAsia"/>
          <w:sz w:val="20"/>
        </w:rPr>
        <w:t>（2）依法与安置的每位残疾人签订了一年以上（含一年）的劳动合同或服务协议；</w:t>
      </w:r>
    </w:p>
    <w:p>
      <w:pPr>
        <w:snapToGrid w:val="0"/>
        <w:spacing w:line="300" w:lineRule="auto"/>
        <w:ind w:firstLine="400" w:firstLineChars="200"/>
        <w:rPr>
          <w:sz w:val="20"/>
        </w:rPr>
      </w:pPr>
      <w:r>
        <w:rPr>
          <w:rFonts w:hint="eastAsia"/>
          <w:sz w:val="20"/>
        </w:rPr>
        <w:t>（3）为安置的每位残疾人按月足额缴纳了基本养老保险、基本医疗保险、失业保险、工伤保险和生育保险等社会保险费；</w:t>
      </w:r>
    </w:p>
    <w:p>
      <w:pPr>
        <w:snapToGrid w:val="0"/>
        <w:spacing w:line="300" w:lineRule="auto"/>
        <w:ind w:firstLine="400" w:firstLineChars="200"/>
        <w:rPr>
          <w:sz w:val="20"/>
        </w:rPr>
      </w:pPr>
      <w:r>
        <w:rPr>
          <w:rFonts w:hint="eastAsia"/>
          <w:sz w:val="20"/>
        </w:rPr>
        <w:t>（4）通过银行等金融机构向安置的每位残疾人，按月支付了不低于单位所在区县适用的经省级人民政府批准的月最低工资标准的工资；</w:t>
      </w:r>
    </w:p>
    <w:p>
      <w:pPr>
        <w:snapToGrid w:val="0"/>
        <w:spacing w:line="300" w:lineRule="auto"/>
        <w:ind w:firstLine="400" w:firstLineChars="200"/>
        <w:rPr>
          <w:sz w:val="20"/>
        </w:rPr>
      </w:pPr>
      <w:r>
        <w:rPr>
          <w:rFonts w:hint="eastAsia"/>
          <w:sz w:val="20"/>
        </w:rPr>
        <w:t>（5）提供本单位制造的货物、承担的工程或者服务（以下简称产品），或者提供其他残疾人福利性单位制造的货物（不包括使用非残疾人福利性单位注册商标的货物）。</w:t>
      </w:r>
    </w:p>
    <w:p>
      <w:pPr>
        <w:snapToGrid w:val="0"/>
        <w:spacing w:line="300" w:lineRule="auto"/>
        <w:ind w:firstLine="400" w:firstLineChars="200"/>
        <w:rPr>
          <w:sz w:val="20"/>
        </w:rPr>
      </w:pPr>
      <w:r>
        <w:rPr>
          <w:rFonts w:hint="eastAsia"/>
          <w:sz w:val="20"/>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bookmarkEnd w:id="526"/>
    <w:bookmarkEnd w:id="611"/>
    <w:p>
      <w:pPr>
        <w:spacing w:line="360" w:lineRule="auto"/>
        <w:ind w:firstLine="444" w:firstLineChars="200"/>
        <w:rPr>
          <w:rFonts w:ascii="宋体" w:hAnsi="宋体" w:cs="宋体"/>
          <w:spacing w:val="6"/>
          <w:szCs w:val="21"/>
        </w:rPr>
      </w:pPr>
    </w:p>
    <w:sectPr>
      <w:type w:val="nextColumn"/>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utura Bk">
    <w:altName w:val="Corbel"/>
    <w:panose1 w:val="00000000000000000000"/>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长城仿宋">
    <w:altName w:val="黑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A00002AF" w:usb1="400078FB" w:usb2="00000000" w:usb3="00000000" w:csb0="6000009F" w:csb1="DFD70000"/>
  </w:font>
  <w:font w:name="Arial Unicode MS">
    <w:altName w:val="宋体"/>
    <w:panose1 w:val="020B0604020002020204"/>
    <w:charset w:val="86"/>
    <w:family w:val="swiss"/>
    <w:pitch w:val="default"/>
    <w:sig w:usb0="00000000" w:usb1="00000000" w:usb2="0000003F" w:usb3="00000000" w:csb0="003F01FF" w:csb1="00000000"/>
  </w:font>
  <w:font w:name="Garamond">
    <w:panose1 w:val="02020404030301010803"/>
    <w:charset w:val="00"/>
    <w:family w:val="roman"/>
    <w:pitch w:val="default"/>
    <w:sig w:usb0="00000287" w:usb1="00000000" w:usb2="00000000" w:usb3="00000000" w:csb0="0000009F" w:csb1="DFD7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002020204"/>
    <w:charset w:val="00"/>
    <w:family w:val="swiss"/>
    <w:pitch w:val="default"/>
    <w:sig w:usb0="00000000" w:usb1="00000000" w:usb2="00000000" w:usb3="00000000" w:csb0="00000001" w:csb1="00000000"/>
  </w:font>
  <w:font w:name="ヒラギノ角ゴ Pro W3">
    <w:altName w:val="Yu Gothic"/>
    <w:panose1 w:val="00000000000000000000"/>
    <w:charset w:val="80"/>
    <w:family w:val="auto"/>
    <w:pitch w:val="default"/>
    <w:sig w:usb0="00000000" w:usb1="00000000" w:usb2="00000012" w:usb3="00000000" w:csb0="0002000D" w:csb1="00000000"/>
  </w:font>
  <w:font w:name="Segoe UI">
    <w:panose1 w:val="020B0502040204020203"/>
    <w:charset w:val="00"/>
    <w:family w:val="swiss"/>
    <w:pitch w:val="default"/>
    <w:sig w:usb0="E4002EFF" w:usb1="C000E47F" w:usb2="00000009" w:usb3="00000000" w:csb0="200001FF" w:csb1="00000000"/>
  </w:font>
  <w:font w:name="Corbel">
    <w:panose1 w:val="020B0503020204020204"/>
    <w:charset w:val="00"/>
    <w:family w:val="auto"/>
    <w:pitch w:val="default"/>
    <w:sig w:usb0="A00002EF" w:usb1="4000A44B" w:usb2="00000000" w:usb3="00000000" w:csb0="200001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4" w:space="1"/>
      </w:pBdr>
      <w:adjustRightInd w:val="0"/>
      <w:snapToGrid w:val="0"/>
      <w:rPr>
        <w:rFonts w:ascii="宋体" w:hAnsi="宋体"/>
      </w:rPr>
    </w:pPr>
    <w:r>
      <w:rPr>
        <w:rFonts w:hint="eastAsia" w:ascii="宋体" w:hAnsi="宋体" w:cs="仿宋_GB2312"/>
        <w:sz w:val="18"/>
        <w:szCs w:val="18"/>
      </w:rPr>
      <w:t xml:space="preserve">荆州理工职业学院 </w:t>
    </w:r>
    <w:r>
      <w:rPr>
        <w:rFonts w:ascii="宋体" w:hAnsi="宋体" w:cs="仿宋_GB2312"/>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fldChar w:fldCharType="begin"/>
    </w:r>
    <w:r>
      <w:rPr>
        <w:rFonts w:ascii="宋体" w:hAnsi="宋体"/>
        <w:sz w:val="18"/>
        <w:szCs w:val="18"/>
      </w:rPr>
      <w:instrText xml:space="preserve"> PAGE   \* MERGEFORMAT </w:instrText>
    </w:r>
    <w:r>
      <w:rPr>
        <w:rFonts w:ascii="宋体" w:hAnsi="宋体"/>
        <w:sz w:val="18"/>
        <w:szCs w:val="18"/>
      </w:rPr>
      <w:fldChar w:fldCharType="separate"/>
    </w:r>
    <w:r>
      <w:rPr>
        <w:rFonts w:ascii="宋体" w:hAnsi="宋体"/>
        <w:sz w:val="18"/>
        <w:szCs w:val="18"/>
      </w:rPr>
      <w:t>17</w:t>
    </w:r>
    <w:r>
      <w:rPr>
        <w:rFonts w:ascii="宋体" w:hAnsi="宋体"/>
        <w:sz w:val="18"/>
        <w:szCs w:val="18"/>
      </w:rPr>
      <w:fldChar w:fldCharType="end"/>
    </w:r>
    <w:r>
      <w:rPr>
        <w:rFonts w:hint="eastAsia" w:ascii="宋体" w:hAnsi="宋体"/>
        <w:sz w:val="18"/>
        <w:szCs w:val="18"/>
      </w:rPr>
      <w:t xml:space="preserve">                         </w:t>
    </w:r>
    <w:r>
      <w:rPr>
        <w:rFonts w:hint="eastAsia" w:ascii="宋体" w:hAnsi="宋体" w:cs="仿宋_GB2312"/>
        <w:sz w:val="18"/>
        <w:szCs w:val="18"/>
      </w:rPr>
      <w:t>湖北省招标股份有限公司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6"/>
                          </w:pPr>
                          <w:r>
                            <w:fldChar w:fldCharType="begin"/>
                          </w:r>
                          <w:r>
                            <w:instrText xml:space="preserve"> PAGE  \* MERGEFORMAT </w:instrText>
                          </w:r>
                          <w:r>
                            <w:fldChar w:fldCharType="separate"/>
                          </w:r>
                          <w:r>
                            <w:t>21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36"/>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6"/>
                          </w:pPr>
                          <w:r>
                            <w:fldChar w:fldCharType="begin"/>
                          </w:r>
                          <w:r>
                            <w:instrText xml:space="preserve"> PAGE  \* MERGEFORMAT </w:instrText>
                          </w:r>
                          <w:r>
                            <w:fldChar w:fldCharType="separate"/>
                          </w:r>
                          <w:r>
                            <w:t>21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36"/>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0"/>
      </w:rPr>
    </w:pPr>
    <w:r>
      <w:fldChar w:fldCharType="begin"/>
    </w:r>
    <w:r>
      <w:rPr>
        <w:rStyle w:val="60"/>
      </w:rPr>
      <w:instrText xml:space="preserve">PAGE  </w:instrText>
    </w:r>
    <w:r>
      <w:fldChar w:fldCharType="end"/>
    </w:r>
  </w:p>
  <w:p>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single" w:color="7F7F7F" w:sz="4" w:space="1"/>
      </w:pBdr>
      <w:jc w:val="left"/>
      <w:rPr>
        <w:rFonts w:ascii="宋体" w:hAnsi="宋体"/>
      </w:rPr>
    </w:pPr>
    <w:r>
      <w:rPr>
        <w:rFonts w:hint="eastAsia" w:ascii="宋体" w:hAnsi="宋体" w:eastAsia="宋体" w:cs="宋体"/>
        <w:snapToGrid w:val="0"/>
        <w:kern w:val="0"/>
        <w:szCs w:val="21"/>
      </w:rPr>
      <w:t>荆州理工职业学院数字校园“教务系统”建设项目</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00000001"/>
    <w:multiLevelType w:val="multilevel"/>
    <w:tmpl w:val="00000001"/>
    <w:lvl w:ilvl="0" w:tentative="0">
      <w:start w:val="1"/>
      <w:numFmt w:val="decimal"/>
      <w:lvlText w:val="%1."/>
      <w:lvlJc w:val="left"/>
      <w:pPr>
        <w:tabs>
          <w:tab w:val="left" w:pos="990"/>
        </w:tabs>
        <w:ind w:left="990" w:hanging="36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2">
    <w:nsid w:val="00000002"/>
    <w:multiLevelType w:val="multilevel"/>
    <w:tmpl w:val="0000000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3"/>
    <w:multiLevelType w:val="singleLevel"/>
    <w:tmpl w:val="00000003"/>
    <w:lvl w:ilvl="0" w:tentative="0">
      <w:start w:val="1"/>
      <w:numFmt w:val="decimal"/>
      <w:suff w:val="nothing"/>
      <w:lvlText w:val="%1．"/>
      <w:lvlJc w:val="left"/>
      <w:pPr>
        <w:ind w:left="0" w:firstLine="400"/>
      </w:pPr>
      <w:rPr>
        <w:rFonts w:hint="default"/>
      </w:rPr>
    </w:lvl>
  </w:abstractNum>
  <w:abstractNum w:abstractNumId="4">
    <w:nsid w:val="00000005"/>
    <w:multiLevelType w:val="multilevel"/>
    <w:tmpl w:val="0000000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2N2JjOGI2MmQwNmI2Y2UyYmViZWFhNzRlOTY4ZWEifQ=="/>
  </w:docVars>
  <w:rsids>
    <w:rsidRoot w:val="00000000"/>
    <w:rsid w:val="02985DC6"/>
    <w:rsid w:val="02E5074D"/>
    <w:rsid w:val="03B20716"/>
    <w:rsid w:val="052D0913"/>
    <w:rsid w:val="06D145BD"/>
    <w:rsid w:val="078A138C"/>
    <w:rsid w:val="175B4305"/>
    <w:rsid w:val="17D64F31"/>
    <w:rsid w:val="19B33378"/>
    <w:rsid w:val="1DC360E3"/>
    <w:rsid w:val="1E890F8D"/>
    <w:rsid w:val="214D1349"/>
    <w:rsid w:val="21C97B19"/>
    <w:rsid w:val="22B60128"/>
    <w:rsid w:val="261455E0"/>
    <w:rsid w:val="28570E16"/>
    <w:rsid w:val="2B487ADA"/>
    <w:rsid w:val="2DE504D5"/>
    <w:rsid w:val="2F5F7241"/>
    <w:rsid w:val="368A4D3D"/>
    <w:rsid w:val="36F9587F"/>
    <w:rsid w:val="453214E4"/>
    <w:rsid w:val="45B702C8"/>
    <w:rsid w:val="476660B8"/>
    <w:rsid w:val="4CD23C07"/>
    <w:rsid w:val="53306A87"/>
    <w:rsid w:val="53CC6C4A"/>
    <w:rsid w:val="547E57D6"/>
    <w:rsid w:val="554C647B"/>
    <w:rsid w:val="578B5B5D"/>
    <w:rsid w:val="5C121CA4"/>
    <w:rsid w:val="630B0B13"/>
    <w:rsid w:val="6439361E"/>
    <w:rsid w:val="643E5343"/>
    <w:rsid w:val="6CB707CF"/>
    <w:rsid w:val="6EDF387E"/>
    <w:rsid w:val="708D14A5"/>
    <w:rsid w:val="72534367"/>
    <w:rsid w:val="75C66A96"/>
    <w:rsid w:val="75FD6D83"/>
    <w:rsid w:val="7A8F4FCE"/>
    <w:rsid w:val="7F327B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8"/>
    <w:qFormat/>
    <w:uiPriority w:val="0"/>
    <w:pPr>
      <w:keepNext/>
      <w:keepLines/>
      <w:spacing w:before="340" w:after="330" w:line="300" w:lineRule="auto"/>
      <w:jc w:val="center"/>
      <w:outlineLvl w:val="0"/>
    </w:pPr>
    <w:rPr>
      <w:b/>
      <w:bCs/>
      <w:kern w:val="44"/>
      <w:sz w:val="32"/>
      <w:szCs w:val="44"/>
    </w:rPr>
  </w:style>
  <w:style w:type="paragraph" w:styleId="4">
    <w:name w:val="heading 2"/>
    <w:basedOn w:val="1"/>
    <w:next w:val="1"/>
    <w:link w:val="108"/>
    <w:qFormat/>
    <w:uiPriority w:val="99"/>
    <w:pPr>
      <w:keepNext/>
      <w:keepLines/>
      <w:spacing w:before="260" w:after="260" w:line="415" w:lineRule="auto"/>
      <w:outlineLvl w:val="1"/>
    </w:pPr>
    <w:rPr>
      <w:rFonts w:ascii="Arial" w:hAnsi="Arial" w:eastAsia="黑体"/>
      <w:bCs/>
      <w:sz w:val="32"/>
      <w:szCs w:val="32"/>
    </w:rPr>
  </w:style>
  <w:style w:type="paragraph" w:styleId="5">
    <w:name w:val="heading 3"/>
    <w:basedOn w:val="1"/>
    <w:next w:val="1"/>
    <w:link w:val="107"/>
    <w:qFormat/>
    <w:uiPriority w:val="0"/>
    <w:pPr>
      <w:keepNext/>
      <w:keepLines/>
      <w:spacing w:before="120" w:after="120" w:line="300" w:lineRule="auto"/>
      <w:outlineLvl w:val="2"/>
    </w:pPr>
    <w:rPr>
      <w:rFonts w:ascii="宋体"/>
      <w:b/>
      <w:bCs/>
      <w:sz w:val="24"/>
      <w:szCs w:val="32"/>
    </w:rPr>
  </w:style>
  <w:style w:type="paragraph" w:styleId="6">
    <w:name w:val="heading 4"/>
    <w:basedOn w:val="1"/>
    <w:next w:val="1"/>
    <w:link w:val="121"/>
    <w:qFormat/>
    <w:uiPriority w:val="9"/>
    <w:pPr>
      <w:keepNext/>
      <w:keepLines/>
      <w:spacing w:line="300" w:lineRule="auto"/>
      <w:outlineLvl w:val="3"/>
    </w:pPr>
    <w:rPr>
      <w:rFonts w:ascii="Arial" w:hAnsi="Arial"/>
      <w:bCs/>
      <w:sz w:val="24"/>
      <w:szCs w:val="28"/>
    </w:rPr>
  </w:style>
  <w:style w:type="paragraph" w:styleId="7">
    <w:name w:val="heading 5"/>
    <w:basedOn w:val="1"/>
    <w:next w:val="1"/>
    <w:link w:val="210"/>
    <w:qFormat/>
    <w:uiPriority w:val="0"/>
    <w:pPr>
      <w:keepNext/>
      <w:keepLines/>
      <w:spacing w:before="280" w:after="290" w:line="374" w:lineRule="auto"/>
      <w:outlineLvl w:val="4"/>
    </w:pPr>
    <w:rPr>
      <w:b/>
      <w:bCs/>
      <w:sz w:val="28"/>
      <w:szCs w:val="28"/>
    </w:rPr>
  </w:style>
  <w:style w:type="paragraph" w:styleId="8">
    <w:name w:val="heading 6"/>
    <w:basedOn w:val="1"/>
    <w:next w:val="1"/>
    <w:link w:val="211"/>
    <w:qFormat/>
    <w:uiPriority w:val="0"/>
    <w:pPr>
      <w:keepNext/>
      <w:keepLines/>
      <w:spacing w:before="240" w:after="64" w:line="319" w:lineRule="auto"/>
      <w:outlineLvl w:val="5"/>
    </w:pPr>
    <w:rPr>
      <w:rFonts w:ascii="Arial" w:hAnsi="Arial" w:eastAsia="黑体"/>
      <w:b/>
      <w:bCs/>
      <w:sz w:val="24"/>
    </w:rPr>
  </w:style>
  <w:style w:type="paragraph" w:styleId="9">
    <w:name w:val="heading 7"/>
    <w:basedOn w:val="1"/>
    <w:next w:val="1"/>
    <w:link w:val="94"/>
    <w:qFormat/>
    <w:uiPriority w:val="0"/>
    <w:pPr>
      <w:keepNext/>
      <w:keepLines/>
      <w:spacing w:before="240" w:after="64" w:line="320" w:lineRule="auto"/>
      <w:outlineLvl w:val="6"/>
    </w:pPr>
    <w:rPr>
      <w:b/>
      <w:bCs/>
      <w:sz w:val="24"/>
    </w:rPr>
  </w:style>
  <w:style w:type="paragraph" w:styleId="10">
    <w:name w:val="heading 8"/>
    <w:basedOn w:val="1"/>
    <w:next w:val="1"/>
    <w:link w:val="185"/>
    <w:qFormat/>
    <w:uiPriority w:val="0"/>
    <w:pPr>
      <w:keepNext/>
      <w:keepLines/>
      <w:tabs>
        <w:tab w:val="left" w:pos="425"/>
      </w:tabs>
      <w:adjustRightInd w:val="0"/>
      <w:spacing w:before="240" w:after="64" w:line="320" w:lineRule="auto"/>
      <w:ind w:left="425" w:hanging="425"/>
      <w:textAlignment w:val="baseline"/>
      <w:outlineLvl w:val="7"/>
    </w:pPr>
    <w:rPr>
      <w:rFonts w:ascii="Arial" w:hAnsi="Arial" w:eastAsia="黑体"/>
      <w:szCs w:val="20"/>
    </w:rPr>
  </w:style>
  <w:style w:type="paragraph" w:styleId="11">
    <w:name w:val="heading 9"/>
    <w:basedOn w:val="1"/>
    <w:next w:val="1"/>
    <w:link w:val="186"/>
    <w:qFormat/>
    <w:uiPriority w:val="0"/>
    <w:pPr>
      <w:keepNext/>
      <w:keepLines/>
      <w:tabs>
        <w:tab w:val="left" w:pos="425"/>
      </w:tabs>
      <w:adjustRightInd w:val="0"/>
      <w:spacing w:before="240" w:after="64" w:line="320" w:lineRule="auto"/>
      <w:ind w:left="425" w:hanging="425"/>
      <w:textAlignment w:val="baseline"/>
      <w:outlineLvl w:val="8"/>
    </w:pPr>
    <w:rPr>
      <w:rFonts w:ascii="Arial" w:hAnsi="Arial" w:eastAsia="黑体"/>
      <w:szCs w:val="20"/>
    </w:rPr>
  </w:style>
  <w:style w:type="character" w:default="1" w:styleId="57">
    <w:name w:val="Default Paragraph Font"/>
    <w:qFormat/>
    <w:uiPriority w:val="1"/>
  </w:style>
  <w:style w:type="table" w:default="1" w:styleId="55">
    <w:name w:val="Normal Table"/>
    <w:qFormat/>
    <w:uiPriority w:val="99"/>
    <w:tblPr>
      <w:tblCellMar>
        <w:top w:w="0" w:type="dxa"/>
        <w:left w:w="108" w:type="dxa"/>
        <w:bottom w:w="0" w:type="dxa"/>
        <w:right w:w="108" w:type="dxa"/>
      </w:tblCellMar>
    </w:tblPr>
  </w:style>
  <w:style w:type="paragraph" w:styleId="2">
    <w:name w:val="Body Text"/>
    <w:basedOn w:val="1"/>
    <w:next w:val="1"/>
    <w:link w:val="71"/>
    <w:qFormat/>
    <w:uiPriority w:val="0"/>
    <w:rPr>
      <w:sz w:val="24"/>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39"/>
    <w:pPr>
      <w:ind w:left="1260"/>
      <w:jc w:val="left"/>
    </w:pPr>
    <w:rPr>
      <w:szCs w:val="21"/>
    </w:rPr>
  </w:style>
  <w:style w:type="paragraph" w:styleId="14">
    <w:name w:val="Normal Indent"/>
    <w:basedOn w:val="1"/>
    <w:link w:val="98"/>
    <w:qFormat/>
    <w:uiPriority w:val="0"/>
    <w:pPr>
      <w:adjustRightInd w:val="0"/>
      <w:spacing w:line="312" w:lineRule="atLeast"/>
      <w:ind w:firstLine="420"/>
      <w:textAlignment w:val="baseline"/>
    </w:pPr>
    <w:rPr>
      <w:kern w:val="0"/>
      <w:szCs w:val="20"/>
    </w:rPr>
  </w:style>
  <w:style w:type="paragraph" w:styleId="15">
    <w:name w:val="caption"/>
    <w:basedOn w:val="1"/>
    <w:next w:val="1"/>
    <w:link w:val="97"/>
    <w:qFormat/>
    <w:uiPriority w:val="0"/>
    <w:rPr>
      <w:rFonts w:ascii="Arial" w:hAnsi="Arial" w:eastAsia="黑体"/>
      <w:sz w:val="20"/>
      <w:szCs w:val="20"/>
    </w:rPr>
  </w:style>
  <w:style w:type="paragraph" w:styleId="16">
    <w:name w:val="List Bullet"/>
    <w:basedOn w:val="1"/>
    <w:qFormat/>
    <w:uiPriority w:val="0"/>
    <w:pPr>
      <w:tabs>
        <w:tab w:val="left" w:pos="1418"/>
      </w:tabs>
      <w:spacing w:line="360" w:lineRule="auto"/>
      <w:ind w:left="1418" w:hanging="397"/>
    </w:pPr>
    <w:rPr>
      <w:sz w:val="24"/>
    </w:rPr>
  </w:style>
  <w:style w:type="paragraph" w:styleId="17">
    <w:name w:val="Document Map"/>
    <w:basedOn w:val="1"/>
    <w:link w:val="102"/>
    <w:qFormat/>
    <w:uiPriority w:val="0"/>
    <w:pPr>
      <w:shd w:val="clear" w:color="auto" w:fill="000080"/>
    </w:pPr>
  </w:style>
  <w:style w:type="paragraph" w:styleId="18">
    <w:name w:val="annotation text"/>
    <w:basedOn w:val="1"/>
    <w:link w:val="140"/>
    <w:qFormat/>
    <w:uiPriority w:val="99"/>
    <w:pPr>
      <w:jc w:val="left"/>
    </w:pPr>
  </w:style>
  <w:style w:type="paragraph" w:styleId="19">
    <w:name w:val="Salutation"/>
    <w:basedOn w:val="1"/>
    <w:next w:val="1"/>
    <w:link w:val="203"/>
    <w:qFormat/>
    <w:uiPriority w:val="0"/>
    <w:rPr>
      <w:sz w:val="28"/>
    </w:rPr>
  </w:style>
  <w:style w:type="paragraph" w:styleId="20">
    <w:name w:val="Body Text 3"/>
    <w:basedOn w:val="1"/>
    <w:link w:val="172"/>
    <w:qFormat/>
    <w:uiPriority w:val="0"/>
    <w:rPr>
      <w:color w:val="FF00FF"/>
    </w:rPr>
  </w:style>
  <w:style w:type="paragraph" w:styleId="21">
    <w:name w:val="Closing"/>
    <w:basedOn w:val="1"/>
    <w:link w:val="204"/>
    <w:qFormat/>
    <w:uiPriority w:val="0"/>
    <w:pPr>
      <w:ind w:left="100" w:leftChars="2100"/>
    </w:pPr>
    <w:rPr>
      <w:sz w:val="28"/>
    </w:rPr>
  </w:style>
  <w:style w:type="paragraph" w:styleId="22">
    <w:name w:val="List Bullet 3"/>
    <w:basedOn w:val="1"/>
    <w:qFormat/>
    <w:uiPriority w:val="0"/>
    <w:pPr>
      <w:tabs>
        <w:tab w:val="left" w:pos="425"/>
        <w:tab w:val="left" w:pos="1200"/>
      </w:tabs>
      <w:ind w:left="425"/>
    </w:pPr>
  </w:style>
  <w:style w:type="paragraph" w:styleId="23">
    <w:name w:val="Body Text Indent"/>
    <w:basedOn w:val="1"/>
    <w:next w:val="24"/>
    <w:link w:val="122"/>
    <w:qFormat/>
    <w:uiPriority w:val="0"/>
    <w:pPr>
      <w:ind w:left="853" w:leftChars="406" w:firstLine="490" w:firstLineChars="204"/>
    </w:pPr>
    <w:rPr>
      <w:rFonts w:ascii="宋体" w:hAnsi="宋体"/>
      <w:sz w:val="24"/>
    </w:rPr>
  </w:style>
  <w:style w:type="paragraph" w:styleId="24">
    <w:name w:val="Body Text First Indent 2"/>
    <w:basedOn w:val="23"/>
    <w:next w:val="1"/>
    <w:link w:val="248"/>
    <w:qFormat/>
    <w:uiPriority w:val="0"/>
    <w:pPr>
      <w:spacing w:after="120"/>
      <w:ind w:left="420" w:leftChars="200" w:firstLine="420" w:firstLineChars="200"/>
    </w:pPr>
    <w:rPr>
      <w:sz w:val="28"/>
    </w:rPr>
  </w:style>
  <w:style w:type="paragraph" w:styleId="25">
    <w:name w:val="List 2"/>
    <w:basedOn w:val="1"/>
    <w:qFormat/>
    <w:uiPriority w:val="0"/>
    <w:pPr>
      <w:ind w:left="100" w:leftChars="200" w:hanging="200" w:hangingChars="200"/>
    </w:pPr>
  </w:style>
  <w:style w:type="paragraph" w:styleId="26">
    <w:name w:val="Block Text"/>
    <w:basedOn w:val="1"/>
    <w:qFormat/>
    <w:uiPriority w:val="0"/>
    <w:pPr>
      <w:autoSpaceDE w:val="0"/>
      <w:autoSpaceDN w:val="0"/>
      <w:adjustRightInd w:val="0"/>
      <w:spacing w:line="500" w:lineRule="exact"/>
      <w:ind w:left="391" w:right="246"/>
    </w:pPr>
    <w:rPr>
      <w:rFonts w:ascii="仿宋_GB2312" w:eastAsia="仿宋_GB2312"/>
      <w:kern w:val="0"/>
      <w:sz w:val="24"/>
    </w:rPr>
  </w:style>
  <w:style w:type="paragraph" w:styleId="27">
    <w:name w:val="List Bullet 2"/>
    <w:basedOn w:val="1"/>
    <w:qFormat/>
    <w:uiPriority w:val="0"/>
    <w:pPr>
      <w:widowControl/>
      <w:tabs>
        <w:tab w:val="left" w:pos="1550"/>
      </w:tabs>
      <w:adjustRightInd w:val="0"/>
      <w:snapToGrid w:val="0"/>
      <w:spacing w:before="120" w:line="360" w:lineRule="auto"/>
      <w:ind w:left="1550" w:hanging="990"/>
      <w:jc w:val="left"/>
    </w:pPr>
    <w:rPr>
      <w:rFonts w:ascii="宋体" w:hAnsi="宋体"/>
      <w:spacing w:val="-5"/>
      <w:kern w:val="0"/>
      <w:szCs w:val="20"/>
    </w:rPr>
  </w:style>
  <w:style w:type="paragraph" w:styleId="28">
    <w:name w:val="toc 5"/>
    <w:basedOn w:val="1"/>
    <w:next w:val="1"/>
    <w:qFormat/>
    <w:uiPriority w:val="39"/>
    <w:pPr>
      <w:ind w:left="840"/>
      <w:jc w:val="left"/>
    </w:pPr>
    <w:rPr>
      <w:szCs w:val="21"/>
    </w:rPr>
  </w:style>
  <w:style w:type="paragraph" w:styleId="29">
    <w:name w:val="toc 3"/>
    <w:basedOn w:val="1"/>
    <w:next w:val="1"/>
    <w:qFormat/>
    <w:uiPriority w:val="39"/>
    <w:pPr>
      <w:ind w:left="420"/>
      <w:jc w:val="left"/>
    </w:pPr>
    <w:rPr>
      <w:i/>
      <w:iCs/>
    </w:rPr>
  </w:style>
  <w:style w:type="paragraph" w:styleId="30">
    <w:name w:val="Plain Text"/>
    <w:basedOn w:val="1"/>
    <w:link w:val="69"/>
    <w:qFormat/>
    <w:uiPriority w:val="0"/>
    <w:rPr>
      <w:rFonts w:ascii="宋体" w:hAnsi="Courier New"/>
      <w:kern w:val="10"/>
      <w:szCs w:val="21"/>
    </w:rPr>
  </w:style>
  <w:style w:type="paragraph" w:styleId="31">
    <w:name w:val="toc 8"/>
    <w:basedOn w:val="1"/>
    <w:next w:val="1"/>
    <w:qFormat/>
    <w:uiPriority w:val="39"/>
    <w:pPr>
      <w:ind w:left="1470"/>
      <w:jc w:val="left"/>
    </w:pPr>
    <w:rPr>
      <w:szCs w:val="21"/>
    </w:rPr>
  </w:style>
  <w:style w:type="paragraph" w:styleId="32">
    <w:name w:val="Date"/>
    <w:basedOn w:val="1"/>
    <w:next w:val="1"/>
    <w:link w:val="214"/>
    <w:qFormat/>
    <w:uiPriority w:val="0"/>
    <w:pPr>
      <w:ind w:left="100" w:leftChars="2500"/>
    </w:pPr>
    <w:rPr>
      <w:color w:val="0000FF"/>
      <w:sz w:val="24"/>
    </w:rPr>
  </w:style>
  <w:style w:type="paragraph" w:styleId="33">
    <w:name w:val="Body Text Indent 2"/>
    <w:basedOn w:val="1"/>
    <w:link w:val="124"/>
    <w:qFormat/>
    <w:uiPriority w:val="0"/>
    <w:pPr>
      <w:ind w:left="899" w:leftChars="428" w:firstLine="456" w:firstLineChars="217"/>
    </w:pPr>
  </w:style>
  <w:style w:type="paragraph" w:styleId="34">
    <w:name w:val="endnote text"/>
    <w:basedOn w:val="1"/>
    <w:link w:val="358"/>
    <w:qFormat/>
    <w:uiPriority w:val="0"/>
    <w:pPr>
      <w:snapToGrid w:val="0"/>
      <w:spacing w:line="360" w:lineRule="auto"/>
      <w:jc w:val="left"/>
    </w:pPr>
    <w:rPr>
      <w:sz w:val="24"/>
    </w:rPr>
  </w:style>
  <w:style w:type="paragraph" w:styleId="35">
    <w:name w:val="Balloon Text"/>
    <w:basedOn w:val="1"/>
    <w:link w:val="139"/>
    <w:qFormat/>
    <w:uiPriority w:val="0"/>
    <w:rPr>
      <w:sz w:val="18"/>
      <w:szCs w:val="18"/>
    </w:rPr>
  </w:style>
  <w:style w:type="paragraph" w:styleId="36">
    <w:name w:val="footer"/>
    <w:basedOn w:val="1"/>
    <w:link w:val="111"/>
    <w:qFormat/>
    <w:uiPriority w:val="99"/>
    <w:pPr>
      <w:tabs>
        <w:tab w:val="center" w:pos="4153"/>
        <w:tab w:val="right" w:pos="8306"/>
      </w:tabs>
      <w:snapToGrid w:val="0"/>
      <w:jc w:val="left"/>
    </w:pPr>
    <w:rPr>
      <w:sz w:val="18"/>
      <w:szCs w:val="18"/>
    </w:rPr>
  </w:style>
  <w:style w:type="paragraph" w:styleId="37">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39"/>
    <w:pPr>
      <w:spacing w:before="120" w:after="120"/>
      <w:jc w:val="left"/>
    </w:pPr>
    <w:rPr>
      <w:b/>
      <w:bCs/>
      <w:caps/>
    </w:rPr>
  </w:style>
  <w:style w:type="paragraph" w:styleId="39">
    <w:name w:val="toc 4"/>
    <w:basedOn w:val="1"/>
    <w:next w:val="1"/>
    <w:qFormat/>
    <w:uiPriority w:val="39"/>
    <w:pPr>
      <w:ind w:left="630"/>
      <w:jc w:val="left"/>
    </w:pPr>
    <w:rPr>
      <w:szCs w:val="21"/>
    </w:rPr>
  </w:style>
  <w:style w:type="paragraph" w:styleId="40">
    <w:name w:val="Subtitle"/>
    <w:basedOn w:val="1"/>
    <w:next w:val="1"/>
    <w:link w:val="127"/>
    <w:qFormat/>
    <w:uiPriority w:val="0"/>
    <w:pPr>
      <w:spacing w:beforeLines="50" w:afterLines="50" w:line="360" w:lineRule="auto"/>
      <w:ind w:firstLine="200" w:firstLineChars="200"/>
      <w:jc w:val="left"/>
      <w:outlineLvl w:val="1"/>
    </w:pPr>
    <w:rPr>
      <w:rFonts w:ascii="Cambria" w:hAnsi="Cambria" w:eastAsia="黑体"/>
      <w:bCs/>
      <w:kern w:val="28"/>
      <w:sz w:val="28"/>
      <w:szCs w:val="32"/>
    </w:rPr>
  </w:style>
  <w:style w:type="paragraph" w:styleId="41">
    <w:name w:val="List"/>
    <w:basedOn w:val="1"/>
    <w:qFormat/>
    <w:uiPriority w:val="0"/>
    <w:pPr>
      <w:ind w:left="200" w:hanging="200" w:hangingChars="200"/>
    </w:pPr>
    <w:rPr>
      <w:sz w:val="28"/>
      <w:szCs w:val="28"/>
    </w:rPr>
  </w:style>
  <w:style w:type="paragraph" w:styleId="42">
    <w:name w:val="toc 6"/>
    <w:basedOn w:val="1"/>
    <w:next w:val="1"/>
    <w:qFormat/>
    <w:uiPriority w:val="39"/>
    <w:pPr>
      <w:ind w:left="1050"/>
      <w:jc w:val="left"/>
    </w:pPr>
    <w:rPr>
      <w:szCs w:val="21"/>
    </w:rPr>
  </w:style>
  <w:style w:type="paragraph" w:styleId="43">
    <w:name w:val="Body Text Indent 3"/>
    <w:basedOn w:val="1"/>
    <w:link w:val="125"/>
    <w:qFormat/>
    <w:uiPriority w:val="0"/>
    <w:pPr>
      <w:ind w:left="899" w:leftChars="428" w:firstLine="458" w:firstLineChars="218"/>
    </w:pPr>
  </w:style>
  <w:style w:type="paragraph" w:styleId="44">
    <w:name w:val="table of figures"/>
    <w:basedOn w:val="1"/>
    <w:next w:val="1"/>
    <w:qFormat/>
    <w:uiPriority w:val="0"/>
    <w:pPr>
      <w:ind w:left="840" w:leftChars="200" w:hanging="420" w:hangingChars="200"/>
    </w:pPr>
  </w:style>
  <w:style w:type="paragraph" w:styleId="45">
    <w:name w:val="toc 2"/>
    <w:basedOn w:val="1"/>
    <w:next w:val="1"/>
    <w:qFormat/>
    <w:uiPriority w:val="39"/>
    <w:pPr>
      <w:ind w:left="210"/>
      <w:jc w:val="left"/>
    </w:pPr>
    <w:rPr>
      <w:smallCaps/>
    </w:rPr>
  </w:style>
  <w:style w:type="paragraph" w:styleId="46">
    <w:name w:val="toc 9"/>
    <w:basedOn w:val="1"/>
    <w:next w:val="1"/>
    <w:qFormat/>
    <w:uiPriority w:val="39"/>
    <w:pPr>
      <w:ind w:left="1680"/>
      <w:jc w:val="left"/>
    </w:pPr>
    <w:rPr>
      <w:szCs w:val="21"/>
    </w:rPr>
  </w:style>
  <w:style w:type="paragraph" w:styleId="47">
    <w:name w:val="Body Text 2"/>
    <w:basedOn w:val="1"/>
    <w:link w:val="216"/>
    <w:qFormat/>
    <w:uiPriority w:val="0"/>
    <w:rPr>
      <w:color w:val="FF0000"/>
      <w:sz w:val="24"/>
    </w:rPr>
  </w:style>
  <w:style w:type="paragraph" w:styleId="4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49">
    <w:name w:val="HTML Preformatted"/>
    <w:basedOn w:val="1"/>
    <w:link w:val="3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5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51">
    <w:name w:val="index 1"/>
    <w:basedOn w:val="1"/>
    <w:next w:val="1"/>
    <w:qFormat/>
    <w:uiPriority w:val="0"/>
    <w:rPr>
      <w:szCs w:val="20"/>
    </w:rPr>
  </w:style>
  <w:style w:type="paragraph" w:styleId="52">
    <w:name w:val="Title"/>
    <w:basedOn w:val="1"/>
    <w:next w:val="1"/>
    <w:link w:val="112"/>
    <w:qFormat/>
    <w:uiPriority w:val="0"/>
    <w:pPr>
      <w:spacing w:before="240" w:after="60"/>
      <w:jc w:val="center"/>
      <w:outlineLvl w:val="0"/>
    </w:pPr>
    <w:rPr>
      <w:rFonts w:ascii="Cambria" w:hAnsi="Cambria"/>
      <w:b/>
      <w:sz w:val="44"/>
      <w:szCs w:val="20"/>
    </w:rPr>
  </w:style>
  <w:style w:type="paragraph" w:styleId="53">
    <w:name w:val="annotation subject"/>
    <w:basedOn w:val="18"/>
    <w:next w:val="18"/>
    <w:link w:val="221"/>
    <w:qFormat/>
    <w:uiPriority w:val="0"/>
    <w:rPr>
      <w:b/>
      <w:bCs/>
    </w:rPr>
  </w:style>
  <w:style w:type="paragraph" w:styleId="54">
    <w:name w:val="Body Text First Indent"/>
    <w:basedOn w:val="2"/>
    <w:link w:val="244"/>
    <w:qFormat/>
    <w:uiPriority w:val="0"/>
    <w:pPr>
      <w:spacing w:line="300" w:lineRule="auto"/>
      <w:ind w:firstLine="602"/>
      <w:jc w:val="left"/>
    </w:pPr>
    <w:rPr>
      <w:sz w:val="28"/>
    </w:rPr>
  </w:style>
  <w:style w:type="table" w:styleId="56">
    <w:name w:val="Table Grid"/>
    <w:basedOn w:val="5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8">
    <w:name w:val="Strong"/>
    <w:qFormat/>
    <w:uiPriority w:val="0"/>
    <w:rPr>
      <w:b/>
      <w:bCs/>
    </w:rPr>
  </w:style>
  <w:style w:type="character" w:styleId="59">
    <w:name w:val="endnote reference"/>
    <w:qFormat/>
    <w:uiPriority w:val="0"/>
    <w:rPr>
      <w:vertAlign w:val="superscript"/>
    </w:rPr>
  </w:style>
  <w:style w:type="character" w:styleId="60">
    <w:name w:val="page number"/>
    <w:basedOn w:val="57"/>
    <w:qFormat/>
    <w:uiPriority w:val="0"/>
  </w:style>
  <w:style w:type="character" w:styleId="61">
    <w:name w:val="FollowedHyperlink"/>
    <w:qFormat/>
    <w:uiPriority w:val="99"/>
    <w:rPr>
      <w:color w:val="800080"/>
      <w:u w:val="single"/>
    </w:rPr>
  </w:style>
  <w:style w:type="character" w:styleId="62">
    <w:name w:val="Emphasis"/>
    <w:qFormat/>
    <w:uiPriority w:val="0"/>
    <w:rPr>
      <w:i/>
      <w:iCs/>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customStyle="1" w:styleId="65">
    <w:name w:val="style41"/>
    <w:qFormat/>
    <w:uiPriority w:val="0"/>
    <w:rPr>
      <w:color w:val="666666"/>
      <w:sz w:val="18"/>
      <w:szCs w:val="18"/>
    </w:rPr>
  </w:style>
  <w:style w:type="character" w:customStyle="1" w:styleId="66">
    <w:name w:val="141"/>
    <w:qFormat/>
    <w:uiPriority w:val="0"/>
    <w:rPr>
      <w:sz w:val="28"/>
      <w:szCs w:val="28"/>
    </w:rPr>
  </w:style>
  <w:style w:type="character" w:customStyle="1" w:styleId="67">
    <w:name w:val="style741"/>
    <w:qFormat/>
    <w:uiPriority w:val="0"/>
    <w:rPr>
      <w:rFonts w:cs="Times New Roman"/>
      <w:color w:val="666666"/>
    </w:rPr>
  </w:style>
  <w:style w:type="character" w:customStyle="1" w:styleId="68">
    <w:name w:val="d1"/>
    <w:qFormat/>
    <w:uiPriority w:val="0"/>
    <w:rPr>
      <w:color w:val="000000"/>
      <w:sz w:val="21"/>
      <w:szCs w:val="21"/>
      <w:u w:val="none"/>
    </w:rPr>
  </w:style>
  <w:style w:type="character" w:customStyle="1" w:styleId="69">
    <w:name w:val="纯文本 字符"/>
    <w:link w:val="30"/>
    <w:qFormat/>
    <w:uiPriority w:val="0"/>
    <w:rPr>
      <w:rFonts w:ascii="宋体" w:hAnsi="Courier New" w:eastAsia="宋体"/>
      <w:kern w:val="10"/>
      <w:sz w:val="21"/>
      <w:szCs w:val="21"/>
      <w:lang w:val="en-US" w:eastAsia="zh-CN" w:bidi="ar-SA"/>
    </w:rPr>
  </w:style>
  <w:style w:type="character" w:customStyle="1" w:styleId="70">
    <w:name w:val="apple-converted-space"/>
    <w:basedOn w:val="57"/>
    <w:qFormat/>
    <w:uiPriority w:val="0"/>
  </w:style>
  <w:style w:type="character" w:customStyle="1" w:styleId="71">
    <w:name w:val="正文文本 字符"/>
    <w:link w:val="2"/>
    <w:qFormat/>
    <w:uiPriority w:val="0"/>
    <w:rPr>
      <w:rFonts w:eastAsia="宋体"/>
      <w:kern w:val="2"/>
      <w:sz w:val="24"/>
      <w:szCs w:val="24"/>
      <w:lang w:val="en-US" w:eastAsia="zh-CN" w:bidi="ar-SA"/>
    </w:rPr>
  </w:style>
  <w:style w:type="paragraph" w:customStyle="1" w:styleId="72">
    <w:name w:val="Char Char6"/>
    <w:basedOn w:val="1"/>
    <w:qFormat/>
    <w:uiPriority w:val="0"/>
    <w:pPr>
      <w:widowControl/>
      <w:spacing w:after="160" w:line="240" w:lineRule="exact"/>
      <w:jc w:val="left"/>
    </w:pPr>
  </w:style>
  <w:style w:type="paragraph" w:customStyle="1" w:styleId="73">
    <w:name w:val="Char Char Char Char Char Char Char Char Char Char Char Char Char Char Char Char"/>
    <w:basedOn w:val="1"/>
    <w:qFormat/>
    <w:uiPriority w:val="0"/>
    <w:rPr>
      <w:rFonts w:ascii="Tahoma" w:hAnsi="Tahoma"/>
      <w:sz w:val="24"/>
      <w:szCs w:val="20"/>
    </w:rPr>
  </w:style>
  <w:style w:type="paragraph" w:customStyle="1" w:styleId="74">
    <w:name w:val="indent_2em1"/>
    <w:basedOn w:val="1"/>
    <w:qFormat/>
    <w:uiPriority w:val="0"/>
    <w:pPr>
      <w:widowControl/>
      <w:spacing w:line="300" w:lineRule="atLeast"/>
      <w:ind w:firstLine="480"/>
      <w:jc w:val="left"/>
    </w:pPr>
    <w:rPr>
      <w:rFonts w:ascii="宋体" w:hAnsi="宋体" w:cs="宋体"/>
      <w:spacing w:val="15"/>
      <w:kern w:val="0"/>
      <w:sz w:val="24"/>
    </w:rPr>
  </w:style>
  <w:style w:type="paragraph" w:customStyle="1" w:styleId="75">
    <w:name w:val="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76">
    <w:name w:val="p0"/>
    <w:basedOn w:val="1"/>
    <w:qFormat/>
    <w:uiPriority w:val="99"/>
    <w:pPr>
      <w:widowControl/>
    </w:pPr>
    <w:rPr>
      <w:rFonts w:hint="eastAsia"/>
    </w:rPr>
  </w:style>
  <w:style w:type="paragraph" w:customStyle="1" w:styleId="77">
    <w:name w:val="indent_2em"/>
    <w:basedOn w:val="1"/>
    <w:qFormat/>
    <w:uiPriority w:val="0"/>
    <w:pPr>
      <w:widowControl/>
      <w:spacing w:before="100" w:beforeAutospacing="1" w:after="100" w:afterAutospacing="1"/>
      <w:jc w:val="left"/>
    </w:pPr>
    <w:rPr>
      <w:rFonts w:ascii="宋体" w:hAnsi="宋体" w:cs="宋体"/>
      <w:kern w:val="0"/>
      <w:sz w:val="24"/>
    </w:rPr>
  </w:style>
  <w:style w:type="paragraph" w:customStyle="1" w:styleId="78">
    <w:name w:val="Char Char Char Char Char Char Char Char Char Char Char Char Char Char Char Char Char Char Char"/>
    <w:basedOn w:val="1"/>
    <w:qFormat/>
    <w:uiPriority w:val="0"/>
    <w:pPr>
      <w:widowControl/>
      <w:spacing w:after="160" w:line="240" w:lineRule="exact"/>
      <w:jc w:val="left"/>
    </w:pPr>
  </w:style>
  <w:style w:type="paragraph" w:customStyle="1" w:styleId="79">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0">
    <w:name w:val="xiao b"/>
    <w:basedOn w:val="1"/>
    <w:qFormat/>
    <w:uiPriority w:val="0"/>
    <w:pPr>
      <w:jc w:val="center"/>
    </w:pPr>
    <w:rPr>
      <w:rFonts w:eastAsia="黑体"/>
      <w:sz w:val="24"/>
      <w:szCs w:val="20"/>
    </w:rPr>
  </w:style>
  <w:style w:type="paragraph" w:customStyle="1" w:styleId="81">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82">
    <w:name w:val="Char"/>
    <w:basedOn w:val="1"/>
    <w:qFormat/>
    <w:uiPriority w:val="0"/>
    <w:pPr>
      <w:tabs>
        <w:tab w:val="left" w:pos="420"/>
      </w:tabs>
      <w:ind w:left="420" w:hanging="420"/>
    </w:pPr>
    <w:rPr>
      <w:szCs w:val="20"/>
    </w:rPr>
  </w:style>
  <w:style w:type="paragraph" w:customStyle="1" w:styleId="83">
    <w:name w:val="_Style 32"/>
    <w:basedOn w:val="1"/>
    <w:next w:val="47"/>
    <w:qFormat/>
    <w:uiPriority w:val="0"/>
    <w:pPr>
      <w:spacing w:after="120" w:line="480" w:lineRule="auto"/>
    </w:pPr>
    <w:rPr>
      <w:szCs w:val="20"/>
    </w:rPr>
  </w:style>
  <w:style w:type="paragraph" w:customStyle="1" w:styleId="84">
    <w:name w:val="表内文字"/>
    <w:basedOn w:val="1"/>
    <w:qFormat/>
    <w:uiPriority w:val="0"/>
    <w:pPr>
      <w:tabs>
        <w:tab w:val="left" w:pos="1418"/>
      </w:tabs>
      <w:spacing w:line="360" w:lineRule="auto"/>
      <w:jc w:val="center"/>
    </w:pPr>
    <w:rPr>
      <w:rFonts w:ascii="仿宋_GB2312" w:eastAsia="仿宋_GB2312" w:cs="仿宋_GB2312"/>
      <w:spacing w:val="-20"/>
      <w:kern w:val="0"/>
      <w:sz w:val="24"/>
    </w:rPr>
  </w:style>
  <w:style w:type="paragraph" w:customStyle="1" w:styleId="85">
    <w:name w:val="Char Char Char Char Char Char"/>
    <w:basedOn w:val="1"/>
    <w:qFormat/>
    <w:uiPriority w:val="0"/>
  </w:style>
  <w:style w:type="paragraph" w:customStyle="1" w:styleId="86">
    <w:name w:val="列出段落1"/>
    <w:basedOn w:val="1"/>
    <w:link w:val="95"/>
    <w:qFormat/>
    <w:uiPriority w:val="34"/>
    <w:pPr>
      <w:ind w:firstLine="420" w:firstLineChars="200"/>
    </w:pPr>
  </w:style>
  <w:style w:type="paragraph" w:customStyle="1" w:styleId="87">
    <w:name w:val="style75"/>
    <w:basedOn w:val="1"/>
    <w:qFormat/>
    <w:uiPriority w:val="0"/>
    <w:pPr>
      <w:widowControl/>
      <w:spacing w:before="100" w:beforeAutospacing="1" w:after="100" w:afterAutospacing="1"/>
      <w:jc w:val="left"/>
    </w:pPr>
    <w:rPr>
      <w:rFonts w:ascii="宋体" w:hAnsi="宋体" w:cs="宋体"/>
      <w:color w:val="666666"/>
      <w:kern w:val="0"/>
      <w:sz w:val="15"/>
      <w:szCs w:val="15"/>
    </w:rPr>
  </w:style>
  <w:style w:type="paragraph" w:customStyle="1" w:styleId="88">
    <w:name w:val="Char Char Char Char"/>
    <w:basedOn w:val="17"/>
    <w:qFormat/>
    <w:uiPriority w:val="0"/>
    <w:rPr>
      <w:rFonts w:ascii="Tahoma" w:hAnsi="Tahoma"/>
      <w:sz w:val="24"/>
    </w:rPr>
  </w:style>
  <w:style w:type="paragraph" w:customStyle="1" w:styleId="89">
    <w:name w:val="正文2"/>
    <w:basedOn w:val="2"/>
    <w:qFormat/>
    <w:uiPriority w:val="0"/>
    <w:pPr>
      <w:spacing w:line="360" w:lineRule="auto"/>
      <w:ind w:firstLine="480" w:firstLineChars="200"/>
    </w:pPr>
    <w:rPr>
      <w:rFonts w:ascii="宋体"/>
    </w:rPr>
  </w:style>
  <w:style w:type="paragraph" w:customStyle="1" w:styleId="90">
    <w:name w:val="编写建议 Char"/>
    <w:basedOn w:val="1"/>
    <w:link w:val="91"/>
    <w:qFormat/>
    <w:uiPriority w:val="0"/>
    <w:pPr>
      <w:autoSpaceDE w:val="0"/>
      <w:autoSpaceDN w:val="0"/>
      <w:adjustRightInd w:val="0"/>
      <w:spacing w:line="360" w:lineRule="auto"/>
      <w:ind w:firstLine="420" w:firstLineChars="200"/>
      <w:jc w:val="left"/>
    </w:pPr>
    <w:rPr>
      <w:rFonts w:ascii="Arial" w:hAnsi="Arial"/>
      <w:i/>
      <w:color w:val="0000FF"/>
      <w:kern w:val="0"/>
      <w:sz w:val="20"/>
      <w:szCs w:val="21"/>
    </w:rPr>
  </w:style>
  <w:style w:type="character" w:customStyle="1" w:styleId="91">
    <w:name w:val="编写建议 Char Char"/>
    <w:link w:val="90"/>
    <w:qFormat/>
    <w:uiPriority w:val="0"/>
    <w:rPr>
      <w:rFonts w:ascii="Arial" w:hAnsi="Arial"/>
      <w:i/>
      <w:color w:val="0000FF"/>
      <w:szCs w:val="21"/>
    </w:rPr>
  </w:style>
  <w:style w:type="paragraph" w:customStyle="1" w:styleId="92">
    <w:name w:val="修订1"/>
    <w:qFormat/>
    <w:uiPriority w:val="99"/>
    <w:rPr>
      <w:rFonts w:ascii="Times New Roman" w:hAnsi="Times New Roman" w:eastAsia="宋体" w:cs="Times New Roman"/>
      <w:kern w:val="2"/>
      <w:sz w:val="21"/>
      <w:szCs w:val="24"/>
      <w:lang w:val="en-US" w:eastAsia="zh-CN" w:bidi="ar-SA"/>
    </w:rPr>
  </w:style>
  <w:style w:type="paragraph" w:customStyle="1" w:styleId="93">
    <w:name w:val="Char Char Char"/>
    <w:basedOn w:val="1"/>
    <w:qFormat/>
    <w:uiPriority w:val="0"/>
    <w:rPr>
      <w:rFonts w:ascii="Tahoma" w:hAnsi="Tahoma"/>
      <w:sz w:val="24"/>
      <w:szCs w:val="20"/>
    </w:rPr>
  </w:style>
  <w:style w:type="character" w:customStyle="1" w:styleId="94">
    <w:name w:val="标题 7 字符"/>
    <w:link w:val="9"/>
    <w:qFormat/>
    <w:uiPriority w:val="0"/>
    <w:rPr>
      <w:b/>
      <w:bCs/>
      <w:kern w:val="2"/>
      <w:sz w:val="24"/>
      <w:szCs w:val="24"/>
    </w:rPr>
  </w:style>
  <w:style w:type="character" w:customStyle="1" w:styleId="95">
    <w:name w:val="列出段落 Char"/>
    <w:link w:val="86"/>
    <w:qFormat/>
    <w:uiPriority w:val="34"/>
    <w:rPr>
      <w:kern w:val="2"/>
      <w:sz w:val="21"/>
      <w:szCs w:val="24"/>
    </w:rPr>
  </w:style>
  <w:style w:type="character" w:customStyle="1" w:styleId="96">
    <w:name w:val="small18"/>
    <w:qFormat/>
    <w:uiPriority w:val="0"/>
  </w:style>
  <w:style w:type="character" w:customStyle="1" w:styleId="97">
    <w:name w:val="题注 字符"/>
    <w:link w:val="15"/>
    <w:qFormat/>
    <w:uiPriority w:val="0"/>
    <w:rPr>
      <w:rFonts w:ascii="Arial" w:hAnsi="Arial" w:eastAsia="黑体" w:cs="Arial"/>
      <w:kern w:val="2"/>
    </w:rPr>
  </w:style>
  <w:style w:type="character" w:customStyle="1" w:styleId="98">
    <w:name w:val="正文缩进 字符"/>
    <w:link w:val="14"/>
    <w:qFormat/>
    <w:uiPriority w:val="0"/>
    <w:rPr>
      <w:sz w:val="21"/>
    </w:rPr>
  </w:style>
  <w:style w:type="paragraph" w:customStyle="1" w:styleId="99">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
    <w:name w:val="列出段落11"/>
    <w:basedOn w:val="1"/>
    <w:qFormat/>
    <w:uiPriority w:val="0"/>
    <w:pPr>
      <w:ind w:firstLine="420" w:firstLineChars="200"/>
    </w:pPr>
    <w:rPr>
      <w:rFonts w:ascii="Calibri" w:hAnsi="Calibri" w:cs="黑体"/>
      <w:szCs w:val="22"/>
    </w:rPr>
  </w:style>
  <w:style w:type="character" w:customStyle="1" w:styleId="101">
    <w:name w:val="普通文字 Char Char1"/>
    <w:qFormat/>
    <w:uiPriority w:val="0"/>
    <w:rPr>
      <w:rFonts w:ascii="宋体" w:hAnsi="Courier New" w:eastAsia="宋体"/>
      <w:kern w:val="10"/>
      <w:sz w:val="21"/>
      <w:szCs w:val="21"/>
      <w:lang w:val="en-US" w:eastAsia="zh-CN" w:bidi="ar-SA"/>
    </w:rPr>
  </w:style>
  <w:style w:type="character" w:customStyle="1" w:styleId="102">
    <w:name w:val="文档结构图 字符"/>
    <w:link w:val="17"/>
    <w:qFormat/>
    <w:uiPriority w:val="0"/>
    <w:rPr>
      <w:kern w:val="2"/>
      <w:sz w:val="21"/>
      <w:szCs w:val="24"/>
      <w:shd w:val="clear" w:color="auto" w:fill="000080"/>
    </w:rPr>
  </w:style>
  <w:style w:type="paragraph" w:customStyle="1" w:styleId="103">
    <w:name w:val="普通 (Web)"/>
    <w:basedOn w:val="1"/>
    <w:qFormat/>
    <w:uiPriority w:val="0"/>
    <w:pPr>
      <w:widowControl/>
      <w:spacing w:before="100" w:after="100"/>
      <w:jc w:val="left"/>
    </w:pPr>
    <w:rPr>
      <w:rFonts w:ascii="宋体" w:hAnsi="宋体"/>
      <w:kern w:val="0"/>
      <w:sz w:val="24"/>
      <w:szCs w:val="20"/>
    </w:rPr>
  </w:style>
  <w:style w:type="paragraph" w:customStyle="1" w:styleId="10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5">
    <w:name w:val="style4"/>
    <w:basedOn w:val="1"/>
    <w:qFormat/>
    <w:uiPriority w:val="0"/>
    <w:pPr>
      <w:widowControl/>
      <w:spacing w:before="100" w:beforeAutospacing="1" w:after="100" w:afterAutospacing="1"/>
      <w:jc w:val="left"/>
    </w:pPr>
    <w:rPr>
      <w:rFonts w:ascii="Arial" w:hAnsi="Arial" w:cs="Arial"/>
      <w:kern w:val="0"/>
      <w:sz w:val="18"/>
      <w:szCs w:val="18"/>
    </w:rPr>
  </w:style>
  <w:style w:type="character" w:customStyle="1" w:styleId="106">
    <w:name w:val="页眉 字符"/>
    <w:link w:val="37"/>
    <w:qFormat/>
    <w:uiPriority w:val="0"/>
    <w:rPr>
      <w:kern w:val="2"/>
      <w:sz w:val="18"/>
      <w:szCs w:val="18"/>
    </w:rPr>
  </w:style>
  <w:style w:type="character" w:customStyle="1" w:styleId="107">
    <w:name w:val="标题 3 字符"/>
    <w:link w:val="5"/>
    <w:qFormat/>
    <w:uiPriority w:val="0"/>
    <w:rPr>
      <w:rFonts w:ascii="宋体"/>
      <w:b/>
      <w:bCs/>
      <w:kern w:val="2"/>
      <w:sz w:val="24"/>
      <w:szCs w:val="32"/>
    </w:rPr>
  </w:style>
  <w:style w:type="character" w:customStyle="1" w:styleId="108">
    <w:name w:val="标题 2 字符"/>
    <w:link w:val="4"/>
    <w:qFormat/>
    <w:uiPriority w:val="0"/>
    <w:rPr>
      <w:rFonts w:ascii="Arial" w:hAnsi="Arial" w:eastAsia="黑体"/>
      <w:bCs/>
      <w:kern w:val="2"/>
      <w:sz w:val="32"/>
      <w:szCs w:val="32"/>
    </w:rPr>
  </w:style>
  <w:style w:type="paragraph" w:customStyle="1" w:styleId="109">
    <w:name w:val="style4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0">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szCs w:val="20"/>
    </w:rPr>
  </w:style>
  <w:style w:type="character" w:customStyle="1" w:styleId="111">
    <w:name w:val="页脚 字符"/>
    <w:link w:val="36"/>
    <w:qFormat/>
    <w:uiPriority w:val="99"/>
    <w:rPr>
      <w:kern w:val="2"/>
      <w:sz w:val="18"/>
      <w:szCs w:val="18"/>
    </w:rPr>
  </w:style>
  <w:style w:type="character" w:customStyle="1" w:styleId="112">
    <w:name w:val="标题 字符"/>
    <w:link w:val="52"/>
    <w:qFormat/>
    <w:uiPriority w:val="0"/>
    <w:rPr>
      <w:rFonts w:ascii="Cambria" w:hAnsi="Cambria"/>
      <w:b/>
      <w:kern w:val="2"/>
      <w:sz w:val="44"/>
    </w:rPr>
  </w:style>
  <w:style w:type="character" w:customStyle="1" w:styleId="113">
    <w:name w:val="标题 Char1"/>
    <w:qFormat/>
    <w:uiPriority w:val="10"/>
    <w:rPr>
      <w:rFonts w:ascii="Cambria" w:hAnsi="Cambria" w:cs="Times New Roman"/>
      <w:b/>
      <w:bCs/>
      <w:kern w:val="2"/>
      <w:sz w:val="32"/>
      <w:szCs w:val="32"/>
    </w:rPr>
  </w:style>
  <w:style w:type="paragraph" w:customStyle="1" w:styleId="114">
    <w:name w:val="正文缩进1"/>
    <w:basedOn w:val="1"/>
    <w:qFormat/>
    <w:uiPriority w:val="0"/>
  </w:style>
  <w:style w:type="paragraph" w:customStyle="1" w:styleId="115">
    <w:name w:val="Pa6"/>
    <w:basedOn w:val="1"/>
    <w:next w:val="1"/>
    <w:qFormat/>
    <w:uiPriority w:val="99"/>
    <w:pPr>
      <w:autoSpaceDE w:val="0"/>
      <w:autoSpaceDN w:val="0"/>
      <w:adjustRightInd w:val="0"/>
      <w:spacing w:line="181" w:lineRule="atLeast"/>
      <w:jc w:val="left"/>
    </w:pPr>
    <w:rPr>
      <w:rFonts w:ascii="Futura Bk" w:hAnsi="Futura Bk"/>
      <w:kern w:val="0"/>
      <w:sz w:val="24"/>
    </w:rPr>
  </w:style>
  <w:style w:type="character" w:customStyle="1" w:styleId="116">
    <w:name w:val="title01"/>
    <w:basedOn w:val="57"/>
    <w:qFormat/>
    <w:uiPriority w:val="0"/>
  </w:style>
  <w:style w:type="paragraph" w:customStyle="1" w:styleId="117">
    <w:name w:val="Default"/>
    <w:link w:val="173"/>
    <w:qFormat/>
    <w:uiPriority w:val="0"/>
    <w:pPr>
      <w:widowControl w:val="0"/>
      <w:autoSpaceDE w:val="0"/>
      <w:autoSpaceDN w:val="0"/>
    </w:pPr>
    <w:rPr>
      <w:rFonts w:hint="eastAsia" w:ascii="微软雅黑" w:hAnsi="微软雅黑" w:eastAsia="微软雅黑" w:cs="Times New Roman"/>
      <w:color w:val="000000"/>
      <w:sz w:val="24"/>
      <w:lang w:val="en-US" w:eastAsia="zh-CN" w:bidi="ar-SA"/>
    </w:rPr>
  </w:style>
  <w:style w:type="character" w:customStyle="1" w:styleId="118">
    <w:name w:val="标题 1 字符"/>
    <w:link w:val="3"/>
    <w:qFormat/>
    <w:uiPriority w:val="0"/>
    <w:rPr>
      <w:b/>
      <w:bCs/>
      <w:kern w:val="44"/>
      <w:sz w:val="32"/>
      <w:szCs w:val="44"/>
    </w:rPr>
  </w:style>
  <w:style w:type="paragraph" w:customStyle="1" w:styleId="119">
    <w:name w:val="Char1"/>
    <w:basedOn w:val="1"/>
    <w:qFormat/>
    <w:uiPriority w:val="0"/>
    <w:pPr>
      <w:widowControl/>
      <w:spacing w:after="160" w:line="240" w:lineRule="exact"/>
      <w:jc w:val="left"/>
    </w:pPr>
    <w:rPr>
      <w:szCs w:val="20"/>
    </w:rPr>
  </w:style>
  <w:style w:type="paragraph" w:customStyle="1" w:styleId="120">
    <w:name w:val="CM30"/>
    <w:basedOn w:val="1"/>
    <w:next w:val="1"/>
    <w:qFormat/>
    <w:uiPriority w:val="0"/>
    <w:pPr>
      <w:autoSpaceDE w:val="0"/>
      <w:autoSpaceDN w:val="0"/>
      <w:adjustRightInd w:val="0"/>
      <w:spacing w:after="200"/>
      <w:jc w:val="left"/>
    </w:pPr>
    <w:rPr>
      <w:rFonts w:ascii="宋体"/>
      <w:kern w:val="0"/>
      <w:sz w:val="24"/>
    </w:rPr>
  </w:style>
  <w:style w:type="character" w:customStyle="1" w:styleId="121">
    <w:name w:val="标题 4 字符"/>
    <w:link w:val="6"/>
    <w:qFormat/>
    <w:uiPriority w:val="9"/>
    <w:rPr>
      <w:rFonts w:ascii="Arial" w:hAnsi="Arial"/>
      <w:bCs/>
      <w:kern w:val="2"/>
      <w:sz w:val="24"/>
      <w:szCs w:val="28"/>
    </w:rPr>
  </w:style>
  <w:style w:type="character" w:customStyle="1" w:styleId="122">
    <w:name w:val="正文文本缩进 字符"/>
    <w:link w:val="23"/>
    <w:qFormat/>
    <w:uiPriority w:val="0"/>
    <w:rPr>
      <w:rFonts w:ascii="宋体" w:hAnsi="宋体"/>
      <w:kern w:val="2"/>
      <w:sz w:val="24"/>
      <w:szCs w:val="24"/>
    </w:rPr>
  </w:style>
  <w:style w:type="paragraph" w:customStyle="1" w:styleId="123">
    <w:name w:val="xl33"/>
    <w:basedOn w:val="1"/>
    <w:qFormat/>
    <w:uiPriority w:val="0"/>
    <w:pPr>
      <w:widowControl/>
      <w:spacing w:before="100" w:beforeAutospacing="1" w:after="100" w:afterAutospacing="1"/>
      <w:jc w:val="center"/>
      <w:textAlignment w:val="center"/>
    </w:pPr>
    <w:rPr>
      <w:rFonts w:ascii="宋体" w:hAnsi="宋体"/>
      <w:b/>
      <w:bCs/>
      <w:kern w:val="0"/>
      <w:sz w:val="24"/>
    </w:rPr>
  </w:style>
  <w:style w:type="character" w:customStyle="1" w:styleId="124">
    <w:name w:val="正文文本缩进 2 字符"/>
    <w:link w:val="33"/>
    <w:qFormat/>
    <w:uiPriority w:val="0"/>
    <w:rPr>
      <w:kern w:val="2"/>
      <w:sz w:val="21"/>
      <w:szCs w:val="24"/>
    </w:rPr>
  </w:style>
  <w:style w:type="character" w:customStyle="1" w:styleId="125">
    <w:name w:val="正文文本缩进 3 字符"/>
    <w:link w:val="43"/>
    <w:qFormat/>
    <w:uiPriority w:val="0"/>
    <w:rPr>
      <w:kern w:val="2"/>
      <w:sz w:val="21"/>
      <w:szCs w:val="24"/>
    </w:rPr>
  </w:style>
  <w:style w:type="paragraph" w:customStyle="1" w:styleId="126">
    <w:name w:val="xl26"/>
    <w:basedOn w:val="1"/>
    <w:qFormat/>
    <w:uiPriority w:val="0"/>
    <w:pPr>
      <w:widowControl/>
      <w:spacing w:before="100" w:beforeAutospacing="1" w:after="100" w:afterAutospacing="1"/>
      <w:jc w:val="center"/>
      <w:textAlignment w:val="center"/>
    </w:pPr>
    <w:rPr>
      <w:rFonts w:ascii="宋体" w:hAnsi="宋体"/>
      <w:kern w:val="0"/>
      <w:sz w:val="24"/>
    </w:rPr>
  </w:style>
  <w:style w:type="character" w:customStyle="1" w:styleId="127">
    <w:name w:val="副标题 字符"/>
    <w:link w:val="40"/>
    <w:qFormat/>
    <w:uiPriority w:val="0"/>
    <w:rPr>
      <w:rFonts w:ascii="Cambria" w:hAnsi="Cambria" w:eastAsia="黑体"/>
      <w:bCs/>
      <w:kern w:val="28"/>
      <w:sz w:val="28"/>
      <w:szCs w:val="32"/>
    </w:rPr>
  </w:style>
  <w:style w:type="paragraph" w:customStyle="1" w:styleId="128">
    <w:name w:val="Char Char Char Char Char Char Char Char Char Char Char Char Char Char Char Char1"/>
    <w:basedOn w:val="1"/>
    <w:qFormat/>
    <w:uiPriority w:val="0"/>
    <w:pPr>
      <w:spacing w:line="500" w:lineRule="exact"/>
    </w:pPr>
    <w:rPr>
      <w:sz w:val="24"/>
    </w:rPr>
  </w:style>
  <w:style w:type="paragraph" w:customStyle="1" w:styleId="129">
    <w:name w:val="CM27"/>
    <w:basedOn w:val="117"/>
    <w:next w:val="117"/>
    <w:qFormat/>
    <w:uiPriority w:val="0"/>
    <w:pPr>
      <w:adjustRightInd w:val="0"/>
      <w:spacing w:after="513"/>
    </w:pPr>
    <w:rPr>
      <w:rFonts w:hint="default" w:ascii="宋体" w:hAnsi="Times New Roman" w:eastAsia="宋体"/>
      <w:color w:val="auto"/>
      <w:szCs w:val="24"/>
    </w:rPr>
  </w:style>
  <w:style w:type="paragraph" w:customStyle="1" w:styleId="130">
    <w:name w:val="CM5"/>
    <w:basedOn w:val="117"/>
    <w:next w:val="117"/>
    <w:qFormat/>
    <w:uiPriority w:val="0"/>
    <w:pPr>
      <w:adjustRightInd w:val="0"/>
      <w:spacing w:line="491" w:lineRule="atLeast"/>
    </w:pPr>
    <w:rPr>
      <w:rFonts w:hint="default" w:ascii="宋体" w:hAnsi="Times New Roman" w:eastAsia="宋体"/>
      <w:color w:val="auto"/>
      <w:szCs w:val="24"/>
    </w:rPr>
  </w:style>
  <w:style w:type="paragraph" w:customStyle="1" w:styleId="131">
    <w:name w:val="CM7"/>
    <w:basedOn w:val="117"/>
    <w:next w:val="117"/>
    <w:qFormat/>
    <w:uiPriority w:val="0"/>
    <w:pPr>
      <w:adjustRightInd w:val="0"/>
      <w:spacing w:line="491" w:lineRule="atLeast"/>
    </w:pPr>
    <w:rPr>
      <w:rFonts w:hint="default" w:ascii="宋体" w:hAnsi="Times New Roman" w:eastAsia="宋体"/>
      <w:color w:val="auto"/>
      <w:szCs w:val="24"/>
    </w:rPr>
  </w:style>
  <w:style w:type="paragraph" w:customStyle="1" w:styleId="132">
    <w:name w:val="CM4"/>
    <w:basedOn w:val="117"/>
    <w:next w:val="117"/>
    <w:qFormat/>
    <w:uiPriority w:val="0"/>
    <w:pPr>
      <w:adjustRightInd w:val="0"/>
      <w:spacing w:line="491" w:lineRule="atLeast"/>
    </w:pPr>
    <w:rPr>
      <w:rFonts w:hint="default" w:ascii="宋体" w:hAnsi="Times New Roman" w:eastAsia="宋体"/>
      <w:color w:val="auto"/>
      <w:szCs w:val="24"/>
    </w:rPr>
  </w:style>
  <w:style w:type="paragraph" w:customStyle="1" w:styleId="133">
    <w:name w:val="CM8"/>
    <w:basedOn w:val="117"/>
    <w:next w:val="117"/>
    <w:qFormat/>
    <w:uiPriority w:val="0"/>
    <w:pPr>
      <w:adjustRightInd w:val="0"/>
      <w:spacing w:line="491" w:lineRule="atLeast"/>
    </w:pPr>
    <w:rPr>
      <w:rFonts w:hint="default" w:ascii="宋体" w:hAnsi="Times New Roman" w:eastAsia="宋体"/>
      <w:color w:val="auto"/>
      <w:szCs w:val="24"/>
    </w:rPr>
  </w:style>
  <w:style w:type="paragraph" w:customStyle="1" w:styleId="134">
    <w:name w:val="CM6"/>
    <w:basedOn w:val="117"/>
    <w:next w:val="117"/>
    <w:qFormat/>
    <w:uiPriority w:val="0"/>
    <w:pPr>
      <w:adjustRightInd w:val="0"/>
      <w:spacing w:line="491" w:lineRule="atLeast"/>
    </w:pPr>
    <w:rPr>
      <w:rFonts w:hint="default" w:ascii="宋体" w:hAnsi="Times New Roman" w:eastAsia="宋体"/>
      <w:color w:val="auto"/>
      <w:szCs w:val="24"/>
    </w:rPr>
  </w:style>
  <w:style w:type="paragraph" w:customStyle="1" w:styleId="135">
    <w:name w:val="CM13"/>
    <w:basedOn w:val="117"/>
    <w:next w:val="117"/>
    <w:qFormat/>
    <w:uiPriority w:val="0"/>
    <w:pPr>
      <w:adjustRightInd w:val="0"/>
      <w:spacing w:line="491" w:lineRule="atLeast"/>
    </w:pPr>
    <w:rPr>
      <w:rFonts w:hint="default" w:ascii="宋体" w:hAnsi="Times New Roman" w:eastAsia="宋体"/>
      <w:color w:val="auto"/>
      <w:szCs w:val="24"/>
    </w:rPr>
  </w:style>
  <w:style w:type="paragraph" w:customStyle="1" w:styleId="136">
    <w:name w:val="样式 首行缩进:  2 字符 段前: 0.5 行 段后: 0.5 行"/>
    <w:basedOn w:val="1"/>
    <w:next w:val="1"/>
    <w:qFormat/>
    <w:uiPriority w:val="0"/>
    <w:pPr>
      <w:adjustRightInd w:val="0"/>
      <w:snapToGrid w:val="0"/>
      <w:spacing w:before="156" w:after="156" w:line="312" w:lineRule="auto"/>
      <w:ind w:firstLine="480" w:firstLineChars="200"/>
    </w:pPr>
    <w:rPr>
      <w:rFonts w:eastAsia="楷体_GB2312"/>
      <w:sz w:val="24"/>
      <w:szCs w:val="20"/>
    </w:rPr>
  </w:style>
  <w:style w:type="paragraph" w:customStyle="1" w:styleId="137">
    <w:name w:val="Char Char Char Char Char Char1 Char"/>
    <w:basedOn w:val="1"/>
    <w:qFormat/>
    <w:uiPriority w:val="0"/>
  </w:style>
  <w:style w:type="paragraph" w:customStyle="1" w:styleId="138">
    <w:name w:val="Char2"/>
    <w:basedOn w:val="1"/>
    <w:qFormat/>
    <w:uiPriority w:val="0"/>
  </w:style>
  <w:style w:type="character" w:customStyle="1" w:styleId="139">
    <w:name w:val="批注框文本 字符"/>
    <w:link w:val="35"/>
    <w:qFormat/>
    <w:uiPriority w:val="0"/>
    <w:rPr>
      <w:kern w:val="2"/>
      <w:sz w:val="18"/>
      <w:szCs w:val="18"/>
    </w:rPr>
  </w:style>
  <w:style w:type="character" w:customStyle="1" w:styleId="140">
    <w:name w:val="批注文字 字符"/>
    <w:link w:val="18"/>
    <w:qFormat/>
    <w:uiPriority w:val="0"/>
    <w:rPr>
      <w:kern w:val="2"/>
      <w:sz w:val="21"/>
      <w:szCs w:val="24"/>
    </w:rPr>
  </w:style>
  <w:style w:type="paragraph" w:customStyle="1" w:styleId="14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2">
    <w:name w:val="font6"/>
    <w:basedOn w:val="1"/>
    <w:qFormat/>
    <w:uiPriority w:val="0"/>
    <w:pPr>
      <w:widowControl/>
      <w:spacing w:before="100" w:beforeAutospacing="1" w:after="100" w:afterAutospacing="1"/>
      <w:jc w:val="left"/>
    </w:pPr>
    <w:rPr>
      <w:rFonts w:ascii="宋体" w:hAnsi="宋体" w:cs="宋体"/>
      <w:b/>
      <w:bCs/>
      <w:color w:val="FF0000"/>
      <w:kern w:val="0"/>
      <w:sz w:val="22"/>
      <w:szCs w:val="22"/>
    </w:rPr>
  </w:style>
  <w:style w:type="paragraph" w:customStyle="1" w:styleId="14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14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4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4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24"/>
    </w:rPr>
  </w:style>
  <w:style w:type="paragraph" w:customStyle="1" w:styleId="147">
    <w:name w:val="xl6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70C0"/>
      <w:kern w:val="0"/>
      <w:sz w:val="24"/>
    </w:rPr>
  </w:style>
  <w:style w:type="paragraph" w:customStyle="1" w:styleId="148">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49">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15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70C0"/>
      <w:kern w:val="0"/>
      <w:sz w:val="24"/>
    </w:rPr>
  </w:style>
  <w:style w:type="paragraph" w:customStyle="1" w:styleId="151">
    <w:name w:val="xl73"/>
    <w:basedOn w:val="1"/>
    <w:qFormat/>
    <w:uiPriority w:val="0"/>
    <w:pPr>
      <w:widowControl/>
      <w:spacing w:before="100" w:beforeAutospacing="1" w:after="100" w:afterAutospacing="1"/>
      <w:jc w:val="left"/>
    </w:pPr>
    <w:rPr>
      <w:rFonts w:ascii="宋体" w:hAnsi="宋体" w:cs="宋体"/>
      <w:kern w:val="0"/>
      <w:sz w:val="24"/>
    </w:rPr>
  </w:style>
  <w:style w:type="paragraph" w:customStyle="1" w:styleId="152">
    <w:name w:val="xl74"/>
    <w:basedOn w:val="1"/>
    <w:qFormat/>
    <w:uiPriority w:val="0"/>
    <w:pPr>
      <w:widowControl/>
      <w:spacing w:before="100" w:beforeAutospacing="1" w:after="100" w:afterAutospacing="1"/>
      <w:jc w:val="left"/>
    </w:pPr>
    <w:rPr>
      <w:rFonts w:ascii="宋体" w:hAnsi="宋体" w:cs="宋体"/>
      <w:kern w:val="0"/>
      <w:sz w:val="24"/>
    </w:rPr>
  </w:style>
  <w:style w:type="paragraph" w:customStyle="1" w:styleId="153">
    <w:name w:val="xl7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5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55">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color w:val="FF0000"/>
      <w:kern w:val="0"/>
      <w:sz w:val="24"/>
    </w:rPr>
  </w:style>
  <w:style w:type="paragraph" w:customStyle="1" w:styleId="156">
    <w:name w:val="TOC 标题1"/>
    <w:basedOn w:val="3"/>
    <w:next w:val="1"/>
    <w:qFormat/>
    <w:uiPriority w:val="39"/>
    <w:pPr>
      <w:widowControl/>
      <w:spacing w:before="240" w:after="0" w:line="259" w:lineRule="auto"/>
      <w:jc w:val="left"/>
      <w:outlineLvl w:val="9"/>
    </w:pPr>
    <w:rPr>
      <w:rFonts w:ascii="Cambria" w:hAnsi="Cambria"/>
      <w:b w:val="0"/>
      <w:bCs w:val="0"/>
      <w:color w:val="365F91"/>
      <w:kern w:val="0"/>
      <w:szCs w:val="32"/>
    </w:rPr>
  </w:style>
  <w:style w:type="paragraph" w:customStyle="1" w:styleId="157">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18"/>
      <w:szCs w:val="18"/>
    </w:rPr>
  </w:style>
  <w:style w:type="paragraph" w:customStyle="1" w:styleId="158">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FF0000"/>
      <w:kern w:val="0"/>
      <w:sz w:val="18"/>
      <w:szCs w:val="18"/>
    </w:rPr>
  </w:style>
  <w:style w:type="paragraph" w:customStyle="1" w:styleId="159">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0">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1">
    <w:name w:val="xl8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color w:val="FF0000"/>
      <w:kern w:val="0"/>
      <w:sz w:val="18"/>
      <w:szCs w:val="18"/>
    </w:rPr>
  </w:style>
  <w:style w:type="paragraph" w:customStyle="1" w:styleId="162">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3">
    <w:name w:val="_Style 28"/>
    <w:basedOn w:val="1"/>
    <w:qFormat/>
    <w:uiPriority w:val="0"/>
    <w:rPr>
      <w:rFonts w:ascii="Tahoma" w:hAnsi="Tahoma"/>
      <w:sz w:val="24"/>
    </w:rPr>
  </w:style>
  <w:style w:type="character" w:customStyle="1" w:styleId="164">
    <w:name w:val="标准文本 Char"/>
    <w:link w:val="165"/>
    <w:qFormat/>
    <w:uiPriority w:val="99"/>
    <w:rPr>
      <w:kern w:val="2"/>
    </w:rPr>
  </w:style>
  <w:style w:type="paragraph" w:customStyle="1" w:styleId="165">
    <w:name w:val="标准文本"/>
    <w:basedOn w:val="1"/>
    <w:link w:val="164"/>
    <w:qFormat/>
    <w:uiPriority w:val="99"/>
    <w:pPr>
      <w:spacing w:line="360" w:lineRule="auto"/>
      <w:ind w:firstLine="480" w:firstLineChars="200"/>
    </w:pPr>
    <w:rPr>
      <w:sz w:val="20"/>
      <w:szCs w:val="20"/>
    </w:rPr>
  </w:style>
  <w:style w:type="paragraph" w:customStyle="1" w:styleId="166">
    <w:name w:val="[Normal]"/>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宋体" w:hAnsi="宋体" w:eastAsia="宋体" w:cs="Times New Roman"/>
      <w:sz w:val="24"/>
      <w:szCs w:val="24"/>
      <w:lang w:val="en-US" w:eastAsia="zh-CN" w:bidi="ar-SA"/>
    </w:rPr>
  </w:style>
  <w:style w:type="character" w:customStyle="1" w:styleId="167">
    <w:name w:val="标题1"/>
    <w:basedOn w:val="57"/>
    <w:qFormat/>
    <w:uiPriority w:val="0"/>
  </w:style>
  <w:style w:type="paragraph" w:customStyle="1" w:styleId="168">
    <w:name w:val="报告正文"/>
    <w:basedOn w:val="1"/>
    <w:qFormat/>
    <w:uiPriority w:val="0"/>
    <w:pPr>
      <w:adjustRightInd w:val="0"/>
      <w:snapToGrid w:val="0"/>
      <w:spacing w:line="288" w:lineRule="auto"/>
      <w:ind w:left="3060" w:leftChars="1700"/>
    </w:pPr>
    <w:rPr>
      <w:rFonts w:ascii="华文细黑" w:hAnsi="华文细黑" w:eastAsia="华文细黑" w:cs="宋体"/>
      <w:szCs w:val="20"/>
    </w:rPr>
  </w:style>
  <w:style w:type="paragraph" w:customStyle="1" w:styleId="169">
    <w:name w:val="_Style 1"/>
    <w:basedOn w:val="1"/>
    <w:qFormat/>
    <w:uiPriority w:val="34"/>
    <w:pPr>
      <w:ind w:firstLine="420" w:firstLineChars="200"/>
    </w:pPr>
  </w:style>
  <w:style w:type="paragraph" w:customStyle="1" w:styleId="170">
    <w:name w:val="列出段落2"/>
    <w:basedOn w:val="1"/>
    <w:qFormat/>
    <w:uiPriority w:val="0"/>
    <w:pPr>
      <w:ind w:firstLine="420" w:firstLineChars="200"/>
    </w:pPr>
  </w:style>
  <w:style w:type="character" w:customStyle="1" w:styleId="171">
    <w:name w:val="c lh15"/>
    <w:basedOn w:val="57"/>
    <w:qFormat/>
    <w:uiPriority w:val="0"/>
  </w:style>
  <w:style w:type="character" w:customStyle="1" w:styleId="172">
    <w:name w:val="正文文本 3 字符"/>
    <w:basedOn w:val="57"/>
    <w:link w:val="20"/>
    <w:qFormat/>
    <w:uiPriority w:val="0"/>
    <w:rPr>
      <w:color w:val="FF00FF"/>
      <w:kern w:val="2"/>
      <w:sz w:val="21"/>
      <w:szCs w:val="24"/>
    </w:rPr>
  </w:style>
  <w:style w:type="character" w:customStyle="1" w:styleId="173">
    <w:name w:val="Default Char Char"/>
    <w:link w:val="117"/>
    <w:qFormat/>
    <w:uiPriority w:val="0"/>
    <w:rPr>
      <w:rFonts w:ascii="微软雅黑" w:hAnsi="微软雅黑" w:eastAsia="微软雅黑"/>
      <w:color w:val="000000"/>
      <w:sz w:val="24"/>
    </w:rPr>
  </w:style>
  <w:style w:type="paragraph" w:customStyle="1" w:styleId="174">
    <w:name w:val="Char Char Char1 Char"/>
    <w:basedOn w:val="17"/>
    <w:qFormat/>
    <w:uiPriority w:val="0"/>
    <w:rPr>
      <w:rFonts w:ascii="Tahoma" w:hAnsi="Tahoma" w:cs="Tahoma"/>
      <w:kern w:val="0"/>
      <w:sz w:val="18"/>
    </w:rPr>
  </w:style>
  <w:style w:type="paragraph" w:customStyle="1" w:styleId="175">
    <w:name w:val="txt14"/>
    <w:basedOn w:val="1"/>
    <w:qFormat/>
    <w:uiPriority w:val="0"/>
    <w:pPr>
      <w:widowControl/>
      <w:spacing w:before="100" w:beforeAutospacing="1" w:after="100" w:afterAutospacing="1"/>
      <w:jc w:val="left"/>
    </w:pPr>
    <w:rPr>
      <w:rFonts w:ascii="宋体" w:hAnsi="宋体" w:cs="宋体"/>
      <w:color w:val="000000"/>
      <w:kern w:val="0"/>
      <w:szCs w:val="21"/>
    </w:rPr>
  </w:style>
  <w:style w:type="paragraph" w:styleId="176">
    <w:name w:val="List Paragraph"/>
    <w:basedOn w:val="1"/>
    <w:link w:val="393"/>
    <w:qFormat/>
    <w:uiPriority w:val="34"/>
    <w:pPr>
      <w:ind w:firstLine="420" w:firstLineChars="200"/>
    </w:pPr>
  </w:style>
  <w:style w:type="character" w:customStyle="1" w:styleId="177">
    <w:name w:val="未处理的提及1"/>
    <w:basedOn w:val="57"/>
    <w:qFormat/>
    <w:uiPriority w:val="99"/>
    <w:rPr>
      <w:color w:val="605E5C"/>
      <w:shd w:val="clear" w:color="auto" w:fill="E1DFDD"/>
    </w:rPr>
  </w:style>
  <w:style w:type="character" w:customStyle="1" w:styleId="178">
    <w:name w:val="标题 8 字符"/>
    <w:basedOn w:val="57"/>
    <w:qFormat/>
    <w:uiPriority w:val="0"/>
    <w:rPr>
      <w:rFonts w:ascii="Cambria" w:hAnsi="Cambria" w:eastAsia="宋体" w:cs="宋体"/>
      <w:kern w:val="2"/>
      <w:sz w:val="24"/>
      <w:szCs w:val="24"/>
    </w:rPr>
  </w:style>
  <w:style w:type="character" w:customStyle="1" w:styleId="179">
    <w:name w:val="标题 9 字符"/>
    <w:basedOn w:val="57"/>
    <w:qFormat/>
    <w:uiPriority w:val="0"/>
    <w:rPr>
      <w:rFonts w:ascii="Cambria" w:hAnsi="Cambria" w:eastAsia="宋体" w:cs="宋体"/>
      <w:kern w:val="2"/>
      <w:sz w:val="21"/>
      <w:szCs w:val="21"/>
    </w:rPr>
  </w:style>
  <w:style w:type="character" w:customStyle="1" w:styleId="180">
    <w:name w:val="标题 1 字符1"/>
    <w:qFormat/>
    <w:uiPriority w:val="0"/>
    <w:rPr>
      <w:b/>
      <w:bCs/>
      <w:kern w:val="44"/>
      <w:sz w:val="32"/>
      <w:szCs w:val="44"/>
    </w:rPr>
  </w:style>
  <w:style w:type="character" w:customStyle="1" w:styleId="181">
    <w:name w:val="标题 2 字符1"/>
    <w:qFormat/>
    <w:uiPriority w:val="99"/>
    <w:rPr>
      <w:rFonts w:ascii="Arial" w:hAnsi="Arial" w:eastAsia="黑体"/>
      <w:bCs/>
      <w:kern w:val="2"/>
      <w:sz w:val="32"/>
      <w:szCs w:val="32"/>
    </w:rPr>
  </w:style>
  <w:style w:type="character" w:customStyle="1" w:styleId="182">
    <w:name w:val="标题 3 字符1"/>
    <w:qFormat/>
    <w:uiPriority w:val="9"/>
    <w:rPr>
      <w:rFonts w:ascii="宋体"/>
      <w:b/>
      <w:bCs/>
      <w:kern w:val="2"/>
      <w:sz w:val="24"/>
      <w:szCs w:val="32"/>
    </w:rPr>
  </w:style>
  <w:style w:type="character" w:customStyle="1" w:styleId="183">
    <w:name w:val="标题 4 字符1"/>
    <w:qFormat/>
    <w:uiPriority w:val="0"/>
    <w:rPr>
      <w:rFonts w:ascii="Arial" w:hAnsi="Arial"/>
      <w:bCs/>
      <w:kern w:val="2"/>
      <w:sz w:val="24"/>
      <w:szCs w:val="28"/>
    </w:rPr>
  </w:style>
  <w:style w:type="character" w:customStyle="1" w:styleId="184">
    <w:name w:val="标题 7 字符1"/>
    <w:qFormat/>
    <w:uiPriority w:val="9"/>
    <w:rPr>
      <w:b/>
      <w:bCs/>
      <w:kern w:val="2"/>
      <w:sz w:val="24"/>
      <w:szCs w:val="24"/>
    </w:rPr>
  </w:style>
  <w:style w:type="character" w:customStyle="1" w:styleId="185">
    <w:name w:val="标题 8 字符1"/>
    <w:basedOn w:val="57"/>
    <w:link w:val="10"/>
    <w:qFormat/>
    <w:uiPriority w:val="0"/>
    <w:rPr>
      <w:rFonts w:ascii="Arial" w:hAnsi="Arial" w:eastAsia="黑体"/>
      <w:kern w:val="2"/>
      <w:sz w:val="21"/>
    </w:rPr>
  </w:style>
  <w:style w:type="character" w:customStyle="1" w:styleId="186">
    <w:name w:val="标题 9 字符1"/>
    <w:basedOn w:val="57"/>
    <w:link w:val="11"/>
    <w:qFormat/>
    <w:uiPriority w:val="0"/>
    <w:rPr>
      <w:rFonts w:ascii="Arial" w:hAnsi="Arial" w:eastAsia="黑体"/>
      <w:kern w:val="2"/>
      <w:sz w:val="21"/>
    </w:rPr>
  </w:style>
  <w:style w:type="character" w:customStyle="1" w:styleId="187">
    <w:name w:val="批注文字 字符1"/>
    <w:qFormat/>
    <w:uiPriority w:val="0"/>
    <w:rPr>
      <w:kern w:val="2"/>
      <w:sz w:val="21"/>
      <w:szCs w:val="24"/>
    </w:rPr>
  </w:style>
  <w:style w:type="character" w:customStyle="1" w:styleId="188">
    <w:name w:val="正文缩进 字符1"/>
    <w:qFormat/>
    <w:uiPriority w:val="0"/>
    <w:rPr>
      <w:sz w:val="21"/>
    </w:rPr>
  </w:style>
  <w:style w:type="character" w:customStyle="1" w:styleId="189">
    <w:name w:val="文档结构图 字符1"/>
    <w:qFormat/>
    <w:uiPriority w:val="0"/>
    <w:rPr>
      <w:kern w:val="2"/>
      <w:sz w:val="21"/>
      <w:szCs w:val="24"/>
      <w:shd w:val="clear" w:color="auto" w:fill="000080"/>
    </w:rPr>
  </w:style>
  <w:style w:type="character" w:customStyle="1" w:styleId="190">
    <w:name w:val="正文文本 字符1"/>
    <w:qFormat/>
    <w:uiPriority w:val="0"/>
    <w:rPr>
      <w:rFonts w:eastAsia="宋体"/>
      <w:kern w:val="2"/>
      <w:sz w:val="24"/>
      <w:szCs w:val="24"/>
      <w:lang w:val="en-US" w:eastAsia="zh-CN" w:bidi="ar-SA"/>
    </w:rPr>
  </w:style>
  <w:style w:type="character" w:customStyle="1" w:styleId="191">
    <w:name w:val="正文文本缩进 字符1"/>
    <w:qFormat/>
    <w:uiPriority w:val="0"/>
    <w:rPr>
      <w:rFonts w:ascii="宋体" w:hAnsi="宋体"/>
      <w:kern w:val="2"/>
      <w:sz w:val="24"/>
      <w:szCs w:val="24"/>
    </w:rPr>
  </w:style>
  <w:style w:type="character" w:customStyle="1" w:styleId="192">
    <w:name w:val="纯文本 字符1"/>
    <w:qFormat/>
    <w:uiPriority w:val="0"/>
    <w:rPr>
      <w:rFonts w:ascii="宋体" w:hAnsi="Courier New" w:eastAsia="宋体"/>
      <w:kern w:val="10"/>
      <w:sz w:val="21"/>
      <w:szCs w:val="21"/>
      <w:lang w:val="en-US" w:eastAsia="zh-CN" w:bidi="ar-SA"/>
    </w:rPr>
  </w:style>
  <w:style w:type="character" w:customStyle="1" w:styleId="193">
    <w:name w:val="正文文本缩进 2 字符1"/>
    <w:qFormat/>
    <w:uiPriority w:val="0"/>
    <w:rPr>
      <w:kern w:val="2"/>
      <w:sz w:val="21"/>
      <w:szCs w:val="24"/>
    </w:rPr>
  </w:style>
  <w:style w:type="character" w:customStyle="1" w:styleId="194">
    <w:name w:val="批注框文本 字符1"/>
    <w:qFormat/>
    <w:uiPriority w:val="0"/>
    <w:rPr>
      <w:kern w:val="2"/>
      <w:sz w:val="18"/>
      <w:szCs w:val="18"/>
    </w:rPr>
  </w:style>
  <w:style w:type="character" w:customStyle="1" w:styleId="195">
    <w:name w:val="页脚 字符1"/>
    <w:qFormat/>
    <w:uiPriority w:val="99"/>
    <w:rPr>
      <w:kern w:val="2"/>
      <w:sz w:val="18"/>
      <w:szCs w:val="18"/>
    </w:rPr>
  </w:style>
  <w:style w:type="character" w:customStyle="1" w:styleId="196">
    <w:name w:val="页眉 字符1"/>
    <w:qFormat/>
    <w:uiPriority w:val="99"/>
    <w:rPr>
      <w:kern w:val="2"/>
      <w:sz w:val="18"/>
      <w:szCs w:val="18"/>
    </w:rPr>
  </w:style>
  <w:style w:type="character" w:customStyle="1" w:styleId="197">
    <w:name w:val="正文文本缩进 3 字符1"/>
    <w:qFormat/>
    <w:uiPriority w:val="0"/>
    <w:rPr>
      <w:kern w:val="2"/>
      <w:sz w:val="21"/>
      <w:szCs w:val="24"/>
    </w:rPr>
  </w:style>
  <w:style w:type="character" w:customStyle="1" w:styleId="198">
    <w:name w:val="标题 字符1"/>
    <w:qFormat/>
    <w:uiPriority w:val="0"/>
    <w:rPr>
      <w:rFonts w:ascii="Cambria" w:hAnsi="Cambria"/>
      <w:b/>
      <w:kern w:val="2"/>
      <w:sz w:val="44"/>
    </w:rPr>
  </w:style>
  <w:style w:type="character" w:customStyle="1" w:styleId="199">
    <w:name w:val="small"/>
    <w:basedOn w:val="57"/>
    <w:qFormat/>
    <w:uiPriority w:val="0"/>
  </w:style>
  <w:style w:type="paragraph" w:customStyle="1" w:styleId="200">
    <w:name w:val="正文文本 21"/>
    <w:basedOn w:val="1"/>
    <w:qFormat/>
    <w:uiPriority w:val="0"/>
    <w:pPr>
      <w:widowControl/>
      <w:jc w:val="center"/>
    </w:pPr>
    <w:rPr>
      <w:rFonts w:eastAsia="黑体"/>
      <w:kern w:val="0"/>
      <w:sz w:val="44"/>
      <w:szCs w:val="20"/>
    </w:rPr>
  </w:style>
  <w:style w:type="paragraph" w:customStyle="1" w:styleId="201">
    <w:name w:val="Char1 Char Char Char Char"/>
    <w:basedOn w:val="1"/>
    <w:qFormat/>
    <w:uiPriority w:val="0"/>
    <w:pPr>
      <w:tabs>
        <w:tab w:val="left" w:pos="425"/>
        <w:tab w:val="left" w:pos="1200"/>
      </w:tabs>
      <w:ind w:left="425"/>
    </w:pPr>
    <w:rPr>
      <w:sz w:val="24"/>
    </w:rPr>
  </w:style>
  <w:style w:type="paragraph" w:customStyle="1" w:styleId="202">
    <w:name w:val="技标2"/>
    <w:basedOn w:val="5"/>
    <w:qFormat/>
    <w:uiPriority w:val="0"/>
    <w:pPr>
      <w:keepNext w:val="0"/>
      <w:keepLines w:val="0"/>
      <w:adjustRightInd w:val="0"/>
      <w:snapToGrid w:val="0"/>
      <w:spacing w:before="600" w:after="240" w:line="420" w:lineRule="atLeast"/>
      <w:jc w:val="center"/>
      <w:textAlignment w:val="baseline"/>
    </w:pPr>
    <w:rPr>
      <w:rFonts w:ascii="Times New Roman"/>
      <w:bCs w:val="0"/>
      <w:kern w:val="0"/>
      <w:sz w:val="28"/>
      <w:szCs w:val="20"/>
    </w:rPr>
  </w:style>
  <w:style w:type="character" w:customStyle="1" w:styleId="203">
    <w:name w:val="称呼 字符"/>
    <w:basedOn w:val="57"/>
    <w:link w:val="19"/>
    <w:qFormat/>
    <w:uiPriority w:val="0"/>
    <w:rPr>
      <w:kern w:val="2"/>
      <w:sz w:val="28"/>
      <w:szCs w:val="24"/>
    </w:rPr>
  </w:style>
  <w:style w:type="character" w:customStyle="1" w:styleId="204">
    <w:name w:val="结束语 字符"/>
    <w:basedOn w:val="57"/>
    <w:link w:val="21"/>
    <w:qFormat/>
    <w:uiPriority w:val="0"/>
    <w:rPr>
      <w:kern w:val="2"/>
      <w:sz w:val="28"/>
      <w:szCs w:val="24"/>
    </w:rPr>
  </w:style>
  <w:style w:type="paragraph" w:customStyle="1" w:styleId="205">
    <w:name w:val="标准"/>
    <w:basedOn w:val="1"/>
    <w:qFormat/>
    <w:uiPriority w:val="0"/>
    <w:pPr>
      <w:adjustRightInd w:val="0"/>
      <w:spacing w:line="420" w:lineRule="atLeast"/>
      <w:ind w:firstLine="454"/>
      <w:jc w:val="center"/>
      <w:textAlignment w:val="baseline"/>
    </w:pPr>
    <w:rPr>
      <w:kern w:val="0"/>
      <w:szCs w:val="20"/>
    </w:rPr>
  </w:style>
  <w:style w:type="paragraph" w:customStyle="1" w:styleId="206">
    <w:name w:val="2"/>
    <w:basedOn w:val="1"/>
    <w:qFormat/>
    <w:uiPriority w:val="0"/>
    <w:pPr>
      <w:adjustRightInd w:val="0"/>
      <w:spacing w:line="420" w:lineRule="atLeast"/>
      <w:ind w:left="1134" w:hanging="227"/>
      <w:textAlignment w:val="baseline"/>
    </w:pPr>
    <w:rPr>
      <w:kern w:val="0"/>
      <w:szCs w:val="20"/>
    </w:rPr>
  </w:style>
  <w:style w:type="paragraph" w:customStyle="1" w:styleId="207">
    <w:name w:val="正文1"/>
    <w:qFormat/>
    <w:uiPriority w:val="0"/>
    <w:pPr>
      <w:jc w:val="both"/>
    </w:pPr>
    <w:rPr>
      <w:rFonts w:ascii="Times New Roman" w:hAnsi="Times New Roman" w:eastAsia="宋体" w:cs="Times New Roman"/>
      <w:sz w:val="21"/>
      <w:lang w:val="en-US" w:eastAsia="zh-CN" w:bidi="ar-SA"/>
    </w:rPr>
  </w:style>
  <w:style w:type="paragraph" w:customStyle="1" w:styleId="208">
    <w:name w:val="1"/>
    <w:basedOn w:val="1"/>
    <w:qFormat/>
    <w:uiPriority w:val="0"/>
    <w:pPr>
      <w:adjustRightInd w:val="0"/>
      <w:spacing w:before="360" w:after="240" w:line="420" w:lineRule="atLeast"/>
      <w:ind w:firstLine="454"/>
      <w:textAlignment w:val="baseline"/>
    </w:pPr>
    <w:rPr>
      <w:b/>
      <w:kern w:val="0"/>
      <w:szCs w:val="20"/>
    </w:rPr>
  </w:style>
  <w:style w:type="paragraph" w:customStyle="1" w:styleId="209">
    <w:name w:val="Char1 Char Char Char"/>
    <w:basedOn w:val="1"/>
    <w:qFormat/>
    <w:uiPriority w:val="0"/>
    <w:rPr>
      <w:rFonts w:ascii="Tahoma" w:hAnsi="Tahoma"/>
      <w:sz w:val="24"/>
      <w:szCs w:val="20"/>
    </w:rPr>
  </w:style>
  <w:style w:type="character" w:customStyle="1" w:styleId="210">
    <w:name w:val="标题 5 字符"/>
    <w:link w:val="7"/>
    <w:qFormat/>
    <w:uiPriority w:val="0"/>
    <w:rPr>
      <w:b/>
      <w:bCs/>
      <w:kern w:val="2"/>
      <w:sz w:val="28"/>
      <w:szCs w:val="28"/>
    </w:rPr>
  </w:style>
  <w:style w:type="character" w:customStyle="1" w:styleId="211">
    <w:name w:val="标题 6 字符"/>
    <w:link w:val="8"/>
    <w:qFormat/>
    <w:uiPriority w:val="0"/>
    <w:rPr>
      <w:rFonts w:ascii="Arial" w:hAnsi="Arial" w:eastAsia="黑体"/>
      <w:b/>
      <w:bCs/>
      <w:kern w:val="2"/>
      <w:sz w:val="24"/>
      <w:szCs w:val="24"/>
    </w:rPr>
  </w:style>
  <w:style w:type="paragraph" w:customStyle="1" w:styleId="212">
    <w:name w:val="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13">
    <w:name w:val="Char1 Char Char Char1"/>
    <w:basedOn w:val="1"/>
    <w:qFormat/>
    <w:uiPriority w:val="0"/>
    <w:rPr>
      <w:rFonts w:ascii="仿宋_GB2312" w:eastAsia="仿宋_GB2312"/>
      <w:b/>
      <w:sz w:val="32"/>
      <w:szCs w:val="32"/>
    </w:rPr>
  </w:style>
  <w:style w:type="character" w:customStyle="1" w:styleId="214">
    <w:name w:val="日期 字符"/>
    <w:link w:val="32"/>
    <w:qFormat/>
    <w:uiPriority w:val="0"/>
    <w:rPr>
      <w:color w:val="0000FF"/>
      <w:kern w:val="2"/>
      <w:sz w:val="24"/>
      <w:szCs w:val="24"/>
    </w:rPr>
  </w:style>
  <w:style w:type="paragraph" w:customStyle="1" w:styleId="215">
    <w:name w:val="普通(网站)2"/>
    <w:basedOn w:val="1"/>
    <w:qFormat/>
    <w:uiPriority w:val="0"/>
    <w:pPr>
      <w:widowControl/>
      <w:spacing w:before="100" w:beforeAutospacing="1" w:after="100" w:afterAutospacing="1"/>
      <w:jc w:val="left"/>
    </w:pPr>
    <w:rPr>
      <w:rFonts w:ascii="宋体" w:hAnsi="宋体" w:cs="宋体"/>
      <w:kern w:val="0"/>
      <w:sz w:val="24"/>
    </w:rPr>
  </w:style>
  <w:style w:type="character" w:customStyle="1" w:styleId="216">
    <w:name w:val="正文文本 2 字符"/>
    <w:link w:val="47"/>
    <w:qFormat/>
    <w:uiPriority w:val="0"/>
    <w:rPr>
      <w:color w:val="FF0000"/>
      <w:kern w:val="2"/>
      <w:sz w:val="24"/>
      <w:szCs w:val="24"/>
    </w:rPr>
  </w:style>
  <w:style w:type="paragraph" w:customStyle="1" w:styleId="217">
    <w:name w:val="Char Char1 Char Char Char Char Char Char Char Char Char Char Char Char Char Char"/>
    <w:basedOn w:val="1"/>
    <w:qFormat/>
    <w:uiPriority w:val="0"/>
    <w:pPr>
      <w:widowControl/>
      <w:spacing w:after="160" w:line="240" w:lineRule="exact"/>
      <w:jc w:val="left"/>
    </w:pPr>
  </w:style>
  <w:style w:type="paragraph" w:customStyle="1" w:styleId="218">
    <w:name w:val="Char Char Char Char Char Char Char Char Char Char Char Char Char Char Char Char Char Char Char1"/>
    <w:basedOn w:val="1"/>
    <w:qFormat/>
    <w:uiPriority w:val="0"/>
    <w:pPr>
      <w:widowControl/>
      <w:spacing w:after="160" w:line="240" w:lineRule="exact"/>
      <w:jc w:val="left"/>
    </w:pPr>
  </w:style>
  <w:style w:type="paragraph" w:customStyle="1" w:styleId="219">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0">
    <w:name w:val="Char Char61"/>
    <w:basedOn w:val="1"/>
    <w:qFormat/>
    <w:uiPriority w:val="0"/>
    <w:pPr>
      <w:widowControl/>
      <w:spacing w:after="160" w:line="240" w:lineRule="exact"/>
      <w:jc w:val="left"/>
    </w:pPr>
  </w:style>
  <w:style w:type="character" w:customStyle="1" w:styleId="221">
    <w:name w:val="批注主题 字符"/>
    <w:link w:val="53"/>
    <w:qFormat/>
    <w:uiPriority w:val="0"/>
    <w:rPr>
      <w:b/>
      <w:bCs/>
      <w:kern w:val="2"/>
      <w:sz w:val="21"/>
      <w:szCs w:val="24"/>
    </w:rPr>
  </w:style>
  <w:style w:type="character" w:customStyle="1" w:styleId="222">
    <w:name w:val="skip_21"/>
    <w:qFormat/>
    <w:uiPriority w:val="0"/>
    <w:rPr>
      <w:color w:val="333333"/>
      <w:sz w:val="18"/>
      <w:szCs w:val="18"/>
      <w:u w:val="none"/>
    </w:rPr>
  </w:style>
  <w:style w:type="character" w:customStyle="1" w:styleId="223">
    <w:name w:val="文字 Char"/>
    <w:link w:val="224"/>
    <w:qFormat/>
    <w:uiPriority w:val="0"/>
    <w:rPr>
      <w:rFonts w:ascii="宋体"/>
      <w:kern w:val="2"/>
      <w:sz w:val="28"/>
    </w:rPr>
  </w:style>
  <w:style w:type="paragraph" w:customStyle="1" w:styleId="224">
    <w:name w:val="文字"/>
    <w:basedOn w:val="1"/>
    <w:link w:val="223"/>
    <w:qFormat/>
    <w:uiPriority w:val="0"/>
    <w:pPr>
      <w:tabs>
        <w:tab w:val="left" w:pos="8520"/>
      </w:tabs>
      <w:spacing w:line="312" w:lineRule="auto"/>
      <w:ind w:right="-210" w:firstLine="556"/>
    </w:pPr>
    <w:rPr>
      <w:rFonts w:ascii="宋体"/>
      <w:sz w:val="28"/>
      <w:szCs w:val="20"/>
    </w:rPr>
  </w:style>
  <w:style w:type="character" w:customStyle="1" w:styleId="225">
    <w:name w:val="Char Char10"/>
    <w:link w:val="226"/>
    <w:qFormat/>
    <w:uiPriority w:val="0"/>
    <w:rPr>
      <w:rFonts w:ascii="Verdana" w:hAnsi="Verdana"/>
      <w:lang w:eastAsia="en-US"/>
    </w:rPr>
  </w:style>
  <w:style w:type="paragraph" w:customStyle="1" w:styleId="226">
    <w:name w:val="Char3"/>
    <w:basedOn w:val="1"/>
    <w:link w:val="225"/>
    <w:qFormat/>
    <w:uiPriority w:val="0"/>
    <w:pPr>
      <w:widowControl/>
      <w:spacing w:after="160" w:line="240" w:lineRule="exact"/>
      <w:jc w:val="left"/>
    </w:pPr>
    <w:rPr>
      <w:rFonts w:ascii="Verdana" w:hAnsi="Verdana"/>
      <w:kern w:val="0"/>
      <w:sz w:val="20"/>
      <w:szCs w:val="20"/>
      <w:lang w:eastAsia="en-US"/>
    </w:rPr>
  </w:style>
  <w:style w:type="character" w:customStyle="1" w:styleId="227">
    <w:name w:val="正文缩进 Char Char1"/>
    <w:qFormat/>
    <w:uiPriority w:val="0"/>
    <w:rPr>
      <w:rFonts w:eastAsia="宋体"/>
      <w:kern w:val="2"/>
      <w:sz w:val="24"/>
      <w:szCs w:val="24"/>
      <w:lang w:val="en-US" w:eastAsia="zh-CN" w:bidi="ar-SA"/>
    </w:rPr>
  </w:style>
  <w:style w:type="character" w:customStyle="1" w:styleId="228">
    <w:name w:val="wenben1"/>
    <w:qFormat/>
    <w:uiPriority w:val="0"/>
    <w:rPr>
      <w:u w:val="none"/>
    </w:rPr>
  </w:style>
  <w:style w:type="character" w:customStyle="1" w:styleId="229">
    <w:name w:val="unnamed11"/>
    <w:qFormat/>
    <w:uiPriority w:val="0"/>
    <w:rPr>
      <w:color w:val="000000"/>
      <w:sz w:val="18"/>
      <w:szCs w:val="18"/>
      <w:u w:val="none"/>
    </w:rPr>
  </w:style>
  <w:style w:type="character" w:customStyle="1" w:styleId="230">
    <w:name w:val="a9"/>
    <w:basedOn w:val="57"/>
    <w:qFormat/>
    <w:uiPriority w:val="0"/>
  </w:style>
  <w:style w:type="character" w:customStyle="1" w:styleId="231">
    <w:name w:val="正文缩进[1] Char Char"/>
    <w:link w:val="232"/>
    <w:qFormat/>
    <w:uiPriority w:val="0"/>
    <w:rPr>
      <w:kern w:val="2"/>
      <w:sz w:val="21"/>
    </w:rPr>
  </w:style>
  <w:style w:type="paragraph" w:customStyle="1" w:styleId="232">
    <w:name w:val="正文缩进[1] Char"/>
    <w:basedOn w:val="1"/>
    <w:link w:val="231"/>
    <w:qFormat/>
    <w:uiPriority w:val="0"/>
    <w:pPr>
      <w:spacing w:beforeLines="20" w:afterLines="20" w:line="300" w:lineRule="auto"/>
      <w:ind w:firstLine="420"/>
    </w:pPr>
    <w:rPr>
      <w:szCs w:val="20"/>
    </w:rPr>
  </w:style>
  <w:style w:type="character" w:customStyle="1" w:styleId="233">
    <w:name w:val="H2 Char"/>
    <w:qFormat/>
    <w:uiPriority w:val="0"/>
    <w:rPr>
      <w:rFonts w:ascii="Arial" w:hAnsi="Arial" w:eastAsia="仿宋_GB2312"/>
      <w:b/>
      <w:kern w:val="2"/>
      <w:sz w:val="28"/>
      <w:lang w:val="en-US" w:eastAsia="zh-CN" w:bidi="ar-SA"/>
    </w:rPr>
  </w:style>
  <w:style w:type="character" w:customStyle="1" w:styleId="234">
    <w:name w:val="text-4"/>
    <w:basedOn w:val="57"/>
    <w:qFormat/>
    <w:uiPriority w:val="0"/>
  </w:style>
  <w:style w:type="character" w:customStyle="1" w:styleId="235">
    <w:name w:val="verdana14ptboldblack1"/>
    <w:qFormat/>
    <w:uiPriority w:val="0"/>
    <w:rPr>
      <w:rFonts w:hint="default" w:ascii="Verdana" w:hAnsi="Verdana"/>
      <w:b/>
      <w:bCs/>
      <w:color w:val="000000"/>
      <w:sz w:val="22"/>
      <w:szCs w:val="22"/>
    </w:rPr>
  </w:style>
  <w:style w:type="character" w:customStyle="1" w:styleId="236">
    <w:name w:val="blacktext"/>
    <w:basedOn w:val="57"/>
    <w:qFormat/>
    <w:uiPriority w:val="0"/>
  </w:style>
  <w:style w:type="character" w:customStyle="1" w:styleId="237">
    <w:name w:val="标题 4 Char Char"/>
    <w:qFormat/>
    <w:uiPriority w:val="0"/>
    <w:rPr>
      <w:rFonts w:ascii="Arial" w:hAnsi="Arial" w:eastAsia="黑体"/>
      <w:b/>
      <w:bCs/>
      <w:kern w:val="2"/>
      <w:sz w:val="28"/>
      <w:szCs w:val="28"/>
      <w:lang w:val="en-US" w:eastAsia="zh-CN" w:bidi="ar-SA"/>
    </w:rPr>
  </w:style>
  <w:style w:type="character" w:customStyle="1" w:styleId="238">
    <w:name w:val="正文2 Char Char"/>
    <w:link w:val="239"/>
    <w:qFormat/>
    <w:uiPriority w:val="0"/>
    <w:rPr>
      <w:rFonts w:eastAsia="仿宋_GB2312"/>
      <w:kern w:val="2"/>
      <w:sz w:val="28"/>
    </w:rPr>
  </w:style>
  <w:style w:type="paragraph" w:customStyle="1" w:styleId="239">
    <w:name w:val="正文2 Char"/>
    <w:basedOn w:val="1"/>
    <w:link w:val="238"/>
    <w:qFormat/>
    <w:uiPriority w:val="0"/>
    <w:pPr>
      <w:spacing w:beforeLines="20" w:afterLines="20" w:line="360" w:lineRule="auto"/>
      <w:ind w:firstLine="200" w:firstLineChars="200"/>
    </w:pPr>
    <w:rPr>
      <w:rFonts w:eastAsia="仿宋_GB2312"/>
      <w:sz w:val="28"/>
      <w:szCs w:val="20"/>
    </w:rPr>
  </w:style>
  <w:style w:type="character" w:customStyle="1" w:styleId="240">
    <w:name w:val="Body Char"/>
    <w:link w:val="241"/>
    <w:qFormat/>
    <w:uiPriority w:val="0"/>
    <w:rPr>
      <w:rFonts w:ascii="宋体" w:hAnsi="宋体"/>
      <w:sz w:val="24"/>
    </w:rPr>
  </w:style>
  <w:style w:type="paragraph" w:customStyle="1" w:styleId="241">
    <w:name w:val="Body"/>
    <w:basedOn w:val="1"/>
    <w:link w:val="240"/>
    <w:qFormat/>
    <w:uiPriority w:val="0"/>
    <w:pPr>
      <w:widowControl/>
      <w:tabs>
        <w:tab w:val="left" w:pos="9255"/>
      </w:tabs>
      <w:spacing w:beforeLines="50" w:afterLines="50" w:line="360" w:lineRule="auto"/>
    </w:pPr>
    <w:rPr>
      <w:rFonts w:ascii="宋体" w:hAnsi="宋体"/>
      <w:kern w:val="0"/>
      <w:sz w:val="24"/>
      <w:szCs w:val="20"/>
    </w:rPr>
  </w:style>
  <w:style w:type="character" w:customStyle="1" w:styleId="242">
    <w:name w:val="表格 Char"/>
    <w:link w:val="243"/>
    <w:qFormat/>
    <w:uiPriority w:val="0"/>
    <w:rPr>
      <w:rFonts w:hAnsi="宋体"/>
      <w:sz w:val="24"/>
    </w:rPr>
  </w:style>
  <w:style w:type="paragraph" w:customStyle="1" w:styleId="243">
    <w:name w:val="表格"/>
    <w:basedOn w:val="1"/>
    <w:link w:val="242"/>
    <w:qFormat/>
    <w:uiPriority w:val="0"/>
    <w:pPr>
      <w:adjustRightInd w:val="0"/>
      <w:snapToGrid w:val="0"/>
      <w:spacing w:beforeLines="20" w:afterLines="20"/>
      <w:jc w:val="center"/>
      <w:textAlignment w:val="bottom"/>
    </w:pPr>
    <w:rPr>
      <w:rFonts w:hAnsi="宋体"/>
      <w:kern w:val="0"/>
      <w:sz w:val="24"/>
      <w:szCs w:val="20"/>
    </w:rPr>
  </w:style>
  <w:style w:type="character" w:customStyle="1" w:styleId="244">
    <w:name w:val="正文首行缩进 字符"/>
    <w:basedOn w:val="190"/>
    <w:link w:val="54"/>
    <w:qFormat/>
    <w:uiPriority w:val="0"/>
    <w:rPr>
      <w:rFonts w:eastAsia="宋体"/>
      <w:kern w:val="2"/>
      <w:sz w:val="28"/>
      <w:szCs w:val="24"/>
      <w:lang w:val="en-US" w:eastAsia="zh-CN" w:bidi="ar-SA"/>
    </w:rPr>
  </w:style>
  <w:style w:type="character" w:customStyle="1" w:styleId="245">
    <w:name w:val="正文文本首行缩进 字符1"/>
    <w:basedOn w:val="71"/>
    <w:qFormat/>
    <w:uiPriority w:val="99"/>
    <w:rPr>
      <w:rFonts w:eastAsia="宋体"/>
      <w:kern w:val="2"/>
      <w:sz w:val="21"/>
      <w:szCs w:val="24"/>
      <w:lang w:val="en-US" w:eastAsia="zh-CN" w:bidi="ar-SA"/>
    </w:rPr>
  </w:style>
  <w:style w:type="character" w:customStyle="1" w:styleId="246">
    <w:name w:val="正文首行缩进 Char"/>
    <w:basedOn w:val="190"/>
    <w:qFormat/>
    <w:uiPriority w:val="99"/>
    <w:rPr>
      <w:rFonts w:eastAsia="宋体"/>
      <w:kern w:val="2"/>
      <w:sz w:val="21"/>
      <w:szCs w:val="24"/>
      <w:lang w:val="en-US" w:eastAsia="zh-CN" w:bidi="ar-SA"/>
    </w:rPr>
  </w:style>
  <w:style w:type="character" w:customStyle="1" w:styleId="247">
    <w:name w:val="正文首行缩进 Char1"/>
    <w:basedOn w:val="71"/>
    <w:qFormat/>
    <w:uiPriority w:val="0"/>
    <w:rPr>
      <w:rFonts w:eastAsia="宋体"/>
      <w:kern w:val="2"/>
      <w:sz w:val="24"/>
      <w:szCs w:val="24"/>
      <w:lang w:val="en-US" w:eastAsia="zh-CN" w:bidi="ar-SA"/>
    </w:rPr>
  </w:style>
  <w:style w:type="character" w:customStyle="1" w:styleId="248">
    <w:name w:val="正文首行缩进 2 字符"/>
    <w:basedOn w:val="191"/>
    <w:link w:val="24"/>
    <w:qFormat/>
    <w:uiPriority w:val="0"/>
    <w:rPr>
      <w:rFonts w:ascii="宋体" w:hAnsi="宋体"/>
      <w:kern w:val="2"/>
      <w:sz w:val="28"/>
      <w:szCs w:val="24"/>
    </w:rPr>
  </w:style>
  <w:style w:type="character" w:customStyle="1" w:styleId="249">
    <w:name w:val="正文文本首行缩进 2 字符1"/>
    <w:basedOn w:val="122"/>
    <w:qFormat/>
    <w:uiPriority w:val="99"/>
    <w:rPr>
      <w:rFonts w:ascii="宋体" w:hAnsi="宋体"/>
      <w:kern w:val="2"/>
      <w:sz w:val="21"/>
      <w:szCs w:val="24"/>
    </w:rPr>
  </w:style>
  <w:style w:type="character" w:customStyle="1" w:styleId="250">
    <w:name w:val="正文首行缩进 2 Char"/>
    <w:basedOn w:val="191"/>
    <w:qFormat/>
    <w:uiPriority w:val="99"/>
    <w:rPr>
      <w:rFonts w:ascii="宋体" w:hAnsi="宋体"/>
      <w:kern w:val="2"/>
      <w:sz w:val="21"/>
      <w:szCs w:val="24"/>
    </w:rPr>
  </w:style>
  <w:style w:type="character" w:customStyle="1" w:styleId="251">
    <w:name w:val="正文首行缩进 2 Char1"/>
    <w:basedOn w:val="122"/>
    <w:qFormat/>
    <w:uiPriority w:val="0"/>
    <w:rPr>
      <w:rFonts w:ascii="宋体" w:hAnsi="宋体"/>
      <w:kern w:val="2"/>
      <w:sz w:val="24"/>
      <w:szCs w:val="24"/>
    </w:rPr>
  </w:style>
  <w:style w:type="character" w:customStyle="1" w:styleId="252">
    <w:name w:val="highlight1"/>
    <w:qFormat/>
    <w:uiPriority w:val="0"/>
    <w:rPr>
      <w:sz w:val="21"/>
      <w:szCs w:val="21"/>
    </w:rPr>
  </w:style>
  <w:style w:type="character" w:customStyle="1" w:styleId="253">
    <w:name w:val="标题 2 Char Char"/>
    <w:qFormat/>
    <w:uiPriority w:val="0"/>
    <w:rPr>
      <w:rFonts w:ascii="Arial" w:hAnsi="Arial" w:eastAsia="黑体"/>
      <w:b/>
      <w:bCs/>
      <w:kern w:val="2"/>
      <w:sz w:val="32"/>
      <w:szCs w:val="32"/>
      <w:lang w:val="en-US" w:eastAsia="zh-CN" w:bidi="ar-SA"/>
    </w:rPr>
  </w:style>
  <w:style w:type="character" w:customStyle="1" w:styleId="254">
    <w:name w:val="标题 3 Char Char"/>
    <w:qFormat/>
    <w:uiPriority w:val="0"/>
    <w:rPr>
      <w:rFonts w:eastAsia="宋体"/>
      <w:b/>
      <w:bCs/>
      <w:kern w:val="2"/>
      <w:sz w:val="32"/>
      <w:szCs w:val="32"/>
      <w:lang w:val="en-US" w:eastAsia="zh-CN" w:bidi="ar-SA"/>
    </w:rPr>
  </w:style>
  <w:style w:type="character" w:customStyle="1" w:styleId="255">
    <w:name w:val="正文文字 Char Char"/>
    <w:link w:val="256"/>
    <w:qFormat/>
    <w:uiPriority w:val="0"/>
    <w:rPr>
      <w:color w:val="000000"/>
      <w:sz w:val="28"/>
      <w:szCs w:val="28"/>
    </w:rPr>
  </w:style>
  <w:style w:type="paragraph" w:customStyle="1" w:styleId="256">
    <w:name w:val="正文文字"/>
    <w:basedOn w:val="1"/>
    <w:link w:val="255"/>
    <w:qFormat/>
    <w:uiPriority w:val="0"/>
    <w:pPr>
      <w:ind w:firstLine="482"/>
    </w:pPr>
    <w:rPr>
      <w:color w:val="000000"/>
      <w:kern w:val="0"/>
      <w:sz w:val="28"/>
      <w:szCs w:val="28"/>
    </w:rPr>
  </w:style>
  <w:style w:type="character" w:customStyle="1" w:styleId="257">
    <w:name w:val="文档正文 Char"/>
    <w:link w:val="258"/>
    <w:qFormat/>
    <w:uiPriority w:val="0"/>
    <w:rPr>
      <w:rFonts w:ascii="长城仿宋"/>
      <w:sz w:val="24"/>
    </w:rPr>
  </w:style>
  <w:style w:type="paragraph" w:customStyle="1" w:styleId="258">
    <w:name w:val="文档正文"/>
    <w:basedOn w:val="1"/>
    <w:link w:val="257"/>
    <w:qFormat/>
    <w:uiPriority w:val="0"/>
    <w:pPr>
      <w:adjustRightInd w:val="0"/>
      <w:spacing w:line="480" w:lineRule="atLeast"/>
      <w:ind w:firstLine="567"/>
      <w:textAlignment w:val="baseline"/>
    </w:pPr>
    <w:rPr>
      <w:rFonts w:ascii="长城仿宋"/>
      <w:kern w:val="0"/>
      <w:sz w:val="24"/>
      <w:szCs w:val="20"/>
    </w:rPr>
  </w:style>
  <w:style w:type="character" w:customStyle="1" w:styleId="259">
    <w:name w:val="pt101"/>
    <w:qFormat/>
    <w:uiPriority w:val="0"/>
    <w:rPr>
      <w:sz w:val="14"/>
      <w:szCs w:val="14"/>
    </w:rPr>
  </w:style>
  <w:style w:type="character" w:customStyle="1" w:styleId="260">
    <w:name w:val="msonormal"/>
    <w:basedOn w:val="57"/>
    <w:qFormat/>
    <w:uiPriority w:val="0"/>
  </w:style>
  <w:style w:type="character" w:customStyle="1" w:styleId="261">
    <w:name w:val="font"/>
    <w:basedOn w:val="57"/>
    <w:qFormat/>
    <w:uiPriority w:val="0"/>
  </w:style>
  <w:style w:type="character" w:customStyle="1" w:styleId="262">
    <w:name w:val="常用正文 Char"/>
    <w:link w:val="263"/>
    <w:qFormat/>
    <w:uiPriority w:val="0"/>
    <w:rPr>
      <w:rFonts w:ascii="Arial" w:hAnsi="Arial" w:eastAsia="楷体_GB2312"/>
      <w:sz w:val="24"/>
    </w:rPr>
  </w:style>
  <w:style w:type="paragraph" w:customStyle="1" w:styleId="263">
    <w:name w:val="常用正文"/>
    <w:link w:val="262"/>
    <w:qFormat/>
    <w:uiPriority w:val="0"/>
    <w:pPr>
      <w:widowControl w:val="0"/>
      <w:spacing w:line="360" w:lineRule="auto"/>
      <w:ind w:firstLine="200" w:firstLineChars="200"/>
      <w:textAlignment w:val="bottom"/>
    </w:pPr>
    <w:rPr>
      <w:rFonts w:ascii="Arial" w:hAnsi="Arial" w:eastAsia="楷体_GB2312" w:cs="Times New Roman"/>
      <w:sz w:val="24"/>
      <w:lang w:val="en-US" w:eastAsia="zh-CN" w:bidi="ar-SA"/>
    </w:rPr>
  </w:style>
  <w:style w:type="character" w:customStyle="1" w:styleId="264">
    <w:name w:val="txt1"/>
    <w:qFormat/>
    <w:uiPriority w:val="0"/>
    <w:rPr>
      <w:rFonts w:hint="default" w:ascii="ˎ̥" w:hAnsi="ˎ̥"/>
      <w:sz w:val="18"/>
      <w:szCs w:val="18"/>
    </w:rPr>
  </w:style>
  <w:style w:type="character" w:customStyle="1" w:styleId="265">
    <w:name w:val="case31"/>
    <w:qFormat/>
    <w:uiPriority w:val="0"/>
    <w:rPr>
      <w:rFonts w:hint="default" w:eastAsia="宋体"/>
      <w:kern w:val="2"/>
      <w:sz w:val="21"/>
      <w:lang w:val="en-US" w:eastAsia="zh-CN"/>
    </w:rPr>
  </w:style>
  <w:style w:type="character" w:customStyle="1" w:styleId="266">
    <w:name w:val="boldtitle1"/>
    <w:qFormat/>
    <w:uiPriority w:val="0"/>
    <w:rPr>
      <w:rFonts w:hint="default" w:ascii="Arial Black" w:hAnsi="Arial Black"/>
      <w:sz w:val="36"/>
    </w:rPr>
  </w:style>
  <w:style w:type="character" w:customStyle="1" w:styleId="267">
    <w:name w:val="样式 正文缩进 + 首行缩进:  2 字符 Char"/>
    <w:link w:val="268"/>
    <w:qFormat/>
    <w:uiPriority w:val="0"/>
    <w:rPr>
      <w:rFonts w:cs="宋体"/>
      <w:kern w:val="2"/>
      <w:sz w:val="24"/>
    </w:rPr>
  </w:style>
  <w:style w:type="paragraph" w:customStyle="1" w:styleId="268">
    <w:name w:val="样式 正文缩进 + 首行缩进:  2 字符"/>
    <w:basedOn w:val="14"/>
    <w:link w:val="267"/>
    <w:qFormat/>
    <w:uiPriority w:val="0"/>
    <w:pPr>
      <w:adjustRightInd/>
      <w:spacing w:line="360" w:lineRule="auto"/>
      <w:ind w:firstLine="200" w:firstLineChars="200"/>
      <w:textAlignment w:val="auto"/>
    </w:pPr>
    <w:rPr>
      <w:rFonts w:cs="宋体"/>
      <w:kern w:val="2"/>
      <w:sz w:val="24"/>
    </w:rPr>
  </w:style>
  <w:style w:type="paragraph" w:customStyle="1" w:styleId="269">
    <w:name w:val="font1"/>
    <w:basedOn w:val="1"/>
    <w:qFormat/>
    <w:uiPriority w:val="0"/>
    <w:pPr>
      <w:widowControl/>
      <w:spacing w:before="100" w:beforeAutospacing="1" w:after="100" w:afterAutospacing="1" w:line="300" w:lineRule="atLeast"/>
      <w:jc w:val="left"/>
    </w:pPr>
    <w:rPr>
      <w:rFonts w:ascii="宋体" w:hAnsi="宋体"/>
      <w:kern w:val="0"/>
      <w:sz w:val="18"/>
      <w:szCs w:val="20"/>
    </w:rPr>
  </w:style>
  <w:style w:type="paragraph" w:customStyle="1" w:styleId="270">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szCs w:val="20"/>
    </w:rPr>
  </w:style>
  <w:style w:type="paragraph" w:customStyle="1" w:styleId="271">
    <w:name w:val="规范正文"/>
    <w:basedOn w:val="1"/>
    <w:qFormat/>
    <w:uiPriority w:val="0"/>
    <w:pPr>
      <w:snapToGrid w:val="0"/>
      <w:spacing w:line="360" w:lineRule="auto"/>
      <w:ind w:firstLine="200" w:firstLineChars="200"/>
      <w:textAlignment w:val="baseline"/>
    </w:pPr>
    <w:rPr>
      <w:kern w:val="0"/>
      <w:sz w:val="24"/>
      <w:szCs w:val="20"/>
    </w:rPr>
  </w:style>
  <w:style w:type="paragraph" w:customStyle="1" w:styleId="272">
    <w:name w:val="2册标题2"/>
    <w:basedOn w:val="1"/>
    <w:next w:val="1"/>
    <w:qFormat/>
    <w:uiPriority w:val="0"/>
    <w:pPr>
      <w:spacing w:beforeLines="50" w:afterLines="50" w:line="300" w:lineRule="auto"/>
      <w:outlineLvl w:val="1"/>
    </w:pPr>
    <w:rPr>
      <w:rFonts w:ascii="Arial" w:hAnsi="Arial" w:eastAsia="黑体"/>
      <w:sz w:val="30"/>
      <w:szCs w:val="20"/>
    </w:rPr>
  </w:style>
  <w:style w:type="paragraph" w:customStyle="1" w:styleId="273">
    <w:name w:val="xl30"/>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274">
    <w:name w:val="msonormal3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正文 3"/>
    <w:basedOn w:val="117"/>
    <w:next w:val="117"/>
    <w:qFormat/>
    <w:uiPriority w:val="0"/>
    <w:pPr>
      <w:adjustRightInd w:val="0"/>
      <w:spacing w:before="120"/>
    </w:pPr>
    <w:rPr>
      <w:rFonts w:hint="default" w:ascii="Garamond" w:hAnsi="Garamond" w:eastAsia="宋体"/>
      <w:color w:val="auto"/>
    </w:rPr>
  </w:style>
  <w:style w:type="paragraph" w:customStyle="1" w:styleId="276">
    <w:name w:val="表格文字加粗"/>
    <w:qFormat/>
    <w:uiPriority w:val="0"/>
    <w:pPr>
      <w:widowControl w:val="0"/>
      <w:spacing w:line="300" w:lineRule="auto"/>
      <w:jc w:val="center"/>
    </w:pPr>
    <w:rPr>
      <w:rFonts w:ascii="Times New Roman" w:hAnsi="Times New Roman" w:eastAsia="宋体" w:cs="Times New Roman"/>
      <w:b/>
      <w:kern w:val="2"/>
      <w:sz w:val="21"/>
      <w:szCs w:val="24"/>
      <w:lang w:val="en-US" w:eastAsia="zh-CN" w:bidi="ar-SA"/>
    </w:rPr>
  </w:style>
  <w:style w:type="paragraph" w:customStyle="1" w:styleId="277">
    <w:name w:val="±íÏî"/>
    <w:basedOn w:val="1"/>
    <w:qFormat/>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278">
    <w:name w:val="无编号标题0"/>
    <w:next w:val="1"/>
    <w:qFormat/>
    <w:uiPriority w:val="0"/>
    <w:pPr>
      <w:jc w:val="center"/>
    </w:pPr>
    <w:rPr>
      <w:rFonts w:ascii="Times New Roman" w:hAnsi="Times New Roman" w:eastAsia="黑体" w:cs="Times New Roman"/>
      <w:kern w:val="2"/>
      <w:sz w:val="52"/>
      <w:szCs w:val="24"/>
      <w:lang w:val="en-US" w:eastAsia="zh-CN" w:bidi="ar-SA"/>
    </w:rPr>
  </w:style>
  <w:style w:type="paragraph" w:customStyle="1" w:styleId="279">
    <w:name w:val="z-窗体顶端1"/>
    <w:basedOn w:val="1"/>
    <w:next w:val="1"/>
    <w:link w:val="280"/>
    <w:qFormat/>
    <w:uiPriority w:val="0"/>
    <w:pPr>
      <w:widowControl/>
      <w:pBdr>
        <w:bottom w:val="single" w:color="auto" w:sz="6" w:space="1"/>
      </w:pBdr>
      <w:jc w:val="center"/>
    </w:pPr>
    <w:rPr>
      <w:rFonts w:ascii="Arial" w:hAnsi="Arial"/>
      <w:vanish/>
      <w:kern w:val="0"/>
      <w:sz w:val="16"/>
      <w:szCs w:val="16"/>
    </w:rPr>
  </w:style>
  <w:style w:type="character" w:customStyle="1" w:styleId="280">
    <w:name w:val="z-窗体顶端 Char1"/>
    <w:basedOn w:val="57"/>
    <w:link w:val="279"/>
    <w:qFormat/>
    <w:uiPriority w:val="0"/>
    <w:rPr>
      <w:rFonts w:ascii="Arial" w:hAnsi="Arial"/>
      <w:vanish/>
      <w:sz w:val="16"/>
      <w:szCs w:val="16"/>
    </w:rPr>
  </w:style>
  <w:style w:type="character" w:customStyle="1" w:styleId="281">
    <w:name w:val="z-窗体顶端 Char"/>
    <w:basedOn w:val="57"/>
    <w:qFormat/>
    <w:uiPriority w:val="99"/>
    <w:rPr>
      <w:rFonts w:ascii="Arial" w:hAnsi="Arial" w:cs="Arial"/>
      <w:vanish/>
      <w:kern w:val="2"/>
      <w:sz w:val="16"/>
      <w:szCs w:val="16"/>
    </w:rPr>
  </w:style>
  <w:style w:type="paragraph" w:customStyle="1" w:styleId="282">
    <w:name w:val="wenjianming"/>
    <w:basedOn w:val="1"/>
    <w:qFormat/>
    <w:uiPriority w:val="0"/>
    <w:pPr>
      <w:widowControl/>
      <w:spacing w:before="100" w:beforeAutospacing="1" w:after="100" w:afterAutospacing="1" w:line="300" w:lineRule="atLeast"/>
      <w:jc w:val="left"/>
    </w:pPr>
    <w:rPr>
      <w:rFonts w:eastAsia="Arial Unicode MS"/>
      <w:color w:val="000000"/>
      <w:kern w:val="0"/>
      <w:szCs w:val="20"/>
    </w:rPr>
  </w:style>
  <w:style w:type="paragraph" w:customStyle="1" w:styleId="283">
    <w:name w:val="Item List"/>
    <w:qFormat/>
    <w:uiPriority w:val="0"/>
    <w:pPr>
      <w:spacing w:line="300" w:lineRule="auto"/>
      <w:ind w:firstLine="425"/>
      <w:jc w:val="both"/>
    </w:pPr>
    <w:rPr>
      <w:rFonts w:ascii="Arial" w:hAnsi="Arial" w:eastAsia="宋体" w:cs="Times New Roman"/>
      <w:color w:val="000000"/>
      <w:sz w:val="24"/>
      <w:lang w:val="en-US" w:eastAsia="zh-CN" w:bidi="ar-SA"/>
    </w:rPr>
  </w:style>
  <w:style w:type="paragraph" w:customStyle="1" w:styleId="284">
    <w:name w:val="xl3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rFonts w:ascii="Arial Unicode MS" w:hAnsi="Arial Unicode MS" w:eastAsia="Arial Unicode MS"/>
      <w:kern w:val="0"/>
      <w:sz w:val="24"/>
      <w:szCs w:val="20"/>
    </w:rPr>
  </w:style>
  <w:style w:type="paragraph" w:customStyle="1" w:styleId="285">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86">
    <w:name w:val="表正文"/>
    <w:next w:val="2"/>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287">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8">
    <w:name w:val="样式 首行缩进:  0.85 厘米"/>
    <w:basedOn w:val="1"/>
    <w:qFormat/>
    <w:uiPriority w:val="0"/>
    <w:pPr>
      <w:spacing w:line="360" w:lineRule="auto"/>
      <w:ind w:firstLine="480" w:firstLineChars="200"/>
    </w:pPr>
  </w:style>
  <w:style w:type="paragraph" w:customStyle="1" w:styleId="289">
    <w:name w:val="xl39"/>
    <w:basedOn w:val="1"/>
    <w:qFormat/>
    <w:uiPriority w:val="0"/>
    <w:pPr>
      <w:widowControl/>
      <w:pBdr>
        <w:bottom w:val="single" w:color="auto" w:sz="4" w:space="0"/>
      </w:pBdr>
      <w:spacing w:before="100" w:beforeAutospacing="1" w:after="100" w:afterAutospacing="1"/>
      <w:jc w:val="left"/>
    </w:pPr>
    <w:rPr>
      <w:rFonts w:ascii="Arial Unicode MS" w:hAnsi="Arial Unicode MS" w:eastAsia="Arial Unicode MS"/>
      <w:kern w:val="0"/>
      <w:sz w:val="24"/>
      <w:szCs w:val="20"/>
    </w:rPr>
  </w:style>
  <w:style w:type="paragraph" w:customStyle="1" w:styleId="290">
    <w:name w:val="Char Char Char Char Char Char Char Char Char Char Char Char Char Char Char Char2"/>
    <w:basedOn w:val="1"/>
    <w:qFormat/>
    <w:uiPriority w:val="0"/>
    <w:pPr>
      <w:tabs>
        <w:tab w:val="left" w:pos="360"/>
      </w:tabs>
    </w:pPr>
    <w:rPr>
      <w:sz w:val="24"/>
    </w:rPr>
  </w:style>
  <w:style w:type="paragraph" w:customStyle="1" w:styleId="2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92">
    <w:name w:val="xl3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szCs w:val="20"/>
    </w:rPr>
  </w:style>
  <w:style w:type="paragraph" w:customStyle="1" w:styleId="293">
    <w:name w:val="样式5"/>
    <w:basedOn w:val="1"/>
    <w:qFormat/>
    <w:uiPriority w:val="0"/>
    <w:pPr>
      <w:adjustRightInd w:val="0"/>
      <w:snapToGrid w:val="0"/>
      <w:spacing w:line="520" w:lineRule="exact"/>
      <w:ind w:firstLine="480" w:firstLineChars="200"/>
    </w:pPr>
    <w:rPr>
      <w:rFonts w:ascii="仿宋_GB2312" w:eastAsia="仿宋_GB2312"/>
      <w:sz w:val="24"/>
      <w:szCs w:val="20"/>
    </w:rPr>
  </w:style>
  <w:style w:type="paragraph" w:customStyle="1" w:styleId="294">
    <w:name w:val="一般正文"/>
    <w:basedOn w:val="1"/>
    <w:qFormat/>
    <w:uiPriority w:val="0"/>
    <w:pPr>
      <w:spacing w:line="360" w:lineRule="auto"/>
      <w:ind w:firstLine="480" w:firstLineChars="200"/>
    </w:pPr>
    <w:rPr>
      <w:rFonts w:cs="宋体"/>
      <w:sz w:val="24"/>
      <w:szCs w:val="20"/>
    </w:rPr>
  </w:style>
  <w:style w:type="paragraph" w:customStyle="1" w:styleId="295">
    <w:name w:val="表格文字"/>
    <w:qFormat/>
    <w:uiPriority w:val="0"/>
    <w:pPr>
      <w:jc w:val="center"/>
    </w:pPr>
    <w:rPr>
      <w:rFonts w:ascii="Times New Roman" w:hAnsi="Times New Roman" w:eastAsia="宋体" w:cs="Times New Roman"/>
      <w:kern w:val="2"/>
      <w:sz w:val="21"/>
      <w:szCs w:val="24"/>
      <w:lang w:val="en-US" w:eastAsia="zh-CN" w:bidi="ar-SA"/>
    </w:rPr>
  </w:style>
  <w:style w:type="paragraph" w:customStyle="1" w:styleId="296">
    <w:name w:val="表注"/>
    <w:qFormat/>
    <w:uiPriority w:val="0"/>
    <w:pPr>
      <w:spacing w:beforeLines="50" w:afterLines="50"/>
      <w:jc w:val="center"/>
    </w:pPr>
    <w:rPr>
      <w:rFonts w:ascii="Times New Roman" w:hAnsi="Times New Roman" w:eastAsia="宋体" w:cs="Times New Roman"/>
      <w:kern w:val="2"/>
      <w:sz w:val="24"/>
      <w:szCs w:val="24"/>
      <w:lang w:val="en-US" w:eastAsia="zh-CN" w:bidi="ar-SA"/>
    </w:rPr>
  </w:style>
  <w:style w:type="paragraph" w:customStyle="1" w:styleId="297">
    <w:name w:val="正文内"/>
    <w:basedOn w:val="3"/>
    <w:qFormat/>
    <w:uiPriority w:val="0"/>
    <w:pPr>
      <w:spacing w:line="576" w:lineRule="auto"/>
    </w:pPr>
    <w:rPr>
      <w:sz w:val="21"/>
      <w:szCs w:val="21"/>
    </w:rPr>
  </w:style>
  <w:style w:type="paragraph" w:customStyle="1" w:styleId="298">
    <w:name w:val="图注"/>
    <w:qFormat/>
    <w:uiPriority w:val="0"/>
    <w:pPr>
      <w:spacing w:afterLines="50"/>
      <w:jc w:val="center"/>
    </w:pPr>
    <w:rPr>
      <w:rFonts w:ascii="Times New Roman" w:hAnsi="Times New Roman" w:eastAsia="宋体" w:cs="Times New Roman"/>
      <w:kern w:val="2"/>
      <w:sz w:val="24"/>
      <w:szCs w:val="24"/>
      <w:lang w:val="en-US" w:eastAsia="zh-CN" w:bidi="ar-SA"/>
    </w:rPr>
  </w:style>
  <w:style w:type="paragraph" w:customStyle="1" w:styleId="299">
    <w:name w:val="2册标题4"/>
    <w:basedOn w:val="1"/>
    <w:next w:val="1"/>
    <w:qFormat/>
    <w:uiPriority w:val="0"/>
    <w:pPr>
      <w:spacing w:beforeLines="50" w:afterLines="50" w:line="300" w:lineRule="auto"/>
      <w:ind w:left="420" w:leftChars="200"/>
      <w:outlineLvl w:val="3"/>
    </w:pPr>
    <w:rPr>
      <w:rFonts w:ascii="Arial" w:hAnsi="Arial" w:eastAsia="幼圆"/>
      <w:b/>
      <w:sz w:val="24"/>
      <w:szCs w:val="20"/>
    </w:rPr>
  </w:style>
  <w:style w:type="paragraph" w:customStyle="1" w:styleId="300">
    <w:name w:val="Char Char Char Char Char Char Char Char"/>
    <w:basedOn w:val="1"/>
    <w:qFormat/>
    <w:uiPriority w:val="0"/>
    <w:pPr>
      <w:tabs>
        <w:tab w:val="left" w:pos="360"/>
      </w:tabs>
    </w:pPr>
    <w:rPr>
      <w:sz w:val="24"/>
    </w:rPr>
  </w:style>
  <w:style w:type="paragraph" w:customStyle="1" w:styleId="301">
    <w:name w:val="Bullet with text 1"/>
    <w:basedOn w:val="1"/>
    <w:qFormat/>
    <w:uiPriority w:val="0"/>
    <w:pPr>
      <w:widowControl/>
      <w:tabs>
        <w:tab w:val="left" w:pos="425"/>
      </w:tabs>
      <w:spacing w:line="360" w:lineRule="auto"/>
      <w:ind w:left="425" w:hanging="425"/>
      <w:jc w:val="left"/>
    </w:pPr>
    <w:rPr>
      <w:rFonts w:ascii="Futura Bk" w:hAnsi="Futura Bk"/>
      <w:kern w:val="0"/>
      <w:sz w:val="20"/>
      <w:szCs w:val="20"/>
      <w:lang w:val="en-GB"/>
    </w:rPr>
  </w:style>
  <w:style w:type="paragraph" w:customStyle="1" w:styleId="302">
    <w:name w:val="缺省文本:1"/>
    <w:basedOn w:val="1"/>
    <w:qFormat/>
    <w:uiPriority w:val="0"/>
    <w:pPr>
      <w:autoSpaceDE w:val="0"/>
      <w:autoSpaceDN w:val="0"/>
      <w:adjustRightInd w:val="0"/>
      <w:jc w:val="left"/>
    </w:pPr>
    <w:rPr>
      <w:rFonts w:ascii="宋体"/>
      <w:kern w:val="0"/>
      <w:sz w:val="24"/>
      <w:szCs w:val="20"/>
    </w:rPr>
  </w:style>
  <w:style w:type="paragraph" w:customStyle="1" w:styleId="303">
    <w:name w:val="Char Char Char Char1"/>
    <w:basedOn w:val="1"/>
    <w:qFormat/>
    <w:uiPriority w:val="0"/>
    <w:pPr>
      <w:tabs>
        <w:tab w:val="left" w:pos="360"/>
      </w:tabs>
    </w:pPr>
    <w:rPr>
      <w:rFonts w:ascii="楷体_GB2312" w:eastAsia="楷体_GB2312"/>
      <w:sz w:val="24"/>
    </w:rPr>
  </w:style>
  <w:style w:type="paragraph" w:customStyle="1" w:styleId="304">
    <w:name w:val="Char Char Char Char Char Char Char Char Char Char"/>
    <w:basedOn w:val="17"/>
    <w:qFormat/>
    <w:uiPriority w:val="0"/>
    <w:rPr>
      <w:rFonts w:ascii="Tahoma" w:hAnsi="Tahoma"/>
      <w:sz w:val="24"/>
      <w:szCs w:val="20"/>
      <w:shd w:val="clear" w:color="auto" w:fill="000080"/>
    </w:rPr>
  </w:style>
  <w:style w:type="paragraph" w:customStyle="1" w:styleId="305">
    <w:name w:val="方案正文"/>
    <w:basedOn w:val="1"/>
    <w:qFormat/>
    <w:uiPriority w:val="0"/>
    <w:pPr>
      <w:spacing w:before="156" w:line="360" w:lineRule="auto"/>
      <w:ind w:firstLine="359" w:firstLineChars="171"/>
      <w:jc w:val="left"/>
    </w:pPr>
    <w:rPr>
      <w:rFonts w:ascii="Arial" w:hAnsi="Arial"/>
      <w:sz w:val="24"/>
      <w:szCs w:val="20"/>
    </w:rPr>
  </w:style>
  <w:style w:type="paragraph" w:customStyle="1" w:styleId="306">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307">
    <w:name w:val="正文0"/>
    <w:basedOn w:val="1"/>
    <w:qFormat/>
    <w:uiPriority w:val="0"/>
    <w:pPr>
      <w:spacing w:line="360" w:lineRule="auto"/>
      <w:ind w:firstLine="482"/>
      <w:jc w:val="center"/>
    </w:pPr>
    <w:rPr>
      <w:color w:val="000000"/>
      <w:sz w:val="24"/>
    </w:rPr>
  </w:style>
  <w:style w:type="paragraph" w:customStyle="1" w:styleId="30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09">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310">
    <w:name w:val="Char Char Char Char Char Char Char Char Char Char Char Char Char"/>
    <w:basedOn w:val="1"/>
    <w:qFormat/>
    <w:uiPriority w:val="0"/>
    <w:pPr>
      <w:adjustRightInd w:val="0"/>
      <w:spacing w:line="360" w:lineRule="auto"/>
    </w:pPr>
    <w:rPr>
      <w:kern w:val="0"/>
      <w:sz w:val="24"/>
    </w:rPr>
  </w:style>
  <w:style w:type="paragraph" w:customStyle="1" w:styleId="311">
    <w:name w:val="b2"/>
    <w:basedOn w:val="1"/>
    <w:qFormat/>
    <w:uiPriority w:val="0"/>
    <w:pPr>
      <w:tabs>
        <w:tab w:val="left" w:pos="720"/>
      </w:tabs>
      <w:spacing w:line="360" w:lineRule="auto"/>
      <w:ind w:left="420" w:hanging="420"/>
    </w:pPr>
    <w:rPr>
      <w:rFonts w:ascii="宋体" w:hAnsi="宋体"/>
      <w:sz w:val="24"/>
      <w:szCs w:val="20"/>
    </w:rPr>
  </w:style>
  <w:style w:type="paragraph" w:customStyle="1" w:styleId="312">
    <w:name w:val="样式3-A商务部分"/>
    <w:basedOn w:val="5"/>
    <w:qFormat/>
    <w:uiPriority w:val="0"/>
    <w:pPr>
      <w:tabs>
        <w:tab w:val="left" w:pos="1260"/>
      </w:tabs>
      <w:spacing w:before="260" w:after="260" w:line="360" w:lineRule="exact"/>
      <w:ind w:left="1260" w:hanging="420"/>
    </w:pPr>
    <w:rPr>
      <w:rFonts w:ascii="Times New Roman"/>
      <w:sz w:val="28"/>
    </w:rPr>
  </w:style>
  <w:style w:type="paragraph" w:customStyle="1" w:styleId="313">
    <w:name w:val="+正文"/>
    <w:basedOn w:val="1"/>
    <w:qFormat/>
    <w:uiPriority w:val="0"/>
    <w:pPr>
      <w:spacing w:line="360" w:lineRule="auto"/>
      <w:ind w:firstLine="200" w:firstLineChars="200"/>
    </w:pPr>
    <w:rPr>
      <w:sz w:val="24"/>
      <w:szCs w:val="28"/>
    </w:rPr>
  </w:style>
  <w:style w:type="paragraph" w:customStyle="1" w:styleId="314">
    <w:name w:val="Table Text"/>
    <w:basedOn w:val="1"/>
    <w:qFormat/>
    <w:uiPriority w:val="0"/>
    <w:rPr>
      <w:sz w:val="18"/>
    </w:rPr>
  </w:style>
  <w:style w:type="paragraph" w:customStyle="1" w:styleId="315">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16">
    <w:name w:val="无编号标题1"/>
    <w:next w:val="1"/>
    <w:qFormat/>
    <w:uiPriority w:val="0"/>
    <w:pPr>
      <w:spacing w:beforeLines="200" w:afterLines="100"/>
      <w:jc w:val="center"/>
    </w:pPr>
    <w:rPr>
      <w:rFonts w:ascii="Times New Roman" w:hAnsi="Times New Roman" w:eastAsia="黑体" w:cs="Times New Roman"/>
      <w:b/>
      <w:kern w:val="2"/>
      <w:sz w:val="44"/>
      <w:szCs w:val="24"/>
      <w:lang w:val="en-US" w:eastAsia="zh-CN" w:bidi="ar-SA"/>
    </w:rPr>
  </w:style>
  <w:style w:type="paragraph" w:customStyle="1" w:styleId="317">
    <w:name w:val="xl22"/>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318">
    <w:name w:val="标题  1"/>
    <w:basedOn w:val="1"/>
    <w:qFormat/>
    <w:uiPriority w:val="0"/>
    <w:pPr>
      <w:tabs>
        <w:tab w:val="left" w:pos="840"/>
      </w:tabs>
      <w:spacing w:line="360" w:lineRule="auto"/>
      <w:ind w:left="840" w:hanging="420"/>
    </w:pPr>
    <w:rPr>
      <w:sz w:val="24"/>
    </w:rPr>
  </w:style>
  <w:style w:type="paragraph" w:customStyle="1" w:styleId="319">
    <w:name w:val="样式 宋体 三号 加粗 居中 行距: 最小值 12 磅"/>
    <w:basedOn w:val="1"/>
    <w:qFormat/>
    <w:uiPriority w:val="0"/>
    <w:pPr>
      <w:spacing w:line="240" w:lineRule="atLeast"/>
      <w:jc w:val="center"/>
    </w:pPr>
    <w:rPr>
      <w:rFonts w:ascii="宋体" w:hAnsi="宋体"/>
      <w:b/>
      <w:szCs w:val="20"/>
    </w:rPr>
  </w:style>
  <w:style w:type="paragraph" w:customStyle="1" w:styleId="320">
    <w:name w:val="无编号标题2"/>
    <w:next w:val="1"/>
    <w:qFormat/>
    <w:uiPriority w:val="0"/>
    <w:pPr>
      <w:jc w:val="center"/>
    </w:pPr>
    <w:rPr>
      <w:rFonts w:ascii="Arial" w:hAnsi="Arial" w:eastAsia="黑体" w:cs="Times New Roman"/>
      <w:kern w:val="2"/>
      <w:sz w:val="32"/>
      <w:szCs w:val="32"/>
      <w:lang w:val="en-US" w:eastAsia="zh-CN" w:bidi="ar-SA"/>
    </w:rPr>
  </w:style>
  <w:style w:type="paragraph" w:customStyle="1" w:styleId="321">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b/>
      <w:kern w:val="0"/>
      <w:sz w:val="20"/>
      <w:szCs w:val="20"/>
    </w:rPr>
  </w:style>
  <w:style w:type="paragraph" w:customStyle="1" w:styleId="322">
    <w:name w:val="font7"/>
    <w:basedOn w:val="1"/>
    <w:qFormat/>
    <w:uiPriority w:val="0"/>
    <w:pPr>
      <w:widowControl/>
      <w:spacing w:before="100" w:beforeAutospacing="1" w:after="100" w:afterAutospacing="1"/>
      <w:jc w:val="left"/>
    </w:pPr>
    <w:rPr>
      <w:kern w:val="0"/>
      <w:sz w:val="20"/>
      <w:szCs w:val="20"/>
    </w:rPr>
  </w:style>
  <w:style w:type="paragraph" w:customStyle="1" w:styleId="323">
    <w:name w:val="正文文字缩进 2"/>
    <w:basedOn w:val="1"/>
    <w:qFormat/>
    <w:uiPriority w:val="0"/>
    <w:pPr>
      <w:spacing w:line="719" w:lineRule="atLeast"/>
      <w:ind w:left="1" w:firstLine="562"/>
      <w:textAlignment w:val="bottom"/>
    </w:pPr>
    <w:rPr>
      <w:color w:val="000000"/>
      <w:kern w:val="0"/>
      <w:sz w:val="28"/>
      <w:szCs w:val="20"/>
    </w:rPr>
  </w:style>
  <w:style w:type="paragraph" w:customStyle="1" w:styleId="324">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24"/>
      <w:szCs w:val="20"/>
    </w:rPr>
  </w:style>
  <w:style w:type="paragraph" w:customStyle="1" w:styleId="325">
    <w:name w:val="正文，首行缩进"/>
    <w:basedOn w:val="2"/>
    <w:next w:val="14"/>
    <w:qFormat/>
    <w:uiPriority w:val="0"/>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360" w:lineRule="auto"/>
      <w:ind w:firstLine="482"/>
    </w:pPr>
    <w:rPr>
      <w:rFonts w:ascii="楷体" w:hAnsi="Arial" w:eastAsia="楷体"/>
      <w:kern w:val="0"/>
      <w:szCs w:val="20"/>
      <w:lang w:val="de-DE"/>
    </w:rPr>
  </w:style>
  <w:style w:type="paragraph" w:customStyle="1" w:styleId="326">
    <w:name w:val="排版"/>
    <w:basedOn w:val="1"/>
    <w:next w:val="2"/>
    <w:qFormat/>
    <w:uiPriority w:val="0"/>
    <w:pPr>
      <w:spacing w:line="600" w:lineRule="exact"/>
    </w:pPr>
    <w:rPr>
      <w:rFonts w:eastAsia="华文仿宋"/>
      <w:spacing w:val="6"/>
      <w:sz w:val="32"/>
    </w:rPr>
  </w:style>
  <w:style w:type="paragraph" w:customStyle="1" w:styleId="327">
    <w:name w:val="公文正文"/>
    <w:basedOn w:val="1"/>
    <w:qFormat/>
    <w:uiPriority w:val="0"/>
    <w:pPr>
      <w:spacing w:line="360" w:lineRule="auto"/>
      <w:jc w:val="center"/>
    </w:pPr>
    <w:rPr>
      <w:rFonts w:eastAsia="华文仿宋"/>
      <w:b/>
      <w:sz w:val="32"/>
      <w:szCs w:val="20"/>
    </w:rPr>
  </w:style>
  <w:style w:type="paragraph" w:customStyle="1" w:styleId="328">
    <w:name w:val="样式1"/>
    <w:basedOn w:val="1"/>
    <w:qFormat/>
    <w:uiPriority w:val="0"/>
    <w:pPr>
      <w:tabs>
        <w:tab w:val="left" w:pos="1620"/>
      </w:tabs>
      <w:adjustRightInd w:val="0"/>
      <w:ind w:left="1620" w:hanging="1620"/>
      <w:textAlignment w:val="baseline"/>
    </w:pPr>
    <w:rPr>
      <w:rFonts w:ascii="宋体" w:hAnsi="宋体"/>
      <w:kern w:val="0"/>
      <w:szCs w:val="20"/>
    </w:rPr>
  </w:style>
  <w:style w:type="paragraph" w:customStyle="1" w:styleId="329">
    <w:name w:val="È±Ê¡ÎÄ±¾"/>
    <w:basedOn w:val="1"/>
    <w:qFormat/>
    <w:uiPriority w:val="0"/>
    <w:pPr>
      <w:widowControl/>
      <w:overflowPunct w:val="0"/>
      <w:autoSpaceDE w:val="0"/>
      <w:autoSpaceDN w:val="0"/>
      <w:adjustRightInd w:val="0"/>
      <w:jc w:val="left"/>
    </w:pPr>
    <w:rPr>
      <w:kern w:val="0"/>
      <w:sz w:val="24"/>
      <w:szCs w:val="20"/>
    </w:rPr>
  </w:style>
  <w:style w:type="paragraph" w:customStyle="1" w:styleId="330">
    <w:name w:val="图文字"/>
    <w:qFormat/>
    <w:uiPriority w:val="0"/>
    <w:pPr>
      <w:jc w:val="center"/>
    </w:pPr>
    <w:rPr>
      <w:rFonts w:ascii="Times New Roman" w:hAnsi="Times New Roman" w:eastAsia="宋体" w:cs="Times New Roman"/>
      <w:kern w:val="2"/>
      <w:sz w:val="21"/>
      <w:szCs w:val="24"/>
      <w:lang w:val="en-US" w:eastAsia="zh-CN" w:bidi="ar-SA"/>
    </w:rPr>
  </w:style>
  <w:style w:type="paragraph" w:customStyle="1" w:styleId="331">
    <w:name w:val="Char Char"/>
    <w:basedOn w:val="1"/>
    <w:qFormat/>
    <w:uiPriority w:val="0"/>
    <w:rPr>
      <w:rFonts w:ascii="Tahoma" w:hAnsi="Tahoma"/>
      <w:sz w:val="24"/>
      <w:szCs w:val="20"/>
    </w:rPr>
  </w:style>
  <w:style w:type="paragraph" w:customStyle="1" w:styleId="332">
    <w:name w:val="正文3"/>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333">
    <w:name w:val="无编号标题3"/>
    <w:next w:val="1"/>
    <w:qFormat/>
    <w:uiPriority w:val="0"/>
    <w:pPr>
      <w:jc w:val="center"/>
    </w:pPr>
    <w:rPr>
      <w:rFonts w:ascii="Times New Roman" w:hAnsi="Times New Roman" w:eastAsia="宋体" w:cs="Times New Roman"/>
      <w:b/>
      <w:kern w:val="2"/>
      <w:sz w:val="32"/>
      <w:szCs w:val="24"/>
      <w:lang w:val="en-US" w:eastAsia="zh-CN" w:bidi="ar-SA"/>
    </w:rPr>
  </w:style>
  <w:style w:type="paragraph" w:customStyle="1" w:styleId="334">
    <w:name w:val="百姓X"/>
    <w:basedOn w:val="1"/>
    <w:qFormat/>
    <w:uiPriority w:val="0"/>
    <w:pPr>
      <w:spacing w:before="120" w:after="120" w:line="360" w:lineRule="auto"/>
      <w:ind w:firstLine="539"/>
    </w:pPr>
    <w:rPr>
      <w:sz w:val="24"/>
      <w:szCs w:val="20"/>
    </w:rPr>
  </w:style>
  <w:style w:type="paragraph" w:customStyle="1" w:styleId="335">
    <w:name w:val="表格内容"/>
    <w:basedOn w:val="1"/>
    <w:qFormat/>
    <w:uiPriority w:val="0"/>
    <w:pPr>
      <w:widowControl/>
      <w:autoSpaceDE w:val="0"/>
      <w:autoSpaceDN w:val="0"/>
      <w:adjustRightInd w:val="0"/>
      <w:spacing w:before="60"/>
      <w:jc w:val="center"/>
      <w:textAlignment w:val="bottom"/>
    </w:pPr>
    <w:rPr>
      <w:rFonts w:eastAsia="仿宋_GB2312"/>
      <w:kern w:val="0"/>
      <w:sz w:val="24"/>
      <w:szCs w:val="20"/>
    </w:rPr>
  </w:style>
  <w:style w:type="paragraph" w:customStyle="1" w:styleId="336">
    <w:name w:val="样式 行距: 固定值 25 磅 首行缩进:  2 字符"/>
    <w:basedOn w:val="1"/>
    <w:qFormat/>
    <w:uiPriority w:val="0"/>
    <w:pPr>
      <w:adjustRightInd w:val="0"/>
      <w:spacing w:line="500" w:lineRule="exact"/>
      <w:ind w:firstLine="560" w:firstLineChars="200"/>
      <w:textAlignment w:val="baseline"/>
    </w:pPr>
    <w:rPr>
      <w:kern w:val="0"/>
      <w:sz w:val="28"/>
      <w:szCs w:val="28"/>
    </w:rPr>
  </w:style>
  <w:style w:type="paragraph" w:customStyle="1" w:styleId="337">
    <w:name w:val="font0"/>
    <w:basedOn w:val="1"/>
    <w:qFormat/>
    <w:uiPriority w:val="0"/>
    <w:pPr>
      <w:widowControl/>
      <w:spacing w:before="100" w:beforeAutospacing="1" w:after="100" w:afterAutospacing="1"/>
      <w:jc w:val="left"/>
    </w:pPr>
    <w:rPr>
      <w:rFonts w:hint="eastAsia" w:ascii="宋体" w:hAnsi="宋体"/>
      <w:kern w:val="0"/>
      <w:sz w:val="24"/>
      <w:szCs w:val="20"/>
    </w:rPr>
  </w:style>
  <w:style w:type="paragraph" w:customStyle="1" w:styleId="338">
    <w:name w:val="Char1 Char Char Char Char Char Char"/>
    <w:basedOn w:val="1"/>
    <w:qFormat/>
    <w:uiPriority w:val="0"/>
    <w:rPr>
      <w:rFonts w:ascii="Tahoma" w:hAnsi="Tahoma"/>
      <w:sz w:val="24"/>
      <w:szCs w:val="20"/>
    </w:rPr>
  </w:style>
  <w:style w:type="paragraph" w:customStyle="1" w:styleId="339">
    <w:name w:val="5"/>
    <w:basedOn w:val="1"/>
    <w:qFormat/>
    <w:uiPriority w:val="0"/>
    <w:pPr>
      <w:spacing w:beforeLines="50" w:afterLines="50"/>
      <w:ind w:left="200" w:leftChars="200"/>
    </w:pPr>
    <w:rPr>
      <w:sz w:val="28"/>
    </w:rPr>
  </w:style>
  <w:style w:type="paragraph" w:customStyle="1" w:styleId="340">
    <w:name w:val="Char Char Char Char Char Char Char1"/>
    <w:basedOn w:val="1"/>
    <w:qFormat/>
    <w:uiPriority w:val="0"/>
  </w:style>
  <w:style w:type="paragraph" w:customStyle="1" w:styleId="341">
    <w:name w:val="Char Char Char1"/>
    <w:basedOn w:val="1"/>
    <w:qFormat/>
    <w:uiPriority w:val="0"/>
    <w:rPr>
      <w:rFonts w:ascii="Tahoma" w:hAnsi="Tahoma"/>
      <w:sz w:val="24"/>
      <w:szCs w:val="20"/>
    </w:rPr>
  </w:style>
  <w:style w:type="paragraph" w:customStyle="1" w:styleId="342">
    <w:name w:val="样式 样式 正文文本缩进 + 仿宋_GB2312 小四 首行缩进:  0 厘米 行距: 1.5 倍行距 + (中文) 仿宋_GB... Char Char"/>
    <w:basedOn w:val="1"/>
    <w:qFormat/>
    <w:uiPriority w:val="0"/>
    <w:pPr>
      <w:spacing w:line="360" w:lineRule="auto"/>
      <w:ind w:firstLine="480"/>
    </w:pPr>
    <w:rPr>
      <w:rFonts w:ascii="仿宋_GB2312" w:eastAsia="新宋体"/>
      <w:sz w:val="24"/>
      <w:szCs w:val="20"/>
    </w:rPr>
  </w:style>
  <w:style w:type="paragraph" w:customStyle="1" w:styleId="343">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34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45">
    <w:name w:val="Char Char Char Char Char Char Char Char Char Char Char Char Char Char Char1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46">
    <w:name w:val="表格正文"/>
    <w:basedOn w:val="1"/>
    <w:qFormat/>
    <w:uiPriority w:val="0"/>
    <w:pPr>
      <w:spacing w:beforeLines="50"/>
    </w:pPr>
    <w:rPr>
      <w:rFonts w:cs="宋体"/>
      <w:kern w:val="0"/>
      <w:szCs w:val="20"/>
    </w:rPr>
  </w:style>
  <w:style w:type="paragraph" w:customStyle="1" w:styleId="347">
    <w:name w:val="缺省文本"/>
    <w:basedOn w:val="1"/>
    <w:qFormat/>
    <w:uiPriority w:val="0"/>
    <w:pPr>
      <w:widowControl/>
      <w:tabs>
        <w:tab w:val="left" w:pos="1620"/>
      </w:tabs>
      <w:overflowPunct w:val="0"/>
      <w:autoSpaceDE w:val="0"/>
      <w:autoSpaceDN w:val="0"/>
      <w:adjustRightInd w:val="0"/>
      <w:snapToGrid w:val="0"/>
      <w:spacing w:line="360" w:lineRule="auto"/>
      <w:ind w:left="1620" w:hanging="1620"/>
      <w:textAlignment w:val="baseline"/>
    </w:pPr>
    <w:rPr>
      <w:kern w:val="0"/>
      <w:sz w:val="24"/>
      <w:szCs w:val="20"/>
    </w:rPr>
  </w:style>
  <w:style w:type="paragraph" w:customStyle="1" w:styleId="348">
    <w:name w:val="xl2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b/>
      <w:kern w:val="0"/>
      <w:sz w:val="20"/>
      <w:szCs w:val="20"/>
    </w:rPr>
  </w:style>
  <w:style w:type="paragraph" w:customStyle="1" w:styleId="349">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kern w:val="0"/>
      <w:sz w:val="24"/>
      <w:szCs w:val="20"/>
    </w:rPr>
  </w:style>
  <w:style w:type="paragraph" w:customStyle="1" w:styleId="350">
    <w:name w:val="2 Char Char Char Char Char Char Char Char Char Char"/>
    <w:basedOn w:val="1"/>
    <w:qFormat/>
    <w:uiPriority w:val="0"/>
    <w:pPr>
      <w:pageBreakBefore/>
      <w:ind w:left="1259"/>
    </w:pPr>
    <w:rPr>
      <w:kern w:val="44"/>
      <w:sz w:val="24"/>
    </w:rPr>
  </w:style>
  <w:style w:type="paragraph" w:customStyle="1" w:styleId="351">
    <w:name w:val="符号列表"/>
    <w:basedOn w:val="1"/>
    <w:qFormat/>
    <w:uiPriority w:val="0"/>
    <w:pPr>
      <w:widowControl/>
      <w:tabs>
        <w:tab w:val="left" w:pos="420"/>
      </w:tabs>
      <w:snapToGrid w:val="0"/>
      <w:spacing w:before="120" w:line="360" w:lineRule="auto"/>
      <w:ind w:left="420" w:hanging="420"/>
      <w:jc w:val="left"/>
    </w:pPr>
    <w:rPr>
      <w:rFonts w:ascii="楷体_GB2312" w:hAnsi="宋体" w:eastAsia="楷体_GB2312"/>
      <w:b/>
      <w:color w:val="000000"/>
      <w:sz w:val="24"/>
    </w:rPr>
  </w:style>
  <w:style w:type="paragraph" w:customStyle="1" w:styleId="352">
    <w:name w:val="wen_2"/>
    <w:basedOn w:val="1"/>
    <w:qFormat/>
    <w:uiPriority w:val="0"/>
    <w:pPr>
      <w:widowControl/>
      <w:spacing w:before="100" w:beforeAutospacing="1" w:after="100" w:afterAutospacing="1" w:line="324" w:lineRule="auto"/>
      <w:jc w:val="left"/>
    </w:pPr>
    <w:rPr>
      <w:color w:val="000000"/>
      <w:kern w:val="0"/>
      <w:sz w:val="18"/>
      <w:szCs w:val="18"/>
    </w:rPr>
  </w:style>
  <w:style w:type="paragraph" w:customStyle="1" w:styleId="353">
    <w:name w:val="默认段落字体 Para Char"/>
    <w:basedOn w:val="1"/>
    <w:qFormat/>
    <w:uiPriority w:val="0"/>
    <w:rPr>
      <w:rFonts w:ascii="Tahoma" w:hAnsi="Tahoma"/>
      <w:sz w:val="24"/>
      <w:szCs w:val="20"/>
    </w:rPr>
  </w:style>
  <w:style w:type="paragraph" w:customStyle="1" w:styleId="35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355">
    <w:name w:val="2册标题3"/>
    <w:basedOn w:val="1"/>
    <w:next w:val="1"/>
    <w:qFormat/>
    <w:uiPriority w:val="0"/>
    <w:pPr>
      <w:spacing w:beforeLines="50" w:afterLines="50" w:line="300" w:lineRule="auto"/>
      <w:ind w:left="210" w:leftChars="100"/>
      <w:jc w:val="center"/>
      <w:outlineLvl w:val="2"/>
    </w:pPr>
    <w:rPr>
      <w:rFonts w:ascii="宋体" w:hAnsi="宋体"/>
      <w:b/>
      <w:sz w:val="30"/>
      <w:szCs w:val="20"/>
    </w:rPr>
  </w:style>
  <w:style w:type="paragraph" w:customStyle="1" w:styleId="356">
    <w:name w:val="正文 + 宋体"/>
    <w:basedOn w:val="47"/>
    <w:qFormat/>
    <w:uiPriority w:val="0"/>
    <w:pPr>
      <w:spacing w:after="120" w:line="480" w:lineRule="auto"/>
    </w:pPr>
    <w:rPr>
      <w:rFonts w:ascii="宋体" w:hAnsi="宋体"/>
      <w:color w:val="auto"/>
      <w:kern w:val="0"/>
    </w:rPr>
  </w:style>
  <w:style w:type="paragraph" w:customStyle="1" w:styleId="357">
    <w:name w:val="无编号标题4"/>
    <w:next w:val="1"/>
    <w:qFormat/>
    <w:uiPriority w:val="0"/>
    <w:pPr>
      <w:jc w:val="center"/>
    </w:pPr>
    <w:rPr>
      <w:rFonts w:ascii="Arial" w:hAnsi="Arial" w:eastAsia="黑体" w:cs="Times New Roman"/>
      <w:kern w:val="2"/>
      <w:sz w:val="28"/>
      <w:szCs w:val="28"/>
      <w:lang w:val="en-US" w:eastAsia="zh-CN" w:bidi="ar-SA"/>
    </w:rPr>
  </w:style>
  <w:style w:type="character" w:customStyle="1" w:styleId="358">
    <w:name w:val="尾注文本 字符"/>
    <w:basedOn w:val="57"/>
    <w:link w:val="34"/>
    <w:qFormat/>
    <w:uiPriority w:val="0"/>
    <w:rPr>
      <w:kern w:val="2"/>
      <w:sz w:val="24"/>
      <w:szCs w:val="24"/>
    </w:rPr>
  </w:style>
  <w:style w:type="character" w:customStyle="1" w:styleId="359">
    <w:name w:val="尾注文本 Char"/>
    <w:basedOn w:val="57"/>
    <w:qFormat/>
    <w:uiPriority w:val="99"/>
    <w:rPr>
      <w:kern w:val="2"/>
      <w:sz w:val="21"/>
      <w:szCs w:val="24"/>
    </w:rPr>
  </w:style>
  <w:style w:type="paragraph" w:customStyle="1" w:styleId="360">
    <w:name w:val="标号"/>
    <w:basedOn w:val="1"/>
    <w:qFormat/>
    <w:uiPriority w:val="0"/>
    <w:pPr>
      <w:spacing w:line="360" w:lineRule="auto"/>
    </w:pPr>
    <w:rPr>
      <w:rFonts w:ascii="宋体" w:hAnsi="宋体"/>
      <w:sz w:val="24"/>
      <w:szCs w:val="20"/>
    </w:rPr>
  </w:style>
  <w:style w:type="paragraph" w:customStyle="1" w:styleId="361">
    <w:name w:val="图片居中"/>
    <w:basedOn w:val="1"/>
    <w:qFormat/>
    <w:uiPriority w:val="0"/>
    <w:pPr>
      <w:jc w:val="center"/>
    </w:pPr>
    <w:rPr>
      <w:rFonts w:cs="宋体"/>
      <w:szCs w:val="20"/>
    </w:rPr>
  </w:style>
  <w:style w:type="paragraph" w:customStyle="1" w:styleId="362">
    <w:name w:val="列表编号1"/>
    <w:basedOn w:val="1"/>
    <w:qFormat/>
    <w:uiPriority w:val="0"/>
    <w:pPr>
      <w:tabs>
        <w:tab w:val="left" w:pos="780"/>
      </w:tabs>
      <w:spacing w:after="120" w:line="288" w:lineRule="auto"/>
      <w:ind w:left="780" w:hanging="420"/>
    </w:pPr>
    <w:rPr>
      <w:rFonts w:eastAsia="幼圆"/>
      <w:sz w:val="24"/>
      <w:szCs w:val="20"/>
    </w:rPr>
  </w:style>
  <w:style w:type="paragraph" w:customStyle="1" w:styleId="363">
    <w:name w:val="ÕýÎÄ 1"/>
    <w:basedOn w:val="1"/>
    <w:qFormat/>
    <w:uiPriority w:val="0"/>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364">
    <w:name w:val="正文段"/>
    <w:basedOn w:val="1"/>
    <w:qFormat/>
    <w:uiPriority w:val="0"/>
    <w:pPr>
      <w:widowControl/>
      <w:adjustRightInd w:val="0"/>
      <w:spacing w:after="240" w:line="360" w:lineRule="atLeast"/>
      <w:ind w:firstLine="454"/>
      <w:textAlignment w:val="bottom"/>
    </w:pPr>
    <w:rPr>
      <w:rFonts w:ascii="宋体"/>
      <w:kern w:val="0"/>
      <w:sz w:val="24"/>
      <w:szCs w:val="20"/>
    </w:rPr>
  </w:style>
  <w:style w:type="paragraph" w:customStyle="1" w:styleId="365">
    <w:name w:val="默认段落字体 Para Char Char Char Char"/>
    <w:basedOn w:val="1"/>
    <w:qFormat/>
    <w:uiPriority w:val="0"/>
  </w:style>
  <w:style w:type="character" w:customStyle="1" w:styleId="366">
    <w:name w:val="正文缩进 Char1"/>
    <w:qFormat/>
    <w:uiPriority w:val="0"/>
    <w:rPr>
      <w:kern w:val="2"/>
      <w:sz w:val="21"/>
    </w:rPr>
  </w:style>
  <w:style w:type="paragraph" w:customStyle="1" w:styleId="367">
    <w:name w:val="_Style 165"/>
    <w:basedOn w:val="1"/>
    <w:qFormat/>
    <w:uiPriority w:val="0"/>
    <w:pPr>
      <w:spacing w:beforeLines="50" w:afterLines="50"/>
      <w:ind w:left="200" w:leftChars="200"/>
    </w:pPr>
    <w:rPr>
      <w:sz w:val="28"/>
    </w:rPr>
  </w:style>
  <w:style w:type="paragraph" w:customStyle="1" w:styleId="368">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szCs w:val="21"/>
    </w:rPr>
  </w:style>
  <w:style w:type="paragraph" w:customStyle="1" w:styleId="369">
    <w:name w:val="CD正文"/>
    <w:basedOn w:val="1"/>
    <w:link w:val="370"/>
    <w:qFormat/>
    <w:uiPriority w:val="0"/>
    <w:pPr>
      <w:spacing w:line="360" w:lineRule="auto"/>
      <w:ind w:firstLine="493"/>
    </w:pPr>
    <w:rPr>
      <w:sz w:val="30"/>
      <w:szCs w:val="28"/>
    </w:rPr>
  </w:style>
  <w:style w:type="character" w:customStyle="1" w:styleId="370">
    <w:name w:val="CD正文 Char"/>
    <w:link w:val="369"/>
    <w:qFormat/>
    <w:uiPriority w:val="0"/>
    <w:rPr>
      <w:kern w:val="2"/>
      <w:sz w:val="30"/>
      <w:szCs w:val="28"/>
    </w:rPr>
  </w:style>
  <w:style w:type="paragraph" w:customStyle="1" w:styleId="371">
    <w:name w:val="样式 样式 样式 四号 左 行距: 1.5 倍行距 左  1 字符 首行缩进:  2 字符 + 首行缩进:  2 字符 + 首行..."/>
    <w:basedOn w:val="1"/>
    <w:qFormat/>
    <w:uiPriority w:val="0"/>
    <w:pPr>
      <w:spacing w:line="360" w:lineRule="auto"/>
      <w:ind w:firstLine="200" w:firstLineChars="200"/>
      <w:jc w:val="left"/>
    </w:pPr>
    <w:rPr>
      <w:rFonts w:cs="宋体"/>
      <w:sz w:val="28"/>
      <w:szCs w:val="20"/>
    </w:rPr>
  </w:style>
  <w:style w:type="paragraph" w:customStyle="1" w:styleId="372">
    <w:name w:val="样式 样式 样式 (符号) 宋体 四号 左 首行缩进:  2.5 字符 + 首行缩进:  2 字符 + 首行缩进:  2 字符"/>
    <w:basedOn w:val="1"/>
    <w:qFormat/>
    <w:uiPriority w:val="0"/>
    <w:pPr>
      <w:spacing w:line="360" w:lineRule="auto"/>
      <w:ind w:firstLine="200" w:firstLineChars="200"/>
      <w:jc w:val="left"/>
    </w:pPr>
    <w:rPr>
      <w:rFonts w:hAnsi="宋体"/>
      <w:sz w:val="28"/>
      <w:szCs w:val="20"/>
    </w:rPr>
  </w:style>
  <w:style w:type="paragraph" w:customStyle="1" w:styleId="373">
    <w:name w:val="标书正文"/>
    <w:basedOn w:val="1"/>
    <w:link w:val="374"/>
    <w:qFormat/>
    <w:uiPriority w:val="0"/>
    <w:pPr>
      <w:ind w:firstLine="200" w:firstLineChars="200"/>
    </w:pPr>
    <w:rPr>
      <w:rFonts w:eastAsia="仿宋_GB2312"/>
      <w:sz w:val="28"/>
    </w:rPr>
  </w:style>
  <w:style w:type="character" w:customStyle="1" w:styleId="374">
    <w:name w:val="标书正文 Char"/>
    <w:link w:val="373"/>
    <w:qFormat/>
    <w:uiPriority w:val="0"/>
    <w:rPr>
      <w:rFonts w:eastAsia="仿宋_GB2312"/>
      <w:kern w:val="2"/>
      <w:sz w:val="28"/>
      <w:szCs w:val="24"/>
    </w:rPr>
  </w:style>
  <w:style w:type="paragraph" w:customStyle="1" w:styleId="375">
    <w:name w:val="0-ST-篇"/>
    <w:basedOn w:val="1"/>
    <w:next w:val="1"/>
    <w:qFormat/>
    <w:uiPriority w:val="0"/>
    <w:pPr>
      <w:jc w:val="center"/>
    </w:pPr>
    <w:rPr>
      <w:rFonts w:ascii="Calibri" w:hAnsi="Calibri" w:eastAsia="黑体"/>
      <w:sz w:val="32"/>
      <w:szCs w:val="21"/>
    </w:rPr>
  </w:style>
  <w:style w:type="paragraph" w:customStyle="1" w:styleId="376">
    <w:name w:val="10-ST-正文"/>
    <w:basedOn w:val="1"/>
    <w:qFormat/>
    <w:uiPriority w:val="0"/>
    <w:pPr>
      <w:adjustRightInd w:val="0"/>
      <w:snapToGrid w:val="0"/>
      <w:spacing w:line="360" w:lineRule="auto"/>
      <w:ind w:firstLine="200" w:firstLineChars="200"/>
    </w:pPr>
    <w:rPr>
      <w:sz w:val="24"/>
      <w:szCs w:val="28"/>
    </w:rPr>
  </w:style>
  <w:style w:type="paragraph" w:customStyle="1" w:styleId="377">
    <w:name w:val="3-ST-小节"/>
    <w:basedOn w:val="6"/>
    <w:next w:val="376"/>
    <w:qFormat/>
    <w:uiPriority w:val="0"/>
    <w:pPr>
      <w:spacing w:beforeLines="50" w:after="120" w:line="240" w:lineRule="auto"/>
    </w:pPr>
    <w:rPr>
      <w:rFonts w:eastAsia="楷体_GB2312"/>
      <w:b/>
      <w:sz w:val="28"/>
    </w:rPr>
  </w:style>
  <w:style w:type="paragraph" w:customStyle="1" w:styleId="378">
    <w:name w:val="4-ST-点"/>
    <w:basedOn w:val="7"/>
    <w:qFormat/>
    <w:uiPriority w:val="0"/>
    <w:pPr>
      <w:adjustRightInd w:val="0"/>
      <w:snapToGrid w:val="0"/>
      <w:spacing w:beforeLines="30" w:afterLines="30" w:line="312" w:lineRule="auto"/>
    </w:pPr>
    <w:rPr>
      <w:rFonts w:ascii="楷体_GB2312" w:eastAsia="楷体_GB2312"/>
    </w:rPr>
  </w:style>
  <w:style w:type="paragraph" w:customStyle="1" w:styleId="379">
    <w:name w:val="2-ST-节"/>
    <w:basedOn w:val="5"/>
    <w:next w:val="376"/>
    <w:qFormat/>
    <w:uiPriority w:val="0"/>
    <w:pPr>
      <w:spacing w:before="160" w:after="160" w:line="240" w:lineRule="auto"/>
    </w:pPr>
    <w:rPr>
      <w:rFonts w:ascii="Arial" w:hAnsi="Arial" w:eastAsia="楷体_GB2312"/>
      <w:sz w:val="30"/>
    </w:rPr>
  </w:style>
  <w:style w:type="paragraph" w:customStyle="1" w:styleId="380">
    <w:name w:val="最终正文"/>
    <w:basedOn w:val="1"/>
    <w:qFormat/>
    <w:uiPriority w:val="0"/>
    <w:pPr>
      <w:spacing w:line="360" w:lineRule="auto"/>
      <w:ind w:firstLine="420"/>
    </w:pPr>
    <w:rPr>
      <w:rFonts w:ascii="仿宋_GB2312" w:hAnsi="宋体"/>
      <w:bCs/>
      <w:caps/>
      <w:sz w:val="24"/>
    </w:rPr>
  </w:style>
  <w:style w:type="paragraph" w:customStyle="1" w:styleId="381">
    <w:name w:val="mytext"/>
    <w:basedOn w:val="1"/>
    <w:link w:val="382"/>
    <w:qFormat/>
    <w:uiPriority w:val="0"/>
    <w:pPr>
      <w:spacing w:line="300" w:lineRule="auto"/>
      <w:ind w:firstLine="480" w:firstLineChars="200"/>
    </w:pPr>
    <w:rPr>
      <w:sz w:val="24"/>
      <w:szCs w:val="20"/>
    </w:rPr>
  </w:style>
  <w:style w:type="character" w:customStyle="1" w:styleId="382">
    <w:name w:val="mytext Char"/>
    <w:link w:val="381"/>
    <w:qFormat/>
    <w:uiPriority w:val="0"/>
    <w:rPr>
      <w:kern w:val="2"/>
      <w:sz w:val="24"/>
    </w:rPr>
  </w:style>
  <w:style w:type="paragraph" w:customStyle="1" w:styleId="383">
    <w:name w:val="样式4"/>
    <w:basedOn w:val="5"/>
    <w:qFormat/>
    <w:uiPriority w:val="0"/>
    <w:pPr>
      <w:spacing w:after="0" w:line="360" w:lineRule="auto"/>
    </w:pPr>
    <w:rPr>
      <w:rFonts w:ascii="黑体" w:hAnsi="黑体" w:eastAsia="黑体"/>
      <w:b w:val="0"/>
      <w:sz w:val="30"/>
      <w:szCs w:val="30"/>
    </w:rPr>
  </w:style>
  <w:style w:type="paragraph" w:customStyle="1" w:styleId="384">
    <w:name w:val="标题 2 + Times New Roman 加粗 黑色 首行缩进:  2 字符 行距: 2 倍行距 + 段前..."/>
    <w:basedOn w:val="1"/>
    <w:next w:val="1"/>
    <w:qFormat/>
    <w:uiPriority w:val="0"/>
    <w:pPr>
      <w:adjustRightInd w:val="0"/>
      <w:snapToGrid w:val="0"/>
      <w:spacing w:beforeLines="150" w:afterLines="50" w:line="360" w:lineRule="auto"/>
      <w:outlineLvl w:val="0"/>
    </w:pPr>
    <w:rPr>
      <w:rFonts w:eastAsia="黑体"/>
      <w:b/>
      <w:color w:val="000000"/>
      <w:kern w:val="0"/>
      <w:sz w:val="32"/>
      <w:szCs w:val="32"/>
    </w:rPr>
  </w:style>
  <w:style w:type="paragraph" w:customStyle="1" w:styleId="385">
    <w:name w:val="样式2"/>
    <w:basedOn w:val="4"/>
    <w:qFormat/>
    <w:uiPriority w:val="0"/>
    <w:pPr>
      <w:spacing w:line="416" w:lineRule="auto"/>
    </w:pPr>
    <w:rPr>
      <w:rFonts w:ascii="黑体" w:hAnsi="Times New Roman" w:eastAsia="仿宋"/>
      <w:sz w:val="24"/>
      <w:szCs w:val="24"/>
    </w:rPr>
  </w:style>
  <w:style w:type="character" w:customStyle="1" w:styleId="386">
    <w:name w:val="HTML 预设格式 字符"/>
    <w:basedOn w:val="57"/>
    <w:link w:val="49"/>
    <w:qFormat/>
    <w:uiPriority w:val="0"/>
    <w:rPr>
      <w:rFonts w:ascii="Arial" w:hAnsi="Arial"/>
      <w:sz w:val="24"/>
      <w:szCs w:val="24"/>
    </w:rPr>
  </w:style>
  <w:style w:type="character" w:customStyle="1" w:styleId="387">
    <w:name w:val="HTML 预设格式 Char"/>
    <w:basedOn w:val="57"/>
    <w:qFormat/>
    <w:uiPriority w:val="99"/>
    <w:rPr>
      <w:rFonts w:ascii="Courier New" w:hAnsi="Courier New" w:cs="Courier New"/>
      <w:kern w:val="2"/>
    </w:rPr>
  </w:style>
  <w:style w:type="paragraph" w:customStyle="1" w:styleId="388">
    <w:name w:val="Char Char1 Char Char Char Char Char Char Char Char"/>
    <w:basedOn w:val="1"/>
    <w:qFormat/>
    <w:uiPriority w:val="0"/>
    <w:pPr>
      <w:adjustRightInd w:val="0"/>
      <w:spacing w:after="160" w:line="240" w:lineRule="exact"/>
    </w:pPr>
    <w:rPr>
      <w:rFonts w:ascii="Verdana" w:hAnsi="Verdana"/>
      <w:kern w:val="0"/>
      <w:sz w:val="20"/>
      <w:szCs w:val="20"/>
      <w:lang w:eastAsia="en-US"/>
    </w:rPr>
  </w:style>
  <w:style w:type="paragraph" w:customStyle="1" w:styleId="389">
    <w:name w:val="TOC 标题2"/>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90">
    <w:name w:val="样式 首行缩进:  2 字符"/>
    <w:basedOn w:val="1"/>
    <w:qFormat/>
    <w:uiPriority w:val="0"/>
    <w:pPr>
      <w:adjustRightInd w:val="0"/>
      <w:snapToGrid w:val="0"/>
      <w:spacing w:line="360" w:lineRule="auto"/>
      <w:ind w:left="538" w:leftChars="-71" w:right="480" w:hanging="737" w:hangingChars="307"/>
      <w:jc w:val="left"/>
    </w:pPr>
    <w:rPr>
      <w:rFonts w:ascii="仿宋_GB2312" w:hAnsi="宋体" w:eastAsia="仿宋_GB2312" w:cs="宋体"/>
      <w:snapToGrid w:val="0"/>
      <w:color w:val="FF0000"/>
      <w:kern w:val="0"/>
      <w:sz w:val="24"/>
    </w:rPr>
  </w:style>
  <w:style w:type="paragraph" w:customStyle="1" w:styleId="39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92">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93">
    <w:name w:val="列出段落 字符"/>
    <w:link w:val="176"/>
    <w:qFormat/>
    <w:uiPriority w:val="34"/>
    <w:rPr>
      <w:kern w:val="2"/>
      <w:sz w:val="21"/>
      <w:szCs w:val="24"/>
    </w:rPr>
  </w:style>
  <w:style w:type="paragraph" w:customStyle="1" w:styleId="394">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95">
    <w:name w:val="汇视源正文 Char Char"/>
    <w:link w:val="396"/>
    <w:qFormat/>
    <w:uiPriority w:val="0"/>
    <w:rPr>
      <w:rFonts w:cs="宋体"/>
      <w:kern w:val="2"/>
      <w:sz w:val="24"/>
      <w:szCs w:val="22"/>
    </w:rPr>
  </w:style>
  <w:style w:type="paragraph" w:customStyle="1" w:styleId="396">
    <w:name w:val="汇视源正文"/>
    <w:link w:val="395"/>
    <w:qFormat/>
    <w:uiPriority w:val="0"/>
    <w:pPr>
      <w:widowControl w:val="0"/>
      <w:spacing w:beforeLines="50" w:line="360" w:lineRule="auto"/>
      <w:ind w:firstLine="480" w:firstLineChars="200"/>
      <w:jc w:val="both"/>
    </w:pPr>
    <w:rPr>
      <w:rFonts w:ascii="Times New Roman" w:hAnsi="Times New Roman" w:eastAsia="宋体" w:cs="宋体"/>
      <w:kern w:val="2"/>
      <w:sz w:val="24"/>
      <w:szCs w:val="22"/>
      <w:lang w:val="en-US" w:eastAsia="zh-CN" w:bidi="ar-SA"/>
    </w:rPr>
  </w:style>
  <w:style w:type="paragraph" w:customStyle="1" w:styleId="397">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8">
    <w:name w:val="自由格式"/>
    <w:qFormat/>
    <w:uiPriority w:val="0"/>
    <w:rPr>
      <w:rFonts w:ascii="Helvetica" w:hAnsi="Helvetica" w:eastAsia="ヒラギノ角ゴ Pro W3" w:cs="Times New Roman"/>
      <w:color w:val="000000"/>
      <w:sz w:val="24"/>
      <w:lang w:val="en-US" w:eastAsia="zh-CN" w:bidi="ar-SA"/>
    </w:rPr>
  </w:style>
  <w:style w:type="character" w:customStyle="1" w:styleId="399">
    <w:name w:val="param-name"/>
    <w:qFormat/>
    <w:uiPriority w:val="0"/>
  </w:style>
  <w:style w:type="paragraph" w:customStyle="1" w:styleId="400">
    <w:name w:val="正文缩进2字 Char Char Char"/>
    <w:qFormat/>
    <w:uiPriority w:val="0"/>
    <w:pPr>
      <w:snapToGrid w:val="0"/>
      <w:spacing w:beforeLines="50" w:line="360" w:lineRule="auto"/>
      <w:ind w:firstLine="200" w:firstLineChars="200"/>
    </w:pPr>
    <w:rPr>
      <w:rFonts w:ascii="Times New Roman" w:hAnsi="Times New Roman" w:eastAsia="宋体" w:cs="Times New Roman"/>
      <w:lang w:val="en-US" w:eastAsia="zh-CN" w:bidi="ar-SA"/>
    </w:rPr>
  </w:style>
  <w:style w:type="character" w:customStyle="1" w:styleId="401">
    <w:name w:val="fr2"/>
    <w:basedOn w:val="57"/>
    <w:qFormat/>
    <w:uiPriority w:val="0"/>
  </w:style>
  <w:style w:type="character" w:customStyle="1" w:styleId="402">
    <w:name w:val="info1"/>
    <w:qFormat/>
    <w:uiPriority w:val="0"/>
    <w:rPr>
      <w:color w:val="555555"/>
    </w:rPr>
  </w:style>
  <w:style w:type="character" w:customStyle="1" w:styleId="403">
    <w:name w:val="fr1"/>
    <w:basedOn w:val="57"/>
    <w:qFormat/>
    <w:uiPriority w:val="0"/>
  </w:style>
  <w:style w:type="character" w:customStyle="1" w:styleId="404">
    <w:name w:val="fr"/>
    <w:basedOn w:val="57"/>
    <w:qFormat/>
    <w:uiPriority w:val="0"/>
  </w:style>
  <w:style w:type="character" w:customStyle="1" w:styleId="405">
    <w:name w:val="info"/>
    <w:qFormat/>
    <w:uiPriority w:val="0"/>
    <w:rPr>
      <w:color w:val="555555"/>
    </w:rPr>
  </w:style>
  <w:style w:type="paragraph" w:customStyle="1" w:styleId="406">
    <w:name w:val="Blockquote"/>
    <w:basedOn w:val="407"/>
    <w:qFormat/>
    <w:uiPriority w:val="0"/>
    <w:pPr>
      <w:autoSpaceDE w:val="0"/>
      <w:autoSpaceDN w:val="0"/>
      <w:adjustRightInd w:val="0"/>
      <w:spacing w:before="100" w:after="100"/>
      <w:ind w:left="360" w:right="360"/>
      <w:jc w:val="left"/>
    </w:pPr>
    <w:rPr>
      <w:kern w:val="0"/>
      <w:sz w:val="24"/>
      <w:szCs w:val="20"/>
    </w:rPr>
  </w:style>
  <w:style w:type="paragraph" w:customStyle="1" w:styleId="40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8">
    <w:name w:val="纯文本_0"/>
    <w:basedOn w:val="407"/>
    <w:qFormat/>
    <w:uiPriority w:val="99"/>
    <w:pPr>
      <w:autoSpaceDE w:val="0"/>
      <w:autoSpaceDN w:val="0"/>
      <w:adjustRightInd w:val="0"/>
      <w:spacing w:line="460" w:lineRule="exact"/>
      <w:ind w:firstLine="420"/>
    </w:pPr>
    <w:rPr>
      <w:rFonts w:ascii="宋体" w:hAnsi="Courier New"/>
      <w:sz w:val="28"/>
      <w:szCs w:val="20"/>
    </w:rPr>
  </w:style>
  <w:style w:type="paragraph" w:customStyle="1" w:styleId="409">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410">
    <w:name w:val="正文文本缩进_0"/>
    <w:basedOn w:val="407"/>
    <w:qFormat/>
    <w:uiPriority w:val="0"/>
    <w:pPr>
      <w:ind w:firstLine="420" w:firstLineChars="200"/>
    </w:pPr>
    <w:rPr>
      <w:rFonts w:ascii="Times New Roman" w:hAnsi="Times New Roman"/>
      <w:szCs w:val="24"/>
    </w:rPr>
  </w:style>
  <w:style w:type="paragraph" w:customStyle="1" w:styleId="411">
    <w:name w:val="正文文本缩进 3_0"/>
    <w:basedOn w:val="407"/>
    <w:qFormat/>
    <w:uiPriority w:val="0"/>
    <w:pPr>
      <w:adjustRightInd w:val="0"/>
      <w:spacing w:line="360" w:lineRule="auto"/>
      <w:ind w:firstLine="480" w:firstLineChars="200"/>
    </w:pPr>
    <w:rPr>
      <w:rFonts w:ascii="宋体" w:hAnsi="宋体"/>
      <w:bCs/>
      <w:sz w:val="24"/>
      <w:szCs w:val="20"/>
    </w:rPr>
  </w:style>
  <w:style w:type="character" w:customStyle="1" w:styleId="412">
    <w:name w:val="正文文本 3 Char"/>
    <w:basedOn w:val="57"/>
    <w:qFormat/>
    <w:uiPriority w:val="0"/>
    <w:rPr>
      <w:color w:val="FF00FF"/>
      <w:kern w:val="2"/>
      <w:sz w:val="21"/>
      <w:szCs w:val="24"/>
    </w:rPr>
  </w:style>
  <w:style w:type="character" w:customStyle="1" w:styleId="413">
    <w:name w:val="未处理的提及11"/>
    <w:basedOn w:val="57"/>
    <w:qFormat/>
    <w:uiPriority w:val="99"/>
    <w:rPr>
      <w:color w:val="808080"/>
      <w:shd w:val="clear" w:color="auto" w:fill="E6E6E6"/>
    </w:rPr>
  </w:style>
  <w:style w:type="paragraph" w:customStyle="1" w:styleId="414">
    <w:name w:val="普通(网站)3"/>
    <w:basedOn w:val="1"/>
    <w:qFormat/>
    <w:uiPriority w:val="0"/>
    <w:pPr>
      <w:widowControl/>
      <w:spacing w:before="100" w:beforeAutospacing="1" w:after="100" w:afterAutospacing="1"/>
      <w:jc w:val="left"/>
    </w:pPr>
    <w:rPr>
      <w:rFonts w:ascii="宋体" w:hAnsi="宋体" w:cs="宋体"/>
      <w:kern w:val="0"/>
      <w:sz w:val="24"/>
    </w:rPr>
  </w:style>
  <w:style w:type="character" w:customStyle="1" w:styleId="415">
    <w:name w:val="未处理的提及2"/>
    <w:basedOn w:val="57"/>
    <w:qFormat/>
    <w:uiPriority w:val="99"/>
    <w:rPr>
      <w:color w:val="605E5C"/>
      <w:shd w:val="clear" w:color="auto" w:fill="E1DFDD"/>
    </w:rPr>
  </w:style>
  <w:style w:type="character" w:customStyle="1" w:styleId="416">
    <w:name w:val="未处理的提及3"/>
    <w:basedOn w:val="57"/>
    <w:qFormat/>
    <w:uiPriority w:val="99"/>
    <w:rPr>
      <w:color w:val="605E5C"/>
      <w:shd w:val="clear" w:color="auto" w:fill="E1DFDD"/>
    </w:rPr>
  </w:style>
  <w:style w:type="paragraph" w:customStyle="1" w:styleId="417">
    <w:name w:val="首行缩进"/>
    <w:basedOn w:val="1"/>
    <w:qFormat/>
    <w:uiPriority w:val="0"/>
    <w:pPr>
      <w:spacing w:line="360" w:lineRule="auto"/>
      <w:ind w:firstLine="480" w:firstLineChars="200"/>
    </w:pPr>
    <w:rPr>
      <w:rFonts w:ascii="Calibri" w:hAnsi="Calibri"/>
      <w:sz w:val="24"/>
      <w:szCs w:val="22"/>
      <w:lang w:val="zh-CN"/>
    </w:rPr>
  </w:style>
  <w:style w:type="character" w:customStyle="1" w:styleId="418">
    <w:name w:val="Unresolved Mention"/>
    <w:basedOn w:val="57"/>
    <w:qFormat/>
    <w:uiPriority w:val="99"/>
    <w:rPr>
      <w:color w:val="605E5C"/>
      <w:shd w:val="clear" w:color="auto" w:fill="E1DFDD"/>
    </w:rPr>
  </w:style>
  <w:style w:type="paragraph" w:customStyle="1" w:styleId="419">
    <w:name w:val="正文缩进_4"/>
    <w:basedOn w:val="420"/>
    <w:qFormat/>
    <w:uiPriority w:val="0"/>
    <w:pPr>
      <w:ind w:firstLine="200" w:firstLineChars="200"/>
    </w:pPr>
    <w:rPr>
      <w:rFonts w:ascii="Calibri" w:hAnsi="Calibri"/>
      <w:szCs w:val="22"/>
    </w:rPr>
  </w:style>
  <w:style w:type="paragraph" w:customStyle="1" w:styleId="42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1">
    <w:name w:val="Table Paragraph"/>
    <w:basedOn w:val="1"/>
    <w:qFormat/>
    <w:uiPriority w:val="99"/>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097375-E451-4B20-8BAE-09D31875DFB4}">
  <ds:schemaRefs/>
</ds:datastoreItem>
</file>

<file path=docProps/app.xml><?xml version="1.0" encoding="utf-8"?>
<Properties xmlns="http://schemas.openxmlformats.org/officeDocument/2006/extended-properties" xmlns:vt="http://schemas.openxmlformats.org/officeDocument/2006/docPropsVTypes">
  <Template>Normal</Template>
  <Pages>88</Pages>
  <Words>48498</Words>
  <Characters>50612</Characters>
  <Paragraphs>1892</Paragraphs>
  <TotalTime>6</TotalTime>
  <ScaleCrop>false</ScaleCrop>
  <LinksUpToDate>false</LinksUpToDate>
  <CharactersWithSpaces>53333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2021-01-03T06:14:00Z</dcterms:created>
  <cp:lastPrinted>2019-05-20T01:16:00Z</cp:lastPrinted>
  <dcterms:modified xsi:type="dcterms:W3CDTF">2023-02-15T01:34:54Z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AE3383E47D494E21BBB89DAA3AD7DF6F</vt:lpwstr>
  </property>
</Properties>
</file>