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采购项目技术、服务及其他商务要求</w:t>
      </w:r>
    </w:p>
    <w:p>
      <w:pPr>
        <w:pStyle w:val="2"/>
        <w:ind w:firstLine="600" w:firstLineChars="200"/>
        <w:rPr>
          <w:rFonts w:hint="eastAsia" w:ascii="楷体" w:hAnsi="楷体" w:eastAsia="楷体" w:cs="楷体"/>
          <w:sz w:val="30"/>
          <w:szCs w:val="30"/>
        </w:rPr>
      </w:pPr>
    </w:p>
    <w:p>
      <w:pPr>
        <w:pStyle w:val="2"/>
        <w:ind w:firstLine="600" w:firstLineChars="200"/>
        <w:rPr>
          <w:rFonts w:hint="eastAsia" w:ascii="楷体" w:hAnsi="楷体" w:eastAsia="楷体" w:cs="楷体"/>
          <w:sz w:val="30"/>
          <w:szCs w:val="30"/>
        </w:rPr>
      </w:pPr>
      <w:r>
        <w:rPr>
          <w:rFonts w:hint="eastAsia" w:ascii="楷体" w:hAnsi="楷体" w:eastAsia="楷体" w:cs="楷体"/>
          <w:sz w:val="30"/>
          <w:szCs w:val="30"/>
        </w:rPr>
        <w:t>本章采购需求中标注“★”号的条款为本次采购项目的实质性要求，供应商在</w:t>
      </w:r>
      <w:r>
        <w:rPr>
          <w:rFonts w:hint="eastAsia" w:ascii="楷体" w:hAnsi="楷体" w:eastAsia="楷体" w:cs="楷体"/>
          <w:sz w:val="30"/>
          <w:szCs w:val="30"/>
          <w:lang w:val="en-US" w:eastAsia="zh-CN"/>
        </w:rPr>
        <w:t>磋商</w:t>
      </w:r>
      <w:r>
        <w:rPr>
          <w:rFonts w:hint="eastAsia" w:ascii="楷体" w:hAnsi="楷体" w:eastAsia="楷体" w:cs="楷体"/>
          <w:sz w:val="30"/>
          <w:szCs w:val="30"/>
        </w:rPr>
        <w:t>结束后应全部满足。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技术、服务标准和要求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bCs/>
          <w:sz w:val="32"/>
          <w:szCs w:val="32"/>
        </w:rPr>
      </w:pPr>
      <w:r>
        <w:rPr>
          <w:rFonts w:hint="eastAsia" w:ascii="黑体" w:hAnsi="黑体" w:eastAsia="黑体" w:cs="黑体"/>
          <w:b w:val="0"/>
          <w:bCs w:val="0"/>
          <w:sz w:val="32"/>
          <w:szCs w:val="32"/>
          <w:lang w:val="en-US" w:eastAsia="zh-CN"/>
        </w:rPr>
        <w:t>★</w:t>
      </w:r>
      <w:r>
        <w:rPr>
          <w:rFonts w:hint="eastAsia" w:ascii="楷体" w:hAnsi="楷体" w:eastAsia="楷体" w:cs="楷体"/>
          <w:bCs/>
          <w:sz w:val="32"/>
          <w:szCs w:val="32"/>
          <w:lang w:val="en-US" w:eastAsia="zh-CN"/>
        </w:rPr>
        <w:t>（一）</w:t>
      </w:r>
      <w:r>
        <w:rPr>
          <w:rFonts w:hint="eastAsia" w:ascii="楷体" w:hAnsi="楷体" w:eastAsia="楷体" w:cs="楷体"/>
          <w:bCs/>
          <w:sz w:val="32"/>
          <w:szCs w:val="32"/>
        </w:rPr>
        <w:t>漏项工程处理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ascii="仿宋" w:hAnsi="仿宋" w:eastAsia="仿宋"/>
          <w:sz w:val="32"/>
          <w:szCs w:val="32"/>
        </w:rPr>
      </w:pPr>
      <w:r>
        <w:rPr>
          <w:rFonts w:hint="eastAsia" w:ascii="仿宋" w:hAnsi="仿宋" w:eastAsia="仿宋" w:cs="仿宋"/>
          <w:sz w:val="32"/>
          <w:szCs w:val="32"/>
        </w:rPr>
        <w:t>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该漏项工程作为本项目本章采购需求的组成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bCs/>
          <w:sz w:val="32"/>
          <w:szCs w:val="32"/>
          <w:lang w:val="en-US" w:eastAsia="zh-CN"/>
        </w:rPr>
      </w:pPr>
      <w:r>
        <w:rPr>
          <w:rFonts w:hint="eastAsia" w:ascii="黑体" w:hAnsi="黑体" w:eastAsia="黑体" w:cs="黑体"/>
          <w:b w:val="0"/>
          <w:bCs w:val="0"/>
          <w:sz w:val="32"/>
          <w:szCs w:val="32"/>
          <w:lang w:val="en-US" w:eastAsia="zh-CN"/>
        </w:rPr>
        <w:t>★</w:t>
      </w:r>
      <w:r>
        <w:rPr>
          <w:rFonts w:hint="eastAsia" w:ascii="楷体" w:hAnsi="楷体" w:eastAsia="楷体" w:cs="楷体"/>
          <w:bCs/>
          <w:sz w:val="32"/>
          <w:szCs w:val="32"/>
          <w:lang w:val="en-US" w:eastAsia="zh-CN"/>
        </w:rPr>
        <w:t>（二）质量保修与维护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1.工程质量保修范围：所施工的工程清单范围内的所有内容。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2.工程质量保修期限，达到设计文件上规定的建筑物的合理使用年限。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3.工程质量标准：达到国家现行有关施工质量验收规范要求，并达到合格标准。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b w:val="0"/>
          <w:bCs/>
          <w:kern w:val="2"/>
          <w:sz w:val="32"/>
          <w:szCs w:val="32"/>
          <w:lang w:val="en-US" w:eastAsia="zh-CN" w:bidi="ar-SA"/>
        </w:rPr>
      </w:pPr>
      <w:r>
        <w:rPr>
          <w:rFonts w:hint="eastAsia" w:ascii="黑体" w:hAnsi="黑体" w:eastAsia="黑体" w:cs="黑体"/>
          <w:b w:val="0"/>
          <w:bCs w:val="0"/>
          <w:sz w:val="32"/>
          <w:szCs w:val="32"/>
          <w:lang w:val="en-US" w:eastAsia="zh-CN"/>
        </w:rPr>
        <w:t>★</w:t>
      </w:r>
      <w:r>
        <w:rPr>
          <w:rFonts w:hint="eastAsia" w:ascii="楷体" w:hAnsi="楷体" w:eastAsia="楷体" w:cs="楷体"/>
          <w:b w:val="0"/>
          <w:bCs/>
          <w:kern w:val="2"/>
          <w:sz w:val="32"/>
          <w:szCs w:val="32"/>
          <w:lang w:val="en-US" w:eastAsia="zh-CN" w:bidi="ar-SA"/>
        </w:rPr>
        <w:t>（三）报价要求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1.本次采用工程量清单综合单价法报价，结算时按实际工程量结算，最终以按采购人组织的审计结果为准。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报价应是磋商文件载明的所有工作内容（含工程量清单所有内容）的总价，应包括所需人工费、施工机械使用费、材料费、其他（运杂费、质检费、安装费、缺陷修复费、保险费、以及磋商文件明示或暗示的风险、责任和义务等），以及管理费、利润、税金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供应商应结合工程量清单技术资料等，对单位工程成本、利润进行分析，统筹考虑企业自身条件，合理确定人工、材料、施工机械等要素的投入与配置，优化组合，合理控制现场费用和施工技术措施费用。属于企业性质的施工方法、施工措施和人工、材料、机械的消耗量水平、取费等由企业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（四）其他要求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z w:val="32"/>
          <w:szCs w:val="32"/>
          <w:lang w:eastAsia="zh-CN"/>
        </w:rPr>
      </w:pPr>
      <w:r>
        <w:rPr>
          <w:rFonts w:hint="eastAsia" w:ascii="黑体" w:hAnsi="黑体" w:eastAsia="黑体" w:cs="黑体"/>
          <w:b w:val="0"/>
          <w:bCs w:val="0"/>
          <w:sz w:val="32"/>
          <w:szCs w:val="32"/>
          <w:lang w:val="en-US"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rPr>
        <w:t>材料要求：供应商按要求供应施工材料，所有材料均符合国家质检部门及生产厂商的质量要求。</w:t>
      </w:r>
      <w:r>
        <w:rPr>
          <w:rFonts w:hint="eastAsia" w:ascii="仿宋" w:hAnsi="仿宋" w:eastAsia="仿宋" w:cs="仿宋"/>
          <w:b/>
          <w:sz w:val="32"/>
          <w:szCs w:val="32"/>
        </w:rPr>
        <w:t>（提供承诺函，格式自拟）</w:t>
      </w:r>
      <w:r>
        <w:rPr>
          <w:rFonts w:hint="eastAsia" w:ascii="仿宋" w:hAnsi="仿宋" w:eastAsia="仿宋" w:cs="仿宋"/>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eastAsia="zh-CN"/>
        </w:rPr>
      </w:pPr>
      <w:r>
        <w:rPr>
          <w:rFonts w:hint="eastAsia" w:ascii="黑体" w:hAnsi="黑体" w:eastAsia="黑体" w:cs="黑体"/>
          <w:b w:val="0"/>
          <w:bCs w:val="0"/>
          <w:sz w:val="32"/>
          <w:szCs w:val="32"/>
          <w:lang w:val="en-US"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rPr>
        <w:t>安全要求：</w:t>
      </w:r>
      <w:r>
        <w:rPr>
          <w:rFonts w:hint="eastAsia" w:ascii="仿宋" w:hAnsi="仿宋" w:eastAsia="仿宋" w:cs="仿宋"/>
          <w:bCs/>
          <w:sz w:val="32"/>
          <w:szCs w:val="32"/>
          <w:lang w:val="en-US" w:eastAsia="zh-CN"/>
        </w:rPr>
        <w:t>本项目自供应商成交之日起至项目最终验收合格日止，自行负责项目实施过程中的一切安全责任。造成的一切直接和间接损失，均由成交供应商自行承担。</w:t>
      </w:r>
      <w:r>
        <w:rPr>
          <w:rFonts w:hint="eastAsia" w:ascii="仿宋" w:hAnsi="仿宋" w:eastAsia="仿宋" w:cs="仿宋"/>
          <w:b/>
          <w:sz w:val="32"/>
          <w:szCs w:val="32"/>
        </w:rPr>
        <w:t>（提供承诺函，格式自拟）</w:t>
      </w:r>
      <w:r>
        <w:rPr>
          <w:rFonts w:hint="eastAsia" w:ascii="仿宋" w:hAnsi="仿宋" w:eastAsia="仿宋" w:cs="仿宋"/>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服务要求：对工程项目的施工质量、工期及后期服务作出详细、完整的承诺，并提供工程管理人员的书面详细资料。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工期延误：本项目除人力不可抗拒因素外（如地震、战争等），工期不得延误，如供应商无故拖延</w:t>
      </w:r>
      <w:r>
        <w:rPr>
          <w:rFonts w:hint="eastAsia" w:ascii="仿宋" w:hAnsi="仿宋" w:eastAsia="仿宋" w:cs="仿宋"/>
          <w:bCs/>
          <w:sz w:val="32"/>
          <w:szCs w:val="32"/>
          <w:lang w:val="en-US" w:eastAsia="zh-CN"/>
        </w:rPr>
        <w:t>工期</w:t>
      </w:r>
      <w:r>
        <w:rPr>
          <w:rFonts w:hint="eastAsia" w:ascii="仿宋" w:hAnsi="仿宋" w:eastAsia="仿宋" w:cs="仿宋"/>
          <w:bCs/>
          <w:sz w:val="32"/>
          <w:szCs w:val="32"/>
        </w:rPr>
        <w:t>超过</w:t>
      </w:r>
      <w:r>
        <w:rPr>
          <w:rFonts w:hint="eastAsia" w:ascii="仿宋" w:hAnsi="仿宋" w:eastAsia="仿宋" w:cs="仿宋"/>
          <w:bCs/>
          <w:sz w:val="32"/>
          <w:szCs w:val="32"/>
          <w:lang w:val="en-US" w:eastAsia="zh-CN"/>
        </w:rPr>
        <w:t>实际竣工</w:t>
      </w:r>
      <w:r>
        <w:rPr>
          <w:rFonts w:hint="eastAsia" w:ascii="仿宋" w:hAnsi="仿宋" w:eastAsia="仿宋" w:cs="仿宋"/>
          <w:bCs/>
          <w:sz w:val="32"/>
          <w:szCs w:val="32"/>
        </w:rPr>
        <w:t>日期15日，采购人有权无条件解除合同，并要求供应商赔偿一切损失。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资料要求：验收合格后七个工作日内提供完整的《竣工验收资料》给予采购人备案；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其他未尽事宜由采购人和成交供应商在采购合同中进行约定。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Cs/>
          <w:sz w:val="32"/>
          <w:szCs w:val="32"/>
          <w:lang w:val="en-US" w:eastAsia="zh-CN"/>
        </w:rPr>
        <w:t>7.供应商应针对本</w:t>
      </w:r>
      <w:r>
        <w:rPr>
          <w:rFonts w:hint="eastAsia" w:ascii="仿宋" w:hAnsi="仿宋" w:eastAsia="仿宋" w:cs="仿宋"/>
          <w:bCs/>
          <w:sz w:val="32"/>
          <w:szCs w:val="32"/>
        </w:rPr>
        <w:t>项目</w:t>
      </w:r>
      <w:r>
        <w:rPr>
          <w:rFonts w:hint="eastAsia" w:ascii="仿宋" w:hAnsi="仿宋" w:eastAsia="仿宋" w:cs="仿宋"/>
          <w:bCs/>
          <w:sz w:val="32"/>
          <w:szCs w:val="32"/>
          <w:lang w:val="en-US" w:eastAsia="zh-CN"/>
        </w:rPr>
        <w:t>应</w:t>
      </w:r>
      <w:r>
        <w:rPr>
          <w:rFonts w:hint="eastAsia" w:ascii="仿宋" w:hAnsi="仿宋" w:eastAsia="仿宋" w:cs="仿宋"/>
          <w:bCs/>
          <w:sz w:val="32"/>
          <w:szCs w:val="32"/>
        </w:rPr>
        <w:t>编写施工组织设计</w:t>
      </w:r>
      <w:r>
        <w:rPr>
          <w:rFonts w:hint="eastAsia" w:ascii="仿宋" w:hAnsi="仿宋" w:eastAsia="仿宋" w:cs="仿宋"/>
          <w:bCs/>
          <w:sz w:val="32"/>
          <w:szCs w:val="32"/>
          <w:lang w:val="en-US" w:eastAsia="zh-CN"/>
        </w:rPr>
        <w:t>方案，包含但不限于：①进度计划、②质量保证措施、③安全保证措施、④资源配置计划、⑤环保文明措施、⑥应急预案、⑦施工工艺内容、⑧新冠肺炎疫情防控措施</w:t>
      </w:r>
      <w:r>
        <w:rPr>
          <w:rFonts w:hint="eastAsia" w:ascii="仿宋" w:hAnsi="仿宋" w:eastAsia="仿宋" w:cs="仿宋"/>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rPr>
      </w:pPr>
      <w:r>
        <w:rPr>
          <w:rFonts w:hint="eastAsia" w:ascii="黑体" w:hAnsi="黑体" w:eastAsia="黑体" w:cs="黑体"/>
          <w:b w:val="0"/>
          <w:bCs w:val="0"/>
          <w:sz w:val="32"/>
          <w:szCs w:val="32"/>
          <w:lang w:val="en-US" w:eastAsia="zh-CN"/>
        </w:rPr>
        <w:t>★</w:t>
      </w:r>
      <w:r>
        <w:rPr>
          <w:rFonts w:hint="eastAsia" w:ascii="黑体" w:hAnsi="黑体" w:eastAsia="黑体" w:cs="黑体"/>
          <w:sz w:val="32"/>
          <w:szCs w:val="32"/>
          <w:lang w:val="en-US" w:eastAsia="zh-CN"/>
        </w:rPr>
        <w:t>二、商务</w:t>
      </w:r>
      <w:r>
        <w:rPr>
          <w:rFonts w:hint="eastAsia" w:ascii="黑体" w:hAnsi="黑体" w:eastAsia="黑体" w:cs="黑体"/>
          <w:sz w:val="32"/>
          <w:szCs w:val="32"/>
        </w:rPr>
        <w:t>要求</w:t>
      </w:r>
    </w:p>
    <w:tbl>
      <w:tblPr>
        <w:tblStyle w:val="5"/>
        <w:tblW w:w="7958" w:type="dxa"/>
        <w:jc w:val="center"/>
        <w:tblLayout w:type="fixed"/>
        <w:tblCellMar>
          <w:top w:w="0" w:type="dxa"/>
          <w:left w:w="108" w:type="dxa"/>
          <w:bottom w:w="0" w:type="dxa"/>
          <w:right w:w="108" w:type="dxa"/>
        </w:tblCellMar>
      </w:tblPr>
      <w:tblGrid>
        <w:gridCol w:w="471"/>
        <w:gridCol w:w="1585"/>
        <w:gridCol w:w="5902"/>
      </w:tblGrid>
      <w:tr>
        <w:tblPrEx>
          <w:tblCellMar>
            <w:top w:w="0" w:type="dxa"/>
            <w:left w:w="108" w:type="dxa"/>
            <w:bottom w:w="0" w:type="dxa"/>
            <w:right w:w="108" w:type="dxa"/>
          </w:tblCellMar>
        </w:tblPrEx>
        <w:trPr>
          <w:trHeight w:val="35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序</w:t>
            </w:r>
          </w:p>
        </w:tc>
        <w:tc>
          <w:tcPr>
            <w:tcW w:w="1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项目</w:t>
            </w:r>
          </w:p>
        </w:tc>
        <w:tc>
          <w:tcPr>
            <w:tcW w:w="59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要求</w:t>
            </w:r>
          </w:p>
        </w:tc>
      </w:tr>
      <w:tr>
        <w:tblPrEx>
          <w:tblCellMar>
            <w:top w:w="0" w:type="dxa"/>
            <w:left w:w="108" w:type="dxa"/>
            <w:bottom w:w="0" w:type="dxa"/>
            <w:right w:w="108" w:type="dxa"/>
          </w:tblCellMar>
        </w:tblPrEx>
        <w:trPr>
          <w:trHeight w:val="702"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1</w:t>
            </w:r>
          </w:p>
        </w:tc>
        <w:tc>
          <w:tcPr>
            <w:tcW w:w="1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sz w:val="22"/>
                <w:szCs w:val="20"/>
              </w:rPr>
            </w:pPr>
            <w:r>
              <w:rPr>
                <w:rFonts w:hint="eastAsia" w:ascii="黑体" w:hAnsi="黑体" w:eastAsia="黑体" w:cs="黑体"/>
                <w:sz w:val="22"/>
                <w:szCs w:val="20"/>
              </w:rPr>
              <w:t>项目负责人（项目经理）</w:t>
            </w:r>
          </w:p>
        </w:tc>
        <w:tc>
          <w:tcPr>
            <w:tcW w:w="59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firstLine="420" w:firstLineChars="200"/>
              <w:jc w:val="left"/>
              <w:textAlignment w:val="auto"/>
              <w:rPr>
                <w:rFonts w:hint="eastAsia" w:ascii="仿宋" w:hAnsi="仿宋" w:eastAsia="仿宋" w:cs="仿宋"/>
                <w:sz w:val="22"/>
                <w:szCs w:val="20"/>
              </w:rPr>
            </w:pPr>
            <w:r>
              <w:rPr>
                <w:rFonts w:hint="eastAsia" w:ascii="仿宋" w:hAnsi="仿宋" w:eastAsia="仿宋" w:cs="仿宋"/>
                <w:sz w:val="21"/>
                <w:szCs w:val="21"/>
              </w:rPr>
              <w:t>姓名：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（供应商填写）</w:t>
            </w:r>
          </w:p>
        </w:tc>
      </w:tr>
      <w:tr>
        <w:tblPrEx>
          <w:tblCellMar>
            <w:top w:w="0" w:type="dxa"/>
            <w:left w:w="108" w:type="dxa"/>
            <w:bottom w:w="0" w:type="dxa"/>
            <w:right w:w="108" w:type="dxa"/>
          </w:tblCellMar>
        </w:tblPrEx>
        <w:trPr>
          <w:trHeight w:val="35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2</w:t>
            </w:r>
          </w:p>
        </w:tc>
        <w:tc>
          <w:tcPr>
            <w:tcW w:w="1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sz w:val="22"/>
                <w:szCs w:val="20"/>
              </w:rPr>
            </w:pPr>
            <w:r>
              <w:rPr>
                <w:rFonts w:hint="eastAsia" w:ascii="黑体" w:hAnsi="黑体" w:eastAsia="黑体" w:cs="黑体"/>
                <w:sz w:val="22"/>
                <w:szCs w:val="20"/>
              </w:rPr>
              <w:t>技术负责人</w:t>
            </w:r>
          </w:p>
        </w:tc>
        <w:tc>
          <w:tcPr>
            <w:tcW w:w="59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firstLine="420" w:firstLineChars="200"/>
              <w:jc w:val="left"/>
              <w:textAlignment w:val="auto"/>
              <w:rPr>
                <w:rFonts w:hint="eastAsia" w:ascii="仿宋" w:hAnsi="仿宋" w:eastAsia="仿宋" w:cs="仿宋"/>
                <w:sz w:val="22"/>
                <w:szCs w:val="20"/>
              </w:rPr>
            </w:pPr>
            <w:r>
              <w:rPr>
                <w:rFonts w:hint="eastAsia" w:ascii="仿宋" w:hAnsi="仿宋" w:eastAsia="仿宋" w:cs="仿宋"/>
                <w:sz w:val="21"/>
                <w:szCs w:val="21"/>
              </w:rPr>
              <w:t>姓名：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（供应商填写）</w:t>
            </w:r>
          </w:p>
        </w:tc>
      </w:tr>
      <w:tr>
        <w:tblPrEx>
          <w:tblCellMar>
            <w:top w:w="0" w:type="dxa"/>
            <w:left w:w="108" w:type="dxa"/>
            <w:bottom w:w="0" w:type="dxa"/>
            <w:right w:w="108" w:type="dxa"/>
          </w:tblCellMar>
        </w:tblPrEx>
        <w:trPr>
          <w:trHeight w:val="35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3</w:t>
            </w:r>
          </w:p>
        </w:tc>
        <w:tc>
          <w:tcPr>
            <w:tcW w:w="1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工期</w:t>
            </w:r>
          </w:p>
        </w:tc>
        <w:tc>
          <w:tcPr>
            <w:tcW w:w="59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82" w:rightChars="-39"/>
              <w:jc w:val="center"/>
              <w:textAlignment w:val="auto"/>
              <w:rPr>
                <w:rFonts w:hint="eastAsia" w:ascii="仿宋" w:hAnsi="仿宋" w:eastAsia="仿宋" w:cs="仿宋"/>
                <w:sz w:val="22"/>
                <w:szCs w:val="20"/>
                <w:highlight w:val="yellow"/>
              </w:rPr>
            </w:pPr>
            <w:r>
              <w:rPr>
                <w:rFonts w:hint="eastAsia" w:ascii="仿宋" w:hAnsi="仿宋" w:eastAsia="仿宋" w:cs="仿宋"/>
                <w:sz w:val="22"/>
                <w:szCs w:val="20"/>
                <w:highlight w:val="none"/>
              </w:rPr>
              <w:t>工期：</w:t>
            </w:r>
            <w:r>
              <w:rPr>
                <w:rFonts w:hint="eastAsia" w:ascii="仿宋" w:hAnsi="仿宋" w:eastAsia="仿宋" w:cs="仿宋"/>
                <w:sz w:val="22"/>
                <w:szCs w:val="20"/>
                <w:highlight w:val="none"/>
                <w:u w:val="single"/>
                <w:lang w:val="en-US" w:eastAsia="zh-CN"/>
              </w:rPr>
              <w:t>45</w:t>
            </w:r>
            <w:r>
              <w:rPr>
                <w:rFonts w:hint="eastAsia" w:ascii="仿宋" w:hAnsi="仿宋" w:eastAsia="仿宋" w:cs="仿宋"/>
                <w:sz w:val="22"/>
                <w:szCs w:val="22"/>
                <w:highlight w:val="none"/>
                <w:lang w:val="en-US" w:eastAsia="zh-CN"/>
              </w:rPr>
              <w:t>天</w:t>
            </w:r>
          </w:p>
        </w:tc>
      </w:tr>
      <w:tr>
        <w:tblPrEx>
          <w:tblCellMar>
            <w:top w:w="0" w:type="dxa"/>
            <w:left w:w="108" w:type="dxa"/>
            <w:bottom w:w="0" w:type="dxa"/>
            <w:right w:w="108" w:type="dxa"/>
          </w:tblCellMar>
        </w:tblPrEx>
        <w:trPr>
          <w:trHeight w:val="702"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4</w:t>
            </w:r>
          </w:p>
        </w:tc>
        <w:tc>
          <w:tcPr>
            <w:tcW w:w="15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highlight w:val="none"/>
              </w:rPr>
            </w:pPr>
            <w:r>
              <w:rPr>
                <w:rFonts w:hint="eastAsia" w:ascii="黑体" w:hAnsi="黑体" w:eastAsia="黑体" w:cs="黑体"/>
                <w:sz w:val="22"/>
                <w:szCs w:val="20"/>
                <w:highlight w:val="none"/>
              </w:rPr>
              <w:t>缺陷责任期</w:t>
            </w:r>
          </w:p>
        </w:tc>
        <w:tc>
          <w:tcPr>
            <w:tcW w:w="590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hint="eastAsia" w:ascii="仿宋" w:hAnsi="仿宋" w:eastAsia="仿宋" w:cs="仿宋"/>
                <w:sz w:val="22"/>
                <w:szCs w:val="20"/>
                <w:highlight w:val="none"/>
                <w:lang w:val="en-US" w:eastAsia="zh-CN"/>
              </w:rPr>
            </w:pPr>
            <w:r>
              <w:rPr>
                <w:rFonts w:hint="eastAsia" w:ascii="仿宋" w:hAnsi="仿宋" w:eastAsia="仿宋" w:cs="仿宋"/>
                <w:sz w:val="21"/>
                <w:szCs w:val="21"/>
                <w:highlight w:val="none"/>
                <w:lang w:val="en-US" w:eastAsia="zh-CN"/>
              </w:rPr>
              <w:t>1年。《房屋建筑工程质量保修办法》（建设部令第80号）规定最低保修期超过一年的，按照建设部令第80号规定执行。</w:t>
            </w:r>
          </w:p>
        </w:tc>
      </w:tr>
      <w:tr>
        <w:tblPrEx>
          <w:tblCellMar>
            <w:top w:w="0" w:type="dxa"/>
            <w:left w:w="108" w:type="dxa"/>
            <w:bottom w:w="0" w:type="dxa"/>
            <w:right w:w="108" w:type="dxa"/>
          </w:tblCellMar>
        </w:tblPrEx>
        <w:trPr>
          <w:trHeight w:val="35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5</w:t>
            </w:r>
          </w:p>
        </w:tc>
        <w:tc>
          <w:tcPr>
            <w:tcW w:w="15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分包</w:t>
            </w:r>
          </w:p>
        </w:tc>
        <w:tc>
          <w:tcPr>
            <w:tcW w:w="590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hint="eastAsia" w:ascii="仿宋" w:hAnsi="仿宋" w:eastAsia="仿宋" w:cs="仿宋"/>
                <w:sz w:val="22"/>
                <w:szCs w:val="20"/>
              </w:rPr>
            </w:pPr>
            <w:r>
              <w:rPr>
                <w:rFonts w:hint="eastAsia" w:ascii="仿宋" w:hAnsi="仿宋" w:eastAsia="仿宋" w:cs="仿宋"/>
                <w:sz w:val="22"/>
                <w:szCs w:val="20"/>
              </w:rPr>
              <w:t>不允许</w:t>
            </w:r>
          </w:p>
        </w:tc>
      </w:tr>
      <w:tr>
        <w:tblPrEx>
          <w:tblCellMar>
            <w:top w:w="0" w:type="dxa"/>
            <w:left w:w="108" w:type="dxa"/>
            <w:bottom w:w="0" w:type="dxa"/>
            <w:right w:w="108" w:type="dxa"/>
          </w:tblCellMar>
        </w:tblPrEx>
        <w:trPr>
          <w:trHeight w:val="35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6</w:t>
            </w:r>
          </w:p>
        </w:tc>
        <w:tc>
          <w:tcPr>
            <w:tcW w:w="15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价格调整</w:t>
            </w:r>
          </w:p>
        </w:tc>
        <w:tc>
          <w:tcPr>
            <w:tcW w:w="590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2"/>
                <w:szCs w:val="20"/>
              </w:rPr>
            </w:pPr>
            <w:r>
              <w:rPr>
                <w:rFonts w:hint="eastAsia" w:ascii="仿宋" w:hAnsi="仿宋" w:eastAsia="仿宋" w:cs="仿宋"/>
                <w:sz w:val="22"/>
                <w:szCs w:val="20"/>
              </w:rPr>
              <w:t>见合同条款</w:t>
            </w:r>
          </w:p>
        </w:tc>
      </w:tr>
      <w:tr>
        <w:tblPrEx>
          <w:tblCellMar>
            <w:top w:w="0" w:type="dxa"/>
            <w:left w:w="108" w:type="dxa"/>
            <w:bottom w:w="0" w:type="dxa"/>
            <w:right w:w="108" w:type="dxa"/>
          </w:tblCellMar>
        </w:tblPrEx>
        <w:trPr>
          <w:trHeight w:val="1047"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7</w:t>
            </w:r>
          </w:p>
        </w:tc>
        <w:tc>
          <w:tcPr>
            <w:tcW w:w="15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kern w:val="0"/>
                <w:sz w:val="22"/>
                <w:szCs w:val="20"/>
                <w:highlight w:val="none"/>
              </w:rPr>
            </w:pPr>
            <w:r>
              <w:rPr>
                <w:rFonts w:hint="eastAsia" w:ascii="黑体" w:hAnsi="黑体" w:eastAsia="黑体" w:cs="黑体"/>
                <w:kern w:val="0"/>
                <w:sz w:val="22"/>
                <w:szCs w:val="20"/>
                <w:highlight w:val="none"/>
              </w:rPr>
              <w:t>付款方式</w:t>
            </w:r>
          </w:p>
        </w:tc>
        <w:tc>
          <w:tcPr>
            <w:tcW w:w="590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38" w:rightChars="-18" w:firstLine="440" w:firstLineChars="200"/>
              <w:textAlignment w:val="auto"/>
              <w:rPr>
                <w:rFonts w:hint="default" w:ascii="仿宋" w:hAnsi="仿宋" w:eastAsia="仿宋" w:cs="仿宋"/>
                <w:sz w:val="20"/>
                <w:szCs w:val="20"/>
                <w:highlight w:val="none"/>
                <w:lang w:val="en-US"/>
              </w:rPr>
            </w:pPr>
            <w:r>
              <w:rPr>
                <w:rFonts w:hint="eastAsia" w:ascii="仿宋" w:hAnsi="仿宋" w:eastAsia="仿宋" w:cs="仿宋"/>
                <w:i w:val="0"/>
                <w:iCs w:val="0"/>
                <w:caps w:val="0"/>
                <w:color w:val="000000"/>
                <w:spacing w:val="0"/>
                <w:sz w:val="22"/>
                <w:szCs w:val="22"/>
                <w:highlight w:val="none"/>
                <w:shd w:val="clear" w:fill="FFFFFF"/>
                <w:lang w:val="en-US" w:eastAsia="zh-CN"/>
              </w:rPr>
              <w:t>合同签订后，采购人支付合同金额的30%作为预付款，</w:t>
            </w:r>
            <w:r>
              <w:rPr>
                <w:rFonts w:ascii="仿宋" w:hAnsi="仿宋" w:eastAsia="仿宋" w:cs="仿宋"/>
                <w:i w:val="0"/>
                <w:iCs w:val="0"/>
                <w:caps w:val="0"/>
                <w:color w:val="000000"/>
                <w:spacing w:val="0"/>
                <w:sz w:val="22"/>
                <w:szCs w:val="22"/>
                <w:highlight w:val="none"/>
                <w:shd w:val="clear" w:fill="FFFFFF"/>
              </w:rPr>
              <w:t>工程竣工</w:t>
            </w:r>
            <w:r>
              <w:rPr>
                <w:rFonts w:hint="eastAsia" w:ascii="仿宋" w:hAnsi="仿宋" w:eastAsia="仿宋" w:cs="仿宋"/>
                <w:i w:val="0"/>
                <w:iCs w:val="0"/>
                <w:caps w:val="0"/>
                <w:color w:val="000000"/>
                <w:spacing w:val="0"/>
                <w:sz w:val="22"/>
                <w:szCs w:val="22"/>
                <w:highlight w:val="none"/>
                <w:shd w:val="clear" w:fill="FFFFFF"/>
                <w:lang w:val="en-US" w:eastAsia="zh-CN"/>
              </w:rPr>
              <w:t>并经验收合格后支付至合同金额的85%，</w:t>
            </w:r>
            <w:r>
              <w:rPr>
                <w:rFonts w:ascii="仿宋" w:hAnsi="仿宋" w:eastAsia="仿宋" w:cs="仿宋"/>
                <w:i w:val="0"/>
                <w:iCs w:val="0"/>
                <w:caps w:val="0"/>
                <w:color w:val="000000"/>
                <w:spacing w:val="0"/>
                <w:sz w:val="22"/>
                <w:szCs w:val="22"/>
                <w:highlight w:val="none"/>
                <w:shd w:val="clear" w:fill="FFFFFF"/>
              </w:rPr>
              <w:t>审计后</w:t>
            </w:r>
            <w:r>
              <w:rPr>
                <w:rFonts w:hint="eastAsia" w:ascii="仿宋" w:hAnsi="仿宋" w:eastAsia="仿宋" w:cs="仿宋"/>
                <w:i w:val="0"/>
                <w:iCs w:val="0"/>
                <w:caps w:val="0"/>
                <w:color w:val="000000"/>
                <w:spacing w:val="0"/>
                <w:sz w:val="22"/>
                <w:szCs w:val="22"/>
                <w:highlight w:val="none"/>
                <w:shd w:val="clear" w:fill="FFFFFF"/>
                <w:lang w:val="en-US" w:eastAsia="zh-CN"/>
              </w:rPr>
              <w:t>支付至审定</w:t>
            </w:r>
            <w:r>
              <w:rPr>
                <w:rFonts w:ascii="仿宋" w:hAnsi="仿宋" w:eastAsia="仿宋" w:cs="仿宋"/>
                <w:i w:val="0"/>
                <w:iCs w:val="0"/>
                <w:caps w:val="0"/>
                <w:color w:val="000000"/>
                <w:spacing w:val="0"/>
                <w:sz w:val="22"/>
                <w:szCs w:val="22"/>
                <w:highlight w:val="none"/>
                <w:shd w:val="clear" w:fill="FFFFFF"/>
              </w:rPr>
              <w:t>金额的</w:t>
            </w:r>
            <w:r>
              <w:rPr>
                <w:rFonts w:hint="eastAsia" w:ascii="仿宋" w:hAnsi="仿宋" w:eastAsia="仿宋" w:cs="仿宋"/>
                <w:i w:val="0"/>
                <w:iCs w:val="0"/>
                <w:caps w:val="0"/>
                <w:color w:val="000000"/>
                <w:spacing w:val="0"/>
                <w:sz w:val="22"/>
                <w:szCs w:val="22"/>
                <w:highlight w:val="none"/>
                <w:shd w:val="clear" w:fill="FFFFFF"/>
                <w:lang w:val="en-US" w:eastAsia="zh-CN"/>
              </w:rPr>
              <w:t>95</w:t>
            </w:r>
            <w:r>
              <w:rPr>
                <w:rFonts w:ascii="仿宋" w:hAnsi="仿宋" w:eastAsia="仿宋" w:cs="仿宋"/>
                <w:i w:val="0"/>
                <w:iCs w:val="0"/>
                <w:caps w:val="0"/>
                <w:color w:val="000000"/>
                <w:spacing w:val="0"/>
                <w:sz w:val="22"/>
                <w:szCs w:val="22"/>
                <w:highlight w:val="none"/>
                <w:shd w:val="clear" w:fill="FFFFFF"/>
              </w:rPr>
              <w:t>%</w:t>
            </w:r>
            <w:r>
              <w:rPr>
                <w:rFonts w:hint="eastAsia" w:ascii="仿宋" w:hAnsi="仿宋" w:eastAsia="仿宋" w:cs="仿宋"/>
                <w:i w:val="0"/>
                <w:iCs w:val="0"/>
                <w:caps w:val="0"/>
                <w:color w:val="000000"/>
                <w:spacing w:val="0"/>
                <w:sz w:val="22"/>
                <w:szCs w:val="22"/>
                <w:highlight w:val="none"/>
                <w:shd w:val="clear" w:fill="FFFFFF"/>
                <w:lang w:eastAsia="zh-CN"/>
              </w:rPr>
              <w:t>，</w:t>
            </w:r>
            <w:r>
              <w:rPr>
                <w:rFonts w:hint="eastAsia" w:ascii="仿宋" w:hAnsi="仿宋" w:eastAsia="仿宋" w:cs="仿宋"/>
                <w:i w:val="0"/>
                <w:iCs w:val="0"/>
                <w:caps w:val="0"/>
                <w:color w:val="000000"/>
                <w:spacing w:val="0"/>
                <w:sz w:val="22"/>
                <w:szCs w:val="22"/>
                <w:highlight w:val="none"/>
                <w:shd w:val="clear" w:fill="FFFFFF"/>
                <w:lang w:val="en-US" w:eastAsia="zh-CN"/>
              </w:rPr>
              <w:t>剩余5%作为质保金，缺陷责任期满后，采购人支付合同剩余金额。</w:t>
            </w:r>
          </w:p>
        </w:tc>
      </w:tr>
      <w:tr>
        <w:tblPrEx>
          <w:tblCellMar>
            <w:top w:w="0" w:type="dxa"/>
            <w:left w:w="108" w:type="dxa"/>
            <w:bottom w:w="0" w:type="dxa"/>
            <w:right w:w="108" w:type="dxa"/>
          </w:tblCellMar>
        </w:tblPrEx>
        <w:trPr>
          <w:trHeight w:val="1404"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sz w:val="22"/>
                <w:szCs w:val="20"/>
              </w:rPr>
            </w:pPr>
            <w:r>
              <w:rPr>
                <w:rFonts w:hint="eastAsia" w:ascii="黑体" w:hAnsi="黑体" w:eastAsia="黑体" w:cs="黑体"/>
                <w:sz w:val="22"/>
                <w:szCs w:val="20"/>
              </w:rPr>
              <w:t>8</w:t>
            </w:r>
          </w:p>
        </w:tc>
        <w:tc>
          <w:tcPr>
            <w:tcW w:w="1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 w:rightChars="10"/>
              <w:jc w:val="center"/>
              <w:textAlignment w:val="auto"/>
              <w:rPr>
                <w:rFonts w:ascii="黑体" w:hAnsi="黑体" w:eastAsia="黑体" w:cs="黑体"/>
                <w:kern w:val="0"/>
                <w:sz w:val="22"/>
                <w:szCs w:val="20"/>
              </w:rPr>
            </w:pPr>
            <w:r>
              <w:rPr>
                <w:rFonts w:hint="eastAsia" w:ascii="黑体" w:hAnsi="黑体" w:eastAsia="黑体" w:cs="黑体"/>
                <w:kern w:val="0"/>
                <w:sz w:val="22"/>
                <w:szCs w:val="20"/>
                <w:lang w:val="en-US" w:eastAsia="zh-CN"/>
              </w:rPr>
              <w:t>验收</w:t>
            </w:r>
          </w:p>
        </w:tc>
        <w:tc>
          <w:tcPr>
            <w:tcW w:w="59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105" w:rightChars="-50" w:firstLine="440" w:firstLineChars="200"/>
              <w:jc w:val="left"/>
              <w:textAlignment w:val="auto"/>
              <w:rPr>
                <w:rFonts w:hint="eastAsia" w:ascii="仿宋" w:hAnsi="仿宋" w:eastAsia="仿宋" w:cs="仿宋"/>
                <w:kern w:val="0"/>
                <w:sz w:val="22"/>
                <w:szCs w:val="20"/>
                <w:lang w:val="en-US"/>
              </w:rPr>
            </w:pPr>
            <w:r>
              <w:rPr>
                <w:rFonts w:hint="eastAsia" w:ascii="仿宋" w:hAnsi="仿宋" w:eastAsia="仿宋" w:cs="仿宋"/>
                <w:color w:val="auto"/>
                <w:kern w:val="0"/>
                <w:sz w:val="22"/>
                <w:szCs w:val="22"/>
                <w:highlight w:val="none"/>
                <w:lang w:val="en-US" w:eastAsia="zh-CN"/>
              </w:rPr>
              <w:t>采购人将参照《财政部关于进一步加强政府采购需求和履约验收管理的指导意见》（财库〔2016〕205号）、《政府采购需求管理办法》（财库〔2021〕22号）和其他政府采购相关法律法规以及成交供应商与采购人签订的采购合同的要求进行验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ZDE1ZDNkZDcyZDQ3MjA5OGFmMGZiYzI1Y2FmY2YifQ=="/>
  </w:docVars>
  <w:rsids>
    <w:rsidRoot w:val="643D25A6"/>
    <w:rsid w:val="643D2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4">
    <w:name w:val="Title"/>
    <w:basedOn w:val="1"/>
    <w:next w:val="1"/>
    <w:qFormat/>
    <w:uiPriority w:val="99"/>
    <w:pPr>
      <w:spacing w:before="240" w:after="60"/>
      <w:jc w:val="center"/>
      <w:outlineLvl w:val="0"/>
    </w:pPr>
    <w:rPr>
      <w:rFonts w:ascii="Cambria" w:hAnsi="Cambria" w:cs="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2023-02-14T01:40:00Z</dcterms:created>
  <dc:creator></dc:creator>
  <cp:lastModifiedBy></cp:lastModifiedBy>
  <dcterms:modified xsi:type="dcterms:W3CDTF">2023-02-14T01:41:01Z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8F824403D6244E53B31B50775B1FF173</vt:lpwstr>
  </property>
</Properties>
</file>