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440" w:lineRule="exact"/>
        <w:ind w:firstLine="480"/>
        <w:jc w:val="center"/>
        <w:rPr>
          <w:rFonts w:hint="default" w:ascii="宋体" w:hAnsi="宋体" w:eastAsia="宋体" w:cs="宋体"/>
          <w:color w:val="auto"/>
          <w:sz w:val="30"/>
          <w:szCs w:val="30"/>
          <w:lang w:val="en-US" w:eastAsia="zh-CN"/>
        </w:rPr>
      </w:pPr>
      <w:r>
        <w:rPr>
          <w:rFonts w:hint="eastAsia" w:ascii="宋体" w:hAnsi="宋体" w:cs="宋体"/>
          <w:b/>
          <w:color w:val="auto"/>
          <w:sz w:val="30"/>
          <w:szCs w:val="30"/>
        </w:rPr>
        <w:t>华侨大学餐饮服务中心大豆油供货商定点服务采购</w:t>
      </w:r>
      <w:r>
        <w:rPr>
          <w:rFonts w:hint="eastAsia" w:ascii="宋体" w:hAnsi="宋体" w:cs="宋体"/>
          <w:b/>
          <w:color w:val="auto"/>
          <w:sz w:val="30"/>
          <w:szCs w:val="30"/>
          <w:lang w:val="en-US" w:eastAsia="zh-CN"/>
        </w:rPr>
        <w:t>公开招标公告</w:t>
      </w:r>
    </w:p>
    <w:p>
      <w:pPr>
        <w:tabs>
          <w:tab w:val="left" w:pos="1080"/>
        </w:tabs>
        <w:spacing w:line="440" w:lineRule="exact"/>
        <w:ind w:firstLine="480"/>
        <w:rPr>
          <w:rFonts w:hint="eastAsia" w:ascii="宋体" w:hAnsi="宋体" w:cs="宋体"/>
          <w:color w:val="auto"/>
          <w:sz w:val="24"/>
        </w:rPr>
      </w:pPr>
    </w:p>
    <w:p>
      <w:pPr>
        <w:tabs>
          <w:tab w:val="left" w:pos="1080"/>
        </w:tabs>
        <w:spacing w:line="440" w:lineRule="exact"/>
        <w:ind w:firstLine="480"/>
        <w:rPr>
          <w:rFonts w:ascii="宋体" w:hAnsi="宋体" w:cs="宋体"/>
          <w:color w:val="auto"/>
          <w:sz w:val="24"/>
        </w:rPr>
      </w:pPr>
      <w:r>
        <w:rPr>
          <w:rFonts w:hint="eastAsia" w:ascii="宋体" w:hAnsi="宋体" w:cs="宋体"/>
          <w:color w:val="auto"/>
          <w:sz w:val="24"/>
        </w:rPr>
        <w:t>受</w:t>
      </w:r>
      <w:r>
        <w:rPr>
          <w:rFonts w:hint="eastAsia" w:ascii="宋体" w:hAnsi="宋体" w:cs="宋体"/>
          <w:b/>
          <w:color w:val="auto"/>
          <w:sz w:val="24"/>
        </w:rPr>
        <w:t>华侨大学</w:t>
      </w:r>
      <w:r>
        <w:rPr>
          <w:rFonts w:hint="eastAsia" w:ascii="宋体" w:hAnsi="宋体" w:cs="宋体"/>
          <w:color w:val="auto"/>
          <w:sz w:val="24"/>
        </w:rPr>
        <w:t>委托，我司就</w:t>
      </w:r>
      <w:r>
        <w:rPr>
          <w:rFonts w:hint="eastAsia" w:ascii="宋体" w:hAnsi="宋体" w:cs="宋体"/>
          <w:b/>
          <w:color w:val="auto"/>
          <w:sz w:val="24"/>
        </w:rPr>
        <w:t>华侨大学餐饮服务中心大豆油供货商定点服务采购</w:t>
      </w:r>
      <w:r>
        <w:rPr>
          <w:rFonts w:hint="eastAsia" w:ascii="宋体" w:hAnsi="宋体" w:cs="宋体"/>
          <w:color w:val="auto"/>
          <w:sz w:val="24"/>
        </w:rPr>
        <w:t>进行公开招标，</w:t>
      </w:r>
      <w:r>
        <w:rPr>
          <w:rFonts w:hint="eastAsia" w:ascii="宋体" w:hAnsi="宋体"/>
          <w:color w:val="auto"/>
          <w:sz w:val="24"/>
        </w:rPr>
        <w:t>现欢迎国内合格的投标人前来投标。</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一、招标编号：2023CGZXGKZB0002</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二、招标货物名称、数量及主要技术规格：见后附招标货物（服务）一览表</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三、投标人条件：</w:t>
      </w:r>
    </w:p>
    <w:p>
      <w:pPr>
        <w:tabs>
          <w:tab w:val="left" w:pos="482"/>
        </w:tabs>
        <w:spacing w:line="440" w:lineRule="exact"/>
        <w:ind w:firstLine="464" w:firstLineChars="200"/>
        <w:rPr>
          <w:rFonts w:ascii="宋体" w:hAnsi="宋体"/>
          <w:color w:val="auto"/>
          <w:sz w:val="24"/>
        </w:rPr>
      </w:pPr>
      <w:r>
        <w:rPr>
          <w:rFonts w:hint="eastAsia" w:ascii="宋体" w:hAnsi="宋体"/>
          <w:color w:val="auto"/>
          <w:spacing w:val="-4"/>
          <w:sz w:val="24"/>
        </w:rPr>
        <w:t>1.</w:t>
      </w:r>
      <w:r>
        <w:rPr>
          <w:rFonts w:ascii="宋体" w:hAnsi="宋体"/>
          <w:color w:val="auto"/>
          <w:sz w:val="24"/>
        </w:rPr>
        <w:t>投标人应当具备《中华人民共和国政府采购法》第二十二条第一款规定的基本条件</w:t>
      </w:r>
      <w:r>
        <w:rPr>
          <w:rFonts w:hint="eastAsia" w:ascii="宋体" w:hAnsi="宋体"/>
          <w:color w:val="auto"/>
          <w:sz w:val="24"/>
        </w:rPr>
        <w:t>。</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2.投标人不得被列入“信用中国（www.creditchina.gov.cn）”失信被执行人、重大税收违法案件当事人名单、政府采购严重违法失信名单；投标人不得被列入“中国政府采购网（www.ccgp.gov.cn）”政府采购严重违法失信行为记录名单。</w:t>
      </w:r>
    </w:p>
    <w:p>
      <w:pPr>
        <w:tabs>
          <w:tab w:val="left" w:pos="482"/>
        </w:tabs>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3.投标人须具备合格有效的政府主管部门颁布的食品经营许可证或工业产品生产许可证（须提供有效证书复印件)</w:t>
      </w:r>
      <w:r>
        <w:rPr>
          <w:rFonts w:hint="eastAsia" w:ascii="宋体" w:hAnsi="宋体"/>
          <w:color w:val="auto"/>
          <w:sz w:val="24"/>
          <w:lang w:eastAsia="zh-CN"/>
        </w:rPr>
        <w:t>。</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4.落实政府采购政策的证明材料（专门面向中小企业采购）：</w:t>
      </w:r>
    </w:p>
    <w:p>
      <w:pPr>
        <w:tabs>
          <w:tab w:val="left" w:pos="482"/>
        </w:tabs>
        <w:spacing w:line="440" w:lineRule="exact"/>
        <w:ind w:firstLine="480" w:firstLineChars="200"/>
        <w:rPr>
          <w:rFonts w:ascii="宋体" w:hAnsi="宋体"/>
          <w:color w:val="auto"/>
          <w:sz w:val="24"/>
        </w:rPr>
      </w:pPr>
      <w:r>
        <w:rPr>
          <w:rFonts w:ascii="宋体" w:hAnsi="宋体"/>
          <w:color w:val="auto"/>
          <w:sz w:val="24"/>
        </w:rPr>
        <w:t>①</w:t>
      </w:r>
      <w:r>
        <w:rPr>
          <w:rFonts w:hint="eastAsia" w:ascii="宋体" w:hAnsi="宋体"/>
          <w:color w:val="auto"/>
          <w:sz w:val="24"/>
        </w:rPr>
        <w:t>根据《政府采购促进中小企业发展管理办法》（财库〔2020〕46号），本项目为专门面向中小微企业采购项目。本项目为服务类采购项目，对应的中小企业划分标准所属行业为“其他未列明行业”。</w:t>
      </w:r>
      <w:r>
        <w:rPr>
          <w:rFonts w:ascii="宋体" w:hAnsi="宋体"/>
          <w:color w:val="auto"/>
          <w:sz w:val="24"/>
        </w:rPr>
        <w:t>②</w:t>
      </w:r>
      <w:r>
        <w:rPr>
          <w:rFonts w:hint="eastAsia" w:ascii="宋体" w:hAnsi="宋体"/>
          <w:color w:val="auto"/>
          <w:sz w:val="24"/>
        </w:rPr>
        <w:t>投标人须提供《中小企业声明函》（服务）（见格式）并声明其提供的服务由中小微企业承接。投标人应认真对照《工业和信息化部、国家统计局、国家发展和改革委员会、财政部关于印发中小企业划型标准规定的通知》（工信部联企业[2011]300号）规定的划分标准，准确划分企业类型。若投标人提供的《中小企业声明函》中填写的行业与招标文件中明确的采购标的对应的中小企业划分标准所属行业不一致，则不予认定为中小企业。</w:t>
      </w:r>
      <w:r>
        <w:rPr>
          <w:rFonts w:ascii="宋体" w:hAnsi="宋体"/>
          <w:color w:val="auto"/>
          <w:sz w:val="24"/>
        </w:rPr>
        <w:t>③</w:t>
      </w:r>
      <w:r>
        <w:rPr>
          <w:rFonts w:hint="eastAsia" w:ascii="宋体" w:hAnsi="宋体"/>
          <w:color w:val="auto"/>
          <w:sz w:val="24"/>
        </w:rPr>
        <w:t>监狱企业视同小型、微型企业，供应商为监狱企业的，可不提供中小企业声明函，但须提供由省级以上监狱管理局、戒毒管理局（含新疆生产建设兵团）出具的属于监狱企业的证明文件。④残疾人福利性单位视同小型、微型企业，供应商为残疾人福利性单位的，可不提供中小企业声明函，但须提供的《残疾人福利性单位声明函》。</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5.具备法律、行政法规规定的其他条件。</w:t>
      </w:r>
    </w:p>
    <w:p>
      <w:pPr>
        <w:tabs>
          <w:tab w:val="left" w:pos="482"/>
        </w:tabs>
        <w:spacing w:line="440" w:lineRule="exact"/>
        <w:ind w:firstLine="480" w:firstLineChars="200"/>
        <w:rPr>
          <w:rFonts w:ascii="宋体" w:hAnsi="宋体"/>
          <w:color w:val="auto"/>
          <w:sz w:val="24"/>
        </w:rPr>
      </w:pPr>
      <w:r>
        <w:rPr>
          <w:rFonts w:hint="eastAsia" w:ascii="宋体" w:hAnsi="宋体"/>
          <w:color w:val="auto"/>
          <w:sz w:val="24"/>
        </w:rPr>
        <w:t>6.本项目不接受联合体投标。</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四、招标文件发售时间（即购买招标文件时间及报名时间）：即日起至202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06</w:t>
      </w:r>
      <w:r>
        <w:rPr>
          <w:rFonts w:hint="eastAsia" w:ascii="宋体" w:hAnsi="宋体" w:cs="宋体"/>
          <w:color w:val="auto"/>
          <w:sz w:val="24"/>
        </w:rPr>
        <w:t>日下午17：30止，节假日除外的上班时间（北京时间，下同），逾期代理机构将不接受报名。邮寄购买的以款到我司账户的时间为准。招标文件每份售价200元，招标文件售后不退。</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五、投标截止时间：</w:t>
      </w:r>
      <w:bookmarkStart w:id="0" w:name="OLE_LINK1"/>
      <w:bookmarkEnd w:id="0"/>
      <w:r>
        <w:rPr>
          <w:rFonts w:ascii="宋体" w:hAnsi="宋体" w:cs="宋体"/>
          <w:color w:val="auto"/>
          <w:sz w:val="24"/>
        </w:rPr>
        <w:t>投标文件应于</w:t>
      </w: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：00时（北京时间）</w:t>
      </w:r>
      <w:r>
        <w:rPr>
          <w:rFonts w:ascii="宋体" w:hAnsi="宋体" w:cs="宋体"/>
          <w:color w:val="auto"/>
          <w:sz w:val="24"/>
        </w:rPr>
        <w:t>之前提交到</w:t>
      </w:r>
      <w:r>
        <w:rPr>
          <w:rFonts w:ascii="宋体" w:hAnsi="宋体" w:cs="宋体"/>
          <w:b/>
          <w:color w:val="auto"/>
          <w:sz w:val="24"/>
        </w:rPr>
        <w:t>福建诚信招标咨询集团有限公司（</w:t>
      </w:r>
      <w:r>
        <w:rPr>
          <w:rFonts w:hint="eastAsia" w:ascii="宋体" w:hAnsi="宋体" w:cs="宋体"/>
          <w:b/>
          <w:color w:val="auto"/>
          <w:sz w:val="24"/>
        </w:rPr>
        <w:t>泉州市泉秀街135号丰泽区中介服务产业园诚信大厦 5楼</w:t>
      </w:r>
      <w:r>
        <w:rPr>
          <w:rFonts w:ascii="宋体" w:hAnsi="宋体" w:cs="宋体"/>
          <w:b/>
          <w:color w:val="auto"/>
          <w:sz w:val="24"/>
        </w:rPr>
        <w:t>）</w:t>
      </w:r>
      <w:r>
        <w:rPr>
          <w:rFonts w:ascii="宋体" w:hAnsi="宋体" w:cs="宋体"/>
          <w:color w:val="auto"/>
          <w:sz w:val="24"/>
        </w:rPr>
        <w:t>，逾期收到的或不符合规定的投标文件将被拒绝。</w:t>
      </w:r>
    </w:p>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六、开标时间：202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02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：00时（北京时间）。</w:t>
      </w:r>
    </w:p>
    <w:p>
      <w:pPr>
        <w:spacing w:line="440" w:lineRule="exact"/>
        <w:ind w:firstLine="480"/>
        <w:rPr>
          <w:rFonts w:ascii="宋体" w:hAnsi="宋体" w:cs="宋体"/>
          <w:color w:val="auto"/>
          <w:sz w:val="24"/>
        </w:rPr>
      </w:pPr>
      <w:r>
        <w:rPr>
          <w:rFonts w:hint="eastAsia" w:ascii="宋体" w:hAnsi="宋体" w:cs="宋体"/>
          <w:color w:val="auto"/>
          <w:sz w:val="24"/>
        </w:rPr>
        <w:t>七、开标地点：</w:t>
      </w:r>
      <w:r>
        <w:rPr>
          <w:rFonts w:ascii="宋体" w:hAnsi="宋体" w:cs="宋体"/>
          <w:b/>
          <w:color w:val="auto"/>
          <w:sz w:val="24"/>
        </w:rPr>
        <w:t>福建诚信招标咨询集团有限公司（</w:t>
      </w:r>
      <w:r>
        <w:rPr>
          <w:rFonts w:hint="eastAsia" w:ascii="宋体" w:hAnsi="宋体" w:cs="宋体"/>
          <w:b/>
          <w:color w:val="auto"/>
          <w:sz w:val="24"/>
        </w:rPr>
        <w:t>泉州市泉秀街135号丰泽区中介服务产业园诚信大厦 5楼</w:t>
      </w:r>
      <w:r>
        <w:rPr>
          <w:rFonts w:ascii="宋体" w:hAnsi="宋体" w:cs="宋体"/>
          <w:b/>
          <w:color w:val="auto"/>
          <w:sz w:val="24"/>
        </w:rPr>
        <w:t>）</w:t>
      </w:r>
      <w:r>
        <w:rPr>
          <w:rFonts w:hint="eastAsia" w:ascii="宋体" w:hAnsi="宋体" w:cs="宋体"/>
          <w:color w:val="auto"/>
          <w:sz w:val="24"/>
        </w:rPr>
        <w:t>。</w:t>
      </w:r>
    </w:p>
    <w:p>
      <w:pPr>
        <w:snapToGrid w:val="0"/>
        <w:spacing w:line="440" w:lineRule="exact"/>
        <w:ind w:firstLine="480" w:firstLineChars="200"/>
        <w:rPr>
          <w:rFonts w:ascii="宋体" w:hAnsi="宋体"/>
          <w:color w:val="auto"/>
          <w:sz w:val="24"/>
        </w:rPr>
      </w:pPr>
      <w:r>
        <w:rPr>
          <w:rFonts w:hint="eastAsia" w:ascii="宋体" w:hAnsi="宋体"/>
          <w:color w:val="auto"/>
          <w:sz w:val="24"/>
        </w:rPr>
        <w:t>八、根据《中华人民共和国政府采购法》第五十二条规定，供应商认为招标文件、采购过程和中标、成交结果使自己的权益受到损害的，可以在知道或者应知其权益受到损害之日起七个工作日内，以书面形式向采购人或采购代理机构提出质疑，口头质疑不予接受</w:t>
      </w:r>
      <w:r>
        <w:rPr>
          <w:rFonts w:ascii="宋体" w:hAnsi="宋体"/>
          <w:color w:val="auto"/>
          <w:sz w:val="24"/>
        </w:rPr>
        <w:t>。</w:t>
      </w:r>
      <w:r>
        <w:rPr>
          <w:rFonts w:hint="eastAsia" w:ascii="宋体" w:hAnsi="宋体"/>
          <w:color w:val="auto"/>
          <w:sz w:val="24"/>
        </w:rPr>
        <w:t>根据</w:t>
      </w:r>
      <w:r>
        <w:rPr>
          <w:rFonts w:ascii="宋体" w:hAnsi="宋体" w:cs="宋体"/>
          <w:color w:val="auto"/>
          <w:sz w:val="24"/>
          <w:szCs w:val="24"/>
        </w:rPr>
        <w:t>《政府采购质疑和投诉办法</w:t>
      </w:r>
      <w:r>
        <w:rPr>
          <w:rFonts w:hint="eastAsia" w:ascii="宋体" w:hAnsi="宋体"/>
          <w:color w:val="auto"/>
          <w:sz w:val="24"/>
        </w:rPr>
        <w:t>》</w:t>
      </w:r>
      <w:r>
        <w:rPr>
          <w:rFonts w:ascii="宋体" w:hAnsi="宋体" w:cs="宋体"/>
          <w:color w:val="auto"/>
          <w:sz w:val="24"/>
          <w:szCs w:val="24"/>
        </w:rPr>
        <w:t>财政部令第94号</w:t>
      </w:r>
      <w:r>
        <w:rPr>
          <w:rFonts w:hint="eastAsia" w:ascii="宋体" w:hAnsi="宋体" w:cs="宋体"/>
          <w:color w:val="auto"/>
          <w:sz w:val="24"/>
          <w:szCs w:val="24"/>
        </w:rPr>
        <w:t>规定“采购文件可以要求供应商在法定质疑期内一次性提出针对同一采购程序环节的质疑。”，因此本项目</w:t>
      </w:r>
      <w:r>
        <w:rPr>
          <w:rFonts w:ascii="宋体" w:hAnsi="宋体" w:cs="宋体"/>
          <w:color w:val="auto"/>
          <w:sz w:val="24"/>
          <w:szCs w:val="24"/>
        </w:rPr>
        <w:t>在法定质疑期内供应商须一次性提出针对同一采购程序环节的质疑，二（多）次质疑不予受理，采购代理机构或采购人只针对第一次有效质疑进行答复。</w:t>
      </w:r>
      <w:r>
        <w:rPr>
          <w:rFonts w:hint="eastAsia" w:ascii="宋体" w:hAnsi="宋体"/>
          <w:color w:val="auto"/>
          <w:sz w:val="24"/>
        </w:rPr>
        <w:t>”</w:t>
      </w:r>
    </w:p>
    <w:p>
      <w:pPr>
        <w:snapToGrid w:val="0"/>
        <w:spacing w:line="440" w:lineRule="exact"/>
        <w:ind w:firstLine="480" w:firstLineChars="200"/>
        <w:rPr>
          <w:rFonts w:hAnsi="宋体"/>
          <w:color w:val="auto"/>
          <w:sz w:val="24"/>
        </w:rPr>
      </w:pPr>
      <w:r>
        <w:rPr>
          <w:rFonts w:hint="eastAsia" w:ascii="宋体" w:hAnsi="宋体"/>
          <w:color w:val="auto"/>
          <w:sz w:val="24"/>
        </w:rPr>
        <w:t>九、</w:t>
      </w:r>
      <w:r>
        <w:rPr>
          <w:rFonts w:ascii="宋体" w:hAnsi="宋体"/>
          <w:color w:val="auto"/>
          <w:sz w:val="24"/>
        </w:rPr>
        <w:t>招标文件如有变更（如：答疑文件、补充通知、延期通知、最高采购限价通知等），</w:t>
      </w:r>
      <w:r>
        <w:rPr>
          <w:rFonts w:hint="eastAsia" w:ascii="宋体" w:hAnsi="宋体"/>
          <w:color w:val="auto"/>
          <w:sz w:val="24"/>
        </w:rPr>
        <w:t>采购</w:t>
      </w:r>
      <w:r>
        <w:rPr>
          <w:rFonts w:ascii="宋体" w:hAnsi="宋体"/>
          <w:color w:val="auto"/>
          <w:sz w:val="24"/>
        </w:rPr>
        <w:t>代理机构将通过发出书面通知（以传真或E-MAIL的形式</w:t>
      </w:r>
      <w:r>
        <w:rPr>
          <w:rFonts w:hAnsi="宋体"/>
          <w:color w:val="auto"/>
          <w:sz w:val="24"/>
        </w:rPr>
        <w:t>）或在原信息发布媒体上发布通知，请投标人关注并及时下载。</w:t>
      </w:r>
    </w:p>
    <w:p>
      <w:pPr>
        <w:snapToGrid w:val="0"/>
        <w:spacing w:line="440" w:lineRule="exact"/>
        <w:ind w:firstLine="446"/>
        <w:rPr>
          <w:color w:val="auto"/>
        </w:rPr>
      </w:pPr>
      <w:r>
        <w:rPr>
          <w:rFonts w:hint="eastAsia" w:ascii="宋体" w:hAnsi="宋体"/>
          <w:color w:val="auto"/>
          <w:sz w:val="24"/>
        </w:rPr>
        <w:t>十、采购人联系人：洪老师     联系电话：</w:t>
      </w:r>
      <w:r>
        <w:rPr>
          <w:rFonts w:hint="eastAsia" w:ascii="宋体" w:hAnsi="宋体" w:cs="宋体"/>
          <w:color w:val="auto"/>
          <w:sz w:val="24"/>
          <w:szCs w:val="24"/>
        </w:rPr>
        <w:t>0595-22693878　</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十一、投标有关事宜联系人及方法：</w:t>
      </w:r>
    </w:p>
    <w:tbl>
      <w:tblPr>
        <w:tblStyle w:val="3"/>
        <w:tblW w:w="9158" w:type="dxa"/>
        <w:tblInd w:w="108" w:type="dxa"/>
        <w:tblLayout w:type="autofit"/>
        <w:tblCellMar>
          <w:top w:w="0" w:type="dxa"/>
          <w:left w:w="0" w:type="dxa"/>
          <w:bottom w:w="0" w:type="dxa"/>
          <w:right w:w="0" w:type="dxa"/>
        </w:tblCellMar>
      </w:tblPr>
      <w:tblGrid>
        <w:gridCol w:w="886"/>
        <w:gridCol w:w="1280"/>
        <w:gridCol w:w="1414"/>
        <w:gridCol w:w="3731"/>
        <w:gridCol w:w="1847"/>
      </w:tblGrid>
      <w:tr>
        <w:tblPrEx>
          <w:tblCellMar>
            <w:top w:w="0" w:type="dxa"/>
            <w:left w:w="0" w:type="dxa"/>
            <w:bottom w:w="0" w:type="dxa"/>
            <w:right w:w="0" w:type="dxa"/>
          </w:tblCellMar>
        </w:tblPrEx>
        <w:trPr>
          <w:trHeight w:val="176" w:hRule="atLeast"/>
          <w:tblHeader/>
        </w:trPr>
        <w:tc>
          <w:tcPr>
            <w:tcW w:w="886" w:type="dxa"/>
            <w:tcBorders>
              <w:top w:val="thinThickSmallGap" w:color="000000" w:sz="12"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序号</w:t>
            </w:r>
          </w:p>
        </w:tc>
        <w:tc>
          <w:tcPr>
            <w:tcW w:w="1280" w:type="dxa"/>
            <w:tcBorders>
              <w:top w:val="thinThickSmallGap" w:color="000000" w:sz="12"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职务分工</w:t>
            </w:r>
          </w:p>
        </w:tc>
        <w:tc>
          <w:tcPr>
            <w:tcW w:w="1414" w:type="dxa"/>
            <w:tcBorders>
              <w:top w:val="thinThickSmallGap" w:color="000000" w:sz="12"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联系人</w:t>
            </w:r>
          </w:p>
        </w:tc>
        <w:tc>
          <w:tcPr>
            <w:tcW w:w="3731" w:type="dxa"/>
            <w:tcBorders>
              <w:top w:val="thinThickSmallGap" w:color="000000" w:sz="12"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职责范围</w:t>
            </w:r>
          </w:p>
        </w:tc>
        <w:tc>
          <w:tcPr>
            <w:tcW w:w="1847" w:type="dxa"/>
            <w:tcBorders>
              <w:top w:val="thinThickSmallGap" w:color="000000" w:sz="12"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b/>
                <w:color w:val="auto"/>
                <w:kern w:val="1"/>
                <w:sz w:val="24"/>
                <w:szCs w:val="22"/>
              </w:rPr>
            </w:pPr>
            <w:r>
              <w:rPr>
                <w:rFonts w:hint="eastAsia" w:ascii="宋体" w:hAnsi="宋体" w:cs="宋体"/>
                <w:b/>
                <w:color w:val="auto"/>
                <w:kern w:val="1"/>
                <w:sz w:val="24"/>
                <w:szCs w:val="22"/>
              </w:rPr>
              <w:t>联系电话</w:t>
            </w:r>
          </w:p>
        </w:tc>
      </w:tr>
      <w:tr>
        <w:tblPrEx>
          <w:tblCellMar>
            <w:top w:w="0" w:type="dxa"/>
            <w:left w:w="0" w:type="dxa"/>
            <w:bottom w:w="0" w:type="dxa"/>
            <w:right w:w="0" w:type="dxa"/>
          </w:tblCellMar>
        </w:tblPrEx>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1</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项目经办</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小林、小陈</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负责招标文件的咨询、答疑等工作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blPrEx>
          <w:tblCellMar>
            <w:top w:w="0" w:type="dxa"/>
            <w:left w:w="0" w:type="dxa"/>
            <w:bottom w:w="0" w:type="dxa"/>
            <w:right w:w="0" w:type="dxa"/>
          </w:tblCellMar>
        </w:tblPrEx>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2</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总台</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小许</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负责受理报名、招标文件出售（邮寄），服务费收取等工作。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blPrEx>
          <w:tblCellMar>
            <w:top w:w="0" w:type="dxa"/>
            <w:left w:w="0" w:type="dxa"/>
            <w:bottom w:w="0" w:type="dxa"/>
            <w:right w:w="0" w:type="dxa"/>
          </w:tblCellMar>
        </w:tblPrEx>
        <w:trPr>
          <w:trHeight w:val="314" w:hRule="atLeast"/>
        </w:trPr>
        <w:tc>
          <w:tcPr>
            <w:tcW w:w="886" w:type="dxa"/>
            <w:tcBorders>
              <w:top w:val="single" w:color="000000" w:sz="6" w:space="0"/>
              <w:left w:val="thinThickSmallGap" w:color="000000" w:sz="12" w:space="0"/>
              <w:bottom w:val="single" w:color="000000" w:sz="6" w:space="0"/>
              <w:right w:val="single" w:color="000000" w:sz="6" w:space="0"/>
            </w:tcBorders>
            <w:tcMar>
              <w:left w:w="108" w:type="dxa"/>
              <w:right w:w="108"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3</w:t>
            </w:r>
          </w:p>
        </w:tc>
        <w:tc>
          <w:tcPr>
            <w:tcW w:w="1280"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财务</w:t>
            </w:r>
          </w:p>
        </w:tc>
        <w:tc>
          <w:tcPr>
            <w:tcW w:w="1414" w:type="dxa"/>
            <w:tcBorders>
              <w:top w:val="single" w:color="000000" w:sz="6" w:space="0"/>
              <w:left w:val="single" w:color="000000" w:sz="4" w:space="0"/>
              <w:bottom w:val="single" w:color="000000" w:sz="6" w:space="0"/>
              <w:right w:val="single" w:color="000000" w:sz="4"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小庄</w:t>
            </w:r>
          </w:p>
        </w:tc>
        <w:tc>
          <w:tcPr>
            <w:tcW w:w="3731" w:type="dxa"/>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负责保证金收退等咨询工作</w:t>
            </w:r>
          </w:p>
        </w:tc>
        <w:tc>
          <w:tcPr>
            <w:tcW w:w="1847" w:type="dxa"/>
            <w:tcBorders>
              <w:top w:val="single" w:color="000000" w:sz="6" w:space="0"/>
              <w:left w:val="single" w:color="000000" w:sz="6" w:space="0"/>
              <w:bottom w:val="single" w:color="000000" w:sz="6" w:space="0"/>
              <w:right w:val="thickThinSmallGap" w:color="000000" w:sz="12"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0595-22507198、22507298</w:t>
            </w:r>
          </w:p>
        </w:tc>
      </w:tr>
      <w:tr>
        <w:tblPrEx>
          <w:tblCellMar>
            <w:top w:w="0" w:type="dxa"/>
            <w:left w:w="0" w:type="dxa"/>
            <w:bottom w:w="0" w:type="dxa"/>
            <w:right w:w="0" w:type="dxa"/>
          </w:tblCellMar>
        </w:tblPrEx>
        <w:trPr>
          <w:trHeight w:val="160" w:hRule="atLeast"/>
        </w:trPr>
        <w:tc>
          <w:tcPr>
            <w:tcW w:w="9158" w:type="dxa"/>
            <w:gridSpan w:val="5"/>
            <w:tcBorders>
              <w:top w:val="single" w:color="000000" w:sz="6" w:space="0"/>
              <w:left w:val="thinThickSmallGap" w:color="000000" w:sz="12" w:space="0"/>
              <w:bottom w:val="single" w:color="000000" w:sz="6" w:space="0"/>
              <w:right w:val="thickThinSmallGap" w:color="000000" w:sz="12" w:space="0"/>
            </w:tcBorders>
            <w:tcMar>
              <w:left w:w="108" w:type="dxa"/>
              <w:right w:w="108" w:type="dxa"/>
            </w:tcMar>
            <w:vAlign w:val="center"/>
          </w:tcPr>
          <w:p>
            <w:pPr>
              <w:spacing w:line="400" w:lineRule="exact"/>
              <w:rPr>
                <w:rFonts w:ascii="宋体" w:hAnsi="宋体" w:cs="宋体"/>
                <w:color w:val="auto"/>
                <w:kern w:val="1"/>
                <w:sz w:val="24"/>
                <w:szCs w:val="22"/>
              </w:rPr>
            </w:pPr>
            <w:r>
              <w:rPr>
                <w:rFonts w:hint="eastAsia" w:ascii="宋体" w:hAnsi="宋体" w:cs="宋体"/>
                <w:color w:val="auto"/>
                <w:kern w:val="1"/>
                <w:sz w:val="24"/>
                <w:szCs w:val="22"/>
              </w:rPr>
              <w:t>公司传真：0595-22507398</w:t>
            </w:r>
          </w:p>
        </w:tc>
      </w:tr>
      <w:tr>
        <w:tblPrEx>
          <w:tblCellMar>
            <w:top w:w="0" w:type="dxa"/>
            <w:left w:w="0" w:type="dxa"/>
            <w:bottom w:w="0" w:type="dxa"/>
            <w:right w:w="0" w:type="dxa"/>
          </w:tblCellMar>
        </w:tblPrEx>
        <w:trPr>
          <w:trHeight w:val="181" w:hRule="atLeast"/>
        </w:trPr>
        <w:tc>
          <w:tcPr>
            <w:tcW w:w="9158" w:type="dxa"/>
            <w:gridSpan w:val="5"/>
            <w:tcBorders>
              <w:top w:val="single" w:color="000000" w:sz="6" w:space="0"/>
              <w:left w:val="thinThickSmallGap" w:color="000000" w:sz="12" w:space="0"/>
              <w:bottom w:val="thickThinSmallGap" w:color="000000" w:sz="12" w:space="0"/>
              <w:right w:val="thickThinSmallGap" w:color="000000" w:sz="12" w:space="0"/>
            </w:tcBorders>
            <w:tcMar>
              <w:left w:w="108" w:type="dxa"/>
              <w:right w:w="108" w:type="dxa"/>
            </w:tcMar>
            <w:vAlign w:val="center"/>
          </w:tcPr>
          <w:p>
            <w:pPr>
              <w:spacing w:line="400" w:lineRule="exact"/>
              <w:rPr>
                <w:rFonts w:ascii="宋体" w:hAnsi="宋体" w:cs="宋体"/>
                <w:color w:val="auto"/>
                <w:kern w:val="1"/>
                <w:sz w:val="24"/>
                <w:szCs w:val="22"/>
              </w:rPr>
            </w:pPr>
            <w:r>
              <w:rPr>
                <w:rFonts w:hint="eastAsia" w:ascii="宋体" w:hAnsi="宋体" w:cs="宋体"/>
                <w:color w:val="auto"/>
                <w:kern w:val="1"/>
                <w:sz w:val="24"/>
                <w:szCs w:val="22"/>
              </w:rPr>
              <w:t>项目联系邮箱：</w:t>
            </w:r>
            <w:r>
              <w:rPr>
                <w:rFonts w:hint="eastAsia" w:ascii="宋体" w:hAnsi="宋体" w:cs="宋体"/>
                <w:color w:val="auto"/>
                <w:kern w:val="1"/>
                <w:sz w:val="24"/>
                <w:szCs w:val="22"/>
                <w:u w:val="single"/>
              </w:rPr>
              <w:t>fjcxzb@163.com</w:t>
            </w:r>
          </w:p>
        </w:tc>
      </w:tr>
    </w:tbl>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十二、投标保证金、招标文件、服务费缴交账户：</w:t>
      </w:r>
    </w:p>
    <w:tbl>
      <w:tblPr>
        <w:tblStyle w:val="3"/>
        <w:tblW w:w="9119" w:type="dxa"/>
        <w:tblInd w:w="108" w:type="dxa"/>
        <w:tblLayout w:type="autofit"/>
        <w:tblCellMar>
          <w:top w:w="0" w:type="dxa"/>
          <w:left w:w="108" w:type="dxa"/>
          <w:bottom w:w="0" w:type="dxa"/>
          <w:right w:w="108" w:type="dxa"/>
        </w:tblCellMar>
      </w:tblPr>
      <w:tblGrid>
        <w:gridCol w:w="1953"/>
        <w:gridCol w:w="7166"/>
      </w:tblGrid>
      <w:tr>
        <w:tblPrEx>
          <w:tblCellMar>
            <w:top w:w="0" w:type="dxa"/>
            <w:left w:w="108" w:type="dxa"/>
            <w:bottom w:w="0" w:type="dxa"/>
            <w:right w:w="108" w:type="dxa"/>
          </w:tblCellMar>
        </w:tblPrEx>
        <w:trPr>
          <w:trHeight w:val="488" w:hRule="atLeast"/>
        </w:trPr>
        <w:tc>
          <w:tcPr>
            <w:tcW w:w="1953" w:type="dxa"/>
            <w:tcBorders>
              <w:top w:val="thinThickSmallGap" w:color="000000" w:sz="12"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开 户 行</w:t>
            </w:r>
          </w:p>
        </w:tc>
        <w:tc>
          <w:tcPr>
            <w:tcW w:w="7166" w:type="dxa"/>
            <w:tcBorders>
              <w:top w:val="thinThickSmallGap" w:color="000000" w:sz="12"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泉州农村商业银行股份有限公司营业部</w:t>
            </w:r>
          </w:p>
        </w:tc>
      </w:tr>
      <w:tr>
        <w:tblPrEx>
          <w:tblCellMar>
            <w:top w:w="0" w:type="dxa"/>
            <w:left w:w="108" w:type="dxa"/>
            <w:bottom w:w="0" w:type="dxa"/>
            <w:right w:w="108" w:type="dxa"/>
          </w:tblCellMar>
        </w:tblPrEx>
        <w:trPr>
          <w:trHeight w:val="446" w:hRule="atLeast"/>
        </w:trPr>
        <w:tc>
          <w:tcPr>
            <w:tcW w:w="1953" w:type="dxa"/>
            <w:tcBorders>
              <w:top w:val="single" w:color="000000" w:sz="6"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账    号</w:t>
            </w:r>
          </w:p>
        </w:tc>
        <w:tc>
          <w:tcPr>
            <w:tcW w:w="7166" w:type="dxa"/>
            <w:tcBorders>
              <w:top w:val="single" w:color="000000" w:sz="6"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ascii="宋体" w:hAnsi="宋体" w:cs="宋体"/>
                <w:color w:val="auto"/>
                <w:kern w:val="1"/>
                <w:sz w:val="24"/>
                <w:szCs w:val="22"/>
              </w:rPr>
              <w:t>9070210010010001407810</w:t>
            </w:r>
          </w:p>
        </w:tc>
      </w:tr>
      <w:tr>
        <w:tblPrEx>
          <w:tblCellMar>
            <w:top w:w="0" w:type="dxa"/>
            <w:left w:w="108" w:type="dxa"/>
            <w:bottom w:w="0" w:type="dxa"/>
            <w:right w:w="108" w:type="dxa"/>
          </w:tblCellMar>
        </w:tblPrEx>
        <w:trPr>
          <w:trHeight w:val="446" w:hRule="atLeast"/>
        </w:trPr>
        <w:tc>
          <w:tcPr>
            <w:tcW w:w="1953" w:type="dxa"/>
            <w:tcBorders>
              <w:top w:val="single" w:color="000000" w:sz="6" w:space="0"/>
              <w:left w:val="thinThickSmallGap" w:color="000000" w:sz="12" w:space="0"/>
              <w:bottom w:val="single" w:color="000000" w:sz="6" w:space="0"/>
              <w:right w:val="single" w:color="000000" w:sz="6" w:space="0"/>
            </w:tcBorders>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收款单位</w:t>
            </w:r>
          </w:p>
        </w:tc>
        <w:tc>
          <w:tcPr>
            <w:tcW w:w="7166" w:type="dxa"/>
            <w:tcBorders>
              <w:top w:val="single" w:color="000000" w:sz="6" w:space="0"/>
              <w:left w:val="single" w:color="000000" w:sz="6" w:space="0"/>
              <w:bottom w:val="single" w:color="000000" w:sz="6" w:space="0"/>
              <w:right w:val="thickThinSmallGap" w:color="000000" w:sz="12" w:space="0"/>
            </w:tcBorders>
            <w:tcMar>
              <w:left w:w="0" w:type="dxa"/>
              <w:bottom w:w="0" w:type="dxa"/>
              <w:right w:w="0" w:type="dxa"/>
            </w:tcMar>
            <w:vAlign w:val="center"/>
          </w:tcPr>
          <w:p>
            <w:pPr>
              <w:spacing w:line="400" w:lineRule="exact"/>
              <w:jc w:val="center"/>
              <w:rPr>
                <w:rFonts w:ascii="宋体" w:hAnsi="宋体" w:cs="宋体"/>
                <w:color w:val="auto"/>
                <w:kern w:val="1"/>
                <w:sz w:val="24"/>
                <w:szCs w:val="22"/>
              </w:rPr>
            </w:pPr>
            <w:r>
              <w:rPr>
                <w:rFonts w:hint="eastAsia" w:ascii="宋体" w:hAnsi="宋体" w:cs="宋体"/>
                <w:color w:val="auto"/>
                <w:kern w:val="1"/>
                <w:sz w:val="24"/>
                <w:szCs w:val="22"/>
              </w:rPr>
              <w:t>福建诚信招标咨询集团有限公司</w:t>
            </w:r>
          </w:p>
        </w:tc>
      </w:tr>
      <w:tr>
        <w:tblPrEx>
          <w:tblCellMar>
            <w:top w:w="0" w:type="dxa"/>
            <w:left w:w="108" w:type="dxa"/>
            <w:bottom w:w="0" w:type="dxa"/>
            <w:right w:w="108" w:type="dxa"/>
          </w:tblCellMar>
        </w:tblPrEx>
        <w:trPr>
          <w:trHeight w:val="815" w:hRule="atLeast"/>
        </w:trPr>
        <w:tc>
          <w:tcPr>
            <w:tcW w:w="9119" w:type="dxa"/>
            <w:gridSpan w:val="2"/>
            <w:tcBorders>
              <w:top w:val="single" w:color="000000" w:sz="6" w:space="0"/>
              <w:left w:val="thinThickSmallGap" w:color="000000" w:sz="12" w:space="0"/>
              <w:bottom w:val="thickThinSmallGap" w:color="000000" w:sz="12" w:space="0"/>
              <w:right w:val="thickThinSmallGap" w:color="000000" w:sz="12" w:space="0"/>
            </w:tcBorders>
            <w:vAlign w:val="center"/>
          </w:tcPr>
          <w:p>
            <w:pPr>
              <w:spacing w:line="400" w:lineRule="exact"/>
              <w:ind w:firstLine="480"/>
              <w:rPr>
                <w:rFonts w:ascii="宋体" w:hAnsi="宋体" w:cs="宋体"/>
                <w:color w:val="auto"/>
                <w:kern w:val="1"/>
                <w:sz w:val="24"/>
                <w:szCs w:val="22"/>
              </w:rPr>
            </w:pPr>
            <w:r>
              <w:rPr>
                <w:rFonts w:hint="eastAsia" w:ascii="宋体" w:hAnsi="宋体" w:cs="宋体"/>
                <w:color w:val="auto"/>
                <w:kern w:val="1"/>
                <w:sz w:val="24"/>
                <w:szCs w:val="22"/>
              </w:rPr>
              <w:t>投标人须将相关的费用缴交至上表对应的账号，缴错账号而产生的一切后果由投标人自行承担。</w:t>
            </w:r>
          </w:p>
        </w:tc>
      </w:tr>
    </w:tbl>
    <w:p>
      <w:pPr>
        <w:tabs>
          <w:tab w:val="left" w:pos="482"/>
        </w:tabs>
        <w:spacing w:line="440" w:lineRule="exact"/>
        <w:ind w:firstLine="480" w:firstLineChars="200"/>
        <w:rPr>
          <w:rFonts w:ascii="宋体" w:hAnsi="宋体" w:cs="宋体"/>
          <w:color w:val="auto"/>
          <w:sz w:val="24"/>
        </w:rPr>
      </w:pPr>
      <w:r>
        <w:rPr>
          <w:rFonts w:hint="eastAsia" w:ascii="宋体" w:hAnsi="宋体" w:cs="宋体"/>
          <w:color w:val="auto"/>
          <w:sz w:val="24"/>
        </w:rPr>
        <w:t>十三、疫情期间投标人需严格遵守华侨大学防疫规定，进校人员名单须提交华侨大学审核，人员名单确认后不得随意更改。因投标人原因造成华侨大学疫情事故的，投标人承担所有相关责任。</w:t>
      </w:r>
    </w:p>
    <w:p>
      <w:pPr>
        <w:tabs>
          <w:tab w:val="left" w:pos="993"/>
        </w:tabs>
        <w:spacing w:line="480" w:lineRule="exact"/>
        <w:ind w:left="426" w:firstLine="480"/>
        <w:rPr>
          <w:rFonts w:ascii="宋体" w:hAnsi="宋体" w:cs="宋体"/>
          <w:color w:val="auto"/>
          <w:sz w:val="24"/>
        </w:rPr>
      </w:pPr>
    </w:p>
    <w:p>
      <w:pPr>
        <w:spacing w:line="400" w:lineRule="exact"/>
        <w:ind w:left="359"/>
        <w:jc w:val="right"/>
        <w:rPr>
          <w:rFonts w:ascii="宋体" w:hAnsi="宋体" w:cs="宋体"/>
          <w:color w:val="auto"/>
          <w:sz w:val="24"/>
        </w:rPr>
      </w:pPr>
      <w:r>
        <w:rPr>
          <w:rFonts w:hint="eastAsia" w:ascii="宋体" w:hAnsi="宋体" w:cs="宋体"/>
          <w:color w:val="auto"/>
          <w:sz w:val="24"/>
        </w:rPr>
        <w:t>福建诚信招标咨询集团有限公司</w:t>
      </w:r>
    </w:p>
    <w:p>
      <w:pPr>
        <w:spacing w:before="120" w:beforeLines="50" w:after="120" w:afterLines="50"/>
        <w:jc w:val="right"/>
        <w:rPr>
          <w:rFonts w:ascii="宋体" w:hAnsi="宋体" w:cs="宋体"/>
          <w:color w:val="auto"/>
          <w:sz w:val="24"/>
        </w:rPr>
      </w:pPr>
      <w:r>
        <w:rPr>
          <w:rFonts w:hint="eastAsia" w:ascii="宋体" w:hAnsi="宋体" w:cs="宋体"/>
          <w:color w:val="auto"/>
          <w:sz w:val="24"/>
        </w:rPr>
        <w:t>二○二三年</w:t>
      </w:r>
      <w:r>
        <w:rPr>
          <w:rFonts w:hint="eastAsia" w:ascii="宋体" w:hAnsi="宋体" w:cs="宋体"/>
          <w:color w:val="auto"/>
          <w:sz w:val="24"/>
          <w:lang w:val="en-US" w:eastAsia="zh-CN"/>
        </w:rPr>
        <w:t>一</w:t>
      </w:r>
      <w:r>
        <w:rPr>
          <w:rFonts w:hint="eastAsia" w:ascii="宋体" w:hAnsi="宋体" w:cs="宋体"/>
          <w:color w:val="auto"/>
          <w:sz w:val="24"/>
        </w:rPr>
        <w:t>月</w:t>
      </w:r>
      <w:r>
        <w:rPr>
          <w:rFonts w:hint="eastAsia" w:ascii="宋体" w:hAnsi="宋体" w:cs="宋体"/>
          <w:color w:val="auto"/>
          <w:sz w:val="24"/>
          <w:lang w:val="en-US" w:eastAsia="zh-CN"/>
        </w:rPr>
        <w:t>三十</w:t>
      </w:r>
      <w:r>
        <w:rPr>
          <w:rFonts w:hint="eastAsia" w:ascii="宋体" w:hAnsi="宋体" w:cs="宋体"/>
          <w:color w:val="auto"/>
          <w:sz w:val="24"/>
        </w:rPr>
        <w:t>日</w:t>
      </w:r>
    </w:p>
    <w:p>
      <w:pPr>
        <w:spacing w:before="120" w:beforeLines="50" w:after="120" w:afterLines="50"/>
        <w:jc w:val="center"/>
        <w:outlineLvl w:val="1"/>
        <w:rPr>
          <w:rFonts w:ascii="宋体" w:hAnsi="宋体" w:cs="宋体"/>
          <w:color w:val="auto"/>
          <w:sz w:val="24"/>
        </w:rPr>
      </w:pPr>
    </w:p>
    <w:p>
      <w:pPr>
        <w:spacing w:before="120" w:beforeLines="50" w:after="120" w:afterLines="50"/>
        <w:jc w:val="center"/>
        <w:outlineLvl w:val="1"/>
        <w:rPr>
          <w:rFonts w:ascii="宋体" w:hAnsi="宋体" w:cs="宋体"/>
          <w:color w:val="auto"/>
          <w:sz w:val="24"/>
        </w:rPr>
      </w:pPr>
    </w:p>
    <w:p>
      <w:pPr>
        <w:spacing w:before="120" w:beforeLines="50" w:after="120" w:afterLines="50"/>
        <w:jc w:val="center"/>
        <w:outlineLvl w:val="1"/>
        <w:rPr>
          <w:color w:val="auto"/>
        </w:rPr>
      </w:pPr>
      <w:bookmarkStart w:id="2" w:name="_GoBack"/>
      <w:bookmarkEnd w:id="2"/>
      <w:bookmarkStart w:id="1" w:name="_Toc31364"/>
      <w:r>
        <w:rPr>
          <w:b/>
          <w:bCs/>
          <w:color w:val="auto"/>
          <w:sz w:val="32"/>
          <w:szCs w:val="32"/>
        </w:rPr>
        <w:t>附：</w:t>
      </w:r>
      <w:r>
        <w:rPr>
          <w:rFonts w:hint="eastAsia"/>
          <w:b/>
          <w:bCs/>
          <w:color w:val="auto"/>
          <w:sz w:val="32"/>
          <w:szCs w:val="32"/>
        </w:rPr>
        <w:t>招标货物（服务）一览表</w:t>
      </w:r>
      <w:bookmarkEnd w:id="1"/>
    </w:p>
    <w:tbl>
      <w:tblPr>
        <w:tblStyle w:val="3"/>
        <w:tblW w:w="9177" w:type="dxa"/>
        <w:tblInd w:w="0" w:type="dxa"/>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842"/>
        <w:gridCol w:w="833"/>
        <w:gridCol w:w="1554"/>
        <w:gridCol w:w="740"/>
        <w:gridCol w:w="1282"/>
        <w:gridCol w:w="1465"/>
        <w:gridCol w:w="854"/>
        <w:gridCol w:w="1607"/>
      </w:tblGrid>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842" w:type="dxa"/>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合同包号</w:t>
            </w:r>
          </w:p>
        </w:tc>
        <w:tc>
          <w:tcPr>
            <w:tcW w:w="833" w:type="dxa"/>
            <w:tcBorders>
              <w:right w:val="single" w:color="auto" w:sz="4" w:space="0"/>
            </w:tcBorders>
            <w:tcMar>
              <w:left w:w="108" w:type="dxa"/>
              <w:right w:w="108" w:type="dxa"/>
            </w:tcMar>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品目号</w:t>
            </w:r>
          </w:p>
        </w:tc>
        <w:tc>
          <w:tcPr>
            <w:tcW w:w="1554" w:type="dxa"/>
            <w:tcBorders>
              <w:left w:val="single" w:color="auto" w:sz="4" w:space="0"/>
            </w:tcBorders>
            <w:tcMar>
              <w:left w:w="108" w:type="dxa"/>
              <w:right w:w="108" w:type="dxa"/>
            </w:tcMar>
            <w:vAlign w:val="center"/>
          </w:tcPr>
          <w:p>
            <w:pPr>
              <w:widowControl/>
              <w:spacing w:before="100" w:beforeAutospacing="1" w:after="100" w:afterAutospacing="1"/>
              <w:jc w:val="center"/>
              <w:rPr>
                <w:rFonts w:ascii="宋体" w:hAnsi="宋体" w:cs="宋体"/>
                <w:b/>
                <w:color w:val="auto"/>
                <w:kern w:val="1"/>
                <w:sz w:val="24"/>
                <w:szCs w:val="22"/>
              </w:rPr>
            </w:pPr>
            <w:r>
              <w:rPr>
                <w:rFonts w:hint="eastAsia" w:ascii="宋体" w:hAnsi="宋体" w:cs="宋体"/>
                <w:b/>
                <w:color w:val="auto"/>
                <w:kern w:val="1"/>
                <w:sz w:val="24"/>
                <w:szCs w:val="22"/>
              </w:rPr>
              <w:t>采购标的</w:t>
            </w:r>
          </w:p>
        </w:tc>
        <w:tc>
          <w:tcPr>
            <w:tcW w:w="740" w:type="dxa"/>
            <w:tcBorders>
              <w:right w:val="single" w:color="auto" w:sz="4" w:space="0"/>
            </w:tcBorders>
            <w:vAlign w:val="center"/>
          </w:tcPr>
          <w:p>
            <w:pPr>
              <w:widowControl/>
              <w:spacing w:before="100" w:beforeAutospacing="1" w:after="100" w:afterAutospacing="1"/>
              <w:jc w:val="center"/>
              <w:rPr>
                <w:rFonts w:ascii="宋体" w:hAnsi="宋体" w:cs="宋体"/>
                <w:b/>
                <w:color w:val="auto"/>
                <w:kern w:val="1"/>
                <w:sz w:val="24"/>
                <w:szCs w:val="22"/>
              </w:rPr>
            </w:pPr>
            <w:r>
              <w:rPr>
                <w:rFonts w:ascii="宋体" w:hAnsi="宋体" w:cs="宋体"/>
                <w:b/>
                <w:color w:val="auto"/>
                <w:kern w:val="1"/>
                <w:sz w:val="24"/>
                <w:szCs w:val="22"/>
              </w:rPr>
              <w:t>数量</w:t>
            </w:r>
          </w:p>
        </w:tc>
        <w:tc>
          <w:tcPr>
            <w:tcW w:w="1282" w:type="dxa"/>
            <w:tcBorders>
              <w:left w:val="single" w:color="auto" w:sz="4" w:space="0"/>
              <w:right w:val="single" w:color="auto" w:sz="4" w:space="0"/>
            </w:tcBorders>
            <w:vAlign w:val="center"/>
          </w:tcPr>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预算金额</w:t>
            </w:r>
          </w:p>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（元）</w:t>
            </w:r>
          </w:p>
        </w:tc>
        <w:tc>
          <w:tcPr>
            <w:tcW w:w="146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color w:val="auto"/>
                <w:kern w:val="1"/>
                <w:sz w:val="24"/>
                <w:szCs w:val="22"/>
              </w:rPr>
            </w:pPr>
            <w:r>
              <w:rPr>
                <w:rFonts w:ascii="宋体" w:hAnsi="宋体" w:cs="宋体"/>
                <w:b/>
                <w:color w:val="auto"/>
                <w:kern w:val="1"/>
                <w:sz w:val="24"/>
                <w:szCs w:val="22"/>
              </w:rPr>
              <w:t>中小企业划分标准所属行业</w:t>
            </w:r>
          </w:p>
        </w:tc>
        <w:tc>
          <w:tcPr>
            <w:tcW w:w="854" w:type="dxa"/>
            <w:tcBorders>
              <w:left w:val="single" w:color="auto" w:sz="4" w:space="0"/>
            </w:tcBorders>
            <w:vAlign w:val="center"/>
          </w:tcPr>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中标人</w:t>
            </w:r>
          </w:p>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数量</w:t>
            </w:r>
          </w:p>
        </w:tc>
        <w:tc>
          <w:tcPr>
            <w:tcW w:w="1607" w:type="dxa"/>
            <w:vAlign w:val="center"/>
          </w:tcPr>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主要技术要求</w:t>
            </w:r>
          </w:p>
          <w:p>
            <w:pPr>
              <w:widowControl/>
              <w:spacing w:line="276" w:lineRule="auto"/>
              <w:jc w:val="center"/>
              <w:rPr>
                <w:rFonts w:ascii="宋体" w:hAnsi="宋体" w:cs="宋体"/>
                <w:b/>
                <w:color w:val="auto"/>
                <w:kern w:val="1"/>
                <w:sz w:val="24"/>
                <w:szCs w:val="22"/>
              </w:rPr>
            </w:pPr>
            <w:r>
              <w:rPr>
                <w:rFonts w:hint="eastAsia" w:ascii="宋体" w:hAnsi="宋体" w:cs="宋体"/>
                <w:b/>
                <w:color w:val="auto"/>
                <w:kern w:val="1"/>
                <w:sz w:val="24"/>
                <w:szCs w:val="22"/>
              </w:rPr>
              <w:t>（服务要求）</w:t>
            </w:r>
          </w:p>
        </w:tc>
      </w:tr>
      <w:tr>
        <w:tblPrEx>
          <w:tblBorders>
            <w:top w:val="thinThickSmallGap" w:color="000000" w:sz="18" w:space="0"/>
            <w:left w:val="thinThickSmallGap" w:color="000000" w:sz="18" w:space="0"/>
            <w:bottom w:val="thinThickSmallGap" w:color="000000" w:sz="18" w:space="0"/>
            <w:right w:val="thickThinSmallGap" w:color="000000" w:sz="18"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842" w:type="dxa"/>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833" w:type="dxa"/>
            <w:tcBorders>
              <w:right w:val="single" w:color="auto" w:sz="4" w:space="0"/>
            </w:tcBorders>
            <w:tcMar>
              <w:left w:w="108" w:type="dxa"/>
              <w:right w:w="108" w:type="dxa"/>
            </w:tcMar>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1554" w:type="dxa"/>
            <w:tcBorders>
              <w:left w:val="single" w:color="auto" w:sz="4" w:space="0"/>
            </w:tcBorders>
            <w:tcMar>
              <w:left w:w="108" w:type="dxa"/>
              <w:right w:w="108" w:type="dxa"/>
            </w:tcMar>
            <w:vAlign w:val="center"/>
          </w:tcPr>
          <w:p>
            <w:pPr>
              <w:spacing w:line="400" w:lineRule="exact"/>
              <w:jc w:val="center"/>
              <w:rPr>
                <w:rFonts w:ascii="宋体" w:hAnsi="宋体" w:cs="宋体"/>
                <w:color w:val="auto"/>
                <w:sz w:val="24"/>
                <w:szCs w:val="24"/>
              </w:rPr>
            </w:pPr>
            <w:r>
              <w:rPr>
                <w:rFonts w:ascii="宋体" w:hAnsi="宋体" w:cs="宋体"/>
                <w:color w:val="auto"/>
                <w:sz w:val="24"/>
                <w:szCs w:val="24"/>
              </w:rPr>
              <w:t>大豆油供货商定点服务采购</w:t>
            </w:r>
          </w:p>
        </w:tc>
        <w:tc>
          <w:tcPr>
            <w:tcW w:w="740" w:type="dxa"/>
            <w:tcBorders>
              <w:right w:val="single" w:color="auto" w:sz="4" w:space="0"/>
            </w:tcBorders>
            <w:vAlign w:val="center"/>
          </w:tcPr>
          <w:p>
            <w:pPr>
              <w:spacing w:line="240" w:lineRule="exact"/>
              <w:jc w:val="center"/>
              <w:rPr>
                <w:rFonts w:ascii="宋体" w:hAnsi="宋体" w:cs="宋体"/>
                <w:color w:val="auto"/>
                <w:sz w:val="24"/>
                <w:szCs w:val="24"/>
              </w:rPr>
            </w:pPr>
            <w:r>
              <w:rPr>
                <w:rFonts w:ascii="宋体" w:hAnsi="宋体" w:cs="宋体"/>
                <w:color w:val="auto"/>
                <w:sz w:val="24"/>
                <w:szCs w:val="24"/>
              </w:rPr>
              <w:t>1</w:t>
            </w:r>
            <w:r>
              <w:rPr>
                <w:rFonts w:hint="eastAsia" w:ascii="微软雅黑" w:hAnsi="微软雅黑" w:eastAsia="微软雅黑"/>
                <w:color w:val="auto"/>
                <w:sz w:val="16"/>
                <w:szCs w:val="16"/>
                <w:shd w:val="clear" w:color="auto" w:fill="FDFDFD"/>
              </w:rPr>
              <w:t xml:space="preserve"> </w:t>
            </w:r>
            <w:r>
              <w:rPr>
                <w:rFonts w:hint="eastAsia" w:ascii="宋体" w:hAnsi="宋体" w:cs="宋体"/>
                <w:color w:val="auto"/>
                <w:sz w:val="24"/>
                <w:szCs w:val="24"/>
              </w:rPr>
              <w:t>批</w:t>
            </w:r>
          </w:p>
        </w:tc>
        <w:tc>
          <w:tcPr>
            <w:tcW w:w="1282" w:type="dxa"/>
            <w:tcBorders>
              <w:left w:val="single" w:color="auto" w:sz="4" w:space="0"/>
              <w:right w:val="single" w:color="auto" w:sz="4" w:space="0"/>
            </w:tcBorders>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960000.00</w:t>
            </w:r>
          </w:p>
        </w:tc>
        <w:tc>
          <w:tcPr>
            <w:tcW w:w="1465" w:type="dxa"/>
            <w:tcBorders>
              <w:left w:val="single" w:color="auto" w:sz="4" w:space="0"/>
              <w:right w:val="single" w:color="auto" w:sz="4" w:space="0"/>
            </w:tcBorders>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其他未列明行业</w:t>
            </w:r>
          </w:p>
        </w:tc>
        <w:tc>
          <w:tcPr>
            <w:tcW w:w="854" w:type="dxa"/>
            <w:tcBorders>
              <w:left w:val="single" w:color="auto" w:sz="4" w:space="0"/>
            </w:tcBorders>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w:t>
            </w:r>
          </w:p>
        </w:tc>
        <w:tc>
          <w:tcPr>
            <w:tcW w:w="1607" w:type="dxa"/>
            <w:vAlign w:val="center"/>
          </w:tcPr>
          <w:p>
            <w:pPr>
              <w:spacing w:line="360" w:lineRule="auto"/>
              <w:jc w:val="center"/>
              <w:rPr>
                <w:rFonts w:ascii="宋体" w:hAnsi="宋体" w:cs="宋体"/>
                <w:color w:val="auto"/>
                <w:kern w:val="1"/>
                <w:sz w:val="24"/>
                <w:szCs w:val="22"/>
              </w:rPr>
            </w:pPr>
          </w:p>
          <w:p>
            <w:pPr>
              <w:spacing w:line="360" w:lineRule="auto"/>
              <w:jc w:val="center"/>
              <w:rPr>
                <w:rFonts w:ascii="宋体" w:hAnsi="宋体" w:cs="宋体"/>
                <w:color w:val="auto"/>
                <w:kern w:val="1"/>
                <w:sz w:val="24"/>
                <w:szCs w:val="22"/>
              </w:rPr>
            </w:pPr>
            <w:r>
              <w:rPr>
                <w:rFonts w:hint="eastAsia" w:ascii="宋体" w:hAnsi="宋体" w:cs="宋体"/>
                <w:color w:val="auto"/>
                <w:kern w:val="1"/>
                <w:sz w:val="24"/>
                <w:szCs w:val="22"/>
              </w:rPr>
              <w:t>详见招标文件</w:t>
            </w:r>
          </w:p>
          <w:p>
            <w:pPr>
              <w:spacing w:line="360" w:lineRule="auto"/>
              <w:jc w:val="center"/>
              <w:rPr>
                <w:rFonts w:ascii="宋体" w:hAnsi="宋体" w:cs="宋体"/>
                <w:color w:val="auto"/>
                <w:kern w:val="1"/>
                <w:sz w:val="24"/>
                <w:szCs w:val="22"/>
              </w:rPr>
            </w:pPr>
            <w:r>
              <w:rPr>
                <w:rFonts w:hint="eastAsia" w:ascii="宋体" w:hAnsi="宋体" w:cs="宋体"/>
                <w:color w:val="auto"/>
                <w:kern w:val="1"/>
                <w:sz w:val="24"/>
                <w:szCs w:val="22"/>
              </w:rPr>
              <w:t>第三章</w:t>
            </w:r>
          </w:p>
        </w:tc>
      </w:tr>
    </w:tbl>
    <w:p>
      <w:pPr>
        <w:spacing w:line="440" w:lineRule="exact"/>
        <w:ind w:firstLine="464"/>
        <w:rPr>
          <w:rFonts w:ascii="宋体" w:hAnsi="宋体" w:cs="宋体"/>
          <w:color w:val="auto"/>
          <w:spacing w:val="-4"/>
          <w:sz w:val="24"/>
        </w:rPr>
      </w:pPr>
      <w:r>
        <w:rPr>
          <w:rFonts w:ascii="宋体" w:hAnsi="宋体" w:cs="宋体"/>
          <w:color w:val="auto"/>
          <w:spacing w:val="-4"/>
          <w:sz w:val="24"/>
        </w:rPr>
        <w:t>注：</w:t>
      </w:r>
    </w:p>
    <w:p>
      <w:pPr>
        <w:spacing w:line="440" w:lineRule="exact"/>
        <w:ind w:firstLine="464"/>
        <w:rPr>
          <w:rFonts w:ascii="宋体" w:hAnsi="宋体" w:cs="宋体"/>
          <w:color w:val="auto"/>
          <w:spacing w:val="-4"/>
          <w:sz w:val="24"/>
        </w:rPr>
      </w:pPr>
      <w:r>
        <w:rPr>
          <w:rFonts w:hint="eastAsia" w:ascii="宋体" w:hAnsi="宋体" w:cs="宋体"/>
          <w:color w:val="auto"/>
          <w:spacing w:val="-4"/>
          <w:sz w:val="24"/>
        </w:rPr>
        <w:t>1、投标人按合同号投标，对同一合同号内所有内容投标时必须完整。评标与授标以合同号为单位。中标后按合同号分别签订服务合同。</w:t>
      </w:r>
    </w:p>
    <w:p>
      <w:pPr>
        <w:spacing w:line="440" w:lineRule="exact"/>
        <w:ind w:firstLine="480" w:firstLineChars="200"/>
        <w:rPr>
          <w:rFonts w:ascii="新宋体" w:hAnsi="新宋体" w:eastAsia="新宋体" w:cs="新宋体"/>
          <w:color w:val="auto"/>
          <w:sz w:val="24"/>
          <w:szCs w:val="24"/>
        </w:rPr>
      </w:pPr>
      <w:r>
        <w:rPr>
          <w:rFonts w:hint="eastAsia" w:ascii="新宋体" w:hAnsi="新宋体" w:eastAsia="新宋体" w:cs="新宋体"/>
          <w:color w:val="auto"/>
          <w:sz w:val="24"/>
          <w:szCs w:val="24"/>
        </w:rPr>
        <w:t>2、服务期限：合同签订后至2023年12月31日，具体以合同签订所约定时间为准。</w:t>
      </w:r>
    </w:p>
    <w:p>
      <w:pPr>
        <w:spacing w:line="440" w:lineRule="exact"/>
        <w:ind w:firstLine="480" w:firstLineChars="200"/>
        <w:rPr>
          <w:rFonts w:ascii="宋体"/>
          <w:color w:val="auto"/>
          <w:sz w:val="24"/>
        </w:rPr>
      </w:pPr>
      <w:r>
        <w:rPr>
          <w:rFonts w:hint="eastAsia" w:ascii="新宋体" w:hAnsi="新宋体" w:eastAsia="新宋体" w:cs="新宋体"/>
          <w:color w:val="auto"/>
          <w:sz w:val="24"/>
          <w:szCs w:val="24"/>
        </w:rPr>
        <w:t>3、交货地点：</w:t>
      </w:r>
      <w:r>
        <w:rPr>
          <w:rFonts w:hint="eastAsia" w:asciiTheme="minorEastAsia" w:hAnsiTheme="minorEastAsia" w:eastAsiaTheme="minorEastAsia"/>
          <w:color w:val="auto"/>
          <w:spacing w:val="4"/>
          <w:sz w:val="24"/>
        </w:rPr>
        <w:t>华侨大学泉州校区各餐厅</w:t>
      </w:r>
      <w:r>
        <w:rPr>
          <w:rFonts w:hint="eastAsia" w:asciiTheme="minorEastAsia" w:hAnsiTheme="minorEastAsia" w:eastAsiaTheme="minorEastAsia"/>
          <w:color w:val="auto"/>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2JmMGM1NTBhM2I1ZmM0NmE3ZGQ0ZTlhOTI3ZGEifQ=="/>
  </w:docVars>
  <w:rsids>
    <w:rsidRoot w:val="00000000"/>
    <w:rsid w:val="2E96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2023-01-30T02:38:15Z</dcterms:created>
  <dc:creator>Administrator</dc:creator>
  <cp:lastModifiedBy>Administrator</cp:lastModifiedBy>
  <dcterms:modified xsi:type="dcterms:W3CDTF">2023-01-30T02:40:36Z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5E54D622BC014F819604DCB3BF3FA05C</vt:lpwstr>
  </property>
</Properties>
</file>