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100" w:afterLines="100" w:line="240" w:lineRule="auto"/>
        <w:jc w:val="center"/>
        <w:rPr>
          <w:color w:val="auto"/>
          <w:kern w:val="0"/>
          <w:sz w:val="36"/>
          <w:szCs w:val="36"/>
          <w:highlight w:val="none"/>
        </w:rPr>
      </w:pPr>
      <w:bookmarkStart w:id="0" w:name="_Toc3057"/>
      <w:r>
        <w:rPr>
          <w:color w:val="auto"/>
          <w:kern w:val="0"/>
          <w:sz w:val="36"/>
          <w:szCs w:val="36"/>
          <w:highlight w:val="none"/>
        </w:rPr>
        <w:t>三、采购项目</w:t>
      </w:r>
      <w:r>
        <w:rPr>
          <w:rFonts w:hint="eastAsia"/>
          <w:color w:val="auto"/>
          <w:kern w:val="0"/>
          <w:sz w:val="36"/>
          <w:szCs w:val="36"/>
          <w:highlight w:val="none"/>
        </w:rPr>
        <w:t>需</w:t>
      </w:r>
      <w:r>
        <w:rPr>
          <w:color w:val="auto"/>
          <w:kern w:val="0"/>
          <w:sz w:val="36"/>
          <w:szCs w:val="36"/>
          <w:highlight w:val="none"/>
        </w:rPr>
        <w:t>求</w:t>
      </w:r>
      <w:bookmarkEnd w:id="0"/>
    </w:p>
    <w:p>
      <w:pPr>
        <w:widowControl/>
        <w:spacing w:line="520" w:lineRule="exact"/>
        <w:ind w:firstLine="560" w:firstLineChars="200"/>
        <w:jc w:val="left"/>
        <w:rPr>
          <w:rFonts w:hint="eastAsia"/>
          <w:bCs/>
          <w:color w:val="auto"/>
          <w:kern w:val="0"/>
          <w:sz w:val="28"/>
          <w:szCs w:val="28"/>
          <w:highlight w:val="none"/>
        </w:rPr>
      </w:pPr>
      <w:bookmarkStart w:id="1" w:name="OLE_LINK3"/>
      <w:r>
        <w:rPr>
          <w:rFonts w:hint="eastAsia"/>
          <w:bCs/>
          <w:color w:val="auto"/>
          <w:kern w:val="0"/>
          <w:sz w:val="28"/>
          <w:szCs w:val="28"/>
          <w:highlight w:val="none"/>
        </w:rPr>
        <w:t>（一）</w:t>
      </w:r>
      <w:bookmarkEnd w:id="1"/>
      <w:r>
        <w:rPr>
          <w:rFonts w:hint="eastAsia"/>
          <w:bCs/>
          <w:color w:val="auto"/>
          <w:kern w:val="0"/>
          <w:sz w:val="28"/>
          <w:szCs w:val="28"/>
          <w:highlight w:val="none"/>
        </w:rPr>
        <w:t>响应供应商须提供符合质量合格标准的</w:t>
      </w:r>
      <w:r>
        <w:rPr>
          <w:rFonts w:hint="eastAsia"/>
          <w:bCs/>
          <w:color w:val="auto"/>
          <w:kern w:val="0"/>
          <w:sz w:val="28"/>
          <w:szCs w:val="28"/>
          <w:highlight w:val="none"/>
          <w:lang w:eastAsia="zh-CN"/>
        </w:rPr>
        <w:t>货物及</w:t>
      </w:r>
      <w:r>
        <w:rPr>
          <w:rFonts w:hint="eastAsia"/>
          <w:bCs/>
          <w:color w:val="auto"/>
          <w:kern w:val="0"/>
          <w:sz w:val="28"/>
          <w:szCs w:val="28"/>
          <w:highlight w:val="none"/>
        </w:rPr>
        <w:t>服务。</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（二）所投货物的知识产权问题，由各响应供应商自行负责。</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（三）本</w:t>
      </w:r>
      <w:r>
        <w:rPr>
          <w:rFonts w:hint="eastAsia"/>
          <w:bCs/>
          <w:color w:val="auto"/>
          <w:kern w:val="0"/>
          <w:sz w:val="28"/>
          <w:szCs w:val="28"/>
          <w:highlight w:val="none"/>
          <w:lang w:eastAsia="zh-CN"/>
        </w:rPr>
        <w:t>磋商</w:t>
      </w:r>
      <w:r>
        <w:rPr>
          <w:rFonts w:hint="eastAsia"/>
          <w:bCs/>
          <w:color w:val="auto"/>
          <w:kern w:val="0"/>
          <w:sz w:val="28"/>
          <w:szCs w:val="28"/>
          <w:highlight w:val="none"/>
        </w:rPr>
        <w:t>文件提出的是最低限度的要求，响应供应商的方案应达到或优于本</w:t>
      </w:r>
      <w:r>
        <w:rPr>
          <w:rFonts w:hint="eastAsia"/>
          <w:bCs/>
          <w:color w:val="auto"/>
          <w:kern w:val="0"/>
          <w:sz w:val="28"/>
          <w:szCs w:val="28"/>
          <w:highlight w:val="none"/>
          <w:lang w:eastAsia="zh-CN"/>
        </w:rPr>
        <w:t>磋商</w:t>
      </w:r>
      <w:r>
        <w:rPr>
          <w:rFonts w:hint="eastAsia"/>
          <w:bCs/>
          <w:color w:val="auto"/>
          <w:kern w:val="0"/>
          <w:sz w:val="28"/>
          <w:szCs w:val="28"/>
          <w:highlight w:val="none"/>
        </w:rPr>
        <w:t>文件要求，且符合国家有关标准和规范要求。</w:t>
      </w:r>
    </w:p>
    <w:p>
      <w:pPr>
        <w:pStyle w:val="12"/>
        <w:spacing w:line="460" w:lineRule="exact"/>
        <w:ind w:left="412" w:leftChars="196"/>
        <w:rPr>
          <w:rFonts w:hint="eastAsia" w:ascii="宋体" w:hAnsi="宋体"/>
          <w:b/>
          <w:bCs w:val="0"/>
          <w:color w:val="auto"/>
          <w:sz w:val="28"/>
          <w:szCs w:val="28"/>
          <w:highlight w:val="none"/>
        </w:rPr>
      </w:pPr>
      <w:r>
        <w:rPr>
          <w:rFonts w:hint="eastAsia"/>
          <w:b/>
          <w:bCs w:val="0"/>
          <w:color w:val="auto"/>
          <w:kern w:val="0"/>
          <w:sz w:val="28"/>
          <w:szCs w:val="28"/>
          <w:highlight w:val="none"/>
        </w:rPr>
        <w:t>（四）项目基本情况</w:t>
      </w:r>
      <w:r>
        <w:rPr>
          <w:rFonts w:hint="eastAsia" w:ascii="宋体" w:hAnsi="宋体"/>
          <w:b/>
          <w:bCs w:val="0"/>
          <w:color w:val="auto"/>
          <w:sz w:val="28"/>
          <w:szCs w:val="28"/>
          <w:highlight w:val="none"/>
        </w:rPr>
        <w:t>：</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赣州市中医院新院建设项目位于蓉江新区武陵大道北侧、春风路南侧、蓉江二路西侧地块，占地约80亩，总建筑面积约为15.18万平</w:t>
      </w:r>
      <w:bookmarkStart w:id="6" w:name="_GoBack"/>
      <w:bookmarkEnd w:id="6"/>
      <w:r>
        <w:rPr>
          <w:rFonts w:hint="eastAsia"/>
          <w:bCs/>
          <w:color w:val="auto"/>
          <w:kern w:val="0"/>
          <w:sz w:val="28"/>
          <w:szCs w:val="28"/>
          <w:highlight w:val="none"/>
        </w:rPr>
        <w:t>方米，设计床位数990张。主要设计内容为：</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1、ICU、EICU：EICU设计面积约435㎡，设置1间EICU监护大厅（共4床），1间隔离单间，以及相应走廊及辅助用房。ICU设计面积约1170㎡，共设置床位数18床，以双人间和单人间为主，1间</w:t>
      </w:r>
      <w:r>
        <w:rPr>
          <w:bCs/>
          <w:color w:val="auto"/>
          <w:kern w:val="0"/>
          <w:sz w:val="28"/>
          <w:szCs w:val="28"/>
          <w:highlight w:val="none"/>
        </w:rPr>
        <w:t>三</w:t>
      </w:r>
      <w:r>
        <w:rPr>
          <w:rFonts w:hint="eastAsia"/>
          <w:bCs/>
          <w:color w:val="auto"/>
          <w:kern w:val="0"/>
          <w:sz w:val="28"/>
          <w:szCs w:val="28"/>
          <w:highlight w:val="none"/>
        </w:rPr>
        <w:t>人间，2间隔离ICU，以及相应走廊及辅助用房。</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2、产房、手术室、急诊手术室：手术部设计面积约4400㎡，设置</w:t>
      </w:r>
      <w:r>
        <w:rPr>
          <w:bCs/>
          <w:color w:val="auto"/>
          <w:kern w:val="0"/>
          <w:sz w:val="28"/>
          <w:szCs w:val="28"/>
          <w:highlight w:val="none"/>
        </w:rPr>
        <w:t>2间百级，7间万级，一间负压，（10间为防辐射手术间），6间普通手术间，其中万级术间两间应为腔镜手术间，普通手术间其中一间为腔镜手术间，</w:t>
      </w:r>
      <w:r>
        <w:rPr>
          <w:rFonts w:hint="eastAsia"/>
          <w:bCs/>
          <w:color w:val="auto"/>
          <w:kern w:val="0"/>
          <w:sz w:val="28"/>
          <w:szCs w:val="28"/>
          <w:highlight w:val="none"/>
        </w:rPr>
        <w:t>以及其他相应的辅助用房及走廊，手术室办公区面积约650㎡，和手术部之间设置内部专用楼梯，产房设计面积约为160平方米。共设2间分娩室(含1间隔离产房)及相关待产区。急诊手术室设置一间，面积约76㎡。</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3、检验科、输血科、病理科：检验、输血科总面积约1370㎡，检验科设置检验大厅、实验室、办公生活区、及相应的辅助用房；输血科和检验科相邻，输血科要求独立成科，远离污染源，输血科至少应设置血液入库前的血液处置室、血液标本处理室、储血室、发血室、输血相容性检测实验室、值班室、资料保存室、主任办公室。病理科总面积约117㎡，要求分区合理，设置有标本接收、取材染色切片阅片等功能用房。检验科、病理科、输血科设计要求分区合理，人流、物流要分开。</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4、静脉输液配置中心：静脉输液配置中心总面积约1000㎡，要求根据国家对静配中心相关管理规范与建设规定设计，设置发放大厅、核对包装区、排药区、二级库、普通及营养药物配置区、抗生素药物配置区、危害药物配置区、办公生活区及相应的辅助用房等；百级洁净操作台数量：普通及营养药物配置区9+1台、抗生素药物配置区3+1台、危害药物配置区1+1台；普通及营养药物配置区与抗生素/危害药物配置区应设置不同的全空气定风量空调系统（即送回风系统与送排风系统）。洁净区内不设休息室与茶水间，设计时尽量考虑扩展静配操作区域、充分利用办公生活区与辅助工作区域。</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5、消毒供应中心：供应中心设计面积约1160㎡，设置有去污区、检查包装灭菌区、无菌物品存放区及相应辅房；无菌存放区净化级别为十万级。</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6、血透中心：血透中心设计面积约1505㎡,设置洁净区（办公区），半污染区（功能区），污染区（透析区）三区；透析床位40张左右，透析区分三个区，相对独立，设置水处理间，集中供液、干库房、湿库房、治疗准备室、置管室，被服间，资料室、污物间等。</w:t>
      </w:r>
      <w:r>
        <w:rPr>
          <w:bCs/>
          <w:color w:val="auto"/>
          <w:kern w:val="0"/>
          <w:sz w:val="28"/>
          <w:szCs w:val="28"/>
          <w:highlight w:val="none"/>
        </w:rPr>
        <w:t>装修设计要符合血液净化标准规程（SOP)、尽量避免洁污交叉。</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7、内镜中心：内镜中心总面积约1586㎡，包含候诊区、麻醉复苏区、术前准备区、清洗消毒区、和诊疗区五大区域。</w:t>
      </w:r>
    </w:p>
    <w:p>
      <w:pPr>
        <w:pStyle w:val="12"/>
        <w:spacing w:line="460" w:lineRule="exact"/>
        <w:ind w:left="412" w:leftChars="196"/>
        <w:rPr>
          <w:b/>
          <w:color w:val="auto"/>
          <w:kern w:val="0"/>
          <w:sz w:val="28"/>
          <w:szCs w:val="28"/>
          <w:highlight w:val="none"/>
        </w:rPr>
      </w:pPr>
      <w:r>
        <w:rPr>
          <w:rFonts w:hint="eastAsia"/>
          <w:b/>
          <w:color w:val="auto"/>
          <w:kern w:val="0"/>
          <w:sz w:val="28"/>
          <w:szCs w:val="28"/>
          <w:highlight w:val="none"/>
        </w:rPr>
        <w:t>五、项目设计范围：</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本次设计招标范围为：</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1、综合ICU：设计范围包含但不限于平面工艺流程，科室范围内的装饰装修、暖通（安装空气净化消毒装置的半集中空调通风系统) 、强弱电、医气（氧气、压缩空气、负压吸引）给排水系统、视频探视对讲和门禁智能管理一体化系统、吊桥/吊塔设备、消防系统；不含监护设备。</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2、EICU：设计范围包含但不限于平面工艺流程，科室范围内的装饰装修、暖通（安装空气净化消毒装置的半集中空调通风系统) 、强弱电、医气（氧气、压缩空气、负压吸引）给排水系统、视频探视对讲和门禁智能管理一体化系统、吊桥/吊塔设备、消防系统；不含监护设备。</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3、产房：设计范围包含但不限于平面工艺流程，科室范围内的装饰装修、暖通、强弱电、医气给排水系统、视频探视对讲和门禁智能管理一体化系统及相应区域的嵌入式设备（医用气体箱、保温柜、空气消毒净化机、药品器械柜、插座箱、四联情报面板、无影灯、吸顶式输液导轨等）、消防系统；安装空气净化消毒装置的半集中空调通风系统（不做洁净）。</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4、手术室：设计范围包含但不限于平面工艺流程，科室范围内的装饰装修、暖通、强弱电、医气给排水系统、空气调节和空气净化、视频探视对讲（或呼叫对讲）和门禁智能管理一体化系统、相应区域的嵌入式设备（多功能液晶触摸工作站、医用气体箱、药品器械麻醉柜、插座箱、保温柜、观片灯（三联）、无影灯、吊塔等）、消防系统、各个术间及少量辅助用房的监控系统等。</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5、急诊手术室：设计范围包含但不限于平面工艺流程，科室范围内的装饰装修、暖通 、强弱电、医气给排水系统及相应区域的嵌入式设备（多功能液晶触摸工作站、医用气体箱、药品器械麻醉柜、插座箱、保温柜、观片灯（三联）、无影灯、吊塔等）、各个术间及少量辅助用房的监控系统、消防系统等。</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6、检验科、输血科、病理科：设计范围包含但不限于平面工艺流程，科室范围内的包含台柜系统、电气系统、弱电系统、照明系统、暖通系统、消毒系统、给排水系统、UPS应急电源系统、通风控制系统、纯水系统、负压系统、冷库系统、门禁智能管理系统及相应区域的嵌入式设备（如超净工作台、生物安全柜、通风柜等）、消防系统。</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7、静脉配置中心：设计范围包含但不限于平面工艺流程，科室范围内的装饰装修、给排水、强弱电及暖通系统及相应区域的嵌入式设备（如百级水平层流台等）、消防系统。</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8、消毒供应中心：设计范围包含但不限于平面工艺流程，科室范围内的装饰装修、暖通、强弱电、医气给排水系统、给水系统（纯水和自来水）、蒸汽系统、压缩系统、视频探视对讲和门禁智能管理一体化系统、吊塔、脉动真空灭菌器、干燥柜、长龙多舱清洗机、多舱自动轨道、全自动清洗机、真空干燥柜、真空清洗机、各类传递窗、消防系统等。</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9、内镜中心：设计范围包含但不限于平面工艺流程，科室范围内的装饰装修、暖通空调（包含风机盘管新风系统）、强弱电系统、医用气体（氧气、压缩空气、负压吸引、二氧化碳）、给排水系统（包括内镜中心纯水系统）、等离子空气消毒机、内镜清洗工作站、内镜自动清洗消毒机、内镜追溯管理系统、多功能检查床、单臂医疗柱、内镜吊塔、医疗不锈钢器械柜、麻醉柜、保温柜、消防系统等。</w:t>
      </w:r>
    </w:p>
    <w:p>
      <w:pPr>
        <w:widowControl/>
        <w:spacing w:line="520" w:lineRule="exact"/>
        <w:ind w:firstLine="560" w:firstLineChars="200"/>
        <w:jc w:val="left"/>
        <w:rPr>
          <w:rFonts w:ascii="宋体" w:hAnsi="宋体" w:cs="宋体"/>
          <w:color w:val="auto"/>
          <w:sz w:val="28"/>
          <w:szCs w:val="36"/>
          <w:highlight w:val="none"/>
        </w:rPr>
      </w:pPr>
      <w:r>
        <w:rPr>
          <w:rFonts w:hint="eastAsia" w:ascii="宋体" w:hAnsi="宋体" w:cs="宋体"/>
          <w:color w:val="auto"/>
          <w:sz w:val="28"/>
          <w:szCs w:val="36"/>
          <w:highlight w:val="none"/>
        </w:rPr>
        <w:t>10、血透室：设计范围包含但不限于平面工艺流程，科室范围内的装饰装修、暖通空调（包含风机盘管新风系统）、强弱电系统、医用气体（氧气、压缩空气、负压吸引）、给排水系统（包括血透反渗透纯水系统）、血透室专用水处理系统(满足50人)、等离子空气消毒机、血透机，血滤机、病床、消防系统等。</w:t>
      </w:r>
    </w:p>
    <w:p>
      <w:pPr>
        <w:pStyle w:val="12"/>
        <w:spacing w:line="460" w:lineRule="exact"/>
        <w:ind w:left="412" w:leftChars="196"/>
        <w:rPr>
          <w:b/>
          <w:color w:val="auto"/>
          <w:kern w:val="0"/>
          <w:sz w:val="28"/>
          <w:szCs w:val="28"/>
          <w:highlight w:val="none"/>
        </w:rPr>
      </w:pPr>
      <w:r>
        <w:rPr>
          <w:rFonts w:hint="eastAsia"/>
          <w:b/>
          <w:color w:val="auto"/>
          <w:kern w:val="0"/>
          <w:sz w:val="28"/>
          <w:szCs w:val="28"/>
          <w:highlight w:val="none"/>
        </w:rPr>
        <w:t>六、总体设计要求</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响应供应商后续设计服务安排及承诺应不低于以下标准：</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1、选择优秀的设计人员，组成不少于5人最佳的项目设计团队，应包含建筑、给排水、电气、暖通、消防、照明各专业，为本项目的设计及后期施工进行全过程的技术服务。</w:t>
      </w:r>
      <w:r>
        <w:rPr>
          <w:rFonts w:hint="eastAsia"/>
          <w:bCs/>
          <w:color w:val="auto"/>
          <w:kern w:val="0"/>
          <w:sz w:val="28"/>
          <w:szCs w:val="28"/>
          <w:highlight w:val="none"/>
        </w:rPr>
        <w:t xml:space="preserve"> </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 xml:space="preserve">2、加强本项目设计人员与业主、各职能部门等的配合与沟通，认真听取各方合理建议，不断优化设计。从设计、校对、审核、到审定的每一工作环节，严格执行设计方的质量保证体系，精心设计、细化设计、优化设计。 </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 xml:space="preserve">3、提供优质、高效的服务，及时处理施工现场相关技术问题。 </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 xml:space="preserve">4、安排相关工程师定期参加施工协调会，及时回复设计疑义；并认真做好技术交底、工程验收等方面工作。 </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 xml:space="preserve">5、积极配合业主完成工程项目的设计审查、报建工作，认真及时地回复审查意见，完善设计。 </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 xml:space="preserve">6、除正常的施工服务外，设计方不定期派人到施工现场进行技术回访。 </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7、严格管理设计变更，在施工过程中加强与建设单位的沟通与协调，对设计变更进行严格控制，避免或减少由于设计变更引起工程造价的增加。</w:t>
      </w:r>
    </w:p>
    <w:p>
      <w:pPr>
        <w:pStyle w:val="12"/>
        <w:spacing w:line="460" w:lineRule="exact"/>
        <w:ind w:left="412" w:leftChars="196"/>
        <w:rPr>
          <w:b/>
          <w:color w:val="auto"/>
          <w:kern w:val="0"/>
          <w:sz w:val="28"/>
          <w:szCs w:val="28"/>
          <w:highlight w:val="none"/>
        </w:rPr>
      </w:pPr>
      <w:r>
        <w:rPr>
          <w:rFonts w:hint="eastAsia"/>
          <w:b/>
          <w:color w:val="auto"/>
          <w:kern w:val="0"/>
          <w:sz w:val="28"/>
          <w:szCs w:val="28"/>
          <w:highlight w:val="none"/>
        </w:rPr>
        <w:t>七、设计技术需求</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1、设计依据：</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《医用中心吸引系统通用技术条件》 YY/T 0186-94；</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《民用建筑供暖通风与空气调节设计规范》（GB50736-2012）；</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《传染病医院建筑设计规范》（50849-2014）；</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《公共建筑节能设计标准》（GB50189-2015）；</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《综合医院建筑设计规范》（GB51039-2014）；</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《民用建筑隔声设计规范》（GB50118-2010）；</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《民用建筑设计统一标准》（GB50352-2019）；</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《综合医院建筑设计规范》GB 51039-2014；</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《医院洁净手术部建筑技术规范》GB50333-2013</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《放射诊断放射防护要求》GBZ130-2020</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《医用X射线诊断放射防护要求》GBZ131-2017</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《中国重症加强治疗病房（ICU）建设与管理指南》2006</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《重症监护病房医院感染预防与控制规范》WS/T509-2016</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《医院消毒供应中心第一部分：管理规范》WS 310.1-2016</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《医院消毒供应中心第二部分：清洗消毒及灭菌技术操作规范》WS 310.2-2016</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《医院消毒供应中心第三部分：清洗消毒及灭菌效果监测标准》WS 310.3-2016</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《生物安全实验室建筑技术规范》     GB50346-2011</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《建筑内部装修设计防火规范》GB50222-2017；</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《建筑设计防火规范》GB50016-2014(2018版)；</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《医院隔离技术规范 》WST 311-2009 ；</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《医院空气净化管理规范》WST 368-2012；</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《洁净厂房设计规范》GB50073-2013；</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《民用建筑电气设计标准》GB51348-2019；</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《建筑照明设计标准》GB50034-2013；</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《电力工程电缆设计规范》GB50217-2016 ；</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《国家卫生健康委办公厅关于印发静脉用药调配中心建设与管理指南（试行）的通知》国卫办医函〔2021〕598号 ；</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《医院消毒卫生标准》     GB15982-2012</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《建筑设计防火规范》     GB50016-2014（2018年版）</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《病原微生物实验室生物安全通用准则》    WS233-2017</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《生物安全实验室建筑技术规范》   GB50346-2011</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《建筑给水排水设计标准》    GB50015-2019</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《建筑给水排水及采暖工程施工质量验收规范》GB50242-2002</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《民用建筑节水设计标准》       GB50555-2010</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《医用气体工程技术规范》   GB50751-2012</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《医用中心供氧系统通用技术条件》   YY/T0187-94</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《医用中心吸引系统通用技术条件》    YY/T0186-94</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《医院洁净手术部建筑技术规范》    GB50333-2013</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 xml:space="preserve">《医用气体和真空用无缝铜管》        YS/T 650-2020 </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《铜管接头 第1部分：钎焊式管件》     GB/T11618.1-2008</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其它与本工程相关的技术规范。</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如果国家有新的行业标准公布，则按新标准执行。</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2、设计原则：</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①总体原则是：洁污分明、功能齐全、选材及布局配置合理、配套设施完善、设施先进完备；</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②项目范围内施工工艺、设备及材料的选择都应具有先进性，满足现代化医院的使用要求。设备及工艺的安排应达到低噪音、高洁净、新风量充足、保证环保的要求，具有先进性、高可靠性、实用性、经济性与合理性、有舒适宁静的室内环境；</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③建筑装修和环境设计应有利于患者生理、心理健康，体现清新、典雅、朴素的行业特点并充分结合当地地域条件；</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④建筑装饰必须遵循不产尘、不积尘、耐腐蚀、防潮防霉、防静电、容易清洁和符合防火要求的原则；</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⑤按照“洁污分流、人物分流”的原则，共设病人、医务人员、后勤物资和污物等通道，以确保线路相互分开，防止交叉感染；</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⑥医疗区内清洁区、半清洁或半污染区、污染区要明确划分。</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⑦诊治流程各种人流物流需要有明确科学的规划，包括食物药品运送分发，清洁物流以及污染废弃物的收集焚烧，污染污废水排放处理，都需要作详细规划，采取严密的措施；</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⑧对可能成为传染源的流线严格控制，尽量短捷，保证院区环境安全；</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⑨建筑内部布局、出入口和通道设置与医院整体功能布局、洁污分区和流线控制统一考虑；</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⑩根据现状实际布局情况，按国家相关设计标准、流程及使用科室需求，合理优化设计；对本项目医疗与设备专项工程进行全套施工图设计。</w:t>
      </w:r>
    </w:p>
    <w:p>
      <w:pPr>
        <w:widowControl/>
        <w:spacing w:line="520" w:lineRule="exact"/>
        <w:ind w:firstLine="560" w:firstLineChars="200"/>
        <w:jc w:val="left"/>
        <w:rPr>
          <w:bCs/>
          <w:color w:val="auto"/>
          <w:kern w:val="0"/>
          <w:sz w:val="28"/>
          <w:szCs w:val="28"/>
          <w:highlight w:val="none"/>
        </w:rPr>
      </w:pPr>
      <w:r>
        <w:rPr>
          <w:rFonts w:hint="eastAsia"/>
          <w:bCs/>
          <w:color w:val="auto"/>
          <w:kern w:val="0"/>
          <w:sz w:val="28"/>
          <w:szCs w:val="28"/>
          <w:highlight w:val="none"/>
        </w:rPr>
        <w:t>3、洁净净化工程各专业设计深度要求：</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①装饰部分：包含各科室墙、顶、地面的装饰工程、门窗、窗帘盒、窗台板、输液导轨等配套设施设计，及装饰材料的选定、颜色搭配、造型结构、施工工艺设计。</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A.装修材料应当严格按照国家相关规定，符合环保、净化、防火等级要求，使用易清洁消毒、不落屑、接缝处密封好的材料。</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B.吊顶、墙面和地面应平整光滑，接口严密，无脱落物和裂缝，能耐受清洗和消毒，吊顶、墙面与地面交界处应用净化圆角连接。</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C.洁净区内窗户、技术夹层、进入室内管道、风口、灯具与墙壁或顶棚的连接部位均应密封，防止积尘和便于清洁；洁净区应装置可击碎式安全玻璃的安全门，并配备安全锤。</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D.非洁净控制区装修设计与施工要求：装修材料应当按照国家相关规定，符合环保、净化、防火等级要求，使用易清洁和消毒、不落屑、接缝处密封好的材料；地面应平整光滑，接口严密，无脱落物和裂缝，能耐受清洗和消毒。</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②强弱电部分：各层总配电箱其后所有的桥架、线管、电源线、照明、插座，各区域的照明、插座、动力的电源设计，与大楼系统的合理对接，各线路图、设备材料的选定、施工工艺的设计。相关背景音乐、网络、电话、呼叫、监控、门禁、重症病房探视系统、医用气体报警系统、网络交换机及末端等弱电系统的设计。</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③暖通部分：科室范围线内的净化区空调风系统、空调水系统，非净化区空调风系统、空调水系统，含风管及其保温、风阀、风口、空调水管及其保温、水阀以及相关附件等；设备：空调机组、控制系统、风机盘管、排风机、分体空调等设计。管道安装参照土建施工图使用抗震支架。</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A.手术部</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(a)洁净手术部及其配套的相邻洁净辅助用房应与其他洁净辅助用房分开设置净化空调系统，Ⅰ、Ⅱ级洁净手术室与负压手术室 应每间采用独立净化空调系统。Ⅲ、Ⅳ级洁净手术室可2~3间合用一个系统，净化空调系统应有便于调节控制风量并能保持稳定的措施。</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b)手术室的排风系统和辅助用房排风系统应分开设置，每个手术室的排放应单独设置，并应和相应的空调系统连锁。排风系统应直通室外。洁净手术室应设上部排风口，其位置宜在病人头侧的顶部，排风口速度不应大于2m/s。</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(c)净化空调系统中使用的末级过滤器应符合下列要求：</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 xml:space="preserve">      不得用木框制品；</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 xml:space="preserve">      成品不应有刺激味，不应掉尘；</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 xml:space="preserve">      使用风量不宜大于其额定风量的70%；</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 xml:space="preserve">      当阻力运行到初阻力2倍的时候，应予以更换。</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非阻隔式空气净化装置不得作为末级净化设施，末级净化设施不得产生有害气体和物质，不得产生电磁干扰，不得有促使微生物变异的作用。</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（d)手术室需完成向空调设备机房开洞与加固的设计。</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B .中心供应室</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（a）中心供应室应保持有序压差梯度和定向气流，定向气流应经灭菌区流向去污区，无菌存放区对相邻并相同房间不应低于5Pa的正压，去污区对相邻并相通的房间和室外均应维持不低于5Pa的负压。</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(b)无菌存放区宜按不低于Ⅳ级洁净用房设计，并应采用独立的净化空调系统。高压灭菌器应设置局部通风，低温灭菌室应有独立排风系统。</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(c)去污区应设置独立的局部排风系统，总排风量不应低于负压所要求的差值风量。去污区的回风口应设置不低于中效的空气过滤器。</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C.检验科、病理科</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（a）检验科、病理科均应有单独的排风系统。</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（b）PCR区域设置净化空调系统，四个区排风独立设置。</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（c）病理科排风应考虑通风柜运行时补风，并考虑冬夏季的补风温度处理措施，应能满足规范要求。</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D.静配中心</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(a)静配中心各个区域按照相应规范设置净化措施。</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(b)电解质类等普通输液和肠外营养液调配操作间，与其相对应的一次更衣室、二次更衣室、洗衣洁具间为一套独立的混合式空调系统系统。</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c)抗生素和危害药品调配操作间，与其相对应的一次更衣室、二次更衣室、洗衣洁具间为一套独立的全新风（直流式）空调系统，但危害药品调配操作间应隔离成单独调配操作间。电解质类等普通药品和肠外营养液调配操作间气流模式应科学合理、符合规定。</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(d)各个区域应符合规范规定的压力梯度要求。</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E.其他</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（a）.各个科室依据相应规范进行设计。空调冬夏季冷热源可以采用大楼冷热源。</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b).每个独立的洁净间都应有独立的排/回风口和排/回风管道，采用与送风管相同的材料制作，不得使用裸露的墙体夹层进行排/回风；不得将排/回风直接排入贴签摆药核对、成品输液核查等非洁净控制区内或墙体夹层内；洁净区送风与排/回风应采用顶层送，下侧排/回风模式。</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(c).室外排风口应置于采风口上方，其距离不得小于3米，或者将排风口与采风口设置于建筑物的不同侧面。</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(d).净化系统风管应当采用镀锌钢板，厚度根据相应标准要求执行，风管保温材料应符合消防要求。</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(e).排风管道设备应安装防倒灌装置。</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(f).洁净间内高效送风口应符合洁净设计要求，保证合理的送风量与新风量，且每个送风口均应设置风量调节阀。</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④气体部分：医用气体管道的布置，各科室合理规划用气种类，与大楼医用气体系统的对接，管道设备的选材设计。</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⑤给排水部分：各科室洁具与排水立管的连接、洁具、给排水管道的选材设计。</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A.按要求设置洗手池、清洗池等清洁设施和上下水管道，各种水池设置位置应适宜，尺寸大小应以确保洗手或清洗物品时水不会溅到池外。</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B.下水管应设置U型存水弯。</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C.洁净区内洗手池、清洗池等清洁设施应选用陶瓷、SUS304不锈钢或OCr19Ni9及以上材质。</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⑥消防系统在本次设计招标范围内，各专业设计应符合相应的消防规定。</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⑦管道安装参照土建施工图使用抗震支架。</w:t>
      </w:r>
    </w:p>
    <w:p>
      <w:pPr>
        <w:widowControl/>
        <w:spacing w:line="520" w:lineRule="exact"/>
        <w:ind w:firstLine="560" w:firstLineChars="200"/>
        <w:jc w:val="left"/>
        <w:rPr>
          <w:rFonts w:hint="eastAsia" w:ascii="Times New Roman" w:hAnsi="Times New Roman" w:eastAsia="宋体" w:cs="Times New Roman"/>
          <w:bCs/>
          <w:color w:val="auto"/>
          <w:kern w:val="0"/>
          <w:sz w:val="28"/>
          <w:szCs w:val="28"/>
          <w:highlight w:val="none"/>
        </w:rPr>
      </w:pPr>
      <w:r>
        <w:rPr>
          <w:rFonts w:hint="eastAsia" w:ascii="Times New Roman" w:hAnsi="Times New Roman" w:eastAsia="宋体" w:cs="Times New Roman"/>
          <w:bCs/>
          <w:color w:val="auto"/>
          <w:kern w:val="0"/>
          <w:sz w:val="28"/>
          <w:szCs w:val="28"/>
          <w:highlight w:val="none"/>
        </w:rPr>
        <w:t>⑧设计文件深度除满足本工程施工的要求外，必须同时满足《建筑工程设计文件编制深度规定》（最新版）的规定。</w:t>
      </w:r>
    </w:p>
    <w:p>
      <w:pPr>
        <w:pStyle w:val="12"/>
        <w:spacing w:line="460" w:lineRule="exact"/>
        <w:ind w:left="412" w:leftChars="196"/>
        <w:rPr>
          <w:b/>
          <w:color w:val="auto"/>
          <w:kern w:val="0"/>
          <w:sz w:val="28"/>
          <w:szCs w:val="28"/>
          <w:highlight w:val="none"/>
        </w:rPr>
      </w:pPr>
      <w:r>
        <w:rPr>
          <w:rFonts w:hint="eastAsia"/>
          <w:b/>
          <w:color w:val="auto"/>
          <w:kern w:val="0"/>
          <w:sz w:val="28"/>
          <w:szCs w:val="28"/>
          <w:highlight w:val="none"/>
        </w:rPr>
        <w:t>八、设计成果：</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①成果要求：设计成果要求应满足《建筑工程设计文件编制深度规定》（2008 年版）-施工图设计部分。</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②应提供的成果文件：各专项工程的图审版（施工图蓝图八套、电子版CAD等。</w:t>
      </w:r>
    </w:p>
    <w:p>
      <w:pPr>
        <w:widowControl/>
        <w:spacing w:line="520" w:lineRule="exact"/>
        <w:ind w:firstLine="560" w:firstLineChars="200"/>
        <w:jc w:val="left"/>
        <w:rPr>
          <w:rFonts w:hint="eastAsia"/>
          <w:bCs/>
          <w:color w:val="auto"/>
          <w:kern w:val="0"/>
          <w:sz w:val="28"/>
          <w:szCs w:val="28"/>
          <w:highlight w:val="none"/>
        </w:rPr>
      </w:pPr>
      <w:r>
        <w:rPr>
          <w:rFonts w:hint="eastAsia"/>
          <w:bCs/>
          <w:color w:val="auto"/>
          <w:kern w:val="0"/>
          <w:sz w:val="28"/>
          <w:szCs w:val="28"/>
          <w:highlight w:val="none"/>
        </w:rPr>
        <w:t>③需根据改造地点现状实际布局情况，按国家相关设计标准、流程及使用科室需求，合理优化设计、形成最终的施工图设计。</w:t>
      </w:r>
    </w:p>
    <w:p>
      <w:pPr>
        <w:widowControl/>
        <w:spacing w:line="520" w:lineRule="exact"/>
        <w:ind w:firstLine="560" w:firstLineChars="200"/>
        <w:jc w:val="left"/>
        <w:rPr>
          <w:rFonts w:hint="eastAsia"/>
          <w:bCs/>
          <w:color w:val="auto"/>
          <w:kern w:val="0"/>
          <w:sz w:val="28"/>
          <w:szCs w:val="28"/>
          <w:highlight w:val="none"/>
          <w:lang w:eastAsia="zh-CN"/>
        </w:rPr>
      </w:pPr>
      <w:r>
        <w:rPr>
          <w:rFonts w:hint="eastAsia"/>
          <w:bCs/>
          <w:color w:val="auto"/>
          <w:kern w:val="0"/>
          <w:sz w:val="28"/>
          <w:szCs w:val="28"/>
          <w:highlight w:val="none"/>
        </w:rPr>
        <w:t>④根据施工图编制招标工程量清单及施工招标技术资料。</w:t>
      </w:r>
    </w:p>
    <w:p>
      <w:pPr>
        <w:widowControl/>
        <w:spacing w:line="520" w:lineRule="exact"/>
        <w:ind w:firstLine="560" w:firstLineChars="200"/>
        <w:jc w:val="left"/>
        <w:rPr>
          <w:rFonts w:hint="eastAsia"/>
          <w:bCs/>
          <w:color w:val="auto"/>
          <w:kern w:val="0"/>
          <w:sz w:val="28"/>
          <w:szCs w:val="28"/>
          <w:highlight w:val="none"/>
          <w:lang w:val="en-US" w:eastAsia="zh-CN"/>
        </w:rPr>
      </w:pPr>
    </w:p>
    <w:p>
      <w:pPr>
        <w:pStyle w:val="3"/>
        <w:snapToGrid w:val="0"/>
        <w:spacing w:beforeLines="100" w:afterLines="100" w:line="240" w:lineRule="auto"/>
        <w:jc w:val="center"/>
        <w:rPr>
          <w:rFonts w:hint="eastAsia" w:ascii="黑体" w:hAnsi="黑体" w:eastAsia="黑体" w:cs="Times New Roman"/>
          <w:b/>
          <w:bCs/>
          <w:color w:val="auto"/>
          <w:kern w:val="0"/>
          <w:sz w:val="32"/>
          <w:szCs w:val="32"/>
          <w:highlight w:val="none"/>
          <w:lang w:val="en-US" w:eastAsia="zh-CN" w:bidi="ar-SA"/>
        </w:rPr>
      </w:pPr>
      <w:bookmarkStart w:id="2" w:name="_Toc8898"/>
      <w:r>
        <w:rPr>
          <w:rFonts w:hint="eastAsia" w:ascii="Times New Roman" w:hAnsi="Times New Roman" w:cs="Times New Roman"/>
          <w:color w:val="auto"/>
          <w:kern w:val="0"/>
          <w:sz w:val="36"/>
          <w:szCs w:val="36"/>
          <w:highlight w:val="none"/>
          <w:lang w:val="en-US" w:eastAsia="zh-CN"/>
        </w:rPr>
        <w:t>商务条款</w:t>
      </w:r>
      <w:bookmarkEnd w:id="2"/>
      <w:r>
        <w:rPr>
          <w:rFonts w:hint="eastAsia" w:ascii="Times New Roman" w:hAnsi="Times New Roman" w:cs="Times New Roman"/>
          <w:color w:val="auto"/>
          <w:kern w:val="0"/>
          <w:sz w:val="36"/>
          <w:szCs w:val="36"/>
          <w:highlight w:val="none"/>
          <w:lang w:val="en-US" w:eastAsia="zh-CN"/>
        </w:rPr>
        <w:t xml:space="preserve"> </w:t>
      </w:r>
    </w:p>
    <w:p>
      <w:pPr>
        <w:pStyle w:val="4"/>
        <w:spacing w:before="0" w:after="0" w:line="520" w:lineRule="exact"/>
        <w:ind w:firstLine="562" w:firstLineChars="200"/>
        <w:jc w:val="both"/>
        <w:rPr>
          <w:rFonts w:hint="eastAsia" w:ascii="宋体" w:hAnsi="宋体" w:eastAsia="宋体" w:cs="宋体"/>
          <w:bCs w:val="0"/>
          <w:color w:val="auto"/>
          <w:sz w:val="28"/>
          <w:highlight w:val="none"/>
        </w:rPr>
      </w:pPr>
      <w:bookmarkStart w:id="3" w:name="_Toc22367"/>
      <w:r>
        <w:rPr>
          <w:rFonts w:hint="eastAsia" w:ascii="宋体" w:hAnsi="宋体" w:eastAsia="宋体" w:cs="宋体"/>
          <w:bCs w:val="0"/>
          <w:color w:val="auto"/>
          <w:sz w:val="28"/>
          <w:highlight w:val="none"/>
        </w:rPr>
        <w:t>1、本项目不接受分包以及转包。</w:t>
      </w:r>
      <w:bookmarkEnd w:id="3"/>
    </w:p>
    <w:p>
      <w:pPr>
        <w:pStyle w:val="4"/>
        <w:spacing w:before="0" w:after="0" w:line="520" w:lineRule="exact"/>
        <w:ind w:firstLine="562" w:firstLineChars="200"/>
        <w:jc w:val="both"/>
        <w:rPr>
          <w:rFonts w:ascii="Calibri" w:hAnsi="Calibri" w:eastAsia="宋体"/>
          <w:bCs w:val="0"/>
          <w:color w:val="auto"/>
          <w:sz w:val="28"/>
          <w:highlight w:val="none"/>
        </w:rPr>
      </w:pPr>
      <w:bookmarkStart w:id="4" w:name="_Toc26379"/>
      <w:r>
        <w:rPr>
          <w:rFonts w:hint="eastAsia" w:ascii="宋体" w:hAnsi="宋体" w:eastAsia="宋体" w:cs="宋体"/>
          <w:bCs w:val="0"/>
          <w:color w:val="auto"/>
          <w:sz w:val="28"/>
          <w:highlight w:val="none"/>
        </w:rPr>
        <w:t>2、服务地点：</w:t>
      </w:r>
      <w:r>
        <w:rPr>
          <w:rFonts w:hint="eastAsia" w:ascii="宋体" w:hAnsi="宋体" w:eastAsia="宋体" w:cs="宋体"/>
          <w:b w:val="0"/>
          <w:bCs w:val="0"/>
          <w:color w:val="auto"/>
          <w:sz w:val="28"/>
          <w:highlight w:val="none"/>
        </w:rPr>
        <w:t>采购人指定地点。</w:t>
      </w:r>
      <w:bookmarkEnd w:id="4"/>
    </w:p>
    <w:p>
      <w:pPr>
        <w:pStyle w:val="4"/>
        <w:spacing w:before="0" w:after="0" w:line="520" w:lineRule="exact"/>
        <w:ind w:firstLine="562" w:firstLineChars="200"/>
        <w:jc w:val="both"/>
        <w:rPr>
          <w:rFonts w:ascii="Calibri" w:hAnsi="Calibri" w:eastAsia="宋体"/>
          <w:b w:val="0"/>
          <w:color w:val="auto"/>
          <w:sz w:val="28"/>
          <w:highlight w:val="none"/>
        </w:rPr>
      </w:pPr>
      <w:bookmarkStart w:id="5" w:name="_Toc9578"/>
      <w:r>
        <w:rPr>
          <w:rFonts w:hint="eastAsia" w:ascii="宋体" w:hAnsi="宋体" w:eastAsia="宋体" w:cs="宋体"/>
          <w:bCs w:val="0"/>
          <w:color w:val="auto"/>
          <w:sz w:val="28"/>
          <w:highlight w:val="none"/>
        </w:rPr>
        <w:t>3、</w:t>
      </w:r>
      <w:r>
        <w:rPr>
          <w:rFonts w:hint="eastAsia" w:ascii="Calibri" w:hAnsi="Calibri" w:eastAsia="宋体"/>
          <w:bCs w:val="0"/>
          <w:color w:val="auto"/>
          <w:sz w:val="28"/>
          <w:highlight w:val="none"/>
        </w:rPr>
        <w:t>履行期限：</w:t>
      </w:r>
      <w:r>
        <w:rPr>
          <w:rFonts w:hint="eastAsia" w:ascii="Calibri" w:hAnsi="Calibri" w:eastAsia="宋体"/>
          <w:b w:val="0"/>
          <w:color w:val="auto"/>
          <w:sz w:val="28"/>
          <w:highlight w:val="none"/>
        </w:rPr>
        <w:t>签订合同后在约定的时间开始进行设计服务，40个日历天（签订合同后20天完成方案设计，20天内完成施工图设计并报送图审）。</w:t>
      </w:r>
      <w:bookmarkEnd w:id="5"/>
    </w:p>
    <w:p>
      <w:pPr>
        <w:widowControl/>
        <w:spacing w:line="520" w:lineRule="exact"/>
        <w:ind w:firstLine="562" w:firstLineChars="200"/>
        <w:jc w:val="left"/>
        <w:rPr>
          <w:rFonts w:hint="eastAsia" w:ascii="Calibri" w:hAnsi="Calibri" w:eastAsia="宋体"/>
          <w:bCs/>
          <w:color w:val="auto"/>
          <w:sz w:val="28"/>
          <w:szCs w:val="32"/>
          <w:highlight w:val="none"/>
          <w:lang w:eastAsia="zh-CN"/>
        </w:rPr>
      </w:pPr>
      <w:r>
        <w:rPr>
          <w:rFonts w:hint="eastAsia" w:ascii="宋体" w:hAnsi="宋体" w:eastAsia="宋体" w:cs="宋体"/>
          <w:b/>
          <w:bCs w:val="0"/>
          <w:color w:val="auto"/>
          <w:kern w:val="2"/>
          <w:sz w:val="28"/>
          <w:szCs w:val="32"/>
          <w:highlight w:val="none"/>
          <w:lang w:val="en-US" w:eastAsia="zh-CN" w:bidi="ar-SA"/>
        </w:rPr>
        <w:t>4</w:t>
      </w:r>
      <w:r>
        <w:rPr>
          <w:rFonts w:hint="eastAsia" w:ascii="Calibri" w:hAnsi="Calibri"/>
          <w:b/>
          <w:color w:val="auto"/>
          <w:sz w:val="28"/>
          <w:szCs w:val="32"/>
          <w:highlight w:val="none"/>
        </w:rPr>
        <w:t>、付款方式：</w:t>
      </w:r>
      <w:r>
        <w:rPr>
          <w:rFonts w:hint="eastAsia" w:ascii="Calibri" w:hAnsi="Calibri"/>
          <w:bCs/>
          <w:color w:val="auto"/>
          <w:sz w:val="28"/>
          <w:szCs w:val="32"/>
          <w:highlight w:val="none"/>
          <w:lang w:eastAsia="zh-CN"/>
        </w:rPr>
        <w:t>设计服务费在完成方案及初步设计并提交合同成果后，支付至成交合同价的30%；完成施工图设计图审合格及二次消防设计审查合格、招标工程量清单并提交合格成果后，支付至成交合同价的90%；剩余款项在项目建设竣工验收后一次性付清，不计利息。付款时设计人提供增值税普通发票。</w:t>
      </w:r>
    </w:p>
    <w:p>
      <w:pPr>
        <w:pStyle w:val="5"/>
        <w:rPr>
          <w:rFonts w:ascii="Calibri" w:hAnsi="Calibri" w:eastAsia="宋体" w:cs="Times New Roman"/>
          <w:b/>
          <w:color w:val="auto"/>
          <w:sz w:val="28"/>
          <w:szCs w:val="32"/>
          <w:highlight w:val="none"/>
        </w:rPr>
      </w:pPr>
      <w:r>
        <w:rPr>
          <w:rFonts w:hint="eastAsia"/>
          <w:color w:val="auto"/>
          <w:highlight w:val="none"/>
        </w:rPr>
        <w:t xml:space="preserve">     </w:t>
      </w:r>
      <w:r>
        <w:rPr>
          <w:rFonts w:hint="eastAsia" w:ascii="宋体" w:hAnsi="宋体" w:eastAsia="宋体" w:cs="宋体"/>
          <w:b/>
          <w:bCs w:val="0"/>
          <w:color w:val="auto"/>
          <w:kern w:val="2"/>
          <w:sz w:val="28"/>
          <w:szCs w:val="32"/>
          <w:highlight w:val="none"/>
          <w:lang w:val="en-US" w:eastAsia="zh-CN" w:bidi="ar-SA"/>
        </w:rPr>
        <w:t xml:space="preserve"> 5</w:t>
      </w:r>
      <w:r>
        <w:rPr>
          <w:rFonts w:hint="eastAsia" w:ascii="Calibri" w:hAnsi="Calibri" w:eastAsia="宋体" w:cs="Times New Roman"/>
          <w:b/>
          <w:color w:val="auto"/>
          <w:sz w:val="28"/>
          <w:szCs w:val="32"/>
          <w:highlight w:val="none"/>
        </w:rPr>
        <w:t>、履约保证金：</w:t>
      </w:r>
      <w:r>
        <w:rPr>
          <w:rFonts w:hint="eastAsia" w:ascii="Calibri" w:hAnsi="Calibri" w:eastAsia="宋体" w:cs="Times New Roman"/>
          <w:b/>
          <w:color w:val="auto"/>
          <w:sz w:val="28"/>
          <w:szCs w:val="32"/>
          <w:highlight w:val="none"/>
          <w:lang w:eastAsia="zh-CN"/>
        </w:rPr>
        <w:t>本项目不收取履约保证金</w:t>
      </w:r>
      <w:r>
        <w:rPr>
          <w:rFonts w:hint="eastAsia" w:ascii="Calibri" w:hAnsi="Calibri" w:eastAsia="宋体" w:cs="Times New Roman"/>
          <w:b/>
          <w:color w:val="auto"/>
          <w:sz w:val="28"/>
          <w:szCs w:val="32"/>
          <w:highlight w:val="none"/>
        </w:rPr>
        <w:t>。</w:t>
      </w:r>
    </w:p>
    <w:p>
      <w:pPr>
        <w:spacing w:line="520" w:lineRule="exact"/>
        <w:ind w:firstLine="562" w:firstLineChars="200"/>
        <w:jc w:val="left"/>
        <w:rPr>
          <w:rFonts w:hint="eastAsia" w:ascii="Calibri" w:hAnsi="Calibri" w:eastAsia="宋体"/>
          <w:bCs/>
          <w:color w:val="auto"/>
          <w:sz w:val="28"/>
          <w:szCs w:val="32"/>
          <w:highlight w:val="none"/>
          <w:lang w:val="en-US" w:eastAsia="zh-CN"/>
        </w:rPr>
      </w:pPr>
      <w:r>
        <w:rPr>
          <w:rFonts w:hint="eastAsia" w:ascii="宋体" w:hAnsi="宋体" w:eastAsia="宋体" w:cs="宋体"/>
          <w:b/>
          <w:bCs w:val="0"/>
          <w:color w:val="auto"/>
          <w:kern w:val="2"/>
          <w:sz w:val="28"/>
          <w:szCs w:val="32"/>
          <w:highlight w:val="none"/>
          <w:lang w:val="en-US" w:eastAsia="zh-CN" w:bidi="ar-SA"/>
        </w:rPr>
        <w:t>6</w:t>
      </w:r>
      <w:r>
        <w:rPr>
          <w:rFonts w:hint="eastAsia" w:ascii="Calibri" w:hAnsi="Calibri"/>
          <w:b/>
          <w:color w:val="auto"/>
          <w:sz w:val="28"/>
          <w:szCs w:val="32"/>
          <w:highlight w:val="none"/>
        </w:rPr>
        <w:t>、质量标准：</w:t>
      </w:r>
      <w:r>
        <w:rPr>
          <w:rFonts w:hint="eastAsia" w:ascii="Calibri" w:hAnsi="Calibri"/>
          <w:bCs/>
          <w:color w:val="auto"/>
          <w:sz w:val="28"/>
          <w:szCs w:val="32"/>
          <w:highlight w:val="none"/>
        </w:rPr>
        <w:t>符合国家合格标准。方案设计、初步设计、施工图设计质量必须达到国家有关工程设计深度的要求并通过有关部门的审查，及满足设计任务书要求</w:t>
      </w:r>
      <w:r>
        <w:rPr>
          <w:rFonts w:hint="eastAsia" w:ascii="Calibri" w:hAnsi="Calibri"/>
          <w:bCs/>
          <w:color w:val="auto"/>
          <w:sz w:val="28"/>
          <w:szCs w:val="32"/>
          <w:highlight w:val="none"/>
          <w:lang w:eastAsia="zh-CN"/>
        </w:rPr>
        <w:t>。</w:t>
      </w:r>
    </w:p>
    <w:p>
      <w:pPr>
        <w:pageBreakBefore w:val="0"/>
        <w:kinsoku/>
        <w:wordWrap/>
        <w:overflowPunct/>
        <w:topLinePunct w:val="0"/>
        <w:autoSpaceDE/>
        <w:autoSpaceDN/>
        <w:bidi w:val="0"/>
        <w:adjustRightInd/>
        <w:snapToGrid/>
        <w:spacing w:line="520" w:lineRule="exact"/>
        <w:ind w:firstLine="562" w:firstLineChars="200"/>
        <w:jc w:val="left"/>
        <w:textAlignment w:val="auto"/>
        <w:rPr>
          <w:color w:val="auto"/>
        </w:rPr>
      </w:pPr>
      <w:r>
        <w:rPr>
          <w:rFonts w:hint="eastAsia" w:ascii="宋体" w:hAnsi="宋体" w:eastAsia="宋体" w:cs="宋体"/>
          <w:b/>
          <w:bCs w:val="0"/>
          <w:color w:val="auto"/>
          <w:kern w:val="2"/>
          <w:sz w:val="28"/>
          <w:szCs w:val="32"/>
          <w:highlight w:val="none"/>
          <w:lang w:val="en-US" w:eastAsia="zh-CN" w:bidi="ar-SA"/>
        </w:rPr>
        <w:t>7</w:t>
      </w:r>
      <w:r>
        <w:rPr>
          <w:rFonts w:hint="eastAsia" w:ascii="Calibri" w:hAnsi="Calibri"/>
          <w:b/>
          <w:color w:val="auto"/>
          <w:sz w:val="28"/>
          <w:szCs w:val="32"/>
          <w:highlight w:val="none"/>
        </w:rPr>
        <w:t>、其他事宜：</w:t>
      </w:r>
      <w:r>
        <w:rPr>
          <w:rFonts w:hint="eastAsia" w:ascii="Calibri" w:hAnsi="Calibri"/>
          <w:b w:val="0"/>
          <w:bCs/>
          <w:color w:val="auto"/>
          <w:sz w:val="28"/>
          <w:szCs w:val="32"/>
          <w:highlight w:val="none"/>
        </w:rPr>
        <w:t>本项目响应报价应是交易文件所约定的设计交易范围全部工作内容的含税价格体现。包括但不限于：资料收集费、项目调研费、规划设计费、初步设计费、施工图设计费、评审后成果的修改与完善的费用、成果制作费、伴随服务费、办公费、住宿费、交通费、保险、税金及相关人员监督劳务费、项目前期策划调研费、施工过程中跟踪服务费及合同实施过程中的应预见和不可预见费用等完成合同规定责任和义务的一切费用及企业利润，施工过程中跟踪服务费等费用和各阶段电子文件；施工图 8 套；上述成果的电子文件 2套（包括图纸与 word 文档）和图纸的印刷制作及运输费用。总服务周期：直至工程验收通过。</w:t>
      </w:r>
    </w:p>
    <w:sectPr>
      <w:headerReference r:id="rId3" w:type="default"/>
      <w:footerReference r:id="rId4" w:type="default"/>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center"/>
                          </w:pPr>
                          <w:r>
                            <w:fldChar w:fldCharType="begin"/>
                          </w:r>
                          <w:r>
                            <w:instrText xml:space="preserve"> PAGE   \* MERGEFORMAT </w:instrText>
                          </w:r>
                          <w:r>
                            <w:fldChar w:fldCharType="separate"/>
                          </w:r>
                          <w:r>
                            <w:rPr>
                              <w:lang w:val="zh-CN"/>
                            </w:rPr>
                            <w:t>26</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26</w:t>
                    </w:r>
                    <w:r>
                      <w:rPr>
                        <w:lang w:val="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WIwOTUyM2Q3NTI4ZDJhZTI5ZTMwY2QyYzBjZGYifQ=="/>
  </w:docVars>
  <w:rsids>
    <w:rsidRoot w:val="00000000"/>
    <w:rsid w:val="04BA2023"/>
    <w:rsid w:val="1A717AC7"/>
    <w:rsid w:val="23DE0FAC"/>
    <w:rsid w:val="242E4A97"/>
    <w:rsid w:val="34000F51"/>
    <w:rsid w:val="38E93BA2"/>
    <w:rsid w:val="605113E4"/>
    <w:rsid w:val="7CBF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360" w:lineRule="auto"/>
    </w:pPr>
    <w:rPr>
      <w:rFonts w:eastAsia="宋体"/>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240" w:after="120"/>
      <w:jc w:val="left"/>
    </w:pPr>
    <w:rPr>
      <w:b/>
      <w:bCs/>
      <w:sz w:val="20"/>
      <w:szCs w:val="2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0"/>
    <w:pPr>
      <w:ind w:firstLine="420" w:firstLineChars="200"/>
    </w:pPr>
  </w:style>
  <w:style w:type="paragraph" w:styleId="12">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13">
    <w:name w:val="font51"/>
    <w:basedOn w:val="10"/>
    <w:qFormat/>
    <w:uiPriority w:val="0"/>
    <w:rPr>
      <w:rFonts w:hint="default" w:ascii="Tahoma" w:hAnsi="Tahoma" w:eastAsia="Tahoma" w:cs="Tahoma"/>
      <w:color w:val="000000"/>
      <w:sz w:val="18"/>
      <w:szCs w:val="18"/>
      <w:u w:val="none"/>
    </w:rPr>
  </w:style>
  <w:style w:type="character" w:customStyle="1" w:styleId="14">
    <w:name w:val="font81"/>
    <w:basedOn w:val="10"/>
    <w:qFormat/>
    <w:uiPriority w:val="0"/>
    <w:rPr>
      <w:rFonts w:hint="eastAsia" w:ascii="宋体" w:hAnsi="宋体" w:eastAsia="宋体" w:cs="宋体"/>
      <w:color w:val="000000"/>
      <w:sz w:val="18"/>
      <w:szCs w:val="18"/>
      <w:u w:val="none"/>
    </w:rPr>
  </w:style>
  <w:style w:type="character" w:customStyle="1" w:styleId="15">
    <w:name w:val="font61"/>
    <w:basedOn w:val="10"/>
    <w:qFormat/>
    <w:uiPriority w:val="0"/>
    <w:rPr>
      <w:rFonts w:hint="default" w:ascii="Arial" w:hAnsi="Arial" w:cs="Arial"/>
      <w:color w:val="000000"/>
      <w:sz w:val="20"/>
      <w:szCs w:val="20"/>
      <w:u w:val="none"/>
    </w:rPr>
  </w:style>
  <w:style w:type="character" w:customStyle="1" w:styleId="16">
    <w:name w:val="font71"/>
    <w:basedOn w:val="10"/>
    <w:qFormat/>
    <w:uiPriority w:val="0"/>
    <w:rPr>
      <w:rFonts w:hint="eastAsia" w:ascii="宋体" w:hAnsi="宋体" w:eastAsia="宋体" w:cs="宋体"/>
      <w:color w:val="000000"/>
      <w:sz w:val="20"/>
      <w:szCs w:val="20"/>
      <w:u w:val="none"/>
    </w:rPr>
  </w:style>
  <w:style w:type="character" w:customStyle="1" w:styleId="17">
    <w:name w:val="font121"/>
    <w:basedOn w:val="10"/>
    <w:qFormat/>
    <w:uiPriority w:val="0"/>
    <w:rPr>
      <w:rFonts w:hint="eastAsia" w:ascii="宋体" w:hAnsi="宋体" w:eastAsia="宋体" w:cs="宋体"/>
      <w:color w:val="000000"/>
      <w:sz w:val="20"/>
      <w:szCs w:val="20"/>
      <w:u w:val="none"/>
    </w:rPr>
  </w:style>
  <w:style w:type="character" w:customStyle="1" w:styleId="18">
    <w:name w:val="font131"/>
    <w:basedOn w:val="10"/>
    <w:qFormat/>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2559</Words>
  <Characters>3251</Characters>
  <Lines>0</Lines>
  <Paragraphs>0</Paragraphs>
  <TotalTime>0</TotalTime>
  <ScaleCrop>false</ScaleCrop>
  <LinksUpToDate>false</LinksUpToDate>
  <CharactersWithSpaces>3261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2020-12-18T10:58:00Z</dcterms:created>
  <dc:creator>Administrator</dc:creator>
  <cp:lastModifiedBy>333</cp:lastModifiedBy>
  <dcterms:modified xsi:type="dcterms:W3CDTF">2023-01-09T09:09:06Z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06D9453115184AD29884321AD7AB466B</vt:lpwstr>
  </property>
</Properties>
</file>