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shd w:val="clear"/>
        <w:jc w:val="center"/>
        <w:rPr>
          <w:rFonts w:hint="eastAsia" w:ascii="宋体" w:hAnsi="宋体" w:eastAsia="宋体" w:cs="宋体"/>
          <w:b/>
          <w:bCs w:val="0"/>
          <w:color w:val="auto"/>
          <w:sz w:val="56"/>
          <w:szCs w:val="56"/>
          <w:highlight w:val="none"/>
        </w:rPr>
      </w:pPr>
      <w:r>
        <w:rPr>
          <w:rFonts w:hint="eastAsia" w:ascii="宋体" w:hAnsi="宋体" w:eastAsia="宋体" w:cs="宋体"/>
          <w:color w:val="auto"/>
          <w:sz w:val="28"/>
          <w:szCs w:val="28"/>
          <w:highlight w:val="none"/>
        </w:rPr>
        <w:br w:type="textWrapping"/>
      </w:r>
      <w:r>
        <w:rPr>
          <w:rFonts w:hint="eastAsia" w:ascii="宋体" w:hAnsi="宋体" w:eastAsia="宋体" w:cs="宋体"/>
          <w:b/>
          <w:bCs w:val="0"/>
          <w:color w:val="auto"/>
          <w:sz w:val="56"/>
          <w:szCs w:val="56"/>
          <w:highlight w:val="none"/>
        </w:rPr>
        <w:t>福建省政府采购货物和服务项目</w:t>
      </w:r>
    </w:p>
    <w:p>
      <w:pPr>
        <w:pStyle w:val="10"/>
        <w:shd w:val="clear"/>
        <w:jc w:val="center"/>
        <w:rPr>
          <w:rFonts w:hint="eastAsia" w:ascii="宋体" w:hAnsi="宋体" w:eastAsia="宋体" w:cs="宋体"/>
          <w:b/>
          <w:bCs w:val="0"/>
          <w:color w:val="auto"/>
          <w:sz w:val="56"/>
          <w:szCs w:val="56"/>
          <w:highlight w:val="none"/>
        </w:rPr>
      </w:pPr>
      <w:r>
        <w:rPr>
          <w:rFonts w:hint="eastAsia" w:ascii="宋体" w:hAnsi="宋体" w:eastAsia="宋体" w:cs="宋体"/>
          <w:b/>
          <w:bCs w:val="0"/>
          <w:color w:val="auto"/>
          <w:sz w:val="56"/>
          <w:szCs w:val="56"/>
          <w:highlight w:val="none"/>
        </w:rPr>
        <w:t>公开招标文件</w:t>
      </w:r>
    </w:p>
    <w:p>
      <w:pPr>
        <w:pStyle w:val="10"/>
        <w:shd w:val="clear"/>
        <w:jc w:val="center"/>
        <w:rPr>
          <w:rFonts w:hint="eastAsia" w:ascii="宋体" w:hAnsi="宋体" w:eastAsia="宋体" w:cs="宋体"/>
          <w:b/>
          <w:bCs w:val="0"/>
          <w:color w:val="auto"/>
          <w:sz w:val="48"/>
          <w:szCs w:val="48"/>
          <w:highlight w:val="none"/>
        </w:rPr>
      </w:pPr>
      <w:r>
        <w:rPr>
          <w:rFonts w:hint="eastAsia" w:ascii="宋体" w:hAnsi="宋体" w:eastAsia="宋体" w:cs="宋体"/>
          <w:b/>
          <w:bCs w:val="0"/>
          <w:color w:val="auto"/>
          <w:sz w:val="48"/>
          <w:szCs w:val="48"/>
          <w:highlight w:val="none"/>
        </w:rPr>
        <w:t>（预公告版）</w:t>
      </w:r>
    </w:p>
    <w:p>
      <w:pPr>
        <w:pStyle w:val="10"/>
        <w:shd w:val="clear"/>
        <w:jc w:val="center"/>
        <w:rPr>
          <w:rFonts w:hint="eastAsia" w:ascii="宋体" w:hAnsi="宋体" w:eastAsia="宋体" w:cs="宋体"/>
          <w:b/>
          <w:color w:val="auto"/>
          <w:sz w:val="28"/>
          <w:szCs w:val="28"/>
          <w:highlight w:val="none"/>
        </w:rPr>
      </w:pPr>
    </w:p>
    <w:p>
      <w:pPr>
        <w:pStyle w:val="10"/>
        <w:shd w:val="clear"/>
        <w:jc w:val="center"/>
        <w:rPr>
          <w:rFonts w:hint="eastAsia" w:ascii="宋体" w:hAnsi="宋体" w:eastAsia="宋体" w:cs="宋体"/>
          <w:b/>
          <w:color w:val="auto"/>
          <w:sz w:val="28"/>
          <w:szCs w:val="28"/>
          <w:highlight w:val="none"/>
        </w:rPr>
      </w:pPr>
    </w:p>
    <w:p>
      <w:pPr>
        <w:pStyle w:val="10"/>
        <w:shd w:val="clear"/>
        <w:jc w:val="center"/>
        <w:rPr>
          <w:rFonts w:hint="eastAsia" w:ascii="宋体" w:hAnsi="宋体" w:eastAsia="宋体" w:cs="宋体"/>
          <w:b/>
          <w:color w:val="auto"/>
          <w:sz w:val="28"/>
          <w:szCs w:val="28"/>
          <w:highlight w:val="none"/>
        </w:rPr>
      </w:pPr>
    </w:p>
    <w:p>
      <w:pPr>
        <w:pStyle w:val="10"/>
        <w:shd w:val="clear"/>
        <w:jc w:val="center"/>
        <w:rPr>
          <w:rFonts w:hint="eastAsia" w:ascii="宋体" w:hAnsi="宋体" w:eastAsia="宋体" w:cs="宋体"/>
          <w:color w:val="auto"/>
          <w:sz w:val="28"/>
          <w:szCs w:val="28"/>
          <w:highlight w:val="none"/>
          <w:lang w:eastAsia="zh-CN"/>
        </w:rPr>
      </w:pPr>
      <w:r>
        <w:rPr>
          <w:rFonts w:hint="eastAsia" w:ascii="宋体" w:hAnsi="宋体" w:eastAsia="宋体" w:cs="宋体"/>
          <w:b/>
          <w:color w:val="auto"/>
          <w:sz w:val="28"/>
          <w:szCs w:val="28"/>
          <w:highlight w:val="none"/>
        </w:rPr>
        <w:t>项目名称：</w:t>
      </w:r>
      <w:r>
        <w:rPr>
          <w:rFonts w:hint="eastAsia" w:ascii="宋体" w:hAnsi="宋体" w:eastAsia="宋体" w:cs="宋体"/>
          <w:b/>
          <w:color w:val="auto"/>
          <w:sz w:val="28"/>
          <w:szCs w:val="28"/>
          <w:highlight w:val="none"/>
          <w:lang w:eastAsia="zh-CN"/>
        </w:rPr>
        <w:t>郊尾镇环境卫生保洁及清运一体化服务项目</w:t>
      </w:r>
    </w:p>
    <w:p>
      <w:pPr>
        <w:pStyle w:val="10"/>
        <w:shd w:val="clear"/>
        <w:jc w:val="center"/>
        <w:rPr>
          <w:rFonts w:hint="eastAsia" w:ascii="宋体" w:hAnsi="宋体" w:eastAsia="宋体" w:cs="宋体"/>
          <w:color w:val="auto"/>
          <w:sz w:val="28"/>
          <w:szCs w:val="28"/>
          <w:highlight w:val="none"/>
          <w:lang w:eastAsia="zh-CN"/>
        </w:rPr>
      </w:pPr>
      <w:r>
        <w:rPr>
          <w:rFonts w:hint="eastAsia" w:ascii="宋体" w:hAnsi="宋体" w:eastAsia="宋体" w:cs="宋体"/>
          <w:b/>
          <w:color w:val="auto"/>
          <w:sz w:val="28"/>
          <w:szCs w:val="28"/>
          <w:highlight w:val="none"/>
        </w:rPr>
        <w:t>备案编号：</w:t>
      </w:r>
      <w:r>
        <w:rPr>
          <w:rFonts w:hint="eastAsia" w:ascii="宋体" w:hAnsi="宋体" w:eastAsia="宋体" w:cs="宋体"/>
          <w:b/>
          <w:color w:val="auto"/>
          <w:sz w:val="28"/>
          <w:szCs w:val="28"/>
          <w:highlight w:val="none"/>
          <w:lang w:eastAsia="zh-CN"/>
        </w:rPr>
        <w:t>CGXM-2023-350322-00001[2023]00001</w:t>
      </w:r>
    </w:p>
    <w:p>
      <w:pPr>
        <w:pStyle w:val="10"/>
        <w:shd w:val="clear"/>
        <w:jc w:val="center"/>
        <w:rPr>
          <w:rFonts w:hint="eastAsia" w:ascii="宋体" w:hAnsi="宋体" w:eastAsia="宋体" w:cs="宋体"/>
          <w:color w:val="auto"/>
          <w:sz w:val="28"/>
          <w:szCs w:val="28"/>
          <w:highlight w:val="none"/>
          <w:lang w:eastAsia="zh-CN"/>
        </w:rPr>
      </w:pPr>
      <w:r>
        <w:rPr>
          <w:rFonts w:hint="eastAsia" w:ascii="宋体" w:hAnsi="宋体" w:eastAsia="宋体" w:cs="宋体"/>
          <w:b/>
          <w:color w:val="auto"/>
          <w:sz w:val="28"/>
          <w:szCs w:val="28"/>
          <w:highlight w:val="none"/>
        </w:rPr>
        <w:t>项目编号：</w:t>
      </w:r>
      <w:r>
        <w:rPr>
          <w:rFonts w:hint="eastAsia" w:ascii="宋体" w:hAnsi="宋体" w:eastAsia="宋体" w:cs="宋体"/>
          <w:b/>
          <w:color w:val="auto"/>
          <w:sz w:val="28"/>
          <w:szCs w:val="28"/>
          <w:highlight w:val="none"/>
          <w:lang w:eastAsia="zh-CN"/>
        </w:rPr>
        <w:t>[350322]HTXMGL[GK]2023001</w:t>
      </w:r>
    </w:p>
    <w:p>
      <w:pPr>
        <w:pStyle w:val="10"/>
        <w:shd w:val="clear"/>
        <w:jc w:val="center"/>
        <w:rPr>
          <w:rFonts w:hint="eastAsia" w:ascii="宋体" w:hAnsi="宋体" w:eastAsia="宋体" w:cs="宋体"/>
          <w:b/>
          <w:color w:val="auto"/>
          <w:sz w:val="28"/>
          <w:szCs w:val="28"/>
          <w:highlight w:val="none"/>
        </w:rPr>
      </w:pPr>
    </w:p>
    <w:p>
      <w:pPr>
        <w:pStyle w:val="10"/>
        <w:shd w:val="clear"/>
        <w:jc w:val="center"/>
        <w:rPr>
          <w:rFonts w:hint="eastAsia" w:ascii="宋体" w:hAnsi="宋体" w:eastAsia="宋体" w:cs="宋体"/>
          <w:b/>
          <w:color w:val="auto"/>
          <w:sz w:val="28"/>
          <w:szCs w:val="28"/>
          <w:highlight w:val="none"/>
        </w:rPr>
      </w:pPr>
    </w:p>
    <w:p>
      <w:pPr>
        <w:pStyle w:val="10"/>
        <w:shd w:val="clear"/>
        <w:jc w:val="center"/>
        <w:rPr>
          <w:rFonts w:hint="eastAsia" w:ascii="宋体" w:hAnsi="宋体" w:eastAsia="宋体" w:cs="宋体"/>
          <w:b/>
          <w:color w:val="auto"/>
          <w:sz w:val="28"/>
          <w:szCs w:val="28"/>
          <w:highlight w:val="none"/>
        </w:rPr>
      </w:pPr>
    </w:p>
    <w:p>
      <w:pPr>
        <w:pStyle w:val="10"/>
        <w:shd w:val="clear"/>
        <w:jc w:val="center"/>
        <w:rPr>
          <w:rFonts w:hint="eastAsia" w:ascii="宋体" w:hAnsi="宋体" w:eastAsia="宋体" w:cs="宋体"/>
          <w:b/>
          <w:color w:val="auto"/>
          <w:sz w:val="28"/>
          <w:szCs w:val="28"/>
          <w:highlight w:val="none"/>
        </w:rPr>
      </w:pPr>
    </w:p>
    <w:p>
      <w:pPr>
        <w:pStyle w:val="10"/>
        <w:shd w:val="clear"/>
        <w:jc w:val="center"/>
        <w:rPr>
          <w:rFonts w:hint="eastAsia" w:ascii="宋体" w:hAnsi="宋体" w:eastAsia="宋体" w:cs="宋体"/>
          <w:b/>
          <w:color w:val="auto"/>
          <w:sz w:val="28"/>
          <w:szCs w:val="28"/>
          <w:highlight w:val="none"/>
        </w:rPr>
      </w:pPr>
    </w:p>
    <w:p>
      <w:pPr>
        <w:pStyle w:val="10"/>
        <w:shd w:val="clear"/>
        <w:jc w:val="center"/>
        <w:rPr>
          <w:rFonts w:hint="eastAsia" w:ascii="宋体" w:hAnsi="宋体" w:eastAsia="宋体" w:cs="宋体"/>
          <w:b/>
          <w:color w:val="auto"/>
          <w:sz w:val="28"/>
          <w:szCs w:val="28"/>
          <w:highlight w:val="none"/>
        </w:rPr>
      </w:pPr>
    </w:p>
    <w:p>
      <w:pPr>
        <w:pStyle w:val="10"/>
        <w:shd w:val="clear"/>
        <w:jc w:val="center"/>
        <w:rPr>
          <w:rFonts w:hint="eastAsia" w:ascii="宋体" w:hAnsi="宋体" w:eastAsia="宋体" w:cs="宋体"/>
          <w:b/>
          <w:color w:val="auto"/>
          <w:sz w:val="28"/>
          <w:szCs w:val="28"/>
          <w:highlight w:val="none"/>
        </w:rPr>
      </w:pPr>
    </w:p>
    <w:p>
      <w:pPr>
        <w:pStyle w:val="10"/>
        <w:shd w:val="clear"/>
        <w:jc w:val="center"/>
        <w:rPr>
          <w:rFonts w:hint="eastAsia" w:ascii="宋体" w:hAnsi="宋体" w:eastAsia="宋体" w:cs="宋体"/>
          <w:color w:val="auto"/>
          <w:sz w:val="28"/>
          <w:szCs w:val="28"/>
          <w:highlight w:val="none"/>
          <w:lang w:eastAsia="zh-CN"/>
        </w:rPr>
      </w:pPr>
      <w:r>
        <w:rPr>
          <w:rFonts w:hint="eastAsia" w:ascii="宋体" w:hAnsi="宋体" w:eastAsia="宋体" w:cs="宋体"/>
          <w:b/>
          <w:color w:val="auto"/>
          <w:sz w:val="28"/>
          <w:szCs w:val="28"/>
          <w:highlight w:val="none"/>
        </w:rPr>
        <w:t>采购人：</w:t>
      </w:r>
      <w:r>
        <w:rPr>
          <w:rFonts w:hint="eastAsia" w:ascii="宋体" w:hAnsi="宋体" w:eastAsia="宋体" w:cs="宋体"/>
          <w:b/>
          <w:color w:val="auto"/>
          <w:sz w:val="28"/>
          <w:szCs w:val="28"/>
          <w:highlight w:val="none"/>
          <w:lang w:eastAsia="zh-CN"/>
        </w:rPr>
        <w:t>仙游县郊尾镇人民政府</w:t>
      </w:r>
    </w:p>
    <w:p>
      <w:pPr>
        <w:pStyle w:val="10"/>
        <w:shd w:val="clear"/>
        <w:jc w:val="center"/>
        <w:rPr>
          <w:rFonts w:hint="eastAsia" w:ascii="宋体" w:hAnsi="宋体" w:eastAsia="宋体" w:cs="宋体"/>
          <w:color w:val="auto"/>
          <w:sz w:val="28"/>
          <w:szCs w:val="28"/>
          <w:highlight w:val="none"/>
          <w:lang w:eastAsia="zh-CN"/>
        </w:rPr>
      </w:pPr>
      <w:r>
        <w:rPr>
          <w:rFonts w:hint="eastAsia" w:ascii="宋体" w:hAnsi="宋体" w:eastAsia="宋体" w:cs="宋体"/>
          <w:b/>
          <w:color w:val="auto"/>
          <w:sz w:val="28"/>
          <w:szCs w:val="28"/>
          <w:highlight w:val="none"/>
        </w:rPr>
        <w:t>代理机构：</w:t>
      </w:r>
      <w:r>
        <w:rPr>
          <w:rFonts w:hint="eastAsia" w:ascii="宋体" w:hAnsi="宋体" w:eastAsia="宋体" w:cs="宋体"/>
          <w:b/>
          <w:color w:val="auto"/>
          <w:sz w:val="28"/>
          <w:szCs w:val="28"/>
          <w:highlight w:val="none"/>
          <w:lang w:eastAsia="zh-CN"/>
        </w:rPr>
        <w:t>福建省宏通项目管理有限公司</w:t>
      </w:r>
    </w:p>
    <w:p>
      <w:pPr>
        <w:pStyle w:val="10"/>
        <w:shd w:val="clear"/>
        <w:jc w:val="center"/>
        <w:rPr>
          <w:rFonts w:hint="eastAsia" w:ascii="宋体" w:hAnsi="宋体" w:eastAsia="宋体" w:cs="宋体"/>
          <w:color w:val="auto"/>
          <w:sz w:val="28"/>
          <w:szCs w:val="28"/>
          <w:highlight w:val="none"/>
        </w:rPr>
      </w:pPr>
      <w:r>
        <w:rPr>
          <w:rFonts w:hint="eastAsia" w:ascii="宋体" w:hAnsi="宋体" w:eastAsia="宋体" w:cs="宋体"/>
          <w:b/>
          <w:color w:val="auto"/>
          <w:sz w:val="28"/>
          <w:szCs w:val="28"/>
          <w:highlight w:val="none"/>
        </w:rPr>
        <w:t>编制时间：2023年01月</w:t>
      </w:r>
    </w:p>
    <w:p>
      <w:pPr>
        <w:pStyle w:val="10"/>
        <w:shd w:val="clear"/>
        <w:rPr>
          <w:rFonts w:hint="eastAsia" w:ascii="宋体" w:hAnsi="宋体" w:eastAsia="宋体" w:cs="宋体"/>
          <w:color w:val="auto"/>
          <w:sz w:val="28"/>
          <w:szCs w:val="28"/>
          <w:highlight w:val="none"/>
        </w:rPr>
      </w:pPr>
    </w:p>
    <w:p>
      <w:pPr>
        <w:pStyle w:val="10"/>
        <w:shd w:val="clea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w:t>
      </w:r>
    </w:p>
    <w:p>
      <w:pPr>
        <w:pStyle w:val="10"/>
        <w:shd w:val="clear"/>
        <w:jc w:val="center"/>
        <w:rPr>
          <w:rFonts w:hint="eastAsia" w:ascii="宋体" w:hAnsi="宋体" w:eastAsia="宋体" w:cs="宋体"/>
          <w:b/>
          <w:color w:val="auto"/>
          <w:sz w:val="28"/>
          <w:szCs w:val="28"/>
          <w:highlight w:val="none"/>
        </w:rPr>
        <w:sectPr>
          <w:pgSz w:w="11906" w:h="16838"/>
          <w:pgMar w:top="1191" w:right="1191" w:bottom="1191" w:left="1191" w:header="851" w:footer="992" w:gutter="0"/>
          <w:pgNumType w:start="0"/>
          <w:cols w:space="0" w:num="1"/>
          <w:rtlGutter w:val="0"/>
          <w:docGrid w:type="lines" w:linePitch="312" w:charSpace="0"/>
        </w:sectPr>
      </w:pPr>
    </w:p>
    <w:p>
      <w:pPr>
        <w:pStyle w:val="10"/>
        <w:shd w:val="clear"/>
        <w:jc w:val="center"/>
        <w:rPr>
          <w:rFonts w:hint="eastAsia" w:ascii="宋体" w:hAnsi="宋体" w:eastAsia="宋体" w:cs="宋体"/>
          <w:color w:val="auto"/>
          <w:sz w:val="28"/>
          <w:szCs w:val="28"/>
          <w:highlight w:val="none"/>
        </w:rPr>
      </w:pPr>
      <w:r>
        <w:rPr>
          <w:rFonts w:hint="eastAsia" w:ascii="宋体" w:hAnsi="宋体" w:eastAsia="宋体" w:cs="宋体"/>
          <w:b/>
          <w:color w:val="auto"/>
          <w:sz w:val="28"/>
          <w:szCs w:val="28"/>
          <w:highlight w:val="none"/>
        </w:rPr>
        <w:t>第一章 投标邀请</w:t>
      </w:r>
    </w:p>
    <w:p>
      <w:pPr>
        <w:pStyle w:val="10"/>
        <w:keepNext w:val="0"/>
        <w:keepLines w:val="0"/>
        <w:pageBreakBefore w:val="0"/>
        <w:widowControl/>
        <w:shd w:val="clear"/>
        <w:kinsoku/>
        <w:wordWrap w:val="0"/>
        <w:overflowPunct/>
        <w:topLinePunct w:val="0"/>
        <w:autoSpaceDE/>
        <w:autoSpaceDN/>
        <w:bidi w:val="0"/>
        <w:adjustRightInd/>
        <w:snapToGrid/>
        <w:spacing w:line="42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福建省宏通项目管理有限公司</w:t>
      </w:r>
      <w:r>
        <w:rPr>
          <w:rFonts w:hint="eastAsia" w:ascii="宋体" w:hAnsi="宋体" w:eastAsia="宋体" w:cs="宋体"/>
          <w:color w:val="auto"/>
          <w:sz w:val="24"/>
          <w:szCs w:val="24"/>
          <w:highlight w:val="none"/>
        </w:rPr>
        <w:t>采用公开招标方式组织</w:t>
      </w:r>
      <w:r>
        <w:rPr>
          <w:rFonts w:hint="eastAsia" w:ascii="宋体" w:hAnsi="宋体" w:eastAsia="宋体" w:cs="宋体"/>
          <w:color w:val="auto"/>
          <w:sz w:val="24"/>
          <w:szCs w:val="24"/>
          <w:highlight w:val="none"/>
          <w:lang w:eastAsia="zh-CN"/>
        </w:rPr>
        <w:t>郊尾镇环境卫生保洁及清运一体化服务项目</w:t>
      </w:r>
      <w:r>
        <w:rPr>
          <w:rFonts w:hint="eastAsia" w:ascii="宋体" w:hAnsi="宋体" w:eastAsia="宋体" w:cs="宋体"/>
          <w:color w:val="auto"/>
          <w:sz w:val="24"/>
          <w:szCs w:val="24"/>
          <w:highlight w:val="none"/>
        </w:rPr>
        <w:t>（以下简称：“本项目”）的政府采购活动，现邀请供应商参加投标。</w:t>
      </w:r>
    </w:p>
    <w:p>
      <w:pPr>
        <w:pStyle w:val="10"/>
        <w:keepNext w:val="0"/>
        <w:keepLines w:val="0"/>
        <w:pageBreakBefore w:val="0"/>
        <w:widowControl/>
        <w:shd w:val="clear"/>
        <w:kinsoku/>
        <w:wordWrap w:val="0"/>
        <w:overflowPunct/>
        <w:topLinePunct w:val="0"/>
        <w:autoSpaceDE/>
        <w:autoSpaceDN/>
        <w:bidi w:val="0"/>
        <w:adjustRightInd/>
        <w:snapToGrid/>
        <w:spacing w:line="420" w:lineRule="exact"/>
        <w:ind w:firstLine="482"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b/>
          <w:color w:val="auto"/>
          <w:sz w:val="24"/>
          <w:szCs w:val="24"/>
          <w:highlight w:val="none"/>
        </w:rPr>
        <w:t>1、备案编号：</w:t>
      </w:r>
      <w:r>
        <w:rPr>
          <w:rFonts w:hint="eastAsia" w:ascii="宋体" w:hAnsi="宋体" w:eastAsia="宋体" w:cs="宋体"/>
          <w:b/>
          <w:color w:val="auto"/>
          <w:sz w:val="24"/>
          <w:szCs w:val="24"/>
          <w:highlight w:val="none"/>
          <w:lang w:eastAsia="zh-CN"/>
        </w:rPr>
        <w:t>CGXM-2023-350322-00001[2023]00001</w:t>
      </w:r>
    </w:p>
    <w:p>
      <w:pPr>
        <w:pStyle w:val="10"/>
        <w:keepNext w:val="0"/>
        <w:keepLines w:val="0"/>
        <w:pageBreakBefore w:val="0"/>
        <w:widowControl/>
        <w:shd w:val="clear"/>
        <w:kinsoku/>
        <w:wordWrap w:val="0"/>
        <w:overflowPunct/>
        <w:topLinePunct w:val="0"/>
        <w:autoSpaceDE/>
        <w:autoSpaceDN/>
        <w:bidi w:val="0"/>
        <w:adjustRightInd/>
        <w:snapToGrid/>
        <w:spacing w:line="420" w:lineRule="exact"/>
        <w:ind w:firstLine="482"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b/>
          <w:color w:val="auto"/>
          <w:sz w:val="24"/>
          <w:szCs w:val="24"/>
          <w:highlight w:val="none"/>
        </w:rPr>
        <w:t>2、项目编号：</w:t>
      </w:r>
      <w:r>
        <w:rPr>
          <w:rFonts w:hint="eastAsia" w:ascii="宋体" w:hAnsi="宋体" w:eastAsia="宋体" w:cs="宋体"/>
          <w:b/>
          <w:color w:val="auto"/>
          <w:sz w:val="24"/>
          <w:szCs w:val="24"/>
          <w:highlight w:val="none"/>
          <w:lang w:eastAsia="zh-CN"/>
        </w:rPr>
        <w:t>[350322]HTXMGL[GK]2023001</w:t>
      </w:r>
    </w:p>
    <w:p>
      <w:pPr>
        <w:pStyle w:val="10"/>
        <w:keepNext w:val="0"/>
        <w:keepLines w:val="0"/>
        <w:pageBreakBefore w:val="0"/>
        <w:widowControl/>
        <w:shd w:val="clear"/>
        <w:kinsoku/>
        <w:wordWrap w:val="0"/>
        <w:overflowPunct/>
        <w:topLinePunct w:val="0"/>
        <w:autoSpaceDE/>
        <w:autoSpaceDN/>
        <w:bidi w:val="0"/>
        <w:adjustRightInd/>
        <w:snapToGrid/>
        <w:spacing w:line="420" w:lineRule="exact"/>
        <w:ind w:firstLine="482"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3、预算金额、最高限价：详见《采购标的一览表》。</w:t>
      </w:r>
    </w:p>
    <w:p>
      <w:pPr>
        <w:pStyle w:val="10"/>
        <w:keepNext w:val="0"/>
        <w:keepLines w:val="0"/>
        <w:pageBreakBefore w:val="0"/>
        <w:widowControl/>
        <w:shd w:val="clear"/>
        <w:kinsoku/>
        <w:wordWrap w:val="0"/>
        <w:overflowPunct/>
        <w:topLinePunct w:val="0"/>
        <w:autoSpaceDE/>
        <w:autoSpaceDN/>
        <w:bidi w:val="0"/>
        <w:adjustRightInd/>
        <w:snapToGrid/>
        <w:spacing w:line="420" w:lineRule="exact"/>
        <w:ind w:firstLine="482"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4、招标内容及要求：详见《采购标的一览表》及招标文件第五章。</w:t>
      </w:r>
    </w:p>
    <w:p>
      <w:pPr>
        <w:pStyle w:val="10"/>
        <w:keepNext w:val="0"/>
        <w:keepLines w:val="0"/>
        <w:pageBreakBefore w:val="0"/>
        <w:widowControl/>
        <w:shd w:val="clear"/>
        <w:kinsoku/>
        <w:wordWrap w:val="0"/>
        <w:overflowPunct/>
        <w:topLinePunct w:val="0"/>
        <w:autoSpaceDE/>
        <w:autoSpaceDN/>
        <w:bidi w:val="0"/>
        <w:adjustRightInd/>
        <w:snapToGrid/>
        <w:spacing w:line="420" w:lineRule="exact"/>
        <w:ind w:firstLine="482"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5、需要落实的政府采购政策</w:t>
      </w:r>
    </w:p>
    <w:p>
      <w:pPr>
        <w:pStyle w:val="10"/>
        <w:keepNext w:val="0"/>
        <w:keepLines w:val="0"/>
        <w:pageBreakBefore w:val="0"/>
        <w:widowControl/>
        <w:shd w:val="clear"/>
        <w:kinsoku/>
        <w:wordWrap w:val="0"/>
        <w:overflowPunct/>
        <w:topLinePunct w:val="0"/>
        <w:autoSpaceDE/>
        <w:autoSpaceDN/>
        <w:bidi w:val="0"/>
        <w:adjustRightInd/>
        <w:snapToGrid/>
        <w:spacing w:line="42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进口产品：不适用于本项目</w:t>
      </w:r>
    </w:p>
    <w:p>
      <w:pPr>
        <w:pStyle w:val="10"/>
        <w:keepNext w:val="0"/>
        <w:keepLines w:val="0"/>
        <w:pageBreakBefore w:val="0"/>
        <w:widowControl/>
        <w:shd w:val="clear"/>
        <w:kinsoku/>
        <w:wordWrap w:val="0"/>
        <w:overflowPunct/>
        <w:topLinePunct w:val="0"/>
        <w:autoSpaceDE/>
        <w:autoSpaceDN/>
        <w:bidi w:val="0"/>
        <w:adjustRightInd/>
        <w:snapToGrid/>
        <w:spacing w:line="42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节能产品：适用于本项目</w:t>
      </w:r>
    </w:p>
    <w:p>
      <w:pPr>
        <w:pStyle w:val="10"/>
        <w:keepNext w:val="0"/>
        <w:keepLines w:val="0"/>
        <w:pageBreakBefore w:val="0"/>
        <w:widowControl/>
        <w:shd w:val="clear"/>
        <w:kinsoku/>
        <w:wordWrap w:val="0"/>
        <w:overflowPunct/>
        <w:topLinePunct w:val="0"/>
        <w:autoSpaceDE/>
        <w:autoSpaceDN/>
        <w:bidi w:val="0"/>
        <w:adjustRightInd/>
        <w:snapToGrid/>
        <w:spacing w:line="42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环境标志产品：适用于本项目</w:t>
      </w:r>
    </w:p>
    <w:p>
      <w:pPr>
        <w:pStyle w:val="10"/>
        <w:keepNext w:val="0"/>
        <w:keepLines w:val="0"/>
        <w:pageBreakBefore w:val="0"/>
        <w:widowControl/>
        <w:shd w:val="clear"/>
        <w:kinsoku/>
        <w:wordWrap w:val="0"/>
        <w:overflowPunct/>
        <w:topLinePunct w:val="0"/>
        <w:autoSpaceDE/>
        <w:autoSpaceDN/>
        <w:bidi w:val="0"/>
        <w:adjustRightInd/>
        <w:snapToGrid/>
        <w:spacing w:line="42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信息安全产品：适用于本项目</w:t>
      </w:r>
    </w:p>
    <w:p>
      <w:pPr>
        <w:pStyle w:val="10"/>
        <w:keepNext w:val="0"/>
        <w:keepLines w:val="0"/>
        <w:pageBreakBefore w:val="0"/>
        <w:widowControl/>
        <w:shd w:val="clear"/>
        <w:kinsoku/>
        <w:wordWrap w:val="0"/>
        <w:overflowPunct/>
        <w:topLinePunct w:val="0"/>
        <w:autoSpaceDE/>
        <w:autoSpaceDN/>
        <w:bidi w:val="0"/>
        <w:adjustRightInd/>
        <w:snapToGrid/>
        <w:spacing w:line="42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信用记录：按照下列规定执行：（1）投标人针对“信用信息查询结果”可自主提供证明材料，未提供该证明材料的不视为投标无效。（2）查询结果的审查：①由资格审查小组通过“信用中国”网站（www.creditchina.gov.cn）、中国政府采购网（www.ccgp.gov.cn）查询并打印投标人信用记录（以下简称：“资格审查小组的查询结果”）。②因上述网站原因导致资格审查小组无法查询投标人信用记录的（资格审查小组应将通过上述网站查询投标人信用记录时的原始页面打印后随采购文件一并存档），视为查询结果未存在投标人应被拒绝参与政府采购活动相关的信息。③若此项规定与招标文件其他部分有矛盾的，以此项规定为准。④查询结果存在投标人应被拒绝参与政府采购活动相关信息的，其资格审查不合格。</w:t>
      </w:r>
    </w:p>
    <w:p>
      <w:pPr>
        <w:pStyle w:val="10"/>
        <w:keepNext w:val="0"/>
        <w:keepLines w:val="0"/>
        <w:pageBreakBefore w:val="0"/>
        <w:widowControl/>
        <w:shd w:val="clear"/>
        <w:kinsoku/>
        <w:wordWrap w:val="0"/>
        <w:overflowPunct/>
        <w:topLinePunct w:val="0"/>
        <w:autoSpaceDE/>
        <w:autoSpaceDN/>
        <w:bidi w:val="0"/>
        <w:adjustRightInd/>
        <w:snapToGrid/>
        <w:spacing w:line="420" w:lineRule="exact"/>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促进中小企业发展的相关政策：采购包1：不专门面向中小企业采购</w:t>
      </w:r>
      <w:r>
        <w:rPr>
          <w:rFonts w:hint="eastAsia" w:ascii="宋体" w:hAnsi="宋体" w:eastAsia="宋体" w:cs="宋体"/>
          <w:color w:val="auto"/>
          <w:sz w:val="24"/>
          <w:szCs w:val="24"/>
          <w:highlight w:val="none"/>
          <w:lang w:eastAsia="zh-CN"/>
        </w:rPr>
        <w:t>。</w:t>
      </w:r>
    </w:p>
    <w:p>
      <w:pPr>
        <w:pStyle w:val="10"/>
        <w:keepNext w:val="0"/>
        <w:keepLines w:val="0"/>
        <w:pageBreakBefore w:val="0"/>
        <w:widowControl/>
        <w:shd w:val="clear"/>
        <w:kinsoku/>
        <w:wordWrap w:val="0"/>
        <w:overflowPunct/>
        <w:topLinePunct w:val="0"/>
        <w:autoSpaceDE/>
        <w:autoSpaceDN/>
        <w:bidi w:val="0"/>
        <w:adjustRightInd/>
        <w:snapToGrid/>
        <w:spacing w:line="420" w:lineRule="exact"/>
        <w:ind w:firstLine="482"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6、投标人的资格要求</w:t>
      </w:r>
    </w:p>
    <w:p>
      <w:pPr>
        <w:pStyle w:val="10"/>
        <w:keepNext w:val="0"/>
        <w:keepLines w:val="0"/>
        <w:pageBreakBefore w:val="0"/>
        <w:widowControl/>
        <w:shd w:val="clear"/>
        <w:kinsoku/>
        <w:wordWrap w:val="0"/>
        <w:overflowPunct/>
        <w:topLinePunct w:val="0"/>
        <w:autoSpaceDE/>
        <w:autoSpaceDN/>
        <w:bidi w:val="0"/>
        <w:adjustRightInd/>
        <w:snapToGrid/>
        <w:spacing w:line="42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6.1法定条件：符合政府采购法第二十二条第一款规定的条件。</w:t>
      </w:r>
    </w:p>
    <w:p>
      <w:pPr>
        <w:pStyle w:val="10"/>
        <w:keepNext w:val="0"/>
        <w:keepLines w:val="0"/>
        <w:pageBreakBefore w:val="0"/>
        <w:widowControl/>
        <w:shd w:val="clear"/>
        <w:kinsoku/>
        <w:wordWrap w:val="0"/>
        <w:overflowPunct/>
        <w:topLinePunct w:val="0"/>
        <w:autoSpaceDE/>
        <w:autoSpaceDN/>
        <w:bidi w:val="0"/>
        <w:adjustRightInd/>
        <w:snapToGrid/>
        <w:spacing w:line="42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6.2特定条件：</w:t>
      </w:r>
    </w:p>
    <w:p>
      <w:pPr>
        <w:pStyle w:val="10"/>
        <w:keepNext w:val="0"/>
        <w:keepLines w:val="0"/>
        <w:pageBreakBefore w:val="0"/>
        <w:widowControl/>
        <w:shd w:val="clear"/>
        <w:kinsoku/>
        <w:wordWrap w:val="0"/>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采购包1：</w:t>
      </w:r>
    </w:p>
    <w:tbl>
      <w:tblPr>
        <w:tblStyle w:val="7"/>
        <w:tblW w:w="4998"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328"/>
        <w:gridCol w:w="540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57" w:hRule="atLeast"/>
        </w:trPr>
        <w:tc>
          <w:tcPr>
            <w:tcW w:w="2222" w:type="pct"/>
            <w:vAlign w:val="center"/>
          </w:tcPr>
          <w:p>
            <w:pPr>
              <w:keepNext w:val="0"/>
              <w:keepLines w:val="0"/>
              <w:pageBreakBefore w:val="0"/>
              <w:shd w:val="clear"/>
              <w:kinsoku/>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资格审查要求概况</w:t>
            </w:r>
          </w:p>
        </w:tc>
        <w:tc>
          <w:tcPr>
            <w:tcW w:w="2777" w:type="pct"/>
            <w:vAlign w:val="center"/>
          </w:tcPr>
          <w:p>
            <w:pPr>
              <w:keepNext w:val="0"/>
              <w:keepLines w:val="0"/>
              <w:pageBreakBefore w:val="0"/>
              <w:shd w:val="clear"/>
              <w:kinsoku/>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204" w:hRule="atLeast"/>
        </w:trPr>
        <w:tc>
          <w:tcPr>
            <w:tcW w:w="2222" w:type="pct"/>
            <w:vAlign w:val="center"/>
          </w:tcPr>
          <w:p>
            <w:pPr>
              <w:keepNext w:val="0"/>
              <w:keepLines w:val="0"/>
              <w:pageBreakBefore w:val="0"/>
              <w:shd w:val="clear"/>
              <w:kinsoku/>
              <w:overflowPunct/>
              <w:topLinePunct w:val="0"/>
              <w:autoSpaceDE/>
              <w:autoSpaceDN/>
              <w:bidi w:val="0"/>
              <w:adjustRightInd/>
              <w:snapToGrid/>
              <w:spacing w:line="42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具备履行合同所必需设备和专业技术能力专项证明材料</w:t>
            </w:r>
          </w:p>
        </w:tc>
        <w:tc>
          <w:tcPr>
            <w:tcW w:w="2777" w:type="pct"/>
            <w:vAlign w:val="center"/>
          </w:tcPr>
          <w:p>
            <w:pPr>
              <w:keepNext w:val="0"/>
              <w:keepLines w:val="0"/>
              <w:pageBreakBefore w:val="0"/>
              <w:shd w:val="clear"/>
              <w:kinsoku/>
              <w:overflowPunct/>
              <w:topLinePunct w:val="0"/>
              <w:autoSpaceDE/>
              <w:autoSpaceDN/>
              <w:bidi w:val="0"/>
              <w:adjustRightInd/>
              <w:snapToGrid/>
              <w:spacing w:line="42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本项目无特定要求，投标人应在“一般资格证明文件”中提供“具备履行合同所必需设备和专业技术能力的声明函”。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347" w:hRule="atLeast"/>
        </w:trPr>
        <w:tc>
          <w:tcPr>
            <w:tcW w:w="2222" w:type="pct"/>
            <w:vAlign w:val="center"/>
          </w:tcPr>
          <w:p>
            <w:pPr>
              <w:keepNext w:val="0"/>
              <w:keepLines w:val="0"/>
              <w:pageBreakBefore w:val="0"/>
              <w:shd w:val="clear"/>
              <w:kinsoku/>
              <w:overflowPunct/>
              <w:topLinePunct w:val="0"/>
              <w:autoSpaceDE/>
              <w:autoSpaceDN/>
              <w:bidi w:val="0"/>
              <w:adjustRightInd/>
              <w:snapToGrid/>
              <w:spacing w:line="42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关于【一般资格证明文件中“财务状况报告（财务报告、或资信证明、或投标担保函)”】的补充说明</w:t>
            </w:r>
          </w:p>
        </w:tc>
        <w:tc>
          <w:tcPr>
            <w:tcW w:w="2777" w:type="pct"/>
            <w:vAlign w:val="center"/>
          </w:tcPr>
          <w:p>
            <w:pPr>
              <w:keepNext w:val="0"/>
              <w:keepLines w:val="0"/>
              <w:pageBreakBefore w:val="0"/>
              <w:shd w:val="clear"/>
              <w:kinsoku/>
              <w:overflowPunct/>
              <w:topLinePunct w:val="0"/>
              <w:autoSpaceDE/>
              <w:autoSpaceDN/>
              <w:bidi w:val="0"/>
              <w:adjustRightInd/>
              <w:snapToGrid/>
              <w:spacing w:line="42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针对“财务状况报告（财务报告、或资信证明、或投标担保函)“1、投标人提供的财务报告复印件(成立年限按照投标截止时间推算)应符合下列规定:成立年限满1年及以上的投标人，提供经审计的2021年或2022年的年度财务报告。本招标文件中若有与此处不—致的，以此处补充说明为准。</w:t>
            </w:r>
          </w:p>
        </w:tc>
      </w:tr>
    </w:tbl>
    <w:p>
      <w:pPr>
        <w:pStyle w:val="10"/>
        <w:keepNext w:val="0"/>
        <w:keepLines w:val="0"/>
        <w:pageBreakBefore w:val="0"/>
        <w:widowControl/>
        <w:shd w:val="clear"/>
        <w:kinsoku/>
        <w:wordWrap/>
        <w:overflowPunct/>
        <w:topLinePunct w:val="0"/>
        <w:autoSpaceDE/>
        <w:autoSpaceDN/>
        <w:bidi w:val="0"/>
        <w:adjustRightInd/>
        <w:snapToGrid/>
        <w:spacing w:line="420" w:lineRule="exact"/>
        <w:ind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6.3是否接受联合体投标：采购包1：不接受</w:t>
      </w:r>
      <w:r>
        <w:rPr>
          <w:rFonts w:hint="eastAsia" w:ascii="宋体" w:hAnsi="宋体" w:eastAsia="宋体" w:cs="宋体"/>
          <w:color w:val="auto"/>
          <w:sz w:val="24"/>
          <w:szCs w:val="24"/>
          <w:highlight w:val="none"/>
          <w:lang w:eastAsia="zh-CN"/>
        </w:rPr>
        <w:t>。</w:t>
      </w:r>
    </w:p>
    <w:p>
      <w:pPr>
        <w:pStyle w:val="10"/>
        <w:keepNext w:val="0"/>
        <w:keepLines w:val="0"/>
        <w:pageBreakBefore w:val="0"/>
        <w:widowControl/>
        <w:shd w:val="clear"/>
        <w:kinsoku/>
        <w:wordWrap/>
        <w:overflowPunct/>
        <w:topLinePunct w:val="0"/>
        <w:autoSpaceDE/>
        <w:autoSpaceDN/>
        <w:bidi w:val="0"/>
        <w:adjustRightInd/>
        <w:snapToGrid/>
        <w:spacing w:line="420" w:lineRule="exact"/>
        <w:ind w:firstLine="482"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※根据上述资格要求，电子投标文件中应提交的“投标人的资格及资信证明文件”详见招标文件第四章。</w:t>
      </w:r>
    </w:p>
    <w:p>
      <w:pPr>
        <w:pStyle w:val="10"/>
        <w:keepNext w:val="0"/>
        <w:keepLines w:val="0"/>
        <w:pageBreakBefore w:val="0"/>
        <w:widowControl/>
        <w:shd w:val="clear"/>
        <w:kinsoku/>
        <w:wordWrap/>
        <w:overflowPunct/>
        <w:topLinePunct w:val="0"/>
        <w:autoSpaceDE/>
        <w:autoSpaceDN/>
        <w:bidi w:val="0"/>
        <w:adjustRightInd/>
        <w:snapToGrid/>
        <w:spacing w:line="420" w:lineRule="exact"/>
        <w:ind w:firstLine="482"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7、招标文件的获取</w:t>
      </w:r>
    </w:p>
    <w:p>
      <w:pPr>
        <w:pStyle w:val="10"/>
        <w:keepNext w:val="0"/>
        <w:keepLines w:val="0"/>
        <w:pageBreakBefore w:val="0"/>
        <w:widowControl/>
        <w:shd w:val="clear"/>
        <w:kinsoku/>
        <w:wordWrap/>
        <w:overflowPunct/>
        <w:topLinePunct w:val="0"/>
        <w:autoSpaceDE/>
        <w:autoSpaceDN/>
        <w:bidi w:val="0"/>
        <w:adjustRightInd/>
        <w:snapToGrid/>
        <w:spacing w:line="42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7.1、招标文件获取期限：详见招标公告或更正公告，若不一致，以更正公告为准。</w:t>
      </w:r>
    </w:p>
    <w:p>
      <w:pPr>
        <w:pStyle w:val="10"/>
        <w:keepNext w:val="0"/>
        <w:keepLines w:val="0"/>
        <w:pageBreakBefore w:val="0"/>
        <w:widowControl/>
        <w:shd w:val="clear"/>
        <w:kinsoku/>
        <w:wordWrap/>
        <w:overflowPunct/>
        <w:topLinePunct w:val="0"/>
        <w:autoSpaceDE/>
        <w:autoSpaceDN/>
        <w:bidi w:val="0"/>
        <w:adjustRightInd/>
        <w:snapToGrid/>
        <w:spacing w:line="42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7.2、在招标文件获取期限内，供应商应通过福建省政府采购网上公开信息系统的注册账号（免费注册）并获取招标文件(登陆福建省政府采购网上公开信息系统进行文件获取)，否则投标将被拒绝。</w:t>
      </w:r>
    </w:p>
    <w:p>
      <w:pPr>
        <w:pStyle w:val="10"/>
        <w:keepNext w:val="0"/>
        <w:keepLines w:val="0"/>
        <w:pageBreakBefore w:val="0"/>
        <w:widowControl/>
        <w:shd w:val="clear"/>
        <w:kinsoku/>
        <w:wordWrap/>
        <w:overflowPunct/>
        <w:topLinePunct w:val="0"/>
        <w:autoSpaceDE/>
        <w:autoSpaceDN/>
        <w:bidi w:val="0"/>
        <w:adjustRightInd/>
        <w:snapToGrid/>
        <w:spacing w:line="42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7.3、获取地点及方式：注册账号后，通过福建省政府采购网上公开信息系统以下载方式获取。</w:t>
      </w:r>
    </w:p>
    <w:p>
      <w:pPr>
        <w:pStyle w:val="10"/>
        <w:keepNext w:val="0"/>
        <w:keepLines w:val="0"/>
        <w:pageBreakBefore w:val="0"/>
        <w:widowControl/>
        <w:shd w:val="clear"/>
        <w:kinsoku/>
        <w:wordWrap/>
        <w:overflowPunct/>
        <w:topLinePunct w:val="0"/>
        <w:autoSpaceDE/>
        <w:autoSpaceDN/>
        <w:bidi w:val="0"/>
        <w:adjustRightInd/>
        <w:snapToGrid/>
        <w:spacing w:line="42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7.4、招标文件售价：0元。</w:t>
      </w:r>
    </w:p>
    <w:p>
      <w:pPr>
        <w:pStyle w:val="10"/>
        <w:keepNext w:val="0"/>
        <w:keepLines w:val="0"/>
        <w:pageBreakBefore w:val="0"/>
        <w:widowControl/>
        <w:shd w:val="clear"/>
        <w:kinsoku/>
        <w:wordWrap/>
        <w:overflowPunct/>
        <w:topLinePunct w:val="0"/>
        <w:autoSpaceDE/>
        <w:autoSpaceDN/>
        <w:bidi w:val="0"/>
        <w:adjustRightInd/>
        <w:snapToGrid/>
        <w:spacing w:line="420" w:lineRule="exact"/>
        <w:ind w:firstLine="482"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8、投标截止</w:t>
      </w:r>
    </w:p>
    <w:p>
      <w:pPr>
        <w:pStyle w:val="10"/>
        <w:keepNext w:val="0"/>
        <w:keepLines w:val="0"/>
        <w:pageBreakBefore w:val="0"/>
        <w:widowControl/>
        <w:shd w:val="clear"/>
        <w:kinsoku/>
        <w:wordWrap/>
        <w:overflowPunct/>
        <w:topLinePunct w:val="0"/>
        <w:autoSpaceDE/>
        <w:autoSpaceDN/>
        <w:bidi w:val="0"/>
        <w:adjustRightInd/>
        <w:snapToGrid/>
        <w:spacing w:line="42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8.1、投标截止时间：详见招标公告或更正公告，若不一致，以更正公告为准。</w:t>
      </w:r>
    </w:p>
    <w:p>
      <w:pPr>
        <w:pStyle w:val="10"/>
        <w:keepNext w:val="0"/>
        <w:keepLines w:val="0"/>
        <w:pageBreakBefore w:val="0"/>
        <w:widowControl/>
        <w:shd w:val="clear"/>
        <w:kinsoku/>
        <w:wordWrap/>
        <w:overflowPunct/>
        <w:topLinePunct w:val="0"/>
        <w:autoSpaceDE/>
        <w:autoSpaceDN/>
        <w:bidi w:val="0"/>
        <w:adjustRightInd/>
        <w:snapToGrid/>
        <w:spacing w:line="42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8.2、投标人应在投标截止时间前按照福建省政府采购网上公开信息系统设定的操作流程将电子投标文件上传至福建省政府采购网上公开信息系统，否则投标将被拒绝。</w:t>
      </w:r>
    </w:p>
    <w:p>
      <w:pPr>
        <w:pStyle w:val="10"/>
        <w:keepNext w:val="0"/>
        <w:keepLines w:val="0"/>
        <w:pageBreakBefore w:val="0"/>
        <w:widowControl/>
        <w:shd w:val="clear"/>
        <w:kinsoku/>
        <w:wordWrap/>
        <w:overflowPunct/>
        <w:topLinePunct w:val="0"/>
        <w:autoSpaceDE/>
        <w:autoSpaceDN/>
        <w:bidi w:val="0"/>
        <w:adjustRightInd/>
        <w:snapToGrid/>
        <w:spacing w:line="420" w:lineRule="exact"/>
        <w:ind w:firstLine="482"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9、开标时间及地点</w:t>
      </w:r>
    </w:p>
    <w:p>
      <w:pPr>
        <w:pStyle w:val="10"/>
        <w:keepNext w:val="0"/>
        <w:keepLines w:val="0"/>
        <w:pageBreakBefore w:val="0"/>
        <w:widowControl/>
        <w:shd w:val="clear"/>
        <w:kinsoku/>
        <w:wordWrap/>
        <w:overflowPunct/>
        <w:topLinePunct w:val="0"/>
        <w:autoSpaceDE/>
        <w:autoSpaceDN/>
        <w:bidi w:val="0"/>
        <w:adjustRightInd/>
        <w:snapToGrid/>
        <w:spacing w:line="42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详见招标公告或更正公告，若不一致，以更正公告为准。</w:t>
      </w:r>
    </w:p>
    <w:p>
      <w:pPr>
        <w:pStyle w:val="10"/>
        <w:keepNext w:val="0"/>
        <w:keepLines w:val="0"/>
        <w:pageBreakBefore w:val="0"/>
        <w:widowControl/>
        <w:shd w:val="clear"/>
        <w:kinsoku/>
        <w:wordWrap/>
        <w:overflowPunct/>
        <w:topLinePunct w:val="0"/>
        <w:autoSpaceDE/>
        <w:autoSpaceDN/>
        <w:bidi w:val="0"/>
        <w:adjustRightInd/>
        <w:snapToGrid/>
        <w:spacing w:line="420" w:lineRule="exact"/>
        <w:ind w:firstLine="482"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10、公告期限</w:t>
      </w:r>
    </w:p>
    <w:p>
      <w:pPr>
        <w:pStyle w:val="10"/>
        <w:keepNext w:val="0"/>
        <w:keepLines w:val="0"/>
        <w:pageBreakBefore w:val="0"/>
        <w:widowControl/>
        <w:shd w:val="clear"/>
        <w:kinsoku/>
        <w:wordWrap/>
        <w:overflowPunct/>
        <w:topLinePunct w:val="0"/>
        <w:autoSpaceDE/>
        <w:autoSpaceDN/>
        <w:bidi w:val="0"/>
        <w:adjustRightInd/>
        <w:snapToGrid/>
        <w:spacing w:line="42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10.1、招标公告的公告期限：自财政部和福建省财政厅指定的政府采购信息发布媒体最先发布公告之日起5个工作日。</w:t>
      </w:r>
    </w:p>
    <w:p>
      <w:pPr>
        <w:pStyle w:val="10"/>
        <w:keepNext w:val="0"/>
        <w:keepLines w:val="0"/>
        <w:pageBreakBefore w:val="0"/>
        <w:widowControl/>
        <w:shd w:val="clear"/>
        <w:kinsoku/>
        <w:wordWrap/>
        <w:overflowPunct/>
        <w:topLinePunct w:val="0"/>
        <w:autoSpaceDE/>
        <w:autoSpaceDN/>
        <w:bidi w:val="0"/>
        <w:adjustRightInd/>
        <w:snapToGrid/>
        <w:spacing w:line="42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10.2、招标文件公告期限：招标文件随同招标公告一并发布，其公告期限与招标公告的公告期限保持一致。</w:t>
      </w:r>
    </w:p>
    <w:p>
      <w:pPr>
        <w:pStyle w:val="10"/>
        <w:keepNext w:val="0"/>
        <w:keepLines w:val="0"/>
        <w:pageBreakBefore w:val="0"/>
        <w:widowControl/>
        <w:shd w:val="clear"/>
        <w:kinsoku/>
        <w:wordWrap/>
        <w:overflowPunct/>
        <w:topLinePunct w:val="0"/>
        <w:autoSpaceDE/>
        <w:autoSpaceDN/>
        <w:bidi w:val="0"/>
        <w:adjustRightInd/>
        <w:snapToGrid/>
        <w:spacing w:line="420" w:lineRule="exact"/>
        <w:ind w:firstLine="482"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b/>
          <w:color w:val="auto"/>
          <w:sz w:val="24"/>
          <w:szCs w:val="24"/>
          <w:highlight w:val="none"/>
        </w:rPr>
        <w:t>11、采购人：</w:t>
      </w:r>
      <w:r>
        <w:rPr>
          <w:rFonts w:hint="eastAsia" w:ascii="宋体" w:hAnsi="宋体" w:eastAsia="宋体" w:cs="宋体"/>
          <w:b/>
          <w:color w:val="auto"/>
          <w:sz w:val="24"/>
          <w:szCs w:val="24"/>
          <w:highlight w:val="none"/>
          <w:lang w:eastAsia="zh-CN"/>
        </w:rPr>
        <w:t>仙游县郊尾镇人民政府</w:t>
      </w:r>
    </w:p>
    <w:p>
      <w:pPr>
        <w:pStyle w:val="10"/>
        <w:keepNext w:val="0"/>
        <w:keepLines w:val="0"/>
        <w:pageBreakBefore w:val="0"/>
        <w:widowControl/>
        <w:shd w:val="clear"/>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lang w:eastAsia="zh-CN"/>
        </w:rPr>
        <w:t>莆田市仙游县</w:t>
      </w:r>
      <w:r>
        <w:rPr>
          <w:rFonts w:hint="eastAsia" w:ascii="宋体" w:hAnsi="宋体" w:eastAsia="宋体" w:cs="宋体"/>
          <w:i w:val="0"/>
          <w:iCs w:val="0"/>
          <w:caps w:val="0"/>
          <w:color w:val="383838"/>
          <w:spacing w:val="0"/>
          <w:sz w:val="24"/>
          <w:szCs w:val="24"/>
          <w:shd w:val="clear" w:color="auto" w:fill="FFFFFF"/>
          <w:vertAlign w:val="baseline"/>
          <w:lang w:eastAsia="zh-CN"/>
        </w:rPr>
        <w:t>郊尾镇</w:t>
      </w:r>
      <w:r>
        <w:rPr>
          <w:rFonts w:hint="eastAsia" w:ascii="宋体" w:hAnsi="宋体" w:eastAsia="宋体" w:cs="宋体"/>
          <w:color w:val="auto"/>
          <w:sz w:val="24"/>
          <w:szCs w:val="24"/>
          <w:highlight w:val="none"/>
          <w:lang w:eastAsia="zh-CN"/>
        </w:rPr>
        <w:t>郊尾社区朝阳街358号</w:t>
      </w:r>
      <w:bookmarkStart w:id="0" w:name="_GoBack"/>
      <w:bookmarkEnd w:id="0"/>
    </w:p>
    <w:p>
      <w:pPr>
        <w:pStyle w:val="10"/>
        <w:keepNext w:val="0"/>
        <w:keepLines w:val="0"/>
        <w:pageBreakBefore w:val="0"/>
        <w:widowControl/>
        <w:shd w:val="clear"/>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邮编：</w:t>
      </w:r>
      <w:r>
        <w:rPr>
          <w:rFonts w:hint="eastAsia" w:ascii="宋体" w:hAnsi="宋体" w:eastAsia="宋体" w:cs="宋体"/>
          <w:color w:val="auto"/>
          <w:sz w:val="24"/>
          <w:szCs w:val="24"/>
          <w:highlight w:val="none"/>
          <w:lang w:eastAsia="zh-CN"/>
        </w:rPr>
        <w:t>351253</w:t>
      </w:r>
    </w:p>
    <w:p>
      <w:pPr>
        <w:pStyle w:val="10"/>
        <w:keepNext w:val="0"/>
        <w:keepLines w:val="0"/>
        <w:pageBreakBefore w:val="0"/>
        <w:widowControl/>
        <w:shd w:val="clear"/>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联系</w:t>
      </w:r>
      <w:r>
        <w:rPr>
          <w:rFonts w:hint="eastAsia" w:ascii="宋体" w:hAnsi="宋体" w:eastAsia="宋体" w:cs="宋体"/>
          <w:color w:val="auto"/>
          <w:sz w:val="24"/>
          <w:szCs w:val="24"/>
          <w:highlight w:val="none"/>
          <w:lang w:eastAsia="zh-CN"/>
        </w:rPr>
        <w:t>人：史伟振</w:t>
      </w:r>
    </w:p>
    <w:p>
      <w:pPr>
        <w:pStyle w:val="10"/>
        <w:keepNext w:val="0"/>
        <w:keepLines w:val="0"/>
        <w:pageBreakBefore w:val="0"/>
        <w:widowControl/>
        <w:shd w:val="clear"/>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联系电话：0594</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7396201</w:t>
      </w:r>
    </w:p>
    <w:p>
      <w:pPr>
        <w:pStyle w:val="10"/>
        <w:keepNext w:val="0"/>
        <w:keepLines w:val="0"/>
        <w:pageBreakBefore w:val="0"/>
        <w:widowControl/>
        <w:shd w:val="clear"/>
        <w:kinsoku/>
        <w:wordWrap/>
        <w:overflowPunct/>
        <w:topLinePunct w:val="0"/>
        <w:autoSpaceDE/>
        <w:autoSpaceDN/>
        <w:bidi w:val="0"/>
        <w:adjustRightInd/>
        <w:snapToGrid/>
        <w:spacing w:line="420" w:lineRule="exact"/>
        <w:ind w:firstLine="482"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b/>
          <w:color w:val="auto"/>
          <w:sz w:val="24"/>
          <w:szCs w:val="24"/>
          <w:highlight w:val="none"/>
        </w:rPr>
        <w:t>12、代理机构：</w:t>
      </w:r>
      <w:r>
        <w:rPr>
          <w:rFonts w:hint="eastAsia" w:ascii="宋体" w:hAnsi="宋体" w:eastAsia="宋体" w:cs="宋体"/>
          <w:b/>
          <w:color w:val="auto"/>
          <w:sz w:val="24"/>
          <w:szCs w:val="24"/>
          <w:highlight w:val="none"/>
          <w:lang w:eastAsia="zh-CN"/>
        </w:rPr>
        <w:t>福建省宏通项目管理有限公司</w:t>
      </w:r>
    </w:p>
    <w:p>
      <w:pPr>
        <w:pStyle w:val="10"/>
        <w:keepNext w:val="0"/>
        <w:keepLines w:val="0"/>
        <w:pageBreakBefore w:val="0"/>
        <w:widowControl/>
        <w:shd w:val="clear"/>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lang w:eastAsia="zh-CN"/>
        </w:rPr>
        <w:t>：福州市台江区茶亭街道广达路68号金源大广场东区22层07室</w:t>
      </w:r>
    </w:p>
    <w:p>
      <w:pPr>
        <w:pStyle w:val="10"/>
        <w:keepNext w:val="0"/>
        <w:keepLines w:val="0"/>
        <w:pageBreakBefore w:val="0"/>
        <w:widowControl/>
        <w:shd w:val="clear"/>
        <w:kinsoku/>
        <w:wordWrap/>
        <w:overflowPunct/>
        <w:topLinePunct w:val="0"/>
        <w:autoSpaceDE/>
        <w:autoSpaceDN/>
        <w:bidi w:val="0"/>
        <w:adjustRightInd/>
        <w:snapToGrid/>
        <w:spacing w:line="420" w:lineRule="exact"/>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邮编：350</w:t>
      </w:r>
      <w:r>
        <w:rPr>
          <w:rFonts w:hint="eastAsia" w:ascii="宋体" w:hAnsi="宋体" w:eastAsia="宋体" w:cs="宋体"/>
          <w:color w:val="auto"/>
          <w:sz w:val="24"/>
          <w:szCs w:val="24"/>
          <w:highlight w:val="none"/>
          <w:lang w:val="en-US" w:eastAsia="zh-CN"/>
        </w:rPr>
        <w:t>001</w:t>
      </w:r>
    </w:p>
    <w:p>
      <w:pPr>
        <w:pStyle w:val="10"/>
        <w:keepNext w:val="0"/>
        <w:keepLines w:val="0"/>
        <w:pageBreakBefore w:val="0"/>
        <w:widowControl/>
        <w:shd w:val="clear"/>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联系人：谢彬强</w:t>
      </w:r>
    </w:p>
    <w:p>
      <w:pPr>
        <w:pStyle w:val="10"/>
        <w:keepNext w:val="0"/>
        <w:keepLines w:val="0"/>
        <w:pageBreakBefore w:val="0"/>
        <w:widowControl/>
        <w:shd w:val="clear"/>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联系电话：18659172097</w:t>
      </w:r>
    </w:p>
    <w:p>
      <w:pPr>
        <w:pStyle w:val="10"/>
        <w:keepNext w:val="0"/>
        <w:keepLines w:val="0"/>
        <w:pageBreakBefore w:val="0"/>
        <w:widowControl/>
        <w:shd w:val="clear"/>
        <w:kinsoku/>
        <w:wordWrap/>
        <w:overflowPunct/>
        <w:topLinePunct w:val="0"/>
        <w:autoSpaceDE/>
        <w:autoSpaceDN/>
        <w:bidi w:val="0"/>
        <w:adjustRightInd/>
        <w:snapToGrid/>
        <w:spacing w:line="420" w:lineRule="exact"/>
        <w:ind w:firstLine="482" w:firstLineChars="200"/>
        <w:jc w:val="both"/>
        <w:textAlignment w:val="auto"/>
        <w:rPr>
          <w:rFonts w:hint="eastAsia" w:ascii="宋体" w:hAnsi="宋体" w:eastAsia="宋体" w:cs="宋体"/>
          <w:b/>
          <w:color w:val="auto"/>
          <w:sz w:val="24"/>
          <w:szCs w:val="24"/>
          <w:highlight w:val="none"/>
        </w:rPr>
      </w:pPr>
    </w:p>
    <w:p>
      <w:pPr>
        <w:pStyle w:val="10"/>
        <w:keepNext w:val="0"/>
        <w:keepLines w:val="0"/>
        <w:pageBreakBefore w:val="0"/>
        <w:widowControl/>
        <w:shd w:val="clear"/>
        <w:kinsoku/>
        <w:wordWrap/>
        <w:overflowPunct/>
        <w:topLinePunct w:val="0"/>
        <w:autoSpaceDE/>
        <w:autoSpaceDN/>
        <w:bidi w:val="0"/>
        <w:adjustRightInd/>
        <w:snapToGrid/>
        <w:spacing w:line="420" w:lineRule="exact"/>
        <w:ind w:firstLine="482"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附1：账户信息</w:t>
      </w:r>
    </w:p>
    <w:tbl>
      <w:tblPr>
        <w:tblStyle w:val="7"/>
        <w:tblW w:w="5000"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74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000" w:type="pct"/>
          </w:tcPr>
          <w:p>
            <w:pPr>
              <w:pStyle w:val="10"/>
              <w:keepNext w:val="0"/>
              <w:keepLines w:val="0"/>
              <w:pageBreakBefore w:val="0"/>
              <w:shd w:val="clear"/>
              <w:kinsoku/>
              <w:overflowPunct/>
              <w:topLinePunct w:val="0"/>
              <w:autoSpaceDE/>
              <w:autoSpaceDN/>
              <w:bidi w:val="0"/>
              <w:adjustRightInd/>
              <w:snapToGrid/>
              <w:spacing w:line="420" w:lineRule="exac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投标保证金账户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000" w:type="pct"/>
          </w:tcPr>
          <w:p>
            <w:pPr>
              <w:pStyle w:val="10"/>
              <w:keepNext w:val="0"/>
              <w:keepLines w:val="0"/>
              <w:pageBreakBefore w:val="0"/>
              <w:shd w:val="clear"/>
              <w:kinsoku/>
              <w:overflowPunct/>
              <w:topLinePunct w:val="0"/>
              <w:autoSpaceDE/>
              <w:autoSpaceDN/>
              <w:bidi w:val="0"/>
              <w:adjustRightInd/>
              <w:snapToGrid/>
              <w:spacing w:line="420"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b/>
                <w:color w:val="auto"/>
                <w:sz w:val="24"/>
                <w:szCs w:val="24"/>
                <w:highlight w:val="none"/>
              </w:rPr>
              <w:t>开户名称：</w:t>
            </w:r>
            <w:r>
              <w:rPr>
                <w:rFonts w:hint="eastAsia" w:ascii="宋体" w:hAnsi="宋体" w:eastAsia="宋体" w:cs="宋体"/>
                <w:b/>
                <w:color w:val="auto"/>
                <w:sz w:val="24"/>
                <w:szCs w:val="24"/>
                <w:highlight w:val="none"/>
                <w:lang w:eastAsia="zh-CN"/>
              </w:rPr>
              <w:t>福建省宏通项目管理有限公司</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000" w:type="pct"/>
          </w:tcPr>
          <w:p>
            <w:pPr>
              <w:pStyle w:val="10"/>
              <w:keepNext w:val="0"/>
              <w:keepLines w:val="0"/>
              <w:pageBreakBefore w:val="0"/>
              <w:shd w:val="clear"/>
              <w:kinsoku/>
              <w:overflowPunct/>
              <w:topLinePunct w:val="0"/>
              <w:autoSpaceDE/>
              <w:autoSpaceDN/>
              <w:bidi w:val="0"/>
              <w:adjustRightInd/>
              <w:snapToGrid/>
              <w:spacing w:line="420" w:lineRule="exac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开户银行：供应商在福建省政府采购网上公开信息系统获取招标文件后，根据其提示自行选择要缴交的投标保证金托管银行。</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000" w:type="pct"/>
          </w:tcPr>
          <w:p>
            <w:pPr>
              <w:pStyle w:val="10"/>
              <w:keepNext w:val="0"/>
              <w:keepLines w:val="0"/>
              <w:pageBreakBefore w:val="0"/>
              <w:shd w:val="clear"/>
              <w:kinsoku/>
              <w:overflowPunct/>
              <w:topLinePunct w:val="0"/>
              <w:autoSpaceDE/>
              <w:autoSpaceDN/>
              <w:bidi w:val="0"/>
              <w:adjustRightInd/>
              <w:snapToGrid/>
              <w:spacing w:line="420" w:lineRule="exac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银行账号：福建省政府采购网上公开信息系统根据供应商选择的投标保证金托管银行自动生成供应商所投采购包的缴交银行账号（即多个采购包将对应生成多个缴交账号）。供应商应按照所投采购包的投标保证金要求，缴交相应的投标保证金。</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000" w:type="pct"/>
          </w:tcPr>
          <w:p>
            <w:pPr>
              <w:pStyle w:val="10"/>
              <w:keepNext w:val="0"/>
              <w:keepLines w:val="0"/>
              <w:pageBreakBefore w:val="0"/>
              <w:shd w:val="clear"/>
              <w:kinsoku/>
              <w:overflowPunct/>
              <w:topLinePunct w:val="0"/>
              <w:autoSpaceDE/>
              <w:autoSpaceDN/>
              <w:bidi w:val="0"/>
              <w:adjustRightInd/>
              <w:snapToGrid/>
              <w:spacing w:line="420" w:lineRule="exac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特别提示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000" w:type="pct"/>
          </w:tcPr>
          <w:p>
            <w:pPr>
              <w:pStyle w:val="10"/>
              <w:keepNext w:val="0"/>
              <w:keepLines w:val="0"/>
              <w:pageBreakBefore w:val="0"/>
              <w:shd w:val="clear"/>
              <w:kinsoku/>
              <w:overflowPunct/>
              <w:topLinePunct w:val="0"/>
              <w:autoSpaceDE/>
              <w:autoSpaceDN/>
              <w:bidi w:val="0"/>
              <w:adjustRightInd/>
              <w:snapToGrid/>
              <w:spacing w:line="420" w:lineRule="exac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1、投标人应认真核对账户信息，将投标保证金汇入以上账户，并自行承担因汇错投标保证金而产生的一切后果。</w:t>
            </w:r>
          </w:p>
          <w:p>
            <w:pPr>
              <w:pStyle w:val="10"/>
              <w:keepNext w:val="0"/>
              <w:keepLines w:val="0"/>
              <w:pageBreakBefore w:val="0"/>
              <w:shd w:val="clear"/>
              <w:kinsoku/>
              <w:overflowPunct/>
              <w:topLinePunct w:val="0"/>
              <w:autoSpaceDE/>
              <w:autoSpaceDN/>
              <w:bidi w:val="0"/>
              <w:adjustRightInd/>
              <w:snapToGrid/>
              <w:spacing w:line="420" w:lineRule="exac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2、投标人在转账或电汇的凭证上应按照以下格式注明，以便核对：“（项目编号：***）的投标保证金”。</w:t>
            </w:r>
          </w:p>
        </w:tc>
      </w:tr>
    </w:tbl>
    <w:p>
      <w:pPr>
        <w:pStyle w:val="10"/>
        <w:keepNext w:val="0"/>
        <w:keepLines w:val="0"/>
        <w:pageBreakBefore w:val="0"/>
        <w:shd w:val="clear"/>
        <w:kinsoku/>
        <w:overflowPunct/>
        <w:topLinePunct w:val="0"/>
        <w:autoSpaceDE/>
        <w:autoSpaceDN/>
        <w:bidi w:val="0"/>
        <w:adjustRightInd/>
        <w:snapToGrid/>
        <w:spacing w:line="420" w:lineRule="exact"/>
        <w:ind w:firstLine="480"/>
        <w:jc w:val="both"/>
        <w:textAlignment w:val="auto"/>
        <w:rPr>
          <w:rFonts w:hint="eastAsia" w:ascii="宋体" w:hAnsi="宋体" w:eastAsia="宋体" w:cs="宋体"/>
          <w:b/>
          <w:color w:val="auto"/>
          <w:sz w:val="24"/>
          <w:szCs w:val="24"/>
          <w:highlight w:val="none"/>
        </w:rPr>
      </w:pPr>
    </w:p>
    <w:p>
      <w:pPr>
        <w:pStyle w:val="10"/>
        <w:keepNext w:val="0"/>
        <w:keepLines w:val="0"/>
        <w:pageBreakBefore w:val="0"/>
        <w:shd w:val="clear"/>
        <w:kinsoku/>
        <w:overflowPunct/>
        <w:topLinePunct w:val="0"/>
        <w:autoSpaceDE/>
        <w:autoSpaceDN/>
        <w:bidi w:val="0"/>
        <w:adjustRightInd/>
        <w:snapToGrid/>
        <w:spacing w:line="42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附2：采购标的一览表</w:t>
      </w:r>
    </w:p>
    <w:p>
      <w:pPr>
        <w:pStyle w:val="10"/>
        <w:keepNext w:val="0"/>
        <w:keepLines w:val="0"/>
        <w:pageBreakBefore w:val="0"/>
        <w:widowControl/>
        <w:shd w:val="clear"/>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采购包1：</w:t>
      </w:r>
    </w:p>
    <w:p>
      <w:pPr>
        <w:pStyle w:val="10"/>
        <w:keepNext w:val="0"/>
        <w:keepLines w:val="0"/>
        <w:pageBreakBefore w:val="0"/>
        <w:widowControl/>
        <w:shd w:val="clear"/>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采购包预算金额（元）: 17058966.00</w:t>
      </w:r>
    </w:p>
    <w:p>
      <w:pPr>
        <w:pStyle w:val="10"/>
        <w:keepNext w:val="0"/>
        <w:keepLines w:val="0"/>
        <w:pageBreakBefore w:val="0"/>
        <w:widowControl/>
        <w:shd w:val="clear"/>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采购包最高限价（元）: 17058966.00</w:t>
      </w:r>
    </w:p>
    <w:p>
      <w:pPr>
        <w:pStyle w:val="10"/>
        <w:keepNext w:val="0"/>
        <w:keepLines w:val="0"/>
        <w:pageBreakBefore w:val="0"/>
        <w:widowControl/>
        <w:shd w:val="clear"/>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采购包保证金金额（元）: </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70000.00</w:t>
      </w:r>
    </w:p>
    <w:tbl>
      <w:tblPr>
        <w:tblStyle w:val="7"/>
        <w:tblW w:w="4995"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81"/>
        <w:gridCol w:w="1921"/>
        <w:gridCol w:w="1163"/>
        <w:gridCol w:w="1804"/>
        <w:gridCol w:w="1225"/>
        <w:gridCol w:w="1482"/>
        <w:gridCol w:w="135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87" w:hRule="atLeast"/>
        </w:trPr>
        <w:tc>
          <w:tcPr>
            <w:tcW w:w="401" w:type="pct"/>
            <w:vAlign w:val="center"/>
          </w:tcPr>
          <w:p>
            <w:pPr>
              <w:keepNext w:val="0"/>
              <w:keepLines w:val="0"/>
              <w:pageBreakBefore w:val="0"/>
              <w:shd w:val="clear"/>
              <w:kinsoku/>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986" w:type="pct"/>
            <w:vAlign w:val="center"/>
          </w:tcPr>
          <w:p>
            <w:pPr>
              <w:keepNext w:val="0"/>
              <w:keepLines w:val="0"/>
              <w:pageBreakBefore w:val="0"/>
              <w:shd w:val="clear"/>
              <w:kinsoku/>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标的名称</w:t>
            </w:r>
          </w:p>
        </w:tc>
        <w:tc>
          <w:tcPr>
            <w:tcW w:w="597" w:type="pct"/>
            <w:vAlign w:val="center"/>
          </w:tcPr>
          <w:p>
            <w:pPr>
              <w:keepNext w:val="0"/>
              <w:keepLines w:val="0"/>
              <w:pageBreakBefore w:val="0"/>
              <w:shd w:val="clear"/>
              <w:kinsoku/>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926" w:type="pct"/>
            <w:vAlign w:val="center"/>
          </w:tcPr>
          <w:p>
            <w:pPr>
              <w:keepNext w:val="0"/>
              <w:keepLines w:val="0"/>
              <w:pageBreakBefore w:val="0"/>
              <w:shd w:val="clear"/>
              <w:kinsoku/>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标的金额 （元）</w:t>
            </w:r>
          </w:p>
        </w:tc>
        <w:tc>
          <w:tcPr>
            <w:tcW w:w="629" w:type="pct"/>
            <w:vAlign w:val="center"/>
          </w:tcPr>
          <w:p>
            <w:pPr>
              <w:keepNext w:val="0"/>
              <w:keepLines w:val="0"/>
              <w:pageBreakBefore w:val="0"/>
              <w:shd w:val="clear"/>
              <w:kinsoku/>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计量单位</w:t>
            </w:r>
          </w:p>
        </w:tc>
        <w:tc>
          <w:tcPr>
            <w:tcW w:w="761" w:type="pct"/>
            <w:vAlign w:val="center"/>
          </w:tcPr>
          <w:p>
            <w:pPr>
              <w:keepNext w:val="0"/>
              <w:keepLines w:val="0"/>
              <w:pageBreakBefore w:val="0"/>
              <w:shd w:val="clear"/>
              <w:kinsoku/>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所属行业</w:t>
            </w:r>
          </w:p>
        </w:tc>
        <w:tc>
          <w:tcPr>
            <w:tcW w:w="695" w:type="pct"/>
            <w:vAlign w:val="center"/>
          </w:tcPr>
          <w:p>
            <w:pPr>
              <w:keepNext w:val="0"/>
              <w:keepLines w:val="0"/>
              <w:pageBreakBefore w:val="0"/>
              <w:shd w:val="clear"/>
              <w:kinsoku/>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是否允许进口产品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52" w:hRule="atLeast"/>
        </w:trPr>
        <w:tc>
          <w:tcPr>
            <w:tcW w:w="401" w:type="pct"/>
            <w:vAlign w:val="center"/>
          </w:tcPr>
          <w:p>
            <w:pPr>
              <w:keepNext w:val="0"/>
              <w:keepLines w:val="0"/>
              <w:pageBreakBefore w:val="0"/>
              <w:shd w:val="clear"/>
              <w:kinsoku/>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986" w:type="pct"/>
            <w:vAlign w:val="center"/>
          </w:tcPr>
          <w:p>
            <w:pPr>
              <w:keepNext w:val="0"/>
              <w:keepLines w:val="0"/>
              <w:pageBreakBefore w:val="0"/>
              <w:shd w:val="clear"/>
              <w:kinsoku/>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其他城镇公共卫生服务</w:t>
            </w:r>
          </w:p>
        </w:tc>
        <w:tc>
          <w:tcPr>
            <w:tcW w:w="597" w:type="pct"/>
            <w:vAlign w:val="center"/>
          </w:tcPr>
          <w:p>
            <w:pPr>
              <w:keepNext w:val="0"/>
              <w:keepLines w:val="0"/>
              <w:pageBreakBefore w:val="0"/>
              <w:shd w:val="clear"/>
              <w:kinsoku/>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926" w:type="pct"/>
            <w:vAlign w:val="center"/>
          </w:tcPr>
          <w:p>
            <w:pPr>
              <w:keepNext w:val="0"/>
              <w:keepLines w:val="0"/>
              <w:pageBreakBefore w:val="0"/>
              <w:shd w:val="clear"/>
              <w:kinsoku/>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17058966.00</w:t>
            </w:r>
          </w:p>
        </w:tc>
        <w:tc>
          <w:tcPr>
            <w:tcW w:w="629" w:type="pct"/>
            <w:vAlign w:val="center"/>
          </w:tcPr>
          <w:p>
            <w:pPr>
              <w:keepNext w:val="0"/>
              <w:keepLines w:val="0"/>
              <w:pageBreakBefore w:val="0"/>
              <w:shd w:val="clear"/>
              <w:kinsoku/>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w:t>
            </w:r>
          </w:p>
        </w:tc>
        <w:tc>
          <w:tcPr>
            <w:tcW w:w="761" w:type="pct"/>
            <w:vAlign w:val="center"/>
          </w:tcPr>
          <w:p>
            <w:pPr>
              <w:keepNext w:val="0"/>
              <w:keepLines w:val="0"/>
              <w:pageBreakBefore w:val="0"/>
              <w:shd w:val="clear"/>
              <w:kinsoku/>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其他未列明行业</w:t>
            </w:r>
          </w:p>
        </w:tc>
        <w:tc>
          <w:tcPr>
            <w:tcW w:w="695" w:type="pct"/>
            <w:vAlign w:val="center"/>
          </w:tcPr>
          <w:p>
            <w:pPr>
              <w:keepNext w:val="0"/>
              <w:keepLines w:val="0"/>
              <w:pageBreakBefore w:val="0"/>
              <w:shd w:val="clear"/>
              <w:kinsoku/>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否</w:t>
            </w:r>
          </w:p>
        </w:tc>
      </w:tr>
    </w:tbl>
    <w:p>
      <w:pPr>
        <w:pStyle w:val="10"/>
        <w:shd w:val="clear"/>
        <w:rPr>
          <w:rFonts w:hint="eastAsia" w:ascii="宋体" w:hAnsi="宋体" w:eastAsia="宋体" w:cs="宋体"/>
          <w:color w:val="auto"/>
          <w:sz w:val="24"/>
          <w:szCs w:val="24"/>
          <w:highlight w:val="none"/>
        </w:rPr>
      </w:pPr>
    </w:p>
    <w:p>
      <w:pPr>
        <w:pStyle w:val="10"/>
        <w:shd w:val="clear"/>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 xml:space="preserve"> </w:t>
      </w:r>
    </w:p>
    <w:p>
      <w:pPr>
        <w:shd w:val="clea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br w:type="page"/>
      </w:r>
    </w:p>
    <w:p>
      <w:pPr>
        <w:pStyle w:val="10"/>
        <w:shd w:val="clear"/>
        <w:jc w:val="center"/>
        <w:rPr>
          <w:rFonts w:hint="eastAsia" w:ascii="宋体" w:hAnsi="宋体" w:eastAsia="宋体" w:cs="宋体"/>
          <w:color w:val="auto"/>
          <w:sz w:val="28"/>
          <w:szCs w:val="28"/>
          <w:highlight w:val="none"/>
        </w:rPr>
      </w:pPr>
      <w:r>
        <w:rPr>
          <w:rFonts w:hint="eastAsia" w:ascii="宋体" w:hAnsi="宋体" w:eastAsia="宋体" w:cs="宋体"/>
          <w:b/>
          <w:color w:val="auto"/>
          <w:sz w:val="28"/>
          <w:szCs w:val="28"/>
          <w:highlight w:val="none"/>
        </w:rPr>
        <w:t>第二章 投标人须知前附表</w:t>
      </w:r>
    </w:p>
    <w:p>
      <w:pPr>
        <w:pStyle w:val="10"/>
        <w:shd w:val="clear"/>
        <w:ind w:firstLine="480"/>
        <w:jc w:val="both"/>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一、投标人须知前附表1</w:t>
      </w:r>
    </w:p>
    <w:tbl>
      <w:tblPr>
        <w:tblStyle w:val="7"/>
        <w:tblW w:w="5000"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31"/>
        <w:gridCol w:w="1338"/>
        <w:gridCol w:w="767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000" w:type="pct"/>
            <w:gridSpan w:val="3"/>
          </w:tcPr>
          <w:p>
            <w:pPr>
              <w:pStyle w:val="10"/>
              <w:keepNext w:val="0"/>
              <w:keepLines w:val="0"/>
              <w:pageBreakBefore w:val="0"/>
              <w:widowControl/>
              <w:shd w:val="clear"/>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特别提示：本表与招标文件对应章节的内容若不一致，以本表为准。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75" w:type="pct"/>
          </w:tcPr>
          <w:p>
            <w:pPr>
              <w:pStyle w:val="10"/>
              <w:keepNext w:val="0"/>
              <w:keepLines w:val="0"/>
              <w:pageBreakBefore w:val="0"/>
              <w:widowControl/>
              <w:shd w:val="clear"/>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序号</w:t>
            </w:r>
          </w:p>
        </w:tc>
        <w:tc>
          <w:tcPr>
            <w:tcW w:w="686" w:type="pct"/>
          </w:tcPr>
          <w:p>
            <w:pPr>
              <w:pStyle w:val="10"/>
              <w:keepNext w:val="0"/>
              <w:keepLines w:val="0"/>
              <w:pageBreakBefore w:val="0"/>
              <w:widowControl/>
              <w:shd w:val="clear"/>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招标文件</w:t>
            </w:r>
          </w:p>
          <w:p>
            <w:pPr>
              <w:pStyle w:val="10"/>
              <w:keepNext w:val="0"/>
              <w:keepLines w:val="0"/>
              <w:pageBreakBefore w:val="0"/>
              <w:widowControl/>
              <w:shd w:val="clear"/>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（第三章）</w:t>
            </w:r>
          </w:p>
        </w:tc>
        <w:tc>
          <w:tcPr>
            <w:tcW w:w="3937" w:type="pct"/>
          </w:tcPr>
          <w:p>
            <w:pPr>
              <w:pStyle w:val="10"/>
              <w:keepNext w:val="0"/>
              <w:keepLines w:val="0"/>
              <w:pageBreakBefore w:val="0"/>
              <w:widowControl/>
              <w:shd w:val="clear"/>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编列内容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75" w:type="pct"/>
          </w:tcPr>
          <w:p>
            <w:pPr>
              <w:pStyle w:val="10"/>
              <w:keepNext w:val="0"/>
              <w:keepLines w:val="0"/>
              <w:pageBreakBefore w:val="0"/>
              <w:widowControl/>
              <w:shd w:val="clear"/>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1</w:t>
            </w:r>
          </w:p>
        </w:tc>
        <w:tc>
          <w:tcPr>
            <w:tcW w:w="686" w:type="pct"/>
          </w:tcPr>
          <w:p>
            <w:pPr>
              <w:pStyle w:val="10"/>
              <w:keepNext w:val="0"/>
              <w:keepLines w:val="0"/>
              <w:pageBreakBefore w:val="0"/>
              <w:widowControl/>
              <w:shd w:val="clear"/>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6.1</w:t>
            </w:r>
          </w:p>
        </w:tc>
        <w:tc>
          <w:tcPr>
            <w:tcW w:w="3937" w:type="pct"/>
          </w:tcPr>
          <w:p>
            <w:pPr>
              <w:pStyle w:val="10"/>
              <w:keepNext w:val="0"/>
              <w:keepLines w:val="0"/>
              <w:pageBreakBefore w:val="0"/>
              <w:widowControl/>
              <w:shd w:val="clear"/>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是否组织现场考察或召开开标前答疑会：采购包1：不组织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75" w:type="pct"/>
          </w:tcPr>
          <w:p>
            <w:pPr>
              <w:pStyle w:val="10"/>
              <w:keepNext w:val="0"/>
              <w:keepLines w:val="0"/>
              <w:pageBreakBefore w:val="0"/>
              <w:widowControl/>
              <w:shd w:val="clear"/>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2</w:t>
            </w:r>
          </w:p>
        </w:tc>
        <w:tc>
          <w:tcPr>
            <w:tcW w:w="686" w:type="pct"/>
          </w:tcPr>
          <w:p>
            <w:pPr>
              <w:pStyle w:val="10"/>
              <w:keepNext w:val="0"/>
              <w:keepLines w:val="0"/>
              <w:pageBreakBefore w:val="0"/>
              <w:widowControl/>
              <w:shd w:val="clear"/>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10.4</w:t>
            </w:r>
          </w:p>
        </w:tc>
        <w:tc>
          <w:tcPr>
            <w:tcW w:w="3937" w:type="pct"/>
          </w:tcPr>
          <w:p>
            <w:pPr>
              <w:pStyle w:val="10"/>
              <w:keepNext w:val="0"/>
              <w:keepLines w:val="0"/>
              <w:pageBreakBefore w:val="0"/>
              <w:widowControl/>
              <w:shd w:val="clear"/>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投标文件的份数：</w:t>
            </w:r>
          </w:p>
          <w:p>
            <w:pPr>
              <w:pStyle w:val="10"/>
              <w:keepNext w:val="0"/>
              <w:keepLines w:val="0"/>
              <w:pageBreakBefore w:val="0"/>
              <w:widowControl/>
              <w:shd w:val="clear"/>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（1）可读介质（光盘或U盘）0份：投标人应将其上传至福建省政府采购网上公开信息系统的电子投标文件在该可读介质中另存0份。</w:t>
            </w:r>
          </w:p>
          <w:p>
            <w:pPr>
              <w:pStyle w:val="10"/>
              <w:keepNext w:val="0"/>
              <w:keepLines w:val="0"/>
              <w:pageBreakBefore w:val="0"/>
              <w:widowControl/>
              <w:shd w:val="clear"/>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（2）电子投标文件：详见投标人须知前附表2《关于电子招标投标活动的专门规定》。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75" w:type="pct"/>
          </w:tcPr>
          <w:p>
            <w:pPr>
              <w:pStyle w:val="10"/>
              <w:keepNext w:val="0"/>
              <w:keepLines w:val="0"/>
              <w:pageBreakBefore w:val="0"/>
              <w:widowControl/>
              <w:shd w:val="clear"/>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3</w:t>
            </w:r>
          </w:p>
        </w:tc>
        <w:tc>
          <w:tcPr>
            <w:tcW w:w="686" w:type="pct"/>
          </w:tcPr>
          <w:p>
            <w:pPr>
              <w:pStyle w:val="10"/>
              <w:keepNext w:val="0"/>
              <w:keepLines w:val="0"/>
              <w:pageBreakBefore w:val="0"/>
              <w:widowControl/>
              <w:shd w:val="clear"/>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10.7-（1）</w:t>
            </w:r>
          </w:p>
        </w:tc>
        <w:tc>
          <w:tcPr>
            <w:tcW w:w="3937" w:type="pct"/>
          </w:tcPr>
          <w:p>
            <w:pPr>
              <w:pStyle w:val="10"/>
              <w:keepNext w:val="0"/>
              <w:keepLines w:val="0"/>
              <w:pageBreakBefore w:val="0"/>
              <w:widowControl/>
              <w:shd w:val="clear"/>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是否允许中标人将本项目的非主体、非关键性工作进行分包：</w:t>
            </w:r>
          </w:p>
          <w:p>
            <w:pPr>
              <w:pStyle w:val="10"/>
              <w:keepNext w:val="0"/>
              <w:keepLines w:val="0"/>
              <w:pageBreakBefore w:val="0"/>
              <w:widowControl/>
              <w:shd w:val="clear"/>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b/>
                <w:color w:val="auto"/>
                <w:sz w:val="24"/>
                <w:szCs w:val="24"/>
                <w:highlight w:val="none"/>
              </w:rPr>
              <w:t>采购包1：不允许合同分包</w:t>
            </w:r>
            <w:r>
              <w:rPr>
                <w:rFonts w:hint="eastAsia" w:ascii="宋体" w:hAnsi="宋体" w:eastAsia="宋体" w:cs="宋体"/>
                <w:b/>
                <w:color w:val="auto"/>
                <w:sz w:val="24"/>
                <w:szCs w:val="24"/>
                <w:highlight w:val="none"/>
                <w:lang w:eastAsia="zh-CN"/>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75" w:type="pct"/>
          </w:tcPr>
          <w:p>
            <w:pPr>
              <w:pStyle w:val="10"/>
              <w:keepNext w:val="0"/>
              <w:keepLines w:val="0"/>
              <w:pageBreakBefore w:val="0"/>
              <w:widowControl/>
              <w:shd w:val="clear"/>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4</w:t>
            </w:r>
          </w:p>
        </w:tc>
        <w:tc>
          <w:tcPr>
            <w:tcW w:w="686" w:type="pct"/>
          </w:tcPr>
          <w:p>
            <w:pPr>
              <w:pStyle w:val="10"/>
              <w:keepNext w:val="0"/>
              <w:keepLines w:val="0"/>
              <w:pageBreakBefore w:val="0"/>
              <w:widowControl/>
              <w:shd w:val="clear"/>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10.8-（1）</w:t>
            </w:r>
          </w:p>
        </w:tc>
        <w:tc>
          <w:tcPr>
            <w:tcW w:w="3937" w:type="pct"/>
          </w:tcPr>
          <w:p>
            <w:pPr>
              <w:pStyle w:val="10"/>
              <w:keepNext w:val="0"/>
              <w:keepLines w:val="0"/>
              <w:pageBreakBefore w:val="0"/>
              <w:widowControl/>
              <w:shd w:val="clear"/>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投标有效期：投标截止时间起90个日历日。</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75" w:type="pct"/>
          </w:tcPr>
          <w:p>
            <w:pPr>
              <w:pStyle w:val="10"/>
              <w:keepNext w:val="0"/>
              <w:keepLines w:val="0"/>
              <w:pageBreakBefore w:val="0"/>
              <w:widowControl/>
              <w:shd w:val="clear"/>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5</w:t>
            </w:r>
          </w:p>
        </w:tc>
        <w:tc>
          <w:tcPr>
            <w:tcW w:w="686" w:type="pct"/>
          </w:tcPr>
          <w:p>
            <w:pPr>
              <w:pStyle w:val="10"/>
              <w:keepNext w:val="0"/>
              <w:keepLines w:val="0"/>
              <w:pageBreakBefore w:val="0"/>
              <w:widowControl/>
              <w:shd w:val="clear"/>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12.1</w:t>
            </w:r>
          </w:p>
        </w:tc>
        <w:tc>
          <w:tcPr>
            <w:tcW w:w="3937" w:type="pct"/>
          </w:tcPr>
          <w:p>
            <w:pPr>
              <w:pStyle w:val="10"/>
              <w:keepNext w:val="0"/>
              <w:keepLines w:val="0"/>
              <w:pageBreakBefore w:val="0"/>
              <w:widowControl/>
              <w:shd w:val="clear"/>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b/>
                <w:color w:val="auto"/>
                <w:sz w:val="24"/>
                <w:szCs w:val="24"/>
                <w:highlight w:val="none"/>
              </w:rPr>
              <w:t>确定中标候选人名单：采购包1：1名</w:t>
            </w:r>
            <w:r>
              <w:rPr>
                <w:rFonts w:hint="eastAsia" w:ascii="宋体" w:hAnsi="宋体" w:eastAsia="宋体" w:cs="宋体"/>
                <w:b/>
                <w:color w:val="auto"/>
                <w:sz w:val="24"/>
                <w:szCs w:val="24"/>
                <w:highlight w:val="none"/>
                <w:lang w:eastAsia="zh-CN"/>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75" w:type="pct"/>
          </w:tcPr>
          <w:p>
            <w:pPr>
              <w:pStyle w:val="10"/>
              <w:keepNext w:val="0"/>
              <w:keepLines w:val="0"/>
              <w:pageBreakBefore w:val="0"/>
              <w:widowControl/>
              <w:shd w:val="clear"/>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6</w:t>
            </w:r>
          </w:p>
        </w:tc>
        <w:tc>
          <w:tcPr>
            <w:tcW w:w="686" w:type="pct"/>
          </w:tcPr>
          <w:p>
            <w:pPr>
              <w:pStyle w:val="10"/>
              <w:keepNext w:val="0"/>
              <w:keepLines w:val="0"/>
              <w:pageBreakBefore w:val="0"/>
              <w:widowControl/>
              <w:shd w:val="clear"/>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12.2</w:t>
            </w:r>
          </w:p>
        </w:tc>
        <w:tc>
          <w:tcPr>
            <w:tcW w:w="3937" w:type="pct"/>
          </w:tcPr>
          <w:p>
            <w:pPr>
              <w:pStyle w:val="10"/>
              <w:keepNext w:val="0"/>
              <w:keepLines w:val="0"/>
              <w:pageBreakBefore w:val="0"/>
              <w:widowControl/>
              <w:shd w:val="clear"/>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本项目中标人的确定（以采购包为单位）：</w:t>
            </w:r>
          </w:p>
          <w:p>
            <w:pPr>
              <w:pStyle w:val="10"/>
              <w:keepNext w:val="0"/>
              <w:keepLines w:val="0"/>
              <w:pageBreakBefore w:val="0"/>
              <w:widowControl/>
              <w:shd w:val="clear"/>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（1）采购人应在政府采购招投标管理办法规定的时限内确定中标人。</w:t>
            </w:r>
          </w:p>
          <w:p>
            <w:pPr>
              <w:pStyle w:val="10"/>
              <w:keepNext w:val="0"/>
              <w:keepLines w:val="0"/>
              <w:pageBreakBefore w:val="0"/>
              <w:widowControl/>
              <w:shd w:val="clear"/>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（2）若出现中标候选人并列情形，则按照下列方式确定中标人：</w:t>
            </w:r>
          </w:p>
          <w:p>
            <w:pPr>
              <w:pStyle w:val="10"/>
              <w:keepNext w:val="0"/>
              <w:keepLines w:val="0"/>
              <w:pageBreakBefore w:val="0"/>
              <w:widowControl/>
              <w:shd w:val="clear"/>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①招标文件规定的方式：</w:t>
            </w:r>
          </w:p>
          <w:p>
            <w:pPr>
              <w:pStyle w:val="10"/>
              <w:keepNext w:val="0"/>
              <w:keepLines w:val="0"/>
              <w:pageBreakBefore w:val="0"/>
              <w:widowControl/>
              <w:shd w:val="clear"/>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按“价格部分”的得分高低排序；若价格部分得分也相同的，则按“技术部分”的得分高低排序；若技术部分得分也相同的，则按“商务部分”的得分高低排序；若价格部分得分与技术部分得分与商务部分全部相同的，则采取随机抽取方式确定。</w:t>
            </w:r>
          </w:p>
          <w:p>
            <w:pPr>
              <w:pStyle w:val="10"/>
              <w:keepNext w:val="0"/>
              <w:keepLines w:val="0"/>
              <w:pageBreakBefore w:val="0"/>
              <w:widowControl/>
              <w:shd w:val="clear"/>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b/>
                <w:color w:val="auto"/>
                <w:sz w:val="24"/>
                <w:szCs w:val="24"/>
                <w:highlight w:val="none"/>
              </w:rPr>
              <w:t>②若本款第①点规定方式为“无”，则按照下列方式确定：无</w:t>
            </w:r>
            <w:r>
              <w:rPr>
                <w:rFonts w:hint="eastAsia" w:ascii="宋体" w:hAnsi="宋体" w:eastAsia="宋体" w:cs="宋体"/>
                <w:b/>
                <w:color w:val="auto"/>
                <w:sz w:val="24"/>
                <w:szCs w:val="24"/>
                <w:highlight w:val="none"/>
                <w:lang w:eastAsia="zh-CN"/>
              </w:rPr>
              <w:t>。</w:t>
            </w:r>
          </w:p>
          <w:p>
            <w:pPr>
              <w:pStyle w:val="10"/>
              <w:keepNext w:val="0"/>
              <w:keepLines w:val="0"/>
              <w:pageBreakBefore w:val="0"/>
              <w:widowControl/>
              <w:shd w:val="clear"/>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③若本款第①、②点规定方式均为“无”，则按照下列方式确定：随机抽取。</w:t>
            </w:r>
          </w:p>
          <w:p>
            <w:pPr>
              <w:pStyle w:val="10"/>
              <w:keepNext w:val="0"/>
              <w:keepLines w:val="0"/>
              <w:pageBreakBefore w:val="0"/>
              <w:widowControl/>
              <w:shd w:val="clear"/>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b/>
                <w:color w:val="auto"/>
                <w:sz w:val="24"/>
                <w:szCs w:val="24"/>
                <w:highlight w:val="none"/>
              </w:rPr>
              <w:t>（3）本项目确定的中标人家数：采购包1：1名</w:t>
            </w:r>
            <w:r>
              <w:rPr>
                <w:rFonts w:hint="eastAsia" w:ascii="宋体" w:hAnsi="宋体" w:eastAsia="宋体" w:cs="宋体"/>
                <w:b/>
                <w:color w:val="auto"/>
                <w:sz w:val="24"/>
                <w:szCs w:val="24"/>
                <w:highlight w:val="none"/>
                <w:lang w:eastAsia="zh-CN"/>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75" w:type="pct"/>
          </w:tcPr>
          <w:p>
            <w:pPr>
              <w:pStyle w:val="10"/>
              <w:keepNext w:val="0"/>
              <w:keepLines w:val="0"/>
              <w:pageBreakBefore w:val="0"/>
              <w:widowControl/>
              <w:shd w:val="clear"/>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7</w:t>
            </w:r>
          </w:p>
        </w:tc>
        <w:tc>
          <w:tcPr>
            <w:tcW w:w="686" w:type="pct"/>
          </w:tcPr>
          <w:p>
            <w:pPr>
              <w:pStyle w:val="10"/>
              <w:keepNext w:val="0"/>
              <w:keepLines w:val="0"/>
              <w:pageBreakBefore w:val="0"/>
              <w:widowControl/>
              <w:shd w:val="clear"/>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13.2</w:t>
            </w:r>
          </w:p>
        </w:tc>
        <w:tc>
          <w:tcPr>
            <w:tcW w:w="3937" w:type="pct"/>
          </w:tcPr>
          <w:p>
            <w:pPr>
              <w:pStyle w:val="10"/>
              <w:keepNext w:val="0"/>
              <w:keepLines w:val="0"/>
              <w:pageBreakBefore w:val="0"/>
              <w:widowControl/>
              <w:shd w:val="clear"/>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合同签订时限：自中标通知书发出之日起30个日历日内。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75" w:type="pct"/>
          </w:tcPr>
          <w:p>
            <w:pPr>
              <w:pStyle w:val="10"/>
              <w:keepNext w:val="0"/>
              <w:keepLines w:val="0"/>
              <w:pageBreakBefore w:val="0"/>
              <w:widowControl/>
              <w:shd w:val="clear"/>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8</w:t>
            </w:r>
          </w:p>
        </w:tc>
        <w:tc>
          <w:tcPr>
            <w:tcW w:w="686" w:type="pct"/>
          </w:tcPr>
          <w:p>
            <w:pPr>
              <w:pStyle w:val="10"/>
              <w:keepNext w:val="0"/>
              <w:keepLines w:val="0"/>
              <w:pageBreakBefore w:val="0"/>
              <w:widowControl/>
              <w:shd w:val="clear"/>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15.1-（2）</w:t>
            </w:r>
          </w:p>
        </w:tc>
        <w:tc>
          <w:tcPr>
            <w:tcW w:w="3937" w:type="pct"/>
          </w:tcPr>
          <w:p>
            <w:pPr>
              <w:pStyle w:val="10"/>
              <w:keepNext w:val="0"/>
              <w:keepLines w:val="0"/>
              <w:pageBreakBefore w:val="0"/>
              <w:widowControl/>
              <w:shd w:val="clear"/>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质疑函原件应采用下列方式提交：书面形式。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75" w:type="pct"/>
          </w:tcPr>
          <w:p>
            <w:pPr>
              <w:pStyle w:val="10"/>
              <w:keepNext w:val="0"/>
              <w:keepLines w:val="0"/>
              <w:pageBreakBefore w:val="0"/>
              <w:widowControl/>
              <w:shd w:val="clear"/>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9</w:t>
            </w:r>
          </w:p>
        </w:tc>
        <w:tc>
          <w:tcPr>
            <w:tcW w:w="686" w:type="pct"/>
          </w:tcPr>
          <w:p>
            <w:pPr>
              <w:pStyle w:val="10"/>
              <w:keepNext w:val="0"/>
              <w:keepLines w:val="0"/>
              <w:pageBreakBefore w:val="0"/>
              <w:widowControl/>
              <w:shd w:val="clear"/>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15.4</w:t>
            </w:r>
          </w:p>
        </w:tc>
        <w:tc>
          <w:tcPr>
            <w:tcW w:w="3937" w:type="pct"/>
          </w:tcPr>
          <w:p>
            <w:pPr>
              <w:pStyle w:val="10"/>
              <w:keepNext w:val="0"/>
              <w:keepLines w:val="0"/>
              <w:pageBreakBefore w:val="0"/>
              <w:widowControl/>
              <w:shd w:val="clear"/>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招标文件的质疑</w:t>
            </w:r>
          </w:p>
          <w:p>
            <w:pPr>
              <w:pStyle w:val="10"/>
              <w:keepNext w:val="0"/>
              <w:keepLines w:val="0"/>
              <w:pageBreakBefore w:val="0"/>
              <w:widowControl/>
              <w:shd w:val="clear"/>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（1）潜在投标人可在质疑时效期间内对招标文件以书面形式提出质疑。</w:t>
            </w:r>
          </w:p>
          <w:p>
            <w:pPr>
              <w:pStyle w:val="10"/>
              <w:keepNext w:val="0"/>
              <w:keepLines w:val="0"/>
              <w:pageBreakBefore w:val="0"/>
              <w:widowControl/>
              <w:shd w:val="clear"/>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（2）质疑时效期间：应在依法获取招标文件之日起7个工作日内向{代理机构}提出，依法获取招标文件的时间以福建省政府采购网上公开信息系统记载的为准。</w:t>
            </w:r>
          </w:p>
          <w:p>
            <w:pPr>
              <w:pStyle w:val="10"/>
              <w:keepNext w:val="0"/>
              <w:keepLines w:val="0"/>
              <w:pageBreakBefore w:val="0"/>
              <w:widowControl/>
              <w:shd w:val="clear"/>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※除上述规定外，对招标文件提出的质疑还应符合招标文件第三章第15.1条的有关规定。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75" w:type="pct"/>
          </w:tcPr>
          <w:p>
            <w:pPr>
              <w:pStyle w:val="10"/>
              <w:keepNext w:val="0"/>
              <w:keepLines w:val="0"/>
              <w:pageBreakBefore w:val="0"/>
              <w:widowControl/>
              <w:shd w:val="clear"/>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10</w:t>
            </w:r>
          </w:p>
        </w:tc>
        <w:tc>
          <w:tcPr>
            <w:tcW w:w="686" w:type="pct"/>
          </w:tcPr>
          <w:p>
            <w:pPr>
              <w:pStyle w:val="10"/>
              <w:keepNext w:val="0"/>
              <w:keepLines w:val="0"/>
              <w:pageBreakBefore w:val="0"/>
              <w:widowControl/>
              <w:shd w:val="clear"/>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16.1</w:t>
            </w:r>
          </w:p>
        </w:tc>
        <w:tc>
          <w:tcPr>
            <w:tcW w:w="3937" w:type="pct"/>
          </w:tcPr>
          <w:p>
            <w:pPr>
              <w:pStyle w:val="10"/>
              <w:keepNext w:val="0"/>
              <w:keepLines w:val="0"/>
              <w:pageBreakBefore w:val="0"/>
              <w:widowControl/>
              <w:shd w:val="clear"/>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监督管理部门：</w:t>
            </w:r>
            <w:r>
              <w:rPr>
                <w:rFonts w:hint="eastAsia" w:ascii="宋体" w:hAnsi="宋体" w:eastAsia="宋体" w:cs="宋体"/>
                <w:b/>
                <w:color w:val="auto"/>
                <w:sz w:val="24"/>
                <w:szCs w:val="24"/>
                <w:highlight w:val="none"/>
                <w:lang w:eastAsia="zh-CN"/>
              </w:rPr>
              <w:t>仙游县财政局政府采购监督管理办公室</w:t>
            </w:r>
            <w:r>
              <w:rPr>
                <w:rFonts w:hint="eastAsia" w:ascii="宋体" w:hAnsi="宋体" w:eastAsia="宋体" w:cs="宋体"/>
                <w:b/>
                <w:color w:val="auto"/>
                <w:sz w:val="24"/>
                <w:szCs w:val="24"/>
                <w:highlight w:val="none"/>
              </w:rPr>
              <w:t>（仅限依法进行政府采购的货物或服务类项目）。</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75" w:type="pct"/>
          </w:tcPr>
          <w:p>
            <w:pPr>
              <w:pStyle w:val="10"/>
              <w:keepNext w:val="0"/>
              <w:keepLines w:val="0"/>
              <w:pageBreakBefore w:val="0"/>
              <w:widowControl/>
              <w:shd w:val="clear"/>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11</w:t>
            </w:r>
          </w:p>
        </w:tc>
        <w:tc>
          <w:tcPr>
            <w:tcW w:w="686" w:type="pct"/>
          </w:tcPr>
          <w:p>
            <w:pPr>
              <w:pStyle w:val="10"/>
              <w:keepNext w:val="0"/>
              <w:keepLines w:val="0"/>
              <w:pageBreakBefore w:val="0"/>
              <w:widowControl/>
              <w:shd w:val="clear"/>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18.1</w:t>
            </w:r>
          </w:p>
        </w:tc>
        <w:tc>
          <w:tcPr>
            <w:tcW w:w="3937" w:type="pct"/>
          </w:tcPr>
          <w:p>
            <w:pPr>
              <w:pStyle w:val="10"/>
              <w:keepNext w:val="0"/>
              <w:keepLines w:val="0"/>
              <w:pageBreakBefore w:val="0"/>
              <w:widowControl/>
              <w:shd w:val="clear"/>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财政部和福建省财政厅指定的政府采购信息发布媒体（以下简称：“指定媒体”）：</w:t>
            </w:r>
          </w:p>
          <w:p>
            <w:pPr>
              <w:pStyle w:val="10"/>
              <w:keepNext w:val="0"/>
              <w:keepLines w:val="0"/>
              <w:pageBreakBefore w:val="0"/>
              <w:widowControl/>
              <w:shd w:val="clear"/>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（1）中国政府采购网，网址www.ccgp.gov.cn。</w:t>
            </w:r>
          </w:p>
          <w:p>
            <w:pPr>
              <w:pStyle w:val="10"/>
              <w:keepNext w:val="0"/>
              <w:keepLines w:val="0"/>
              <w:pageBreakBefore w:val="0"/>
              <w:widowControl/>
              <w:shd w:val="clear"/>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（2）中国政府采购网福建分网（福建省政府采购网），网址zfcg.czt.fujian.gov.cn。</w:t>
            </w:r>
          </w:p>
          <w:p>
            <w:pPr>
              <w:pStyle w:val="10"/>
              <w:keepNext w:val="0"/>
              <w:keepLines w:val="0"/>
              <w:pageBreakBefore w:val="0"/>
              <w:widowControl/>
              <w:shd w:val="clear"/>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※若出现上述指定媒体信息不一致情形，应以中国政府采购网福建分网（福建省政府采购网）发布的为准。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75" w:type="pct"/>
          </w:tcPr>
          <w:p>
            <w:pPr>
              <w:pStyle w:val="10"/>
              <w:keepNext w:val="0"/>
              <w:keepLines w:val="0"/>
              <w:pageBreakBefore w:val="0"/>
              <w:widowControl/>
              <w:shd w:val="clear"/>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12</w:t>
            </w:r>
          </w:p>
        </w:tc>
        <w:tc>
          <w:tcPr>
            <w:tcW w:w="686" w:type="pct"/>
          </w:tcPr>
          <w:p>
            <w:pPr>
              <w:pStyle w:val="10"/>
              <w:keepNext w:val="0"/>
              <w:keepLines w:val="0"/>
              <w:pageBreakBefore w:val="0"/>
              <w:widowControl/>
              <w:shd w:val="clear"/>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19</w:t>
            </w:r>
          </w:p>
        </w:tc>
        <w:tc>
          <w:tcPr>
            <w:tcW w:w="3937" w:type="pct"/>
          </w:tcPr>
          <w:p>
            <w:pPr>
              <w:pStyle w:val="10"/>
              <w:keepNext w:val="0"/>
              <w:keepLines w:val="0"/>
              <w:pageBreakBefore w:val="0"/>
              <w:widowControl/>
              <w:shd w:val="clear"/>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其他事项：</w:t>
            </w:r>
          </w:p>
          <w:p>
            <w:pPr>
              <w:pStyle w:val="10"/>
              <w:keepNext w:val="0"/>
              <w:keepLines w:val="0"/>
              <w:pageBreakBefore w:val="0"/>
              <w:widowControl/>
              <w:shd w:val="clear"/>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(1)本项目代理服务费：</w:t>
            </w:r>
          </w:p>
          <w:p>
            <w:pPr>
              <w:pStyle w:val="10"/>
              <w:keepNext w:val="0"/>
              <w:keepLines w:val="0"/>
              <w:pageBreakBefore w:val="0"/>
              <w:widowControl/>
              <w:shd w:val="clear"/>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代理服务费用收取对象：中标/成交供应商</w:t>
            </w:r>
          </w:p>
          <w:p>
            <w:pPr>
              <w:pStyle w:val="10"/>
              <w:keepNext w:val="0"/>
              <w:keepLines w:val="0"/>
              <w:pageBreakBefore w:val="0"/>
              <w:widowControl/>
              <w:shd w:val="clear"/>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代理服务费收费标准：根据《国家发展改革委办公厅关于招标代理服务收费有关问题的通知》及本项目政府采购委托协议中“有关费用问题”的约定，本项目的招标代理服务费(中标服务费)向中标人收取，中标人应按差额定率累进法计算，向采购代理机构交纳招标代理服务费(中标服务费)。 (1)以中标通知书规定的中标金额作为收费的计算基数。 (2)招标代理服务收费的标准：100(万元)以下收费费率标准：1.50%；100-500（万元）收费费率标准:0.8%。500-1000（万元）收费费率标准:0.45%。 (3)中标人应在领取中标通知书的同时，可以现金、转帐或电汇方式一次性向招标代理机构缴纳招标代理服务费。</w:t>
            </w:r>
          </w:p>
          <w:p>
            <w:pPr>
              <w:pStyle w:val="10"/>
              <w:keepNext w:val="0"/>
              <w:keepLines w:val="0"/>
              <w:pageBreakBefore w:val="0"/>
              <w:widowControl/>
              <w:shd w:val="clear"/>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(2)其他：</w:t>
            </w:r>
          </w:p>
          <w:p>
            <w:pPr>
              <w:pStyle w:val="10"/>
              <w:keepNext w:val="0"/>
              <w:keepLines w:val="0"/>
              <w:pageBreakBefore w:val="0"/>
              <w:widowControl/>
              <w:shd w:val="clear"/>
              <w:kinsoku/>
              <w:wordWrap/>
              <w:overflowPunct/>
              <w:topLinePunct w:val="0"/>
              <w:autoSpaceDE/>
              <w:autoSpaceDN/>
              <w:bidi w:val="0"/>
              <w:adjustRightInd/>
              <w:snapToGrid/>
              <w:spacing w:line="400" w:lineRule="exact"/>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19.1最高限价：本项目采购公告中采购包预算价为最高限价，投标人超过最高限价的报价为无效报价。根据《中华人民共和国价格法》第六条、第十八条规定，投标人依法有权自主制定属于市场调节的价格，有权根据企业的生产经营成本等自身情况和市场供求状况等外部因素自主定价。 </w:t>
            </w:r>
          </w:p>
          <w:p>
            <w:pPr>
              <w:pStyle w:val="10"/>
              <w:keepNext w:val="0"/>
              <w:keepLines w:val="0"/>
              <w:pageBreakBefore w:val="0"/>
              <w:widowControl/>
              <w:shd w:val="clear"/>
              <w:kinsoku/>
              <w:wordWrap/>
              <w:overflowPunct/>
              <w:topLinePunct w:val="0"/>
              <w:autoSpaceDE/>
              <w:autoSpaceDN/>
              <w:bidi w:val="0"/>
              <w:adjustRightInd/>
              <w:snapToGrid/>
              <w:spacing w:line="400" w:lineRule="exact"/>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19.</w:t>
            </w:r>
            <w:r>
              <w:rPr>
                <w:rFonts w:hint="eastAsia" w:ascii="宋体" w:hAnsi="宋体" w:eastAsia="宋体" w:cs="宋体"/>
                <w:b/>
                <w:color w:val="auto"/>
                <w:sz w:val="24"/>
                <w:szCs w:val="24"/>
                <w:highlight w:val="none"/>
                <w:lang w:val="en-US" w:eastAsia="zh-CN"/>
              </w:rPr>
              <w:t>2</w:t>
            </w:r>
            <w:r>
              <w:rPr>
                <w:rFonts w:hint="eastAsia" w:ascii="宋体" w:hAnsi="宋体" w:eastAsia="宋体" w:cs="宋体"/>
                <w:b/>
                <w:color w:val="auto"/>
                <w:sz w:val="24"/>
                <w:szCs w:val="24"/>
                <w:highlight w:val="none"/>
              </w:rPr>
              <w:t xml:space="preserve">实质性要求和条件： </w:t>
            </w:r>
          </w:p>
          <w:p>
            <w:pPr>
              <w:pStyle w:val="10"/>
              <w:keepNext w:val="0"/>
              <w:keepLines w:val="0"/>
              <w:pageBreakBefore w:val="0"/>
              <w:widowControl/>
              <w:shd w:val="clear"/>
              <w:kinsoku/>
              <w:wordWrap/>
              <w:overflowPunct/>
              <w:topLinePunct w:val="0"/>
              <w:autoSpaceDE/>
              <w:autoSpaceDN/>
              <w:bidi w:val="0"/>
              <w:adjustRightInd/>
              <w:snapToGrid/>
              <w:spacing w:line="400" w:lineRule="exact"/>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19.</w:t>
            </w:r>
            <w:r>
              <w:rPr>
                <w:rFonts w:hint="eastAsia" w:ascii="宋体" w:hAnsi="宋体" w:eastAsia="宋体" w:cs="宋体"/>
                <w:b/>
                <w:color w:val="auto"/>
                <w:sz w:val="24"/>
                <w:szCs w:val="24"/>
                <w:highlight w:val="none"/>
                <w:lang w:val="en-US" w:eastAsia="zh-CN"/>
              </w:rPr>
              <w:t>2</w:t>
            </w:r>
            <w:r>
              <w:rPr>
                <w:rFonts w:hint="eastAsia" w:ascii="宋体" w:hAnsi="宋体" w:eastAsia="宋体" w:cs="宋体"/>
                <w:b/>
                <w:color w:val="auto"/>
                <w:sz w:val="24"/>
                <w:szCs w:val="24"/>
                <w:highlight w:val="none"/>
              </w:rPr>
              <w:t>.1信用记录查询及使用： (1)信用记录查询渠道及截止时点：采购代理机构将在投标截止时间截止后，评标工作结束前，通过“信用中国”网站(www.creditchina.gov.cn)、中国政府采购网(www.ccgp.gov.cn)查询投标人的信用记录。 (2)信用信息查询记录和证据留存的具体方式：采购代理机构将记录、打印各投标人的信用信息查询结果，与其他采购文件一并保存。 (3)信用信息的使用规则：依据《财政部关于在政府采购活动中查询及使用信用记录有关问题的通知》财库〔2016〕125号规定，投标人有下列情形之一，其投标文件在资格性检查中将被资格审查小组视为无效投标： ①被列入“信用中国”网站(www.creditchina.gov.cn)中政府采购严重违法失信名单的； ②被列入中国政府采购网(www.ccgp.gov.cn)中政府采购严重违法失信行为信息记录的； ③属于《政府采购法》第二十二条的“重大违法记录”。</w:t>
            </w:r>
          </w:p>
          <w:p>
            <w:pPr>
              <w:pStyle w:val="10"/>
              <w:keepNext w:val="0"/>
              <w:keepLines w:val="0"/>
              <w:pageBreakBefore w:val="0"/>
              <w:widowControl/>
              <w:shd w:val="clear"/>
              <w:kinsoku/>
              <w:wordWrap/>
              <w:overflowPunct/>
              <w:topLinePunct w:val="0"/>
              <w:autoSpaceDE/>
              <w:autoSpaceDN/>
              <w:bidi w:val="0"/>
              <w:adjustRightInd/>
              <w:snapToGrid/>
              <w:spacing w:line="400" w:lineRule="exact"/>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19.</w:t>
            </w:r>
            <w:r>
              <w:rPr>
                <w:rFonts w:hint="eastAsia" w:ascii="宋体" w:hAnsi="宋体" w:eastAsia="宋体" w:cs="宋体"/>
                <w:b/>
                <w:color w:val="auto"/>
                <w:sz w:val="24"/>
                <w:szCs w:val="24"/>
                <w:highlight w:val="none"/>
                <w:lang w:val="en-US" w:eastAsia="zh-CN"/>
              </w:rPr>
              <w:t>2</w:t>
            </w:r>
            <w:r>
              <w:rPr>
                <w:rFonts w:hint="eastAsia" w:ascii="宋体" w:hAnsi="宋体" w:eastAsia="宋体" w:cs="宋体"/>
                <w:b/>
                <w:color w:val="auto"/>
                <w:sz w:val="24"/>
                <w:szCs w:val="24"/>
                <w:highlight w:val="none"/>
              </w:rPr>
              <w:t xml:space="preserve">.2根据《关于进一步规范政府采购评审工作有关问题的通知》财库[2012]69号文件规定，评标委员会对投标人技术部分的客观评分项的评分应当一致，对其他需要借助专业知识评判的主观评分项，应当严格按照评分细则公正评分。评标委员会对投标人技术部分的实际得分少于招标文件设定的技术部分总分50%的作为无效标处理。 </w:t>
            </w:r>
          </w:p>
          <w:p>
            <w:pPr>
              <w:pStyle w:val="10"/>
              <w:keepNext w:val="0"/>
              <w:keepLines w:val="0"/>
              <w:pageBreakBefore w:val="0"/>
              <w:widowControl/>
              <w:shd w:val="clear"/>
              <w:kinsoku/>
              <w:wordWrap/>
              <w:overflowPunct/>
              <w:topLinePunct w:val="0"/>
              <w:autoSpaceDE/>
              <w:autoSpaceDN/>
              <w:bidi w:val="0"/>
              <w:adjustRightInd/>
              <w:snapToGrid/>
              <w:spacing w:line="400" w:lineRule="exact"/>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19.</w:t>
            </w:r>
            <w:r>
              <w:rPr>
                <w:rFonts w:hint="eastAsia" w:ascii="宋体" w:hAnsi="宋体" w:eastAsia="宋体" w:cs="宋体"/>
                <w:b/>
                <w:color w:val="auto"/>
                <w:sz w:val="24"/>
                <w:szCs w:val="24"/>
                <w:highlight w:val="none"/>
                <w:lang w:val="en-US" w:eastAsia="zh-CN"/>
              </w:rPr>
              <w:t>3</w:t>
            </w:r>
            <w:r>
              <w:rPr>
                <w:rFonts w:hint="eastAsia" w:ascii="宋体" w:hAnsi="宋体" w:eastAsia="宋体" w:cs="宋体"/>
                <w:b/>
                <w:color w:val="auto"/>
                <w:sz w:val="24"/>
                <w:szCs w:val="24"/>
                <w:highlight w:val="none"/>
              </w:rPr>
              <w:t xml:space="preserve">根据《政府采购质疑和投诉办法》(财政部令第94号)第十二条的规定：对采购过程、中标或者成交结果提出的质疑，合格供 应商符合法定数量时，可以从合格的中标或者成交候选人中另行确定中标、成交供应商的，应当依法另行确定中标、成交供 应商；否则应当重新开展采购活动。 </w:t>
            </w:r>
          </w:p>
          <w:p>
            <w:pPr>
              <w:pStyle w:val="10"/>
              <w:keepNext w:val="0"/>
              <w:keepLines w:val="0"/>
              <w:pageBreakBefore w:val="0"/>
              <w:widowControl/>
              <w:shd w:val="clear"/>
              <w:kinsoku/>
              <w:wordWrap/>
              <w:overflowPunct/>
              <w:topLinePunct w:val="0"/>
              <w:autoSpaceDE/>
              <w:autoSpaceDN/>
              <w:bidi w:val="0"/>
              <w:adjustRightInd/>
              <w:snapToGrid/>
              <w:spacing w:line="400" w:lineRule="exact"/>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19.</w:t>
            </w:r>
            <w:r>
              <w:rPr>
                <w:rFonts w:hint="eastAsia" w:ascii="宋体" w:hAnsi="宋体" w:eastAsia="宋体" w:cs="宋体"/>
                <w:b/>
                <w:color w:val="auto"/>
                <w:sz w:val="24"/>
                <w:szCs w:val="24"/>
                <w:highlight w:val="none"/>
                <w:lang w:val="en-US" w:eastAsia="zh-CN"/>
              </w:rPr>
              <w:t>4</w:t>
            </w:r>
            <w:r>
              <w:rPr>
                <w:rFonts w:hint="eastAsia" w:ascii="宋体" w:hAnsi="宋体" w:eastAsia="宋体" w:cs="宋体"/>
                <w:b/>
                <w:color w:val="auto"/>
                <w:sz w:val="24"/>
                <w:szCs w:val="24"/>
                <w:highlight w:val="none"/>
              </w:rPr>
              <w:t xml:space="preserve">质疑与投诉 </w:t>
            </w:r>
          </w:p>
          <w:p>
            <w:pPr>
              <w:pStyle w:val="10"/>
              <w:keepNext w:val="0"/>
              <w:keepLines w:val="0"/>
              <w:pageBreakBefore w:val="0"/>
              <w:widowControl/>
              <w:shd w:val="clear"/>
              <w:kinsoku/>
              <w:wordWrap/>
              <w:overflowPunct/>
              <w:topLinePunct w:val="0"/>
              <w:autoSpaceDE/>
              <w:autoSpaceDN/>
              <w:bidi w:val="0"/>
              <w:adjustRightInd/>
              <w:snapToGrid/>
              <w:spacing w:line="400" w:lineRule="exact"/>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19.</w:t>
            </w:r>
            <w:r>
              <w:rPr>
                <w:rFonts w:hint="eastAsia" w:ascii="宋体" w:hAnsi="宋体" w:eastAsia="宋体" w:cs="宋体"/>
                <w:b/>
                <w:color w:val="auto"/>
                <w:sz w:val="24"/>
                <w:szCs w:val="24"/>
                <w:highlight w:val="none"/>
                <w:lang w:val="en-US" w:eastAsia="zh-CN"/>
              </w:rPr>
              <w:t>4</w:t>
            </w:r>
            <w:r>
              <w:rPr>
                <w:rFonts w:hint="eastAsia" w:ascii="宋体" w:hAnsi="宋体" w:eastAsia="宋体" w:cs="宋体"/>
                <w:b/>
                <w:color w:val="auto"/>
                <w:sz w:val="24"/>
                <w:szCs w:val="24"/>
                <w:highlight w:val="none"/>
              </w:rPr>
              <w:t xml:space="preserve">.1质疑 </w:t>
            </w:r>
          </w:p>
          <w:p>
            <w:pPr>
              <w:pStyle w:val="10"/>
              <w:keepNext w:val="0"/>
              <w:keepLines w:val="0"/>
              <w:pageBreakBefore w:val="0"/>
              <w:widowControl/>
              <w:shd w:val="clear"/>
              <w:kinsoku/>
              <w:wordWrap/>
              <w:overflowPunct/>
              <w:topLinePunct w:val="0"/>
              <w:autoSpaceDE/>
              <w:autoSpaceDN/>
              <w:bidi w:val="0"/>
              <w:adjustRightInd/>
              <w:snapToGrid/>
              <w:spacing w:line="400" w:lineRule="exact"/>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19.</w:t>
            </w:r>
            <w:r>
              <w:rPr>
                <w:rFonts w:hint="eastAsia" w:ascii="宋体" w:hAnsi="宋体" w:eastAsia="宋体" w:cs="宋体"/>
                <w:b/>
                <w:color w:val="auto"/>
                <w:sz w:val="24"/>
                <w:szCs w:val="24"/>
                <w:highlight w:val="none"/>
                <w:lang w:val="en-US" w:eastAsia="zh-CN"/>
              </w:rPr>
              <w:t>4</w:t>
            </w:r>
            <w:r>
              <w:rPr>
                <w:rFonts w:hint="eastAsia" w:ascii="宋体" w:hAnsi="宋体" w:eastAsia="宋体" w:cs="宋体"/>
                <w:b/>
                <w:color w:val="auto"/>
                <w:sz w:val="24"/>
                <w:szCs w:val="24"/>
                <w:highlight w:val="none"/>
              </w:rPr>
              <w:t>.1.1根据《政府采购质疑和投诉办法》(财政部令第94号)第十条规定，供应商认为采购文件、采购过程、中标或者成交结果使自己的权益受到损害的，可以在知道或者应知其权益受到损害之日起7个工作日内，以书面形式向采购人、采购代理机构提出质疑。 根据《中华人民共和国政府采购法实施条例》第五十三条规定，政府采购法第五十二条规定的供应商应知其权益受到损害之日，是指： (1)对可以质疑的采购文件提出质疑的，为收到采购文件之日；(2)对采购过程提出质疑的，为各采购程序环节结束之日； (3)对成交结果提出质疑的，为成交结果公告期限届满之日。</w:t>
            </w:r>
          </w:p>
          <w:p>
            <w:pPr>
              <w:pStyle w:val="10"/>
              <w:keepNext w:val="0"/>
              <w:keepLines w:val="0"/>
              <w:pageBreakBefore w:val="0"/>
              <w:widowControl/>
              <w:shd w:val="clear"/>
              <w:kinsoku/>
              <w:wordWrap/>
              <w:overflowPunct/>
              <w:topLinePunct w:val="0"/>
              <w:autoSpaceDE/>
              <w:autoSpaceDN/>
              <w:bidi w:val="0"/>
              <w:adjustRightInd/>
              <w:snapToGrid/>
              <w:spacing w:line="400" w:lineRule="exact"/>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19.</w:t>
            </w:r>
            <w:r>
              <w:rPr>
                <w:rFonts w:hint="eastAsia" w:ascii="宋体" w:hAnsi="宋体" w:eastAsia="宋体" w:cs="宋体"/>
                <w:b/>
                <w:color w:val="auto"/>
                <w:sz w:val="24"/>
                <w:szCs w:val="24"/>
                <w:highlight w:val="none"/>
                <w:lang w:val="en-US" w:eastAsia="zh-CN"/>
              </w:rPr>
              <w:t>4</w:t>
            </w:r>
            <w:r>
              <w:rPr>
                <w:rFonts w:hint="eastAsia" w:ascii="宋体" w:hAnsi="宋体" w:eastAsia="宋体" w:cs="宋体"/>
                <w:b/>
                <w:color w:val="auto"/>
                <w:sz w:val="24"/>
                <w:szCs w:val="24"/>
                <w:highlight w:val="none"/>
              </w:rPr>
              <w:t xml:space="preserve">.1.2供应商在法定质疑期内须一次性提出针对同一采购程序环节的质疑。 </w:t>
            </w:r>
          </w:p>
          <w:p>
            <w:pPr>
              <w:pStyle w:val="10"/>
              <w:keepNext w:val="0"/>
              <w:keepLines w:val="0"/>
              <w:pageBreakBefore w:val="0"/>
              <w:widowControl/>
              <w:shd w:val="clear"/>
              <w:kinsoku/>
              <w:wordWrap/>
              <w:overflowPunct/>
              <w:topLinePunct w:val="0"/>
              <w:autoSpaceDE/>
              <w:autoSpaceDN/>
              <w:bidi w:val="0"/>
              <w:adjustRightInd/>
              <w:snapToGrid/>
              <w:spacing w:line="400" w:lineRule="exact"/>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19.</w:t>
            </w:r>
            <w:r>
              <w:rPr>
                <w:rFonts w:hint="eastAsia" w:ascii="宋体" w:hAnsi="宋体" w:eastAsia="宋体" w:cs="宋体"/>
                <w:b/>
                <w:color w:val="auto"/>
                <w:sz w:val="24"/>
                <w:szCs w:val="24"/>
                <w:highlight w:val="none"/>
                <w:lang w:val="en-US" w:eastAsia="zh-CN"/>
              </w:rPr>
              <w:t>4</w:t>
            </w:r>
            <w:r>
              <w:rPr>
                <w:rFonts w:hint="eastAsia" w:ascii="宋体" w:hAnsi="宋体" w:eastAsia="宋体" w:cs="宋体"/>
                <w:b/>
                <w:color w:val="auto"/>
                <w:sz w:val="24"/>
                <w:szCs w:val="24"/>
                <w:highlight w:val="none"/>
              </w:rPr>
              <w:t>.1.3接收质疑函的方式、联系部门、联系电话和通讯地址 (1)接收质疑函的方式：现场方式（需同时递交word版本的质疑函）； (2)接收质疑函的联系部门：办公室； (3)接收质疑函的联系电话：</w:t>
            </w:r>
            <w:r>
              <w:rPr>
                <w:rFonts w:hint="eastAsia" w:ascii="宋体" w:hAnsi="宋体" w:eastAsia="宋体" w:cs="宋体"/>
                <w:b/>
                <w:color w:val="auto"/>
                <w:sz w:val="24"/>
                <w:szCs w:val="24"/>
                <w:highlight w:val="none"/>
                <w:lang w:val="en-US" w:eastAsia="zh-CN"/>
              </w:rPr>
              <w:t>18060509771</w:t>
            </w:r>
            <w:r>
              <w:rPr>
                <w:rFonts w:hint="eastAsia" w:ascii="宋体" w:hAnsi="宋体" w:eastAsia="宋体" w:cs="宋体"/>
                <w:b/>
                <w:color w:val="auto"/>
                <w:sz w:val="24"/>
                <w:szCs w:val="24"/>
                <w:highlight w:val="none"/>
              </w:rPr>
              <w:t xml:space="preserve">； (4)接收质疑函的通讯地址：福州市台江区茶亭街道广达路68号金源大广场东区22层07室。 (5)质疑人递交质疑函时还应出具质疑人已在福建省政府采购网上公开信息系统上获取招标文件的证明文件（体现查看时间或获取招标文件时间）【查看时间或获取招标文件时间以福建省政府采购网上公开信息系统记载为准】 </w:t>
            </w:r>
          </w:p>
          <w:p>
            <w:pPr>
              <w:pStyle w:val="10"/>
              <w:keepNext w:val="0"/>
              <w:keepLines w:val="0"/>
              <w:pageBreakBefore w:val="0"/>
              <w:widowControl/>
              <w:shd w:val="clear"/>
              <w:kinsoku/>
              <w:wordWrap/>
              <w:overflowPunct/>
              <w:topLinePunct w:val="0"/>
              <w:autoSpaceDE/>
              <w:autoSpaceDN/>
              <w:bidi w:val="0"/>
              <w:adjustRightInd/>
              <w:snapToGrid/>
              <w:spacing w:line="400" w:lineRule="exact"/>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19.</w:t>
            </w:r>
            <w:r>
              <w:rPr>
                <w:rFonts w:hint="eastAsia" w:ascii="宋体" w:hAnsi="宋体" w:eastAsia="宋体" w:cs="宋体"/>
                <w:b/>
                <w:color w:val="auto"/>
                <w:sz w:val="24"/>
                <w:szCs w:val="24"/>
                <w:highlight w:val="none"/>
                <w:lang w:val="en-US" w:eastAsia="zh-CN"/>
              </w:rPr>
              <w:t>4</w:t>
            </w:r>
            <w:r>
              <w:rPr>
                <w:rFonts w:hint="eastAsia" w:ascii="宋体" w:hAnsi="宋体" w:eastAsia="宋体" w:cs="宋体"/>
                <w:b/>
                <w:color w:val="auto"/>
                <w:sz w:val="24"/>
                <w:szCs w:val="24"/>
                <w:highlight w:val="none"/>
              </w:rPr>
              <w:t xml:space="preserve">.2投诉 </w:t>
            </w:r>
          </w:p>
          <w:p>
            <w:pPr>
              <w:pStyle w:val="10"/>
              <w:keepNext w:val="0"/>
              <w:keepLines w:val="0"/>
              <w:pageBreakBefore w:val="0"/>
              <w:widowControl/>
              <w:shd w:val="clear"/>
              <w:kinsoku/>
              <w:wordWrap/>
              <w:overflowPunct/>
              <w:topLinePunct w:val="0"/>
              <w:autoSpaceDE/>
              <w:autoSpaceDN/>
              <w:bidi w:val="0"/>
              <w:adjustRightInd/>
              <w:snapToGrid/>
              <w:spacing w:line="400" w:lineRule="exact"/>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根据《政府采购质疑和投诉办法》(财政部令第94号)第十八条规定，“投诉人投诉时,应当提交投诉书和必要的证明材料，并按照被投诉采购人、采购代理机构和与投诉事项有关的供 应商数量提供投诉书的副本”。 根据《政府采购质疑和投诉办法》(财政部令第94号)第二十条规定，“供应商投诉的事项不得超出已质疑事项的范围，但基于质疑答复内容提出的投诉事项除外。”</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textAlignment w:val="auto"/>
              <w:rPr>
                <w:rStyle w:val="9"/>
                <w:rFonts w:hint="eastAsia" w:ascii="宋体" w:hAnsi="宋体" w:eastAsia="宋体" w:cs="宋体"/>
                <w:b/>
                <w:bCs/>
                <w:color w:val="auto"/>
                <w:spacing w:val="0"/>
                <w:sz w:val="24"/>
                <w:szCs w:val="24"/>
                <w:highlight w:val="none"/>
              </w:rPr>
            </w:pPr>
            <w:r>
              <w:rPr>
                <w:rStyle w:val="9"/>
                <w:rFonts w:hint="eastAsia" w:ascii="宋体" w:hAnsi="宋体" w:eastAsia="宋体" w:cs="宋体"/>
                <w:b/>
                <w:bCs/>
                <w:color w:val="auto"/>
                <w:spacing w:val="0"/>
                <w:sz w:val="24"/>
                <w:szCs w:val="24"/>
                <w:highlight w:val="none"/>
              </w:rPr>
              <w:t>19.</w:t>
            </w:r>
            <w:r>
              <w:rPr>
                <w:rStyle w:val="9"/>
                <w:rFonts w:hint="eastAsia" w:ascii="宋体" w:hAnsi="宋体" w:eastAsia="宋体" w:cs="宋体"/>
                <w:b/>
                <w:bCs/>
                <w:color w:val="auto"/>
                <w:spacing w:val="0"/>
                <w:sz w:val="24"/>
                <w:szCs w:val="24"/>
                <w:highlight w:val="none"/>
                <w:lang w:val="en-US" w:eastAsia="zh-CN"/>
              </w:rPr>
              <w:t>5</w:t>
            </w:r>
            <w:r>
              <w:rPr>
                <w:rStyle w:val="9"/>
                <w:rFonts w:hint="eastAsia" w:ascii="宋体" w:hAnsi="宋体" w:eastAsia="宋体" w:cs="宋体"/>
                <w:b/>
                <w:bCs/>
                <w:color w:val="auto"/>
                <w:spacing w:val="0"/>
                <w:sz w:val="24"/>
                <w:szCs w:val="24"/>
                <w:highlight w:val="none"/>
              </w:rPr>
              <w:t>投标人对招标文件“技术和服务要求”和“商务条件”项下涉及“≥或＞”、“≤或＜”及某个区间值范围内的相关内容进行投标响应时，若无偏离可完全按招标文件“技术和服务要求”和“商务条件”项下内容进行响应，无须填写具体的数值。</w:t>
            </w:r>
          </w:p>
          <w:p>
            <w:pPr>
              <w:pStyle w:val="10"/>
              <w:keepNext w:val="0"/>
              <w:keepLines w:val="0"/>
              <w:pageBreakBefore w:val="0"/>
              <w:widowControl/>
              <w:shd w:val="clear"/>
              <w:kinsoku/>
              <w:wordWrap/>
              <w:overflowPunct/>
              <w:topLinePunct w:val="0"/>
              <w:autoSpaceDE/>
              <w:autoSpaceDN/>
              <w:bidi w:val="0"/>
              <w:adjustRightInd/>
              <w:snapToGrid/>
              <w:spacing w:line="400" w:lineRule="exact"/>
              <w:jc w:val="left"/>
              <w:textAlignment w:val="auto"/>
              <w:rPr>
                <w:rFonts w:hint="eastAsia" w:ascii="宋体" w:hAnsi="宋体" w:eastAsia="宋体" w:cs="宋体"/>
                <w:b/>
                <w:color w:val="auto"/>
                <w:sz w:val="24"/>
                <w:szCs w:val="24"/>
                <w:highlight w:val="none"/>
              </w:rPr>
            </w:pPr>
            <w:r>
              <w:rPr>
                <w:rStyle w:val="9"/>
                <w:rFonts w:hint="eastAsia" w:ascii="宋体" w:hAnsi="宋体" w:eastAsia="宋体" w:cs="宋体"/>
                <w:b/>
                <w:bCs/>
                <w:color w:val="auto"/>
                <w:spacing w:val="0"/>
                <w:sz w:val="24"/>
                <w:szCs w:val="24"/>
                <w:highlight w:val="none"/>
              </w:rPr>
              <w:t>19.</w:t>
            </w:r>
            <w:r>
              <w:rPr>
                <w:rStyle w:val="9"/>
                <w:rFonts w:hint="eastAsia" w:ascii="宋体" w:hAnsi="宋体" w:eastAsia="宋体" w:cs="宋体"/>
                <w:b/>
                <w:bCs/>
                <w:color w:val="auto"/>
                <w:spacing w:val="0"/>
                <w:sz w:val="24"/>
                <w:szCs w:val="24"/>
                <w:highlight w:val="none"/>
                <w:lang w:val="en-US" w:eastAsia="zh-CN"/>
              </w:rPr>
              <w:t>6</w:t>
            </w:r>
            <w:r>
              <w:rPr>
                <w:rStyle w:val="9"/>
                <w:rFonts w:hint="eastAsia" w:ascii="宋体" w:hAnsi="宋体" w:eastAsia="宋体" w:cs="宋体"/>
                <w:b/>
                <w:bCs/>
                <w:color w:val="auto"/>
                <w:spacing w:val="0"/>
                <w:sz w:val="24"/>
                <w:szCs w:val="24"/>
                <w:highlight w:val="none"/>
              </w:rPr>
              <w:t>本项目收取投标保证金理由如下：为预防供应商串通投标；为预防投标截止时间后，投标人在投标有效期内随意撤销其投标文件；为预防中标后供应商没有正当理由拒签合同等。</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0" w:hRule="atLeast"/>
        </w:trPr>
        <w:tc>
          <w:tcPr>
            <w:tcW w:w="1062" w:type="pct"/>
            <w:gridSpan w:val="2"/>
          </w:tcPr>
          <w:p>
            <w:pPr>
              <w:pStyle w:val="10"/>
              <w:keepNext w:val="0"/>
              <w:keepLines w:val="0"/>
              <w:pageBreakBefore w:val="0"/>
              <w:widowControl/>
              <w:shd w:val="clear"/>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备注</w:t>
            </w:r>
          </w:p>
        </w:tc>
        <w:tc>
          <w:tcPr>
            <w:tcW w:w="3937" w:type="pct"/>
          </w:tcPr>
          <w:p>
            <w:pPr>
              <w:pStyle w:val="10"/>
              <w:keepNext w:val="0"/>
              <w:keepLines w:val="0"/>
              <w:pageBreakBefore w:val="0"/>
              <w:widowControl/>
              <w:shd w:val="clear"/>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后有投标人须知前附表2，请勿遗漏。</w:t>
            </w:r>
          </w:p>
        </w:tc>
      </w:tr>
    </w:tbl>
    <w:p>
      <w:pPr>
        <w:shd w:val="clea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br w:type="page"/>
      </w:r>
    </w:p>
    <w:p>
      <w:pPr>
        <w:pStyle w:val="10"/>
        <w:shd w:val="clear"/>
        <w:jc w:val="both"/>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二、投标人须知前附表2</w:t>
      </w:r>
    </w:p>
    <w:tbl>
      <w:tblPr>
        <w:tblStyle w:val="7"/>
        <w:tblW w:w="5000"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95"/>
        <w:gridCol w:w="8945"/>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000" w:type="pct"/>
            <w:gridSpan w:val="2"/>
          </w:tcPr>
          <w:p>
            <w:pPr>
              <w:pStyle w:val="10"/>
              <w:keepNext w:val="0"/>
              <w:keepLines w:val="0"/>
              <w:pageBreakBefore w:val="0"/>
              <w:widowControl/>
              <w:shd w:val="clear"/>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关于电子招标投标活动的专门规定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08" w:type="pct"/>
          </w:tcPr>
          <w:p>
            <w:pPr>
              <w:pStyle w:val="10"/>
              <w:keepNext w:val="0"/>
              <w:keepLines w:val="0"/>
              <w:pageBreakBefore w:val="0"/>
              <w:widowControl/>
              <w:shd w:val="clear"/>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序号</w:t>
            </w:r>
          </w:p>
        </w:tc>
        <w:tc>
          <w:tcPr>
            <w:tcW w:w="4591" w:type="pct"/>
          </w:tcPr>
          <w:p>
            <w:pPr>
              <w:pStyle w:val="10"/>
              <w:keepNext w:val="0"/>
              <w:keepLines w:val="0"/>
              <w:pageBreakBefore w:val="0"/>
              <w:widowControl/>
              <w:shd w:val="clear"/>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编列内容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08" w:type="pct"/>
            <w:vAlign w:val="center"/>
          </w:tcPr>
          <w:p>
            <w:pPr>
              <w:pStyle w:val="10"/>
              <w:keepNext w:val="0"/>
              <w:keepLines w:val="0"/>
              <w:pageBreakBefore w:val="0"/>
              <w:widowControl/>
              <w:shd w:val="clear"/>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1</w:t>
            </w:r>
          </w:p>
        </w:tc>
        <w:tc>
          <w:tcPr>
            <w:tcW w:w="4591" w:type="pct"/>
          </w:tcPr>
          <w:p>
            <w:pPr>
              <w:pStyle w:val="10"/>
              <w:keepNext w:val="0"/>
              <w:keepLines w:val="0"/>
              <w:pageBreakBefore w:val="0"/>
              <w:widowControl/>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（1）电子招标投标活动的专门规定适用本项目电子招标投标活动。</w:t>
            </w:r>
          </w:p>
          <w:p>
            <w:pPr>
              <w:pStyle w:val="10"/>
              <w:keepNext w:val="0"/>
              <w:keepLines w:val="0"/>
              <w:pageBreakBefore w:val="0"/>
              <w:widowControl/>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（2）将招标文件</w:t>
            </w:r>
          </w:p>
          <w:p>
            <w:pPr>
              <w:pStyle w:val="10"/>
              <w:keepNext w:val="0"/>
              <w:keepLines w:val="0"/>
              <w:pageBreakBefore w:val="0"/>
              <w:widowControl/>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无的内容修正为下列内容：无后适用本项目的电子招标投标活动。</w:t>
            </w:r>
          </w:p>
          <w:p>
            <w:pPr>
              <w:pStyle w:val="10"/>
              <w:keepNext w:val="0"/>
              <w:keepLines w:val="0"/>
              <w:pageBreakBefore w:val="0"/>
              <w:widowControl/>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（3）将下列内容增列为招标文件的组成部分（以下简称：“增列内容”）适用本项目的电子招标投标活动，若增列内容与招标文件其他章节内容有冲突，应以增列内容为准：</w:t>
            </w:r>
          </w:p>
          <w:p>
            <w:pPr>
              <w:pStyle w:val="10"/>
              <w:keepNext w:val="0"/>
              <w:keepLines w:val="0"/>
              <w:pageBreakBefore w:val="0"/>
              <w:widowControl/>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①电子招标投标活动的具体操作流程以福建省政府采购网上公开信息系统设定的为准。</w:t>
            </w:r>
          </w:p>
          <w:p>
            <w:pPr>
              <w:pStyle w:val="10"/>
              <w:keepNext w:val="0"/>
              <w:keepLines w:val="0"/>
              <w:pageBreakBefore w:val="0"/>
              <w:widowControl/>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②关于电子投标文件：</w:t>
            </w:r>
          </w:p>
          <w:p>
            <w:pPr>
              <w:pStyle w:val="10"/>
              <w:keepNext w:val="0"/>
              <w:keepLines w:val="0"/>
              <w:pageBreakBefore w:val="0"/>
              <w:widowControl/>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a.投标人应按照福建省政府采购网上公开信息系统设定的评审节点编制电子投标文件，否则资格审查小组、评标委员会将按照不利于投标人的内容进行认定。</w:t>
            </w:r>
          </w:p>
          <w:p>
            <w:pPr>
              <w:pStyle w:val="10"/>
              <w:keepNext w:val="0"/>
              <w:keepLines w:val="0"/>
              <w:pageBreakBefore w:val="0"/>
              <w:widowControl/>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b.投标人应在投标截止时间前按照福建省政府采购网上公开信息系统设定的操作流程将电子投标文件1份上传至福建省政府采购网上公开信息系统。电子投标文件的分项报价一览表、投标客户端的分项报价一览表应保持一致，并以投标客户端的分项报价一览表为准。</w:t>
            </w:r>
          </w:p>
          <w:p>
            <w:pPr>
              <w:pStyle w:val="10"/>
              <w:keepNext w:val="0"/>
              <w:keepLines w:val="0"/>
              <w:pageBreakBefore w:val="0"/>
              <w:widowControl/>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③关于证明材料或资料：</w:t>
            </w:r>
          </w:p>
          <w:p>
            <w:pPr>
              <w:pStyle w:val="10"/>
              <w:keepNext w:val="0"/>
              <w:keepLines w:val="0"/>
              <w:pageBreakBefore w:val="0"/>
              <w:widowControl/>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a.招标文件要求原件的，投标人在电子投标文件中可提供复印件（含扫描件），但同时应准备好原件备查（未能在规定时间内提供原件核查的，将按不利于投标人进行评审）；招标文件要求复印件的，投标人在电子投标文件中提供原件、复印件（含扫描件）皆可；招标文件对原件、复印件未作要求的，投标人在电子投标文件中提供原件、复印件（含扫描件）皆可。</w:t>
            </w:r>
          </w:p>
          <w:p>
            <w:pPr>
              <w:pStyle w:val="10"/>
              <w:keepNext w:val="0"/>
              <w:keepLines w:val="0"/>
              <w:pageBreakBefore w:val="0"/>
              <w:widowControl/>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b.若投标人提供注明“复印件无效”或“复印无效”的证明材料或资料，应结合上文a条款进行判定，若招标文件未要求投标人提供原件，投标人提供原件，复印件（含扫描件）均视为满足招标文件要求。</w:t>
            </w:r>
          </w:p>
          <w:p>
            <w:pPr>
              <w:pStyle w:val="10"/>
              <w:keepNext w:val="0"/>
              <w:keepLines w:val="0"/>
              <w:pageBreakBefore w:val="0"/>
              <w:widowControl/>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④关于“全称”、“投标人代表签字”及“加盖单位公章”：</w:t>
            </w:r>
          </w:p>
          <w:p>
            <w:pPr>
              <w:pStyle w:val="10"/>
              <w:keepNext w:val="0"/>
              <w:keepLines w:val="0"/>
              <w:pageBreakBefore w:val="0"/>
              <w:widowControl/>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a.在电子投标文件中，涉及“全称”和“投标人代表签字”的内容可使用打字录入方式完成。</w:t>
            </w:r>
          </w:p>
          <w:p>
            <w:pPr>
              <w:pStyle w:val="10"/>
              <w:keepNext w:val="0"/>
              <w:keepLines w:val="0"/>
              <w:pageBreakBefore w:val="0"/>
              <w:widowControl/>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b.在电子投标文件中，涉及“加盖单位公章”的内容应使用投标人的CA证书完成，否则投标无效。</w:t>
            </w:r>
          </w:p>
          <w:p>
            <w:pPr>
              <w:pStyle w:val="10"/>
              <w:keepNext w:val="0"/>
              <w:keepLines w:val="0"/>
              <w:pageBreakBefore w:val="0"/>
              <w:widowControl/>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c.在电子投标文件中，若投标人按照本增列内容第④点第b项规定加盖其单位公章，则出现无全称、或投标人代表未签字等情形，不视为投标无效。</w:t>
            </w:r>
          </w:p>
          <w:p>
            <w:pPr>
              <w:pStyle w:val="10"/>
              <w:keepNext w:val="0"/>
              <w:keepLines w:val="0"/>
              <w:pageBreakBefore w:val="0"/>
              <w:widowControl/>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⑤关于投标人的CA证书：</w:t>
            </w:r>
          </w:p>
          <w:p>
            <w:pPr>
              <w:pStyle w:val="10"/>
              <w:keepNext w:val="0"/>
              <w:keepLines w:val="0"/>
              <w:pageBreakBefore w:val="0"/>
              <w:widowControl/>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a.投标人的CA证书应在系统规定时间内使用CA证书进行电子投标文件的解密操作，逾期未解密的视为放弃投标。</w:t>
            </w:r>
          </w:p>
          <w:p>
            <w:pPr>
              <w:pStyle w:val="10"/>
              <w:keepNext w:val="0"/>
              <w:keepLines w:val="0"/>
              <w:pageBreakBefore w:val="0"/>
              <w:widowControl/>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b.投标人的CA证书可采用信封（包括但不限于：信封、档案袋、文件袋等）作为外包装进行单独包装。外包装密封、不密封皆可。</w:t>
            </w:r>
          </w:p>
          <w:p>
            <w:pPr>
              <w:pStyle w:val="10"/>
              <w:keepNext w:val="0"/>
              <w:keepLines w:val="0"/>
              <w:pageBreakBefore w:val="0"/>
              <w:widowControl/>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c.投标人的CA证书或外包装应标记“项目名称、项目编号、投标人的全称”等内容，以方便识别、使用。</w:t>
            </w:r>
          </w:p>
          <w:p>
            <w:pPr>
              <w:pStyle w:val="10"/>
              <w:keepNext w:val="0"/>
              <w:keepLines w:val="0"/>
              <w:pageBreakBefore w:val="0"/>
              <w:widowControl/>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d.投标人的CA证书应能正常、有效使用，否则产生不利后果由投标人承担责任。</w:t>
            </w:r>
          </w:p>
          <w:p>
            <w:pPr>
              <w:pStyle w:val="10"/>
              <w:keepNext w:val="0"/>
              <w:keepLines w:val="0"/>
              <w:pageBreakBefore w:val="0"/>
              <w:widowControl/>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⑥关于投标截止时间过后</w:t>
            </w:r>
          </w:p>
          <w:p>
            <w:pPr>
              <w:pStyle w:val="10"/>
              <w:keepNext w:val="0"/>
              <w:keepLines w:val="0"/>
              <w:pageBreakBefore w:val="0"/>
              <w:widowControl/>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a.未按招标文件规定提交投标保证金的，其投标将按无效投标处理。</w:t>
            </w:r>
          </w:p>
          <w:p>
            <w:pPr>
              <w:pStyle w:val="10"/>
              <w:keepNext w:val="0"/>
              <w:keepLines w:val="0"/>
              <w:pageBreakBefore w:val="0"/>
              <w:widowControl/>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b.有下列情形之一的，其投标无效,其保证金不予退还：</w:t>
            </w:r>
          </w:p>
          <w:p>
            <w:pPr>
              <w:pStyle w:val="10"/>
              <w:keepNext w:val="0"/>
              <w:keepLines w:val="0"/>
              <w:pageBreakBefore w:val="0"/>
              <w:widowControl/>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b1不同投标人的电子投标文件具有相同内部识别码；</w:t>
            </w:r>
          </w:p>
          <w:p>
            <w:pPr>
              <w:pStyle w:val="10"/>
              <w:keepNext w:val="0"/>
              <w:keepLines w:val="0"/>
              <w:pageBreakBefore w:val="0"/>
              <w:widowControl/>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b2不同投标人的投标保证金从同一单位或个人的账户转出；</w:t>
            </w:r>
          </w:p>
          <w:p>
            <w:pPr>
              <w:pStyle w:val="10"/>
              <w:keepNext w:val="0"/>
              <w:keepLines w:val="0"/>
              <w:pageBreakBefore w:val="0"/>
              <w:widowControl/>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b3投标人的投标保证金同一采购包下有其他投标人提交的投标保证金；</w:t>
            </w:r>
          </w:p>
          <w:p>
            <w:pPr>
              <w:pStyle w:val="10"/>
              <w:keepNext w:val="0"/>
              <w:keepLines w:val="0"/>
              <w:pageBreakBefore w:val="0"/>
              <w:widowControl/>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b4不同投标人存在串通投标的其他情形。</w:t>
            </w:r>
          </w:p>
          <w:p>
            <w:pPr>
              <w:pStyle w:val="10"/>
              <w:keepNext w:val="0"/>
              <w:keepLines w:val="0"/>
              <w:pageBreakBefore w:val="0"/>
              <w:widowControl/>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⑦接受联合体投标且投标人为联合体的，投标人应由“联合体牵头方”完成福建省政府采购网上公开信息系统设定的具体操作流程（包括但不限于：招标文件获取、提交投标保证金、编制电子投标文件等）。</w:t>
            </w:r>
          </w:p>
          <w:p>
            <w:pPr>
              <w:pStyle w:val="10"/>
              <w:keepNext w:val="0"/>
              <w:keepLines w:val="0"/>
              <w:pageBreakBefore w:val="0"/>
              <w:widowControl/>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⑧其他：</w:t>
            </w:r>
          </w:p>
          <w:p>
            <w:pPr>
              <w:pStyle w:val="10"/>
              <w:keepNext w:val="0"/>
              <w:keepLines w:val="0"/>
              <w:pageBreakBefore w:val="0"/>
              <w:widowControl/>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1.本项目允许投标人进行远程开标，投标人无须到现场参与开标：a.通过远程参与开标流程的投标人，投标人可远程线上解密（相关操作手册可查看福建省政府采购网首页操作指南），投标人选择远程线上解密的，无须将CA证书送至开标地点。b.投标人不到开标现场的，请在开标时自行登录采购系统，线上参与开标流程，并按规定在相应时段对投标文件进行远程解密、远程签章。c.投标人应确保自身设施、设备、网络环境状况良好，在操作过程中因投标人自身原因造成无法正常观看开标流程、远程解密或签章的，后果由投标人自行承担。d.在规定的时间内正确提交电子投标文件的投标人在开标时将由系统判定签到情况，投标人应在远程解密开启后在规定时间内使用CA数字证书进行投标文件的解密操作，逾期未解密的视为自行放弃投标。e.开标结束后，投标人应当对开标结果进行签章，并在远程签章开放后的规定时间内完成，逾期未签章的视为认同开标结果。f.远程解密及远程签章的开放起始时间均在开标过程中临时开启，远程解密环节的解密时限规定为30分钟，远程签章环节的签章时限规定为10分钟，请投标人务必密切关注实时开标流程，并根据流程在系统内按时操作，否则产生的后果由投标人自行承担。</w:t>
            </w:r>
          </w:p>
        </w:tc>
      </w:tr>
    </w:tbl>
    <w:p>
      <w:pPr>
        <w:pStyle w:val="10"/>
        <w:shd w:val="clear"/>
        <w:rPr>
          <w:rFonts w:hint="eastAsia" w:ascii="宋体" w:hAnsi="宋体" w:eastAsia="宋体" w:cs="宋体"/>
          <w:color w:val="auto"/>
          <w:sz w:val="24"/>
          <w:szCs w:val="24"/>
          <w:highlight w:val="none"/>
        </w:rPr>
      </w:pPr>
    </w:p>
    <w:p>
      <w:pPr>
        <w:pStyle w:val="10"/>
        <w:shd w:val="clear"/>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 xml:space="preserve"> </w:t>
      </w:r>
    </w:p>
    <w:p>
      <w:pPr>
        <w:shd w:val="clea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br w:type="page"/>
      </w:r>
    </w:p>
    <w:p>
      <w:pPr>
        <w:pStyle w:val="10"/>
        <w:shd w:val="clear"/>
        <w:jc w:val="center"/>
        <w:rPr>
          <w:rFonts w:hint="eastAsia" w:ascii="宋体" w:hAnsi="宋体" w:eastAsia="宋体" w:cs="宋体"/>
          <w:color w:val="auto"/>
          <w:sz w:val="28"/>
          <w:szCs w:val="28"/>
          <w:highlight w:val="none"/>
        </w:rPr>
      </w:pPr>
      <w:r>
        <w:rPr>
          <w:rFonts w:hint="eastAsia" w:ascii="宋体" w:hAnsi="宋体" w:eastAsia="宋体" w:cs="宋体"/>
          <w:b/>
          <w:color w:val="auto"/>
          <w:sz w:val="28"/>
          <w:szCs w:val="28"/>
          <w:highlight w:val="none"/>
        </w:rPr>
        <w:t>第三章 投标人须知</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一、总则</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1、适用范围</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1.1适用于招标文件载明项目的政府采购活动（以下简称：“本次采购活动”）。</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2、定义</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2.1“采购标的”指招标文件载明的需要采购的货物或服务。</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2.2“潜在投标人”指按照招标文件第一章第7条规定获取招标文件且有意向参加本项目投标的供应商。</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2.3“投标人”指按照招标文件第一章第7条规定获取招标文件并参加本项目投标的供应商。</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2.4“单位负责人”指单位法定代表人或法律、法规规定代表单位行使职权的主要负责人。</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2.5“投标人代表”指投标人的单位负责人或“单位负责人授权书”中载明的接受授权方。</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二、投标人</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3、合格投标人</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3.1一般规定</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（1）投标人应遵守政府采购法及实施条例、政府采购招投标管理办法、政府采购质疑和投诉办法及财政部、福建省财政厅有关政府采购文件的规定，同时还应遵守有关法律、法规和规章的强制性规定。</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（2）投标人的资格要求：详见招标文件第一章。</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3.2若本项目接受联合体投标且投标人为联合体，则联合体各方应遵守本章第3.1条规定，同时还应遵守下列规定：</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（1）联合体各方应提交联合体协议，联合体协议应符合招标文件规定。</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（2）联合体各方不得再单独参加或与其他供应商另外组成联合体参加同一合同项下的投标。</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（3）联合体各方应共同与采购人签订政府采购合同，就政府采购合同约定的事项对采购人承担连带责任。</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4）项目如涉及资质要求，该部分工作内容应由联合体中符合该资质要求的供应商承担，联合体协议及签订的采购合同应符合这一要求；联合体中有同类资质的供应商按照联合体分工承担相同工作的，应当按照资质等级较低的供应商确定资质等级。</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（5）联合体一方放弃中标的，视为联合体整体放弃中标，联合体各方承担连带责任。</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（6）如本项目不接受联合体投标而投标人为联合体的，或者本项目接受联合体投标但投标人组成的联合体不符合本章第3.2条规定的，投标无效。</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4、投标费用</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4.1除招标文件另有规定外，投标人应自行承担其参加本项目投标所涉及的一切费用。</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三、招标</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5、招标文件</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5.1招标文件由下述部分组成：</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（1）投标邀请</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（2）投标人须知前附表（表1、2）</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（3）投标人须知</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（4）资格审查与评标</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（5）招标内容及要求</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（6）政府采购合同（参考文本）</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（7）电子投标文件格式</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（8）按照招标文件规定作为招标文件组成部分的其他内容（若有）</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5.2招标文件的澄清或修改</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w:t>
      </w:r>
      <w:r>
        <w:rPr>
          <w:rFonts w:hint="eastAsia" w:ascii="宋体" w:hAnsi="宋体" w:eastAsia="宋体" w:cs="宋体"/>
          <w:b w:val="0"/>
          <w:bCs/>
          <w:color w:val="auto"/>
          <w:sz w:val="24"/>
          <w:szCs w:val="24"/>
          <w:highlight w:val="none"/>
          <w:lang w:eastAsia="zh-CN"/>
        </w:rPr>
        <w:t>福建省宏通项目管理有限公司</w:t>
      </w:r>
      <w:r>
        <w:rPr>
          <w:rFonts w:hint="eastAsia" w:ascii="宋体" w:hAnsi="宋体" w:eastAsia="宋体" w:cs="宋体"/>
          <w:b w:val="0"/>
          <w:bCs/>
          <w:color w:val="auto"/>
          <w:sz w:val="24"/>
          <w:szCs w:val="24"/>
          <w:highlight w:val="none"/>
        </w:rPr>
        <w:t>可对已发出的招标文件进行必要的澄清或修改，但不得对招标文件载明的采购标的和投标人的资格要求进行改变。</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（2）除本章第5.2条第（3）款规定情形外，澄清或修改的内容可能影响电子投标文件编制的，</w:t>
      </w:r>
      <w:r>
        <w:rPr>
          <w:rFonts w:hint="eastAsia" w:ascii="宋体" w:hAnsi="宋体" w:eastAsia="宋体" w:cs="宋体"/>
          <w:b w:val="0"/>
          <w:bCs/>
          <w:color w:val="auto"/>
          <w:sz w:val="24"/>
          <w:szCs w:val="24"/>
          <w:highlight w:val="none"/>
          <w:lang w:eastAsia="zh-CN"/>
        </w:rPr>
        <w:t>福建省宏通项目管理有限公司</w:t>
      </w:r>
      <w:r>
        <w:rPr>
          <w:rFonts w:hint="eastAsia" w:ascii="宋体" w:hAnsi="宋体" w:eastAsia="宋体" w:cs="宋体"/>
          <w:b w:val="0"/>
          <w:bCs/>
          <w:color w:val="auto"/>
          <w:sz w:val="24"/>
          <w:szCs w:val="24"/>
          <w:highlight w:val="none"/>
        </w:rPr>
        <w:t>将在投标截止时间至少15个日历日前，在招标文件载明的指定媒体以更正公告的形式发布澄清或修改的内容。不足15个日历日的，</w:t>
      </w:r>
      <w:r>
        <w:rPr>
          <w:rFonts w:hint="eastAsia" w:ascii="宋体" w:hAnsi="宋体" w:eastAsia="宋体" w:cs="宋体"/>
          <w:b w:val="0"/>
          <w:bCs/>
          <w:color w:val="auto"/>
          <w:sz w:val="24"/>
          <w:szCs w:val="24"/>
          <w:highlight w:val="none"/>
          <w:lang w:eastAsia="zh-CN"/>
        </w:rPr>
        <w:t>福建省宏通项目管理有限公司</w:t>
      </w:r>
      <w:r>
        <w:rPr>
          <w:rFonts w:hint="eastAsia" w:ascii="宋体" w:hAnsi="宋体" w:eastAsia="宋体" w:cs="宋体"/>
          <w:b w:val="0"/>
          <w:bCs/>
          <w:color w:val="auto"/>
          <w:sz w:val="24"/>
          <w:szCs w:val="24"/>
          <w:highlight w:val="none"/>
        </w:rPr>
        <w:t>将顺延投标截止时间及开标时间，</w:t>
      </w:r>
      <w:r>
        <w:rPr>
          <w:rFonts w:hint="eastAsia" w:ascii="宋体" w:hAnsi="宋体" w:eastAsia="宋体" w:cs="宋体"/>
          <w:b w:val="0"/>
          <w:bCs/>
          <w:color w:val="auto"/>
          <w:sz w:val="24"/>
          <w:szCs w:val="24"/>
          <w:highlight w:val="none"/>
          <w:lang w:eastAsia="zh-CN"/>
        </w:rPr>
        <w:t>福建省宏通项目管理有限公司</w:t>
      </w:r>
      <w:r>
        <w:rPr>
          <w:rFonts w:hint="eastAsia" w:ascii="宋体" w:hAnsi="宋体" w:eastAsia="宋体" w:cs="宋体"/>
          <w:b w:val="0"/>
          <w:bCs/>
          <w:color w:val="auto"/>
          <w:sz w:val="24"/>
          <w:szCs w:val="24"/>
          <w:highlight w:val="none"/>
        </w:rPr>
        <w:t>和投标人受原投标截止时间及开标时间制约的所有权利和义务均延长至新的投标截止时间及开标时间。</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（3）澄清或修改的内容可能改变招标文件载明的采购标的和投标人的资格要求的，本次采购活动结束，</w:t>
      </w:r>
      <w:r>
        <w:rPr>
          <w:rFonts w:hint="eastAsia" w:ascii="宋体" w:hAnsi="宋体" w:eastAsia="宋体" w:cs="宋体"/>
          <w:b w:val="0"/>
          <w:bCs/>
          <w:color w:val="auto"/>
          <w:sz w:val="24"/>
          <w:szCs w:val="24"/>
          <w:highlight w:val="none"/>
          <w:lang w:eastAsia="zh-CN"/>
        </w:rPr>
        <w:t>福建省宏通项目管理有限公司</w:t>
      </w:r>
      <w:r>
        <w:rPr>
          <w:rFonts w:hint="eastAsia" w:ascii="宋体" w:hAnsi="宋体" w:eastAsia="宋体" w:cs="宋体"/>
          <w:b w:val="0"/>
          <w:bCs/>
          <w:color w:val="auto"/>
          <w:sz w:val="24"/>
          <w:szCs w:val="24"/>
          <w:highlight w:val="none"/>
        </w:rPr>
        <w:t>将依法组织后续采购活动（包括但不限于：重新招标、采用其他方式采购等）。</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6、现场考察或开标前答疑会</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6.1是否组织现场考察或召开开标前答疑会：详见招标文件第二章。</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7、更正公告</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7.1若</w:t>
      </w:r>
      <w:r>
        <w:rPr>
          <w:rFonts w:hint="eastAsia" w:ascii="宋体" w:hAnsi="宋体" w:eastAsia="宋体" w:cs="宋体"/>
          <w:b w:val="0"/>
          <w:bCs/>
          <w:color w:val="auto"/>
          <w:sz w:val="24"/>
          <w:szCs w:val="24"/>
          <w:highlight w:val="none"/>
          <w:lang w:eastAsia="zh-CN"/>
        </w:rPr>
        <w:t>福建省宏通项目管理有限公司</w:t>
      </w:r>
      <w:r>
        <w:rPr>
          <w:rFonts w:hint="eastAsia" w:ascii="宋体" w:hAnsi="宋体" w:eastAsia="宋体" w:cs="宋体"/>
          <w:b w:val="0"/>
          <w:bCs/>
          <w:color w:val="auto"/>
          <w:sz w:val="24"/>
          <w:szCs w:val="24"/>
          <w:highlight w:val="none"/>
        </w:rPr>
        <w:t>发布更正公告，则更正公告及其所发布的内容或信息（包括但不限于：招标文件的澄清或修改、现场考察或答疑会的有关事宜等）作为招标文件组成部分，对投标人具有约束力。</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7.2更正公告作为</w:t>
      </w:r>
      <w:r>
        <w:rPr>
          <w:rFonts w:hint="eastAsia" w:ascii="宋体" w:hAnsi="宋体" w:eastAsia="宋体" w:cs="宋体"/>
          <w:b w:val="0"/>
          <w:bCs/>
          <w:color w:val="auto"/>
          <w:sz w:val="24"/>
          <w:szCs w:val="24"/>
          <w:highlight w:val="none"/>
          <w:lang w:eastAsia="zh-CN"/>
        </w:rPr>
        <w:t>福建省宏通项目管理有限公司</w:t>
      </w:r>
      <w:r>
        <w:rPr>
          <w:rFonts w:hint="eastAsia" w:ascii="宋体" w:hAnsi="宋体" w:eastAsia="宋体" w:cs="宋体"/>
          <w:b w:val="0"/>
          <w:bCs/>
          <w:color w:val="auto"/>
          <w:sz w:val="24"/>
          <w:szCs w:val="24"/>
          <w:highlight w:val="none"/>
        </w:rPr>
        <w:t>通知所有潜在投标人的书面形式。</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8、终止公告</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8.1若出现因重大变故导致采购任务取消情形，</w:t>
      </w:r>
      <w:r>
        <w:rPr>
          <w:rFonts w:hint="eastAsia" w:ascii="宋体" w:hAnsi="宋体" w:eastAsia="宋体" w:cs="宋体"/>
          <w:b w:val="0"/>
          <w:bCs/>
          <w:color w:val="auto"/>
          <w:sz w:val="24"/>
          <w:szCs w:val="24"/>
          <w:highlight w:val="none"/>
          <w:lang w:eastAsia="zh-CN"/>
        </w:rPr>
        <w:t>福建省宏通项目管理有限公司</w:t>
      </w:r>
      <w:r>
        <w:rPr>
          <w:rFonts w:hint="eastAsia" w:ascii="宋体" w:hAnsi="宋体" w:eastAsia="宋体" w:cs="宋体"/>
          <w:b w:val="0"/>
          <w:bCs/>
          <w:color w:val="auto"/>
          <w:sz w:val="24"/>
          <w:szCs w:val="24"/>
          <w:highlight w:val="none"/>
        </w:rPr>
        <w:t>可终止招标并发布终止公告。</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8.2终止公告作为</w:t>
      </w:r>
      <w:r>
        <w:rPr>
          <w:rFonts w:hint="eastAsia" w:ascii="宋体" w:hAnsi="宋体" w:eastAsia="宋体" w:cs="宋体"/>
          <w:b w:val="0"/>
          <w:bCs/>
          <w:color w:val="auto"/>
          <w:sz w:val="24"/>
          <w:szCs w:val="24"/>
          <w:highlight w:val="none"/>
          <w:lang w:eastAsia="zh-CN"/>
        </w:rPr>
        <w:t>福建省宏通项目管理有限公司</w:t>
      </w:r>
      <w:r>
        <w:rPr>
          <w:rFonts w:hint="eastAsia" w:ascii="宋体" w:hAnsi="宋体" w:eastAsia="宋体" w:cs="宋体"/>
          <w:b w:val="0"/>
          <w:bCs/>
          <w:color w:val="auto"/>
          <w:sz w:val="24"/>
          <w:szCs w:val="24"/>
          <w:highlight w:val="none"/>
        </w:rPr>
        <w:t>通知所有潜在投标人的书面形式。</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四、投标</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9、投标</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9.1投标人可对招标文件载明的全部或部分采购包进行投标。</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9.2投标人应对同一个采购包内的所有内容进行完整投标，否则投标无效。</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9.3投标人代表只能接受一个投标人的授权参加投标，否则投标无效。</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9.4单位负责人为同一人或存在直接控股、管理关系的不同供应商，不得同时参加同一合同项下的投标，否则投标无效。</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9.5为本项目提供整体设计、规范编制或项目管理、监理、检测等服务的供应商，不得参加本项目除整体设计、规范编制和项目管理、监理、检测等服务外的采购活动，否则投标无效。</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9.6列入失信被执行人、重大税收违法案件当事人名单、政府采购严重违法失信行为记录名单及其他不符合政府采购法第二十二条规定条件的供应商，不得参加投标，否则投标无效。</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9.7有下列情形之一的，视为投标人串通投标，其投标无效：</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（1）不同投标人的电子投标文件由同一单位或个人编制；</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（2）不同投标人委托同一单位或个人办理投标事宜；</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（3）不同投标人的电子投标文件载明的项目管理成员或联系人员为同一人；</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（4）不同投标人的电子投标文件异常一致或投标报价呈规律性差异；</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（5）不同投标人的电子投标文件相互混装；</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（6）不同投标人的投标保证金从同一单位或个人的账户转出；</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（7）有关法律、法规和规章及招标文件规定的其他串通投标情形。</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10、电子投标文件</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10.1电子投标文件的编制</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（1）投标人应先仔细阅读招标文件的全部内容后，再进行电子投标文件的编制。</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（2）电子投标文件应按照本章第10.2条规定编制其组成部分。</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（3）电子投标文件应满足招标文件提出的实质性要求和条件，并保证其所提交的全部资料是不可割离且真实、有效、准确、完整和不具有任何误导性的，否则造成不利后果由投标人承担责任。</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10.2电子投标文件由下述部分组成：</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（1）资格及资信证明部分</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①投标函</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②投标人的资格及资信证明文件</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③投标保证金</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（2）报价部分</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①开标一览表</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②投标分项报价表</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③招标文件规定的价格扣除证明材料（若有）</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④招标文件规定的加分证明材料（若有）</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（3）技术商务部分</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①标的说明一览表</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②技术和服务要求响应表</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③商务条件响应表</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④投标人提交的其他资料（若有）</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⑤招标文件规定作为电子投标文件组成部分的其他内容（若有）</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10.3电子投标文件的语言</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（1）除招标文件另有规定外，电子投标文件应使用中文文本，若有不同文本，以中文文本为准。</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电子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10.4投标文件的份数：详见招标文件第二章。</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10.5电子投标文件的格式</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（1）除招标文件另有规定外，电子投标文件应使用招标文件第七章规定的格式。</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（2）除招标文件另有规定外，电子投标文件应使用不能擦去的墨料或墨水打印、书写或复印。</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（3）除招标文件另有规定外，电子投标文件应使用人民币作为计量货币。</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（4）除招标文件另有规定外，签署、盖章应遵守下列规定：</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①电子投标文件应加盖投标人的单位公章。若投标人代表为单位授权的委托代理人，应提供“单位授权书”。</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②电子投标文件应没有涂改或行间插字，除非这些改动是根据</w:t>
      </w:r>
      <w:r>
        <w:rPr>
          <w:rFonts w:hint="eastAsia" w:ascii="宋体" w:hAnsi="宋体" w:eastAsia="宋体" w:cs="宋体"/>
          <w:b w:val="0"/>
          <w:bCs/>
          <w:color w:val="auto"/>
          <w:sz w:val="24"/>
          <w:szCs w:val="24"/>
          <w:highlight w:val="none"/>
          <w:lang w:eastAsia="zh-CN"/>
        </w:rPr>
        <w:t>福建省宏通项目管理有限公司</w:t>
      </w:r>
      <w:r>
        <w:rPr>
          <w:rFonts w:hint="eastAsia" w:ascii="宋体" w:hAnsi="宋体" w:eastAsia="宋体" w:cs="宋体"/>
          <w:b w:val="0"/>
          <w:bCs/>
          <w:color w:val="auto"/>
          <w:sz w:val="24"/>
          <w:szCs w:val="24"/>
          <w:highlight w:val="none"/>
        </w:rPr>
        <w:t>的指示进行的，或是为改正投标人造成的应修改的错误而进行的。若有前述改动，应按照下列规定之一对改动处进行处理：</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a.投标人代表签字确认；</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b.加盖投标人的单位公章或校正章。</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10.6投标报价</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（1）投标报价超出最高限价将导致投标无效。</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（2）最高限价由采购人根据价格测算情况，在预算金额的额度内合理设定。最高限价不得超出预算金额。</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（3）除招标文件另有规定外，电子投标文件不能出现任何选择性的投标报价，即每一个采购包和品目号的采购标的都只能有一个投标报价。任何选择性的投标报价将导致投标无效。</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10.7分包</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（1）是否允许中标人将本项目的非主体、非关键性工作进行分包：详见招标文件第二章。</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若允许中标人将本项目的非主体、非关键性工作进行分包且投标人拟在中标后进行分包，则应在电子投标文件中提供分包意向协议，同时投标人应在电子投标文件中载明分包承担主体，分包承担主体应具备相应资质条件（若有）且不得再次分包。</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（3）招标文件允许中标人将非主体、非关键性工作进行分包的项目，有下列情形之一的，中标人不得分包：</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①电子投标文件中未载明分包承担主体；</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②电子投标文件载明的分包承担主体不具备相应资质条件；</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③电子投标文件载明的分包承担主体拟再次分包；</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④享受中小企业扶持政策获得政府采购合同的，小微企业不得将合同分包给大中型企业，中型企业不得将合同分包给大型企业。</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10.8投标有效期</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（1）招标文件载明的投标有效期：详见招标文件第二章。</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（2）电子投标文件承诺的投标有效期不得少于招标文件载明的投标有效期，否则投标无效。</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（3）根据本次采购活动的需要，</w:t>
      </w:r>
      <w:r>
        <w:rPr>
          <w:rFonts w:hint="eastAsia" w:ascii="宋体" w:hAnsi="宋体" w:eastAsia="宋体" w:cs="宋体"/>
          <w:b w:val="0"/>
          <w:bCs/>
          <w:color w:val="auto"/>
          <w:sz w:val="24"/>
          <w:szCs w:val="24"/>
          <w:highlight w:val="none"/>
          <w:lang w:eastAsia="zh-CN"/>
        </w:rPr>
        <w:t>福建省宏通项目管理有限公司</w:t>
      </w:r>
      <w:r>
        <w:rPr>
          <w:rFonts w:hint="eastAsia" w:ascii="宋体" w:hAnsi="宋体" w:eastAsia="宋体" w:cs="宋体"/>
          <w:b w:val="0"/>
          <w:bCs/>
          <w:color w:val="auto"/>
          <w:sz w:val="24"/>
          <w:szCs w:val="24"/>
          <w:highlight w:val="none"/>
        </w:rPr>
        <w:t>可于投标有效期届满之前书面要求投标人延长投标有效期，投标人应在</w:t>
      </w:r>
      <w:r>
        <w:rPr>
          <w:rFonts w:hint="eastAsia" w:ascii="宋体" w:hAnsi="宋体" w:eastAsia="宋体" w:cs="宋体"/>
          <w:b w:val="0"/>
          <w:bCs/>
          <w:color w:val="auto"/>
          <w:sz w:val="24"/>
          <w:szCs w:val="24"/>
          <w:highlight w:val="none"/>
          <w:lang w:eastAsia="zh-CN"/>
        </w:rPr>
        <w:t>福建省宏通项目管理有限公司</w:t>
      </w:r>
      <w:r>
        <w:rPr>
          <w:rFonts w:hint="eastAsia" w:ascii="宋体" w:hAnsi="宋体" w:eastAsia="宋体" w:cs="宋体"/>
          <w:b w:val="0"/>
          <w:bCs/>
          <w:color w:val="auto"/>
          <w:sz w:val="24"/>
          <w:szCs w:val="24"/>
          <w:highlight w:val="none"/>
        </w:rPr>
        <w:t>规定的期限内以书面形式予以答复。对于延长投标有效期的要求，投标人可以拒绝也可以接受，投标人答复不明确或逾期未答复的，均视为拒绝该要求。对于接受延长投标有效期的投标人，既不要求也不允许修改电子投标文件。</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10.9投标保证金</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（1）投标保证金作为投标人按照招标文件规定履行相应投标责任、义务的约束及担保。</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（2）投标保证金的有效期应与电子投标文件承诺的投标有效期保持一致，否则投标无效。</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（3）提交</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①投标人应从其银行账户（基本存款账户）按照下列方式：公对公转账方式向招标文件载明的投标保证金账户提交投标保证金，具体金额详见招标文件第一章。</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②投标保证金应于投标截止时间前到达招标文件载明的投标保证金账户，否则视为投标保证金未提交；是否到达按照下列方式认定：以福建省政府采购网上公开信息系统记载的为准。</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③若本项目接受联合体投标且投标人为联合体，则联合体中的牵头方应按照本章第10.9条第（3）款第①、②点规定提交投标保证金。</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※除招标文件另有规定外，未按照上述规定提交投标保证金将导致资格审查不合格。</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（4）退还</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①在投标截止时间前撤回已提交的电子投标文件的投标人，其投标保证金将在</w:t>
      </w:r>
      <w:r>
        <w:rPr>
          <w:rFonts w:hint="eastAsia" w:ascii="宋体" w:hAnsi="宋体" w:eastAsia="宋体" w:cs="宋体"/>
          <w:b w:val="0"/>
          <w:bCs/>
          <w:color w:val="auto"/>
          <w:sz w:val="24"/>
          <w:szCs w:val="24"/>
          <w:highlight w:val="none"/>
          <w:lang w:eastAsia="zh-CN"/>
        </w:rPr>
        <w:t>福建省宏通项目管理有限公司</w:t>
      </w:r>
      <w:r>
        <w:rPr>
          <w:rFonts w:hint="eastAsia" w:ascii="宋体" w:hAnsi="宋体" w:eastAsia="宋体" w:cs="宋体"/>
          <w:b w:val="0"/>
          <w:bCs/>
          <w:color w:val="auto"/>
          <w:sz w:val="24"/>
          <w:szCs w:val="24"/>
          <w:highlight w:val="none"/>
        </w:rPr>
        <w:t>收到投标人书面撤回通知之日起5个工作日内退回原账户。</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②未中标人的投标保证金将在中标通知书发出之日起5个工作日内退回原账户。</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③中标人的投标保证金将在政府采购合同签订之日起5个工作日内退回原账户；合同签订之日以福建省政府采购网上公开信息系统记载的为准。</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④终止招标的，</w:t>
      </w:r>
      <w:r>
        <w:rPr>
          <w:rFonts w:hint="eastAsia" w:ascii="宋体" w:hAnsi="宋体" w:eastAsia="宋体" w:cs="宋体"/>
          <w:b w:val="0"/>
          <w:bCs/>
          <w:color w:val="auto"/>
          <w:sz w:val="24"/>
          <w:szCs w:val="24"/>
          <w:highlight w:val="none"/>
          <w:lang w:eastAsia="zh-CN"/>
        </w:rPr>
        <w:t>福建省宏通项目管理有限公司</w:t>
      </w:r>
      <w:r>
        <w:rPr>
          <w:rFonts w:hint="eastAsia" w:ascii="宋体" w:hAnsi="宋体" w:eastAsia="宋体" w:cs="宋体"/>
          <w:b w:val="0"/>
          <w:bCs/>
          <w:color w:val="auto"/>
          <w:sz w:val="24"/>
          <w:szCs w:val="24"/>
          <w:highlight w:val="none"/>
        </w:rPr>
        <w:t>将在终止公告发布之日起5个工作日内退回已收取的投标保证金及其在银行产生的孳息。</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⑤除招标文件另有规定外，质疑或投诉涉及的投标人，若投标保证金尚未退还，则待质疑或投诉处理完毕后不计利息原额退还。</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※本章第10.9条第（4）款第①、②、③点规定的投标保证金退还时限不包括因投标人自身原因导致无法及时退还而增加的时间。</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5）若出现本章第10.8条第（3）款规定情形，对于拒绝延长投标有效期的投标人，投标保证金仍可退还。对于接受延长投标有效期的投标人，相应延长投标保证金有效期，招标文件关于退还和不予退还投标保证金的规定继续适用。</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（6）有下列情形之一的，投标保证金将不予退还：</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①投标人串通投标；</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②投标人提供虚假材料；</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③投标人采取不正当手段诋毁、排挤其他投标人；</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④投标截止时间后，投标人在投标有效期内撤销电子投标文件；</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⑤招标文件规定的其他不予退还情形；</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⑥中标人有下列情形之一的：</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a.除不可抗力外，因中标人自身原因未在中标通知书要求的期限内与采购人签订政府采购合同；</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b.未按照招标文件、投标文件的约定签订政府采购合同或提交履约保证金。</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※若上述投标保证金不予退还情形给采购人（采购代理机构）造成损失，则投标人还要承担相应的赔偿责任。</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10.10电子投标文件的提交</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（1）一个投标人只能提交一个电子投标文件，并按照招标文件第一章规定在系统上完成上传、解密操作。</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10.11电子投标文件的补充、修改或撤回</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（1）投标截止时间前，投标人可对所提交的电子投标文件进行补充、修改或撤回，并书面通知</w:t>
      </w:r>
      <w:r>
        <w:rPr>
          <w:rFonts w:hint="eastAsia" w:ascii="宋体" w:hAnsi="宋体" w:eastAsia="宋体" w:cs="宋体"/>
          <w:b w:val="0"/>
          <w:bCs/>
          <w:color w:val="auto"/>
          <w:sz w:val="24"/>
          <w:szCs w:val="24"/>
          <w:highlight w:val="none"/>
          <w:lang w:eastAsia="zh-CN"/>
        </w:rPr>
        <w:t>福建省宏通项目管理有限公司</w:t>
      </w:r>
      <w:r>
        <w:rPr>
          <w:rFonts w:hint="eastAsia" w:ascii="宋体" w:hAnsi="宋体" w:eastAsia="宋体" w:cs="宋体"/>
          <w:b w:val="0"/>
          <w:bCs/>
          <w:color w:val="auto"/>
          <w:sz w:val="24"/>
          <w:szCs w:val="24"/>
          <w:highlight w:val="none"/>
        </w:rPr>
        <w:t>。</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（2）补充、修改的内容应按照本章第10.5条第（4）款规定进行签署、盖章，并按照本章第10.10条规定提交，否则将被拒收。</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※按照上述规定提交的补充、修改内容作为电子投标文件组成部分。</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10.12除招标文件另有规定外，有下列情形之一的，投标无效：</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（1）电子投标文件未按照招标文件要求签署、盖章；</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（2）不符合招标文件中规定的资格要求；</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（3）投标报价超过招标文件中规定的预算金额或最高限价；</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（4）电子投标文件含有采购人不能接受的附加条件；</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（5）有关法律、法规和规章及招标文件规定的其他无效情形。</w:t>
      </w:r>
    </w:p>
    <w:p>
      <w:pPr>
        <w:pStyle w:val="10"/>
        <w:keepNext w:val="0"/>
        <w:keepLines w:val="0"/>
        <w:pageBreakBefore w:val="0"/>
        <w:widowControl/>
        <w:shd w:val="clear"/>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五、开标</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11、开标</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11.1</w:t>
      </w:r>
      <w:r>
        <w:rPr>
          <w:rFonts w:hint="eastAsia" w:ascii="宋体" w:hAnsi="宋体" w:eastAsia="宋体" w:cs="宋体"/>
          <w:b w:val="0"/>
          <w:bCs/>
          <w:color w:val="auto"/>
          <w:sz w:val="24"/>
          <w:szCs w:val="24"/>
          <w:highlight w:val="none"/>
          <w:lang w:eastAsia="zh-CN"/>
        </w:rPr>
        <w:t>福建省宏通项目管理有限公司</w:t>
      </w:r>
      <w:r>
        <w:rPr>
          <w:rFonts w:hint="eastAsia" w:ascii="宋体" w:hAnsi="宋体" w:eastAsia="宋体" w:cs="宋体"/>
          <w:b w:val="0"/>
          <w:bCs/>
          <w:color w:val="auto"/>
          <w:sz w:val="24"/>
          <w:szCs w:val="24"/>
          <w:highlight w:val="none"/>
        </w:rPr>
        <w:t>将在招标文件载明的开标时间及地点主持召开开标会，并邀请投标人参加。</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11.2开标会的主持人、唱标人、记录人及其他工作人员（若有）均由</w:t>
      </w:r>
      <w:r>
        <w:rPr>
          <w:rFonts w:hint="eastAsia" w:ascii="宋体" w:hAnsi="宋体" w:eastAsia="宋体" w:cs="宋体"/>
          <w:b w:val="0"/>
          <w:bCs/>
          <w:color w:val="auto"/>
          <w:sz w:val="24"/>
          <w:szCs w:val="24"/>
          <w:highlight w:val="none"/>
          <w:lang w:eastAsia="zh-CN"/>
        </w:rPr>
        <w:t>福建省宏通项目管理有限公司</w:t>
      </w:r>
      <w:r>
        <w:rPr>
          <w:rFonts w:hint="eastAsia" w:ascii="宋体" w:hAnsi="宋体" w:eastAsia="宋体" w:cs="宋体"/>
          <w:b w:val="0"/>
          <w:bCs/>
          <w:color w:val="auto"/>
          <w:sz w:val="24"/>
          <w:szCs w:val="24"/>
          <w:highlight w:val="none"/>
        </w:rPr>
        <w:t>派出，现场监督人员（若有）可由有关方面派出。</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11.3本项目的开标环节，投标人可自行选择到开标现场参加开标会或者远程参加开标会。远程参与开标流程的投标人需提前在福建省政府采购网-服务专区中下载远程开标操作手册，并按照操作手册的要求参与开标会。如因投标人自身原因造成无法正常参与开标过程的，不利后果由投标人自行承担。</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11.4开标会应遵守下列规定：</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首先由主持人宣布开标会须知，然后由投标人代表对电子投标文件的加密情况进行检查，经确认无误后，由工作人员对参加现场开标会投标人的电子投标文件进行解密。通过远程参与开标流程的投标人须在系统远程解密开启后，在代理机构规定时间内使用CA数字证书进行电子投标文件的解密操作，逾期未解密的视为放弃投标。</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唱标时，唱标人将依次宣布“投标人名称”、“各投标人关于电子投标文件补充、修改或撤回的书面通知（若有）”、“各投标人的投标报价”和招标文件规定的需要宣布的其他内容（包括但不限于：开标一览表中的内容、唱标人认为需要宣布的内容等）。</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（3）唱标结束后，参加现场开标会的投标人代表应对开标记录进行签字确认，通过远程参与开标流程的投标人须在系统远程签章开启后，在系统规定时间内对开标结果进行签章确认。</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4）投标人代表对开标过程和开标记录有疑义，以及认为采购人（采购代理机构）相关工作人员有需要回避情形的，应当场或通过系统提出询问或回避申请。投标人代表未按规定提出疑义又拒绝对开标记录签字或通过系统远程签章确认的，视为投标人对开标过程和开标记录予以认可。</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（5）若投标人未到开标现场参加开标会，也未通过远程参加开标会的，视同认可开标结果。</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若出现本章第11.4条第（3）、（4）、（5）款规定情形之一，则投标人不得在开标会后就开标过程和开标记录涉及或可能涉及的有关事由（包括但不限于：“投标报价”、“电子投标文件的格式”、“电子投标文件的提交”、“电子投标文件的补充、修改或撤回”等）向</w:t>
      </w:r>
      <w:r>
        <w:rPr>
          <w:rFonts w:hint="eastAsia" w:ascii="宋体" w:hAnsi="宋体" w:eastAsia="宋体" w:cs="宋体"/>
          <w:b w:val="0"/>
          <w:bCs/>
          <w:color w:val="auto"/>
          <w:sz w:val="24"/>
          <w:szCs w:val="24"/>
          <w:highlight w:val="none"/>
          <w:lang w:eastAsia="zh-CN"/>
        </w:rPr>
        <w:t>福建省宏通项目管理有限公司</w:t>
      </w:r>
      <w:r>
        <w:rPr>
          <w:rFonts w:hint="eastAsia" w:ascii="宋体" w:hAnsi="宋体" w:eastAsia="宋体" w:cs="宋体"/>
          <w:b w:val="0"/>
          <w:bCs/>
          <w:color w:val="auto"/>
          <w:sz w:val="24"/>
          <w:szCs w:val="24"/>
          <w:highlight w:val="none"/>
        </w:rPr>
        <w:t>提出任何疑义或要求（包括质疑）。</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11.5投标截止时间后，参加投标的投标人不足三家的，不进行开标。同时，本次采购活动结束，</w:t>
      </w:r>
      <w:r>
        <w:rPr>
          <w:rFonts w:hint="eastAsia" w:ascii="宋体" w:hAnsi="宋体" w:eastAsia="宋体" w:cs="宋体"/>
          <w:b w:val="0"/>
          <w:bCs/>
          <w:color w:val="auto"/>
          <w:sz w:val="24"/>
          <w:szCs w:val="24"/>
          <w:highlight w:val="none"/>
          <w:lang w:eastAsia="zh-CN"/>
        </w:rPr>
        <w:t>福建省宏通项目管理有限公司</w:t>
      </w:r>
      <w:r>
        <w:rPr>
          <w:rFonts w:hint="eastAsia" w:ascii="宋体" w:hAnsi="宋体" w:eastAsia="宋体" w:cs="宋体"/>
          <w:b w:val="0"/>
          <w:bCs/>
          <w:color w:val="auto"/>
          <w:sz w:val="24"/>
          <w:szCs w:val="24"/>
          <w:highlight w:val="none"/>
        </w:rPr>
        <w:t>将依法组织后续采购活动（包括但不限于：重新招标、采用其他方式采购等）。</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11.6投标截止时间后撤销投标的处理</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投标截止时间后，投标人在投标有效期内撤销投标的，其撤销投标的行为无效。</w:t>
      </w:r>
    </w:p>
    <w:p>
      <w:pPr>
        <w:pStyle w:val="10"/>
        <w:keepNext w:val="0"/>
        <w:keepLines w:val="0"/>
        <w:pageBreakBefore w:val="0"/>
        <w:widowControl/>
        <w:shd w:val="clear"/>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六、中标与政府采购合同</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12、中标</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12.1本项目推荐的中标候选人家数：详见招标文件第二章。</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12.2本项目中标人的确定：详见招标文件第二章。</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12.3中标公告</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（1）中标人确定之日起2个工作日内，</w:t>
      </w:r>
      <w:r>
        <w:rPr>
          <w:rFonts w:hint="eastAsia" w:ascii="宋体" w:hAnsi="宋体" w:eastAsia="宋体" w:cs="宋体"/>
          <w:b w:val="0"/>
          <w:bCs/>
          <w:color w:val="auto"/>
          <w:sz w:val="24"/>
          <w:szCs w:val="24"/>
          <w:highlight w:val="none"/>
          <w:lang w:eastAsia="zh-CN"/>
        </w:rPr>
        <w:t>福建省宏通项目管理有限公司</w:t>
      </w:r>
      <w:r>
        <w:rPr>
          <w:rFonts w:hint="eastAsia" w:ascii="宋体" w:hAnsi="宋体" w:eastAsia="宋体" w:cs="宋体"/>
          <w:b w:val="0"/>
          <w:bCs/>
          <w:color w:val="auto"/>
          <w:sz w:val="24"/>
          <w:szCs w:val="24"/>
          <w:highlight w:val="none"/>
        </w:rPr>
        <w:t>将在招标文件载明的指定媒体以中标公告的形式发布中标结果。</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（2）中标公告的公告期限为1个工作日。</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12.4中标通知书</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（1）中标公告发布的同时，</w:t>
      </w:r>
      <w:r>
        <w:rPr>
          <w:rFonts w:hint="eastAsia" w:ascii="宋体" w:hAnsi="宋体" w:eastAsia="宋体" w:cs="宋体"/>
          <w:b w:val="0"/>
          <w:bCs/>
          <w:color w:val="auto"/>
          <w:sz w:val="24"/>
          <w:szCs w:val="24"/>
          <w:highlight w:val="none"/>
          <w:lang w:eastAsia="zh-CN"/>
        </w:rPr>
        <w:t>福建省宏通项目管理有限公司</w:t>
      </w:r>
      <w:r>
        <w:rPr>
          <w:rFonts w:hint="eastAsia" w:ascii="宋体" w:hAnsi="宋体" w:eastAsia="宋体" w:cs="宋体"/>
          <w:b w:val="0"/>
          <w:bCs/>
          <w:color w:val="auto"/>
          <w:sz w:val="24"/>
          <w:szCs w:val="24"/>
          <w:highlight w:val="none"/>
        </w:rPr>
        <w:t>将向中标人发出中标通知书。</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（2）中标通知书发出后，采购人不得违法改变中标结果，中标人无正当理由不得放弃中标。</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13、政府采购合同</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13.1签订政府采购合同应遵守政府采购法及实施条例的规定，不得对招标文件确定的事项和中标人的电子投标文件作实质性修改。采购人不得向中标人提出任何不合理的要求作为政府采购合同的签订条件。</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13.2签订时限：详见须知前附表1的13.2。</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13.3政府采购合同的履行、违约责任和解决争议的方法等适用民法典。</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13.4采购人与中标人应根据政府采购合同的约定依法履行合同义务。</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13.5政府采购合同履行过程中，采购人若需追加与合同标的相同的货物或服务，则追加采购金额不得超过原合同采购金额的10%。</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13.6中标人在政府采购合同履行过程中应遵守有关法律、法规和规章的强制性规定（即使前述强制性规定有可能在招标文件中未予列明）。</w:t>
      </w:r>
    </w:p>
    <w:p>
      <w:pPr>
        <w:pStyle w:val="10"/>
        <w:keepNext w:val="0"/>
        <w:keepLines w:val="0"/>
        <w:pageBreakBefore w:val="0"/>
        <w:widowControl/>
        <w:shd w:val="clear"/>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七、询问、质疑与投诉</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14、询问</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14.1潜在投标人或投标人对本次采购活动的有关事项若有疑问，可向</w:t>
      </w:r>
      <w:r>
        <w:rPr>
          <w:rFonts w:hint="eastAsia" w:ascii="宋体" w:hAnsi="宋体" w:eastAsia="宋体" w:cs="宋体"/>
          <w:b w:val="0"/>
          <w:bCs/>
          <w:color w:val="auto"/>
          <w:sz w:val="24"/>
          <w:szCs w:val="24"/>
          <w:highlight w:val="none"/>
          <w:lang w:eastAsia="zh-CN"/>
        </w:rPr>
        <w:t>福建省宏通项目管理有限公司</w:t>
      </w:r>
      <w:r>
        <w:rPr>
          <w:rFonts w:hint="eastAsia" w:ascii="宋体" w:hAnsi="宋体" w:eastAsia="宋体" w:cs="宋体"/>
          <w:b w:val="0"/>
          <w:bCs/>
          <w:color w:val="auto"/>
          <w:sz w:val="24"/>
          <w:szCs w:val="24"/>
          <w:highlight w:val="none"/>
        </w:rPr>
        <w:t>提出询问，</w:t>
      </w:r>
      <w:r>
        <w:rPr>
          <w:rFonts w:hint="eastAsia" w:ascii="宋体" w:hAnsi="宋体" w:eastAsia="宋体" w:cs="宋体"/>
          <w:b w:val="0"/>
          <w:bCs/>
          <w:color w:val="auto"/>
          <w:sz w:val="24"/>
          <w:szCs w:val="24"/>
          <w:highlight w:val="none"/>
          <w:lang w:eastAsia="zh-CN"/>
        </w:rPr>
        <w:t>福建省宏通项目管理有限公司</w:t>
      </w:r>
      <w:r>
        <w:rPr>
          <w:rFonts w:hint="eastAsia" w:ascii="宋体" w:hAnsi="宋体" w:eastAsia="宋体" w:cs="宋体"/>
          <w:b w:val="0"/>
          <w:bCs/>
          <w:color w:val="auto"/>
          <w:sz w:val="24"/>
          <w:szCs w:val="24"/>
          <w:highlight w:val="none"/>
        </w:rPr>
        <w:t>将按照政府采购法及实施条例的有关规定进行答复。</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15、质疑</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15.1针对同一采购程序环节的质疑应在政府采购法及实施条例的时限内一次性提出，对一个项目的不同采购包提出质疑的，应当将各采购包质疑事项集中在一份质疑函中提出，并同时符合下列条件：</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（1）对招标文件提出质疑的，质疑人应为潜在投标人，且两者的身份、名称等均应保持一致。对采购过程、结果提出质疑的，质疑人应为投标人，且两者的身份、名称等均应保持一致。</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（2）质疑人应按照招标文件第二章规定方式提交质疑函。</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（3）质疑函应包括下列主要内容：</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①质疑人的基本信息，至少包括：全称、地址、邮政编码等；</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②所质疑项目的基本信息，至少包括：项目编号、项目名称等；</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③所质疑的具体事项（以下简称：“质疑事项”）；</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④针对质疑事项提出的明确请求，前述明确请求指质疑人提出质疑的目的以及希望</w:t>
      </w:r>
      <w:r>
        <w:rPr>
          <w:rFonts w:hint="eastAsia" w:ascii="宋体" w:hAnsi="宋体" w:eastAsia="宋体" w:cs="宋体"/>
          <w:b w:val="0"/>
          <w:bCs/>
          <w:color w:val="auto"/>
          <w:sz w:val="24"/>
          <w:szCs w:val="24"/>
          <w:highlight w:val="none"/>
          <w:lang w:eastAsia="zh-CN"/>
        </w:rPr>
        <w:t>福建省宏通项目管理有限公司</w:t>
      </w:r>
      <w:r>
        <w:rPr>
          <w:rFonts w:hint="eastAsia" w:ascii="宋体" w:hAnsi="宋体" w:eastAsia="宋体" w:cs="宋体"/>
          <w:b w:val="0"/>
          <w:bCs/>
          <w:color w:val="auto"/>
          <w:sz w:val="24"/>
          <w:szCs w:val="24"/>
          <w:highlight w:val="none"/>
        </w:rPr>
        <w:t>对其质疑作出的处理结果，如：暂停招标投标活动、修改招标文件、停止或纠正违法违规行为、中标结果无效、废标、重新招标等；</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⑤针对质疑事项导致质疑人自身权益受到损害的必要证明材料，至少包括：</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a.质疑人代表的身份证明材料：</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a1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a2若本项目接受自然人投标且质疑人为自然人的，提供本人的身份证复印件。</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b.其他证明材料（即事实依据和必要的法律依据）包括但不限于下列材料：</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b1所质疑的具体事项是与自己有利害关系的证明材料；</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b2质疑函所述事实存在的证明材料，如：采购文件、采购过程或中标结果违法违规或不符合采购文件要求等证明材料；</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b3依法应终止采购程序的证明材料；</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b4应重新采购的证明材料；</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b5采购文件、采购过程或中标、成交结果损害自己合法权益的证明材料等；</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b6若质疑的具体事项按照有关法律、法规和规章规定处于保密阶段，则应提供信息或证明材料为合法或公开渠道获得的有效证据（若证据无法有效表明信息或证明材料为合法或公开渠道获得，则前述信息或证明材料视为无效）。</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⑥质疑人代表及其联系方法的信息，至少包括：姓名、手机、电子信箱、邮寄地址等。</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⑦提出质疑的日期。</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※质疑人为法人或其他组织的，质疑函应由单位负责人或委托代理人签字或盖章，并加盖投标人的单位公章。质疑人为自然人的，质疑函应由本人签字。</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15.2对不符合本章第15.1条规定的质疑，将按照下列规定进行处理：</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（1）不符合其中第（1）、（2）条规定的，书面告知质疑人不予受理及其理由。</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（2）不符合其中第（3）条规定的，书面告知质疑人修改、补充后在规定时限内重新提交质疑函。</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15.3对符合本章第15.1条规定的质疑，将按照政府采购法及实施条例、政府采购质疑和投诉办法的有关规定进行答复。</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15.4招标文件的质疑：详见招标文件第二章。</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16、投诉</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16.1若对质疑答复不满意或质疑答复未在答复期限内作出，质疑人可在答复期限届满之日起15个工作日内按照政府采购质疑和投诉办法的有关规定向招标文件第二章载明的本项目监督管理部门提起投诉。</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16.2投诉应有明确的请求和必要的证明材料，投诉的事项不得超出已质疑事项的范围。</w:t>
      </w:r>
    </w:p>
    <w:p>
      <w:pPr>
        <w:pStyle w:val="10"/>
        <w:keepNext w:val="0"/>
        <w:keepLines w:val="0"/>
        <w:pageBreakBefore w:val="0"/>
        <w:widowControl/>
        <w:shd w:val="clear"/>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八、政府采购政策</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17、政府采购政策由财政部根据国家的经济和社会发展政策并会同国家有关部委制定，包括但不限于下列具体政策要求：</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17.1进口产品指通过中国海关报关验放进入中国境内且产自关境外的产品，其中：</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（2）凡在海关特殊监管区域内企业生产或加工（包括从境外进口料件）销往境内其他地区的产品，不作为政府采购项下进口产品。</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（3）对从境外进入海关特殊监管区域，再经办理报关手续后从海关特殊监管区进入境内其他地区的产品，认定为进口产品。</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（4）招标文件列明不允许或未列明允许进口产品参加投标的，均视为拒绝进口产品参加投标。</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17.2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17.3列入国家质检总局、国家认监委《第一批信息安全产品强制性认证目录》（以下简称“信息安全产品目录”）内的信息安全产品，应获得强制性产品认证证书（即中国信息安全认证中心颁发的《中国国家信息安全产品认证证书》）和加施中国强制性认证标志。未列入信息安全产品目录的产品，不属于政府强制采购的信息安全产品范围。</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17.4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残疾人福利性单位”）亦可享受前述扶持政策。其中：</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（1）中小企业指符合下列条件的中型、小型、微型企业：</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①符合《工业和信息化部、国家统计局、国家发展和改革委员会、财政部关于印发中小企业划型标准规定的通知》（工信部联企业[2011]300号）规定的划分标准，但与大企业的负责人为同一人，或者与大企业存在直接控股、管理关系的除外；</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②符合中小企业划分标准的个体工商户，在政府采购活动中视同中小企业。</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（2）在政府采购活动中，供应商提供的货物、工程或者服务符合下列情形的，享受本办法规定的中小企业扶持政策：</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①在货物采购项目中，货物由中小企业制造，即货物由中小企业生产且使用该中小企业商号或者注册商标；</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②在工程采购项目中，工程由中小企业承建，即工程施工单位为中小企业；</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③在服务采购项目中，服务由中小企业承接，即提供服务的人员为中小企业依照《中华人民共和国劳动合同法》订立劳动合同的从业人员。</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在货物采购项目中，供应商提供的货物既有中小企业制造货物，也有大型企业制造货物的，不享受本办法规定的中小企业扶持政策。</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以联合体形式参加政府采购活动，联合体各方均为中小企业的，联合体视同中小企业。其中，联合体各方均为小微企业的，联合体视同小微企业。</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（3）投标人应当按照招标文件明确的采购标的对应行业的划分标准出具中小企业声明函。</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在项目属性为货物类采购项目中，货物应当由中小企业制造，不对其中涉及的服务的承接商作出要求；在项目属性为服务类采购项目中，服务的承接商应当为中小企业，不对其中涉及的货物的制造商作出要求；在项目属性为工程类采购项目中，工程应当由中小企业承建，不对其中涉及的货物的制造商和服务的承接商作出要求。</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4）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①监狱企业参加采购活动时，应提供由省级以上监狱管理局、戒毒管理局（含新疆生产建设兵团）出具的属于监狱企业的证明文件。</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②监狱企业视同小型、微型企业。</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（5）残疾人福利性单位指同时符合下列条件的单位：</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①安置的残疾人占本单位在职职工人数的比例不低于25%（含25%），并且安置的残疾人人数不少于10人（含10人）；</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②依法与安置的每位残疾人签订了一年以上（含一年）的劳动合同或服务协议；</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③为安置的每位残疾人按月足额缴纳了基本养老保险、基本医疗保险、失业保险、工伤保险和生育保险等社会保险费；</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④通过银行等金融机构向安置的每位残疾人，按月支付了不低于单位所在区县适用的经省级人民政府批准的月最低工资标准的工资；</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⑤提供本单位制造的货物、承担的工程或服务，或提供其他残疾人福利性单位制造的货物（不包括使用非残疾人福利性单位注册商标的货物）。</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前款所称残疾人指法定劳动年龄内，持有《中华人民共和国残疾人证》或《中华人民共和国残疾军人证（1至8级）》的自然人，包括具有劳动条件和劳动意愿的精神残疾人。在职职工人数是指与残疾人福利性单位建立劳动关系并依法签订劳动合同或服务协议的雇员人数。</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符合上述条件的残疾人福利性单位参加采购活动时，应提供《残疾人福利性单位声明函》，并对声明的真实性负责。残疾人福利性单位视同小型、微型企业。残疾人福利性单位属于小型、微型企业的，不重复享受政策。</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17.5信用记录指由财政部确定的有关网站提供的相关主体信用信息。信用记录的查询及使用应符合财政部文件（财库[2016]125号）规定。</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17.6为落实政府采购政策需满足的要求：详见招标文件第一章。</w:t>
      </w:r>
    </w:p>
    <w:p>
      <w:pPr>
        <w:pStyle w:val="10"/>
        <w:keepNext w:val="0"/>
        <w:keepLines w:val="0"/>
        <w:pageBreakBefore w:val="0"/>
        <w:widowControl/>
        <w:shd w:val="clear"/>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九、本项目的有关信息</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18、本项目的有关信息，包括但不限于：招标公告、更正公告（若有）、招标文件、招标文件的澄清或修改（若有）、中标公告、终止公告（若有）、废标公告（若有）等都将在招标文件载明的指定媒体发布。</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18.1指定媒体：详见招标文件第二章。</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18.2本项目的潜在投标人或投标人应随时关注指定媒体，否则产生不利后果由其自行承担。</w:t>
      </w:r>
    </w:p>
    <w:p>
      <w:pPr>
        <w:pStyle w:val="10"/>
        <w:keepNext w:val="0"/>
        <w:keepLines w:val="0"/>
        <w:pageBreakBefore w:val="0"/>
        <w:widowControl/>
        <w:shd w:val="clear"/>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十、其他事项</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19、其他事项：</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19.1本项目中如涉及商品包装和快递包装的，其包装需求标准应不低于《关于印发〈商品包装政府采购需求标准(试行)〉、〈快递包装政府采购需求标准(试行)〉的通知》（财办库〔2020〕123号）规定的包装要求，其他包装需求详见招标文件具体规定。采购人、中标人双方签订合同及验收环节，应包含上述包装要求的条款。</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19.2其他：详见招标文件第二章。</w:t>
      </w:r>
    </w:p>
    <w:p>
      <w:pPr>
        <w:pStyle w:val="10"/>
        <w:shd w:val="clear"/>
        <w:rPr>
          <w:rFonts w:hint="eastAsia" w:ascii="宋体" w:hAnsi="宋体" w:eastAsia="宋体" w:cs="宋体"/>
          <w:color w:val="auto"/>
          <w:sz w:val="24"/>
          <w:szCs w:val="24"/>
          <w:highlight w:val="none"/>
        </w:rPr>
      </w:pPr>
    </w:p>
    <w:p>
      <w:pPr>
        <w:pStyle w:val="10"/>
        <w:shd w:val="clear"/>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 xml:space="preserve"> </w:t>
      </w:r>
    </w:p>
    <w:p>
      <w:pPr>
        <w:shd w:val="clear"/>
        <w:jc w:val="center"/>
        <w:rPr>
          <w:rFonts w:hint="eastAsia" w:ascii="宋体" w:hAnsi="宋体" w:eastAsia="宋体" w:cs="宋体"/>
          <w:color w:val="auto"/>
          <w:sz w:val="28"/>
          <w:szCs w:val="28"/>
          <w:highlight w:val="none"/>
        </w:rPr>
      </w:pPr>
      <w:r>
        <w:rPr>
          <w:rFonts w:hint="eastAsia" w:ascii="宋体" w:hAnsi="宋体" w:eastAsia="宋体" w:cs="宋体"/>
          <w:b/>
          <w:color w:val="auto"/>
          <w:sz w:val="24"/>
          <w:szCs w:val="24"/>
          <w:highlight w:val="none"/>
        </w:rPr>
        <w:br w:type="page"/>
      </w:r>
      <w:r>
        <w:rPr>
          <w:rFonts w:hint="eastAsia" w:ascii="宋体" w:hAnsi="宋体" w:eastAsia="宋体" w:cs="宋体"/>
          <w:b/>
          <w:color w:val="auto"/>
          <w:sz w:val="28"/>
          <w:szCs w:val="28"/>
          <w:highlight w:val="none"/>
        </w:rPr>
        <w:t>第四章 资格审查与评标</w:t>
      </w:r>
    </w:p>
    <w:p>
      <w:pPr>
        <w:pStyle w:val="10"/>
        <w:keepNext w:val="0"/>
        <w:keepLines w:val="0"/>
        <w:pageBreakBefore w:val="0"/>
        <w:shd w:val="clear"/>
        <w:kinsoku/>
        <w:wordWrap/>
        <w:overflowPunct/>
        <w:topLinePunct w:val="0"/>
        <w:autoSpaceDE/>
        <w:autoSpaceDN/>
        <w:bidi w:val="0"/>
        <w:adjustRightInd/>
        <w:snapToGrid/>
        <w:spacing w:line="400" w:lineRule="exact"/>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一、资格审查</w:t>
      </w:r>
    </w:p>
    <w:p>
      <w:pPr>
        <w:pStyle w:val="10"/>
        <w:keepNext w:val="0"/>
        <w:keepLines w:val="0"/>
        <w:pageBreakBefore w:val="0"/>
        <w:shd w:val="clear"/>
        <w:kinsoku/>
        <w:wordWrap/>
        <w:overflowPunct/>
        <w:topLinePunct w:val="0"/>
        <w:autoSpaceDE/>
        <w:autoSpaceDN/>
        <w:bidi w:val="0"/>
        <w:adjustRightInd/>
        <w:snapToGrid/>
        <w:spacing w:line="400" w:lineRule="exact"/>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1、开标结束后，由</w:t>
      </w:r>
      <w:r>
        <w:rPr>
          <w:rFonts w:hint="eastAsia" w:ascii="宋体" w:hAnsi="宋体" w:eastAsia="宋体" w:cs="宋体"/>
          <w:b w:val="0"/>
          <w:bCs/>
          <w:color w:val="auto"/>
          <w:sz w:val="24"/>
          <w:szCs w:val="24"/>
          <w:highlight w:val="none"/>
          <w:lang w:eastAsia="zh-CN"/>
        </w:rPr>
        <w:t>福建省宏通项目管理有限公司</w:t>
      </w:r>
      <w:r>
        <w:rPr>
          <w:rFonts w:hint="eastAsia" w:ascii="宋体" w:hAnsi="宋体" w:eastAsia="宋体" w:cs="宋体"/>
          <w:b w:val="0"/>
          <w:bCs/>
          <w:color w:val="auto"/>
          <w:sz w:val="24"/>
          <w:szCs w:val="24"/>
          <w:highlight w:val="none"/>
        </w:rPr>
        <w:t>负责资格审查小组的组建及资格审查工作的组织。</w:t>
      </w:r>
    </w:p>
    <w:p>
      <w:pPr>
        <w:pStyle w:val="10"/>
        <w:keepNext w:val="0"/>
        <w:keepLines w:val="0"/>
        <w:pageBreakBefore w:val="0"/>
        <w:shd w:val="clear"/>
        <w:kinsoku/>
        <w:wordWrap/>
        <w:overflowPunct/>
        <w:topLinePunct w:val="0"/>
        <w:autoSpaceDE/>
        <w:autoSpaceDN/>
        <w:bidi w:val="0"/>
        <w:adjustRightInd/>
        <w:snapToGrid/>
        <w:spacing w:line="400" w:lineRule="exact"/>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1.1资格审查小组</w:t>
      </w:r>
    </w:p>
    <w:p>
      <w:pPr>
        <w:pStyle w:val="10"/>
        <w:keepNext w:val="0"/>
        <w:keepLines w:val="0"/>
        <w:pageBreakBefore w:val="0"/>
        <w:shd w:val="clear"/>
        <w:kinsoku/>
        <w:wordWrap/>
        <w:overflowPunct/>
        <w:topLinePunct w:val="0"/>
        <w:autoSpaceDE/>
        <w:autoSpaceDN/>
        <w:bidi w:val="0"/>
        <w:adjustRightInd/>
        <w:snapToGrid/>
        <w:spacing w:line="400" w:lineRule="exact"/>
        <w:ind w:firstLine="480" w:firstLineChars="20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资格审查小组由3人组成，并负责具体审查事务，其中由采购人派出的采购人代表至少1人，由</w:t>
      </w:r>
      <w:r>
        <w:rPr>
          <w:rFonts w:hint="eastAsia" w:ascii="宋体" w:hAnsi="宋体" w:eastAsia="宋体" w:cs="宋体"/>
          <w:b w:val="0"/>
          <w:bCs/>
          <w:color w:val="auto"/>
          <w:sz w:val="24"/>
          <w:szCs w:val="24"/>
          <w:highlight w:val="none"/>
          <w:lang w:eastAsia="zh-CN"/>
        </w:rPr>
        <w:t>福建省宏通项目管理有限公司</w:t>
      </w:r>
      <w:r>
        <w:rPr>
          <w:rFonts w:hint="eastAsia" w:ascii="宋体" w:hAnsi="宋体" w:eastAsia="宋体" w:cs="宋体"/>
          <w:b w:val="0"/>
          <w:bCs/>
          <w:color w:val="auto"/>
          <w:sz w:val="24"/>
          <w:szCs w:val="24"/>
          <w:highlight w:val="none"/>
        </w:rPr>
        <w:t>派出的工作人员至少1人，其余1人可为采购人代表或</w:t>
      </w:r>
      <w:r>
        <w:rPr>
          <w:rFonts w:hint="eastAsia" w:ascii="宋体" w:hAnsi="宋体" w:eastAsia="宋体" w:cs="宋体"/>
          <w:b w:val="0"/>
          <w:bCs/>
          <w:color w:val="auto"/>
          <w:sz w:val="24"/>
          <w:szCs w:val="24"/>
          <w:highlight w:val="none"/>
          <w:lang w:eastAsia="zh-CN"/>
        </w:rPr>
        <w:t>福建省宏通项目管理有限公司</w:t>
      </w:r>
      <w:r>
        <w:rPr>
          <w:rFonts w:hint="eastAsia" w:ascii="宋体" w:hAnsi="宋体" w:eastAsia="宋体" w:cs="宋体"/>
          <w:b w:val="0"/>
          <w:bCs/>
          <w:color w:val="auto"/>
          <w:sz w:val="24"/>
          <w:szCs w:val="24"/>
          <w:highlight w:val="none"/>
        </w:rPr>
        <w:t>的工作人员。</w:t>
      </w:r>
    </w:p>
    <w:p>
      <w:pPr>
        <w:pStyle w:val="10"/>
        <w:keepNext w:val="0"/>
        <w:keepLines w:val="0"/>
        <w:pageBreakBefore w:val="0"/>
        <w:shd w:val="clear"/>
        <w:kinsoku/>
        <w:wordWrap/>
        <w:overflowPunct/>
        <w:topLinePunct w:val="0"/>
        <w:autoSpaceDE/>
        <w:autoSpaceDN/>
        <w:bidi w:val="0"/>
        <w:adjustRightInd/>
        <w:snapToGrid/>
        <w:spacing w:line="400" w:lineRule="exact"/>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1.2资格审查的依据是招标文件和电子投标文件。</w:t>
      </w:r>
    </w:p>
    <w:p>
      <w:pPr>
        <w:pStyle w:val="10"/>
        <w:keepNext w:val="0"/>
        <w:keepLines w:val="0"/>
        <w:pageBreakBefore w:val="0"/>
        <w:shd w:val="clear"/>
        <w:kinsoku/>
        <w:wordWrap/>
        <w:overflowPunct/>
        <w:topLinePunct w:val="0"/>
        <w:autoSpaceDE/>
        <w:autoSpaceDN/>
        <w:bidi w:val="0"/>
        <w:adjustRightInd/>
        <w:snapToGrid/>
        <w:spacing w:line="400" w:lineRule="exact"/>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1.3资格审查的范围及内容：电子投标文件（资格及资信证明部分），具体如下：</w:t>
      </w:r>
    </w:p>
    <w:p>
      <w:pPr>
        <w:pStyle w:val="10"/>
        <w:keepNext w:val="0"/>
        <w:keepLines w:val="0"/>
        <w:pageBreakBefore w:val="0"/>
        <w:shd w:val="clear"/>
        <w:kinsoku/>
        <w:wordWrap/>
        <w:overflowPunct/>
        <w:topLinePunct w:val="0"/>
        <w:autoSpaceDE/>
        <w:autoSpaceDN/>
        <w:bidi w:val="0"/>
        <w:adjustRightInd/>
        <w:snapToGrid/>
        <w:spacing w:line="400" w:lineRule="exact"/>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（1）“投标函”；</w:t>
      </w:r>
    </w:p>
    <w:p>
      <w:pPr>
        <w:pStyle w:val="10"/>
        <w:keepNext w:val="0"/>
        <w:keepLines w:val="0"/>
        <w:pageBreakBefore w:val="0"/>
        <w:shd w:val="clear"/>
        <w:kinsoku/>
        <w:wordWrap/>
        <w:overflowPunct/>
        <w:topLinePunct w:val="0"/>
        <w:autoSpaceDE/>
        <w:autoSpaceDN/>
        <w:bidi w:val="0"/>
        <w:adjustRightInd/>
        <w:snapToGrid/>
        <w:spacing w:line="400" w:lineRule="exact"/>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（2）“投标人的资格及资信证明文件”</w:t>
      </w:r>
    </w:p>
    <w:p>
      <w:pPr>
        <w:pStyle w:val="10"/>
        <w:keepNext w:val="0"/>
        <w:keepLines w:val="0"/>
        <w:pageBreakBefore w:val="0"/>
        <w:shd w:val="clear"/>
        <w:kinsoku/>
        <w:wordWrap/>
        <w:overflowPunct/>
        <w:topLinePunct w:val="0"/>
        <w:autoSpaceDE/>
        <w:autoSpaceDN/>
        <w:bidi w:val="0"/>
        <w:adjustRightInd/>
        <w:snapToGrid/>
        <w:spacing w:line="400" w:lineRule="exact"/>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①一般资格证明文件：</w:t>
      </w:r>
    </w:p>
    <w:p>
      <w:pPr>
        <w:pStyle w:val="10"/>
        <w:keepNext w:val="0"/>
        <w:keepLines w:val="0"/>
        <w:pageBreakBefore w:val="0"/>
        <w:shd w:val="clear"/>
        <w:kinsoku/>
        <w:wordWrap/>
        <w:overflowPunct/>
        <w:topLinePunct w:val="0"/>
        <w:autoSpaceDE/>
        <w:autoSpaceDN/>
        <w:bidi w:val="0"/>
        <w:adjustRightInd/>
        <w:snapToGrid/>
        <w:spacing w:line="400" w:lineRule="exac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采购包1：</w:t>
      </w:r>
    </w:p>
    <w:tbl>
      <w:tblPr>
        <w:tblStyle w:val="7"/>
        <w:tblW w:w="4999"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74"/>
        <w:gridCol w:w="3894"/>
        <w:gridCol w:w="487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85" w:hRule="atLeast"/>
        </w:trPr>
        <w:tc>
          <w:tcPr>
            <w:tcW w:w="500" w:type="pct"/>
            <w:vAlign w:val="center"/>
          </w:tcPr>
          <w:p>
            <w:pPr>
              <w:keepNext w:val="0"/>
              <w:keepLines w:val="0"/>
              <w:pageBreakBefore w:val="0"/>
              <w:shd w:val="clear"/>
              <w:kinsoku/>
              <w:wordWrap/>
              <w:overflowPunct/>
              <w:topLinePunct w:val="0"/>
              <w:autoSpaceDE/>
              <w:autoSpaceDN/>
              <w:bidi w:val="0"/>
              <w:adjustRightInd/>
              <w:snapToGrid/>
              <w:spacing w:line="400" w:lineRule="exact"/>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序号</w:t>
            </w:r>
          </w:p>
        </w:tc>
        <w:tc>
          <w:tcPr>
            <w:tcW w:w="1999" w:type="pct"/>
            <w:vAlign w:val="center"/>
          </w:tcPr>
          <w:p>
            <w:pPr>
              <w:keepNext w:val="0"/>
              <w:keepLines w:val="0"/>
              <w:pageBreakBefore w:val="0"/>
              <w:shd w:val="clear"/>
              <w:kinsoku/>
              <w:wordWrap/>
              <w:overflowPunct/>
              <w:topLinePunct w:val="0"/>
              <w:autoSpaceDE/>
              <w:autoSpaceDN/>
              <w:bidi w:val="0"/>
              <w:adjustRightInd/>
              <w:snapToGrid/>
              <w:spacing w:line="400" w:lineRule="exact"/>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资格审查要求概况</w:t>
            </w:r>
          </w:p>
        </w:tc>
        <w:tc>
          <w:tcPr>
            <w:tcW w:w="2500" w:type="pct"/>
            <w:vAlign w:val="center"/>
          </w:tcPr>
          <w:p>
            <w:pPr>
              <w:keepNext w:val="0"/>
              <w:keepLines w:val="0"/>
              <w:pageBreakBefore w:val="0"/>
              <w:shd w:val="clear"/>
              <w:kinsoku/>
              <w:wordWrap/>
              <w:overflowPunct/>
              <w:topLinePunct w:val="0"/>
              <w:autoSpaceDE/>
              <w:autoSpaceDN/>
              <w:bidi w:val="0"/>
              <w:adjustRightInd/>
              <w:snapToGrid/>
              <w:spacing w:line="400" w:lineRule="exact"/>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00" w:type="pct"/>
            <w:vAlign w:val="center"/>
          </w:tcPr>
          <w:p>
            <w:pPr>
              <w:keepNext w:val="0"/>
              <w:keepLines w:val="0"/>
              <w:pageBreakBefore w:val="0"/>
              <w:shd w:val="clear"/>
              <w:kinsoku/>
              <w:wordWrap/>
              <w:overflowPunct/>
              <w:topLinePunct w:val="0"/>
              <w:autoSpaceDE/>
              <w:autoSpaceDN/>
              <w:bidi w:val="0"/>
              <w:adjustRightInd/>
              <w:snapToGrid/>
              <w:spacing w:line="400" w:lineRule="exact"/>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w:t>
            </w:r>
          </w:p>
        </w:tc>
        <w:tc>
          <w:tcPr>
            <w:tcW w:w="1999" w:type="pct"/>
            <w:vAlign w:val="center"/>
          </w:tcPr>
          <w:p>
            <w:pPr>
              <w:keepNext w:val="0"/>
              <w:keepLines w:val="0"/>
              <w:pageBreakBefore w:val="0"/>
              <w:shd w:val="clear"/>
              <w:kinsoku/>
              <w:wordWrap/>
              <w:overflowPunct/>
              <w:topLinePunct w:val="0"/>
              <w:autoSpaceDE/>
              <w:autoSpaceDN/>
              <w:bidi w:val="0"/>
              <w:adjustRightInd/>
              <w:snapToGrid/>
              <w:spacing w:line="400" w:lineRule="exact"/>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单位授权书</w:t>
            </w:r>
          </w:p>
        </w:tc>
        <w:tc>
          <w:tcPr>
            <w:tcW w:w="2500" w:type="pct"/>
            <w:vAlign w:val="center"/>
          </w:tcPr>
          <w:p>
            <w:pPr>
              <w:keepNext w:val="0"/>
              <w:keepLines w:val="0"/>
              <w:pageBreakBefore w:val="0"/>
              <w:shd w:val="clear"/>
              <w:kinsoku/>
              <w:wordWrap/>
              <w:overflowPunct/>
              <w:topLinePunct w:val="0"/>
              <w:autoSpaceDE/>
              <w:autoSpaceDN/>
              <w:bidi w:val="0"/>
              <w:adjustRightInd/>
              <w:snapToGrid/>
              <w:spacing w:line="400" w:lineRule="exact"/>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00" w:type="pct"/>
            <w:vAlign w:val="center"/>
          </w:tcPr>
          <w:p>
            <w:pPr>
              <w:keepNext w:val="0"/>
              <w:keepLines w:val="0"/>
              <w:pageBreakBefore w:val="0"/>
              <w:shd w:val="clear"/>
              <w:kinsoku/>
              <w:wordWrap/>
              <w:overflowPunct/>
              <w:topLinePunct w:val="0"/>
              <w:autoSpaceDE/>
              <w:autoSpaceDN/>
              <w:bidi w:val="0"/>
              <w:adjustRightInd/>
              <w:snapToGrid/>
              <w:spacing w:line="400" w:lineRule="exact"/>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w:t>
            </w:r>
          </w:p>
        </w:tc>
        <w:tc>
          <w:tcPr>
            <w:tcW w:w="1999" w:type="pct"/>
            <w:vAlign w:val="center"/>
          </w:tcPr>
          <w:p>
            <w:pPr>
              <w:keepNext w:val="0"/>
              <w:keepLines w:val="0"/>
              <w:pageBreakBefore w:val="0"/>
              <w:shd w:val="clear"/>
              <w:kinsoku/>
              <w:wordWrap/>
              <w:overflowPunct/>
              <w:topLinePunct w:val="0"/>
              <w:autoSpaceDE/>
              <w:autoSpaceDN/>
              <w:bidi w:val="0"/>
              <w:adjustRightInd/>
              <w:snapToGrid/>
              <w:spacing w:line="400" w:lineRule="exact"/>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营业执照等证明文件</w:t>
            </w:r>
          </w:p>
        </w:tc>
        <w:tc>
          <w:tcPr>
            <w:tcW w:w="2500" w:type="pct"/>
            <w:vAlign w:val="center"/>
          </w:tcPr>
          <w:p>
            <w:pPr>
              <w:keepNext w:val="0"/>
              <w:keepLines w:val="0"/>
              <w:pageBreakBefore w:val="0"/>
              <w:shd w:val="clear"/>
              <w:kinsoku/>
              <w:wordWrap/>
              <w:overflowPunct/>
              <w:topLinePunct w:val="0"/>
              <w:autoSpaceDE/>
              <w:autoSpaceDN/>
              <w:bidi w:val="0"/>
              <w:adjustRightInd/>
              <w:snapToGrid/>
              <w:spacing w:line="400" w:lineRule="exact"/>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00" w:type="pct"/>
            <w:vAlign w:val="center"/>
          </w:tcPr>
          <w:p>
            <w:pPr>
              <w:keepNext w:val="0"/>
              <w:keepLines w:val="0"/>
              <w:pageBreakBefore w:val="0"/>
              <w:shd w:val="clear"/>
              <w:kinsoku/>
              <w:wordWrap/>
              <w:overflowPunct/>
              <w:topLinePunct w:val="0"/>
              <w:autoSpaceDE/>
              <w:autoSpaceDN/>
              <w:bidi w:val="0"/>
              <w:adjustRightInd/>
              <w:snapToGrid/>
              <w:spacing w:line="400" w:lineRule="exact"/>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3</w:t>
            </w:r>
          </w:p>
        </w:tc>
        <w:tc>
          <w:tcPr>
            <w:tcW w:w="1999" w:type="pct"/>
            <w:vAlign w:val="center"/>
          </w:tcPr>
          <w:p>
            <w:pPr>
              <w:keepNext w:val="0"/>
              <w:keepLines w:val="0"/>
              <w:pageBreakBefore w:val="0"/>
              <w:shd w:val="clear"/>
              <w:kinsoku/>
              <w:wordWrap/>
              <w:overflowPunct/>
              <w:topLinePunct w:val="0"/>
              <w:autoSpaceDE/>
              <w:autoSpaceDN/>
              <w:bidi w:val="0"/>
              <w:adjustRightInd/>
              <w:snapToGrid/>
              <w:spacing w:line="400" w:lineRule="exact"/>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提供财务状况报告(财务报告、或资信证明）</w:t>
            </w:r>
          </w:p>
        </w:tc>
        <w:tc>
          <w:tcPr>
            <w:tcW w:w="2500" w:type="pct"/>
            <w:vAlign w:val="center"/>
          </w:tcPr>
          <w:p>
            <w:pPr>
              <w:keepNext w:val="0"/>
              <w:keepLines w:val="0"/>
              <w:pageBreakBefore w:val="0"/>
              <w:shd w:val="clear"/>
              <w:kinsoku/>
              <w:wordWrap/>
              <w:overflowPunct/>
              <w:topLinePunct w:val="0"/>
              <w:autoSpaceDE/>
              <w:autoSpaceDN/>
              <w:bidi w:val="0"/>
              <w:adjustRightInd/>
              <w:snapToGrid/>
              <w:spacing w:line="400" w:lineRule="exact"/>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00" w:type="pct"/>
            <w:vAlign w:val="center"/>
          </w:tcPr>
          <w:p>
            <w:pPr>
              <w:keepNext w:val="0"/>
              <w:keepLines w:val="0"/>
              <w:pageBreakBefore w:val="0"/>
              <w:shd w:val="clear"/>
              <w:kinsoku/>
              <w:wordWrap/>
              <w:overflowPunct/>
              <w:topLinePunct w:val="0"/>
              <w:autoSpaceDE/>
              <w:autoSpaceDN/>
              <w:bidi w:val="0"/>
              <w:adjustRightInd/>
              <w:snapToGrid/>
              <w:spacing w:line="400" w:lineRule="exact"/>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4</w:t>
            </w:r>
          </w:p>
        </w:tc>
        <w:tc>
          <w:tcPr>
            <w:tcW w:w="1999" w:type="pct"/>
            <w:vAlign w:val="center"/>
          </w:tcPr>
          <w:p>
            <w:pPr>
              <w:keepNext w:val="0"/>
              <w:keepLines w:val="0"/>
              <w:pageBreakBefore w:val="0"/>
              <w:shd w:val="clear"/>
              <w:kinsoku/>
              <w:wordWrap/>
              <w:overflowPunct/>
              <w:topLinePunct w:val="0"/>
              <w:autoSpaceDE/>
              <w:autoSpaceDN/>
              <w:bidi w:val="0"/>
              <w:adjustRightInd/>
              <w:snapToGrid/>
              <w:spacing w:line="400" w:lineRule="exact"/>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依法缴纳税收证明材料</w:t>
            </w:r>
          </w:p>
        </w:tc>
        <w:tc>
          <w:tcPr>
            <w:tcW w:w="2500" w:type="pct"/>
            <w:vAlign w:val="center"/>
          </w:tcPr>
          <w:p>
            <w:pPr>
              <w:keepNext w:val="0"/>
              <w:keepLines w:val="0"/>
              <w:pageBreakBefore w:val="0"/>
              <w:shd w:val="clear"/>
              <w:kinsoku/>
              <w:wordWrap/>
              <w:overflowPunct/>
              <w:topLinePunct w:val="0"/>
              <w:autoSpaceDE/>
              <w:autoSpaceDN/>
              <w:bidi w:val="0"/>
              <w:adjustRightInd/>
              <w:snapToGrid/>
              <w:spacing w:line="400" w:lineRule="exact"/>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①投标人提供的税收缴纳凭据复印件应符合下列规定： a.投标截止时间前（不含投标截止时间的当月）已依法缴纳税收的投标人，提供投标截止时间前六个月（不含投标截止时间的当月）中任一月份的税收缴纳凭据复印件。 b.投标截止时间的当月成立的投标人，视同满足本项资格条件要求。 c.若为依法免税范围的投标人，提供依法免税证明材料的，视同满足本项资格条件要求。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00" w:type="pct"/>
            <w:vAlign w:val="center"/>
          </w:tcPr>
          <w:p>
            <w:pPr>
              <w:keepNext w:val="0"/>
              <w:keepLines w:val="0"/>
              <w:pageBreakBefore w:val="0"/>
              <w:shd w:val="clear"/>
              <w:kinsoku/>
              <w:wordWrap/>
              <w:overflowPunct/>
              <w:topLinePunct w:val="0"/>
              <w:autoSpaceDE/>
              <w:autoSpaceDN/>
              <w:bidi w:val="0"/>
              <w:adjustRightInd/>
              <w:snapToGrid/>
              <w:spacing w:line="400" w:lineRule="exact"/>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5</w:t>
            </w:r>
          </w:p>
        </w:tc>
        <w:tc>
          <w:tcPr>
            <w:tcW w:w="1999" w:type="pct"/>
            <w:vAlign w:val="center"/>
          </w:tcPr>
          <w:p>
            <w:pPr>
              <w:keepNext w:val="0"/>
              <w:keepLines w:val="0"/>
              <w:pageBreakBefore w:val="0"/>
              <w:shd w:val="clear"/>
              <w:kinsoku/>
              <w:wordWrap/>
              <w:overflowPunct/>
              <w:topLinePunct w:val="0"/>
              <w:autoSpaceDE/>
              <w:autoSpaceDN/>
              <w:bidi w:val="0"/>
              <w:adjustRightInd/>
              <w:snapToGrid/>
              <w:spacing w:line="400" w:lineRule="exact"/>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依法缴纳社会保障资金证明材料</w:t>
            </w:r>
          </w:p>
        </w:tc>
        <w:tc>
          <w:tcPr>
            <w:tcW w:w="2500" w:type="pct"/>
            <w:vAlign w:val="center"/>
          </w:tcPr>
          <w:p>
            <w:pPr>
              <w:keepNext w:val="0"/>
              <w:keepLines w:val="0"/>
              <w:pageBreakBefore w:val="0"/>
              <w:shd w:val="clear"/>
              <w:kinsoku/>
              <w:wordWrap/>
              <w:overflowPunct/>
              <w:topLinePunct w:val="0"/>
              <w:autoSpaceDE/>
              <w:autoSpaceDN/>
              <w:bidi w:val="0"/>
              <w:adjustRightInd/>
              <w:snapToGrid/>
              <w:spacing w:line="400" w:lineRule="exact"/>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①投标人提供的社会保障资金缴纳凭据复印件应符合下列规定： a.投标截止时间前（不含投标截止时间的当月）已依法缴纳社会保障资金的投标人，提供投标截止时间前六个月（不含投标截止时间的当月）中任一月份的社会保障资金缴纳凭据复印件。 b.投标截止时间的当月成立的投标人，视同满足本项资格条件要求。 c.若为依法不需要缴纳或暂缓缴纳社会保障资金的投标人，提供依法不需要缴纳或暂缓缴纳社会保障资金证明材料的，视同满足本项资格条件要求。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00" w:type="pct"/>
            <w:vAlign w:val="center"/>
          </w:tcPr>
          <w:p>
            <w:pPr>
              <w:keepNext w:val="0"/>
              <w:keepLines w:val="0"/>
              <w:pageBreakBefore w:val="0"/>
              <w:shd w:val="clear"/>
              <w:kinsoku/>
              <w:wordWrap/>
              <w:overflowPunct/>
              <w:topLinePunct w:val="0"/>
              <w:autoSpaceDE/>
              <w:autoSpaceDN/>
              <w:bidi w:val="0"/>
              <w:adjustRightInd/>
              <w:snapToGrid/>
              <w:spacing w:line="400" w:lineRule="exact"/>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6</w:t>
            </w:r>
          </w:p>
        </w:tc>
        <w:tc>
          <w:tcPr>
            <w:tcW w:w="1999" w:type="pct"/>
            <w:vAlign w:val="center"/>
          </w:tcPr>
          <w:p>
            <w:pPr>
              <w:keepNext w:val="0"/>
              <w:keepLines w:val="0"/>
              <w:pageBreakBefore w:val="0"/>
              <w:shd w:val="clear"/>
              <w:kinsoku/>
              <w:wordWrap/>
              <w:overflowPunct/>
              <w:topLinePunct w:val="0"/>
              <w:autoSpaceDE/>
              <w:autoSpaceDN/>
              <w:bidi w:val="0"/>
              <w:adjustRightInd/>
              <w:snapToGrid/>
              <w:spacing w:line="400" w:lineRule="exact"/>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具备履行合同所必需设备和专业技术能力的声明函(若有)</w:t>
            </w:r>
          </w:p>
        </w:tc>
        <w:tc>
          <w:tcPr>
            <w:tcW w:w="2500" w:type="pct"/>
            <w:vAlign w:val="center"/>
          </w:tcPr>
          <w:p>
            <w:pPr>
              <w:keepNext w:val="0"/>
              <w:keepLines w:val="0"/>
              <w:pageBreakBefore w:val="0"/>
              <w:shd w:val="clear"/>
              <w:kinsoku/>
              <w:wordWrap/>
              <w:overflowPunct/>
              <w:topLinePunct w:val="0"/>
              <w:autoSpaceDE/>
              <w:autoSpaceDN/>
              <w:bidi w:val="0"/>
              <w:adjustRightInd/>
              <w:snapToGrid/>
              <w:spacing w:line="400" w:lineRule="exact"/>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00" w:type="pct"/>
            <w:vAlign w:val="center"/>
          </w:tcPr>
          <w:p>
            <w:pPr>
              <w:keepNext w:val="0"/>
              <w:keepLines w:val="0"/>
              <w:pageBreakBefore w:val="0"/>
              <w:shd w:val="clear"/>
              <w:kinsoku/>
              <w:wordWrap/>
              <w:overflowPunct/>
              <w:topLinePunct w:val="0"/>
              <w:autoSpaceDE/>
              <w:autoSpaceDN/>
              <w:bidi w:val="0"/>
              <w:adjustRightInd/>
              <w:snapToGrid/>
              <w:spacing w:line="400" w:lineRule="exact"/>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7</w:t>
            </w:r>
          </w:p>
        </w:tc>
        <w:tc>
          <w:tcPr>
            <w:tcW w:w="1999" w:type="pct"/>
            <w:vAlign w:val="center"/>
          </w:tcPr>
          <w:p>
            <w:pPr>
              <w:keepNext w:val="0"/>
              <w:keepLines w:val="0"/>
              <w:pageBreakBefore w:val="0"/>
              <w:shd w:val="clear"/>
              <w:kinsoku/>
              <w:wordWrap/>
              <w:overflowPunct/>
              <w:topLinePunct w:val="0"/>
              <w:autoSpaceDE/>
              <w:autoSpaceDN/>
              <w:bidi w:val="0"/>
              <w:adjustRightInd/>
              <w:snapToGrid/>
              <w:spacing w:line="400" w:lineRule="exact"/>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参加采购活动前三年内在经营活动中没有重大违法记录的声明</w:t>
            </w:r>
          </w:p>
        </w:tc>
        <w:tc>
          <w:tcPr>
            <w:tcW w:w="2500" w:type="pct"/>
            <w:vAlign w:val="center"/>
          </w:tcPr>
          <w:p>
            <w:pPr>
              <w:keepNext w:val="0"/>
              <w:keepLines w:val="0"/>
              <w:pageBreakBefore w:val="0"/>
              <w:shd w:val="clear"/>
              <w:kinsoku/>
              <w:wordWrap/>
              <w:overflowPunct/>
              <w:topLinePunct w:val="0"/>
              <w:autoSpaceDE/>
              <w:autoSpaceDN/>
              <w:bidi w:val="0"/>
              <w:adjustRightInd/>
              <w:snapToGrid/>
              <w:spacing w:line="400" w:lineRule="exact"/>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00" w:type="pct"/>
            <w:vAlign w:val="center"/>
          </w:tcPr>
          <w:p>
            <w:pPr>
              <w:keepNext w:val="0"/>
              <w:keepLines w:val="0"/>
              <w:pageBreakBefore w:val="0"/>
              <w:shd w:val="clear"/>
              <w:kinsoku/>
              <w:wordWrap/>
              <w:overflowPunct/>
              <w:topLinePunct w:val="0"/>
              <w:autoSpaceDE/>
              <w:autoSpaceDN/>
              <w:bidi w:val="0"/>
              <w:adjustRightInd/>
              <w:snapToGrid/>
              <w:spacing w:line="400" w:lineRule="exact"/>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8</w:t>
            </w:r>
          </w:p>
        </w:tc>
        <w:tc>
          <w:tcPr>
            <w:tcW w:w="1999" w:type="pct"/>
            <w:vAlign w:val="center"/>
          </w:tcPr>
          <w:p>
            <w:pPr>
              <w:keepNext w:val="0"/>
              <w:keepLines w:val="0"/>
              <w:pageBreakBefore w:val="0"/>
              <w:shd w:val="clear"/>
              <w:kinsoku/>
              <w:wordWrap/>
              <w:overflowPunct/>
              <w:topLinePunct w:val="0"/>
              <w:autoSpaceDE/>
              <w:autoSpaceDN/>
              <w:bidi w:val="0"/>
              <w:adjustRightInd/>
              <w:snapToGrid/>
              <w:spacing w:line="400" w:lineRule="exact"/>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信用记录查询结果</w:t>
            </w:r>
          </w:p>
        </w:tc>
        <w:tc>
          <w:tcPr>
            <w:tcW w:w="2500" w:type="pct"/>
            <w:vAlign w:val="center"/>
          </w:tcPr>
          <w:p>
            <w:pPr>
              <w:keepNext w:val="0"/>
              <w:keepLines w:val="0"/>
              <w:pageBreakBefore w:val="0"/>
              <w:shd w:val="clear"/>
              <w:kinsoku/>
              <w:wordWrap/>
              <w:overflowPunct/>
              <w:topLinePunct w:val="0"/>
              <w:autoSpaceDE/>
              <w:autoSpaceDN/>
              <w:bidi w:val="0"/>
              <w:adjustRightInd/>
              <w:snapToGrid/>
              <w:spacing w:line="400" w:lineRule="exact"/>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00" w:type="pct"/>
            <w:vAlign w:val="center"/>
          </w:tcPr>
          <w:p>
            <w:pPr>
              <w:keepNext w:val="0"/>
              <w:keepLines w:val="0"/>
              <w:pageBreakBefore w:val="0"/>
              <w:shd w:val="clear"/>
              <w:kinsoku/>
              <w:wordWrap/>
              <w:overflowPunct/>
              <w:topLinePunct w:val="0"/>
              <w:autoSpaceDE/>
              <w:autoSpaceDN/>
              <w:bidi w:val="0"/>
              <w:adjustRightInd/>
              <w:snapToGrid/>
              <w:spacing w:line="400" w:lineRule="exact"/>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9</w:t>
            </w:r>
          </w:p>
        </w:tc>
        <w:tc>
          <w:tcPr>
            <w:tcW w:w="1999" w:type="pct"/>
            <w:vAlign w:val="center"/>
          </w:tcPr>
          <w:p>
            <w:pPr>
              <w:keepNext w:val="0"/>
              <w:keepLines w:val="0"/>
              <w:pageBreakBefore w:val="0"/>
              <w:shd w:val="clear"/>
              <w:kinsoku/>
              <w:wordWrap/>
              <w:overflowPunct/>
              <w:topLinePunct w:val="0"/>
              <w:autoSpaceDE/>
              <w:autoSpaceDN/>
              <w:bidi w:val="0"/>
              <w:adjustRightInd/>
              <w:snapToGrid/>
              <w:spacing w:line="400" w:lineRule="exact"/>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中小企业声明函（以资格条件落实中小企业扶持政策时适用 ）</w:t>
            </w:r>
          </w:p>
        </w:tc>
        <w:tc>
          <w:tcPr>
            <w:tcW w:w="2500" w:type="pct"/>
            <w:vAlign w:val="center"/>
          </w:tcPr>
          <w:p>
            <w:pPr>
              <w:keepNext w:val="0"/>
              <w:keepLines w:val="0"/>
              <w:pageBreakBefore w:val="0"/>
              <w:shd w:val="clear"/>
              <w:kinsoku/>
              <w:wordWrap/>
              <w:overflowPunct/>
              <w:topLinePunct w:val="0"/>
              <w:autoSpaceDE/>
              <w:autoSpaceDN/>
              <w:bidi w:val="0"/>
              <w:adjustRightInd/>
              <w:snapToGrid/>
              <w:spacing w:line="400" w:lineRule="exact"/>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00" w:type="pct"/>
            <w:vAlign w:val="center"/>
          </w:tcPr>
          <w:p>
            <w:pPr>
              <w:keepNext w:val="0"/>
              <w:keepLines w:val="0"/>
              <w:pageBreakBefore w:val="0"/>
              <w:shd w:val="clear"/>
              <w:kinsoku/>
              <w:wordWrap/>
              <w:overflowPunct/>
              <w:topLinePunct w:val="0"/>
              <w:autoSpaceDE/>
              <w:autoSpaceDN/>
              <w:bidi w:val="0"/>
              <w:adjustRightInd/>
              <w:snapToGrid/>
              <w:spacing w:line="400" w:lineRule="exact"/>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10</w:t>
            </w:r>
          </w:p>
        </w:tc>
        <w:tc>
          <w:tcPr>
            <w:tcW w:w="1999" w:type="pct"/>
            <w:vAlign w:val="center"/>
          </w:tcPr>
          <w:p>
            <w:pPr>
              <w:keepNext w:val="0"/>
              <w:keepLines w:val="0"/>
              <w:pageBreakBefore w:val="0"/>
              <w:shd w:val="clear"/>
              <w:kinsoku/>
              <w:wordWrap/>
              <w:overflowPunct/>
              <w:topLinePunct w:val="0"/>
              <w:autoSpaceDE/>
              <w:autoSpaceDN/>
              <w:bidi w:val="0"/>
              <w:adjustRightInd/>
              <w:snapToGrid/>
              <w:spacing w:line="400" w:lineRule="exact"/>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联合体协议（若有）</w:t>
            </w:r>
          </w:p>
        </w:tc>
        <w:tc>
          <w:tcPr>
            <w:tcW w:w="2500" w:type="pct"/>
            <w:vAlign w:val="center"/>
          </w:tcPr>
          <w:p>
            <w:pPr>
              <w:keepNext w:val="0"/>
              <w:keepLines w:val="0"/>
              <w:pageBreakBefore w:val="0"/>
              <w:shd w:val="clear"/>
              <w:kinsoku/>
              <w:wordWrap/>
              <w:overflowPunct/>
              <w:topLinePunct w:val="0"/>
              <w:autoSpaceDE/>
              <w:autoSpaceDN/>
              <w:bidi w:val="0"/>
              <w:adjustRightInd/>
              <w:snapToGrid/>
              <w:spacing w:line="400" w:lineRule="exact"/>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①招标文件接受联合体投标且投标人为联合体的，投标人应提供本协议；否则无须提供。 ②本协议由委托代理人签字或盖章的，应按照招标文件第七章载明的格式提供“单位授权书”。</w:t>
            </w:r>
          </w:p>
        </w:tc>
      </w:tr>
    </w:tbl>
    <w:p>
      <w:pPr>
        <w:pStyle w:val="10"/>
        <w:keepNext w:val="0"/>
        <w:keepLines w:val="0"/>
        <w:pageBreakBefore w:val="0"/>
        <w:shd w:val="clear"/>
        <w:kinsoku/>
        <w:wordWrap/>
        <w:overflowPunct/>
        <w:topLinePunct w:val="0"/>
        <w:autoSpaceDE/>
        <w:autoSpaceDN/>
        <w:bidi w:val="0"/>
        <w:adjustRightInd/>
        <w:snapToGrid/>
        <w:spacing w:line="400" w:lineRule="exact"/>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※备注说明</w:t>
      </w:r>
    </w:p>
    <w:p>
      <w:pPr>
        <w:pStyle w:val="10"/>
        <w:keepNext w:val="0"/>
        <w:keepLines w:val="0"/>
        <w:pageBreakBefore w:val="0"/>
        <w:shd w:val="clear"/>
        <w:kinsoku/>
        <w:wordWrap/>
        <w:overflowPunct/>
        <w:topLinePunct w:val="0"/>
        <w:autoSpaceDE/>
        <w:autoSpaceDN/>
        <w:bidi w:val="0"/>
        <w:adjustRightInd/>
        <w:snapToGrid/>
        <w:spacing w:line="400" w:lineRule="exact"/>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①投标人应根据自身实际情况提供上述资格要求的证明材料，格式可参考招标文件第七章提供。</w:t>
      </w:r>
    </w:p>
    <w:p>
      <w:pPr>
        <w:pStyle w:val="10"/>
        <w:keepNext w:val="0"/>
        <w:keepLines w:val="0"/>
        <w:pageBreakBefore w:val="0"/>
        <w:shd w:val="clear"/>
        <w:kinsoku/>
        <w:wordWrap/>
        <w:overflowPunct/>
        <w:topLinePunct w:val="0"/>
        <w:autoSpaceDE/>
        <w:autoSpaceDN/>
        <w:bidi w:val="0"/>
        <w:adjustRightInd/>
        <w:snapToGrid/>
        <w:spacing w:line="400" w:lineRule="exact"/>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②投标人提供的相应证明材料复印件均应符合：内容完整、清晰、整洁，并由投标人加盖其单位公章。</w:t>
      </w:r>
    </w:p>
    <w:p>
      <w:pPr>
        <w:pStyle w:val="10"/>
        <w:keepNext w:val="0"/>
        <w:keepLines w:val="0"/>
        <w:pageBreakBefore w:val="0"/>
        <w:shd w:val="clear"/>
        <w:kinsoku/>
        <w:wordWrap/>
        <w:overflowPunct/>
        <w:topLinePunct w:val="0"/>
        <w:autoSpaceDE/>
        <w:autoSpaceDN/>
        <w:bidi w:val="0"/>
        <w:adjustRightInd/>
        <w:snapToGrid/>
        <w:spacing w:line="400" w:lineRule="exact"/>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②.其他资格证明文件：</w:t>
      </w:r>
    </w:p>
    <w:p>
      <w:pPr>
        <w:pStyle w:val="10"/>
        <w:keepNext w:val="0"/>
        <w:keepLines w:val="0"/>
        <w:pageBreakBefore w:val="0"/>
        <w:shd w:val="clear"/>
        <w:kinsoku/>
        <w:wordWrap/>
        <w:overflowPunct/>
        <w:topLinePunct w:val="0"/>
        <w:autoSpaceDE/>
        <w:autoSpaceDN/>
        <w:bidi w:val="0"/>
        <w:adjustRightInd/>
        <w:snapToGrid/>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采购包1：</w:t>
      </w:r>
    </w:p>
    <w:tbl>
      <w:tblPr>
        <w:tblStyle w:val="7"/>
        <w:tblW w:w="4998"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328"/>
        <w:gridCol w:w="540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85" w:hRule="atLeast"/>
        </w:trPr>
        <w:tc>
          <w:tcPr>
            <w:tcW w:w="2222" w:type="pct"/>
            <w:vAlign w:val="center"/>
          </w:tcPr>
          <w:p>
            <w:pPr>
              <w:keepNext w:val="0"/>
              <w:keepLines w:val="0"/>
              <w:pageBreakBefore w:val="0"/>
              <w:shd w:val="clear"/>
              <w:kinsoku/>
              <w:wordWrap/>
              <w:overflowPunct/>
              <w:topLinePunct w:val="0"/>
              <w:autoSpaceDE/>
              <w:autoSpaceDN/>
              <w:bidi w:val="0"/>
              <w:adjustRightInd/>
              <w:snapToGrid/>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资格审查要求概况</w:t>
            </w:r>
          </w:p>
        </w:tc>
        <w:tc>
          <w:tcPr>
            <w:tcW w:w="2777" w:type="pct"/>
            <w:vAlign w:val="center"/>
          </w:tcPr>
          <w:p>
            <w:pPr>
              <w:keepNext w:val="0"/>
              <w:keepLines w:val="0"/>
              <w:pageBreakBefore w:val="0"/>
              <w:shd w:val="clear"/>
              <w:kinsoku/>
              <w:wordWrap/>
              <w:overflowPunct/>
              <w:topLinePunct w:val="0"/>
              <w:autoSpaceDE/>
              <w:autoSpaceDN/>
              <w:bidi w:val="0"/>
              <w:adjustRightInd/>
              <w:snapToGrid/>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081" w:hRule="atLeast"/>
        </w:trPr>
        <w:tc>
          <w:tcPr>
            <w:tcW w:w="2222" w:type="pct"/>
            <w:vAlign w:val="center"/>
          </w:tcPr>
          <w:p>
            <w:pPr>
              <w:keepNext w:val="0"/>
              <w:keepLines w:val="0"/>
              <w:pageBreakBefore w:val="0"/>
              <w:shd w:val="clear"/>
              <w:kinsoku/>
              <w:wordWrap/>
              <w:overflowPunct/>
              <w:topLinePunct w:val="0"/>
              <w:autoSpaceDE/>
              <w:autoSpaceDN/>
              <w:bidi w:val="0"/>
              <w:adjustRightInd/>
              <w:snapToGrid/>
              <w:spacing w:line="40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具备履行合同所必需设备和专业技术能力专项证明材料</w:t>
            </w:r>
          </w:p>
        </w:tc>
        <w:tc>
          <w:tcPr>
            <w:tcW w:w="2777" w:type="pct"/>
          </w:tcPr>
          <w:p>
            <w:pPr>
              <w:keepNext w:val="0"/>
              <w:keepLines w:val="0"/>
              <w:pageBreakBefore w:val="0"/>
              <w:shd w:val="clear"/>
              <w:kinsoku/>
              <w:wordWrap/>
              <w:overflowPunct/>
              <w:topLinePunct w:val="0"/>
              <w:autoSpaceDE/>
              <w:autoSpaceDN/>
              <w:bidi w:val="0"/>
              <w:adjustRightInd/>
              <w:snapToGrid/>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本项目无特定要求，投标人应在“一般资格证明文件”中提供“具备履行合同所必需设备和专业技术能力的声明函”。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320" w:hRule="atLeast"/>
        </w:trPr>
        <w:tc>
          <w:tcPr>
            <w:tcW w:w="2222" w:type="pct"/>
            <w:vAlign w:val="center"/>
          </w:tcPr>
          <w:p>
            <w:pPr>
              <w:keepNext w:val="0"/>
              <w:keepLines w:val="0"/>
              <w:pageBreakBefore w:val="0"/>
              <w:shd w:val="clear"/>
              <w:kinsoku/>
              <w:wordWrap/>
              <w:overflowPunct/>
              <w:topLinePunct w:val="0"/>
              <w:autoSpaceDE/>
              <w:autoSpaceDN/>
              <w:bidi w:val="0"/>
              <w:adjustRightInd/>
              <w:snapToGrid/>
              <w:spacing w:line="40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关于【一般资格证明文件中“财务状况报告（财务报告、或资信证明、或投标担保函)”】的补充说明</w:t>
            </w:r>
          </w:p>
        </w:tc>
        <w:tc>
          <w:tcPr>
            <w:tcW w:w="2777" w:type="pct"/>
          </w:tcPr>
          <w:p>
            <w:pPr>
              <w:keepNext w:val="0"/>
              <w:keepLines w:val="0"/>
              <w:pageBreakBefore w:val="0"/>
              <w:shd w:val="clear"/>
              <w:kinsoku/>
              <w:wordWrap/>
              <w:overflowPunct/>
              <w:topLinePunct w:val="0"/>
              <w:autoSpaceDE/>
              <w:autoSpaceDN/>
              <w:bidi w:val="0"/>
              <w:adjustRightInd/>
              <w:snapToGrid/>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针对“财务状况报告（财务报告、或资信证明、或投标担保函)“1、投标人提供的财务报告复印件(成立年限按照投标截止时间推算)应符合下列规定:成立年限满1年及以上的投标人，提供经审计的2021年或2022年的年度财务报告。本招标文件中若有与此处不—致的，以此处补充说明为准。</w:t>
            </w:r>
          </w:p>
        </w:tc>
      </w:tr>
    </w:tbl>
    <w:p>
      <w:pPr>
        <w:pStyle w:val="10"/>
        <w:keepNext w:val="0"/>
        <w:keepLines w:val="0"/>
        <w:pageBreakBefore w:val="0"/>
        <w:shd w:val="clear"/>
        <w:kinsoku/>
        <w:wordWrap/>
        <w:overflowPunct/>
        <w:topLinePunct w:val="0"/>
        <w:autoSpaceDE/>
        <w:autoSpaceDN/>
        <w:bidi w:val="0"/>
        <w:adjustRightInd/>
        <w:snapToGrid/>
        <w:spacing w:line="400" w:lineRule="exact"/>
        <w:ind w:firstLine="480"/>
        <w:jc w:val="both"/>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（3）投标保证金。</w:t>
      </w:r>
    </w:p>
    <w:p>
      <w:pPr>
        <w:pStyle w:val="10"/>
        <w:keepNext w:val="0"/>
        <w:keepLines w:val="0"/>
        <w:pageBreakBefore w:val="0"/>
        <w:shd w:val="clear"/>
        <w:kinsoku/>
        <w:wordWrap/>
        <w:overflowPunct/>
        <w:topLinePunct w:val="0"/>
        <w:autoSpaceDE/>
        <w:autoSpaceDN/>
        <w:bidi w:val="0"/>
        <w:adjustRightInd/>
        <w:snapToGrid/>
        <w:spacing w:line="400" w:lineRule="exact"/>
        <w:ind w:firstLine="480"/>
        <w:jc w:val="both"/>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1.4有下列情形之一的，资格审查不合格：</w:t>
      </w:r>
    </w:p>
    <w:tbl>
      <w:tblPr>
        <w:tblStyle w:val="7"/>
        <w:tblW w:w="5000"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74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000" w:type="pct"/>
          </w:tcPr>
          <w:p>
            <w:pPr>
              <w:keepNext w:val="0"/>
              <w:keepLines w:val="0"/>
              <w:pageBreakBefore w:val="0"/>
              <w:shd w:val="clear"/>
              <w:kinsoku/>
              <w:wordWrap/>
              <w:overflowPunct/>
              <w:topLinePunct w:val="0"/>
              <w:autoSpaceDE/>
              <w:autoSpaceDN/>
              <w:bidi w:val="0"/>
              <w:adjustRightInd/>
              <w:snapToGrid/>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000" w:type="pct"/>
          </w:tcPr>
          <w:p>
            <w:pPr>
              <w:keepNext w:val="0"/>
              <w:keepLines w:val="0"/>
              <w:pageBreakBefore w:val="0"/>
              <w:shd w:val="clear"/>
              <w:kinsoku/>
              <w:wordWrap/>
              <w:overflowPunct/>
              <w:topLinePunct w:val="0"/>
              <w:autoSpaceDE/>
              <w:autoSpaceDN/>
              <w:bidi w:val="0"/>
              <w:adjustRightInd/>
              <w:snapToGrid/>
              <w:spacing w:line="400" w:lineRule="exact"/>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未按照招标文件规定提交投标函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000" w:type="pct"/>
          </w:tcPr>
          <w:p>
            <w:pPr>
              <w:keepNext w:val="0"/>
              <w:keepLines w:val="0"/>
              <w:pageBreakBefore w:val="0"/>
              <w:shd w:val="clear"/>
              <w:kinsoku/>
              <w:wordWrap/>
              <w:overflowPunct/>
              <w:topLinePunct w:val="0"/>
              <w:autoSpaceDE/>
              <w:autoSpaceDN/>
              <w:bidi w:val="0"/>
              <w:adjustRightInd/>
              <w:snapToGrid/>
              <w:spacing w:line="400" w:lineRule="exact"/>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未按照招标文件规定提交投标人的资格及资信文件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000" w:type="pct"/>
          </w:tcPr>
          <w:p>
            <w:pPr>
              <w:keepNext w:val="0"/>
              <w:keepLines w:val="0"/>
              <w:pageBreakBefore w:val="0"/>
              <w:shd w:val="clear"/>
              <w:kinsoku/>
              <w:wordWrap/>
              <w:overflowPunct/>
              <w:topLinePunct w:val="0"/>
              <w:autoSpaceDE/>
              <w:autoSpaceDN/>
              <w:bidi w:val="0"/>
              <w:adjustRightInd/>
              <w:snapToGrid/>
              <w:spacing w:line="400" w:lineRule="exact"/>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未按照招标文件规定提交投标保证金</w:t>
            </w:r>
          </w:p>
        </w:tc>
      </w:tr>
    </w:tbl>
    <w:p>
      <w:pPr>
        <w:pStyle w:val="10"/>
        <w:keepNext w:val="0"/>
        <w:keepLines w:val="0"/>
        <w:pageBreakBefore w:val="0"/>
        <w:shd w:val="clear"/>
        <w:kinsoku/>
        <w:wordWrap/>
        <w:overflowPunct/>
        <w:topLinePunct w:val="0"/>
        <w:autoSpaceDE/>
        <w:autoSpaceDN/>
        <w:bidi w:val="0"/>
        <w:adjustRightInd/>
        <w:snapToGrid/>
        <w:spacing w:line="400" w:lineRule="exact"/>
        <w:ind w:firstLine="480"/>
        <w:jc w:val="left"/>
        <w:rPr>
          <w:rFonts w:hint="eastAsia" w:ascii="宋体" w:hAnsi="宋体" w:eastAsia="宋体" w:cs="宋体"/>
          <w:color w:val="auto"/>
          <w:sz w:val="24"/>
          <w:szCs w:val="24"/>
          <w:highlight w:val="none"/>
        </w:rPr>
      </w:pPr>
    </w:p>
    <w:p>
      <w:pPr>
        <w:pStyle w:val="10"/>
        <w:keepNext w:val="0"/>
        <w:keepLines w:val="0"/>
        <w:pageBreakBefore w:val="0"/>
        <w:shd w:val="clear"/>
        <w:kinsoku/>
        <w:wordWrap/>
        <w:overflowPunct/>
        <w:topLinePunct w:val="0"/>
        <w:autoSpaceDE/>
        <w:autoSpaceDN/>
        <w:bidi w:val="0"/>
        <w:adjustRightInd/>
        <w:snapToGrid/>
        <w:spacing w:line="400" w:lineRule="exac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采购包1：</w:t>
      </w:r>
    </w:p>
    <w:p>
      <w:pPr>
        <w:pStyle w:val="10"/>
        <w:keepNext w:val="0"/>
        <w:keepLines w:val="0"/>
        <w:pageBreakBefore w:val="0"/>
        <w:shd w:val="clear"/>
        <w:kinsoku/>
        <w:wordWrap/>
        <w:overflowPunct/>
        <w:topLinePunct w:val="0"/>
        <w:autoSpaceDE/>
        <w:autoSpaceDN/>
        <w:bidi w:val="0"/>
        <w:adjustRightInd/>
        <w:snapToGrid/>
        <w:spacing w:line="400" w:lineRule="exac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资格审查不合格项：无</w:t>
      </w:r>
    </w:p>
    <w:p>
      <w:pPr>
        <w:pStyle w:val="10"/>
        <w:keepNext w:val="0"/>
        <w:keepLines w:val="0"/>
        <w:pageBreakBefore w:val="0"/>
        <w:shd w:val="clear"/>
        <w:kinsoku/>
        <w:wordWrap/>
        <w:overflowPunct/>
        <w:topLinePunct w:val="0"/>
        <w:autoSpaceDE/>
        <w:autoSpaceDN/>
        <w:bidi w:val="0"/>
        <w:adjustRightInd/>
        <w:snapToGrid/>
        <w:spacing w:line="400" w:lineRule="exact"/>
        <w:ind w:firstLine="480"/>
        <w:jc w:val="both"/>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1.5若本项目接受联合体投标且投标人为联合体，联合体中有同类资质的供应商按照联合体分工承担相同工作的，应先按照资质等级较低的供应商确定资质等级，再按照本章第1.2、1.3、1.4条规定进行资格审查。</w:t>
      </w:r>
    </w:p>
    <w:p>
      <w:pPr>
        <w:pStyle w:val="10"/>
        <w:keepNext w:val="0"/>
        <w:keepLines w:val="0"/>
        <w:pageBreakBefore w:val="0"/>
        <w:shd w:val="clear"/>
        <w:kinsoku/>
        <w:wordWrap/>
        <w:overflowPunct/>
        <w:topLinePunct w:val="0"/>
        <w:autoSpaceDE/>
        <w:autoSpaceDN/>
        <w:bidi w:val="0"/>
        <w:adjustRightInd/>
        <w:snapToGrid/>
        <w:spacing w:line="400" w:lineRule="exact"/>
        <w:ind w:firstLine="480"/>
        <w:jc w:val="both"/>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2、资格审查情况不得私自外泄，有关信息由</w:t>
      </w:r>
      <w:r>
        <w:rPr>
          <w:rFonts w:hint="eastAsia" w:ascii="宋体" w:hAnsi="宋体" w:eastAsia="宋体" w:cs="宋体"/>
          <w:b w:val="0"/>
          <w:bCs w:val="0"/>
          <w:color w:val="auto"/>
          <w:sz w:val="24"/>
          <w:szCs w:val="24"/>
          <w:highlight w:val="none"/>
          <w:lang w:eastAsia="zh-CN"/>
        </w:rPr>
        <w:t>福建省宏通项目管理有限公司</w:t>
      </w:r>
      <w:r>
        <w:rPr>
          <w:rFonts w:hint="eastAsia" w:ascii="宋体" w:hAnsi="宋体" w:eastAsia="宋体" w:cs="宋体"/>
          <w:b w:val="0"/>
          <w:bCs w:val="0"/>
          <w:color w:val="auto"/>
          <w:sz w:val="24"/>
          <w:szCs w:val="24"/>
          <w:highlight w:val="none"/>
        </w:rPr>
        <w:t>统一对外发布。</w:t>
      </w:r>
    </w:p>
    <w:p>
      <w:pPr>
        <w:pStyle w:val="10"/>
        <w:keepNext w:val="0"/>
        <w:keepLines w:val="0"/>
        <w:pageBreakBefore w:val="0"/>
        <w:shd w:val="clear"/>
        <w:kinsoku/>
        <w:wordWrap/>
        <w:overflowPunct/>
        <w:topLinePunct w:val="0"/>
        <w:autoSpaceDE/>
        <w:autoSpaceDN/>
        <w:bidi w:val="0"/>
        <w:adjustRightInd/>
        <w:snapToGrid/>
        <w:spacing w:line="400" w:lineRule="exact"/>
        <w:ind w:firstLine="480"/>
        <w:jc w:val="both"/>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3、资格审查合格的投标人不足三家的，不进行评标。同时，本次采购活动结束，</w:t>
      </w:r>
      <w:r>
        <w:rPr>
          <w:rFonts w:hint="eastAsia" w:ascii="宋体" w:hAnsi="宋体" w:eastAsia="宋体" w:cs="宋体"/>
          <w:b w:val="0"/>
          <w:bCs w:val="0"/>
          <w:color w:val="auto"/>
          <w:sz w:val="24"/>
          <w:szCs w:val="24"/>
          <w:highlight w:val="none"/>
          <w:lang w:eastAsia="zh-CN"/>
        </w:rPr>
        <w:t>福建省宏通项目管理有限公司</w:t>
      </w:r>
      <w:r>
        <w:rPr>
          <w:rFonts w:hint="eastAsia" w:ascii="宋体" w:hAnsi="宋体" w:eastAsia="宋体" w:cs="宋体"/>
          <w:b w:val="0"/>
          <w:bCs w:val="0"/>
          <w:color w:val="auto"/>
          <w:sz w:val="24"/>
          <w:szCs w:val="24"/>
          <w:highlight w:val="none"/>
        </w:rPr>
        <w:t>将依法组织后续采购活动（包括但不限于：重新招标、采用其他方式采购等）。</w:t>
      </w:r>
    </w:p>
    <w:p>
      <w:pPr>
        <w:pStyle w:val="10"/>
        <w:keepNext w:val="0"/>
        <w:keepLines w:val="0"/>
        <w:pageBreakBefore w:val="0"/>
        <w:shd w:val="clear"/>
        <w:kinsoku/>
        <w:wordWrap/>
        <w:overflowPunct/>
        <w:topLinePunct w:val="0"/>
        <w:autoSpaceDE/>
        <w:autoSpaceDN/>
        <w:bidi w:val="0"/>
        <w:adjustRightInd/>
        <w:snapToGrid/>
        <w:spacing w:line="400" w:lineRule="exact"/>
        <w:jc w:val="both"/>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二、评标</w:t>
      </w:r>
    </w:p>
    <w:p>
      <w:pPr>
        <w:pStyle w:val="10"/>
        <w:keepNext w:val="0"/>
        <w:keepLines w:val="0"/>
        <w:pageBreakBefore w:val="0"/>
        <w:shd w:val="clear"/>
        <w:kinsoku/>
        <w:wordWrap/>
        <w:overflowPunct/>
        <w:topLinePunct w:val="0"/>
        <w:autoSpaceDE/>
        <w:autoSpaceDN/>
        <w:bidi w:val="0"/>
        <w:adjustRightInd/>
        <w:snapToGrid/>
        <w:spacing w:line="400" w:lineRule="exact"/>
        <w:ind w:firstLine="480"/>
        <w:jc w:val="both"/>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4、资格审查结束后，由</w:t>
      </w:r>
      <w:r>
        <w:rPr>
          <w:rFonts w:hint="eastAsia" w:ascii="宋体" w:hAnsi="宋体" w:eastAsia="宋体" w:cs="宋体"/>
          <w:b w:val="0"/>
          <w:bCs w:val="0"/>
          <w:color w:val="auto"/>
          <w:sz w:val="24"/>
          <w:szCs w:val="24"/>
          <w:highlight w:val="none"/>
          <w:lang w:eastAsia="zh-CN"/>
        </w:rPr>
        <w:t>福建省宏通项目管理有限公司</w:t>
      </w:r>
      <w:r>
        <w:rPr>
          <w:rFonts w:hint="eastAsia" w:ascii="宋体" w:hAnsi="宋体" w:eastAsia="宋体" w:cs="宋体"/>
          <w:b w:val="0"/>
          <w:bCs w:val="0"/>
          <w:color w:val="auto"/>
          <w:sz w:val="24"/>
          <w:szCs w:val="24"/>
          <w:highlight w:val="none"/>
        </w:rPr>
        <w:t>负责评标委员会的组建及评标工作的组织。</w:t>
      </w:r>
    </w:p>
    <w:p>
      <w:pPr>
        <w:pStyle w:val="10"/>
        <w:keepNext w:val="0"/>
        <w:keepLines w:val="0"/>
        <w:pageBreakBefore w:val="0"/>
        <w:shd w:val="clear"/>
        <w:kinsoku/>
        <w:wordWrap/>
        <w:overflowPunct/>
        <w:topLinePunct w:val="0"/>
        <w:autoSpaceDE/>
        <w:autoSpaceDN/>
        <w:bidi w:val="0"/>
        <w:adjustRightInd/>
        <w:snapToGrid/>
        <w:spacing w:line="400" w:lineRule="exact"/>
        <w:ind w:firstLine="480"/>
        <w:jc w:val="both"/>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5、评标委员会</w:t>
      </w:r>
    </w:p>
    <w:p>
      <w:pPr>
        <w:pStyle w:val="10"/>
        <w:keepNext w:val="0"/>
        <w:keepLines w:val="0"/>
        <w:pageBreakBefore w:val="0"/>
        <w:shd w:val="clear"/>
        <w:kinsoku/>
        <w:wordWrap/>
        <w:overflowPunct/>
        <w:topLinePunct w:val="0"/>
        <w:autoSpaceDE/>
        <w:autoSpaceDN/>
        <w:bidi w:val="0"/>
        <w:adjustRightInd/>
        <w:snapToGrid/>
        <w:spacing w:line="400" w:lineRule="exact"/>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由采购人代表和评审专家两部分共</w:t>
      </w:r>
      <w:r>
        <w:rPr>
          <w:rFonts w:hint="eastAsia" w:ascii="宋体" w:hAnsi="宋体" w:eastAsia="宋体" w:cs="宋体"/>
          <w:b w:val="0"/>
          <w:bCs w:val="0"/>
          <w:color w:val="auto"/>
          <w:sz w:val="24"/>
          <w:szCs w:val="24"/>
          <w:highlight w:val="none"/>
          <w:lang w:val="en-US" w:eastAsia="zh-CN"/>
        </w:rPr>
        <w:t>7</w:t>
      </w:r>
      <w:r>
        <w:rPr>
          <w:rFonts w:hint="eastAsia" w:ascii="宋体" w:hAnsi="宋体" w:eastAsia="宋体" w:cs="宋体"/>
          <w:b w:val="0"/>
          <w:bCs w:val="0"/>
          <w:color w:val="auto"/>
          <w:sz w:val="24"/>
          <w:szCs w:val="24"/>
          <w:highlight w:val="none"/>
        </w:rPr>
        <w:t>人组成，其中由福建省政府采购评审专家库产生的评审专家</w:t>
      </w:r>
      <w:r>
        <w:rPr>
          <w:rFonts w:hint="eastAsia" w:ascii="宋体" w:hAnsi="宋体" w:eastAsia="宋体"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rPr>
        <w:t>人，由采购人派出的采购人代表</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rPr>
        <w:t>人。</w:t>
      </w:r>
    </w:p>
    <w:p>
      <w:pPr>
        <w:pStyle w:val="10"/>
        <w:keepNext w:val="0"/>
        <w:keepLines w:val="0"/>
        <w:pageBreakBefore w:val="0"/>
        <w:shd w:val="clear"/>
        <w:kinsoku/>
        <w:wordWrap/>
        <w:overflowPunct/>
        <w:topLinePunct w:val="0"/>
        <w:autoSpaceDE/>
        <w:autoSpaceDN/>
        <w:bidi w:val="0"/>
        <w:adjustRightInd/>
        <w:snapToGrid/>
        <w:spacing w:line="400" w:lineRule="exact"/>
        <w:ind w:firstLine="480"/>
        <w:jc w:val="both"/>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5.2评标委员会负责具体评标事务，并按照下列原则依法独立履行有关职责：</w:t>
      </w:r>
    </w:p>
    <w:p>
      <w:pPr>
        <w:pStyle w:val="10"/>
        <w:keepNext w:val="0"/>
        <w:keepLines w:val="0"/>
        <w:pageBreakBefore w:val="0"/>
        <w:shd w:val="clear"/>
        <w:kinsoku/>
        <w:wordWrap/>
        <w:overflowPunct/>
        <w:topLinePunct w:val="0"/>
        <w:autoSpaceDE/>
        <w:autoSpaceDN/>
        <w:bidi w:val="0"/>
        <w:adjustRightInd/>
        <w:snapToGrid/>
        <w:spacing w:line="400" w:lineRule="exact"/>
        <w:ind w:firstLine="480"/>
        <w:jc w:val="both"/>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（1）评标应保护国家利益、社会公共利益和各方当事人合法权益，提高采购效益，保证项目质量。</w:t>
      </w:r>
    </w:p>
    <w:p>
      <w:pPr>
        <w:pStyle w:val="10"/>
        <w:keepNext w:val="0"/>
        <w:keepLines w:val="0"/>
        <w:pageBreakBefore w:val="0"/>
        <w:shd w:val="clear"/>
        <w:kinsoku/>
        <w:wordWrap/>
        <w:overflowPunct/>
        <w:topLinePunct w:val="0"/>
        <w:autoSpaceDE/>
        <w:autoSpaceDN/>
        <w:bidi w:val="0"/>
        <w:adjustRightInd/>
        <w:snapToGrid/>
        <w:spacing w:line="400" w:lineRule="exact"/>
        <w:ind w:firstLine="480"/>
        <w:jc w:val="both"/>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（2）评标应遵循公平、公正、科学、严谨和择优原则。</w:t>
      </w:r>
    </w:p>
    <w:p>
      <w:pPr>
        <w:pStyle w:val="10"/>
        <w:keepNext w:val="0"/>
        <w:keepLines w:val="0"/>
        <w:pageBreakBefore w:val="0"/>
        <w:shd w:val="clear"/>
        <w:kinsoku/>
        <w:wordWrap/>
        <w:overflowPunct/>
        <w:topLinePunct w:val="0"/>
        <w:autoSpaceDE/>
        <w:autoSpaceDN/>
        <w:bidi w:val="0"/>
        <w:adjustRightInd/>
        <w:snapToGrid/>
        <w:spacing w:line="400" w:lineRule="exact"/>
        <w:ind w:firstLine="480"/>
        <w:jc w:val="both"/>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（3）评标的依据是招标文件和电子投标文件。</w:t>
      </w:r>
    </w:p>
    <w:p>
      <w:pPr>
        <w:pStyle w:val="10"/>
        <w:keepNext w:val="0"/>
        <w:keepLines w:val="0"/>
        <w:pageBreakBefore w:val="0"/>
        <w:shd w:val="clear"/>
        <w:kinsoku/>
        <w:wordWrap/>
        <w:overflowPunct/>
        <w:topLinePunct w:val="0"/>
        <w:autoSpaceDE/>
        <w:autoSpaceDN/>
        <w:bidi w:val="0"/>
        <w:adjustRightInd/>
        <w:snapToGrid/>
        <w:spacing w:line="400" w:lineRule="exact"/>
        <w:ind w:firstLine="480"/>
        <w:jc w:val="both"/>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（4）应按照招标文件规定推荐中标候选人或确定中标人。</w:t>
      </w:r>
    </w:p>
    <w:p>
      <w:pPr>
        <w:pStyle w:val="10"/>
        <w:keepNext w:val="0"/>
        <w:keepLines w:val="0"/>
        <w:pageBreakBefore w:val="0"/>
        <w:shd w:val="clear"/>
        <w:kinsoku/>
        <w:wordWrap/>
        <w:overflowPunct/>
        <w:topLinePunct w:val="0"/>
        <w:autoSpaceDE/>
        <w:autoSpaceDN/>
        <w:bidi w:val="0"/>
        <w:adjustRightInd/>
        <w:snapToGrid/>
        <w:spacing w:line="400" w:lineRule="exact"/>
        <w:ind w:firstLine="480"/>
        <w:jc w:val="both"/>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（5）评标应遵守下列评标纪律：</w:t>
      </w:r>
    </w:p>
    <w:p>
      <w:pPr>
        <w:pStyle w:val="10"/>
        <w:keepNext w:val="0"/>
        <w:keepLines w:val="0"/>
        <w:pageBreakBefore w:val="0"/>
        <w:shd w:val="clear"/>
        <w:kinsoku/>
        <w:wordWrap/>
        <w:overflowPunct/>
        <w:topLinePunct w:val="0"/>
        <w:autoSpaceDE/>
        <w:autoSpaceDN/>
        <w:bidi w:val="0"/>
        <w:adjustRightInd/>
        <w:snapToGrid/>
        <w:spacing w:line="400" w:lineRule="exact"/>
        <w:ind w:firstLine="480"/>
        <w:jc w:val="both"/>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①评标情况不得私自外泄，有关信息由</w:t>
      </w:r>
      <w:r>
        <w:rPr>
          <w:rFonts w:hint="eastAsia" w:ascii="宋体" w:hAnsi="宋体" w:eastAsia="宋体" w:cs="宋体"/>
          <w:b w:val="0"/>
          <w:bCs w:val="0"/>
          <w:color w:val="auto"/>
          <w:sz w:val="24"/>
          <w:szCs w:val="24"/>
          <w:highlight w:val="none"/>
          <w:lang w:eastAsia="zh-CN"/>
        </w:rPr>
        <w:t>福建省宏通项目管理有限公司</w:t>
      </w:r>
      <w:r>
        <w:rPr>
          <w:rFonts w:hint="eastAsia" w:ascii="宋体" w:hAnsi="宋体" w:eastAsia="宋体" w:cs="宋体"/>
          <w:b w:val="0"/>
          <w:bCs w:val="0"/>
          <w:color w:val="auto"/>
          <w:sz w:val="24"/>
          <w:szCs w:val="24"/>
          <w:highlight w:val="none"/>
        </w:rPr>
        <w:t>统一对外发布。</w:t>
      </w:r>
    </w:p>
    <w:p>
      <w:pPr>
        <w:pStyle w:val="10"/>
        <w:keepNext w:val="0"/>
        <w:keepLines w:val="0"/>
        <w:pageBreakBefore w:val="0"/>
        <w:shd w:val="clear"/>
        <w:kinsoku/>
        <w:wordWrap/>
        <w:overflowPunct/>
        <w:topLinePunct w:val="0"/>
        <w:autoSpaceDE/>
        <w:autoSpaceDN/>
        <w:bidi w:val="0"/>
        <w:adjustRightInd/>
        <w:snapToGrid/>
        <w:spacing w:line="400" w:lineRule="exact"/>
        <w:ind w:firstLine="480"/>
        <w:jc w:val="both"/>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②对</w:t>
      </w:r>
      <w:r>
        <w:rPr>
          <w:rFonts w:hint="eastAsia" w:ascii="宋体" w:hAnsi="宋体" w:eastAsia="宋体" w:cs="宋体"/>
          <w:b w:val="0"/>
          <w:bCs w:val="0"/>
          <w:color w:val="auto"/>
          <w:sz w:val="24"/>
          <w:szCs w:val="24"/>
          <w:highlight w:val="none"/>
          <w:lang w:eastAsia="zh-CN"/>
        </w:rPr>
        <w:t>福建省宏通项目管理有限公司</w:t>
      </w:r>
      <w:r>
        <w:rPr>
          <w:rFonts w:hint="eastAsia" w:ascii="宋体" w:hAnsi="宋体" w:eastAsia="宋体" w:cs="宋体"/>
          <w:b w:val="0"/>
          <w:bCs w:val="0"/>
          <w:color w:val="auto"/>
          <w:sz w:val="24"/>
          <w:szCs w:val="24"/>
          <w:highlight w:val="none"/>
        </w:rPr>
        <w:t>或投标人提供的要求保密的资料，不得摘记翻印和外传。</w:t>
      </w:r>
    </w:p>
    <w:p>
      <w:pPr>
        <w:pStyle w:val="10"/>
        <w:keepNext w:val="0"/>
        <w:keepLines w:val="0"/>
        <w:pageBreakBefore w:val="0"/>
        <w:shd w:val="clear"/>
        <w:kinsoku/>
        <w:wordWrap/>
        <w:overflowPunct/>
        <w:topLinePunct w:val="0"/>
        <w:autoSpaceDE/>
        <w:autoSpaceDN/>
        <w:bidi w:val="0"/>
        <w:adjustRightInd/>
        <w:snapToGrid/>
        <w:spacing w:line="400" w:lineRule="exact"/>
        <w:ind w:firstLine="480"/>
        <w:jc w:val="both"/>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③不得收受投标人或有关人员的任何礼物，不得串联鼓动其他人袒护某投标人。若与投标人存在利害关系，则应主动声明并回避。</w:t>
      </w:r>
    </w:p>
    <w:p>
      <w:pPr>
        <w:pStyle w:val="10"/>
        <w:keepNext w:val="0"/>
        <w:keepLines w:val="0"/>
        <w:pageBreakBefore w:val="0"/>
        <w:shd w:val="clear"/>
        <w:kinsoku/>
        <w:wordWrap/>
        <w:overflowPunct/>
        <w:topLinePunct w:val="0"/>
        <w:autoSpaceDE/>
        <w:autoSpaceDN/>
        <w:bidi w:val="0"/>
        <w:adjustRightInd/>
        <w:snapToGrid/>
        <w:spacing w:line="400" w:lineRule="exact"/>
        <w:ind w:firstLine="480"/>
        <w:jc w:val="both"/>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④全体评委应按照招标文件规定进行评标，一切认定事项应查有实据且不得弄虚作假。</w:t>
      </w:r>
    </w:p>
    <w:p>
      <w:pPr>
        <w:pStyle w:val="10"/>
        <w:keepNext w:val="0"/>
        <w:keepLines w:val="0"/>
        <w:pageBreakBefore w:val="0"/>
        <w:shd w:val="clear"/>
        <w:kinsoku/>
        <w:wordWrap/>
        <w:overflowPunct/>
        <w:topLinePunct w:val="0"/>
        <w:autoSpaceDE/>
        <w:autoSpaceDN/>
        <w:bidi w:val="0"/>
        <w:adjustRightInd/>
        <w:snapToGrid/>
        <w:spacing w:line="400" w:lineRule="exact"/>
        <w:ind w:firstLine="480"/>
        <w:jc w:val="both"/>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⑤评标中应充分发扬民主，推荐中标候选人或确定中标人后要服从评标报告。</w:t>
      </w:r>
    </w:p>
    <w:p>
      <w:pPr>
        <w:pStyle w:val="10"/>
        <w:keepNext w:val="0"/>
        <w:keepLines w:val="0"/>
        <w:pageBreakBefore w:val="0"/>
        <w:shd w:val="clear"/>
        <w:kinsoku/>
        <w:wordWrap/>
        <w:overflowPunct/>
        <w:topLinePunct w:val="0"/>
        <w:autoSpaceDE/>
        <w:autoSpaceDN/>
        <w:bidi w:val="0"/>
        <w:adjustRightInd/>
        <w:snapToGrid/>
        <w:spacing w:line="400" w:lineRule="exact"/>
        <w:ind w:firstLine="480"/>
        <w:jc w:val="both"/>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※对违反评标纪律的评委，将取消其评委资格，对评标工作造成严重损失者将予以通报批评乃至追究法律责任。</w:t>
      </w:r>
    </w:p>
    <w:p>
      <w:pPr>
        <w:pStyle w:val="10"/>
        <w:keepNext w:val="0"/>
        <w:keepLines w:val="0"/>
        <w:pageBreakBefore w:val="0"/>
        <w:shd w:val="clear"/>
        <w:kinsoku/>
        <w:wordWrap/>
        <w:overflowPunct/>
        <w:topLinePunct w:val="0"/>
        <w:autoSpaceDE/>
        <w:autoSpaceDN/>
        <w:bidi w:val="0"/>
        <w:adjustRightInd/>
        <w:snapToGrid/>
        <w:spacing w:line="400" w:lineRule="exact"/>
        <w:ind w:firstLine="480"/>
        <w:jc w:val="both"/>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6、评标程序</w:t>
      </w:r>
    </w:p>
    <w:p>
      <w:pPr>
        <w:pStyle w:val="10"/>
        <w:keepNext w:val="0"/>
        <w:keepLines w:val="0"/>
        <w:pageBreakBefore w:val="0"/>
        <w:shd w:val="clear"/>
        <w:kinsoku/>
        <w:wordWrap/>
        <w:overflowPunct/>
        <w:topLinePunct w:val="0"/>
        <w:autoSpaceDE/>
        <w:autoSpaceDN/>
        <w:bidi w:val="0"/>
        <w:adjustRightInd/>
        <w:snapToGrid/>
        <w:spacing w:line="400" w:lineRule="exact"/>
        <w:ind w:firstLine="480"/>
        <w:jc w:val="both"/>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6.1评标前的准备工作</w:t>
      </w:r>
    </w:p>
    <w:p>
      <w:pPr>
        <w:pStyle w:val="10"/>
        <w:keepNext w:val="0"/>
        <w:keepLines w:val="0"/>
        <w:pageBreakBefore w:val="0"/>
        <w:shd w:val="clear"/>
        <w:kinsoku/>
        <w:wordWrap/>
        <w:overflowPunct/>
        <w:topLinePunct w:val="0"/>
        <w:autoSpaceDE/>
        <w:autoSpaceDN/>
        <w:bidi w:val="0"/>
        <w:adjustRightInd/>
        <w:snapToGrid/>
        <w:spacing w:line="400" w:lineRule="exact"/>
        <w:ind w:firstLine="480"/>
        <w:jc w:val="both"/>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（1）全体评委应认真审阅招标文件，了解评委应履行或遵守的职责、义务和评标纪律。</w:t>
      </w:r>
    </w:p>
    <w:p>
      <w:pPr>
        <w:pStyle w:val="10"/>
        <w:keepNext w:val="0"/>
        <w:keepLines w:val="0"/>
        <w:pageBreakBefore w:val="0"/>
        <w:shd w:val="clear"/>
        <w:kinsoku/>
        <w:wordWrap/>
        <w:overflowPunct/>
        <w:topLinePunct w:val="0"/>
        <w:autoSpaceDE/>
        <w:autoSpaceDN/>
        <w:bidi w:val="0"/>
        <w:adjustRightInd/>
        <w:snapToGrid/>
        <w:spacing w:line="400" w:lineRule="exact"/>
        <w:ind w:firstLine="480"/>
        <w:jc w:val="both"/>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（2）参加评标委员会的采购人代表可对本项目的背景和采购需求进行介绍，介绍材料应以书面形式提交（随采购文件一并存档），介绍内容不得含有歧视性、倾向性意见，不得超出招标文件所述范围。</w:t>
      </w:r>
    </w:p>
    <w:p>
      <w:pPr>
        <w:pStyle w:val="10"/>
        <w:keepNext w:val="0"/>
        <w:keepLines w:val="0"/>
        <w:pageBreakBefore w:val="0"/>
        <w:shd w:val="clear"/>
        <w:kinsoku/>
        <w:wordWrap/>
        <w:overflowPunct/>
        <w:topLinePunct w:val="0"/>
        <w:autoSpaceDE/>
        <w:autoSpaceDN/>
        <w:bidi w:val="0"/>
        <w:adjustRightInd/>
        <w:snapToGrid/>
        <w:spacing w:line="400" w:lineRule="exact"/>
        <w:ind w:firstLine="480"/>
        <w:jc w:val="both"/>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6.2符合性审查</w:t>
      </w:r>
    </w:p>
    <w:p>
      <w:pPr>
        <w:pStyle w:val="10"/>
        <w:keepNext w:val="0"/>
        <w:keepLines w:val="0"/>
        <w:pageBreakBefore w:val="0"/>
        <w:shd w:val="clear"/>
        <w:kinsoku/>
        <w:wordWrap/>
        <w:overflowPunct/>
        <w:topLinePunct w:val="0"/>
        <w:autoSpaceDE/>
        <w:autoSpaceDN/>
        <w:bidi w:val="0"/>
        <w:adjustRightInd/>
        <w:snapToGrid/>
        <w:spacing w:line="400" w:lineRule="exact"/>
        <w:ind w:firstLine="480"/>
        <w:jc w:val="both"/>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（1）评标委员会依据招标文件的实质性要求，对通过资格审查的电子投标文件进行符合性审查，以确定其是否满足招标文件的实质性要求。</w:t>
      </w:r>
    </w:p>
    <w:p>
      <w:pPr>
        <w:pStyle w:val="10"/>
        <w:keepNext w:val="0"/>
        <w:keepLines w:val="0"/>
        <w:pageBreakBefore w:val="0"/>
        <w:shd w:val="clear"/>
        <w:kinsoku/>
        <w:wordWrap/>
        <w:overflowPunct/>
        <w:topLinePunct w:val="0"/>
        <w:autoSpaceDE/>
        <w:autoSpaceDN/>
        <w:bidi w:val="0"/>
        <w:adjustRightInd/>
        <w:snapToGrid/>
        <w:spacing w:line="400" w:lineRule="exact"/>
        <w:ind w:firstLine="480"/>
        <w:jc w:val="both"/>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（2）满足招标文件的实质性要求指电子投标文件对招标文件实质性要求的响应不存在重大偏差或保留。</w:t>
      </w:r>
    </w:p>
    <w:p>
      <w:pPr>
        <w:pStyle w:val="10"/>
        <w:keepNext w:val="0"/>
        <w:keepLines w:val="0"/>
        <w:pageBreakBefore w:val="0"/>
        <w:shd w:val="clear"/>
        <w:kinsoku/>
        <w:wordWrap/>
        <w:overflowPunct/>
        <w:topLinePunct w:val="0"/>
        <w:autoSpaceDE/>
        <w:autoSpaceDN/>
        <w:bidi w:val="0"/>
        <w:adjustRightInd/>
        <w:snapToGrid/>
        <w:spacing w:line="400" w:lineRule="exact"/>
        <w:ind w:firstLine="480"/>
        <w:jc w:val="both"/>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pPr>
        <w:pStyle w:val="10"/>
        <w:keepNext w:val="0"/>
        <w:keepLines w:val="0"/>
        <w:pageBreakBefore w:val="0"/>
        <w:shd w:val="clear"/>
        <w:kinsoku/>
        <w:wordWrap/>
        <w:overflowPunct/>
        <w:topLinePunct w:val="0"/>
        <w:autoSpaceDE/>
        <w:autoSpaceDN/>
        <w:bidi w:val="0"/>
        <w:adjustRightInd/>
        <w:snapToGrid/>
        <w:spacing w:line="400" w:lineRule="exact"/>
        <w:ind w:firstLine="480"/>
        <w:jc w:val="both"/>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4）评标委员会审查判断电子投标文件是否满足招标文件的实质性要求仅基于电子投标文件本身而不寻求其他的外部证据。未满足招标文件实质性要求的电子投标文件将被评标委员会否决（即符合性审查不合格），被否决的电子投标文件不能通过补充、修改（澄清、说明或补正）等方式重新成为满足招标文件实质性要求的电子投标文件。</w:t>
      </w:r>
    </w:p>
    <w:p>
      <w:pPr>
        <w:pStyle w:val="10"/>
        <w:keepNext w:val="0"/>
        <w:keepLines w:val="0"/>
        <w:pageBreakBefore w:val="0"/>
        <w:shd w:val="clear"/>
        <w:kinsoku/>
        <w:wordWrap/>
        <w:overflowPunct/>
        <w:topLinePunct w:val="0"/>
        <w:autoSpaceDE/>
        <w:autoSpaceDN/>
        <w:bidi w:val="0"/>
        <w:adjustRightInd/>
        <w:snapToGrid/>
        <w:spacing w:line="400" w:lineRule="exact"/>
        <w:ind w:firstLine="480"/>
        <w:jc w:val="both"/>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（5）评标委员会对所有投标人都执行相同的程序和标准。</w:t>
      </w:r>
    </w:p>
    <w:p>
      <w:pPr>
        <w:pStyle w:val="10"/>
        <w:keepNext w:val="0"/>
        <w:keepLines w:val="0"/>
        <w:pageBreakBefore w:val="0"/>
        <w:shd w:val="clear"/>
        <w:kinsoku/>
        <w:wordWrap/>
        <w:overflowPunct/>
        <w:topLinePunct w:val="0"/>
        <w:autoSpaceDE/>
        <w:autoSpaceDN/>
        <w:bidi w:val="0"/>
        <w:adjustRightInd/>
        <w:snapToGrid/>
        <w:spacing w:line="400" w:lineRule="exact"/>
        <w:ind w:firstLine="480"/>
        <w:jc w:val="both"/>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（6）有下列情形之一的，符合性审查不合格：</w:t>
      </w:r>
    </w:p>
    <w:p>
      <w:pPr>
        <w:pStyle w:val="10"/>
        <w:keepNext w:val="0"/>
        <w:keepLines w:val="0"/>
        <w:pageBreakBefore w:val="0"/>
        <w:shd w:val="clear"/>
        <w:kinsoku/>
        <w:wordWrap/>
        <w:overflowPunct/>
        <w:topLinePunct w:val="0"/>
        <w:autoSpaceDE/>
        <w:autoSpaceDN/>
        <w:bidi w:val="0"/>
        <w:adjustRightInd/>
        <w:snapToGrid/>
        <w:spacing w:line="400" w:lineRule="exact"/>
        <w:ind w:firstLine="480"/>
        <w:jc w:val="both"/>
        <w:rPr>
          <w:rFonts w:hint="eastAsia"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rPr>
        <w:t>①项目一般情形：</w:t>
      </w:r>
    </w:p>
    <w:p>
      <w:pPr>
        <w:pStyle w:val="10"/>
        <w:keepNext w:val="0"/>
        <w:keepLines w:val="0"/>
        <w:pageBreakBefore w:val="0"/>
        <w:shd w:val="clear"/>
        <w:kinsoku/>
        <w:wordWrap/>
        <w:overflowPunct/>
        <w:topLinePunct w:val="0"/>
        <w:autoSpaceDE/>
        <w:autoSpaceDN/>
        <w:bidi w:val="0"/>
        <w:adjustRightInd/>
        <w:snapToGrid/>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采购包1：</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38"/>
        <w:gridCol w:w="3115"/>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keepNext w:val="0"/>
              <w:keepLines w:val="0"/>
              <w:pageBreakBefore w:val="0"/>
              <w:shd w:val="clear"/>
              <w:kinsoku/>
              <w:wordWrap/>
              <w:overflowPunct/>
              <w:topLinePunct w:val="0"/>
              <w:autoSpaceDE/>
              <w:autoSpaceDN/>
              <w:bidi w:val="0"/>
              <w:adjustRightInd/>
              <w:snapToGrid/>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3115" w:type="dxa"/>
          </w:tcPr>
          <w:p>
            <w:pPr>
              <w:keepNext w:val="0"/>
              <w:keepLines w:val="0"/>
              <w:pageBreakBefore w:val="0"/>
              <w:shd w:val="clear"/>
              <w:kinsoku/>
              <w:wordWrap/>
              <w:overflowPunct/>
              <w:topLinePunct w:val="0"/>
              <w:autoSpaceDE/>
              <w:autoSpaceDN/>
              <w:bidi w:val="0"/>
              <w:adjustRightInd/>
              <w:snapToGrid/>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符合审查要求概况</w:t>
            </w:r>
          </w:p>
        </w:tc>
        <w:tc>
          <w:tcPr>
            <w:tcW w:w="4153" w:type="dxa"/>
          </w:tcPr>
          <w:p>
            <w:pPr>
              <w:keepNext w:val="0"/>
              <w:keepLines w:val="0"/>
              <w:pageBreakBefore w:val="0"/>
              <w:shd w:val="clear"/>
              <w:kinsoku/>
              <w:wordWrap/>
              <w:overflowPunct/>
              <w:topLinePunct w:val="0"/>
              <w:autoSpaceDE/>
              <w:autoSpaceDN/>
              <w:bidi w:val="0"/>
              <w:adjustRightInd/>
              <w:snapToGrid/>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vAlign w:val="center"/>
          </w:tcPr>
          <w:p>
            <w:pPr>
              <w:keepNext w:val="0"/>
              <w:keepLines w:val="0"/>
              <w:pageBreakBefore w:val="0"/>
              <w:shd w:val="clear"/>
              <w:kinsoku/>
              <w:wordWrap/>
              <w:overflowPunct/>
              <w:topLinePunct w:val="0"/>
              <w:autoSpaceDE/>
              <w:autoSpaceDN/>
              <w:bidi w:val="0"/>
              <w:adjustRightInd/>
              <w:snapToGrid/>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3115" w:type="dxa"/>
            <w:vAlign w:val="center"/>
          </w:tcPr>
          <w:p>
            <w:pPr>
              <w:keepNext w:val="0"/>
              <w:keepLines w:val="0"/>
              <w:pageBreakBefore w:val="0"/>
              <w:shd w:val="clear"/>
              <w:kinsoku/>
              <w:wordWrap/>
              <w:overflowPunct/>
              <w:topLinePunct w:val="0"/>
              <w:autoSpaceDE/>
              <w:autoSpaceDN/>
              <w:bidi w:val="0"/>
              <w:adjustRightInd/>
              <w:snapToGrid/>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情形1</w:t>
            </w:r>
          </w:p>
        </w:tc>
        <w:tc>
          <w:tcPr>
            <w:tcW w:w="4153" w:type="dxa"/>
          </w:tcPr>
          <w:p>
            <w:pPr>
              <w:keepNext w:val="0"/>
              <w:keepLines w:val="0"/>
              <w:pageBreakBefore w:val="0"/>
              <w:shd w:val="clear"/>
              <w:kinsoku/>
              <w:wordWrap/>
              <w:overflowPunct/>
              <w:topLinePunct w:val="0"/>
              <w:autoSpaceDE/>
              <w:autoSpaceDN/>
              <w:bidi w:val="0"/>
              <w:adjustRightInd/>
              <w:snapToGrid/>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违反招标文件中载明“投标无效”条款的规定；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vAlign w:val="center"/>
          </w:tcPr>
          <w:p>
            <w:pPr>
              <w:keepNext w:val="0"/>
              <w:keepLines w:val="0"/>
              <w:pageBreakBefore w:val="0"/>
              <w:shd w:val="clear"/>
              <w:kinsoku/>
              <w:wordWrap/>
              <w:overflowPunct/>
              <w:topLinePunct w:val="0"/>
              <w:autoSpaceDE/>
              <w:autoSpaceDN/>
              <w:bidi w:val="0"/>
              <w:adjustRightInd/>
              <w:snapToGrid/>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3115" w:type="dxa"/>
            <w:vAlign w:val="center"/>
          </w:tcPr>
          <w:p>
            <w:pPr>
              <w:keepNext w:val="0"/>
              <w:keepLines w:val="0"/>
              <w:pageBreakBefore w:val="0"/>
              <w:shd w:val="clear"/>
              <w:kinsoku/>
              <w:wordWrap/>
              <w:overflowPunct/>
              <w:topLinePunct w:val="0"/>
              <w:autoSpaceDE/>
              <w:autoSpaceDN/>
              <w:bidi w:val="0"/>
              <w:adjustRightInd/>
              <w:snapToGrid/>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情形2</w:t>
            </w:r>
          </w:p>
        </w:tc>
        <w:tc>
          <w:tcPr>
            <w:tcW w:w="4153" w:type="dxa"/>
          </w:tcPr>
          <w:p>
            <w:pPr>
              <w:keepNext w:val="0"/>
              <w:keepLines w:val="0"/>
              <w:pageBreakBefore w:val="0"/>
              <w:shd w:val="clear"/>
              <w:kinsoku/>
              <w:wordWrap/>
              <w:overflowPunct/>
              <w:topLinePunct w:val="0"/>
              <w:autoSpaceDE/>
              <w:autoSpaceDN/>
              <w:bidi w:val="0"/>
              <w:adjustRightInd/>
              <w:snapToGrid/>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属于招标文件第三章第10.12条规定的投标无效情形；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vAlign w:val="center"/>
          </w:tcPr>
          <w:p>
            <w:pPr>
              <w:keepNext w:val="0"/>
              <w:keepLines w:val="0"/>
              <w:pageBreakBefore w:val="0"/>
              <w:shd w:val="clear"/>
              <w:kinsoku/>
              <w:wordWrap/>
              <w:overflowPunct/>
              <w:topLinePunct w:val="0"/>
              <w:autoSpaceDE/>
              <w:autoSpaceDN/>
              <w:bidi w:val="0"/>
              <w:adjustRightInd/>
              <w:snapToGrid/>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3115" w:type="dxa"/>
            <w:vAlign w:val="center"/>
          </w:tcPr>
          <w:p>
            <w:pPr>
              <w:keepNext w:val="0"/>
              <w:keepLines w:val="0"/>
              <w:pageBreakBefore w:val="0"/>
              <w:shd w:val="clear"/>
              <w:kinsoku/>
              <w:wordWrap/>
              <w:overflowPunct/>
              <w:topLinePunct w:val="0"/>
              <w:autoSpaceDE/>
              <w:autoSpaceDN/>
              <w:bidi w:val="0"/>
              <w:adjustRightInd/>
              <w:snapToGrid/>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情形3</w:t>
            </w:r>
          </w:p>
        </w:tc>
        <w:tc>
          <w:tcPr>
            <w:tcW w:w="4153" w:type="dxa"/>
          </w:tcPr>
          <w:p>
            <w:pPr>
              <w:keepNext w:val="0"/>
              <w:keepLines w:val="0"/>
              <w:pageBreakBefore w:val="0"/>
              <w:shd w:val="clear"/>
              <w:kinsoku/>
              <w:wordWrap/>
              <w:overflowPunct/>
              <w:topLinePunct w:val="0"/>
              <w:autoSpaceDE/>
              <w:autoSpaceDN/>
              <w:bidi w:val="0"/>
              <w:adjustRightInd/>
              <w:snapToGrid/>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投标文件对招标文件实质性要求的响应存在重大偏离或保留。</w:t>
            </w:r>
          </w:p>
        </w:tc>
      </w:tr>
    </w:tbl>
    <w:p>
      <w:pPr>
        <w:pStyle w:val="10"/>
        <w:keepNext w:val="0"/>
        <w:keepLines w:val="0"/>
        <w:pageBreakBefore w:val="0"/>
        <w:shd w:val="clear"/>
        <w:kinsoku/>
        <w:wordWrap/>
        <w:overflowPunct/>
        <w:topLinePunct w:val="0"/>
        <w:autoSpaceDE/>
        <w:autoSpaceDN/>
        <w:bidi w:val="0"/>
        <w:adjustRightInd/>
        <w:snapToGrid/>
        <w:spacing w:line="400" w:lineRule="exact"/>
        <w:ind w:firstLine="480"/>
        <w:jc w:val="both"/>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②本项目规定的其他情形：</w:t>
      </w:r>
    </w:p>
    <w:p>
      <w:pPr>
        <w:pStyle w:val="10"/>
        <w:keepNext w:val="0"/>
        <w:keepLines w:val="0"/>
        <w:pageBreakBefore w:val="0"/>
        <w:shd w:val="clear"/>
        <w:kinsoku/>
        <w:wordWrap/>
        <w:overflowPunct/>
        <w:topLinePunct w:val="0"/>
        <w:autoSpaceDE/>
        <w:autoSpaceDN/>
        <w:bidi w:val="0"/>
        <w:adjustRightInd/>
        <w:snapToGrid/>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采购包1：</w:t>
      </w:r>
    </w:p>
    <w:p>
      <w:pPr>
        <w:pStyle w:val="10"/>
        <w:keepNext w:val="0"/>
        <w:keepLines w:val="0"/>
        <w:pageBreakBefore w:val="0"/>
        <w:shd w:val="clear"/>
        <w:kinsoku/>
        <w:wordWrap/>
        <w:overflowPunct/>
        <w:topLinePunct w:val="0"/>
        <w:autoSpaceDE/>
        <w:autoSpaceDN/>
        <w:bidi w:val="0"/>
        <w:adjustRightInd/>
        <w:snapToGrid/>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技术符合性</w:t>
      </w:r>
    </w:p>
    <w:tbl>
      <w:tblPr>
        <w:tblStyle w:val="7"/>
        <w:tblW w:w="5000"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424"/>
        <w:gridCol w:w="831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31" w:type="pct"/>
            <w:vAlign w:val="center"/>
          </w:tcPr>
          <w:p>
            <w:pPr>
              <w:keepNext w:val="0"/>
              <w:keepLines w:val="0"/>
              <w:pageBreakBefore w:val="0"/>
              <w:shd w:val="clear"/>
              <w:kinsoku/>
              <w:wordWrap/>
              <w:overflowPunct/>
              <w:topLinePunct w:val="0"/>
              <w:autoSpaceDE/>
              <w:autoSpaceDN/>
              <w:bidi w:val="0"/>
              <w:adjustRightInd/>
              <w:snapToGrid/>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情形</w:t>
            </w:r>
          </w:p>
        </w:tc>
        <w:tc>
          <w:tcPr>
            <w:tcW w:w="4268" w:type="pct"/>
          </w:tcPr>
          <w:p>
            <w:pPr>
              <w:keepNext w:val="0"/>
              <w:keepLines w:val="0"/>
              <w:pageBreakBefore w:val="0"/>
              <w:shd w:val="clear"/>
              <w:kinsoku/>
              <w:wordWrap/>
              <w:overflowPunct/>
              <w:topLinePunct w:val="0"/>
              <w:autoSpaceDE/>
              <w:autoSpaceDN/>
              <w:bidi w:val="0"/>
              <w:adjustRightInd/>
              <w:snapToGrid/>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31" w:type="pct"/>
            <w:vAlign w:val="center"/>
          </w:tcPr>
          <w:p>
            <w:pPr>
              <w:keepNext w:val="0"/>
              <w:keepLines w:val="0"/>
              <w:pageBreakBefore w:val="0"/>
              <w:shd w:val="clear"/>
              <w:kinsoku/>
              <w:wordWrap/>
              <w:overflowPunct/>
              <w:topLinePunct w:val="0"/>
              <w:autoSpaceDE/>
              <w:autoSpaceDN/>
              <w:bidi w:val="0"/>
              <w:adjustRightInd/>
              <w:snapToGrid/>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其他情形</w:t>
            </w:r>
          </w:p>
        </w:tc>
        <w:tc>
          <w:tcPr>
            <w:tcW w:w="4268" w:type="pct"/>
          </w:tcPr>
          <w:p>
            <w:pPr>
              <w:keepNext w:val="0"/>
              <w:keepLines w:val="0"/>
              <w:pageBreakBefore w:val="0"/>
              <w:shd w:val="clear"/>
              <w:kinsoku/>
              <w:wordWrap/>
              <w:overflowPunct/>
              <w:topLinePunct w:val="0"/>
              <w:autoSpaceDE/>
              <w:autoSpaceDN/>
              <w:bidi w:val="0"/>
              <w:adjustRightInd/>
              <w:snapToGrid/>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技术部分中出现报价部分的全部或部分的投标报价信息（或组成资料），符合性审查不合格。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31" w:type="pct"/>
            <w:vAlign w:val="center"/>
          </w:tcPr>
          <w:p>
            <w:pPr>
              <w:keepNext w:val="0"/>
              <w:keepLines w:val="0"/>
              <w:pageBreakBefore w:val="0"/>
              <w:shd w:val="clear"/>
              <w:kinsoku/>
              <w:wordWrap/>
              <w:overflowPunct/>
              <w:topLinePunct w:val="0"/>
              <w:autoSpaceDE/>
              <w:autoSpaceDN/>
              <w:bidi w:val="0"/>
              <w:adjustRightInd/>
              <w:snapToGrid/>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其他情形</w:t>
            </w:r>
          </w:p>
        </w:tc>
        <w:tc>
          <w:tcPr>
            <w:tcW w:w="4268" w:type="pct"/>
          </w:tcPr>
          <w:p>
            <w:pPr>
              <w:keepNext w:val="0"/>
              <w:keepLines w:val="0"/>
              <w:pageBreakBefore w:val="0"/>
              <w:shd w:val="clear"/>
              <w:kinsoku/>
              <w:wordWrap/>
              <w:overflowPunct/>
              <w:topLinePunct w:val="0"/>
              <w:autoSpaceDE/>
              <w:autoSpaceDN/>
              <w:bidi w:val="0"/>
              <w:adjustRightInd/>
              <w:snapToGrid/>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若投标人的技术部分实际得分少于招标文件设定的技术部分总分50%，即视为技术部分未实质性响应招标文件要求，按无效标处理。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31" w:type="pct"/>
            <w:vAlign w:val="center"/>
          </w:tcPr>
          <w:p>
            <w:pPr>
              <w:keepNext w:val="0"/>
              <w:keepLines w:val="0"/>
              <w:pageBreakBefore w:val="0"/>
              <w:shd w:val="clear"/>
              <w:kinsoku/>
              <w:wordWrap/>
              <w:overflowPunct/>
              <w:topLinePunct w:val="0"/>
              <w:autoSpaceDE/>
              <w:autoSpaceDN/>
              <w:bidi w:val="0"/>
              <w:adjustRightInd/>
              <w:snapToGrid/>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其他情形</w:t>
            </w:r>
          </w:p>
        </w:tc>
        <w:tc>
          <w:tcPr>
            <w:tcW w:w="4268" w:type="pct"/>
          </w:tcPr>
          <w:p>
            <w:pPr>
              <w:keepNext w:val="0"/>
              <w:keepLines w:val="0"/>
              <w:pageBreakBefore w:val="0"/>
              <w:shd w:val="clear"/>
              <w:kinsoku/>
              <w:wordWrap/>
              <w:overflowPunct/>
              <w:topLinePunct w:val="0"/>
              <w:autoSpaceDE/>
              <w:autoSpaceDN/>
              <w:bidi w:val="0"/>
              <w:adjustRightInd/>
              <w:snapToGrid/>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投标人技术部分文件存在招标文件规定的其他无效标情形的，符合性审查不合格。</w:t>
            </w:r>
          </w:p>
        </w:tc>
      </w:tr>
    </w:tbl>
    <w:p>
      <w:pPr>
        <w:pStyle w:val="10"/>
        <w:keepNext w:val="0"/>
        <w:keepLines w:val="0"/>
        <w:pageBreakBefore w:val="0"/>
        <w:shd w:val="clear"/>
        <w:kinsoku/>
        <w:wordWrap/>
        <w:overflowPunct/>
        <w:topLinePunct w:val="0"/>
        <w:autoSpaceDE/>
        <w:autoSpaceDN/>
        <w:bidi w:val="0"/>
        <w:adjustRightInd/>
        <w:snapToGrid/>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商务符合性</w:t>
      </w:r>
    </w:p>
    <w:tbl>
      <w:tblPr>
        <w:tblStyle w:val="7"/>
        <w:tblW w:w="5000"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424"/>
        <w:gridCol w:w="831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31" w:type="pct"/>
            <w:vAlign w:val="center"/>
          </w:tcPr>
          <w:p>
            <w:pPr>
              <w:keepNext w:val="0"/>
              <w:keepLines w:val="0"/>
              <w:pageBreakBefore w:val="0"/>
              <w:shd w:val="clear"/>
              <w:kinsoku/>
              <w:wordWrap/>
              <w:overflowPunct/>
              <w:topLinePunct w:val="0"/>
              <w:autoSpaceDE/>
              <w:autoSpaceDN/>
              <w:bidi w:val="0"/>
              <w:adjustRightInd/>
              <w:snapToGrid/>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情形</w:t>
            </w:r>
          </w:p>
        </w:tc>
        <w:tc>
          <w:tcPr>
            <w:tcW w:w="4268" w:type="pct"/>
          </w:tcPr>
          <w:p>
            <w:pPr>
              <w:keepNext w:val="0"/>
              <w:keepLines w:val="0"/>
              <w:pageBreakBefore w:val="0"/>
              <w:shd w:val="clear"/>
              <w:kinsoku/>
              <w:wordWrap/>
              <w:overflowPunct/>
              <w:topLinePunct w:val="0"/>
              <w:autoSpaceDE/>
              <w:autoSpaceDN/>
              <w:bidi w:val="0"/>
              <w:adjustRightInd/>
              <w:snapToGrid/>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31" w:type="pct"/>
            <w:vAlign w:val="center"/>
          </w:tcPr>
          <w:p>
            <w:pPr>
              <w:keepNext w:val="0"/>
              <w:keepLines w:val="0"/>
              <w:pageBreakBefore w:val="0"/>
              <w:shd w:val="clear"/>
              <w:kinsoku/>
              <w:wordWrap/>
              <w:overflowPunct/>
              <w:topLinePunct w:val="0"/>
              <w:autoSpaceDE/>
              <w:autoSpaceDN/>
              <w:bidi w:val="0"/>
              <w:adjustRightInd/>
              <w:snapToGrid/>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其他情形</w:t>
            </w:r>
          </w:p>
        </w:tc>
        <w:tc>
          <w:tcPr>
            <w:tcW w:w="4268" w:type="pct"/>
          </w:tcPr>
          <w:p>
            <w:pPr>
              <w:keepNext w:val="0"/>
              <w:keepLines w:val="0"/>
              <w:pageBreakBefore w:val="0"/>
              <w:shd w:val="clear"/>
              <w:kinsoku/>
              <w:wordWrap/>
              <w:overflowPunct/>
              <w:topLinePunct w:val="0"/>
              <w:autoSpaceDE/>
              <w:autoSpaceDN/>
              <w:bidi w:val="0"/>
              <w:adjustRightInd/>
              <w:snapToGrid/>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招标文件第五章“三、商务条件”中内容出现负偏离的，按无效标处理。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31" w:type="pct"/>
            <w:vAlign w:val="center"/>
          </w:tcPr>
          <w:p>
            <w:pPr>
              <w:keepNext w:val="0"/>
              <w:keepLines w:val="0"/>
              <w:pageBreakBefore w:val="0"/>
              <w:shd w:val="clear"/>
              <w:kinsoku/>
              <w:wordWrap/>
              <w:overflowPunct/>
              <w:topLinePunct w:val="0"/>
              <w:autoSpaceDE/>
              <w:autoSpaceDN/>
              <w:bidi w:val="0"/>
              <w:adjustRightInd/>
              <w:snapToGrid/>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其他情形</w:t>
            </w:r>
          </w:p>
        </w:tc>
        <w:tc>
          <w:tcPr>
            <w:tcW w:w="4268" w:type="pct"/>
          </w:tcPr>
          <w:p>
            <w:pPr>
              <w:keepNext w:val="0"/>
              <w:keepLines w:val="0"/>
              <w:pageBreakBefore w:val="0"/>
              <w:shd w:val="clear"/>
              <w:kinsoku/>
              <w:wordWrap/>
              <w:overflowPunct/>
              <w:topLinePunct w:val="0"/>
              <w:autoSpaceDE/>
              <w:autoSpaceDN/>
              <w:bidi w:val="0"/>
              <w:adjustRightInd/>
              <w:snapToGrid/>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投标人商务部分文件存在招标文件规定的其他无效标情形的，符合性审查不合格。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31" w:type="pct"/>
            <w:vAlign w:val="center"/>
          </w:tcPr>
          <w:p>
            <w:pPr>
              <w:keepNext w:val="0"/>
              <w:keepLines w:val="0"/>
              <w:pageBreakBefore w:val="0"/>
              <w:shd w:val="clear"/>
              <w:kinsoku/>
              <w:wordWrap/>
              <w:overflowPunct/>
              <w:topLinePunct w:val="0"/>
              <w:autoSpaceDE/>
              <w:autoSpaceDN/>
              <w:bidi w:val="0"/>
              <w:adjustRightInd/>
              <w:snapToGrid/>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其他情形</w:t>
            </w:r>
          </w:p>
        </w:tc>
        <w:tc>
          <w:tcPr>
            <w:tcW w:w="4268" w:type="pct"/>
          </w:tcPr>
          <w:p>
            <w:pPr>
              <w:keepNext w:val="0"/>
              <w:keepLines w:val="0"/>
              <w:pageBreakBefore w:val="0"/>
              <w:shd w:val="clear"/>
              <w:kinsoku/>
              <w:wordWrap/>
              <w:overflowPunct/>
              <w:topLinePunct w:val="0"/>
              <w:autoSpaceDE/>
              <w:autoSpaceDN/>
              <w:bidi w:val="0"/>
              <w:adjustRightInd/>
              <w:snapToGrid/>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投标文件的商务部分中出现报价部分的全部或部分的投标报价信息（或组成资料），符合性审查不合格。</w:t>
            </w:r>
          </w:p>
        </w:tc>
      </w:tr>
    </w:tbl>
    <w:p>
      <w:pPr>
        <w:pStyle w:val="10"/>
        <w:keepNext w:val="0"/>
        <w:keepLines w:val="0"/>
        <w:pageBreakBefore w:val="0"/>
        <w:shd w:val="clear"/>
        <w:kinsoku/>
        <w:wordWrap/>
        <w:overflowPunct/>
        <w:topLinePunct w:val="0"/>
        <w:autoSpaceDE/>
        <w:autoSpaceDN/>
        <w:bidi w:val="0"/>
        <w:adjustRightInd/>
        <w:snapToGrid/>
        <w:spacing w:line="40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附加符合性：无</w:t>
      </w:r>
      <w:r>
        <w:rPr>
          <w:rFonts w:hint="eastAsia" w:ascii="宋体" w:hAnsi="宋体" w:eastAsia="宋体" w:cs="宋体"/>
          <w:color w:val="auto"/>
          <w:sz w:val="24"/>
          <w:szCs w:val="24"/>
          <w:highlight w:val="none"/>
          <w:lang w:eastAsia="zh-CN"/>
        </w:rPr>
        <w:t>。</w:t>
      </w:r>
    </w:p>
    <w:p>
      <w:pPr>
        <w:pStyle w:val="10"/>
        <w:keepNext w:val="0"/>
        <w:keepLines w:val="0"/>
        <w:pageBreakBefore w:val="0"/>
        <w:shd w:val="clear"/>
        <w:kinsoku/>
        <w:wordWrap/>
        <w:overflowPunct/>
        <w:topLinePunct w:val="0"/>
        <w:autoSpaceDE/>
        <w:autoSpaceDN/>
        <w:bidi w:val="0"/>
        <w:adjustRightInd/>
        <w:snapToGrid/>
        <w:spacing w:line="4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价格符合性：无</w:t>
      </w:r>
      <w:r>
        <w:rPr>
          <w:rFonts w:hint="eastAsia" w:ascii="宋体" w:hAnsi="宋体" w:eastAsia="宋体" w:cs="宋体"/>
          <w:color w:val="auto"/>
          <w:sz w:val="24"/>
          <w:szCs w:val="24"/>
          <w:highlight w:val="none"/>
          <w:lang w:eastAsia="zh-CN"/>
        </w:rPr>
        <w:t>。</w:t>
      </w:r>
    </w:p>
    <w:p>
      <w:pPr>
        <w:pStyle w:val="10"/>
        <w:keepNext w:val="0"/>
        <w:keepLines w:val="0"/>
        <w:pageBreakBefore w:val="0"/>
        <w:shd w:val="clear"/>
        <w:kinsoku/>
        <w:wordWrap/>
        <w:overflowPunct/>
        <w:topLinePunct w:val="0"/>
        <w:autoSpaceDE/>
        <w:autoSpaceDN/>
        <w:bidi w:val="0"/>
        <w:adjustRightInd/>
        <w:snapToGrid/>
        <w:spacing w:line="400" w:lineRule="exact"/>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6.3澄清有关问题</w:t>
      </w:r>
    </w:p>
    <w:p>
      <w:pPr>
        <w:pStyle w:val="10"/>
        <w:keepNext w:val="0"/>
        <w:keepLines w:val="0"/>
        <w:pageBreakBefore w:val="0"/>
        <w:shd w:val="clear"/>
        <w:kinsoku/>
        <w:wordWrap/>
        <w:overflowPunct/>
        <w:topLinePunct w:val="0"/>
        <w:autoSpaceDE/>
        <w:autoSpaceDN/>
        <w:bidi w:val="0"/>
        <w:adjustRightInd/>
        <w:snapToGrid/>
        <w:spacing w:line="400" w:lineRule="exact"/>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（1）对通过符合性审查的电子投标文件中含义不明确、同类问题表述不一致或有明显文字和计算错误的内容，评标委员会将以书面形式要求投标人作出必要的澄清、说明或补正。</w:t>
      </w:r>
    </w:p>
    <w:p>
      <w:pPr>
        <w:pStyle w:val="10"/>
        <w:keepNext w:val="0"/>
        <w:keepLines w:val="0"/>
        <w:pageBreakBefore w:val="0"/>
        <w:shd w:val="clear"/>
        <w:kinsoku/>
        <w:wordWrap/>
        <w:overflowPunct/>
        <w:topLinePunct w:val="0"/>
        <w:autoSpaceDE/>
        <w:autoSpaceDN/>
        <w:bidi w:val="0"/>
        <w:adjustRightInd/>
        <w:snapToGrid/>
        <w:spacing w:line="400" w:lineRule="exact"/>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投标人的澄清、说明或补正应由投标人代表在评标委员会规定的时间内（一般在半个小时左右，具体要求将根据实际情况在澄清通知中约定）以书面形式向评标委员会提交，前述澄清、说明或补正不得超出电子投标文件的范围或改变电子投标文件的实质性内容。若投标人未按照前述规定向评标委员会提交书面澄清、说明或补正，则评标委员会将按照不利于投标人的内容进行认定。</w:t>
      </w:r>
    </w:p>
    <w:p>
      <w:pPr>
        <w:pStyle w:val="10"/>
        <w:keepNext w:val="0"/>
        <w:keepLines w:val="0"/>
        <w:pageBreakBefore w:val="0"/>
        <w:shd w:val="clear"/>
        <w:kinsoku/>
        <w:wordWrap/>
        <w:overflowPunct/>
        <w:topLinePunct w:val="0"/>
        <w:autoSpaceDE/>
        <w:autoSpaceDN/>
        <w:bidi w:val="0"/>
        <w:adjustRightInd/>
        <w:snapToGrid/>
        <w:spacing w:line="400" w:lineRule="exact"/>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（3）电子投标文件报价出现前后不一致的，除招标文件另有规定外，按照下列规定修正：</w:t>
      </w:r>
    </w:p>
    <w:p>
      <w:pPr>
        <w:pStyle w:val="10"/>
        <w:keepNext w:val="0"/>
        <w:keepLines w:val="0"/>
        <w:pageBreakBefore w:val="0"/>
        <w:shd w:val="clear"/>
        <w:kinsoku/>
        <w:wordWrap/>
        <w:overflowPunct/>
        <w:topLinePunct w:val="0"/>
        <w:autoSpaceDE/>
        <w:autoSpaceDN/>
        <w:bidi w:val="0"/>
        <w:adjustRightInd/>
        <w:snapToGrid/>
        <w:spacing w:line="400" w:lineRule="exact"/>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①开标一览表内容与电子投标文件中相应内容不一致的，以开标一览表为准；</w:t>
      </w:r>
    </w:p>
    <w:p>
      <w:pPr>
        <w:pStyle w:val="10"/>
        <w:keepNext w:val="0"/>
        <w:keepLines w:val="0"/>
        <w:pageBreakBefore w:val="0"/>
        <w:shd w:val="clear"/>
        <w:kinsoku/>
        <w:wordWrap/>
        <w:overflowPunct/>
        <w:topLinePunct w:val="0"/>
        <w:autoSpaceDE/>
        <w:autoSpaceDN/>
        <w:bidi w:val="0"/>
        <w:adjustRightInd/>
        <w:snapToGrid/>
        <w:spacing w:line="400" w:lineRule="exact"/>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②大写金额和小写金额不一致的，以大写金额为准；</w:t>
      </w:r>
    </w:p>
    <w:p>
      <w:pPr>
        <w:pStyle w:val="10"/>
        <w:keepNext w:val="0"/>
        <w:keepLines w:val="0"/>
        <w:pageBreakBefore w:val="0"/>
        <w:shd w:val="clear"/>
        <w:kinsoku/>
        <w:wordWrap/>
        <w:overflowPunct/>
        <w:topLinePunct w:val="0"/>
        <w:autoSpaceDE/>
        <w:autoSpaceDN/>
        <w:bidi w:val="0"/>
        <w:adjustRightInd/>
        <w:snapToGrid/>
        <w:spacing w:line="400" w:lineRule="exact"/>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③单价金额小数点或百分比有明显错位的，以开标一览表的总价为准，并修改单价；</w:t>
      </w:r>
    </w:p>
    <w:p>
      <w:pPr>
        <w:pStyle w:val="10"/>
        <w:keepNext w:val="0"/>
        <w:keepLines w:val="0"/>
        <w:pageBreakBefore w:val="0"/>
        <w:shd w:val="clear"/>
        <w:kinsoku/>
        <w:wordWrap/>
        <w:overflowPunct/>
        <w:topLinePunct w:val="0"/>
        <w:autoSpaceDE/>
        <w:autoSpaceDN/>
        <w:bidi w:val="0"/>
        <w:adjustRightInd/>
        <w:snapToGrid/>
        <w:spacing w:line="400" w:lineRule="exact"/>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④总价金额与按照单价汇总金额不一致的，以单价金额计算结果为准。</w:t>
      </w:r>
    </w:p>
    <w:p>
      <w:pPr>
        <w:pStyle w:val="10"/>
        <w:keepNext w:val="0"/>
        <w:keepLines w:val="0"/>
        <w:pageBreakBefore w:val="0"/>
        <w:shd w:val="clear"/>
        <w:kinsoku/>
        <w:wordWrap/>
        <w:overflowPunct/>
        <w:topLinePunct w:val="0"/>
        <w:autoSpaceDE/>
        <w:autoSpaceDN/>
        <w:bidi w:val="0"/>
        <w:adjustRightInd/>
        <w:snapToGrid/>
        <w:spacing w:line="400" w:lineRule="exact"/>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※同时出现两种以上不一致的，按照前款规定的顺序修正。修正后的报价应按照本章第6.3条第（1）、（2）款规定经投标人确认后产生约束力，投标人不确认的，其投标无效。</w:t>
      </w:r>
    </w:p>
    <w:p>
      <w:pPr>
        <w:pStyle w:val="10"/>
        <w:keepNext w:val="0"/>
        <w:keepLines w:val="0"/>
        <w:pageBreakBefore w:val="0"/>
        <w:shd w:val="clear"/>
        <w:kinsoku/>
        <w:wordWrap/>
        <w:overflowPunct/>
        <w:topLinePunct w:val="0"/>
        <w:autoSpaceDE/>
        <w:autoSpaceDN/>
        <w:bidi w:val="0"/>
        <w:adjustRightInd/>
        <w:snapToGrid/>
        <w:spacing w:line="400" w:lineRule="exact"/>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（4）关于细微偏差</w:t>
      </w:r>
    </w:p>
    <w:p>
      <w:pPr>
        <w:pStyle w:val="10"/>
        <w:keepNext w:val="0"/>
        <w:keepLines w:val="0"/>
        <w:pageBreakBefore w:val="0"/>
        <w:shd w:val="clear"/>
        <w:kinsoku/>
        <w:wordWrap/>
        <w:overflowPunct/>
        <w:topLinePunct w:val="0"/>
        <w:autoSpaceDE/>
        <w:autoSpaceDN/>
        <w:bidi w:val="0"/>
        <w:adjustRightInd/>
        <w:snapToGrid/>
        <w:spacing w:line="400" w:lineRule="exact"/>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①细微偏差指电子投标文件实质性响应招标文件要求，但在个别地方存在漏项或提供了不完整的技术信息和数据等情况，并且补正这些遗漏或不完整不会对其他投标人造成不公平的结果。细微偏差不影响电子投标文件的有效性。</w:t>
      </w:r>
    </w:p>
    <w:p>
      <w:pPr>
        <w:pStyle w:val="10"/>
        <w:keepNext w:val="0"/>
        <w:keepLines w:val="0"/>
        <w:pageBreakBefore w:val="0"/>
        <w:shd w:val="clear"/>
        <w:kinsoku/>
        <w:wordWrap/>
        <w:overflowPunct/>
        <w:topLinePunct w:val="0"/>
        <w:autoSpaceDE/>
        <w:autoSpaceDN/>
        <w:bidi w:val="0"/>
        <w:adjustRightInd/>
        <w:snapToGrid/>
        <w:spacing w:line="400" w:lineRule="exact"/>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②评标委员会将以书面形式要求存在细微偏差的投标人在评标委员会规定的时间内予以补正。若无法补正，则评标委员会将按照不利于投标人的内容进行认定。</w:t>
      </w:r>
    </w:p>
    <w:p>
      <w:pPr>
        <w:pStyle w:val="10"/>
        <w:keepNext w:val="0"/>
        <w:keepLines w:val="0"/>
        <w:pageBreakBefore w:val="0"/>
        <w:shd w:val="clear"/>
        <w:kinsoku/>
        <w:wordWrap/>
        <w:overflowPunct/>
        <w:topLinePunct w:val="0"/>
        <w:autoSpaceDE/>
        <w:autoSpaceDN/>
        <w:bidi w:val="0"/>
        <w:adjustRightInd/>
        <w:snapToGrid/>
        <w:spacing w:line="400" w:lineRule="exact"/>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（5）关于投标描述（即电子投标文件中描述的内容）</w:t>
      </w:r>
    </w:p>
    <w:p>
      <w:pPr>
        <w:pStyle w:val="10"/>
        <w:keepNext w:val="0"/>
        <w:keepLines w:val="0"/>
        <w:pageBreakBefore w:val="0"/>
        <w:shd w:val="clear"/>
        <w:kinsoku/>
        <w:wordWrap/>
        <w:overflowPunct/>
        <w:topLinePunct w:val="0"/>
        <w:autoSpaceDE/>
        <w:autoSpaceDN/>
        <w:bidi w:val="0"/>
        <w:adjustRightInd/>
        <w:snapToGrid/>
        <w:spacing w:line="400" w:lineRule="exact"/>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①投标描述前后不一致且不涉及证明材料的：按照本章第6.3条第（1）、（2）款规定执行。</w:t>
      </w:r>
    </w:p>
    <w:p>
      <w:pPr>
        <w:pStyle w:val="10"/>
        <w:keepNext w:val="0"/>
        <w:keepLines w:val="0"/>
        <w:pageBreakBefore w:val="0"/>
        <w:shd w:val="clear"/>
        <w:kinsoku/>
        <w:wordWrap/>
        <w:overflowPunct/>
        <w:topLinePunct w:val="0"/>
        <w:autoSpaceDE/>
        <w:autoSpaceDN/>
        <w:bidi w:val="0"/>
        <w:adjustRightInd/>
        <w:snapToGrid/>
        <w:spacing w:line="400" w:lineRule="exact"/>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②投标描述与证明材料不一致或多份证明材料之间不一致的：</w:t>
      </w:r>
    </w:p>
    <w:p>
      <w:pPr>
        <w:pStyle w:val="10"/>
        <w:keepNext w:val="0"/>
        <w:keepLines w:val="0"/>
        <w:pageBreakBefore w:val="0"/>
        <w:shd w:val="clear"/>
        <w:kinsoku/>
        <w:wordWrap/>
        <w:overflowPunct/>
        <w:topLinePunct w:val="0"/>
        <w:autoSpaceDE/>
        <w:autoSpaceDN/>
        <w:bidi w:val="0"/>
        <w:adjustRightInd/>
        <w:snapToGrid/>
        <w:spacing w:line="400" w:lineRule="exact"/>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a.评标委员会将要求投标人进行书面澄清，并按照不利于投标人的内容进行评标。</w:t>
      </w:r>
    </w:p>
    <w:p>
      <w:pPr>
        <w:pStyle w:val="10"/>
        <w:keepNext w:val="0"/>
        <w:keepLines w:val="0"/>
        <w:pageBreakBefore w:val="0"/>
        <w:shd w:val="clear"/>
        <w:kinsoku/>
        <w:wordWrap/>
        <w:overflowPunct/>
        <w:topLinePunct w:val="0"/>
        <w:autoSpaceDE/>
        <w:autoSpaceDN/>
        <w:bidi w:val="0"/>
        <w:adjustRightInd/>
        <w:snapToGrid/>
        <w:spacing w:line="400" w:lineRule="exact"/>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b.投标人按照要求进行澄清的，采购人以澄清内容为准进行验收；投标人未按照要求进行澄清的，采购人以投标描述或证明材料中有利于采购人的内容进行验收。投标人应对证明材料的真实性、有效性承担责任。</w:t>
      </w:r>
    </w:p>
    <w:p>
      <w:pPr>
        <w:pStyle w:val="10"/>
        <w:keepNext w:val="0"/>
        <w:keepLines w:val="0"/>
        <w:pageBreakBefore w:val="0"/>
        <w:shd w:val="clear"/>
        <w:kinsoku/>
        <w:wordWrap/>
        <w:overflowPunct/>
        <w:topLinePunct w:val="0"/>
        <w:autoSpaceDE/>
        <w:autoSpaceDN/>
        <w:bidi w:val="0"/>
        <w:adjustRightInd/>
        <w:snapToGrid/>
        <w:spacing w:line="400" w:lineRule="exact"/>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pPr>
        <w:pStyle w:val="10"/>
        <w:keepNext w:val="0"/>
        <w:keepLines w:val="0"/>
        <w:pageBreakBefore w:val="0"/>
        <w:shd w:val="clear"/>
        <w:kinsoku/>
        <w:wordWrap/>
        <w:overflowPunct/>
        <w:topLinePunct w:val="0"/>
        <w:autoSpaceDE/>
        <w:autoSpaceDN/>
        <w:bidi w:val="0"/>
        <w:adjustRightInd/>
        <w:snapToGrid/>
        <w:spacing w:line="400" w:lineRule="exact"/>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6.4比较与评价</w:t>
      </w:r>
    </w:p>
    <w:p>
      <w:pPr>
        <w:pStyle w:val="10"/>
        <w:keepNext w:val="0"/>
        <w:keepLines w:val="0"/>
        <w:pageBreakBefore w:val="0"/>
        <w:shd w:val="clear"/>
        <w:kinsoku/>
        <w:wordWrap/>
        <w:overflowPunct/>
        <w:topLinePunct w:val="0"/>
        <w:autoSpaceDE/>
        <w:autoSpaceDN/>
        <w:bidi w:val="0"/>
        <w:adjustRightInd/>
        <w:snapToGrid/>
        <w:spacing w:line="400" w:lineRule="exact"/>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（1）按照本章第7条载明的评标方法和标准，对符合性审查合格的电子投标文件进行比较与评价。</w:t>
      </w:r>
    </w:p>
    <w:p>
      <w:pPr>
        <w:pStyle w:val="10"/>
        <w:keepNext w:val="0"/>
        <w:keepLines w:val="0"/>
        <w:pageBreakBefore w:val="0"/>
        <w:shd w:val="clear"/>
        <w:kinsoku/>
        <w:wordWrap/>
        <w:overflowPunct/>
        <w:topLinePunct w:val="0"/>
        <w:autoSpaceDE/>
        <w:autoSpaceDN/>
        <w:bidi w:val="0"/>
        <w:adjustRightInd/>
        <w:snapToGrid/>
        <w:spacing w:line="400" w:lineRule="exact"/>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（2）关于相同品牌产品（政府采购服务类项目不适用本条款规定）</w:t>
      </w:r>
    </w:p>
    <w:p>
      <w:pPr>
        <w:pStyle w:val="10"/>
        <w:keepNext w:val="0"/>
        <w:keepLines w:val="0"/>
        <w:pageBreakBefore w:val="0"/>
        <w:shd w:val="clear"/>
        <w:kinsoku/>
        <w:wordWrap/>
        <w:overflowPunct/>
        <w:topLinePunct w:val="0"/>
        <w:autoSpaceDE/>
        <w:autoSpaceDN/>
        <w:bidi w:val="0"/>
        <w:adjustRightInd/>
        <w:snapToGrid/>
        <w:spacing w:line="400" w:lineRule="exact"/>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pPr>
        <w:pStyle w:val="10"/>
        <w:keepNext w:val="0"/>
        <w:keepLines w:val="0"/>
        <w:pageBreakBefore w:val="0"/>
        <w:shd w:val="clear"/>
        <w:kinsoku/>
        <w:wordWrap/>
        <w:overflowPunct/>
        <w:topLinePunct w:val="0"/>
        <w:autoSpaceDE/>
        <w:autoSpaceDN/>
        <w:bidi w:val="0"/>
        <w:adjustRightInd/>
        <w:snapToGrid/>
        <w:spacing w:line="400" w:lineRule="exact"/>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a.招标文件规定的方式：无。</w:t>
      </w:r>
    </w:p>
    <w:p>
      <w:pPr>
        <w:pStyle w:val="10"/>
        <w:keepNext w:val="0"/>
        <w:keepLines w:val="0"/>
        <w:pageBreakBefore w:val="0"/>
        <w:shd w:val="clear"/>
        <w:kinsoku/>
        <w:wordWrap/>
        <w:overflowPunct/>
        <w:topLinePunct w:val="0"/>
        <w:autoSpaceDE/>
        <w:autoSpaceDN/>
        <w:bidi w:val="0"/>
        <w:adjustRightInd/>
        <w:snapToGrid/>
        <w:spacing w:line="400" w:lineRule="exact"/>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b.招标文件未规定的，采取随机抽取方式确定，其他投标无效。</w:t>
      </w:r>
    </w:p>
    <w:p>
      <w:pPr>
        <w:pStyle w:val="10"/>
        <w:keepNext w:val="0"/>
        <w:keepLines w:val="0"/>
        <w:pageBreakBefore w:val="0"/>
        <w:shd w:val="clear"/>
        <w:kinsoku/>
        <w:wordWrap/>
        <w:overflowPunct/>
        <w:topLinePunct w:val="0"/>
        <w:autoSpaceDE/>
        <w:autoSpaceDN/>
        <w:bidi w:val="0"/>
        <w:adjustRightInd/>
        <w:snapToGrid/>
        <w:spacing w:line="400" w:lineRule="exact"/>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pPr>
        <w:pStyle w:val="10"/>
        <w:keepNext w:val="0"/>
        <w:keepLines w:val="0"/>
        <w:pageBreakBefore w:val="0"/>
        <w:shd w:val="clear"/>
        <w:kinsoku/>
        <w:wordWrap/>
        <w:overflowPunct/>
        <w:topLinePunct w:val="0"/>
        <w:autoSpaceDE/>
        <w:autoSpaceDN/>
        <w:bidi w:val="0"/>
        <w:adjustRightInd/>
        <w:snapToGrid/>
        <w:spacing w:line="400" w:lineRule="exact"/>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a.招标文件规定的方式：无。</w:t>
      </w:r>
    </w:p>
    <w:p>
      <w:pPr>
        <w:pStyle w:val="10"/>
        <w:keepNext w:val="0"/>
        <w:keepLines w:val="0"/>
        <w:pageBreakBefore w:val="0"/>
        <w:shd w:val="clear"/>
        <w:kinsoku/>
        <w:wordWrap/>
        <w:overflowPunct/>
        <w:topLinePunct w:val="0"/>
        <w:autoSpaceDE/>
        <w:autoSpaceDN/>
        <w:bidi w:val="0"/>
        <w:adjustRightInd/>
        <w:snapToGrid/>
        <w:spacing w:line="400" w:lineRule="exact"/>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b.招标文件未规定的，采取随机抽取方式确定，其他同品牌投标人不作为中标候选人。</w:t>
      </w:r>
    </w:p>
    <w:p>
      <w:pPr>
        <w:pStyle w:val="10"/>
        <w:keepNext w:val="0"/>
        <w:keepLines w:val="0"/>
        <w:pageBreakBefore w:val="0"/>
        <w:shd w:val="clear"/>
        <w:kinsoku/>
        <w:wordWrap/>
        <w:overflowPunct/>
        <w:topLinePunct w:val="0"/>
        <w:autoSpaceDE/>
        <w:autoSpaceDN/>
        <w:bidi w:val="0"/>
        <w:adjustRightInd/>
        <w:snapToGrid/>
        <w:spacing w:line="400" w:lineRule="exact"/>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③非单一产品采购项目，多家投标人提供的核心产品品牌相同的，按照本章第6.4条第（2）款第①、②规定处理。</w:t>
      </w:r>
    </w:p>
    <w:p>
      <w:pPr>
        <w:pStyle w:val="10"/>
        <w:keepNext w:val="0"/>
        <w:keepLines w:val="0"/>
        <w:pageBreakBefore w:val="0"/>
        <w:shd w:val="clear"/>
        <w:kinsoku/>
        <w:wordWrap/>
        <w:overflowPunct/>
        <w:topLinePunct w:val="0"/>
        <w:autoSpaceDE/>
        <w:autoSpaceDN/>
        <w:bidi w:val="0"/>
        <w:adjustRightInd/>
        <w:snapToGrid/>
        <w:spacing w:line="400" w:lineRule="exact"/>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（3）漏（缺）项</w:t>
      </w:r>
    </w:p>
    <w:p>
      <w:pPr>
        <w:pStyle w:val="10"/>
        <w:keepNext w:val="0"/>
        <w:keepLines w:val="0"/>
        <w:pageBreakBefore w:val="0"/>
        <w:shd w:val="clear"/>
        <w:kinsoku/>
        <w:wordWrap/>
        <w:overflowPunct/>
        <w:topLinePunct w:val="0"/>
        <w:autoSpaceDE/>
        <w:autoSpaceDN/>
        <w:bidi w:val="0"/>
        <w:adjustRightInd/>
        <w:snapToGrid/>
        <w:spacing w:line="400" w:lineRule="exact"/>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①招标文件中要求列入报价的费用（含配置、功能），漏（缺）项的报价视为已经包括在投标总价中。</w:t>
      </w:r>
    </w:p>
    <w:p>
      <w:pPr>
        <w:pStyle w:val="10"/>
        <w:keepNext w:val="0"/>
        <w:keepLines w:val="0"/>
        <w:pageBreakBefore w:val="0"/>
        <w:shd w:val="clear"/>
        <w:kinsoku/>
        <w:wordWrap/>
        <w:overflowPunct/>
        <w:topLinePunct w:val="0"/>
        <w:autoSpaceDE/>
        <w:autoSpaceDN/>
        <w:bidi w:val="0"/>
        <w:adjustRightInd/>
        <w:snapToGrid/>
        <w:spacing w:line="400" w:lineRule="exact"/>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②对多报项及赠送项的价格评标时不予核减，全部进入评标价评议。</w:t>
      </w:r>
    </w:p>
    <w:p>
      <w:pPr>
        <w:pStyle w:val="10"/>
        <w:keepNext w:val="0"/>
        <w:keepLines w:val="0"/>
        <w:pageBreakBefore w:val="0"/>
        <w:shd w:val="clear"/>
        <w:kinsoku/>
        <w:wordWrap/>
        <w:overflowPunct/>
        <w:topLinePunct w:val="0"/>
        <w:autoSpaceDE/>
        <w:autoSpaceDN/>
        <w:bidi w:val="0"/>
        <w:adjustRightInd/>
        <w:snapToGrid/>
        <w:spacing w:line="400" w:lineRule="exact"/>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6.5推荐中标候选人：详见本章第7.2条规定。</w:t>
      </w:r>
    </w:p>
    <w:p>
      <w:pPr>
        <w:pStyle w:val="10"/>
        <w:keepNext w:val="0"/>
        <w:keepLines w:val="0"/>
        <w:pageBreakBefore w:val="0"/>
        <w:shd w:val="clear"/>
        <w:kinsoku/>
        <w:wordWrap/>
        <w:overflowPunct/>
        <w:topLinePunct w:val="0"/>
        <w:autoSpaceDE/>
        <w:autoSpaceDN/>
        <w:bidi w:val="0"/>
        <w:adjustRightInd/>
        <w:snapToGrid/>
        <w:spacing w:line="400" w:lineRule="exact"/>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6.6编写评标报告</w:t>
      </w:r>
    </w:p>
    <w:p>
      <w:pPr>
        <w:pStyle w:val="10"/>
        <w:keepNext w:val="0"/>
        <w:keepLines w:val="0"/>
        <w:pageBreakBefore w:val="0"/>
        <w:shd w:val="clear"/>
        <w:kinsoku/>
        <w:wordWrap/>
        <w:overflowPunct/>
        <w:topLinePunct w:val="0"/>
        <w:autoSpaceDE/>
        <w:autoSpaceDN/>
        <w:bidi w:val="0"/>
        <w:adjustRightInd/>
        <w:snapToGrid/>
        <w:spacing w:line="400" w:lineRule="exact"/>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（1）评标报告由评标委员会负责编写。</w:t>
      </w:r>
    </w:p>
    <w:p>
      <w:pPr>
        <w:pStyle w:val="10"/>
        <w:keepNext w:val="0"/>
        <w:keepLines w:val="0"/>
        <w:pageBreakBefore w:val="0"/>
        <w:shd w:val="clear"/>
        <w:kinsoku/>
        <w:wordWrap/>
        <w:overflowPunct/>
        <w:topLinePunct w:val="0"/>
        <w:autoSpaceDE/>
        <w:autoSpaceDN/>
        <w:bidi w:val="0"/>
        <w:adjustRightInd/>
        <w:snapToGrid/>
        <w:spacing w:line="400" w:lineRule="exact"/>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（2）评标报告应包括下列内容：</w:t>
      </w:r>
    </w:p>
    <w:p>
      <w:pPr>
        <w:pStyle w:val="10"/>
        <w:keepNext w:val="0"/>
        <w:keepLines w:val="0"/>
        <w:pageBreakBefore w:val="0"/>
        <w:shd w:val="clear"/>
        <w:kinsoku/>
        <w:wordWrap/>
        <w:overflowPunct/>
        <w:topLinePunct w:val="0"/>
        <w:autoSpaceDE/>
        <w:autoSpaceDN/>
        <w:bidi w:val="0"/>
        <w:adjustRightInd/>
        <w:snapToGrid/>
        <w:spacing w:line="400" w:lineRule="exact"/>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①招标公告刊登的媒体名称、开标日期和地点；</w:t>
      </w:r>
    </w:p>
    <w:p>
      <w:pPr>
        <w:pStyle w:val="10"/>
        <w:keepNext w:val="0"/>
        <w:keepLines w:val="0"/>
        <w:pageBreakBefore w:val="0"/>
        <w:shd w:val="clear"/>
        <w:kinsoku/>
        <w:wordWrap/>
        <w:overflowPunct/>
        <w:topLinePunct w:val="0"/>
        <w:autoSpaceDE/>
        <w:autoSpaceDN/>
        <w:bidi w:val="0"/>
        <w:adjustRightInd/>
        <w:snapToGrid/>
        <w:spacing w:line="400" w:lineRule="exact"/>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②投标人名单和评标委员会成员名单；</w:t>
      </w:r>
    </w:p>
    <w:p>
      <w:pPr>
        <w:pStyle w:val="10"/>
        <w:keepNext w:val="0"/>
        <w:keepLines w:val="0"/>
        <w:pageBreakBefore w:val="0"/>
        <w:shd w:val="clear"/>
        <w:kinsoku/>
        <w:wordWrap/>
        <w:overflowPunct/>
        <w:topLinePunct w:val="0"/>
        <w:autoSpaceDE/>
        <w:autoSpaceDN/>
        <w:bidi w:val="0"/>
        <w:adjustRightInd/>
        <w:snapToGrid/>
        <w:spacing w:line="400" w:lineRule="exact"/>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③评标方法和标准；</w:t>
      </w:r>
    </w:p>
    <w:p>
      <w:pPr>
        <w:pStyle w:val="10"/>
        <w:keepNext w:val="0"/>
        <w:keepLines w:val="0"/>
        <w:pageBreakBefore w:val="0"/>
        <w:shd w:val="clear"/>
        <w:kinsoku/>
        <w:wordWrap/>
        <w:overflowPunct/>
        <w:topLinePunct w:val="0"/>
        <w:autoSpaceDE/>
        <w:autoSpaceDN/>
        <w:bidi w:val="0"/>
        <w:adjustRightInd/>
        <w:snapToGrid/>
        <w:spacing w:line="400" w:lineRule="exact"/>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④开标记录和评标情况及说明，包括无效投标人名单及原因；</w:t>
      </w:r>
    </w:p>
    <w:p>
      <w:pPr>
        <w:pStyle w:val="10"/>
        <w:keepNext w:val="0"/>
        <w:keepLines w:val="0"/>
        <w:pageBreakBefore w:val="0"/>
        <w:shd w:val="clear"/>
        <w:kinsoku/>
        <w:wordWrap/>
        <w:overflowPunct/>
        <w:topLinePunct w:val="0"/>
        <w:autoSpaceDE/>
        <w:autoSpaceDN/>
        <w:bidi w:val="0"/>
        <w:adjustRightInd/>
        <w:snapToGrid/>
        <w:spacing w:line="400" w:lineRule="exact"/>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⑤评标结果，包括中标候选人名单或确定的中标人；</w:t>
      </w:r>
    </w:p>
    <w:p>
      <w:pPr>
        <w:pStyle w:val="10"/>
        <w:keepNext w:val="0"/>
        <w:keepLines w:val="0"/>
        <w:pageBreakBefore w:val="0"/>
        <w:shd w:val="clear"/>
        <w:kinsoku/>
        <w:wordWrap/>
        <w:overflowPunct/>
        <w:topLinePunct w:val="0"/>
        <w:autoSpaceDE/>
        <w:autoSpaceDN/>
        <w:bidi w:val="0"/>
        <w:adjustRightInd/>
        <w:snapToGrid/>
        <w:spacing w:line="400" w:lineRule="exact"/>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⑥其他需要说明的情况，包括但不限于：评标过程中投标人的澄清、说明或补正，评委更换等。</w:t>
      </w:r>
    </w:p>
    <w:p>
      <w:pPr>
        <w:pStyle w:val="10"/>
        <w:keepNext w:val="0"/>
        <w:keepLines w:val="0"/>
        <w:pageBreakBefore w:val="0"/>
        <w:shd w:val="clear"/>
        <w:kinsoku/>
        <w:wordWrap/>
        <w:overflowPunct/>
        <w:topLinePunct w:val="0"/>
        <w:autoSpaceDE/>
        <w:autoSpaceDN/>
        <w:bidi w:val="0"/>
        <w:adjustRightInd/>
        <w:snapToGrid/>
        <w:spacing w:line="400" w:lineRule="exact"/>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投标无效处理。</w:t>
      </w:r>
    </w:p>
    <w:p>
      <w:pPr>
        <w:pStyle w:val="10"/>
        <w:keepNext w:val="0"/>
        <w:keepLines w:val="0"/>
        <w:pageBreakBefore w:val="0"/>
        <w:shd w:val="clear"/>
        <w:kinsoku/>
        <w:wordWrap/>
        <w:overflowPunct/>
        <w:topLinePunct w:val="0"/>
        <w:autoSpaceDE/>
        <w:autoSpaceDN/>
        <w:bidi w:val="0"/>
        <w:adjustRightInd/>
        <w:snapToGrid/>
        <w:spacing w:line="400" w:lineRule="exact"/>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6.8评委对需要共同认定的事项存在争议的，应按照少数服从多数的原则进行认定。持不同意见的评委应在评标报告上签署不同意见及理由，否则视为同意评标报告。</w:t>
      </w:r>
    </w:p>
    <w:p>
      <w:pPr>
        <w:pStyle w:val="10"/>
        <w:keepNext w:val="0"/>
        <w:keepLines w:val="0"/>
        <w:pageBreakBefore w:val="0"/>
        <w:shd w:val="clear"/>
        <w:kinsoku/>
        <w:wordWrap/>
        <w:overflowPunct/>
        <w:topLinePunct w:val="0"/>
        <w:autoSpaceDE/>
        <w:autoSpaceDN/>
        <w:bidi w:val="0"/>
        <w:adjustRightInd/>
        <w:snapToGrid/>
        <w:spacing w:line="400" w:lineRule="exact"/>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6.9在评标过程中发现投标人有下列情形之一的，评标委员会应认定其投标无效，并书面报告本项目监督管理部门：</w:t>
      </w:r>
    </w:p>
    <w:p>
      <w:pPr>
        <w:pStyle w:val="10"/>
        <w:keepNext w:val="0"/>
        <w:keepLines w:val="0"/>
        <w:pageBreakBefore w:val="0"/>
        <w:shd w:val="clear"/>
        <w:kinsoku/>
        <w:wordWrap/>
        <w:overflowPunct/>
        <w:topLinePunct w:val="0"/>
        <w:autoSpaceDE/>
        <w:autoSpaceDN/>
        <w:bidi w:val="0"/>
        <w:adjustRightInd/>
        <w:snapToGrid/>
        <w:spacing w:line="400" w:lineRule="exact"/>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（1）恶意串通（包括但不限于招标文件第三章第9.7条规定情形）；</w:t>
      </w:r>
    </w:p>
    <w:p>
      <w:pPr>
        <w:pStyle w:val="10"/>
        <w:keepNext w:val="0"/>
        <w:keepLines w:val="0"/>
        <w:pageBreakBefore w:val="0"/>
        <w:shd w:val="clear"/>
        <w:kinsoku/>
        <w:wordWrap/>
        <w:overflowPunct/>
        <w:topLinePunct w:val="0"/>
        <w:autoSpaceDE/>
        <w:autoSpaceDN/>
        <w:bidi w:val="0"/>
        <w:adjustRightInd/>
        <w:snapToGrid/>
        <w:spacing w:line="400" w:lineRule="exact"/>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（2）妨碍其他投标人的竞争行为；</w:t>
      </w:r>
    </w:p>
    <w:p>
      <w:pPr>
        <w:pStyle w:val="10"/>
        <w:keepNext w:val="0"/>
        <w:keepLines w:val="0"/>
        <w:pageBreakBefore w:val="0"/>
        <w:shd w:val="clear"/>
        <w:kinsoku/>
        <w:wordWrap/>
        <w:overflowPunct/>
        <w:topLinePunct w:val="0"/>
        <w:autoSpaceDE/>
        <w:autoSpaceDN/>
        <w:bidi w:val="0"/>
        <w:adjustRightInd/>
        <w:snapToGrid/>
        <w:spacing w:line="400" w:lineRule="exact"/>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（3）损害采购人或其他投标人的合法权益。</w:t>
      </w:r>
    </w:p>
    <w:p>
      <w:pPr>
        <w:pStyle w:val="10"/>
        <w:keepNext w:val="0"/>
        <w:keepLines w:val="0"/>
        <w:pageBreakBefore w:val="0"/>
        <w:shd w:val="clear"/>
        <w:kinsoku/>
        <w:wordWrap/>
        <w:overflowPunct/>
        <w:topLinePunct w:val="0"/>
        <w:autoSpaceDE/>
        <w:autoSpaceDN/>
        <w:bidi w:val="0"/>
        <w:adjustRightInd/>
        <w:snapToGrid/>
        <w:spacing w:line="400" w:lineRule="exact"/>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6.10评标过程中，有下列情形之一的，应予废标：</w:t>
      </w:r>
    </w:p>
    <w:p>
      <w:pPr>
        <w:pStyle w:val="10"/>
        <w:keepNext w:val="0"/>
        <w:keepLines w:val="0"/>
        <w:pageBreakBefore w:val="0"/>
        <w:shd w:val="clear"/>
        <w:kinsoku/>
        <w:wordWrap/>
        <w:overflowPunct/>
        <w:topLinePunct w:val="0"/>
        <w:autoSpaceDE/>
        <w:autoSpaceDN/>
        <w:bidi w:val="0"/>
        <w:adjustRightInd/>
        <w:snapToGrid/>
        <w:spacing w:line="400" w:lineRule="exact"/>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（1）符合性审查合格的投标人不足三家的；</w:t>
      </w:r>
    </w:p>
    <w:p>
      <w:pPr>
        <w:pStyle w:val="10"/>
        <w:keepNext w:val="0"/>
        <w:keepLines w:val="0"/>
        <w:pageBreakBefore w:val="0"/>
        <w:shd w:val="clear"/>
        <w:kinsoku/>
        <w:wordWrap/>
        <w:overflowPunct/>
        <w:topLinePunct w:val="0"/>
        <w:autoSpaceDE/>
        <w:autoSpaceDN/>
        <w:bidi w:val="0"/>
        <w:adjustRightInd/>
        <w:snapToGrid/>
        <w:spacing w:line="400" w:lineRule="exact"/>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（2）有关法律、法规和规章规定废标的情形。</w:t>
      </w:r>
    </w:p>
    <w:p>
      <w:pPr>
        <w:pStyle w:val="10"/>
        <w:keepNext w:val="0"/>
        <w:keepLines w:val="0"/>
        <w:pageBreakBefore w:val="0"/>
        <w:shd w:val="clear"/>
        <w:kinsoku/>
        <w:wordWrap/>
        <w:overflowPunct/>
        <w:topLinePunct w:val="0"/>
        <w:autoSpaceDE/>
        <w:autoSpaceDN/>
        <w:bidi w:val="0"/>
        <w:adjustRightInd/>
        <w:snapToGrid/>
        <w:spacing w:line="400" w:lineRule="exact"/>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※若废标，则本次采购活动结束，</w:t>
      </w:r>
      <w:r>
        <w:rPr>
          <w:rFonts w:hint="eastAsia" w:ascii="宋体" w:hAnsi="宋体" w:eastAsia="宋体" w:cs="宋体"/>
          <w:b w:val="0"/>
          <w:bCs/>
          <w:color w:val="auto"/>
          <w:sz w:val="24"/>
          <w:szCs w:val="24"/>
          <w:highlight w:val="none"/>
          <w:lang w:eastAsia="zh-CN"/>
        </w:rPr>
        <w:t>福建省宏通项目管理有限公司</w:t>
      </w:r>
      <w:r>
        <w:rPr>
          <w:rFonts w:hint="eastAsia" w:ascii="宋体" w:hAnsi="宋体" w:eastAsia="宋体" w:cs="宋体"/>
          <w:b w:val="0"/>
          <w:bCs/>
          <w:color w:val="auto"/>
          <w:sz w:val="24"/>
          <w:szCs w:val="24"/>
          <w:highlight w:val="none"/>
        </w:rPr>
        <w:t>将依法组织后续采购活动（包括但不限于：重新招标、采用其他方式采购等）。</w:t>
      </w:r>
    </w:p>
    <w:p>
      <w:pPr>
        <w:pStyle w:val="10"/>
        <w:keepNext w:val="0"/>
        <w:keepLines w:val="0"/>
        <w:pageBreakBefore w:val="0"/>
        <w:shd w:val="clear"/>
        <w:kinsoku/>
        <w:wordWrap/>
        <w:overflowPunct/>
        <w:topLinePunct w:val="0"/>
        <w:autoSpaceDE/>
        <w:autoSpaceDN/>
        <w:bidi w:val="0"/>
        <w:adjustRightInd/>
        <w:snapToGrid/>
        <w:spacing w:line="400" w:lineRule="exact"/>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7、评标方法和标准</w:t>
      </w:r>
    </w:p>
    <w:p>
      <w:pPr>
        <w:pStyle w:val="10"/>
        <w:keepNext w:val="0"/>
        <w:keepLines w:val="0"/>
        <w:pageBreakBefore w:val="0"/>
        <w:shd w:val="clear"/>
        <w:kinsoku/>
        <w:wordWrap/>
        <w:overflowPunct/>
        <w:topLinePunct w:val="0"/>
        <w:autoSpaceDE/>
        <w:autoSpaceDN/>
        <w:bidi w:val="0"/>
        <w:adjustRightInd/>
        <w:snapToGrid/>
        <w:spacing w:line="400" w:lineRule="exact"/>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7.1评标方法：</w:t>
      </w:r>
    </w:p>
    <w:p>
      <w:pPr>
        <w:pStyle w:val="10"/>
        <w:keepNext w:val="0"/>
        <w:keepLines w:val="0"/>
        <w:pageBreakBefore w:val="0"/>
        <w:shd w:val="clear"/>
        <w:kinsoku/>
        <w:wordWrap/>
        <w:overflowPunct/>
        <w:topLinePunct w:val="0"/>
        <w:autoSpaceDE/>
        <w:autoSpaceDN/>
        <w:bidi w:val="0"/>
        <w:adjustRightInd/>
        <w:snapToGrid/>
        <w:spacing w:line="400" w:lineRule="exact"/>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采购包1：综合评分法</w:t>
      </w:r>
    </w:p>
    <w:p>
      <w:pPr>
        <w:pStyle w:val="10"/>
        <w:keepNext w:val="0"/>
        <w:keepLines w:val="0"/>
        <w:pageBreakBefore w:val="0"/>
        <w:shd w:val="clear"/>
        <w:kinsoku/>
        <w:wordWrap/>
        <w:overflowPunct/>
        <w:topLinePunct w:val="0"/>
        <w:autoSpaceDE/>
        <w:autoSpaceDN/>
        <w:bidi w:val="0"/>
        <w:adjustRightInd/>
        <w:snapToGrid/>
        <w:spacing w:line="400" w:lineRule="exact"/>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7.2评标标准</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采购包1：综合评分法</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（1）投标文件满足招标文件全部实质性要求，且按照评审因素的量化指标评审得分（即评标总得分）最高的投标人为中标候选人。</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每个投标人的评标总得分FA＝F1×A1＋F2×A2＋F3×A3＋F4×A4（若有），其中：F1指价格项评审因素得分、F2指技术项评审因素得分、F3指商务项评审因素得分，A1指价格项评审因素所占的权重、A2指技术项评审因素所占的权重、A3指商务项评审因素所占的权重，A1+A2+A3=1、F1×A1＋F2×A2＋F3×A3=100分（满分时），F4×A4为加分项（即优先类节能产品、环境标志产品在采购活动中可享有的加分优惠）。</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各项评审因素的设置如下：</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价格项（F1×A1）满分为</w:t>
      </w:r>
      <w:r>
        <w:rPr>
          <w:rFonts w:hint="eastAsia" w:ascii="宋体" w:hAnsi="宋体" w:eastAsia="宋体" w:cs="宋体"/>
          <w:b w:val="0"/>
          <w:bCs/>
          <w:color w:val="auto"/>
          <w:sz w:val="24"/>
          <w:szCs w:val="24"/>
          <w:highlight w:val="none"/>
          <w:lang w:val="en-US" w:eastAsia="zh-CN"/>
        </w:rPr>
        <w:t>25</w:t>
      </w:r>
      <w:r>
        <w:rPr>
          <w:rFonts w:hint="eastAsia" w:ascii="宋体" w:hAnsi="宋体" w:eastAsia="宋体" w:cs="宋体"/>
          <w:b w:val="0"/>
          <w:bCs/>
          <w:color w:val="auto"/>
          <w:sz w:val="24"/>
          <w:szCs w:val="24"/>
          <w:highlight w:val="none"/>
        </w:rPr>
        <w:t>.00分</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投标报价得分＝（评标基准价/投标报价）×价格分值（注：满足招标文件要求且投标价格最低的投标报价为评标基准价。）最低报价不是中标的唯一依据。因落实政府采购政策进行价格调整的，以调整后的价格计算评标基准价和投标报价。</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价格扣除的规则如下：</w:t>
      </w:r>
    </w:p>
    <w:tbl>
      <w:tblPr>
        <w:tblStyle w:val="7"/>
        <w:tblW w:w="4999"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922"/>
        <w:gridCol w:w="1923"/>
        <w:gridCol w:w="1083"/>
        <w:gridCol w:w="481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87" w:type="pct"/>
            <w:vAlign w:val="center"/>
          </w:tcPr>
          <w:p>
            <w:pPr>
              <w:keepNext w:val="0"/>
              <w:keepLines w:val="0"/>
              <w:pageBreakBefore w:val="0"/>
              <w:shd w:val="clear"/>
              <w:kinsoku/>
              <w:wordWrap/>
              <w:overflowPunct/>
              <w:topLinePunct w:val="0"/>
              <w:autoSpaceDE/>
              <w:autoSpaceDN/>
              <w:bidi w:val="0"/>
              <w:adjustRightInd/>
              <w:snapToGrid/>
              <w:spacing w:line="400" w:lineRule="exact"/>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项目</w:t>
            </w:r>
          </w:p>
        </w:tc>
        <w:tc>
          <w:tcPr>
            <w:tcW w:w="987" w:type="pct"/>
            <w:vAlign w:val="center"/>
          </w:tcPr>
          <w:p>
            <w:pPr>
              <w:keepNext w:val="0"/>
              <w:keepLines w:val="0"/>
              <w:pageBreakBefore w:val="0"/>
              <w:shd w:val="clear"/>
              <w:kinsoku/>
              <w:wordWrap/>
              <w:overflowPunct/>
              <w:topLinePunct w:val="0"/>
              <w:autoSpaceDE/>
              <w:autoSpaceDN/>
              <w:bidi w:val="0"/>
              <w:adjustRightInd/>
              <w:snapToGrid/>
              <w:spacing w:line="400" w:lineRule="exact"/>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适用对象</w:t>
            </w:r>
          </w:p>
        </w:tc>
        <w:tc>
          <w:tcPr>
            <w:tcW w:w="556" w:type="pct"/>
            <w:vAlign w:val="center"/>
          </w:tcPr>
          <w:p>
            <w:pPr>
              <w:keepNext w:val="0"/>
              <w:keepLines w:val="0"/>
              <w:pageBreakBefore w:val="0"/>
              <w:shd w:val="clear"/>
              <w:kinsoku/>
              <w:wordWrap/>
              <w:overflowPunct/>
              <w:topLinePunct w:val="0"/>
              <w:autoSpaceDE/>
              <w:autoSpaceDN/>
              <w:bidi w:val="0"/>
              <w:adjustRightInd/>
              <w:snapToGrid/>
              <w:spacing w:line="400" w:lineRule="exact"/>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比例</w:t>
            </w:r>
          </w:p>
        </w:tc>
        <w:tc>
          <w:tcPr>
            <w:tcW w:w="2469" w:type="pct"/>
            <w:vAlign w:val="center"/>
          </w:tcPr>
          <w:p>
            <w:pPr>
              <w:keepNext w:val="0"/>
              <w:keepLines w:val="0"/>
              <w:pageBreakBefore w:val="0"/>
              <w:shd w:val="clear"/>
              <w:kinsoku/>
              <w:wordWrap/>
              <w:overflowPunct/>
              <w:topLinePunct w:val="0"/>
              <w:autoSpaceDE/>
              <w:autoSpaceDN/>
              <w:bidi w:val="0"/>
              <w:adjustRightInd/>
              <w:snapToGrid/>
              <w:spacing w:line="400" w:lineRule="exact"/>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87" w:type="pct"/>
            <w:vAlign w:val="center"/>
          </w:tcPr>
          <w:p>
            <w:pPr>
              <w:keepNext w:val="0"/>
              <w:keepLines w:val="0"/>
              <w:pageBreakBefore w:val="0"/>
              <w:shd w:val="clear"/>
              <w:kinsoku/>
              <w:wordWrap/>
              <w:overflowPunct/>
              <w:topLinePunct w:val="0"/>
              <w:autoSpaceDE/>
              <w:autoSpaceDN/>
              <w:bidi w:val="0"/>
              <w:adjustRightInd/>
              <w:snapToGrid/>
              <w:spacing w:line="400" w:lineRule="exact"/>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小型、微型企业，监狱企业，残疾人福利性单位</w:t>
            </w:r>
          </w:p>
        </w:tc>
        <w:tc>
          <w:tcPr>
            <w:tcW w:w="987" w:type="pct"/>
            <w:vAlign w:val="center"/>
          </w:tcPr>
          <w:p>
            <w:pPr>
              <w:keepNext w:val="0"/>
              <w:keepLines w:val="0"/>
              <w:pageBreakBefore w:val="0"/>
              <w:shd w:val="clear"/>
              <w:kinsoku/>
              <w:wordWrap/>
              <w:overflowPunct/>
              <w:topLinePunct w:val="0"/>
              <w:autoSpaceDE/>
              <w:autoSpaceDN/>
              <w:bidi w:val="0"/>
              <w:adjustRightInd/>
              <w:snapToGrid/>
              <w:spacing w:line="400" w:lineRule="exact"/>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投标人或者联合体均为小型、微型企业</w:t>
            </w:r>
          </w:p>
        </w:tc>
        <w:tc>
          <w:tcPr>
            <w:tcW w:w="556" w:type="pct"/>
            <w:vAlign w:val="center"/>
          </w:tcPr>
          <w:p>
            <w:pPr>
              <w:keepNext w:val="0"/>
              <w:keepLines w:val="0"/>
              <w:pageBreakBefore w:val="0"/>
              <w:shd w:val="clear"/>
              <w:kinsoku/>
              <w:wordWrap/>
              <w:overflowPunct/>
              <w:topLinePunct w:val="0"/>
              <w:autoSpaceDE/>
              <w:autoSpaceDN/>
              <w:bidi w:val="0"/>
              <w:adjustRightInd/>
              <w:snapToGrid/>
              <w:spacing w:line="400" w:lineRule="exact"/>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15.00%</w:t>
            </w:r>
          </w:p>
        </w:tc>
        <w:tc>
          <w:tcPr>
            <w:tcW w:w="2469" w:type="pct"/>
            <w:vAlign w:val="center"/>
          </w:tcPr>
          <w:p>
            <w:pPr>
              <w:keepNext w:val="0"/>
              <w:keepLines w:val="0"/>
              <w:pageBreakBefore w:val="0"/>
              <w:shd w:val="clear"/>
              <w:kinsoku/>
              <w:wordWrap/>
              <w:overflowPunct/>
              <w:topLinePunct w:val="0"/>
              <w:autoSpaceDE/>
              <w:autoSpaceDN/>
              <w:bidi w:val="0"/>
              <w:adjustRightInd/>
              <w:snapToGrid/>
              <w:spacing w:line="400" w:lineRule="exact"/>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本项目非专门面向中小企业采购。根据《政府采购促进中小企业发展管理办法》（财库﹝2020﹞46号）、《福建省财政厅关于进一步加大政府采购支持中小企业力度的通知》（闽财规[2022]13号）、《关于政府采购支持监狱企业发展有关问题的通知》（财库【2014】68号）、《财政部民政部中国残疾人联合会关于促进残疾人就业政府采购政策的通知》(财库[2017]141号)、福建省财政、福建省民政厅、福建省残疾人联合会联合发布的《关于进一步落实政府采购支持残疾人就业政策的通知》、福建省财政《关于残疾人福利性单位参加政府采购活动价格扣除的通知》等相关规定，评审时对于符合要求的小型、微型企业，监狱企业，残疾人福利性单位按以下规定进行价格扣除：1、对小型、微型企业的报价给予15%（大中型企业与小微企业组成联合体或者大中型企业向小微企业分包的，给予5%）扣除，用扣除后的价格参加评审。供应商必须提供按采购文件规定格式填写的《中小企业声明函（工程、服务）》，并对声明的真实性负责，否则评审时不予价格扣除。供应商应认真对照《工业和信息化部、国家统计局、国家发展和改革委员会、财政部关于印发中小企业划型标准规定的通知》（工信部联企业[2011]300号）规定的划分标准，并按照国家统计局关于印发《统计上大中小微型企业划分办法（2017）》的通知（国统字〔2017〕213号）规定准确划分企业类型。2、监狱企业参加投标的视同小型、微型企业，享受价格扣除的政府采购优惠政策，但必须提供由省级以上监狱管理局、戒毒管理局（含新疆生产建设兵团）出具的属于监狱企业的证明文件，否则评审时不予价格扣除。3、残疾人福利性单位参加投标的视同小型、微型企业，享受价格扣除的政府采购优惠政策，但必须提供按采购文件规定格式填写的《残疾人福利性单位声明函》，并对声明的真实性负责。对于参与货物项目的，还必须标明具体哪些货物是其本单位制造的货物，或者是由其他残疾人福利性单位制造的货物（不包括使用非残疾人福利性单位注册商标的货物），仅有标明部分的货物才能启动价格扣除，否则评审时不予价格扣除。注：上述规定与现有政府采购相关法律、法规、制度等有冲突的，按现行法律、法规、制度等执行。(本文件中其他有关对小微企业及其报价扣除描述情况与此处不一致的，以此处为准)。※本项目采购标的“测绘服务”，对应的中小企业划分标准所属行业为“其他未列明行业”，投标人应按照招标文件第七章规定提供。</w:t>
            </w:r>
          </w:p>
        </w:tc>
      </w:tr>
    </w:tbl>
    <w:p>
      <w:pPr>
        <w:pStyle w:val="10"/>
        <w:keepNext w:val="0"/>
        <w:keepLines w:val="0"/>
        <w:pageBreakBefore w:val="0"/>
        <w:shd w:val="clear"/>
        <w:kinsoku/>
        <w:wordWrap/>
        <w:overflowPunct/>
        <w:topLinePunct w:val="0"/>
        <w:autoSpaceDE/>
        <w:autoSpaceDN/>
        <w:bidi w:val="0"/>
        <w:adjustRightInd/>
        <w:snapToGrid/>
        <w:spacing w:line="400" w:lineRule="exact"/>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其他：无</w:t>
      </w:r>
    </w:p>
    <w:p>
      <w:pPr>
        <w:pStyle w:val="10"/>
        <w:keepNext w:val="0"/>
        <w:keepLines w:val="0"/>
        <w:pageBreakBefore w:val="0"/>
        <w:shd w:val="clear"/>
        <w:kinsoku/>
        <w:wordWrap/>
        <w:overflowPunct/>
        <w:topLinePunct w:val="0"/>
        <w:autoSpaceDE/>
        <w:autoSpaceDN/>
        <w:bidi w:val="0"/>
        <w:adjustRightInd/>
        <w:snapToGrid/>
        <w:spacing w:line="400" w:lineRule="exact"/>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技术项（F2×A2）满分为</w:t>
      </w:r>
      <w:r>
        <w:rPr>
          <w:rFonts w:hint="eastAsia" w:ascii="宋体" w:hAnsi="宋体" w:eastAsia="宋体" w:cs="宋体"/>
          <w:b/>
          <w:color w:val="auto"/>
          <w:sz w:val="24"/>
          <w:szCs w:val="24"/>
          <w:highlight w:val="none"/>
          <w:lang w:val="en-US" w:eastAsia="zh-CN"/>
        </w:rPr>
        <w:t>50</w:t>
      </w:r>
      <w:r>
        <w:rPr>
          <w:rFonts w:hint="eastAsia" w:ascii="宋体" w:hAnsi="宋体" w:eastAsia="宋体" w:cs="宋体"/>
          <w:b/>
          <w:color w:val="auto"/>
          <w:sz w:val="24"/>
          <w:szCs w:val="24"/>
          <w:highlight w:val="none"/>
        </w:rPr>
        <w:t>.00分</w:t>
      </w:r>
    </w:p>
    <w:tbl>
      <w:tblPr>
        <w:tblStyle w:val="7"/>
        <w:tblW w:w="5111" w:type="pct"/>
        <w:tblInd w:w="-113"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1121"/>
        <w:gridCol w:w="767"/>
        <w:gridCol w:w="7864"/>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trPr>
        <w:tc>
          <w:tcPr>
            <w:tcW w:w="575" w:type="pct"/>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400" w:lineRule="exact"/>
              <w:jc w:val="center"/>
              <w:rPr>
                <w:rFonts w:ascii="宋体" w:hAnsi="宋体" w:eastAsia="宋体" w:cs="宋体"/>
                <w:color w:val="auto"/>
                <w:kern w:val="0"/>
                <w:sz w:val="24"/>
                <w:szCs w:val="24"/>
                <w:highlight w:val="none"/>
                <w:lang w:val="en-US" w:eastAsia="zh-CN" w:bidi="ar"/>
              </w:rPr>
            </w:pPr>
            <w:r>
              <w:rPr>
                <w:rFonts w:ascii="宋体" w:hAnsi="宋体" w:eastAsia="宋体" w:cs="宋体"/>
                <w:color w:val="auto"/>
                <w:kern w:val="0"/>
                <w:sz w:val="24"/>
                <w:szCs w:val="24"/>
                <w:highlight w:val="none"/>
                <w:lang w:val="en-US" w:eastAsia="zh-CN" w:bidi="ar"/>
              </w:rPr>
              <w:t>评标</w:t>
            </w:r>
          </w:p>
          <w:p>
            <w:pPr>
              <w:keepNext w:val="0"/>
              <w:keepLines w:val="0"/>
              <w:pageBreakBefore w:val="0"/>
              <w:widowControl/>
              <w:suppressLineNumbers w:val="0"/>
              <w:shd w:val="clear"/>
              <w:kinsoku/>
              <w:wordWrap/>
              <w:overflowPunct/>
              <w:topLinePunct w:val="0"/>
              <w:autoSpaceDE/>
              <w:autoSpaceDN/>
              <w:bidi w:val="0"/>
              <w:adjustRightInd/>
              <w:snapToGrid/>
              <w:spacing w:line="400" w:lineRule="exact"/>
              <w:jc w:val="center"/>
              <w:rPr>
                <w:color w:val="auto"/>
                <w:highlight w:val="none"/>
              </w:rPr>
            </w:pPr>
            <w:r>
              <w:rPr>
                <w:rFonts w:ascii="宋体" w:hAnsi="宋体" w:eastAsia="宋体" w:cs="宋体"/>
                <w:color w:val="auto"/>
                <w:kern w:val="0"/>
                <w:sz w:val="24"/>
                <w:szCs w:val="24"/>
                <w:highlight w:val="none"/>
                <w:lang w:val="en-US" w:eastAsia="zh-CN" w:bidi="ar"/>
              </w:rPr>
              <w:t>项目</w:t>
            </w:r>
          </w:p>
        </w:tc>
        <w:tc>
          <w:tcPr>
            <w:tcW w:w="393" w:type="pct"/>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400" w:lineRule="exact"/>
              <w:jc w:val="center"/>
              <w:rPr>
                <w:rFonts w:ascii="宋体" w:hAnsi="宋体" w:eastAsia="宋体" w:cs="宋体"/>
                <w:color w:val="auto"/>
                <w:kern w:val="0"/>
                <w:sz w:val="24"/>
                <w:szCs w:val="24"/>
                <w:highlight w:val="none"/>
                <w:lang w:val="en-US" w:eastAsia="zh-CN" w:bidi="ar"/>
              </w:rPr>
            </w:pPr>
            <w:r>
              <w:rPr>
                <w:rFonts w:ascii="宋体" w:hAnsi="宋体" w:eastAsia="宋体" w:cs="宋体"/>
                <w:color w:val="auto"/>
                <w:kern w:val="0"/>
                <w:sz w:val="24"/>
                <w:szCs w:val="24"/>
                <w:highlight w:val="none"/>
                <w:lang w:val="en-US" w:eastAsia="zh-CN" w:bidi="ar"/>
              </w:rPr>
              <w:t>评标</w:t>
            </w:r>
          </w:p>
          <w:p>
            <w:pPr>
              <w:keepNext w:val="0"/>
              <w:keepLines w:val="0"/>
              <w:pageBreakBefore w:val="0"/>
              <w:widowControl/>
              <w:suppressLineNumbers w:val="0"/>
              <w:shd w:val="clear"/>
              <w:kinsoku/>
              <w:wordWrap/>
              <w:overflowPunct/>
              <w:topLinePunct w:val="0"/>
              <w:autoSpaceDE/>
              <w:autoSpaceDN/>
              <w:bidi w:val="0"/>
              <w:adjustRightInd/>
              <w:snapToGrid/>
              <w:spacing w:line="400" w:lineRule="exact"/>
              <w:jc w:val="center"/>
              <w:rPr>
                <w:color w:val="auto"/>
                <w:highlight w:val="none"/>
              </w:rPr>
            </w:pPr>
            <w:r>
              <w:rPr>
                <w:rFonts w:ascii="宋体" w:hAnsi="宋体" w:eastAsia="宋体" w:cs="宋体"/>
                <w:color w:val="auto"/>
                <w:kern w:val="0"/>
                <w:sz w:val="24"/>
                <w:szCs w:val="24"/>
                <w:highlight w:val="none"/>
                <w:lang w:val="en-US" w:eastAsia="zh-CN" w:bidi="ar"/>
              </w:rPr>
              <w:t>分值</w:t>
            </w:r>
          </w:p>
        </w:tc>
        <w:tc>
          <w:tcPr>
            <w:tcW w:w="4031" w:type="pct"/>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400" w:lineRule="exact"/>
              <w:jc w:val="center"/>
              <w:rPr>
                <w:color w:val="auto"/>
                <w:highlight w:val="none"/>
              </w:rPr>
            </w:pPr>
            <w:r>
              <w:rPr>
                <w:rFonts w:ascii="宋体" w:hAnsi="宋体" w:eastAsia="宋体" w:cs="宋体"/>
                <w:color w:val="auto"/>
                <w:kern w:val="0"/>
                <w:sz w:val="24"/>
                <w:szCs w:val="24"/>
                <w:highlight w:val="none"/>
                <w:lang w:val="en-US" w:eastAsia="zh-CN" w:bidi="ar"/>
              </w:rPr>
              <w:t>评标方法描述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575" w:type="pct"/>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400" w:lineRule="exact"/>
              <w:jc w:val="center"/>
              <w:rPr>
                <w:color w:val="auto"/>
                <w:highlight w:val="none"/>
              </w:rPr>
            </w:pPr>
            <w:r>
              <w:rPr>
                <w:rFonts w:hint="eastAsia" w:ascii="宋体" w:hAnsi="宋体" w:eastAsia="宋体" w:cs="宋体"/>
                <w:i w:val="0"/>
                <w:iCs w:val="0"/>
                <w:caps w:val="0"/>
                <w:color w:val="auto"/>
                <w:spacing w:val="0"/>
                <w:kern w:val="0"/>
                <w:sz w:val="24"/>
                <w:szCs w:val="24"/>
                <w:highlight w:val="none"/>
                <w:lang w:val="en-US" w:eastAsia="zh-CN" w:bidi="ar"/>
              </w:rPr>
              <w:t>技术和服务要求响应情况</w:t>
            </w:r>
          </w:p>
        </w:tc>
        <w:tc>
          <w:tcPr>
            <w:tcW w:w="393" w:type="pct"/>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400" w:lineRule="exact"/>
              <w:jc w:val="center"/>
              <w:rPr>
                <w:rFonts w:hint="default"/>
                <w:color w:val="auto"/>
                <w:highlight w:val="none"/>
                <w:lang w:val="en-US"/>
              </w:rPr>
            </w:pPr>
            <w:r>
              <w:rPr>
                <w:rFonts w:hint="eastAsia" w:ascii="宋体" w:hAnsi="宋体" w:cs="宋体"/>
                <w:i w:val="0"/>
                <w:iCs w:val="0"/>
                <w:caps w:val="0"/>
                <w:color w:val="auto"/>
                <w:spacing w:val="0"/>
                <w:kern w:val="0"/>
                <w:sz w:val="24"/>
                <w:szCs w:val="24"/>
                <w:highlight w:val="none"/>
                <w:lang w:val="en-US" w:eastAsia="zh-CN" w:bidi="ar"/>
              </w:rPr>
              <w:t>13</w:t>
            </w:r>
          </w:p>
        </w:tc>
        <w:tc>
          <w:tcPr>
            <w:tcW w:w="4031" w:type="pct"/>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400" w:lineRule="exact"/>
              <w:jc w:val="left"/>
              <w:rPr>
                <w:color w:val="auto"/>
                <w:highlight w:val="none"/>
              </w:rPr>
            </w:pPr>
            <w:r>
              <w:rPr>
                <w:rFonts w:hint="eastAsia" w:ascii="宋体" w:hAnsi="宋体" w:eastAsia="宋体" w:cs="宋体"/>
                <w:i w:val="0"/>
                <w:iCs w:val="0"/>
                <w:caps w:val="0"/>
                <w:color w:val="auto"/>
                <w:spacing w:val="0"/>
                <w:kern w:val="0"/>
                <w:sz w:val="24"/>
                <w:szCs w:val="24"/>
                <w:highlight w:val="none"/>
                <w:lang w:val="en-US" w:eastAsia="zh-CN" w:bidi="ar"/>
              </w:rPr>
              <w:t>根据投标人对招标文件第五章“二、技术和服务要求”中各项技术服务响应情况进行评分，全部满足招标文件要求的得</w:t>
            </w:r>
            <w:r>
              <w:rPr>
                <w:rFonts w:hint="eastAsia" w:ascii="宋体" w:hAnsi="宋体" w:cs="宋体"/>
                <w:i w:val="0"/>
                <w:iCs w:val="0"/>
                <w:caps w:val="0"/>
                <w:color w:val="auto"/>
                <w:spacing w:val="0"/>
                <w:kern w:val="0"/>
                <w:sz w:val="24"/>
                <w:szCs w:val="24"/>
                <w:highlight w:val="none"/>
                <w:lang w:val="en-US" w:eastAsia="zh-CN" w:bidi="ar"/>
              </w:rPr>
              <w:t>13</w:t>
            </w:r>
            <w:r>
              <w:rPr>
                <w:rFonts w:hint="eastAsia" w:ascii="宋体" w:hAnsi="宋体" w:eastAsia="宋体" w:cs="宋体"/>
                <w:i w:val="0"/>
                <w:iCs w:val="0"/>
                <w:caps w:val="0"/>
                <w:color w:val="auto"/>
                <w:spacing w:val="0"/>
                <w:kern w:val="0"/>
                <w:sz w:val="24"/>
                <w:szCs w:val="24"/>
                <w:highlight w:val="none"/>
                <w:lang w:val="en-US" w:eastAsia="zh-CN" w:bidi="ar"/>
              </w:rPr>
              <w:t>分。每负偏离一项（共13项）扣</w:t>
            </w:r>
            <w:r>
              <w:rPr>
                <w:rFonts w:hint="eastAsia" w:ascii="宋体" w:hAnsi="宋体" w:cs="宋体"/>
                <w:i w:val="0"/>
                <w:iCs w:val="0"/>
                <w:caps w:val="0"/>
                <w:color w:val="auto"/>
                <w:spacing w:val="0"/>
                <w:kern w:val="0"/>
                <w:sz w:val="24"/>
                <w:szCs w:val="24"/>
                <w:highlight w:val="none"/>
                <w:lang w:val="en-US" w:eastAsia="zh-CN" w:bidi="ar"/>
              </w:rPr>
              <w:t>1</w:t>
            </w:r>
            <w:r>
              <w:rPr>
                <w:rFonts w:hint="eastAsia" w:ascii="宋体" w:hAnsi="宋体" w:eastAsia="宋体" w:cs="宋体"/>
                <w:i w:val="0"/>
                <w:iCs w:val="0"/>
                <w:caps w:val="0"/>
                <w:color w:val="auto"/>
                <w:spacing w:val="0"/>
                <w:kern w:val="0"/>
                <w:sz w:val="24"/>
                <w:szCs w:val="24"/>
                <w:highlight w:val="none"/>
                <w:lang w:val="en-US" w:eastAsia="zh-CN" w:bidi="ar"/>
              </w:rPr>
              <w:t>分，扣完为止。以“★”标示的内容或注有“投标无效”的条款及不参与评分的条款均为不允许负偏离的实性质条款，不做评分。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575" w:type="pct"/>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400" w:lineRule="exact"/>
              <w:jc w:val="center"/>
              <w:rPr>
                <w:color w:val="auto"/>
                <w:highlight w:val="none"/>
              </w:rPr>
            </w:pPr>
            <w:r>
              <w:rPr>
                <w:rFonts w:hint="eastAsia" w:ascii="宋体" w:hAnsi="宋体" w:eastAsia="宋体" w:cs="宋体"/>
                <w:i w:val="0"/>
                <w:iCs w:val="0"/>
                <w:caps w:val="0"/>
                <w:color w:val="auto"/>
                <w:spacing w:val="0"/>
                <w:kern w:val="0"/>
                <w:sz w:val="24"/>
                <w:szCs w:val="24"/>
                <w:highlight w:val="none"/>
                <w:lang w:val="en-US" w:eastAsia="zh-CN" w:bidi="ar"/>
              </w:rPr>
              <w:t>保洁方案及保证措施</w:t>
            </w:r>
          </w:p>
        </w:tc>
        <w:tc>
          <w:tcPr>
            <w:tcW w:w="393" w:type="pct"/>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400" w:lineRule="exact"/>
              <w:jc w:val="center"/>
              <w:rPr>
                <w:color w:val="auto"/>
                <w:highlight w:val="none"/>
              </w:rPr>
            </w:pPr>
            <w:r>
              <w:rPr>
                <w:rFonts w:hint="eastAsia" w:ascii="宋体" w:hAnsi="宋体" w:eastAsia="宋体" w:cs="宋体"/>
                <w:i w:val="0"/>
                <w:iCs w:val="0"/>
                <w:caps w:val="0"/>
                <w:color w:val="auto"/>
                <w:spacing w:val="0"/>
                <w:kern w:val="0"/>
                <w:sz w:val="24"/>
                <w:szCs w:val="24"/>
                <w:highlight w:val="none"/>
                <w:lang w:val="en-US" w:eastAsia="zh-CN" w:bidi="ar"/>
              </w:rPr>
              <w:t>3</w:t>
            </w:r>
          </w:p>
        </w:tc>
        <w:tc>
          <w:tcPr>
            <w:tcW w:w="4031" w:type="pct"/>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400" w:lineRule="exact"/>
              <w:jc w:val="left"/>
              <w:rPr>
                <w:color w:val="auto"/>
                <w:highlight w:val="none"/>
              </w:rPr>
            </w:pPr>
            <w:r>
              <w:rPr>
                <w:rFonts w:hint="eastAsia" w:ascii="宋体" w:hAnsi="宋体" w:eastAsia="宋体" w:cs="宋体"/>
                <w:i w:val="0"/>
                <w:iCs w:val="0"/>
                <w:caps w:val="0"/>
                <w:color w:val="auto"/>
                <w:spacing w:val="0"/>
                <w:kern w:val="0"/>
                <w:sz w:val="24"/>
                <w:szCs w:val="24"/>
                <w:highlight w:val="none"/>
                <w:lang w:val="en-US" w:eastAsia="zh-CN" w:bidi="ar"/>
              </w:rPr>
              <w:t>各投标人针对本项目实际情况提供的日常清扫、保洁工作任务安排方案，方案完整、全面、合理，针对性强的得3分；方案较完整、较全面、较合理，针对性较强的得2.8分；方案简略，针对性一般的得2.</w:t>
            </w:r>
            <w:r>
              <w:rPr>
                <w:rFonts w:hint="eastAsia" w:ascii="宋体" w:hAnsi="宋体" w:cs="宋体"/>
                <w:i w:val="0"/>
                <w:iCs w:val="0"/>
                <w:caps w:val="0"/>
                <w:color w:val="auto"/>
                <w:spacing w:val="0"/>
                <w:kern w:val="0"/>
                <w:sz w:val="24"/>
                <w:szCs w:val="24"/>
                <w:highlight w:val="none"/>
                <w:lang w:val="en-US" w:eastAsia="zh-CN" w:bidi="ar"/>
              </w:rPr>
              <w:t>5</w:t>
            </w:r>
            <w:r>
              <w:rPr>
                <w:rFonts w:hint="eastAsia" w:ascii="宋体" w:hAnsi="宋体" w:eastAsia="宋体" w:cs="宋体"/>
                <w:i w:val="0"/>
                <w:iCs w:val="0"/>
                <w:caps w:val="0"/>
                <w:color w:val="auto"/>
                <w:spacing w:val="0"/>
                <w:kern w:val="0"/>
                <w:sz w:val="24"/>
                <w:szCs w:val="24"/>
                <w:highlight w:val="none"/>
                <w:lang w:val="en-US" w:eastAsia="zh-CN" w:bidi="ar"/>
              </w:rPr>
              <w:t>分；方案不合理或未提供方案的本项不得分。（满分3分）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575" w:type="pct"/>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400" w:lineRule="exact"/>
              <w:jc w:val="center"/>
              <w:rPr>
                <w:color w:val="auto"/>
                <w:highlight w:val="none"/>
              </w:rPr>
            </w:pPr>
            <w:r>
              <w:rPr>
                <w:rFonts w:hint="eastAsia" w:ascii="宋体" w:hAnsi="宋体" w:eastAsia="宋体" w:cs="宋体"/>
                <w:i w:val="0"/>
                <w:iCs w:val="0"/>
                <w:caps w:val="0"/>
                <w:color w:val="auto"/>
                <w:spacing w:val="0"/>
                <w:kern w:val="0"/>
                <w:sz w:val="24"/>
                <w:szCs w:val="24"/>
                <w:highlight w:val="none"/>
                <w:lang w:val="en-US" w:eastAsia="zh-CN" w:bidi="ar"/>
              </w:rPr>
              <w:t>岗位设置情况</w:t>
            </w:r>
          </w:p>
        </w:tc>
        <w:tc>
          <w:tcPr>
            <w:tcW w:w="393" w:type="pct"/>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400" w:lineRule="exact"/>
              <w:jc w:val="center"/>
              <w:rPr>
                <w:color w:val="auto"/>
                <w:highlight w:val="none"/>
              </w:rPr>
            </w:pPr>
            <w:r>
              <w:rPr>
                <w:rFonts w:hint="eastAsia" w:ascii="宋体" w:hAnsi="宋体" w:eastAsia="宋体" w:cs="宋体"/>
                <w:i w:val="0"/>
                <w:iCs w:val="0"/>
                <w:caps w:val="0"/>
                <w:color w:val="auto"/>
                <w:spacing w:val="0"/>
                <w:kern w:val="0"/>
                <w:sz w:val="24"/>
                <w:szCs w:val="24"/>
                <w:highlight w:val="none"/>
                <w:lang w:val="en-US" w:eastAsia="zh-CN" w:bidi="ar"/>
              </w:rPr>
              <w:t>3</w:t>
            </w:r>
          </w:p>
        </w:tc>
        <w:tc>
          <w:tcPr>
            <w:tcW w:w="4031" w:type="pct"/>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400" w:lineRule="exact"/>
              <w:jc w:val="left"/>
              <w:rPr>
                <w:color w:val="auto"/>
                <w:highlight w:val="none"/>
              </w:rPr>
            </w:pPr>
            <w:r>
              <w:rPr>
                <w:rFonts w:hint="eastAsia" w:ascii="宋体" w:hAnsi="宋体" w:eastAsia="宋体" w:cs="宋体"/>
                <w:i w:val="0"/>
                <w:iCs w:val="0"/>
                <w:caps w:val="0"/>
                <w:color w:val="auto"/>
                <w:spacing w:val="0"/>
                <w:kern w:val="0"/>
                <w:sz w:val="24"/>
                <w:szCs w:val="24"/>
                <w:highlight w:val="none"/>
                <w:lang w:val="en-US" w:eastAsia="zh-CN" w:bidi="ar"/>
              </w:rPr>
              <w:t>根据投标人针对本项目根据投标人针对本项目提供的项目管理组织架构、人员投入、班次安排、岗位职责等方案，方案完整、全面、合理，针对性强的得3分；方案较完整、较全面、较合理，针对性较强的得2.8分；方案简略，针对性一般的得2.</w:t>
            </w:r>
            <w:r>
              <w:rPr>
                <w:rFonts w:hint="eastAsia" w:ascii="宋体" w:hAnsi="宋体" w:cs="宋体"/>
                <w:i w:val="0"/>
                <w:iCs w:val="0"/>
                <w:caps w:val="0"/>
                <w:color w:val="auto"/>
                <w:spacing w:val="0"/>
                <w:kern w:val="0"/>
                <w:sz w:val="24"/>
                <w:szCs w:val="24"/>
                <w:highlight w:val="none"/>
                <w:lang w:val="en-US" w:eastAsia="zh-CN" w:bidi="ar"/>
              </w:rPr>
              <w:t>5</w:t>
            </w:r>
            <w:r>
              <w:rPr>
                <w:rFonts w:hint="eastAsia" w:ascii="宋体" w:hAnsi="宋体" w:eastAsia="宋体" w:cs="宋体"/>
                <w:i w:val="0"/>
                <w:iCs w:val="0"/>
                <w:caps w:val="0"/>
                <w:color w:val="auto"/>
                <w:spacing w:val="0"/>
                <w:kern w:val="0"/>
                <w:sz w:val="24"/>
                <w:szCs w:val="24"/>
                <w:highlight w:val="none"/>
                <w:lang w:val="en-US" w:eastAsia="zh-CN" w:bidi="ar"/>
              </w:rPr>
              <w:t>分；方案不合理或未提供方案的本项不得分。（满分3分）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575" w:type="pct"/>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400" w:lineRule="exact"/>
              <w:jc w:val="center"/>
              <w:rPr>
                <w:color w:val="auto"/>
                <w:highlight w:val="none"/>
              </w:rPr>
            </w:pPr>
            <w:r>
              <w:rPr>
                <w:rFonts w:hint="eastAsia" w:ascii="宋体" w:hAnsi="宋体" w:eastAsia="宋体" w:cs="宋体"/>
                <w:i w:val="0"/>
                <w:iCs w:val="0"/>
                <w:caps w:val="0"/>
                <w:color w:val="auto"/>
                <w:spacing w:val="0"/>
                <w:kern w:val="0"/>
                <w:sz w:val="24"/>
                <w:szCs w:val="24"/>
                <w:highlight w:val="none"/>
                <w:lang w:val="en-US" w:eastAsia="zh-CN" w:bidi="ar"/>
              </w:rPr>
              <w:t>项目计划安排与组织实施方案</w:t>
            </w:r>
          </w:p>
        </w:tc>
        <w:tc>
          <w:tcPr>
            <w:tcW w:w="393" w:type="pct"/>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400" w:lineRule="exact"/>
              <w:jc w:val="center"/>
              <w:rPr>
                <w:color w:val="auto"/>
                <w:highlight w:val="none"/>
              </w:rPr>
            </w:pPr>
            <w:r>
              <w:rPr>
                <w:rFonts w:hint="eastAsia" w:ascii="宋体" w:hAnsi="宋体" w:eastAsia="宋体" w:cs="宋体"/>
                <w:i w:val="0"/>
                <w:iCs w:val="0"/>
                <w:caps w:val="0"/>
                <w:color w:val="auto"/>
                <w:spacing w:val="0"/>
                <w:kern w:val="0"/>
                <w:sz w:val="24"/>
                <w:szCs w:val="24"/>
                <w:highlight w:val="none"/>
                <w:lang w:val="en-US" w:eastAsia="zh-CN" w:bidi="ar"/>
              </w:rPr>
              <w:t>3</w:t>
            </w:r>
          </w:p>
        </w:tc>
        <w:tc>
          <w:tcPr>
            <w:tcW w:w="4031" w:type="pct"/>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400" w:lineRule="exact"/>
              <w:jc w:val="left"/>
              <w:rPr>
                <w:color w:val="auto"/>
                <w:highlight w:val="none"/>
              </w:rPr>
            </w:pPr>
            <w:r>
              <w:rPr>
                <w:rFonts w:hint="eastAsia" w:ascii="宋体" w:hAnsi="宋体" w:eastAsia="宋体" w:cs="宋体"/>
                <w:i w:val="0"/>
                <w:iCs w:val="0"/>
                <w:caps w:val="0"/>
                <w:color w:val="auto"/>
                <w:spacing w:val="0"/>
                <w:kern w:val="0"/>
                <w:sz w:val="24"/>
                <w:szCs w:val="24"/>
                <w:highlight w:val="none"/>
                <w:lang w:val="en-US" w:eastAsia="zh-CN" w:bidi="ar"/>
              </w:rPr>
              <w:t>根据各投标人制定的项目过渡交接计划安排与组织实施是否合理、可行等情况，方案完整、全面、合理，针对性强的得3分；方案较完整、较全面、较合理，针对性较强的得2.8分；方案简略，针对性一般的得2.</w:t>
            </w:r>
            <w:r>
              <w:rPr>
                <w:rFonts w:hint="eastAsia" w:ascii="宋体" w:hAnsi="宋体" w:cs="宋体"/>
                <w:i w:val="0"/>
                <w:iCs w:val="0"/>
                <w:caps w:val="0"/>
                <w:color w:val="auto"/>
                <w:spacing w:val="0"/>
                <w:kern w:val="0"/>
                <w:sz w:val="24"/>
                <w:szCs w:val="24"/>
                <w:highlight w:val="none"/>
                <w:lang w:val="en-US" w:eastAsia="zh-CN" w:bidi="ar"/>
              </w:rPr>
              <w:t>5</w:t>
            </w:r>
            <w:r>
              <w:rPr>
                <w:rFonts w:hint="eastAsia" w:ascii="宋体" w:hAnsi="宋体" w:eastAsia="宋体" w:cs="宋体"/>
                <w:i w:val="0"/>
                <w:iCs w:val="0"/>
                <w:caps w:val="0"/>
                <w:color w:val="auto"/>
                <w:spacing w:val="0"/>
                <w:kern w:val="0"/>
                <w:sz w:val="24"/>
                <w:szCs w:val="24"/>
                <w:highlight w:val="none"/>
                <w:lang w:val="en-US" w:eastAsia="zh-CN" w:bidi="ar"/>
              </w:rPr>
              <w:t>分；方案不合理或未提供方案的本项不得分。（满分3分）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575" w:type="pct"/>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400" w:lineRule="exact"/>
              <w:jc w:val="center"/>
              <w:rPr>
                <w:color w:val="auto"/>
                <w:highlight w:val="none"/>
              </w:rPr>
            </w:pPr>
            <w:r>
              <w:rPr>
                <w:rFonts w:hint="eastAsia" w:ascii="宋体" w:hAnsi="宋体" w:eastAsia="宋体" w:cs="宋体"/>
                <w:i w:val="0"/>
                <w:iCs w:val="0"/>
                <w:caps w:val="0"/>
                <w:color w:val="auto"/>
                <w:spacing w:val="0"/>
                <w:kern w:val="0"/>
                <w:sz w:val="24"/>
                <w:szCs w:val="24"/>
                <w:highlight w:val="none"/>
                <w:lang w:val="en-US" w:eastAsia="zh-CN" w:bidi="ar"/>
              </w:rPr>
              <w:t>管理规章制度</w:t>
            </w:r>
          </w:p>
        </w:tc>
        <w:tc>
          <w:tcPr>
            <w:tcW w:w="393" w:type="pct"/>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400" w:lineRule="exact"/>
              <w:jc w:val="center"/>
              <w:rPr>
                <w:color w:val="auto"/>
                <w:highlight w:val="none"/>
              </w:rPr>
            </w:pPr>
            <w:r>
              <w:rPr>
                <w:rFonts w:hint="eastAsia" w:ascii="宋体" w:hAnsi="宋体" w:eastAsia="宋体" w:cs="宋体"/>
                <w:i w:val="0"/>
                <w:iCs w:val="0"/>
                <w:caps w:val="0"/>
                <w:color w:val="auto"/>
                <w:spacing w:val="0"/>
                <w:kern w:val="0"/>
                <w:sz w:val="24"/>
                <w:szCs w:val="24"/>
                <w:highlight w:val="none"/>
                <w:lang w:val="en-US" w:eastAsia="zh-CN" w:bidi="ar"/>
              </w:rPr>
              <w:t>3</w:t>
            </w:r>
          </w:p>
        </w:tc>
        <w:tc>
          <w:tcPr>
            <w:tcW w:w="4031" w:type="pct"/>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400" w:lineRule="exact"/>
              <w:jc w:val="left"/>
              <w:rPr>
                <w:color w:val="auto"/>
                <w:highlight w:val="none"/>
              </w:rPr>
            </w:pPr>
            <w:r>
              <w:rPr>
                <w:rFonts w:hint="eastAsia" w:ascii="宋体" w:hAnsi="宋体" w:eastAsia="宋体" w:cs="宋体"/>
                <w:i w:val="0"/>
                <w:iCs w:val="0"/>
                <w:caps w:val="0"/>
                <w:color w:val="auto"/>
                <w:spacing w:val="0"/>
                <w:kern w:val="0"/>
                <w:sz w:val="24"/>
                <w:szCs w:val="24"/>
                <w:highlight w:val="none"/>
                <w:lang w:val="en-US" w:eastAsia="zh-CN" w:bidi="ar"/>
              </w:rPr>
              <w:t>根据投标人针对本项目所提供的管理规章制度、安全管理制度、车辆管理制度、岗位工作职责等相关制度，方案完整、全面、合理，针对性强的得3分；方案较完整、较全面、较合理，针对性较强的得2.8分；方案简略，针对性一般的得2.</w:t>
            </w:r>
            <w:r>
              <w:rPr>
                <w:rFonts w:hint="eastAsia" w:ascii="宋体" w:hAnsi="宋体" w:cs="宋体"/>
                <w:i w:val="0"/>
                <w:iCs w:val="0"/>
                <w:caps w:val="0"/>
                <w:color w:val="auto"/>
                <w:spacing w:val="0"/>
                <w:kern w:val="0"/>
                <w:sz w:val="24"/>
                <w:szCs w:val="24"/>
                <w:highlight w:val="none"/>
                <w:lang w:val="en-US" w:eastAsia="zh-CN" w:bidi="ar"/>
              </w:rPr>
              <w:t>5</w:t>
            </w:r>
            <w:r>
              <w:rPr>
                <w:rFonts w:hint="eastAsia" w:ascii="宋体" w:hAnsi="宋体" w:eastAsia="宋体" w:cs="宋体"/>
                <w:i w:val="0"/>
                <w:iCs w:val="0"/>
                <w:caps w:val="0"/>
                <w:color w:val="auto"/>
                <w:spacing w:val="0"/>
                <w:kern w:val="0"/>
                <w:sz w:val="24"/>
                <w:szCs w:val="24"/>
                <w:highlight w:val="none"/>
                <w:lang w:val="en-US" w:eastAsia="zh-CN" w:bidi="ar"/>
              </w:rPr>
              <w:t>分；方案不合理或未提供方案的本项不得分。（满分3分）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575" w:type="pct"/>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400" w:lineRule="exact"/>
              <w:jc w:val="center"/>
              <w:rPr>
                <w:color w:val="auto"/>
                <w:highlight w:val="none"/>
              </w:rPr>
            </w:pPr>
            <w:r>
              <w:rPr>
                <w:rFonts w:hint="eastAsia" w:ascii="宋体" w:hAnsi="宋体" w:eastAsia="宋体" w:cs="宋体"/>
                <w:i w:val="0"/>
                <w:iCs w:val="0"/>
                <w:caps w:val="0"/>
                <w:color w:val="auto"/>
                <w:spacing w:val="0"/>
                <w:kern w:val="0"/>
                <w:sz w:val="24"/>
                <w:szCs w:val="24"/>
                <w:highlight w:val="none"/>
                <w:lang w:val="en-US" w:eastAsia="zh-CN" w:bidi="ar"/>
              </w:rPr>
              <w:t>员工奖惩条例</w:t>
            </w:r>
          </w:p>
        </w:tc>
        <w:tc>
          <w:tcPr>
            <w:tcW w:w="393" w:type="pct"/>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400" w:lineRule="exact"/>
              <w:jc w:val="center"/>
              <w:rPr>
                <w:color w:val="auto"/>
                <w:highlight w:val="none"/>
              </w:rPr>
            </w:pPr>
            <w:r>
              <w:rPr>
                <w:rFonts w:hint="eastAsia" w:ascii="宋体" w:hAnsi="宋体" w:eastAsia="宋体" w:cs="宋体"/>
                <w:i w:val="0"/>
                <w:iCs w:val="0"/>
                <w:caps w:val="0"/>
                <w:color w:val="auto"/>
                <w:spacing w:val="0"/>
                <w:kern w:val="0"/>
                <w:sz w:val="24"/>
                <w:szCs w:val="24"/>
                <w:highlight w:val="none"/>
                <w:lang w:val="en-US" w:eastAsia="zh-CN" w:bidi="ar"/>
              </w:rPr>
              <w:t>3</w:t>
            </w:r>
          </w:p>
        </w:tc>
        <w:tc>
          <w:tcPr>
            <w:tcW w:w="4031" w:type="pct"/>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400" w:lineRule="exact"/>
              <w:jc w:val="left"/>
              <w:rPr>
                <w:color w:val="auto"/>
                <w:highlight w:val="none"/>
              </w:rPr>
            </w:pPr>
            <w:r>
              <w:rPr>
                <w:rFonts w:hint="eastAsia" w:ascii="宋体" w:hAnsi="宋体" w:eastAsia="宋体" w:cs="宋体"/>
                <w:i w:val="0"/>
                <w:iCs w:val="0"/>
                <w:caps w:val="0"/>
                <w:color w:val="auto"/>
                <w:spacing w:val="0"/>
                <w:kern w:val="0"/>
                <w:sz w:val="24"/>
                <w:szCs w:val="24"/>
                <w:highlight w:val="none"/>
                <w:lang w:val="en-US" w:eastAsia="zh-CN" w:bidi="ar"/>
              </w:rPr>
              <w:t>根据各投标人制定的员工奖惩条例是否使各项奖罚行为规范化并有章可循，方案完整、全面、合理，针对性强的得3分；方案较完整、较全面、较合理，针对性较强的得2.8分；方案简略，针对性一般的得2.</w:t>
            </w:r>
            <w:r>
              <w:rPr>
                <w:rFonts w:hint="eastAsia" w:ascii="宋体" w:hAnsi="宋体" w:cs="宋体"/>
                <w:i w:val="0"/>
                <w:iCs w:val="0"/>
                <w:caps w:val="0"/>
                <w:color w:val="auto"/>
                <w:spacing w:val="0"/>
                <w:kern w:val="0"/>
                <w:sz w:val="24"/>
                <w:szCs w:val="24"/>
                <w:highlight w:val="none"/>
                <w:lang w:val="en-US" w:eastAsia="zh-CN" w:bidi="ar"/>
              </w:rPr>
              <w:t>5</w:t>
            </w:r>
            <w:r>
              <w:rPr>
                <w:rFonts w:hint="eastAsia" w:ascii="宋体" w:hAnsi="宋体" w:eastAsia="宋体" w:cs="宋体"/>
                <w:i w:val="0"/>
                <w:iCs w:val="0"/>
                <w:caps w:val="0"/>
                <w:color w:val="auto"/>
                <w:spacing w:val="0"/>
                <w:kern w:val="0"/>
                <w:sz w:val="24"/>
                <w:szCs w:val="24"/>
                <w:highlight w:val="none"/>
                <w:lang w:val="en-US" w:eastAsia="zh-CN" w:bidi="ar"/>
              </w:rPr>
              <w:t>分；方案不合理或未提供方案的本项不得分。（满分3分）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575" w:type="pct"/>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400" w:lineRule="exact"/>
              <w:jc w:val="center"/>
              <w:rPr>
                <w:color w:val="auto"/>
                <w:highlight w:val="none"/>
              </w:rPr>
            </w:pPr>
            <w:r>
              <w:rPr>
                <w:rFonts w:hint="eastAsia" w:ascii="宋体" w:hAnsi="宋体" w:eastAsia="宋体" w:cs="宋体"/>
                <w:i w:val="0"/>
                <w:iCs w:val="0"/>
                <w:caps w:val="0"/>
                <w:color w:val="auto"/>
                <w:spacing w:val="0"/>
                <w:kern w:val="0"/>
                <w:sz w:val="24"/>
                <w:szCs w:val="24"/>
                <w:highlight w:val="none"/>
                <w:lang w:val="en-US" w:eastAsia="zh-CN" w:bidi="ar"/>
              </w:rPr>
              <w:t>人员培训计划及档案管理情况</w:t>
            </w:r>
          </w:p>
        </w:tc>
        <w:tc>
          <w:tcPr>
            <w:tcW w:w="393" w:type="pct"/>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400" w:lineRule="exact"/>
              <w:jc w:val="center"/>
              <w:rPr>
                <w:color w:val="auto"/>
                <w:highlight w:val="none"/>
              </w:rPr>
            </w:pPr>
            <w:r>
              <w:rPr>
                <w:rFonts w:hint="eastAsia" w:ascii="宋体" w:hAnsi="宋体" w:eastAsia="宋体" w:cs="宋体"/>
                <w:i w:val="0"/>
                <w:iCs w:val="0"/>
                <w:caps w:val="0"/>
                <w:color w:val="auto"/>
                <w:spacing w:val="0"/>
                <w:kern w:val="0"/>
                <w:sz w:val="24"/>
                <w:szCs w:val="24"/>
                <w:highlight w:val="none"/>
                <w:lang w:val="en-US" w:eastAsia="zh-CN" w:bidi="ar"/>
              </w:rPr>
              <w:t>3</w:t>
            </w:r>
          </w:p>
        </w:tc>
        <w:tc>
          <w:tcPr>
            <w:tcW w:w="4031" w:type="pct"/>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400" w:lineRule="exact"/>
              <w:jc w:val="left"/>
              <w:rPr>
                <w:color w:val="auto"/>
                <w:highlight w:val="none"/>
              </w:rPr>
            </w:pPr>
            <w:r>
              <w:rPr>
                <w:rFonts w:hint="eastAsia" w:ascii="宋体" w:hAnsi="宋体" w:eastAsia="宋体" w:cs="宋体"/>
                <w:i w:val="0"/>
                <w:iCs w:val="0"/>
                <w:caps w:val="0"/>
                <w:color w:val="auto"/>
                <w:spacing w:val="0"/>
                <w:kern w:val="0"/>
                <w:sz w:val="24"/>
                <w:szCs w:val="24"/>
                <w:highlight w:val="none"/>
                <w:lang w:val="en-US" w:eastAsia="zh-CN" w:bidi="ar"/>
              </w:rPr>
              <w:t>根据投标人有提供的人员培训计划及档案的建立与管理，方案完整、全面、合理，针对性强的得3分；方案较完整、较全面、较合理，针对性较强的得2.8分；方案简略，针对性一般的得2.</w:t>
            </w:r>
            <w:r>
              <w:rPr>
                <w:rFonts w:hint="eastAsia" w:ascii="宋体" w:hAnsi="宋体" w:cs="宋体"/>
                <w:i w:val="0"/>
                <w:iCs w:val="0"/>
                <w:caps w:val="0"/>
                <w:color w:val="auto"/>
                <w:spacing w:val="0"/>
                <w:kern w:val="0"/>
                <w:sz w:val="24"/>
                <w:szCs w:val="24"/>
                <w:highlight w:val="none"/>
                <w:lang w:val="en-US" w:eastAsia="zh-CN" w:bidi="ar"/>
              </w:rPr>
              <w:t>5</w:t>
            </w:r>
            <w:r>
              <w:rPr>
                <w:rFonts w:hint="eastAsia" w:ascii="宋体" w:hAnsi="宋体" w:eastAsia="宋体" w:cs="宋体"/>
                <w:i w:val="0"/>
                <w:iCs w:val="0"/>
                <w:caps w:val="0"/>
                <w:color w:val="auto"/>
                <w:spacing w:val="0"/>
                <w:kern w:val="0"/>
                <w:sz w:val="24"/>
                <w:szCs w:val="24"/>
                <w:highlight w:val="none"/>
                <w:lang w:val="en-US" w:eastAsia="zh-CN" w:bidi="ar"/>
              </w:rPr>
              <w:t>分；方案不合理或未提供方案的本项不得分。（满分3分）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575" w:type="pct"/>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400" w:lineRule="exact"/>
              <w:jc w:val="center"/>
              <w:rPr>
                <w:rFonts w:hint="eastAsia" w:ascii="宋体" w:hAnsi="宋体" w:cs="宋体"/>
                <w:i w:val="0"/>
                <w:iCs w:val="0"/>
                <w:caps w:val="0"/>
                <w:color w:val="auto"/>
                <w:spacing w:val="0"/>
                <w:kern w:val="0"/>
                <w:sz w:val="24"/>
                <w:szCs w:val="24"/>
                <w:highlight w:val="none"/>
                <w:lang w:val="en-US" w:eastAsia="zh-CN" w:bidi="ar"/>
              </w:rPr>
            </w:pPr>
            <w:r>
              <w:rPr>
                <w:rFonts w:hint="eastAsia" w:ascii="宋体" w:hAnsi="宋体" w:eastAsia="宋体" w:cs="宋体"/>
                <w:i w:val="0"/>
                <w:iCs w:val="0"/>
                <w:caps w:val="0"/>
                <w:color w:val="auto"/>
                <w:spacing w:val="0"/>
                <w:kern w:val="0"/>
                <w:sz w:val="24"/>
                <w:szCs w:val="24"/>
                <w:highlight w:val="none"/>
                <w:lang w:val="en-US" w:eastAsia="zh-CN" w:bidi="ar"/>
              </w:rPr>
              <w:t>应急预案</w:t>
            </w:r>
          </w:p>
        </w:tc>
        <w:tc>
          <w:tcPr>
            <w:tcW w:w="393" w:type="pct"/>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400" w:lineRule="exact"/>
              <w:jc w:val="center"/>
              <w:rPr>
                <w:rFonts w:hint="eastAsia" w:ascii="宋体" w:hAnsi="宋体" w:eastAsia="宋体" w:cs="宋体"/>
                <w:i w:val="0"/>
                <w:iCs w:val="0"/>
                <w:caps w:val="0"/>
                <w:color w:val="auto"/>
                <w:spacing w:val="0"/>
                <w:kern w:val="0"/>
                <w:sz w:val="24"/>
                <w:szCs w:val="24"/>
                <w:highlight w:val="none"/>
                <w:lang w:val="en-US" w:eastAsia="zh-CN" w:bidi="ar"/>
              </w:rPr>
            </w:pPr>
            <w:r>
              <w:rPr>
                <w:rFonts w:hint="eastAsia" w:ascii="宋体" w:hAnsi="宋体" w:eastAsia="宋体" w:cs="宋体"/>
                <w:i w:val="0"/>
                <w:iCs w:val="0"/>
                <w:caps w:val="0"/>
                <w:color w:val="auto"/>
                <w:spacing w:val="0"/>
                <w:kern w:val="0"/>
                <w:sz w:val="24"/>
                <w:szCs w:val="24"/>
                <w:highlight w:val="none"/>
                <w:lang w:val="en-US" w:eastAsia="zh-CN" w:bidi="ar"/>
              </w:rPr>
              <w:t>3</w:t>
            </w:r>
          </w:p>
        </w:tc>
        <w:tc>
          <w:tcPr>
            <w:tcW w:w="4031" w:type="pct"/>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400" w:lineRule="exact"/>
              <w:jc w:val="left"/>
              <w:rPr>
                <w:rFonts w:hint="eastAsia" w:ascii="宋体" w:hAnsi="宋体" w:eastAsia="宋体" w:cs="宋体"/>
                <w:i w:val="0"/>
                <w:iCs w:val="0"/>
                <w:caps w:val="0"/>
                <w:color w:val="auto"/>
                <w:spacing w:val="0"/>
                <w:kern w:val="0"/>
                <w:sz w:val="24"/>
                <w:szCs w:val="24"/>
                <w:highlight w:val="none"/>
                <w:lang w:val="en-US" w:eastAsia="zh-CN" w:bidi="ar"/>
              </w:rPr>
            </w:pPr>
            <w:r>
              <w:rPr>
                <w:rFonts w:hint="eastAsia" w:ascii="宋体" w:hAnsi="宋体" w:eastAsia="宋体" w:cs="宋体"/>
                <w:i w:val="0"/>
                <w:iCs w:val="0"/>
                <w:caps w:val="0"/>
                <w:color w:val="auto"/>
                <w:spacing w:val="0"/>
                <w:kern w:val="0"/>
                <w:sz w:val="24"/>
                <w:szCs w:val="24"/>
                <w:highlight w:val="none"/>
                <w:lang w:val="en-US" w:eastAsia="zh-CN" w:bidi="ar"/>
              </w:rPr>
              <w:t>根据投标人针对本项目所提供的突发性环境事件卫生防疫</w:t>
            </w:r>
            <w:r>
              <w:rPr>
                <w:rFonts w:hint="eastAsia" w:ascii="宋体" w:hAnsi="宋体" w:cs="宋体"/>
                <w:i w:val="0"/>
                <w:iCs w:val="0"/>
                <w:caps w:val="0"/>
                <w:color w:val="auto"/>
                <w:spacing w:val="0"/>
                <w:kern w:val="0"/>
                <w:sz w:val="24"/>
                <w:szCs w:val="24"/>
                <w:highlight w:val="none"/>
                <w:lang w:val="en-US" w:eastAsia="zh-CN" w:bidi="ar"/>
              </w:rPr>
              <w:t>及消杀、</w:t>
            </w:r>
            <w:r>
              <w:rPr>
                <w:rFonts w:hint="eastAsia" w:ascii="宋体" w:hAnsi="宋体" w:eastAsia="宋体" w:cs="宋体"/>
                <w:i w:val="0"/>
                <w:iCs w:val="0"/>
                <w:caps w:val="0"/>
                <w:color w:val="auto"/>
                <w:spacing w:val="0"/>
                <w:kern w:val="0"/>
                <w:sz w:val="24"/>
                <w:szCs w:val="24"/>
                <w:highlight w:val="none"/>
                <w:lang w:val="en-US" w:eastAsia="zh-CN" w:bidi="ar"/>
              </w:rPr>
              <w:t>重大活动、节假日及不可抗力自然灾害、突发事件造成垃圾量激增的收集、转运应急预案（主要包括：应急服务保障措施、应急服务响应时间、应急设备保障、重大或突发事件的人员车辆设备配合及其它相关服务等），方案完整、全面、合理，针对性强的得3分；方案较完整、较全面、较合理，针对性较强的得2.8分；方案简略，针对性一般的得2.</w:t>
            </w:r>
            <w:r>
              <w:rPr>
                <w:rFonts w:hint="eastAsia" w:ascii="宋体" w:hAnsi="宋体" w:cs="宋体"/>
                <w:i w:val="0"/>
                <w:iCs w:val="0"/>
                <w:caps w:val="0"/>
                <w:color w:val="auto"/>
                <w:spacing w:val="0"/>
                <w:kern w:val="0"/>
                <w:sz w:val="24"/>
                <w:szCs w:val="24"/>
                <w:highlight w:val="none"/>
                <w:lang w:val="en-US" w:eastAsia="zh-CN" w:bidi="ar"/>
              </w:rPr>
              <w:t>5</w:t>
            </w:r>
            <w:r>
              <w:rPr>
                <w:rFonts w:hint="eastAsia" w:ascii="宋体" w:hAnsi="宋体" w:eastAsia="宋体" w:cs="宋体"/>
                <w:i w:val="0"/>
                <w:iCs w:val="0"/>
                <w:caps w:val="0"/>
                <w:color w:val="auto"/>
                <w:spacing w:val="0"/>
                <w:kern w:val="0"/>
                <w:sz w:val="24"/>
                <w:szCs w:val="24"/>
                <w:highlight w:val="none"/>
                <w:lang w:val="en-US" w:eastAsia="zh-CN" w:bidi="ar"/>
              </w:rPr>
              <w:t>分；方案不合理或未提供方案的本项不得分。（满分3分）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575" w:type="pct"/>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400" w:lineRule="exact"/>
              <w:jc w:val="center"/>
              <w:rPr>
                <w:rFonts w:hint="eastAsia" w:ascii="宋体" w:hAnsi="宋体" w:cs="宋体"/>
                <w:i w:val="0"/>
                <w:iCs w:val="0"/>
                <w:caps w:val="0"/>
                <w:color w:val="auto"/>
                <w:spacing w:val="0"/>
                <w:kern w:val="0"/>
                <w:sz w:val="24"/>
                <w:szCs w:val="24"/>
                <w:highlight w:val="none"/>
                <w:lang w:val="en-US" w:eastAsia="zh-CN" w:bidi="ar"/>
              </w:rPr>
            </w:pPr>
            <w:r>
              <w:rPr>
                <w:rFonts w:hint="eastAsia" w:ascii="宋体" w:hAnsi="宋体" w:eastAsia="宋体" w:cs="宋体"/>
                <w:i w:val="0"/>
                <w:iCs w:val="0"/>
                <w:caps w:val="0"/>
                <w:color w:val="auto"/>
                <w:spacing w:val="0"/>
                <w:kern w:val="0"/>
                <w:sz w:val="24"/>
                <w:szCs w:val="24"/>
                <w:highlight w:val="none"/>
                <w:lang w:val="en-US" w:eastAsia="zh-CN" w:bidi="ar"/>
              </w:rPr>
              <w:t>设备工具保障及操作</w:t>
            </w:r>
          </w:p>
        </w:tc>
        <w:tc>
          <w:tcPr>
            <w:tcW w:w="393" w:type="pct"/>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400" w:lineRule="exact"/>
              <w:jc w:val="center"/>
              <w:rPr>
                <w:rFonts w:hint="eastAsia" w:ascii="宋体" w:hAnsi="宋体" w:eastAsia="宋体" w:cs="宋体"/>
                <w:i w:val="0"/>
                <w:iCs w:val="0"/>
                <w:caps w:val="0"/>
                <w:color w:val="auto"/>
                <w:spacing w:val="0"/>
                <w:kern w:val="0"/>
                <w:sz w:val="24"/>
                <w:szCs w:val="24"/>
                <w:highlight w:val="none"/>
                <w:lang w:val="en-US" w:eastAsia="zh-CN" w:bidi="ar"/>
              </w:rPr>
            </w:pPr>
            <w:r>
              <w:rPr>
                <w:rFonts w:hint="eastAsia" w:ascii="宋体" w:hAnsi="宋体" w:eastAsia="宋体" w:cs="宋体"/>
                <w:i w:val="0"/>
                <w:iCs w:val="0"/>
                <w:caps w:val="0"/>
                <w:color w:val="auto"/>
                <w:spacing w:val="0"/>
                <w:kern w:val="0"/>
                <w:sz w:val="24"/>
                <w:szCs w:val="24"/>
                <w:highlight w:val="none"/>
                <w:lang w:val="en-US" w:eastAsia="zh-CN" w:bidi="ar"/>
              </w:rPr>
              <w:t>3</w:t>
            </w:r>
          </w:p>
        </w:tc>
        <w:tc>
          <w:tcPr>
            <w:tcW w:w="4031" w:type="pct"/>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400" w:lineRule="exact"/>
              <w:jc w:val="left"/>
              <w:rPr>
                <w:rFonts w:hint="eastAsia" w:ascii="宋体" w:hAnsi="宋体" w:eastAsia="宋体" w:cs="宋体"/>
                <w:i w:val="0"/>
                <w:iCs w:val="0"/>
                <w:caps w:val="0"/>
                <w:color w:val="auto"/>
                <w:spacing w:val="0"/>
                <w:kern w:val="0"/>
                <w:sz w:val="24"/>
                <w:szCs w:val="24"/>
                <w:highlight w:val="none"/>
                <w:lang w:val="en-US" w:eastAsia="zh-CN" w:bidi="ar"/>
              </w:rPr>
            </w:pPr>
            <w:r>
              <w:rPr>
                <w:rFonts w:hint="eastAsia" w:ascii="宋体" w:hAnsi="宋体" w:eastAsia="宋体" w:cs="宋体"/>
                <w:i w:val="0"/>
                <w:iCs w:val="0"/>
                <w:caps w:val="0"/>
                <w:color w:val="auto"/>
                <w:spacing w:val="0"/>
                <w:kern w:val="0"/>
                <w:sz w:val="24"/>
                <w:szCs w:val="24"/>
                <w:highlight w:val="none"/>
                <w:lang w:val="en-US" w:eastAsia="zh-CN" w:bidi="ar"/>
              </w:rPr>
              <w:t>根据投标人针对本项目所提供各种作业设备日常使用、维护保养考核办法是否规范、健全(至少含领用、使用、保管等)方案，方案完整、全面、合理，针对性强的得3分；方案较完整、较全面、较合理，针对性较强的得2.8分；方案简略，针对性一般的得2.5分；方案不合理或未提供方案的本项不得分。（满分3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575" w:type="pct"/>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400" w:lineRule="exact"/>
              <w:jc w:val="center"/>
              <w:rPr>
                <w:rFonts w:hint="eastAsia" w:ascii="宋体" w:hAnsi="宋体" w:cs="宋体"/>
                <w:i w:val="0"/>
                <w:iCs w:val="0"/>
                <w:caps w:val="0"/>
                <w:color w:val="auto"/>
                <w:spacing w:val="0"/>
                <w:kern w:val="0"/>
                <w:sz w:val="24"/>
                <w:szCs w:val="24"/>
                <w:highlight w:val="none"/>
                <w:lang w:val="en-US" w:eastAsia="zh-CN" w:bidi="ar"/>
              </w:rPr>
            </w:pPr>
            <w:r>
              <w:rPr>
                <w:rFonts w:hint="eastAsia" w:ascii="宋体" w:hAnsi="宋体" w:eastAsia="宋体" w:cs="宋体"/>
                <w:i w:val="0"/>
                <w:iCs w:val="0"/>
                <w:caps w:val="0"/>
                <w:color w:val="auto"/>
                <w:spacing w:val="0"/>
                <w:kern w:val="0"/>
                <w:sz w:val="24"/>
                <w:szCs w:val="24"/>
                <w:highlight w:val="none"/>
                <w:lang w:val="en-US" w:eastAsia="zh-CN" w:bidi="ar"/>
              </w:rPr>
              <w:t>安全教育</w:t>
            </w:r>
          </w:p>
        </w:tc>
        <w:tc>
          <w:tcPr>
            <w:tcW w:w="393" w:type="pct"/>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400" w:lineRule="exact"/>
              <w:jc w:val="center"/>
              <w:rPr>
                <w:rFonts w:hint="eastAsia" w:ascii="宋体" w:hAnsi="宋体" w:eastAsia="宋体" w:cs="宋体"/>
                <w:i w:val="0"/>
                <w:iCs w:val="0"/>
                <w:caps w:val="0"/>
                <w:color w:val="auto"/>
                <w:spacing w:val="0"/>
                <w:kern w:val="0"/>
                <w:sz w:val="24"/>
                <w:szCs w:val="24"/>
                <w:highlight w:val="none"/>
                <w:lang w:val="en-US" w:eastAsia="zh-CN" w:bidi="ar"/>
              </w:rPr>
            </w:pPr>
            <w:r>
              <w:rPr>
                <w:rFonts w:hint="eastAsia" w:ascii="宋体" w:hAnsi="宋体" w:eastAsia="宋体" w:cs="宋体"/>
                <w:i w:val="0"/>
                <w:iCs w:val="0"/>
                <w:caps w:val="0"/>
                <w:color w:val="auto"/>
                <w:spacing w:val="0"/>
                <w:kern w:val="0"/>
                <w:sz w:val="24"/>
                <w:szCs w:val="24"/>
                <w:highlight w:val="none"/>
                <w:lang w:val="en-US" w:eastAsia="zh-CN" w:bidi="ar"/>
              </w:rPr>
              <w:t>3</w:t>
            </w:r>
          </w:p>
        </w:tc>
        <w:tc>
          <w:tcPr>
            <w:tcW w:w="4031" w:type="pct"/>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400" w:lineRule="exact"/>
              <w:jc w:val="left"/>
              <w:rPr>
                <w:rFonts w:hint="eastAsia" w:ascii="宋体" w:hAnsi="宋体" w:eastAsia="宋体" w:cs="宋体"/>
                <w:i w:val="0"/>
                <w:iCs w:val="0"/>
                <w:caps w:val="0"/>
                <w:color w:val="auto"/>
                <w:spacing w:val="0"/>
                <w:kern w:val="0"/>
                <w:sz w:val="24"/>
                <w:szCs w:val="24"/>
                <w:highlight w:val="none"/>
                <w:lang w:val="en-US" w:eastAsia="zh-CN" w:bidi="ar"/>
              </w:rPr>
            </w:pPr>
            <w:r>
              <w:rPr>
                <w:rFonts w:hint="eastAsia" w:ascii="宋体" w:hAnsi="宋体" w:eastAsia="宋体" w:cs="宋体"/>
                <w:i w:val="0"/>
                <w:iCs w:val="0"/>
                <w:caps w:val="0"/>
                <w:color w:val="auto"/>
                <w:spacing w:val="0"/>
                <w:kern w:val="0"/>
                <w:sz w:val="24"/>
                <w:szCs w:val="24"/>
                <w:highlight w:val="none"/>
                <w:lang w:val="en-US" w:eastAsia="zh-CN" w:bidi="ar"/>
              </w:rPr>
              <w:t>根据投标人提供定期的对员工开展道路安全教育培训、文明服务等具体实施方案，方案完整、全面、合理，针对性强的得3分；方案较完整、较全面、较合理，针对性较强的得2.8分；方案简略，针对性一般的得2.5分；方案不合理或未提供方案的本项不得分。（满分3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575" w:type="pct"/>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400" w:lineRule="exact"/>
              <w:jc w:val="center"/>
              <w:rPr>
                <w:rFonts w:hint="eastAsia" w:ascii="宋体" w:hAnsi="宋体" w:eastAsia="宋体" w:cs="宋体"/>
                <w:i w:val="0"/>
                <w:iCs w:val="0"/>
                <w:caps w:val="0"/>
                <w:color w:val="auto"/>
                <w:spacing w:val="0"/>
                <w:kern w:val="0"/>
                <w:sz w:val="24"/>
                <w:szCs w:val="24"/>
                <w:highlight w:val="none"/>
                <w:lang w:val="en-US" w:eastAsia="zh-CN" w:bidi="ar"/>
              </w:rPr>
            </w:pPr>
            <w:r>
              <w:rPr>
                <w:rFonts w:hint="eastAsia" w:ascii="宋体" w:hAnsi="宋体" w:eastAsia="宋体" w:cs="宋体"/>
                <w:i w:val="0"/>
                <w:iCs w:val="0"/>
                <w:caps w:val="0"/>
                <w:color w:val="auto"/>
                <w:spacing w:val="0"/>
                <w:kern w:val="0"/>
                <w:sz w:val="24"/>
                <w:szCs w:val="24"/>
                <w:highlight w:val="none"/>
                <w:lang w:val="en-US" w:eastAsia="zh-CN" w:bidi="ar"/>
              </w:rPr>
              <w:t>质量保证措施方案</w:t>
            </w:r>
          </w:p>
        </w:tc>
        <w:tc>
          <w:tcPr>
            <w:tcW w:w="393" w:type="pct"/>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400" w:lineRule="exact"/>
              <w:jc w:val="center"/>
              <w:rPr>
                <w:rFonts w:hint="default" w:ascii="宋体" w:hAnsi="宋体" w:eastAsia="宋体" w:cs="宋体"/>
                <w:i w:val="0"/>
                <w:iCs w:val="0"/>
                <w:caps w:val="0"/>
                <w:color w:val="auto"/>
                <w:spacing w:val="0"/>
                <w:kern w:val="0"/>
                <w:sz w:val="24"/>
                <w:szCs w:val="24"/>
                <w:highlight w:val="none"/>
                <w:lang w:val="en-US" w:eastAsia="zh-CN" w:bidi="ar"/>
              </w:rPr>
            </w:pPr>
            <w:r>
              <w:rPr>
                <w:rFonts w:hint="eastAsia" w:ascii="宋体" w:hAnsi="宋体" w:eastAsia="宋体" w:cs="宋体"/>
                <w:i w:val="0"/>
                <w:iCs w:val="0"/>
                <w:caps w:val="0"/>
                <w:color w:val="auto"/>
                <w:spacing w:val="0"/>
                <w:kern w:val="0"/>
                <w:sz w:val="24"/>
                <w:szCs w:val="24"/>
                <w:highlight w:val="none"/>
                <w:lang w:val="en-US" w:eastAsia="zh-CN" w:bidi="ar"/>
              </w:rPr>
              <w:t>2</w:t>
            </w:r>
          </w:p>
        </w:tc>
        <w:tc>
          <w:tcPr>
            <w:tcW w:w="4031" w:type="pct"/>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400" w:lineRule="exact"/>
              <w:jc w:val="left"/>
              <w:rPr>
                <w:rFonts w:hint="eastAsia" w:ascii="宋体" w:hAnsi="宋体" w:eastAsia="宋体" w:cs="宋体"/>
                <w:i w:val="0"/>
                <w:iCs w:val="0"/>
                <w:caps w:val="0"/>
                <w:color w:val="auto"/>
                <w:spacing w:val="0"/>
                <w:kern w:val="0"/>
                <w:sz w:val="24"/>
                <w:szCs w:val="24"/>
                <w:highlight w:val="none"/>
                <w:lang w:val="en-US" w:eastAsia="zh-CN" w:bidi="ar"/>
              </w:rPr>
            </w:pPr>
            <w:r>
              <w:rPr>
                <w:rFonts w:hint="eastAsia" w:ascii="宋体" w:hAnsi="宋体" w:eastAsia="宋体" w:cs="宋体"/>
                <w:i w:val="0"/>
                <w:iCs w:val="0"/>
                <w:caps w:val="0"/>
                <w:color w:val="auto"/>
                <w:spacing w:val="0"/>
                <w:kern w:val="0"/>
                <w:sz w:val="24"/>
                <w:szCs w:val="24"/>
                <w:highlight w:val="none"/>
                <w:lang w:val="en-US" w:eastAsia="zh-CN" w:bidi="ar"/>
              </w:rPr>
              <w:t>根据投标人针对本项目提供的质量保证措施方案（包括质量管理制度、具体保证措施），由评委进行评分：方案包含以上全部内容，且符合本项目招标内容实际要求的得2分；方案基本包含以上全部内容或基本符合本项目招标内容实际要求的得1.8分；方案内容明显不完善或明显不符合本项目招标内容实际要求的得1.5分。未提供的本项不得分。（满分3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575" w:type="pct"/>
            <w:vMerge w:val="restart"/>
            <w:tcBorders>
              <w:top w:val="outset" w:color="auto" w:sz="6" w:space="0"/>
              <w:left w:val="outset" w:color="auto" w:sz="6" w:space="0"/>
              <w:right w:val="outset" w:color="auto" w:sz="6" w:space="0"/>
            </w:tcBorders>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400" w:lineRule="exact"/>
              <w:jc w:val="center"/>
              <w:rPr>
                <w:rFonts w:hint="eastAsia" w:ascii="宋体" w:hAnsi="宋体" w:cs="宋体"/>
                <w:i w:val="0"/>
                <w:iCs w:val="0"/>
                <w:caps w:val="0"/>
                <w:color w:val="auto"/>
                <w:spacing w:val="0"/>
                <w:kern w:val="0"/>
                <w:sz w:val="24"/>
                <w:szCs w:val="24"/>
                <w:highlight w:val="none"/>
                <w:lang w:val="en-US" w:eastAsia="zh-CN" w:bidi="ar"/>
              </w:rPr>
            </w:pPr>
            <w:r>
              <w:rPr>
                <w:rFonts w:hint="eastAsia" w:ascii="宋体" w:hAnsi="宋体" w:cs="宋体"/>
                <w:i w:val="0"/>
                <w:iCs w:val="0"/>
                <w:caps w:val="0"/>
                <w:color w:val="auto"/>
                <w:spacing w:val="0"/>
                <w:kern w:val="0"/>
                <w:sz w:val="24"/>
                <w:szCs w:val="24"/>
                <w:highlight w:val="none"/>
                <w:lang w:val="en-US" w:eastAsia="zh-CN" w:bidi="ar"/>
              </w:rPr>
              <w:t>设备车辆</w:t>
            </w:r>
          </w:p>
          <w:p>
            <w:pPr>
              <w:keepNext w:val="0"/>
              <w:keepLines w:val="0"/>
              <w:pageBreakBefore w:val="0"/>
              <w:widowControl/>
              <w:suppressLineNumbers w:val="0"/>
              <w:shd w:val="clear"/>
              <w:kinsoku/>
              <w:wordWrap/>
              <w:overflowPunct/>
              <w:topLinePunct w:val="0"/>
              <w:autoSpaceDE/>
              <w:autoSpaceDN/>
              <w:bidi w:val="0"/>
              <w:adjustRightInd/>
              <w:snapToGrid/>
              <w:spacing w:line="400" w:lineRule="exact"/>
              <w:jc w:val="center"/>
              <w:rPr>
                <w:color w:val="auto"/>
                <w:highlight w:val="none"/>
              </w:rPr>
            </w:pPr>
          </w:p>
        </w:tc>
        <w:tc>
          <w:tcPr>
            <w:tcW w:w="393" w:type="pct"/>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400" w:lineRule="exact"/>
              <w:jc w:val="center"/>
              <w:rPr>
                <w:color w:val="auto"/>
                <w:highlight w:val="none"/>
              </w:rPr>
            </w:pPr>
            <w:r>
              <w:rPr>
                <w:rFonts w:hint="eastAsia" w:ascii="宋体" w:hAnsi="宋体" w:eastAsia="宋体" w:cs="宋体"/>
                <w:i w:val="0"/>
                <w:iCs w:val="0"/>
                <w:caps w:val="0"/>
                <w:color w:val="auto"/>
                <w:spacing w:val="0"/>
                <w:kern w:val="0"/>
                <w:sz w:val="24"/>
                <w:szCs w:val="24"/>
                <w:highlight w:val="none"/>
                <w:lang w:val="en-US" w:eastAsia="zh-CN" w:bidi="ar"/>
              </w:rPr>
              <w:t>2</w:t>
            </w:r>
          </w:p>
        </w:tc>
        <w:tc>
          <w:tcPr>
            <w:tcW w:w="4031" w:type="pct"/>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400" w:lineRule="exact"/>
              <w:jc w:val="left"/>
              <w:rPr>
                <w:rFonts w:hint="eastAsia" w:ascii="宋体" w:hAnsi="宋体" w:eastAsia="宋体" w:cs="宋体"/>
                <w:i w:val="0"/>
                <w:iCs w:val="0"/>
                <w:caps w:val="0"/>
                <w:color w:val="auto"/>
                <w:spacing w:val="0"/>
                <w:kern w:val="0"/>
                <w:sz w:val="24"/>
                <w:szCs w:val="24"/>
                <w:highlight w:val="none"/>
                <w:lang w:val="en-US" w:eastAsia="zh-CN" w:bidi="ar"/>
              </w:rPr>
            </w:pPr>
            <w:r>
              <w:rPr>
                <w:rFonts w:hint="eastAsia" w:ascii="宋体" w:hAnsi="宋体" w:eastAsia="宋体" w:cs="宋体"/>
                <w:i w:val="0"/>
                <w:iCs w:val="0"/>
                <w:caps w:val="0"/>
                <w:color w:val="auto"/>
                <w:spacing w:val="0"/>
                <w:kern w:val="0"/>
                <w:sz w:val="24"/>
                <w:szCs w:val="24"/>
                <w:highlight w:val="none"/>
                <w:lang w:val="en-US" w:eastAsia="zh-CN" w:bidi="ar"/>
              </w:rPr>
              <w:t>投标人为本项目拟投入不少于1部道路巡查车（小汽车或工具车）为自有产权车辆的得2分；投标人需提供以下自有产权车辆相应的证明材料：经年检有效的行驶证复印件、机动车登记证书复印件，车辆登记名称须与投标人名称一致复印件、购置发票复印件及车辆正面侧面照，材料提供不全或未提供的本项不得分。（满分2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575" w:type="pct"/>
            <w:vMerge w:val="continue"/>
            <w:tcBorders>
              <w:left w:val="outset" w:color="auto" w:sz="6" w:space="0"/>
              <w:right w:val="outset" w:color="auto" w:sz="6" w:space="0"/>
            </w:tcBorders>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400" w:lineRule="exact"/>
              <w:jc w:val="center"/>
              <w:rPr>
                <w:color w:val="auto"/>
                <w:highlight w:val="none"/>
              </w:rPr>
            </w:pPr>
          </w:p>
        </w:tc>
        <w:tc>
          <w:tcPr>
            <w:tcW w:w="393" w:type="pct"/>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400" w:lineRule="exact"/>
              <w:jc w:val="center"/>
              <w:rPr>
                <w:color w:val="auto"/>
                <w:highlight w:val="none"/>
              </w:rPr>
            </w:pPr>
            <w:r>
              <w:rPr>
                <w:rFonts w:hint="eastAsia" w:ascii="宋体" w:hAnsi="宋体" w:eastAsia="宋体" w:cs="宋体"/>
                <w:i w:val="0"/>
                <w:iCs w:val="0"/>
                <w:caps w:val="0"/>
                <w:color w:val="auto"/>
                <w:spacing w:val="0"/>
                <w:kern w:val="0"/>
                <w:sz w:val="24"/>
                <w:szCs w:val="24"/>
                <w:highlight w:val="none"/>
                <w:lang w:val="en-US" w:eastAsia="zh-CN" w:bidi="ar"/>
              </w:rPr>
              <w:t>2</w:t>
            </w:r>
          </w:p>
        </w:tc>
        <w:tc>
          <w:tcPr>
            <w:tcW w:w="4031" w:type="pct"/>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400" w:lineRule="exact"/>
              <w:jc w:val="left"/>
              <w:rPr>
                <w:rFonts w:hint="eastAsia" w:ascii="宋体" w:hAnsi="宋体" w:eastAsia="宋体" w:cs="宋体"/>
                <w:i w:val="0"/>
                <w:iCs w:val="0"/>
                <w:caps w:val="0"/>
                <w:color w:val="auto"/>
                <w:spacing w:val="0"/>
                <w:kern w:val="0"/>
                <w:sz w:val="24"/>
                <w:szCs w:val="24"/>
                <w:highlight w:val="none"/>
                <w:lang w:val="en-US" w:eastAsia="zh-CN" w:bidi="ar"/>
              </w:rPr>
            </w:pPr>
            <w:r>
              <w:rPr>
                <w:rFonts w:hint="eastAsia" w:ascii="宋体" w:hAnsi="宋体" w:eastAsia="宋体" w:cs="宋体"/>
                <w:i w:val="0"/>
                <w:iCs w:val="0"/>
                <w:caps w:val="0"/>
                <w:color w:val="auto"/>
                <w:spacing w:val="0"/>
                <w:kern w:val="0"/>
                <w:sz w:val="24"/>
                <w:szCs w:val="24"/>
                <w:highlight w:val="none"/>
                <w:lang w:val="en-US" w:eastAsia="zh-CN" w:bidi="ar"/>
              </w:rPr>
              <w:t>投标人为本项目拟投入不少于1部可移动式垃圾中转车（压缩式垃圾车，总质量为15t或以上）为自自有产权车辆的得2分；投标人需提供以下自有产权车辆相应的证明材料：经年检有效的行驶证复印件、机动车登记证书复印件，车辆登记名称须与投标人名称一致复印件、购置发票复印件及车辆正面侧面照，材料提供不全或未提供的本项不得分。（满分2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575" w:type="pct"/>
            <w:vMerge w:val="continue"/>
            <w:tcBorders>
              <w:left w:val="outset" w:color="auto" w:sz="6" w:space="0"/>
              <w:right w:val="outset" w:color="auto" w:sz="6" w:space="0"/>
            </w:tcBorders>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400" w:lineRule="exact"/>
              <w:jc w:val="center"/>
              <w:rPr>
                <w:color w:val="auto"/>
                <w:highlight w:val="none"/>
              </w:rPr>
            </w:pPr>
          </w:p>
        </w:tc>
        <w:tc>
          <w:tcPr>
            <w:tcW w:w="393" w:type="pct"/>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400" w:lineRule="exact"/>
              <w:jc w:val="center"/>
              <w:rPr>
                <w:color w:val="auto"/>
                <w:highlight w:val="none"/>
              </w:rPr>
            </w:pPr>
            <w:r>
              <w:rPr>
                <w:rFonts w:hint="eastAsia" w:ascii="宋体" w:hAnsi="宋体" w:eastAsia="宋体" w:cs="宋体"/>
                <w:i w:val="0"/>
                <w:iCs w:val="0"/>
                <w:caps w:val="0"/>
                <w:color w:val="auto"/>
                <w:spacing w:val="0"/>
                <w:kern w:val="0"/>
                <w:sz w:val="24"/>
                <w:szCs w:val="24"/>
                <w:highlight w:val="none"/>
                <w:lang w:val="en-US" w:eastAsia="zh-CN" w:bidi="ar"/>
              </w:rPr>
              <w:t>2</w:t>
            </w:r>
          </w:p>
        </w:tc>
        <w:tc>
          <w:tcPr>
            <w:tcW w:w="4031" w:type="pct"/>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400" w:lineRule="exact"/>
              <w:jc w:val="left"/>
              <w:rPr>
                <w:rFonts w:hint="eastAsia" w:ascii="宋体" w:hAnsi="宋体" w:eastAsia="宋体" w:cs="宋体"/>
                <w:i w:val="0"/>
                <w:iCs w:val="0"/>
                <w:caps w:val="0"/>
                <w:color w:val="auto"/>
                <w:spacing w:val="0"/>
                <w:kern w:val="0"/>
                <w:sz w:val="24"/>
                <w:szCs w:val="24"/>
                <w:highlight w:val="none"/>
                <w:lang w:val="en-US" w:eastAsia="zh-CN" w:bidi="ar"/>
              </w:rPr>
            </w:pPr>
            <w:r>
              <w:rPr>
                <w:rFonts w:hint="eastAsia" w:ascii="宋体" w:hAnsi="宋体" w:eastAsia="宋体" w:cs="宋体"/>
                <w:i w:val="0"/>
                <w:iCs w:val="0"/>
                <w:caps w:val="0"/>
                <w:color w:val="auto"/>
                <w:spacing w:val="0"/>
                <w:kern w:val="0"/>
                <w:sz w:val="24"/>
                <w:szCs w:val="24"/>
                <w:highlight w:val="none"/>
                <w:lang w:val="en-US" w:eastAsia="zh-CN" w:bidi="ar"/>
              </w:rPr>
              <w:t>投标人为本项目拟投入不少于1部自装卸式垃圾车为自有产权车辆的得2分；投标人需提供以下自有产权车辆相应的证明材料：经年检有效的行驶证复印件、机动车登记证书复印件，车辆登记名称须与投标人名称一致复印件、购置发票复印件及车辆正面侧面照，材料提供不全或未提供的本项不得分。（满分2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575" w:type="pct"/>
            <w:vMerge w:val="continue"/>
            <w:tcBorders>
              <w:left w:val="outset" w:color="auto" w:sz="6" w:space="0"/>
              <w:right w:val="outset" w:color="auto" w:sz="6" w:space="0"/>
            </w:tcBorders>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400" w:lineRule="exact"/>
              <w:jc w:val="center"/>
              <w:rPr>
                <w:color w:val="auto"/>
                <w:highlight w:val="none"/>
              </w:rPr>
            </w:pPr>
          </w:p>
        </w:tc>
        <w:tc>
          <w:tcPr>
            <w:tcW w:w="393" w:type="pct"/>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400" w:lineRule="exact"/>
              <w:jc w:val="center"/>
              <w:rPr>
                <w:rFonts w:hint="default" w:ascii="宋体" w:hAnsi="宋体" w:eastAsia="宋体" w:cs="宋体"/>
                <w:i w:val="0"/>
                <w:iCs w:val="0"/>
                <w:caps w:val="0"/>
                <w:color w:val="auto"/>
                <w:spacing w:val="0"/>
                <w:kern w:val="0"/>
                <w:sz w:val="24"/>
                <w:szCs w:val="24"/>
                <w:highlight w:val="none"/>
                <w:lang w:val="en-US" w:eastAsia="zh-CN" w:bidi="ar"/>
              </w:rPr>
            </w:pPr>
            <w:r>
              <w:rPr>
                <w:rFonts w:hint="eastAsia" w:ascii="宋体" w:hAnsi="宋体" w:eastAsia="宋体" w:cs="宋体"/>
                <w:i w:val="0"/>
                <w:iCs w:val="0"/>
                <w:caps w:val="0"/>
                <w:color w:val="auto"/>
                <w:spacing w:val="0"/>
                <w:kern w:val="0"/>
                <w:sz w:val="24"/>
                <w:szCs w:val="24"/>
                <w:highlight w:val="none"/>
                <w:lang w:val="en-US" w:eastAsia="zh-CN" w:bidi="ar"/>
              </w:rPr>
              <w:t>2</w:t>
            </w:r>
          </w:p>
        </w:tc>
        <w:tc>
          <w:tcPr>
            <w:tcW w:w="4031" w:type="pct"/>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400" w:lineRule="exact"/>
              <w:jc w:val="left"/>
              <w:rPr>
                <w:rFonts w:hint="default" w:ascii="宋体" w:hAnsi="宋体" w:eastAsia="宋体" w:cs="宋体"/>
                <w:i w:val="0"/>
                <w:iCs w:val="0"/>
                <w:caps w:val="0"/>
                <w:color w:val="auto"/>
                <w:spacing w:val="0"/>
                <w:kern w:val="0"/>
                <w:sz w:val="24"/>
                <w:szCs w:val="24"/>
                <w:highlight w:val="none"/>
                <w:lang w:val="en-US" w:eastAsia="zh-CN" w:bidi="ar"/>
              </w:rPr>
            </w:pPr>
            <w:r>
              <w:rPr>
                <w:rFonts w:hint="eastAsia" w:ascii="宋体" w:hAnsi="宋体" w:eastAsia="宋体" w:cs="宋体"/>
                <w:i w:val="0"/>
                <w:iCs w:val="0"/>
                <w:caps w:val="0"/>
                <w:color w:val="auto"/>
                <w:spacing w:val="0"/>
                <w:kern w:val="0"/>
                <w:sz w:val="24"/>
                <w:szCs w:val="24"/>
                <w:highlight w:val="none"/>
                <w:lang w:val="en-US" w:eastAsia="zh-CN" w:bidi="ar"/>
              </w:rPr>
              <w:t>垃圾桶：采购人现有塑料垃圾桶1200个、铁桶300个，每年损耗约40%，采购人按1:1比例增补垃圾桶，每年损耗的垃圾桶由中标公司与业主共同增补，增补数量各为50%。投标人承诺超过以上部分所发生的费用全部由中标人承担的得2分，投标人须提供承诺函（格式自拟），否则不得分。</w:t>
            </w:r>
          </w:p>
        </w:tc>
      </w:tr>
    </w:tbl>
    <w:p>
      <w:pPr>
        <w:pStyle w:val="10"/>
        <w:keepNext w:val="0"/>
        <w:keepLines w:val="0"/>
        <w:pageBreakBefore w:val="0"/>
        <w:shd w:val="clear"/>
        <w:kinsoku/>
        <w:wordWrap/>
        <w:overflowPunct/>
        <w:topLinePunct w:val="0"/>
        <w:autoSpaceDE/>
        <w:autoSpaceDN/>
        <w:bidi w:val="0"/>
        <w:adjustRightInd/>
        <w:snapToGrid/>
        <w:spacing w:line="400" w:lineRule="exact"/>
        <w:rPr>
          <w:rFonts w:hint="eastAsia" w:ascii="宋体" w:hAnsi="宋体" w:eastAsia="宋体" w:cs="宋体"/>
          <w:b/>
          <w:color w:val="auto"/>
          <w:sz w:val="24"/>
          <w:szCs w:val="24"/>
          <w:highlight w:val="none"/>
        </w:rPr>
      </w:pPr>
    </w:p>
    <w:p>
      <w:pPr>
        <w:pStyle w:val="10"/>
        <w:keepNext w:val="0"/>
        <w:keepLines w:val="0"/>
        <w:pageBreakBefore w:val="0"/>
        <w:shd w:val="clear"/>
        <w:kinsoku/>
        <w:wordWrap/>
        <w:overflowPunct/>
        <w:topLinePunct w:val="0"/>
        <w:autoSpaceDE/>
        <w:autoSpaceDN/>
        <w:bidi w:val="0"/>
        <w:adjustRightInd/>
        <w:snapToGrid/>
        <w:spacing w:line="400" w:lineRule="exact"/>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商务项（F3×A3）满分为2</w:t>
      </w:r>
      <w:r>
        <w:rPr>
          <w:rFonts w:hint="eastAsia" w:ascii="宋体" w:hAnsi="宋体" w:eastAsia="宋体" w:cs="宋体"/>
          <w:b/>
          <w:color w:val="auto"/>
          <w:sz w:val="24"/>
          <w:szCs w:val="24"/>
          <w:highlight w:val="none"/>
          <w:lang w:val="en-US" w:eastAsia="zh-CN"/>
        </w:rPr>
        <w:t>5</w:t>
      </w:r>
      <w:r>
        <w:rPr>
          <w:rFonts w:hint="eastAsia" w:ascii="宋体" w:hAnsi="宋体" w:eastAsia="宋体" w:cs="宋体"/>
          <w:b/>
          <w:color w:val="auto"/>
          <w:sz w:val="24"/>
          <w:szCs w:val="24"/>
          <w:highlight w:val="none"/>
        </w:rPr>
        <w:t>.00分</w:t>
      </w:r>
    </w:p>
    <w:tbl>
      <w:tblPr>
        <w:tblStyle w:val="7"/>
        <w:tblW w:w="500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1"/>
        <w:gridCol w:w="766"/>
        <w:gridCol w:w="8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493" w:type="pct"/>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评标</w:t>
            </w:r>
          </w:p>
          <w:p>
            <w:pPr>
              <w:keepNext w:val="0"/>
              <w:keepLines w:val="0"/>
              <w:pageBreakBefore w:val="0"/>
              <w:widowControl/>
              <w:suppressLineNumbers w:val="0"/>
              <w:shd w:val="clear"/>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项目</w:t>
            </w:r>
          </w:p>
        </w:tc>
        <w:tc>
          <w:tcPr>
            <w:tcW w:w="393" w:type="pct"/>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评标分值</w:t>
            </w:r>
          </w:p>
        </w:tc>
        <w:tc>
          <w:tcPr>
            <w:tcW w:w="4113" w:type="pct"/>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评标方法描述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93" w:type="pct"/>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管理体系认证</w:t>
            </w:r>
          </w:p>
        </w:tc>
        <w:tc>
          <w:tcPr>
            <w:tcW w:w="393" w:type="pct"/>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4113" w:type="pct"/>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投标人具有ISO9001质量管理体系认证证书、ISO14001环境管理体系认证证书、ISO45001职业健康安全管理认证证书，每提供一个认证证书得1分，满分3分。</w:t>
            </w:r>
          </w:p>
          <w:p>
            <w:pPr>
              <w:keepNext w:val="0"/>
              <w:keepLines w:val="0"/>
              <w:pageBreakBefore w:val="0"/>
              <w:widowControl/>
              <w:suppressLineNumbers w:val="0"/>
              <w:shd w:val="clear"/>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注：投标人提供有效的认证证书复印件和该证书在平台（http://cx.cnca.gov.cn）上证书状态为“有效”的查询结果网页或截图打印件，否则不得分。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493" w:type="pct"/>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投保情况</w:t>
            </w:r>
          </w:p>
        </w:tc>
        <w:tc>
          <w:tcPr>
            <w:tcW w:w="393" w:type="pct"/>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4113" w:type="pct"/>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根据投标人为公司员工购买有效期内的人身意外保险情况（包括个人意外险或雇主责任险）进行评议：参保50人及以上且人员伤残死亡赔付限额都达到60万的得3分；参保40人及以上且人员伤残死亡赔付限额都达到60万的得2.5分；参保30人及以上且人员伤残死亡赔付限额都达到60万的得2分。</w:t>
            </w:r>
          </w:p>
          <w:p>
            <w:pPr>
              <w:keepNext w:val="0"/>
              <w:keepLines w:val="0"/>
              <w:pageBreakBefore w:val="0"/>
              <w:widowControl/>
              <w:suppressLineNumbers w:val="0"/>
              <w:shd w:val="clear"/>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注：投标人（含分公司，不包含子公司人身意外保险的参保情况）同时提供有效期内的保险单据正本复印件及保险承保明细表复印件并加盖投标人公章，并承诺为拟投入本项目的员工购买相应金额的人身意外保险情况（包括个人意外险或雇主责任险），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493" w:type="pct"/>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道路清扫保洁业绩</w:t>
            </w:r>
          </w:p>
        </w:tc>
        <w:tc>
          <w:tcPr>
            <w:tcW w:w="393" w:type="pct"/>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4113" w:type="pct"/>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根据投标人提供自2019年1月1日起至本项目投标截止日期(日期以合同签订日期为准)止，已完成或正在履行的与本项目类似环卫项目业绩（合同服务内容至少包括道路保洁、垃圾转运站/垃圾中转站/垃圾收运内容）情况进行评议，每提供一个符合要求的项目业绩得1分，满分3分。</w:t>
            </w:r>
          </w:p>
          <w:p>
            <w:pPr>
              <w:keepNext w:val="0"/>
              <w:keepLines w:val="0"/>
              <w:pageBreakBefore w:val="0"/>
              <w:widowControl/>
              <w:suppressLineNumbers w:val="0"/>
              <w:shd w:val="clear"/>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注：每项有效业绩同时提供：中标公告（相关网站中标公告的下载网页并注明网址）、中标通知书复印件、项目承包合同文本复印件</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项目</w:t>
            </w:r>
            <w:r>
              <w:rPr>
                <w:rFonts w:hint="eastAsia" w:ascii="宋体" w:hAnsi="宋体" w:cs="宋体"/>
                <w:i w:val="0"/>
                <w:iCs w:val="0"/>
                <w:color w:val="auto"/>
                <w:kern w:val="0"/>
                <w:sz w:val="24"/>
                <w:szCs w:val="24"/>
                <w:highlight w:val="none"/>
                <w:u w:val="none"/>
                <w:lang w:val="en-US" w:eastAsia="zh-CN" w:bidi="ar"/>
              </w:rPr>
              <w:t>验收或正在履行的证明</w:t>
            </w:r>
            <w:r>
              <w:rPr>
                <w:rFonts w:hint="eastAsia" w:ascii="宋体" w:hAnsi="宋体" w:eastAsia="宋体" w:cs="宋体"/>
                <w:i w:val="0"/>
                <w:iCs w:val="0"/>
                <w:color w:val="auto"/>
                <w:kern w:val="0"/>
                <w:sz w:val="24"/>
                <w:szCs w:val="24"/>
                <w:highlight w:val="none"/>
                <w:u w:val="none"/>
                <w:lang w:val="en-US" w:eastAsia="zh-CN" w:bidi="ar"/>
              </w:rPr>
              <w:t>，未同时提供上述证明材料的不得分。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493" w:type="pct"/>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项目负责人</w:t>
            </w:r>
          </w:p>
        </w:tc>
        <w:tc>
          <w:tcPr>
            <w:tcW w:w="393" w:type="pct"/>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4113" w:type="pct"/>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投标人针对本项目拟配备的项目负责人情况进行评分：</w:t>
            </w:r>
            <w:r>
              <w:rPr>
                <w:rFonts w:hint="eastAsia" w:ascii="宋体" w:hAnsi="宋体" w:eastAsia="宋体" w:cs="宋体"/>
                <w:i w:val="0"/>
                <w:iCs w:val="0"/>
                <w:color w:val="auto"/>
                <w:kern w:val="0"/>
                <w:sz w:val="24"/>
                <w:szCs w:val="24"/>
                <w:highlight w:val="none"/>
                <w:u w:val="none"/>
                <w:lang w:val="en-US" w:eastAsia="zh-CN" w:bidi="ar"/>
              </w:rPr>
              <w:fldChar w:fldCharType="begin"/>
            </w:r>
            <w:r>
              <w:rPr>
                <w:rFonts w:hint="eastAsia" w:ascii="宋体" w:hAnsi="宋体" w:eastAsia="宋体" w:cs="宋体"/>
                <w:i w:val="0"/>
                <w:iCs w:val="0"/>
                <w:color w:val="auto"/>
                <w:kern w:val="0"/>
                <w:sz w:val="24"/>
                <w:szCs w:val="24"/>
                <w:highlight w:val="none"/>
                <w:u w:val="none"/>
                <w:lang w:val="en-US" w:eastAsia="zh-CN" w:bidi="ar"/>
              </w:rPr>
              <w:instrText xml:space="preserve"> = 1 \* GB3 \* MERGEFORMAT </w:instrText>
            </w:r>
            <w:r>
              <w:rPr>
                <w:rFonts w:hint="eastAsia" w:ascii="宋体" w:hAnsi="宋体" w:eastAsia="宋体" w:cs="宋体"/>
                <w:i w:val="0"/>
                <w:iCs w:val="0"/>
                <w:color w:val="auto"/>
                <w:kern w:val="0"/>
                <w:sz w:val="24"/>
                <w:szCs w:val="24"/>
                <w:highlight w:val="none"/>
                <w:u w:val="none"/>
                <w:lang w:val="en-US" w:eastAsia="zh-CN" w:bidi="ar"/>
              </w:rPr>
              <w:fldChar w:fldCharType="separate"/>
            </w:r>
            <w:r>
              <w:rPr>
                <w:rFonts w:hint="eastAsia" w:ascii="宋体" w:hAnsi="宋体" w:eastAsia="宋体" w:cs="宋体"/>
                <w:i w:val="0"/>
                <w:iCs w:val="0"/>
                <w:color w:val="auto"/>
                <w:kern w:val="0"/>
                <w:sz w:val="24"/>
                <w:szCs w:val="24"/>
                <w:highlight w:val="none"/>
                <w:u w:val="none"/>
                <w:lang w:val="en-US" w:eastAsia="zh-CN" w:bidi="ar"/>
              </w:rPr>
              <w:t>①</w:t>
            </w:r>
            <w:r>
              <w:rPr>
                <w:rFonts w:hint="eastAsia" w:ascii="宋体" w:hAnsi="宋体" w:eastAsia="宋体" w:cs="宋体"/>
                <w:i w:val="0"/>
                <w:iCs w:val="0"/>
                <w:color w:val="auto"/>
                <w:kern w:val="0"/>
                <w:sz w:val="24"/>
                <w:szCs w:val="24"/>
                <w:highlight w:val="none"/>
                <w:u w:val="none"/>
                <w:lang w:val="en-US" w:eastAsia="zh-CN" w:bidi="ar"/>
              </w:rPr>
              <w:fldChar w:fldCharType="end"/>
            </w:r>
            <w:r>
              <w:rPr>
                <w:rFonts w:hint="eastAsia" w:ascii="宋体" w:hAnsi="宋体" w:eastAsia="宋体" w:cs="宋体"/>
                <w:i w:val="0"/>
                <w:iCs w:val="0"/>
                <w:color w:val="auto"/>
                <w:kern w:val="0"/>
                <w:sz w:val="24"/>
                <w:szCs w:val="24"/>
                <w:highlight w:val="none"/>
                <w:u w:val="none"/>
                <w:lang w:val="en-US" w:eastAsia="zh-CN" w:bidi="ar"/>
              </w:rPr>
              <w:t>本科（含）及以上学历、</w:t>
            </w:r>
            <w:r>
              <w:rPr>
                <w:rFonts w:hint="eastAsia" w:ascii="宋体" w:hAnsi="宋体" w:eastAsia="宋体" w:cs="宋体"/>
                <w:i w:val="0"/>
                <w:iCs w:val="0"/>
                <w:color w:val="auto"/>
                <w:kern w:val="0"/>
                <w:sz w:val="24"/>
                <w:szCs w:val="24"/>
                <w:highlight w:val="none"/>
                <w:u w:val="none"/>
                <w:lang w:val="en-US" w:eastAsia="zh-CN" w:bidi="ar"/>
              </w:rPr>
              <w:fldChar w:fldCharType="begin"/>
            </w:r>
            <w:r>
              <w:rPr>
                <w:rFonts w:hint="eastAsia" w:ascii="宋体" w:hAnsi="宋体" w:eastAsia="宋体" w:cs="宋体"/>
                <w:i w:val="0"/>
                <w:iCs w:val="0"/>
                <w:color w:val="auto"/>
                <w:kern w:val="0"/>
                <w:sz w:val="24"/>
                <w:szCs w:val="24"/>
                <w:highlight w:val="none"/>
                <w:u w:val="none"/>
                <w:lang w:val="en-US" w:eastAsia="zh-CN" w:bidi="ar"/>
              </w:rPr>
              <w:instrText xml:space="preserve"> = 2 \* GB3 \* MERGEFORMAT </w:instrText>
            </w:r>
            <w:r>
              <w:rPr>
                <w:rFonts w:hint="eastAsia" w:ascii="宋体" w:hAnsi="宋体" w:eastAsia="宋体" w:cs="宋体"/>
                <w:i w:val="0"/>
                <w:iCs w:val="0"/>
                <w:color w:val="auto"/>
                <w:kern w:val="0"/>
                <w:sz w:val="24"/>
                <w:szCs w:val="24"/>
                <w:highlight w:val="none"/>
                <w:u w:val="none"/>
                <w:lang w:val="en-US" w:eastAsia="zh-CN" w:bidi="ar"/>
              </w:rPr>
              <w:fldChar w:fldCharType="separate"/>
            </w:r>
            <w:r>
              <w:rPr>
                <w:rFonts w:hint="eastAsia" w:ascii="宋体" w:hAnsi="宋体" w:eastAsia="宋体" w:cs="宋体"/>
                <w:i w:val="0"/>
                <w:iCs w:val="0"/>
                <w:color w:val="auto"/>
                <w:kern w:val="0"/>
                <w:sz w:val="24"/>
                <w:szCs w:val="24"/>
                <w:highlight w:val="none"/>
                <w:u w:val="none"/>
                <w:lang w:val="en-US" w:eastAsia="zh-CN" w:bidi="ar"/>
              </w:rPr>
              <w:t>②</w:t>
            </w:r>
            <w:r>
              <w:rPr>
                <w:rFonts w:hint="eastAsia" w:ascii="宋体" w:hAnsi="宋体" w:eastAsia="宋体" w:cs="宋体"/>
                <w:i w:val="0"/>
                <w:iCs w:val="0"/>
                <w:color w:val="auto"/>
                <w:kern w:val="0"/>
                <w:sz w:val="24"/>
                <w:szCs w:val="24"/>
                <w:highlight w:val="none"/>
                <w:u w:val="none"/>
                <w:lang w:val="en-US" w:eastAsia="zh-CN" w:bidi="ar"/>
              </w:rPr>
              <w:fldChar w:fldCharType="end"/>
            </w:r>
            <w:r>
              <w:rPr>
                <w:rFonts w:hint="eastAsia" w:ascii="宋体" w:hAnsi="宋体" w:eastAsia="宋体" w:cs="宋体"/>
                <w:i w:val="0"/>
                <w:iCs w:val="0"/>
                <w:color w:val="auto"/>
                <w:kern w:val="0"/>
                <w:sz w:val="24"/>
                <w:szCs w:val="24"/>
                <w:highlight w:val="none"/>
                <w:u w:val="none"/>
                <w:lang w:val="en-US" w:eastAsia="zh-CN" w:bidi="ar"/>
              </w:rPr>
              <w:t>人社部门颁发的环境/环保/环卫相关专业中级（含）以上职称证书、</w:t>
            </w:r>
            <w:r>
              <w:rPr>
                <w:rFonts w:hint="eastAsia" w:ascii="宋体" w:hAnsi="宋体" w:eastAsia="宋体" w:cs="宋体"/>
                <w:i w:val="0"/>
                <w:iCs w:val="0"/>
                <w:color w:val="auto"/>
                <w:kern w:val="0"/>
                <w:sz w:val="24"/>
                <w:szCs w:val="24"/>
                <w:highlight w:val="none"/>
                <w:u w:val="none"/>
                <w:lang w:val="en-US" w:eastAsia="zh-CN" w:bidi="ar"/>
              </w:rPr>
              <w:fldChar w:fldCharType="begin"/>
            </w:r>
            <w:r>
              <w:rPr>
                <w:rFonts w:hint="eastAsia" w:ascii="宋体" w:hAnsi="宋体" w:eastAsia="宋体" w:cs="宋体"/>
                <w:i w:val="0"/>
                <w:iCs w:val="0"/>
                <w:color w:val="auto"/>
                <w:kern w:val="0"/>
                <w:sz w:val="24"/>
                <w:szCs w:val="24"/>
                <w:highlight w:val="none"/>
                <w:u w:val="none"/>
                <w:lang w:val="en-US" w:eastAsia="zh-CN" w:bidi="ar"/>
              </w:rPr>
              <w:instrText xml:space="preserve"> = 3 \* GB3 \* MERGEFORMAT </w:instrText>
            </w:r>
            <w:r>
              <w:rPr>
                <w:rFonts w:hint="eastAsia" w:ascii="宋体" w:hAnsi="宋体" w:eastAsia="宋体" w:cs="宋体"/>
                <w:i w:val="0"/>
                <w:iCs w:val="0"/>
                <w:color w:val="auto"/>
                <w:kern w:val="0"/>
                <w:sz w:val="24"/>
                <w:szCs w:val="24"/>
                <w:highlight w:val="none"/>
                <w:u w:val="none"/>
                <w:lang w:val="en-US" w:eastAsia="zh-CN" w:bidi="ar"/>
              </w:rPr>
              <w:fldChar w:fldCharType="separate"/>
            </w:r>
            <w:r>
              <w:rPr>
                <w:rFonts w:hint="eastAsia" w:ascii="宋体" w:hAnsi="宋体" w:eastAsia="宋体" w:cs="宋体"/>
                <w:i w:val="0"/>
                <w:iCs w:val="0"/>
                <w:color w:val="auto"/>
                <w:kern w:val="0"/>
                <w:sz w:val="24"/>
                <w:szCs w:val="24"/>
                <w:highlight w:val="none"/>
                <w:u w:val="none"/>
                <w:lang w:val="en-US" w:eastAsia="zh-CN" w:bidi="ar"/>
              </w:rPr>
              <w:t>③</w:t>
            </w:r>
            <w:r>
              <w:rPr>
                <w:rFonts w:hint="eastAsia" w:ascii="宋体" w:hAnsi="宋体" w:eastAsia="宋体" w:cs="宋体"/>
                <w:i w:val="0"/>
                <w:iCs w:val="0"/>
                <w:color w:val="auto"/>
                <w:kern w:val="0"/>
                <w:sz w:val="24"/>
                <w:szCs w:val="24"/>
                <w:highlight w:val="none"/>
                <w:u w:val="none"/>
                <w:lang w:val="en-US" w:eastAsia="zh-CN" w:bidi="ar"/>
              </w:rPr>
              <w:fldChar w:fldCharType="end"/>
            </w:r>
            <w:r>
              <w:rPr>
                <w:rFonts w:hint="eastAsia" w:ascii="宋体" w:hAnsi="宋体" w:eastAsia="宋体" w:cs="宋体"/>
                <w:i w:val="0"/>
                <w:iCs w:val="0"/>
                <w:color w:val="auto"/>
                <w:kern w:val="0"/>
                <w:sz w:val="24"/>
                <w:szCs w:val="24"/>
                <w:highlight w:val="none"/>
                <w:u w:val="none"/>
                <w:lang w:val="en-US" w:eastAsia="zh-CN" w:bidi="ar"/>
              </w:rPr>
              <w:t>县区级或以上行业主管部门颁发的荣誉或表彰、</w:t>
            </w:r>
            <w:r>
              <w:rPr>
                <w:rFonts w:hint="eastAsia" w:ascii="宋体" w:hAnsi="宋体" w:eastAsia="宋体" w:cs="宋体"/>
                <w:i w:val="0"/>
                <w:iCs w:val="0"/>
                <w:color w:val="auto"/>
                <w:kern w:val="0"/>
                <w:sz w:val="24"/>
                <w:szCs w:val="24"/>
                <w:highlight w:val="none"/>
                <w:u w:val="none"/>
                <w:lang w:val="en-US" w:eastAsia="zh-CN" w:bidi="ar"/>
              </w:rPr>
              <w:fldChar w:fldCharType="begin"/>
            </w:r>
            <w:r>
              <w:rPr>
                <w:rFonts w:hint="eastAsia" w:ascii="宋体" w:hAnsi="宋体" w:eastAsia="宋体" w:cs="宋体"/>
                <w:i w:val="0"/>
                <w:iCs w:val="0"/>
                <w:color w:val="auto"/>
                <w:kern w:val="0"/>
                <w:sz w:val="24"/>
                <w:szCs w:val="24"/>
                <w:highlight w:val="none"/>
                <w:u w:val="none"/>
                <w:lang w:val="en-US" w:eastAsia="zh-CN" w:bidi="ar"/>
              </w:rPr>
              <w:instrText xml:space="preserve"> = 4 \* GB3 \* MERGEFORMAT </w:instrText>
            </w:r>
            <w:r>
              <w:rPr>
                <w:rFonts w:hint="eastAsia" w:ascii="宋体" w:hAnsi="宋体" w:eastAsia="宋体" w:cs="宋体"/>
                <w:i w:val="0"/>
                <w:iCs w:val="0"/>
                <w:color w:val="auto"/>
                <w:kern w:val="0"/>
                <w:sz w:val="24"/>
                <w:szCs w:val="24"/>
                <w:highlight w:val="none"/>
                <w:u w:val="none"/>
                <w:lang w:val="en-US" w:eastAsia="zh-CN" w:bidi="ar"/>
              </w:rPr>
              <w:fldChar w:fldCharType="separate"/>
            </w:r>
            <w:r>
              <w:rPr>
                <w:rFonts w:hint="eastAsia" w:ascii="宋体" w:hAnsi="宋体" w:eastAsia="宋体" w:cs="宋体"/>
                <w:i w:val="0"/>
                <w:iCs w:val="0"/>
                <w:color w:val="auto"/>
                <w:kern w:val="0"/>
                <w:sz w:val="24"/>
                <w:szCs w:val="24"/>
                <w:highlight w:val="none"/>
                <w:u w:val="none"/>
                <w:lang w:val="en-US" w:eastAsia="zh-CN" w:bidi="ar"/>
              </w:rPr>
              <w:t>④</w:t>
            </w:r>
            <w:r>
              <w:rPr>
                <w:rFonts w:hint="eastAsia" w:ascii="宋体" w:hAnsi="宋体" w:eastAsia="宋体" w:cs="宋体"/>
                <w:i w:val="0"/>
                <w:iCs w:val="0"/>
                <w:color w:val="auto"/>
                <w:kern w:val="0"/>
                <w:sz w:val="24"/>
                <w:szCs w:val="24"/>
                <w:highlight w:val="none"/>
                <w:u w:val="none"/>
                <w:lang w:val="en-US" w:eastAsia="zh-CN" w:bidi="ar"/>
              </w:rPr>
              <w:fldChar w:fldCharType="end"/>
            </w:r>
            <w:r>
              <w:rPr>
                <w:rFonts w:hint="eastAsia" w:ascii="宋体" w:hAnsi="宋体" w:eastAsia="宋体" w:cs="宋体"/>
                <w:i w:val="0"/>
                <w:iCs w:val="0"/>
                <w:color w:val="auto"/>
                <w:kern w:val="0"/>
                <w:sz w:val="24"/>
                <w:szCs w:val="24"/>
                <w:highlight w:val="none"/>
                <w:u w:val="none"/>
                <w:lang w:val="en-US" w:eastAsia="zh-CN" w:bidi="ar"/>
              </w:rPr>
              <w:t>注册环保工程师；以上每具有一项得1分，满分3分。</w:t>
            </w:r>
          </w:p>
          <w:p>
            <w:pPr>
              <w:keepNext w:val="0"/>
              <w:keepLines w:val="0"/>
              <w:pageBreakBefore w:val="0"/>
              <w:widowControl/>
              <w:suppressLineNumbers w:val="0"/>
              <w:shd w:val="clear"/>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注：提供项目负责人身份证复印件、毕业证书复印件、持证人有效证书复印件、荣誉或表彰的证明或注册环保工程师证书复印件及投标截止时间前（不含投标截止时间当月）连续六个月[成立时间不足六个月的投标人提供成立当月至投标截止时间前（不含投标截止时间当月）]投标人单位为其缴纳社会保险的证明材料。项目负责人、安全管理人员、现场管理人员不可兼任，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493" w:type="pct"/>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项目负责人经验</w:t>
            </w:r>
          </w:p>
        </w:tc>
        <w:tc>
          <w:tcPr>
            <w:tcW w:w="393" w:type="pct"/>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4113" w:type="pct"/>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投标人派出的拟担任本合同包项目负责人具备1项自2019年1月1日起至本项目投标截止日期(日期以合同签订日期为准)已完成或正在履约的环卫项目业绩（合同服务内容至少包括道路保洁、垃圾转运站/垃圾中转站/垃圾收运内容）的得3分，本项满分3分。</w:t>
            </w:r>
          </w:p>
          <w:p>
            <w:pPr>
              <w:keepNext w:val="0"/>
              <w:keepLines w:val="0"/>
              <w:pageBreakBefore w:val="0"/>
              <w:widowControl/>
              <w:suppressLineNumbers w:val="0"/>
              <w:shd w:val="clear"/>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注：同时提供以下证明材料：</w:t>
            </w:r>
            <w:r>
              <w:rPr>
                <w:rStyle w:val="11"/>
                <w:color w:val="auto"/>
                <w:highlight w:val="none"/>
                <w:lang w:val="en-US" w:eastAsia="zh-CN" w:bidi="ar"/>
              </w:rPr>
              <w:t>①中标公告（相关网站中标公告的下载网页并注明网址）、②中标通知书复印件、③</w:t>
            </w:r>
            <w:r>
              <w:rPr>
                <w:rStyle w:val="11"/>
                <w:rFonts w:hint="eastAsia"/>
                <w:color w:val="auto"/>
                <w:highlight w:val="none"/>
                <w:lang w:val="en-US" w:eastAsia="zh-CN" w:bidi="ar"/>
              </w:rPr>
              <w:t>能体现项目负责人的</w:t>
            </w:r>
            <w:r>
              <w:rPr>
                <w:rStyle w:val="11"/>
                <w:color w:val="auto"/>
                <w:highlight w:val="none"/>
                <w:lang w:val="en-US" w:eastAsia="zh-CN" w:bidi="ar"/>
              </w:rPr>
              <w:t>项目合同协议复印件（业绩认定时间以项目合同协议签署时间为准）</w:t>
            </w:r>
            <w:r>
              <w:rPr>
                <w:rStyle w:val="11"/>
                <w:rFonts w:ascii="宋体" w:hAnsi="宋体" w:eastAsia="宋体" w:cs="宋体"/>
                <w:i w:val="0"/>
                <w:iCs w:val="0"/>
                <w:color w:val="auto"/>
                <w:highlight w:val="none"/>
                <w:lang w:val="en-US" w:eastAsia="zh-CN" w:bidi="ar"/>
              </w:rPr>
              <w:t>、④项目</w:t>
            </w:r>
            <w:r>
              <w:rPr>
                <w:rStyle w:val="11"/>
                <w:rFonts w:hint="eastAsia" w:ascii="宋体" w:hAnsi="宋体" w:eastAsia="宋体" w:cs="宋体"/>
                <w:i w:val="0"/>
                <w:iCs w:val="0"/>
                <w:color w:val="auto"/>
                <w:highlight w:val="none"/>
                <w:lang w:val="en-US" w:eastAsia="zh-CN" w:bidi="ar"/>
              </w:rPr>
              <w:t>合同公示网址及截图，否则不得分</w:t>
            </w:r>
            <w:r>
              <w:rPr>
                <w:rStyle w:val="11"/>
                <w:rFonts w:ascii="宋体" w:hAnsi="宋体" w:eastAsia="宋体" w:cs="宋体"/>
                <w:i w:val="0"/>
                <w:iCs w:val="0"/>
                <w:color w:val="auto"/>
                <w:highlight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93" w:type="pct"/>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安全管理人员</w:t>
            </w:r>
          </w:p>
        </w:tc>
        <w:tc>
          <w:tcPr>
            <w:tcW w:w="393" w:type="pct"/>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2</w:t>
            </w:r>
          </w:p>
        </w:tc>
        <w:tc>
          <w:tcPr>
            <w:tcW w:w="4113" w:type="pct"/>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投标人针对本项目拟配备的安全管理人员情况进行评分:</w:t>
            </w:r>
            <w:r>
              <w:rPr>
                <w:rStyle w:val="11"/>
                <w:color w:val="auto"/>
                <w:highlight w:val="none"/>
                <w:lang w:val="en-US" w:eastAsia="zh-CN" w:bidi="ar"/>
              </w:rPr>
              <w:t>①</w:t>
            </w:r>
            <w:r>
              <w:rPr>
                <w:rFonts w:hint="eastAsia" w:ascii="宋体" w:hAnsi="宋体" w:eastAsia="宋体" w:cs="宋体"/>
                <w:i w:val="0"/>
                <w:iCs w:val="0"/>
                <w:color w:val="auto"/>
                <w:kern w:val="0"/>
                <w:sz w:val="24"/>
                <w:szCs w:val="24"/>
                <w:highlight w:val="none"/>
                <w:u w:val="none"/>
                <w:lang w:val="en-US" w:eastAsia="zh-CN" w:bidi="ar"/>
              </w:rPr>
              <w:t>本科或以上学历、</w:t>
            </w:r>
            <w:r>
              <w:rPr>
                <w:rStyle w:val="11"/>
                <w:color w:val="auto"/>
                <w:highlight w:val="none"/>
                <w:lang w:val="en-US" w:eastAsia="zh-CN" w:bidi="ar"/>
              </w:rPr>
              <w:t>②</w:t>
            </w:r>
            <w:r>
              <w:rPr>
                <w:rStyle w:val="11"/>
                <w:rFonts w:hint="eastAsia"/>
                <w:color w:val="auto"/>
                <w:highlight w:val="none"/>
                <w:lang w:val="en-US" w:eastAsia="zh-CN" w:bidi="ar"/>
              </w:rPr>
              <w:t>2年及以上</w:t>
            </w:r>
            <w:r>
              <w:rPr>
                <w:rFonts w:hint="eastAsia" w:ascii="宋体" w:hAnsi="宋体" w:eastAsia="宋体" w:cs="宋体"/>
                <w:i w:val="0"/>
                <w:iCs w:val="0"/>
                <w:color w:val="auto"/>
                <w:kern w:val="0"/>
                <w:sz w:val="24"/>
                <w:szCs w:val="24"/>
                <w:highlight w:val="none"/>
                <w:u w:val="none"/>
                <w:lang w:val="en-US" w:eastAsia="zh-CN" w:bidi="ar"/>
              </w:rPr>
              <w:t>与本项目类似环卫项目</w:t>
            </w:r>
            <w:r>
              <w:rPr>
                <w:rStyle w:val="11"/>
                <w:rFonts w:hint="eastAsia"/>
                <w:color w:val="auto"/>
                <w:highlight w:val="none"/>
                <w:lang w:val="en-US" w:eastAsia="zh-CN" w:bidi="ar"/>
              </w:rPr>
              <w:t>从业经验</w:t>
            </w:r>
            <w:r>
              <w:rPr>
                <w:rFonts w:hint="eastAsia" w:ascii="宋体" w:hAnsi="宋体" w:eastAsia="宋体" w:cs="宋体"/>
                <w:i w:val="0"/>
                <w:iCs w:val="0"/>
                <w:color w:val="auto"/>
                <w:kern w:val="0"/>
                <w:sz w:val="24"/>
                <w:szCs w:val="24"/>
                <w:highlight w:val="none"/>
                <w:u w:val="none"/>
                <w:lang w:val="en-US" w:eastAsia="zh-CN" w:bidi="ar"/>
              </w:rPr>
              <w:t>、③行政部门颁发的安全员证书、</w:t>
            </w:r>
            <w:r>
              <w:rPr>
                <w:rFonts w:hint="eastAsia" w:ascii="宋体" w:hAnsi="宋体" w:eastAsia="宋体" w:cs="宋体"/>
                <w:i w:val="0"/>
                <w:iCs w:val="0"/>
                <w:color w:val="auto"/>
                <w:kern w:val="0"/>
                <w:sz w:val="24"/>
                <w:szCs w:val="24"/>
                <w:highlight w:val="none"/>
                <w:u w:val="none"/>
                <w:lang w:val="en-US" w:eastAsia="zh-CN" w:bidi="ar"/>
              </w:rPr>
              <w:fldChar w:fldCharType="begin"/>
            </w:r>
            <w:r>
              <w:rPr>
                <w:rFonts w:hint="eastAsia" w:ascii="宋体" w:hAnsi="宋体" w:eastAsia="宋体" w:cs="宋体"/>
                <w:i w:val="0"/>
                <w:iCs w:val="0"/>
                <w:color w:val="auto"/>
                <w:kern w:val="0"/>
                <w:sz w:val="24"/>
                <w:szCs w:val="24"/>
                <w:highlight w:val="none"/>
                <w:u w:val="none"/>
                <w:lang w:val="en-US" w:eastAsia="zh-CN" w:bidi="ar"/>
              </w:rPr>
              <w:instrText xml:space="preserve"> = 4 \* GB3 \* MERGEFORMAT </w:instrText>
            </w:r>
            <w:r>
              <w:rPr>
                <w:rFonts w:hint="eastAsia" w:ascii="宋体" w:hAnsi="宋体" w:eastAsia="宋体" w:cs="宋体"/>
                <w:i w:val="0"/>
                <w:iCs w:val="0"/>
                <w:color w:val="auto"/>
                <w:kern w:val="0"/>
                <w:sz w:val="24"/>
                <w:szCs w:val="24"/>
                <w:highlight w:val="none"/>
                <w:u w:val="none"/>
                <w:lang w:val="en-US" w:eastAsia="zh-CN" w:bidi="ar"/>
              </w:rPr>
              <w:fldChar w:fldCharType="separate"/>
            </w:r>
            <w:r>
              <w:rPr>
                <w:rFonts w:hint="eastAsia" w:ascii="宋体" w:hAnsi="宋体" w:eastAsia="宋体" w:cs="宋体"/>
                <w:i w:val="0"/>
                <w:iCs w:val="0"/>
                <w:color w:val="auto"/>
                <w:kern w:val="0"/>
                <w:sz w:val="24"/>
                <w:szCs w:val="24"/>
                <w:highlight w:val="none"/>
                <w:u w:val="none"/>
                <w:lang w:val="en-US" w:eastAsia="zh-CN" w:bidi="ar"/>
              </w:rPr>
              <w:t>④</w:t>
            </w:r>
            <w:r>
              <w:rPr>
                <w:rFonts w:hint="eastAsia" w:ascii="宋体" w:hAnsi="宋体" w:eastAsia="宋体" w:cs="宋体"/>
                <w:i w:val="0"/>
                <w:iCs w:val="0"/>
                <w:color w:val="auto"/>
                <w:kern w:val="0"/>
                <w:sz w:val="24"/>
                <w:szCs w:val="24"/>
                <w:highlight w:val="none"/>
                <w:u w:val="none"/>
                <w:lang w:val="en-US" w:eastAsia="zh-CN" w:bidi="ar"/>
              </w:rPr>
              <w:fldChar w:fldCharType="end"/>
            </w:r>
            <w:r>
              <w:rPr>
                <w:rFonts w:hint="eastAsia" w:ascii="宋体" w:hAnsi="宋体" w:eastAsia="宋体" w:cs="宋体"/>
                <w:i w:val="0"/>
                <w:iCs w:val="0"/>
                <w:color w:val="auto"/>
                <w:kern w:val="0"/>
                <w:sz w:val="24"/>
                <w:szCs w:val="24"/>
                <w:highlight w:val="none"/>
                <w:u w:val="none"/>
                <w:lang w:val="en-US" w:eastAsia="zh-CN" w:bidi="ar"/>
              </w:rPr>
              <w:t>注册安全工程师；以上每具有一项得1分，满分2分。</w:t>
            </w:r>
          </w:p>
          <w:p>
            <w:pPr>
              <w:keepNext w:val="0"/>
              <w:keepLines w:val="0"/>
              <w:pageBreakBefore w:val="0"/>
              <w:widowControl/>
              <w:suppressLineNumbers w:val="0"/>
              <w:shd w:val="clear"/>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注：提供拟派人员有效身份证复印件、学历证书复印件、业主单位出具的与本项目类似环卫项目</w:t>
            </w:r>
            <w:r>
              <w:rPr>
                <w:rStyle w:val="11"/>
                <w:rFonts w:hint="eastAsia"/>
                <w:color w:val="auto"/>
                <w:highlight w:val="none"/>
                <w:lang w:val="en-US" w:eastAsia="zh-CN" w:bidi="ar"/>
              </w:rPr>
              <w:t>从业经验证明</w:t>
            </w:r>
            <w:r>
              <w:rPr>
                <w:rFonts w:hint="eastAsia" w:ascii="宋体" w:hAnsi="宋体" w:eastAsia="宋体" w:cs="宋体"/>
                <w:i w:val="0"/>
                <w:iCs w:val="0"/>
                <w:color w:val="auto"/>
                <w:kern w:val="0"/>
                <w:sz w:val="24"/>
                <w:szCs w:val="24"/>
                <w:highlight w:val="none"/>
                <w:u w:val="none"/>
                <w:lang w:val="en-US" w:eastAsia="zh-CN" w:bidi="ar"/>
              </w:rPr>
              <w:t>、注册安全工程师资格证书及执业</w:t>
            </w:r>
            <w:r>
              <w:rPr>
                <w:rFonts w:ascii="宋体" w:hAnsi="宋体" w:eastAsia="宋体" w:cs="宋体"/>
                <w:color w:val="auto"/>
                <w:kern w:val="0"/>
                <w:sz w:val="24"/>
                <w:szCs w:val="24"/>
                <w:highlight w:val="none"/>
              </w:rPr>
              <w:t>证书</w:t>
            </w:r>
            <w:r>
              <w:rPr>
                <w:rFonts w:hint="eastAsia" w:ascii="宋体" w:hAnsi="宋体" w:eastAsia="宋体" w:cs="宋体"/>
                <w:i w:val="0"/>
                <w:iCs w:val="0"/>
                <w:color w:val="auto"/>
                <w:kern w:val="0"/>
                <w:sz w:val="24"/>
                <w:szCs w:val="24"/>
                <w:highlight w:val="none"/>
                <w:u w:val="none"/>
                <w:lang w:val="en-US" w:eastAsia="zh-CN" w:bidi="ar"/>
              </w:rPr>
              <w:t>及投标截止时间前（不含投标截止时间当月）连续六个月[成立时间不足六个月的投标人提供成立当月至投标截止时间前（不含投标截止时间当月）]投标人单位为其缴纳社会保险的证明材料。项目负责人、安全管理人员、现场管理人员不可兼任，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493" w:type="pct"/>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现场管理人员</w:t>
            </w:r>
          </w:p>
        </w:tc>
        <w:tc>
          <w:tcPr>
            <w:tcW w:w="393" w:type="pct"/>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4113" w:type="pct"/>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根据投标人拟投入本项目的现场作业管理人员具有环境卫生作业项目相关人员证书的，每提供1份证书的得1分；本项满分3分。</w:t>
            </w:r>
          </w:p>
          <w:p>
            <w:pPr>
              <w:keepNext w:val="0"/>
              <w:keepLines w:val="0"/>
              <w:pageBreakBefore w:val="0"/>
              <w:widowControl/>
              <w:suppressLineNumbers w:val="0"/>
              <w:shd w:val="clear"/>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注：同时提供拟派人员证书证明复印件及投标截止时间前（不含投标截止时间当月）连续六个月[成立时间不足六个月的投标人提供成立当月至投标截止时间前（不含投标截止时间当月）]投标人单位为其缴纳社会保险的证明材料。项目负责人、安全管理人员、现场管理人员不可兼任，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493" w:type="pct"/>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企业荣誉</w:t>
            </w:r>
          </w:p>
        </w:tc>
        <w:tc>
          <w:tcPr>
            <w:tcW w:w="393" w:type="pct"/>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4113" w:type="pct"/>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根据投标人自2019年1月1日起至本项目投标截止时间止：投标人在环卫作业过程中获得县区级或以上行业主管部门颁发的荣誉或表彰的得1分。</w:t>
            </w:r>
          </w:p>
          <w:p>
            <w:pPr>
              <w:keepNext w:val="0"/>
              <w:keepLines w:val="0"/>
              <w:pageBreakBefore w:val="0"/>
              <w:widowControl/>
              <w:suppressLineNumbers w:val="0"/>
              <w:shd w:val="clear"/>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注：投标人提供由颁发荣誉或表彰的部门出具的荣誉或表彰的证明材料复印件或由投标人从颁发荣誉或表彰政府部门网站上打印投标人获得的荣誉或表彰的证明材料（具备查询网址），时间以荣誉或表彰证明的落款时间为准，否则不得分。投标人提供的荣誉、或表彰材料上需体现投标人名称，若未体现投标人名称的，需附上发证部门出具的证明，证明材料不全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493" w:type="pct"/>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人员荣誉</w:t>
            </w:r>
          </w:p>
        </w:tc>
        <w:tc>
          <w:tcPr>
            <w:tcW w:w="393" w:type="pct"/>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4113" w:type="pct"/>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根据投标人拟投入本项目的人员自2019年1月1日至本项目投标截止时间止，每提供一个县区级或以上行业主管部门颁发的关于环卫的个人荣誉得1分，本项满分2分。</w:t>
            </w:r>
          </w:p>
          <w:p>
            <w:pPr>
              <w:keepNext w:val="0"/>
              <w:keepLines w:val="0"/>
              <w:pageBreakBefore w:val="0"/>
              <w:widowControl/>
              <w:suppressLineNumbers w:val="0"/>
              <w:shd w:val="clear"/>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注：投标人提供由颁发荣誉或表彰的部门出具的荣誉或表彰证明材料复印件或由投标人从颁发荣誉或表彰的政府部门网站上打印投标人受表彰或荣誉的证明材料（具备查询网址）及投标截止时间前（不含投标截止时间当月）连续六个月[成立时间不足六个月的投标人提供成立当月至投标截止时间前（不含投标截止时间当月）]投标人单位为其缴纳社会保险的证明材料</w:t>
            </w:r>
            <w:r>
              <w:rPr>
                <w:rStyle w:val="12"/>
                <w:color w:val="auto"/>
                <w:highlight w:val="none"/>
                <w:lang w:val="en-US" w:eastAsia="zh-CN" w:bidi="ar"/>
              </w:rPr>
              <w:t>，未提供或提供证明材料不全的不得分。时间以荣誉（或表彰）证明的落款时间为准。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493" w:type="pct"/>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服务承诺</w:t>
            </w:r>
          </w:p>
        </w:tc>
        <w:tc>
          <w:tcPr>
            <w:tcW w:w="393" w:type="pct"/>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400" w:lineRule="exact"/>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w:t>
            </w:r>
          </w:p>
        </w:tc>
        <w:tc>
          <w:tcPr>
            <w:tcW w:w="4113" w:type="pct"/>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投标人承诺中标后根据项目所在地相关主管部门的要求办理《城市生活垃圾经营性清扫、收集、运输服务许可证》的得2分。投标人须提供承诺函（格式自拟），否则不得分。</w:t>
            </w:r>
          </w:p>
        </w:tc>
      </w:tr>
    </w:tbl>
    <w:p>
      <w:pPr>
        <w:pStyle w:val="10"/>
        <w:keepNext w:val="0"/>
        <w:keepLines w:val="0"/>
        <w:pageBreakBefore w:val="0"/>
        <w:shd w:val="clear"/>
        <w:kinsoku/>
        <w:wordWrap/>
        <w:overflowPunct/>
        <w:topLinePunct w:val="0"/>
        <w:autoSpaceDE/>
        <w:autoSpaceDN/>
        <w:bidi w:val="0"/>
        <w:adjustRightInd/>
        <w:snapToGrid/>
        <w:spacing w:line="400" w:lineRule="exact"/>
        <w:rPr>
          <w:rFonts w:hint="eastAsia" w:ascii="宋体" w:hAnsi="宋体" w:eastAsia="宋体" w:cs="宋体"/>
          <w:b w:val="0"/>
          <w:bCs/>
          <w:color w:val="auto"/>
          <w:sz w:val="24"/>
          <w:szCs w:val="24"/>
          <w:highlight w:val="none"/>
        </w:rPr>
      </w:pPr>
    </w:p>
    <w:p>
      <w:pPr>
        <w:pStyle w:val="10"/>
        <w:keepNext w:val="0"/>
        <w:keepLines w:val="0"/>
        <w:pageBreakBefore w:val="0"/>
        <w:shd w:val="clear"/>
        <w:kinsoku/>
        <w:wordWrap/>
        <w:overflowPunct/>
        <w:topLinePunct w:val="0"/>
        <w:autoSpaceDE/>
        <w:autoSpaceDN/>
        <w:bidi w:val="0"/>
        <w:adjustRightInd/>
        <w:snapToGrid/>
        <w:spacing w:line="400" w:lineRule="exac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加分项（F4×A4）</w:t>
      </w:r>
    </w:p>
    <w:p>
      <w:pPr>
        <w:pStyle w:val="10"/>
        <w:keepNext w:val="0"/>
        <w:keepLines w:val="0"/>
        <w:pageBreakBefore w:val="0"/>
        <w:shd w:val="clear"/>
        <w:kinsoku/>
        <w:wordWrap/>
        <w:overflowPunct/>
        <w:topLinePunct w:val="0"/>
        <w:autoSpaceDE/>
        <w:autoSpaceDN/>
        <w:bidi w:val="0"/>
        <w:adjustRightInd/>
        <w:snapToGrid/>
        <w:spacing w:line="400" w:lineRule="exact"/>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rPr>
        <w:t>优先类节能产品、环境标志产品：无</w:t>
      </w:r>
      <w:r>
        <w:rPr>
          <w:rFonts w:hint="eastAsia" w:ascii="宋体" w:hAnsi="宋体" w:eastAsia="宋体" w:cs="宋体"/>
          <w:b w:val="0"/>
          <w:bCs/>
          <w:color w:val="auto"/>
          <w:sz w:val="24"/>
          <w:szCs w:val="24"/>
          <w:highlight w:val="none"/>
          <w:lang w:eastAsia="zh-CN"/>
        </w:rPr>
        <w:t>。</w:t>
      </w:r>
    </w:p>
    <w:p>
      <w:pPr>
        <w:pStyle w:val="10"/>
        <w:keepNext w:val="0"/>
        <w:keepLines w:val="0"/>
        <w:pageBreakBefore w:val="0"/>
        <w:shd w:val="clear"/>
        <w:kinsoku/>
        <w:wordWrap/>
        <w:overflowPunct/>
        <w:topLinePunct w:val="0"/>
        <w:autoSpaceDE/>
        <w:autoSpaceDN/>
        <w:bidi w:val="0"/>
        <w:adjustRightInd/>
        <w:snapToGrid/>
        <w:spacing w:line="400" w:lineRule="exac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（4）中标候选人排列规则顺序如下：</w:t>
      </w:r>
    </w:p>
    <w:p>
      <w:pPr>
        <w:pStyle w:val="10"/>
        <w:keepNext w:val="0"/>
        <w:keepLines w:val="0"/>
        <w:pageBreakBefore w:val="0"/>
        <w:shd w:val="clear"/>
        <w:kinsoku/>
        <w:wordWrap/>
        <w:overflowPunct/>
        <w:topLinePunct w:val="0"/>
        <w:autoSpaceDE/>
        <w:autoSpaceDN/>
        <w:bidi w:val="0"/>
        <w:adjustRightInd/>
        <w:snapToGrid/>
        <w:spacing w:line="400" w:lineRule="exac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a.按照评标总得分（FA）由高到低顺序排列。</w:t>
      </w:r>
    </w:p>
    <w:p>
      <w:pPr>
        <w:pStyle w:val="10"/>
        <w:keepNext w:val="0"/>
        <w:keepLines w:val="0"/>
        <w:pageBreakBefore w:val="0"/>
        <w:shd w:val="clear"/>
        <w:kinsoku/>
        <w:wordWrap/>
        <w:overflowPunct/>
        <w:topLinePunct w:val="0"/>
        <w:autoSpaceDE/>
        <w:autoSpaceDN/>
        <w:bidi w:val="0"/>
        <w:adjustRightInd/>
        <w:snapToGrid/>
        <w:spacing w:line="400" w:lineRule="exac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b.评标总得分（FA）相同的，按照评标价（即价格扣除后的投标报价）由低到高顺序排列。</w:t>
      </w:r>
    </w:p>
    <w:p>
      <w:pPr>
        <w:pStyle w:val="10"/>
        <w:keepNext w:val="0"/>
        <w:keepLines w:val="0"/>
        <w:pageBreakBefore w:val="0"/>
        <w:shd w:val="clear"/>
        <w:kinsoku/>
        <w:wordWrap/>
        <w:overflowPunct/>
        <w:topLinePunct w:val="0"/>
        <w:autoSpaceDE/>
        <w:autoSpaceDN/>
        <w:bidi w:val="0"/>
        <w:adjustRightInd/>
        <w:snapToGrid/>
        <w:spacing w:line="400" w:lineRule="exac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c.评标总得分（FA）且评标价（即价格扣除后的投标报价）相同的并列。</w:t>
      </w:r>
    </w:p>
    <w:p>
      <w:pPr>
        <w:pStyle w:val="10"/>
        <w:keepNext w:val="0"/>
        <w:keepLines w:val="0"/>
        <w:pageBreakBefore w:val="0"/>
        <w:shd w:val="clear"/>
        <w:kinsoku/>
        <w:wordWrap/>
        <w:overflowPunct/>
        <w:topLinePunct w:val="0"/>
        <w:autoSpaceDE/>
        <w:autoSpaceDN/>
        <w:bidi w:val="0"/>
        <w:adjustRightInd/>
        <w:snapToGrid/>
        <w:spacing w:line="400" w:lineRule="exact"/>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8、其他规定</w:t>
      </w:r>
    </w:p>
    <w:p>
      <w:pPr>
        <w:pStyle w:val="10"/>
        <w:keepNext w:val="0"/>
        <w:keepLines w:val="0"/>
        <w:pageBreakBefore w:val="0"/>
        <w:shd w:val="clear"/>
        <w:kinsoku/>
        <w:wordWrap/>
        <w:overflowPunct/>
        <w:topLinePunct w:val="0"/>
        <w:autoSpaceDE/>
        <w:autoSpaceDN/>
        <w:bidi w:val="0"/>
        <w:adjustRightInd/>
        <w:snapToGrid/>
        <w:spacing w:line="400" w:lineRule="exact"/>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8.1评标应全程保密且不得透露给任一投标人或与评标工作无关的人员。</w:t>
      </w:r>
    </w:p>
    <w:p>
      <w:pPr>
        <w:pStyle w:val="10"/>
        <w:keepNext w:val="0"/>
        <w:keepLines w:val="0"/>
        <w:pageBreakBefore w:val="0"/>
        <w:shd w:val="clear"/>
        <w:kinsoku/>
        <w:wordWrap/>
        <w:overflowPunct/>
        <w:topLinePunct w:val="0"/>
        <w:autoSpaceDE/>
        <w:autoSpaceDN/>
        <w:bidi w:val="0"/>
        <w:adjustRightInd/>
        <w:snapToGrid/>
        <w:spacing w:line="400" w:lineRule="exact"/>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8.2评标将进行全程实时录音录像，录音录像资料随采购文件一并存档。</w:t>
      </w:r>
    </w:p>
    <w:p>
      <w:pPr>
        <w:pStyle w:val="10"/>
        <w:keepNext w:val="0"/>
        <w:keepLines w:val="0"/>
        <w:pageBreakBefore w:val="0"/>
        <w:shd w:val="clear"/>
        <w:kinsoku/>
        <w:wordWrap/>
        <w:overflowPunct/>
        <w:topLinePunct w:val="0"/>
        <w:autoSpaceDE/>
        <w:autoSpaceDN/>
        <w:bidi w:val="0"/>
        <w:adjustRightInd/>
        <w:snapToGrid/>
        <w:spacing w:line="400" w:lineRule="exact"/>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8.3若投标人有任何试图干扰具体评标事务，影响评标委员会独立履行职责的行为，其投标无效且不予退还投标保证金。情节严重的，由财政部门列入不良行为记录。</w:t>
      </w:r>
    </w:p>
    <w:p>
      <w:pPr>
        <w:pStyle w:val="10"/>
        <w:keepNext w:val="0"/>
        <w:keepLines w:val="0"/>
        <w:pageBreakBefore w:val="0"/>
        <w:shd w:val="clear"/>
        <w:kinsoku/>
        <w:wordWrap/>
        <w:overflowPunct/>
        <w:topLinePunct w:val="0"/>
        <w:autoSpaceDE/>
        <w:autoSpaceDN/>
        <w:bidi w:val="0"/>
        <w:adjustRightInd/>
        <w:snapToGrid/>
        <w:spacing w:line="400" w:lineRule="exact"/>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8.4其他：无。</w:t>
      </w:r>
    </w:p>
    <w:p>
      <w:pPr>
        <w:pStyle w:val="10"/>
        <w:shd w:val="clear"/>
        <w:rPr>
          <w:rFonts w:hint="eastAsia" w:ascii="宋体" w:hAnsi="宋体" w:eastAsia="宋体" w:cs="宋体"/>
          <w:color w:val="auto"/>
          <w:sz w:val="24"/>
          <w:szCs w:val="24"/>
          <w:highlight w:val="none"/>
        </w:rPr>
      </w:pPr>
    </w:p>
    <w:p>
      <w:pPr>
        <w:pStyle w:val="10"/>
        <w:shd w:val="clear"/>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 xml:space="preserve"> </w:t>
      </w:r>
    </w:p>
    <w:p>
      <w:pPr>
        <w:shd w:val="clea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br w:type="page"/>
      </w:r>
    </w:p>
    <w:p>
      <w:pPr>
        <w:pStyle w:val="10"/>
        <w:shd w:val="clear"/>
        <w:jc w:val="center"/>
        <w:rPr>
          <w:rFonts w:hint="eastAsia" w:ascii="宋体" w:hAnsi="宋体" w:eastAsia="宋体" w:cs="宋体"/>
          <w:color w:val="auto"/>
          <w:sz w:val="28"/>
          <w:szCs w:val="28"/>
          <w:highlight w:val="none"/>
        </w:rPr>
      </w:pPr>
      <w:r>
        <w:rPr>
          <w:rFonts w:hint="eastAsia" w:ascii="宋体" w:hAnsi="宋体" w:eastAsia="宋体" w:cs="宋体"/>
          <w:b/>
          <w:color w:val="auto"/>
          <w:sz w:val="28"/>
          <w:szCs w:val="28"/>
          <w:highlight w:val="none"/>
        </w:rPr>
        <w:t>第五章 招标内容及要求</w:t>
      </w:r>
    </w:p>
    <w:p>
      <w:pPr>
        <w:pStyle w:val="10"/>
        <w:shd w:val="clear"/>
        <w:jc w:val="both"/>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一、项目概况（采购标的）</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firstLine="482" w:firstLineChars="200"/>
        <w:textAlignment w:val="auto"/>
        <w:rPr>
          <w:rFonts w:hint="eastAsia" w:ascii="微软雅黑" w:hAnsi="微软雅黑" w:eastAsia="微软雅黑" w:cs="微软雅黑"/>
          <w:i w:val="0"/>
          <w:iCs w:val="0"/>
          <w:caps w:val="0"/>
          <w:color w:val="auto"/>
          <w:spacing w:val="0"/>
          <w:sz w:val="24"/>
          <w:szCs w:val="24"/>
          <w:highlight w:val="none"/>
        </w:rPr>
      </w:pPr>
      <w:r>
        <w:rPr>
          <w:rStyle w:val="9"/>
          <w:rFonts w:hint="eastAsia" w:ascii="宋体" w:hAnsi="宋体" w:eastAsia="宋体" w:cs="宋体"/>
          <w:i w:val="0"/>
          <w:iCs w:val="0"/>
          <w:caps w:val="0"/>
          <w:color w:val="auto"/>
          <w:spacing w:val="0"/>
          <w:sz w:val="24"/>
          <w:szCs w:val="24"/>
          <w:highlight w:val="none"/>
          <w:lang w:val="en-US" w:eastAsia="zh-CN"/>
        </w:rPr>
        <w:t>1</w:t>
      </w:r>
      <w:r>
        <w:rPr>
          <w:rStyle w:val="9"/>
          <w:rFonts w:hint="eastAsia" w:ascii="宋体" w:hAnsi="宋体" w:eastAsia="宋体" w:cs="宋体"/>
          <w:i w:val="0"/>
          <w:iCs w:val="0"/>
          <w:caps w:val="0"/>
          <w:color w:val="auto"/>
          <w:spacing w:val="0"/>
          <w:sz w:val="24"/>
          <w:szCs w:val="24"/>
          <w:highlight w:val="none"/>
        </w:rPr>
        <w:t>、总体目标</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微软雅黑" w:hAnsi="微软雅黑" w:eastAsia="微软雅黑" w:cs="微软雅黑"/>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坚持绿色发展理念，以打造”美丽郊尾”为目标，推进乡镇环卫一体化，提升乡镇环境卫生管理水平，从根本上改善乡镇环境，促进全镇经济社会协调持续发展。构建标准化、专业化、机械化、市场化的乡镇环卫一体化模式，全面清除”脏、乱、差”现象，达到环境整洁、生态良好、秩序井然、乡风文明。逐步建立户保洁、村收集、镇区转运、县处理”的垃圾收运处置体系的总体目标。</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firstLine="482" w:firstLineChars="200"/>
        <w:textAlignment w:val="auto"/>
        <w:rPr>
          <w:rFonts w:hint="eastAsia" w:ascii="微软雅黑" w:hAnsi="微软雅黑" w:eastAsia="微软雅黑" w:cs="微软雅黑"/>
          <w:i w:val="0"/>
          <w:iCs w:val="0"/>
          <w:caps w:val="0"/>
          <w:color w:val="auto"/>
          <w:spacing w:val="0"/>
          <w:sz w:val="24"/>
          <w:szCs w:val="24"/>
          <w:highlight w:val="none"/>
        </w:rPr>
      </w:pPr>
      <w:r>
        <w:rPr>
          <w:rStyle w:val="9"/>
          <w:rFonts w:hint="eastAsia" w:ascii="宋体" w:hAnsi="宋体" w:eastAsia="宋体" w:cs="宋体"/>
          <w:i w:val="0"/>
          <w:iCs w:val="0"/>
          <w:caps w:val="0"/>
          <w:color w:val="auto"/>
          <w:spacing w:val="0"/>
          <w:sz w:val="24"/>
          <w:szCs w:val="24"/>
          <w:highlight w:val="none"/>
          <w:lang w:val="en-US" w:eastAsia="zh-CN"/>
        </w:rPr>
        <w:t>2</w:t>
      </w:r>
      <w:r>
        <w:rPr>
          <w:rStyle w:val="9"/>
          <w:rFonts w:hint="eastAsia" w:ascii="宋体" w:hAnsi="宋体" w:eastAsia="宋体" w:cs="宋体"/>
          <w:i w:val="0"/>
          <w:iCs w:val="0"/>
          <w:caps w:val="0"/>
          <w:color w:val="auto"/>
          <w:spacing w:val="0"/>
          <w:sz w:val="24"/>
          <w:szCs w:val="24"/>
          <w:highlight w:val="none"/>
        </w:rPr>
        <w:t>、服务内容</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微软雅黑" w:hAnsi="微软雅黑" w:eastAsia="微软雅黑" w:cs="微软雅黑"/>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集镇区、主、次干道清扫保洁、全镇（含农村）保洁、生活垃圾收转运、处置服务项目及生活垃圾压缩站运营管理等</w:t>
      </w:r>
      <w:r>
        <w:rPr>
          <w:rFonts w:hint="eastAsia" w:ascii="宋体" w:hAnsi="宋体" w:eastAsia="宋体" w:cs="宋体"/>
          <w:i w:val="0"/>
          <w:iCs w:val="0"/>
          <w:caps w:val="0"/>
          <w:color w:val="auto"/>
          <w:spacing w:val="0"/>
          <w:sz w:val="24"/>
          <w:szCs w:val="24"/>
          <w:highlight w:val="none"/>
          <w:lang w:eastAsia="zh-CN"/>
        </w:rPr>
        <w:t>；</w:t>
      </w:r>
      <w:r>
        <w:rPr>
          <w:rFonts w:hint="eastAsia" w:ascii="宋体" w:hAnsi="宋体" w:eastAsia="宋体" w:cs="宋体"/>
          <w:i w:val="0"/>
          <w:iCs w:val="0"/>
          <w:caps w:val="0"/>
          <w:color w:val="auto"/>
          <w:spacing w:val="0"/>
          <w:sz w:val="24"/>
          <w:szCs w:val="24"/>
          <w:highlight w:val="none"/>
        </w:rPr>
        <w:t>建筑垃圾收集处理</w:t>
      </w:r>
      <w:r>
        <w:rPr>
          <w:rFonts w:hint="eastAsia" w:ascii="宋体" w:hAnsi="宋体" w:eastAsia="宋体" w:cs="宋体"/>
          <w:i w:val="0"/>
          <w:iCs w:val="0"/>
          <w:caps w:val="0"/>
          <w:color w:val="auto"/>
          <w:spacing w:val="0"/>
          <w:sz w:val="24"/>
          <w:szCs w:val="24"/>
          <w:highlight w:val="none"/>
          <w:lang w:eastAsia="zh-CN"/>
        </w:rPr>
        <w:t>；</w:t>
      </w:r>
      <w:r>
        <w:rPr>
          <w:rFonts w:hint="eastAsia" w:ascii="宋体" w:hAnsi="宋体" w:eastAsia="宋体" w:cs="宋体"/>
          <w:i w:val="0"/>
          <w:iCs w:val="0"/>
          <w:caps w:val="0"/>
          <w:color w:val="auto"/>
          <w:spacing w:val="0"/>
          <w:sz w:val="24"/>
          <w:szCs w:val="24"/>
          <w:highlight w:val="none"/>
        </w:rPr>
        <w:t>主、次干道绿化带修剪、除草、施肥、防病虫害等基本养护工作</w:t>
      </w:r>
      <w:r>
        <w:rPr>
          <w:rFonts w:hint="eastAsia" w:ascii="宋体" w:hAnsi="宋体" w:eastAsia="宋体" w:cs="宋体"/>
          <w:i w:val="0"/>
          <w:iCs w:val="0"/>
          <w:caps w:val="0"/>
          <w:color w:val="auto"/>
          <w:spacing w:val="0"/>
          <w:sz w:val="24"/>
          <w:szCs w:val="24"/>
          <w:highlight w:val="none"/>
          <w:lang w:eastAsia="zh-CN"/>
        </w:rPr>
        <w:t>；</w:t>
      </w:r>
      <w:r>
        <w:rPr>
          <w:rFonts w:hint="eastAsia" w:ascii="宋体" w:hAnsi="宋体" w:eastAsia="宋体" w:cs="宋体"/>
          <w:i w:val="0"/>
          <w:iCs w:val="0"/>
          <w:caps w:val="0"/>
          <w:color w:val="auto"/>
          <w:spacing w:val="0"/>
          <w:sz w:val="24"/>
          <w:szCs w:val="24"/>
          <w:highlight w:val="none"/>
        </w:rPr>
        <w:t>建筑垃圾管控；</w:t>
      </w:r>
      <w:r>
        <w:rPr>
          <w:rFonts w:hint="eastAsia" w:ascii="宋体" w:hAnsi="宋体" w:cs="宋体"/>
          <w:i w:val="0"/>
          <w:iCs w:val="0"/>
          <w:caps w:val="0"/>
          <w:color w:val="auto"/>
          <w:spacing w:val="0"/>
          <w:sz w:val="24"/>
          <w:szCs w:val="24"/>
          <w:highlight w:val="none"/>
          <w:lang w:val="en-US" w:eastAsia="zh-CN"/>
        </w:rPr>
        <w:t>企业内垃圾管控；垃圾桶及护栏清洗；工具、车辆保养维护；农贸市场、镇政府保洁；</w:t>
      </w:r>
      <w:r>
        <w:rPr>
          <w:rFonts w:hint="eastAsia" w:ascii="宋体" w:hAnsi="宋体" w:eastAsia="宋体" w:cs="宋体"/>
          <w:i w:val="0"/>
          <w:iCs w:val="0"/>
          <w:caps w:val="0"/>
          <w:color w:val="auto"/>
          <w:spacing w:val="0"/>
          <w:sz w:val="24"/>
          <w:szCs w:val="24"/>
          <w:highlight w:val="none"/>
        </w:rPr>
        <w:t>公厕保洁；</w:t>
      </w:r>
      <w:r>
        <w:rPr>
          <w:rFonts w:hint="eastAsia" w:ascii="宋体" w:hAnsi="宋体" w:cs="宋体"/>
          <w:i w:val="0"/>
          <w:iCs w:val="0"/>
          <w:caps w:val="0"/>
          <w:color w:val="auto"/>
          <w:spacing w:val="0"/>
          <w:sz w:val="24"/>
          <w:szCs w:val="24"/>
          <w:highlight w:val="none"/>
          <w:lang w:val="en-US" w:eastAsia="zh-CN"/>
        </w:rPr>
        <w:t>各公园及活动广场；</w:t>
      </w:r>
      <w:r>
        <w:rPr>
          <w:rFonts w:hint="eastAsia" w:ascii="宋体" w:hAnsi="宋体" w:eastAsia="宋体" w:cs="宋体"/>
          <w:i w:val="0"/>
          <w:iCs w:val="0"/>
          <w:caps w:val="0"/>
          <w:color w:val="auto"/>
          <w:spacing w:val="0"/>
          <w:sz w:val="24"/>
          <w:szCs w:val="24"/>
          <w:highlight w:val="none"/>
        </w:rPr>
        <w:t>主要河流河道漂浮物清理清理、保护、及时制止污染问题，及时上报发现问题。</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firstLine="482" w:firstLineChars="200"/>
        <w:textAlignment w:val="auto"/>
        <w:rPr>
          <w:rFonts w:hint="eastAsia" w:ascii="微软雅黑" w:hAnsi="微软雅黑" w:eastAsia="微软雅黑" w:cs="微软雅黑"/>
          <w:i w:val="0"/>
          <w:iCs w:val="0"/>
          <w:caps w:val="0"/>
          <w:color w:val="auto"/>
          <w:spacing w:val="0"/>
          <w:sz w:val="24"/>
          <w:szCs w:val="24"/>
          <w:highlight w:val="none"/>
        </w:rPr>
      </w:pPr>
      <w:r>
        <w:rPr>
          <w:rStyle w:val="9"/>
          <w:rFonts w:hint="eastAsia" w:ascii="宋体" w:hAnsi="宋体" w:eastAsia="宋体" w:cs="宋体"/>
          <w:i w:val="0"/>
          <w:iCs w:val="0"/>
          <w:caps w:val="0"/>
          <w:color w:val="auto"/>
          <w:spacing w:val="0"/>
          <w:sz w:val="24"/>
          <w:szCs w:val="24"/>
          <w:highlight w:val="none"/>
          <w:lang w:val="en-US" w:eastAsia="zh-CN"/>
        </w:rPr>
        <w:t>3</w:t>
      </w:r>
      <w:r>
        <w:rPr>
          <w:rStyle w:val="9"/>
          <w:rFonts w:hint="eastAsia" w:ascii="宋体" w:hAnsi="宋体" w:eastAsia="宋体" w:cs="宋体"/>
          <w:i w:val="0"/>
          <w:iCs w:val="0"/>
          <w:caps w:val="0"/>
          <w:color w:val="auto"/>
          <w:spacing w:val="0"/>
          <w:sz w:val="24"/>
          <w:szCs w:val="24"/>
          <w:highlight w:val="none"/>
        </w:rPr>
        <w:t>、建设内容</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微软雅黑" w:hAnsi="微软雅黑" w:eastAsia="微软雅黑" w:cs="微软雅黑"/>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lang w:val="en-US" w:eastAsia="zh-CN"/>
        </w:rPr>
        <w:t>3.</w:t>
      </w:r>
      <w:r>
        <w:rPr>
          <w:rFonts w:hint="eastAsia" w:ascii="宋体" w:hAnsi="宋体" w:eastAsia="宋体" w:cs="宋体"/>
          <w:i w:val="0"/>
          <w:iCs w:val="0"/>
          <w:caps w:val="0"/>
          <w:color w:val="auto"/>
          <w:spacing w:val="0"/>
          <w:sz w:val="24"/>
          <w:szCs w:val="24"/>
          <w:highlight w:val="none"/>
        </w:rPr>
        <w:t>1、全面投入环卫作业设备，提高镇区机械化作业水平，规范道路清扫保洁作业。</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微软雅黑" w:hAnsi="微软雅黑" w:eastAsia="微软雅黑" w:cs="微软雅黑"/>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lang w:val="en-US" w:eastAsia="zh-CN"/>
        </w:rPr>
        <w:t>3.</w:t>
      </w:r>
      <w:r>
        <w:rPr>
          <w:rFonts w:hint="eastAsia" w:ascii="宋体" w:hAnsi="宋体" w:eastAsia="宋体" w:cs="宋体"/>
          <w:i w:val="0"/>
          <w:iCs w:val="0"/>
          <w:caps w:val="0"/>
          <w:color w:val="auto"/>
          <w:spacing w:val="0"/>
          <w:sz w:val="24"/>
          <w:szCs w:val="24"/>
          <w:highlight w:val="none"/>
        </w:rPr>
        <w:t>2、建设完善垃圾收集清运系统，由政府组织所有垃圾收集点升级、改造建设。</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firstLine="482" w:firstLineChars="200"/>
        <w:textAlignment w:val="auto"/>
        <w:rPr>
          <w:rFonts w:hint="eastAsia" w:ascii="微软雅黑" w:hAnsi="微软雅黑" w:eastAsia="微软雅黑" w:cs="微软雅黑"/>
          <w:i w:val="0"/>
          <w:iCs w:val="0"/>
          <w:caps w:val="0"/>
          <w:color w:val="auto"/>
          <w:spacing w:val="0"/>
          <w:sz w:val="24"/>
          <w:szCs w:val="24"/>
          <w:highlight w:val="none"/>
        </w:rPr>
      </w:pPr>
      <w:r>
        <w:rPr>
          <w:rStyle w:val="9"/>
          <w:rFonts w:hint="eastAsia" w:ascii="宋体" w:hAnsi="宋体" w:eastAsia="宋体" w:cs="宋体"/>
          <w:i w:val="0"/>
          <w:iCs w:val="0"/>
          <w:caps w:val="0"/>
          <w:color w:val="auto"/>
          <w:spacing w:val="0"/>
          <w:sz w:val="24"/>
          <w:szCs w:val="24"/>
          <w:highlight w:val="none"/>
          <w:lang w:val="en-US" w:eastAsia="zh-CN"/>
        </w:rPr>
        <w:t>4</w:t>
      </w:r>
      <w:r>
        <w:rPr>
          <w:rStyle w:val="9"/>
          <w:rFonts w:hint="eastAsia" w:ascii="宋体" w:hAnsi="宋体" w:eastAsia="宋体" w:cs="宋体"/>
          <w:i w:val="0"/>
          <w:iCs w:val="0"/>
          <w:caps w:val="0"/>
          <w:color w:val="auto"/>
          <w:spacing w:val="0"/>
          <w:sz w:val="24"/>
          <w:szCs w:val="24"/>
          <w:highlight w:val="none"/>
        </w:rPr>
        <w:t>、运营服务方式</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微软雅黑" w:hAnsi="微软雅黑" w:eastAsia="微软雅黑" w:cs="微软雅黑"/>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采用郊尾镇镇政府购买服务的市场化运作模式，并将仙游县郊尾镇环境卫生保洁及清运一体化服务项目委托市场化经营，由中标单位自主经营，自负盈亏；同时由镇村两级成立监管人员，中标单位无条件接受镇村监管。</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firstLine="482" w:firstLineChars="200"/>
        <w:textAlignment w:val="auto"/>
        <w:rPr>
          <w:rFonts w:hint="eastAsia" w:ascii="微软雅黑" w:hAnsi="微软雅黑" w:eastAsia="微软雅黑" w:cs="微软雅黑"/>
          <w:i w:val="0"/>
          <w:iCs w:val="0"/>
          <w:caps w:val="0"/>
          <w:color w:val="auto"/>
          <w:spacing w:val="0"/>
          <w:sz w:val="24"/>
          <w:szCs w:val="24"/>
          <w:highlight w:val="none"/>
        </w:rPr>
      </w:pPr>
      <w:r>
        <w:rPr>
          <w:rStyle w:val="9"/>
          <w:rFonts w:hint="eastAsia" w:ascii="宋体" w:hAnsi="宋体" w:eastAsia="宋体" w:cs="宋体"/>
          <w:i w:val="0"/>
          <w:iCs w:val="0"/>
          <w:caps w:val="0"/>
          <w:color w:val="auto"/>
          <w:spacing w:val="0"/>
          <w:sz w:val="24"/>
          <w:szCs w:val="24"/>
          <w:highlight w:val="none"/>
          <w:lang w:val="en-US" w:eastAsia="zh-CN"/>
        </w:rPr>
        <w:t>5</w:t>
      </w:r>
      <w:r>
        <w:rPr>
          <w:rStyle w:val="9"/>
          <w:rFonts w:hint="eastAsia" w:ascii="宋体" w:hAnsi="宋体" w:eastAsia="宋体" w:cs="宋体"/>
          <w:i w:val="0"/>
          <w:iCs w:val="0"/>
          <w:caps w:val="0"/>
          <w:color w:val="auto"/>
          <w:spacing w:val="0"/>
          <w:sz w:val="24"/>
          <w:szCs w:val="24"/>
          <w:highlight w:val="none"/>
        </w:rPr>
        <w:t>、购买主体及期限</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微软雅黑" w:hAnsi="微软雅黑" w:eastAsia="微软雅黑" w:cs="微软雅黑"/>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仙游县郊尾镇镇政府作为本次服务的购买方，采用中标单位承包制，中标</w:t>
      </w:r>
      <w:r>
        <w:rPr>
          <w:rFonts w:hint="eastAsia" w:ascii="宋体" w:hAnsi="宋体" w:eastAsia="宋体" w:cs="宋体"/>
          <w:i w:val="0"/>
          <w:iCs w:val="0"/>
          <w:caps w:val="0"/>
          <w:color w:val="auto"/>
          <w:spacing w:val="0"/>
          <w:sz w:val="24"/>
          <w:szCs w:val="24"/>
          <w:highlight w:val="none"/>
          <w:lang w:val="en-US" w:eastAsia="zh-CN"/>
        </w:rPr>
        <w:t>通知书发出</w:t>
      </w:r>
      <w:r>
        <w:rPr>
          <w:rFonts w:hint="eastAsia" w:ascii="宋体" w:hAnsi="宋体" w:eastAsia="宋体" w:cs="宋体"/>
          <w:i w:val="0"/>
          <w:iCs w:val="0"/>
          <w:caps w:val="0"/>
          <w:color w:val="auto"/>
          <w:spacing w:val="0"/>
          <w:sz w:val="24"/>
          <w:szCs w:val="24"/>
          <w:highlight w:val="none"/>
        </w:rPr>
        <w:t>后</w:t>
      </w:r>
      <w:r>
        <w:rPr>
          <w:rFonts w:hint="eastAsia" w:ascii="宋体" w:hAnsi="宋体" w:eastAsia="宋体" w:cs="宋体"/>
          <w:i w:val="0"/>
          <w:iCs w:val="0"/>
          <w:caps w:val="0"/>
          <w:color w:val="auto"/>
          <w:spacing w:val="0"/>
          <w:sz w:val="24"/>
          <w:szCs w:val="24"/>
          <w:highlight w:val="none"/>
          <w:lang w:val="en-US" w:eastAsia="zh-CN"/>
        </w:rPr>
        <w:t>30</w:t>
      </w:r>
      <w:r>
        <w:rPr>
          <w:rFonts w:hint="eastAsia" w:ascii="宋体" w:hAnsi="宋体" w:eastAsia="宋体" w:cs="宋体"/>
          <w:i w:val="0"/>
          <w:iCs w:val="0"/>
          <w:caps w:val="0"/>
          <w:color w:val="auto"/>
          <w:spacing w:val="0"/>
          <w:sz w:val="24"/>
          <w:szCs w:val="24"/>
          <w:highlight w:val="none"/>
        </w:rPr>
        <w:t>天内签订合同，服务期</w:t>
      </w:r>
      <w:r>
        <w:rPr>
          <w:rFonts w:hint="eastAsia" w:ascii="宋体" w:hAnsi="宋体" w:eastAsia="宋体" w:cs="宋体"/>
          <w:i w:val="0"/>
          <w:iCs w:val="0"/>
          <w:caps w:val="0"/>
          <w:color w:val="auto"/>
          <w:spacing w:val="0"/>
          <w:sz w:val="24"/>
          <w:szCs w:val="24"/>
          <w:highlight w:val="none"/>
          <w:lang w:val="en-US" w:eastAsia="zh-CN"/>
        </w:rPr>
        <w:t>为</w:t>
      </w:r>
      <w:r>
        <w:rPr>
          <w:rFonts w:hint="eastAsia" w:ascii="宋体" w:hAnsi="宋体" w:eastAsia="宋体" w:cs="宋体"/>
          <w:i w:val="0"/>
          <w:iCs w:val="0"/>
          <w:caps w:val="0"/>
          <w:color w:val="auto"/>
          <w:spacing w:val="0"/>
          <w:sz w:val="24"/>
          <w:szCs w:val="24"/>
          <w:highlight w:val="none"/>
        </w:rPr>
        <w:t>从</w:t>
      </w:r>
      <w:r>
        <w:rPr>
          <w:rFonts w:hint="eastAsia" w:ascii="宋体" w:hAnsi="宋体" w:eastAsia="宋体" w:cs="宋体"/>
          <w:i w:val="0"/>
          <w:iCs w:val="0"/>
          <w:caps w:val="0"/>
          <w:color w:val="auto"/>
          <w:spacing w:val="0"/>
          <w:sz w:val="24"/>
          <w:szCs w:val="24"/>
          <w:highlight w:val="none"/>
          <w:lang w:val="en-US" w:eastAsia="zh-CN"/>
        </w:rPr>
        <w:t>正式进场作业</w:t>
      </w:r>
      <w:r>
        <w:rPr>
          <w:rFonts w:hint="eastAsia" w:ascii="宋体" w:hAnsi="宋体" w:eastAsia="宋体" w:cs="宋体"/>
          <w:i w:val="0"/>
          <w:iCs w:val="0"/>
          <w:caps w:val="0"/>
          <w:color w:val="auto"/>
          <w:spacing w:val="0"/>
          <w:sz w:val="24"/>
          <w:szCs w:val="24"/>
          <w:highlight w:val="none"/>
        </w:rPr>
        <w:t>之日起</w:t>
      </w:r>
      <w:r>
        <w:rPr>
          <w:rFonts w:hint="eastAsia" w:ascii="宋体" w:hAnsi="宋体" w:eastAsia="宋体" w:cs="宋体"/>
          <w:i w:val="0"/>
          <w:iCs w:val="0"/>
          <w:caps w:val="0"/>
          <w:color w:val="auto"/>
          <w:spacing w:val="0"/>
          <w:sz w:val="24"/>
          <w:szCs w:val="24"/>
          <w:highlight w:val="none"/>
          <w:lang w:val="en-US" w:eastAsia="zh-CN"/>
        </w:rPr>
        <w:t>往后顺延</w:t>
      </w:r>
      <w:r>
        <w:rPr>
          <w:rFonts w:hint="eastAsia" w:ascii="宋体" w:hAnsi="宋体" w:eastAsia="宋体" w:cs="宋体"/>
          <w:i w:val="0"/>
          <w:iCs w:val="0"/>
          <w:caps w:val="0"/>
          <w:color w:val="auto"/>
          <w:spacing w:val="0"/>
          <w:sz w:val="24"/>
          <w:szCs w:val="24"/>
          <w:highlight w:val="none"/>
        </w:rPr>
        <w:t>3年。</w:t>
      </w:r>
      <w:r>
        <w:rPr>
          <w:rFonts w:hint="eastAsia" w:ascii="宋体" w:hAnsi="宋体" w:eastAsia="宋体" w:cs="宋体"/>
          <w:i w:val="0"/>
          <w:iCs w:val="0"/>
          <w:caps w:val="0"/>
          <w:color w:val="auto"/>
          <w:spacing w:val="0"/>
          <w:sz w:val="24"/>
          <w:szCs w:val="24"/>
          <w:highlight w:val="none"/>
          <w:lang w:val="en-US" w:eastAsia="zh-CN"/>
        </w:rPr>
        <w:t>服务期内</w:t>
      </w:r>
      <w:r>
        <w:rPr>
          <w:rFonts w:hint="eastAsia" w:ascii="宋体" w:hAnsi="宋体" w:eastAsia="宋体" w:cs="宋体"/>
          <w:i w:val="0"/>
          <w:iCs w:val="0"/>
          <w:caps w:val="0"/>
          <w:color w:val="auto"/>
          <w:spacing w:val="0"/>
          <w:sz w:val="24"/>
          <w:szCs w:val="24"/>
          <w:highlight w:val="none"/>
        </w:rPr>
        <w:t>，若出现连续</w:t>
      </w:r>
      <w:r>
        <w:rPr>
          <w:rFonts w:hint="eastAsia" w:ascii="宋体" w:hAnsi="宋体" w:cs="宋体"/>
          <w:i w:val="0"/>
          <w:iCs w:val="0"/>
          <w:caps w:val="0"/>
          <w:color w:val="auto"/>
          <w:spacing w:val="0"/>
          <w:sz w:val="24"/>
          <w:szCs w:val="24"/>
          <w:highlight w:val="none"/>
          <w:lang w:val="en-US" w:eastAsia="zh-CN"/>
        </w:rPr>
        <w:t>2</w:t>
      </w:r>
      <w:r>
        <w:rPr>
          <w:rFonts w:hint="eastAsia" w:ascii="宋体" w:hAnsi="宋体" w:eastAsia="宋体" w:cs="宋体"/>
          <w:i w:val="0"/>
          <w:iCs w:val="0"/>
          <w:caps w:val="0"/>
          <w:color w:val="auto"/>
          <w:spacing w:val="0"/>
          <w:sz w:val="24"/>
          <w:szCs w:val="24"/>
          <w:highlight w:val="none"/>
        </w:rPr>
        <w:t>次或一年累计</w:t>
      </w:r>
      <w:r>
        <w:rPr>
          <w:rFonts w:hint="eastAsia" w:ascii="宋体" w:hAnsi="宋体" w:cs="宋体"/>
          <w:i w:val="0"/>
          <w:iCs w:val="0"/>
          <w:caps w:val="0"/>
          <w:color w:val="auto"/>
          <w:spacing w:val="0"/>
          <w:sz w:val="24"/>
          <w:szCs w:val="24"/>
          <w:highlight w:val="none"/>
          <w:lang w:val="en-US" w:eastAsia="zh-CN"/>
        </w:rPr>
        <w:t>3</w:t>
      </w:r>
      <w:r>
        <w:rPr>
          <w:rFonts w:hint="eastAsia" w:ascii="宋体" w:hAnsi="宋体" w:eastAsia="宋体" w:cs="宋体"/>
          <w:i w:val="0"/>
          <w:iCs w:val="0"/>
          <w:caps w:val="0"/>
          <w:color w:val="auto"/>
          <w:spacing w:val="0"/>
          <w:sz w:val="24"/>
          <w:szCs w:val="24"/>
          <w:highlight w:val="none"/>
        </w:rPr>
        <w:t>次市县考评倒数5名和村民对环境卫生保洁问题反映激烈的情况，</w:t>
      </w:r>
      <w:r>
        <w:rPr>
          <w:rFonts w:hint="eastAsia" w:ascii="宋体" w:hAnsi="宋体" w:cs="宋体"/>
          <w:i w:val="0"/>
          <w:iCs w:val="0"/>
          <w:caps w:val="0"/>
          <w:color w:val="auto"/>
          <w:spacing w:val="0"/>
          <w:sz w:val="24"/>
          <w:szCs w:val="24"/>
          <w:highlight w:val="none"/>
          <w:lang w:eastAsia="zh-CN"/>
        </w:rPr>
        <w:t>采购人</w:t>
      </w:r>
      <w:r>
        <w:rPr>
          <w:rFonts w:hint="eastAsia" w:ascii="宋体" w:hAnsi="宋体" w:eastAsia="宋体" w:cs="宋体"/>
          <w:i w:val="0"/>
          <w:iCs w:val="0"/>
          <w:caps w:val="0"/>
          <w:color w:val="auto"/>
          <w:spacing w:val="0"/>
          <w:sz w:val="24"/>
          <w:szCs w:val="24"/>
          <w:highlight w:val="none"/>
        </w:rPr>
        <w:t>有权解除合同。</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firstLine="482" w:firstLineChars="200"/>
        <w:textAlignment w:val="auto"/>
        <w:rPr>
          <w:rFonts w:hint="eastAsia" w:ascii="微软雅黑" w:hAnsi="微软雅黑" w:eastAsia="微软雅黑" w:cs="微软雅黑"/>
          <w:i w:val="0"/>
          <w:iCs w:val="0"/>
          <w:caps w:val="0"/>
          <w:color w:val="auto"/>
          <w:spacing w:val="0"/>
          <w:sz w:val="24"/>
          <w:szCs w:val="24"/>
          <w:highlight w:val="none"/>
        </w:rPr>
      </w:pPr>
      <w:r>
        <w:rPr>
          <w:rStyle w:val="9"/>
          <w:rFonts w:hint="eastAsia" w:ascii="宋体" w:hAnsi="宋体" w:eastAsia="宋体" w:cs="宋体"/>
          <w:i w:val="0"/>
          <w:iCs w:val="0"/>
          <w:caps w:val="0"/>
          <w:color w:val="auto"/>
          <w:spacing w:val="0"/>
          <w:sz w:val="24"/>
          <w:szCs w:val="24"/>
          <w:highlight w:val="none"/>
          <w:lang w:val="en-US" w:eastAsia="zh-CN"/>
        </w:rPr>
        <w:t>6</w:t>
      </w:r>
      <w:r>
        <w:rPr>
          <w:rStyle w:val="9"/>
          <w:rFonts w:hint="eastAsia" w:ascii="宋体" w:hAnsi="宋体" w:eastAsia="宋体" w:cs="宋体"/>
          <w:i w:val="0"/>
          <w:iCs w:val="0"/>
          <w:caps w:val="0"/>
          <w:color w:val="auto"/>
          <w:spacing w:val="0"/>
          <w:sz w:val="24"/>
          <w:szCs w:val="24"/>
          <w:highlight w:val="none"/>
        </w:rPr>
        <w:t>、总体提升措施</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i w:val="0"/>
          <w:iCs w:val="0"/>
          <w:caps w:val="0"/>
          <w:color w:val="auto"/>
          <w:spacing w:val="0"/>
          <w:sz w:val="24"/>
          <w:szCs w:val="24"/>
          <w:highlight w:val="none"/>
          <w:lang w:eastAsia="zh-CN"/>
        </w:rPr>
      </w:pPr>
      <w:r>
        <w:rPr>
          <w:rFonts w:hint="eastAsia" w:ascii="宋体" w:hAnsi="宋体" w:eastAsia="宋体" w:cs="宋体"/>
          <w:i w:val="0"/>
          <w:iCs w:val="0"/>
          <w:caps w:val="0"/>
          <w:color w:val="auto"/>
          <w:spacing w:val="0"/>
          <w:sz w:val="24"/>
          <w:szCs w:val="24"/>
          <w:highlight w:val="none"/>
          <w:lang w:val="en-US" w:eastAsia="zh-CN"/>
        </w:rPr>
        <w:t>6.</w:t>
      </w:r>
      <w:r>
        <w:rPr>
          <w:rFonts w:hint="eastAsia" w:ascii="宋体" w:hAnsi="宋体" w:eastAsia="宋体" w:cs="宋体"/>
          <w:i w:val="0"/>
          <w:iCs w:val="0"/>
          <w:caps w:val="0"/>
          <w:color w:val="auto"/>
          <w:spacing w:val="0"/>
          <w:sz w:val="24"/>
          <w:szCs w:val="24"/>
          <w:highlight w:val="none"/>
        </w:rPr>
        <w:t>1、全面提升乡镇环卫基础设施及作业设备</w:t>
      </w:r>
      <w:r>
        <w:rPr>
          <w:rFonts w:hint="eastAsia" w:ascii="宋体" w:hAnsi="宋体" w:cs="宋体"/>
          <w:i w:val="0"/>
          <w:iCs w:val="0"/>
          <w:caps w:val="0"/>
          <w:color w:val="auto"/>
          <w:spacing w:val="0"/>
          <w:sz w:val="24"/>
          <w:szCs w:val="24"/>
          <w:highlight w:val="none"/>
          <w:lang w:eastAsia="zh-CN"/>
        </w:rPr>
        <w:t>。</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i w:val="0"/>
          <w:iCs w:val="0"/>
          <w:caps w:val="0"/>
          <w:color w:val="auto"/>
          <w:spacing w:val="0"/>
          <w:sz w:val="24"/>
          <w:szCs w:val="24"/>
          <w:highlight w:val="none"/>
          <w:lang w:eastAsia="zh-CN"/>
        </w:rPr>
      </w:pPr>
      <w:r>
        <w:rPr>
          <w:rFonts w:hint="eastAsia" w:ascii="宋体" w:hAnsi="宋体" w:eastAsia="宋体" w:cs="宋体"/>
          <w:i w:val="0"/>
          <w:iCs w:val="0"/>
          <w:caps w:val="0"/>
          <w:color w:val="auto"/>
          <w:spacing w:val="0"/>
          <w:sz w:val="24"/>
          <w:szCs w:val="24"/>
          <w:highlight w:val="none"/>
          <w:lang w:val="en-US" w:eastAsia="zh-CN"/>
        </w:rPr>
        <w:t>6.</w:t>
      </w:r>
      <w:r>
        <w:rPr>
          <w:rFonts w:hint="eastAsia" w:ascii="宋体" w:hAnsi="宋体" w:eastAsia="宋体" w:cs="宋体"/>
          <w:i w:val="0"/>
          <w:iCs w:val="0"/>
          <w:caps w:val="0"/>
          <w:color w:val="auto"/>
          <w:spacing w:val="0"/>
          <w:sz w:val="24"/>
          <w:szCs w:val="24"/>
          <w:highlight w:val="none"/>
        </w:rPr>
        <w:t>2、接管现有环卫工人，加强岗位技能培训，建立一支稳定高效的环卫队伍</w:t>
      </w:r>
      <w:r>
        <w:rPr>
          <w:rFonts w:hint="eastAsia" w:ascii="宋体" w:hAnsi="宋体" w:cs="宋体"/>
          <w:i w:val="0"/>
          <w:iCs w:val="0"/>
          <w:caps w:val="0"/>
          <w:color w:val="auto"/>
          <w:spacing w:val="0"/>
          <w:sz w:val="24"/>
          <w:szCs w:val="24"/>
          <w:highlight w:val="none"/>
          <w:lang w:eastAsia="zh-CN"/>
        </w:rPr>
        <w:t>。</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i w:val="0"/>
          <w:iCs w:val="0"/>
          <w:caps w:val="0"/>
          <w:color w:val="auto"/>
          <w:spacing w:val="0"/>
          <w:sz w:val="24"/>
          <w:szCs w:val="24"/>
          <w:highlight w:val="none"/>
          <w:lang w:eastAsia="zh-CN"/>
        </w:rPr>
      </w:pPr>
      <w:r>
        <w:rPr>
          <w:rFonts w:hint="eastAsia" w:ascii="宋体" w:hAnsi="宋体" w:eastAsia="宋体" w:cs="宋体"/>
          <w:i w:val="0"/>
          <w:iCs w:val="0"/>
          <w:caps w:val="0"/>
          <w:color w:val="auto"/>
          <w:spacing w:val="0"/>
          <w:sz w:val="24"/>
          <w:szCs w:val="24"/>
          <w:highlight w:val="none"/>
          <w:lang w:val="en-US" w:eastAsia="zh-CN"/>
        </w:rPr>
        <w:t>6.</w:t>
      </w:r>
      <w:r>
        <w:rPr>
          <w:rFonts w:hint="eastAsia" w:ascii="宋体" w:hAnsi="宋体" w:eastAsia="宋体" w:cs="宋体"/>
          <w:i w:val="0"/>
          <w:iCs w:val="0"/>
          <w:caps w:val="0"/>
          <w:color w:val="auto"/>
          <w:spacing w:val="0"/>
          <w:sz w:val="24"/>
          <w:szCs w:val="24"/>
          <w:highlight w:val="none"/>
        </w:rPr>
        <w:t>3、实行精细化、专业化的绩效管理，执行严格的作业标准、质量标准</w:t>
      </w:r>
      <w:r>
        <w:rPr>
          <w:rFonts w:hint="eastAsia" w:ascii="宋体" w:hAnsi="宋体" w:cs="宋体"/>
          <w:i w:val="0"/>
          <w:iCs w:val="0"/>
          <w:caps w:val="0"/>
          <w:color w:val="auto"/>
          <w:spacing w:val="0"/>
          <w:sz w:val="24"/>
          <w:szCs w:val="24"/>
          <w:highlight w:val="none"/>
          <w:lang w:eastAsia="zh-CN"/>
        </w:rPr>
        <w:t>。</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i w:val="0"/>
          <w:iCs w:val="0"/>
          <w:caps w:val="0"/>
          <w:color w:val="auto"/>
          <w:spacing w:val="0"/>
          <w:sz w:val="24"/>
          <w:szCs w:val="24"/>
          <w:highlight w:val="none"/>
          <w:lang w:eastAsia="zh-CN"/>
        </w:rPr>
      </w:pPr>
      <w:r>
        <w:rPr>
          <w:rFonts w:hint="eastAsia" w:ascii="宋体" w:hAnsi="宋体" w:eastAsia="宋体" w:cs="宋体"/>
          <w:i w:val="0"/>
          <w:iCs w:val="0"/>
          <w:caps w:val="0"/>
          <w:color w:val="auto"/>
          <w:spacing w:val="0"/>
          <w:sz w:val="24"/>
          <w:szCs w:val="24"/>
          <w:highlight w:val="none"/>
          <w:lang w:val="en-US" w:eastAsia="zh-CN"/>
        </w:rPr>
        <w:t>6.</w:t>
      </w:r>
      <w:r>
        <w:rPr>
          <w:rFonts w:hint="eastAsia" w:ascii="宋体" w:hAnsi="宋体" w:eastAsia="宋体" w:cs="宋体"/>
          <w:i w:val="0"/>
          <w:iCs w:val="0"/>
          <w:caps w:val="0"/>
          <w:color w:val="auto"/>
          <w:spacing w:val="0"/>
          <w:sz w:val="24"/>
          <w:szCs w:val="24"/>
          <w:highlight w:val="none"/>
        </w:rPr>
        <w:t>4、制定长期规划，分阶段投入先进设备，保持郊尾镇环卫服务处于较好水平</w:t>
      </w:r>
      <w:r>
        <w:rPr>
          <w:rFonts w:hint="eastAsia" w:ascii="宋体" w:hAnsi="宋体" w:cs="宋体"/>
          <w:i w:val="0"/>
          <w:iCs w:val="0"/>
          <w:caps w:val="0"/>
          <w:color w:val="auto"/>
          <w:spacing w:val="0"/>
          <w:sz w:val="24"/>
          <w:szCs w:val="24"/>
          <w:highlight w:val="none"/>
          <w:lang w:eastAsia="zh-CN"/>
        </w:rPr>
        <w:t>。</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i w:val="0"/>
          <w:iCs w:val="0"/>
          <w:caps w:val="0"/>
          <w:color w:val="auto"/>
          <w:spacing w:val="0"/>
          <w:sz w:val="24"/>
          <w:szCs w:val="24"/>
          <w:highlight w:val="none"/>
          <w:lang w:eastAsia="zh-CN"/>
        </w:rPr>
      </w:pPr>
      <w:r>
        <w:rPr>
          <w:rFonts w:hint="eastAsia" w:ascii="宋体" w:hAnsi="宋体" w:eastAsia="宋体" w:cs="宋体"/>
          <w:i w:val="0"/>
          <w:iCs w:val="0"/>
          <w:caps w:val="0"/>
          <w:color w:val="auto"/>
          <w:spacing w:val="0"/>
          <w:sz w:val="24"/>
          <w:szCs w:val="24"/>
          <w:highlight w:val="none"/>
          <w:lang w:val="en-US" w:eastAsia="zh-CN"/>
        </w:rPr>
        <w:t>6.</w:t>
      </w:r>
      <w:r>
        <w:rPr>
          <w:rFonts w:hint="eastAsia" w:ascii="宋体" w:hAnsi="宋体" w:eastAsia="宋体" w:cs="宋体"/>
          <w:i w:val="0"/>
          <w:iCs w:val="0"/>
          <w:caps w:val="0"/>
          <w:color w:val="auto"/>
          <w:spacing w:val="0"/>
          <w:sz w:val="24"/>
          <w:szCs w:val="24"/>
          <w:highlight w:val="none"/>
        </w:rPr>
        <w:t>5、转变垃圾收集清运作业模式。逐步取缔区域内的垃圾池，将垃圾池改为垃圾桶和勾臂密封箱，通过组合循环式作业，进一步提升工作效率，减少二次污染，实现垃圾24小时投放和定时不间断清运，进一步提升镇村两级环境卫生质量水平</w:t>
      </w:r>
      <w:r>
        <w:rPr>
          <w:rFonts w:hint="eastAsia" w:ascii="宋体" w:hAnsi="宋体" w:cs="宋体"/>
          <w:i w:val="0"/>
          <w:iCs w:val="0"/>
          <w:caps w:val="0"/>
          <w:color w:val="auto"/>
          <w:spacing w:val="0"/>
          <w:sz w:val="24"/>
          <w:szCs w:val="24"/>
          <w:highlight w:val="none"/>
          <w:lang w:eastAsia="zh-CN"/>
        </w:rPr>
        <w:t>。</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lang w:val="en-US" w:eastAsia="zh-CN"/>
        </w:rPr>
        <w:t>6.</w:t>
      </w:r>
      <w:r>
        <w:rPr>
          <w:rFonts w:hint="eastAsia" w:ascii="宋体" w:hAnsi="宋体" w:eastAsia="宋体" w:cs="宋体"/>
          <w:i w:val="0"/>
          <w:iCs w:val="0"/>
          <w:caps w:val="0"/>
          <w:color w:val="auto"/>
          <w:spacing w:val="0"/>
          <w:sz w:val="24"/>
          <w:szCs w:val="24"/>
          <w:highlight w:val="none"/>
        </w:rPr>
        <w:t>6、建设村镇垃圾收运体系。农村环卫待解决的几个问题：垃圾清运不及时，未做到日产日清；环卫配套设施（垃圾中转站，垃圾收集点等）布局不合理；环卫作业设备不专业（清运车不密闭，存在抛洒滴漏现象，车辆外观污染严重）；实现“户收集、村集中、镇转运、县处理”的新型镇村生活垃圾处置模式。</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i w:val="0"/>
          <w:iCs w:val="0"/>
          <w:caps w:val="0"/>
          <w:color w:val="auto"/>
          <w:spacing w:val="0"/>
          <w:sz w:val="24"/>
          <w:szCs w:val="24"/>
          <w:highlight w:val="none"/>
          <w:lang w:eastAsia="zh-CN"/>
        </w:rPr>
      </w:pPr>
      <w:r>
        <w:rPr>
          <w:rFonts w:hint="eastAsia" w:ascii="宋体" w:hAnsi="宋体" w:eastAsia="宋体" w:cs="宋体"/>
          <w:i w:val="0"/>
          <w:iCs w:val="0"/>
          <w:caps w:val="0"/>
          <w:color w:val="auto"/>
          <w:spacing w:val="0"/>
          <w:sz w:val="24"/>
          <w:szCs w:val="24"/>
          <w:highlight w:val="none"/>
          <w:lang w:val="en-US" w:eastAsia="zh-CN"/>
        </w:rPr>
        <w:t>6.</w:t>
      </w:r>
      <w:r>
        <w:rPr>
          <w:rFonts w:hint="eastAsia" w:ascii="宋体" w:hAnsi="宋体" w:eastAsia="宋体" w:cs="宋体"/>
          <w:i w:val="0"/>
          <w:iCs w:val="0"/>
          <w:caps w:val="0"/>
          <w:color w:val="auto"/>
          <w:spacing w:val="0"/>
          <w:sz w:val="24"/>
          <w:szCs w:val="24"/>
          <w:highlight w:val="none"/>
        </w:rPr>
        <w:t>7、提高镇区道路清扫保洁效率。原有的清扫保洁基本没有考核作业标准，清扫质量水平得不到有效保障，本项目采用专业的环卫设备及车辆用于全镇的清扫保洁清运机械化作业，实现机械换人提高作业效率</w:t>
      </w:r>
      <w:r>
        <w:rPr>
          <w:rFonts w:hint="eastAsia" w:ascii="宋体" w:hAnsi="宋体" w:cs="宋体"/>
          <w:i w:val="0"/>
          <w:iCs w:val="0"/>
          <w:caps w:val="0"/>
          <w:color w:val="auto"/>
          <w:spacing w:val="0"/>
          <w:sz w:val="24"/>
          <w:szCs w:val="24"/>
          <w:highlight w:val="none"/>
          <w:lang w:eastAsia="zh-CN"/>
        </w:rPr>
        <w:t>。</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i w:val="0"/>
          <w:iCs w:val="0"/>
          <w:caps w:val="0"/>
          <w:color w:val="auto"/>
          <w:spacing w:val="0"/>
          <w:sz w:val="24"/>
          <w:szCs w:val="24"/>
          <w:highlight w:val="none"/>
          <w:lang w:eastAsia="zh-CN"/>
        </w:rPr>
      </w:pPr>
      <w:r>
        <w:rPr>
          <w:rFonts w:hint="eastAsia" w:ascii="宋体" w:hAnsi="宋体" w:eastAsia="宋体" w:cs="宋体"/>
          <w:i w:val="0"/>
          <w:iCs w:val="0"/>
          <w:caps w:val="0"/>
          <w:color w:val="auto"/>
          <w:spacing w:val="0"/>
          <w:sz w:val="24"/>
          <w:szCs w:val="24"/>
          <w:highlight w:val="none"/>
          <w:lang w:val="en-US" w:eastAsia="zh-CN"/>
        </w:rPr>
        <w:t>6.</w:t>
      </w:r>
      <w:r>
        <w:rPr>
          <w:rFonts w:hint="eastAsia" w:ascii="宋体" w:hAnsi="宋体" w:eastAsia="宋体" w:cs="宋体"/>
          <w:i w:val="0"/>
          <w:iCs w:val="0"/>
          <w:caps w:val="0"/>
          <w:color w:val="auto"/>
          <w:spacing w:val="0"/>
          <w:sz w:val="24"/>
          <w:szCs w:val="24"/>
          <w:highlight w:val="none"/>
        </w:rPr>
        <w:t>8、建立集约化环卫作业运行模式。中标单位在环卫服务过程中，对重点街道辅路、人行道、房前屋后实现清扫全覆盖。对绿化带养护、河道掩护、建筑垃圾清理进行统一处置，减少工作盲区。通过机械、人员的优化配置，实现环卫作业集约化运行，进一步提高机械作业效率，减轻人员劳动强度，提高提升整体质量水平</w:t>
      </w:r>
      <w:r>
        <w:rPr>
          <w:rFonts w:hint="eastAsia" w:ascii="宋体" w:hAnsi="宋体" w:cs="宋体"/>
          <w:i w:val="0"/>
          <w:iCs w:val="0"/>
          <w:caps w:val="0"/>
          <w:color w:val="auto"/>
          <w:spacing w:val="0"/>
          <w:sz w:val="24"/>
          <w:szCs w:val="24"/>
          <w:highlight w:val="none"/>
          <w:lang w:eastAsia="zh-CN"/>
        </w:rPr>
        <w:t>。</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lang w:val="en-US" w:eastAsia="zh-CN"/>
        </w:rPr>
        <w:t>6.</w:t>
      </w:r>
      <w:r>
        <w:rPr>
          <w:rFonts w:hint="eastAsia" w:ascii="宋体" w:hAnsi="宋体" w:eastAsia="宋体" w:cs="宋体"/>
          <w:i w:val="0"/>
          <w:iCs w:val="0"/>
          <w:caps w:val="0"/>
          <w:color w:val="auto"/>
          <w:spacing w:val="0"/>
          <w:sz w:val="24"/>
          <w:szCs w:val="24"/>
          <w:highlight w:val="none"/>
        </w:rPr>
        <w:t>9、提升绿化带专业养护，定时清理垃圾，定期进行修剪，保证绿植的存活率和美观；</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i w:val="0"/>
          <w:iCs w:val="0"/>
          <w:caps w:val="0"/>
          <w:color w:val="auto"/>
          <w:spacing w:val="0"/>
          <w:sz w:val="24"/>
          <w:szCs w:val="24"/>
          <w:highlight w:val="none"/>
          <w:lang w:eastAsia="zh-CN"/>
        </w:rPr>
      </w:pPr>
      <w:r>
        <w:rPr>
          <w:rFonts w:hint="eastAsia" w:ascii="宋体" w:hAnsi="宋体" w:eastAsia="宋体" w:cs="宋体"/>
          <w:i w:val="0"/>
          <w:iCs w:val="0"/>
          <w:caps w:val="0"/>
          <w:color w:val="auto"/>
          <w:spacing w:val="0"/>
          <w:sz w:val="24"/>
          <w:szCs w:val="24"/>
          <w:highlight w:val="none"/>
          <w:lang w:val="en-US" w:eastAsia="zh-CN"/>
        </w:rPr>
        <w:t>6.</w:t>
      </w:r>
      <w:r>
        <w:rPr>
          <w:rFonts w:hint="eastAsia" w:ascii="宋体" w:hAnsi="宋体" w:eastAsia="宋体" w:cs="宋体"/>
          <w:i w:val="0"/>
          <w:iCs w:val="0"/>
          <w:caps w:val="0"/>
          <w:color w:val="auto"/>
          <w:spacing w:val="0"/>
          <w:sz w:val="24"/>
          <w:szCs w:val="24"/>
          <w:highlight w:val="none"/>
        </w:rPr>
        <w:t>10、保障职工安全和队伍稳定，加强职工安全和专业化技能教育，定制专业环卫工作服，作业人员配备肩灯、安全锥，保障作业员工人身安全</w:t>
      </w:r>
      <w:r>
        <w:rPr>
          <w:rFonts w:hint="eastAsia" w:ascii="宋体" w:hAnsi="宋体" w:cs="宋体"/>
          <w:i w:val="0"/>
          <w:iCs w:val="0"/>
          <w:caps w:val="0"/>
          <w:color w:val="auto"/>
          <w:spacing w:val="0"/>
          <w:sz w:val="24"/>
          <w:szCs w:val="24"/>
          <w:highlight w:val="none"/>
          <w:lang w:eastAsia="zh-CN"/>
        </w:rPr>
        <w:t>。</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lang w:val="en-US" w:eastAsia="zh-CN"/>
        </w:rPr>
        <w:t>6.</w:t>
      </w:r>
      <w:r>
        <w:rPr>
          <w:rFonts w:hint="eastAsia" w:ascii="宋体" w:hAnsi="宋体" w:eastAsia="宋体" w:cs="宋体"/>
          <w:i w:val="0"/>
          <w:iCs w:val="0"/>
          <w:caps w:val="0"/>
          <w:color w:val="auto"/>
          <w:spacing w:val="0"/>
          <w:sz w:val="24"/>
          <w:szCs w:val="24"/>
          <w:highlight w:val="none"/>
        </w:rPr>
        <w:t>11、实行中标单位联动互动监管机制。利用指挥作业管理平台，及时发现作业中存在问题，反馈给路面作业人员，第一时间对存在问题进行整改，实现中标单位作业、监管、整改的有效循环，提高环卫作业效率。</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firstLine="482" w:firstLineChars="200"/>
        <w:jc w:val="left"/>
        <w:textAlignment w:val="auto"/>
        <w:rPr>
          <w:rFonts w:hint="eastAsia" w:ascii="微软雅黑" w:hAnsi="微软雅黑" w:eastAsia="微软雅黑" w:cs="微软雅黑"/>
          <w:i w:val="0"/>
          <w:iCs w:val="0"/>
          <w:caps w:val="0"/>
          <w:color w:val="auto"/>
          <w:spacing w:val="0"/>
          <w:sz w:val="24"/>
          <w:szCs w:val="24"/>
          <w:highlight w:val="none"/>
        </w:rPr>
      </w:pPr>
      <w:r>
        <w:rPr>
          <w:rStyle w:val="9"/>
          <w:rFonts w:hint="eastAsia" w:ascii="宋体" w:hAnsi="宋体" w:eastAsia="宋体" w:cs="宋体"/>
          <w:i w:val="0"/>
          <w:iCs w:val="0"/>
          <w:caps w:val="0"/>
          <w:color w:val="auto"/>
          <w:spacing w:val="0"/>
          <w:sz w:val="24"/>
          <w:szCs w:val="24"/>
          <w:highlight w:val="none"/>
          <w:lang w:val="en-US" w:eastAsia="zh-CN"/>
        </w:rPr>
        <w:t>7、</w:t>
      </w:r>
      <w:r>
        <w:rPr>
          <w:rStyle w:val="9"/>
          <w:rFonts w:hint="eastAsia" w:ascii="宋体" w:hAnsi="宋体" w:eastAsia="宋体" w:cs="宋体"/>
          <w:i w:val="0"/>
          <w:iCs w:val="0"/>
          <w:caps w:val="0"/>
          <w:color w:val="auto"/>
          <w:spacing w:val="0"/>
          <w:sz w:val="24"/>
          <w:szCs w:val="24"/>
          <w:highlight w:val="none"/>
        </w:rPr>
        <w:t>组建项目公司</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微软雅黑" w:hAnsi="微软雅黑" w:eastAsia="微软雅黑" w:cs="微软雅黑"/>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lang w:val="en-US" w:eastAsia="zh-CN"/>
        </w:rPr>
        <w:t>7.1</w:t>
      </w:r>
      <w:r>
        <w:rPr>
          <w:rFonts w:hint="eastAsia" w:ascii="宋体" w:hAnsi="宋体" w:eastAsia="宋体" w:cs="宋体"/>
          <w:i w:val="0"/>
          <w:iCs w:val="0"/>
          <w:caps w:val="0"/>
          <w:color w:val="auto"/>
          <w:spacing w:val="0"/>
          <w:sz w:val="24"/>
          <w:szCs w:val="24"/>
          <w:highlight w:val="none"/>
        </w:rPr>
        <w:t>本项目采取公开招标方式确定项目承包运营公司，要求企业在</w:t>
      </w:r>
      <w:r>
        <w:rPr>
          <w:rFonts w:hint="eastAsia" w:ascii="宋体" w:hAnsi="宋体" w:cs="宋体"/>
          <w:i w:val="0"/>
          <w:iCs w:val="0"/>
          <w:caps w:val="0"/>
          <w:color w:val="auto"/>
          <w:spacing w:val="0"/>
          <w:sz w:val="24"/>
          <w:szCs w:val="24"/>
          <w:highlight w:val="none"/>
          <w:lang w:val="en-US" w:eastAsia="zh-CN"/>
        </w:rPr>
        <w:t>中</w:t>
      </w:r>
      <w:r>
        <w:rPr>
          <w:rFonts w:hint="eastAsia" w:ascii="宋体" w:hAnsi="宋体" w:eastAsia="宋体" w:cs="宋体"/>
          <w:i w:val="0"/>
          <w:iCs w:val="0"/>
          <w:caps w:val="0"/>
          <w:color w:val="auto"/>
          <w:spacing w:val="0"/>
          <w:sz w:val="24"/>
          <w:szCs w:val="24"/>
          <w:highlight w:val="none"/>
        </w:rPr>
        <w:t>标后在仙游县郊尾镇当地设立独立法人的项目公司，整个项目的环卫统筹管理由项目公司全权负责。</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微软雅黑" w:hAnsi="微软雅黑" w:eastAsia="微软雅黑" w:cs="微软雅黑"/>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lang w:val="en-US" w:eastAsia="zh-CN"/>
        </w:rPr>
        <w:t>7.2中标人须</w:t>
      </w:r>
      <w:r>
        <w:rPr>
          <w:rFonts w:hint="eastAsia" w:ascii="宋体" w:hAnsi="宋体" w:eastAsia="宋体" w:cs="宋体"/>
          <w:i w:val="0"/>
          <w:iCs w:val="0"/>
          <w:caps w:val="0"/>
          <w:color w:val="auto"/>
          <w:spacing w:val="0"/>
          <w:sz w:val="24"/>
          <w:szCs w:val="24"/>
          <w:highlight w:val="none"/>
        </w:rPr>
        <w:t>对各作业小组实行定岗定员，职工工资与功效挂钩，根据不同岗位确定不同工资。根据管理岗位、工种等因素来确定各层次人员的平均工资（含员工的工资、福利、社会保险等费用）。</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微软雅黑" w:hAnsi="微软雅黑" w:eastAsia="微软雅黑" w:cs="微软雅黑"/>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lang w:val="en-US" w:eastAsia="zh-CN"/>
        </w:rPr>
        <w:t>7.3中标人须</w:t>
      </w:r>
      <w:r>
        <w:rPr>
          <w:rFonts w:hint="eastAsia" w:ascii="宋体" w:hAnsi="宋体" w:eastAsia="宋体" w:cs="宋体"/>
          <w:i w:val="0"/>
          <w:iCs w:val="0"/>
          <w:caps w:val="0"/>
          <w:color w:val="auto"/>
          <w:spacing w:val="0"/>
          <w:sz w:val="24"/>
          <w:szCs w:val="24"/>
          <w:highlight w:val="none"/>
        </w:rPr>
        <w:t>合理人性化接管；提高环卫工人福利；加强员工培训，提高作业水平；提升环卫工人工作积极性及工作效率。</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lang w:val="en-US" w:eastAsia="zh-CN"/>
        </w:rPr>
        <w:t>7.4中标人须</w:t>
      </w:r>
      <w:r>
        <w:rPr>
          <w:rFonts w:hint="eastAsia" w:ascii="宋体" w:hAnsi="宋体" w:eastAsia="宋体" w:cs="宋体"/>
          <w:i w:val="0"/>
          <w:iCs w:val="0"/>
          <w:caps w:val="0"/>
          <w:color w:val="auto"/>
          <w:spacing w:val="0"/>
          <w:sz w:val="24"/>
          <w:szCs w:val="24"/>
          <w:highlight w:val="none"/>
        </w:rPr>
        <w:t>投入先进设备，提高机械化作业比例，使乡镇普扫率达100%。</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lang w:val="en-US" w:eastAsia="zh-CN"/>
        </w:rPr>
        <w:t>7.5中标人须</w:t>
      </w:r>
      <w:r>
        <w:rPr>
          <w:rFonts w:hint="eastAsia" w:ascii="宋体" w:hAnsi="宋体" w:eastAsia="宋体" w:cs="宋体"/>
          <w:i w:val="0"/>
          <w:iCs w:val="0"/>
          <w:caps w:val="0"/>
          <w:color w:val="auto"/>
          <w:spacing w:val="0"/>
          <w:sz w:val="24"/>
          <w:szCs w:val="24"/>
          <w:highlight w:val="none"/>
        </w:rPr>
        <w:t>合理设计规划环卫作业排班，制定严格作业质量及考核标准，提升环卫作业质量。</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336"/>
        <w:jc w:val="left"/>
        <w:textAlignment w:val="auto"/>
        <w:rPr>
          <w:rFonts w:hint="eastAsia" w:ascii="宋体" w:hAnsi="宋体" w:eastAsia="宋体" w:cs="宋体"/>
          <w:b w:val="0"/>
          <w:bCs/>
          <w:color w:val="auto"/>
          <w:sz w:val="24"/>
          <w:szCs w:val="24"/>
          <w:highlight w:val="none"/>
        </w:rPr>
      </w:pPr>
      <w:r>
        <w:rPr>
          <w:rFonts w:hint="eastAsia" w:ascii="宋体" w:hAnsi="宋体" w:eastAsia="宋体" w:cs="宋体"/>
          <w:i w:val="0"/>
          <w:iCs w:val="0"/>
          <w:caps w:val="0"/>
          <w:color w:val="auto"/>
          <w:spacing w:val="0"/>
          <w:sz w:val="24"/>
          <w:szCs w:val="24"/>
          <w:highlight w:val="none"/>
          <w:lang w:val="en-US" w:eastAsia="zh-CN"/>
        </w:rPr>
        <w:t>7.6采购人</w:t>
      </w:r>
      <w:r>
        <w:rPr>
          <w:rFonts w:hint="eastAsia" w:ascii="宋体" w:hAnsi="宋体" w:eastAsia="宋体" w:cs="宋体"/>
          <w:i w:val="0"/>
          <w:iCs w:val="0"/>
          <w:caps w:val="0"/>
          <w:color w:val="auto"/>
          <w:spacing w:val="0"/>
          <w:sz w:val="24"/>
          <w:szCs w:val="24"/>
          <w:highlight w:val="none"/>
        </w:rPr>
        <w:t>严格依照考核标准监管，按效果付费</w:t>
      </w:r>
      <w:r>
        <w:rPr>
          <w:rFonts w:hint="eastAsia" w:ascii="宋体" w:hAnsi="宋体" w:eastAsia="宋体" w:cs="宋体"/>
          <w:b w:val="0"/>
          <w:bCs/>
          <w:color w:val="auto"/>
          <w:sz w:val="24"/>
          <w:szCs w:val="24"/>
          <w:highlight w:val="none"/>
        </w:rPr>
        <w:t>。</w:t>
      </w:r>
    </w:p>
    <w:p>
      <w:pPr>
        <w:pStyle w:val="10"/>
        <w:keepNext w:val="0"/>
        <w:keepLines w:val="0"/>
        <w:pageBreakBefore w:val="0"/>
        <w:widowControl/>
        <w:shd w:val="clear"/>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二、技术和服务要求（以“★”标示的内容为不允许负偏离的实质性要求）</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firstLine="482" w:firstLineChars="200"/>
        <w:textAlignment w:val="auto"/>
        <w:rPr>
          <w:rFonts w:hint="eastAsia" w:ascii="宋体" w:hAnsi="宋体" w:eastAsia="宋体" w:cs="宋体"/>
          <w:i w:val="0"/>
          <w:iCs w:val="0"/>
          <w:caps w:val="0"/>
          <w:color w:val="auto"/>
          <w:spacing w:val="0"/>
          <w:sz w:val="24"/>
          <w:szCs w:val="24"/>
          <w:highlight w:val="none"/>
        </w:rPr>
      </w:pPr>
      <w:r>
        <w:rPr>
          <w:rStyle w:val="9"/>
          <w:rFonts w:hint="eastAsia" w:ascii="宋体" w:hAnsi="宋体" w:eastAsia="宋体" w:cs="宋体"/>
          <w:i w:val="0"/>
          <w:iCs w:val="0"/>
          <w:caps w:val="0"/>
          <w:color w:val="auto"/>
          <w:spacing w:val="0"/>
          <w:sz w:val="24"/>
          <w:szCs w:val="24"/>
          <w:highlight w:val="none"/>
          <w:lang w:eastAsia="zh-CN"/>
        </w:rPr>
        <w:t>（</w:t>
      </w:r>
      <w:r>
        <w:rPr>
          <w:rStyle w:val="9"/>
          <w:rFonts w:hint="eastAsia" w:ascii="宋体" w:hAnsi="宋体" w:eastAsia="宋体" w:cs="宋体"/>
          <w:i w:val="0"/>
          <w:iCs w:val="0"/>
          <w:caps w:val="0"/>
          <w:color w:val="auto"/>
          <w:spacing w:val="0"/>
          <w:sz w:val="24"/>
          <w:szCs w:val="24"/>
          <w:highlight w:val="none"/>
        </w:rPr>
        <w:t>一</w:t>
      </w:r>
      <w:r>
        <w:rPr>
          <w:rStyle w:val="9"/>
          <w:rFonts w:hint="eastAsia" w:ascii="宋体" w:hAnsi="宋体" w:eastAsia="宋体" w:cs="宋体"/>
          <w:i w:val="0"/>
          <w:iCs w:val="0"/>
          <w:caps w:val="0"/>
          <w:color w:val="auto"/>
          <w:spacing w:val="0"/>
          <w:sz w:val="24"/>
          <w:szCs w:val="24"/>
          <w:highlight w:val="none"/>
          <w:lang w:eastAsia="zh-CN"/>
        </w:rPr>
        <w:t>）</w:t>
      </w:r>
      <w:r>
        <w:rPr>
          <w:rStyle w:val="9"/>
          <w:rFonts w:hint="eastAsia" w:ascii="宋体" w:hAnsi="宋体" w:eastAsia="宋体" w:cs="宋体"/>
          <w:i w:val="0"/>
          <w:iCs w:val="0"/>
          <w:caps w:val="0"/>
          <w:color w:val="auto"/>
          <w:spacing w:val="0"/>
          <w:sz w:val="24"/>
          <w:szCs w:val="24"/>
          <w:highlight w:val="none"/>
        </w:rPr>
        <w:t>道路清扫保洁服务承诺</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firstLine="482" w:firstLineChars="200"/>
        <w:textAlignment w:val="auto"/>
        <w:rPr>
          <w:rFonts w:hint="eastAsia" w:ascii="宋体" w:hAnsi="宋体" w:eastAsia="宋体" w:cs="宋体"/>
          <w:i w:val="0"/>
          <w:iCs w:val="0"/>
          <w:caps w:val="0"/>
          <w:color w:val="auto"/>
          <w:spacing w:val="0"/>
          <w:sz w:val="24"/>
          <w:szCs w:val="24"/>
          <w:highlight w:val="none"/>
        </w:rPr>
      </w:pPr>
      <w:r>
        <w:rPr>
          <w:rStyle w:val="9"/>
          <w:rFonts w:hint="eastAsia" w:ascii="宋体" w:hAnsi="宋体" w:eastAsia="宋体" w:cs="宋体"/>
          <w:i w:val="0"/>
          <w:iCs w:val="0"/>
          <w:caps w:val="0"/>
          <w:color w:val="auto"/>
          <w:spacing w:val="0"/>
          <w:sz w:val="24"/>
          <w:szCs w:val="24"/>
          <w:highlight w:val="none"/>
        </w:rPr>
        <w:t>1.1 保洁质量总体目标承诺</w:t>
      </w:r>
      <w:r>
        <w:rPr>
          <w:rStyle w:val="9"/>
          <w:rFonts w:hint="eastAsia" w:ascii="宋体" w:hAnsi="宋体" w:cs="宋体"/>
          <w:i w:val="0"/>
          <w:iCs w:val="0"/>
          <w:caps w:val="0"/>
          <w:color w:val="auto"/>
          <w:spacing w:val="0"/>
          <w:sz w:val="24"/>
          <w:szCs w:val="24"/>
          <w:highlight w:val="none"/>
          <w:lang w:eastAsia="zh-CN"/>
        </w:rPr>
        <w:t>（</w:t>
      </w:r>
      <w:r>
        <w:rPr>
          <w:rStyle w:val="9"/>
          <w:rFonts w:hint="eastAsia" w:ascii="宋体" w:hAnsi="宋体" w:cs="宋体"/>
          <w:i w:val="0"/>
          <w:iCs w:val="0"/>
          <w:caps w:val="0"/>
          <w:color w:val="auto"/>
          <w:spacing w:val="0"/>
          <w:sz w:val="24"/>
          <w:szCs w:val="24"/>
          <w:highlight w:val="none"/>
          <w:lang w:val="en-US" w:eastAsia="zh-CN"/>
        </w:rPr>
        <w:t>评分第1项）</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 人工清扫保洁率：100%；</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 机械作业率：100%；</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 垃圾清运率：100%；</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 业主满意率：100%；</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 投诉答复率：100%；</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 有效投诉更正率：100%；</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 设备设施完好率：100%；</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 设备年更新率不低于30%；</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 保洁质量检查平均评分：≥98分；</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 重大安全事故发生率：0%；</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 重大服务质量事故率：0%；</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 员工培训上岗率：100%；</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 人员配备齐全率：100%；</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 应急作业保洁：100%；</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 安全、文明作业：100%；</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 车辆违章发生率0% ；</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 档案资料完好率：100%。</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firstLine="482" w:firstLineChars="200"/>
        <w:textAlignment w:val="auto"/>
        <w:rPr>
          <w:rFonts w:hint="eastAsia" w:ascii="宋体" w:hAnsi="宋体" w:eastAsia="宋体" w:cs="宋体"/>
          <w:i w:val="0"/>
          <w:iCs w:val="0"/>
          <w:caps w:val="0"/>
          <w:color w:val="auto"/>
          <w:spacing w:val="0"/>
          <w:sz w:val="24"/>
          <w:szCs w:val="24"/>
          <w:highlight w:val="none"/>
        </w:rPr>
      </w:pPr>
      <w:r>
        <w:rPr>
          <w:rStyle w:val="9"/>
          <w:rFonts w:hint="eastAsia" w:ascii="宋体" w:hAnsi="宋体" w:eastAsia="宋体" w:cs="宋体"/>
          <w:i w:val="0"/>
          <w:iCs w:val="0"/>
          <w:caps w:val="0"/>
          <w:color w:val="auto"/>
          <w:spacing w:val="0"/>
          <w:sz w:val="24"/>
          <w:szCs w:val="24"/>
          <w:highlight w:val="none"/>
        </w:rPr>
        <w:t>1.2 保洁质量分项目标承诺</w:t>
      </w:r>
      <w:r>
        <w:rPr>
          <w:rStyle w:val="9"/>
          <w:rFonts w:hint="eastAsia" w:ascii="宋体" w:hAnsi="宋体" w:cs="宋体"/>
          <w:i w:val="0"/>
          <w:iCs w:val="0"/>
          <w:caps w:val="0"/>
          <w:color w:val="auto"/>
          <w:spacing w:val="0"/>
          <w:sz w:val="24"/>
          <w:szCs w:val="24"/>
          <w:highlight w:val="none"/>
          <w:lang w:eastAsia="zh-CN"/>
        </w:rPr>
        <w:t>（</w:t>
      </w:r>
      <w:r>
        <w:rPr>
          <w:rStyle w:val="9"/>
          <w:rFonts w:hint="eastAsia" w:ascii="宋体" w:hAnsi="宋体" w:cs="宋体"/>
          <w:i w:val="0"/>
          <w:iCs w:val="0"/>
          <w:caps w:val="0"/>
          <w:color w:val="auto"/>
          <w:spacing w:val="0"/>
          <w:sz w:val="24"/>
          <w:szCs w:val="24"/>
          <w:highlight w:val="none"/>
          <w:lang w:val="en-US" w:eastAsia="zh-CN"/>
        </w:rPr>
        <w:t>评分第2项）</w:t>
      </w:r>
    </w:p>
    <w:tbl>
      <w:tblPr>
        <w:tblStyle w:val="7"/>
        <w:tblW w:w="0" w:type="auto"/>
        <w:tblCellSpacing w:w="15"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402"/>
        <w:gridCol w:w="80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85" w:hRule="atLeast"/>
          <w:tblCellSpacing w:w="15" w:type="dxa"/>
        </w:trPr>
        <w:tc>
          <w:tcPr>
            <w:tcW w:w="1357" w:type="dxa"/>
            <w:shd w:val="clear" w:color="auto" w:fill="99CCFF"/>
            <w:noWrap w:val="0"/>
            <w:tcMar>
              <w:top w:w="0" w:type="dxa"/>
              <w:left w:w="105" w:type="dxa"/>
              <w:bottom w:w="0" w:type="dxa"/>
              <w:right w:w="105" w:type="dxa"/>
            </w:tcMar>
            <w:vAlign w:val="center"/>
          </w:tcPr>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项 目</w:t>
            </w:r>
          </w:p>
        </w:tc>
        <w:tc>
          <w:tcPr>
            <w:tcW w:w="7958" w:type="dxa"/>
            <w:shd w:val="clear" w:color="auto" w:fill="99CCFF"/>
            <w:noWrap w:val="0"/>
            <w:tcMar>
              <w:top w:w="0" w:type="dxa"/>
              <w:left w:w="105" w:type="dxa"/>
              <w:bottom w:w="0" w:type="dxa"/>
              <w:right w:w="105" w:type="dxa"/>
            </w:tcMar>
            <w:vAlign w:val="center"/>
          </w:tcPr>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承诺内容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43" w:hRule="atLeast"/>
          <w:tblCellSpacing w:w="15" w:type="dxa"/>
        </w:trPr>
        <w:tc>
          <w:tcPr>
            <w:tcW w:w="1357" w:type="dxa"/>
            <w:noWrap w:val="0"/>
            <w:tcMar>
              <w:top w:w="0" w:type="dxa"/>
              <w:left w:w="105" w:type="dxa"/>
              <w:bottom w:w="0" w:type="dxa"/>
              <w:right w:w="105" w:type="dxa"/>
            </w:tcMar>
            <w:vAlign w:val="center"/>
          </w:tcPr>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人员投入</w:t>
            </w:r>
          </w:p>
        </w:tc>
        <w:tc>
          <w:tcPr>
            <w:tcW w:w="7958" w:type="dxa"/>
            <w:noWrap w:val="0"/>
            <w:tcMar>
              <w:top w:w="0" w:type="dxa"/>
              <w:left w:w="105" w:type="dxa"/>
              <w:bottom w:w="0" w:type="dxa"/>
              <w:right w:w="105" w:type="dxa"/>
            </w:tcMar>
            <w:vAlign w:val="center"/>
          </w:tcPr>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right="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1、设保洁区域专职管理人员；</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right="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2、设专职驾驶人员；</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right="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3、配备充足的卫生保洁人员；</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4、配备充足的人员；</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right="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4、配备保洁质量检查人员；</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right="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5、配备安全生产人员。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680" w:hRule="atLeast"/>
          <w:tblCellSpacing w:w="15" w:type="dxa"/>
        </w:trPr>
        <w:tc>
          <w:tcPr>
            <w:tcW w:w="1357" w:type="dxa"/>
            <w:noWrap w:val="0"/>
            <w:tcMar>
              <w:top w:w="0" w:type="dxa"/>
              <w:left w:w="105" w:type="dxa"/>
              <w:bottom w:w="0" w:type="dxa"/>
              <w:right w:w="105" w:type="dxa"/>
            </w:tcMar>
            <w:vAlign w:val="center"/>
          </w:tcPr>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设备配置</w:t>
            </w:r>
          </w:p>
        </w:tc>
        <w:tc>
          <w:tcPr>
            <w:tcW w:w="7958" w:type="dxa"/>
            <w:noWrap w:val="0"/>
            <w:tcMar>
              <w:top w:w="0" w:type="dxa"/>
              <w:left w:w="105" w:type="dxa"/>
              <w:bottom w:w="0" w:type="dxa"/>
              <w:right w:w="105" w:type="dxa"/>
            </w:tcMar>
            <w:vAlign w:val="center"/>
          </w:tcPr>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right="0"/>
              <w:textAlignment w:val="auto"/>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aps w:val="0"/>
                <w:color w:val="auto"/>
                <w:spacing w:val="0"/>
                <w:sz w:val="24"/>
                <w:szCs w:val="24"/>
                <w:highlight w:val="none"/>
              </w:rPr>
              <w:t>1、</w:t>
            </w:r>
            <w:r>
              <w:rPr>
                <w:rFonts w:hint="eastAsia" w:ascii="宋体" w:hAnsi="宋体" w:cs="宋体"/>
                <w:i w:val="0"/>
                <w:iCs w:val="0"/>
                <w:caps w:val="0"/>
                <w:color w:val="auto"/>
                <w:spacing w:val="0"/>
                <w:sz w:val="24"/>
                <w:szCs w:val="24"/>
                <w:highlight w:val="none"/>
                <w:lang w:val="en-US" w:eastAsia="zh-CN"/>
              </w:rPr>
              <w:t>除采购人现有车辆外,还需配置</w:t>
            </w:r>
            <w:r>
              <w:rPr>
                <w:rFonts w:hint="eastAsia" w:ascii="宋体" w:hAnsi="宋体" w:eastAsia="宋体" w:cs="宋体"/>
                <w:i w:val="0"/>
                <w:iCs w:val="0"/>
                <w:color w:val="auto"/>
                <w:kern w:val="0"/>
                <w:sz w:val="24"/>
                <w:szCs w:val="24"/>
                <w:highlight w:val="none"/>
                <w:u w:val="none"/>
                <w:lang w:val="en-US" w:eastAsia="zh-CN" w:bidi="ar"/>
              </w:rPr>
              <w:t>垃圾清运车不少于2部</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道路巡查车（小汽车或工具车）不少于1部</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压缩式垃圾车不少于</w:t>
            </w:r>
            <w:r>
              <w:rPr>
                <w:rFonts w:hint="eastAsia" w:ascii="宋体" w:hAnsi="宋体" w:cs="宋体"/>
                <w:i w:val="0"/>
                <w:iCs w:val="0"/>
                <w:color w:val="auto"/>
                <w:kern w:val="0"/>
                <w:sz w:val="24"/>
                <w:szCs w:val="24"/>
                <w:highlight w:val="none"/>
                <w:u w:val="none"/>
                <w:lang w:val="en-US" w:eastAsia="zh-CN" w:bidi="ar"/>
              </w:rPr>
              <w:t>1</w:t>
            </w:r>
            <w:r>
              <w:rPr>
                <w:rFonts w:hint="eastAsia" w:ascii="宋体" w:hAnsi="宋体" w:eastAsia="宋体" w:cs="宋体"/>
                <w:i w:val="0"/>
                <w:iCs w:val="0"/>
                <w:color w:val="auto"/>
                <w:kern w:val="0"/>
                <w:sz w:val="24"/>
                <w:szCs w:val="24"/>
                <w:highlight w:val="none"/>
                <w:u w:val="none"/>
                <w:lang w:val="en-US" w:eastAsia="zh-CN" w:bidi="ar"/>
              </w:rPr>
              <w:t>部总质量须为15t或以上</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自装卸式垃圾车不少于1部</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电动保洁车不少于4部</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保洁三轮车不少于</w:t>
            </w:r>
            <w:r>
              <w:rPr>
                <w:rFonts w:hint="eastAsia" w:ascii="宋体" w:hAnsi="宋体" w:cs="宋体"/>
                <w:i w:val="0"/>
                <w:iCs w:val="0"/>
                <w:color w:val="auto"/>
                <w:kern w:val="0"/>
                <w:sz w:val="24"/>
                <w:szCs w:val="24"/>
                <w:highlight w:val="none"/>
                <w:u w:val="none"/>
                <w:lang w:val="en-US" w:eastAsia="zh-CN" w:bidi="ar"/>
              </w:rPr>
              <w:t>5</w:t>
            </w:r>
            <w:r>
              <w:rPr>
                <w:rFonts w:hint="eastAsia" w:ascii="宋体" w:hAnsi="宋体" w:eastAsia="宋体" w:cs="宋体"/>
                <w:i w:val="0"/>
                <w:iCs w:val="0"/>
                <w:color w:val="auto"/>
                <w:kern w:val="0"/>
                <w:sz w:val="24"/>
                <w:szCs w:val="24"/>
                <w:highlight w:val="none"/>
                <w:u w:val="none"/>
                <w:lang w:val="en-US" w:eastAsia="zh-CN" w:bidi="ar"/>
              </w:rPr>
              <w:t>辆</w:t>
            </w:r>
            <w:r>
              <w:rPr>
                <w:rFonts w:hint="eastAsia" w:ascii="宋体" w:hAnsi="宋体" w:cs="宋体"/>
                <w:i w:val="0"/>
                <w:iCs w:val="0"/>
                <w:color w:val="auto"/>
                <w:kern w:val="0"/>
                <w:sz w:val="24"/>
                <w:szCs w:val="24"/>
                <w:highlight w:val="none"/>
                <w:u w:val="none"/>
                <w:lang w:val="en-US" w:eastAsia="zh-CN" w:bidi="ar"/>
              </w:rPr>
              <w:t>。</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right="0"/>
              <w:textAlignment w:val="auto"/>
              <w:rPr>
                <w:rFonts w:hint="eastAsia" w:ascii="宋体" w:hAnsi="宋体" w:eastAsia="宋体" w:cs="宋体"/>
                <w:color w:val="auto"/>
                <w:sz w:val="24"/>
                <w:szCs w:val="24"/>
                <w:highlight w:val="none"/>
                <w:lang w:eastAsia="zh-CN"/>
              </w:rPr>
            </w:pPr>
            <w:r>
              <w:rPr>
                <w:rFonts w:hint="eastAsia" w:ascii="宋体" w:hAnsi="宋体" w:eastAsia="宋体" w:cs="宋体"/>
                <w:i w:val="0"/>
                <w:iCs w:val="0"/>
                <w:caps w:val="0"/>
                <w:color w:val="auto"/>
                <w:spacing w:val="0"/>
                <w:sz w:val="24"/>
                <w:szCs w:val="24"/>
                <w:highlight w:val="none"/>
              </w:rPr>
              <w:t>2、建立机械设备配套设施的定期维护、保养制度，做到每月检修一次，每周检查保养一次，并建立登记制度</w:t>
            </w:r>
            <w:r>
              <w:rPr>
                <w:rFonts w:hint="eastAsia" w:ascii="宋体" w:hAnsi="宋体" w:cs="宋体"/>
                <w:i w:val="0"/>
                <w:iCs w:val="0"/>
                <w:caps w:val="0"/>
                <w:color w:val="auto"/>
                <w:spacing w:val="0"/>
                <w:sz w:val="24"/>
                <w:szCs w:val="24"/>
                <w:highlight w:val="none"/>
                <w:lang w:eastAsia="zh-CN"/>
              </w:rPr>
              <w:t>。</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right="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3、配置充足的作业工具、劳保用品。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65" w:hRule="atLeast"/>
          <w:tblCellSpacing w:w="15" w:type="dxa"/>
        </w:trPr>
        <w:tc>
          <w:tcPr>
            <w:tcW w:w="1357" w:type="dxa"/>
            <w:noWrap w:val="0"/>
            <w:tcMar>
              <w:top w:w="0" w:type="dxa"/>
              <w:left w:w="105" w:type="dxa"/>
              <w:bottom w:w="0" w:type="dxa"/>
              <w:right w:w="105" w:type="dxa"/>
            </w:tcMar>
            <w:vAlign w:val="center"/>
          </w:tcPr>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作业标准</w:t>
            </w:r>
          </w:p>
        </w:tc>
        <w:tc>
          <w:tcPr>
            <w:tcW w:w="7958" w:type="dxa"/>
            <w:noWrap w:val="0"/>
            <w:tcMar>
              <w:top w:w="0" w:type="dxa"/>
              <w:left w:w="105" w:type="dxa"/>
              <w:bottom w:w="0" w:type="dxa"/>
              <w:right w:w="105" w:type="dxa"/>
            </w:tcMar>
            <w:vAlign w:val="center"/>
          </w:tcPr>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right="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1、机械化作业：车过路净、道路见本色。</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right="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2、清扫标准：达到“四无”、“五净”标准，即无零星垃圾、瓦砾；无果皮纸屑；无积泥、水、污物；无堵塞窨井沟眼。路面、绿地、人行道净、窨井沟眼净、树穴、边角净；花台周围净，隔离护栏下净，果壳箱、垃圾桶完好无损，清洁卫生，放置得当，房前屋后、背街小巷无杂物堆积。</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right="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3、动态保洁标准：道路、绿地（区域）无垃圾废弃物（包括纸屑、塑</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right="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料、瓜果皮核、树叶、烟蒂、砖块沙石等各类明显杂物）；果壳箱、垃圾桶完好清洁，及时加盖，关门；无明显积水、积泥、主次干道的人行道、步阶、墙根无明显杂草杂物，树穴内无明显杂物；各类公共建筑物、设施无乱张贴广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070" w:hRule="atLeast"/>
          <w:tblCellSpacing w:w="15" w:type="dxa"/>
        </w:trPr>
        <w:tc>
          <w:tcPr>
            <w:tcW w:w="1357" w:type="dxa"/>
            <w:noWrap w:val="0"/>
            <w:tcMar>
              <w:top w:w="0" w:type="dxa"/>
              <w:left w:w="105" w:type="dxa"/>
              <w:bottom w:w="0" w:type="dxa"/>
              <w:right w:w="105" w:type="dxa"/>
            </w:tcMar>
            <w:vAlign w:val="center"/>
          </w:tcPr>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文明作业、安全生产</w:t>
            </w:r>
          </w:p>
        </w:tc>
        <w:tc>
          <w:tcPr>
            <w:tcW w:w="7958" w:type="dxa"/>
            <w:noWrap w:val="0"/>
            <w:tcMar>
              <w:top w:w="0" w:type="dxa"/>
              <w:left w:w="105" w:type="dxa"/>
              <w:bottom w:w="0" w:type="dxa"/>
              <w:right w:w="105" w:type="dxa"/>
            </w:tcMar>
            <w:vAlign w:val="center"/>
          </w:tcPr>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right="0"/>
              <w:textAlignment w:val="auto"/>
              <w:rPr>
                <w:rFonts w:hint="eastAsia" w:ascii="宋体" w:hAnsi="宋体" w:eastAsia="宋体" w:cs="宋体"/>
                <w:color w:val="auto"/>
                <w:sz w:val="24"/>
                <w:szCs w:val="24"/>
                <w:highlight w:val="none"/>
                <w:lang w:eastAsia="zh-CN"/>
              </w:rPr>
            </w:pPr>
            <w:r>
              <w:rPr>
                <w:rFonts w:hint="eastAsia" w:ascii="宋体" w:hAnsi="宋体" w:eastAsia="宋体" w:cs="宋体"/>
                <w:i w:val="0"/>
                <w:iCs w:val="0"/>
                <w:caps w:val="0"/>
                <w:color w:val="auto"/>
                <w:spacing w:val="0"/>
                <w:sz w:val="24"/>
                <w:szCs w:val="24"/>
                <w:highlight w:val="none"/>
              </w:rPr>
              <w:t>1、符合道路交通安全的标准、规定</w:t>
            </w:r>
            <w:r>
              <w:rPr>
                <w:rFonts w:hint="eastAsia" w:ascii="宋体" w:hAnsi="宋体" w:cs="宋体"/>
                <w:i w:val="0"/>
                <w:iCs w:val="0"/>
                <w:caps w:val="0"/>
                <w:color w:val="auto"/>
                <w:spacing w:val="0"/>
                <w:sz w:val="24"/>
                <w:szCs w:val="24"/>
                <w:highlight w:val="none"/>
                <w:lang w:eastAsia="zh-CN"/>
              </w:rPr>
              <w:t>。</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right="0"/>
              <w:textAlignment w:val="auto"/>
              <w:rPr>
                <w:rFonts w:hint="eastAsia" w:ascii="宋体" w:hAnsi="宋体" w:eastAsia="宋体" w:cs="宋体"/>
                <w:color w:val="auto"/>
                <w:sz w:val="24"/>
                <w:szCs w:val="24"/>
                <w:highlight w:val="none"/>
                <w:lang w:eastAsia="zh-CN"/>
              </w:rPr>
            </w:pPr>
            <w:r>
              <w:rPr>
                <w:rFonts w:hint="eastAsia" w:ascii="宋体" w:hAnsi="宋体" w:eastAsia="宋体" w:cs="宋体"/>
                <w:i w:val="0"/>
                <w:iCs w:val="0"/>
                <w:caps w:val="0"/>
                <w:color w:val="auto"/>
                <w:spacing w:val="0"/>
                <w:sz w:val="24"/>
                <w:szCs w:val="24"/>
                <w:highlight w:val="none"/>
              </w:rPr>
              <w:t>2、作业人员持证上岗，统一着装，并佩戴闪光衣</w:t>
            </w:r>
            <w:r>
              <w:rPr>
                <w:rFonts w:hint="eastAsia" w:ascii="宋体" w:hAnsi="宋体" w:cs="宋体"/>
                <w:i w:val="0"/>
                <w:iCs w:val="0"/>
                <w:caps w:val="0"/>
                <w:color w:val="auto"/>
                <w:spacing w:val="0"/>
                <w:sz w:val="24"/>
                <w:szCs w:val="24"/>
                <w:highlight w:val="none"/>
                <w:lang w:eastAsia="zh-CN"/>
              </w:rPr>
              <w:t>。</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right="0"/>
              <w:textAlignment w:val="auto"/>
              <w:rPr>
                <w:rFonts w:hint="eastAsia" w:ascii="宋体" w:hAnsi="宋体" w:eastAsia="宋体" w:cs="宋体"/>
                <w:color w:val="auto"/>
                <w:sz w:val="24"/>
                <w:szCs w:val="24"/>
                <w:highlight w:val="none"/>
                <w:lang w:eastAsia="zh-CN"/>
              </w:rPr>
            </w:pPr>
            <w:r>
              <w:rPr>
                <w:rFonts w:hint="eastAsia" w:ascii="宋体" w:hAnsi="宋体" w:eastAsia="宋体" w:cs="宋体"/>
                <w:i w:val="0"/>
                <w:iCs w:val="0"/>
                <w:caps w:val="0"/>
                <w:color w:val="auto"/>
                <w:spacing w:val="0"/>
                <w:sz w:val="24"/>
                <w:szCs w:val="24"/>
                <w:highlight w:val="none"/>
              </w:rPr>
              <w:t>3、建立自查自检制度，配备专门用于质量检查的巡检车</w:t>
            </w:r>
            <w:r>
              <w:rPr>
                <w:rFonts w:hint="eastAsia" w:ascii="宋体" w:hAnsi="宋体" w:cs="宋体"/>
                <w:i w:val="0"/>
                <w:iCs w:val="0"/>
                <w:caps w:val="0"/>
                <w:color w:val="auto"/>
                <w:spacing w:val="0"/>
                <w:sz w:val="24"/>
                <w:szCs w:val="24"/>
                <w:highlight w:val="none"/>
                <w:lang w:eastAsia="zh-CN"/>
              </w:rPr>
              <w:t>。</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right="0"/>
              <w:textAlignment w:val="auto"/>
              <w:rPr>
                <w:rFonts w:hint="eastAsia" w:ascii="宋体" w:hAnsi="宋体" w:eastAsia="宋体" w:cs="宋体"/>
                <w:color w:val="auto"/>
                <w:sz w:val="24"/>
                <w:szCs w:val="24"/>
                <w:highlight w:val="none"/>
                <w:lang w:eastAsia="zh-CN"/>
              </w:rPr>
            </w:pPr>
            <w:r>
              <w:rPr>
                <w:rFonts w:hint="eastAsia" w:ascii="宋体" w:hAnsi="宋体" w:eastAsia="宋体" w:cs="宋体"/>
                <w:i w:val="0"/>
                <w:iCs w:val="0"/>
                <w:caps w:val="0"/>
                <w:color w:val="auto"/>
                <w:spacing w:val="0"/>
                <w:sz w:val="24"/>
                <w:szCs w:val="24"/>
                <w:highlight w:val="none"/>
              </w:rPr>
              <w:t>4、建立良好的员工队伍，着装统一，爱岗敬业</w:t>
            </w:r>
            <w:r>
              <w:rPr>
                <w:rFonts w:hint="eastAsia" w:ascii="宋体" w:hAnsi="宋体" w:cs="宋体"/>
                <w:i w:val="0"/>
                <w:iCs w:val="0"/>
                <w:caps w:val="0"/>
                <w:color w:val="auto"/>
                <w:spacing w:val="0"/>
                <w:sz w:val="24"/>
                <w:szCs w:val="24"/>
                <w:highlight w:val="none"/>
                <w:lang w:eastAsia="zh-CN"/>
              </w:rPr>
              <w:t>。</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right="0"/>
              <w:textAlignment w:val="auto"/>
              <w:rPr>
                <w:rFonts w:hint="eastAsia" w:ascii="宋体" w:hAnsi="宋体" w:eastAsia="宋体" w:cs="宋体"/>
                <w:color w:val="auto"/>
                <w:sz w:val="24"/>
                <w:szCs w:val="24"/>
                <w:highlight w:val="none"/>
                <w:lang w:eastAsia="zh-CN"/>
              </w:rPr>
            </w:pPr>
            <w:r>
              <w:rPr>
                <w:rFonts w:hint="eastAsia" w:ascii="宋体" w:hAnsi="宋体" w:eastAsia="宋体" w:cs="宋体"/>
                <w:i w:val="0"/>
                <w:iCs w:val="0"/>
                <w:caps w:val="0"/>
                <w:color w:val="auto"/>
                <w:spacing w:val="0"/>
                <w:sz w:val="24"/>
                <w:szCs w:val="24"/>
                <w:highlight w:val="none"/>
              </w:rPr>
              <w:t>5、车辆容貌整洁</w:t>
            </w:r>
            <w:r>
              <w:rPr>
                <w:rFonts w:hint="eastAsia" w:ascii="宋体" w:hAnsi="宋体" w:cs="宋体"/>
                <w:i w:val="0"/>
                <w:iCs w:val="0"/>
                <w:caps w:val="0"/>
                <w:color w:val="auto"/>
                <w:spacing w:val="0"/>
                <w:sz w:val="24"/>
                <w:szCs w:val="24"/>
                <w:highlight w:val="none"/>
                <w:lang w:eastAsia="zh-CN"/>
              </w:rPr>
              <w:t>。</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right="0"/>
              <w:textAlignment w:val="auto"/>
              <w:rPr>
                <w:rFonts w:hint="eastAsia" w:ascii="宋体" w:hAnsi="宋体" w:eastAsia="宋体" w:cs="宋体"/>
                <w:color w:val="auto"/>
                <w:sz w:val="24"/>
                <w:szCs w:val="24"/>
                <w:highlight w:val="none"/>
                <w:lang w:eastAsia="zh-CN"/>
              </w:rPr>
            </w:pPr>
            <w:r>
              <w:rPr>
                <w:rFonts w:hint="eastAsia" w:ascii="宋体" w:hAnsi="宋体" w:eastAsia="宋体" w:cs="宋体"/>
                <w:i w:val="0"/>
                <w:iCs w:val="0"/>
                <w:caps w:val="0"/>
                <w:color w:val="auto"/>
                <w:spacing w:val="0"/>
                <w:sz w:val="24"/>
                <w:szCs w:val="24"/>
                <w:highlight w:val="none"/>
              </w:rPr>
              <w:t>6、建立安全生产制度及配置安全生产责任人</w:t>
            </w:r>
            <w:r>
              <w:rPr>
                <w:rFonts w:hint="eastAsia" w:ascii="宋体" w:hAnsi="宋体" w:cs="宋体"/>
                <w:i w:val="0"/>
                <w:iCs w:val="0"/>
                <w:caps w:val="0"/>
                <w:color w:val="auto"/>
                <w:spacing w:val="0"/>
                <w:sz w:val="24"/>
                <w:szCs w:val="24"/>
                <w:highlight w:val="none"/>
                <w:lang w:eastAsia="zh-CN"/>
              </w:rPr>
              <w:t>。</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right="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7、车辆基地防火安全制度和卫生制度，责任到人。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380" w:hRule="atLeast"/>
          <w:tblCellSpacing w:w="15" w:type="dxa"/>
        </w:trPr>
        <w:tc>
          <w:tcPr>
            <w:tcW w:w="1357" w:type="dxa"/>
            <w:noWrap w:val="0"/>
            <w:tcMar>
              <w:top w:w="0" w:type="dxa"/>
              <w:left w:w="105" w:type="dxa"/>
              <w:bottom w:w="0" w:type="dxa"/>
              <w:right w:w="105" w:type="dxa"/>
            </w:tcMar>
            <w:vAlign w:val="center"/>
          </w:tcPr>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应急服务</w:t>
            </w:r>
          </w:p>
        </w:tc>
        <w:tc>
          <w:tcPr>
            <w:tcW w:w="7958" w:type="dxa"/>
            <w:noWrap w:val="0"/>
            <w:tcMar>
              <w:top w:w="0" w:type="dxa"/>
              <w:left w:w="105" w:type="dxa"/>
              <w:bottom w:w="0" w:type="dxa"/>
              <w:right w:w="105" w:type="dxa"/>
            </w:tcMar>
            <w:vAlign w:val="center"/>
          </w:tcPr>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right="0"/>
              <w:textAlignment w:val="auto"/>
              <w:rPr>
                <w:rFonts w:hint="eastAsia" w:ascii="宋体" w:hAnsi="宋体" w:eastAsia="宋体" w:cs="宋体"/>
                <w:color w:val="auto"/>
                <w:sz w:val="24"/>
                <w:szCs w:val="24"/>
                <w:highlight w:val="none"/>
                <w:lang w:eastAsia="zh-CN"/>
              </w:rPr>
            </w:pPr>
            <w:r>
              <w:rPr>
                <w:rFonts w:hint="eastAsia" w:ascii="宋体" w:hAnsi="宋体" w:eastAsia="宋体" w:cs="宋体"/>
                <w:i w:val="0"/>
                <w:iCs w:val="0"/>
                <w:caps w:val="0"/>
                <w:color w:val="auto"/>
                <w:spacing w:val="0"/>
                <w:sz w:val="24"/>
                <w:szCs w:val="24"/>
                <w:highlight w:val="none"/>
              </w:rPr>
              <w:t>1、接到紧急任务，30分钟内到场应急</w:t>
            </w:r>
            <w:r>
              <w:rPr>
                <w:rFonts w:hint="eastAsia" w:ascii="宋体" w:hAnsi="宋体" w:cs="宋体"/>
                <w:i w:val="0"/>
                <w:iCs w:val="0"/>
                <w:caps w:val="0"/>
                <w:color w:val="auto"/>
                <w:spacing w:val="0"/>
                <w:sz w:val="24"/>
                <w:szCs w:val="24"/>
                <w:highlight w:val="none"/>
                <w:lang w:eastAsia="zh-CN"/>
              </w:rPr>
              <w:t>。</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right="0"/>
              <w:textAlignment w:val="auto"/>
              <w:rPr>
                <w:rFonts w:hint="eastAsia" w:ascii="宋体" w:hAnsi="宋体" w:eastAsia="宋体" w:cs="宋体"/>
                <w:color w:val="auto"/>
                <w:sz w:val="24"/>
                <w:szCs w:val="24"/>
                <w:highlight w:val="none"/>
                <w:lang w:eastAsia="zh-CN"/>
              </w:rPr>
            </w:pPr>
            <w:r>
              <w:rPr>
                <w:rFonts w:hint="eastAsia" w:ascii="宋体" w:hAnsi="宋体" w:eastAsia="宋体" w:cs="宋体"/>
                <w:i w:val="0"/>
                <w:iCs w:val="0"/>
                <w:caps w:val="0"/>
                <w:color w:val="auto"/>
                <w:spacing w:val="0"/>
                <w:sz w:val="24"/>
                <w:szCs w:val="24"/>
                <w:highlight w:val="none"/>
              </w:rPr>
              <w:t>2、配备一支稳定的应急队伍</w:t>
            </w:r>
            <w:r>
              <w:rPr>
                <w:rFonts w:hint="eastAsia" w:ascii="宋体" w:hAnsi="宋体" w:cs="宋体"/>
                <w:i w:val="0"/>
                <w:iCs w:val="0"/>
                <w:caps w:val="0"/>
                <w:color w:val="auto"/>
                <w:spacing w:val="0"/>
                <w:sz w:val="24"/>
                <w:szCs w:val="24"/>
                <w:highlight w:val="none"/>
                <w:lang w:eastAsia="zh-CN"/>
              </w:rPr>
              <w:t>。</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right="0"/>
              <w:textAlignment w:val="auto"/>
              <w:rPr>
                <w:rFonts w:hint="eastAsia" w:ascii="宋体" w:hAnsi="宋体" w:eastAsia="宋体" w:cs="宋体"/>
                <w:color w:val="auto"/>
                <w:sz w:val="24"/>
                <w:szCs w:val="24"/>
                <w:highlight w:val="none"/>
                <w:lang w:eastAsia="zh-CN"/>
              </w:rPr>
            </w:pPr>
            <w:r>
              <w:rPr>
                <w:rFonts w:hint="eastAsia" w:ascii="宋体" w:hAnsi="宋体" w:eastAsia="宋体" w:cs="宋体"/>
                <w:i w:val="0"/>
                <w:iCs w:val="0"/>
                <w:caps w:val="0"/>
                <w:color w:val="auto"/>
                <w:spacing w:val="0"/>
                <w:sz w:val="24"/>
                <w:szCs w:val="24"/>
                <w:highlight w:val="none"/>
              </w:rPr>
              <w:t>3、实行24小时值班制度</w:t>
            </w:r>
            <w:r>
              <w:rPr>
                <w:rFonts w:hint="eastAsia" w:ascii="宋体" w:hAnsi="宋体" w:cs="宋体"/>
                <w:i w:val="0"/>
                <w:iCs w:val="0"/>
                <w:caps w:val="0"/>
                <w:color w:val="auto"/>
                <w:spacing w:val="0"/>
                <w:sz w:val="24"/>
                <w:szCs w:val="24"/>
                <w:highlight w:val="none"/>
                <w:lang w:eastAsia="zh-CN"/>
              </w:rPr>
              <w:t>。</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right="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4、开设应急、投诉专线，保证24小时畅通。</w:t>
            </w:r>
          </w:p>
        </w:tc>
      </w:tr>
    </w:tbl>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 </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firstLine="482" w:firstLineChars="200"/>
        <w:textAlignment w:val="auto"/>
        <w:rPr>
          <w:rFonts w:hint="eastAsia" w:ascii="宋体" w:hAnsi="宋体" w:eastAsia="宋体" w:cs="宋体"/>
          <w:i w:val="0"/>
          <w:iCs w:val="0"/>
          <w:caps w:val="0"/>
          <w:color w:val="auto"/>
          <w:spacing w:val="0"/>
          <w:sz w:val="24"/>
          <w:szCs w:val="24"/>
          <w:highlight w:val="none"/>
        </w:rPr>
      </w:pPr>
      <w:r>
        <w:rPr>
          <w:rStyle w:val="9"/>
          <w:rFonts w:hint="eastAsia" w:ascii="宋体" w:hAnsi="宋体" w:eastAsia="宋体" w:cs="宋体"/>
          <w:i w:val="0"/>
          <w:iCs w:val="0"/>
          <w:caps w:val="0"/>
          <w:color w:val="auto"/>
          <w:spacing w:val="0"/>
          <w:sz w:val="24"/>
          <w:szCs w:val="24"/>
          <w:highlight w:val="none"/>
          <w:lang w:eastAsia="zh-CN"/>
        </w:rPr>
        <w:t>（</w:t>
      </w:r>
      <w:r>
        <w:rPr>
          <w:rStyle w:val="9"/>
          <w:rFonts w:hint="eastAsia" w:ascii="宋体" w:hAnsi="宋体" w:eastAsia="宋体" w:cs="宋体"/>
          <w:i w:val="0"/>
          <w:iCs w:val="0"/>
          <w:caps w:val="0"/>
          <w:color w:val="auto"/>
          <w:spacing w:val="0"/>
          <w:sz w:val="24"/>
          <w:szCs w:val="24"/>
          <w:highlight w:val="none"/>
        </w:rPr>
        <w:t>二</w:t>
      </w:r>
      <w:r>
        <w:rPr>
          <w:rStyle w:val="9"/>
          <w:rFonts w:hint="eastAsia" w:ascii="宋体" w:hAnsi="宋体" w:eastAsia="宋体" w:cs="宋体"/>
          <w:i w:val="0"/>
          <w:iCs w:val="0"/>
          <w:caps w:val="0"/>
          <w:color w:val="auto"/>
          <w:spacing w:val="0"/>
          <w:sz w:val="24"/>
          <w:szCs w:val="24"/>
          <w:highlight w:val="none"/>
          <w:lang w:eastAsia="zh-CN"/>
        </w:rPr>
        <w:t>）</w:t>
      </w:r>
      <w:r>
        <w:rPr>
          <w:rStyle w:val="9"/>
          <w:rFonts w:hint="eastAsia" w:ascii="宋体" w:hAnsi="宋体" w:eastAsia="宋体" w:cs="宋体"/>
          <w:i w:val="0"/>
          <w:iCs w:val="0"/>
          <w:caps w:val="0"/>
          <w:color w:val="auto"/>
          <w:spacing w:val="0"/>
          <w:sz w:val="24"/>
          <w:szCs w:val="24"/>
          <w:highlight w:val="none"/>
        </w:rPr>
        <w:t>清扫保洁作业标准</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firstLine="482" w:firstLineChars="200"/>
        <w:textAlignment w:val="auto"/>
        <w:rPr>
          <w:rFonts w:hint="eastAsia" w:ascii="宋体" w:hAnsi="宋体" w:eastAsia="宋体" w:cs="宋体"/>
          <w:i w:val="0"/>
          <w:iCs w:val="0"/>
          <w:caps w:val="0"/>
          <w:color w:val="auto"/>
          <w:spacing w:val="0"/>
          <w:sz w:val="24"/>
          <w:szCs w:val="24"/>
          <w:highlight w:val="none"/>
        </w:rPr>
      </w:pPr>
      <w:r>
        <w:rPr>
          <w:rStyle w:val="9"/>
          <w:rFonts w:hint="eastAsia" w:ascii="宋体" w:hAnsi="宋体" w:eastAsia="宋体" w:cs="宋体"/>
          <w:i w:val="0"/>
          <w:iCs w:val="0"/>
          <w:caps w:val="0"/>
          <w:color w:val="auto"/>
          <w:spacing w:val="0"/>
          <w:sz w:val="24"/>
          <w:szCs w:val="24"/>
          <w:highlight w:val="none"/>
        </w:rPr>
        <w:t>2.1 保洁人工清扫作业质量标准</w:t>
      </w:r>
      <w:r>
        <w:rPr>
          <w:rStyle w:val="9"/>
          <w:rFonts w:hint="eastAsia" w:ascii="宋体" w:hAnsi="宋体" w:cs="宋体"/>
          <w:i w:val="0"/>
          <w:iCs w:val="0"/>
          <w:caps w:val="0"/>
          <w:color w:val="auto"/>
          <w:spacing w:val="0"/>
          <w:sz w:val="24"/>
          <w:szCs w:val="24"/>
          <w:highlight w:val="none"/>
          <w:lang w:eastAsia="zh-CN"/>
        </w:rPr>
        <w:t>（</w:t>
      </w:r>
      <w:r>
        <w:rPr>
          <w:rStyle w:val="9"/>
          <w:rFonts w:hint="eastAsia" w:ascii="宋体" w:hAnsi="宋体" w:cs="宋体"/>
          <w:i w:val="0"/>
          <w:iCs w:val="0"/>
          <w:caps w:val="0"/>
          <w:color w:val="auto"/>
          <w:spacing w:val="0"/>
          <w:sz w:val="24"/>
          <w:szCs w:val="24"/>
          <w:highlight w:val="none"/>
          <w:lang w:val="en-US" w:eastAsia="zh-CN"/>
        </w:rPr>
        <w:t>评分第3项）</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1、晨间清扫作业标准</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晨间清扫工作在7:00点前完成，达到“四无”、“五净”标准，即无零星垃圾、瓦砾；无果皮纸屑；无积泥、水、污物；无堵塞窨井沟眼。路面、绿地、人行道净；窨井沟眼净；树穴、边角净；花台周围净；隔离护栏下净。按时完成合同范围内所有垃圾桶、果皮箱垃圾收集清运，承包范围内道路无垃圾包、垃圾堆现象。</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2、动态保洁作业标准</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在动态保洁时间内保洁责任区域内道路、绿地（区域）无垃圾废弃物（包括纸屑、塑料、瓜果皮核、树叶、烟蒂、砖块沙石等各类明显杂物）；果皮箱、垃圾桶完好清洁卫生，放置得当，及时加盖、关门；道路无明显积水、积泥，人行道、步阶、墙根无明显杂草杂物，树穴内无明显杂物；各类环卫设施无乱张贴广告。及时收集清运垃圾桶、果皮箱内垃圾，未出现垃圾满溢现象，道路未发现垃圾包、垃圾堆现象。</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3、绿化保洁作业标准</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1）绿地清洁、无垃圾杂物、无建筑废弃物、无干枯枝叶、无粪便暴露、无鼠洞和蚊蝇滋生地。</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2）绿地实行全日制专人保洁，随时捡干净各种杂物。</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3）垃圾、废弃物做到日产日清，不焚烧、不随意堆弃。</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firstLine="482" w:firstLineChars="200"/>
        <w:textAlignment w:val="auto"/>
        <w:rPr>
          <w:rFonts w:hint="eastAsia" w:ascii="宋体" w:hAnsi="宋体" w:eastAsia="宋体" w:cs="宋体"/>
          <w:i w:val="0"/>
          <w:iCs w:val="0"/>
          <w:caps w:val="0"/>
          <w:color w:val="auto"/>
          <w:spacing w:val="0"/>
          <w:sz w:val="24"/>
          <w:szCs w:val="24"/>
          <w:highlight w:val="none"/>
        </w:rPr>
      </w:pPr>
      <w:r>
        <w:rPr>
          <w:rStyle w:val="9"/>
          <w:rFonts w:hint="eastAsia" w:ascii="宋体" w:hAnsi="宋体" w:eastAsia="宋体" w:cs="宋体"/>
          <w:i w:val="0"/>
          <w:iCs w:val="0"/>
          <w:caps w:val="0"/>
          <w:color w:val="auto"/>
          <w:spacing w:val="0"/>
          <w:sz w:val="24"/>
          <w:szCs w:val="24"/>
          <w:highlight w:val="none"/>
        </w:rPr>
        <w:t>2.2 保洁人工清扫作业规范标准</w:t>
      </w:r>
      <w:r>
        <w:rPr>
          <w:rStyle w:val="9"/>
          <w:rFonts w:hint="eastAsia" w:ascii="宋体" w:hAnsi="宋体" w:cs="宋体"/>
          <w:i w:val="0"/>
          <w:iCs w:val="0"/>
          <w:caps w:val="0"/>
          <w:color w:val="auto"/>
          <w:spacing w:val="0"/>
          <w:sz w:val="24"/>
          <w:szCs w:val="24"/>
          <w:highlight w:val="none"/>
          <w:lang w:eastAsia="zh-CN"/>
        </w:rPr>
        <w:t>（</w:t>
      </w:r>
      <w:r>
        <w:rPr>
          <w:rStyle w:val="9"/>
          <w:rFonts w:hint="eastAsia" w:ascii="宋体" w:hAnsi="宋体" w:cs="宋体"/>
          <w:i w:val="0"/>
          <w:iCs w:val="0"/>
          <w:caps w:val="0"/>
          <w:color w:val="auto"/>
          <w:spacing w:val="0"/>
          <w:sz w:val="24"/>
          <w:szCs w:val="24"/>
          <w:highlight w:val="none"/>
          <w:lang w:val="en-US" w:eastAsia="zh-CN"/>
        </w:rPr>
        <w:t>评分第4项）</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1、工具使用规范</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握扫帚要左手反握、右手正握。扫帚挥动时扫帚杆与胸持平，扫帚与身体平衡。清扫作业时，身体要挺直，不要将腰弯曲，清扫马路牙子时,扫帚需立起来，用扫帚尖清扫。为保持扫帚使用平衡，要双侧使用扫帚。</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2、清扫规范</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1）清扫顺序：先扫步行道，后扫路面，再扫路牙。扫步行道路时要由边往墙根扫，然后再顺着墙根进行清扫。清扫无覆盖的步行道要按顺序排扫，做到不断档。</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2）清扫内容:清扫作业区域内的纸屑、塑料袋、砖瓦石块、人畜粪便、面浮等垃圾污物。</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3）遇有杂草要顺便拨掉，以免形成草丛而藏污纳垢。</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4）清扫到绿地，绿蔷、围栏等边缘时要扩大清扫范围，扫帚能够到的范围内有垃圾杂物要一并清除。</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5）路牙子上的淤泥在及时清理千净,不留浮土。</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6）遇有施工工地，把运输车辆带到路上的泥土、沙石等清理干净。</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7）作业时，要及时撮堆，避免被风吹散。</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8）风天顺风扫。</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9）遇有雨、污进口绕着扫，不要将垃圾从进口上扫过。</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10）雨天及时用扫帚水推刷路牙，雨后要及时清除积水。</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3、保洁规范</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1）全方位观察保洁区域，及时发现垃圾污物，及时进行巡回捡拾和清理，要速度快，频率高，严禁散步式保洁。</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2）作业时，先清理大而明显的垃圾污物，再清理小块杂物。</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3）保洁区域干净时，要用小扫把扫除路牙子上的浮土。</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4）要注意不同路段保洁工作衔接。</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5）风大时,保洁重点放在窝风处，及时清除垃圾污物。</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6）遇有大面积污染，要使用大扫帚进行清扫。</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7）在人群密集处，保洁作业要快拣,快撤。</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8）清除烟头，要将带火的烟头踩灭，以免失火。</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9）将扫帚等其他工具在地上拖着走。</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10）时刻保持果皮箱摆放，垃圾不外溢，及时清理周边垃圾，保持箱体干净。</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firstLine="482" w:firstLineChars="200"/>
        <w:textAlignment w:val="auto"/>
        <w:rPr>
          <w:rFonts w:hint="eastAsia" w:ascii="宋体" w:hAnsi="宋体" w:eastAsia="宋体" w:cs="宋体"/>
          <w:i w:val="0"/>
          <w:iCs w:val="0"/>
          <w:caps w:val="0"/>
          <w:color w:val="auto"/>
          <w:spacing w:val="0"/>
          <w:sz w:val="24"/>
          <w:szCs w:val="24"/>
          <w:highlight w:val="none"/>
        </w:rPr>
      </w:pPr>
      <w:r>
        <w:rPr>
          <w:rStyle w:val="9"/>
          <w:rFonts w:hint="eastAsia" w:ascii="宋体" w:hAnsi="宋体" w:eastAsia="宋体" w:cs="宋体"/>
          <w:i w:val="0"/>
          <w:iCs w:val="0"/>
          <w:caps w:val="0"/>
          <w:color w:val="auto"/>
          <w:spacing w:val="0"/>
          <w:sz w:val="24"/>
          <w:szCs w:val="24"/>
          <w:highlight w:val="none"/>
        </w:rPr>
        <w:t>2.3 保洁人工清扫作业规程标准</w:t>
      </w:r>
      <w:r>
        <w:rPr>
          <w:rStyle w:val="9"/>
          <w:rFonts w:hint="eastAsia" w:ascii="宋体" w:hAnsi="宋体" w:cs="宋体"/>
          <w:i w:val="0"/>
          <w:iCs w:val="0"/>
          <w:caps w:val="0"/>
          <w:color w:val="auto"/>
          <w:spacing w:val="0"/>
          <w:sz w:val="24"/>
          <w:szCs w:val="24"/>
          <w:highlight w:val="none"/>
          <w:lang w:eastAsia="zh-CN"/>
        </w:rPr>
        <w:t>（</w:t>
      </w:r>
      <w:r>
        <w:rPr>
          <w:rStyle w:val="9"/>
          <w:rFonts w:hint="eastAsia" w:ascii="宋体" w:hAnsi="宋体" w:cs="宋体"/>
          <w:i w:val="0"/>
          <w:iCs w:val="0"/>
          <w:caps w:val="0"/>
          <w:color w:val="auto"/>
          <w:spacing w:val="0"/>
          <w:sz w:val="24"/>
          <w:szCs w:val="24"/>
          <w:highlight w:val="none"/>
          <w:lang w:val="en-US" w:eastAsia="zh-CN"/>
        </w:rPr>
        <w:t>评分第5项）</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firstLine="482" w:firstLineChars="200"/>
        <w:textAlignment w:val="auto"/>
        <w:rPr>
          <w:rFonts w:hint="eastAsia" w:ascii="宋体" w:hAnsi="宋体" w:eastAsia="宋体" w:cs="宋体"/>
          <w:i w:val="0"/>
          <w:iCs w:val="0"/>
          <w:caps w:val="0"/>
          <w:color w:val="auto"/>
          <w:spacing w:val="0"/>
          <w:sz w:val="24"/>
          <w:szCs w:val="24"/>
          <w:highlight w:val="none"/>
        </w:rPr>
      </w:pPr>
      <w:r>
        <w:rPr>
          <w:rStyle w:val="9"/>
          <w:rFonts w:hint="eastAsia" w:ascii="宋体" w:hAnsi="宋体" w:eastAsia="宋体" w:cs="宋体"/>
          <w:i w:val="0"/>
          <w:iCs w:val="0"/>
          <w:caps w:val="0"/>
          <w:color w:val="auto"/>
          <w:spacing w:val="0"/>
          <w:sz w:val="24"/>
          <w:szCs w:val="24"/>
          <w:highlight w:val="none"/>
        </w:rPr>
        <w:t>2.3.1 保洁作业人工清扫规程标准</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firstLine="482" w:firstLineChars="200"/>
        <w:textAlignment w:val="auto"/>
        <w:rPr>
          <w:rFonts w:hint="eastAsia" w:ascii="宋体" w:hAnsi="宋体" w:eastAsia="宋体" w:cs="宋体"/>
          <w:i w:val="0"/>
          <w:iCs w:val="0"/>
          <w:caps w:val="0"/>
          <w:color w:val="auto"/>
          <w:spacing w:val="0"/>
          <w:sz w:val="24"/>
          <w:szCs w:val="24"/>
          <w:highlight w:val="none"/>
        </w:rPr>
      </w:pPr>
      <w:r>
        <w:rPr>
          <w:rStyle w:val="9"/>
          <w:rFonts w:hint="eastAsia" w:ascii="宋体" w:hAnsi="宋体" w:eastAsia="宋体" w:cs="宋体"/>
          <w:i w:val="0"/>
          <w:iCs w:val="0"/>
          <w:caps w:val="0"/>
          <w:color w:val="auto"/>
          <w:spacing w:val="0"/>
          <w:sz w:val="24"/>
          <w:szCs w:val="24"/>
          <w:highlight w:val="none"/>
        </w:rPr>
        <w:t>2.3.1.1 人工清扫保洁工作组织规程</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（1）工作前准备：穿环卫工作服，穿反光衣，戴好工牌，检查劳保用品。</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（2）作业工具准备：小扫、垃圾铲、垃圾桶、水车、毛巾、水桶</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（3）清洁药剂准备：洗衣粉，消毒剂（有效氯含量为10000mg/L的消毒溶液）</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（4）工作内容：负责路面的垃圾清扫、设施清洁</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（5）作业流程描述：</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1）4:30～7:00，晨扫，全面清扫责任路面的垃圾，未能机扫的进行归堆后并收集好运往垃圾装车点；</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2）7:00-9:00，利用水车、水桶、毛巾等相关作业工具抹净果皮箱、垃圾桶、椅子、凳子、指示牌、护栏等等设施并对果皮箱、垃圾桶进行一次喷洒消毒。</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3）清扫时，注意操作方法，尽量将扫把压低，以避免大量扬尘和影响公众的行走和活动。</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4）扫地时，注意观察周边行人和车辆，遵循行人、车辆先行的原则，避免安全事故的发生。</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5）清扫保洁过程中，扫把等工具随人走，不得随便摆放，因为这样不仅会造成工具的遗失，还会影响道路的畅通。</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6) 清扫马路时或人行道时，可采用二种方式。第一种是直线清扫方式，即沿着马路横向清扫，把垃圾横向清扫到马路的路沿边，在沿着路沿边进行清扫；第二种是聚集式清扫方式，即从马路的四周向路沿某一点清扫聚集。</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7）用扫把将路面垃圾扫成一堆，每隔15米堆放一堆，且垃圾堆放在靠路沿的石脚边。</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8）随身带小火钳，可以用小铁铲将沙井内、路边沟渠内落叶、垃圾清除出来。</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9）清扫过程中，如有香口胶等顽固污渍等，可用铲刀将污渍铲除。在保洁过程中，铲除乱张贴广告或顽固污渍后的地方可能会遗留明显的印记，可用清洁剂抹擦。</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10）清扫路边绿化带，可用火钳将垃圾捡出然后再清扫干净。</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11）不锈钢设施（如宣传栏、护栏、垃圾桶等）不得使用小铁铲或钢丝球等会对不锈钢设施表面产生明显刮痕的金属工具来进行铲刷，不锈钢设施的刷洗清洁应使用木或塑料等软性材料制品来清洁。</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12）7:00～21:00实行滚动保洁，要求保洁人员在岗轮守值班，发现人员不在岗可进行罚款。</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firstLine="482" w:firstLineChars="200"/>
        <w:textAlignment w:val="auto"/>
        <w:rPr>
          <w:rFonts w:hint="eastAsia" w:ascii="宋体" w:hAnsi="宋体" w:eastAsia="宋体" w:cs="宋体"/>
          <w:i w:val="0"/>
          <w:iCs w:val="0"/>
          <w:caps w:val="0"/>
          <w:color w:val="auto"/>
          <w:spacing w:val="0"/>
          <w:sz w:val="24"/>
          <w:szCs w:val="24"/>
          <w:highlight w:val="none"/>
        </w:rPr>
      </w:pPr>
      <w:r>
        <w:rPr>
          <w:rStyle w:val="9"/>
          <w:rFonts w:hint="eastAsia" w:ascii="宋体" w:hAnsi="宋体" w:eastAsia="宋体" w:cs="宋体"/>
          <w:i w:val="0"/>
          <w:iCs w:val="0"/>
          <w:caps w:val="0"/>
          <w:color w:val="auto"/>
          <w:spacing w:val="0"/>
          <w:sz w:val="24"/>
          <w:szCs w:val="24"/>
          <w:highlight w:val="none"/>
        </w:rPr>
        <w:t>2.3.1.2 日常垃圾清收、分类、运输和消毒工作规程</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（1）工作前准备：穿环卫工作服，穿反光衣，戴好工牌，检查劳保用品。</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（2）作业工具准备：垃圾桶、喷壶（消毒用）、铁铲、手套、口罩、扫把、垃圾铲（根据路段的需要配齐作业工具）。</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（3）清洁药剂准备：消毒剂（有效氯含量为10000mg/L的消毒溶液）。</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（4）工作内容：马路果皮箱垃圾的分类清收、运输、消毒。</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（5）作业流程描述：</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1）早上大扫产生的垃圾一部分由扫地车清走，一部分由早班环卫工负责收集归堆、装桶、运输到垃圾装车点。</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2）路段巡查保洁期间，环卫工人根据实际情况收集、运输路边垃圾桶和果皮箱的垃圾，每天收集不少于2次（上午8：00点前清运1次，下午16:00前清运1次），保证果皮箱垃圾容量不超过2/3，垃圾桶垃圾不过盖。</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3）过垃圾时，注意周边行人，不能影响行人通行，用铁铲适当的压紧垃圾，节省空间，尽可能的多装垃圾，但不能违规。</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4）收集完果皮箱和垃圾桶点垃圾后，扫净散落的垃圾，摆放好果皮箱、垃圾桶。</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5）每收集一次垃圾，对果皮箱、垃圾桶、垃圾装车点进行一次喷洒消毒。</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6）实行垃圾分类处理，发现无主装修垃圾和施工余泥及时上报主管，如果垃圾量少，可压缩的装修垃圾利用铁车直接运往垃圾点处理，比较多时则另行特殊处理。对余泥则安排余泥车晚上将它运走，禁止将施工余泥倒入垃圾桶内。不可回收的生活垃圾直接装桶运往垃圾装车点，其中有害垃圾如电池类则集中收集另行按照国家规定处理；可回收垃圾集中后每日一清，运往回收站处理。</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7）垃圾桶装车和下车时注意操作方法，避免垃圾桶造成损坏。</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8）装车后，用扫把将散落地上的垃圾扫干净，避免二次污染。</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9）卸下桶后，将垃圾桶盖好盖子，摆放整齐。</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firstLine="482" w:firstLineChars="200"/>
        <w:textAlignment w:val="auto"/>
        <w:rPr>
          <w:rFonts w:hint="eastAsia" w:ascii="宋体" w:hAnsi="宋体" w:eastAsia="宋体" w:cs="宋体"/>
          <w:i w:val="0"/>
          <w:iCs w:val="0"/>
          <w:caps w:val="0"/>
          <w:color w:val="auto"/>
          <w:spacing w:val="0"/>
          <w:sz w:val="24"/>
          <w:szCs w:val="24"/>
          <w:highlight w:val="none"/>
        </w:rPr>
      </w:pPr>
      <w:r>
        <w:rPr>
          <w:rStyle w:val="9"/>
          <w:rFonts w:hint="eastAsia" w:ascii="宋体" w:hAnsi="宋体" w:eastAsia="宋体" w:cs="宋体"/>
          <w:i w:val="0"/>
          <w:iCs w:val="0"/>
          <w:caps w:val="0"/>
          <w:color w:val="auto"/>
          <w:spacing w:val="0"/>
          <w:sz w:val="24"/>
          <w:szCs w:val="24"/>
          <w:highlight w:val="none"/>
        </w:rPr>
        <w:t>2.3.1.3 乱张贴、乱涂画、“牛皮癣”等广告清理工作规程</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（1）工作前准备：穿环卫工作服，穿反光衣，戴好工牌，检查劳保用品。</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（2）作业工具准备：自行车、工具箱、铲刀、手套、喷壶、垃圾挂篓、火钳、毛巾、粗黑垫。</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（3）作业药剂准备：HR-981不干胶清洗剂（防护剂）、HR—978清除剂、不锈钢防护油、去污粉、涂料。</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（4）工作内容：清理乱张贴、乱涂乱、“牛皮癣”等广告。</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i w:val="0"/>
          <w:iCs w:val="0"/>
          <w:caps w:val="0"/>
          <w:color w:val="auto"/>
          <w:spacing w:val="0"/>
          <w:sz w:val="24"/>
          <w:szCs w:val="24"/>
          <w:highlight w:val="none"/>
          <w:lang w:eastAsia="zh-CN"/>
        </w:rPr>
      </w:pPr>
      <w:r>
        <w:rPr>
          <w:rFonts w:hint="eastAsia" w:ascii="宋体" w:hAnsi="宋体" w:eastAsia="宋体" w:cs="宋体"/>
          <w:i w:val="0"/>
          <w:iCs w:val="0"/>
          <w:caps w:val="0"/>
          <w:color w:val="auto"/>
          <w:spacing w:val="0"/>
          <w:sz w:val="24"/>
          <w:szCs w:val="24"/>
          <w:highlight w:val="none"/>
        </w:rPr>
        <w:t>（5）作业流程描述</w:t>
      </w:r>
      <w:r>
        <w:rPr>
          <w:rFonts w:hint="eastAsia" w:ascii="宋体" w:hAnsi="宋体" w:eastAsia="宋体" w:cs="宋体"/>
          <w:i w:val="0"/>
          <w:iCs w:val="0"/>
          <w:caps w:val="0"/>
          <w:color w:val="auto"/>
          <w:spacing w:val="0"/>
          <w:sz w:val="24"/>
          <w:szCs w:val="24"/>
          <w:highlight w:val="none"/>
          <w:lang w:eastAsia="zh-CN"/>
        </w:rPr>
        <w:t>：</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1）根据实际需要配备人员，进行岗前培训，掌握药剂的使用方法。</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2）实行责任制管理，每人负责一个片区，接受班长的灵活调度，熟悉路段特点，有目的，重点的工作。</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3）发现乱张贴重灾区，由班长统一调度，各路段清理员工无条件服从增援安排。</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4）每天9:00前完成责任路段的首轮乱张贴、乱涂画清理工作。9：00后工作进入巡查清理阶段。</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5）巡查过程中有义务监督责任路段的卫生，发现零散的大垃圾随手拣拾，充当兼职巡查员。发现大面积垃圾及时知会班长安排人处理。</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6）路段保洁员工发现乱张贴时，能处理的则利用手中的铲刀进行清除，不能处理的马上告之班长或直接通知清理工赶过来处理。</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7）将清除后的垃圾收集放入垃圾篓内，避免二次污染。</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（6）具体操作：</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1）马赛克、条形瓷砖、大理石、麻石地砖类设施（如建筑外立面墙身、围墙、墙柱和、电箱基、台阶、人行道地面）表面处理：使用HR-981不干胶清洗剂清涂不干胶小广告，利用铁质小铲快速处理；使用HR—978清除剂处理油漆、油墨、沥青类污渍。墨水侧使用湿粗黑垫擦抹可清洗。</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2）硬塑胶质设施（如工具房、垃圾桶、果皮箱、电话亭、报亭）表面处理：使用HR-981不干胶清洗剂清涂不干胶小广告，利用木质或硬塑质的小铲快速处理；使用HR—978清除剂处理油漆、油墨、沥青类污渍。墨水使用湿粗黑垫擦抹可清洗。</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3）铁、不锈钢等金属设施（护栏、电箱、指示牌、油筒、宣传栏、垃圾桶）表面处理：铁质设施一般涂有一层防护油漆，对油墨、油漆类污渍可使用与防护漆一样的涂料进行粉刷，覆盖。不干胶小广告则使用HR-981不干胶清洗剂处理。不锈钢可用去污粉进行打磨抛光处理表面锈渍，再喷上不锈钢防护油保养。墨水使用湿粗黑垫擦抹可清洗。</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4）水泥质设施（如电线杆、灯座、围墙、石椅、水泥地面）表面处理：使用HR-981不干胶清洗剂清涂不干胶小广告，利用铁质小铲快速处理；油漆、油墨、沥青、墨水类污渍可用水泥浆液涂盖。</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firstLine="482" w:firstLineChars="200"/>
        <w:textAlignment w:val="auto"/>
        <w:rPr>
          <w:rFonts w:hint="eastAsia" w:ascii="宋体" w:hAnsi="宋体" w:eastAsia="宋体" w:cs="宋体"/>
          <w:i w:val="0"/>
          <w:iCs w:val="0"/>
          <w:caps w:val="0"/>
          <w:color w:val="auto"/>
          <w:spacing w:val="0"/>
          <w:sz w:val="24"/>
          <w:szCs w:val="24"/>
          <w:highlight w:val="none"/>
        </w:rPr>
      </w:pPr>
      <w:r>
        <w:rPr>
          <w:rStyle w:val="9"/>
          <w:rFonts w:hint="eastAsia" w:ascii="宋体" w:hAnsi="宋体" w:eastAsia="宋体" w:cs="宋体"/>
          <w:i w:val="0"/>
          <w:iCs w:val="0"/>
          <w:caps w:val="0"/>
          <w:color w:val="auto"/>
          <w:spacing w:val="0"/>
          <w:sz w:val="24"/>
          <w:szCs w:val="24"/>
          <w:highlight w:val="none"/>
        </w:rPr>
        <w:t>2.3.1.4 绿化带保洁规程</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作业范围：</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市容环卫两边的绿化带作业内容：</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(1)进行清扫飘浮物</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(2)清理障碍物的工作</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(3)定期修剪，维持整齐的工作</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作业质量要求：</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全天保持整洁、通畅、无飘浮物；路旁绿地、绿化隔离带、人行道树穴内应无积存垃圾和人畜粪便。</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作业时间安排：</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每日巡回清捡，并全天保持整洁。</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作业要点及技巧：</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1）用扫把仔细清扫草地上的果皮、纸屑、石块等垃圾。</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2）对烟头、棉签、小石子、纸屑等用扫把不能打扫起来的小杂物，垃圾斗内。</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3）在清扫草地的同时，仔细清理绿篱下面的枯枝落叶。</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4）用树木剪修剪整齐，对造型树可以根据实际进行造型设计。</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清洁标准：</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l）每天早晨、上午、下午各清捡一次以上，每小时循环保洁一次，弯腰用手捡入保持清洁干净。</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2）目视无枯枝落叶，无果皮，无饮料罐，无石块等垃圾和杂物；烟头控制在塑塑平方米4 个以内。</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3）一个季度至少安排一次修剪工作，对修剪产生的垃圾及时进行清理。</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firstLine="482" w:firstLineChars="200"/>
        <w:textAlignment w:val="auto"/>
        <w:rPr>
          <w:rFonts w:hint="eastAsia" w:ascii="宋体" w:hAnsi="宋体" w:eastAsia="宋体" w:cs="宋体"/>
          <w:i w:val="0"/>
          <w:iCs w:val="0"/>
          <w:caps w:val="0"/>
          <w:color w:val="auto"/>
          <w:spacing w:val="0"/>
          <w:sz w:val="24"/>
          <w:szCs w:val="24"/>
          <w:highlight w:val="none"/>
        </w:rPr>
      </w:pPr>
      <w:r>
        <w:rPr>
          <w:rStyle w:val="9"/>
          <w:rFonts w:hint="eastAsia" w:ascii="宋体" w:hAnsi="宋体" w:eastAsia="宋体" w:cs="宋体"/>
          <w:i w:val="0"/>
          <w:iCs w:val="0"/>
          <w:caps w:val="0"/>
          <w:color w:val="auto"/>
          <w:spacing w:val="0"/>
          <w:sz w:val="24"/>
          <w:szCs w:val="24"/>
          <w:highlight w:val="none"/>
        </w:rPr>
        <w:t>2.3.1.5 侧石、人行道、吊渠口、沙井口清洗保洁规程</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作业范围：</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市容环卫两侧的侧石、人行道、吊渠口、沙井口、沙井口、沙井盖。</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作业内容：</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(1)清扫   </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(2)清洗  </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(3)及时清理障碍物。</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作业质量要求：</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全天保持整洁，无明显污迹</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作业时间安排：</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人行道每周清洗一次，其它项目每天用清洗水车和人工冲洗和清洗一次。</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作业要点及技巧：</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（1）用清洗水车冲洗，较脏的部位用人工进行清洗；</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（2）每天早上清洗完毕；</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（3）严格遵守道路交通管理规定和相关规定；</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（4）统一着装，挂牌上岗，保持公司整体形象：</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（5）作业时做好安全防护措施，身着反光衣，做好警示标志；</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（6）制止和协助处理破坏保洁范围路政设施及环境清洁的行为；</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（7）严格操作规程，不损坏市政设施。</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firstLine="482" w:firstLineChars="200"/>
        <w:textAlignment w:val="auto"/>
        <w:rPr>
          <w:rFonts w:hint="eastAsia" w:ascii="宋体" w:hAnsi="宋体" w:eastAsia="宋体" w:cs="宋体"/>
          <w:i w:val="0"/>
          <w:iCs w:val="0"/>
          <w:caps w:val="0"/>
          <w:color w:val="auto"/>
          <w:spacing w:val="0"/>
          <w:sz w:val="24"/>
          <w:szCs w:val="24"/>
          <w:highlight w:val="none"/>
        </w:rPr>
      </w:pPr>
      <w:r>
        <w:rPr>
          <w:rStyle w:val="9"/>
          <w:rFonts w:hint="eastAsia" w:ascii="宋体" w:hAnsi="宋体" w:eastAsia="宋体" w:cs="宋体"/>
          <w:i w:val="0"/>
          <w:iCs w:val="0"/>
          <w:caps w:val="0"/>
          <w:color w:val="auto"/>
          <w:spacing w:val="0"/>
          <w:sz w:val="24"/>
          <w:szCs w:val="24"/>
          <w:highlight w:val="none"/>
        </w:rPr>
        <w:t>2.3.1.6 排水口保洁规程</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作业范围：</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市容环卫范围内路面、桥面、立交、隧道、雨污水沟和高架桥落水管及落水井出口、排水口。</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作业内容：</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（1）检查、疏通，</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（2）清疏沟渠、下水道的淤泥。</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作业质量要求：</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保持排水系统日常畅通，无淤塞</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作业时间安排：</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每周全面检查、疏通一次</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作业要点及技巧：</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（1）垃圾必须用容器装载；</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（2）当天清运并冲洗干净现场；</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（3）不将淤泥倾倒在路面或河涌；</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firstLine="482" w:firstLineChars="200"/>
        <w:textAlignment w:val="auto"/>
        <w:rPr>
          <w:rFonts w:hint="eastAsia" w:ascii="宋体" w:hAnsi="宋体" w:eastAsia="宋体" w:cs="宋体"/>
          <w:i w:val="0"/>
          <w:iCs w:val="0"/>
          <w:caps w:val="0"/>
          <w:color w:val="auto"/>
          <w:spacing w:val="0"/>
          <w:sz w:val="24"/>
          <w:szCs w:val="24"/>
          <w:highlight w:val="none"/>
        </w:rPr>
      </w:pPr>
      <w:r>
        <w:rPr>
          <w:rStyle w:val="9"/>
          <w:rFonts w:hint="eastAsia" w:ascii="宋体" w:hAnsi="宋体" w:eastAsia="宋体" w:cs="宋体"/>
          <w:i w:val="0"/>
          <w:iCs w:val="0"/>
          <w:caps w:val="0"/>
          <w:color w:val="auto"/>
          <w:spacing w:val="0"/>
          <w:sz w:val="24"/>
          <w:szCs w:val="24"/>
          <w:highlight w:val="none"/>
        </w:rPr>
        <w:t>2.3.1.7 建筑垃圾清理规程</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1、对本次作业范围内的建筑垃圾进行巡查、监督、管控，发现问题及时上报；</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2、因中标人没有及时发现他人在作业范围道路两侧倒建筑垃圾，由中标人清运至指定位置。</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firstLine="482" w:firstLineChars="200"/>
        <w:textAlignment w:val="auto"/>
        <w:rPr>
          <w:rFonts w:hint="eastAsia" w:ascii="宋体" w:hAnsi="宋体" w:eastAsia="宋体" w:cs="宋体"/>
          <w:i w:val="0"/>
          <w:iCs w:val="0"/>
          <w:caps w:val="0"/>
          <w:color w:val="auto"/>
          <w:spacing w:val="0"/>
          <w:sz w:val="24"/>
          <w:szCs w:val="24"/>
          <w:highlight w:val="none"/>
        </w:rPr>
      </w:pPr>
      <w:r>
        <w:rPr>
          <w:rStyle w:val="9"/>
          <w:rFonts w:hint="eastAsia" w:ascii="宋体" w:hAnsi="宋体" w:eastAsia="宋体" w:cs="宋体"/>
          <w:i w:val="0"/>
          <w:iCs w:val="0"/>
          <w:caps w:val="0"/>
          <w:color w:val="auto"/>
          <w:spacing w:val="0"/>
          <w:sz w:val="24"/>
          <w:szCs w:val="24"/>
          <w:highlight w:val="none"/>
        </w:rPr>
        <w:t>2.3.1.8 河道垃圾清理规程</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firstLine="482" w:firstLineChars="200"/>
        <w:textAlignment w:val="auto"/>
        <w:rPr>
          <w:rFonts w:hint="eastAsia" w:ascii="宋体" w:hAnsi="宋体" w:eastAsia="宋体" w:cs="宋体"/>
          <w:i w:val="0"/>
          <w:iCs w:val="0"/>
          <w:caps w:val="0"/>
          <w:color w:val="auto"/>
          <w:spacing w:val="0"/>
          <w:sz w:val="24"/>
          <w:szCs w:val="24"/>
          <w:highlight w:val="none"/>
        </w:rPr>
      </w:pPr>
      <w:r>
        <w:rPr>
          <w:rStyle w:val="9"/>
          <w:rFonts w:hint="eastAsia" w:ascii="宋体" w:hAnsi="宋体" w:eastAsia="宋体" w:cs="宋体"/>
          <w:i w:val="0"/>
          <w:iCs w:val="0"/>
          <w:caps w:val="0"/>
          <w:color w:val="auto"/>
          <w:spacing w:val="0"/>
          <w:sz w:val="24"/>
          <w:szCs w:val="24"/>
          <w:highlight w:val="none"/>
        </w:rPr>
        <w:t>1、河道卫生保洁作业时间</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1）每日8小时工作时间（即上午7：30时－11：30时，下午1：30－5：30时）。中标单位可根据季节变化或实际工作需要，给予调整作业期间，但必须报采购人备案。</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2）若遇市 级督查考评，河道、河岸带需整改地点均由该地点所属河道、河岸带保洁商负责，采购人不再承担任务责任与费用。</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firstLine="482" w:firstLineChars="200"/>
        <w:textAlignment w:val="auto"/>
        <w:rPr>
          <w:rFonts w:hint="eastAsia" w:ascii="宋体" w:hAnsi="宋体" w:eastAsia="宋体" w:cs="宋体"/>
          <w:i w:val="0"/>
          <w:iCs w:val="0"/>
          <w:caps w:val="0"/>
          <w:color w:val="auto"/>
          <w:spacing w:val="0"/>
          <w:sz w:val="24"/>
          <w:szCs w:val="24"/>
          <w:highlight w:val="none"/>
        </w:rPr>
      </w:pPr>
      <w:r>
        <w:rPr>
          <w:rStyle w:val="9"/>
          <w:rFonts w:hint="eastAsia" w:ascii="宋体" w:hAnsi="宋体" w:eastAsia="宋体" w:cs="宋体"/>
          <w:i w:val="0"/>
          <w:iCs w:val="0"/>
          <w:caps w:val="0"/>
          <w:color w:val="auto"/>
          <w:spacing w:val="0"/>
          <w:sz w:val="24"/>
          <w:szCs w:val="24"/>
          <w:highlight w:val="none"/>
        </w:rPr>
        <w:t>2、河道卫生保洁作业标准</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1）包含河道内及河道两侧可视范围10m建筑垃圾、工业垃圾、生活垃圾、水浮莲、大面积油污、死禽畜等所有垃圾；陆地可视范围10m建筑垃圾、工业垃圾、生活垃圾；均属保洁商保洁范围。</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2）严格按照确定的河道、河域保洁范围，对河面、河面各种漂浮物、垃圾进行打捞，清扫河堤两岸垃圾，铲除河堤上的杂草，做到日产日清，定点堆放，及时清运，确保河面无漂浮物，河床内无阻水障碍物，河堤岸上无散在暴露垃圾、杂草及其他堆积物；及时保洁，定点倾倒垃圾，创新河道保洁机制。</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3）河岸带垃圾整治河面范围：可视范围200m的水浮莲、大面积油污、死禽畜等所有漂浮垃圾。</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4）遇到漂浮物要捞起，保证沟面无漂浮物，保持河道的畅通。</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5）对两岸的挂物进行清理，包括两岸沟壁、栏杆上挂物清理及两岸沿沟管线上的挂物清理。</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6）定期或不定期报告河道、河域保洁工作情况，按要求上报保洁工作周报或月报资料。</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7）及时将清理垃圾收集运至垃圾车，并运至垃圾中转站。</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8）若遇上级检查等，保洁商需根据采购人要求增派人员加强保洁工作，确保在指 定的时间和区域内清理完毕并保持清洁，采购人不再承担任何责任与费用。</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9）在工作期间，必须配戴统一的服装，配备必要的安全防护装备。</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10）在台风来临时应及时拉警示线、树立警示牌，台风过后应及时清理及维修。</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firstLine="482" w:firstLineChars="200"/>
        <w:textAlignment w:val="auto"/>
        <w:rPr>
          <w:rFonts w:hint="eastAsia" w:ascii="宋体" w:hAnsi="宋体" w:eastAsia="宋体" w:cs="宋体"/>
          <w:i w:val="0"/>
          <w:iCs w:val="0"/>
          <w:caps w:val="0"/>
          <w:color w:val="auto"/>
          <w:spacing w:val="0"/>
          <w:sz w:val="24"/>
          <w:szCs w:val="24"/>
          <w:highlight w:val="none"/>
        </w:rPr>
      </w:pPr>
      <w:r>
        <w:rPr>
          <w:rStyle w:val="9"/>
          <w:rFonts w:hint="eastAsia" w:ascii="宋体" w:hAnsi="宋体" w:eastAsia="宋体" w:cs="宋体"/>
          <w:i w:val="0"/>
          <w:iCs w:val="0"/>
          <w:caps w:val="0"/>
          <w:color w:val="auto"/>
          <w:spacing w:val="0"/>
          <w:sz w:val="24"/>
          <w:szCs w:val="24"/>
          <w:highlight w:val="none"/>
        </w:rPr>
        <w:t>2.3.1.9公厕保洁规程</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1、作业时间：6:00-22:00，分班服务。</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2、各种制度上墙，便于市民监督；导向醒目，标识规范，配置齐全，使用完好。</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3、公厕服务员着装整齐，佩证上岗。</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4、厕内墙面洁净，无积尘，无污迹、无蛛网，无杂物堆放；</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5、厕内无臭味、无蚊蝇，地面无痰迹、烟头、污物；</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6、蹲位整洁，无污物等，大、小便槽内无积存、无尿碱、污物等；</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7、厕内放废纸篓、废纸篓内垃圾及时清理，不满溢；</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8、厕外周围责任区域内整洁，无杂物堆积，管理间物品摆放有序；</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9、厕所外墙整洁，无张贴野广告，无贴乱画等现象；</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10、公厕标识牌整洁、规范，设置明显；</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11、厕内水管、笼头、冲水器、灯具、洗手盆（池）损坏，及时维修，确保24小时内使用；</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12、厕内门窗损坏、瓷砖损坏，屋顶有开裂、漏水、渗水现象，及时维修，确保2天内修复使用（特殊情况除外）；</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13、厕所化粪池及时清掏，并有清掏记录台账，确保不满溢，不外漏，达到排放标准，粪便无害化处理率达到100%；</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14、定时喷洒药物，消杀防鼠，每周不得少于3次药物消毒消杀灭“四害”，并有消毒、消杀记录台账；</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15、做好防火、防汛工作，服务态度良好，无群众投诉现象。</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firstLine="482" w:firstLineChars="200"/>
        <w:textAlignment w:val="auto"/>
        <w:rPr>
          <w:rFonts w:hint="eastAsia" w:ascii="宋体" w:hAnsi="宋体" w:eastAsia="宋体" w:cs="宋体"/>
          <w:i w:val="0"/>
          <w:iCs w:val="0"/>
          <w:caps w:val="0"/>
          <w:color w:val="auto"/>
          <w:spacing w:val="0"/>
          <w:sz w:val="24"/>
          <w:szCs w:val="24"/>
          <w:highlight w:val="none"/>
        </w:rPr>
      </w:pPr>
      <w:r>
        <w:rPr>
          <w:rStyle w:val="9"/>
          <w:rFonts w:hint="eastAsia" w:ascii="宋体" w:hAnsi="宋体" w:eastAsia="宋体" w:cs="宋体"/>
          <w:i w:val="0"/>
          <w:iCs w:val="0"/>
          <w:caps w:val="0"/>
          <w:color w:val="auto"/>
          <w:spacing w:val="0"/>
          <w:sz w:val="24"/>
          <w:szCs w:val="24"/>
          <w:highlight w:val="none"/>
        </w:rPr>
        <w:t>2.3.2 道路保洁机械化作业标准</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firstLine="482" w:firstLineChars="200"/>
        <w:textAlignment w:val="auto"/>
        <w:rPr>
          <w:rFonts w:hint="eastAsia" w:ascii="宋体" w:hAnsi="宋体" w:eastAsia="宋体" w:cs="宋体"/>
          <w:i w:val="0"/>
          <w:iCs w:val="0"/>
          <w:caps w:val="0"/>
          <w:color w:val="auto"/>
          <w:spacing w:val="0"/>
          <w:sz w:val="24"/>
          <w:szCs w:val="24"/>
          <w:highlight w:val="none"/>
        </w:rPr>
      </w:pPr>
      <w:r>
        <w:rPr>
          <w:rStyle w:val="9"/>
          <w:rFonts w:hint="eastAsia" w:ascii="宋体" w:hAnsi="宋体" w:eastAsia="宋体" w:cs="宋体"/>
          <w:i w:val="0"/>
          <w:iCs w:val="0"/>
          <w:caps w:val="0"/>
          <w:color w:val="auto"/>
          <w:spacing w:val="0"/>
          <w:sz w:val="24"/>
          <w:szCs w:val="24"/>
          <w:highlight w:val="none"/>
        </w:rPr>
        <w:t>2.3.2.1 机械化清扫作业标准</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firstLine="482" w:firstLineChars="200"/>
        <w:textAlignment w:val="auto"/>
        <w:rPr>
          <w:rFonts w:hint="eastAsia" w:ascii="宋体" w:hAnsi="宋体" w:eastAsia="宋体" w:cs="宋体"/>
          <w:i w:val="0"/>
          <w:iCs w:val="0"/>
          <w:caps w:val="0"/>
          <w:color w:val="auto"/>
          <w:spacing w:val="0"/>
          <w:sz w:val="24"/>
          <w:szCs w:val="24"/>
          <w:highlight w:val="none"/>
        </w:rPr>
      </w:pPr>
      <w:r>
        <w:rPr>
          <w:rStyle w:val="9"/>
          <w:rFonts w:hint="eastAsia" w:ascii="宋体" w:hAnsi="宋体" w:eastAsia="宋体" w:cs="宋体"/>
          <w:i w:val="0"/>
          <w:iCs w:val="0"/>
          <w:caps w:val="0"/>
          <w:color w:val="auto"/>
          <w:spacing w:val="0"/>
          <w:sz w:val="24"/>
          <w:szCs w:val="24"/>
          <w:highlight w:val="none"/>
        </w:rPr>
        <w:t>2.3.2.1.1 机械化清扫作业质量标准</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道路快车道和辅道全覆盖清扫，不漏扫，做到车过地净，达到“五净”“五无”标准。路面、路沿没有明显浮土，污泥，路面干净，没有垃圾、烟头、果皮纸屑、塑料袋、砖瓦石块、呕吐物、废弃物等污物，清扫过程中垃圾不洒漏、不出现扬尘作业。</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firstLine="482" w:firstLineChars="200"/>
        <w:textAlignment w:val="auto"/>
        <w:rPr>
          <w:rFonts w:hint="eastAsia" w:ascii="宋体" w:hAnsi="宋体" w:eastAsia="宋体" w:cs="宋体"/>
          <w:i w:val="0"/>
          <w:iCs w:val="0"/>
          <w:caps w:val="0"/>
          <w:color w:val="auto"/>
          <w:spacing w:val="0"/>
          <w:sz w:val="24"/>
          <w:szCs w:val="24"/>
          <w:highlight w:val="none"/>
        </w:rPr>
      </w:pPr>
      <w:r>
        <w:rPr>
          <w:rStyle w:val="9"/>
          <w:rFonts w:hint="eastAsia" w:ascii="宋体" w:hAnsi="宋体" w:eastAsia="宋体" w:cs="宋体"/>
          <w:i w:val="0"/>
          <w:iCs w:val="0"/>
          <w:caps w:val="0"/>
          <w:color w:val="auto"/>
          <w:spacing w:val="0"/>
          <w:sz w:val="24"/>
          <w:szCs w:val="24"/>
          <w:highlight w:val="none"/>
        </w:rPr>
        <w:t>2.3.2.1.2 机械化清扫作业时间标准</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机械式扫路车每天工作8小时即：3:30～7:30（时）、12:00～16：00（时），有特殊情况可对作业时段进行适当调整。</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firstLine="482" w:firstLineChars="200"/>
        <w:textAlignment w:val="auto"/>
        <w:rPr>
          <w:rFonts w:hint="eastAsia" w:ascii="宋体" w:hAnsi="宋体" w:eastAsia="宋体" w:cs="宋体"/>
          <w:i w:val="0"/>
          <w:iCs w:val="0"/>
          <w:caps w:val="0"/>
          <w:color w:val="auto"/>
          <w:spacing w:val="0"/>
          <w:sz w:val="24"/>
          <w:szCs w:val="24"/>
          <w:highlight w:val="none"/>
        </w:rPr>
      </w:pPr>
      <w:r>
        <w:rPr>
          <w:rStyle w:val="9"/>
          <w:rFonts w:hint="eastAsia" w:ascii="宋体" w:hAnsi="宋体" w:eastAsia="宋体" w:cs="宋体"/>
          <w:i w:val="0"/>
          <w:iCs w:val="0"/>
          <w:caps w:val="0"/>
          <w:color w:val="auto"/>
          <w:spacing w:val="0"/>
          <w:sz w:val="24"/>
          <w:szCs w:val="24"/>
          <w:highlight w:val="none"/>
        </w:rPr>
        <w:t>2.3.2.1.3 机械化清扫作业规范标准</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1、扫路车作业时顺着车辆行驶方向进行，主要清扫道路两边的垃圾，并且以行驶方向的右边为主，不能随意改变行驶作业方向，必须在同一方向上行驶作业；</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2、扫路车作业速度控制在8～10km/h的范围，并且稳定行驶；</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3、扫路车作业时必须打开车顶的作业警示灯，提醒后面行驶车辆注意和避让，以免造成交通事故；</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4、扫路车不能同时沿着道路同一方向的两侧同时同步进行作业，以免影响车辆通行，必须错开1公里以上的距离才能在同一方向上同时进行作业；</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5、扫路车作业时必须连续进行，以防漏扫，扫路时可以根据路况垃圾的特点，随时调整扫把扫地角度、方向，以便扫地更好地将垃圾扫到吸盘，集中收集。</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 </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firstLine="48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扫路车作业工艺流程</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auto"/>
        <w:ind w:left="0" w:right="0" w:firstLine="0"/>
        <w:rPr>
          <w:rFonts w:hint="eastAsia" w:ascii="宋体" w:hAnsi="宋体" w:eastAsia="宋体" w:cs="宋体"/>
          <w:i w:val="0"/>
          <w:iCs w:val="0"/>
          <w:caps w:val="0"/>
          <w:color w:val="auto"/>
          <w:spacing w:val="0"/>
          <w:sz w:val="24"/>
          <w:szCs w:val="24"/>
          <w:highlight w:val="none"/>
        </w:rPr>
      </w:pP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auto"/>
        <w:ind w:left="0" w:right="0" w:firstLine="0"/>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drawing>
          <wp:inline distT="0" distB="0" distL="114300" distR="114300">
            <wp:extent cx="5962650" cy="4257675"/>
            <wp:effectExtent l="0" t="0" r="0" b="9525"/>
            <wp:docPr id="1" name="图片 1" descr="15779733820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577973382033.png"/>
                    <pic:cNvPicPr>
                      <a:picLocks noChangeAspect="1"/>
                    </pic:cNvPicPr>
                  </pic:nvPicPr>
                  <pic:blipFill>
                    <a:blip r:embed="rId5"/>
                    <a:stretch>
                      <a:fillRect/>
                    </a:stretch>
                  </pic:blipFill>
                  <pic:spPr>
                    <a:xfrm>
                      <a:off x="0" y="0"/>
                      <a:ext cx="5962650" cy="4257675"/>
                    </a:xfrm>
                    <a:prstGeom prst="rect">
                      <a:avLst/>
                    </a:prstGeom>
                    <a:noFill/>
                    <a:ln>
                      <a:noFill/>
                    </a:ln>
                  </pic:spPr>
                </pic:pic>
              </a:graphicData>
            </a:graphic>
          </wp:inline>
        </w:drawing>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auto"/>
        <w:ind w:left="0" w:right="0" w:firstLine="0"/>
        <w:rPr>
          <w:rFonts w:hint="eastAsia" w:ascii="宋体" w:hAnsi="宋体" w:eastAsia="宋体" w:cs="宋体"/>
          <w:i w:val="0"/>
          <w:iCs w:val="0"/>
          <w:caps w:val="0"/>
          <w:color w:val="auto"/>
          <w:spacing w:val="0"/>
          <w:sz w:val="24"/>
          <w:szCs w:val="24"/>
          <w:highlight w:val="none"/>
        </w:rPr>
      </w:pP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firstLine="482" w:firstLineChars="200"/>
        <w:textAlignment w:val="auto"/>
        <w:rPr>
          <w:rFonts w:hint="eastAsia" w:ascii="宋体" w:hAnsi="宋体" w:eastAsia="宋体" w:cs="宋体"/>
          <w:i w:val="0"/>
          <w:iCs w:val="0"/>
          <w:caps w:val="0"/>
          <w:color w:val="auto"/>
          <w:spacing w:val="0"/>
          <w:sz w:val="24"/>
          <w:szCs w:val="24"/>
          <w:highlight w:val="none"/>
        </w:rPr>
      </w:pPr>
      <w:r>
        <w:rPr>
          <w:rStyle w:val="9"/>
          <w:rFonts w:hint="eastAsia" w:ascii="宋体" w:hAnsi="宋体" w:eastAsia="宋体" w:cs="宋体"/>
          <w:i w:val="0"/>
          <w:iCs w:val="0"/>
          <w:caps w:val="0"/>
          <w:color w:val="auto"/>
          <w:spacing w:val="0"/>
          <w:sz w:val="24"/>
          <w:szCs w:val="24"/>
          <w:highlight w:val="none"/>
        </w:rPr>
        <w:t>2.3.2.2 机械化清洗作业标准</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firstLine="482" w:firstLineChars="200"/>
        <w:textAlignment w:val="auto"/>
        <w:rPr>
          <w:rFonts w:hint="eastAsia" w:ascii="宋体" w:hAnsi="宋体" w:eastAsia="宋体" w:cs="宋体"/>
          <w:i w:val="0"/>
          <w:iCs w:val="0"/>
          <w:caps w:val="0"/>
          <w:color w:val="auto"/>
          <w:spacing w:val="0"/>
          <w:sz w:val="24"/>
          <w:szCs w:val="24"/>
          <w:highlight w:val="none"/>
        </w:rPr>
      </w:pPr>
      <w:r>
        <w:rPr>
          <w:rStyle w:val="9"/>
          <w:rFonts w:hint="eastAsia" w:ascii="宋体" w:hAnsi="宋体" w:eastAsia="宋体" w:cs="宋体"/>
          <w:i w:val="0"/>
          <w:iCs w:val="0"/>
          <w:caps w:val="0"/>
          <w:color w:val="auto"/>
          <w:spacing w:val="0"/>
          <w:sz w:val="24"/>
          <w:szCs w:val="24"/>
          <w:highlight w:val="none"/>
        </w:rPr>
        <w:t>2.3.2.2.1 机械化清洗作业质量标准</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清洗作业后，路面、侧石、交通隔离带以及道路相关公共设施周围无积尘、积水，见本色。</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firstLine="482" w:firstLineChars="200"/>
        <w:textAlignment w:val="auto"/>
        <w:rPr>
          <w:rFonts w:hint="eastAsia" w:ascii="宋体" w:hAnsi="宋体" w:eastAsia="宋体" w:cs="宋体"/>
          <w:i w:val="0"/>
          <w:iCs w:val="0"/>
          <w:caps w:val="0"/>
          <w:color w:val="auto"/>
          <w:spacing w:val="0"/>
          <w:sz w:val="24"/>
          <w:szCs w:val="24"/>
          <w:highlight w:val="none"/>
        </w:rPr>
      </w:pPr>
      <w:r>
        <w:rPr>
          <w:rStyle w:val="9"/>
          <w:rFonts w:hint="eastAsia" w:ascii="宋体" w:hAnsi="宋体" w:eastAsia="宋体" w:cs="宋体"/>
          <w:i w:val="0"/>
          <w:iCs w:val="0"/>
          <w:caps w:val="0"/>
          <w:color w:val="auto"/>
          <w:spacing w:val="0"/>
          <w:sz w:val="24"/>
          <w:szCs w:val="24"/>
          <w:highlight w:val="none"/>
        </w:rPr>
        <w:t>2.3.2.2.2 机械化清洗作业时间标准</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秋冬两季每天上午及中午洒水两次，夏季每天早、中、晚三次洒水。</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firstLine="482" w:firstLineChars="200"/>
        <w:textAlignment w:val="auto"/>
        <w:rPr>
          <w:rFonts w:hint="eastAsia" w:ascii="宋体" w:hAnsi="宋体" w:eastAsia="宋体" w:cs="宋体"/>
          <w:i w:val="0"/>
          <w:iCs w:val="0"/>
          <w:caps w:val="0"/>
          <w:color w:val="auto"/>
          <w:spacing w:val="0"/>
          <w:sz w:val="24"/>
          <w:szCs w:val="24"/>
          <w:highlight w:val="none"/>
        </w:rPr>
      </w:pPr>
      <w:r>
        <w:rPr>
          <w:rStyle w:val="9"/>
          <w:rFonts w:hint="eastAsia" w:ascii="宋体" w:hAnsi="宋体" w:eastAsia="宋体" w:cs="宋体"/>
          <w:i w:val="0"/>
          <w:iCs w:val="0"/>
          <w:caps w:val="0"/>
          <w:color w:val="auto"/>
          <w:spacing w:val="0"/>
          <w:sz w:val="24"/>
          <w:szCs w:val="24"/>
          <w:highlight w:val="none"/>
        </w:rPr>
        <w:t>2.3.2.2.3 机械化清洗作业规范标准</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1、开车前应检查车辆的灯光、制动、转向系统等是否正常及油、水是否充足，确认正常后方可发动车辆，冷车启动时应怠速预热发动机，严禁猛踩油门，车辆启动后需观察运转是否正常，发现异常需停车检查，排除故障，出车前填写出车表。</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2、路面洗扫作业时，路上作业应配备两人进行，到达作业区，先停车打开所需喷头开关—踩下离合器—挂取力开关取力—进入低速档—打开示宽灯、警示灯，保持20KM/H以下速度进行作业，严禁不用离合器粗暴取力，在高速公路作业时应遵守各项高速公路管理规定。</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3、冲洗中间护栏时，高压水柱射到距离中间护栏50厘米左右的地面位置，喷嘴离地面成60度角到70度角进行冲洗，冲洗过后的中间护栏要达到无泥沙、无污迹及其他杂物。</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4、冲洗快车道石脚边时，高压水柱射到地面上的位置要距离石脚边大约40～50厘米，且与石脚边成一定角度盆水冲洗。</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5、冲洗慢车道时，喷嘴调节为一边喷嘴直冲水，另一边喷嘴斜冲水，使冲出的水成扇形，把慢车道中间的泥水、垃圾冲到石脚边。</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6、作业完毕后，司机须将车停放到车队停车场内，并对车辆进行全面彻底的清洗，保持车辆容貌干净整洁。</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7、作业人员（驾驶员）按要求做好相关行车及工作记录。</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auto"/>
        <w:ind w:left="0" w:right="0" w:firstLine="420"/>
        <w:rPr>
          <w:rFonts w:hint="eastAsia" w:ascii="宋体" w:hAnsi="宋体" w:eastAsia="宋体" w:cs="宋体"/>
          <w:i w:val="0"/>
          <w:iCs w:val="0"/>
          <w:caps w:val="0"/>
          <w:color w:val="auto"/>
          <w:spacing w:val="0"/>
          <w:sz w:val="24"/>
          <w:szCs w:val="24"/>
          <w:highlight w:val="none"/>
        </w:rPr>
      </w:pPr>
    </w:p>
    <w:p>
      <w:pPr>
        <w:keepNext w:val="0"/>
        <w:keepLines w:val="0"/>
        <w:pageBreakBefore w:val="0"/>
        <w:widowControl/>
        <w:suppressLineNumbers w:val="0"/>
        <w:shd w:val="clear"/>
        <w:kinsoku/>
        <w:wordWrap/>
        <w:overflowPunct/>
        <w:topLinePunct w:val="0"/>
        <w:autoSpaceDE/>
        <w:autoSpaceDN/>
        <w:bidi w:val="0"/>
        <w:adjustRightInd/>
        <w:snapToGrid/>
        <w:spacing w:beforeAutospacing="0" w:afterAutospacing="0" w:line="360" w:lineRule="auto"/>
        <w:ind w:right="0"/>
        <w:jc w:val="center"/>
        <w:rPr>
          <w:rFonts w:hint="eastAsia" w:ascii="宋体" w:hAnsi="宋体" w:eastAsia="宋体" w:cs="宋体"/>
          <w:i w:val="0"/>
          <w:iCs w:val="0"/>
          <w:caps w:val="0"/>
          <w:color w:val="auto"/>
          <w:spacing w:val="0"/>
          <w:kern w:val="0"/>
          <w:sz w:val="24"/>
          <w:szCs w:val="24"/>
          <w:highlight w:val="none"/>
          <w:lang w:val="en-US" w:eastAsia="zh-CN" w:bidi="ar"/>
        </w:rPr>
      </w:pPr>
      <w:r>
        <w:rPr>
          <w:rFonts w:hint="eastAsia" w:ascii="宋体" w:hAnsi="宋体" w:eastAsia="宋体" w:cs="宋体"/>
          <w:i w:val="0"/>
          <w:iCs w:val="0"/>
          <w:caps w:val="0"/>
          <w:color w:val="auto"/>
          <w:spacing w:val="0"/>
          <w:kern w:val="0"/>
          <w:sz w:val="24"/>
          <w:szCs w:val="24"/>
          <w:highlight w:val="none"/>
          <w:lang w:val="en-US" w:eastAsia="zh-CN" w:bidi="ar"/>
        </w:rPr>
        <w:drawing>
          <wp:inline distT="0" distB="0" distL="114300" distR="114300">
            <wp:extent cx="5791200" cy="4467225"/>
            <wp:effectExtent l="0" t="0" r="0" b="9525"/>
            <wp:docPr id="2" name="图片 2" descr="15779734049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577973404913.png"/>
                    <pic:cNvPicPr>
                      <a:picLocks noChangeAspect="1"/>
                    </pic:cNvPicPr>
                  </pic:nvPicPr>
                  <pic:blipFill>
                    <a:blip r:embed="rId6"/>
                    <a:stretch>
                      <a:fillRect/>
                    </a:stretch>
                  </pic:blipFill>
                  <pic:spPr>
                    <a:xfrm>
                      <a:off x="0" y="0"/>
                      <a:ext cx="5791200" cy="4467225"/>
                    </a:xfrm>
                    <a:prstGeom prst="rect">
                      <a:avLst/>
                    </a:prstGeom>
                    <a:noFill/>
                    <a:ln>
                      <a:noFill/>
                    </a:ln>
                  </pic:spPr>
                </pic:pic>
              </a:graphicData>
            </a:graphic>
          </wp:inline>
        </w:drawing>
      </w:r>
    </w:p>
    <w:p>
      <w:pPr>
        <w:keepNext w:val="0"/>
        <w:keepLines w:val="0"/>
        <w:pageBreakBefore w:val="0"/>
        <w:widowControl/>
        <w:suppressLineNumbers w:val="0"/>
        <w:shd w:val="clear"/>
        <w:kinsoku/>
        <w:wordWrap/>
        <w:overflowPunct/>
        <w:topLinePunct w:val="0"/>
        <w:autoSpaceDE/>
        <w:autoSpaceDN/>
        <w:bidi w:val="0"/>
        <w:adjustRightInd/>
        <w:snapToGrid/>
        <w:spacing w:beforeAutospacing="0" w:afterAutospacing="0" w:line="360" w:lineRule="auto"/>
        <w:ind w:right="0"/>
        <w:jc w:val="center"/>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kern w:val="0"/>
          <w:sz w:val="24"/>
          <w:szCs w:val="24"/>
          <w:highlight w:val="none"/>
          <w:lang w:val="en-US" w:eastAsia="zh-CN" w:bidi="ar"/>
        </w:rPr>
        <w:t>机械化洒水作业流程图</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auto"/>
        <w:ind w:left="0" w:right="0" w:firstLine="0"/>
        <w:rPr>
          <w:rFonts w:hint="eastAsia" w:ascii="宋体" w:hAnsi="宋体" w:eastAsia="宋体" w:cs="宋体"/>
          <w:i w:val="0"/>
          <w:iCs w:val="0"/>
          <w:caps w:val="0"/>
          <w:color w:val="auto"/>
          <w:spacing w:val="0"/>
          <w:sz w:val="24"/>
          <w:szCs w:val="24"/>
          <w:highlight w:val="none"/>
        </w:rPr>
      </w:pP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auto"/>
        <w:ind w:left="0" w:right="0" w:firstLine="480"/>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 </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firstLine="482" w:firstLineChars="200"/>
        <w:textAlignment w:val="auto"/>
        <w:rPr>
          <w:rFonts w:hint="eastAsia" w:ascii="宋体" w:hAnsi="宋体" w:eastAsia="宋体" w:cs="宋体"/>
          <w:i w:val="0"/>
          <w:iCs w:val="0"/>
          <w:caps w:val="0"/>
          <w:color w:val="auto"/>
          <w:spacing w:val="0"/>
          <w:sz w:val="24"/>
          <w:szCs w:val="24"/>
          <w:highlight w:val="none"/>
        </w:rPr>
      </w:pPr>
      <w:r>
        <w:rPr>
          <w:rStyle w:val="9"/>
          <w:rFonts w:hint="eastAsia" w:ascii="宋体" w:hAnsi="宋体" w:eastAsia="宋体" w:cs="宋体"/>
          <w:i w:val="0"/>
          <w:iCs w:val="0"/>
          <w:caps w:val="0"/>
          <w:color w:val="auto"/>
          <w:spacing w:val="0"/>
          <w:sz w:val="24"/>
          <w:szCs w:val="24"/>
          <w:highlight w:val="none"/>
        </w:rPr>
        <w:t>2.3.2.3 机械化垃圾收运作业标准</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firstLine="482" w:firstLineChars="200"/>
        <w:textAlignment w:val="auto"/>
        <w:rPr>
          <w:rFonts w:hint="eastAsia" w:ascii="宋体" w:hAnsi="宋体" w:eastAsia="宋体" w:cs="宋体"/>
          <w:i w:val="0"/>
          <w:iCs w:val="0"/>
          <w:caps w:val="0"/>
          <w:color w:val="auto"/>
          <w:spacing w:val="0"/>
          <w:sz w:val="24"/>
          <w:szCs w:val="24"/>
          <w:highlight w:val="none"/>
        </w:rPr>
      </w:pPr>
      <w:r>
        <w:rPr>
          <w:rStyle w:val="9"/>
          <w:rFonts w:hint="eastAsia" w:ascii="宋体" w:hAnsi="宋体" w:eastAsia="宋体" w:cs="宋体"/>
          <w:i w:val="0"/>
          <w:iCs w:val="0"/>
          <w:caps w:val="0"/>
          <w:color w:val="auto"/>
          <w:spacing w:val="0"/>
          <w:sz w:val="24"/>
          <w:szCs w:val="24"/>
          <w:highlight w:val="none"/>
        </w:rPr>
        <w:t>2.3.2.3.1 机械化垃圾收运作业质量标准</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垃圾日产日清，运输途中不抛洒、不遗漏，并保持垃圾车整洁。</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firstLine="482" w:firstLineChars="200"/>
        <w:textAlignment w:val="auto"/>
        <w:rPr>
          <w:rFonts w:hint="eastAsia" w:ascii="宋体" w:hAnsi="宋体" w:eastAsia="宋体" w:cs="宋体"/>
          <w:i w:val="0"/>
          <w:iCs w:val="0"/>
          <w:caps w:val="0"/>
          <w:color w:val="auto"/>
          <w:spacing w:val="0"/>
          <w:sz w:val="24"/>
          <w:szCs w:val="24"/>
          <w:highlight w:val="none"/>
        </w:rPr>
      </w:pPr>
      <w:r>
        <w:rPr>
          <w:rStyle w:val="9"/>
          <w:rFonts w:hint="eastAsia" w:ascii="宋体" w:hAnsi="宋体" w:eastAsia="宋体" w:cs="宋体"/>
          <w:i w:val="0"/>
          <w:iCs w:val="0"/>
          <w:caps w:val="0"/>
          <w:color w:val="auto"/>
          <w:spacing w:val="0"/>
          <w:sz w:val="24"/>
          <w:szCs w:val="24"/>
          <w:highlight w:val="none"/>
        </w:rPr>
        <w:t>2.3.2.3.2 机械化垃圾收运时间标准</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每天垃圾收集次数至少二次，确保垃圾的及时收集清运。早上7时前、下午18时前完成收集清运工作（中心区域、繁华主干道22时前应增加一次收集），如遇到郊尾镇举办重大活动或节假日时应增加收集次数。</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firstLine="482" w:firstLineChars="200"/>
        <w:textAlignment w:val="auto"/>
        <w:rPr>
          <w:rFonts w:hint="eastAsia" w:ascii="宋体" w:hAnsi="宋体" w:eastAsia="宋体" w:cs="宋体"/>
          <w:i w:val="0"/>
          <w:iCs w:val="0"/>
          <w:caps w:val="0"/>
          <w:color w:val="auto"/>
          <w:spacing w:val="0"/>
          <w:sz w:val="24"/>
          <w:szCs w:val="24"/>
          <w:highlight w:val="none"/>
        </w:rPr>
      </w:pPr>
      <w:r>
        <w:rPr>
          <w:rStyle w:val="9"/>
          <w:rFonts w:hint="eastAsia" w:ascii="宋体" w:hAnsi="宋体" w:eastAsia="宋体" w:cs="宋体"/>
          <w:i w:val="0"/>
          <w:iCs w:val="0"/>
          <w:caps w:val="0"/>
          <w:color w:val="auto"/>
          <w:spacing w:val="0"/>
          <w:sz w:val="24"/>
          <w:szCs w:val="24"/>
          <w:highlight w:val="none"/>
        </w:rPr>
        <w:t>2.3.2.3.3 机械化垃圾收运作业规范标准</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作业范围和内容：道路范围内的道路路面、桥面、立交、隧道、绿化带、落水井出口、排水口的垃圾清运保洁。</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作业质量要求：</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1、收集后的垃圾运到，转运过程中应有防尘、防污染扩散及污水处置等设施。</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2、运输车车容应整洁，车体外部无污物、灰垢，标志应清晰；运输垃圾应密闭，在运输过程中无垃圾扬、撒、拖挂和污水滴漏；装卸垃圾应符合 作业要求，不得乱倒、乱卸、乱抛垃圾。</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3、运输作业结束，应将车辆清洗干净（结冰期除外），并定期消毒。</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作业要点及技巧：</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1、配备24OL 环保型的垃圾桶；</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2、垃圾分为三类：可回收垃圾、不可回收垃圾、有害垃圾，应分开收集并分开处理；</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3、收集垃圾时不能出现二次污染的情况；</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4、垃圾桶必须严密、不能出现漏洒现象以及运输过程中出现异味；</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5、垃圾应及时清运，不能过夜。</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6、垃圾日产日清，无垃圾桶、果皮箱满溢现象，各类垃圾容器及时清洁，无重异味。</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firstLine="482" w:firstLineChars="200"/>
        <w:textAlignment w:val="auto"/>
        <w:rPr>
          <w:rFonts w:hint="eastAsia" w:ascii="宋体" w:hAnsi="宋体" w:eastAsia="宋体" w:cs="宋体"/>
          <w:i w:val="0"/>
          <w:iCs w:val="0"/>
          <w:caps w:val="0"/>
          <w:color w:val="auto"/>
          <w:spacing w:val="0"/>
          <w:sz w:val="24"/>
          <w:szCs w:val="24"/>
          <w:highlight w:val="none"/>
        </w:rPr>
      </w:pPr>
      <w:r>
        <w:rPr>
          <w:rStyle w:val="9"/>
          <w:rFonts w:hint="eastAsia" w:ascii="宋体" w:hAnsi="宋体" w:eastAsia="宋体" w:cs="宋体"/>
          <w:i w:val="0"/>
          <w:iCs w:val="0"/>
          <w:caps w:val="0"/>
          <w:color w:val="auto"/>
          <w:spacing w:val="0"/>
          <w:sz w:val="24"/>
          <w:szCs w:val="24"/>
          <w:highlight w:val="none"/>
        </w:rPr>
        <w:t>2.3.3 垃圾箱、果皮箱清洗维护标准</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1、放置路边的垃圾桶位置要整齐、安全、恰当，必须贴有明显反光标识；</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2、每天清理不少于三次，每天清洗不少于二次，果皮箱及垃圾收集容器底部每天清理不少于一次，保持内外干净，周围</w:t>
      </w:r>
      <w:r>
        <w:rPr>
          <w:rFonts w:hint="eastAsia" w:ascii="宋体" w:hAnsi="宋体" w:cs="宋体"/>
          <w:i w:val="0"/>
          <w:iCs w:val="0"/>
          <w:caps w:val="0"/>
          <w:color w:val="auto"/>
          <w:spacing w:val="0"/>
          <w:sz w:val="24"/>
          <w:szCs w:val="24"/>
          <w:highlight w:val="none"/>
          <w:lang w:val="en-US" w:eastAsia="zh-CN"/>
        </w:rPr>
        <w:t>1.5</w:t>
      </w:r>
      <w:r>
        <w:rPr>
          <w:rFonts w:hint="eastAsia" w:ascii="宋体" w:hAnsi="宋体" w:eastAsia="宋体" w:cs="宋体"/>
          <w:i w:val="0"/>
          <w:iCs w:val="0"/>
          <w:caps w:val="0"/>
          <w:color w:val="auto"/>
          <w:spacing w:val="0"/>
          <w:sz w:val="24"/>
          <w:szCs w:val="24"/>
          <w:highlight w:val="none"/>
        </w:rPr>
        <w:t>米内无散落、留存垃圾，无污水溢流，无污渍。</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3、果皮箱的垃圾清理后、冲洗完，要将果皮箱恢复原样。</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4、保证果皮箱、垃圾桶周边无垃圾，并要对其进行清洗保证表面无污垢。</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firstLine="482" w:firstLineChars="200"/>
        <w:textAlignment w:val="auto"/>
        <w:rPr>
          <w:rFonts w:hint="eastAsia" w:ascii="宋体" w:hAnsi="宋体" w:eastAsia="宋体" w:cs="宋体"/>
          <w:i w:val="0"/>
          <w:iCs w:val="0"/>
          <w:caps w:val="0"/>
          <w:color w:val="auto"/>
          <w:spacing w:val="0"/>
          <w:sz w:val="24"/>
          <w:szCs w:val="24"/>
          <w:highlight w:val="none"/>
        </w:rPr>
      </w:pPr>
      <w:r>
        <w:rPr>
          <w:rStyle w:val="9"/>
          <w:rFonts w:hint="eastAsia" w:ascii="宋体" w:hAnsi="宋体" w:eastAsia="宋体" w:cs="宋体"/>
          <w:i w:val="0"/>
          <w:iCs w:val="0"/>
          <w:caps w:val="0"/>
          <w:color w:val="auto"/>
          <w:spacing w:val="0"/>
          <w:sz w:val="24"/>
          <w:szCs w:val="24"/>
          <w:highlight w:val="none"/>
        </w:rPr>
        <w:t>2.3.4 道路保洁质量管理考核标准</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firstLine="0"/>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 </w:t>
      </w:r>
    </w:p>
    <w:tbl>
      <w:tblPr>
        <w:tblStyle w:val="7"/>
        <w:tblW w:w="0" w:type="auto"/>
        <w:tblCellSpacing w:w="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473"/>
        <w:gridCol w:w="1051"/>
        <w:gridCol w:w="8"/>
        <w:gridCol w:w="965"/>
        <w:gridCol w:w="63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blCellSpacing w:w="15" w:type="dxa"/>
        </w:trPr>
        <w:tc>
          <w:tcPr>
            <w:tcW w:w="1428" w:type="dxa"/>
            <w:shd w:val="clear" w:color="auto" w:fill="99CCFF"/>
            <w:noWrap w:val="0"/>
            <w:tcMar>
              <w:top w:w="0" w:type="dxa"/>
              <w:left w:w="105" w:type="dxa"/>
              <w:bottom w:w="0" w:type="dxa"/>
              <w:right w:w="105" w:type="dxa"/>
            </w:tcMar>
            <w:vAlign w:val="center"/>
          </w:tcPr>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right="0"/>
              <w:jc w:val="center"/>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时间</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right="0"/>
              <w:jc w:val="center"/>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安排</w:t>
            </w:r>
          </w:p>
        </w:tc>
        <w:tc>
          <w:tcPr>
            <w:tcW w:w="1021" w:type="dxa"/>
            <w:shd w:val="clear" w:color="auto" w:fill="99CCFF"/>
            <w:noWrap w:val="0"/>
            <w:tcMar>
              <w:top w:w="0" w:type="dxa"/>
              <w:left w:w="105" w:type="dxa"/>
              <w:bottom w:w="0" w:type="dxa"/>
              <w:right w:w="105" w:type="dxa"/>
            </w:tcMar>
            <w:vAlign w:val="center"/>
          </w:tcPr>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right="0"/>
              <w:jc w:val="center"/>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检查</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right="0"/>
              <w:jc w:val="center"/>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人员</w:t>
            </w:r>
          </w:p>
        </w:tc>
        <w:tc>
          <w:tcPr>
            <w:tcW w:w="943" w:type="dxa"/>
            <w:gridSpan w:val="2"/>
            <w:shd w:val="clear" w:color="auto" w:fill="99CCFF"/>
            <w:noWrap w:val="0"/>
            <w:tcMar>
              <w:top w:w="0" w:type="dxa"/>
              <w:left w:w="105" w:type="dxa"/>
              <w:bottom w:w="0" w:type="dxa"/>
              <w:right w:w="105" w:type="dxa"/>
            </w:tcMar>
            <w:vAlign w:val="center"/>
          </w:tcPr>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right="0"/>
              <w:jc w:val="center"/>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检查</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right="0"/>
              <w:jc w:val="center"/>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内容</w:t>
            </w:r>
          </w:p>
        </w:tc>
        <w:tc>
          <w:tcPr>
            <w:tcW w:w="6292" w:type="dxa"/>
            <w:shd w:val="clear" w:color="auto" w:fill="99CCFF"/>
            <w:noWrap w:val="0"/>
            <w:tcMar>
              <w:top w:w="0" w:type="dxa"/>
              <w:left w:w="105" w:type="dxa"/>
              <w:bottom w:w="0" w:type="dxa"/>
              <w:right w:w="105" w:type="dxa"/>
            </w:tcMar>
            <w:vAlign w:val="center"/>
          </w:tcPr>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right="0"/>
              <w:jc w:val="center"/>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检查及</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right="0"/>
              <w:jc w:val="center"/>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扣分标准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980" w:hRule="atLeast"/>
          <w:tblCellSpacing w:w="15" w:type="dxa"/>
        </w:trPr>
        <w:tc>
          <w:tcPr>
            <w:tcW w:w="1428" w:type="dxa"/>
            <w:vMerge w:val="restart"/>
            <w:noWrap w:val="0"/>
            <w:tcMar>
              <w:top w:w="0" w:type="dxa"/>
              <w:left w:w="105" w:type="dxa"/>
              <w:bottom w:w="0" w:type="dxa"/>
              <w:right w:w="105" w:type="dxa"/>
            </w:tcMar>
            <w:vAlign w:val="center"/>
          </w:tcPr>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right="0"/>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每日05:00—22:00</w:t>
            </w:r>
          </w:p>
        </w:tc>
        <w:tc>
          <w:tcPr>
            <w:tcW w:w="1021" w:type="dxa"/>
            <w:vMerge w:val="restart"/>
            <w:noWrap w:val="0"/>
            <w:tcMar>
              <w:top w:w="0" w:type="dxa"/>
              <w:left w:w="105" w:type="dxa"/>
              <w:bottom w:w="0" w:type="dxa"/>
              <w:right w:w="105" w:type="dxa"/>
            </w:tcMar>
            <w:vAlign w:val="center"/>
          </w:tcPr>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right="0"/>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项目经理及管理员</w:t>
            </w:r>
          </w:p>
        </w:tc>
        <w:tc>
          <w:tcPr>
            <w:tcW w:w="943" w:type="dxa"/>
            <w:gridSpan w:val="2"/>
            <w:noWrap w:val="0"/>
            <w:tcMar>
              <w:top w:w="0" w:type="dxa"/>
              <w:left w:w="105" w:type="dxa"/>
              <w:bottom w:w="0" w:type="dxa"/>
              <w:right w:w="105" w:type="dxa"/>
            </w:tcMar>
            <w:vAlign w:val="center"/>
          </w:tcPr>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right="0"/>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清扫保洁质量</w:t>
            </w:r>
          </w:p>
        </w:tc>
        <w:tc>
          <w:tcPr>
            <w:tcW w:w="6292" w:type="dxa"/>
            <w:noWrap w:val="0"/>
            <w:tcMar>
              <w:top w:w="0" w:type="dxa"/>
              <w:left w:w="105" w:type="dxa"/>
              <w:bottom w:w="0" w:type="dxa"/>
              <w:right w:w="105" w:type="dxa"/>
            </w:tcMar>
            <w:vAlign w:val="center"/>
          </w:tcPr>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right="0"/>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1、未按规定时间完成大清扫和保洁的，每处扣1分</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right="0"/>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2、道路侧石、人行道、排水口、沙井盖、吊渠口、沟底和路中央等各部位整洁，有积沙、积水、余泥、烟蒂、纸屑、瓜果皮核、痰迹、人畜粪便及其他污物等废弃物，每处扣1分；</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right="0"/>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3、道路清扫保洁未达标准，每100米长（执行20分钟落地原则），每处扣1分。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0" w:hRule="atLeast"/>
          <w:tblCellSpacing w:w="15" w:type="dxa"/>
        </w:trPr>
        <w:tc>
          <w:tcPr>
            <w:tcW w:w="1428" w:type="dxa"/>
            <w:vMerge w:val="continue"/>
            <w:noWrap w:val="0"/>
            <w:tcMar>
              <w:top w:w="0" w:type="dxa"/>
              <w:left w:w="105" w:type="dxa"/>
              <w:bottom w:w="0" w:type="dxa"/>
              <w:right w:w="105" w:type="dxa"/>
            </w:tcMar>
            <w:vAlign w:val="center"/>
          </w:tcPr>
          <w:p>
            <w:pPr>
              <w:keepNext w:val="0"/>
              <w:keepLines w:val="0"/>
              <w:pageBreakBefore w:val="0"/>
              <w:shd w:val="clear"/>
              <w:kinsoku/>
              <w:wordWrap/>
              <w:overflowPunct/>
              <w:topLinePunct w:val="0"/>
              <w:autoSpaceDE/>
              <w:autoSpaceDN/>
              <w:bidi w:val="0"/>
              <w:adjustRightInd/>
              <w:snapToGrid/>
              <w:spacing w:before="0" w:beforeAutospacing="0" w:afterAutospacing="0" w:line="400" w:lineRule="exact"/>
              <w:ind w:right="0"/>
              <w:rPr>
                <w:rFonts w:hint="eastAsia" w:ascii="宋体" w:hAnsi="宋体" w:eastAsia="宋体" w:cs="宋体"/>
                <w:i w:val="0"/>
                <w:iCs w:val="0"/>
                <w:caps w:val="0"/>
                <w:color w:val="auto"/>
                <w:spacing w:val="0"/>
                <w:sz w:val="24"/>
                <w:szCs w:val="24"/>
                <w:highlight w:val="none"/>
              </w:rPr>
            </w:pPr>
          </w:p>
        </w:tc>
        <w:tc>
          <w:tcPr>
            <w:tcW w:w="1021" w:type="dxa"/>
            <w:vMerge w:val="continue"/>
            <w:noWrap w:val="0"/>
            <w:tcMar>
              <w:top w:w="0" w:type="dxa"/>
              <w:left w:w="105" w:type="dxa"/>
              <w:bottom w:w="0" w:type="dxa"/>
              <w:right w:w="105" w:type="dxa"/>
            </w:tcMar>
            <w:vAlign w:val="center"/>
          </w:tcPr>
          <w:p>
            <w:pPr>
              <w:keepNext w:val="0"/>
              <w:keepLines w:val="0"/>
              <w:pageBreakBefore w:val="0"/>
              <w:shd w:val="clear"/>
              <w:kinsoku/>
              <w:wordWrap/>
              <w:overflowPunct/>
              <w:topLinePunct w:val="0"/>
              <w:autoSpaceDE/>
              <w:autoSpaceDN/>
              <w:bidi w:val="0"/>
              <w:adjustRightInd/>
              <w:snapToGrid/>
              <w:spacing w:before="0" w:beforeAutospacing="0" w:afterAutospacing="0" w:line="400" w:lineRule="exact"/>
              <w:ind w:right="0"/>
              <w:rPr>
                <w:rFonts w:hint="eastAsia" w:ascii="宋体" w:hAnsi="宋体" w:eastAsia="宋体" w:cs="宋体"/>
                <w:i w:val="0"/>
                <w:iCs w:val="0"/>
                <w:caps w:val="0"/>
                <w:color w:val="auto"/>
                <w:spacing w:val="0"/>
                <w:sz w:val="24"/>
                <w:szCs w:val="24"/>
                <w:highlight w:val="none"/>
              </w:rPr>
            </w:pPr>
          </w:p>
        </w:tc>
        <w:tc>
          <w:tcPr>
            <w:tcW w:w="943" w:type="dxa"/>
            <w:gridSpan w:val="2"/>
            <w:vMerge w:val="restart"/>
            <w:noWrap w:val="0"/>
            <w:tcMar>
              <w:top w:w="0" w:type="dxa"/>
              <w:left w:w="105" w:type="dxa"/>
              <w:bottom w:w="0" w:type="dxa"/>
              <w:right w:w="105" w:type="dxa"/>
            </w:tcMar>
            <w:vAlign w:val="center"/>
          </w:tcPr>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right="0"/>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乱张贴</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right="0"/>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乱涂画</w:t>
            </w:r>
          </w:p>
        </w:tc>
        <w:tc>
          <w:tcPr>
            <w:tcW w:w="6292" w:type="dxa"/>
            <w:noWrap w:val="0"/>
            <w:tcMar>
              <w:top w:w="0" w:type="dxa"/>
              <w:left w:w="105" w:type="dxa"/>
              <w:bottom w:w="0" w:type="dxa"/>
              <w:right w:w="105" w:type="dxa"/>
            </w:tcMar>
            <w:vAlign w:val="center"/>
          </w:tcPr>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right="0"/>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1、路面：包括城市道路、人行天桥、人行隧道、高架路桥、人行道安全岛等公共区域，发现乱张贴、乱涂写，每处扣1分。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0" w:hRule="atLeast"/>
          <w:tblCellSpacing w:w="15" w:type="dxa"/>
        </w:trPr>
        <w:tc>
          <w:tcPr>
            <w:tcW w:w="1428" w:type="dxa"/>
            <w:vMerge w:val="continue"/>
            <w:noWrap w:val="0"/>
            <w:tcMar>
              <w:top w:w="0" w:type="dxa"/>
              <w:left w:w="105" w:type="dxa"/>
              <w:bottom w:w="0" w:type="dxa"/>
              <w:right w:w="105" w:type="dxa"/>
            </w:tcMar>
            <w:vAlign w:val="center"/>
          </w:tcPr>
          <w:p>
            <w:pPr>
              <w:keepNext w:val="0"/>
              <w:keepLines w:val="0"/>
              <w:pageBreakBefore w:val="0"/>
              <w:shd w:val="clear"/>
              <w:kinsoku/>
              <w:wordWrap/>
              <w:overflowPunct/>
              <w:topLinePunct w:val="0"/>
              <w:autoSpaceDE/>
              <w:autoSpaceDN/>
              <w:bidi w:val="0"/>
              <w:adjustRightInd/>
              <w:snapToGrid/>
              <w:spacing w:before="0" w:beforeAutospacing="0" w:afterAutospacing="0" w:line="400" w:lineRule="exact"/>
              <w:ind w:right="0"/>
              <w:rPr>
                <w:rFonts w:hint="eastAsia" w:ascii="宋体" w:hAnsi="宋体" w:eastAsia="宋体" w:cs="宋体"/>
                <w:i w:val="0"/>
                <w:iCs w:val="0"/>
                <w:caps w:val="0"/>
                <w:color w:val="auto"/>
                <w:spacing w:val="0"/>
                <w:sz w:val="24"/>
                <w:szCs w:val="24"/>
                <w:highlight w:val="none"/>
              </w:rPr>
            </w:pPr>
          </w:p>
        </w:tc>
        <w:tc>
          <w:tcPr>
            <w:tcW w:w="1021" w:type="dxa"/>
            <w:vMerge w:val="continue"/>
            <w:noWrap w:val="0"/>
            <w:tcMar>
              <w:top w:w="0" w:type="dxa"/>
              <w:left w:w="105" w:type="dxa"/>
              <w:bottom w:w="0" w:type="dxa"/>
              <w:right w:w="105" w:type="dxa"/>
            </w:tcMar>
            <w:vAlign w:val="center"/>
          </w:tcPr>
          <w:p>
            <w:pPr>
              <w:keepNext w:val="0"/>
              <w:keepLines w:val="0"/>
              <w:pageBreakBefore w:val="0"/>
              <w:shd w:val="clear"/>
              <w:kinsoku/>
              <w:wordWrap/>
              <w:overflowPunct/>
              <w:topLinePunct w:val="0"/>
              <w:autoSpaceDE/>
              <w:autoSpaceDN/>
              <w:bidi w:val="0"/>
              <w:adjustRightInd/>
              <w:snapToGrid/>
              <w:spacing w:before="0" w:beforeAutospacing="0" w:afterAutospacing="0" w:line="400" w:lineRule="exact"/>
              <w:ind w:right="0"/>
              <w:rPr>
                <w:rFonts w:hint="eastAsia" w:ascii="宋体" w:hAnsi="宋体" w:eastAsia="宋体" w:cs="宋体"/>
                <w:i w:val="0"/>
                <w:iCs w:val="0"/>
                <w:caps w:val="0"/>
                <w:color w:val="auto"/>
                <w:spacing w:val="0"/>
                <w:sz w:val="24"/>
                <w:szCs w:val="24"/>
                <w:highlight w:val="none"/>
              </w:rPr>
            </w:pPr>
          </w:p>
        </w:tc>
        <w:tc>
          <w:tcPr>
            <w:tcW w:w="943" w:type="dxa"/>
            <w:gridSpan w:val="2"/>
            <w:vMerge w:val="continue"/>
            <w:noWrap w:val="0"/>
            <w:tcMar>
              <w:top w:w="0" w:type="dxa"/>
              <w:left w:w="105" w:type="dxa"/>
              <w:bottom w:w="0" w:type="dxa"/>
              <w:right w:w="105" w:type="dxa"/>
            </w:tcMar>
            <w:vAlign w:val="center"/>
          </w:tcPr>
          <w:p>
            <w:pPr>
              <w:keepNext w:val="0"/>
              <w:keepLines w:val="0"/>
              <w:pageBreakBefore w:val="0"/>
              <w:shd w:val="clear"/>
              <w:kinsoku/>
              <w:wordWrap/>
              <w:overflowPunct/>
              <w:topLinePunct w:val="0"/>
              <w:autoSpaceDE/>
              <w:autoSpaceDN/>
              <w:bidi w:val="0"/>
              <w:adjustRightInd/>
              <w:snapToGrid/>
              <w:spacing w:before="0" w:beforeAutospacing="0" w:afterAutospacing="0" w:line="400" w:lineRule="exact"/>
              <w:ind w:right="0"/>
              <w:rPr>
                <w:rFonts w:hint="eastAsia" w:ascii="宋体" w:hAnsi="宋体" w:eastAsia="宋体" w:cs="宋体"/>
                <w:i w:val="0"/>
                <w:iCs w:val="0"/>
                <w:caps w:val="0"/>
                <w:color w:val="auto"/>
                <w:spacing w:val="0"/>
                <w:sz w:val="24"/>
                <w:szCs w:val="24"/>
                <w:highlight w:val="none"/>
              </w:rPr>
            </w:pPr>
          </w:p>
        </w:tc>
        <w:tc>
          <w:tcPr>
            <w:tcW w:w="6292" w:type="dxa"/>
            <w:noWrap w:val="0"/>
            <w:tcMar>
              <w:top w:w="0" w:type="dxa"/>
              <w:left w:w="105" w:type="dxa"/>
              <w:bottom w:w="0" w:type="dxa"/>
              <w:right w:w="105" w:type="dxa"/>
            </w:tcMar>
            <w:vAlign w:val="center"/>
          </w:tcPr>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right="0"/>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2、立面，包括以下内容：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80" w:hRule="atLeast"/>
          <w:tblCellSpacing w:w="15" w:type="dxa"/>
        </w:trPr>
        <w:tc>
          <w:tcPr>
            <w:tcW w:w="1428" w:type="dxa"/>
            <w:vMerge w:val="continue"/>
            <w:noWrap w:val="0"/>
            <w:tcMar>
              <w:top w:w="0" w:type="dxa"/>
              <w:left w:w="105" w:type="dxa"/>
              <w:bottom w:w="0" w:type="dxa"/>
              <w:right w:w="105" w:type="dxa"/>
            </w:tcMar>
            <w:vAlign w:val="center"/>
          </w:tcPr>
          <w:p>
            <w:pPr>
              <w:keepNext w:val="0"/>
              <w:keepLines w:val="0"/>
              <w:pageBreakBefore w:val="0"/>
              <w:shd w:val="clear"/>
              <w:kinsoku/>
              <w:wordWrap/>
              <w:overflowPunct/>
              <w:topLinePunct w:val="0"/>
              <w:autoSpaceDE/>
              <w:autoSpaceDN/>
              <w:bidi w:val="0"/>
              <w:adjustRightInd/>
              <w:snapToGrid/>
              <w:spacing w:before="0" w:beforeAutospacing="0" w:afterAutospacing="0" w:line="400" w:lineRule="exact"/>
              <w:ind w:right="0"/>
              <w:rPr>
                <w:rFonts w:hint="eastAsia" w:ascii="宋体" w:hAnsi="宋体" w:eastAsia="宋体" w:cs="宋体"/>
                <w:i w:val="0"/>
                <w:iCs w:val="0"/>
                <w:caps w:val="0"/>
                <w:color w:val="auto"/>
                <w:spacing w:val="0"/>
                <w:sz w:val="24"/>
                <w:szCs w:val="24"/>
                <w:highlight w:val="none"/>
              </w:rPr>
            </w:pPr>
          </w:p>
        </w:tc>
        <w:tc>
          <w:tcPr>
            <w:tcW w:w="1021" w:type="dxa"/>
            <w:vMerge w:val="continue"/>
            <w:noWrap w:val="0"/>
            <w:tcMar>
              <w:top w:w="0" w:type="dxa"/>
              <w:left w:w="105" w:type="dxa"/>
              <w:bottom w:w="0" w:type="dxa"/>
              <w:right w:w="105" w:type="dxa"/>
            </w:tcMar>
            <w:vAlign w:val="center"/>
          </w:tcPr>
          <w:p>
            <w:pPr>
              <w:keepNext w:val="0"/>
              <w:keepLines w:val="0"/>
              <w:pageBreakBefore w:val="0"/>
              <w:shd w:val="clear"/>
              <w:kinsoku/>
              <w:wordWrap/>
              <w:overflowPunct/>
              <w:topLinePunct w:val="0"/>
              <w:autoSpaceDE/>
              <w:autoSpaceDN/>
              <w:bidi w:val="0"/>
              <w:adjustRightInd/>
              <w:snapToGrid/>
              <w:spacing w:before="0" w:beforeAutospacing="0" w:afterAutospacing="0" w:line="400" w:lineRule="exact"/>
              <w:ind w:right="0"/>
              <w:rPr>
                <w:rFonts w:hint="eastAsia" w:ascii="宋体" w:hAnsi="宋体" w:eastAsia="宋体" w:cs="宋体"/>
                <w:i w:val="0"/>
                <w:iCs w:val="0"/>
                <w:caps w:val="0"/>
                <w:color w:val="auto"/>
                <w:spacing w:val="0"/>
                <w:sz w:val="24"/>
                <w:szCs w:val="24"/>
                <w:highlight w:val="none"/>
              </w:rPr>
            </w:pPr>
          </w:p>
        </w:tc>
        <w:tc>
          <w:tcPr>
            <w:tcW w:w="943" w:type="dxa"/>
            <w:gridSpan w:val="2"/>
            <w:vMerge w:val="continue"/>
            <w:noWrap w:val="0"/>
            <w:tcMar>
              <w:top w:w="0" w:type="dxa"/>
              <w:left w:w="105" w:type="dxa"/>
              <w:bottom w:w="0" w:type="dxa"/>
              <w:right w:w="105" w:type="dxa"/>
            </w:tcMar>
            <w:vAlign w:val="center"/>
          </w:tcPr>
          <w:p>
            <w:pPr>
              <w:keepNext w:val="0"/>
              <w:keepLines w:val="0"/>
              <w:pageBreakBefore w:val="0"/>
              <w:shd w:val="clear"/>
              <w:kinsoku/>
              <w:wordWrap/>
              <w:overflowPunct/>
              <w:topLinePunct w:val="0"/>
              <w:autoSpaceDE/>
              <w:autoSpaceDN/>
              <w:bidi w:val="0"/>
              <w:adjustRightInd/>
              <w:snapToGrid/>
              <w:spacing w:before="0" w:beforeAutospacing="0" w:afterAutospacing="0" w:line="400" w:lineRule="exact"/>
              <w:ind w:right="0"/>
              <w:rPr>
                <w:rFonts w:hint="eastAsia" w:ascii="宋体" w:hAnsi="宋体" w:eastAsia="宋体" w:cs="宋体"/>
                <w:i w:val="0"/>
                <w:iCs w:val="0"/>
                <w:caps w:val="0"/>
                <w:color w:val="auto"/>
                <w:spacing w:val="0"/>
                <w:sz w:val="24"/>
                <w:szCs w:val="24"/>
                <w:highlight w:val="none"/>
              </w:rPr>
            </w:pPr>
          </w:p>
        </w:tc>
        <w:tc>
          <w:tcPr>
            <w:tcW w:w="6292" w:type="dxa"/>
            <w:noWrap w:val="0"/>
            <w:tcMar>
              <w:top w:w="0" w:type="dxa"/>
              <w:left w:w="105" w:type="dxa"/>
              <w:bottom w:w="0" w:type="dxa"/>
              <w:right w:w="105" w:type="dxa"/>
            </w:tcMar>
            <w:vAlign w:val="center"/>
          </w:tcPr>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right="0"/>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（1）构建筑物临街正侧面墙体、玻璃橱窗、卷闸门，发现乱张贴、乱涂写，每处扣1分；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380" w:hRule="atLeast"/>
          <w:tblCellSpacing w:w="15" w:type="dxa"/>
        </w:trPr>
        <w:tc>
          <w:tcPr>
            <w:tcW w:w="1428" w:type="dxa"/>
            <w:vMerge w:val="continue"/>
            <w:noWrap w:val="0"/>
            <w:tcMar>
              <w:top w:w="0" w:type="dxa"/>
              <w:left w:w="105" w:type="dxa"/>
              <w:bottom w:w="0" w:type="dxa"/>
              <w:right w:w="105" w:type="dxa"/>
            </w:tcMar>
            <w:vAlign w:val="center"/>
          </w:tcPr>
          <w:p>
            <w:pPr>
              <w:keepNext w:val="0"/>
              <w:keepLines w:val="0"/>
              <w:pageBreakBefore w:val="0"/>
              <w:shd w:val="clear"/>
              <w:kinsoku/>
              <w:wordWrap/>
              <w:overflowPunct/>
              <w:topLinePunct w:val="0"/>
              <w:autoSpaceDE/>
              <w:autoSpaceDN/>
              <w:bidi w:val="0"/>
              <w:adjustRightInd/>
              <w:snapToGrid/>
              <w:spacing w:before="0" w:beforeAutospacing="0" w:afterAutospacing="0" w:line="400" w:lineRule="exact"/>
              <w:ind w:right="0"/>
              <w:rPr>
                <w:rFonts w:hint="eastAsia" w:ascii="宋体" w:hAnsi="宋体" w:eastAsia="宋体" w:cs="宋体"/>
                <w:i w:val="0"/>
                <w:iCs w:val="0"/>
                <w:caps w:val="0"/>
                <w:color w:val="auto"/>
                <w:spacing w:val="0"/>
                <w:sz w:val="24"/>
                <w:szCs w:val="24"/>
                <w:highlight w:val="none"/>
              </w:rPr>
            </w:pPr>
          </w:p>
        </w:tc>
        <w:tc>
          <w:tcPr>
            <w:tcW w:w="1021" w:type="dxa"/>
            <w:vMerge w:val="continue"/>
            <w:noWrap w:val="0"/>
            <w:tcMar>
              <w:top w:w="0" w:type="dxa"/>
              <w:left w:w="105" w:type="dxa"/>
              <w:bottom w:w="0" w:type="dxa"/>
              <w:right w:w="105" w:type="dxa"/>
            </w:tcMar>
            <w:vAlign w:val="center"/>
          </w:tcPr>
          <w:p>
            <w:pPr>
              <w:keepNext w:val="0"/>
              <w:keepLines w:val="0"/>
              <w:pageBreakBefore w:val="0"/>
              <w:shd w:val="clear"/>
              <w:kinsoku/>
              <w:wordWrap/>
              <w:overflowPunct/>
              <w:topLinePunct w:val="0"/>
              <w:autoSpaceDE/>
              <w:autoSpaceDN/>
              <w:bidi w:val="0"/>
              <w:adjustRightInd/>
              <w:snapToGrid/>
              <w:spacing w:before="0" w:beforeAutospacing="0" w:afterAutospacing="0" w:line="400" w:lineRule="exact"/>
              <w:ind w:right="0"/>
              <w:rPr>
                <w:rFonts w:hint="eastAsia" w:ascii="宋体" w:hAnsi="宋体" w:eastAsia="宋体" w:cs="宋体"/>
                <w:i w:val="0"/>
                <w:iCs w:val="0"/>
                <w:caps w:val="0"/>
                <w:color w:val="auto"/>
                <w:spacing w:val="0"/>
                <w:sz w:val="24"/>
                <w:szCs w:val="24"/>
                <w:highlight w:val="none"/>
              </w:rPr>
            </w:pPr>
          </w:p>
        </w:tc>
        <w:tc>
          <w:tcPr>
            <w:tcW w:w="943" w:type="dxa"/>
            <w:gridSpan w:val="2"/>
            <w:vMerge w:val="continue"/>
            <w:noWrap w:val="0"/>
            <w:tcMar>
              <w:top w:w="0" w:type="dxa"/>
              <w:left w:w="105" w:type="dxa"/>
              <w:bottom w:w="0" w:type="dxa"/>
              <w:right w:w="105" w:type="dxa"/>
            </w:tcMar>
            <w:vAlign w:val="center"/>
          </w:tcPr>
          <w:p>
            <w:pPr>
              <w:keepNext w:val="0"/>
              <w:keepLines w:val="0"/>
              <w:pageBreakBefore w:val="0"/>
              <w:shd w:val="clear"/>
              <w:kinsoku/>
              <w:wordWrap/>
              <w:overflowPunct/>
              <w:topLinePunct w:val="0"/>
              <w:autoSpaceDE/>
              <w:autoSpaceDN/>
              <w:bidi w:val="0"/>
              <w:adjustRightInd/>
              <w:snapToGrid/>
              <w:spacing w:before="0" w:beforeAutospacing="0" w:afterAutospacing="0" w:line="400" w:lineRule="exact"/>
              <w:ind w:right="0"/>
              <w:rPr>
                <w:rFonts w:hint="eastAsia" w:ascii="宋体" w:hAnsi="宋体" w:eastAsia="宋体" w:cs="宋体"/>
                <w:i w:val="0"/>
                <w:iCs w:val="0"/>
                <w:caps w:val="0"/>
                <w:color w:val="auto"/>
                <w:spacing w:val="0"/>
                <w:sz w:val="24"/>
                <w:szCs w:val="24"/>
                <w:highlight w:val="none"/>
              </w:rPr>
            </w:pPr>
          </w:p>
        </w:tc>
        <w:tc>
          <w:tcPr>
            <w:tcW w:w="6292" w:type="dxa"/>
            <w:noWrap w:val="0"/>
            <w:tcMar>
              <w:top w:w="0" w:type="dxa"/>
              <w:left w:w="105" w:type="dxa"/>
              <w:bottom w:w="0" w:type="dxa"/>
              <w:right w:w="105" w:type="dxa"/>
            </w:tcMar>
            <w:vAlign w:val="center"/>
          </w:tcPr>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right="0"/>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（2）围墙防护栏：隔街分界围墙（通透）、建筑工地围墙、道路隔离防护栏（水码、铁码）、交通限高（限制）防护栏（柱）、江堤隔离防护栏、绿化隔离防护栏，发现乱张贴、乱涂写，每处扣1分；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10" w:hRule="atLeast"/>
          <w:tblCellSpacing w:w="15" w:type="dxa"/>
        </w:trPr>
        <w:tc>
          <w:tcPr>
            <w:tcW w:w="1428" w:type="dxa"/>
            <w:vMerge w:val="continue"/>
            <w:noWrap w:val="0"/>
            <w:tcMar>
              <w:top w:w="0" w:type="dxa"/>
              <w:left w:w="105" w:type="dxa"/>
              <w:bottom w:w="0" w:type="dxa"/>
              <w:right w:w="105" w:type="dxa"/>
            </w:tcMar>
            <w:vAlign w:val="center"/>
          </w:tcPr>
          <w:p>
            <w:pPr>
              <w:keepNext w:val="0"/>
              <w:keepLines w:val="0"/>
              <w:pageBreakBefore w:val="0"/>
              <w:shd w:val="clear"/>
              <w:kinsoku/>
              <w:wordWrap/>
              <w:overflowPunct/>
              <w:topLinePunct w:val="0"/>
              <w:autoSpaceDE/>
              <w:autoSpaceDN/>
              <w:bidi w:val="0"/>
              <w:adjustRightInd/>
              <w:snapToGrid/>
              <w:spacing w:before="0" w:beforeAutospacing="0" w:afterAutospacing="0" w:line="400" w:lineRule="exact"/>
              <w:ind w:right="0"/>
              <w:rPr>
                <w:rFonts w:hint="eastAsia" w:ascii="宋体" w:hAnsi="宋体" w:eastAsia="宋体" w:cs="宋体"/>
                <w:i w:val="0"/>
                <w:iCs w:val="0"/>
                <w:caps w:val="0"/>
                <w:color w:val="auto"/>
                <w:spacing w:val="0"/>
                <w:sz w:val="24"/>
                <w:szCs w:val="24"/>
                <w:highlight w:val="none"/>
              </w:rPr>
            </w:pPr>
          </w:p>
        </w:tc>
        <w:tc>
          <w:tcPr>
            <w:tcW w:w="1021" w:type="dxa"/>
            <w:vMerge w:val="continue"/>
            <w:noWrap w:val="0"/>
            <w:tcMar>
              <w:top w:w="0" w:type="dxa"/>
              <w:left w:w="105" w:type="dxa"/>
              <w:bottom w:w="0" w:type="dxa"/>
              <w:right w:w="105" w:type="dxa"/>
            </w:tcMar>
            <w:vAlign w:val="center"/>
          </w:tcPr>
          <w:p>
            <w:pPr>
              <w:keepNext w:val="0"/>
              <w:keepLines w:val="0"/>
              <w:pageBreakBefore w:val="0"/>
              <w:shd w:val="clear"/>
              <w:kinsoku/>
              <w:wordWrap/>
              <w:overflowPunct/>
              <w:topLinePunct w:val="0"/>
              <w:autoSpaceDE/>
              <w:autoSpaceDN/>
              <w:bidi w:val="0"/>
              <w:adjustRightInd/>
              <w:snapToGrid/>
              <w:spacing w:before="0" w:beforeAutospacing="0" w:afterAutospacing="0" w:line="400" w:lineRule="exact"/>
              <w:ind w:right="0"/>
              <w:rPr>
                <w:rFonts w:hint="eastAsia" w:ascii="宋体" w:hAnsi="宋体" w:eastAsia="宋体" w:cs="宋体"/>
                <w:i w:val="0"/>
                <w:iCs w:val="0"/>
                <w:caps w:val="0"/>
                <w:color w:val="auto"/>
                <w:spacing w:val="0"/>
                <w:sz w:val="24"/>
                <w:szCs w:val="24"/>
                <w:highlight w:val="none"/>
              </w:rPr>
            </w:pPr>
          </w:p>
        </w:tc>
        <w:tc>
          <w:tcPr>
            <w:tcW w:w="943" w:type="dxa"/>
            <w:gridSpan w:val="2"/>
            <w:vMerge w:val="continue"/>
            <w:noWrap w:val="0"/>
            <w:tcMar>
              <w:top w:w="0" w:type="dxa"/>
              <w:left w:w="105" w:type="dxa"/>
              <w:bottom w:w="0" w:type="dxa"/>
              <w:right w:w="105" w:type="dxa"/>
            </w:tcMar>
            <w:vAlign w:val="center"/>
          </w:tcPr>
          <w:p>
            <w:pPr>
              <w:keepNext w:val="0"/>
              <w:keepLines w:val="0"/>
              <w:pageBreakBefore w:val="0"/>
              <w:shd w:val="clear"/>
              <w:kinsoku/>
              <w:wordWrap/>
              <w:overflowPunct/>
              <w:topLinePunct w:val="0"/>
              <w:autoSpaceDE/>
              <w:autoSpaceDN/>
              <w:bidi w:val="0"/>
              <w:adjustRightInd/>
              <w:snapToGrid/>
              <w:spacing w:before="0" w:beforeAutospacing="0" w:afterAutospacing="0" w:line="400" w:lineRule="exact"/>
              <w:ind w:right="0"/>
              <w:rPr>
                <w:rFonts w:hint="eastAsia" w:ascii="宋体" w:hAnsi="宋体" w:eastAsia="宋体" w:cs="宋体"/>
                <w:i w:val="0"/>
                <w:iCs w:val="0"/>
                <w:caps w:val="0"/>
                <w:color w:val="auto"/>
                <w:spacing w:val="0"/>
                <w:sz w:val="24"/>
                <w:szCs w:val="24"/>
                <w:highlight w:val="none"/>
              </w:rPr>
            </w:pPr>
          </w:p>
        </w:tc>
        <w:tc>
          <w:tcPr>
            <w:tcW w:w="6292" w:type="dxa"/>
            <w:noWrap w:val="0"/>
            <w:tcMar>
              <w:top w:w="0" w:type="dxa"/>
              <w:left w:w="105" w:type="dxa"/>
              <w:bottom w:w="0" w:type="dxa"/>
              <w:right w:w="105" w:type="dxa"/>
            </w:tcMar>
            <w:vAlign w:val="center"/>
          </w:tcPr>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right="0"/>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3）各类设施：消防栓、电话亭、报刊亭、邮筒、路灯（观景灯）柱、电线杆、树干、交通灯柱、交通指示牌（柱）、视频监控摄像柱、电信线缆接线箱、各类雕塑、路边休息椅（凳）、绿化带休息椅（凳）、宣传栏、广告栏、公交汽车站候车亭（站名牌、广告栏）、环卫工具房、流动公厕、垃圾桶（车）、果皮箱、人行天桥桥墩、人行隧道两侧构建筑物立面、高架路桥桥墩等发现乱张贴、乱涂写，每处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tblCellSpacing w:w="15" w:type="dxa"/>
        </w:trPr>
        <w:tc>
          <w:tcPr>
            <w:tcW w:w="1428" w:type="dxa"/>
            <w:vMerge w:val="continue"/>
            <w:noWrap w:val="0"/>
            <w:tcMar>
              <w:top w:w="0" w:type="dxa"/>
              <w:left w:w="105" w:type="dxa"/>
              <w:bottom w:w="0" w:type="dxa"/>
              <w:right w:w="105" w:type="dxa"/>
            </w:tcMar>
            <w:vAlign w:val="center"/>
          </w:tcPr>
          <w:p>
            <w:pPr>
              <w:keepNext w:val="0"/>
              <w:keepLines w:val="0"/>
              <w:pageBreakBefore w:val="0"/>
              <w:shd w:val="clear"/>
              <w:kinsoku/>
              <w:wordWrap/>
              <w:overflowPunct/>
              <w:topLinePunct w:val="0"/>
              <w:autoSpaceDE/>
              <w:autoSpaceDN/>
              <w:bidi w:val="0"/>
              <w:adjustRightInd/>
              <w:snapToGrid/>
              <w:spacing w:before="0" w:beforeAutospacing="0" w:afterAutospacing="0" w:line="400" w:lineRule="exact"/>
              <w:ind w:right="0"/>
              <w:rPr>
                <w:rFonts w:hint="eastAsia" w:ascii="宋体" w:hAnsi="宋体" w:eastAsia="宋体" w:cs="宋体"/>
                <w:i w:val="0"/>
                <w:iCs w:val="0"/>
                <w:caps w:val="0"/>
                <w:color w:val="auto"/>
                <w:spacing w:val="0"/>
                <w:sz w:val="24"/>
                <w:szCs w:val="24"/>
                <w:highlight w:val="none"/>
              </w:rPr>
            </w:pPr>
          </w:p>
        </w:tc>
        <w:tc>
          <w:tcPr>
            <w:tcW w:w="1021" w:type="dxa"/>
            <w:vMerge w:val="continue"/>
            <w:noWrap w:val="0"/>
            <w:tcMar>
              <w:top w:w="0" w:type="dxa"/>
              <w:left w:w="105" w:type="dxa"/>
              <w:bottom w:w="0" w:type="dxa"/>
              <w:right w:w="105" w:type="dxa"/>
            </w:tcMar>
            <w:vAlign w:val="center"/>
          </w:tcPr>
          <w:p>
            <w:pPr>
              <w:keepNext w:val="0"/>
              <w:keepLines w:val="0"/>
              <w:pageBreakBefore w:val="0"/>
              <w:shd w:val="clear"/>
              <w:kinsoku/>
              <w:wordWrap/>
              <w:overflowPunct/>
              <w:topLinePunct w:val="0"/>
              <w:autoSpaceDE/>
              <w:autoSpaceDN/>
              <w:bidi w:val="0"/>
              <w:adjustRightInd/>
              <w:snapToGrid/>
              <w:spacing w:before="0" w:beforeAutospacing="0" w:afterAutospacing="0" w:line="400" w:lineRule="exact"/>
              <w:ind w:right="0"/>
              <w:rPr>
                <w:rFonts w:hint="eastAsia" w:ascii="宋体" w:hAnsi="宋体" w:eastAsia="宋体" w:cs="宋体"/>
                <w:i w:val="0"/>
                <w:iCs w:val="0"/>
                <w:caps w:val="0"/>
                <w:color w:val="auto"/>
                <w:spacing w:val="0"/>
                <w:sz w:val="24"/>
                <w:szCs w:val="24"/>
                <w:highlight w:val="none"/>
              </w:rPr>
            </w:pPr>
          </w:p>
        </w:tc>
        <w:tc>
          <w:tcPr>
            <w:tcW w:w="943" w:type="dxa"/>
            <w:gridSpan w:val="2"/>
            <w:vMerge w:val="restart"/>
            <w:noWrap w:val="0"/>
            <w:tcMar>
              <w:top w:w="0" w:type="dxa"/>
              <w:left w:w="105" w:type="dxa"/>
              <w:bottom w:w="0" w:type="dxa"/>
              <w:right w:w="105" w:type="dxa"/>
            </w:tcMar>
            <w:vAlign w:val="center"/>
          </w:tcPr>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right="0"/>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垃圾桶</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right="0"/>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管理</w:t>
            </w:r>
          </w:p>
        </w:tc>
        <w:tc>
          <w:tcPr>
            <w:tcW w:w="6292" w:type="dxa"/>
            <w:noWrap w:val="0"/>
            <w:tcMar>
              <w:top w:w="0" w:type="dxa"/>
              <w:left w:w="105" w:type="dxa"/>
              <w:bottom w:w="0" w:type="dxa"/>
              <w:right w:w="105" w:type="dxa"/>
            </w:tcMar>
            <w:vAlign w:val="center"/>
          </w:tcPr>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right="0"/>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1、垃圾桶的管理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65" w:hRule="atLeast"/>
          <w:tblCellSpacing w:w="15" w:type="dxa"/>
        </w:trPr>
        <w:tc>
          <w:tcPr>
            <w:tcW w:w="1428" w:type="dxa"/>
            <w:vMerge w:val="continue"/>
            <w:noWrap w:val="0"/>
            <w:tcMar>
              <w:top w:w="0" w:type="dxa"/>
              <w:left w:w="105" w:type="dxa"/>
              <w:bottom w:w="0" w:type="dxa"/>
              <w:right w:w="105" w:type="dxa"/>
            </w:tcMar>
            <w:vAlign w:val="center"/>
          </w:tcPr>
          <w:p>
            <w:pPr>
              <w:keepNext w:val="0"/>
              <w:keepLines w:val="0"/>
              <w:pageBreakBefore w:val="0"/>
              <w:shd w:val="clear"/>
              <w:kinsoku/>
              <w:wordWrap/>
              <w:overflowPunct/>
              <w:topLinePunct w:val="0"/>
              <w:autoSpaceDE/>
              <w:autoSpaceDN/>
              <w:bidi w:val="0"/>
              <w:adjustRightInd/>
              <w:snapToGrid/>
              <w:spacing w:before="0" w:beforeAutospacing="0" w:afterAutospacing="0" w:line="400" w:lineRule="exact"/>
              <w:ind w:right="0"/>
              <w:rPr>
                <w:rFonts w:hint="eastAsia" w:ascii="宋体" w:hAnsi="宋体" w:eastAsia="宋体" w:cs="宋体"/>
                <w:i w:val="0"/>
                <w:iCs w:val="0"/>
                <w:caps w:val="0"/>
                <w:color w:val="auto"/>
                <w:spacing w:val="0"/>
                <w:sz w:val="24"/>
                <w:szCs w:val="24"/>
                <w:highlight w:val="none"/>
              </w:rPr>
            </w:pPr>
          </w:p>
        </w:tc>
        <w:tc>
          <w:tcPr>
            <w:tcW w:w="1021" w:type="dxa"/>
            <w:vMerge w:val="continue"/>
            <w:noWrap w:val="0"/>
            <w:tcMar>
              <w:top w:w="0" w:type="dxa"/>
              <w:left w:w="105" w:type="dxa"/>
              <w:bottom w:w="0" w:type="dxa"/>
              <w:right w:w="105" w:type="dxa"/>
            </w:tcMar>
            <w:vAlign w:val="center"/>
          </w:tcPr>
          <w:p>
            <w:pPr>
              <w:keepNext w:val="0"/>
              <w:keepLines w:val="0"/>
              <w:pageBreakBefore w:val="0"/>
              <w:shd w:val="clear"/>
              <w:kinsoku/>
              <w:wordWrap/>
              <w:overflowPunct/>
              <w:topLinePunct w:val="0"/>
              <w:autoSpaceDE/>
              <w:autoSpaceDN/>
              <w:bidi w:val="0"/>
              <w:adjustRightInd/>
              <w:snapToGrid/>
              <w:spacing w:before="0" w:beforeAutospacing="0" w:afterAutospacing="0" w:line="400" w:lineRule="exact"/>
              <w:ind w:right="0"/>
              <w:rPr>
                <w:rFonts w:hint="eastAsia" w:ascii="宋体" w:hAnsi="宋体" w:eastAsia="宋体" w:cs="宋体"/>
                <w:i w:val="0"/>
                <w:iCs w:val="0"/>
                <w:caps w:val="0"/>
                <w:color w:val="auto"/>
                <w:spacing w:val="0"/>
                <w:sz w:val="24"/>
                <w:szCs w:val="24"/>
                <w:highlight w:val="none"/>
              </w:rPr>
            </w:pPr>
          </w:p>
        </w:tc>
        <w:tc>
          <w:tcPr>
            <w:tcW w:w="943" w:type="dxa"/>
            <w:gridSpan w:val="2"/>
            <w:vMerge w:val="continue"/>
            <w:noWrap w:val="0"/>
            <w:tcMar>
              <w:top w:w="0" w:type="dxa"/>
              <w:left w:w="105" w:type="dxa"/>
              <w:bottom w:w="0" w:type="dxa"/>
              <w:right w:w="105" w:type="dxa"/>
            </w:tcMar>
            <w:vAlign w:val="center"/>
          </w:tcPr>
          <w:p>
            <w:pPr>
              <w:keepNext w:val="0"/>
              <w:keepLines w:val="0"/>
              <w:pageBreakBefore w:val="0"/>
              <w:shd w:val="clear"/>
              <w:kinsoku/>
              <w:wordWrap/>
              <w:overflowPunct/>
              <w:topLinePunct w:val="0"/>
              <w:autoSpaceDE/>
              <w:autoSpaceDN/>
              <w:bidi w:val="0"/>
              <w:adjustRightInd/>
              <w:snapToGrid/>
              <w:spacing w:before="0" w:beforeAutospacing="0" w:afterAutospacing="0" w:line="400" w:lineRule="exact"/>
              <w:ind w:right="0"/>
              <w:rPr>
                <w:rFonts w:hint="eastAsia" w:ascii="宋体" w:hAnsi="宋体" w:eastAsia="宋体" w:cs="宋体"/>
                <w:i w:val="0"/>
                <w:iCs w:val="0"/>
                <w:caps w:val="0"/>
                <w:color w:val="auto"/>
                <w:spacing w:val="0"/>
                <w:sz w:val="24"/>
                <w:szCs w:val="24"/>
                <w:highlight w:val="none"/>
              </w:rPr>
            </w:pPr>
          </w:p>
        </w:tc>
        <w:tc>
          <w:tcPr>
            <w:tcW w:w="6292" w:type="dxa"/>
            <w:noWrap w:val="0"/>
            <w:tcMar>
              <w:top w:w="0" w:type="dxa"/>
              <w:left w:w="105" w:type="dxa"/>
              <w:bottom w:w="0" w:type="dxa"/>
              <w:right w:w="105" w:type="dxa"/>
            </w:tcMar>
            <w:vAlign w:val="center"/>
          </w:tcPr>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right="0"/>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（1）保持垃圾桶（车）良好性能，外观洁净不破损，摆放整齐，场地清洁，维修更新及时，如有维护不到位，发现每次扣1分。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65" w:hRule="atLeast"/>
          <w:tblCellSpacing w:w="15" w:type="dxa"/>
        </w:trPr>
        <w:tc>
          <w:tcPr>
            <w:tcW w:w="1428" w:type="dxa"/>
            <w:vMerge w:val="continue"/>
            <w:noWrap w:val="0"/>
            <w:tcMar>
              <w:top w:w="0" w:type="dxa"/>
              <w:left w:w="105" w:type="dxa"/>
              <w:bottom w:w="0" w:type="dxa"/>
              <w:right w:w="105" w:type="dxa"/>
            </w:tcMar>
            <w:vAlign w:val="center"/>
          </w:tcPr>
          <w:p>
            <w:pPr>
              <w:keepNext w:val="0"/>
              <w:keepLines w:val="0"/>
              <w:pageBreakBefore w:val="0"/>
              <w:shd w:val="clear"/>
              <w:kinsoku/>
              <w:wordWrap/>
              <w:overflowPunct/>
              <w:topLinePunct w:val="0"/>
              <w:autoSpaceDE/>
              <w:autoSpaceDN/>
              <w:bidi w:val="0"/>
              <w:adjustRightInd/>
              <w:snapToGrid/>
              <w:spacing w:before="0" w:beforeAutospacing="0" w:afterAutospacing="0" w:line="400" w:lineRule="exact"/>
              <w:ind w:right="0"/>
              <w:rPr>
                <w:rFonts w:hint="eastAsia" w:ascii="宋体" w:hAnsi="宋体" w:eastAsia="宋体" w:cs="宋体"/>
                <w:i w:val="0"/>
                <w:iCs w:val="0"/>
                <w:caps w:val="0"/>
                <w:color w:val="auto"/>
                <w:spacing w:val="0"/>
                <w:sz w:val="24"/>
                <w:szCs w:val="24"/>
                <w:highlight w:val="none"/>
              </w:rPr>
            </w:pPr>
          </w:p>
        </w:tc>
        <w:tc>
          <w:tcPr>
            <w:tcW w:w="1021" w:type="dxa"/>
            <w:vMerge w:val="continue"/>
            <w:noWrap w:val="0"/>
            <w:tcMar>
              <w:top w:w="0" w:type="dxa"/>
              <w:left w:w="105" w:type="dxa"/>
              <w:bottom w:w="0" w:type="dxa"/>
              <w:right w:w="105" w:type="dxa"/>
            </w:tcMar>
            <w:vAlign w:val="center"/>
          </w:tcPr>
          <w:p>
            <w:pPr>
              <w:keepNext w:val="0"/>
              <w:keepLines w:val="0"/>
              <w:pageBreakBefore w:val="0"/>
              <w:shd w:val="clear"/>
              <w:kinsoku/>
              <w:wordWrap/>
              <w:overflowPunct/>
              <w:topLinePunct w:val="0"/>
              <w:autoSpaceDE/>
              <w:autoSpaceDN/>
              <w:bidi w:val="0"/>
              <w:adjustRightInd/>
              <w:snapToGrid/>
              <w:spacing w:before="0" w:beforeAutospacing="0" w:afterAutospacing="0" w:line="400" w:lineRule="exact"/>
              <w:ind w:right="0"/>
              <w:rPr>
                <w:rFonts w:hint="eastAsia" w:ascii="宋体" w:hAnsi="宋体" w:eastAsia="宋体" w:cs="宋体"/>
                <w:i w:val="0"/>
                <w:iCs w:val="0"/>
                <w:caps w:val="0"/>
                <w:color w:val="auto"/>
                <w:spacing w:val="0"/>
                <w:sz w:val="24"/>
                <w:szCs w:val="24"/>
                <w:highlight w:val="none"/>
              </w:rPr>
            </w:pPr>
          </w:p>
        </w:tc>
        <w:tc>
          <w:tcPr>
            <w:tcW w:w="943" w:type="dxa"/>
            <w:gridSpan w:val="2"/>
            <w:vMerge w:val="continue"/>
            <w:noWrap w:val="0"/>
            <w:tcMar>
              <w:top w:w="0" w:type="dxa"/>
              <w:left w:w="105" w:type="dxa"/>
              <w:bottom w:w="0" w:type="dxa"/>
              <w:right w:w="105" w:type="dxa"/>
            </w:tcMar>
            <w:vAlign w:val="center"/>
          </w:tcPr>
          <w:p>
            <w:pPr>
              <w:keepNext w:val="0"/>
              <w:keepLines w:val="0"/>
              <w:pageBreakBefore w:val="0"/>
              <w:shd w:val="clear"/>
              <w:kinsoku/>
              <w:wordWrap/>
              <w:overflowPunct/>
              <w:topLinePunct w:val="0"/>
              <w:autoSpaceDE/>
              <w:autoSpaceDN/>
              <w:bidi w:val="0"/>
              <w:adjustRightInd/>
              <w:snapToGrid/>
              <w:spacing w:before="0" w:beforeAutospacing="0" w:afterAutospacing="0" w:line="400" w:lineRule="exact"/>
              <w:ind w:right="0"/>
              <w:rPr>
                <w:rFonts w:hint="eastAsia" w:ascii="宋体" w:hAnsi="宋体" w:eastAsia="宋体" w:cs="宋体"/>
                <w:i w:val="0"/>
                <w:iCs w:val="0"/>
                <w:caps w:val="0"/>
                <w:color w:val="auto"/>
                <w:spacing w:val="0"/>
                <w:sz w:val="24"/>
                <w:szCs w:val="24"/>
                <w:highlight w:val="none"/>
              </w:rPr>
            </w:pPr>
          </w:p>
        </w:tc>
        <w:tc>
          <w:tcPr>
            <w:tcW w:w="6292" w:type="dxa"/>
            <w:noWrap w:val="0"/>
            <w:tcMar>
              <w:top w:w="0" w:type="dxa"/>
              <w:left w:w="105" w:type="dxa"/>
              <w:bottom w:w="0" w:type="dxa"/>
              <w:right w:w="105" w:type="dxa"/>
            </w:tcMar>
            <w:vAlign w:val="center"/>
          </w:tcPr>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right="0"/>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（2）对垃圾桶进行维修保养，保证垃圾桶的完整无损和正常使用，如发现没有完成，每次扣1分。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5" w:hRule="atLeast"/>
          <w:tblCellSpacing w:w="15" w:type="dxa"/>
        </w:trPr>
        <w:tc>
          <w:tcPr>
            <w:tcW w:w="1428" w:type="dxa"/>
            <w:vMerge w:val="continue"/>
            <w:noWrap w:val="0"/>
            <w:tcMar>
              <w:top w:w="0" w:type="dxa"/>
              <w:left w:w="105" w:type="dxa"/>
              <w:bottom w:w="0" w:type="dxa"/>
              <w:right w:w="105" w:type="dxa"/>
            </w:tcMar>
            <w:vAlign w:val="center"/>
          </w:tcPr>
          <w:p>
            <w:pPr>
              <w:keepNext w:val="0"/>
              <w:keepLines w:val="0"/>
              <w:pageBreakBefore w:val="0"/>
              <w:shd w:val="clear"/>
              <w:kinsoku/>
              <w:wordWrap/>
              <w:overflowPunct/>
              <w:topLinePunct w:val="0"/>
              <w:autoSpaceDE/>
              <w:autoSpaceDN/>
              <w:bidi w:val="0"/>
              <w:adjustRightInd/>
              <w:snapToGrid/>
              <w:spacing w:before="0" w:beforeAutospacing="0" w:afterAutospacing="0" w:line="400" w:lineRule="exact"/>
              <w:ind w:right="0"/>
              <w:rPr>
                <w:rFonts w:hint="eastAsia" w:ascii="宋体" w:hAnsi="宋体" w:eastAsia="宋体" w:cs="宋体"/>
                <w:i w:val="0"/>
                <w:iCs w:val="0"/>
                <w:caps w:val="0"/>
                <w:color w:val="auto"/>
                <w:spacing w:val="0"/>
                <w:sz w:val="24"/>
                <w:szCs w:val="24"/>
                <w:highlight w:val="none"/>
              </w:rPr>
            </w:pPr>
          </w:p>
        </w:tc>
        <w:tc>
          <w:tcPr>
            <w:tcW w:w="1021" w:type="dxa"/>
            <w:vMerge w:val="continue"/>
            <w:noWrap w:val="0"/>
            <w:tcMar>
              <w:top w:w="0" w:type="dxa"/>
              <w:left w:w="105" w:type="dxa"/>
              <w:bottom w:w="0" w:type="dxa"/>
              <w:right w:w="105" w:type="dxa"/>
            </w:tcMar>
            <w:vAlign w:val="center"/>
          </w:tcPr>
          <w:p>
            <w:pPr>
              <w:keepNext w:val="0"/>
              <w:keepLines w:val="0"/>
              <w:pageBreakBefore w:val="0"/>
              <w:shd w:val="clear"/>
              <w:kinsoku/>
              <w:wordWrap/>
              <w:overflowPunct/>
              <w:topLinePunct w:val="0"/>
              <w:autoSpaceDE/>
              <w:autoSpaceDN/>
              <w:bidi w:val="0"/>
              <w:adjustRightInd/>
              <w:snapToGrid/>
              <w:spacing w:before="0" w:beforeAutospacing="0" w:afterAutospacing="0" w:line="400" w:lineRule="exact"/>
              <w:ind w:right="0"/>
              <w:rPr>
                <w:rFonts w:hint="eastAsia" w:ascii="宋体" w:hAnsi="宋体" w:eastAsia="宋体" w:cs="宋体"/>
                <w:i w:val="0"/>
                <w:iCs w:val="0"/>
                <w:caps w:val="0"/>
                <w:color w:val="auto"/>
                <w:spacing w:val="0"/>
                <w:sz w:val="24"/>
                <w:szCs w:val="24"/>
                <w:highlight w:val="none"/>
              </w:rPr>
            </w:pPr>
          </w:p>
        </w:tc>
        <w:tc>
          <w:tcPr>
            <w:tcW w:w="943" w:type="dxa"/>
            <w:gridSpan w:val="2"/>
            <w:vMerge w:val="continue"/>
            <w:noWrap w:val="0"/>
            <w:tcMar>
              <w:top w:w="0" w:type="dxa"/>
              <w:left w:w="105" w:type="dxa"/>
              <w:bottom w:w="0" w:type="dxa"/>
              <w:right w:w="105" w:type="dxa"/>
            </w:tcMar>
            <w:vAlign w:val="center"/>
          </w:tcPr>
          <w:p>
            <w:pPr>
              <w:keepNext w:val="0"/>
              <w:keepLines w:val="0"/>
              <w:pageBreakBefore w:val="0"/>
              <w:shd w:val="clear"/>
              <w:kinsoku/>
              <w:wordWrap/>
              <w:overflowPunct/>
              <w:topLinePunct w:val="0"/>
              <w:autoSpaceDE/>
              <w:autoSpaceDN/>
              <w:bidi w:val="0"/>
              <w:adjustRightInd/>
              <w:snapToGrid/>
              <w:spacing w:before="0" w:beforeAutospacing="0" w:afterAutospacing="0" w:line="400" w:lineRule="exact"/>
              <w:ind w:right="0"/>
              <w:rPr>
                <w:rFonts w:hint="eastAsia" w:ascii="宋体" w:hAnsi="宋体" w:eastAsia="宋体" w:cs="宋体"/>
                <w:i w:val="0"/>
                <w:iCs w:val="0"/>
                <w:caps w:val="0"/>
                <w:color w:val="auto"/>
                <w:spacing w:val="0"/>
                <w:sz w:val="24"/>
                <w:szCs w:val="24"/>
                <w:highlight w:val="none"/>
              </w:rPr>
            </w:pPr>
          </w:p>
        </w:tc>
        <w:tc>
          <w:tcPr>
            <w:tcW w:w="6292" w:type="dxa"/>
            <w:noWrap w:val="0"/>
            <w:tcMar>
              <w:top w:w="0" w:type="dxa"/>
              <w:left w:w="105" w:type="dxa"/>
              <w:bottom w:w="0" w:type="dxa"/>
              <w:right w:w="105" w:type="dxa"/>
            </w:tcMar>
            <w:vAlign w:val="center"/>
          </w:tcPr>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right="0"/>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2、垃圾桶点的管理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365" w:hRule="atLeast"/>
          <w:tblCellSpacing w:w="15" w:type="dxa"/>
        </w:trPr>
        <w:tc>
          <w:tcPr>
            <w:tcW w:w="1428" w:type="dxa"/>
            <w:vMerge w:val="restart"/>
            <w:noWrap w:val="0"/>
            <w:tcMar>
              <w:top w:w="0" w:type="dxa"/>
              <w:left w:w="105" w:type="dxa"/>
              <w:bottom w:w="0" w:type="dxa"/>
              <w:right w:w="105" w:type="dxa"/>
            </w:tcMar>
            <w:vAlign w:val="center"/>
          </w:tcPr>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right="0"/>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每日05:00—22:00</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right="0"/>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 </w:t>
            </w:r>
          </w:p>
        </w:tc>
        <w:tc>
          <w:tcPr>
            <w:tcW w:w="1021" w:type="dxa"/>
            <w:vMerge w:val="restart"/>
            <w:noWrap w:val="0"/>
            <w:tcMar>
              <w:top w:w="0" w:type="dxa"/>
              <w:left w:w="105" w:type="dxa"/>
              <w:bottom w:w="0" w:type="dxa"/>
              <w:right w:w="105" w:type="dxa"/>
            </w:tcMar>
            <w:vAlign w:val="center"/>
          </w:tcPr>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right="0"/>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项目经理及管理员</w:t>
            </w:r>
          </w:p>
        </w:tc>
        <w:tc>
          <w:tcPr>
            <w:tcW w:w="943" w:type="dxa"/>
            <w:gridSpan w:val="2"/>
            <w:vMerge w:val="restart"/>
            <w:noWrap w:val="0"/>
            <w:tcMar>
              <w:top w:w="0" w:type="dxa"/>
              <w:left w:w="105" w:type="dxa"/>
              <w:bottom w:w="0" w:type="dxa"/>
              <w:right w:w="10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beforeAutospacing="0" w:afterAutospacing="0" w:line="400" w:lineRule="exact"/>
              <w:ind w:right="0"/>
              <w:jc w:val="left"/>
              <w:rPr>
                <w:rFonts w:hint="eastAsia" w:ascii="宋体" w:hAnsi="宋体" w:eastAsia="宋体" w:cs="宋体"/>
                <w:i w:val="0"/>
                <w:iCs w:val="0"/>
                <w:caps w:val="0"/>
                <w:color w:val="auto"/>
                <w:spacing w:val="0"/>
                <w:sz w:val="24"/>
                <w:szCs w:val="24"/>
                <w:highlight w:val="none"/>
              </w:rPr>
            </w:pPr>
          </w:p>
        </w:tc>
        <w:tc>
          <w:tcPr>
            <w:tcW w:w="6292" w:type="dxa"/>
            <w:noWrap w:val="0"/>
            <w:tcMar>
              <w:top w:w="0" w:type="dxa"/>
              <w:left w:w="105" w:type="dxa"/>
              <w:bottom w:w="0" w:type="dxa"/>
              <w:right w:w="105" w:type="dxa"/>
            </w:tcMar>
            <w:vAlign w:val="center"/>
          </w:tcPr>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right="0"/>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1）垃圾桶（车）点要合理选择摆放位置，不能阻碍车辆和行人通过，禁止垃圾桶（车）摆放在人行道或行人斑马线上。每个装车点停放垃圾桶（车）不能超过6个，并成一行摆放，桶轮（车把）统一朝向马路，如违反规定，每处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65" w:hRule="atLeast"/>
          <w:tblCellSpacing w:w="15" w:type="dxa"/>
        </w:trPr>
        <w:tc>
          <w:tcPr>
            <w:tcW w:w="1428" w:type="dxa"/>
            <w:vMerge w:val="continue"/>
            <w:noWrap w:val="0"/>
            <w:tcMar>
              <w:top w:w="0" w:type="dxa"/>
              <w:left w:w="105" w:type="dxa"/>
              <w:bottom w:w="0" w:type="dxa"/>
              <w:right w:w="105" w:type="dxa"/>
            </w:tcMar>
            <w:vAlign w:val="center"/>
          </w:tcPr>
          <w:p>
            <w:pPr>
              <w:keepNext w:val="0"/>
              <w:keepLines w:val="0"/>
              <w:pageBreakBefore w:val="0"/>
              <w:shd w:val="clear"/>
              <w:kinsoku/>
              <w:wordWrap/>
              <w:overflowPunct/>
              <w:topLinePunct w:val="0"/>
              <w:autoSpaceDE/>
              <w:autoSpaceDN/>
              <w:bidi w:val="0"/>
              <w:adjustRightInd/>
              <w:snapToGrid/>
              <w:spacing w:before="0" w:beforeAutospacing="0" w:afterAutospacing="0" w:line="400" w:lineRule="exact"/>
              <w:ind w:right="0"/>
              <w:rPr>
                <w:rFonts w:hint="eastAsia" w:ascii="宋体" w:hAnsi="宋体" w:eastAsia="宋体" w:cs="宋体"/>
                <w:i w:val="0"/>
                <w:iCs w:val="0"/>
                <w:caps w:val="0"/>
                <w:color w:val="auto"/>
                <w:spacing w:val="0"/>
                <w:sz w:val="24"/>
                <w:szCs w:val="24"/>
                <w:highlight w:val="none"/>
              </w:rPr>
            </w:pPr>
          </w:p>
        </w:tc>
        <w:tc>
          <w:tcPr>
            <w:tcW w:w="1021" w:type="dxa"/>
            <w:vMerge w:val="continue"/>
            <w:noWrap w:val="0"/>
            <w:tcMar>
              <w:top w:w="0" w:type="dxa"/>
              <w:left w:w="105" w:type="dxa"/>
              <w:bottom w:w="0" w:type="dxa"/>
              <w:right w:w="105" w:type="dxa"/>
            </w:tcMar>
            <w:vAlign w:val="center"/>
          </w:tcPr>
          <w:p>
            <w:pPr>
              <w:keepNext w:val="0"/>
              <w:keepLines w:val="0"/>
              <w:pageBreakBefore w:val="0"/>
              <w:shd w:val="clear"/>
              <w:kinsoku/>
              <w:wordWrap/>
              <w:overflowPunct/>
              <w:topLinePunct w:val="0"/>
              <w:autoSpaceDE/>
              <w:autoSpaceDN/>
              <w:bidi w:val="0"/>
              <w:adjustRightInd/>
              <w:snapToGrid/>
              <w:spacing w:before="0" w:beforeAutospacing="0" w:afterAutospacing="0" w:line="400" w:lineRule="exact"/>
              <w:ind w:right="0"/>
              <w:rPr>
                <w:rFonts w:hint="eastAsia" w:ascii="宋体" w:hAnsi="宋体" w:eastAsia="宋体" w:cs="宋体"/>
                <w:i w:val="0"/>
                <w:iCs w:val="0"/>
                <w:caps w:val="0"/>
                <w:color w:val="auto"/>
                <w:spacing w:val="0"/>
                <w:sz w:val="24"/>
                <w:szCs w:val="24"/>
                <w:highlight w:val="none"/>
              </w:rPr>
            </w:pPr>
          </w:p>
        </w:tc>
        <w:tc>
          <w:tcPr>
            <w:tcW w:w="943" w:type="dxa"/>
            <w:gridSpan w:val="2"/>
            <w:vMerge w:val="continue"/>
            <w:noWrap w:val="0"/>
            <w:tcMar>
              <w:top w:w="0" w:type="dxa"/>
              <w:left w:w="105" w:type="dxa"/>
              <w:bottom w:w="0" w:type="dxa"/>
              <w:right w:w="105" w:type="dxa"/>
            </w:tcMar>
            <w:vAlign w:val="center"/>
          </w:tcPr>
          <w:p>
            <w:pPr>
              <w:keepNext w:val="0"/>
              <w:keepLines w:val="0"/>
              <w:pageBreakBefore w:val="0"/>
              <w:shd w:val="clear"/>
              <w:kinsoku/>
              <w:wordWrap/>
              <w:overflowPunct/>
              <w:topLinePunct w:val="0"/>
              <w:autoSpaceDE/>
              <w:autoSpaceDN/>
              <w:bidi w:val="0"/>
              <w:adjustRightInd/>
              <w:snapToGrid/>
              <w:spacing w:before="0" w:beforeAutospacing="0" w:afterAutospacing="0" w:line="400" w:lineRule="exact"/>
              <w:ind w:right="0"/>
              <w:rPr>
                <w:rFonts w:hint="eastAsia" w:ascii="宋体" w:hAnsi="宋体" w:eastAsia="宋体" w:cs="宋体"/>
                <w:i w:val="0"/>
                <w:iCs w:val="0"/>
                <w:caps w:val="0"/>
                <w:color w:val="auto"/>
                <w:spacing w:val="0"/>
                <w:sz w:val="24"/>
                <w:szCs w:val="24"/>
                <w:highlight w:val="none"/>
              </w:rPr>
            </w:pPr>
          </w:p>
        </w:tc>
        <w:tc>
          <w:tcPr>
            <w:tcW w:w="6292" w:type="dxa"/>
            <w:noWrap w:val="0"/>
            <w:tcMar>
              <w:top w:w="0" w:type="dxa"/>
              <w:left w:w="105" w:type="dxa"/>
              <w:bottom w:w="0" w:type="dxa"/>
              <w:right w:w="105" w:type="dxa"/>
            </w:tcMar>
            <w:vAlign w:val="center"/>
          </w:tcPr>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right="0"/>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（2）垃圾桶点必须做到垃圾不外溢、不落地，拉运垃圾桶产生的余泥、杂物，负责该路段的环卫工人必须及时清理，如违反规定，每处扣1分；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80" w:hRule="atLeast"/>
          <w:tblCellSpacing w:w="15" w:type="dxa"/>
        </w:trPr>
        <w:tc>
          <w:tcPr>
            <w:tcW w:w="1428" w:type="dxa"/>
            <w:vMerge w:val="continue"/>
            <w:noWrap w:val="0"/>
            <w:tcMar>
              <w:top w:w="0" w:type="dxa"/>
              <w:left w:w="105" w:type="dxa"/>
              <w:bottom w:w="0" w:type="dxa"/>
              <w:right w:w="105" w:type="dxa"/>
            </w:tcMar>
            <w:vAlign w:val="center"/>
          </w:tcPr>
          <w:p>
            <w:pPr>
              <w:keepNext w:val="0"/>
              <w:keepLines w:val="0"/>
              <w:pageBreakBefore w:val="0"/>
              <w:shd w:val="clear"/>
              <w:kinsoku/>
              <w:wordWrap/>
              <w:overflowPunct/>
              <w:topLinePunct w:val="0"/>
              <w:autoSpaceDE/>
              <w:autoSpaceDN/>
              <w:bidi w:val="0"/>
              <w:adjustRightInd/>
              <w:snapToGrid/>
              <w:spacing w:before="0" w:beforeAutospacing="0" w:afterAutospacing="0" w:line="400" w:lineRule="exact"/>
              <w:ind w:right="0"/>
              <w:rPr>
                <w:rFonts w:hint="eastAsia" w:ascii="宋体" w:hAnsi="宋体" w:eastAsia="宋体" w:cs="宋体"/>
                <w:i w:val="0"/>
                <w:iCs w:val="0"/>
                <w:caps w:val="0"/>
                <w:color w:val="auto"/>
                <w:spacing w:val="0"/>
                <w:sz w:val="24"/>
                <w:szCs w:val="24"/>
                <w:highlight w:val="none"/>
              </w:rPr>
            </w:pPr>
          </w:p>
        </w:tc>
        <w:tc>
          <w:tcPr>
            <w:tcW w:w="1021" w:type="dxa"/>
            <w:vMerge w:val="continue"/>
            <w:noWrap w:val="0"/>
            <w:tcMar>
              <w:top w:w="0" w:type="dxa"/>
              <w:left w:w="105" w:type="dxa"/>
              <w:bottom w:w="0" w:type="dxa"/>
              <w:right w:w="105" w:type="dxa"/>
            </w:tcMar>
            <w:vAlign w:val="center"/>
          </w:tcPr>
          <w:p>
            <w:pPr>
              <w:keepNext w:val="0"/>
              <w:keepLines w:val="0"/>
              <w:pageBreakBefore w:val="0"/>
              <w:shd w:val="clear"/>
              <w:kinsoku/>
              <w:wordWrap/>
              <w:overflowPunct/>
              <w:topLinePunct w:val="0"/>
              <w:autoSpaceDE/>
              <w:autoSpaceDN/>
              <w:bidi w:val="0"/>
              <w:adjustRightInd/>
              <w:snapToGrid/>
              <w:spacing w:before="0" w:beforeAutospacing="0" w:afterAutospacing="0" w:line="400" w:lineRule="exact"/>
              <w:ind w:right="0"/>
              <w:rPr>
                <w:rFonts w:hint="eastAsia" w:ascii="宋体" w:hAnsi="宋体" w:eastAsia="宋体" w:cs="宋体"/>
                <w:i w:val="0"/>
                <w:iCs w:val="0"/>
                <w:caps w:val="0"/>
                <w:color w:val="auto"/>
                <w:spacing w:val="0"/>
                <w:sz w:val="24"/>
                <w:szCs w:val="24"/>
                <w:highlight w:val="none"/>
              </w:rPr>
            </w:pPr>
          </w:p>
        </w:tc>
        <w:tc>
          <w:tcPr>
            <w:tcW w:w="943" w:type="dxa"/>
            <w:gridSpan w:val="2"/>
            <w:vMerge w:val="continue"/>
            <w:noWrap w:val="0"/>
            <w:tcMar>
              <w:top w:w="0" w:type="dxa"/>
              <w:left w:w="105" w:type="dxa"/>
              <w:bottom w:w="0" w:type="dxa"/>
              <w:right w:w="105" w:type="dxa"/>
            </w:tcMar>
            <w:vAlign w:val="center"/>
          </w:tcPr>
          <w:p>
            <w:pPr>
              <w:keepNext w:val="0"/>
              <w:keepLines w:val="0"/>
              <w:pageBreakBefore w:val="0"/>
              <w:shd w:val="clear"/>
              <w:kinsoku/>
              <w:wordWrap/>
              <w:overflowPunct/>
              <w:topLinePunct w:val="0"/>
              <w:autoSpaceDE/>
              <w:autoSpaceDN/>
              <w:bidi w:val="0"/>
              <w:adjustRightInd/>
              <w:snapToGrid/>
              <w:spacing w:before="0" w:beforeAutospacing="0" w:afterAutospacing="0" w:line="400" w:lineRule="exact"/>
              <w:ind w:right="0"/>
              <w:rPr>
                <w:rFonts w:hint="eastAsia" w:ascii="宋体" w:hAnsi="宋体" w:eastAsia="宋体" w:cs="宋体"/>
                <w:i w:val="0"/>
                <w:iCs w:val="0"/>
                <w:caps w:val="0"/>
                <w:color w:val="auto"/>
                <w:spacing w:val="0"/>
                <w:sz w:val="24"/>
                <w:szCs w:val="24"/>
                <w:highlight w:val="none"/>
              </w:rPr>
            </w:pPr>
          </w:p>
        </w:tc>
        <w:tc>
          <w:tcPr>
            <w:tcW w:w="6292" w:type="dxa"/>
            <w:noWrap w:val="0"/>
            <w:tcMar>
              <w:top w:w="0" w:type="dxa"/>
              <w:left w:w="105" w:type="dxa"/>
              <w:bottom w:w="0" w:type="dxa"/>
              <w:right w:w="105" w:type="dxa"/>
            </w:tcMar>
            <w:vAlign w:val="center"/>
          </w:tcPr>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right="0"/>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（3）环卫工人必须对自己负责路段的桶点做到无积水、无污迹，如果未能做到，扣1分；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00" w:hRule="atLeast"/>
          <w:tblCellSpacing w:w="15" w:type="dxa"/>
        </w:trPr>
        <w:tc>
          <w:tcPr>
            <w:tcW w:w="1428" w:type="dxa"/>
            <w:vMerge w:val="continue"/>
            <w:noWrap w:val="0"/>
            <w:tcMar>
              <w:top w:w="0" w:type="dxa"/>
              <w:left w:w="105" w:type="dxa"/>
              <w:bottom w:w="0" w:type="dxa"/>
              <w:right w:w="105" w:type="dxa"/>
            </w:tcMar>
            <w:vAlign w:val="center"/>
          </w:tcPr>
          <w:p>
            <w:pPr>
              <w:keepNext w:val="0"/>
              <w:keepLines w:val="0"/>
              <w:pageBreakBefore w:val="0"/>
              <w:shd w:val="clear"/>
              <w:kinsoku/>
              <w:wordWrap/>
              <w:overflowPunct/>
              <w:topLinePunct w:val="0"/>
              <w:autoSpaceDE/>
              <w:autoSpaceDN/>
              <w:bidi w:val="0"/>
              <w:adjustRightInd/>
              <w:snapToGrid/>
              <w:spacing w:before="0" w:beforeAutospacing="0" w:afterAutospacing="0" w:line="400" w:lineRule="exact"/>
              <w:ind w:right="0"/>
              <w:rPr>
                <w:rFonts w:hint="eastAsia" w:ascii="宋体" w:hAnsi="宋体" w:eastAsia="宋体" w:cs="宋体"/>
                <w:i w:val="0"/>
                <w:iCs w:val="0"/>
                <w:caps w:val="0"/>
                <w:color w:val="auto"/>
                <w:spacing w:val="0"/>
                <w:sz w:val="24"/>
                <w:szCs w:val="24"/>
                <w:highlight w:val="none"/>
              </w:rPr>
            </w:pPr>
          </w:p>
        </w:tc>
        <w:tc>
          <w:tcPr>
            <w:tcW w:w="1021" w:type="dxa"/>
            <w:vMerge w:val="continue"/>
            <w:noWrap w:val="0"/>
            <w:tcMar>
              <w:top w:w="0" w:type="dxa"/>
              <w:left w:w="105" w:type="dxa"/>
              <w:bottom w:w="0" w:type="dxa"/>
              <w:right w:w="105" w:type="dxa"/>
            </w:tcMar>
            <w:vAlign w:val="center"/>
          </w:tcPr>
          <w:p>
            <w:pPr>
              <w:keepNext w:val="0"/>
              <w:keepLines w:val="0"/>
              <w:pageBreakBefore w:val="0"/>
              <w:shd w:val="clear"/>
              <w:kinsoku/>
              <w:wordWrap/>
              <w:overflowPunct/>
              <w:topLinePunct w:val="0"/>
              <w:autoSpaceDE/>
              <w:autoSpaceDN/>
              <w:bidi w:val="0"/>
              <w:adjustRightInd/>
              <w:snapToGrid/>
              <w:spacing w:before="0" w:beforeAutospacing="0" w:afterAutospacing="0" w:line="400" w:lineRule="exact"/>
              <w:ind w:right="0"/>
              <w:rPr>
                <w:rFonts w:hint="eastAsia" w:ascii="宋体" w:hAnsi="宋体" w:eastAsia="宋体" w:cs="宋体"/>
                <w:i w:val="0"/>
                <w:iCs w:val="0"/>
                <w:caps w:val="0"/>
                <w:color w:val="auto"/>
                <w:spacing w:val="0"/>
                <w:sz w:val="24"/>
                <w:szCs w:val="24"/>
                <w:highlight w:val="none"/>
              </w:rPr>
            </w:pPr>
          </w:p>
        </w:tc>
        <w:tc>
          <w:tcPr>
            <w:tcW w:w="943" w:type="dxa"/>
            <w:gridSpan w:val="2"/>
            <w:vMerge w:val="continue"/>
            <w:noWrap w:val="0"/>
            <w:tcMar>
              <w:top w:w="0" w:type="dxa"/>
              <w:left w:w="105" w:type="dxa"/>
              <w:bottom w:w="0" w:type="dxa"/>
              <w:right w:w="105" w:type="dxa"/>
            </w:tcMar>
            <w:vAlign w:val="center"/>
          </w:tcPr>
          <w:p>
            <w:pPr>
              <w:keepNext w:val="0"/>
              <w:keepLines w:val="0"/>
              <w:pageBreakBefore w:val="0"/>
              <w:shd w:val="clear"/>
              <w:kinsoku/>
              <w:wordWrap/>
              <w:overflowPunct/>
              <w:topLinePunct w:val="0"/>
              <w:autoSpaceDE/>
              <w:autoSpaceDN/>
              <w:bidi w:val="0"/>
              <w:adjustRightInd/>
              <w:snapToGrid/>
              <w:spacing w:before="0" w:beforeAutospacing="0" w:afterAutospacing="0" w:line="400" w:lineRule="exact"/>
              <w:ind w:right="0"/>
              <w:rPr>
                <w:rFonts w:hint="eastAsia" w:ascii="宋体" w:hAnsi="宋体" w:eastAsia="宋体" w:cs="宋体"/>
                <w:i w:val="0"/>
                <w:iCs w:val="0"/>
                <w:caps w:val="0"/>
                <w:color w:val="auto"/>
                <w:spacing w:val="0"/>
                <w:sz w:val="24"/>
                <w:szCs w:val="24"/>
                <w:highlight w:val="none"/>
              </w:rPr>
            </w:pPr>
          </w:p>
        </w:tc>
        <w:tc>
          <w:tcPr>
            <w:tcW w:w="6292" w:type="dxa"/>
            <w:noWrap w:val="0"/>
            <w:tcMar>
              <w:top w:w="0" w:type="dxa"/>
              <w:left w:w="105" w:type="dxa"/>
              <w:bottom w:w="0" w:type="dxa"/>
              <w:right w:w="105" w:type="dxa"/>
            </w:tcMar>
            <w:vAlign w:val="center"/>
          </w:tcPr>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right="0"/>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（4）如发现垃圾桶不洁，负责该路段的环卫工人扣1分；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65" w:hRule="atLeast"/>
          <w:tblCellSpacing w:w="15" w:type="dxa"/>
        </w:trPr>
        <w:tc>
          <w:tcPr>
            <w:tcW w:w="1428" w:type="dxa"/>
            <w:vMerge w:val="continue"/>
            <w:noWrap w:val="0"/>
            <w:tcMar>
              <w:top w:w="0" w:type="dxa"/>
              <w:left w:w="105" w:type="dxa"/>
              <w:bottom w:w="0" w:type="dxa"/>
              <w:right w:w="105" w:type="dxa"/>
            </w:tcMar>
            <w:vAlign w:val="center"/>
          </w:tcPr>
          <w:p>
            <w:pPr>
              <w:keepNext w:val="0"/>
              <w:keepLines w:val="0"/>
              <w:pageBreakBefore w:val="0"/>
              <w:shd w:val="clear"/>
              <w:kinsoku/>
              <w:wordWrap/>
              <w:overflowPunct/>
              <w:topLinePunct w:val="0"/>
              <w:autoSpaceDE/>
              <w:autoSpaceDN/>
              <w:bidi w:val="0"/>
              <w:adjustRightInd/>
              <w:snapToGrid/>
              <w:spacing w:before="0" w:beforeAutospacing="0" w:afterAutospacing="0" w:line="400" w:lineRule="exact"/>
              <w:ind w:right="0"/>
              <w:rPr>
                <w:rFonts w:hint="eastAsia" w:ascii="宋体" w:hAnsi="宋体" w:eastAsia="宋体" w:cs="宋体"/>
                <w:i w:val="0"/>
                <w:iCs w:val="0"/>
                <w:caps w:val="0"/>
                <w:color w:val="auto"/>
                <w:spacing w:val="0"/>
                <w:sz w:val="24"/>
                <w:szCs w:val="24"/>
                <w:highlight w:val="none"/>
              </w:rPr>
            </w:pPr>
          </w:p>
        </w:tc>
        <w:tc>
          <w:tcPr>
            <w:tcW w:w="1021" w:type="dxa"/>
            <w:vMerge w:val="continue"/>
            <w:noWrap w:val="0"/>
            <w:tcMar>
              <w:top w:w="0" w:type="dxa"/>
              <w:left w:w="105" w:type="dxa"/>
              <w:bottom w:w="0" w:type="dxa"/>
              <w:right w:w="105" w:type="dxa"/>
            </w:tcMar>
            <w:vAlign w:val="center"/>
          </w:tcPr>
          <w:p>
            <w:pPr>
              <w:keepNext w:val="0"/>
              <w:keepLines w:val="0"/>
              <w:pageBreakBefore w:val="0"/>
              <w:shd w:val="clear"/>
              <w:kinsoku/>
              <w:wordWrap/>
              <w:overflowPunct/>
              <w:topLinePunct w:val="0"/>
              <w:autoSpaceDE/>
              <w:autoSpaceDN/>
              <w:bidi w:val="0"/>
              <w:adjustRightInd/>
              <w:snapToGrid/>
              <w:spacing w:before="0" w:beforeAutospacing="0" w:afterAutospacing="0" w:line="400" w:lineRule="exact"/>
              <w:ind w:right="0"/>
              <w:rPr>
                <w:rFonts w:hint="eastAsia" w:ascii="宋体" w:hAnsi="宋体" w:eastAsia="宋体" w:cs="宋体"/>
                <w:i w:val="0"/>
                <w:iCs w:val="0"/>
                <w:caps w:val="0"/>
                <w:color w:val="auto"/>
                <w:spacing w:val="0"/>
                <w:sz w:val="24"/>
                <w:szCs w:val="24"/>
                <w:highlight w:val="none"/>
              </w:rPr>
            </w:pPr>
          </w:p>
        </w:tc>
        <w:tc>
          <w:tcPr>
            <w:tcW w:w="943" w:type="dxa"/>
            <w:gridSpan w:val="2"/>
            <w:vMerge w:val="restart"/>
            <w:noWrap w:val="0"/>
            <w:tcMar>
              <w:top w:w="0" w:type="dxa"/>
              <w:left w:w="105" w:type="dxa"/>
              <w:bottom w:w="0" w:type="dxa"/>
              <w:right w:w="105" w:type="dxa"/>
            </w:tcMar>
            <w:vAlign w:val="center"/>
          </w:tcPr>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right="0"/>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果皮箱</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right="0"/>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管理</w:t>
            </w:r>
          </w:p>
        </w:tc>
        <w:tc>
          <w:tcPr>
            <w:tcW w:w="6292" w:type="dxa"/>
            <w:noWrap w:val="0"/>
            <w:tcMar>
              <w:top w:w="0" w:type="dxa"/>
              <w:left w:w="105" w:type="dxa"/>
              <w:bottom w:w="0" w:type="dxa"/>
              <w:right w:w="105" w:type="dxa"/>
            </w:tcMar>
            <w:vAlign w:val="center"/>
          </w:tcPr>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right="0"/>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1、果皮箱的设置未能按照马路等级规定的相应距离摆放，果皮箱开口处没有对准人行道行进的方向，每处扣1分；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65" w:hRule="atLeast"/>
          <w:tblCellSpacing w:w="15" w:type="dxa"/>
        </w:trPr>
        <w:tc>
          <w:tcPr>
            <w:tcW w:w="1428" w:type="dxa"/>
            <w:vMerge w:val="continue"/>
            <w:noWrap w:val="0"/>
            <w:tcMar>
              <w:top w:w="0" w:type="dxa"/>
              <w:left w:w="105" w:type="dxa"/>
              <w:bottom w:w="0" w:type="dxa"/>
              <w:right w:w="105" w:type="dxa"/>
            </w:tcMar>
            <w:vAlign w:val="center"/>
          </w:tcPr>
          <w:p>
            <w:pPr>
              <w:keepNext w:val="0"/>
              <w:keepLines w:val="0"/>
              <w:pageBreakBefore w:val="0"/>
              <w:shd w:val="clear"/>
              <w:kinsoku/>
              <w:wordWrap/>
              <w:overflowPunct/>
              <w:topLinePunct w:val="0"/>
              <w:autoSpaceDE/>
              <w:autoSpaceDN/>
              <w:bidi w:val="0"/>
              <w:adjustRightInd/>
              <w:snapToGrid/>
              <w:spacing w:before="0" w:beforeAutospacing="0" w:afterAutospacing="0" w:line="400" w:lineRule="exact"/>
              <w:ind w:right="0"/>
              <w:rPr>
                <w:rFonts w:hint="eastAsia" w:ascii="宋体" w:hAnsi="宋体" w:eastAsia="宋体" w:cs="宋体"/>
                <w:i w:val="0"/>
                <w:iCs w:val="0"/>
                <w:caps w:val="0"/>
                <w:color w:val="auto"/>
                <w:spacing w:val="0"/>
                <w:sz w:val="24"/>
                <w:szCs w:val="24"/>
                <w:highlight w:val="none"/>
              </w:rPr>
            </w:pPr>
          </w:p>
        </w:tc>
        <w:tc>
          <w:tcPr>
            <w:tcW w:w="1021" w:type="dxa"/>
            <w:vMerge w:val="continue"/>
            <w:noWrap w:val="0"/>
            <w:tcMar>
              <w:top w:w="0" w:type="dxa"/>
              <w:left w:w="105" w:type="dxa"/>
              <w:bottom w:w="0" w:type="dxa"/>
              <w:right w:w="105" w:type="dxa"/>
            </w:tcMar>
            <w:vAlign w:val="center"/>
          </w:tcPr>
          <w:p>
            <w:pPr>
              <w:keepNext w:val="0"/>
              <w:keepLines w:val="0"/>
              <w:pageBreakBefore w:val="0"/>
              <w:shd w:val="clear"/>
              <w:kinsoku/>
              <w:wordWrap/>
              <w:overflowPunct/>
              <w:topLinePunct w:val="0"/>
              <w:autoSpaceDE/>
              <w:autoSpaceDN/>
              <w:bidi w:val="0"/>
              <w:adjustRightInd/>
              <w:snapToGrid/>
              <w:spacing w:before="0" w:beforeAutospacing="0" w:afterAutospacing="0" w:line="400" w:lineRule="exact"/>
              <w:ind w:right="0"/>
              <w:rPr>
                <w:rFonts w:hint="eastAsia" w:ascii="宋体" w:hAnsi="宋体" w:eastAsia="宋体" w:cs="宋体"/>
                <w:i w:val="0"/>
                <w:iCs w:val="0"/>
                <w:caps w:val="0"/>
                <w:color w:val="auto"/>
                <w:spacing w:val="0"/>
                <w:sz w:val="24"/>
                <w:szCs w:val="24"/>
                <w:highlight w:val="none"/>
              </w:rPr>
            </w:pPr>
          </w:p>
        </w:tc>
        <w:tc>
          <w:tcPr>
            <w:tcW w:w="943" w:type="dxa"/>
            <w:gridSpan w:val="2"/>
            <w:vMerge w:val="continue"/>
            <w:noWrap w:val="0"/>
            <w:tcMar>
              <w:top w:w="0" w:type="dxa"/>
              <w:left w:w="105" w:type="dxa"/>
              <w:bottom w:w="0" w:type="dxa"/>
              <w:right w:w="105" w:type="dxa"/>
            </w:tcMar>
            <w:vAlign w:val="center"/>
          </w:tcPr>
          <w:p>
            <w:pPr>
              <w:keepNext w:val="0"/>
              <w:keepLines w:val="0"/>
              <w:pageBreakBefore w:val="0"/>
              <w:shd w:val="clear"/>
              <w:kinsoku/>
              <w:wordWrap/>
              <w:overflowPunct/>
              <w:topLinePunct w:val="0"/>
              <w:autoSpaceDE/>
              <w:autoSpaceDN/>
              <w:bidi w:val="0"/>
              <w:adjustRightInd/>
              <w:snapToGrid/>
              <w:spacing w:before="0" w:beforeAutospacing="0" w:afterAutospacing="0" w:line="400" w:lineRule="exact"/>
              <w:ind w:right="0"/>
              <w:rPr>
                <w:rFonts w:hint="eastAsia" w:ascii="宋体" w:hAnsi="宋体" w:eastAsia="宋体" w:cs="宋体"/>
                <w:i w:val="0"/>
                <w:iCs w:val="0"/>
                <w:caps w:val="0"/>
                <w:color w:val="auto"/>
                <w:spacing w:val="0"/>
                <w:sz w:val="24"/>
                <w:szCs w:val="24"/>
                <w:highlight w:val="none"/>
              </w:rPr>
            </w:pPr>
          </w:p>
        </w:tc>
        <w:tc>
          <w:tcPr>
            <w:tcW w:w="6292" w:type="dxa"/>
            <w:noWrap w:val="0"/>
            <w:tcMar>
              <w:top w:w="0" w:type="dxa"/>
              <w:left w:w="105" w:type="dxa"/>
              <w:bottom w:w="0" w:type="dxa"/>
              <w:right w:w="105" w:type="dxa"/>
            </w:tcMar>
            <w:vAlign w:val="center"/>
          </w:tcPr>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right="0"/>
              <w:rPr>
                <w:rFonts w:hint="eastAsia" w:ascii="宋体" w:hAnsi="宋体" w:eastAsia="宋体" w:cs="宋体"/>
                <w:color w:val="auto"/>
                <w:sz w:val="24"/>
                <w:szCs w:val="24"/>
                <w:highlight w:val="none"/>
                <w:lang w:eastAsia="zh-CN"/>
              </w:rPr>
            </w:pPr>
            <w:r>
              <w:rPr>
                <w:rFonts w:hint="eastAsia" w:ascii="宋体" w:hAnsi="宋体" w:eastAsia="宋体" w:cs="宋体"/>
                <w:i w:val="0"/>
                <w:iCs w:val="0"/>
                <w:caps w:val="0"/>
                <w:color w:val="auto"/>
                <w:spacing w:val="0"/>
                <w:sz w:val="24"/>
                <w:szCs w:val="24"/>
                <w:highlight w:val="none"/>
              </w:rPr>
              <w:t xml:space="preserve">2、果皮箱内的垃圾没有及时清理，垃圾储量超出开口处，每处扣1分；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65" w:hRule="atLeast"/>
          <w:tblCellSpacing w:w="15" w:type="dxa"/>
        </w:trPr>
        <w:tc>
          <w:tcPr>
            <w:tcW w:w="1428" w:type="dxa"/>
            <w:vMerge w:val="continue"/>
            <w:noWrap w:val="0"/>
            <w:tcMar>
              <w:top w:w="0" w:type="dxa"/>
              <w:left w:w="105" w:type="dxa"/>
              <w:bottom w:w="0" w:type="dxa"/>
              <w:right w:w="105" w:type="dxa"/>
            </w:tcMar>
            <w:vAlign w:val="center"/>
          </w:tcPr>
          <w:p>
            <w:pPr>
              <w:keepNext w:val="0"/>
              <w:keepLines w:val="0"/>
              <w:pageBreakBefore w:val="0"/>
              <w:shd w:val="clear"/>
              <w:kinsoku/>
              <w:wordWrap/>
              <w:overflowPunct/>
              <w:topLinePunct w:val="0"/>
              <w:autoSpaceDE/>
              <w:autoSpaceDN/>
              <w:bidi w:val="0"/>
              <w:adjustRightInd/>
              <w:snapToGrid/>
              <w:spacing w:before="0" w:beforeAutospacing="0" w:afterAutospacing="0" w:line="400" w:lineRule="exact"/>
              <w:ind w:right="0"/>
              <w:rPr>
                <w:rFonts w:hint="eastAsia" w:ascii="宋体" w:hAnsi="宋体" w:eastAsia="宋体" w:cs="宋体"/>
                <w:i w:val="0"/>
                <w:iCs w:val="0"/>
                <w:caps w:val="0"/>
                <w:color w:val="auto"/>
                <w:spacing w:val="0"/>
                <w:sz w:val="24"/>
                <w:szCs w:val="24"/>
                <w:highlight w:val="none"/>
              </w:rPr>
            </w:pPr>
          </w:p>
        </w:tc>
        <w:tc>
          <w:tcPr>
            <w:tcW w:w="1021" w:type="dxa"/>
            <w:vMerge w:val="continue"/>
            <w:noWrap w:val="0"/>
            <w:tcMar>
              <w:top w:w="0" w:type="dxa"/>
              <w:left w:w="105" w:type="dxa"/>
              <w:bottom w:w="0" w:type="dxa"/>
              <w:right w:w="105" w:type="dxa"/>
            </w:tcMar>
            <w:vAlign w:val="center"/>
          </w:tcPr>
          <w:p>
            <w:pPr>
              <w:keepNext w:val="0"/>
              <w:keepLines w:val="0"/>
              <w:pageBreakBefore w:val="0"/>
              <w:shd w:val="clear"/>
              <w:kinsoku/>
              <w:wordWrap/>
              <w:overflowPunct/>
              <w:topLinePunct w:val="0"/>
              <w:autoSpaceDE/>
              <w:autoSpaceDN/>
              <w:bidi w:val="0"/>
              <w:adjustRightInd/>
              <w:snapToGrid/>
              <w:spacing w:before="0" w:beforeAutospacing="0" w:afterAutospacing="0" w:line="400" w:lineRule="exact"/>
              <w:ind w:right="0"/>
              <w:rPr>
                <w:rFonts w:hint="eastAsia" w:ascii="宋体" w:hAnsi="宋体" w:eastAsia="宋体" w:cs="宋体"/>
                <w:i w:val="0"/>
                <w:iCs w:val="0"/>
                <w:caps w:val="0"/>
                <w:color w:val="auto"/>
                <w:spacing w:val="0"/>
                <w:sz w:val="24"/>
                <w:szCs w:val="24"/>
                <w:highlight w:val="none"/>
              </w:rPr>
            </w:pPr>
          </w:p>
        </w:tc>
        <w:tc>
          <w:tcPr>
            <w:tcW w:w="943" w:type="dxa"/>
            <w:gridSpan w:val="2"/>
            <w:vMerge w:val="continue"/>
            <w:noWrap w:val="0"/>
            <w:tcMar>
              <w:top w:w="0" w:type="dxa"/>
              <w:left w:w="105" w:type="dxa"/>
              <w:bottom w:w="0" w:type="dxa"/>
              <w:right w:w="105" w:type="dxa"/>
            </w:tcMar>
            <w:vAlign w:val="center"/>
          </w:tcPr>
          <w:p>
            <w:pPr>
              <w:keepNext w:val="0"/>
              <w:keepLines w:val="0"/>
              <w:pageBreakBefore w:val="0"/>
              <w:shd w:val="clear"/>
              <w:kinsoku/>
              <w:wordWrap/>
              <w:overflowPunct/>
              <w:topLinePunct w:val="0"/>
              <w:autoSpaceDE/>
              <w:autoSpaceDN/>
              <w:bidi w:val="0"/>
              <w:adjustRightInd/>
              <w:snapToGrid/>
              <w:spacing w:before="0" w:beforeAutospacing="0" w:afterAutospacing="0" w:line="400" w:lineRule="exact"/>
              <w:ind w:right="0"/>
              <w:rPr>
                <w:rFonts w:hint="eastAsia" w:ascii="宋体" w:hAnsi="宋体" w:eastAsia="宋体" w:cs="宋体"/>
                <w:i w:val="0"/>
                <w:iCs w:val="0"/>
                <w:caps w:val="0"/>
                <w:color w:val="auto"/>
                <w:spacing w:val="0"/>
                <w:sz w:val="24"/>
                <w:szCs w:val="24"/>
                <w:highlight w:val="none"/>
              </w:rPr>
            </w:pPr>
          </w:p>
        </w:tc>
        <w:tc>
          <w:tcPr>
            <w:tcW w:w="6292" w:type="dxa"/>
            <w:noWrap w:val="0"/>
            <w:tcMar>
              <w:top w:w="0" w:type="dxa"/>
              <w:left w:w="105" w:type="dxa"/>
              <w:bottom w:w="0" w:type="dxa"/>
              <w:right w:w="105" w:type="dxa"/>
            </w:tcMar>
            <w:vAlign w:val="center"/>
          </w:tcPr>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right="0"/>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3、果皮箱内外壁每日擦洗不少于1次，破损、丢失的果皮箱要及时上报并作相应的补充，如不能做到，发现每次扣1分。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00" w:hRule="atLeast"/>
          <w:tblCellSpacing w:w="15" w:type="dxa"/>
        </w:trPr>
        <w:tc>
          <w:tcPr>
            <w:tcW w:w="1428" w:type="dxa"/>
            <w:vMerge w:val="continue"/>
            <w:noWrap w:val="0"/>
            <w:tcMar>
              <w:top w:w="0" w:type="dxa"/>
              <w:left w:w="105" w:type="dxa"/>
              <w:bottom w:w="0" w:type="dxa"/>
              <w:right w:w="105" w:type="dxa"/>
            </w:tcMar>
            <w:vAlign w:val="center"/>
          </w:tcPr>
          <w:p>
            <w:pPr>
              <w:keepNext w:val="0"/>
              <w:keepLines w:val="0"/>
              <w:pageBreakBefore w:val="0"/>
              <w:shd w:val="clear"/>
              <w:kinsoku/>
              <w:wordWrap/>
              <w:overflowPunct/>
              <w:topLinePunct w:val="0"/>
              <w:autoSpaceDE/>
              <w:autoSpaceDN/>
              <w:bidi w:val="0"/>
              <w:adjustRightInd/>
              <w:snapToGrid/>
              <w:spacing w:before="0" w:beforeAutospacing="0" w:afterAutospacing="0" w:line="400" w:lineRule="exact"/>
              <w:ind w:right="0"/>
              <w:rPr>
                <w:rFonts w:hint="eastAsia" w:ascii="宋体" w:hAnsi="宋体" w:eastAsia="宋体" w:cs="宋体"/>
                <w:i w:val="0"/>
                <w:iCs w:val="0"/>
                <w:caps w:val="0"/>
                <w:color w:val="auto"/>
                <w:spacing w:val="0"/>
                <w:sz w:val="24"/>
                <w:szCs w:val="24"/>
                <w:highlight w:val="none"/>
              </w:rPr>
            </w:pPr>
          </w:p>
        </w:tc>
        <w:tc>
          <w:tcPr>
            <w:tcW w:w="1021" w:type="dxa"/>
            <w:vMerge w:val="continue"/>
            <w:noWrap w:val="0"/>
            <w:tcMar>
              <w:top w:w="0" w:type="dxa"/>
              <w:left w:w="105" w:type="dxa"/>
              <w:bottom w:w="0" w:type="dxa"/>
              <w:right w:w="105" w:type="dxa"/>
            </w:tcMar>
            <w:vAlign w:val="center"/>
          </w:tcPr>
          <w:p>
            <w:pPr>
              <w:keepNext w:val="0"/>
              <w:keepLines w:val="0"/>
              <w:pageBreakBefore w:val="0"/>
              <w:shd w:val="clear"/>
              <w:kinsoku/>
              <w:wordWrap/>
              <w:overflowPunct/>
              <w:topLinePunct w:val="0"/>
              <w:autoSpaceDE/>
              <w:autoSpaceDN/>
              <w:bidi w:val="0"/>
              <w:adjustRightInd/>
              <w:snapToGrid/>
              <w:spacing w:before="0" w:beforeAutospacing="0" w:afterAutospacing="0" w:line="400" w:lineRule="exact"/>
              <w:ind w:right="0"/>
              <w:rPr>
                <w:rFonts w:hint="eastAsia" w:ascii="宋体" w:hAnsi="宋体" w:eastAsia="宋体" w:cs="宋体"/>
                <w:i w:val="0"/>
                <w:iCs w:val="0"/>
                <w:caps w:val="0"/>
                <w:color w:val="auto"/>
                <w:spacing w:val="0"/>
                <w:sz w:val="24"/>
                <w:szCs w:val="24"/>
                <w:highlight w:val="none"/>
              </w:rPr>
            </w:pPr>
          </w:p>
        </w:tc>
        <w:tc>
          <w:tcPr>
            <w:tcW w:w="943" w:type="dxa"/>
            <w:gridSpan w:val="2"/>
            <w:vMerge w:val="restart"/>
            <w:noWrap w:val="0"/>
            <w:tcMar>
              <w:top w:w="0" w:type="dxa"/>
              <w:left w:w="105" w:type="dxa"/>
              <w:bottom w:w="0" w:type="dxa"/>
              <w:right w:w="105" w:type="dxa"/>
            </w:tcMar>
            <w:vAlign w:val="center"/>
          </w:tcPr>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right="0"/>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工具房</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right="0"/>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管理</w:t>
            </w:r>
          </w:p>
        </w:tc>
        <w:tc>
          <w:tcPr>
            <w:tcW w:w="6292" w:type="dxa"/>
            <w:noWrap w:val="0"/>
            <w:tcMar>
              <w:top w:w="0" w:type="dxa"/>
              <w:left w:w="105" w:type="dxa"/>
              <w:bottom w:w="0" w:type="dxa"/>
              <w:right w:w="105" w:type="dxa"/>
            </w:tcMar>
            <w:vAlign w:val="center"/>
          </w:tcPr>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right="0"/>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1、工具房外乱图写、乱涂画、乱张贴、周边有垃圾杂物，每处扣1分起；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65" w:hRule="atLeast"/>
          <w:tblCellSpacing w:w="15" w:type="dxa"/>
        </w:trPr>
        <w:tc>
          <w:tcPr>
            <w:tcW w:w="1428" w:type="dxa"/>
            <w:vMerge w:val="continue"/>
            <w:noWrap w:val="0"/>
            <w:tcMar>
              <w:top w:w="0" w:type="dxa"/>
              <w:left w:w="105" w:type="dxa"/>
              <w:bottom w:w="0" w:type="dxa"/>
              <w:right w:w="105" w:type="dxa"/>
            </w:tcMar>
            <w:vAlign w:val="center"/>
          </w:tcPr>
          <w:p>
            <w:pPr>
              <w:keepNext w:val="0"/>
              <w:keepLines w:val="0"/>
              <w:pageBreakBefore w:val="0"/>
              <w:shd w:val="clear"/>
              <w:kinsoku/>
              <w:wordWrap/>
              <w:overflowPunct/>
              <w:topLinePunct w:val="0"/>
              <w:autoSpaceDE/>
              <w:autoSpaceDN/>
              <w:bidi w:val="0"/>
              <w:adjustRightInd/>
              <w:snapToGrid/>
              <w:spacing w:before="0" w:beforeAutospacing="0" w:afterAutospacing="0" w:line="400" w:lineRule="exact"/>
              <w:ind w:right="0"/>
              <w:rPr>
                <w:rFonts w:hint="eastAsia" w:ascii="宋体" w:hAnsi="宋体" w:eastAsia="宋体" w:cs="宋体"/>
                <w:i w:val="0"/>
                <w:iCs w:val="0"/>
                <w:caps w:val="0"/>
                <w:color w:val="auto"/>
                <w:spacing w:val="0"/>
                <w:sz w:val="24"/>
                <w:szCs w:val="24"/>
                <w:highlight w:val="none"/>
              </w:rPr>
            </w:pPr>
          </w:p>
        </w:tc>
        <w:tc>
          <w:tcPr>
            <w:tcW w:w="1021" w:type="dxa"/>
            <w:vMerge w:val="continue"/>
            <w:noWrap w:val="0"/>
            <w:tcMar>
              <w:top w:w="0" w:type="dxa"/>
              <w:left w:w="105" w:type="dxa"/>
              <w:bottom w:w="0" w:type="dxa"/>
              <w:right w:w="105" w:type="dxa"/>
            </w:tcMar>
            <w:vAlign w:val="center"/>
          </w:tcPr>
          <w:p>
            <w:pPr>
              <w:keepNext w:val="0"/>
              <w:keepLines w:val="0"/>
              <w:pageBreakBefore w:val="0"/>
              <w:shd w:val="clear"/>
              <w:kinsoku/>
              <w:wordWrap/>
              <w:overflowPunct/>
              <w:topLinePunct w:val="0"/>
              <w:autoSpaceDE/>
              <w:autoSpaceDN/>
              <w:bidi w:val="0"/>
              <w:adjustRightInd/>
              <w:snapToGrid/>
              <w:spacing w:before="0" w:beforeAutospacing="0" w:afterAutospacing="0" w:line="400" w:lineRule="exact"/>
              <w:ind w:right="0"/>
              <w:rPr>
                <w:rFonts w:hint="eastAsia" w:ascii="宋体" w:hAnsi="宋体" w:eastAsia="宋体" w:cs="宋体"/>
                <w:i w:val="0"/>
                <w:iCs w:val="0"/>
                <w:caps w:val="0"/>
                <w:color w:val="auto"/>
                <w:spacing w:val="0"/>
                <w:sz w:val="24"/>
                <w:szCs w:val="24"/>
                <w:highlight w:val="none"/>
              </w:rPr>
            </w:pPr>
          </w:p>
        </w:tc>
        <w:tc>
          <w:tcPr>
            <w:tcW w:w="943" w:type="dxa"/>
            <w:gridSpan w:val="2"/>
            <w:vMerge w:val="continue"/>
            <w:noWrap w:val="0"/>
            <w:tcMar>
              <w:top w:w="0" w:type="dxa"/>
              <w:left w:w="105" w:type="dxa"/>
              <w:bottom w:w="0" w:type="dxa"/>
              <w:right w:w="105" w:type="dxa"/>
            </w:tcMar>
            <w:vAlign w:val="center"/>
          </w:tcPr>
          <w:p>
            <w:pPr>
              <w:keepNext w:val="0"/>
              <w:keepLines w:val="0"/>
              <w:pageBreakBefore w:val="0"/>
              <w:shd w:val="clear"/>
              <w:kinsoku/>
              <w:wordWrap/>
              <w:overflowPunct/>
              <w:topLinePunct w:val="0"/>
              <w:autoSpaceDE/>
              <w:autoSpaceDN/>
              <w:bidi w:val="0"/>
              <w:adjustRightInd/>
              <w:snapToGrid/>
              <w:spacing w:before="0" w:beforeAutospacing="0" w:afterAutospacing="0" w:line="400" w:lineRule="exact"/>
              <w:ind w:right="0"/>
              <w:rPr>
                <w:rFonts w:hint="eastAsia" w:ascii="宋体" w:hAnsi="宋体" w:eastAsia="宋体" w:cs="宋体"/>
                <w:i w:val="0"/>
                <w:iCs w:val="0"/>
                <w:caps w:val="0"/>
                <w:color w:val="auto"/>
                <w:spacing w:val="0"/>
                <w:sz w:val="24"/>
                <w:szCs w:val="24"/>
                <w:highlight w:val="none"/>
              </w:rPr>
            </w:pPr>
          </w:p>
        </w:tc>
        <w:tc>
          <w:tcPr>
            <w:tcW w:w="6292" w:type="dxa"/>
            <w:noWrap w:val="0"/>
            <w:tcMar>
              <w:top w:w="0" w:type="dxa"/>
              <w:left w:w="105" w:type="dxa"/>
              <w:bottom w:w="0" w:type="dxa"/>
              <w:right w:w="105" w:type="dxa"/>
            </w:tcMar>
            <w:vAlign w:val="center"/>
          </w:tcPr>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right="0"/>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2、工具房内摆放杂乱，储藏杂物，放置易燃易爆物品改变了使用性质，每处扣1分。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65" w:hRule="atLeast"/>
          <w:tblCellSpacing w:w="15" w:type="dxa"/>
        </w:trPr>
        <w:tc>
          <w:tcPr>
            <w:tcW w:w="1428" w:type="dxa"/>
            <w:vMerge w:val="continue"/>
            <w:noWrap w:val="0"/>
            <w:tcMar>
              <w:top w:w="0" w:type="dxa"/>
              <w:left w:w="105" w:type="dxa"/>
              <w:bottom w:w="0" w:type="dxa"/>
              <w:right w:w="105" w:type="dxa"/>
            </w:tcMar>
            <w:vAlign w:val="center"/>
          </w:tcPr>
          <w:p>
            <w:pPr>
              <w:keepNext w:val="0"/>
              <w:keepLines w:val="0"/>
              <w:pageBreakBefore w:val="0"/>
              <w:shd w:val="clear"/>
              <w:kinsoku/>
              <w:wordWrap/>
              <w:overflowPunct/>
              <w:topLinePunct w:val="0"/>
              <w:autoSpaceDE/>
              <w:autoSpaceDN/>
              <w:bidi w:val="0"/>
              <w:adjustRightInd/>
              <w:snapToGrid/>
              <w:spacing w:before="0" w:beforeAutospacing="0" w:afterAutospacing="0" w:line="400" w:lineRule="exact"/>
              <w:ind w:right="0"/>
              <w:rPr>
                <w:rFonts w:hint="eastAsia" w:ascii="宋体" w:hAnsi="宋体" w:eastAsia="宋体" w:cs="宋体"/>
                <w:i w:val="0"/>
                <w:iCs w:val="0"/>
                <w:caps w:val="0"/>
                <w:color w:val="auto"/>
                <w:spacing w:val="0"/>
                <w:sz w:val="24"/>
                <w:szCs w:val="24"/>
                <w:highlight w:val="none"/>
              </w:rPr>
            </w:pPr>
          </w:p>
        </w:tc>
        <w:tc>
          <w:tcPr>
            <w:tcW w:w="1021" w:type="dxa"/>
            <w:vMerge w:val="continue"/>
            <w:noWrap w:val="0"/>
            <w:tcMar>
              <w:top w:w="0" w:type="dxa"/>
              <w:left w:w="105" w:type="dxa"/>
              <w:bottom w:w="0" w:type="dxa"/>
              <w:right w:w="105" w:type="dxa"/>
            </w:tcMar>
            <w:vAlign w:val="center"/>
          </w:tcPr>
          <w:p>
            <w:pPr>
              <w:keepNext w:val="0"/>
              <w:keepLines w:val="0"/>
              <w:pageBreakBefore w:val="0"/>
              <w:shd w:val="clear"/>
              <w:kinsoku/>
              <w:wordWrap/>
              <w:overflowPunct/>
              <w:topLinePunct w:val="0"/>
              <w:autoSpaceDE/>
              <w:autoSpaceDN/>
              <w:bidi w:val="0"/>
              <w:adjustRightInd/>
              <w:snapToGrid/>
              <w:spacing w:before="0" w:beforeAutospacing="0" w:afterAutospacing="0" w:line="400" w:lineRule="exact"/>
              <w:ind w:right="0"/>
              <w:rPr>
                <w:rFonts w:hint="eastAsia" w:ascii="宋体" w:hAnsi="宋体" w:eastAsia="宋体" w:cs="宋体"/>
                <w:i w:val="0"/>
                <w:iCs w:val="0"/>
                <w:caps w:val="0"/>
                <w:color w:val="auto"/>
                <w:spacing w:val="0"/>
                <w:sz w:val="24"/>
                <w:szCs w:val="24"/>
                <w:highlight w:val="none"/>
              </w:rPr>
            </w:pPr>
          </w:p>
        </w:tc>
        <w:tc>
          <w:tcPr>
            <w:tcW w:w="943" w:type="dxa"/>
            <w:gridSpan w:val="2"/>
            <w:vMerge w:val="restart"/>
            <w:noWrap w:val="0"/>
            <w:tcMar>
              <w:top w:w="0" w:type="dxa"/>
              <w:left w:w="105" w:type="dxa"/>
              <w:bottom w:w="0" w:type="dxa"/>
              <w:right w:w="105" w:type="dxa"/>
            </w:tcMar>
            <w:vAlign w:val="center"/>
          </w:tcPr>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right="0"/>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余泥管</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right="0"/>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理</w:t>
            </w:r>
          </w:p>
        </w:tc>
        <w:tc>
          <w:tcPr>
            <w:tcW w:w="6292" w:type="dxa"/>
            <w:noWrap w:val="0"/>
            <w:tcMar>
              <w:top w:w="0" w:type="dxa"/>
              <w:left w:w="105" w:type="dxa"/>
              <w:bottom w:w="0" w:type="dxa"/>
              <w:right w:w="105" w:type="dxa"/>
            </w:tcMar>
            <w:vAlign w:val="center"/>
          </w:tcPr>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right="0"/>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1、环卫工人在日常清扫保洁过程中发现自己负责的路段堆放余泥，要目测评估，在0.5立 方米以下，自行清理，如不处理，每处扣1分起。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65" w:hRule="atLeast"/>
          <w:tblCellSpacing w:w="15" w:type="dxa"/>
        </w:trPr>
        <w:tc>
          <w:tcPr>
            <w:tcW w:w="1428" w:type="dxa"/>
            <w:vMerge w:val="continue"/>
            <w:noWrap w:val="0"/>
            <w:tcMar>
              <w:top w:w="0" w:type="dxa"/>
              <w:left w:w="105" w:type="dxa"/>
              <w:bottom w:w="0" w:type="dxa"/>
              <w:right w:w="105" w:type="dxa"/>
            </w:tcMar>
            <w:vAlign w:val="center"/>
          </w:tcPr>
          <w:p>
            <w:pPr>
              <w:keepNext w:val="0"/>
              <w:keepLines w:val="0"/>
              <w:pageBreakBefore w:val="0"/>
              <w:shd w:val="clear"/>
              <w:kinsoku/>
              <w:wordWrap/>
              <w:overflowPunct/>
              <w:topLinePunct w:val="0"/>
              <w:autoSpaceDE/>
              <w:autoSpaceDN/>
              <w:bidi w:val="0"/>
              <w:adjustRightInd/>
              <w:snapToGrid/>
              <w:spacing w:before="0" w:beforeAutospacing="0" w:afterAutospacing="0" w:line="400" w:lineRule="exact"/>
              <w:ind w:right="0"/>
              <w:rPr>
                <w:rFonts w:hint="eastAsia" w:ascii="宋体" w:hAnsi="宋体" w:eastAsia="宋体" w:cs="宋体"/>
                <w:i w:val="0"/>
                <w:iCs w:val="0"/>
                <w:caps w:val="0"/>
                <w:color w:val="auto"/>
                <w:spacing w:val="0"/>
                <w:sz w:val="24"/>
                <w:szCs w:val="24"/>
                <w:highlight w:val="none"/>
              </w:rPr>
            </w:pPr>
          </w:p>
        </w:tc>
        <w:tc>
          <w:tcPr>
            <w:tcW w:w="1021" w:type="dxa"/>
            <w:vMerge w:val="continue"/>
            <w:noWrap w:val="0"/>
            <w:tcMar>
              <w:top w:w="0" w:type="dxa"/>
              <w:left w:w="105" w:type="dxa"/>
              <w:bottom w:w="0" w:type="dxa"/>
              <w:right w:w="105" w:type="dxa"/>
            </w:tcMar>
            <w:vAlign w:val="center"/>
          </w:tcPr>
          <w:p>
            <w:pPr>
              <w:keepNext w:val="0"/>
              <w:keepLines w:val="0"/>
              <w:pageBreakBefore w:val="0"/>
              <w:shd w:val="clear"/>
              <w:kinsoku/>
              <w:wordWrap/>
              <w:overflowPunct/>
              <w:topLinePunct w:val="0"/>
              <w:autoSpaceDE/>
              <w:autoSpaceDN/>
              <w:bidi w:val="0"/>
              <w:adjustRightInd/>
              <w:snapToGrid/>
              <w:spacing w:before="0" w:beforeAutospacing="0" w:afterAutospacing="0" w:line="400" w:lineRule="exact"/>
              <w:ind w:right="0"/>
              <w:rPr>
                <w:rFonts w:hint="eastAsia" w:ascii="宋体" w:hAnsi="宋体" w:eastAsia="宋体" w:cs="宋体"/>
                <w:i w:val="0"/>
                <w:iCs w:val="0"/>
                <w:caps w:val="0"/>
                <w:color w:val="auto"/>
                <w:spacing w:val="0"/>
                <w:sz w:val="24"/>
                <w:szCs w:val="24"/>
                <w:highlight w:val="none"/>
              </w:rPr>
            </w:pPr>
          </w:p>
        </w:tc>
        <w:tc>
          <w:tcPr>
            <w:tcW w:w="943" w:type="dxa"/>
            <w:gridSpan w:val="2"/>
            <w:vMerge w:val="continue"/>
            <w:noWrap w:val="0"/>
            <w:tcMar>
              <w:top w:w="0" w:type="dxa"/>
              <w:left w:w="105" w:type="dxa"/>
              <w:bottom w:w="0" w:type="dxa"/>
              <w:right w:w="105" w:type="dxa"/>
            </w:tcMar>
            <w:vAlign w:val="center"/>
          </w:tcPr>
          <w:p>
            <w:pPr>
              <w:keepNext w:val="0"/>
              <w:keepLines w:val="0"/>
              <w:pageBreakBefore w:val="0"/>
              <w:shd w:val="clear"/>
              <w:kinsoku/>
              <w:wordWrap/>
              <w:overflowPunct/>
              <w:topLinePunct w:val="0"/>
              <w:autoSpaceDE/>
              <w:autoSpaceDN/>
              <w:bidi w:val="0"/>
              <w:adjustRightInd/>
              <w:snapToGrid/>
              <w:spacing w:before="0" w:beforeAutospacing="0" w:afterAutospacing="0" w:line="400" w:lineRule="exact"/>
              <w:ind w:right="0"/>
              <w:rPr>
                <w:rFonts w:hint="eastAsia" w:ascii="宋体" w:hAnsi="宋体" w:eastAsia="宋体" w:cs="宋体"/>
                <w:i w:val="0"/>
                <w:iCs w:val="0"/>
                <w:caps w:val="0"/>
                <w:color w:val="auto"/>
                <w:spacing w:val="0"/>
                <w:sz w:val="24"/>
                <w:szCs w:val="24"/>
                <w:highlight w:val="none"/>
              </w:rPr>
            </w:pPr>
          </w:p>
        </w:tc>
        <w:tc>
          <w:tcPr>
            <w:tcW w:w="6292" w:type="dxa"/>
            <w:noWrap w:val="0"/>
            <w:tcMar>
              <w:top w:w="0" w:type="dxa"/>
              <w:left w:w="105" w:type="dxa"/>
              <w:bottom w:w="0" w:type="dxa"/>
              <w:right w:w="105" w:type="dxa"/>
            </w:tcMar>
            <w:vAlign w:val="center"/>
          </w:tcPr>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right="0"/>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2、因环卫工人保洁不当造成媒体曝光、上级批评、居民有效投诉、业主扣分等情况出现，每次扣1分起。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65" w:hRule="atLeast"/>
          <w:tblCellSpacing w:w="15" w:type="dxa"/>
        </w:trPr>
        <w:tc>
          <w:tcPr>
            <w:tcW w:w="1428" w:type="dxa"/>
            <w:vMerge w:val="continue"/>
            <w:noWrap w:val="0"/>
            <w:tcMar>
              <w:top w:w="0" w:type="dxa"/>
              <w:left w:w="105" w:type="dxa"/>
              <w:bottom w:w="0" w:type="dxa"/>
              <w:right w:w="105" w:type="dxa"/>
            </w:tcMar>
            <w:vAlign w:val="center"/>
          </w:tcPr>
          <w:p>
            <w:pPr>
              <w:keepNext w:val="0"/>
              <w:keepLines w:val="0"/>
              <w:pageBreakBefore w:val="0"/>
              <w:shd w:val="clear"/>
              <w:kinsoku/>
              <w:wordWrap/>
              <w:overflowPunct/>
              <w:topLinePunct w:val="0"/>
              <w:autoSpaceDE/>
              <w:autoSpaceDN/>
              <w:bidi w:val="0"/>
              <w:adjustRightInd/>
              <w:snapToGrid/>
              <w:spacing w:before="0" w:beforeAutospacing="0" w:afterAutospacing="0" w:line="400" w:lineRule="exact"/>
              <w:ind w:right="0"/>
              <w:rPr>
                <w:rFonts w:hint="eastAsia" w:ascii="宋体" w:hAnsi="宋体" w:eastAsia="宋体" w:cs="宋体"/>
                <w:i w:val="0"/>
                <w:iCs w:val="0"/>
                <w:caps w:val="0"/>
                <w:color w:val="auto"/>
                <w:spacing w:val="0"/>
                <w:sz w:val="24"/>
                <w:szCs w:val="24"/>
                <w:highlight w:val="none"/>
              </w:rPr>
            </w:pPr>
          </w:p>
        </w:tc>
        <w:tc>
          <w:tcPr>
            <w:tcW w:w="1021" w:type="dxa"/>
            <w:vMerge w:val="continue"/>
            <w:noWrap w:val="0"/>
            <w:tcMar>
              <w:top w:w="0" w:type="dxa"/>
              <w:left w:w="105" w:type="dxa"/>
              <w:bottom w:w="0" w:type="dxa"/>
              <w:right w:w="105" w:type="dxa"/>
            </w:tcMar>
            <w:vAlign w:val="center"/>
          </w:tcPr>
          <w:p>
            <w:pPr>
              <w:keepNext w:val="0"/>
              <w:keepLines w:val="0"/>
              <w:pageBreakBefore w:val="0"/>
              <w:shd w:val="clear"/>
              <w:kinsoku/>
              <w:wordWrap/>
              <w:overflowPunct/>
              <w:topLinePunct w:val="0"/>
              <w:autoSpaceDE/>
              <w:autoSpaceDN/>
              <w:bidi w:val="0"/>
              <w:adjustRightInd/>
              <w:snapToGrid/>
              <w:spacing w:before="0" w:beforeAutospacing="0" w:afterAutospacing="0" w:line="400" w:lineRule="exact"/>
              <w:ind w:right="0"/>
              <w:rPr>
                <w:rFonts w:hint="eastAsia" w:ascii="宋体" w:hAnsi="宋体" w:eastAsia="宋体" w:cs="宋体"/>
                <w:i w:val="0"/>
                <w:iCs w:val="0"/>
                <w:caps w:val="0"/>
                <w:color w:val="auto"/>
                <w:spacing w:val="0"/>
                <w:sz w:val="24"/>
                <w:szCs w:val="24"/>
                <w:highlight w:val="none"/>
              </w:rPr>
            </w:pPr>
          </w:p>
        </w:tc>
        <w:tc>
          <w:tcPr>
            <w:tcW w:w="943" w:type="dxa"/>
            <w:gridSpan w:val="2"/>
            <w:vMerge w:val="restart"/>
            <w:noWrap w:val="0"/>
            <w:tcMar>
              <w:top w:w="0" w:type="dxa"/>
              <w:left w:w="105" w:type="dxa"/>
              <w:bottom w:w="0" w:type="dxa"/>
              <w:right w:w="105" w:type="dxa"/>
            </w:tcMar>
            <w:vAlign w:val="center"/>
          </w:tcPr>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right="0"/>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垃圾收</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right="0"/>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运管理</w:t>
            </w:r>
          </w:p>
        </w:tc>
        <w:tc>
          <w:tcPr>
            <w:tcW w:w="6292" w:type="dxa"/>
            <w:noWrap w:val="0"/>
            <w:tcMar>
              <w:top w:w="0" w:type="dxa"/>
              <w:left w:w="105" w:type="dxa"/>
              <w:bottom w:w="0" w:type="dxa"/>
              <w:right w:w="105" w:type="dxa"/>
            </w:tcMar>
            <w:vAlign w:val="center"/>
          </w:tcPr>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right="0"/>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1、清扫保洁责任区内，发现建筑垃圾、废料等，不及时清理的，每次扣1分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65" w:hRule="atLeast"/>
          <w:tblCellSpacing w:w="15" w:type="dxa"/>
        </w:trPr>
        <w:tc>
          <w:tcPr>
            <w:tcW w:w="1428" w:type="dxa"/>
            <w:vMerge w:val="continue"/>
            <w:noWrap w:val="0"/>
            <w:tcMar>
              <w:top w:w="0" w:type="dxa"/>
              <w:left w:w="105" w:type="dxa"/>
              <w:bottom w:w="0" w:type="dxa"/>
              <w:right w:w="105" w:type="dxa"/>
            </w:tcMar>
            <w:vAlign w:val="center"/>
          </w:tcPr>
          <w:p>
            <w:pPr>
              <w:keepNext w:val="0"/>
              <w:keepLines w:val="0"/>
              <w:pageBreakBefore w:val="0"/>
              <w:shd w:val="clear"/>
              <w:kinsoku/>
              <w:wordWrap/>
              <w:overflowPunct/>
              <w:topLinePunct w:val="0"/>
              <w:autoSpaceDE/>
              <w:autoSpaceDN/>
              <w:bidi w:val="0"/>
              <w:adjustRightInd/>
              <w:snapToGrid/>
              <w:spacing w:before="0" w:beforeAutospacing="0" w:afterAutospacing="0" w:line="400" w:lineRule="exact"/>
              <w:ind w:right="0"/>
              <w:rPr>
                <w:rFonts w:hint="eastAsia" w:ascii="宋体" w:hAnsi="宋体" w:eastAsia="宋体" w:cs="宋体"/>
                <w:i w:val="0"/>
                <w:iCs w:val="0"/>
                <w:caps w:val="0"/>
                <w:color w:val="auto"/>
                <w:spacing w:val="0"/>
                <w:sz w:val="24"/>
                <w:szCs w:val="24"/>
                <w:highlight w:val="none"/>
              </w:rPr>
            </w:pPr>
          </w:p>
        </w:tc>
        <w:tc>
          <w:tcPr>
            <w:tcW w:w="1021" w:type="dxa"/>
            <w:vMerge w:val="continue"/>
            <w:noWrap w:val="0"/>
            <w:tcMar>
              <w:top w:w="0" w:type="dxa"/>
              <w:left w:w="105" w:type="dxa"/>
              <w:bottom w:w="0" w:type="dxa"/>
              <w:right w:w="105" w:type="dxa"/>
            </w:tcMar>
            <w:vAlign w:val="center"/>
          </w:tcPr>
          <w:p>
            <w:pPr>
              <w:keepNext w:val="0"/>
              <w:keepLines w:val="0"/>
              <w:pageBreakBefore w:val="0"/>
              <w:shd w:val="clear"/>
              <w:kinsoku/>
              <w:wordWrap/>
              <w:overflowPunct/>
              <w:topLinePunct w:val="0"/>
              <w:autoSpaceDE/>
              <w:autoSpaceDN/>
              <w:bidi w:val="0"/>
              <w:adjustRightInd/>
              <w:snapToGrid/>
              <w:spacing w:before="0" w:beforeAutospacing="0" w:afterAutospacing="0" w:line="400" w:lineRule="exact"/>
              <w:ind w:right="0"/>
              <w:rPr>
                <w:rFonts w:hint="eastAsia" w:ascii="宋体" w:hAnsi="宋体" w:eastAsia="宋体" w:cs="宋体"/>
                <w:i w:val="0"/>
                <w:iCs w:val="0"/>
                <w:caps w:val="0"/>
                <w:color w:val="auto"/>
                <w:spacing w:val="0"/>
                <w:sz w:val="24"/>
                <w:szCs w:val="24"/>
                <w:highlight w:val="none"/>
              </w:rPr>
            </w:pPr>
          </w:p>
        </w:tc>
        <w:tc>
          <w:tcPr>
            <w:tcW w:w="943" w:type="dxa"/>
            <w:gridSpan w:val="2"/>
            <w:vMerge w:val="continue"/>
            <w:noWrap w:val="0"/>
            <w:tcMar>
              <w:top w:w="0" w:type="dxa"/>
              <w:left w:w="105" w:type="dxa"/>
              <w:bottom w:w="0" w:type="dxa"/>
              <w:right w:w="105" w:type="dxa"/>
            </w:tcMar>
            <w:vAlign w:val="center"/>
          </w:tcPr>
          <w:p>
            <w:pPr>
              <w:keepNext w:val="0"/>
              <w:keepLines w:val="0"/>
              <w:pageBreakBefore w:val="0"/>
              <w:shd w:val="clear"/>
              <w:kinsoku/>
              <w:wordWrap/>
              <w:overflowPunct/>
              <w:topLinePunct w:val="0"/>
              <w:autoSpaceDE/>
              <w:autoSpaceDN/>
              <w:bidi w:val="0"/>
              <w:adjustRightInd/>
              <w:snapToGrid/>
              <w:spacing w:before="0" w:beforeAutospacing="0" w:afterAutospacing="0" w:line="400" w:lineRule="exact"/>
              <w:ind w:right="0"/>
              <w:rPr>
                <w:rFonts w:hint="eastAsia" w:ascii="宋体" w:hAnsi="宋体" w:eastAsia="宋体" w:cs="宋体"/>
                <w:i w:val="0"/>
                <w:iCs w:val="0"/>
                <w:caps w:val="0"/>
                <w:color w:val="auto"/>
                <w:spacing w:val="0"/>
                <w:sz w:val="24"/>
                <w:szCs w:val="24"/>
                <w:highlight w:val="none"/>
              </w:rPr>
            </w:pPr>
          </w:p>
        </w:tc>
        <w:tc>
          <w:tcPr>
            <w:tcW w:w="6292" w:type="dxa"/>
            <w:noWrap w:val="0"/>
            <w:tcMar>
              <w:top w:w="0" w:type="dxa"/>
              <w:left w:w="105" w:type="dxa"/>
              <w:bottom w:w="0" w:type="dxa"/>
              <w:right w:w="105" w:type="dxa"/>
            </w:tcMar>
            <w:vAlign w:val="center"/>
          </w:tcPr>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right="0"/>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2、人为向绿化带、雨水井口、露天水沟等处倾扫、倾倒垃圾和余土，每次扣1分。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65" w:hRule="atLeast"/>
          <w:tblCellSpacing w:w="15" w:type="dxa"/>
        </w:trPr>
        <w:tc>
          <w:tcPr>
            <w:tcW w:w="1428" w:type="dxa"/>
            <w:vMerge w:val="continue"/>
            <w:noWrap w:val="0"/>
            <w:tcMar>
              <w:top w:w="0" w:type="dxa"/>
              <w:left w:w="105" w:type="dxa"/>
              <w:bottom w:w="0" w:type="dxa"/>
              <w:right w:w="105" w:type="dxa"/>
            </w:tcMar>
            <w:vAlign w:val="center"/>
          </w:tcPr>
          <w:p>
            <w:pPr>
              <w:keepNext w:val="0"/>
              <w:keepLines w:val="0"/>
              <w:pageBreakBefore w:val="0"/>
              <w:shd w:val="clear"/>
              <w:kinsoku/>
              <w:wordWrap/>
              <w:overflowPunct/>
              <w:topLinePunct w:val="0"/>
              <w:autoSpaceDE/>
              <w:autoSpaceDN/>
              <w:bidi w:val="0"/>
              <w:adjustRightInd/>
              <w:snapToGrid/>
              <w:spacing w:before="0" w:beforeAutospacing="0" w:afterAutospacing="0" w:line="400" w:lineRule="exact"/>
              <w:ind w:right="0"/>
              <w:rPr>
                <w:rFonts w:hint="eastAsia" w:ascii="宋体" w:hAnsi="宋体" w:eastAsia="宋体" w:cs="宋体"/>
                <w:i w:val="0"/>
                <w:iCs w:val="0"/>
                <w:caps w:val="0"/>
                <w:color w:val="auto"/>
                <w:spacing w:val="0"/>
                <w:sz w:val="24"/>
                <w:szCs w:val="24"/>
                <w:highlight w:val="none"/>
              </w:rPr>
            </w:pPr>
          </w:p>
        </w:tc>
        <w:tc>
          <w:tcPr>
            <w:tcW w:w="1021" w:type="dxa"/>
            <w:vMerge w:val="continue"/>
            <w:noWrap w:val="0"/>
            <w:tcMar>
              <w:top w:w="0" w:type="dxa"/>
              <w:left w:w="105" w:type="dxa"/>
              <w:bottom w:w="0" w:type="dxa"/>
              <w:right w:w="105" w:type="dxa"/>
            </w:tcMar>
            <w:vAlign w:val="center"/>
          </w:tcPr>
          <w:p>
            <w:pPr>
              <w:keepNext w:val="0"/>
              <w:keepLines w:val="0"/>
              <w:pageBreakBefore w:val="0"/>
              <w:shd w:val="clear"/>
              <w:kinsoku/>
              <w:wordWrap/>
              <w:overflowPunct/>
              <w:topLinePunct w:val="0"/>
              <w:autoSpaceDE/>
              <w:autoSpaceDN/>
              <w:bidi w:val="0"/>
              <w:adjustRightInd/>
              <w:snapToGrid/>
              <w:spacing w:before="0" w:beforeAutospacing="0" w:afterAutospacing="0" w:line="400" w:lineRule="exact"/>
              <w:ind w:right="0"/>
              <w:rPr>
                <w:rFonts w:hint="eastAsia" w:ascii="宋体" w:hAnsi="宋体" w:eastAsia="宋体" w:cs="宋体"/>
                <w:i w:val="0"/>
                <w:iCs w:val="0"/>
                <w:caps w:val="0"/>
                <w:color w:val="auto"/>
                <w:spacing w:val="0"/>
                <w:sz w:val="24"/>
                <w:szCs w:val="24"/>
                <w:highlight w:val="none"/>
              </w:rPr>
            </w:pPr>
          </w:p>
        </w:tc>
        <w:tc>
          <w:tcPr>
            <w:tcW w:w="943" w:type="dxa"/>
            <w:gridSpan w:val="2"/>
            <w:vMerge w:val="continue"/>
            <w:noWrap w:val="0"/>
            <w:tcMar>
              <w:top w:w="0" w:type="dxa"/>
              <w:left w:w="105" w:type="dxa"/>
              <w:bottom w:w="0" w:type="dxa"/>
              <w:right w:w="105" w:type="dxa"/>
            </w:tcMar>
            <w:vAlign w:val="center"/>
          </w:tcPr>
          <w:p>
            <w:pPr>
              <w:keepNext w:val="0"/>
              <w:keepLines w:val="0"/>
              <w:pageBreakBefore w:val="0"/>
              <w:shd w:val="clear"/>
              <w:kinsoku/>
              <w:wordWrap/>
              <w:overflowPunct/>
              <w:topLinePunct w:val="0"/>
              <w:autoSpaceDE/>
              <w:autoSpaceDN/>
              <w:bidi w:val="0"/>
              <w:adjustRightInd/>
              <w:snapToGrid/>
              <w:spacing w:before="0" w:beforeAutospacing="0" w:afterAutospacing="0" w:line="400" w:lineRule="exact"/>
              <w:ind w:right="0"/>
              <w:rPr>
                <w:rFonts w:hint="eastAsia" w:ascii="宋体" w:hAnsi="宋体" w:eastAsia="宋体" w:cs="宋体"/>
                <w:i w:val="0"/>
                <w:iCs w:val="0"/>
                <w:caps w:val="0"/>
                <w:color w:val="auto"/>
                <w:spacing w:val="0"/>
                <w:sz w:val="24"/>
                <w:szCs w:val="24"/>
                <w:highlight w:val="none"/>
              </w:rPr>
            </w:pPr>
          </w:p>
        </w:tc>
        <w:tc>
          <w:tcPr>
            <w:tcW w:w="6292" w:type="dxa"/>
            <w:noWrap w:val="0"/>
            <w:tcMar>
              <w:top w:w="0" w:type="dxa"/>
              <w:left w:w="105" w:type="dxa"/>
              <w:bottom w:w="0" w:type="dxa"/>
              <w:right w:w="105" w:type="dxa"/>
            </w:tcMar>
            <w:vAlign w:val="center"/>
          </w:tcPr>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right="0"/>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3、收集完垃圾后未清理周边环境，有散落、存留垃圾；容器乱放未复位，每次扣1分。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65" w:hRule="atLeast"/>
          <w:tblCellSpacing w:w="15" w:type="dxa"/>
        </w:trPr>
        <w:tc>
          <w:tcPr>
            <w:tcW w:w="1428" w:type="dxa"/>
            <w:vMerge w:val="continue"/>
            <w:noWrap w:val="0"/>
            <w:tcMar>
              <w:top w:w="0" w:type="dxa"/>
              <w:left w:w="105" w:type="dxa"/>
              <w:bottom w:w="0" w:type="dxa"/>
              <w:right w:w="105" w:type="dxa"/>
            </w:tcMar>
            <w:vAlign w:val="center"/>
          </w:tcPr>
          <w:p>
            <w:pPr>
              <w:keepNext w:val="0"/>
              <w:keepLines w:val="0"/>
              <w:pageBreakBefore w:val="0"/>
              <w:shd w:val="clear"/>
              <w:kinsoku/>
              <w:wordWrap/>
              <w:overflowPunct/>
              <w:topLinePunct w:val="0"/>
              <w:autoSpaceDE/>
              <w:autoSpaceDN/>
              <w:bidi w:val="0"/>
              <w:adjustRightInd/>
              <w:snapToGrid/>
              <w:spacing w:before="0" w:beforeAutospacing="0" w:afterAutospacing="0" w:line="400" w:lineRule="exact"/>
              <w:ind w:right="0"/>
              <w:rPr>
                <w:rFonts w:hint="eastAsia" w:ascii="宋体" w:hAnsi="宋体" w:eastAsia="宋体" w:cs="宋体"/>
                <w:i w:val="0"/>
                <w:iCs w:val="0"/>
                <w:caps w:val="0"/>
                <w:color w:val="auto"/>
                <w:spacing w:val="0"/>
                <w:sz w:val="24"/>
                <w:szCs w:val="24"/>
                <w:highlight w:val="none"/>
              </w:rPr>
            </w:pPr>
          </w:p>
        </w:tc>
        <w:tc>
          <w:tcPr>
            <w:tcW w:w="1021" w:type="dxa"/>
            <w:vMerge w:val="continue"/>
            <w:noWrap w:val="0"/>
            <w:tcMar>
              <w:top w:w="0" w:type="dxa"/>
              <w:left w:w="105" w:type="dxa"/>
              <w:bottom w:w="0" w:type="dxa"/>
              <w:right w:w="105" w:type="dxa"/>
            </w:tcMar>
            <w:vAlign w:val="center"/>
          </w:tcPr>
          <w:p>
            <w:pPr>
              <w:keepNext w:val="0"/>
              <w:keepLines w:val="0"/>
              <w:pageBreakBefore w:val="0"/>
              <w:shd w:val="clear"/>
              <w:kinsoku/>
              <w:wordWrap/>
              <w:overflowPunct/>
              <w:topLinePunct w:val="0"/>
              <w:autoSpaceDE/>
              <w:autoSpaceDN/>
              <w:bidi w:val="0"/>
              <w:adjustRightInd/>
              <w:snapToGrid/>
              <w:spacing w:before="0" w:beforeAutospacing="0" w:afterAutospacing="0" w:line="400" w:lineRule="exact"/>
              <w:ind w:right="0"/>
              <w:rPr>
                <w:rFonts w:hint="eastAsia" w:ascii="宋体" w:hAnsi="宋体" w:eastAsia="宋体" w:cs="宋体"/>
                <w:i w:val="0"/>
                <w:iCs w:val="0"/>
                <w:caps w:val="0"/>
                <w:color w:val="auto"/>
                <w:spacing w:val="0"/>
                <w:sz w:val="24"/>
                <w:szCs w:val="24"/>
                <w:highlight w:val="none"/>
              </w:rPr>
            </w:pPr>
          </w:p>
        </w:tc>
        <w:tc>
          <w:tcPr>
            <w:tcW w:w="943" w:type="dxa"/>
            <w:gridSpan w:val="2"/>
            <w:vMerge w:val="continue"/>
            <w:noWrap w:val="0"/>
            <w:tcMar>
              <w:top w:w="0" w:type="dxa"/>
              <w:left w:w="105" w:type="dxa"/>
              <w:bottom w:w="0" w:type="dxa"/>
              <w:right w:w="105" w:type="dxa"/>
            </w:tcMar>
            <w:vAlign w:val="center"/>
          </w:tcPr>
          <w:p>
            <w:pPr>
              <w:keepNext w:val="0"/>
              <w:keepLines w:val="0"/>
              <w:pageBreakBefore w:val="0"/>
              <w:shd w:val="clear"/>
              <w:kinsoku/>
              <w:wordWrap/>
              <w:overflowPunct/>
              <w:topLinePunct w:val="0"/>
              <w:autoSpaceDE/>
              <w:autoSpaceDN/>
              <w:bidi w:val="0"/>
              <w:adjustRightInd/>
              <w:snapToGrid/>
              <w:spacing w:before="0" w:beforeAutospacing="0" w:afterAutospacing="0" w:line="400" w:lineRule="exact"/>
              <w:ind w:right="0"/>
              <w:rPr>
                <w:rFonts w:hint="eastAsia" w:ascii="宋体" w:hAnsi="宋体" w:eastAsia="宋体" w:cs="宋体"/>
                <w:i w:val="0"/>
                <w:iCs w:val="0"/>
                <w:caps w:val="0"/>
                <w:color w:val="auto"/>
                <w:spacing w:val="0"/>
                <w:sz w:val="24"/>
                <w:szCs w:val="24"/>
                <w:highlight w:val="none"/>
              </w:rPr>
            </w:pPr>
          </w:p>
        </w:tc>
        <w:tc>
          <w:tcPr>
            <w:tcW w:w="6292" w:type="dxa"/>
            <w:noWrap w:val="0"/>
            <w:tcMar>
              <w:top w:w="0" w:type="dxa"/>
              <w:left w:w="105" w:type="dxa"/>
              <w:bottom w:w="0" w:type="dxa"/>
              <w:right w:w="105" w:type="dxa"/>
            </w:tcMar>
            <w:vAlign w:val="center"/>
          </w:tcPr>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right="0"/>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4、社区清扫保洁垃圾未倒入中转站箱内、主次干道垃圾桶桶外积存垃圾的，每次扣1分。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00" w:hRule="atLeast"/>
          <w:tblCellSpacing w:w="15" w:type="dxa"/>
        </w:trPr>
        <w:tc>
          <w:tcPr>
            <w:tcW w:w="1428" w:type="dxa"/>
            <w:vMerge w:val="restart"/>
            <w:noWrap w:val="0"/>
            <w:tcMar>
              <w:top w:w="0" w:type="dxa"/>
              <w:left w:w="105" w:type="dxa"/>
              <w:bottom w:w="0" w:type="dxa"/>
              <w:right w:w="105" w:type="dxa"/>
            </w:tcMar>
            <w:vAlign w:val="center"/>
          </w:tcPr>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right="0"/>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每日05:00—22:00</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right="0"/>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 </w:t>
            </w:r>
          </w:p>
        </w:tc>
        <w:tc>
          <w:tcPr>
            <w:tcW w:w="1029" w:type="dxa"/>
            <w:gridSpan w:val="2"/>
            <w:vMerge w:val="restart"/>
            <w:noWrap w:val="0"/>
            <w:tcMar>
              <w:top w:w="0" w:type="dxa"/>
              <w:left w:w="105" w:type="dxa"/>
              <w:bottom w:w="0" w:type="dxa"/>
              <w:right w:w="105" w:type="dxa"/>
            </w:tcMar>
            <w:vAlign w:val="center"/>
          </w:tcPr>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right="0"/>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项目经理及管理员</w:t>
            </w:r>
          </w:p>
        </w:tc>
        <w:tc>
          <w:tcPr>
            <w:tcW w:w="935" w:type="dxa"/>
            <w:vMerge w:val="restart"/>
            <w:noWrap w:val="0"/>
            <w:tcMar>
              <w:top w:w="0" w:type="dxa"/>
              <w:left w:w="105" w:type="dxa"/>
              <w:bottom w:w="0" w:type="dxa"/>
              <w:right w:w="105" w:type="dxa"/>
            </w:tcMar>
            <w:vAlign w:val="center"/>
          </w:tcPr>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right="0"/>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文明作业管理</w:t>
            </w:r>
          </w:p>
        </w:tc>
        <w:tc>
          <w:tcPr>
            <w:tcW w:w="6292" w:type="dxa"/>
            <w:noWrap w:val="0"/>
            <w:tcMar>
              <w:top w:w="0" w:type="dxa"/>
              <w:left w:w="105" w:type="dxa"/>
              <w:bottom w:w="0" w:type="dxa"/>
              <w:right w:w="105" w:type="dxa"/>
            </w:tcMar>
            <w:vAlign w:val="center"/>
          </w:tcPr>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right="0"/>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1、环卫工人在工作期间抽烟、喝酒、吃零食，每人次扣1分；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50" w:hRule="atLeast"/>
          <w:tblCellSpacing w:w="15" w:type="dxa"/>
        </w:trPr>
        <w:tc>
          <w:tcPr>
            <w:tcW w:w="1428" w:type="dxa"/>
            <w:vMerge w:val="continue"/>
            <w:noWrap w:val="0"/>
            <w:tcMar>
              <w:top w:w="0" w:type="dxa"/>
              <w:left w:w="105" w:type="dxa"/>
              <w:bottom w:w="0" w:type="dxa"/>
              <w:right w:w="105" w:type="dxa"/>
            </w:tcMar>
            <w:vAlign w:val="center"/>
          </w:tcPr>
          <w:p>
            <w:pPr>
              <w:keepNext w:val="0"/>
              <w:keepLines w:val="0"/>
              <w:pageBreakBefore w:val="0"/>
              <w:shd w:val="clear"/>
              <w:kinsoku/>
              <w:wordWrap/>
              <w:overflowPunct/>
              <w:topLinePunct w:val="0"/>
              <w:autoSpaceDE/>
              <w:autoSpaceDN/>
              <w:bidi w:val="0"/>
              <w:adjustRightInd/>
              <w:snapToGrid/>
              <w:spacing w:before="0" w:beforeAutospacing="0" w:afterAutospacing="0" w:line="400" w:lineRule="exact"/>
              <w:ind w:right="0"/>
              <w:rPr>
                <w:rFonts w:hint="eastAsia" w:ascii="宋体" w:hAnsi="宋体" w:eastAsia="宋体" w:cs="宋体"/>
                <w:i w:val="0"/>
                <w:iCs w:val="0"/>
                <w:caps w:val="0"/>
                <w:color w:val="auto"/>
                <w:spacing w:val="0"/>
                <w:sz w:val="24"/>
                <w:szCs w:val="24"/>
                <w:highlight w:val="none"/>
              </w:rPr>
            </w:pPr>
          </w:p>
        </w:tc>
        <w:tc>
          <w:tcPr>
            <w:tcW w:w="1029" w:type="dxa"/>
            <w:gridSpan w:val="2"/>
            <w:vMerge w:val="continue"/>
            <w:noWrap w:val="0"/>
            <w:tcMar>
              <w:top w:w="0" w:type="dxa"/>
              <w:left w:w="105" w:type="dxa"/>
              <w:bottom w:w="0" w:type="dxa"/>
              <w:right w:w="105" w:type="dxa"/>
            </w:tcMar>
            <w:vAlign w:val="center"/>
          </w:tcPr>
          <w:p>
            <w:pPr>
              <w:keepNext w:val="0"/>
              <w:keepLines w:val="0"/>
              <w:pageBreakBefore w:val="0"/>
              <w:shd w:val="clear"/>
              <w:kinsoku/>
              <w:wordWrap/>
              <w:overflowPunct/>
              <w:topLinePunct w:val="0"/>
              <w:autoSpaceDE/>
              <w:autoSpaceDN/>
              <w:bidi w:val="0"/>
              <w:adjustRightInd/>
              <w:snapToGrid/>
              <w:spacing w:before="0" w:beforeAutospacing="0" w:afterAutospacing="0" w:line="400" w:lineRule="exact"/>
              <w:ind w:right="0"/>
              <w:rPr>
                <w:rFonts w:hint="eastAsia" w:ascii="宋体" w:hAnsi="宋体" w:eastAsia="宋体" w:cs="宋体"/>
                <w:i w:val="0"/>
                <w:iCs w:val="0"/>
                <w:caps w:val="0"/>
                <w:color w:val="auto"/>
                <w:spacing w:val="0"/>
                <w:sz w:val="24"/>
                <w:szCs w:val="24"/>
                <w:highlight w:val="none"/>
              </w:rPr>
            </w:pPr>
          </w:p>
        </w:tc>
        <w:tc>
          <w:tcPr>
            <w:tcW w:w="935" w:type="dxa"/>
            <w:vMerge w:val="continue"/>
            <w:noWrap w:val="0"/>
            <w:tcMar>
              <w:top w:w="0" w:type="dxa"/>
              <w:left w:w="105" w:type="dxa"/>
              <w:bottom w:w="0" w:type="dxa"/>
              <w:right w:w="105" w:type="dxa"/>
            </w:tcMar>
            <w:vAlign w:val="center"/>
          </w:tcPr>
          <w:p>
            <w:pPr>
              <w:keepNext w:val="0"/>
              <w:keepLines w:val="0"/>
              <w:pageBreakBefore w:val="0"/>
              <w:shd w:val="clear"/>
              <w:kinsoku/>
              <w:wordWrap/>
              <w:overflowPunct/>
              <w:topLinePunct w:val="0"/>
              <w:autoSpaceDE/>
              <w:autoSpaceDN/>
              <w:bidi w:val="0"/>
              <w:adjustRightInd/>
              <w:snapToGrid/>
              <w:spacing w:before="0" w:beforeAutospacing="0" w:afterAutospacing="0" w:line="400" w:lineRule="exact"/>
              <w:ind w:right="0"/>
              <w:rPr>
                <w:rFonts w:hint="eastAsia" w:ascii="宋体" w:hAnsi="宋体" w:eastAsia="宋体" w:cs="宋体"/>
                <w:i w:val="0"/>
                <w:iCs w:val="0"/>
                <w:caps w:val="0"/>
                <w:color w:val="auto"/>
                <w:spacing w:val="0"/>
                <w:sz w:val="24"/>
                <w:szCs w:val="24"/>
                <w:highlight w:val="none"/>
              </w:rPr>
            </w:pPr>
          </w:p>
        </w:tc>
        <w:tc>
          <w:tcPr>
            <w:tcW w:w="6292" w:type="dxa"/>
            <w:noWrap w:val="0"/>
            <w:tcMar>
              <w:top w:w="0" w:type="dxa"/>
              <w:left w:w="105" w:type="dxa"/>
              <w:bottom w:w="0" w:type="dxa"/>
              <w:right w:w="105" w:type="dxa"/>
            </w:tcMar>
            <w:vAlign w:val="center"/>
          </w:tcPr>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right="0"/>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2、环卫工人在工作期间将垃圾扫入沙井、道路绿地等位置，每人次扣1分；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65" w:hRule="atLeast"/>
          <w:tblCellSpacing w:w="15" w:type="dxa"/>
        </w:trPr>
        <w:tc>
          <w:tcPr>
            <w:tcW w:w="1428" w:type="dxa"/>
            <w:vMerge w:val="continue"/>
            <w:noWrap w:val="0"/>
            <w:tcMar>
              <w:top w:w="0" w:type="dxa"/>
              <w:left w:w="105" w:type="dxa"/>
              <w:bottom w:w="0" w:type="dxa"/>
              <w:right w:w="105" w:type="dxa"/>
            </w:tcMar>
            <w:vAlign w:val="center"/>
          </w:tcPr>
          <w:p>
            <w:pPr>
              <w:keepNext w:val="0"/>
              <w:keepLines w:val="0"/>
              <w:pageBreakBefore w:val="0"/>
              <w:shd w:val="clear"/>
              <w:kinsoku/>
              <w:wordWrap/>
              <w:overflowPunct/>
              <w:topLinePunct w:val="0"/>
              <w:autoSpaceDE/>
              <w:autoSpaceDN/>
              <w:bidi w:val="0"/>
              <w:adjustRightInd/>
              <w:snapToGrid/>
              <w:spacing w:before="0" w:beforeAutospacing="0" w:afterAutospacing="0" w:line="400" w:lineRule="exact"/>
              <w:ind w:right="0"/>
              <w:rPr>
                <w:rFonts w:hint="eastAsia" w:ascii="宋体" w:hAnsi="宋体" w:eastAsia="宋体" w:cs="宋体"/>
                <w:i w:val="0"/>
                <w:iCs w:val="0"/>
                <w:caps w:val="0"/>
                <w:color w:val="auto"/>
                <w:spacing w:val="0"/>
                <w:sz w:val="24"/>
                <w:szCs w:val="24"/>
                <w:highlight w:val="none"/>
              </w:rPr>
            </w:pPr>
          </w:p>
        </w:tc>
        <w:tc>
          <w:tcPr>
            <w:tcW w:w="1029" w:type="dxa"/>
            <w:gridSpan w:val="2"/>
            <w:vMerge w:val="continue"/>
            <w:noWrap w:val="0"/>
            <w:tcMar>
              <w:top w:w="0" w:type="dxa"/>
              <w:left w:w="105" w:type="dxa"/>
              <w:bottom w:w="0" w:type="dxa"/>
              <w:right w:w="105" w:type="dxa"/>
            </w:tcMar>
            <w:vAlign w:val="center"/>
          </w:tcPr>
          <w:p>
            <w:pPr>
              <w:keepNext w:val="0"/>
              <w:keepLines w:val="0"/>
              <w:pageBreakBefore w:val="0"/>
              <w:shd w:val="clear"/>
              <w:kinsoku/>
              <w:wordWrap/>
              <w:overflowPunct/>
              <w:topLinePunct w:val="0"/>
              <w:autoSpaceDE/>
              <w:autoSpaceDN/>
              <w:bidi w:val="0"/>
              <w:adjustRightInd/>
              <w:snapToGrid/>
              <w:spacing w:before="0" w:beforeAutospacing="0" w:afterAutospacing="0" w:line="400" w:lineRule="exact"/>
              <w:ind w:right="0"/>
              <w:rPr>
                <w:rFonts w:hint="eastAsia" w:ascii="宋体" w:hAnsi="宋体" w:eastAsia="宋体" w:cs="宋体"/>
                <w:i w:val="0"/>
                <w:iCs w:val="0"/>
                <w:caps w:val="0"/>
                <w:color w:val="auto"/>
                <w:spacing w:val="0"/>
                <w:sz w:val="24"/>
                <w:szCs w:val="24"/>
                <w:highlight w:val="none"/>
              </w:rPr>
            </w:pPr>
          </w:p>
        </w:tc>
        <w:tc>
          <w:tcPr>
            <w:tcW w:w="935" w:type="dxa"/>
            <w:vMerge w:val="continue"/>
            <w:noWrap w:val="0"/>
            <w:tcMar>
              <w:top w:w="0" w:type="dxa"/>
              <w:left w:w="105" w:type="dxa"/>
              <w:bottom w:w="0" w:type="dxa"/>
              <w:right w:w="105" w:type="dxa"/>
            </w:tcMar>
            <w:vAlign w:val="center"/>
          </w:tcPr>
          <w:p>
            <w:pPr>
              <w:keepNext w:val="0"/>
              <w:keepLines w:val="0"/>
              <w:pageBreakBefore w:val="0"/>
              <w:shd w:val="clear"/>
              <w:kinsoku/>
              <w:wordWrap/>
              <w:overflowPunct/>
              <w:topLinePunct w:val="0"/>
              <w:autoSpaceDE/>
              <w:autoSpaceDN/>
              <w:bidi w:val="0"/>
              <w:adjustRightInd/>
              <w:snapToGrid/>
              <w:spacing w:before="0" w:beforeAutospacing="0" w:afterAutospacing="0" w:line="400" w:lineRule="exact"/>
              <w:ind w:right="0"/>
              <w:rPr>
                <w:rFonts w:hint="eastAsia" w:ascii="宋体" w:hAnsi="宋体" w:eastAsia="宋体" w:cs="宋体"/>
                <w:i w:val="0"/>
                <w:iCs w:val="0"/>
                <w:caps w:val="0"/>
                <w:color w:val="auto"/>
                <w:spacing w:val="0"/>
                <w:sz w:val="24"/>
                <w:szCs w:val="24"/>
                <w:highlight w:val="none"/>
              </w:rPr>
            </w:pPr>
          </w:p>
        </w:tc>
        <w:tc>
          <w:tcPr>
            <w:tcW w:w="6292" w:type="dxa"/>
            <w:noWrap w:val="0"/>
            <w:tcMar>
              <w:top w:w="0" w:type="dxa"/>
              <w:left w:w="105" w:type="dxa"/>
              <w:bottom w:w="0" w:type="dxa"/>
              <w:right w:w="105" w:type="dxa"/>
            </w:tcMar>
            <w:vAlign w:val="center"/>
          </w:tcPr>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right="0"/>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3、环卫工人在工具房内外大声喧哗，不使用文明用语，每人次扣1分。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80" w:hRule="atLeast"/>
          <w:tblCellSpacing w:w="15" w:type="dxa"/>
        </w:trPr>
        <w:tc>
          <w:tcPr>
            <w:tcW w:w="1428" w:type="dxa"/>
            <w:vMerge w:val="continue"/>
            <w:noWrap w:val="0"/>
            <w:tcMar>
              <w:top w:w="0" w:type="dxa"/>
              <w:left w:w="105" w:type="dxa"/>
              <w:bottom w:w="0" w:type="dxa"/>
              <w:right w:w="105" w:type="dxa"/>
            </w:tcMar>
            <w:vAlign w:val="center"/>
          </w:tcPr>
          <w:p>
            <w:pPr>
              <w:keepNext w:val="0"/>
              <w:keepLines w:val="0"/>
              <w:pageBreakBefore w:val="0"/>
              <w:shd w:val="clear"/>
              <w:kinsoku/>
              <w:wordWrap/>
              <w:overflowPunct/>
              <w:topLinePunct w:val="0"/>
              <w:autoSpaceDE/>
              <w:autoSpaceDN/>
              <w:bidi w:val="0"/>
              <w:adjustRightInd/>
              <w:snapToGrid/>
              <w:spacing w:before="0" w:beforeAutospacing="0" w:afterAutospacing="0" w:line="400" w:lineRule="exact"/>
              <w:ind w:right="0"/>
              <w:rPr>
                <w:rFonts w:hint="eastAsia" w:ascii="宋体" w:hAnsi="宋体" w:eastAsia="宋体" w:cs="宋体"/>
                <w:i w:val="0"/>
                <w:iCs w:val="0"/>
                <w:caps w:val="0"/>
                <w:color w:val="auto"/>
                <w:spacing w:val="0"/>
                <w:sz w:val="24"/>
                <w:szCs w:val="24"/>
                <w:highlight w:val="none"/>
              </w:rPr>
            </w:pPr>
          </w:p>
        </w:tc>
        <w:tc>
          <w:tcPr>
            <w:tcW w:w="1029" w:type="dxa"/>
            <w:gridSpan w:val="2"/>
            <w:vMerge w:val="continue"/>
            <w:noWrap w:val="0"/>
            <w:tcMar>
              <w:top w:w="0" w:type="dxa"/>
              <w:left w:w="105" w:type="dxa"/>
              <w:bottom w:w="0" w:type="dxa"/>
              <w:right w:w="105" w:type="dxa"/>
            </w:tcMar>
            <w:vAlign w:val="center"/>
          </w:tcPr>
          <w:p>
            <w:pPr>
              <w:keepNext w:val="0"/>
              <w:keepLines w:val="0"/>
              <w:pageBreakBefore w:val="0"/>
              <w:shd w:val="clear"/>
              <w:kinsoku/>
              <w:wordWrap/>
              <w:overflowPunct/>
              <w:topLinePunct w:val="0"/>
              <w:autoSpaceDE/>
              <w:autoSpaceDN/>
              <w:bidi w:val="0"/>
              <w:adjustRightInd/>
              <w:snapToGrid/>
              <w:spacing w:before="0" w:beforeAutospacing="0" w:afterAutospacing="0" w:line="400" w:lineRule="exact"/>
              <w:ind w:right="0"/>
              <w:rPr>
                <w:rFonts w:hint="eastAsia" w:ascii="宋体" w:hAnsi="宋体" w:eastAsia="宋体" w:cs="宋体"/>
                <w:i w:val="0"/>
                <w:iCs w:val="0"/>
                <w:caps w:val="0"/>
                <w:color w:val="auto"/>
                <w:spacing w:val="0"/>
                <w:sz w:val="24"/>
                <w:szCs w:val="24"/>
                <w:highlight w:val="none"/>
              </w:rPr>
            </w:pPr>
          </w:p>
        </w:tc>
        <w:tc>
          <w:tcPr>
            <w:tcW w:w="935" w:type="dxa"/>
            <w:noWrap w:val="0"/>
            <w:tcMar>
              <w:top w:w="0" w:type="dxa"/>
              <w:left w:w="105" w:type="dxa"/>
              <w:bottom w:w="0" w:type="dxa"/>
              <w:right w:w="105" w:type="dxa"/>
            </w:tcMar>
            <w:vAlign w:val="center"/>
          </w:tcPr>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right="0"/>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安全生产管理</w:t>
            </w:r>
          </w:p>
        </w:tc>
        <w:tc>
          <w:tcPr>
            <w:tcW w:w="6292" w:type="dxa"/>
            <w:noWrap w:val="0"/>
            <w:tcMar>
              <w:top w:w="0" w:type="dxa"/>
              <w:left w:w="105" w:type="dxa"/>
              <w:bottom w:w="0" w:type="dxa"/>
              <w:right w:w="105" w:type="dxa"/>
            </w:tcMar>
            <w:vAlign w:val="center"/>
          </w:tcPr>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right="0"/>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1、员工在作业期间不按规定着装不穿戴规定的反光标志的，每人每次扣20分，班扣4分；爬越中线栏杆的，当事人每次扣10分，班扣2分。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215" w:hRule="atLeast"/>
          <w:tblCellSpacing w:w="15" w:type="dxa"/>
        </w:trPr>
        <w:tc>
          <w:tcPr>
            <w:tcW w:w="1428" w:type="dxa"/>
            <w:vMerge w:val="continue"/>
            <w:noWrap w:val="0"/>
            <w:tcMar>
              <w:top w:w="0" w:type="dxa"/>
              <w:left w:w="105" w:type="dxa"/>
              <w:bottom w:w="0" w:type="dxa"/>
              <w:right w:w="105" w:type="dxa"/>
            </w:tcMar>
            <w:vAlign w:val="center"/>
          </w:tcPr>
          <w:p>
            <w:pPr>
              <w:keepNext w:val="0"/>
              <w:keepLines w:val="0"/>
              <w:pageBreakBefore w:val="0"/>
              <w:shd w:val="clear"/>
              <w:kinsoku/>
              <w:wordWrap/>
              <w:overflowPunct/>
              <w:topLinePunct w:val="0"/>
              <w:autoSpaceDE/>
              <w:autoSpaceDN/>
              <w:bidi w:val="0"/>
              <w:adjustRightInd/>
              <w:snapToGrid/>
              <w:spacing w:before="0" w:beforeAutospacing="0" w:afterAutospacing="0" w:line="400" w:lineRule="exact"/>
              <w:ind w:right="0"/>
              <w:rPr>
                <w:rFonts w:hint="eastAsia" w:ascii="宋体" w:hAnsi="宋体" w:eastAsia="宋体" w:cs="宋体"/>
                <w:i w:val="0"/>
                <w:iCs w:val="0"/>
                <w:caps w:val="0"/>
                <w:color w:val="auto"/>
                <w:spacing w:val="0"/>
                <w:sz w:val="24"/>
                <w:szCs w:val="24"/>
                <w:highlight w:val="none"/>
              </w:rPr>
            </w:pPr>
          </w:p>
        </w:tc>
        <w:tc>
          <w:tcPr>
            <w:tcW w:w="1021" w:type="dxa"/>
            <w:vMerge w:val="restart"/>
            <w:noWrap w:val="0"/>
            <w:tcMar>
              <w:top w:w="0" w:type="dxa"/>
              <w:left w:w="105" w:type="dxa"/>
              <w:bottom w:w="0" w:type="dxa"/>
              <w:right w:w="105" w:type="dxa"/>
            </w:tcMar>
            <w:vAlign w:val="center"/>
          </w:tcPr>
          <w:p>
            <w:pPr>
              <w:keepNext w:val="0"/>
              <w:keepLines w:val="0"/>
              <w:pageBreakBefore w:val="0"/>
              <w:shd w:val="clear"/>
              <w:kinsoku/>
              <w:wordWrap/>
              <w:overflowPunct/>
              <w:topLinePunct w:val="0"/>
              <w:autoSpaceDE/>
              <w:autoSpaceDN/>
              <w:bidi w:val="0"/>
              <w:adjustRightInd/>
              <w:snapToGrid/>
              <w:spacing w:before="0" w:beforeAutospacing="0" w:afterAutospacing="0" w:line="400" w:lineRule="exact"/>
              <w:ind w:right="0"/>
              <w:rPr>
                <w:rFonts w:hint="eastAsia" w:ascii="宋体" w:hAnsi="宋体" w:eastAsia="宋体" w:cs="宋体"/>
                <w:i w:val="0"/>
                <w:iCs w:val="0"/>
                <w:caps w:val="0"/>
                <w:color w:val="auto"/>
                <w:spacing w:val="0"/>
                <w:sz w:val="24"/>
                <w:szCs w:val="24"/>
                <w:highlight w:val="none"/>
              </w:rPr>
            </w:pPr>
          </w:p>
        </w:tc>
        <w:tc>
          <w:tcPr>
            <w:tcW w:w="943" w:type="dxa"/>
            <w:gridSpan w:val="2"/>
            <w:vMerge w:val="restart"/>
            <w:noWrap w:val="0"/>
            <w:tcMar>
              <w:top w:w="0" w:type="dxa"/>
              <w:left w:w="105" w:type="dxa"/>
              <w:bottom w:w="0" w:type="dxa"/>
              <w:right w:w="105" w:type="dxa"/>
            </w:tcMar>
            <w:vAlign w:val="center"/>
          </w:tcPr>
          <w:p>
            <w:pPr>
              <w:keepNext w:val="0"/>
              <w:keepLines w:val="0"/>
              <w:pageBreakBefore w:val="0"/>
              <w:shd w:val="clear"/>
              <w:kinsoku/>
              <w:wordWrap/>
              <w:overflowPunct/>
              <w:topLinePunct w:val="0"/>
              <w:autoSpaceDE/>
              <w:autoSpaceDN/>
              <w:bidi w:val="0"/>
              <w:adjustRightInd/>
              <w:snapToGrid/>
              <w:spacing w:before="0" w:beforeAutospacing="0" w:afterAutospacing="0" w:line="400" w:lineRule="exact"/>
              <w:ind w:right="0"/>
              <w:rPr>
                <w:rFonts w:hint="eastAsia" w:ascii="宋体" w:hAnsi="宋体" w:eastAsia="宋体" w:cs="宋体"/>
                <w:i w:val="0"/>
                <w:iCs w:val="0"/>
                <w:caps w:val="0"/>
                <w:color w:val="auto"/>
                <w:spacing w:val="0"/>
                <w:sz w:val="24"/>
                <w:szCs w:val="24"/>
                <w:highlight w:val="none"/>
              </w:rPr>
            </w:pPr>
          </w:p>
        </w:tc>
        <w:tc>
          <w:tcPr>
            <w:tcW w:w="6292" w:type="dxa"/>
            <w:noWrap w:val="0"/>
            <w:tcMar>
              <w:top w:w="0" w:type="dxa"/>
              <w:left w:w="105" w:type="dxa"/>
              <w:bottom w:w="0" w:type="dxa"/>
              <w:right w:w="105" w:type="dxa"/>
            </w:tcMar>
            <w:vAlign w:val="center"/>
          </w:tcPr>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right="0"/>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2、清扫中线栏杆或快车道中间，没有使用安全保护设施（警示牌、警示桩或垃圾桶、自行车等明显标示）违章作业的，每次扣班10分，发生安全责任事故，每宗扣班100分。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380" w:hRule="atLeast"/>
          <w:tblCellSpacing w:w="15" w:type="dxa"/>
        </w:trPr>
        <w:tc>
          <w:tcPr>
            <w:tcW w:w="1428" w:type="dxa"/>
            <w:vMerge w:val="continue"/>
            <w:noWrap w:val="0"/>
            <w:tcMar>
              <w:top w:w="0" w:type="dxa"/>
              <w:left w:w="105" w:type="dxa"/>
              <w:bottom w:w="0" w:type="dxa"/>
              <w:right w:w="105" w:type="dxa"/>
            </w:tcMar>
            <w:vAlign w:val="center"/>
          </w:tcPr>
          <w:p>
            <w:pPr>
              <w:keepNext w:val="0"/>
              <w:keepLines w:val="0"/>
              <w:pageBreakBefore w:val="0"/>
              <w:shd w:val="clear"/>
              <w:kinsoku/>
              <w:wordWrap/>
              <w:overflowPunct/>
              <w:topLinePunct w:val="0"/>
              <w:autoSpaceDE/>
              <w:autoSpaceDN/>
              <w:bidi w:val="0"/>
              <w:adjustRightInd/>
              <w:snapToGrid/>
              <w:spacing w:before="0" w:beforeAutospacing="0" w:afterAutospacing="0" w:line="400" w:lineRule="exact"/>
              <w:ind w:right="0"/>
              <w:rPr>
                <w:rFonts w:hint="eastAsia" w:ascii="宋体" w:hAnsi="宋体" w:eastAsia="宋体" w:cs="宋体"/>
                <w:i w:val="0"/>
                <w:iCs w:val="0"/>
                <w:caps w:val="0"/>
                <w:color w:val="auto"/>
                <w:spacing w:val="0"/>
                <w:sz w:val="24"/>
                <w:szCs w:val="24"/>
                <w:highlight w:val="none"/>
              </w:rPr>
            </w:pPr>
          </w:p>
        </w:tc>
        <w:tc>
          <w:tcPr>
            <w:tcW w:w="1021" w:type="dxa"/>
            <w:vMerge w:val="continue"/>
            <w:noWrap w:val="0"/>
            <w:tcMar>
              <w:top w:w="0" w:type="dxa"/>
              <w:left w:w="105" w:type="dxa"/>
              <w:bottom w:w="0" w:type="dxa"/>
              <w:right w:w="105" w:type="dxa"/>
            </w:tcMar>
            <w:vAlign w:val="center"/>
          </w:tcPr>
          <w:p>
            <w:pPr>
              <w:keepNext w:val="0"/>
              <w:keepLines w:val="0"/>
              <w:pageBreakBefore w:val="0"/>
              <w:shd w:val="clear"/>
              <w:kinsoku/>
              <w:wordWrap/>
              <w:overflowPunct/>
              <w:topLinePunct w:val="0"/>
              <w:autoSpaceDE/>
              <w:autoSpaceDN/>
              <w:bidi w:val="0"/>
              <w:adjustRightInd/>
              <w:snapToGrid/>
              <w:spacing w:before="0" w:beforeAutospacing="0" w:afterAutospacing="0" w:line="400" w:lineRule="exact"/>
              <w:ind w:right="0"/>
              <w:rPr>
                <w:rFonts w:hint="eastAsia" w:ascii="宋体" w:hAnsi="宋体" w:eastAsia="宋体" w:cs="宋体"/>
                <w:i w:val="0"/>
                <w:iCs w:val="0"/>
                <w:caps w:val="0"/>
                <w:color w:val="auto"/>
                <w:spacing w:val="0"/>
                <w:sz w:val="24"/>
                <w:szCs w:val="24"/>
                <w:highlight w:val="none"/>
              </w:rPr>
            </w:pPr>
          </w:p>
        </w:tc>
        <w:tc>
          <w:tcPr>
            <w:tcW w:w="943" w:type="dxa"/>
            <w:gridSpan w:val="2"/>
            <w:vMerge w:val="continue"/>
            <w:noWrap w:val="0"/>
            <w:tcMar>
              <w:top w:w="0" w:type="dxa"/>
              <w:left w:w="105" w:type="dxa"/>
              <w:bottom w:w="0" w:type="dxa"/>
              <w:right w:w="105" w:type="dxa"/>
            </w:tcMar>
            <w:vAlign w:val="center"/>
          </w:tcPr>
          <w:p>
            <w:pPr>
              <w:keepNext w:val="0"/>
              <w:keepLines w:val="0"/>
              <w:pageBreakBefore w:val="0"/>
              <w:shd w:val="clear"/>
              <w:kinsoku/>
              <w:wordWrap/>
              <w:overflowPunct/>
              <w:topLinePunct w:val="0"/>
              <w:autoSpaceDE/>
              <w:autoSpaceDN/>
              <w:bidi w:val="0"/>
              <w:adjustRightInd/>
              <w:snapToGrid/>
              <w:spacing w:before="0" w:beforeAutospacing="0" w:afterAutospacing="0" w:line="400" w:lineRule="exact"/>
              <w:ind w:right="0"/>
              <w:rPr>
                <w:rFonts w:hint="eastAsia" w:ascii="宋体" w:hAnsi="宋体" w:eastAsia="宋体" w:cs="宋体"/>
                <w:i w:val="0"/>
                <w:iCs w:val="0"/>
                <w:caps w:val="0"/>
                <w:color w:val="auto"/>
                <w:spacing w:val="0"/>
                <w:sz w:val="24"/>
                <w:szCs w:val="24"/>
                <w:highlight w:val="none"/>
              </w:rPr>
            </w:pPr>
          </w:p>
        </w:tc>
        <w:tc>
          <w:tcPr>
            <w:tcW w:w="6292" w:type="dxa"/>
            <w:noWrap w:val="0"/>
            <w:tcMar>
              <w:top w:w="0" w:type="dxa"/>
              <w:left w:w="105" w:type="dxa"/>
              <w:bottom w:w="0" w:type="dxa"/>
              <w:right w:w="105" w:type="dxa"/>
            </w:tcMar>
            <w:vAlign w:val="center"/>
          </w:tcPr>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right="0"/>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3、保洁车、垃圾桶作业期间，停放不得超过石脚边10公分，车上扫把不得横放，同时不能停放在车站范围，如不注意安全生产造成损坏车辆、碰撞行人或损坏他人财物的责任事故，除赔偿经济损失外，扣班2—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695" w:hRule="atLeast"/>
          <w:tblCellSpacing w:w="15" w:type="dxa"/>
        </w:trPr>
        <w:tc>
          <w:tcPr>
            <w:tcW w:w="1428" w:type="dxa"/>
            <w:vMerge w:val="continue"/>
            <w:noWrap w:val="0"/>
            <w:tcMar>
              <w:top w:w="0" w:type="dxa"/>
              <w:left w:w="105" w:type="dxa"/>
              <w:bottom w:w="0" w:type="dxa"/>
              <w:right w:w="105" w:type="dxa"/>
            </w:tcMar>
            <w:vAlign w:val="center"/>
          </w:tcPr>
          <w:p>
            <w:pPr>
              <w:keepNext w:val="0"/>
              <w:keepLines w:val="0"/>
              <w:pageBreakBefore w:val="0"/>
              <w:shd w:val="clear"/>
              <w:kinsoku/>
              <w:wordWrap/>
              <w:overflowPunct/>
              <w:topLinePunct w:val="0"/>
              <w:autoSpaceDE/>
              <w:autoSpaceDN/>
              <w:bidi w:val="0"/>
              <w:adjustRightInd/>
              <w:snapToGrid/>
              <w:spacing w:before="0" w:beforeAutospacing="0" w:afterAutospacing="0" w:line="400" w:lineRule="exact"/>
              <w:ind w:right="0"/>
              <w:rPr>
                <w:rFonts w:hint="eastAsia" w:ascii="宋体" w:hAnsi="宋体" w:eastAsia="宋体" w:cs="宋体"/>
                <w:i w:val="0"/>
                <w:iCs w:val="0"/>
                <w:caps w:val="0"/>
                <w:color w:val="auto"/>
                <w:spacing w:val="0"/>
                <w:sz w:val="24"/>
                <w:szCs w:val="24"/>
                <w:highlight w:val="none"/>
              </w:rPr>
            </w:pPr>
          </w:p>
        </w:tc>
        <w:tc>
          <w:tcPr>
            <w:tcW w:w="1021" w:type="dxa"/>
            <w:vMerge w:val="continue"/>
            <w:noWrap w:val="0"/>
            <w:tcMar>
              <w:top w:w="0" w:type="dxa"/>
              <w:left w:w="105" w:type="dxa"/>
              <w:bottom w:w="0" w:type="dxa"/>
              <w:right w:w="105" w:type="dxa"/>
            </w:tcMar>
            <w:vAlign w:val="center"/>
          </w:tcPr>
          <w:p>
            <w:pPr>
              <w:keepNext w:val="0"/>
              <w:keepLines w:val="0"/>
              <w:pageBreakBefore w:val="0"/>
              <w:shd w:val="clear"/>
              <w:kinsoku/>
              <w:wordWrap/>
              <w:overflowPunct/>
              <w:topLinePunct w:val="0"/>
              <w:autoSpaceDE/>
              <w:autoSpaceDN/>
              <w:bidi w:val="0"/>
              <w:adjustRightInd/>
              <w:snapToGrid/>
              <w:spacing w:before="0" w:beforeAutospacing="0" w:afterAutospacing="0" w:line="400" w:lineRule="exact"/>
              <w:ind w:right="0"/>
              <w:rPr>
                <w:rFonts w:hint="eastAsia" w:ascii="宋体" w:hAnsi="宋体" w:eastAsia="宋体" w:cs="宋体"/>
                <w:i w:val="0"/>
                <w:iCs w:val="0"/>
                <w:caps w:val="0"/>
                <w:color w:val="auto"/>
                <w:spacing w:val="0"/>
                <w:sz w:val="24"/>
                <w:szCs w:val="24"/>
                <w:highlight w:val="none"/>
              </w:rPr>
            </w:pPr>
          </w:p>
        </w:tc>
        <w:tc>
          <w:tcPr>
            <w:tcW w:w="943" w:type="dxa"/>
            <w:gridSpan w:val="2"/>
            <w:vMerge w:val="continue"/>
            <w:noWrap w:val="0"/>
            <w:tcMar>
              <w:top w:w="0" w:type="dxa"/>
              <w:left w:w="105" w:type="dxa"/>
              <w:bottom w:w="0" w:type="dxa"/>
              <w:right w:w="105" w:type="dxa"/>
            </w:tcMar>
            <w:vAlign w:val="center"/>
          </w:tcPr>
          <w:p>
            <w:pPr>
              <w:keepNext w:val="0"/>
              <w:keepLines w:val="0"/>
              <w:pageBreakBefore w:val="0"/>
              <w:shd w:val="clear"/>
              <w:kinsoku/>
              <w:wordWrap/>
              <w:overflowPunct/>
              <w:topLinePunct w:val="0"/>
              <w:autoSpaceDE/>
              <w:autoSpaceDN/>
              <w:bidi w:val="0"/>
              <w:adjustRightInd/>
              <w:snapToGrid/>
              <w:spacing w:before="0" w:beforeAutospacing="0" w:afterAutospacing="0" w:line="400" w:lineRule="exact"/>
              <w:ind w:right="0"/>
              <w:rPr>
                <w:rFonts w:hint="eastAsia" w:ascii="宋体" w:hAnsi="宋体" w:eastAsia="宋体" w:cs="宋体"/>
                <w:i w:val="0"/>
                <w:iCs w:val="0"/>
                <w:caps w:val="0"/>
                <w:color w:val="auto"/>
                <w:spacing w:val="0"/>
                <w:sz w:val="24"/>
                <w:szCs w:val="24"/>
                <w:highlight w:val="none"/>
              </w:rPr>
            </w:pPr>
          </w:p>
        </w:tc>
        <w:tc>
          <w:tcPr>
            <w:tcW w:w="6292" w:type="dxa"/>
            <w:noWrap w:val="0"/>
            <w:tcMar>
              <w:top w:w="0" w:type="dxa"/>
              <w:left w:w="105" w:type="dxa"/>
              <w:bottom w:w="0" w:type="dxa"/>
              <w:right w:w="105" w:type="dxa"/>
            </w:tcMar>
            <w:vAlign w:val="center"/>
          </w:tcPr>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right="0"/>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4、垃圾点和垃圾车、垃圾桶停放点，占地影响安全、压盲人道，每宗扣班1分；垃圾桶、垃圾车、小水车停放要整齐，乱停放，影响安全，占用盲人道，违者每辆车（桶）扣班1分；因乱停放造成经济损失和责任事故的，根据情节轻重由责任人承担，扣班1-100分。</w:t>
            </w:r>
          </w:p>
        </w:tc>
      </w:tr>
    </w:tbl>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firstLine="0"/>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 </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质量监管考核结果：</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在检查中，因不符合 作业规范、操作规程或作业标准，被扣3分以下（含3分）的行为；视作一般违纪行为；被扣3分以上的行为，视作严重违纪行为：对一般违纪行为，视情节轻重给予</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1、书面检讨，批评教育，限期改正；2、通报批评；3、警告、记过；4、留用察看；5、降职；</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对严重违纪行为，给予开除处理。</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firstLine="482" w:firstLineChars="200"/>
        <w:textAlignment w:val="auto"/>
        <w:rPr>
          <w:rFonts w:hint="eastAsia" w:ascii="宋体" w:hAnsi="宋体" w:eastAsia="宋体" w:cs="宋体"/>
          <w:i w:val="0"/>
          <w:iCs w:val="0"/>
          <w:caps w:val="0"/>
          <w:color w:val="auto"/>
          <w:spacing w:val="0"/>
          <w:sz w:val="24"/>
          <w:szCs w:val="24"/>
          <w:highlight w:val="none"/>
        </w:rPr>
      </w:pPr>
      <w:r>
        <w:rPr>
          <w:rStyle w:val="9"/>
          <w:rFonts w:hint="eastAsia" w:ascii="宋体" w:hAnsi="宋体" w:eastAsia="宋体" w:cs="宋体"/>
          <w:i w:val="0"/>
          <w:iCs w:val="0"/>
          <w:caps w:val="0"/>
          <w:color w:val="auto"/>
          <w:spacing w:val="0"/>
          <w:sz w:val="24"/>
          <w:szCs w:val="24"/>
          <w:highlight w:val="none"/>
          <w:lang w:eastAsia="zh-CN"/>
        </w:rPr>
        <w:t>（</w:t>
      </w:r>
      <w:r>
        <w:rPr>
          <w:rStyle w:val="9"/>
          <w:rFonts w:hint="eastAsia" w:ascii="宋体" w:hAnsi="宋体" w:eastAsia="宋体" w:cs="宋体"/>
          <w:i w:val="0"/>
          <w:iCs w:val="0"/>
          <w:caps w:val="0"/>
          <w:color w:val="auto"/>
          <w:spacing w:val="0"/>
          <w:sz w:val="24"/>
          <w:szCs w:val="24"/>
          <w:highlight w:val="none"/>
        </w:rPr>
        <w:t>三</w:t>
      </w:r>
      <w:r>
        <w:rPr>
          <w:rStyle w:val="9"/>
          <w:rFonts w:hint="eastAsia" w:ascii="宋体" w:hAnsi="宋体" w:eastAsia="宋体" w:cs="宋体"/>
          <w:i w:val="0"/>
          <w:iCs w:val="0"/>
          <w:caps w:val="0"/>
          <w:color w:val="auto"/>
          <w:spacing w:val="0"/>
          <w:sz w:val="24"/>
          <w:szCs w:val="24"/>
          <w:highlight w:val="none"/>
          <w:lang w:eastAsia="zh-CN"/>
        </w:rPr>
        <w:t>）</w:t>
      </w:r>
      <w:r>
        <w:rPr>
          <w:rStyle w:val="9"/>
          <w:rFonts w:hint="eastAsia" w:ascii="宋体" w:hAnsi="宋体" w:eastAsia="宋体" w:cs="宋体"/>
          <w:i w:val="0"/>
          <w:iCs w:val="0"/>
          <w:caps w:val="0"/>
          <w:color w:val="auto"/>
          <w:spacing w:val="0"/>
          <w:sz w:val="24"/>
          <w:szCs w:val="24"/>
          <w:highlight w:val="none"/>
        </w:rPr>
        <w:t>道路清扫保洁作业方案</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firstLine="482" w:firstLineChars="200"/>
        <w:textAlignment w:val="auto"/>
        <w:rPr>
          <w:rStyle w:val="9"/>
          <w:rFonts w:hint="eastAsia" w:ascii="宋体" w:hAnsi="宋体" w:eastAsia="宋体" w:cs="宋体"/>
          <w:i w:val="0"/>
          <w:iCs w:val="0"/>
          <w:caps w:val="0"/>
          <w:color w:val="auto"/>
          <w:spacing w:val="0"/>
          <w:sz w:val="24"/>
          <w:szCs w:val="24"/>
          <w:highlight w:val="none"/>
        </w:rPr>
      </w:pPr>
      <w:r>
        <w:rPr>
          <w:rStyle w:val="9"/>
          <w:rFonts w:hint="eastAsia" w:ascii="宋体" w:hAnsi="宋体" w:eastAsia="宋体" w:cs="宋体"/>
          <w:i w:val="0"/>
          <w:iCs w:val="0"/>
          <w:caps w:val="0"/>
          <w:color w:val="auto"/>
          <w:spacing w:val="0"/>
          <w:sz w:val="24"/>
          <w:szCs w:val="24"/>
          <w:highlight w:val="none"/>
        </w:rPr>
        <w:t>3.1、道路保洁提升方案</w:t>
      </w:r>
      <w:r>
        <w:rPr>
          <w:rStyle w:val="9"/>
          <w:rFonts w:hint="eastAsia" w:ascii="宋体" w:hAnsi="宋体" w:cs="宋体"/>
          <w:i w:val="0"/>
          <w:iCs w:val="0"/>
          <w:caps w:val="0"/>
          <w:color w:val="auto"/>
          <w:spacing w:val="0"/>
          <w:sz w:val="24"/>
          <w:szCs w:val="24"/>
          <w:highlight w:val="none"/>
          <w:lang w:eastAsia="zh-CN"/>
        </w:rPr>
        <w:t>（</w:t>
      </w:r>
      <w:r>
        <w:rPr>
          <w:rStyle w:val="9"/>
          <w:rFonts w:hint="eastAsia" w:ascii="宋体" w:hAnsi="宋体" w:cs="宋体"/>
          <w:i w:val="0"/>
          <w:iCs w:val="0"/>
          <w:caps w:val="0"/>
          <w:color w:val="auto"/>
          <w:spacing w:val="0"/>
          <w:sz w:val="24"/>
          <w:szCs w:val="24"/>
          <w:highlight w:val="none"/>
          <w:lang w:val="en-US" w:eastAsia="zh-CN"/>
        </w:rPr>
        <w:t>评分第6项）</w:t>
      </w:r>
    </w:p>
    <w:tbl>
      <w:tblPr>
        <w:tblStyle w:val="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58"/>
        <w:gridCol w:w="4051"/>
        <w:gridCol w:w="445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2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snapToGrid/>
              <w:spacing w:line="400" w:lineRule="exact"/>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项目</w:t>
            </w:r>
          </w:p>
        </w:tc>
        <w:tc>
          <w:tcPr>
            <w:tcW w:w="40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snapToGrid/>
              <w:spacing w:line="400" w:lineRule="exact"/>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旧模式分析</w:t>
            </w:r>
          </w:p>
        </w:tc>
        <w:tc>
          <w:tcPr>
            <w:tcW w:w="44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snapToGrid/>
              <w:spacing w:line="400" w:lineRule="exact"/>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机械化新模式分析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25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snapToGrid/>
              <w:spacing w:line="40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模式</w:t>
            </w:r>
          </w:p>
        </w:tc>
        <w:tc>
          <w:tcPr>
            <w:tcW w:w="40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snapToGrid/>
              <w:spacing w:line="400" w:lineRule="exact"/>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1)以清扫保洁为主；</w:t>
            </w:r>
          </w:p>
        </w:tc>
        <w:tc>
          <w:tcPr>
            <w:tcW w:w="44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snapToGrid/>
              <w:spacing w:line="400" w:lineRule="exact"/>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1)清洗保洁为主，洗扫结合；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25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hd w:val="clear"/>
              <w:kinsoku/>
              <w:wordWrap/>
              <w:overflowPunct/>
              <w:topLinePunct w:val="0"/>
              <w:autoSpaceDE/>
              <w:autoSpaceDN/>
              <w:bidi w:val="0"/>
              <w:snapToGrid/>
              <w:spacing w:line="400" w:lineRule="exact"/>
              <w:jc w:val="center"/>
              <w:rPr>
                <w:rFonts w:hint="eastAsia" w:ascii="宋体" w:hAnsi="宋体" w:eastAsia="宋体" w:cs="宋体"/>
                <w:i w:val="0"/>
                <w:iCs w:val="0"/>
                <w:color w:val="auto"/>
                <w:sz w:val="24"/>
                <w:szCs w:val="24"/>
                <w:highlight w:val="none"/>
                <w:u w:val="none"/>
              </w:rPr>
            </w:pPr>
          </w:p>
        </w:tc>
        <w:tc>
          <w:tcPr>
            <w:tcW w:w="40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snapToGrid/>
              <w:spacing w:line="400" w:lineRule="exact"/>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2)以人工作业为主；</w:t>
            </w:r>
          </w:p>
        </w:tc>
        <w:tc>
          <w:tcPr>
            <w:tcW w:w="44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snapToGrid/>
              <w:spacing w:line="400" w:lineRule="exact"/>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2)全面推行机械化保洁；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25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hd w:val="clear"/>
              <w:kinsoku/>
              <w:wordWrap/>
              <w:overflowPunct/>
              <w:topLinePunct w:val="0"/>
              <w:autoSpaceDE/>
              <w:autoSpaceDN/>
              <w:bidi w:val="0"/>
              <w:snapToGrid/>
              <w:spacing w:line="400" w:lineRule="exact"/>
              <w:jc w:val="center"/>
              <w:rPr>
                <w:rFonts w:hint="eastAsia" w:ascii="宋体" w:hAnsi="宋体" w:eastAsia="宋体" w:cs="宋体"/>
                <w:i w:val="0"/>
                <w:iCs w:val="0"/>
                <w:color w:val="auto"/>
                <w:sz w:val="24"/>
                <w:szCs w:val="24"/>
                <w:highlight w:val="none"/>
                <w:u w:val="none"/>
              </w:rPr>
            </w:pPr>
          </w:p>
        </w:tc>
        <w:tc>
          <w:tcPr>
            <w:tcW w:w="40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snapToGrid/>
              <w:spacing w:line="400" w:lineRule="exact"/>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3)机械化作业比例低；</w:t>
            </w:r>
          </w:p>
        </w:tc>
        <w:tc>
          <w:tcPr>
            <w:tcW w:w="44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snapToGrid/>
              <w:spacing w:line="400" w:lineRule="exact"/>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3)机械化作业比例村镇社区达到70%以上；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25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snapToGrid/>
              <w:spacing w:line="40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工具</w:t>
            </w:r>
          </w:p>
        </w:tc>
        <w:tc>
          <w:tcPr>
            <w:tcW w:w="4051"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snapToGrid/>
              <w:spacing w:line="400" w:lineRule="exact"/>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1)传统人工作业工具：扫把、畚斗、人力三轮车、手推车等；</w:t>
            </w:r>
          </w:p>
        </w:tc>
        <w:tc>
          <w:tcPr>
            <w:tcW w:w="44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snapToGrid/>
              <w:spacing w:line="400" w:lineRule="exact"/>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1)以洗扫一体车、清洗车为主要保洁车辆；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25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hd w:val="clear"/>
              <w:kinsoku/>
              <w:wordWrap/>
              <w:overflowPunct/>
              <w:topLinePunct w:val="0"/>
              <w:autoSpaceDE/>
              <w:autoSpaceDN/>
              <w:bidi w:val="0"/>
              <w:snapToGrid/>
              <w:spacing w:line="400" w:lineRule="exact"/>
              <w:jc w:val="center"/>
              <w:rPr>
                <w:rFonts w:hint="eastAsia" w:ascii="宋体" w:hAnsi="宋体" w:eastAsia="宋体" w:cs="宋体"/>
                <w:i w:val="0"/>
                <w:iCs w:val="0"/>
                <w:color w:val="auto"/>
                <w:sz w:val="24"/>
                <w:szCs w:val="24"/>
                <w:highlight w:val="none"/>
                <w:u w:val="none"/>
              </w:rPr>
            </w:pPr>
          </w:p>
        </w:tc>
        <w:tc>
          <w:tcPr>
            <w:tcW w:w="4051"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shd w:val="clear"/>
              <w:kinsoku/>
              <w:wordWrap/>
              <w:overflowPunct/>
              <w:topLinePunct w:val="0"/>
              <w:autoSpaceDE/>
              <w:autoSpaceDN/>
              <w:bidi w:val="0"/>
              <w:snapToGrid/>
              <w:spacing w:line="400" w:lineRule="exact"/>
              <w:jc w:val="left"/>
              <w:rPr>
                <w:rFonts w:hint="eastAsia" w:ascii="宋体" w:hAnsi="宋体" w:eastAsia="宋体" w:cs="宋体"/>
                <w:i w:val="0"/>
                <w:iCs w:val="0"/>
                <w:color w:val="auto"/>
                <w:sz w:val="24"/>
                <w:szCs w:val="24"/>
                <w:highlight w:val="none"/>
                <w:u w:val="none"/>
              </w:rPr>
            </w:pPr>
          </w:p>
        </w:tc>
        <w:tc>
          <w:tcPr>
            <w:tcW w:w="44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snapToGrid/>
              <w:spacing w:line="400" w:lineRule="exact"/>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2)使用小广告高压清洗机高效清理；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25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hd w:val="clear"/>
              <w:kinsoku/>
              <w:wordWrap/>
              <w:overflowPunct/>
              <w:topLinePunct w:val="0"/>
              <w:autoSpaceDE/>
              <w:autoSpaceDN/>
              <w:bidi w:val="0"/>
              <w:snapToGrid/>
              <w:spacing w:line="400" w:lineRule="exact"/>
              <w:jc w:val="center"/>
              <w:rPr>
                <w:rFonts w:hint="eastAsia" w:ascii="宋体" w:hAnsi="宋体" w:eastAsia="宋体" w:cs="宋体"/>
                <w:i w:val="0"/>
                <w:iCs w:val="0"/>
                <w:color w:val="auto"/>
                <w:sz w:val="24"/>
                <w:szCs w:val="24"/>
                <w:highlight w:val="none"/>
                <w:u w:val="none"/>
              </w:rPr>
            </w:pPr>
          </w:p>
        </w:tc>
        <w:tc>
          <w:tcPr>
            <w:tcW w:w="40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snapToGrid/>
              <w:spacing w:line="400" w:lineRule="exact"/>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2)无配备任何清扫车辆；</w:t>
            </w:r>
          </w:p>
        </w:tc>
        <w:tc>
          <w:tcPr>
            <w:tcW w:w="44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snapToGrid/>
              <w:spacing w:line="400" w:lineRule="exact"/>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3)搭配包含电动快速保洁车、小型清洗车、小型吸扫车、小型电动扫地车等小型各类环卫专用设备，大量运用小型化设备，全面提升乡镇的机械化水平，真正将机械化运用到各个角落。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25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snapToGrid/>
              <w:spacing w:line="40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分析</w:t>
            </w:r>
          </w:p>
        </w:tc>
        <w:tc>
          <w:tcPr>
            <w:tcW w:w="40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snapToGrid/>
              <w:spacing w:line="400" w:lineRule="exact"/>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1)人工为主的作业模式落后，不可持续；</w:t>
            </w:r>
          </w:p>
        </w:tc>
        <w:tc>
          <w:tcPr>
            <w:tcW w:w="44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snapToGrid/>
              <w:spacing w:line="400" w:lineRule="exact"/>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1)“全面机械化保洁”属于适应城市管理发展</w:t>
            </w:r>
          </w:p>
          <w:p>
            <w:pPr>
              <w:keepNext w:val="0"/>
              <w:keepLines w:val="0"/>
              <w:pageBreakBefore w:val="0"/>
              <w:widowControl/>
              <w:suppressLineNumbers w:val="0"/>
              <w:shd w:val="clear"/>
              <w:kinsoku/>
              <w:wordWrap/>
              <w:overflowPunct/>
              <w:topLinePunct w:val="0"/>
              <w:autoSpaceDE/>
              <w:autoSpaceDN/>
              <w:bidi w:val="0"/>
              <w:snapToGrid/>
              <w:spacing w:line="400" w:lineRule="exact"/>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需求的最新作业模式；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25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hd w:val="clear"/>
              <w:kinsoku/>
              <w:wordWrap/>
              <w:overflowPunct/>
              <w:topLinePunct w:val="0"/>
              <w:autoSpaceDE/>
              <w:autoSpaceDN/>
              <w:bidi w:val="0"/>
              <w:snapToGrid/>
              <w:spacing w:line="400" w:lineRule="exact"/>
              <w:jc w:val="center"/>
              <w:rPr>
                <w:rFonts w:hint="eastAsia" w:ascii="宋体" w:hAnsi="宋体" w:eastAsia="宋体" w:cs="宋体"/>
                <w:i w:val="0"/>
                <w:iCs w:val="0"/>
                <w:color w:val="auto"/>
                <w:sz w:val="24"/>
                <w:szCs w:val="24"/>
                <w:highlight w:val="none"/>
                <w:u w:val="none"/>
              </w:rPr>
            </w:pPr>
          </w:p>
        </w:tc>
        <w:tc>
          <w:tcPr>
            <w:tcW w:w="40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snapToGrid/>
              <w:spacing w:line="400" w:lineRule="exact"/>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2)二次污染严重；</w:t>
            </w:r>
          </w:p>
        </w:tc>
        <w:tc>
          <w:tcPr>
            <w:tcW w:w="44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snapToGrid/>
              <w:spacing w:line="400" w:lineRule="exact"/>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2)清洗保洁相比清扫保洁，作业质量更高、减少二次污染；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25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hd w:val="clear"/>
              <w:kinsoku/>
              <w:wordWrap/>
              <w:overflowPunct/>
              <w:topLinePunct w:val="0"/>
              <w:autoSpaceDE/>
              <w:autoSpaceDN/>
              <w:bidi w:val="0"/>
              <w:snapToGrid/>
              <w:spacing w:line="400" w:lineRule="exact"/>
              <w:jc w:val="center"/>
              <w:rPr>
                <w:rFonts w:hint="eastAsia" w:ascii="宋体" w:hAnsi="宋体" w:eastAsia="宋体" w:cs="宋体"/>
                <w:i w:val="0"/>
                <w:iCs w:val="0"/>
                <w:color w:val="auto"/>
                <w:sz w:val="24"/>
                <w:szCs w:val="24"/>
                <w:highlight w:val="none"/>
                <w:u w:val="none"/>
              </w:rPr>
            </w:pPr>
          </w:p>
        </w:tc>
        <w:tc>
          <w:tcPr>
            <w:tcW w:w="40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snapToGrid/>
              <w:spacing w:line="400" w:lineRule="exact"/>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3)传统工具效率低；</w:t>
            </w:r>
          </w:p>
        </w:tc>
        <w:tc>
          <w:tcPr>
            <w:tcW w:w="44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snapToGrid/>
              <w:spacing w:line="400" w:lineRule="exact"/>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3)环卫专用设备和车辆更专业、更高效，中小型化设备的大量投入，更适宜城镇的实际需求；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25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hd w:val="clear"/>
              <w:kinsoku/>
              <w:wordWrap/>
              <w:overflowPunct/>
              <w:topLinePunct w:val="0"/>
              <w:autoSpaceDE/>
              <w:autoSpaceDN/>
              <w:bidi w:val="0"/>
              <w:snapToGrid/>
              <w:spacing w:line="400" w:lineRule="exact"/>
              <w:jc w:val="center"/>
              <w:rPr>
                <w:rFonts w:hint="eastAsia" w:ascii="宋体" w:hAnsi="宋体" w:eastAsia="宋体" w:cs="宋体"/>
                <w:i w:val="0"/>
                <w:iCs w:val="0"/>
                <w:color w:val="auto"/>
                <w:sz w:val="24"/>
                <w:szCs w:val="24"/>
                <w:highlight w:val="none"/>
                <w:u w:val="none"/>
              </w:rPr>
            </w:pPr>
          </w:p>
        </w:tc>
        <w:tc>
          <w:tcPr>
            <w:tcW w:w="40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snapToGrid/>
              <w:spacing w:line="400" w:lineRule="exact"/>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4)年龄结构偏高；</w:t>
            </w:r>
          </w:p>
        </w:tc>
        <w:tc>
          <w:tcPr>
            <w:tcW w:w="44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snapToGrid/>
              <w:spacing w:line="400" w:lineRule="exact"/>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4)减小工人劳动强度，安全性强；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25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hd w:val="clear"/>
              <w:kinsoku/>
              <w:wordWrap/>
              <w:overflowPunct/>
              <w:topLinePunct w:val="0"/>
              <w:autoSpaceDE/>
              <w:autoSpaceDN/>
              <w:bidi w:val="0"/>
              <w:snapToGrid/>
              <w:spacing w:line="400" w:lineRule="exact"/>
              <w:jc w:val="center"/>
              <w:rPr>
                <w:rFonts w:hint="eastAsia" w:ascii="宋体" w:hAnsi="宋体" w:eastAsia="宋体" w:cs="宋体"/>
                <w:i w:val="0"/>
                <w:iCs w:val="0"/>
                <w:color w:val="auto"/>
                <w:sz w:val="24"/>
                <w:szCs w:val="24"/>
                <w:highlight w:val="none"/>
                <w:u w:val="none"/>
              </w:rPr>
            </w:pPr>
          </w:p>
        </w:tc>
        <w:tc>
          <w:tcPr>
            <w:tcW w:w="40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snapToGrid/>
              <w:spacing w:line="400" w:lineRule="exact"/>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5)现有工人作业形象差，影响城市整体市容；</w:t>
            </w:r>
          </w:p>
        </w:tc>
        <w:tc>
          <w:tcPr>
            <w:tcW w:w="44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snapToGrid/>
              <w:spacing w:line="400" w:lineRule="exact"/>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5)机械化作业彻底改变环卫的脏乱差形象，提升城市整体形象和品味；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25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hd w:val="clear"/>
              <w:kinsoku/>
              <w:wordWrap/>
              <w:overflowPunct/>
              <w:topLinePunct w:val="0"/>
              <w:autoSpaceDE/>
              <w:autoSpaceDN/>
              <w:bidi w:val="0"/>
              <w:snapToGrid/>
              <w:spacing w:line="400" w:lineRule="exact"/>
              <w:jc w:val="center"/>
              <w:rPr>
                <w:rFonts w:hint="eastAsia" w:ascii="宋体" w:hAnsi="宋体" w:eastAsia="宋体" w:cs="宋体"/>
                <w:i w:val="0"/>
                <w:iCs w:val="0"/>
                <w:color w:val="auto"/>
                <w:sz w:val="24"/>
                <w:szCs w:val="24"/>
                <w:highlight w:val="none"/>
                <w:u w:val="none"/>
              </w:rPr>
            </w:pPr>
          </w:p>
        </w:tc>
        <w:tc>
          <w:tcPr>
            <w:tcW w:w="405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snapToGrid/>
              <w:spacing w:line="400" w:lineRule="exact"/>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6)受社会及媒体负面报道多，政府管理压力大；</w:t>
            </w:r>
          </w:p>
        </w:tc>
        <w:tc>
          <w:tcPr>
            <w:tcW w:w="445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snapToGrid/>
              <w:spacing w:line="400" w:lineRule="exact"/>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6)作为民生工程，提升政府公众形象；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25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hd w:val="clear"/>
              <w:kinsoku/>
              <w:wordWrap/>
              <w:overflowPunct/>
              <w:topLinePunct w:val="0"/>
              <w:autoSpaceDE/>
              <w:autoSpaceDN/>
              <w:bidi w:val="0"/>
              <w:snapToGrid/>
              <w:spacing w:line="400" w:lineRule="exact"/>
              <w:jc w:val="center"/>
              <w:rPr>
                <w:rFonts w:hint="eastAsia" w:ascii="宋体" w:hAnsi="宋体" w:eastAsia="宋体" w:cs="宋体"/>
                <w:i w:val="0"/>
                <w:iCs w:val="0"/>
                <w:color w:val="auto"/>
                <w:sz w:val="24"/>
                <w:szCs w:val="24"/>
                <w:highlight w:val="none"/>
                <w:u w:val="none"/>
              </w:rPr>
            </w:pPr>
          </w:p>
        </w:tc>
        <w:tc>
          <w:tcPr>
            <w:tcW w:w="405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hd w:val="clear"/>
              <w:kinsoku/>
              <w:wordWrap/>
              <w:overflowPunct/>
              <w:topLinePunct w:val="0"/>
              <w:autoSpaceDE/>
              <w:autoSpaceDN/>
              <w:bidi w:val="0"/>
              <w:snapToGrid/>
              <w:spacing w:line="400" w:lineRule="exact"/>
              <w:jc w:val="center"/>
              <w:rPr>
                <w:rFonts w:hint="eastAsia" w:ascii="宋体" w:hAnsi="宋体" w:eastAsia="宋体" w:cs="宋体"/>
                <w:i w:val="0"/>
                <w:iCs w:val="0"/>
                <w:color w:val="auto"/>
                <w:sz w:val="24"/>
                <w:szCs w:val="24"/>
                <w:highlight w:val="none"/>
                <w:u w:val="none"/>
              </w:rPr>
            </w:pPr>
          </w:p>
        </w:tc>
        <w:tc>
          <w:tcPr>
            <w:tcW w:w="445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hd w:val="clear"/>
              <w:kinsoku/>
              <w:wordWrap/>
              <w:overflowPunct/>
              <w:topLinePunct w:val="0"/>
              <w:autoSpaceDE/>
              <w:autoSpaceDN/>
              <w:bidi w:val="0"/>
              <w:snapToGrid/>
              <w:spacing w:line="400" w:lineRule="exact"/>
              <w:jc w:val="center"/>
              <w:rPr>
                <w:rFonts w:hint="eastAsia" w:ascii="宋体" w:hAnsi="宋体" w:eastAsia="宋体" w:cs="宋体"/>
                <w:i w:val="0"/>
                <w:iCs w:val="0"/>
                <w:color w:val="auto"/>
                <w:sz w:val="24"/>
                <w:szCs w:val="24"/>
                <w:highlight w:val="none"/>
                <w:u w:val="none"/>
              </w:rPr>
            </w:pPr>
          </w:p>
        </w:tc>
      </w:tr>
    </w:tbl>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firstLine="482" w:firstLineChars="200"/>
        <w:textAlignment w:val="auto"/>
        <w:rPr>
          <w:rStyle w:val="9"/>
          <w:rFonts w:hint="eastAsia" w:ascii="宋体" w:hAnsi="宋体" w:eastAsia="宋体" w:cs="宋体"/>
          <w:i w:val="0"/>
          <w:iCs w:val="0"/>
          <w:caps w:val="0"/>
          <w:color w:val="auto"/>
          <w:spacing w:val="0"/>
          <w:sz w:val="24"/>
          <w:szCs w:val="24"/>
          <w:highlight w:val="none"/>
        </w:rPr>
      </w:pPr>
      <w:r>
        <w:rPr>
          <w:rStyle w:val="9"/>
          <w:rFonts w:hint="eastAsia" w:ascii="宋体" w:hAnsi="宋体" w:eastAsia="宋体" w:cs="宋体"/>
          <w:i w:val="0"/>
          <w:iCs w:val="0"/>
          <w:caps w:val="0"/>
          <w:color w:val="auto"/>
          <w:spacing w:val="0"/>
          <w:sz w:val="24"/>
          <w:szCs w:val="24"/>
          <w:highlight w:val="none"/>
        </w:rPr>
        <w:t>3.2、机械化垃圾收集与运输提升方案</w:t>
      </w:r>
      <w:r>
        <w:rPr>
          <w:rStyle w:val="9"/>
          <w:rFonts w:hint="eastAsia" w:ascii="宋体" w:hAnsi="宋体" w:cs="宋体"/>
          <w:i w:val="0"/>
          <w:iCs w:val="0"/>
          <w:caps w:val="0"/>
          <w:color w:val="auto"/>
          <w:spacing w:val="0"/>
          <w:sz w:val="24"/>
          <w:szCs w:val="24"/>
          <w:highlight w:val="none"/>
          <w:lang w:eastAsia="zh-CN"/>
        </w:rPr>
        <w:t>（</w:t>
      </w:r>
      <w:r>
        <w:rPr>
          <w:rStyle w:val="9"/>
          <w:rFonts w:hint="eastAsia" w:ascii="宋体" w:hAnsi="宋体" w:cs="宋体"/>
          <w:i w:val="0"/>
          <w:iCs w:val="0"/>
          <w:caps w:val="0"/>
          <w:color w:val="auto"/>
          <w:spacing w:val="0"/>
          <w:sz w:val="24"/>
          <w:szCs w:val="24"/>
          <w:highlight w:val="none"/>
          <w:lang w:val="en-US" w:eastAsia="zh-CN"/>
        </w:rPr>
        <w:t>评分第7项）</w:t>
      </w:r>
    </w:p>
    <w:tbl>
      <w:tblPr>
        <w:tblStyle w:val="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40"/>
        <w:gridCol w:w="3937"/>
        <w:gridCol w:w="45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snapToGrid/>
              <w:spacing w:line="400" w:lineRule="exact"/>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项目</w:t>
            </w:r>
          </w:p>
        </w:tc>
        <w:tc>
          <w:tcPr>
            <w:tcW w:w="39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snapToGrid/>
              <w:spacing w:line="400" w:lineRule="exact"/>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旧模式分析</w:t>
            </w:r>
          </w:p>
        </w:tc>
        <w:tc>
          <w:tcPr>
            <w:tcW w:w="45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snapToGrid/>
              <w:spacing w:line="400" w:lineRule="exact"/>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机械化新模式分析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24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snapToGrid/>
              <w:spacing w:line="40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模式</w:t>
            </w:r>
          </w:p>
        </w:tc>
        <w:tc>
          <w:tcPr>
            <w:tcW w:w="39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snapToGrid/>
              <w:spacing w:line="400" w:lineRule="exact"/>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1)部分地区作业不规范，无固定垃圾收集点；</w:t>
            </w:r>
          </w:p>
        </w:tc>
        <w:tc>
          <w:tcPr>
            <w:tcW w:w="45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snapToGrid/>
              <w:spacing w:line="400" w:lineRule="exact"/>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1)集镇试运行“桶车直运”，结合“车车直运”，运用“桶装+压缩式垃圾车”进行</w:t>
            </w:r>
          </w:p>
          <w:p>
            <w:pPr>
              <w:keepNext w:val="0"/>
              <w:keepLines w:val="0"/>
              <w:pageBreakBefore w:val="0"/>
              <w:widowControl/>
              <w:suppressLineNumbers w:val="0"/>
              <w:shd w:val="clear"/>
              <w:kinsoku/>
              <w:wordWrap/>
              <w:overflowPunct/>
              <w:topLinePunct w:val="0"/>
              <w:autoSpaceDE/>
              <w:autoSpaceDN/>
              <w:bidi w:val="0"/>
              <w:snapToGrid/>
              <w:spacing w:line="400" w:lineRule="exact"/>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作业；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24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hd w:val="clear"/>
              <w:kinsoku/>
              <w:wordWrap/>
              <w:overflowPunct/>
              <w:topLinePunct w:val="0"/>
              <w:autoSpaceDE/>
              <w:autoSpaceDN/>
              <w:bidi w:val="0"/>
              <w:snapToGrid/>
              <w:spacing w:line="400" w:lineRule="exact"/>
              <w:jc w:val="center"/>
              <w:rPr>
                <w:rFonts w:hint="eastAsia" w:ascii="宋体" w:hAnsi="宋体" w:eastAsia="宋体" w:cs="宋体"/>
                <w:i w:val="0"/>
                <w:iCs w:val="0"/>
                <w:color w:val="auto"/>
                <w:sz w:val="24"/>
                <w:szCs w:val="24"/>
                <w:highlight w:val="none"/>
                <w:u w:val="none"/>
              </w:rPr>
            </w:pPr>
          </w:p>
        </w:tc>
        <w:tc>
          <w:tcPr>
            <w:tcW w:w="39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snapToGrid/>
              <w:spacing w:line="400" w:lineRule="exact"/>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2)经中转站压缩后转运至垃圾焚烧厂；</w:t>
            </w:r>
          </w:p>
        </w:tc>
        <w:tc>
          <w:tcPr>
            <w:tcW w:w="45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snapToGrid/>
              <w:spacing w:line="400" w:lineRule="exact"/>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2)农村主要试点进行垃圾定点定时收集压缩转运，推行“垃圾不落地”式清运；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24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snapToGrid/>
              <w:spacing w:line="40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工具</w:t>
            </w:r>
          </w:p>
        </w:tc>
        <w:tc>
          <w:tcPr>
            <w:tcW w:w="39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snapToGrid/>
              <w:spacing w:line="400" w:lineRule="exact"/>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1)主要路段目前以油漆桶等自制垃圾桶为主；</w:t>
            </w:r>
          </w:p>
        </w:tc>
        <w:tc>
          <w:tcPr>
            <w:tcW w:w="45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snapToGrid/>
              <w:spacing w:line="400" w:lineRule="exact"/>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1)主要采用质量更优的240L塑料垃圾桶和后装压缩式垃圾车；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24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hd w:val="clear"/>
              <w:kinsoku/>
              <w:wordWrap/>
              <w:overflowPunct/>
              <w:topLinePunct w:val="0"/>
              <w:autoSpaceDE/>
              <w:autoSpaceDN/>
              <w:bidi w:val="0"/>
              <w:snapToGrid/>
              <w:spacing w:line="400" w:lineRule="exact"/>
              <w:jc w:val="center"/>
              <w:rPr>
                <w:rFonts w:hint="eastAsia" w:ascii="宋体" w:hAnsi="宋体" w:eastAsia="宋体" w:cs="宋体"/>
                <w:i w:val="0"/>
                <w:iCs w:val="0"/>
                <w:color w:val="auto"/>
                <w:sz w:val="24"/>
                <w:szCs w:val="24"/>
                <w:highlight w:val="none"/>
                <w:u w:val="none"/>
              </w:rPr>
            </w:pPr>
          </w:p>
        </w:tc>
        <w:tc>
          <w:tcPr>
            <w:tcW w:w="39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snapToGrid/>
              <w:spacing w:line="400" w:lineRule="exact"/>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2)农村垃圾收集车辆以人力车、农用车为主；</w:t>
            </w:r>
          </w:p>
        </w:tc>
        <w:tc>
          <w:tcPr>
            <w:tcW w:w="45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snapToGrid/>
              <w:spacing w:line="400" w:lineRule="exact"/>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2)使用高压清洗机等多款中小型高压清洗设备，对环卫设施进行定期清洗；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24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snapToGrid/>
              <w:spacing w:line="40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分析</w:t>
            </w:r>
          </w:p>
        </w:tc>
        <w:tc>
          <w:tcPr>
            <w:tcW w:w="39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snapToGrid/>
              <w:spacing w:line="400" w:lineRule="exact"/>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1)原有的垃圾清运模式落后，垃圾桶、果皮箱等环卫设施脏乱差，成为垃圾点，影响市容；</w:t>
            </w:r>
          </w:p>
        </w:tc>
        <w:tc>
          <w:tcPr>
            <w:tcW w:w="45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snapToGrid/>
              <w:spacing w:line="400" w:lineRule="exact"/>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1)采用“桶装+压缩转运车”模式，塑料垃圾桶更美观、更易清洁，通过塑料垃圾桶的合理分布和集散，加快转运效率；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24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hd w:val="clear"/>
              <w:kinsoku/>
              <w:wordWrap/>
              <w:overflowPunct/>
              <w:topLinePunct w:val="0"/>
              <w:autoSpaceDE/>
              <w:autoSpaceDN/>
              <w:bidi w:val="0"/>
              <w:snapToGrid/>
              <w:spacing w:line="400" w:lineRule="exact"/>
              <w:jc w:val="center"/>
              <w:rPr>
                <w:rFonts w:hint="eastAsia" w:ascii="宋体" w:hAnsi="宋体" w:eastAsia="宋体" w:cs="宋体"/>
                <w:i w:val="0"/>
                <w:iCs w:val="0"/>
                <w:color w:val="auto"/>
                <w:sz w:val="24"/>
                <w:szCs w:val="24"/>
                <w:highlight w:val="none"/>
                <w:u w:val="none"/>
              </w:rPr>
            </w:pPr>
          </w:p>
        </w:tc>
        <w:tc>
          <w:tcPr>
            <w:tcW w:w="3937"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snapToGrid/>
              <w:spacing w:line="400" w:lineRule="exact"/>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2)原有的人工作业及非法改装的人力车进行垃圾收集，作业效率低、滴洒漏等二次污染严重、存在较大的安全隐患，整体作业形象落后；</w:t>
            </w:r>
          </w:p>
        </w:tc>
        <w:tc>
          <w:tcPr>
            <w:tcW w:w="45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snapToGrid/>
              <w:spacing w:line="400" w:lineRule="exact"/>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2)采用“垃圾不落地”式的“定时定点垃圾收集压缩转运”是对模式的升级，通过试点并逐步推广，是城市垃圾收集模式的发展趋势；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24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hd w:val="clear"/>
              <w:kinsoku/>
              <w:wordWrap/>
              <w:overflowPunct/>
              <w:topLinePunct w:val="0"/>
              <w:autoSpaceDE/>
              <w:autoSpaceDN/>
              <w:bidi w:val="0"/>
              <w:snapToGrid/>
              <w:spacing w:line="400" w:lineRule="exact"/>
              <w:jc w:val="center"/>
              <w:rPr>
                <w:rFonts w:hint="eastAsia" w:ascii="宋体" w:hAnsi="宋体" w:eastAsia="宋体" w:cs="宋体"/>
                <w:i w:val="0"/>
                <w:iCs w:val="0"/>
                <w:color w:val="auto"/>
                <w:sz w:val="24"/>
                <w:szCs w:val="24"/>
                <w:highlight w:val="none"/>
                <w:u w:val="none"/>
              </w:rPr>
            </w:pPr>
          </w:p>
        </w:tc>
        <w:tc>
          <w:tcPr>
            <w:tcW w:w="3937"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shd w:val="clear"/>
              <w:kinsoku/>
              <w:wordWrap/>
              <w:overflowPunct/>
              <w:topLinePunct w:val="0"/>
              <w:autoSpaceDE/>
              <w:autoSpaceDN/>
              <w:bidi w:val="0"/>
              <w:snapToGrid/>
              <w:spacing w:line="400" w:lineRule="exact"/>
              <w:jc w:val="left"/>
              <w:rPr>
                <w:rFonts w:hint="eastAsia" w:ascii="宋体" w:hAnsi="宋体" w:eastAsia="宋体" w:cs="宋体"/>
                <w:i w:val="0"/>
                <w:iCs w:val="0"/>
                <w:color w:val="auto"/>
                <w:sz w:val="24"/>
                <w:szCs w:val="24"/>
                <w:highlight w:val="none"/>
                <w:u w:val="none"/>
              </w:rPr>
            </w:pPr>
          </w:p>
        </w:tc>
        <w:tc>
          <w:tcPr>
            <w:tcW w:w="45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snapToGrid/>
              <w:spacing w:line="400" w:lineRule="exact"/>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3)环卫设施的清洁是原来作业中遗漏的环节，通过更高效的机械化作业，将环卫设施清洁质量标准提高，有利于全面改观环卫作业的形象；</w:t>
            </w:r>
          </w:p>
        </w:tc>
      </w:tr>
    </w:tbl>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firstLine="482" w:firstLineChars="200"/>
        <w:textAlignment w:val="auto"/>
        <w:rPr>
          <w:rFonts w:hint="eastAsia" w:ascii="宋体" w:hAnsi="宋体" w:eastAsia="宋体" w:cs="宋体"/>
          <w:i w:val="0"/>
          <w:iCs w:val="0"/>
          <w:caps w:val="0"/>
          <w:color w:val="auto"/>
          <w:spacing w:val="0"/>
          <w:sz w:val="24"/>
          <w:szCs w:val="24"/>
          <w:highlight w:val="none"/>
        </w:rPr>
      </w:pPr>
      <w:r>
        <w:rPr>
          <w:rStyle w:val="9"/>
          <w:rFonts w:hint="eastAsia" w:ascii="宋体" w:hAnsi="宋体" w:eastAsia="宋体" w:cs="宋体"/>
          <w:i w:val="0"/>
          <w:iCs w:val="0"/>
          <w:caps w:val="0"/>
          <w:color w:val="auto"/>
          <w:spacing w:val="0"/>
          <w:sz w:val="24"/>
          <w:szCs w:val="24"/>
          <w:highlight w:val="none"/>
        </w:rPr>
        <w:t>3.3、管理模式提升方案</w:t>
      </w:r>
      <w:r>
        <w:rPr>
          <w:rStyle w:val="9"/>
          <w:rFonts w:hint="eastAsia" w:ascii="宋体" w:hAnsi="宋体" w:cs="宋体"/>
          <w:i w:val="0"/>
          <w:iCs w:val="0"/>
          <w:caps w:val="0"/>
          <w:color w:val="auto"/>
          <w:spacing w:val="0"/>
          <w:sz w:val="24"/>
          <w:szCs w:val="24"/>
          <w:highlight w:val="none"/>
          <w:lang w:eastAsia="zh-CN"/>
        </w:rPr>
        <w:t>（</w:t>
      </w:r>
      <w:r>
        <w:rPr>
          <w:rStyle w:val="9"/>
          <w:rFonts w:hint="eastAsia" w:ascii="宋体" w:hAnsi="宋体" w:cs="宋体"/>
          <w:i w:val="0"/>
          <w:iCs w:val="0"/>
          <w:caps w:val="0"/>
          <w:color w:val="auto"/>
          <w:spacing w:val="0"/>
          <w:sz w:val="24"/>
          <w:szCs w:val="24"/>
          <w:highlight w:val="none"/>
          <w:lang w:val="en-US" w:eastAsia="zh-CN"/>
        </w:rPr>
        <w:t>评分第8项）</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1"/>
        <w:gridCol w:w="3889"/>
        <w:gridCol w:w="46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61" w:type="dxa"/>
            <w:noWrap w:val="0"/>
            <w:vAlign w:val="center"/>
          </w:tcPr>
          <w:p>
            <w:pPr>
              <w:keepNext w:val="0"/>
              <w:keepLines w:val="0"/>
              <w:pageBreakBefore w:val="0"/>
              <w:widowControl/>
              <w:suppressLineNumbers w:val="0"/>
              <w:shd w:val="clear"/>
              <w:kinsoku/>
              <w:wordWrap/>
              <w:overflowPunct/>
              <w:topLinePunct w:val="0"/>
              <w:autoSpaceDE/>
              <w:autoSpaceDN/>
              <w:bidi w:val="0"/>
              <w:snapToGrid/>
              <w:spacing w:line="400" w:lineRule="exact"/>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项目</w:t>
            </w:r>
          </w:p>
        </w:tc>
        <w:tc>
          <w:tcPr>
            <w:tcW w:w="3889" w:type="dxa"/>
            <w:noWrap w:val="0"/>
            <w:vAlign w:val="center"/>
          </w:tcPr>
          <w:p>
            <w:pPr>
              <w:keepNext w:val="0"/>
              <w:keepLines w:val="0"/>
              <w:pageBreakBefore w:val="0"/>
              <w:widowControl/>
              <w:suppressLineNumbers w:val="0"/>
              <w:shd w:val="clear"/>
              <w:kinsoku/>
              <w:wordWrap/>
              <w:overflowPunct/>
              <w:topLinePunct w:val="0"/>
              <w:autoSpaceDE/>
              <w:autoSpaceDN/>
              <w:bidi w:val="0"/>
              <w:snapToGrid/>
              <w:spacing w:line="400" w:lineRule="exact"/>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现状分析</w:t>
            </w:r>
          </w:p>
        </w:tc>
        <w:tc>
          <w:tcPr>
            <w:tcW w:w="4610" w:type="dxa"/>
            <w:noWrap w:val="0"/>
            <w:vAlign w:val="center"/>
          </w:tcPr>
          <w:p>
            <w:pPr>
              <w:keepNext w:val="0"/>
              <w:keepLines w:val="0"/>
              <w:pageBreakBefore w:val="0"/>
              <w:widowControl/>
              <w:suppressLineNumbers w:val="0"/>
              <w:shd w:val="clear"/>
              <w:kinsoku/>
              <w:wordWrap/>
              <w:overflowPunct/>
              <w:topLinePunct w:val="0"/>
              <w:autoSpaceDE/>
              <w:autoSpaceDN/>
              <w:bidi w:val="0"/>
              <w:snapToGrid/>
              <w:spacing w:line="400" w:lineRule="exact"/>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新模式分析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61" w:type="dxa"/>
            <w:vMerge w:val="restart"/>
            <w:noWrap w:val="0"/>
            <w:vAlign w:val="center"/>
          </w:tcPr>
          <w:p>
            <w:pPr>
              <w:keepNext w:val="0"/>
              <w:keepLines w:val="0"/>
              <w:pageBreakBefore w:val="0"/>
              <w:widowControl/>
              <w:suppressLineNumbers w:val="0"/>
              <w:shd w:val="clear"/>
              <w:kinsoku/>
              <w:wordWrap/>
              <w:overflowPunct/>
              <w:topLinePunct w:val="0"/>
              <w:autoSpaceDE/>
              <w:autoSpaceDN/>
              <w:bidi w:val="0"/>
              <w:snapToGrid/>
              <w:spacing w:line="40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模式</w:t>
            </w:r>
          </w:p>
        </w:tc>
        <w:tc>
          <w:tcPr>
            <w:tcW w:w="3889" w:type="dxa"/>
            <w:noWrap w:val="0"/>
            <w:vAlign w:val="center"/>
          </w:tcPr>
          <w:p>
            <w:pPr>
              <w:keepNext w:val="0"/>
              <w:keepLines w:val="0"/>
              <w:pageBreakBefore w:val="0"/>
              <w:widowControl/>
              <w:suppressLineNumbers w:val="0"/>
              <w:shd w:val="clear"/>
              <w:kinsoku/>
              <w:wordWrap/>
              <w:overflowPunct/>
              <w:topLinePunct w:val="0"/>
              <w:autoSpaceDE/>
              <w:autoSpaceDN/>
              <w:bidi w:val="0"/>
              <w:snapToGrid/>
              <w:spacing w:line="400" w:lineRule="exact"/>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 管理模式单一，以传</w:t>
            </w:r>
          </w:p>
        </w:tc>
        <w:tc>
          <w:tcPr>
            <w:tcW w:w="4610" w:type="dxa"/>
            <w:noWrap w:val="0"/>
            <w:vAlign w:val="center"/>
          </w:tcPr>
          <w:p>
            <w:pPr>
              <w:keepNext w:val="0"/>
              <w:keepLines w:val="0"/>
              <w:pageBreakBefore w:val="0"/>
              <w:widowControl/>
              <w:suppressLineNumbers w:val="0"/>
              <w:shd w:val="clear"/>
              <w:kinsoku/>
              <w:wordWrap/>
              <w:overflowPunct/>
              <w:topLinePunct w:val="0"/>
              <w:autoSpaceDE/>
              <w:autoSpaceDN/>
              <w:bidi w:val="0"/>
              <w:snapToGrid/>
              <w:spacing w:line="400" w:lineRule="exact"/>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1)引进“+互联网”管理模式；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61" w:type="dxa"/>
            <w:vMerge w:val="continue"/>
            <w:noWrap w:val="0"/>
            <w:vAlign w:val="center"/>
          </w:tcPr>
          <w:p>
            <w:pPr>
              <w:keepNext w:val="0"/>
              <w:keepLines w:val="0"/>
              <w:pageBreakBefore w:val="0"/>
              <w:shd w:val="clear"/>
              <w:kinsoku/>
              <w:wordWrap/>
              <w:overflowPunct/>
              <w:topLinePunct w:val="0"/>
              <w:autoSpaceDE/>
              <w:autoSpaceDN/>
              <w:bidi w:val="0"/>
              <w:snapToGrid/>
              <w:spacing w:line="400" w:lineRule="exact"/>
              <w:jc w:val="center"/>
              <w:rPr>
                <w:rFonts w:hint="eastAsia" w:ascii="宋体" w:hAnsi="宋体" w:eastAsia="宋体" w:cs="宋体"/>
                <w:i w:val="0"/>
                <w:iCs w:val="0"/>
                <w:color w:val="auto"/>
                <w:sz w:val="24"/>
                <w:szCs w:val="24"/>
                <w:highlight w:val="none"/>
                <w:u w:val="none"/>
              </w:rPr>
            </w:pPr>
          </w:p>
        </w:tc>
        <w:tc>
          <w:tcPr>
            <w:tcW w:w="3889" w:type="dxa"/>
            <w:noWrap w:val="0"/>
            <w:vAlign w:val="center"/>
          </w:tcPr>
          <w:p>
            <w:pPr>
              <w:keepNext w:val="0"/>
              <w:keepLines w:val="0"/>
              <w:pageBreakBefore w:val="0"/>
              <w:widowControl/>
              <w:suppressLineNumbers w:val="0"/>
              <w:shd w:val="clear"/>
              <w:kinsoku/>
              <w:wordWrap/>
              <w:overflowPunct/>
              <w:topLinePunct w:val="0"/>
              <w:autoSpaceDE/>
              <w:autoSpaceDN/>
              <w:bidi w:val="0"/>
              <w:snapToGrid/>
              <w:spacing w:line="400" w:lineRule="exact"/>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 无创新、无高效管理办法；</w:t>
            </w:r>
          </w:p>
        </w:tc>
        <w:tc>
          <w:tcPr>
            <w:tcW w:w="4610" w:type="dxa"/>
            <w:noWrap w:val="0"/>
            <w:vAlign w:val="center"/>
          </w:tcPr>
          <w:p>
            <w:pPr>
              <w:keepNext w:val="0"/>
              <w:keepLines w:val="0"/>
              <w:pageBreakBefore w:val="0"/>
              <w:widowControl/>
              <w:suppressLineNumbers w:val="0"/>
              <w:shd w:val="clear"/>
              <w:kinsoku/>
              <w:wordWrap/>
              <w:overflowPunct/>
              <w:topLinePunct w:val="0"/>
              <w:autoSpaceDE/>
              <w:autoSpaceDN/>
              <w:bidi w:val="0"/>
              <w:snapToGrid/>
              <w:spacing w:line="400" w:lineRule="exact"/>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2)将企业管理模式引进到道路，推行网格化管理；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61" w:type="dxa"/>
            <w:vMerge w:val="continue"/>
            <w:noWrap w:val="0"/>
            <w:vAlign w:val="center"/>
          </w:tcPr>
          <w:p>
            <w:pPr>
              <w:keepNext w:val="0"/>
              <w:keepLines w:val="0"/>
              <w:pageBreakBefore w:val="0"/>
              <w:shd w:val="clear"/>
              <w:kinsoku/>
              <w:wordWrap/>
              <w:overflowPunct/>
              <w:topLinePunct w:val="0"/>
              <w:autoSpaceDE/>
              <w:autoSpaceDN/>
              <w:bidi w:val="0"/>
              <w:snapToGrid/>
              <w:spacing w:line="400" w:lineRule="exact"/>
              <w:jc w:val="center"/>
              <w:rPr>
                <w:rFonts w:hint="eastAsia" w:ascii="宋体" w:hAnsi="宋体" w:eastAsia="宋体" w:cs="宋体"/>
                <w:i w:val="0"/>
                <w:iCs w:val="0"/>
                <w:color w:val="auto"/>
                <w:sz w:val="24"/>
                <w:szCs w:val="24"/>
                <w:highlight w:val="none"/>
                <w:u w:val="none"/>
              </w:rPr>
            </w:pPr>
          </w:p>
        </w:tc>
        <w:tc>
          <w:tcPr>
            <w:tcW w:w="3889" w:type="dxa"/>
            <w:vMerge w:val="restart"/>
            <w:noWrap w:val="0"/>
            <w:vAlign w:val="center"/>
          </w:tcPr>
          <w:p>
            <w:pPr>
              <w:keepNext w:val="0"/>
              <w:keepLines w:val="0"/>
              <w:pageBreakBefore w:val="0"/>
              <w:widowControl/>
              <w:suppressLineNumbers w:val="0"/>
              <w:shd w:val="clear"/>
              <w:kinsoku/>
              <w:wordWrap/>
              <w:overflowPunct/>
              <w:topLinePunct w:val="0"/>
              <w:autoSpaceDE/>
              <w:autoSpaceDN/>
              <w:bidi w:val="0"/>
              <w:snapToGrid/>
              <w:spacing w:line="400" w:lineRule="exact"/>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 工人着装以破旧的环卫马甲为主，反光功能差，工装易损，安全性差，环卫工人整体作业形象差；</w:t>
            </w:r>
          </w:p>
        </w:tc>
        <w:tc>
          <w:tcPr>
            <w:tcW w:w="4610" w:type="dxa"/>
            <w:noWrap w:val="0"/>
            <w:vAlign w:val="center"/>
          </w:tcPr>
          <w:p>
            <w:pPr>
              <w:keepNext w:val="0"/>
              <w:keepLines w:val="0"/>
              <w:pageBreakBefore w:val="0"/>
              <w:widowControl/>
              <w:suppressLineNumbers w:val="0"/>
              <w:shd w:val="clear"/>
              <w:kinsoku/>
              <w:wordWrap/>
              <w:overflowPunct/>
              <w:topLinePunct w:val="0"/>
              <w:autoSpaceDE/>
              <w:autoSpaceDN/>
              <w:bidi w:val="0"/>
              <w:snapToGrid/>
              <w:spacing w:line="400" w:lineRule="exact"/>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3)将环卫工人“蓝领化”，全面提升环卫作业形象；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61" w:type="dxa"/>
            <w:vMerge w:val="continue"/>
            <w:noWrap w:val="0"/>
            <w:vAlign w:val="center"/>
          </w:tcPr>
          <w:p>
            <w:pPr>
              <w:keepNext w:val="0"/>
              <w:keepLines w:val="0"/>
              <w:pageBreakBefore w:val="0"/>
              <w:shd w:val="clear"/>
              <w:kinsoku/>
              <w:wordWrap/>
              <w:overflowPunct/>
              <w:topLinePunct w:val="0"/>
              <w:autoSpaceDE/>
              <w:autoSpaceDN/>
              <w:bidi w:val="0"/>
              <w:snapToGrid/>
              <w:spacing w:line="400" w:lineRule="exact"/>
              <w:jc w:val="center"/>
              <w:rPr>
                <w:rFonts w:hint="eastAsia" w:ascii="宋体" w:hAnsi="宋体" w:eastAsia="宋体" w:cs="宋体"/>
                <w:i w:val="0"/>
                <w:iCs w:val="0"/>
                <w:color w:val="auto"/>
                <w:sz w:val="24"/>
                <w:szCs w:val="24"/>
                <w:highlight w:val="none"/>
                <w:u w:val="none"/>
              </w:rPr>
            </w:pPr>
          </w:p>
        </w:tc>
        <w:tc>
          <w:tcPr>
            <w:tcW w:w="3889" w:type="dxa"/>
            <w:vMerge w:val="continue"/>
            <w:noWrap w:val="0"/>
            <w:vAlign w:val="center"/>
          </w:tcPr>
          <w:p>
            <w:pPr>
              <w:keepNext w:val="0"/>
              <w:keepLines w:val="0"/>
              <w:pageBreakBefore w:val="0"/>
              <w:shd w:val="clear"/>
              <w:kinsoku/>
              <w:wordWrap/>
              <w:overflowPunct/>
              <w:topLinePunct w:val="0"/>
              <w:autoSpaceDE/>
              <w:autoSpaceDN/>
              <w:bidi w:val="0"/>
              <w:snapToGrid/>
              <w:spacing w:line="400" w:lineRule="exact"/>
              <w:jc w:val="left"/>
              <w:rPr>
                <w:rFonts w:hint="eastAsia" w:ascii="宋体" w:hAnsi="宋体" w:eastAsia="宋体" w:cs="宋体"/>
                <w:i w:val="0"/>
                <w:iCs w:val="0"/>
                <w:color w:val="auto"/>
                <w:sz w:val="24"/>
                <w:szCs w:val="24"/>
                <w:highlight w:val="none"/>
                <w:u w:val="none"/>
              </w:rPr>
            </w:pPr>
          </w:p>
        </w:tc>
        <w:tc>
          <w:tcPr>
            <w:tcW w:w="4610" w:type="dxa"/>
            <w:noWrap w:val="0"/>
            <w:vAlign w:val="center"/>
          </w:tcPr>
          <w:p>
            <w:pPr>
              <w:keepNext w:val="0"/>
              <w:keepLines w:val="0"/>
              <w:pageBreakBefore w:val="0"/>
              <w:widowControl/>
              <w:suppressLineNumbers w:val="0"/>
              <w:shd w:val="clear"/>
              <w:kinsoku/>
              <w:wordWrap/>
              <w:overflowPunct/>
              <w:topLinePunct w:val="0"/>
              <w:autoSpaceDE/>
              <w:autoSpaceDN/>
              <w:bidi w:val="0"/>
              <w:snapToGrid/>
              <w:spacing w:line="400" w:lineRule="exact"/>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4)引进社工机构，加强环卫工人队伍的文化建设，扩大社会影响力；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61" w:type="dxa"/>
            <w:vMerge w:val="continue"/>
            <w:noWrap w:val="0"/>
            <w:vAlign w:val="center"/>
          </w:tcPr>
          <w:p>
            <w:pPr>
              <w:keepNext w:val="0"/>
              <w:keepLines w:val="0"/>
              <w:pageBreakBefore w:val="0"/>
              <w:shd w:val="clear"/>
              <w:kinsoku/>
              <w:wordWrap/>
              <w:overflowPunct/>
              <w:topLinePunct w:val="0"/>
              <w:autoSpaceDE/>
              <w:autoSpaceDN/>
              <w:bidi w:val="0"/>
              <w:snapToGrid/>
              <w:spacing w:line="400" w:lineRule="exact"/>
              <w:jc w:val="center"/>
              <w:rPr>
                <w:rFonts w:hint="eastAsia" w:ascii="宋体" w:hAnsi="宋体" w:eastAsia="宋体" w:cs="宋体"/>
                <w:i w:val="0"/>
                <w:iCs w:val="0"/>
                <w:color w:val="auto"/>
                <w:sz w:val="24"/>
                <w:szCs w:val="24"/>
                <w:highlight w:val="none"/>
                <w:u w:val="none"/>
              </w:rPr>
            </w:pPr>
          </w:p>
        </w:tc>
        <w:tc>
          <w:tcPr>
            <w:tcW w:w="3889" w:type="dxa"/>
            <w:vMerge w:val="continue"/>
            <w:noWrap w:val="0"/>
            <w:vAlign w:val="center"/>
          </w:tcPr>
          <w:p>
            <w:pPr>
              <w:keepNext w:val="0"/>
              <w:keepLines w:val="0"/>
              <w:pageBreakBefore w:val="0"/>
              <w:shd w:val="clear"/>
              <w:kinsoku/>
              <w:wordWrap/>
              <w:overflowPunct/>
              <w:topLinePunct w:val="0"/>
              <w:autoSpaceDE/>
              <w:autoSpaceDN/>
              <w:bidi w:val="0"/>
              <w:snapToGrid/>
              <w:spacing w:line="400" w:lineRule="exact"/>
              <w:jc w:val="left"/>
              <w:rPr>
                <w:rFonts w:hint="eastAsia" w:ascii="宋体" w:hAnsi="宋体" w:eastAsia="宋体" w:cs="宋体"/>
                <w:i w:val="0"/>
                <w:iCs w:val="0"/>
                <w:color w:val="auto"/>
                <w:sz w:val="24"/>
                <w:szCs w:val="24"/>
                <w:highlight w:val="none"/>
                <w:u w:val="none"/>
              </w:rPr>
            </w:pPr>
          </w:p>
        </w:tc>
        <w:tc>
          <w:tcPr>
            <w:tcW w:w="4610" w:type="dxa"/>
            <w:noWrap w:val="0"/>
            <w:vAlign w:val="center"/>
          </w:tcPr>
          <w:p>
            <w:pPr>
              <w:keepNext w:val="0"/>
              <w:keepLines w:val="0"/>
              <w:pageBreakBefore w:val="0"/>
              <w:widowControl/>
              <w:suppressLineNumbers w:val="0"/>
              <w:shd w:val="clear"/>
              <w:kinsoku/>
              <w:wordWrap/>
              <w:overflowPunct/>
              <w:topLinePunct w:val="0"/>
              <w:autoSpaceDE/>
              <w:autoSpaceDN/>
              <w:bidi w:val="0"/>
              <w:snapToGrid/>
              <w:spacing w:line="400" w:lineRule="exact"/>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5)试点并逐步推行垃圾分类；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61" w:type="dxa"/>
            <w:vMerge w:val="restart"/>
            <w:noWrap w:val="0"/>
            <w:vAlign w:val="center"/>
          </w:tcPr>
          <w:p>
            <w:pPr>
              <w:keepNext w:val="0"/>
              <w:keepLines w:val="0"/>
              <w:pageBreakBefore w:val="0"/>
              <w:widowControl/>
              <w:suppressLineNumbers w:val="0"/>
              <w:shd w:val="clear"/>
              <w:kinsoku/>
              <w:wordWrap/>
              <w:overflowPunct/>
              <w:topLinePunct w:val="0"/>
              <w:autoSpaceDE/>
              <w:autoSpaceDN/>
              <w:bidi w:val="0"/>
              <w:snapToGrid/>
              <w:spacing w:line="40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工具</w:t>
            </w:r>
          </w:p>
        </w:tc>
        <w:tc>
          <w:tcPr>
            <w:tcW w:w="3889" w:type="dxa"/>
            <w:vMerge w:val="restart"/>
            <w:noWrap w:val="0"/>
            <w:vAlign w:val="center"/>
          </w:tcPr>
          <w:p>
            <w:pPr>
              <w:keepNext w:val="0"/>
              <w:keepLines w:val="0"/>
              <w:pageBreakBefore w:val="0"/>
              <w:widowControl/>
              <w:suppressLineNumbers w:val="0"/>
              <w:shd w:val="clear"/>
              <w:kinsoku/>
              <w:wordWrap/>
              <w:overflowPunct/>
              <w:topLinePunct w:val="0"/>
              <w:autoSpaceDE/>
              <w:autoSpaceDN/>
              <w:bidi w:val="0"/>
              <w:snapToGrid/>
              <w:spacing w:line="400" w:lineRule="exact"/>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w:t>
            </w:r>
          </w:p>
        </w:tc>
        <w:tc>
          <w:tcPr>
            <w:tcW w:w="4610" w:type="dxa"/>
            <w:noWrap w:val="0"/>
            <w:vAlign w:val="center"/>
          </w:tcPr>
          <w:p>
            <w:pPr>
              <w:keepNext w:val="0"/>
              <w:keepLines w:val="0"/>
              <w:pageBreakBefore w:val="0"/>
              <w:widowControl/>
              <w:suppressLineNumbers w:val="0"/>
              <w:shd w:val="clear"/>
              <w:kinsoku/>
              <w:wordWrap/>
              <w:overflowPunct/>
              <w:topLinePunct w:val="0"/>
              <w:autoSpaceDE/>
              <w:autoSpaceDN/>
              <w:bidi w:val="0"/>
              <w:snapToGrid/>
              <w:spacing w:line="400" w:lineRule="exact"/>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1)“智慧环卫”综合互联网管理平台，及其配套的传感器等智能化产品；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61" w:type="dxa"/>
            <w:vMerge w:val="continue"/>
            <w:noWrap w:val="0"/>
            <w:vAlign w:val="center"/>
          </w:tcPr>
          <w:p>
            <w:pPr>
              <w:keepNext w:val="0"/>
              <w:keepLines w:val="0"/>
              <w:pageBreakBefore w:val="0"/>
              <w:shd w:val="clear"/>
              <w:kinsoku/>
              <w:wordWrap/>
              <w:overflowPunct/>
              <w:topLinePunct w:val="0"/>
              <w:autoSpaceDE/>
              <w:autoSpaceDN/>
              <w:bidi w:val="0"/>
              <w:snapToGrid/>
              <w:spacing w:line="400" w:lineRule="exact"/>
              <w:jc w:val="center"/>
              <w:rPr>
                <w:rFonts w:hint="eastAsia" w:ascii="宋体" w:hAnsi="宋体" w:eastAsia="宋体" w:cs="宋体"/>
                <w:i w:val="0"/>
                <w:iCs w:val="0"/>
                <w:color w:val="auto"/>
                <w:sz w:val="24"/>
                <w:szCs w:val="24"/>
                <w:highlight w:val="none"/>
                <w:u w:val="none"/>
              </w:rPr>
            </w:pPr>
          </w:p>
        </w:tc>
        <w:tc>
          <w:tcPr>
            <w:tcW w:w="3889" w:type="dxa"/>
            <w:vMerge w:val="continue"/>
            <w:noWrap w:val="0"/>
            <w:vAlign w:val="center"/>
          </w:tcPr>
          <w:p>
            <w:pPr>
              <w:keepNext w:val="0"/>
              <w:keepLines w:val="0"/>
              <w:pageBreakBefore w:val="0"/>
              <w:shd w:val="clear"/>
              <w:kinsoku/>
              <w:wordWrap/>
              <w:overflowPunct/>
              <w:topLinePunct w:val="0"/>
              <w:autoSpaceDE/>
              <w:autoSpaceDN/>
              <w:bidi w:val="0"/>
              <w:snapToGrid/>
              <w:spacing w:line="400" w:lineRule="exact"/>
              <w:jc w:val="left"/>
              <w:rPr>
                <w:rFonts w:hint="eastAsia" w:ascii="宋体" w:hAnsi="宋体" w:eastAsia="宋体" w:cs="宋体"/>
                <w:i w:val="0"/>
                <w:iCs w:val="0"/>
                <w:color w:val="auto"/>
                <w:sz w:val="24"/>
                <w:szCs w:val="24"/>
                <w:highlight w:val="none"/>
                <w:u w:val="none"/>
              </w:rPr>
            </w:pPr>
          </w:p>
        </w:tc>
        <w:tc>
          <w:tcPr>
            <w:tcW w:w="4610" w:type="dxa"/>
            <w:noWrap w:val="0"/>
            <w:vAlign w:val="center"/>
          </w:tcPr>
          <w:p>
            <w:pPr>
              <w:keepNext w:val="0"/>
              <w:keepLines w:val="0"/>
              <w:pageBreakBefore w:val="0"/>
              <w:widowControl/>
              <w:suppressLineNumbers w:val="0"/>
              <w:shd w:val="clear"/>
              <w:kinsoku/>
              <w:wordWrap/>
              <w:overflowPunct/>
              <w:topLinePunct w:val="0"/>
              <w:autoSpaceDE/>
              <w:autoSpaceDN/>
              <w:bidi w:val="0"/>
              <w:snapToGrid/>
              <w:spacing w:line="400" w:lineRule="exact"/>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2)“垃圾分类综合平台”；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61" w:type="dxa"/>
            <w:vMerge w:val="continue"/>
            <w:noWrap w:val="0"/>
            <w:vAlign w:val="center"/>
          </w:tcPr>
          <w:p>
            <w:pPr>
              <w:keepNext w:val="0"/>
              <w:keepLines w:val="0"/>
              <w:pageBreakBefore w:val="0"/>
              <w:shd w:val="clear"/>
              <w:kinsoku/>
              <w:wordWrap/>
              <w:overflowPunct/>
              <w:topLinePunct w:val="0"/>
              <w:autoSpaceDE/>
              <w:autoSpaceDN/>
              <w:bidi w:val="0"/>
              <w:snapToGrid/>
              <w:spacing w:line="400" w:lineRule="exact"/>
              <w:jc w:val="center"/>
              <w:rPr>
                <w:rFonts w:hint="eastAsia" w:ascii="宋体" w:hAnsi="宋体" w:eastAsia="宋体" w:cs="宋体"/>
                <w:i w:val="0"/>
                <w:iCs w:val="0"/>
                <w:color w:val="auto"/>
                <w:sz w:val="24"/>
                <w:szCs w:val="24"/>
                <w:highlight w:val="none"/>
                <w:u w:val="none"/>
              </w:rPr>
            </w:pPr>
          </w:p>
        </w:tc>
        <w:tc>
          <w:tcPr>
            <w:tcW w:w="3889" w:type="dxa"/>
            <w:vMerge w:val="continue"/>
            <w:noWrap w:val="0"/>
            <w:vAlign w:val="center"/>
          </w:tcPr>
          <w:p>
            <w:pPr>
              <w:keepNext w:val="0"/>
              <w:keepLines w:val="0"/>
              <w:pageBreakBefore w:val="0"/>
              <w:shd w:val="clear"/>
              <w:kinsoku/>
              <w:wordWrap/>
              <w:overflowPunct/>
              <w:topLinePunct w:val="0"/>
              <w:autoSpaceDE/>
              <w:autoSpaceDN/>
              <w:bidi w:val="0"/>
              <w:snapToGrid/>
              <w:spacing w:line="400" w:lineRule="exact"/>
              <w:jc w:val="left"/>
              <w:rPr>
                <w:rFonts w:hint="eastAsia" w:ascii="宋体" w:hAnsi="宋体" w:eastAsia="宋体" w:cs="宋体"/>
                <w:i w:val="0"/>
                <w:iCs w:val="0"/>
                <w:color w:val="auto"/>
                <w:sz w:val="24"/>
                <w:szCs w:val="24"/>
                <w:highlight w:val="none"/>
                <w:u w:val="none"/>
              </w:rPr>
            </w:pPr>
          </w:p>
        </w:tc>
        <w:tc>
          <w:tcPr>
            <w:tcW w:w="4610" w:type="dxa"/>
            <w:noWrap w:val="0"/>
            <w:vAlign w:val="center"/>
          </w:tcPr>
          <w:p>
            <w:pPr>
              <w:keepNext w:val="0"/>
              <w:keepLines w:val="0"/>
              <w:pageBreakBefore w:val="0"/>
              <w:widowControl/>
              <w:suppressLineNumbers w:val="0"/>
              <w:shd w:val="clear"/>
              <w:kinsoku/>
              <w:wordWrap/>
              <w:overflowPunct/>
              <w:topLinePunct w:val="0"/>
              <w:autoSpaceDE/>
              <w:autoSpaceDN/>
              <w:bidi w:val="0"/>
              <w:snapToGrid/>
              <w:spacing w:line="400" w:lineRule="exact"/>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3)局域网内对讲机系统；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61" w:type="dxa"/>
            <w:vMerge w:val="continue"/>
            <w:noWrap w:val="0"/>
            <w:vAlign w:val="center"/>
          </w:tcPr>
          <w:p>
            <w:pPr>
              <w:keepNext w:val="0"/>
              <w:keepLines w:val="0"/>
              <w:pageBreakBefore w:val="0"/>
              <w:shd w:val="clear"/>
              <w:kinsoku/>
              <w:wordWrap/>
              <w:overflowPunct/>
              <w:topLinePunct w:val="0"/>
              <w:autoSpaceDE/>
              <w:autoSpaceDN/>
              <w:bidi w:val="0"/>
              <w:snapToGrid/>
              <w:spacing w:line="400" w:lineRule="exact"/>
              <w:jc w:val="center"/>
              <w:rPr>
                <w:rFonts w:hint="eastAsia" w:ascii="宋体" w:hAnsi="宋体" w:eastAsia="宋体" w:cs="宋体"/>
                <w:i w:val="0"/>
                <w:iCs w:val="0"/>
                <w:color w:val="auto"/>
                <w:sz w:val="24"/>
                <w:szCs w:val="24"/>
                <w:highlight w:val="none"/>
                <w:u w:val="none"/>
              </w:rPr>
            </w:pPr>
          </w:p>
        </w:tc>
        <w:tc>
          <w:tcPr>
            <w:tcW w:w="3889" w:type="dxa"/>
            <w:vMerge w:val="continue"/>
            <w:noWrap w:val="0"/>
            <w:vAlign w:val="center"/>
          </w:tcPr>
          <w:p>
            <w:pPr>
              <w:keepNext w:val="0"/>
              <w:keepLines w:val="0"/>
              <w:pageBreakBefore w:val="0"/>
              <w:shd w:val="clear"/>
              <w:kinsoku/>
              <w:wordWrap/>
              <w:overflowPunct/>
              <w:topLinePunct w:val="0"/>
              <w:autoSpaceDE/>
              <w:autoSpaceDN/>
              <w:bidi w:val="0"/>
              <w:snapToGrid/>
              <w:spacing w:line="400" w:lineRule="exact"/>
              <w:jc w:val="left"/>
              <w:rPr>
                <w:rFonts w:hint="eastAsia" w:ascii="宋体" w:hAnsi="宋体" w:eastAsia="宋体" w:cs="宋体"/>
                <w:i w:val="0"/>
                <w:iCs w:val="0"/>
                <w:color w:val="auto"/>
                <w:sz w:val="24"/>
                <w:szCs w:val="24"/>
                <w:highlight w:val="none"/>
                <w:u w:val="none"/>
              </w:rPr>
            </w:pPr>
          </w:p>
        </w:tc>
        <w:tc>
          <w:tcPr>
            <w:tcW w:w="4610" w:type="dxa"/>
            <w:noWrap w:val="0"/>
            <w:vAlign w:val="center"/>
          </w:tcPr>
          <w:p>
            <w:pPr>
              <w:keepNext w:val="0"/>
              <w:keepLines w:val="0"/>
              <w:pageBreakBefore w:val="0"/>
              <w:widowControl/>
              <w:suppressLineNumbers w:val="0"/>
              <w:shd w:val="clear"/>
              <w:kinsoku/>
              <w:wordWrap/>
              <w:overflowPunct/>
              <w:topLinePunct w:val="0"/>
              <w:autoSpaceDE/>
              <w:autoSpaceDN/>
              <w:bidi w:val="0"/>
              <w:snapToGrid/>
              <w:spacing w:line="400" w:lineRule="exact"/>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4)各类制度、表格、软件等企业网格化管理手段。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61" w:type="dxa"/>
            <w:vMerge w:val="restart"/>
            <w:noWrap w:val="0"/>
            <w:vAlign w:val="center"/>
          </w:tcPr>
          <w:p>
            <w:pPr>
              <w:keepNext w:val="0"/>
              <w:keepLines w:val="0"/>
              <w:pageBreakBefore w:val="0"/>
              <w:widowControl/>
              <w:suppressLineNumbers w:val="0"/>
              <w:shd w:val="clear"/>
              <w:kinsoku/>
              <w:wordWrap/>
              <w:overflowPunct/>
              <w:topLinePunct w:val="0"/>
              <w:autoSpaceDE/>
              <w:autoSpaceDN/>
              <w:bidi w:val="0"/>
              <w:snapToGrid/>
              <w:spacing w:line="40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分析</w:t>
            </w:r>
          </w:p>
        </w:tc>
        <w:tc>
          <w:tcPr>
            <w:tcW w:w="3889" w:type="dxa"/>
            <w:noWrap w:val="0"/>
            <w:vAlign w:val="center"/>
          </w:tcPr>
          <w:p>
            <w:pPr>
              <w:keepNext w:val="0"/>
              <w:keepLines w:val="0"/>
              <w:pageBreakBefore w:val="0"/>
              <w:widowControl/>
              <w:suppressLineNumbers w:val="0"/>
              <w:shd w:val="clear"/>
              <w:kinsoku/>
              <w:wordWrap/>
              <w:overflowPunct/>
              <w:topLinePunct w:val="0"/>
              <w:autoSpaceDE/>
              <w:autoSpaceDN/>
              <w:bidi w:val="0"/>
              <w:snapToGrid/>
              <w:spacing w:line="400" w:lineRule="exact"/>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 传统的环卫作业及管理模式已无法适应城市管理的新需求；</w:t>
            </w:r>
          </w:p>
        </w:tc>
        <w:tc>
          <w:tcPr>
            <w:tcW w:w="4610" w:type="dxa"/>
            <w:noWrap w:val="0"/>
            <w:vAlign w:val="center"/>
          </w:tcPr>
          <w:p>
            <w:pPr>
              <w:keepNext w:val="0"/>
              <w:keepLines w:val="0"/>
              <w:pageBreakBefore w:val="0"/>
              <w:widowControl/>
              <w:suppressLineNumbers w:val="0"/>
              <w:shd w:val="clear"/>
              <w:kinsoku/>
              <w:wordWrap/>
              <w:overflowPunct/>
              <w:topLinePunct w:val="0"/>
              <w:autoSpaceDE/>
              <w:autoSpaceDN/>
              <w:bidi w:val="0"/>
              <w:snapToGrid/>
              <w:spacing w:line="400" w:lineRule="exact"/>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1)研发“智慧环卫”平台，能综合利用互联网的高效管理模式和智能化硬件产品，对传统的环卫管理模式进行革命性改变；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61" w:type="dxa"/>
            <w:vMerge w:val="continue"/>
            <w:noWrap w:val="0"/>
            <w:vAlign w:val="center"/>
          </w:tcPr>
          <w:p>
            <w:pPr>
              <w:keepNext w:val="0"/>
              <w:keepLines w:val="0"/>
              <w:pageBreakBefore w:val="0"/>
              <w:shd w:val="clear"/>
              <w:kinsoku/>
              <w:wordWrap/>
              <w:overflowPunct/>
              <w:topLinePunct w:val="0"/>
              <w:autoSpaceDE/>
              <w:autoSpaceDN/>
              <w:bidi w:val="0"/>
              <w:snapToGrid/>
              <w:spacing w:line="400" w:lineRule="exact"/>
              <w:jc w:val="center"/>
              <w:rPr>
                <w:rFonts w:hint="eastAsia" w:ascii="宋体" w:hAnsi="宋体" w:eastAsia="宋体" w:cs="宋体"/>
                <w:i w:val="0"/>
                <w:iCs w:val="0"/>
                <w:color w:val="auto"/>
                <w:sz w:val="24"/>
                <w:szCs w:val="24"/>
                <w:highlight w:val="none"/>
                <w:u w:val="none"/>
              </w:rPr>
            </w:pPr>
          </w:p>
        </w:tc>
        <w:tc>
          <w:tcPr>
            <w:tcW w:w="3889" w:type="dxa"/>
            <w:noWrap w:val="0"/>
            <w:vAlign w:val="center"/>
          </w:tcPr>
          <w:p>
            <w:pPr>
              <w:keepNext w:val="0"/>
              <w:keepLines w:val="0"/>
              <w:pageBreakBefore w:val="0"/>
              <w:widowControl/>
              <w:suppressLineNumbers w:val="0"/>
              <w:shd w:val="clear"/>
              <w:kinsoku/>
              <w:wordWrap/>
              <w:overflowPunct/>
              <w:topLinePunct w:val="0"/>
              <w:autoSpaceDE/>
              <w:autoSpaceDN/>
              <w:bidi w:val="0"/>
              <w:snapToGrid/>
              <w:spacing w:line="400" w:lineRule="exact"/>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 环卫作业整体形象差的局面亟需彻底改变；</w:t>
            </w:r>
          </w:p>
        </w:tc>
        <w:tc>
          <w:tcPr>
            <w:tcW w:w="4610" w:type="dxa"/>
            <w:noWrap w:val="0"/>
            <w:vAlign w:val="center"/>
          </w:tcPr>
          <w:p>
            <w:pPr>
              <w:keepNext w:val="0"/>
              <w:keepLines w:val="0"/>
              <w:pageBreakBefore w:val="0"/>
              <w:widowControl/>
              <w:suppressLineNumbers w:val="0"/>
              <w:shd w:val="clear"/>
              <w:kinsoku/>
              <w:wordWrap/>
              <w:overflowPunct/>
              <w:topLinePunct w:val="0"/>
              <w:autoSpaceDE/>
              <w:autoSpaceDN/>
              <w:bidi w:val="0"/>
              <w:snapToGrid/>
              <w:spacing w:line="400" w:lineRule="exact"/>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2)企业的网格化管理运用到环卫管理中，能在现有的人员和车辆配置中，显著提高作业效率，全面提升环卫作业质量；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61" w:type="dxa"/>
            <w:vMerge w:val="continue"/>
            <w:noWrap w:val="0"/>
            <w:vAlign w:val="center"/>
          </w:tcPr>
          <w:p>
            <w:pPr>
              <w:keepNext w:val="0"/>
              <w:keepLines w:val="0"/>
              <w:pageBreakBefore w:val="0"/>
              <w:shd w:val="clear"/>
              <w:kinsoku/>
              <w:wordWrap/>
              <w:overflowPunct/>
              <w:topLinePunct w:val="0"/>
              <w:autoSpaceDE/>
              <w:autoSpaceDN/>
              <w:bidi w:val="0"/>
              <w:snapToGrid/>
              <w:spacing w:line="400" w:lineRule="exact"/>
              <w:jc w:val="center"/>
              <w:rPr>
                <w:rFonts w:hint="eastAsia" w:ascii="宋体" w:hAnsi="宋体" w:eastAsia="宋体" w:cs="宋体"/>
                <w:i w:val="0"/>
                <w:iCs w:val="0"/>
                <w:color w:val="auto"/>
                <w:sz w:val="24"/>
                <w:szCs w:val="24"/>
                <w:highlight w:val="none"/>
                <w:u w:val="none"/>
              </w:rPr>
            </w:pPr>
          </w:p>
        </w:tc>
        <w:tc>
          <w:tcPr>
            <w:tcW w:w="3889" w:type="dxa"/>
            <w:noWrap w:val="0"/>
            <w:vAlign w:val="center"/>
          </w:tcPr>
          <w:p>
            <w:pPr>
              <w:keepNext w:val="0"/>
              <w:keepLines w:val="0"/>
              <w:pageBreakBefore w:val="0"/>
              <w:widowControl/>
              <w:suppressLineNumbers w:val="0"/>
              <w:shd w:val="clear"/>
              <w:kinsoku/>
              <w:wordWrap/>
              <w:overflowPunct/>
              <w:topLinePunct w:val="0"/>
              <w:autoSpaceDE/>
              <w:autoSpaceDN/>
              <w:bidi w:val="0"/>
              <w:snapToGrid/>
              <w:spacing w:line="400" w:lineRule="exact"/>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 管理效率低；</w:t>
            </w:r>
          </w:p>
        </w:tc>
        <w:tc>
          <w:tcPr>
            <w:tcW w:w="4610" w:type="dxa"/>
            <w:noWrap w:val="0"/>
            <w:vAlign w:val="center"/>
          </w:tcPr>
          <w:p>
            <w:pPr>
              <w:keepNext w:val="0"/>
              <w:keepLines w:val="0"/>
              <w:pageBreakBefore w:val="0"/>
              <w:widowControl/>
              <w:suppressLineNumbers w:val="0"/>
              <w:shd w:val="clear"/>
              <w:kinsoku/>
              <w:wordWrap/>
              <w:overflowPunct/>
              <w:topLinePunct w:val="0"/>
              <w:autoSpaceDE/>
              <w:autoSpaceDN/>
              <w:bidi w:val="0"/>
              <w:snapToGrid/>
              <w:spacing w:line="400" w:lineRule="exact"/>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3)研发具有适用性的垃圾分类模式及硬件“人工智能生活垃圾分类设备”，为逐步推行垃圾分类等工作做好扎实的准备；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61" w:type="dxa"/>
            <w:vMerge w:val="continue"/>
            <w:noWrap w:val="0"/>
            <w:vAlign w:val="center"/>
          </w:tcPr>
          <w:p>
            <w:pPr>
              <w:keepNext w:val="0"/>
              <w:keepLines w:val="0"/>
              <w:pageBreakBefore w:val="0"/>
              <w:shd w:val="clear"/>
              <w:kinsoku/>
              <w:wordWrap/>
              <w:overflowPunct/>
              <w:topLinePunct w:val="0"/>
              <w:autoSpaceDE/>
              <w:autoSpaceDN/>
              <w:bidi w:val="0"/>
              <w:snapToGrid/>
              <w:spacing w:line="400" w:lineRule="exact"/>
              <w:jc w:val="center"/>
              <w:rPr>
                <w:rFonts w:hint="eastAsia" w:ascii="宋体" w:hAnsi="宋体" w:eastAsia="宋体" w:cs="宋体"/>
                <w:i w:val="0"/>
                <w:iCs w:val="0"/>
                <w:color w:val="auto"/>
                <w:sz w:val="24"/>
                <w:szCs w:val="24"/>
                <w:highlight w:val="none"/>
                <w:u w:val="none"/>
              </w:rPr>
            </w:pPr>
          </w:p>
        </w:tc>
        <w:tc>
          <w:tcPr>
            <w:tcW w:w="3889" w:type="dxa"/>
            <w:noWrap w:val="0"/>
            <w:vAlign w:val="center"/>
          </w:tcPr>
          <w:p>
            <w:pPr>
              <w:keepNext w:val="0"/>
              <w:keepLines w:val="0"/>
              <w:pageBreakBefore w:val="0"/>
              <w:widowControl/>
              <w:suppressLineNumbers w:val="0"/>
              <w:shd w:val="clear"/>
              <w:kinsoku/>
              <w:wordWrap/>
              <w:overflowPunct/>
              <w:topLinePunct w:val="0"/>
              <w:autoSpaceDE/>
              <w:autoSpaceDN/>
              <w:bidi w:val="0"/>
              <w:snapToGrid/>
              <w:spacing w:line="400" w:lineRule="exact"/>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 管理反应速度慢；</w:t>
            </w:r>
          </w:p>
        </w:tc>
        <w:tc>
          <w:tcPr>
            <w:tcW w:w="4610" w:type="dxa"/>
            <w:noWrap w:val="0"/>
            <w:vAlign w:val="center"/>
          </w:tcPr>
          <w:p>
            <w:pPr>
              <w:keepNext w:val="0"/>
              <w:keepLines w:val="0"/>
              <w:pageBreakBefore w:val="0"/>
              <w:widowControl/>
              <w:suppressLineNumbers w:val="0"/>
              <w:shd w:val="clear"/>
              <w:kinsoku/>
              <w:wordWrap/>
              <w:overflowPunct/>
              <w:topLinePunct w:val="0"/>
              <w:autoSpaceDE/>
              <w:autoSpaceDN/>
              <w:bidi w:val="0"/>
              <w:snapToGrid/>
              <w:spacing w:line="400" w:lineRule="exact"/>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4)全面提升环卫作业形象，改变环卫工人面貌，提升环卫工人社会地位及自我认同感、职业认同感等，是推行“以人为本”的管理模式的根本目标；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61" w:type="dxa"/>
            <w:vMerge w:val="continue"/>
            <w:noWrap w:val="0"/>
            <w:vAlign w:val="center"/>
          </w:tcPr>
          <w:p>
            <w:pPr>
              <w:keepNext w:val="0"/>
              <w:keepLines w:val="0"/>
              <w:pageBreakBefore w:val="0"/>
              <w:shd w:val="clear"/>
              <w:kinsoku/>
              <w:wordWrap/>
              <w:overflowPunct/>
              <w:topLinePunct w:val="0"/>
              <w:autoSpaceDE/>
              <w:autoSpaceDN/>
              <w:bidi w:val="0"/>
              <w:snapToGrid/>
              <w:spacing w:line="400" w:lineRule="exact"/>
              <w:jc w:val="center"/>
              <w:rPr>
                <w:rFonts w:hint="eastAsia" w:ascii="宋体" w:hAnsi="宋体" w:eastAsia="宋体" w:cs="宋体"/>
                <w:i w:val="0"/>
                <w:iCs w:val="0"/>
                <w:color w:val="auto"/>
                <w:sz w:val="24"/>
                <w:szCs w:val="24"/>
                <w:highlight w:val="none"/>
                <w:u w:val="none"/>
              </w:rPr>
            </w:pPr>
          </w:p>
        </w:tc>
        <w:tc>
          <w:tcPr>
            <w:tcW w:w="3889" w:type="dxa"/>
            <w:noWrap w:val="0"/>
            <w:vAlign w:val="center"/>
          </w:tcPr>
          <w:p>
            <w:pPr>
              <w:keepNext w:val="0"/>
              <w:keepLines w:val="0"/>
              <w:pageBreakBefore w:val="0"/>
              <w:widowControl/>
              <w:suppressLineNumbers w:val="0"/>
              <w:shd w:val="clear"/>
              <w:kinsoku/>
              <w:wordWrap/>
              <w:overflowPunct/>
              <w:topLinePunct w:val="0"/>
              <w:autoSpaceDE/>
              <w:autoSpaceDN/>
              <w:bidi w:val="0"/>
              <w:snapToGrid/>
              <w:spacing w:line="400" w:lineRule="exact"/>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 管理上安全隐患较多；</w:t>
            </w:r>
          </w:p>
        </w:tc>
        <w:tc>
          <w:tcPr>
            <w:tcW w:w="4610" w:type="dxa"/>
            <w:noWrap w:val="0"/>
            <w:vAlign w:val="center"/>
          </w:tcPr>
          <w:p>
            <w:pPr>
              <w:keepNext w:val="0"/>
              <w:keepLines w:val="0"/>
              <w:pageBreakBefore w:val="0"/>
              <w:widowControl/>
              <w:suppressLineNumbers w:val="0"/>
              <w:shd w:val="clear"/>
              <w:kinsoku/>
              <w:wordWrap/>
              <w:overflowPunct/>
              <w:topLinePunct w:val="0"/>
              <w:autoSpaceDE/>
              <w:autoSpaceDN/>
              <w:bidi w:val="0"/>
              <w:snapToGrid/>
              <w:spacing w:line="400" w:lineRule="exact"/>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5)充分发挥的本地化优势，在车辆设备售后、作业管理及整体规划上都具有优势；</w:t>
            </w:r>
          </w:p>
        </w:tc>
      </w:tr>
    </w:tbl>
    <w:p>
      <w:pPr>
        <w:keepNext w:val="0"/>
        <w:keepLines w:val="0"/>
        <w:pageBreakBefore w:val="0"/>
        <w:widowControl/>
        <w:suppressLineNumbers w:val="0"/>
        <w:shd w:val="clear"/>
        <w:kinsoku/>
        <w:wordWrap/>
        <w:overflowPunct/>
        <w:topLinePunct w:val="0"/>
        <w:autoSpaceDE/>
        <w:autoSpaceDN/>
        <w:bidi w:val="0"/>
        <w:adjustRightInd/>
        <w:snapToGrid/>
        <w:spacing w:beforeAutospacing="0" w:afterAutospacing="0" w:line="400" w:lineRule="exact"/>
        <w:ind w:right="0"/>
        <w:jc w:val="left"/>
        <w:rPr>
          <w:rFonts w:hint="eastAsia" w:ascii="宋体" w:hAnsi="宋体" w:eastAsia="宋体" w:cs="宋体"/>
          <w:color w:val="auto"/>
          <w:sz w:val="24"/>
          <w:szCs w:val="24"/>
          <w:highlight w:val="none"/>
        </w:rPr>
      </w:pP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firstLine="482" w:firstLineChars="200"/>
        <w:textAlignment w:val="auto"/>
        <w:rPr>
          <w:rFonts w:hint="eastAsia" w:ascii="宋体" w:hAnsi="宋体" w:eastAsia="宋体" w:cs="宋体"/>
          <w:i w:val="0"/>
          <w:iCs w:val="0"/>
          <w:caps w:val="0"/>
          <w:color w:val="auto"/>
          <w:spacing w:val="0"/>
          <w:sz w:val="24"/>
          <w:szCs w:val="24"/>
          <w:highlight w:val="none"/>
        </w:rPr>
      </w:pPr>
      <w:r>
        <w:rPr>
          <w:rStyle w:val="9"/>
          <w:rFonts w:hint="eastAsia" w:ascii="宋体" w:hAnsi="宋体" w:eastAsia="宋体" w:cs="宋体"/>
          <w:i w:val="0"/>
          <w:iCs w:val="0"/>
          <w:caps w:val="0"/>
          <w:color w:val="auto"/>
          <w:spacing w:val="0"/>
          <w:sz w:val="24"/>
          <w:szCs w:val="24"/>
          <w:highlight w:val="none"/>
        </w:rPr>
        <w:t>3.4、运营优化措施</w:t>
      </w:r>
      <w:r>
        <w:rPr>
          <w:rStyle w:val="9"/>
          <w:rFonts w:hint="eastAsia" w:ascii="宋体" w:hAnsi="宋体" w:cs="宋体"/>
          <w:i w:val="0"/>
          <w:iCs w:val="0"/>
          <w:caps w:val="0"/>
          <w:color w:val="auto"/>
          <w:spacing w:val="0"/>
          <w:sz w:val="24"/>
          <w:szCs w:val="24"/>
          <w:highlight w:val="none"/>
          <w:lang w:eastAsia="zh-CN"/>
        </w:rPr>
        <w:t>（</w:t>
      </w:r>
      <w:r>
        <w:rPr>
          <w:rStyle w:val="9"/>
          <w:rFonts w:hint="eastAsia" w:ascii="宋体" w:hAnsi="宋体" w:cs="宋体"/>
          <w:i w:val="0"/>
          <w:iCs w:val="0"/>
          <w:caps w:val="0"/>
          <w:color w:val="auto"/>
          <w:spacing w:val="0"/>
          <w:sz w:val="24"/>
          <w:szCs w:val="24"/>
          <w:highlight w:val="none"/>
          <w:lang w:val="en-US" w:eastAsia="zh-CN"/>
        </w:rPr>
        <w:t>评分第9项）</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1、转变垃圾收集清运作业模式。逐步取缔区域内的垃圾池，将垃圾池改为垃圾桶和勾臂密封箱，通过组合循环式作业，进一步提升工作效率，减少二次污染，实现垃圾24小时投放和定时不间断清运，进一步提升镇村两级环境卫生质量水平。</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2、建设村镇垃圾收运体系。农村环卫待解决的几个问题：垃圾清运不及时，未做到日产日清；环卫配套设施（垃圾中转站，垃圾收集点等）布局不合理；环卫作业设备不专业（清运车不密闭，存在抛洒滴漏现象，车辆外观污染严重）。</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实现“户收集、村集中、镇转运、县处理”的新型镇村生活垃圾处置模式。</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3、提高镇区道路清扫保洁效率。原有的清扫保洁基本没有考核作业标准，清扫质量水平得不到有效保障，本项目采用专业的环卫设备及车辆用于全镇的清扫保洁清运机械化作业，实现机械换人提高作业效率。</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4、建立集约化环卫作业运行模式。中标单位在环卫服务过程中，对重点街道辅路、人行道实现清扫全覆盖。通过机械、人员的优化配置，实现环卫作业集约化运行，进一步提高机械作业效率，减轻人员劳动强度，提高提升整体质量水平。通过对绿化带、河道垃圾、建筑垃圾人员集中布置，实现作业内容的集约化，进一步提升清扫成效。</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5、保障职工安全和队伍稳定。加强职工安全和专业化技能教育，定制专业环卫工作服，作业人员配备肩灯、安全锥，保障作业员工人身安全。</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6、实行中标单位联动互动监管机制。利用指挥作业管理平台，及时发现作业中存在问题，反馈给路面作业人员，第一时间对存在问题进行整改，实现中标单位作业、监管、整改的有效循环，提高环卫作业效率。</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i w:val="0"/>
          <w:iCs w:val="0"/>
          <w:caps w:val="0"/>
          <w:color w:val="auto"/>
          <w:spacing w:val="0"/>
          <w:sz w:val="24"/>
          <w:szCs w:val="24"/>
          <w:highlight w:val="none"/>
          <w:lang w:val="en-US" w:eastAsia="zh-CN"/>
        </w:rPr>
      </w:pPr>
      <w:r>
        <w:rPr>
          <w:rFonts w:hint="eastAsia" w:ascii="宋体" w:hAnsi="宋体" w:cs="宋体"/>
          <w:i w:val="0"/>
          <w:iCs w:val="0"/>
          <w:caps w:val="0"/>
          <w:color w:val="auto"/>
          <w:spacing w:val="0"/>
          <w:sz w:val="24"/>
          <w:szCs w:val="24"/>
          <w:highlight w:val="none"/>
          <w:lang w:val="en-US" w:eastAsia="zh-CN"/>
        </w:rPr>
        <w:t>7、</w:t>
      </w:r>
      <w:r>
        <w:rPr>
          <w:rFonts w:hint="eastAsia" w:ascii="宋体" w:hAnsi="宋体" w:eastAsia="宋体" w:cs="宋体"/>
          <w:i w:val="0"/>
          <w:iCs w:val="0"/>
          <w:caps w:val="0"/>
          <w:color w:val="auto"/>
          <w:spacing w:val="0"/>
          <w:sz w:val="24"/>
          <w:szCs w:val="24"/>
          <w:highlight w:val="none"/>
        </w:rPr>
        <w:t>日常运营服务要求全面导入ISO9001质量管理体系、环境管理体系、职业健康安全管理体系等，具有集中统一的企业理念、运行机制、管理结构、着装标识，具有明确的各项管理服务标准和质量保证体系、应急预案，保证各项服务工作标准化、规范化，以满足街道全天候保洁的需求，创造安全、舒适、卫生的生活环境。</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firstLine="482" w:firstLineChars="200"/>
        <w:textAlignment w:val="auto"/>
        <w:rPr>
          <w:rFonts w:hint="eastAsia" w:ascii="宋体" w:hAnsi="宋体" w:eastAsia="宋体" w:cs="宋体"/>
          <w:i w:val="0"/>
          <w:iCs w:val="0"/>
          <w:caps w:val="0"/>
          <w:color w:val="auto"/>
          <w:spacing w:val="0"/>
          <w:sz w:val="24"/>
          <w:szCs w:val="24"/>
          <w:highlight w:val="none"/>
        </w:rPr>
      </w:pPr>
      <w:r>
        <w:rPr>
          <w:rStyle w:val="9"/>
          <w:rFonts w:hint="eastAsia" w:ascii="宋体" w:hAnsi="宋体" w:eastAsia="宋体" w:cs="宋体"/>
          <w:i w:val="0"/>
          <w:iCs w:val="0"/>
          <w:caps w:val="0"/>
          <w:color w:val="auto"/>
          <w:spacing w:val="0"/>
          <w:sz w:val="24"/>
          <w:szCs w:val="24"/>
          <w:highlight w:val="none"/>
        </w:rPr>
        <w:t>3.5、总体提升要求</w:t>
      </w:r>
      <w:r>
        <w:rPr>
          <w:rStyle w:val="9"/>
          <w:rFonts w:hint="eastAsia" w:ascii="宋体" w:hAnsi="宋体" w:cs="宋体"/>
          <w:i w:val="0"/>
          <w:iCs w:val="0"/>
          <w:caps w:val="0"/>
          <w:color w:val="auto"/>
          <w:spacing w:val="0"/>
          <w:sz w:val="24"/>
          <w:szCs w:val="24"/>
          <w:highlight w:val="none"/>
          <w:lang w:eastAsia="zh-CN"/>
        </w:rPr>
        <w:t>（</w:t>
      </w:r>
      <w:r>
        <w:rPr>
          <w:rStyle w:val="9"/>
          <w:rFonts w:hint="eastAsia" w:ascii="宋体" w:hAnsi="宋体" w:cs="宋体"/>
          <w:i w:val="0"/>
          <w:iCs w:val="0"/>
          <w:caps w:val="0"/>
          <w:color w:val="auto"/>
          <w:spacing w:val="0"/>
          <w:sz w:val="24"/>
          <w:szCs w:val="24"/>
          <w:highlight w:val="none"/>
          <w:lang w:val="en-US" w:eastAsia="zh-CN"/>
        </w:rPr>
        <w:t>评分第10项）</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投标单位应具备健全的日常清扫保洁制度、生活垃圾转运及及处置制度、安全管理制度、自查自检制度及完善的管理机制和应急处理机制，确保清扫保洁到位，垃圾转运及处置到位，确保安全平安。</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firstLine="482" w:firstLineChars="200"/>
        <w:textAlignment w:val="auto"/>
        <w:rPr>
          <w:rFonts w:hint="eastAsia" w:ascii="宋体" w:hAnsi="宋体" w:eastAsia="宋体" w:cs="宋体"/>
          <w:i w:val="0"/>
          <w:iCs w:val="0"/>
          <w:caps w:val="0"/>
          <w:color w:val="auto"/>
          <w:spacing w:val="0"/>
          <w:sz w:val="24"/>
          <w:szCs w:val="24"/>
          <w:highlight w:val="none"/>
        </w:rPr>
      </w:pPr>
      <w:r>
        <w:rPr>
          <w:rStyle w:val="9"/>
          <w:rFonts w:hint="eastAsia" w:ascii="宋体" w:hAnsi="宋体" w:eastAsia="宋体" w:cs="宋体"/>
          <w:i w:val="0"/>
          <w:iCs w:val="0"/>
          <w:caps w:val="0"/>
          <w:color w:val="auto"/>
          <w:spacing w:val="0"/>
          <w:sz w:val="24"/>
          <w:szCs w:val="24"/>
          <w:highlight w:val="none"/>
        </w:rPr>
        <w:t>3.5.1整体要求</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1、提高环卫作业标准、提升集镇、农村整体环境卫生质量水平；</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2、降低运行成本、优化资源配置，提高财政资金利用率；</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3、完善镇村垃圾收运体系，完成镇村环境卫生综合整治目标任务；</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4、建立符合郊尾镇实际的环卫服务体系和市场化运行机制。</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firstLine="482" w:firstLineChars="200"/>
        <w:textAlignment w:val="auto"/>
        <w:rPr>
          <w:rFonts w:hint="eastAsia" w:ascii="宋体" w:hAnsi="宋体" w:eastAsia="宋体" w:cs="宋体"/>
          <w:i w:val="0"/>
          <w:iCs w:val="0"/>
          <w:caps w:val="0"/>
          <w:color w:val="auto"/>
          <w:spacing w:val="0"/>
          <w:sz w:val="24"/>
          <w:szCs w:val="24"/>
          <w:highlight w:val="none"/>
        </w:rPr>
      </w:pPr>
      <w:r>
        <w:rPr>
          <w:rStyle w:val="9"/>
          <w:rFonts w:hint="eastAsia" w:ascii="宋体" w:hAnsi="宋体" w:eastAsia="宋体" w:cs="宋体"/>
          <w:i w:val="0"/>
          <w:iCs w:val="0"/>
          <w:caps w:val="0"/>
          <w:color w:val="auto"/>
          <w:spacing w:val="0"/>
          <w:sz w:val="24"/>
          <w:szCs w:val="24"/>
          <w:highlight w:val="none"/>
        </w:rPr>
        <w:t>3.5.2基本要求</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1、路面（含背街小巷）干净见本色（含路沿、人行道、台阶、阴沟及沟井口），无发现垃圾沙土、积水、浮土、污泥、烟头、果皮、纸屑、包装壳、树叶、塑料袋及砖瓦小石块等废弃物。</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2、道路人行道之间绿化隔离带、两侧绿化带及树穴干净，人行道、步阶、墙根无杂草杂物，绿化带定期修剪，保持整齐。</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3、主要交通集散地、集镇街道等每日普扫2次，巡回保洁，路面基本见本色。夏秋季应适时对地面清洗与洒水，降温除尘。清扫保洁时须扫至交界线以外3米。</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4、河道及其支流每日巡逻一次，发现垃圾及时清理，发现问题立即汇报。</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5、中标单位应对仙游县郊尾镇内清扫保洁服务范围内的垃圾桶（屋）和生活区场所垃圾点日常垃圾收集清运；果皮箱和垃圾桶应按位摆放、及时清洗、按班清掏、及时收集，确保垃圾不满溢和外观干净整洁。中标单位应对辖区内主（次）干道、集镇区中心市场实行垃圾定点定时上门摇铃收集，做到垃圾不落地。</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default" w:ascii="宋体" w:hAnsi="宋体" w:eastAsia="宋体" w:cs="宋体"/>
          <w:i w:val="0"/>
          <w:iCs w:val="0"/>
          <w:caps w:val="0"/>
          <w:color w:val="auto"/>
          <w:spacing w:val="0"/>
          <w:sz w:val="24"/>
          <w:szCs w:val="24"/>
          <w:highlight w:val="none"/>
          <w:lang w:val="en-US" w:eastAsia="zh-CN"/>
        </w:rPr>
      </w:pPr>
      <w:r>
        <w:rPr>
          <w:rFonts w:hint="eastAsia" w:ascii="宋体" w:hAnsi="宋体" w:cs="宋体"/>
          <w:i w:val="0"/>
          <w:iCs w:val="0"/>
          <w:caps w:val="0"/>
          <w:color w:val="auto"/>
          <w:spacing w:val="0"/>
          <w:sz w:val="24"/>
          <w:szCs w:val="24"/>
          <w:highlight w:val="none"/>
          <w:lang w:val="en-US" w:eastAsia="zh-CN"/>
        </w:rPr>
        <w:t>6、</w:t>
      </w:r>
      <w:r>
        <w:rPr>
          <w:rFonts w:hint="eastAsia" w:ascii="宋体" w:hAnsi="宋体" w:eastAsia="宋体" w:cs="宋体"/>
          <w:i w:val="0"/>
          <w:iCs w:val="0"/>
          <w:caps w:val="0"/>
          <w:color w:val="auto"/>
          <w:spacing w:val="0"/>
          <w:sz w:val="24"/>
          <w:szCs w:val="24"/>
          <w:highlight w:val="none"/>
        </w:rPr>
        <w:t>郊尾镇内</w:t>
      </w:r>
      <w:r>
        <w:rPr>
          <w:rFonts w:hint="eastAsia" w:ascii="宋体" w:hAnsi="宋体" w:cs="宋体"/>
          <w:i w:val="0"/>
          <w:iCs w:val="0"/>
          <w:caps w:val="0"/>
          <w:color w:val="auto"/>
          <w:spacing w:val="0"/>
          <w:sz w:val="24"/>
          <w:szCs w:val="24"/>
          <w:highlight w:val="none"/>
          <w:lang w:val="en-US" w:eastAsia="zh-CN"/>
        </w:rPr>
        <w:t>学校、工厂有配置</w:t>
      </w:r>
      <w:r>
        <w:rPr>
          <w:rFonts w:hint="eastAsia" w:ascii="宋体" w:hAnsi="宋体" w:eastAsia="宋体" w:cs="宋体"/>
          <w:i w:val="0"/>
          <w:iCs w:val="0"/>
          <w:caps w:val="0"/>
          <w:color w:val="auto"/>
          <w:spacing w:val="0"/>
          <w:sz w:val="24"/>
          <w:szCs w:val="24"/>
          <w:highlight w:val="none"/>
        </w:rPr>
        <w:t>垃圾桶（屋）</w:t>
      </w:r>
      <w:r>
        <w:rPr>
          <w:rFonts w:hint="eastAsia" w:ascii="宋体" w:hAnsi="宋体" w:eastAsia="宋体" w:cs="宋体"/>
          <w:i w:val="0"/>
          <w:iCs w:val="0"/>
          <w:caps w:val="0"/>
          <w:color w:val="auto"/>
          <w:spacing w:val="0"/>
          <w:sz w:val="24"/>
          <w:szCs w:val="24"/>
          <w:highlight w:val="none"/>
          <w:lang w:val="en-US" w:eastAsia="zh-CN"/>
        </w:rPr>
        <w:t>的须进校（厂）清运。未</w:t>
      </w:r>
      <w:r>
        <w:rPr>
          <w:rFonts w:hint="eastAsia" w:ascii="宋体" w:hAnsi="宋体" w:cs="宋体"/>
          <w:i w:val="0"/>
          <w:iCs w:val="0"/>
          <w:caps w:val="0"/>
          <w:color w:val="auto"/>
          <w:spacing w:val="0"/>
          <w:sz w:val="24"/>
          <w:szCs w:val="24"/>
          <w:highlight w:val="none"/>
          <w:lang w:val="en-US" w:eastAsia="zh-CN"/>
        </w:rPr>
        <w:t>配置</w:t>
      </w:r>
      <w:r>
        <w:rPr>
          <w:rFonts w:hint="eastAsia" w:ascii="宋体" w:hAnsi="宋体" w:eastAsia="宋体" w:cs="宋体"/>
          <w:i w:val="0"/>
          <w:iCs w:val="0"/>
          <w:caps w:val="0"/>
          <w:color w:val="auto"/>
          <w:spacing w:val="0"/>
          <w:sz w:val="24"/>
          <w:szCs w:val="24"/>
          <w:highlight w:val="none"/>
        </w:rPr>
        <w:t>垃圾桶（屋）</w:t>
      </w:r>
      <w:r>
        <w:rPr>
          <w:rFonts w:hint="eastAsia" w:ascii="宋体" w:hAnsi="宋体" w:eastAsia="宋体" w:cs="宋体"/>
          <w:i w:val="0"/>
          <w:iCs w:val="0"/>
          <w:caps w:val="0"/>
          <w:color w:val="auto"/>
          <w:spacing w:val="0"/>
          <w:sz w:val="24"/>
          <w:szCs w:val="24"/>
          <w:highlight w:val="none"/>
          <w:lang w:val="en-US" w:eastAsia="zh-CN"/>
        </w:rPr>
        <w:t>的</w:t>
      </w:r>
      <w:r>
        <w:rPr>
          <w:rFonts w:hint="eastAsia" w:ascii="宋体" w:hAnsi="宋体" w:cs="宋体"/>
          <w:i w:val="0"/>
          <w:iCs w:val="0"/>
          <w:caps w:val="0"/>
          <w:color w:val="auto"/>
          <w:spacing w:val="0"/>
          <w:sz w:val="24"/>
          <w:szCs w:val="24"/>
          <w:highlight w:val="none"/>
          <w:lang w:val="en-US" w:eastAsia="zh-CN"/>
        </w:rPr>
        <w:t>学校、工厂，须在学校、工厂附近摆放</w:t>
      </w:r>
      <w:r>
        <w:rPr>
          <w:rFonts w:hint="eastAsia" w:ascii="宋体" w:hAnsi="宋体" w:eastAsia="宋体" w:cs="宋体"/>
          <w:i w:val="0"/>
          <w:iCs w:val="0"/>
          <w:caps w:val="0"/>
          <w:color w:val="auto"/>
          <w:spacing w:val="0"/>
          <w:sz w:val="24"/>
          <w:szCs w:val="24"/>
          <w:highlight w:val="none"/>
        </w:rPr>
        <w:t>垃圾桶（屋）</w:t>
      </w:r>
      <w:r>
        <w:rPr>
          <w:rFonts w:hint="eastAsia" w:ascii="宋体" w:hAnsi="宋体" w:eastAsia="宋体" w:cs="宋体"/>
          <w:i w:val="0"/>
          <w:iCs w:val="0"/>
          <w:caps w:val="0"/>
          <w:color w:val="auto"/>
          <w:spacing w:val="0"/>
          <w:sz w:val="24"/>
          <w:szCs w:val="24"/>
          <w:highlight w:val="none"/>
          <w:lang w:eastAsia="zh-CN"/>
        </w:rPr>
        <w:t>，</w:t>
      </w:r>
      <w:r>
        <w:rPr>
          <w:rFonts w:hint="eastAsia" w:ascii="宋体" w:hAnsi="宋体" w:eastAsia="宋体" w:cs="宋体"/>
          <w:i w:val="0"/>
          <w:iCs w:val="0"/>
          <w:caps w:val="0"/>
          <w:color w:val="auto"/>
          <w:spacing w:val="0"/>
          <w:sz w:val="24"/>
          <w:szCs w:val="24"/>
          <w:highlight w:val="none"/>
          <w:lang w:val="en-US" w:eastAsia="zh-CN"/>
        </w:rPr>
        <w:t>并进行清运。</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i w:val="0"/>
          <w:iCs w:val="0"/>
          <w:caps w:val="0"/>
          <w:color w:val="auto"/>
          <w:spacing w:val="0"/>
          <w:sz w:val="24"/>
          <w:szCs w:val="24"/>
          <w:highlight w:val="none"/>
        </w:rPr>
      </w:pPr>
      <w:r>
        <w:rPr>
          <w:rFonts w:hint="eastAsia" w:ascii="宋体" w:hAnsi="宋体" w:cs="宋体"/>
          <w:i w:val="0"/>
          <w:iCs w:val="0"/>
          <w:caps w:val="0"/>
          <w:color w:val="auto"/>
          <w:spacing w:val="0"/>
          <w:sz w:val="24"/>
          <w:szCs w:val="24"/>
          <w:highlight w:val="none"/>
          <w:lang w:val="en-US" w:eastAsia="zh-CN"/>
        </w:rPr>
        <w:t>7</w:t>
      </w:r>
      <w:r>
        <w:rPr>
          <w:rFonts w:hint="eastAsia" w:ascii="宋体" w:hAnsi="宋体" w:eastAsia="宋体" w:cs="宋体"/>
          <w:i w:val="0"/>
          <w:iCs w:val="0"/>
          <w:caps w:val="0"/>
          <w:color w:val="auto"/>
          <w:spacing w:val="0"/>
          <w:sz w:val="24"/>
          <w:szCs w:val="24"/>
          <w:highlight w:val="none"/>
        </w:rPr>
        <w:t>、机械式垃圾收集清运车辆和人力保洁垃圾收集车必须采用密闭的，不会造成“滴、撒、漏”，清扫收集的垃圾应及时送达指 定的垃圾压缩站，并做好垃圾中转站工作。</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i w:val="0"/>
          <w:iCs w:val="0"/>
          <w:caps w:val="0"/>
          <w:color w:val="auto"/>
          <w:spacing w:val="0"/>
          <w:sz w:val="24"/>
          <w:szCs w:val="24"/>
          <w:highlight w:val="none"/>
        </w:rPr>
      </w:pPr>
      <w:r>
        <w:rPr>
          <w:rFonts w:hint="eastAsia" w:ascii="宋体" w:hAnsi="宋体" w:cs="宋体"/>
          <w:i w:val="0"/>
          <w:iCs w:val="0"/>
          <w:caps w:val="0"/>
          <w:color w:val="auto"/>
          <w:spacing w:val="0"/>
          <w:sz w:val="24"/>
          <w:szCs w:val="24"/>
          <w:highlight w:val="none"/>
          <w:lang w:val="en-US" w:eastAsia="zh-CN"/>
        </w:rPr>
        <w:t>8</w:t>
      </w:r>
      <w:r>
        <w:rPr>
          <w:rFonts w:hint="eastAsia" w:ascii="宋体" w:hAnsi="宋体" w:eastAsia="宋体" w:cs="宋体"/>
          <w:i w:val="0"/>
          <w:iCs w:val="0"/>
          <w:caps w:val="0"/>
          <w:color w:val="auto"/>
          <w:spacing w:val="0"/>
          <w:sz w:val="24"/>
          <w:szCs w:val="24"/>
          <w:highlight w:val="none"/>
        </w:rPr>
        <w:t>、道路机械化作业，扫地车每天作业不得少于6.5小时、洒水车每天作业不得少于6小时。</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i w:val="0"/>
          <w:iCs w:val="0"/>
          <w:caps w:val="0"/>
          <w:color w:val="auto"/>
          <w:spacing w:val="0"/>
          <w:sz w:val="24"/>
          <w:szCs w:val="24"/>
          <w:highlight w:val="none"/>
        </w:rPr>
      </w:pPr>
      <w:r>
        <w:rPr>
          <w:rFonts w:hint="eastAsia" w:ascii="宋体" w:hAnsi="宋体" w:cs="宋体"/>
          <w:i w:val="0"/>
          <w:iCs w:val="0"/>
          <w:caps w:val="0"/>
          <w:color w:val="auto"/>
          <w:spacing w:val="0"/>
          <w:sz w:val="24"/>
          <w:szCs w:val="24"/>
          <w:highlight w:val="none"/>
          <w:lang w:val="en-US" w:eastAsia="zh-CN"/>
        </w:rPr>
        <w:t>9</w:t>
      </w:r>
      <w:r>
        <w:rPr>
          <w:rFonts w:hint="eastAsia" w:ascii="宋体" w:hAnsi="宋体" w:eastAsia="宋体" w:cs="宋体"/>
          <w:i w:val="0"/>
          <w:iCs w:val="0"/>
          <w:caps w:val="0"/>
          <w:color w:val="auto"/>
          <w:spacing w:val="0"/>
          <w:sz w:val="24"/>
          <w:szCs w:val="24"/>
          <w:highlight w:val="none"/>
        </w:rPr>
        <w:t>、招标范围内放置垃圾桶的，日常垃圾收集清运任务由中标单位负责。</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i w:val="0"/>
          <w:iCs w:val="0"/>
          <w:caps w:val="0"/>
          <w:color w:val="auto"/>
          <w:spacing w:val="0"/>
          <w:sz w:val="24"/>
          <w:szCs w:val="24"/>
          <w:highlight w:val="none"/>
        </w:rPr>
      </w:pPr>
      <w:r>
        <w:rPr>
          <w:rFonts w:hint="eastAsia" w:ascii="宋体" w:hAnsi="宋体" w:cs="宋体"/>
          <w:i w:val="0"/>
          <w:iCs w:val="0"/>
          <w:caps w:val="0"/>
          <w:color w:val="auto"/>
          <w:spacing w:val="0"/>
          <w:sz w:val="24"/>
          <w:szCs w:val="24"/>
          <w:highlight w:val="none"/>
          <w:lang w:val="en-US" w:eastAsia="zh-CN"/>
        </w:rPr>
        <w:t>10</w:t>
      </w:r>
      <w:r>
        <w:rPr>
          <w:rFonts w:hint="eastAsia" w:ascii="宋体" w:hAnsi="宋体" w:eastAsia="宋体" w:cs="宋体"/>
          <w:i w:val="0"/>
          <w:iCs w:val="0"/>
          <w:caps w:val="0"/>
          <w:color w:val="auto"/>
          <w:spacing w:val="0"/>
          <w:sz w:val="24"/>
          <w:szCs w:val="24"/>
          <w:highlight w:val="none"/>
        </w:rPr>
        <w:t>、中标单位应严格使用正规的人力密闭保洁三轮车，车辆必须是7成新以上。每2人1部密闭手推车，配备密闭小型动力收集车，沿街垃圾定时定点上门摇铃收集。</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i w:val="0"/>
          <w:iCs w:val="0"/>
          <w:caps w:val="0"/>
          <w:color w:val="auto"/>
          <w:spacing w:val="0"/>
          <w:sz w:val="24"/>
          <w:szCs w:val="24"/>
          <w:highlight w:val="none"/>
        </w:rPr>
      </w:pPr>
      <w:r>
        <w:rPr>
          <w:rFonts w:hint="eastAsia" w:ascii="宋体" w:hAnsi="宋体" w:cs="宋体"/>
          <w:i w:val="0"/>
          <w:iCs w:val="0"/>
          <w:caps w:val="0"/>
          <w:color w:val="auto"/>
          <w:spacing w:val="0"/>
          <w:sz w:val="24"/>
          <w:szCs w:val="24"/>
          <w:highlight w:val="none"/>
          <w:lang w:val="en-US" w:eastAsia="zh-CN"/>
        </w:rPr>
        <w:t>11</w:t>
      </w:r>
      <w:r>
        <w:rPr>
          <w:rFonts w:hint="eastAsia" w:ascii="宋体" w:hAnsi="宋体" w:eastAsia="宋体" w:cs="宋体"/>
          <w:i w:val="0"/>
          <w:iCs w:val="0"/>
          <w:caps w:val="0"/>
          <w:color w:val="auto"/>
          <w:spacing w:val="0"/>
          <w:sz w:val="24"/>
          <w:szCs w:val="24"/>
          <w:highlight w:val="none"/>
        </w:rPr>
        <w:t>、中标单位应加强对招标范围作业人员的日常管理，人员不得拾捡、堆放餐厨垃圾，不得随意拾捡、堆放、悬挂纸皮、袋子等可回收垃圾。</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1</w:t>
      </w:r>
      <w:r>
        <w:rPr>
          <w:rFonts w:hint="eastAsia" w:ascii="宋体" w:hAnsi="宋体" w:cs="宋体"/>
          <w:i w:val="0"/>
          <w:iCs w:val="0"/>
          <w:caps w:val="0"/>
          <w:color w:val="auto"/>
          <w:spacing w:val="0"/>
          <w:sz w:val="24"/>
          <w:szCs w:val="24"/>
          <w:highlight w:val="none"/>
          <w:lang w:val="en-US" w:eastAsia="zh-CN"/>
        </w:rPr>
        <w:t>2</w:t>
      </w:r>
      <w:r>
        <w:rPr>
          <w:rFonts w:hint="eastAsia" w:ascii="宋体" w:hAnsi="宋体" w:eastAsia="宋体" w:cs="宋体"/>
          <w:i w:val="0"/>
          <w:iCs w:val="0"/>
          <w:caps w:val="0"/>
          <w:color w:val="auto"/>
          <w:spacing w:val="0"/>
          <w:sz w:val="24"/>
          <w:szCs w:val="24"/>
          <w:highlight w:val="none"/>
        </w:rPr>
        <w:t>、招标范围内道路与商家住户、村（居）或交叉的地方，如出现工厂、商家将垃圾桶或垃圾堆放在招标范围内未能及时收集清运的，中标单位应参照仙游县市场价格收费并及时清理，并监督做好日常保洁和垃圾收运工作；如未能达到采购人作业考评标准，将按相关标准给予相应的扣分和经济处罚。</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1</w:t>
      </w:r>
      <w:r>
        <w:rPr>
          <w:rFonts w:hint="eastAsia" w:ascii="宋体" w:hAnsi="宋体" w:cs="宋体"/>
          <w:i w:val="0"/>
          <w:iCs w:val="0"/>
          <w:caps w:val="0"/>
          <w:color w:val="auto"/>
          <w:spacing w:val="0"/>
          <w:sz w:val="24"/>
          <w:szCs w:val="24"/>
          <w:highlight w:val="none"/>
          <w:lang w:val="en-US" w:eastAsia="zh-CN"/>
        </w:rPr>
        <w:t>3</w:t>
      </w:r>
      <w:r>
        <w:rPr>
          <w:rFonts w:hint="eastAsia" w:ascii="宋体" w:hAnsi="宋体" w:eastAsia="宋体" w:cs="宋体"/>
          <w:i w:val="0"/>
          <w:iCs w:val="0"/>
          <w:caps w:val="0"/>
          <w:color w:val="auto"/>
          <w:spacing w:val="0"/>
          <w:sz w:val="24"/>
          <w:szCs w:val="24"/>
          <w:highlight w:val="none"/>
        </w:rPr>
        <w:t>、遇到各种重要检查、庆典活动或节假日等，中标单位应服从采购人工作安排，增加保洁作业人员，延长保洁作业时间，增加垃圾收集次数，中标单位还要安排洒水车和作业人员对城镇主次干道进行冲洗。</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1</w:t>
      </w:r>
      <w:r>
        <w:rPr>
          <w:rFonts w:hint="eastAsia" w:ascii="宋体" w:hAnsi="宋体" w:cs="宋体"/>
          <w:i w:val="0"/>
          <w:iCs w:val="0"/>
          <w:caps w:val="0"/>
          <w:color w:val="auto"/>
          <w:spacing w:val="0"/>
          <w:sz w:val="24"/>
          <w:szCs w:val="24"/>
          <w:highlight w:val="none"/>
          <w:lang w:val="en-US" w:eastAsia="zh-CN"/>
        </w:rPr>
        <w:t>4</w:t>
      </w:r>
      <w:r>
        <w:rPr>
          <w:rFonts w:hint="eastAsia" w:ascii="宋体" w:hAnsi="宋体" w:eastAsia="宋体" w:cs="宋体"/>
          <w:i w:val="0"/>
          <w:iCs w:val="0"/>
          <w:caps w:val="0"/>
          <w:color w:val="auto"/>
          <w:spacing w:val="0"/>
          <w:sz w:val="24"/>
          <w:szCs w:val="24"/>
          <w:highlight w:val="none"/>
        </w:rPr>
        <w:t>、城镇主次干道两侧人行道不再新增塑料垃圾桶，中标单位要采取流动收集方式或定时摇铃方式及时收集垃圾，路段保洁人员必须将清扫保洁工具放置保洁三轮车内，确保道路干净、整洁。</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1</w:t>
      </w:r>
      <w:r>
        <w:rPr>
          <w:rFonts w:hint="eastAsia" w:ascii="宋体" w:hAnsi="宋体" w:cs="宋体"/>
          <w:i w:val="0"/>
          <w:iCs w:val="0"/>
          <w:caps w:val="0"/>
          <w:color w:val="auto"/>
          <w:spacing w:val="0"/>
          <w:sz w:val="24"/>
          <w:szCs w:val="24"/>
          <w:highlight w:val="none"/>
          <w:lang w:val="en-US" w:eastAsia="zh-CN"/>
        </w:rPr>
        <w:t>5</w:t>
      </w:r>
      <w:r>
        <w:rPr>
          <w:rFonts w:hint="eastAsia" w:ascii="宋体" w:hAnsi="宋体" w:eastAsia="宋体" w:cs="宋体"/>
          <w:i w:val="0"/>
          <w:iCs w:val="0"/>
          <w:caps w:val="0"/>
          <w:color w:val="auto"/>
          <w:spacing w:val="0"/>
          <w:sz w:val="24"/>
          <w:szCs w:val="24"/>
          <w:highlight w:val="none"/>
        </w:rPr>
        <w:t>、中标单位除招标范围绿化带内树叶、纸屑、塑料、瓜果皮核、烟蒂、砖块沙石等垃圾杂物的日常清扫保洁外，每月还需安排人员对绿化带进行清理，每季度安排人员进行修剪。</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1</w:t>
      </w:r>
      <w:r>
        <w:rPr>
          <w:rFonts w:hint="eastAsia" w:ascii="宋体" w:hAnsi="宋体" w:cs="宋体"/>
          <w:i w:val="0"/>
          <w:iCs w:val="0"/>
          <w:caps w:val="0"/>
          <w:color w:val="auto"/>
          <w:spacing w:val="0"/>
          <w:sz w:val="24"/>
          <w:szCs w:val="24"/>
          <w:highlight w:val="none"/>
          <w:lang w:val="en-US" w:eastAsia="zh-CN"/>
        </w:rPr>
        <w:t>6</w:t>
      </w:r>
      <w:r>
        <w:rPr>
          <w:rFonts w:hint="eastAsia" w:ascii="宋体" w:hAnsi="宋体" w:eastAsia="宋体" w:cs="宋体"/>
          <w:i w:val="0"/>
          <w:iCs w:val="0"/>
          <w:caps w:val="0"/>
          <w:color w:val="auto"/>
          <w:spacing w:val="0"/>
          <w:sz w:val="24"/>
          <w:szCs w:val="24"/>
          <w:highlight w:val="none"/>
        </w:rPr>
        <w:t>、中标单位对招标范围内道路如出现因土方车、水泥车等运输车辆“滴、撒、漏”原因造成路面沙土、石子、水泥渣等污染路面情况，对其他建筑垃圾堆放，中标单位应及时组织人员车辆进行清理。</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1</w:t>
      </w:r>
      <w:r>
        <w:rPr>
          <w:rFonts w:hint="eastAsia" w:ascii="宋体" w:hAnsi="宋体" w:cs="宋体"/>
          <w:i w:val="0"/>
          <w:iCs w:val="0"/>
          <w:caps w:val="0"/>
          <w:color w:val="auto"/>
          <w:spacing w:val="0"/>
          <w:sz w:val="24"/>
          <w:szCs w:val="24"/>
          <w:highlight w:val="none"/>
          <w:lang w:val="en-US" w:eastAsia="zh-CN"/>
        </w:rPr>
        <w:t>7</w:t>
      </w:r>
      <w:r>
        <w:rPr>
          <w:rFonts w:hint="eastAsia" w:ascii="宋体" w:hAnsi="宋体" w:eastAsia="宋体" w:cs="宋体"/>
          <w:i w:val="0"/>
          <w:iCs w:val="0"/>
          <w:caps w:val="0"/>
          <w:color w:val="auto"/>
          <w:spacing w:val="0"/>
          <w:sz w:val="24"/>
          <w:szCs w:val="24"/>
          <w:highlight w:val="none"/>
        </w:rPr>
        <w:t>、中标单位承包范围内的生活垃圾转运服务必须严格按照采购人规定的作业标准和指标执行。</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1</w:t>
      </w:r>
      <w:r>
        <w:rPr>
          <w:rFonts w:hint="eastAsia" w:ascii="宋体" w:hAnsi="宋体" w:cs="宋体"/>
          <w:i w:val="0"/>
          <w:iCs w:val="0"/>
          <w:caps w:val="0"/>
          <w:color w:val="auto"/>
          <w:spacing w:val="0"/>
          <w:sz w:val="24"/>
          <w:szCs w:val="24"/>
          <w:highlight w:val="none"/>
          <w:lang w:val="en-US" w:eastAsia="zh-CN"/>
        </w:rPr>
        <w:t>8</w:t>
      </w:r>
      <w:r>
        <w:rPr>
          <w:rFonts w:hint="eastAsia" w:ascii="宋体" w:hAnsi="宋体" w:eastAsia="宋体" w:cs="宋体"/>
          <w:i w:val="0"/>
          <w:iCs w:val="0"/>
          <w:caps w:val="0"/>
          <w:color w:val="auto"/>
          <w:spacing w:val="0"/>
          <w:sz w:val="24"/>
          <w:szCs w:val="24"/>
          <w:highlight w:val="none"/>
        </w:rPr>
        <w:t>、中标单位需在郊尾镇范围内设立公司办公地点或项目工作室，项目负责人需在项目承包期内长期居住仙游城区，负责本项目的日常巡查管理工作，配合采购人的巡查管理人员一起进行日常保洁作业质量巡查和抽查清点应配置的作业人员和车辆设备等。</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1</w:t>
      </w:r>
      <w:r>
        <w:rPr>
          <w:rFonts w:hint="eastAsia" w:ascii="宋体" w:hAnsi="宋体" w:cs="宋体"/>
          <w:i w:val="0"/>
          <w:iCs w:val="0"/>
          <w:caps w:val="0"/>
          <w:color w:val="auto"/>
          <w:spacing w:val="0"/>
          <w:sz w:val="24"/>
          <w:szCs w:val="24"/>
          <w:highlight w:val="none"/>
          <w:lang w:val="en-US" w:eastAsia="zh-CN"/>
        </w:rPr>
        <w:t>9</w:t>
      </w:r>
      <w:r>
        <w:rPr>
          <w:rFonts w:hint="eastAsia" w:ascii="宋体" w:hAnsi="宋体" w:eastAsia="宋体" w:cs="宋体"/>
          <w:i w:val="0"/>
          <w:iCs w:val="0"/>
          <w:caps w:val="0"/>
          <w:color w:val="auto"/>
          <w:spacing w:val="0"/>
          <w:sz w:val="24"/>
          <w:szCs w:val="24"/>
          <w:highlight w:val="none"/>
        </w:rPr>
        <w:t>、中标单位应按规定按时足额发放环卫工人工资，根据莆环卫协会[2015]7号文要求，必须为所有环卫工人至少购买人身意外险500元、并办理工伤保险、社保、每两年提供一次健康体检、5-9月份发放高温补贴（每月2</w:t>
      </w:r>
      <w:r>
        <w:rPr>
          <w:rFonts w:hint="eastAsia" w:ascii="宋体" w:hAnsi="宋体" w:cs="宋体"/>
          <w:i w:val="0"/>
          <w:iCs w:val="0"/>
          <w:caps w:val="0"/>
          <w:color w:val="auto"/>
          <w:spacing w:val="0"/>
          <w:sz w:val="24"/>
          <w:szCs w:val="24"/>
          <w:highlight w:val="none"/>
          <w:lang w:val="en-US" w:eastAsia="zh-CN"/>
        </w:rPr>
        <w:t>6</w:t>
      </w:r>
      <w:r>
        <w:rPr>
          <w:rFonts w:hint="eastAsia" w:ascii="宋体" w:hAnsi="宋体" w:eastAsia="宋体" w:cs="宋体"/>
          <w:i w:val="0"/>
          <w:iCs w:val="0"/>
          <w:caps w:val="0"/>
          <w:color w:val="auto"/>
          <w:spacing w:val="0"/>
          <w:sz w:val="24"/>
          <w:szCs w:val="24"/>
          <w:highlight w:val="none"/>
        </w:rPr>
        <w:t>0元/人）等。</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i w:val="0"/>
          <w:iCs w:val="0"/>
          <w:caps w:val="0"/>
          <w:color w:val="auto"/>
          <w:spacing w:val="0"/>
          <w:sz w:val="24"/>
          <w:szCs w:val="24"/>
          <w:highlight w:val="none"/>
        </w:rPr>
      </w:pPr>
      <w:r>
        <w:rPr>
          <w:rFonts w:hint="eastAsia" w:ascii="宋体" w:hAnsi="宋体" w:cs="宋体"/>
          <w:i w:val="0"/>
          <w:iCs w:val="0"/>
          <w:caps w:val="0"/>
          <w:color w:val="auto"/>
          <w:spacing w:val="0"/>
          <w:sz w:val="24"/>
          <w:szCs w:val="24"/>
          <w:highlight w:val="none"/>
          <w:lang w:val="en-US" w:eastAsia="zh-CN"/>
        </w:rPr>
        <w:t>20</w:t>
      </w:r>
      <w:r>
        <w:rPr>
          <w:rFonts w:hint="eastAsia" w:ascii="宋体" w:hAnsi="宋体" w:eastAsia="宋体" w:cs="宋体"/>
          <w:i w:val="0"/>
          <w:iCs w:val="0"/>
          <w:caps w:val="0"/>
          <w:color w:val="auto"/>
          <w:spacing w:val="0"/>
          <w:sz w:val="24"/>
          <w:szCs w:val="24"/>
          <w:highlight w:val="none"/>
        </w:rPr>
        <w:t>、中标单位应严格按招标文件规定和合同约定以及投标承诺配备相应标准和数量的作业人员和车辆；按规定的作业时间和作业方式安排作业人员按规定的作业标准进行日常清扫保洁和垃圾收集转运工作。</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firstLine="482" w:firstLineChars="200"/>
        <w:textAlignment w:val="auto"/>
        <w:rPr>
          <w:rFonts w:hint="eastAsia" w:ascii="宋体" w:hAnsi="宋体" w:eastAsia="宋体" w:cs="宋体"/>
          <w:i w:val="0"/>
          <w:iCs w:val="0"/>
          <w:caps w:val="0"/>
          <w:color w:val="auto"/>
          <w:spacing w:val="0"/>
          <w:sz w:val="24"/>
          <w:szCs w:val="24"/>
          <w:highlight w:val="none"/>
        </w:rPr>
      </w:pPr>
      <w:r>
        <w:rPr>
          <w:rStyle w:val="9"/>
          <w:rFonts w:hint="eastAsia" w:ascii="宋体" w:hAnsi="宋体" w:eastAsia="宋体" w:cs="宋体"/>
          <w:i w:val="0"/>
          <w:iCs w:val="0"/>
          <w:caps w:val="0"/>
          <w:color w:val="auto"/>
          <w:spacing w:val="0"/>
          <w:sz w:val="24"/>
          <w:szCs w:val="24"/>
          <w:highlight w:val="none"/>
        </w:rPr>
        <w:t>3.5.3生活垃圾转运站管理要求</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1、为确保垃圾转运站作业中的安全，避免发生事故，特制定如下操作规定：</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（1）开场时间：5:00-20:00</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2）垃圾转运操作工应经培训方可上岗，操作者应了解机械的结构和性能，熟悉作业规程。作业前必须全面检查设备各部件的安全性能，保证设备正常，不准带病作业，作业结束后所有设备应全部检查一次，安全置放。</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（3）作业时，在翻斗活动范围内不得站有人，以防发生安全事故；修理时，若人员必须进入，翻斗必须固定；在未切断电源的情况下，任何人不得进入垃圾机腔体内。</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（4）在操作过程中，如遇到任何事故或突发事件，均应按“急停”扭立即停车。</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（5）电器箱，行程开关等电气元件应注意保护，不得任意拆弄或用水冲洗；垃圾机滑道、销轴等润滑点，应每周加点注润滑脂（油）。</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（6）油箱中的液压油低压油标时，应及时补充，液压油必须通过滤网进入油箱。</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（7）液压系统最高油压，不得任意调整溢流阀。</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（8）严禁垃圾机对准屋立柱停放，以防事故发生；垃圾机工作完毕后，应全部关闭电源，电器箱锁上。</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（9）设备注意保养，出现故障及时维修。</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2、为了垃圾转运站管理工作的规范化、制度化、确保转运站正常运转，制定本规定：</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（1）垃圾转运站内外卫生责任区域应保持整洁，无杂物，周边地面和绿化带无垃圾。</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（2）垃圾转运站、管理房内须做到卫生整洁，门窗、墙面、天花板无灰尘、无蜘蛛网、无乱涂乱画现象。</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（3）垃圾中转站内的垃圾，保证日产日清，不留垃圾过夜，且所有垃圾必须经过压缩处理。</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（4）垃圾转运站内管理制度、操作规程应上墙，操作人员须穿着工作服上岗操作，工作服保持整洁。</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（5）保证垃圾运输车经常冲洗，保持车身清洁，垃圾中转站每天不少于两次冲洗，要保持室内外卫生整洁，下水道保持畅通，池内无积水，要打药灭蝇和喷撒空气清洁剂，保持垃圾中转站周围无臭、无味。</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（6）垃圾转运站内垃圾机器设备及箱体应保持外观整洁。地面无垃圾、无灰尘、无油污。</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（7）垃圾转运站工作人员须定期消毒、灭蚊蝇、灭鼠工作。根据情况、季节适当增加消杀次数，保持转运站内环境卫生。</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（8）垃圾转运站工作人员须严格把握垃圾箱体容积。严禁</w:t>
      </w:r>
      <w:r>
        <w:rPr>
          <w:rFonts w:hint="eastAsia" w:ascii="宋体" w:hAnsi="宋体" w:cs="宋体"/>
          <w:i w:val="0"/>
          <w:iCs w:val="0"/>
          <w:caps w:val="0"/>
          <w:color w:val="auto"/>
          <w:spacing w:val="0"/>
          <w:sz w:val="24"/>
          <w:szCs w:val="24"/>
          <w:highlight w:val="none"/>
          <w:lang w:eastAsia="zh-CN"/>
        </w:rPr>
        <w:t>垃圾</w:t>
      </w:r>
      <w:r>
        <w:rPr>
          <w:rFonts w:hint="eastAsia" w:ascii="宋体" w:hAnsi="宋体" w:eastAsia="宋体" w:cs="宋体"/>
          <w:i w:val="0"/>
          <w:iCs w:val="0"/>
          <w:caps w:val="0"/>
          <w:color w:val="auto"/>
          <w:spacing w:val="0"/>
          <w:sz w:val="24"/>
          <w:szCs w:val="24"/>
          <w:highlight w:val="none"/>
        </w:rPr>
        <w:t>满溢，垃圾箱满后立即停止使用。</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（9）垃圾转运站各项设施应做到完好无损和有效运转。发现问题及有故障苗头应及时上报。</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（10）垃圾转运站管理人员应做到用水、用电安全。不得乱接乱拉电线和使用与转运站无关的电器。</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（11）垃圾转运站应严格遵守开放时间，工作人员不得擅自离岗，必须严格遵守作息时间和交接班制度。</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（12）垃圾转运站工作人员须自行操作机台，严禁非工作人员操作。</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（13）垃圾转运站工作人员因工作不到位违反上述规定的，将按奖惩制度进行扣分，违章操作造成经费损失的，要原价赔偿。</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firstLine="482" w:firstLineChars="200"/>
        <w:textAlignment w:val="auto"/>
        <w:rPr>
          <w:rFonts w:hint="eastAsia" w:ascii="宋体" w:hAnsi="宋体" w:eastAsia="宋体" w:cs="宋体"/>
          <w:i w:val="0"/>
          <w:iCs w:val="0"/>
          <w:caps w:val="0"/>
          <w:color w:val="auto"/>
          <w:spacing w:val="0"/>
          <w:sz w:val="24"/>
          <w:szCs w:val="24"/>
          <w:highlight w:val="none"/>
        </w:rPr>
      </w:pPr>
      <w:r>
        <w:rPr>
          <w:rStyle w:val="9"/>
          <w:rFonts w:hint="eastAsia" w:ascii="宋体" w:hAnsi="宋体" w:eastAsia="宋体" w:cs="宋体"/>
          <w:i w:val="0"/>
          <w:iCs w:val="0"/>
          <w:caps w:val="0"/>
          <w:color w:val="auto"/>
          <w:spacing w:val="0"/>
          <w:sz w:val="24"/>
          <w:szCs w:val="24"/>
          <w:highlight w:val="none"/>
        </w:rPr>
        <w:t>3.6、仙游县郊位镇环卫一体化服务项目工作范围</w:t>
      </w:r>
      <w:r>
        <w:rPr>
          <w:rStyle w:val="9"/>
          <w:rFonts w:hint="eastAsia" w:ascii="宋体" w:hAnsi="宋体" w:cs="宋体"/>
          <w:i w:val="0"/>
          <w:iCs w:val="0"/>
          <w:caps w:val="0"/>
          <w:color w:val="auto"/>
          <w:spacing w:val="0"/>
          <w:sz w:val="24"/>
          <w:szCs w:val="24"/>
          <w:highlight w:val="none"/>
          <w:lang w:eastAsia="zh-CN"/>
        </w:rPr>
        <w:t>（</w:t>
      </w:r>
      <w:r>
        <w:rPr>
          <w:rStyle w:val="9"/>
          <w:rFonts w:hint="eastAsia" w:ascii="宋体" w:hAnsi="宋体" w:cs="宋体"/>
          <w:i w:val="0"/>
          <w:iCs w:val="0"/>
          <w:caps w:val="0"/>
          <w:color w:val="auto"/>
          <w:spacing w:val="0"/>
          <w:sz w:val="24"/>
          <w:szCs w:val="24"/>
          <w:highlight w:val="none"/>
          <w:lang w:val="en-US" w:eastAsia="zh-CN"/>
        </w:rPr>
        <w:t>评分第12项）</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firstLine="482" w:firstLineChars="200"/>
        <w:textAlignment w:val="auto"/>
        <w:rPr>
          <w:rFonts w:hint="eastAsia" w:ascii="宋体" w:hAnsi="宋体" w:eastAsia="宋体" w:cs="宋体"/>
          <w:i w:val="0"/>
          <w:iCs w:val="0"/>
          <w:caps w:val="0"/>
          <w:color w:val="auto"/>
          <w:spacing w:val="0"/>
          <w:sz w:val="24"/>
          <w:szCs w:val="24"/>
          <w:highlight w:val="none"/>
        </w:rPr>
      </w:pPr>
      <w:r>
        <w:rPr>
          <w:rStyle w:val="9"/>
          <w:rFonts w:hint="eastAsia" w:ascii="宋体" w:hAnsi="宋体" w:eastAsia="宋体" w:cs="宋体"/>
          <w:i w:val="0"/>
          <w:iCs w:val="0"/>
          <w:caps w:val="0"/>
          <w:color w:val="auto"/>
          <w:spacing w:val="0"/>
          <w:sz w:val="24"/>
          <w:szCs w:val="24"/>
          <w:highlight w:val="none"/>
        </w:rPr>
        <w:t>3.6.1集镇作业、324国道、省道范围</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①集镇作业、324国道、省道范围</w:t>
      </w:r>
    </w:p>
    <w:tbl>
      <w:tblPr>
        <w:tblStyle w:val="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75"/>
        <w:gridCol w:w="1748"/>
        <w:gridCol w:w="1601"/>
        <w:gridCol w:w="1662"/>
        <w:gridCol w:w="937"/>
        <w:gridCol w:w="1207"/>
        <w:gridCol w:w="17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87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shd w:val="clear"/>
              <w:kinsoku/>
              <w:wordWrap/>
              <w:overflowPunct/>
              <w:topLinePunct w:val="0"/>
              <w:autoSpaceDE/>
              <w:autoSpaceDN/>
              <w:bidi w:val="0"/>
              <w:snapToGrid/>
              <w:spacing w:line="40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序号</w:t>
            </w:r>
          </w:p>
        </w:tc>
        <w:tc>
          <w:tcPr>
            <w:tcW w:w="1748"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shd w:val="clear"/>
              <w:kinsoku/>
              <w:wordWrap/>
              <w:overflowPunct/>
              <w:topLinePunct w:val="0"/>
              <w:autoSpaceDE/>
              <w:autoSpaceDN/>
              <w:bidi w:val="0"/>
              <w:snapToGrid/>
              <w:spacing w:line="40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道路简称</w:t>
            </w:r>
          </w:p>
        </w:tc>
        <w:tc>
          <w:tcPr>
            <w:tcW w:w="1601"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shd w:val="clear"/>
              <w:kinsoku/>
              <w:wordWrap/>
              <w:overflowPunct/>
              <w:topLinePunct w:val="0"/>
              <w:autoSpaceDE/>
              <w:autoSpaceDN/>
              <w:bidi w:val="0"/>
              <w:snapToGrid/>
              <w:spacing w:line="40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起点名称</w:t>
            </w:r>
          </w:p>
        </w:tc>
        <w:tc>
          <w:tcPr>
            <w:tcW w:w="1662"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shd w:val="clear"/>
              <w:kinsoku/>
              <w:wordWrap/>
              <w:overflowPunct/>
              <w:topLinePunct w:val="0"/>
              <w:autoSpaceDE/>
              <w:autoSpaceDN/>
              <w:bidi w:val="0"/>
              <w:snapToGrid/>
              <w:spacing w:line="40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止点名称</w:t>
            </w:r>
          </w:p>
        </w:tc>
        <w:tc>
          <w:tcPr>
            <w:tcW w:w="93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shd w:val="clear"/>
              <w:kinsoku/>
              <w:wordWrap/>
              <w:overflowPunct/>
              <w:topLinePunct w:val="0"/>
              <w:autoSpaceDE/>
              <w:autoSpaceDN/>
              <w:bidi w:val="0"/>
              <w:snapToGrid/>
              <w:spacing w:line="40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道路长度（米）</w:t>
            </w:r>
          </w:p>
        </w:tc>
        <w:tc>
          <w:tcPr>
            <w:tcW w:w="120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shd w:val="clear"/>
              <w:kinsoku/>
              <w:wordWrap/>
              <w:overflowPunct/>
              <w:topLinePunct w:val="0"/>
              <w:autoSpaceDE/>
              <w:autoSpaceDN/>
              <w:bidi w:val="0"/>
              <w:snapToGrid/>
              <w:spacing w:line="40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道路宽度（米）</w:t>
            </w:r>
          </w:p>
        </w:tc>
        <w:tc>
          <w:tcPr>
            <w:tcW w:w="1726"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shd w:val="clear"/>
              <w:kinsoku/>
              <w:wordWrap/>
              <w:overflowPunct/>
              <w:topLinePunct w:val="0"/>
              <w:autoSpaceDE/>
              <w:autoSpaceDN/>
              <w:bidi w:val="0"/>
              <w:snapToGrid/>
              <w:spacing w:line="40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87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shd w:val="clear"/>
              <w:kinsoku/>
              <w:wordWrap/>
              <w:overflowPunct/>
              <w:topLinePunct w:val="0"/>
              <w:autoSpaceDE/>
              <w:autoSpaceDN/>
              <w:bidi w:val="0"/>
              <w:snapToGrid/>
              <w:spacing w:line="40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748"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shd w:val="clear"/>
              <w:kinsoku/>
              <w:wordWrap/>
              <w:overflowPunct/>
              <w:topLinePunct w:val="0"/>
              <w:autoSpaceDE/>
              <w:autoSpaceDN/>
              <w:bidi w:val="0"/>
              <w:snapToGrid/>
              <w:spacing w:line="40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承德巷</w:t>
            </w:r>
          </w:p>
        </w:tc>
        <w:tc>
          <w:tcPr>
            <w:tcW w:w="1601"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shd w:val="clear"/>
              <w:kinsoku/>
              <w:wordWrap/>
              <w:overflowPunct/>
              <w:topLinePunct w:val="0"/>
              <w:autoSpaceDE/>
              <w:autoSpaceDN/>
              <w:bidi w:val="0"/>
              <w:snapToGrid/>
              <w:spacing w:line="40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仙港大道出口</w:t>
            </w:r>
          </w:p>
        </w:tc>
        <w:tc>
          <w:tcPr>
            <w:tcW w:w="1662"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shd w:val="clear"/>
              <w:kinsoku/>
              <w:wordWrap/>
              <w:overflowPunct/>
              <w:topLinePunct w:val="0"/>
              <w:autoSpaceDE/>
              <w:autoSpaceDN/>
              <w:bidi w:val="0"/>
              <w:snapToGrid/>
              <w:spacing w:line="40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324国道地磅</w:t>
            </w:r>
          </w:p>
        </w:tc>
        <w:tc>
          <w:tcPr>
            <w:tcW w:w="93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shd w:val="clear"/>
              <w:kinsoku/>
              <w:wordWrap/>
              <w:overflowPunct/>
              <w:topLinePunct w:val="0"/>
              <w:autoSpaceDE/>
              <w:autoSpaceDN/>
              <w:bidi w:val="0"/>
              <w:snapToGrid/>
              <w:spacing w:line="40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320</w:t>
            </w:r>
          </w:p>
        </w:tc>
        <w:tc>
          <w:tcPr>
            <w:tcW w:w="120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shd w:val="clear"/>
              <w:kinsoku/>
              <w:wordWrap/>
              <w:overflowPunct/>
              <w:topLinePunct w:val="0"/>
              <w:autoSpaceDE/>
              <w:autoSpaceDN/>
              <w:bidi w:val="0"/>
              <w:snapToGrid/>
              <w:spacing w:line="40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w:t>
            </w:r>
          </w:p>
        </w:tc>
        <w:tc>
          <w:tcPr>
            <w:tcW w:w="1726"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shd w:val="clear"/>
              <w:kinsoku/>
              <w:wordWrap/>
              <w:overflowPunct/>
              <w:topLinePunct w:val="0"/>
              <w:autoSpaceDE/>
              <w:autoSpaceDN/>
              <w:bidi w:val="0"/>
              <w:snapToGrid/>
              <w:spacing w:line="40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集镇作业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5" w:hRule="atLeast"/>
        </w:trPr>
        <w:tc>
          <w:tcPr>
            <w:tcW w:w="87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shd w:val="clear"/>
              <w:kinsoku/>
              <w:wordWrap/>
              <w:overflowPunct/>
              <w:topLinePunct w:val="0"/>
              <w:autoSpaceDE/>
              <w:autoSpaceDN/>
              <w:bidi w:val="0"/>
              <w:snapToGrid/>
              <w:spacing w:line="40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1748"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shd w:val="clear"/>
              <w:kinsoku/>
              <w:wordWrap/>
              <w:overflowPunct/>
              <w:topLinePunct w:val="0"/>
              <w:autoSpaceDE/>
              <w:autoSpaceDN/>
              <w:bidi w:val="0"/>
              <w:snapToGrid/>
              <w:spacing w:line="40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麟凤路（含四道中学门口）</w:t>
            </w:r>
          </w:p>
        </w:tc>
        <w:tc>
          <w:tcPr>
            <w:tcW w:w="1601"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shd w:val="clear"/>
              <w:kinsoku/>
              <w:wordWrap/>
              <w:overflowPunct/>
              <w:topLinePunct w:val="0"/>
              <w:autoSpaceDE/>
              <w:autoSpaceDN/>
              <w:bidi w:val="0"/>
              <w:snapToGrid/>
              <w:spacing w:line="40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四道中学</w:t>
            </w:r>
          </w:p>
        </w:tc>
        <w:tc>
          <w:tcPr>
            <w:tcW w:w="1662"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shd w:val="clear"/>
              <w:kinsoku/>
              <w:wordWrap/>
              <w:overflowPunct/>
              <w:topLinePunct w:val="0"/>
              <w:autoSpaceDE/>
              <w:autoSpaceDN/>
              <w:bidi w:val="0"/>
              <w:snapToGrid/>
              <w:spacing w:line="40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计生服务所</w:t>
            </w:r>
          </w:p>
        </w:tc>
        <w:tc>
          <w:tcPr>
            <w:tcW w:w="93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shd w:val="clear"/>
              <w:kinsoku/>
              <w:wordWrap/>
              <w:overflowPunct/>
              <w:topLinePunct w:val="0"/>
              <w:autoSpaceDE/>
              <w:autoSpaceDN/>
              <w:bidi w:val="0"/>
              <w:snapToGrid/>
              <w:spacing w:line="40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720</w:t>
            </w:r>
          </w:p>
        </w:tc>
        <w:tc>
          <w:tcPr>
            <w:tcW w:w="120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shd w:val="clear"/>
              <w:kinsoku/>
              <w:wordWrap/>
              <w:overflowPunct/>
              <w:topLinePunct w:val="0"/>
              <w:autoSpaceDE/>
              <w:autoSpaceDN/>
              <w:bidi w:val="0"/>
              <w:snapToGrid/>
              <w:spacing w:line="40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w:t>
            </w:r>
          </w:p>
        </w:tc>
        <w:tc>
          <w:tcPr>
            <w:tcW w:w="1726"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shd w:val="clear"/>
              <w:kinsoku/>
              <w:wordWrap/>
              <w:overflowPunct/>
              <w:topLinePunct w:val="0"/>
              <w:autoSpaceDE/>
              <w:autoSpaceDN/>
              <w:bidi w:val="0"/>
              <w:snapToGrid/>
              <w:spacing w:line="40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集镇作业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87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shd w:val="clear"/>
              <w:kinsoku/>
              <w:wordWrap/>
              <w:overflowPunct/>
              <w:topLinePunct w:val="0"/>
              <w:autoSpaceDE/>
              <w:autoSpaceDN/>
              <w:bidi w:val="0"/>
              <w:snapToGrid/>
              <w:spacing w:line="40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1748"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shd w:val="clear"/>
              <w:kinsoku/>
              <w:wordWrap/>
              <w:overflowPunct/>
              <w:topLinePunct w:val="0"/>
              <w:autoSpaceDE/>
              <w:autoSpaceDN/>
              <w:bidi w:val="0"/>
              <w:snapToGrid/>
              <w:spacing w:line="40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朝阳街</w:t>
            </w:r>
          </w:p>
        </w:tc>
        <w:tc>
          <w:tcPr>
            <w:tcW w:w="1601"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shd w:val="clear"/>
              <w:kinsoku/>
              <w:wordWrap/>
              <w:overflowPunct/>
              <w:topLinePunct w:val="0"/>
              <w:autoSpaceDE/>
              <w:autoSpaceDN/>
              <w:bidi w:val="0"/>
              <w:snapToGrid/>
              <w:spacing w:line="40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法院</w:t>
            </w:r>
          </w:p>
        </w:tc>
        <w:tc>
          <w:tcPr>
            <w:tcW w:w="1662"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shd w:val="clear"/>
              <w:kinsoku/>
              <w:wordWrap/>
              <w:overflowPunct/>
              <w:topLinePunct w:val="0"/>
              <w:autoSpaceDE/>
              <w:autoSpaceDN/>
              <w:bidi w:val="0"/>
              <w:snapToGrid/>
              <w:spacing w:line="40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邮政银行</w:t>
            </w:r>
          </w:p>
        </w:tc>
        <w:tc>
          <w:tcPr>
            <w:tcW w:w="93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shd w:val="clear"/>
              <w:kinsoku/>
              <w:wordWrap/>
              <w:overflowPunct/>
              <w:topLinePunct w:val="0"/>
              <w:autoSpaceDE/>
              <w:autoSpaceDN/>
              <w:bidi w:val="0"/>
              <w:snapToGrid/>
              <w:spacing w:line="40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440</w:t>
            </w:r>
          </w:p>
        </w:tc>
        <w:tc>
          <w:tcPr>
            <w:tcW w:w="120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shd w:val="clear"/>
              <w:kinsoku/>
              <w:wordWrap/>
              <w:overflowPunct/>
              <w:topLinePunct w:val="0"/>
              <w:autoSpaceDE/>
              <w:autoSpaceDN/>
              <w:bidi w:val="0"/>
              <w:snapToGrid/>
              <w:spacing w:line="40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w:t>
            </w:r>
          </w:p>
        </w:tc>
        <w:tc>
          <w:tcPr>
            <w:tcW w:w="1726"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shd w:val="clear"/>
              <w:kinsoku/>
              <w:wordWrap/>
              <w:overflowPunct/>
              <w:topLinePunct w:val="0"/>
              <w:autoSpaceDE/>
              <w:autoSpaceDN/>
              <w:bidi w:val="0"/>
              <w:snapToGrid/>
              <w:spacing w:line="40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集镇作业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7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shd w:val="clear"/>
              <w:kinsoku/>
              <w:wordWrap/>
              <w:overflowPunct/>
              <w:topLinePunct w:val="0"/>
              <w:autoSpaceDE/>
              <w:autoSpaceDN/>
              <w:bidi w:val="0"/>
              <w:snapToGrid/>
              <w:spacing w:line="40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1748"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shd w:val="clear"/>
              <w:kinsoku/>
              <w:wordWrap/>
              <w:overflowPunct/>
              <w:topLinePunct w:val="0"/>
              <w:autoSpaceDE/>
              <w:autoSpaceDN/>
              <w:bidi w:val="0"/>
              <w:snapToGrid/>
              <w:spacing w:line="40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三和街</w:t>
            </w:r>
          </w:p>
        </w:tc>
        <w:tc>
          <w:tcPr>
            <w:tcW w:w="1601"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shd w:val="clear"/>
              <w:kinsoku/>
              <w:wordWrap/>
              <w:overflowPunct/>
              <w:topLinePunct w:val="0"/>
              <w:autoSpaceDE/>
              <w:autoSpaceDN/>
              <w:bidi w:val="0"/>
              <w:snapToGrid/>
              <w:spacing w:line="40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三和街红绿灯</w:t>
            </w:r>
          </w:p>
        </w:tc>
        <w:tc>
          <w:tcPr>
            <w:tcW w:w="1662"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shd w:val="clear"/>
              <w:kinsoku/>
              <w:wordWrap/>
              <w:overflowPunct/>
              <w:topLinePunct w:val="0"/>
              <w:autoSpaceDE/>
              <w:autoSpaceDN/>
              <w:bidi w:val="0"/>
              <w:snapToGrid/>
              <w:spacing w:line="40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圣岭红绿灯</w:t>
            </w:r>
          </w:p>
        </w:tc>
        <w:tc>
          <w:tcPr>
            <w:tcW w:w="93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shd w:val="clear"/>
              <w:kinsoku/>
              <w:wordWrap/>
              <w:overflowPunct/>
              <w:topLinePunct w:val="0"/>
              <w:autoSpaceDE/>
              <w:autoSpaceDN/>
              <w:bidi w:val="0"/>
              <w:snapToGrid/>
              <w:spacing w:line="40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1300</w:t>
            </w:r>
          </w:p>
        </w:tc>
        <w:tc>
          <w:tcPr>
            <w:tcW w:w="120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shd w:val="clear"/>
              <w:kinsoku/>
              <w:wordWrap/>
              <w:overflowPunct/>
              <w:topLinePunct w:val="0"/>
              <w:autoSpaceDE/>
              <w:autoSpaceDN/>
              <w:bidi w:val="0"/>
              <w:snapToGrid/>
              <w:spacing w:line="40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w:t>
            </w:r>
          </w:p>
        </w:tc>
        <w:tc>
          <w:tcPr>
            <w:tcW w:w="1726"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shd w:val="clear"/>
              <w:kinsoku/>
              <w:wordWrap/>
              <w:overflowPunct/>
              <w:topLinePunct w:val="0"/>
              <w:autoSpaceDE/>
              <w:autoSpaceDN/>
              <w:bidi w:val="0"/>
              <w:snapToGrid/>
              <w:spacing w:line="40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集镇作业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7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shd w:val="clear"/>
              <w:kinsoku/>
              <w:wordWrap/>
              <w:overflowPunct/>
              <w:topLinePunct w:val="0"/>
              <w:autoSpaceDE/>
              <w:autoSpaceDN/>
              <w:bidi w:val="0"/>
              <w:snapToGrid/>
              <w:spacing w:line="40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1748"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shd w:val="clear"/>
              <w:kinsoku/>
              <w:wordWrap/>
              <w:overflowPunct/>
              <w:topLinePunct w:val="0"/>
              <w:autoSpaceDE/>
              <w:autoSpaceDN/>
              <w:bidi w:val="0"/>
              <w:snapToGrid/>
              <w:spacing w:line="40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好易购超市</w:t>
            </w:r>
          </w:p>
        </w:tc>
        <w:tc>
          <w:tcPr>
            <w:tcW w:w="1601"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shd w:val="clear"/>
              <w:kinsoku/>
              <w:wordWrap/>
              <w:overflowPunct/>
              <w:topLinePunct w:val="0"/>
              <w:autoSpaceDE/>
              <w:autoSpaceDN/>
              <w:bidi w:val="0"/>
              <w:snapToGrid/>
              <w:spacing w:line="40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好易购市场</w:t>
            </w:r>
          </w:p>
        </w:tc>
        <w:tc>
          <w:tcPr>
            <w:tcW w:w="1662"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shd w:val="clear"/>
              <w:kinsoku/>
              <w:wordWrap/>
              <w:overflowPunct/>
              <w:topLinePunct w:val="0"/>
              <w:autoSpaceDE/>
              <w:autoSpaceDN/>
              <w:bidi w:val="0"/>
              <w:snapToGrid/>
              <w:spacing w:line="40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好易购市场</w:t>
            </w:r>
          </w:p>
        </w:tc>
        <w:tc>
          <w:tcPr>
            <w:tcW w:w="93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shd w:val="clear"/>
              <w:kinsoku/>
              <w:wordWrap/>
              <w:overflowPunct/>
              <w:topLinePunct w:val="0"/>
              <w:autoSpaceDE/>
              <w:autoSpaceDN/>
              <w:bidi w:val="0"/>
              <w:snapToGrid/>
              <w:spacing w:line="40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350</w:t>
            </w:r>
          </w:p>
        </w:tc>
        <w:tc>
          <w:tcPr>
            <w:tcW w:w="120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shd w:val="clear"/>
              <w:kinsoku/>
              <w:wordWrap/>
              <w:overflowPunct/>
              <w:topLinePunct w:val="0"/>
              <w:autoSpaceDE/>
              <w:autoSpaceDN/>
              <w:bidi w:val="0"/>
              <w:snapToGrid/>
              <w:spacing w:line="40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1726"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shd w:val="clear"/>
              <w:kinsoku/>
              <w:wordWrap/>
              <w:overflowPunct/>
              <w:topLinePunct w:val="0"/>
              <w:autoSpaceDE/>
              <w:autoSpaceDN/>
              <w:bidi w:val="0"/>
              <w:snapToGrid/>
              <w:spacing w:line="40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集镇作业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87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shd w:val="clear"/>
              <w:kinsoku/>
              <w:wordWrap/>
              <w:overflowPunct/>
              <w:topLinePunct w:val="0"/>
              <w:autoSpaceDE/>
              <w:autoSpaceDN/>
              <w:bidi w:val="0"/>
              <w:snapToGrid/>
              <w:spacing w:line="40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w:t>
            </w:r>
          </w:p>
        </w:tc>
        <w:tc>
          <w:tcPr>
            <w:tcW w:w="1748"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shd w:val="clear"/>
              <w:kinsoku/>
              <w:wordWrap/>
              <w:overflowPunct/>
              <w:topLinePunct w:val="0"/>
              <w:autoSpaceDE/>
              <w:autoSpaceDN/>
              <w:bidi w:val="0"/>
              <w:snapToGrid/>
              <w:spacing w:line="40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中心市场</w:t>
            </w:r>
          </w:p>
        </w:tc>
        <w:tc>
          <w:tcPr>
            <w:tcW w:w="1601"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shd w:val="clear"/>
              <w:kinsoku/>
              <w:wordWrap/>
              <w:overflowPunct/>
              <w:topLinePunct w:val="0"/>
              <w:autoSpaceDE/>
              <w:autoSpaceDN/>
              <w:bidi w:val="0"/>
              <w:snapToGrid/>
              <w:spacing w:line="40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中心市场</w:t>
            </w:r>
          </w:p>
        </w:tc>
        <w:tc>
          <w:tcPr>
            <w:tcW w:w="1662"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shd w:val="clear"/>
              <w:kinsoku/>
              <w:wordWrap/>
              <w:overflowPunct/>
              <w:topLinePunct w:val="0"/>
              <w:autoSpaceDE/>
              <w:autoSpaceDN/>
              <w:bidi w:val="0"/>
              <w:snapToGrid/>
              <w:spacing w:line="40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中心市场</w:t>
            </w:r>
          </w:p>
        </w:tc>
        <w:tc>
          <w:tcPr>
            <w:tcW w:w="93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shd w:val="clear"/>
              <w:kinsoku/>
              <w:wordWrap/>
              <w:overflowPunct/>
              <w:topLinePunct w:val="0"/>
              <w:autoSpaceDE/>
              <w:autoSpaceDN/>
              <w:bidi w:val="0"/>
              <w:snapToGrid/>
              <w:spacing w:line="40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100</w:t>
            </w:r>
          </w:p>
        </w:tc>
        <w:tc>
          <w:tcPr>
            <w:tcW w:w="120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shd w:val="clear"/>
              <w:kinsoku/>
              <w:wordWrap/>
              <w:overflowPunct/>
              <w:topLinePunct w:val="0"/>
              <w:autoSpaceDE/>
              <w:autoSpaceDN/>
              <w:bidi w:val="0"/>
              <w:snapToGrid/>
              <w:spacing w:line="40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1726"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shd w:val="clear"/>
              <w:kinsoku/>
              <w:wordWrap/>
              <w:overflowPunct/>
              <w:topLinePunct w:val="0"/>
              <w:autoSpaceDE/>
              <w:autoSpaceDN/>
              <w:bidi w:val="0"/>
              <w:snapToGrid/>
              <w:spacing w:line="40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集镇作业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5" w:hRule="atLeast"/>
        </w:trPr>
        <w:tc>
          <w:tcPr>
            <w:tcW w:w="87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shd w:val="clear"/>
              <w:kinsoku/>
              <w:wordWrap/>
              <w:overflowPunct/>
              <w:topLinePunct w:val="0"/>
              <w:autoSpaceDE/>
              <w:autoSpaceDN/>
              <w:bidi w:val="0"/>
              <w:snapToGrid/>
              <w:spacing w:line="40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w:t>
            </w:r>
          </w:p>
        </w:tc>
        <w:tc>
          <w:tcPr>
            <w:tcW w:w="1748"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shd w:val="clear"/>
              <w:kinsoku/>
              <w:wordWrap/>
              <w:overflowPunct/>
              <w:topLinePunct w:val="0"/>
              <w:autoSpaceDE/>
              <w:autoSpaceDN/>
              <w:bidi w:val="0"/>
              <w:snapToGrid/>
              <w:spacing w:line="40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旧市场汇源路</w:t>
            </w:r>
          </w:p>
        </w:tc>
        <w:tc>
          <w:tcPr>
            <w:tcW w:w="1601"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shd w:val="clear"/>
              <w:kinsoku/>
              <w:wordWrap/>
              <w:overflowPunct/>
              <w:topLinePunct w:val="0"/>
              <w:autoSpaceDE/>
              <w:autoSpaceDN/>
              <w:bidi w:val="0"/>
              <w:snapToGrid/>
              <w:spacing w:line="40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旧市场汇源路</w:t>
            </w:r>
          </w:p>
        </w:tc>
        <w:tc>
          <w:tcPr>
            <w:tcW w:w="1662"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shd w:val="clear"/>
              <w:kinsoku/>
              <w:wordWrap/>
              <w:overflowPunct/>
              <w:topLinePunct w:val="0"/>
              <w:autoSpaceDE/>
              <w:autoSpaceDN/>
              <w:bidi w:val="0"/>
              <w:snapToGrid/>
              <w:spacing w:line="40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旧市场汇源路</w:t>
            </w:r>
          </w:p>
        </w:tc>
        <w:tc>
          <w:tcPr>
            <w:tcW w:w="93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shd w:val="clear"/>
              <w:kinsoku/>
              <w:wordWrap/>
              <w:overflowPunct/>
              <w:topLinePunct w:val="0"/>
              <w:autoSpaceDE/>
              <w:autoSpaceDN/>
              <w:bidi w:val="0"/>
              <w:snapToGrid/>
              <w:spacing w:line="40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100</w:t>
            </w:r>
          </w:p>
        </w:tc>
        <w:tc>
          <w:tcPr>
            <w:tcW w:w="120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shd w:val="clear"/>
              <w:kinsoku/>
              <w:wordWrap/>
              <w:overflowPunct/>
              <w:topLinePunct w:val="0"/>
              <w:autoSpaceDE/>
              <w:autoSpaceDN/>
              <w:bidi w:val="0"/>
              <w:snapToGrid/>
              <w:spacing w:line="40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w:t>
            </w:r>
          </w:p>
        </w:tc>
        <w:tc>
          <w:tcPr>
            <w:tcW w:w="1726"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shd w:val="clear"/>
              <w:kinsoku/>
              <w:wordWrap/>
              <w:overflowPunct/>
              <w:topLinePunct w:val="0"/>
              <w:autoSpaceDE/>
              <w:autoSpaceDN/>
              <w:bidi w:val="0"/>
              <w:snapToGrid/>
              <w:spacing w:line="40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集镇作业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87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shd w:val="clear"/>
              <w:kinsoku/>
              <w:wordWrap/>
              <w:overflowPunct/>
              <w:topLinePunct w:val="0"/>
              <w:autoSpaceDE/>
              <w:autoSpaceDN/>
              <w:bidi w:val="0"/>
              <w:snapToGrid/>
              <w:spacing w:line="40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w:t>
            </w:r>
          </w:p>
        </w:tc>
        <w:tc>
          <w:tcPr>
            <w:tcW w:w="1748"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shd w:val="clear"/>
              <w:kinsoku/>
              <w:wordWrap/>
              <w:overflowPunct/>
              <w:topLinePunct w:val="0"/>
              <w:autoSpaceDE/>
              <w:autoSpaceDN/>
              <w:bidi w:val="0"/>
              <w:snapToGrid/>
              <w:spacing w:line="40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圣岭街</w:t>
            </w:r>
          </w:p>
        </w:tc>
        <w:tc>
          <w:tcPr>
            <w:tcW w:w="1601"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shd w:val="clear"/>
              <w:kinsoku/>
              <w:wordWrap/>
              <w:overflowPunct/>
              <w:topLinePunct w:val="0"/>
              <w:autoSpaceDE/>
              <w:autoSpaceDN/>
              <w:bidi w:val="0"/>
              <w:snapToGrid/>
              <w:spacing w:line="40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车站红绿灯</w:t>
            </w:r>
          </w:p>
        </w:tc>
        <w:tc>
          <w:tcPr>
            <w:tcW w:w="1662"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shd w:val="clear"/>
              <w:kinsoku/>
              <w:wordWrap/>
              <w:overflowPunct/>
              <w:topLinePunct w:val="0"/>
              <w:autoSpaceDE/>
              <w:autoSpaceDN/>
              <w:bidi w:val="0"/>
              <w:snapToGrid/>
              <w:spacing w:line="40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圣岭红绿灯</w:t>
            </w:r>
          </w:p>
        </w:tc>
        <w:tc>
          <w:tcPr>
            <w:tcW w:w="93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shd w:val="clear"/>
              <w:kinsoku/>
              <w:wordWrap/>
              <w:overflowPunct/>
              <w:topLinePunct w:val="0"/>
              <w:autoSpaceDE/>
              <w:autoSpaceDN/>
              <w:bidi w:val="0"/>
              <w:snapToGrid/>
              <w:spacing w:line="40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1400</w:t>
            </w:r>
          </w:p>
        </w:tc>
        <w:tc>
          <w:tcPr>
            <w:tcW w:w="120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shd w:val="clear"/>
              <w:kinsoku/>
              <w:wordWrap/>
              <w:overflowPunct/>
              <w:topLinePunct w:val="0"/>
              <w:autoSpaceDE/>
              <w:autoSpaceDN/>
              <w:bidi w:val="0"/>
              <w:snapToGrid/>
              <w:spacing w:line="40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w:t>
            </w:r>
          </w:p>
        </w:tc>
        <w:tc>
          <w:tcPr>
            <w:tcW w:w="1726"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shd w:val="clear"/>
              <w:kinsoku/>
              <w:wordWrap/>
              <w:overflowPunct/>
              <w:topLinePunct w:val="0"/>
              <w:autoSpaceDE/>
              <w:autoSpaceDN/>
              <w:bidi w:val="0"/>
              <w:snapToGrid/>
              <w:spacing w:line="40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集镇作业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87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shd w:val="clear"/>
              <w:kinsoku/>
              <w:wordWrap/>
              <w:overflowPunct/>
              <w:topLinePunct w:val="0"/>
              <w:autoSpaceDE/>
              <w:autoSpaceDN/>
              <w:bidi w:val="0"/>
              <w:snapToGrid/>
              <w:spacing w:line="40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w:t>
            </w:r>
          </w:p>
        </w:tc>
        <w:tc>
          <w:tcPr>
            <w:tcW w:w="1748"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shd w:val="clear"/>
              <w:kinsoku/>
              <w:wordWrap/>
              <w:overflowPunct/>
              <w:topLinePunct w:val="0"/>
              <w:autoSpaceDE/>
              <w:autoSpaceDN/>
              <w:bidi w:val="0"/>
              <w:snapToGrid/>
              <w:spacing w:line="40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324国道</w:t>
            </w:r>
          </w:p>
        </w:tc>
        <w:tc>
          <w:tcPr>
            <w:tcW w:w="1601"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shd w:val="clear"/>
              <w:kinsoku/>
              <w:wordWrap/>
              <w:overflowPunct/>
              <w:topLinePunct w:val="0"/>
              <w:autoSpaceDE/>
              <w:autoSpaceDN/>
              <w:bidi w:val="0"/>
              <w:snapToGrid/>
              <w:spacing w:line="40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地磅</w:t>
            </w:r>
          </w:p>
        </w:tc>
        <w:tc>
          <w:tcPr>
            <w:tcW w:w="1662"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shd w:val="clear"/>
              <w:kinsoku/>
              <w:wordWrap/>
              <w:overflowPunct/>
              <w:topLinePunct w:val="0"/>
              <w:autoSpaceDE/>
              <w:autoSpaceDN/>
              <w:bidi w:val="0"/>
              <w:snapToGrid/>
              <w:spacing w:line="40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车站红绿灯</w:t>
            </w:r>
          </w:p>
        </w:tc>
        <w:tc>
          <w:tcPr>
            <w:tcW w:w="93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shd w:val="clear"/>
              <w:kinsoku/>
              <w:wordWrap/>
              <w:overflowPunct/>
              <w:topLinePunct w:val="0"/>
              <w:autoSpaceDE/>
              <w:autoSpaceDN/>
              <w:bidi w:val="0"/>
              <w:snapToGrid/>
              <w:spacing w:line="40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1420</w:t>
            </w:r>
          </w:p>
        </w:tc>
        <w:tc>
          <w:tcPr>
            <w:tcW w:w="120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shd w:val="clear"/>
              <w:kinsoku/>
              <w:wordWrap/>
              <w:overflowPunct/>
              <w:topLinePunct w:val="0"/>
              <w:autoSpaceDE/>
              <w:autoSpaceDN/>
              <w:bidi w:val="0"/>
              <w:snapToGrid/>
              <w:spacing w:line="40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24</w:t>
            </w:r>
          </w:p>
        </w:tc>
        <w:tc>
          <w:tcPr>
            <w:tcW w:w="1726"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shd w:val="clear"/>
              <w:kinsoku/>
              <w:wordWrap/>
              <w:overflowPunct/>
              <w:topLinePunct w:val="0"/>
              <w:autoSpaceDE/>
              <w:autoSpaceDN/>
              <w:bidi w:val="0"/>
              <w:snapToGrid/>
              <w:spacing w:line="40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集镇作业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87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shd w:val="clear"/>
              <w:kinsoku/>
              <w:wordWrap/>
              <w:overflowPunct/>
              <w:topLinePunct w:val="0"/>
              <w:autoSpaceDE/>
              <w:autoSpaceDN/>
              <w:bidi w:val="0"/>
              <w:snapToGrid/>
              <w:spacing w:line="40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w:t>
            </w:r>
          </w:p>
        </w:tc>
        <w:tc>
          <w:tcPr>
            <w:tcW w:w="1748"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shd w:val="clear"/>
              <w:kinsoku/>
              <w:wordWrap/>
              <w:overflowPunct/>
              <w:topLinePunct w:val="0"/>
              <w:autoSpaceDE/>
              <w:autoSpaceDN/>
              <w:bidi w:val="0"/>
              <w:snapToGrid/>
              <w:spacing w:line="40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324国道</w:t>
            </w:r>
          </w:p>
        </w:tc>
        <w:tc>
          <w:tcPr>
            <w:tcW w:w="1601"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shd w:val="clear"/>
              <w:kinsoku/>
              <w:wordWrap/>
              <w:overflowPunct/>
              <w:topLinePunct w:val="0"/>
              <w:autoSpaceDE/>
              <w:autoSpaceDN/>
              <w:bidi w:val="0"/>
              <w:snapToGrid/>
              <w:spacing w:line="40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车站红绿灯</w:t>
            </w:r>
          </w:p>
        </w:tc>
        <w:tc>
          <w:tcPr>
            <w:tcW w:w="1662"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shd w:val="clear"/>
              <w:kinsoku/>
              <w:wordWrap/>
              <w:overflowPunct/>
              <w:topLinePunct w:val="0"/>
              <w:autoSpaceDE/>
              <w:autoSpaceDN/>
              <w:bidi w:val="0"/>
              <w:snapToGrid/>
              <w:spacing w:line="40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邮政营业厅</w:t>
            </w:r>
          </w:p>
        </w:tc>
        <w:tc>
          <w:tcPr>
            <w:tcW w:w="93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shd w:val="clear"/>
              <w:kinsoku/>
              <w:wordWrap/>
              <w:overflowPunct/>
              <w:topLinePunct w:val="0"/>
              <w:autoSpaceDE/>
              <w:autoSpaceDN/>
              <w:bidi w:val="0"/>
              <w:snapToGrid/>
              <w:spacing w:line="40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620</w:t>
            </w:r>
          </w:p>
        </w:tc>
        <w:tc>
          <w:tcPr>
            <w:tcW w:w="120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shd w:val="clear"/>
              <w:kinsoku/>
              <w:wordWrap/>
              <w:overflowPunct/>
              <w:topLinePunct w:val="0"/>
              <w:autoSpaceDE/>
              <w:autoSpaceDN/>
              <w:bidi w:val="0"/>
              <w:snapToGrid/>
              <w:spacing w:line="40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24</w:t>
            </w:r>
          </w:p>
        </w:tc>
        <w:tc>
          <w:tcPr>
            <w:tcW w:w="1726"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shd w:val="clear"/>
              <w:kinsoku/>
              <w:wordWrap/>
              <w:overflowPunct/>
              <w:topLinePunct w:val="0"/>
              <w:autoSpaceDE/>
              <w:autoSpaceDN/>
              <w:bidi w:val="0"/>
              <w:snapToGrid/>
              <w:spacing w:line="40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集镇作业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87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shd w:val="clear"/>
              <w:kinsoku/>
              <w:wordWrap/>
              <w:overflowPunct/>
              <w:topLinePunct w:val="0"/>
              <w:autoSpaceDE/>
              <w:autoSpaceDN/>
              <w:bidi w:val="0"/>
              <w:snapToGrid/>
              <w:spacing w:line="40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w:t>
            </w:r>
          </w:p>
        </w:tc>
        <w:tc>
          <w:tcPr>
            <w:tcW w:w="1748"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shd w:val="clear"/>
              <w:kinsoku/>
              <w:wordWrap/>
              <w:overflowPunct/>
              <w:topLinePunct w:val="0"/>
              <w:autoSpaceDE/>
              <w:autoSpaceDN/>
              <w:bidi w:val="0"/>
              <w:snapToGrid/>
              <w:spacing w:line="40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324国道</w:t>
            </w:r>
          </w:p>
        </w:tc>
        <w:tc>
          <w:tcPr>
            <w:tcW w:w="1601"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shd w:val="clear"/>
              <w:kinsoku/>
              <w:wordWrap/>
              <w:overflowPunct/>
              <w:topLinePunct w:val="0"/>
              <w:autoSpaceDE/>
              <w:autoSpaceDN/>
              <w:bidi w:val="0"/>
              <w:snapToGrid/>
              <w:spacing w:line="40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长岭</w:t>
            </w:r>
          </w:p>
        </w:tc>
        <w:tc>
          <w:tcPr>
            <w:tcW w:w="1662"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shd w:val="clear"/>
              <w:kinsoku/>
              <w:wordWrap/>
              <w:overflowPunct/>
              <w:topLinePunct w:val="0"/>
              <w:autoSpaceDE/>
              <w:autoSpaceDN/>
              <w:bidi w:val="0"/>
              <w:snapToGrid/>
              <w:spacing w:line="40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三和街红绿灯</w:t>
            </w:r>
          </w:p>
        </w:tc>
        <w:tc>
          <w:tcPr>
            <w:tcW w:w="93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shd w:val="clear"/>
              <w:kinsoku/>
              <w:wordWrap/>
              <w:overflowPunct/>
              <w:topLinePunct w:val="0"/>
              <w:autoSpaceDE/>
              <w:autoSpaceDN/>
              <w:bidi w:val="0"/>
              <w:snapToGrid/>
              <w:spacing w:line="40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3300</w:t>
            </w:r>
          </w:p>
        </w:tc>
        <w:tc>
          <w:tcPr>
            <w:tcW w:w="120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shd w:val="clear"/>
              <w:kinsoku/>
              <w:wordWrap/>
              <w:overflowPunct/>
              <w:topLinePunct w:val="0"/>
              <w:autoSpaceDE/>
              <w:autoSpaceDN/>
              <w:bidi w:val="0"/>
              <w:snapToGrid/>
              <w:spacing w:line="40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24</w:t>
            </w:r>
          </w:p>
        </w:tc>
        <w:tc>
          <w:tcPr>
            <w:tcW w:w="1726"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shd w:val="clear"/>
              <w:kinsoku/>
              <w:wordWrap/>
              <w:overflowPunct/>
              <w:topLinePunct w:val="0"/>
              <w:autoSpaceDE/>
              <w:autoSpaceDN/>
              <w:bidi w:val="0"/>
              <w:snapToGrid/>
              <w:spacing w:line="400" w:lineRule="exact"/>
              <w:jc w:val="left"/>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7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shd w:val="clear"/>
              <w:kinsoku/>
              <w:wordWrap/>
              <w:overflowPunct/>
              <w:topLinePunct w:val="0"/>
              <w:autoSpaceDE/>
              <w:autoSpaceDN/>
              <w:bidi w:val="0"/>
              <w:snapToGrid/>
              <w:spacing w:line="40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w:t>
            </w:r>
          </w:p>
        </w:tc>
        <w:tc>
          <w:tcPr>
            <w:tcW w:w="1748"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shd w:val="clear"/>
              <w:kinsoku/>
              <w:wordWrap/>
              <w:overflowPunct/>
              <w:topLinePunct w:val="0"/>
              <w:autoSpaceDE/>
              <w:autoSpaceDN/>
              <w:bidi w:val="0"/>
              <w:snapToGrid/>
              <w:spacing w:line="40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省道306</w:t>
            </w:r>
          </w:p>
        </w:tc>
        <w:tc>
          <w:tcPr>
            <w:tcW w:w="1601"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shd w:val="clear"/>
              <w:kinsoku/>
              <w:wordWrap/>
              <w:overflowPunct/>
              <w:topLinePunct w:val="0"/>
              <w:autoSpaceDE/>
              <w:autoSpaceDN/>
              <w:bidi w:val="0"/>
              <w:snapToGrid/>
              <w:spacing w:line="40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西山村</w:t>
            </w:r>
          </w:p>
        </w:tc>
        <w:tc>
          <w:tcPr>
            <w:tcW w:w="1662"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shd w:val="clear"/>
              <w:kinsoku/>
              <w:wordWrap/>
              <w:overflowPunct/>
              <w:topLinePunct w:val="0"/>
              <w:autoSpaceDE/>
              <w:autoSpaceDN/>
              <w:bidi w:val="0"/>
              <w:snapToGrid/>
              <w:spacing w:line="40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圣岭红绿灯</w:t>
            </w:r>
          </w:p>
        </w:tc>
        <w:tc>
          <w:tcPr>
            <w:tcW w:w="93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shd w:val="clear"/>
              <w:kinsoku/>
              <w:wordWrap/>
              <w:overflowPunct/>
              <w:topLinePunct w:val="0"/>
              <w:autoSpaceDE/>
              <w:autoSpaceDN/>
              <w:bidi w:val="0"/>
              <w:snapToGrid/>
              <w:spacing w:line="40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3280</w:t>
            </w:r>
          </w:p>
        </w:tc>
        <w:tc>
          <w:tcPr>
            <w:tcW w:w="120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shd w:val="clear"/>
              <w:kinsoku/>
              <w:wordWrap/>
              <w:overflowPunct/>
              <w:topLinePunct w:val="0"/>
              <w:autoSpaceDE/>
              <w:autoSpaceDN/>
              <w:bidi w:val="0"/>
              <w:snapToGrid/>
              <w:spacing w:line="40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w:t>
            </w:r>
          </w:p>
        </w:tc>
        <w:tc>
          <w:tcPr>
            <w:tcW w:w="1726"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shd w:val="clear"/>
              <w:kinsoku/>
              <w:wordWrap/>
              <w:overflowPunct/>
              <w:topLinePunct w:val="0"/>
              <w:autoSpaceDE/>
              <w:autoSpaceDN/>
              <w:bidi w:val="0"/>
              <w:snapToGrid/>
              <w:spacing w:line="400" w:lineRule="exact"/>
              <w:jc w:val="left"/>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87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shd w:val="clear"/>
              <w:kinsoku/>
              <w:wordWrap/>
              <w:overflowPunct/>
              <w:topLinePunct w:val="0"/>
              <w:autoSpaceDE/>
              <w:autoSpaceDN/>
              <w:bidi w:val="0"/>
              <w:snapToGrid/>
              <w:spacing w:line="40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w:t>
            </w:r>
          </w:p>
        </w:tc>
        <w:tc>
          <w:tcPr>
            <w:tcW w:w="1748"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shd w:val="clear"/>
              <w:kinsoku/>
              <w:wordWrap/>
              <w:overflowPunct/>
              <w:topLinePunct w:val="0"/>
              <w:autoSpaceDE/>
              <w:autoSpaceDN/>
              <w:bidi w:val="0"/>
              <w:snapToGrid/>
              <w:spacing w:line="40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国道324</w:t>
            </w:r>
          </w:p>
        </w:tc>
        <w:tc>
          <w:tcPr>
            <w:tcW w:w="1601"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shd w:val="clear"/>
              <w:kinsoku/>
              <w:wordWrap/>
              <w:overflowPunct/>
              <w:topLinePunct w:val="0"/>
              <w:autoSpaceDE/>
              <w:autoSpaceDN/>
              <w:bidi w:val="0"/>
              <w:snapToGrid/>
              <w:spacing w:line="40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邮政营业厅</w:t>
            </w:r>
          </w:p>
        </w:tc>
        <w:tc>
          <w:tcPr>
            <w:tcW w:w="1662"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shd w:val="clear"/>
              <w:kinsoku/>
              <w:wordWrap/>
              <w:overflowPunct/>
              <w:topLinePunct w:val="0"/>
              <w:autoSpaceDE/>
              <w:autoSpaceDN/>
              <w:bidi w:val="0"/>
              <w:snapToGrid/>
              <w:spacing w:line="40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梅岭</w:t>
            </w:r>
          </w:p>
        </w:tc>
        <w:tc>
          <w:tcPr>
            <w:tcW w:w="93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shd w:val="clear"/>
              <w:kinsoku/>
              <w:wordWrap/>
              <w:overflowPunct/>
              <w:topLinePunct w:val="0"/>
              <w:autoSpaceDE/>
              <w:autoSpaceDN/>
              <w:bidi w:val="0"/>
              <w:snapToGrid/>
              <w:spacing w:line="40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2700</w:t>
            </w:r>
          </w:p>
        </w:tc>
        <w:tc>
          <w:tcPr>
            <w:tcW w:w="120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shd w:val="clear"/>
              <w:kinsoku/>
              <w:wordWrap/>
              <w:overflowPunct/>
              <w:topLinePunct w:val="0"/>
              <w:autoSpaceDE/>
              <w:autoSpaceDN/>
              <w:bidi w:val="0"/>
              <w:snapToGrid/>
              <w:spacing w:line="40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24</w:t>
            </w:r>
          </w:p>
        </w:tc>
        <w:tc>
          <w:tcPr>
            <w:tcW w:w="1726"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shd w:val="clear"/>
              <w:kinsoku/>
              <w:wordWrap/>
              <w:overflowPunct/>
              <w:topLinePunct w:val="0"/>
              <w:autoSpaceDE/>
              <w:autoSpaceDN/>
              <w:bidi w:val="0"/>
              <w:snapToGrid/>
              <w:spacing w:line="400" w:lineRule="exact"/>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87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shd w:val="clear"/>
              <w:kinsoku/>
              <w:wordWrap/>
              <w:overflowPunct/>
              <w:topLinePunct w:val="0"/>
              <w:autoSpaceDE/>
              <w:autoSpaceDN/>
              <w:bidi w:val="0"/>
              <w:snapToGrid/>
              <w:spacing w:line="400" w:lineRule="exact"/>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14</w:t>
            </w:r>
          </w:p>
        </w:tc>
        <w:tc>
          <w:tcPr>
            <w:tcW w:w="1748"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shd w:val="clear"/>
              <w:kinsoku/>
              <w:wordWrap/>
              <w:overflowPunct/>
              <w:topLinePunct w:val="0"/>
              <w:autoSpaceDE/>
              <w:autoSpaceDN/>
              <w:bidi w:val="0"/>
              <w:snapToGrid/>
              <w:spacing w:line="400" w:lineRule="exact"/>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农贸市场</w:t>
            </w:r>
          </w:p>
        </w:tc>
        <w:tc>
          <w:tcPr>
            <w:tcW w:w="1601"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shd w:val="clear"/>
              <w:kinsoku/>
              <w:wordWrap/>
              <w:overflowPunct/>
              <w:topLinePunct w:val="0"/>
              <w:autoSpaceDE/>
              <w:autoSpaceDN/>
              <w:bidi w:val="0"/>
              <w:snapToGrid/>
              <w:spacing w:line="400" w:lineRule="exact"/>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农贸市场</w:t>
            </w:r>
          </w:p>
        </w:tc>
        <w:tc>
          <w:tcPr>
            <w:tcW w:w="1662"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shd w:val="clear"/>
              <w:kinsoku/>
              <w:wordWrap/>
              <w:overflowPunct/>
              <w:topLinePunct w:val="0"/>
              <w:autoSpaceDE/>
              <w:autoSpaceDN/>
              <w:bidi w:val="0"/>
              <w:snapToGrid/>
              <w:spacing w:line="400" w:lineRule="exact"/>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农贸市场</w:t>
            </w:r>
          </w:p>
        </w:tc>
        <w:tc>
          <w:tcPr>
            <w:tcW w:w="93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shd w:val="clear"/>
              <w:kinsoku/>
              <w:wordWrap/>
              <w:overflowPunct/>
              <w:topLinePunct w:val="0"/>
              <w:autoSpaceDE/>
              <w:autoSpaceDN/>
              <w:bidi w:val="0"/>
              <w:snapToGrid/>
              <w:spacing w:line="400" w:lineRule="exact"/>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20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shd w:val="clear"/>
              <w:kinsoku/>
              <w:wordWrap/>
              <w:overflowPunct/>
              <w:topLinePunct w:val="0"/>
              <w:autoSpaceDE/>
              <w:autoSpaceDN/>
              <w:bidi w:val="0"/>
              <w:snapToGrid/>
              <w:spacing w:line="400" w:lineRule="exact"/>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726"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shd w:val="clear"/>
              <w:kinsoku/>
              <w:wordWrap/>
              <w:overflowPunct/>
              <w:topLinePunct w:val="0"/>
              <w:autoSpaceDE/>
              <w:autoSpaceDN/>
              <w:bidi w:val="0"/>
              <w:snapToGrid/>
              <w:spacing w:line="400" w:lineRule="exact"/>
              <w:jc w:val="center"/>
              <w:rPr>
                <w:rFonts w:hint="default" w:ascii="宋体" w:hAnsi="宋体" w:eastAsia="宋体" w:cs="宋体"/>
                <w:i w:val="0"/>
                <w:iCs w:val="0"/>
                <w:color w:val="auto"/>
                <w:sz w:val="24"/>
                <w:szCs w:val="24"/>
                <w:highlight w:val="none"/>
                <w:u w:val="none"/>
                <w:lang w:val="en-US" w:eastAsia="zh-CN"/>
              </w:rPr>
            </w:pPr>
            <w:r>
              <w:rPr>
                <w:rFonts w:hint="eastAsia" w:ascii="宋体" w:hAnsi="宋体" w:cs="宋体"/>
                <w:i w:val="0"/>
                <w:iCs w:val="0"/>
                <w:color w:val="auto"/>
                <w:sz w:val="24"/>
                <w:szCs w:val="24"/>
                <w:highlight w:val="none"/>
                <w:u w:val="none"/>
                <w:lang w:val="en-US" w:eastAsia="zh-CN"/>
              </w:rPr>
              <w:t>清扫保洁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87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shd w:val="clear"/>
              <w:kinsoku/>
              <w:wordWrap/>
              <w:overflowPunct/>
              <w:topLinePunct w:val="0"/>
              <w:autoSpaceDE/>
              <w:autoSpaceDN/>
              <w:bidi w:val="0"/>
              <w:snapToGrid/>
              <w:spacing w:line="400" w:lineRule="exact"/>
              <w:jc w:val="center"/>
              <w:textAlignment w:val="center"/>
              <w:rPr>
                <w:rFonts w:hint="default"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15</w:t>
            </w:r>
          </w:p>
        </w:tc>
        <w:tc>
          <w:tcPr>
            <w:tcW w:w="1748"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shd w:val="clear"/>
              <w:kinsoku/>
              <w:wordWrap/>
              <w:overflowPunct/>
              <w:topLinePunct w:val="0"/>
              <w:autoSpaceDE/>
              <w:autoSpaceDN/>
              <w:bidi w:val="0"/>
              <w:snapToGrid/>
              <w:spacing w:line="400" w:lineRule="exact"/>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镇政府</w:t>
            </w:r>
          </w:p>
        </w:tc>
        <w:tc>
          <w:tcPr>
            <w:tcW w:w="1601"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shd w:val="clear"/>
              <w:kinsoku/>
              <w:wordWrap/>
              <w:overflowPunct/>
              <w:topLinePunct w:val="0"/>
              <w:autoSpaceDE/>
              <w:autoSpaceDN/>
              <w:bidi w:val="0"/>
              <w:snapToGrid/>
              <w:spacing w:line="400" w:lineRule="exact"/>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镇政府</w:t>
            </w:r>
          </w:p>
        </w:tc>
        <w:tc>
          <w:tcPr>
            <w:tcW w:w="1662"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shd w:val="clear"/>
              <w:kinsoku/>
              <w:wordWrap/>
              <w:overflowPunct/>
              <w:topLinePunct w:val="0"/>
              <w:autoSpaceDE/>
              <w:autoSpaceDN/>
              <w:bidi w:val="0"/>
              <w:snapToGrid/>
              <w:spacing w:line="400" w:lineRule="exact"/>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镇政府</w:t>
            </w:r>
          </w:p>
        </w:tc>
        <w:tc>
          <w:tcPr>
            <w:tcW w:w="93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shd w:val="clear"/>
              <w:kinsoku/>
              <w:wordWrap/>
              <w:overflowPunct/>
              <w:topLinePunct w:val="0"/>
              <w:autoSpaceDE/>
              <w:autoSpaceDN/>
              <w:bidi w:val="0"/>
              <w:snapToGrid/>
              <w:spacing w:line="400" w:lineRule="exact"/>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20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shd w:val="clear"/>
              <w:kinsoku/>
              <w:wordWrap/>
              <w:overflowPunct/>
              <w:topLinePunct w:val="0"/>
              <w:autoSpaceDE/>
              <w:autoSpaceDN/>
              <w:bidi w:val="0"/>
              <w:snapToGrid/>
              <w:spacing w:line="400" w:lineRule="exact"/>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726"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shd w:val="clear"/>
              <w:kinsoku/>
              <w:wordWrap/>
              <w:overflowPunct/>
              <w:topLinePunct w:val="0"/>
              <w:autoSpaceDE/>
              <w:autoSpaceDN/>
              <w:bidi w:val="0"/>
              <w:snapToGrid/>
              <w:spacing w:line="400" w:lineRule="exact"/>
              <w:jc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sz w:val="24"/>
                <w:szCs w:val="24"/>
                <w:highlight w:val="none"/>
                <w:u w:val="none"/>
                <w:lang w:val="en-US" w:eastAsia="zh-CN"/>
              </w:rPr>
              <w:t>清扫保洁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87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shd w:val="clear"/>
              <w:kinsoku/>
              <w:wordWrap/>
              <w:overflowPunct/>
              <w:topLinePunct w:val="0"/>
              <w:autoSpaceDE/>
              <w:autoSpaceDN/>
              <w:bidi w:val="0"/>
              <w:snapToGrid/>
              <w:spacing w:line="400" w:lineRule="exact"/>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17</w:t>
            </w:r>
          </w:p>
        </w:tc>
        <w:tc>
          <w:tcPr>
            <w:tcW w:w="1748"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shd w:val="clear"/>
              <w:kinsoku/>
              <w:wordWrap/>
              <w:overflowPunct/>
              <w:topLinePunct w:val="0"/>
              <w:autoSpaceDE/>
              <w:autoSpaceDN/>
              <w:bidi w:val="0"/>
              <w:snapToGrid/>
              <w:spacing w:line="400" w:lineRule="exact"/>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aps w:val="0"/>
                <w:color w:val="auto"/>
                <w:spacing w:val="0"/>
                <w:sz w:val="24"/>
                <w:szCs w:val="24"/>
                <w:highlight w:val="none"/>
                <w:lang w:val="en-US" w:eastAsia="zh-CN"/>
              </w:rPr>
              <w:t>各公园及活动广场</w:t>
            </w:r>
          </w:p>
        </w:tc>
        <w:tc>
          <w:tcPr>
            <w:tcW w:w="1601"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shd w:val="clear"/>
              <w:kinsoku/>
              <w:wordWrap/>
              <w:overflowPunct/>
              <w:topLinePunct w:val="0"/>
              <w:autoSpaceDE/>
              <w:autoSpaceDN/>
              <w:bidi w:val="0"/>
              <w:snapToGrid/>
              <w:spacing w:line="400" w:lineRule="exact"/>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aps w:val="0"/>
                <w:color w:val="auto"/>
                <w:spacing w:val="0"/>
                <w:sz w:val="24"/>
                <w:szCs w:val="24"/>
                <w:highlight w:val="none"/>
                <w:lang w:val="en-US" w:eastAsia="zh-CN"/>
              </w:rPr>
              <w:t>各公园及活动广场</w:t>
            </w:r>
          </w:p>
        </w:tc>
        <w:tc>
          <w:tcPr>
            <w:tcW w:w="1662"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shd w:val="clear"/>
              <w:kinsoku/>
              <w:wordWrap/>
              <w:overflowPunct/>
              <w:topLinePunct w:val="0"/>
              <w:autoSpaceDE/>
              <w:autoSpaceDN/>
              <w:bidi w:val="0"/>
              <w:snapToGrid/>
              <w:spacing w:line="400" w:lineRule="exact"/>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aps w:val="0"/>
                <w:color w:val="auto"/>
                <w:spacing w:val="0"/>
                <w:sz w:val="24"/>
                <w:szCs w:val="24"/>
                <w:highlight w:val="none"/>
                <w:lang w:val="en-US" w:eastAsia="zh-CN"/>
              </w:rPr>
              <w:t>各公园及活动广场</w:t>
            </w:r>
          </w:p>
        </w:tc>
        <w:tc>
          <w:tcPr>
            <w:tcW w:w="93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shd w:val="clear"/>
              <w:kinsoku/>
              <w:wordWrap/>
              <w:overflowPunct/>
              <w:topLinePunct w:val="0"/>
              <w:autoSpaceDE/>
              <w:autoSpaceDN/>
              <w:bidi w:val="0"/>
              <w:snapToGrid/>
              <w:spacing w:line="400" w:lineRule="exact"/>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20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shd w:val="clear"/>
              <w:kinsoku/>
              <w:wordWrap/>
              <w:overflowPunct/>
              <w:topLinePunct w:val="0"/>
              <w:autoSpaceDE/>
              <w:autoSpaceDN/>
              <w:bidi w:val="0"/>
              <w:snapToGrid/>
              <w:spacing w:line="400" w:lineRule="exact"/>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726"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shd w:val="clear"/>
              <w:kinsoku/>
              <w:wordWrap/>
              <w:overflowPunct/>
              <w:topLinePunct w:val="0"/>
              <w:autoSpaceDE/>
              <w:autoSpaceDN/>
              <w:bidi w:val="0"/>
              <w:snapToGrid/>
              <w:spacing w:line="400" w:lineRule="exact"/>
              <w:jc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cs="宋体"/>
                <w:i w:val="0"/>
                <w:iCs w:val="0"/>
                <w:color w:val="auto"/>
                <w:sz w:val="24"/>
                <w:szCs w:val="24"/>
                <w:highlight w:val="none"/>
                <w:u w:val="none"/>
                <w:lang w:val="en-US" w:eastAsia="zh-CN"/>
              </w:rPr>
              <w:t>清扫保洁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87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shd w:val="clear"/>
              <w:kinsoku/>
              <w:wordWrap/>
              <w:overflowPunct/>
              <w:topLinePunct w:val="0"/>
              <w:autoSpaceDE/>
              <w:autoSpaceDN/>
              <w:bidi w:val="0"/>
              <w:snapToGrid/>
              <w:spacing w:line="400" w:lineRule="exact"/>
              <w:jc w:val="center"/>
              <w:textAlignment w:val="center"/>
              <w:rPr>
                <w:rFonts w:hint="default"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18</w:t>
            </w:r>
          </w:p>
        </w:tc>
        <w:tc>
          <w:tcPr>
            <w:tcW w:w="1748"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shd w:val="clear"/>
              <w:kinsoku/>
              <w:wordWrap/>
              <w:overflowPunct/>
              <w:topLinePunct w:val="0"/>
              <w:autoSpaceDE/>
              <w:autoSpaceDN/>
              <w:bidi w:val="0"/>
              <w:snapToGrid/>
              <w:spacing w:line="400" w:lineRule="exact"/>
              <w:jc w:val="center"/>
              <w:textAlignment w:val="center"/>
              <w:rPr>
                <w:rFonts w:hint="default"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仙港大道两侧绿化带外</w:t>
            </w:r>
          </w:p>
        </w:tc>
        <w:tc>
          <w:tcPr>
            <w:tcW w:w="1601"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shd w:val="clear"/>
              <w:kinsoku/>
              <w:wordWrap/>
              <w:overflowPunct/>
              <w:topLinePunct w:val="0"/>
              <w:autoSpaceDE/>
              <w:autoSpaceDN/>
              <w:bidi w:val="0"/>
              <w:snapToGrid/>
              <w:spacing w:line="400" w:lineRule="exact"/>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仙港大道两侧绿化带外</w:t>
            </w:r>
          </w:p>
        </w:tc>
        <w:tc>
          <w:tcPr>
            <w:tcW w:w="1662"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shd w:val="clear"/>
              <w:kinsoku/>
              <w:wordWrap/>
              <w:overflowPunct/>
              <w:topLinePunct w:val="0"/>
              <w:autoSpaceDE/>
              <w:autoSpaceDN/>
              <w:bidi w:val="0"/>
              <w:snapToGrid/>
              <w:spacing w:line="400" w:lineRule="exact"/>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仙港大道两侧绿化带外</w:t>
            </w:r>
          </w:p>
        </w:tc>
        <w:tc>
          <w:tcPr>
            <w:tcW w:w="93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shd w:val="clear"/>
              <w:kinsoku/>
              <w:wordWrap/>
              <w:overflowPunct/>
              <w:topLinePunct w:val="0"/>
              <w:autoSpaceDE/>
              <w:autoSpaceDN/>
              <w:bidi w:val="0"/>
              <w:snapToGrid/>
              <w:spacing w:line="400" w:lineRule="exact"/>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20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shd w:val="clear"/>
              <w:kinsoku/>
              <w:wordWrap/>
              <w:overflowPunct/>
              <w:topLinePunct w:val="0"/>
              <w:autoSpaceDE/>
              <w:autoSpaceDN/>
              <w:bidi w:val="0"/>
              <w:snapToGrid/>
              <w:spacing w:line="400" w:lineRule="exact"/>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726"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shd w:val="clear"/>
              <w:kinsoku/>
              <w:wordWrap/>
              <w:overflowPunct/>
              <w:topLinePunct w:val="0"/>
              <w:autoSpaceDE/>
              <w:autoSpaceDN/>
              <w:bidi w:val="0"/>
              <w:snapToGrid/>
              <w:spacing w:line="400" w:lineRule="exact"/>
              <w:jc w:val="center"/>
              <w:rPr>
                <w:rFonts w:hint="eastAsia" w:ascii="宋体" w:hAnsi="宋体" w:cs="宋体"/>
                <w:i w:val="0"/>
                <w:iCs w:val="0"/>
                <w:color w:val="auto"/>
                <w:sz w:val="24"/>
                <w:szCs w:val="24"/>
                <w:highlight w:val="none"/>
                <w:u w:val="none"/>
                <w:lang w:val="en-US" w:eastAsia="zh-CN"/>
              </w:rPr>
            </w:pPr>
            <w:r>
              <w:rPr>
                <w:rFonts w:hint="eastAsia" w:ascii="宋体" w:hAnsi="宋体" w:cs="宋体"/>
                <w:i w:val="0"/>
                <w:iCs w:val="0"/>
                <w:color w:val="auto"/>
                <w:sz w:val="24"/>
                <w:szCs w:val="24"/>
                <w:highlight w:val="none"/>
                <w:u w:val="none"/>
                <w:lang w:val="en-US" w:eastAsia="zh-CN"/>
              </w:rPr>
              <w:t>清扫保洁</w:t>
            </w:r>
          </w:p>
        </w:tc>
      </w:tr>
    </w:tbl>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经过测算，郊尾镇集镇区道路保洁长度为6770米，道路面积为114360平方米；国道、省道道路保洁长度为9280米，道路面积为193200平方米；</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firstLine="480"/>
        <w:rPr>
          <w:rFonts w:hint="eastAsia" w:ascii="宋体" w:hAnsi="宋体" w:eastAsia="宋体" w:cs="宋体"/>
          <w:i w:val="0"/>
          <w:iCs w:val="0"/>
          <w:caps w:val="0"/>
          <w:color w:val="auto"/>
          <w:spacing w:val="0"/>
          <w:sz w:val="24"/>
          <w:szCs w:val="24"/>
          <w:highlight w:val="none"/>
        </w:rPr>
      </w:pPr>
      <w:r>
        <w:rPr>
          <w:rStyle w:val="9"/>
          <w:rFonts w:hint="eastAsia" w:ascii="宋体" w:hAnsi="宋体" w:eastAsia="宋体" w:cs="宋体"/>
          <w:i w:val="0"/>
          <w:iCs w:val="0"/>
          <w:caps w:val="0"/>
          <w:color w:val="auto"/>
          <w:spacing w:val="0"/>
          <w:sz w:val="24"/>
          <w:szCs w:val="24"/>
          <w:highlight w:val="none"/>
        </w:rPr>
        <w:t>3.6.2村庄作业范围</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firstLine="480"/>
        <w:jc w:val="center"/>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郊尾镇各村人口及道路明细表</w:t>
      </w:r>
    </w:p>
    <w:tbl>
      <w:tblPr>
        <w:tblStyle w:val="7"/>
        <w:tblW w:w="975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25"/>
        <w:gridCol w:w="1025"/>
        <w:gridCol w:w="1176"/>
        <w:gridCol w:w="1039"/>
        <w:gridCol w:w="1047"/>
        <w:gridCol w:w="1039"/>
        <w:gridCol w:w="1326"/>
        <w:gridCol w:w="1043"/>
        <w:gridCol w:w="10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0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snapToGrid/>
              <w:spacing w:line="40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序号</w:t>
            </w:r>
          </w:p>
        </w:tc>
        <w:tc>
          <w:tcPr>
            <w:tcW w:w="10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snapToGrid/>
              <w:spacing w:line="40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村名</w:t>
            </w:r>
          </w:p>
        </w:tc>
        <w:tc>
          <w:tcPr>
            <w:tcW w:w="11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snapToGrid/>
              <w:spacing w:line="40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人口数量（2019）</w:t>
            </w:r>
          </w:p>
        </w:tc>
        <w:tc>
          <w:tcPr>
            <w:tcW w:w="10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snapToGrid/>
              <w:spacing w:line="40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常住人口数量</w:t>
            </w:r>
          </w:p>
        </w:tc>
        <w:tc>
          <w:tcPr>
            <w:tcW w:w="10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snapToGrid/>
              <w:spacing w:line="40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房屋、道路面积（亩）</w:t>
            </w:r>
          </w:p>
        </w:tc>
        <w:tc>
          <w:tcPr>
            <w:tcW w:w="10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snapToGrid/>
              <w:spacing w:line="40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日产垃圾量（t）</w:t>
            </w:r>
          </w:p>
        </w:tc>
        <w:tc>
          <w:tcPr>
            <w:tcW w:w="13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snapToGrid/>
              <w:spacing w:line="40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公路（条）</w:t>
            </w:r>
          </w:p>
        </w:tc>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snapToGrid/>
              <w:spacing w:line="40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保洁员配置（人）</w:t>
            </w:r>
          </w:p>
        </w:tc>
        <w:tc>
          <w:tcPr>
            <w:tcW w:w="1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snapToGrid/>
              <w:spacing w:line="40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村至中转站距离（公里）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10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snapToGrid/>
              <w:spacing w:line="40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0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snapToGrid/>
              <w:spacing w:line="40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塘边村</w:t>
            </w:r>
          </w:p>
        </w:tc>
        <w:tc>
          <w:tcPr>
            <w:tcW w:w="11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snapToGrid/>
              <w:spacing w:line="40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3566</w:t>
            </w:r>
          </w:p>
        </w:tc>
        <w:tc>
          <w:tcPr>
            <w:tcW w:w="10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snapToGrid/>
              <w:spacing w:line="40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2400</w:t>
            </w:r>
          </w:p>
        </w:tc>
        <w:tc>
          <w:tcPr>
            <w:tcW w:w="10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snapToGrid/>
              <w:spacing w:line="40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468.14</w:t>
            </w:r>
          </w:p>
        </w:tc>
        <w:tc>
          <w:tcPr>
            <w:tcW w:w="1039"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suppressLineNumbers w:val="0"/>
              <w:shd w:val="clear"/>
              <w:kinsoku/>
              <w:wordWrap/>
              <w:overflowPunct/>
              <w:topLinePunct w:val="0"/>
              <w:autoSpaceDE/>
              <w:autoSpaceDN/>
              <w:bidi w:val="0"/>
              <w:snapToGrid/>
              <w:spacing w:line="400" w:lineRule="exact"/>
              <w:jc w:val="center"/>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1.8</w:t>
            </w:r>
          </w:p>
        </w:tc>
        <w:tc>
          <w:tcPr>
            <w:tcW w:w="13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snapToGrid/>
              <w:spacing w:line="40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104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shd w:val="clear"/>
              <w:kinsoku/>
              <w:wordWrap/>
              <w:overflowPunct/>
              <w:topLinePunct w:val="0"/>
              <w:autoSpaceDE/>
              <w:autoSpaceDN/>
              <w:bidi w:val="0"/>
              <w:snapToGrid/>
              <w:spacing w:line="400" w:lineRule="exact"/>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1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snapToGrid/>
              <w:spacing w:line="40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snapToGrid/>
              <w:spacing w:line="40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10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snapToGrid/>
              <w:spacing w:line="40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后溪村</w:t>
            </w:r>
          </w:p>
        </w:tc>
        <w:tc>
          <w:tcPr>
            <w:tcW w:w="11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snapToGrid/>
              <w:spacing w:line="40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5376</w:t>
            </w:r>
          </w:p>
        </w:tc>
        <w:tc>
          <w:tcPr>
            <w:tcW w:w="10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snapToGrid/>
              <w:spacing w:line="40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3000</w:t>
            </w:r>
          </w:p>
        </w:tc>
        <w:tc>
          <w:tcPr>
            <w:tcW w:w="10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snapToGrid/>
              <w:spacing w:line="40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903.86</w:t>
            </w:r>
          </w:p>
        </w:tc>
        <w:tc>
          <w:tcPr>
            <w:tcW w:w="1039"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suppressLineNumbers w:val="0"/>
              <w:shd w:val="clear"/>
              <w:kinsoku/>
              <w:wordWrap/>
              <w:overflowPunct/>
              <w:topLinePunct w:val="0"/>
              <w:autoSpaceDE/>
              <w:autoSpaceDN/>
              <w:bidi w:val="0"/>
              <w:snapToGrid/>
              <w:spacing w:line="400" w:lineRule="exact"/>
              <w:jc w:val="center"/>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2.25</w:t>
            </w:r>
          </w:p>
        </w:tc>
        <w:tc>
          <w:tcPr>
            <w:tcW w:w="13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snapToGrid/>
              <w:spacing w:line="40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104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shd w:val="clear"/>
              <w:kinsoku/>
              <w:wordWrap/>
              <w:overflowPunct/>
              <w:topLinePunct w:val="0"/>
              <w:autoSpaceDE/>
              <w:autoSpaceDN/>
              <w:bidi w:val="0"/>
              <w:snapToGrid/>
              <w:spacing w:line="400" w:lineRule="exact"/>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1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snapToGrid/>
              <w:spacing w:line="40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snapToGrid/>
              <w:spacing w:line="40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10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snapToGrid/>
              <w:spacing w:line="40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湖宅村</w:t>
            </w:r>
          </w:p>
        </w:tc>
        <w:tc>
          <w:tcPr>
            <w:tcW w:w="11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snapToGrid/>
              <w:spacing w:line="40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4534</w:t>
            </w:r>
          </w:p>
        </w:tc>
        <w:tc>
          <w:tcPr>
            <w:tcW w:w="10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snapToGrid/>
              <w:spacing w:line="40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2500</w:t>
            </w:r>
          </w:p>
        </w:tc>
        <w:tc>
          <w:tcPr>
            <w:tcW w:w="10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snapToGrid/>
              <w:spacing w:line="40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761.9</w:t>
            </w:r>
          </w:p>
        </w:tc>
        <w:tc>
          <w:tcPr>
            <w:tcW w:w="1039"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suppressLineNumbers w:val="0"/>
              <w:shd w:val="clear"/>
              <w:kinsoku/>
              <w:wordWrap/>
              <w:overflowPunct/>
              <w:topLinePunct w:val="0"/>
              <w:autoSpaceDE/>
              <w:autoSpaceDN/>
              <w:bidi w:val="0"/>
              <w:snapToGrid/>
              <w:spacing w:line="400" w:lineRule="exact"/>
              <w:jc w:val="center"/>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1.88</w:t>
            </w:r>
          </w:p>
        </w:tc>
        <w:tc>
          <w:tcPr>
            <w:tcW w:w="13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snapToGrid/>
              <w:spacing w:line="40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w:t>
            </w:r>
          </w:p>
        </w:tc>
        <w:tc>
          <w:tcPr>
            <w:tcW w:w="104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shd w:val="clear"/>
              <w:kinsoku/>
              <w:wordWrap/>
              <w:overflowPunct/>
              <w:topLinePunct w:val="0"/>
              <w:autoSpaceDE/>
              <w:autoSpaceDN/>
              <w:bidi w:val="0"/>
              <w:snapToGrid/>
              <w:spacing w:line="400" w:lineRule="exact"/>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1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snapToGrid/>
              <w:spacing w:line="40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snapToGrid/>
              <w:spacing w:line="40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10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snapToGrid/>
              <w:spacing w:line="40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后面村</w:t>
            </w:r>
          </w:p>
        </w:tc>
        <w:tc>
          <w:tcPr>
            <w:tcW w:w="11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snapToGrid/>
              <w:spacing w:line="40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2047</w:t>
            </w:r>
          </w:p>
        </w:tc>
        <w:tc>
          <w:tcPr>
            <w:tcW w:w="10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snapToGrid/>
              <w:spacing w:line="40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1200</w:t>
            </w:r>
          </w:p>
        </w:tc>
        <w:tc>
          <w:tcPr>
            <w:tcW w:w="10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snapToGrid/>
              <w:spacing w:line="40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289.52</w:t>
            </w:r>
          </w:p>
        </w:tc>
        <w:tc>
          <w:tcPr>
            <w:tcW w:w="1039"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suppressLineNumbers w:val="0"/>
              <w:shd w:val="clear"/>
              <w:kinsoku/>
              <w:wordWrap/>
              <w:overflowPunct/>
              <w:topLinePunct w:val="0"/>
              <w:autoSpaceDE/>
              <w:autoSpaceDN/>
              <w:bidi w:val="0"/>
              <w:snapToGrid/>
              <w:spacing w:line="400" w:lineRule="exact"/>
              <w:jc w:val="center"/>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0.9</w:t>
            </w:r>
          </w:p>
        </w:tc>
        <w:tc>
          <w:tcPr>
            <w:tcW w:w="13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snapToGrid/>
              <w:spacing w:line="40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w:t>
            </w:r>
          </w:p>
        </w:tc>
        <w:tc>
          <w:tcPr>
            <w:tcW w:w="104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shd w:val="clear"/>
              <w:kinsoku/>
              <w:wordWrap/>
              <w:overflowPunct/>
              <w:topLinePunct w:val="0"/>
              <w:autoSpaceDE/>
              <w:autoSpaceDN/>
              <w:bidi w:val="0"/>
              <w:snapToGrid/>
              <w:spacing w:line="400" w:lineRule="exact"/>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1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snapToGrid/>
              <w:spacing w:line="40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snapToGrid/>
              <w:spacing w:line="40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10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snapToGrid/>
              <w:spacing w:line="40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后沈村</w:t>
            </w:r>
          </w:p>
        </w:tc>
        <w:tc>
          <w:tcPr>
            <w:tcW w:w="11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snapToGrid/>
              <w:spacing w:line="40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5435</w:t>
            </w:r>
          </w:p>
        </w:tc>
        <w:tc>
          <w:tcPr>
            <w:tcW w:w="10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snapToGrid/>
              <w:spacing w:line="40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3655</w:t>
            </w:r>
          </w:p>
        </w:tc>
        <w:tc>
          <w:tcPr>
            <w:tcW w:w="10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snapToGrid/>
              <w:spacing w:line="40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594.4</w:t>
            </w:r>
          </w:p>
        </w:tc>
        <w:tc>
          <w:tcPr>
            <w:tcW w:w="1039"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suppressLineNumbers w:val="0"/>
              <w:shd w:val="clear"/>
              <w:kinsoku/>
              <w:wordWrap/>
              <w:overflowPunct/>
              <w:topLinePunct w:val="0"/>
              <w:autoSpaceDE/>
              <w:autoSpaceDN/>
              <w:bidi w:val="0"/>
              <w:snapToGrid/>
              <w:spacing w:line="400" w:lineRule="exact"/>
              <w:jc w:val="center"/>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2.74</w:t>
            </w:r>
          </w:p>
        </w:tc>
        <w:tc>
          <w:tcPr>
            <w:tcW w:w="13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snapToGrid/>
              <w:spacing w:line="40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104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shd w:val="clear"/>
              <w:kinsoku/>
              <w:wordWrap/>
              <w:overflowPunct/>
              <w:topLinePunct w:val="0"/>
              <w:autoSpaceDE/>
              <w:autoSpaceDN/>
              <w:bidi w:val="0"/>
              <w:snapToGrid/>
              <w:spacing w:line="400" w:lineRule="exact"/>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1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snapToGrid/>
              <w:spacing w:line="40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snapToGrid/>
              <w:spacing w:line="40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w:t>
            </w:r>
          </w:p>
        </w:tc>
        <w:tc>
          <w:tcPr>
            <w:tcW w:w="10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snapToGrid/>
              <w:spacing w:line="40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西山村</w:t>
            </w:r>
          </w:p>
        </w:tc>
        <w:tc>
          <w:tcPr>
            <w:tcW w:w="11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snapToGrid/>
              <w:spacing w:line="40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3766</w:t>
            </w:r>
          </w:p>
        </w:tc>
        <w:tc>
          <w:tcPr>
            <w:tcW w:w="10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snapToGrid/>
              <w:spacing w:line="40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2800</w:t>
            </w:r>
          </w:p>
        </w:tc>
        <w:tc>
          <w:tcPr>
            <w:tcW w:w="10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snapToGrid/>
              <w:spacing w:line="40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457.47</w:t>
            </w:r>
          </w:p>
        </w:tc>
        <w:tc>
          <w:tcPr>
            <w:tcW w:w="1039"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suppressLineNumbers w:val="0"/>
              <w:shd w:val="clear"/>
              <w:kinsoku/>
              <w:wordWrap/>
              <w:overflowPunct/>
              <w:topLinePunct w:val="0"/>
              <w:autoSpaceDE/>
              <w:autoSpaceDN/>
              <w:bidi w:val="0"/>
              <w:snapToGrid/>
              <w:spacing w:line="400" w:lineRule="exact"/>
              <w:jc w:val="center"/>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2.1</w:t>
            </w:r>
          </w:p>
        </w:tc>
        <w:tc>
          <w:tcPr>
            <w:tcW w:w="13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snapToGrid/>
              <w:spacing w:line="40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104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shd w:val="clear"/>
              <w:kinsoku/>
              <w:wordWrap/>
              <w:overflowPunct/>
              <w:topLinePunct w:val="0"/>
              <w:autoSpaceDE/>
              <w:autoSpaceDN/>
              <w:bidi w:val="0"/>
              <w:snapToGrid/>
              <w:spacing w:line="400" w:lineRule="exact"/>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1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snapToGrid/>
              <w:spacing w:line="40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snapToGrid/>
              <w:spacing w:line="40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w:t>
            </w:r>
          </w:p>
        </w:tc>
        <w:tc>
          <w:tcPr>
            <w:tcW w:w="10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snapToGrid/>
              <w:spacing w:line="40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长岭村</w:t>
            </w:r>
          </w:p>
        </w:tc>
        <w:tc>
          <w:tcPr>
            <w:tcW w:w="11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snapToGrid/>
              <w:spacing w:line="40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1895</w:t>
            </w:r>
          </w:p>
        </w:tc>
        <w:tc>
          <w:tcPr>
            <w:tcW w:w="10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snapToGrid/>
              <w:spacing w:line="40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1200</w:t>
            </w:r>
          </w:p>
        </w:tc>
        <w:tc>
          <w:tcPr>
            <w:tcW w:w="10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snapToGrid/>
              <w:spacing w:line="40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244.96</w:t>
            </w:r>
          </w:p>
        </w:tc>
        <w:tc>
          <w:tcPr>
            <w:tcW w:w="1039"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suppressLineNumbers w:val="0"/>
              <w:shd w:val="clear"/>
              <w:kinsoku/>
              <w:wordWrap/>
              <w:overflowPunct/>
              <w:topLinePunct w:val="0"/>
              <w:autoSpaceDE/>
              <w:autoSpaceDN/>
              <w:bidi w:val="0"/>
              <w:snapToGrid/>
              <w:spacing w:line="400" w:lineRule="exact"/>
              <w:jc w:val="center"/>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0.9</w:t>
            </w:r>
          </w:p>
        </w:tc>
        <w:tc>
          <w:tcPr>
            <w:tcW w:w="13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snapToGrid/>
              <w:spacing w:line="40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104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shd w:val="clear"/>
              <w:kinsoku/>
              <w:wordWrap/>
              <w:overflowPunct/>
              <w:topLinePunct w:val="0"/>
              <w:autoSpaceDE/>
              <w:autoSpaceDN/>
              <w:bidi w:val="0"/>
              <w:snapToGrid/>
              <w:spacing w:line="400" w:lineRule="exact"/>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1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snapToGrid/>
              <w:spacing w:line="40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snapToGrid/>
              <w:spacing w:line="40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w:t>
            </w:r>
          </w:p>
        </w:tc>
        <w:tc>
          <w:tcPr>
            <w:tcW w:w="10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snapToGrid/>
              <w:spacing w:line="40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阮庄村</w:t>
            </w:r>
          </w:p>
        </w:tc>
        <w:tc>
          <w:tcPr>
            <w:tcW w:w="11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snapToGrid/>
              <w:spacing w:line="40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3486</w:t>
            </w:r>
          </w:p>
        </w:tc>
        <w:tc>
          <w:tcPr>
            <w:tcW w:w="10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snapToGrid/>
              <w:spacing w:line="40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3000</w:t>
            </w:r>
          </w:p>
        </w:tc>
        <w:tc>
          <w:tcPr>
            <w:tcW w:w="10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snapToGrid/>
              <w:spacing w:line="40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544.42</w:t>
            </w:r>
          </w:p>
        </w:tc>
        <w:tc>
          <w:tcPr>
            <w:tcW w:w="1039"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suppressLineNumbers w:val="0"/>
              <w:shd w:val="clear"/>
              <w:kinsoku/>
              <w:wordWrap/>
              <w:overflowPunct/>
              <w:topLinePunct w:val="0"/>
              <w:autoSpaceDE/>
              <w:autoSpaceDN/>
              <w:bidi w:val="0"/>
              <w:snapToGrid/>
              <w:spacing w:line="400" w:lineRule="exact"/>
              <w:jc w:val="center"/>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2.25</w:t>
            </w:r>
          </w:p>
        </w:tc>
        <w:tc>
          <w:tcPr>
            <w:tcW w:w="13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snapToGrid/>
              <w:spacing w:line="40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104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shd w:val="clear"/>
              <w:kinsoku/>
              <w:wordWrap/>
              <w:overflowPunct/>
              <w:topLinePunct w:val="0"/>
              <w:autoSpaceDE/>
              <w:autoSpaceDN/>
              <w:bidi w:val="0"/>
              <w:snapToGrid/>
              <w:spacing w:line="400" w:lineRule="exact"/>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1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snapToGrid/>
              <w:spacing w:line="40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snapToGrid/>
              <w:spacing w:line="40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w:t>
            </w:r>
          </w:p>
        </w:tc>
        <w:tc>
          <w:tcPr>
            <w:tcW w:w="10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snapToGrid/>
              <w:spacing w:line="40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梅塘村</w:t>
            </w:r>
          </w:p>
        </w:tc>
        <w:tc>
          <w:tcPr>
            <w:tcW w:w="11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snapToGrid/>
              <w:spacing w:line="40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2891</w:t>
            </w:r>
          </w:p>
        </w:tc>
        <w:tc>
          <w:tcPr>
            <w:tcW w:w="10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snapToGrid/>
              <w:spacing w:line="40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1800</w:t>
            </w:r>
          </w:p>
        </w:tc>
        <w:tc>
          <w:tcPr>
            <w:tcW w:w="10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snapToGrid/>
              <w:spacing w:line="40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599.51</w:t>
            </w:r>
          </w:p>
        </w:tc>
        <w:tc>
          <w:tcPr>
            <w:tcW w:w="1039"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suppressLineNumbers w:val="0"/>
              <w:shd w:val="clear"/>
              <w:kinsoku/>
              <w:wordWrap/>
              <w:overflowPunct/>
              <w:topLinePunct w:val="0"/>
              <w:autoSpaceDE/>
              <w:autoSpaceDN/>
              <w:bidi w:val="0"/>
              <w:snapToGrid/>
              <w:spacing w:line="400" w:lineRule="exact"/>
              <w:jc w:val="center"/>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1.35</w:t>
            </w:r>
          </w:p>
        </w:tc>
        <w:tc>
          <w:tcPr>
            <w:tcW w:w="13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snapToGrid/>
              <w:spacing w:line="40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w:t>
            </w:r>
          </w:p>
        </w:tc>
        <w:tc>
          <w:tcPr>
            <w:tcW w:w="104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shd w:val="clear"/>
              <w:kinsoku/>
              <w:wordWrap/>
              <w:overflowPunct/>
              <w:topLinePunct w:val="0"/>
              <w:autoSpaceDE/>
              <w:autoSpaceDN/>
              <w:bidi w:val="0"/>
              <w:snapToGrid/>
              <w:spacing w:line="400" w:lineRule="exact"/>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1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snapToGrid/>
              <w:spacing w:line="40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snapToGrid/>
              <w:spacing w:line="40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w:t>
            </w:r>
          </w:p>
        </w:tc>
        <w:tc>
          <w:tcPr>
            <w:tcW w:w="10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snapToGrid/>
              <w:spacing w:line="40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东湖村</w:t>
            </w:r>
          </w:p>
        </w:tc>
        <w:tc>
          <w:tcPr>
            <w:tcW w:w="11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snapToGrid/>
              <w:spacing w:line="40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3657</w:t>
            </w:r>
          </w:p>
        </w:tc>
        <w:tc>
          <w:tcPr>
            <w:tcW w:w="10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snapToGrid/>
              <w:spacing w:line="40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1500</w:t>
            </w:r>
          </w:p>
        </w:tc>
        <w:tc>
          <w:tcPr>
            <w:tcW w:w="10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snapToGrid/>
              <w:spacing w:line="40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636.22</w:t>
            </w:r>
          </w:p>
        </w:tc>
        <w:tc>
          <w:tcPr>
            <w:tcW w:w="1039"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suppressLineNumbers w:val="0"/>
              <w:shd w:val="clear"/>
              <w:kinsoku/>
              <w:wordWrap/>
              <w:overflowPunct/>
              <w:topLinePunct w:val="0"/>
              <w:autoSpaceDE/>
              <w:autoSpaceDN/>
              <w:bidi w:val="0"/>
              <w:snapToGrid/>
              <w:spacing w:line="400" w:lineRule="exact"/>
              <w:jc w:val="center"/>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1.13</w:t>
            </w:r>
          </w:p>
        </w:tc>
        <w:tc>
          <w:tcPr>
            <w:tcW w:w="13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snapToGrid/>
              <w:spacing w:line="40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104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shd w:val="clear"/>
              <w:kinsoku/>
              <w:wordWrap/>
              <w:overflowPunct/>
              <w:topLinePunct w:val="0"/>
              <w:autoSpaceDE/>
              <w:autoSpaceDN/>
              <w:bidi w:val="0"/>
              <w:snapToGrid/>
              <w:spacing w:line="400" w:lineRule="exact"/>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1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snapToGrid/>
              <w:spacing w:line="40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snapToGrid/>
              <w:spacing w:line="40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w:t>
            </w:r>
          </w:p>
        </w:tc>
        <w:tc>
          <w:tcPr>
            <w:tcW w:w="10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snapToGrid/>
              <w:spacing w:line="40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埕边村</w:t>
            </w:r>
          </w:p>
        </w:tc>
        <w:tc>
          <w:tcPr>
            <w:tcW w:w="11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snapToGrid/>
              <w:spacing w:line="40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4919</w:t>
            </w:r>
          </w:p>
        </w:tc>
        <w:tc>
          <w:tcPr>
            <w:tcW w:w="10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snapToGrid/>
              <w:spacing w:line="40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4785</w:t>
            </w:r>
          </w:p>
        </w:tc>
        <w:tc>
          <w:tcPr>
            <w:tcW w:w="10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snapToGrid/>
              <w:spacing w:line="40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714.88</w:t>
            </w:r>
          </w:p>
        </w:tc>
        <w:tc>
          <w:tcPr>
            <w:tcW w:w="1039"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suppressLineNumbers w:val="0"/>
              <w:shd w:val="clear"/>
              <w:kinsoku/>
              <w:wordWrap/>
              <w:overflowPunct/>
              <w:topLinePunct w:val="0"/>
              <w:autoSpaceDE/>
              <w:autoSpaceDN/>
              <w:bidi w:val="0"/>
              <w:snapToGrid/>
              <w:spacing w:line="400" w:lineRule="exact"/>
              <w:jc w:val="center"/>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3.59</w:t>
            </w:r>
          </w:p>
        </w:tc>
        <w:tc>
          <w:tcPr>
            <w:tcW w:w="13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snapToGrid/>
              <w:spacing w:line="40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w:t>
            </w:r>
          </w:p>
        </w:tc>
        <w:tc>
          <w:tcPr>
            <w:tcW w:w="104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shd w:val="clear"/>
              <w:kinsoku/>
              <w:wordWrap/>
              <w:overflowPunct/>
              <w:topLinePunct w:val="0"/>
              <w:autoSpaceDE/>
              <w:autoSpaceDN/>
              <w:bidi w:val="0"/>
              <w:snapToGrid/>
              <w:spacing w:line="400" w:lineRule="exact"/>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1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snapToGrid/>
              <w:spacing w:line="40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snapToGrid/>
              <w:spacing w:line="40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w:t>
            </w:r>
          </w:p>
        </w:tc>
        <w:tc>
          <w:tcPr>
            <w:tcW w:w="10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snapToGrid/>
              <w:spacing w:line="40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长安村</w:t>
            </w:r>
          </w:p>
        </w:tc>
        <w:tc>
          <w:tcPr>
            <w:tcW w:w="11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snapToGrid/>
              <w:spacing w:line="40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6820</w:t>
            </w:r>
          </w:p>
        </w:tc>
        <w:tc>
          <w:tcPr>
            <w:tcW w:w="10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snapToGrid/>
              <w:spacing w:line="40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5500</w:t>
            </w:r>
          </w:p>
        </w:tc>
        <w:tc>
          <w:tcPr>
            <w:tcW w:w="10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snapToGrid/>
              <w:spacing w:line="40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954.88</w:t>
            </w:r>
          </w:p>
        </w:tc>
        <w:tc>
          <w:tcPr>
            <w:tcW w:w="1039"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suppressLineNumbers w:val="0"/>
              <w:shd w:val="clear"/>
              <w:kinsoku/>
              <w:wordWrap/>
              <w:overflowPunct/>
              <w:topLinePunct w:val="0"/>
              <w:autoSpaceDE/>
              <w:autoSpaceDN/>
              <w:bidi w:val="0"/>
              <w:snapToGrid/>
              <w:spacing w:line="400" w:lineRule="exact"/>
              <w:jc w:val="center"/>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4.13</w:t>
            </w:r>
          </w:p>
        </w:tc>
        <w:tc>
          <w:tcPr>
            <w:tcW w:w="13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snapToGrid/>
              <w:spacing w:line="40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w:t>
            </w:r>
          </w:p>
        </w:tc>
        <w:tc>
          <w:tcPr>
            <w:tcW w:w="104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shd w:val="clear"/>
              <w:kinsoku/>
              <w:wordWrap/>
              <w:overflowPunct/>
              <w:topLinePunct w:val="0"/>
              <w:autoSpaceDE/>
              <w:autoSpaceDN/>
              <w:bidi w:val="0"/>
              <w:snapToGrid/>
              <w:spacing w:line="400" w:lineRule="exact"/>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w:t>
            </w:r>
          </w:p>
        </w:tc>
        <w:tc>
          <w:tcPr>
            <w:tcW w:w="1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snapToGrid/>
              <w:spacing w:line="40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snapToGrid/>
              <w:spacing w:line="40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w:t>
            </w:r>
          </w:p>
        </w:tc>
        <w:tc>
          <w:tcPr>
            <w:tcW w:w="10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snapToGrid/>
              <w:spacing w:line="40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古店村</w:t>
            </w:r>
          </w:p>
        </w:tc>
        <w:tc>
          <w:tcPr>
            <w:tcW w:w="11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snapToGrid/>
              <w:spacing w:line="40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5438</w:t>
            </w:r>
          </w:p>
        </w:tc>
        <w:tc>
          <w:tcPr>
            <w:tcW w:w="10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snapToGrid/>
              <w:spacing w:line="40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3500</w:t>
            </w:r>
          </w:p>
        </w:tc>
        <w:tc>
          <w:tcPr>
            <w:tcW w:w="10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snapToGrid/>
              <w:spacing w:line="40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808.3</w:t>
            </w:r>
          </w:p>
        </w:tc>
        <w:tc>
          <w:tcPr>
            <w:tcW w:w="1039"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suppressLineNumbers w:val="0"/>
              <w:shd w:val="clear"/>
              <w:kinsoku/>
              <w:wordWrap/>
              <w:overflowPunct/>
              <w:topLinePunct w:val="0"/>
              <w:autoSpaceDE/>
              <w:autoSpaceDN/>
              <w:bidi w:val="0"/>
              <w:snapToGrid/>
              <w:spacing w:line="400" w:lineRule="exact"/>
              <w:jc w:val="center"/>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2.63</w:t>
            </w:r>
          </w:p>
        </w:tc>
        <w:tc>
          <w:tcPr>
            <w:tcW w:w="13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snapToGrid/>
              <w:spacing w:line="40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w:t>
            </w:r>
          </w:p>
        </w:tc>
        <w:tc>
          <w:tcPr>
            <w:tcW w:w="104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shd w:val="clear"/>
              <w:kinsoku/>
              <w:wordWrap/>
              <w:overflowPunct/>
              <w:topLinePunct w:val="0"/>
              <w:autoSpaceDE/>
              <w:autoSpaceDN/>
              <w:bidi w:val="0"/>
              <w:snapToGrid/>
              <w:spacing w:line="400" w:lineRule="exact"/>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1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snapToGrid/>
              <w:spacing w:line="40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snapToGrid/>
              <w:spacing w:line="40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w:t>
            </w:r>
          </w:p>
        </w:tc>
        <w:tc>
          <w:tcPr>
            <w:tcW w:w="10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snapToGrid/>
              <w:spacing w:line="40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沙溪村</w:t>
            </w:r>
          </w:p>
        </w:tc>
        <w:tc>
          <w:tcPr>
            <w:tcW w:w="11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snapToGrid/>
              <w:spacing w:line="40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3353</w:t>
            </w:r>
          </w:p>
        </w:tc>
        <w:tc>
          <w:tcPr>
            <w:tcW w:w="10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snapToGrid/>
              <w:spacing w:line="40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2500</w:t>
            </w:r>
          </w:p>
        </w:tc>
        <w:tc>
          <w:tcPr>
            <w:tcW w:w="10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snapToGrid/>
              <w:spacing w:line="40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688.62</w:t>
            </w:r>
          </w:p>
        </w:tc>
        <w:tc>
          <w:tcPr>
            <w:tcW w:w="1039"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suppressLineNumbers w:val="0"/>
              <w:shd w:val="clear"/>
              <w:kinsoku/>
              <w:wordWrap/>
              <w:overflowPunct/>
              <w:topLinePunct w:val="0"/>
              <w:autoSpaceDE/>
              <w:autoSpaceDN/>
              <w:bidi w:val="0"/>
              <w:snapToGrid/>
              <w:spacing w:line="400" w:lineRule="exact"/>
              <w:jc w:val="center"/>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1.88</w:t>
            </w:r>
          </w:p>
        </w:tc>
        <w:tc>
          <w:tcPr>
            <w:tcW w:w="13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snapToGrid/>
              <w:spacing w:line="40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w:t>
            </w:r>
          </w:p>
        </w:tc>
        <w:tc>
          <w:tcPr>
            <w:tcW w:w="104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shd w:val="clear"/>
              <w:kinsoku/>
              <w:wordWrap/>
              <w:overflowPunct/>
              <w:topLinePunct w:val="0"/>
              <w:autoSpaceDE/>
              <w:autoSpaceDN/>
              <w:bidi w:val="0"/>
              <w:snapToGrid/>
              <w:spacing w:line="400" w:lineRule="exact"/>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1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snapToGrid/>
              <w:spacing w:line="40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snapToGrid/>
              <w:spacing w:line="40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w:t>
            </w:r>
          </w:p>
        </w:tc>
        <w:tc>
          <w:tcPr>
            <w:tcW w:w="10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snapToGrid/>
              <w:spacing w:line="40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阳谷村</w:t>
            </w:r>
          </w:p>
        </w:tc>
        <w:tc>
          <w:tcPr>
            <w:tcW w:w="11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snapToGrid/>
              <w:spacing w:line="40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3687</w:t>
            </w:r>
          </w:p>
        </w:tc>
        <w:tc>
          <w:tcPr>
            <w:tcW w:w="10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snapToGrid/>
              <w:spacing w:line="40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2300</w:t>
            </w:r>
          </w:p>
        </w:tc>
        <w:tc>
          <w:tcPr>
            <w:tcW w:w="10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snapToGrid/>
              <w:spacing w:line="40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783.59</w:t>
            </w:r>
          </w:p>
        </w:tc>
        <w:tc>
          <w:tcPr>
            <w:tcW w:w="1039"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suppressLineNumbers w:val="0"/>
              <w:shd w:val="clear"/>
              <w:kinsoku/>
              <w:wordWrap/>
              <w:overflowPunct/>
              <w:topLinePunct w:val="0"/>
              <w:autoSpaceDE/>
              <w:autoSpaceDN/>
              <w:bidi w:val="0"/>
              <w:snapToGrid/>
              <w:spacing w:line="400" w:lineRule="exact"/>
              <w:jc w:val="center"/>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1.73</w:t>
            </w:r>
          </w:p>
        </w:tc>
        <w:tc>
          <w:tcPr>
            <w:tcW w:w="13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snapToGrid/>
              <w:spacing w:line="40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w:t>
            </w:r>
          </w:p>
        </w:tc>
        <w:tc>
          <w:tcPr>
            <w:tcW w:w="104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shd w:val="clear"/>
              <w:kinsoku/>
              <w:wordWrap/>
              <w:overflowPunct/>
              <w:topLinePunct w:val="0"/>
              <w:autoSpaceDE/>
              <w:autoSpaceDN/>
              <w:bidi w:val="0"/>
              <w:snapToGrid/>
              <w:spacing w:line="400" w:lineRule="exact"/>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1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snapToGrid/>
              <w:spacing w:line="40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snapToGrid/>
              <w:spacing w:line="40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w:t>
            </w:r>
          </w:p>
        </w:tc>
        <w:tc>
          <w:tcPr>
            <w:tcW w:w="10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snapToGrid/>
              <w:spacing w:line="40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伍狮村</w:t>
            </w:r>
          </w:p>
        </w:tc>
        <w:tc>
          <w:tcPr>
            <w:tcW w:w="11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snapToGrid/>
              <w:spacing w:line="40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1973</w:t>
            </w:r>
          </w:p>
        </w:tc>
        <w:tc>
          <w:tcPr>
            <w:tcW w:w="10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snapToGrid/>
              <w:spacing w:line="40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1200</w:t>
            </w:r>
          </w:p>
        </w:tc>
        <w:tc>
          <w:tcPr>
            <w:tcW w:w="10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snapToGrid/>
              <w:spacing w:line="40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123.19</w:t>
            </w:r>
          </w:p>
        </w:tc>
        <w:tc>
          <w:tcPr>
            <w:tcW w:w="1039"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suppressLineNumbers w:val="0"/>
              <w:shd w:val="clear"/>
              <w:kinsoku/>
              <w:wordWrap/>
              <w:overflowPunct/>
              <w:topLinePunct w:val="0"/>
              <w:autoSpaceDE/>
              <w:autoSpaceDN/>
              <w:bidi w:val="0"/>
              <w:snapToGrid/>
              <w:spacing w:line="400" w:lineRule="exact"/>
              <w:jc w:val="center"/>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0.9</w:t>
            </w:r>
          </w:p>
        </w:tc>
        <w:tc>
          <w:tcPr>
            <w:tcW w:w="13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snapToGrid/>
              <w:spacing w:line="40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104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shd w:val="clear"/>
              <w:kinsoku/>
              <w:wordWrap/>
              <w:overflowPunct/>
              <w:topLinePunct w:val="0"/>
              <w:autoSpaceDE/>
              <w:autoSpaceDN/>
              <w:bidi w:val="0"/>
              <w:snapToGrid/>
              <w:spacing w:line="400" w:lineRule="exact"/>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1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snapToGrid/>
              <w:spacing w:line="40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snapToGrid/>
              <w:spacing w:line="40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17</w:t>
            </w:r>
          </w:p>
        </w:tc>
        <w:tc>
          <w:tcPr>
            <w:tcW w:w="10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snapToGrid/>
              <w:spacing w:line="40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新和村</w:t>
            </w:r>
          </w:p>
        </w:tc>
        <w:tc>
          <w:tcPr>
            <w:tcW w:w="11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snapToGrid/>
              <w:spacing w:line="40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5311</w:t>
            </w:r>
          </w:p>
        </w:tc>
        <w:tc>
          <w:tcPr>
            <w:tcW w:w="10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snapToGrid/>
              <w:spacing w:line="40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4500</w:t>
            </w:r>
          </w:p>
        </w:tc>
        <w:tc>
          <w:tcPr>
            <w:tcW w:w="10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snapToGrid/>
              <w:spacing w:line="40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921.4</w:t>
            </w:r>
          </w:p>
        </w:tc>
        <w:tc>
          <w:tcPr>
            <w:tcW w:w="1039"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suppressLineNumbers w:val="0"/>
              <w:shd w:val="clear"/>
              <w:kinsoku/>
              <w:wordWrap/>
              <w:overflowPunct/>
              <w:topLinePunct w:val="0"/>
              <w:autoSpaceDE/>
              <w:autoSpaceDN/>
              <w:bidi w:val="0"/>
              <w:snapToGrid/>
              <w:spacing w:line="400" w:lineRule="exact"/>
              <w:jc w:val="center"/>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3.38</w:t>
            </w:r>
          </w:p>
        </w:tc>
        <w:tc>
          <w:tcPr>
            <w:tcW w:w="13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snapToGrid/>
              <w:spacing w:line="40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104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shd w:val="clear"/>
              <w:kinsoku/>
              <w:wordWrap/>
              <w:overflowPunct/>
              <w:topLinePunct w:val="0"/>
              <w:autoSpaceDE/>
              <w:autoSpaceDN/>
              <w:bidi w:val="0"/>
              <w:snapToGrid/>
              <w:spacing w:line="400" w:lineRule="exact"/>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1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snapToGrid/>
              <w:spacing w:line="40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snapToGrid/>
              <w:spacing w:line="40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18</w:t>
            </w:r>
          </w:p>
        </w:tc>
        <w:tc>
          <w:tcPr>
            <w:tcW w:w="10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snapToGrid/>
              <w:spacing w:line="40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染厝村</w:t>
            </w:r>
          </w:p>
        </w:tc>
        <w:tc>
          <w:tcPr>
            <w:tcW w:w="11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snapToGrid/>
              <w:spacing w:line="40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4601</w:t>
            </w:r>
          </w:p>
        </w:tc>
        <w:tc>
          <w:tcPr>
            <w:tcW w:w="10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snapToGrid/>
              <w:spacing w:line="40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3800</w:t>
            </w:r>
          </w:p>
        </w:tc>
        <w:tc>
          <w:tcPr>
            <w:tcW w:w="10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snapToGrid/>
              <w:spacing w:line="40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687.13</w:t>
            </w:r>
          </w:p>
        </w:tc>
        <w:tc>
          <w:tcPr>
            <w:tcW w:w="1039"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suppressLineNumbers w:val="0"/>
              <w:shd w:val="clear"/>
              <w:kinsoku/>
              <w:wordWrap/>
              <w:overflowPunct/>
              <w:topLinePunct w:val="0"/>
              <w:autoSpaceDE/>
              <w:autoSpaceDN/>
              <w:bidi w:val="0"/>
              <w:snapToGrid/>
              <w:spacing w:line="400" w:lineRule="exact"/>
              <w:jc w:val="center"/>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2.85</w:t>
            </w:r>
          </w:p>
        </w:tc>
        <w:tc>
          <w:tcPr>
            <w:tcW w:w="13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snapToGrid/>
              <w:spacing w:line="40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104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shd w:val="clear"/>
              <w:kinsoku/>
              <w:wordWrap/>
              <w:overflowPunct/>
              <w:topLinePunct w:val="0"/>
              <w:autoSpaceDE/>
              <w:autoSpaceDN/>
              <w:bidi w:val="0"/>
              <w:snapToGrid/>
              <w:spacing w:line="400" w:lineRule="exact"/>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1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snapToGrid/>
              <w:spacing w:line="40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snapToGrid/>
              <w:spacing w:line="40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19</w:t>
            </w:r>
          </w:p>
        </w:tc>
        <w:tc>
          <w:tcPr>
            <w:tcW w:w="10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snapToGrid/>
              <w:spacing w:line="40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郊尾社区</w:t>
            </w:r>
          </w:p>
        </w:tc>
        <w:tc>
          <w:tcPr>
            <w:tcW w:w="11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snapToGrid/>
              <w:spacing w:line="40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7053</w:t>
            </w:r>
          </w:p>
        </w:tc>
        <w:tc>
          <w:tcPr>
            <w:tcW w:w="10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snapToGrid/>
              <w:spacing w:line="40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7242</w:t>
            </w:r>
          </w:p>
        </w:tc>
        <w:tc>
          <w:tcPr>
            <w:tcW w:w="10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snapToGrid/>
              <w:spacing w:line="40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941.22</w:t>
            </w:r>
          </w:p>
        </w:tc>
        <w:tc>
          <w:tcPr>
            <w:tcW w:w="10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snapToGrid/>
              <w:spacing w:line="40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5.43</w:t>
            </w:r>
          </w:p>
        </w:tc>
        <w:tc>
          <w:tcPr>
            <w:tcW w:w="13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snapToGrid/>
              <w:spacing w:line="40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snapToGrid/>
              <w:spacing w:line="40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w:t>
            </w:r>
          </w:p>
        </w:tc>
        <w:tc>
          <w:tcPr>
            <w:tcW w:w="1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snapToGrid/>
              <w:spacing w:line="40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snapToGrid/>
              <w:spacing w:line="40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w:t>
            </w:r>
          </w:p>
        </w:tc>
        <w:tc>
          <w:tcPr>
            <w:tcW w:w="10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snapToGrid/>
              <w:spacing w:line="40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宝坑村</w:t>
            </w:r>
          </w:p>
        </w:tc>
        <w:tc>
          <w:tcPr>
            <w:tcW w:w="11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snapToGrid/>
              <w:spacing w:line="40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3685</w:t>
            </w:r>
          </w:p>
        </w:tc>
        <w:tc>
          <w:tcPr>
            <w:tcW w:w="10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snapToGrid/>
              <w:spacing w:line="40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2500</w:t>
            </w:r>
          </w:p>
        </w:tc>
        <w:tc>
          <w:tcPr>
            <w:tcW w:w="10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snapToGrid/>
              <w:spacing w:line="40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418.92</w:t>
            </w:r>
          </w:p>
        </w:tc>
        <w:tc>
          <w:tcPr>
            <w:tcW w:w="1039"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suppressLineNumbers w:val="0"/>
              <w:shd w:val="clear"/>
              <w:kinsoku/>
              <w:wordWrap/>
              <w:overflowPunct/>
              <w:topLinePunct w:val="0"/>
              <w:autoSpaceDE/>
              <w:autoSpaceDN/>
              <w:bidi w:val="0"/>
              <w:snapToGrid/>
              <w:spacing w:line="400" w:lineRule="exact"/>
              <w:jc w:val="center"/>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1.88</w:t>
            </w:r>
          </w:p>
        </w:tc>
        <w:tc>
          <w:tcPr>
            <w:tcW w:w="13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snapToGrid/>
              <w:spacing w:line="40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w:t>
            </w:r>
          </w:p>
        </w:tc>
        <w:tc>
          <w:tcPr>
            <w:tcW w:w="104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shd w:val="clear"/>
              <w:kinsoku/>
              <w:wordWrap/>
              <w:overflowPunct/>
              <w:topLinePunct w:val="0"/>
              <w:autoSpaceDE/>
              <w:autoSpaceDN/>
              <w:bidi w:val="0"/>
              <w:snapToGrid/>
              <w:spacing w:line="400" w:lineRule="exact"/>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1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snapToGrid/>
              <w:spacing w:line="40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snapToGrid/>
              <w:spacing w:line="40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21</w:t>
            </w:r>
          </w:p>
        </w:tc>
        <w:tc>
          <w:tcPr>
            <w:tcW w:w="10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snapToGrid/>
              <w:spacing w:line="40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三埔村</w:t>
            </w:r>
          </w:p>
        </w:tc>
        <w:tc>
          <w:tcPr>
            <w:tcW w:w="11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snapToGrid/>
              <w:spacing w:line="40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2471</w:t>
            </w:r>
          </w:p>
        </w:tc>
        <w:tc>
          <w:tcPr>
            <w:tcW w:w="10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snapToGrid/>
              <w:spacing w:line="40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2000</w:t>
            </w:r>
          </w:p>
        </w:tc>
        <w:tc>
          <w:tcPr>
            <w:tcW w:w="10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snapToGrid/>
              <w:spacing w:line="40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864.39</w:t>
            </w:r>
          </w:p>
        </w:tc>
        <w:tc>
          <w:tcPr>
            <w:tcW w:w="1039"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suppressLineNumbers w:val="0"/>
              <w:shd w:val="clear"/>
              <w:kinsoku/>
              <w:wordWrap/>
              <w:overflowPunct/>
              <w:topLinePunct w:val="0"/>
              <w:autoSpaceDE/>
              <w:autoSpaceDN/>
              <w:bidi w:val="0"/>
              <w:snapToGrid/>
              <w:spacing w:line="400" w:lineRule="exact"/>
              <w:jc w:val="center"/>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w:t>
            </w:r>
          </w:p>
        </w:tc>
        <w:tc>
          <w:tcPr>
            <w:tcW w:w="13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snapToGrid/>
              <w:spacing w:line="40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104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shd w:val="clear"/>
              <w:kinsoku/>
              <w:wordWrap/>
              <w:overflowPunct/>
              <w:topLinePunct w:val="0"/>
              <w:autoSpaceDE/>
              <w:autoSpaceDN/>
              <w:bidi w:val="0"/>
              <w:snapToGrid/>
              <w:spacing w:line="400" w:lineRule="exact"/>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1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snapToGrid/>
              <w:spacing w:line="40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0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snapToGrid/>
              <w:spacing w:line="40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r>
              <w:rPr>
                <w:rFonts w:hint="eastAsia" w:ascii="宋体" w:hAnsi="宋体" w:cs="宋体"/>
                <w:i w:val="0"/>
                <w:iCs w:val="0"/>
                <w:color w:val="auto"/>
                <w:kern w:val="0"/>
                <w:sz w:val="24"/>
                <w:szCs w:val="24"/>
                <w:highlight w:val="none"/>
                <w:u w:val="none"/>
                <w:lang w:val="en-US" w:eastAsia="zh-CN" w:bidi="ar"/>
              </w:rPr>
              <w:t>2</w:t>
            </w:r>
          </w:p>
        </w:tc>
        <w:tc>
          <w:tcPr>
            <w:tcW w:w="10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snapToGrid/>
              <w:spacing w:line="400" w:lineRule="exact"/>
              <w:jc w:val="center"/>
              <w:textAlignment w:val="center"/>
              <w:rPr>
                <w:rFonts w:hint="default" w:ascii="宋体" w:hAnsi="宋体" w:eastAsia="宋体" w:cs="宋体"/>
                <w:i w:val="0"/>
                <w:iCs w:val="0"/>
                <w:color w:val="auto"/>
                <w:sz w:val="24"/>
                <w:szCs w:val="24"/>
                <w:highlight w:val="none"/>
                <w:u w:val="none"/>
                <w:lang w:val="en-US" w:eastAsia="zh-CN"/>
              </w:rPr>
            </w:pPr>
            <w:r>
              <w:rPr>
                <w:rFonts w:hint="eastAsia" w:ascii="宋体" w:hAnsi="宋体" w:cs="宋体"/>
                <w:i w:val="0"/>
                <w:iCs w:val="0"/>
                <w:color w:val="auto"/>
                <w:sz w:val="24"/>
                <w:szCs w:val="24"/>
                <w:highlight w:val="none"/>
                <w:u w:val="none"/>
                <w:lang w:val="en-US" w:eastAsia="zh-CN"/>
              </w:rPr>
              <w:t>牛岗山工业园</w:t>
            </w:r>
          </w:p>
        </w:tc>
        <w:tc>
          <w:tcPr>
            <w:tcW w:w="11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hd w:val="clear"/>
              <w:kinsoku/>
              <w:wordWrap/>
              <w:overflowPunct/>
              <w:topLinePunct w:val="0"/>
              <w:autoSpaceDE/>
              <w:autoSpaceDN/>
              <w:bidi w:val="0"/>
              <w:snapToGrid/>
              <w:spacing w:line="400" w:lineRule="exact"/>
              <w:jc w:val="left"/>
              <w:rPr>
                <w:rFonts w:hint="eastAsia" w:ascii="宋体" w:hAnsi="宋体" w:eastAsia="宋体" w:cs="宋体"/>
                <w:i w:val="0"/>
                <w:iCs w:val="0"/>
                <w:color w:val="auto"/>
                <w:sz w:val="24"/>
                <w:szCs w:val="24"/>
                <w:highlight w:val="none"/>
                <w:u w:val="none"/>
              </w:rPr>
            </w:pPr>
          </w:p>
        </w:tc>
        <w:tc>
          <w:tcPr>
            <w:tcW w:w="10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hd w:val="clear"/>
              <w:kinsoku/>
              <w:wordWrap/>
              <w:overflowPunct/>
              <w:topLinePunct w:val="0"/>
              <w:autoSpaceDE/>
              <w:autoSpaceDN/>
              <w:bidi w:val="0"/>
              <w:snapToGrid/>
              <w:spacing w:line="400" w:lineRule="exact"/>
              <w:jc w:val="left"/>
              <w:rPr>
                <w:rFonts w:hint="eastAsia" w:ascii="宋体" w:hAnsi="宋体" w:eastAsia="宋体" w:cs="宋体"/>
                <w:i w:val="0"/>
                <w:iCs w:val="0"/>
                <w:color w:val="auto"/>
                <w:sz w:val="24"/>
                <w:szCs w:val="24"/>
                <w:highlight w:val="none"/>
                <w:u w:val="none"/>
              </w:rPr>
            </w:pPr>
          </w:p>
        </w:tc>
        <w:tc>
          <w:tcPr>
            <w:tcW w:w="10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snapToGrid/>
              <w:spacing w:line="400" w:lineRule="exact"/>
              <w:jc w:val="center"/>
              <w:textAlignment w:val="center"/>
              <w:rPr>
                <w:rFonts w:hint="eastAsia" w:ascii="宋体" w:hAnsi="宋体" w:eastAsia="宋体" w:cs="宋体"/>
                <w:i w:val="0"/>
                <w:iCs w:val="0"/>
                <w:color w:val="auto"/>
                <w:sz w:val="24"/>
                <w:szCs w:val="24"/>
                <w:highlight w:val="none"/>
                <w:u w:val="none"/>
              </w:rPr>
            </w:pPr>
          </w:p>
        </w:tc>
        <w:tc>
          <w:tcPr>
            <w:tcW w:w="1039"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shd w:val="clear"/>
              <w:kinsoku/>
              <w:wordWrap/>
              <w:overflowPunct/>
              <w:topLinePunct w:val="0"/>
              <w:autoSpaceDE/>
              <w:autoSpaceDN/>
              <w:bidi w:val="0"/>
              <w:snapToGrid/>
              <w:spacing w:line="400" w:lineRule="exact"/>
              <w:jc w:val="left"/>
              <w:rPr>
                <w:rFonts w:hint="eastAsia" w:ascii="宋体" w:hAnsi="宋体" w:eastAsia="宋体" w:cs="宋体"/>
                <w:i w:val="0"/>
                <w:iCs w:val="0"/>
                <w:color w:val="auto"/>
                <w:sz w:val="24"/>
                <w:szCs w:val="24"/>
                <w:highlight w:val="none"/>
                <w:u w:val="none"/>
              </w:rPr>
            </w:pPr>
          </w:p>
        </w:tc>
        <w:tc>
          <w:tcPr>
            <w:tcW w:w="13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hd w:val="clear"/>
              <w:kinsoku/>
              <w:wordWrap/>
              <w:overflowPunct/>
              <w:topLinePunct w:val="0"/>
              <w:autoSpaceDE/>
              <w:autoSpaceDN/>
              <w:bidi w:val="0"/>
              <w:snapToGrid/>
              <w:spacing w:line="400" w:lineRule="exact"/>
              <w:jc w:val="left"/>
              <w:rPr>
                <w:rFonts w:hint="eastAsia" w:ascii="宋体" w:hAnsi="宋体" w:eastAsia="宋体" w:cs="宋体"/>
                <w:i w:val="0"/>
                <w:iCs w:val="0"/>
                <w:color w:val="auto"/>
                <w:sz w:val="24"/>
                <w:szCs w:val="24"/>
                <w:highlight w:val="none"/>
                <w:u w:val="none"/>
              </w:rPr>
            </w:pPr>
          </w:p>
        </w:tc>
        <w:tc>
          <w:tcPr>
            <w:tcW w:w="104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hd w:val="clear"/>
              <w:kinsoku/>
              <w:wordWrap/>
              <w:overflowPunct/>
              <w:topLinePunct w:val="0"/>
              <w:autoSpaceDE/>
              <w:autoSpaceDN/>
              <w:bidi w:val="0"/>
              <w:snapToGrid/>
              <w:spacing w:line="400" w:lineRule="exact"/>
              <w:jc w:val="left"/>
              <w:rPr>
                <w:rFonts w:hint="eastAsia" w:ascii="宋体" w:hAnsi="宋体" w:eastAsia="宋体" w:cs="宋体"/>
                <w:i w:val="0"/>
                <w:iCs w:val="0"/>
                <w:color w:val="auto"/>
                <w:sz w:val="24"/>
                <w:szCs w:val="24"/>
                <w:highlight w:val="none"/>
                <w:u w:val="none"/>
              </w:rPr>
            </w:pPr>
          </w:p>
        </w:tc>
        <w:tc>
          <w:tcPr>
            <w:tcW w:w="1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hd w:val="clear"/>
              <w:kinsoku/>
              <w:wordWrap/>
              <w:overflowPunct/>
              <w:topLinePunct w:val="0"/>
              <w:autoSpaceDE/>
              <w:autoSpaceDN/>
              <w:bidi w:val="0"/>
              <w:snapToGrid/>
              <w:spacing w:line="400" w:lineRule="exact"/>
              <w:jc w:val="left"/>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snapToGrid/>
              <w:spacing w:line="400" w:lineRule="exact"/>
              <w:jc w:val="center"/>
              <w:textAlignment w:val="center"/>
              <w:rPr>
                <w:rFonts w:hint="default" w:ascii="宋体" w:hAnsi="宋体" w:eastAsia="宋体" w:cs="宋体"/>
                <w:i w:val="0"/>
                <w:iCs w:val="0"/>
                <w:color w:val="auto"/>
                <w:sz w:val="24"/>
                <w:szCs w:val="24"/>
                <w:highlight w:val="none"/>
                <w:u w:val="none"/>
                <w:lang w:val="en-US" w:eastAsia="zh-CN"/>
              </w:rPr>
            </w:pPr>
            <w:r>
              <w:rPr>
                <w:rFonts w:hint="eastAsia" w:ascii="宋体" w:hAnsi="宋体" w:cs="宋体"/>
                <w:i w:val="0"/>
                <w:iCs w:val="0"/>
                <w:color w:val="auto"/>
                <w:sz w:val="24"/>
                <w:szCs w:val="24"/>
                <w:highlight w:val="none"/>
                <w:u w:val="none"/>
                <w:lang w:val="en-US" w:eastAsia="zh-CN"/>
              </w:rPr>
              <w:t>23</w:t>
            </w:r>
          </w:p>
        </w:tc>
        <w:tc>
          <w:tcPr>
            <w:tcW w:w="10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hd w:val="clear"/>
              <w:kinsoku/>
              <w:wordWrap/>
              <w:overflowPunct/>
              <w:topLinePunct w:val="0"/>
              <w:autoSpaceDE/>
              <w:autoSpaceDN/>
              <w:bidi w:val="0"/>
              <w:snapToGrid/>
              <w:spacing w:line="400" w:lineRule="exact"/>
              <w:jc w:val="center"/>
              <w:rPr>
                <w:rFonts w:hint="default" w:ascii="宋体" w:hAnsi="宋体" w:eastAsia="宋体" w:cs="宋体"/>
                <w:i w:val="0"/>
                <w:iCs w:val="0"/>
                <w:color w:val="auto"/>
                <w:sz w:val="24"/>
                <w:szCs w:val="24"/>
                <w:highlight w:val="none"/>
                <w:u w:val="none"/>
                <w:lang w:val="en-US"/>
              </w:rPr>
            </w:pPr>
            <w:r>
              <w:rPr>
                <w:rFonts w:hint="eastAsia" w:ascii="宋体" w:hAnsi="宋体" w:cs="宋体"/>
                <w:i w:val="0"/>
                <w:iCs w:val="0"/>
                <w:color w:val="auto"/>
                <w:sz w:val="24"/>
                <w:szCs w:val="24"/>
                <w:highlight w:val="none"/>
                <w:u w:val="none"/>
                <w:lang w:val="en-US" w:eastAsia="zh-CN"/>
              </w:rPr>
              <w:t>沙溪工业园</w:t>
            </w:r>
          </w:p>
        </w:tc>
        <w:tc>
          <w:tcPr>
            <w:tcW w:w="11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snapToGrid/>
              <w:spacing w:line="400" w:lineRule="exact"/>
              <w:jc w:val="center"/>
              <w:textAlignment w:val="center"/>
              <w:rPr>
                <w:rFonts w:hint="eastAsia" w:ascii="宋体" w:hAnsi="宋体" w:eastAsia="宋体" w:cs="宋体"/>
                <w:i w:val="0"/>
                <w:iCs w:val="0"/>
                <w:color w:val="auto"/>
                <w:sz w:val="24"/>
                <w:szCs w:val="24"/>
                <w:highlight w:val="none"/>
                <w:u w:val="none"/>
              </w:rPr>
            </w:pPr>
          </w:p>
        </w:tc>
        <w:tc>
          <w:tcPr>
            <w:tcW w:w="10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snapToGrid/>
              <w:spacing w:line="400" w:lineRule="exact"/>
              <w:jc w:val="center"/>
              <w:textAlignment w:val="center"/>
              <w:rPr>
                <w:rFonts w:hint="eastAsia" w:ascii="宋体" w:hAnsi="宋体" w:eastAsia="宋体" w:cs="宋体"/>
                <w:i w:val="0"/>
                <w:iCs w:val="0"/>
                <w:color w:val="auto"/>
                <w:sz w:val="24"/>
                <w:szCs w:val="24"/>
                <w:highlight w:val="none"/>
                <w:u w:val="none"/>
              </w:rPr>
            </w:pPr>
          </w:p>
        </w:tc>
        <w:tc>
          <w:tcPr>
            <w:tcW w:w="10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snapToGrid/>
              <w:spacing w:line="400" w:lineRule="exact"/>
              <w:jc w:val="center"/>
              <w:textAlignment w:val="center"/>
              <w:rPr>
                <w:rFonts w:hint="eastAsia" w:ascii="宋体" w:hAnsi="宋体" w:eastAsia="宋体" w:cs="宋体"/>
                <w:i w:val="0"/>
                <w:iCs w:val="0"/>
                <w:color w:val="auto"/>
                <w:sz w:val="24"/>
                <w:szCs w:val="24"/>
                <w:highlight w:val="none"/>
                <w:u w:val="none"/>
              </w:rPr>
            </w:pPr>
          </w:p>
        </w:tc>
        <w:tc>
          <w:tcPr>
            <w:tcW w:w="10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snapToGrid/>
              <w:spacing w:line="400" w:lineRule="exact"/>
              <w:jc w:val="center"/>
              <w:textAlignment w:val="center"/>
              <w:rPr>
                <w:rFonts w:hint="eastAsia" w:ascii="宋体" w:hAnsi="宋体" w:eastAsia="宋体" w:cs="宋体"/>
                <w:i w:val="0"/>
                <w:iCs w:val="0"/>
                <w:color w:val="auto"/>
                <w:sz w:val="24"/>
                <w:szCs w:val="24"/>
                <w:highlight w:val="none"/>
                <w:u w:val="none"/>
              </w:rPr>
            </w:pPr>
          </w:p>
        </w:tc>
        <w:tc>
          <w:tcPr>
            <w:tcW w:w="13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snapToGrid/>
              <w:spacing w:line="400" w:lineRule="exact"/>
              <w:jc w:val="center"/>
              <w:textAlignment w:val="center"/>
              <w:rPr>
                <w:rFonts w:hint="eastAsia" w:ascii="宋体" w:hAnsi="宋体" w:eastAsia="宋体" w:cs="宋体"/>
                <w:i w:val="0"/>
                <w:iCs w:val="0"/>
                <w:color w:val="auto"/>
                <w:sz w:val="24"/>
                <w:szCs w:val="24"/>
                <w:highlight w:val="none"/>
                <w:u w:val="none"/>
              </w:rPr>
            </w:pPr>
          </w:p>
        </w:tc>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snapToGrid/>
              <w:spacing w:line="400" w:lineRule="exact"/>
              <w:jc w:val="center"/>
              <w:textAlignment w:val="center"/>
              <w:rPr>
                <w:rFonts w:hint="eastAsia" w:ascii="宋体" w:hAnsi="宋体" w:eastAsia="宋体" w:cs="宋体"/>
                <w:i w:val="0"/>
                <w:iCs w:val="0"/>
                <w:color w:val="auto"/>
                <w:sz w:val="24"/>
                <w:szCs w:val="24"/>
                <w:highlight w:val="none"/>
                <w:u w:val="none"/>
              </w:rPr>
            </w:pPr>
          </w:p>
        </w:tc>
        <w:tc>
          <w:tcPr>
            <w:tcW w:w="1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snapToGrid/>
              <w:spacing w:line="400" w:lineRule="exact"/>
              <w:jc w:val="center"/>
              <w:textAlignment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snapToGrid/>
              <w:spacing w:line="400" w:lineRule="exact"/>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24</w:t>
            </w:r>
          </w:p>
        </w:tc>
        <w:tc>
          <w:tcPr>
            <w:tcW w:w="10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hd w:val="clear"/>
              <w:kinsoku/>
              <w:wordWrap/>
              <w:overflowPunct/>
              <w:topLinePunct w:val="0"/>
              <w:autoSpaceDE/>
              <w:autoSpaceDN/>
              <w:bidi w:val="0"/>
              <w:snapToGrid/>
              <w:spacing w:line="400" w:lineRule="exact"/>
              <w:jc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sz w:val="24"/>
                <w:szCs w:val="24"/>
                <w:highlight w:val="none"/>
                <w:u w:val="none"/>
                <w:lang w:val="en-US" w:eastAsia="zh-CN"/>
              </w:rPr>
              <w:t>后沈工业园</w:t>
            </w:r>
          </w:p>
        </w:tc>
        <w:tc>
          <w:tcPr>
            <w:tcW w:w="11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snapToGrid/>
              <w:spacing w:line="400" w:lineRule="exact"/>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0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snapToGrid/>
              <w:spacing w:line="400" w:lineRule="exact"/>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snapToGrid/>
              <w:spacing w:line="400" w:lineRule="exact"/>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0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snapToGrid/>
              <w:spacing w:line="400" w:lineRule="exact"/>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3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snapToGrid/>
              <w:spacing w:line="400" w:lineRule="exact"/>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snapToGrid/>
              <w:spacing w:line="400" w:lineRule="exact"/>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snapToGrid/>
              <w:spacing w:line="400" w:lineRule="exact"/>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snapToGrid/>
              <w:spacing w:line="400" w:lineRule="exact"/>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25</w:t>
            </w:r>
          </w:p>
        </w:tc>
        <w:tc>
          <w:tcPr>
            <w:tcW w:w="10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hd w:val="clear"/>
              <w:kinsoku/>
              <w:wordWrap/>
              <w:overflowPunct/>
              <w:topLinePunct w:val="0"/>
              <w:autoSpaceDE/>
              <w:autoSpaceDN/>
              <w:bidi w:val="0"/>
              <w:snapToGrid/>
              <w:spacing w:line="400" w:lineRule="exact"/>
              <w:jc w:val="center"/>
              <w:rPr>
                <w:rFonts w:hint="eastAsia" w:ascii="宋体" w:hAnsi="宋体" w:cs="宋体"/>
                <w:i w:val="0"/>
                <w:iCs w:val="0"/>
                <w:color w:val="auto"/>
                <w:sz w:val="24"/>
                <w:szCs w:val="24"/>
                <w:highlight w:val="none"/>
                <w:u w:val="none"/>
                <w:lang w:val="en-US" w:eastAsia="zh-CN"/>
              </w:rPr>
            </w:pPr>
            <w:r>
              <w:rPr>
                <w:rFonts w:hint="eastAsia" w:ascii="宋体" w:hAnsi="宋体" w:cs="宋体"/>
                <w:i w:val="0"/>
                <w:iCs w:val="0"/>
                <w:color w:val="auto"/>
                <w:sz w:val="24"/>
                <w:szCs w:val="24"/>
                <w:highlight w:val="none"/>
                <w:u w:val="none"/>
                <w:lang w:val="en-US" w:eastAsia="zh-CN"/>
              </w:rPr>
              <w:t>金茂</w:t>
            </w:r>
          </w:p>
          <w:p>
            <w:pPr>
              <w:keepNext w:val="0"/>
              <w:keepLines w:val="0"/>
              <w:pageBreakBefore w:val="0"/>
              <w:shd w:val="clear"/>
              <w:kinsoku/>
              <w:wordWrap/>
              <w:overflowPunct/>
              <w:topLinePunct w:val="0"/>
              <w:autoSpaceDE/>
              <w:autoSpaceDN/>
              <w:bidi w:val="0"/>
              <w:snapToGrid/>
              <w:spacing w:line="400" w:lineRule="exact"/>
              <w:jc w:val="center"/>
              <w:rPr>
                <w:rFonts w:hint="default" w:ascii="宋体" w:hAnsi="宋体" w:eastAsia="宋体" w:cs="宋体"/>
                <w:i w:val="0"/>
                <w:iCs w:val="0"/>
                <w:color w:val="auto"/>
                <w:sz w:val="24"/>
                <w:szCs w:val="24"/>
                <w:highlight w:val="none"/>
                <w:u w:val="none"/>
                <w:lang w:val="en-US" w:eastAsia="zh-CN"/>
              </w:rPr>
            </w:pPr>
            <w:r>
              <w:rPr>
                <w:rFonts w:hint="eastAsia" w:ascii="宋体" w:hAnsi="宋体" w:cs="宋体"/>
                <w:i w:val="0"/>
                <w:iCs w:val="0"/>
                <w:color w:val="auto"/>
                <w:sz w:val="24"/>
                <w:szCs w:val="24"/>
                <w:highlight w:val="none"/>
                <w:u w:val="none"/>
                <w:lang w:val="en-US" w:eastAsia="zh-CN"/>
              </w:rPr>
              <w:t>工业园</w:t>
            </w:r>
          </w:p>
        </w:tc>
        <w:tc>
          <w:tcPr>
            <w:tcW w:w="11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snapToGrid/>
              <w:spacing w:line="400" w:lineRule="exact"/>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0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snapToGrid/>
              <w:spacing w:line="400" w:lineRule="exact"/>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snapToGrid/>
              <w:spacing w:line="400" w:lineRule="exact"/>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0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snapToGrid/>
              <w:spacing w:line="400" w:lineRule="exact"/>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3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snapToGrid/>
              <w:spacing w:line="400" w:lineRule="exact"/>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snapToGrid/>
              <w:spacing w:line="400" w:lineRule="exact"/>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snapToGrid/>
              <w:spacing w:line="400" w:lineRule="exact"/>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bl>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firstLine="480"/>
        <w:jc w:val="center"/>
        <w:rPr>
          <w:rFonts w:hint="eastAsia" w:ascii="宋体" w:hAnsi="宋体" w:eastAsia="宋体" w:cs="宋体"/>
          <w:i w:val="0"/>
          <w:iCs w:val="0"/>
          <w:caps w:val="0"/>
          <w:color w:val="auto"/>
          <w:spacing w:val="0"/>
          <w:sz w:val="24"/>
          <w:szCs w:val="24"/>
          <w:highlight w:val="none"/>
        </w:rPr>
      </w:pP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firstLine="480"/>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经过测算，郊尾镇总人口数量为85964人，每日共产垃圾量为</w:t>
      </w:r>
      <w:r>
        <w:rPr>
          <w:rFonts w:hint="eastAsia" w:ascii="宋体" w:hAnsi="宋体" w:cs="宋体"/>
          <w:i w:val="0"/>
          <w:iCs w:val="0"/>
          <w:caps w:val="0"/>
          <w:color w:val="auto"/>
          <w:spacing w:val="0"/>
          <w:sz w:val="24"/>
          <w:szCs w:val="24"/>
          <w:highlight w:val="none"/>
          <w:lang w:eastAsia="zh-CN"/>
        </w:rPr>
        <w:t>49</w:t>
      </w:r>
      <w:r>
        <w:rPr>
          <w:rFonts w:hint="eastAsia" w:ascii="宋体" w:hAnsi="宋体" w:eastAsia="宋体" w:cs="宋体"/>
          <w:i w:val="0"/>
          <w:iCs w:val="0"/>
          <w:caps w:val="0"/>
          <w:color w:val="auto"/>
          <w:spacing w:val="0"/>
          <w:sz w:val="24"/>
          <w:szCs w:val="24"/>
          <w:highlight w:val="none"/>
        </w:rPr>
        <w:t>t。（数据已评估结果为主）</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firstLine="480"/>
        <w:rPr>
          <w:rFonts w:hint="eastAsia" w:ascii="宋体" w:hAnsi="宋体" w:eastAsia="宋体" w:cs="宋体"/>
          <w:i w:val="0"/>
          <w:iCs w:val="0"/>
          <w:caps w:val="0"/>
          <w:color w:val="auto"/>
          <w:spacing w:val="0"/>
          <w:sz w:val="24"/>
          <w:szCs w:val="24"/>
          <w:highlight w:val="none"/>
        </w:rPr>
      </w:pPr>
      <w:r>
        <w:rPr>
          <w:rStyle w:val="9"/>
          <w:rFonts w:hint="eastAsia" w:ascii="宋体" w:hAnsi="宋体" w:eastAsia="宋体" w:cs="宋体"/>
          <w:i w:val="0"/>
          <w:iCs w:val="0"/>
          <w:caps w:val="0"/>
          <w:color w:val="auto"/>
          <w:spacing w:val="0"/>
          <w:sz w:val="24"/>
          <w:szCs w:val="24"/>
          <w:highlight w:val="none"/>
        </w:rPr>
        <w:t>3.6.3绿化带养护范围</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firstLine="360"/>
        <w:jc w:val="center"/>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郊尾镇绿化面积</w:t>
      </w:r>
    </w:p>
    <w:tbl>
      <w:tblPr>
        <w:tblStyle w:val="7"/>
        <w:tblW w:w="4998" w:type="pct"/>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817"/>
        <w:gridCol w:w="3987"/>
        <w:gridCol w:w="1823"/>
        <w:gridCol w:w="931"/>
        <w:gridCol w:w="2196"/>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419" w:type="pct"/>
            <w:tcBorders>
              <w:top w:val="outset" w:color="auto" w:sz="6" w:space="0"/>
              <w:left w:val="outset" w:color="auto" w:sz="6" w:space="0"/>
              <w:bottom w:val="outset" w:color="auto" w:sz="6" w:space="0"/>
              <w:right w:val="outset" w:color="auto" w:sz="6" w:space="0"/>
            </w:tcBorders>
            <w:noWrap w:val="0"/>
            <w:tcMar>
              <w:top w:w="0" w:type="dxa"/>
              <w:left w:w="117" w:type="dxa"/>
              <w:bottom w:w="0" w:type="dxa"/>
              <w:right w:w="117" w:type="dxa"/>
            </w:tcMar>
            <w:vAlign w:val="top"/>
          </w:tcPr>
          <w:p>
            <w:pPr>
              <w:keepNext w:val="0"/>
              <w:keepLines w:val="0"/>
              <w:pageBreakBefore w:val="0"/>
              <w:widowControl/>
              <w:shd w:val="clear"/>
              <w:kinsoku/>
              <w:wordWrap/>
              <w:overflowPunct/>
              <w:topLinePunct w:val="0"/>
              <w:autoSpaceDE/>
              <w:autoSpaceDN/>
              <w:bidi w:val="0"/>
              <w:snapToGrid/>
              <w:spacing w:line="40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序号</w:t>
            </w:r>
          </w:p>
        </w:tc>
        <w:tc>
          <w:tcPr>
            <w:tcW w:w="2043" w:type="pct"/>
            <w:tcBorders>
              <w:top w:val="outset" w:color="auto" w:sz="6" w:space="0"/>
              <w:left w:val="nil"/>
              <w:bottom w:val="outset" w:color="auto" w:sz="6" w:space="0"/>
              <w:right w:val="outset" w:color="auto" w:sz="6" w:space="0"/>
            </w:tcBorders>
            <w:noWrap w:val="0"/>
            <w:tcMar>
              <w:top w:w="0" w:type="dxa"/>
              <w:left w:w="117" w:type="dxa"/>
              <w:bottom w:w="0" w:type="dxa"/>
              <w:right w:w="117" w:type="dxa"/>
            </w:tcMar>
            <w:vAlign w:val="top"/>
          </w:tcPr>
          <w:p>
            <w:pPr>
              <w:keepNext w:val="0"/>
              <w:keepLines w:val="0"/>
              <w:pageBreakBefore w:val="0"/>
              <w:widowControl/>
              <w:shd w:val="clear"/>
              <w:kinsoku/>
              <w:wordWrap/>
              <w:overflowPunct/>
              <w:topLinePunct w:val="0"/>
              <w:autoSpaceDE/>
              <w:autoSpaceDN/>
              <w:bidi w:val="0"/>
              <w:snapToGrid/>
              <w:spacing w:line="40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地点</w:t>
            </w:r>
          </w:p>
        </w:tc>
        <w:tc>
          <w:tcPr>
            <w:tcW w:w="934" w:type="pct"/>
            <w:tcBorders>
              <w:top w:val="outset" w:color="auto" w:sz="6" w:space="0"/>
              <w:left w:val="nil"/>
              <w:bottom w:val="outset" w:color="auto" w:sz="6" w:space="0"/>
              <w:right w:val="outset" w:color="auto" w:sz="6" w:space="0"/>
            </w:tcBorders>
            <w:noWrap w:val="0"/>
            <w:tcMar>
              <w:top w:w="0" w:type="dxa"/>
              <w:left w:w="117" w:type="dxa"/>
              <w:bottom w:w="0" w:type="dxa"/>
              <w:right w:w="117" w:type="dxa"/>
            </w:tcMar>
            <w:vAlign w:val="top"/>
          </w:tcPr>
          <w:p>
            <w:pPr>
              <w:keepNext w:val="0"/>
              <w:keepLines w:val="0"/>
              <w:pageBreakBefore w:val="0"/>
              <w:widowControl/>
              <w:shd w:val="clear"/>
              <w:kinsoku/>
              <w:wordWrap/>
              <w:overflowPunct/>
              <w:topLinePunct w:val="0"/>
              <w:autoSpaceDE/>
              <w:autoSpaceDN/>
              <w:bidi w:val="0"/>
              <w:snapToGrid/>
              <w:spacing w:line="40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绿化面积（m2）</w:t>
            </w:r>
          </w:p>
        </w:tc>
        <w:tc>
          <w:tcPr>
            <w:tcW w:w="477" w:type="pct"/>
            <w:tcBorders>
              <w:top w:val="outset" w:color="auto" w:sz="6" w:space="0"/>
              <w:left w:val="nil"/>
              <w:bottom w:val="outset" w:color="auto" w:sz="6" w:space="0"/>
              <w:right w:val="outset" w:color="auto" w:sz="6" w:space="0"/>
            </w:tcBorders>
            <w:noWrap w:val="0"/>
            <w:tcMar>
              <w:top w:w="0" w:type="dxa"/>
              <w:left w:w="117" w:type="dxa"/>
              <w:bottom w:w="0" w:type="dxa"/>
              <w:right w:w="117" w:type="dxa"/>
            </w:tcMar>
            <w:vAlign w:val="top"/>
          </w:tcPr>
          <w:p>
            <w:pPr>
              <w:keepNext w:val="0"/>
              <w:keepLines w:val="0"/>
              <w:pageBreakBefore w:val="0"/>
              <w:widowControl/>
              <w:shd w:val="clear"/>
              <w:kinsoku/>
              <w:wordWrap/>
              <w:overflowPunct/>
              <w:topLinePunct w:val="0"/>
              <w:autoSpaceDE/>
              <w:autoSpaceDN/>
              <w:bidi w:val="0"/>
              <w:snapToGrid/>
              <w:spacing w:line="40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乔木</w:t>
            </w:r>
          </w:p>
        </w:tc>
        <w:tc>
          <w:tcPr>
            <w:tcW w:w="1125" w:type="pct"/>
            <w:tcBorders>
              <w:top w:val="outset" w:color="auto" w:sz="6" w:space="0"/>
              <w:left w:val="nil"/>
              <w:bottom w:val="outset" w:color="auto" w:sz="6" w:space="0"/>
              <w:right w:val="outset" w:color="auto" w:sz="6" w:space="0"/>
            </w:tcBorders>
            <w:noWrap w:val="0"/>
            <w:tcMar>
              <w:top w:w="0" w:type="dxa"/>
              <w:left w:w="117" w:type="dxa"/>
              <w:bottom w:w="0" w:type="dxa"/>
              <w:right w:w="117" w:type="dxa"/>
            </w:tcMar>
            <w:vAlign w:val="top"/>
          </w:tcPr>
          <w:p>
            <w:pPr>
              <w:keepNext w:val="0"/>
              <w:keepLines w:val="0"/>
              <w:pageBreakBefore w:val="0"/>
              <w:widowControl/>
              <w:shd w:val="clear"/>
              <w:kinsoku/>
              <w:wordWrap/>
              <w:overflowPunct/>
              <w:topLinePunct w:val="0"/>
              <w:autoSpaceDE/>
              <w:autoSpaceDN/>
              <w:bidi w:val="0"/>
              <w:snapToGrid/>
              <w:spacing w:line="40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大乔木/造型树</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419" w:type="pct"/>
            <w:tcBorders>
              <w:top w:val="nil"/>
              <w:left w:val="outset" w:color="auto" w:sz="6" w:space="0"/>
              <w:bottom w:val="outset" w:color="auto" w:sz="6" w:space="0"/>
              <w:right w:val="outset" w:color="auto" w:sz="6" w:space="0"/>
            </w:tcBorders>
            <w:noWrap w:val="0"/>
            <w:tcMar>
              <w:top w:w="0" w:type="dxa"/>
              <w:left w:w="117" w:type="dxa"/>
              <w:bottom w:w="0" w:type="dxa"/>
              <w:right w:w="117" w:type="dxa"/>
            </w:tcMar>
            <w:vAlign w:val="top"/>
          </w:tcPr>
          <w:p>
            <w:pPr>
              <w:keepNext w:val="0"/>
              <w:keepLines w:val="0"/>
              <w:pageBreakBefore w:val="0"/>
              <w:widowControl/>
              <w:shd w:val="clear"/>
              <w:kinsoku/>
              <w:wordWrap/>
              <w:overflowPunct/>
              <w:topLinePunct w:val="0"/>
              <w:autoSpaceDE/>
              <w:autoSpaceDN/>
              <w:bidi w:val="0"/>
              <w:snapToGrid/>
              <w:spacing w:line="400" w:lineRule="exact"/>
              <w:jc w:val="center"/>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1</w:t>
            </w:r>
          </w:p>
        </w:tc>
        <w:tc>
          <w:tcPr>
            <w:tcW w:w="2043" w:type="pct"/>
            <w:tcBorders>
              <w:top w:val="nil"/>
              <w:left w:val="nil"/>
              <w:bottom w:val="outset" w:color="auto" w:sz="6" w:space="0"/>
              <w:right w:val="outset" w:color="auto" w:sz="6" w:space="0"/>
            </w:tcBorders>
            <w:noWrap w:val="0"/>
            <w:tcMar>
              <w:top w:w="0" w:type="dxa"/>
              <w:left w:w="117" w:type="dxa"/>
              <w:bottom w:w="0" w:type="dxa"/>
              <w:right w:w="117" w:type="dxa"/>
            </w:tcMar>
            <w:vAlign w:val="top"/>
          </w:tcPr>
          <w:p>
            <w:pPr>
              <w:keepNext w:val="0"/>
              <w:keepLines w:val="0"/>
              <w:pageBreakBefore w:val="0"/>
              <w:widowControl/>
              <w:shd w:val="clear"/>
              <w:kinsoku/>
              <w:wordWrap/>
              <w:overflowPunct/>
              <w:topLinePunct w:val="0"/>
              <w:autoSpaceDE/>
              <w:autoSpaceDN/>
              <w:bidi w:val="0"/>
              <w:snapToGrid/>
              <w:spacing w:line="40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镇政府大院</w:t>
            </w:r>
          </w:p>
        </w:tc>
        <w:tc>
          <w:tcPr>
            <w:tcW w:w="934" w:type="pct"/>
            <w:tcBorders>
              <w:top w:val="nil"/>
              <w:left w:val="nil"/>
              <w:bottom w:val="outset" w:color="auto" w:sz="6" w:space="0"/>
              <w:right w:val="outset" w:color="auto" w:sz="6" w:space="0"/>
            </w:tcBorders>
            <w:noWrap w:val="0"/>
            <w:tcMar>
              <w:top w:w="0" w:type="dxa"/>
              <w:left w:w="117" w:type="dxa"/>
              <w:bottom w:w="0" w:type="dxa"/>
              <w:right w:w="117" w:type="dxa"/>
            </w:tcMar>
            <w:vAlign w:val="top"/>
          </w:tcPr>
          <w:p>
            <w:pPr>
              <w:keepNext w:val="0"/>
              <w:keepLines w:val="0"/>
              <w:pageBreakBefore w:val="0"/>
              <w:widowControl/>
              <w:shd w:val="clear"/>
              <w:kinsoku/>
              <w:wordWrap/>
              <w:overflowPunct/>
              <w:topLinePunct w:val="0"/>
              <w:autoSpaceDE/>
              <w:autoSpaceDN/>
              <w:bidi w:val="0"/>
              <w:snapToGrid/>
              <w:spacing w:line="40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1268</w:t>
            </w:r>
          </w:p>
        </w:tc>
        <w:tc>
          <w:tcPr>
            <w:tcW w:w="477" w:type="pct"/>
            <w:tcBorders>
              <w:top w:val="nil"/>
              <w:left w:val="nil"/>
              <w:bottom w:val="outset" w:color="auto" w:sz="6" w:space="0"/>
              <w:right w:val="outset" w:color="auto" w:sz="6" w:space="0"/>
            </w:tcBorders>
            <w:noWrap w:val="0"/>
            <w:tcMar>
              <w:top w:w="0" w:type="dxa"/>
              <w:left w:w="117" w:type="dxa"/>
              <w:bottom w:w="0" w:type="dxa"/>
              <w:right w:w="117" w:type="dxa"/>
            </w:tcMar>
            <w:vAlign w:val="top"/>
          </w:tcPr>
          <w:p>
            <w:pPr>
              <w:keepNext w:val="0"/>
              <w:keepLines w:val="0"/>
              <w:pageBreakBefore w:val="0"/>
              <w:widowControl/>
              <w:shd w:val="clear"/>
              <w:kinsoku/>
              <w:wordWrap/>
              <w:overflowPunct/>
              <w:topLinePunct w:val="0"/>
              <w:autoSpaceDE/>
              <w:autoSpaceDN/>
              <w:bidi w:val="0"/>
              <w:snapToGrid/>
              <w:spacing w:line="40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35</w:t>
            </w:r>
          </w:p>
        </w:tc>
        <w:tc>
          <w:tcPr>
            <w:tcW w:w="1125" w:type="pct"/>
            <w:tcBorders>
              <w:top w:val="nil"/>
              <w:left w:val="nil"/>
              <w:bottom w:val="outset" w:color="auto" w:sz="6" w:space="0"/>
              <w:right w:val="outset" w:color="auto" w:sz="6" w:space="0"/>
            </w:tcBorders>
            <w:noWrap w:val="0"/>
            <w:tcMar>
              <w:top w:w="0" w:type="dxa"/>
              <w:left w:w="117" w:type="dxa"/>
              <w:bottom w:w="0" w:type="dxa"/>
              <w:right w:w="117" w:type="dxa"/>
            </w:tcMar>
            <w:vAlign w:val="top"/>
          </w:tcPr>
          <w:p>
            <w:pPr>
              <w:keepNext w:val="0"/>
              <w:keepLines w:val="0"/>
              <w:pageBreakBefore w:val="0"/>
              <w:widowControl/>
              <w:shd w:val="clear"/>
              <w:kinsoku/>
              <w:wordWrap/>
              <w:overflowPunct/>
              <w:topLinePunct w:val="0"/>
              <w:autoSpaceDE/>
              <w:autoSpaceDN/>
              <w:bidi w:val="0"/>
              <w:snapToGrid/>
              <w:spacing w:line="40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419" w:type="pct"/>
            <w:tcBorders>
              <w:top w:val="nil"/>
              <w:left w:val="outset" w:color="auto" w:sz="6" w:space="0"/>
              <w:bottom w:val="outset" w:color="auto" w:sz="6" w:space="0"/>
              <w:right w:val="outset" w:color="auto" w:sz="6" w:space="0"/>
            </w:tcBorders>
            <w:noWrap w:val="0"/>
            <w:tcMar>
              <w:top w:w="0" w:type="dxa"/>
              <w:left w:w="117" w:type="dxa"/>
              <w:bottom w:w="0" w:type="dxa"/>
              <w:right w:w="117" w:type="dxa"/>
            </w:tcMar>
            <w:vAlign w:val="top"/>
          </w:tcPr>
          <w:p>
            <w:pPr>
              <w:keepNext w:val="0"/>
              <w:keepLines w:val="0"/>
              <w:pageBreakBefore w:val="0"/>
              <w:widowControl/>
              <w:shd w:val="clear"/>
              <w:kinsoku/>
              <w:wordWrap/>
              <w:overflowPunct/>
              <w:topLinePunct w:val="0"/>
              <w:autoSpaceDE/>
              <w:autoSpaceDN/>
              <w:bidi w:val="0"/>
              <w:snapToGrid/>
              <w:spacing w:line="400" w:lineRule="exact"/>
              <w:jc w:val="center"/>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2</w:t>
            </w:r>
          </w:p>
        </w:tc>
        <w:tc>
          <w:tcPr>
            <w:tcW w:w="2043" w:type="pct"/>
            <w:tcBorders>
              <w:top w:val="nil"/>
              <w:left w:val="nil"/>
              <w:bottom w:val="outset" w:color="auto" w:sz="6" w:space="0"/>
              <w:right w:val="outset" w:color="auto" w:sz="6" w:space="0"/>
            </w:tcBorders>
            <w:noWrap w:val="0"/>
            <w:tcMar>
              <w:top w:w="0" w:type="dxa"/>
              <w:left w:w="117" w:type="dxa"/>
              <w:bottom w:w="0" w:type="dxa"/>
              <w:right w:w="117" w:type="dxa"/>
            </w:tcMar>
            <w:vAlign w:val="top"/>
          </w:tcPr>
          <w:p>
            <w:pPr>
              <w:keepNext w:val="0"/>
              <w:keepLines w:val="0"/>
              <w:pageBreakBefore w:val="0"/>
              <w:widowControl/>
              <w:shd w:val="clear"/>
              <w:kinsoku/>
              <w:wordWrap/>
              <w:overflowPunct/>
              <w:topLinePunct w:val="0"/>
              <w:autoSpaceDE/>
              <w:autoSpaceDN/>
              <w:bidi w:val="0"/>
              <w:snapToGrid/>
              <w:spacing w:line="40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镇政府周边街道</w:t>
            </w:r>
          </w:p>
        </w:tc>
        <w:tc>
          <w:tcPr>
            <w:tcW w:w="934" w:type="pct"/>
            <w:tcBorders>
              <w:top w:val="nil"/>
              <w:left w:val="nil"/>
              <w:bottom w:val="outset" w:color="auto" w:sz="6" w:space="0"/>
              <w:right w:val="outset" w:color="auto" w:sz="6" w:space="0"/>
            </w:tcBorders>
            <w:noWrap w:val="0"/>
            <w:tcMar>
              <w:top w:w="0" w:type="dxa"/>
              <w:left w:w="117" w:type="dxa"/>
              <w:bottom w:w="0" w:type="dxa"/>
              <w:right w:w="117" w:type="dxa"/>
            </w:tcMar>
            <w:vAlign w:val="top"/>
          </w:tcPr>
          <w:p>
            <w:pPr>
              <w:keepNext w:val="0"/>
              <w:keepLines w:val="0"/>
              <w:pageBreakBefore w:val="0"/>
              <w:widowControl/>
              <w:shd w:val="clear"/>
              <w:kinsoku/>
              <w:wordWrap/>
              <w:overflowPunct/>
              <w:topLinePunct w:val="0"/>
              <w:autoSpaceDE/>
              <w:autoSpaceDN/>
              <w:bidi w:val="0"/>
              <w:snapToGrid/>
              <w:spacing w:line="40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1359</w:t>
            </w:r>
          </w:p>
        </w:tc>
        <w:tc>
          <w:tcPr>
            <w:tcW w:w="477" w:type="pct"/>
            <w:tcBorders>
              <w:top w:val="nil"/>
              <w:left w:val="nil"/>
              <w:bottom w:val="outset" w:color="auto" w:sz="6" w:space="0"/>
              <w:right w:val="outset" w:color="auto" w:sz="6" w:space="0"/>
            </w:tcBorders>
            <w:noWrap w:val="0"/>
            <w:tcMar>
              <w:top w:w="0" w:type="dxa"/>
              <w:left w:w="117" w:type="dxa"/>
              <w:bottom w:w="0" w:type="dxa"/>
              <w:right w:w="117" w:type="dxa"/>
            </w:tcMar>
            <w:vAlign w:val="top"/>
          </w:tcPr>
          <w:p>
            <w:pPr>
              <w:keepNext w:val="0"/>
              <w:keepLines w:val="0"/>
              <w:pageBreakBefore w:val="0"/>
              <w:widowControl/>
              <w:shd w:val="clear"/>
              <w:kinsoku/>
              <w:wordWrap/>
              <w:overflowPunct/>
              <w:topLinePunct w:val="0"/>
              <w:autoSpaceDE/>
              <w:autoSpaceDN/>
              <w:bidi w:val="0"/>
              <w:snapToGrid/>
              <w:spacing w:line="40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115</w:t>
            </w:r>
          </w:p>
        </w:tc>
        <w:tc>
          <w:tcPr>
            <w:tcW w:w="1125" w:type="pct"/>
            <w:tcBorders>
              <w:top w:val="nil"/>
              <w:left w:val="nil"/>
              <w:bottom w:val="outset" w:color="auto" w:sz="6" w:space="0"/>
              <w:right w:val="outset" w:color="auto" w:sz="6" w:space="0"/>
            </w:tcBorders>
            <w:noWrap w:val="0"/>
            <w:tcMar>
              <w:top w:w="0" w:type="dxa"/>
              <w:left w:w="117" w:type="dxa"/>
              <w:bottom w:w="0" w:type="dxa"/>
              <w:right w:w="117" w:type="dxa"/>
            </w:tcMar>
            <w:vAlign w:val="top"/>
          </w:tcPr>
          <w:p>
            <w:pPr>
              <w:keepNext w:val="0"/>
              <w:keepLines w:val="0"/>
              <w:pageBreakBefore w:val="0"/>
              <w:widowControl/>
              <w:shd w:val="clear"/>
              <w:kinsoku/>
              <w:wordWrap/>
              <w:overflowPunct/>
              <w:topLinePunct w:val="0"/>
              <w:autoSpaceDE/>
              <w:autoSpaceDN/>
              <w:bidi w:val="0"/>
              <w:snapToGrid/>
              <w:spacing w:line="400" w:lineRule="exact"/>
              <w:jc w:val="center"/>
              <w:rPr>
                <w:rFonts w:ascii="宋体" w:hAnsi="宋体" w:eastAsia="宋体" w:cs="宋体"/>
                <w:color w:val="auto"/>
                <w:kern w:val="0"/>
                <w:sz w:val="24"/>
                <w:szCs w:val="24"/>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419" w:type="pct"/>
            <w:tcBorders>
              <w:top w:val="nil"/>
              <w:left w:val="outset" w:color="auto" w:sz="6" w:space="0"/>
              <w:bottom w:val="outset" w:color="auto" w:sz="6" w:space="0"/>
              <w:right w:val="outset" w:color="auto" w:sz="6" w:space="0"/>
            </w:tcBorders>
            <w:noWrap w:val="0"/>
            <w:tcMar>
              <w:top w:w="0" w:type="dxa"/>
              <w:left w:w="117" w:type="dxa"/>
              <w:bottom w:w="0" w:type="dxa"/>
              <w:right w:w="117" w:type="dxa"/>
            </w:tcMar>
            <w:vAlign w:val="top"/>
          </w:tcPr>
          <w:p>
            <w:pPr>
              <w:keepNext w:val="0"/>
              <w:keepLines w:val="0"/>
              <w:pageBreakBefore w:val="0"/>
              <w:widowControl/>
              <w:shd w:val="clear"/>
              <w:kinsoku/>
              <w:wordWrap/>
              <w:overflowPunct/>
              <w:topLinePunct w:val="0"/>
              <w:autoSpaceDE/>
              <w:autoSpaceDN/>
              <w:bidi w:val="0"/>
              <w:snapToGrid/>
              <w:spacing w:line="400" w:lineRule="exact"/>
              <w:jc w:val="center"/>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3</w:t>
            </w:r>
          </w:p>
        </w:tc>
        <w:tc>
          <w:tcPr>
            <w:tcW w:w="2043" w:type="pct"/>
            <w:tcBorders>
              <w:top w:val="nil"/>
              <w:left w:val="nil"/>
              <w:bottom w:val="outset" w:color="auto" w:sz="6" w:space="0"/>
              <w:right w:val="outset" w:color="auto" w:sz="6" w:space="0"/>
            </w:tcBorders>
            <w:noWrap w:val="0"/>
            <w:tcMar>
              <w:top w:w="0" w:type="dxa"/>
              <w:left w:w="117" w:type="dxa"/>
              <w:bottom w:w="0" w:type="dxa"/>
              <w:right w:w="117" w:type="dxa"/>
            </w:tcMar>
            <w:vAlign w:val="top"/>
          </w:tcPr>
          <w:p>
            <w:pPr>
              <w:keepNext w:val="0"/>
              <w:keepLines w:val="0"/>
              <w:pageBreakBefore w:val="0"/>
              <w:widowControl/>
              <w:shd w:val="clear"/>
              <w:kinsoku/>
              <w:wordWrap/>
              <w:overflowPunct/>
              <w:topLinePunct w:val="0"/>
              <w:autoSpaceDE/>
              <w:autoSpaceDN/>
              <w:bidi w:val="0"/>
              <w:snapToGrid/>
              <w:spacing w:line="40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郊园路红绿灯花坛</w:t>
            </w:r>
          </w:p>
        </w:tc>
        <w:tc>
          <w:tcPr>
            <w:tcW w:w="934" w:type="pct"/>
            <w:tcBorders>
              <w:top w:val="nil"/>
              <w:left w:val="nil"/>
              <w:bottom w:val="outset" w:color="auto" w:sz="6" w:space="0"/>
              <w:right w:val="outset" w:color="auto" w:sz="6" w:space="0"/>
            </w:tcBorders>
            <w:noWrap w:val="0"/>
            <w:tcMar>
              <w:top w:w="0" w:type="dxa"/>
              <w:left w:w="117" w:type="dxa"/>
              <w:bottom w:w="0" w:type="dxa"/>
              <w:right w:w="117" w:type="dxa"/>
            </w:tcMar>
            <w:vAlign w:val="top"/>
          </w:tcPr>
          <w:p>
            <w:pPr>
              <w:keepNext w:val="0"/>
              <w:keepLines w:val="0"/>
              <w:pageBreakBefore w:val="0"/>
              <w:widowControl/>
              <w:shd w:val="clear"/>
              <w:kinsoku/>
              <w:wordWrap/>
              <w:overflowPunct/>
              <w:topLinePunct w:val="0"/>
              <w:autoSpaceDE/>
              <w:autoSpaceDN/>
              <w:bidi w:val="0"/>
              <w:snapToGrid/>
              <w:spacing w:line="40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624</w:t>
            </w:r>
          </w:p>
        </w:tc>
        <w:tc>
          <w:tcPr>
            <w:tcW w:w="477" w:type="pct"/>
            <w:tcBorders>
              <w:top w:val="nil"/>
              <w:left w:val="nil"/>
              <w:bottom w:val="outset" w:color="auto" w:sz="6" w:space="0"/>
              <w:right w:val="outset" w:color="auto" w:sz="6" w:space="0"/>
            </w:tcBorders>
            <w:noWrap w:val="0"/>
            <w:tcMar>
              <w:top w:w="0" w:type="dxa"/>
              <w:left w:w="117" w:type="dxa"/>
              <w:bottom w:w="0" w:type="dxa"/>
              <w:right w:w="117" w:type="dxa"/>
            </w:tcMar>
            <w:vAlign w:val="top"/>
          </w:tcPr>
          <w:p>
            <w:pPr>
              <w:keepNext w:val="0"/>
              <w:keepLines w:val="0"/>
              <w:pageBreakBefore w:val="0"/>
              <w:widowControl/>
              <w:shd w:val="clear"/>
              <w:kinsoku/>
              <w:wordWrap/>
              <w:overflowPunct/>
              <w:topLinePunct w:val="0"/>
              <w:autoSpaceDE/>
              <w:autoSpaceDN/>
              <w:bidi w:val="0"/>
              <w:snapToGrid/>
              <w:spacing w:line="400" w:lineRule="exact"/>
              <w:jc w:val="center"/>
              <w:rPr>
                <w:rFonts w:ascii="宋体" w:hAnsi="宋体" w:eastAsia="宋体" w:cs="宋体"/>
                <w:color w:val="auto"/>
                <w:kern w:val="0"/>
                <w:sz w:val="24"/>
                <w:szCs w:val="24"/>
                <w:highlight w:val="none"/>
              </w:rPr>
            </w:pPr>
          </w:p>
        </w:tc>
        <w:tc>
          <w:tcPr>
            <w:tcW w:w="1125" w:type="pct"/>
            <w:tcBorders>
              <w:top w:val="nil"/>
              <w:left w:val="nil"/>
              <w:bottom w:val="outset" w:color="auto" w:sz="6" w:space="0"/>
              <w:right w:val="outset" w:color="auto" w:sz="6" w:space="0"/>
            </w:tcBorders>
            <w:noWrap w:val="0"/>
            <w:tcMar>
              <w:top w:w="0" w:type="dxa"/>
              <w:left w:w="117" w:type="dxa"/>
              <w:bottom w:w="0" w:type="dxa"/>
              <w:right w:w="117" w:type="dxa"/>
            </w:tcMar>
            <w:vAlign w:val="top"/>
          </w:tcPr>
          <w:p>
            <w:pPr>
              <w:keepNext w:val="0"/>
              <w:keepLines w:val="0"/>
              <w:pageBreakBefore w:val="0"/>
              <w:widowControl/>
              <w:shd w:val="clear"/>
              <w:kinsoku/>
              <w:wordWrap/>
              <w:overflowPunct/>
              <w:topLinePunct w:val="0"/>
              <w:autoSpaceDE/>
              <w:autoSpaceDN/>
              <w:bidi w:val="0"/>
              <w:snapToGrid/>
              <w:spacing w:line="40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419" w:type="pct"/>
            <w:tcBorders>
              <w:top w:val="nil"/>
              <w:left w:val="outset" w:color="auto" w:sz="6" w:space="0"/>
              <w:bottom w:val="outset" w:color="auto" w:sz="6" w:space="0"/>
              <w:right w:val="outset" w:color="auto" w:sz="6" w:space="0"/>
            </w:tcBorders>
            <w:noWrap w:val="0"/>
            <w:tcMar>
              <w:top w:w="0" w:type="dxa"/>
              <w:left w:w="117" w:type="dxa"/>
              <w:bottom w:w="0" w:type="dxa"/>
              <w:right w:w="117" w:type="dxa"/>
            </w:tcMar>
            <w:vAlign w:val="top"/>
          </w:tcPr>
          <w:p>
            <w:pPr>
              <w:keepNext w:val="0"/>
              <w:keepLines w:val="0"/>
              <w:pageBreakBefore w:val="0"/>
              <w:widowControl/>
              <w:shd w:val="clear"/>
              <w:kinsoku/>
              <w:wordWrap/>
              <w:overflowPunct/>
              <w:topLinePunct w:val="0"/>
              <w:autoSpaceDE/>
              <w:autoSpaceDN/>
              <w:bidi w:val="0"/>
              <w:snapToGrid/>
              <w:spacing w:line="400" w:lineRule="exact"/>
              <w:jc w:val="center"/>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4</w:t>
            </w:r>
          </w:p>
        </w:tc>
        <w:tc>
          <w:tcPr>
            <w:tcW w:w="2043" w:type="pct"/>
            <w:tcBorders>
              <w:top w:val="nil"/>
              <w:left w:val="nil"/>
              <w:bottom w:val="outset" w:color="auto" w:sz="6" w:space="0"/>
              <w:right w:val="outset" w:color="auto" w:sz="6" w:space="0"/>
            </w:tcBorders>
            <w:noWrap w:val="0"/>
            <w:tcMar>
              <w:top w:w="0" w:type="dxa"/>
              <w:left w:w="117" w:type="dxa"/>
              <w:bottom w:w="0" w:type="dxa"/>
              <w:right w:w="117" w:type="dxa"/>
            </w:tcMar>
            <w:vAlign w:val="top"/>
          </w:tcPr>
          <w:p>
            <w:pPr>
              <w:keepNext w:val="0"/>
              <w:keepLines w:val="0"/>
              <w:pageBreakBefore w:val="0"/>
              <w:widowControl/>
              <w:shd w:val="clear"/>
              <w:kinsoku/>
              <w:wordWrap/>
              <w:overflowPunct/>
              <w:topLinePunct w:val="0"/>
              <w:autoSpaceDE/>
              <w:autoSpaceDN/>
              <w:bidi w:val="0"/>
              <w:snapToGrid/>
              <w:spacing w:line="40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埕埔路</w:t>
            </w:r>
          </w:p>
        </w:tc>
        <w:tc>
          <w:tcPr>
            <w:tcW w:w="934" w:type="pct"/>
            <w:tcBorders>
              <w:top w:val="nil"/>
              <w:left w:val="nil"/>
              <w:bottom w:val="outset" w:color="auto" w:sz="6" w:space="0"/>
              <w:right w:val="outset" w:color="auto" w:sz="6" w:space="0"/>
            </w:tcBorders>
            <w:noWrap w:val="0"/>
            <w:tcMar>
              <w:top w:w="0" w:type="dxa"/>
              <w:left w:w="117" w:type="dxa"/>
              <w:bottom w:w="0" w:type="dxa"/>
              <w:right w:w="117" w:type="dxa"/>
            </w:tcMar>
            <w:vAlign w:val="top"/>
          </w:tcPr>
          <w:p>
            <w:pPr>
              <w:keepNext w:val="0"/>
              <w:keepLines w:val="0"/>
              <w:pageBreakBefore w:val="0"/>
              <w:widowControl/>
              <w:shd w:val="clear"/>
              <w:kinsoku/>
              <w:wordWrap/>
              <w:overflowPunct/>
              <w:topLinePunct w:val="0"/>
              <w:autoSpaceDE/>
              <w:autoSpaceDN/>
              <w:bidi w:val="0"/>
              <w:snapToGrid/>
              <w:spacing w:line="40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1560</w:t>
            </w:r>
          </w:p>
        </w:tc>
        <w:tc>
          <w:tcPr>
            <w:tcW w:w="477" w:type="pct"/>
            <w:tcBorders>
              <w:top w:val="nil"/>
              <w:left w:val="nil"/>
              <w:bottom w:val="outset" w:color="auto" w:sz="6" w:space="0"/>
              <w:right w:val="outset" w:color="auto" w:sz="6" w:space="0"/>
            </w:tcBorders>
            <w:noWrap w:val="0"/>
            <w:tcMar>
              <w:top w:w="0" w:type="dxa"/>
              <w:left w:w="117" w:type="dxa"/>
              <w:bottom w:w="0" w:type="dxa"/>
              <w:right w:w="117" w:type="dxa"/>
            </w:tcMar>
            <w:vAlign w:val="top"/>
          </w:tcPr>
          <w:p>
            <w:pPr>
              <w:keepNext w:val="0"/>
              <w:keepLines w:val="0"/>
              <w:pageBreakBefore w:val="0"/>
              <w:widowControl/>
              <w:shd w:val="clear"/>
              <w:kinsoku/>
              <w:wordWrap/>
              <w:overflowPunct/>
              <w:topLinePunct w:val="0"/>
              <w:autoSpaceDE/>
              <w:autoSpaceDN/>
              <w:bidi w:val="0"/>
              <w:snapToGrid/>
              <w:spacing w:line="400" w:lineRule="exact"/>
              <w:jc w:val="center"/>
              <w:rPr>
                <w:rFonts w:ascii="宋体" w:hAnsi="宋体" w:eastAsia="宋体" w:cs="宋体"/>
                <w:color w:val="auto"/>
                <w:kern w:val="0"/>
                <w:sz w:val="24"/>
                <w:szCs w:val="24"/>
                <w:highlight w:val="none"/>
              </w:rPr>
            </w:pPr>
          </w:p>
        </w:tc>
        <w:tc>
          <w:tcPr>
            <w:tcW w:w="1125" w:type="pct"/>
            <w:tcBorders>
              <w:top w:val="nil"/>
              <w:left w:val="nil"/>
              <w:bottom w:val="outset" w:color="auto" w:sz="6" w:space="0"/>
              <w:right w:val="outset" w:color="auto" w:sz="6" w:space="0"/>
            </w:tcBorders>
            <w:noWrap w:val="0"/>
            <w:tcMar>
              <w:top w:w="0" w:type="dxa"/>
              <w:left w:w="117" w:type="dxa"/>
              <w:bottom w:w="0" w:type="dxa"/>
              <w:right w:w="117" w:type="dxa"/>
            </w:tcMar>
            <w:vAlign w:val="top"/>
          </w:tcPr>
          <w:p>
            <w:pPr>
              <w:keepNext w:val="0"/>
              <w:keepLines w:val="0"/>
              <w:pageBreakBefore w:val="0"/>
              <w:widowControl/>
              <w:shd w:val="clear"/>
              <w:kinsoku/>
              <w:wordWrap/>
              <w:overflowPunct/>
              <w:topLinePunct w:val="0"/>
              <w:autoSpaceDE/>
              <w:autoSpaceDN/>
              <w:bidi w:val="0"/>
              <w:snapToGrid/>
              <w:spacing w:line="400" w:lineRule="exact"/>
              <w:jc w:val="center"/>
              <w:rPr>
                <w:rFonts w:ascii="宋体" w:hAnsi="宋体" w:eastAsia="宋体" w:cs="宋体"/>
                <w:color w:val="auto"/>
                <w:kern w:val="0"/>
                <w:sz w:val="24"/>
                <w:szCs w:val="24"/>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419" w:type="pct"/>
            <w:tcBorders>
              <w:top w:val="nil"/>
              <w:left w:val="outset" w:color="auto" w:sz="6" w:space="0"/>
              <w:bottom w:val="outset" w:color="auto" w:sz="6" w:space="0"/>
              <w:right w:val="outset" w:color="auto" w:sz="6" w:space="0"/>
            </w:tcBorders>
            <w:noWrap w:val="0"/>
            <w:tcMar>
              <w:top w:w="0" w:type="dxa"/>
              <w:left w:w="117" w:type="dxa"/>
              <w:bottom w:w="0" w:type="dxa"/>
              <w:right w:w="117" w:type="dxa"/>
            </w:tcMar>
            <w:vAlign w:val="top"/>
          </w:tcPr>
          <w:p>
            <w:pPr>
              <w:keepNext w:val="0"/>
              <w:keepLines w:val="0"/>
              <w:pageBreakBefore w:val="0"/>
              <w:widowControl/>
              <w:shd w:val="clear"/>
              <w:kinsoku/>
              <w:wordWrap/>
              <w:overflowPunct/>
              <w:topLinePunct w:val="0"/>
              <w:autoSpaceDE/>
              <w:autoSpaceDN/>
              <w:bidi w:val="0"/>
              <w:snapToGrid/>
              <w:spacing w:line="400" w:lineRule="exact"/>
              <w:jc w:val="center"/>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5</w:t>
            </w:r>
          </w:p>
        </w:tc>
        <w:tc>
          <w:tcPr>
            <w:tcW w:w="2043" w:type="pct"/>
            <w:tcBorders>
              <w:top w:val="nil"/>
              <w:left w:val="nil"/>
              <w:bottom w:val="outset" w:color="auto" w:sz="6" w:space="0"/>
              <w:right w:val="outset" w:color="auto" w:sz="6" w:space="0"/>
            </w:tcBorders>
            <w:noWrap w:val="0"/>
            <w:tcMar>
              <w:top w:w="0" w:type="dxa"/>
              <w:left w:w="117" w:type="dxa"/>
              <w:bottom w:w="0" w:type="dxa"/>
              <w:right w:w="117" w:type="dxa"/>
            </w:tcMar>
            <w:vAlign w:val="top"/>
          </w:tcPr>
          <w:p>
            <w:pPr>
              <w:keepNext w:val="0"/>
              <w:keepLines w:val="0"/>
              <w:pageBreakBefore w:val="0"/>
              <w:widowControl/>
              <w:shd w:val="clear"/>
              <w:kinsoku/>
              <w:wordWrap/>
              <w:overflowPunct/>
              <w:topLinePunct w:val="0"/>
              <w:autoSpaceDE/>
              <w:autoSpaceDN/>
              <w:bidi w:val="0"/>
              <w:snapToGrid/>
              <w:spacing w:line="40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埕边匝道</w:t>
            </w:r>
          </w:p>
        </w:tc>
        <w:tc>
          <w:tcPr>
            <w:tcW w:w="934" w:type="pct"/>
            <w:tcBorders>
              <w:top w:val="nil"/>
              <w:left w:val="nil"/>
              <w:bottom w:val="outset" w:color="auto" w:sz="6" w:space="0"/>
              <w:right w:val="outset" w:color="auto" w:sz="6" w:space="0"/>
            </w:tcBorders>
            <w:noWrap w:val="0"/>
            <w:tcMar>
              <w:top w:w="0" w:type="dxa"/>
              <w:left w:w="117" w:type="dxa"/>
              <w:bottom w:w="0" w:type="dxa"/>
              <w:right w:w="117" w:type="dxa"/>
            </w:tcMar>
            <w:vAlign w:val="top"/>
          </w:tcPr>
          <w:p>
            <w:pPr>
              <w:keepNext w:val="0"/>
              <w:keepLines w:val="0"/>
              <w:pageBreakBefore w:val="0"/>
              <w:widowControl/>
              <w:shd w:val="clear"/>
              <w:kinsoku/>
              <w:wordWrap/>
              <w:overflowPunct/>
              <w:topLinePunct w:val="0"/>
              <w:autoSpaceDE/>
              <w:autoSpaceDN/>
              <w:bidi w:val="0"/>
              <w:snapToGrid/>
              <w:spacing w:line="40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339</w:t>
            </w:r>
          </w:p>
        </w:tc>
        <w:tc>
          <w:tcPr>
            <w:tcW w:w="477" w:type="pct"/>
            <w:tcBorders>
              <w:top w:val="nil"/>
              <w:left w:val="nil"/>
              <w:bottom w:val="outset" w:color="auto" w:sz="6" w:space="0"/>
              <w:right w:val="outset" w:color="auto" w:sz="6" w:space="0"/>
            </w:tcBorders>
            <w:noWrap w:val="0"/>
            <w:tcMar>
              <w:top w:w="0" w:type="dxa"/>
              <w:left w:w="117" w:type="dxa"/>
              <w:bottom w:w="0" w:type="dxa"/>
              <w:right w:w="117" w:type="dxa"/>
            </w:tcMar>
            <w:vAlign w:val="top"/>
          </w:tcPr>
          <w:p>
            <w:pPr>
              <w:keepNext w:val="0"/>
              <w:keepLines w:val="0"/>
              <w:pageBreakBefore w:val="0"/>
              <w:widowControl/>
              <w:shd w:val="clear"/>
              <w:kinsoku/>
              <w:wordWrap/>
              <w:overflowPunct/>
              <w:topLinePunct w:val="0"/>
              <w:autoSpaceDE/>
              <w:autoSpaceDN/>
              <w:bidi w:val="0"/>
              <w:snapToGrid/>
              <w:spacing w:line="40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18</w:t>
            </w:r>
          </w:p>
        </w:tc>
        <w:tc>
          <w:tcPr>
            <w:tcW w:w="1125" w:type="pct"/>
            <w:tcBorders>
              <w:top w:val="nil"/>
              <w:left w:val="nil"/>
              <w:bottom w:val="outset" w:color="auto" w:sz="6" w:space="0"/>
              <w:right w:val="outset" w:color="auto" w:sz="6" w:space="0"/>
            </w:tcBorders>
            <w:noWrap w:val="0"/>
            <w:tcMar>
              <w:top w:w="0" w:type="dxa"/>
              <w:left w:w="117" w:type="dxa"/>
              <w:bottom w:w="0" w:type="dxa"/>
              <w:right w:w="117" w:type="dxa"/>
            </w:tcMar>
            <w:vAlign w:val="top"/>
          </w:tcPr>
          <w:p>
            <w:pPr>
              <w:keepNext w:val="0"/>
              <w:keepLines w:val="0"/>
              <w:pageBreakBefore w:val="0"/>
              <w:widowControl/>
              <w:shd w:val="clear"/>
              <w:kinsoku/>
              <w:wordWrap/>
              <w:overflowPunct/>
              <w:topLinePunct w:val="0"/>
              <w:autoSpaceDE/>
              <w:autoSpaceDN/>
              <w:bidi w:val="0"/>
              <w:snapToGrid/>
              <w:spacing w:line="40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419" w:type="pct"/>
            <w:tcBorders>
              <w:top w:val="nil"/>
              <w:left w:val="outset" w:color="auto" w:sz="6" w:space="0"/>
              <w:bottom w:val="outset" w:color="auto" w:sz="6" w:space="0"/>
              <w:right w:val="outset" w:color="auto" w:sz="6" w:space="0"/>
            </w:tcBorders>
            <w:noWrap w:val="0"/>
            <w:tcMar>
              <w:top w:w="0" w:type="dxa"/>
              <w:left w:w="117" w:type="dxa"/>
              <w:bottom w:w="0" w:type="dxa"/>
              <w:right w:w="117" w:type="dxa"/>
            </w:tcMar>
            <w:vAlign w:val="top"/>
          </w:tcPr>
          <w:p>
            <w:pPr>
              <w:keepNext w:val="0"/>
              <w:keepLines w:val="0"/>
              <w:pageBreakBefore w:val="0"/>
              <w:widowControl/>
              <w:shd w:val="clear"/>
              <w:kinsoku/>
              <w:wordWrap/>
              <w:overflowPunct/>
              <w:topLinePunct w:val="0"/>
              <w:autoSpaceDE/>
              <w:autoSpaceDN/>
              <w:bidi w:val="0"/>
              <w:snapToGrid/>
              <w:spacing w:line="400" w:lineRule="exact"/>
              <w:jc w:val="center"/>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6</w:t>
            </w:r>
          </w:p>
        </w:tc>
        <w:tc>
          <w:tcPr>
            <w:tcW w:w="2043" w:type="pct"/>
            <w:tcBorders>
              <w:top w:val="nil"/>
              <w:left w:val="nil"/>
              <w:bottom w:val="outset" w:color="auto" w:sz="6" w:space="0"/>
              <w:right w:val="outset" w:color="auto" w:sz="6" w:space="0"/>
            </w:tcBorders>
            <w:noWrap w:val="0"/>
            <w:tcMar>
              <w:top w:w="0" w:type="dxa"/>
              <w:left w:w="117" w:type="dxa"/>
              <w:bottom w:w="0" w:type="dxa"/>
              <w:right w:w="117" w:type="dxa"/>
            </w:tcMar>
            <w:vAlign w:val="top"/>
          </w:tcPr>
          <w:p>
            <w:pPr>
              <w:keepNext w:val="0"/>
              <w:keepLines w:val="0"/>
              <w:pageBreakBefore w:val="0"/>
              <w:widowControl/>
              <w:shd w:val="clear"/>
              <w:kinsoku/>
              <w:wordWrap/>
              <w:overflowPunct/>
              <w:topLinePunct w:val="0"/>
              <w:autoSpaceDE/>
              <w:autoSpaceDN/>
              <w:bidi w:val="0"/>
              <w:snapToGrid/>
              <w:spacing w:line="40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郊园路红绿灯至圣岭红绿灯</w:t>
            </w:r>
          </w:p>
        </w:tc>
        <w:tc>
          <w:tcPr>
            <w:tcW w:w="934" w:type="pct"/>
            <w:tcBorders>
              <w:top w:val="nil"/>
              <w:left w:val="nil"/>
              <w:bottom w:val="outset" w:color="auto" w:sz="6" w:space="0"/>
              <w:right w:val="outset" w:color="auto" w:sz="6" w:space="0"/>
            </w:tcBorders>
            <w:noWrap w:val="0"/>
            <w:tcMar>
              <w:top w:w="0" w:type="dxa"/>
              <w:left w:w="117" w:type="dxa"/>
              <w:bottom w:w="0" w:type="dxa"/>
              <w:right w:w="117" w:type="dxa"/>
            </w:tcMar>
            <w:vAlign w:val="top"/>
          </w:tcPr>
          <w:p>
            <w:pPr>
              <w:keepNext w:val="0"/>
              <w:keepLines w:val="0"/>
              <w:pageBreakBefore w:val="0"/>
              <w:widowControl/>
              <w:shd w:val="clear"/>
              <w:kinsoku/>
              <w:wordWrap/>
              <w:overflowPunct/>
              <w:topLinePunct w:val="0"/>
              <w:autoSpaceDE/>
              <w:autoSpaceDN/>
              <w:bidi w:val="0"/>
              <w:snapToGrid/>
              <w:spacing w:line="40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1250</w:t>
            </w:r>
          </w:p>
        </w:tc>
        <w:tc>
          <w:tcPr>
            <w:tcW w:w="477" w:type="pct"/>
            <w:tcBorders>
              <w:top w:val="nil"/>
              <w:left w:val="nil"/>
              <w:bottom w:val="outset" w:color="auto" w:sz="6" w:space="0"/>
              <w:right w:val="outset" w:color="auto" w:sz="6" w:space="0"/>
            </w:tcBorders>
            <w:noWrap w:val="0"/>
            <w:tcMar>
              <w:top w:w="0" w:type="dxa"/>
              <w:left w:w="117" w:type="dxa"/>
              <w:bottom w:w="0" w:type="dxa"/>
              <w:right w:w="117" w:type="dxa"/>
            </w:tcMar>
            <w:vAlign w:val="top"/>
          </w:tcPr>
          <w:p>
            <w:pPr>
              <w:keepNext w:val="0"/>
              <w:keepLines w:val="0"/>
              <w:pageBreakBefore w:val="0"/>
              <w:widowControl/>
              <w:shd w:val="clear"/>
              <w:kinsoku/>
              <w:wordWrap/>
              <w:overflowPunct/>
              <w:topLinePunct w:val="0"/>
              <w:autoSpaceDE/>
              <w:autoSpaceDN/>
              <w:bidi w:val="0"/>
              <w:snapToGrid/>
              <w:spacing w:line="400" w:lineRule="exact"/>
              <w:jc w:val="center"/>
              <w:rPr>
                <w:rFonts w:ascii="宋体" w:hAnsi="宋体" w:eastAsia="宋体" w:cs="宋体"/>
                <w:color w:val="auto"/>
                <w:kern w:val="0"/>
                <w:sz w:val="24"/>
                <w:szCs w:val="24"/>
                <w:highlight w:val="none"/>
              </w:rPr>
            </w:pPr>
          </w:p>
        </w:tc>
        <w:tc>
          <w:tcPr>
            <w:tcW w:w="1125" w:type="pct"/>
            <w:tcBorders>
              <w:top w:val="nil"/>
              <w:left w:val="nil"/>
              <w:bottom w:val="outset" w:color="auto" w:sz="6" w:space="0"/>
              <w:right w:val="outset" w:color="auto" w:sz="6" w:space="0"/>
            </w:tcBorders>
            <w:noWrap w:val="0"/>
            <w:tcMar>
              <w:top w:w="0" w:type="dxa"/>
              <w:left w:w="117" w:type="dxa"/>
              <w:bottom w:w="0" w:type="dxa"/>
              <w:right w:w="117" w:type="dxa"/>
            </w:tcMar>
            <w:vAlign w:val="top"/>
          </w:tcPr>
          <w:p>
            <w:pPr>
              <w:keepNext w:val="0"/>
              <w:keepLines w:val="0"/>
              <w:pageBreakBefore w:val="0"/>
              <w:widowControl/>
              <w:shd w:val="clear"/>
              <w:kinsoku/>
              <w:wordWrap/>
              <w:overflowPunct/>
              <w:topLinePunct w:val="0"/>
              <w:autoSpaceDE/>
              <w:autoSpaceDN/>
              <w:bidi w:val="0"/>
              <w:snapToGrid/>
              <w:spacing w:line="400" w:lineRule="exact"/>
              <w:jc w:val="center"/>
              <w:rPr>
                <w:rFonts w:ascii="宋体" w:hAnsi="宋体" w:eastAsia="宋体" w:cs="宋体"/>
                <w:color w:val="auto"/>
                <w:kern w:val="0"/>
                <w:sz w:val="24"/>
                <w:szCs w:val="24"/>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419" w:type="pct"/>
            <w:tcBorders>
              <w:top w:val="nil"/>
              <w:left w:val="outset" w:color="auto" w:sz="6" w:space="0"/>
              <w:bottom w:val="outset" w:color="auto" w:sz="6" w:space="0"/>
              <w:right w:val="outset" w:color="auto" w:sz="6" w:space="0"/>
            </w:tcBorders>
            <w:noWrap w:val="0"/>
            <w:tcMar>
              <w:top w:w="0" w:type="dxa"/>
              <w:left w:w="117" w:type="dxa"/>
              <w:bottom w:w="0" w:type="dxa"/>
              <w:right w:w="117" w:type="dxa"/>
            </w:tcMar>
            <w:vAlign w:val="top"/>
          </w:tcPr>
          <w:p>
            <w:pPr>
              <w:keepNext w:val="0"/>
              <w:keepLines w:val="0"/>
              <w:pageBreakBefore w:val="0"/>
              <w:widowControl/>
              <w:shd w:val="clear"/>
              <w:kinsoku/>
              <w:wordWrap/>
              <w:overflowPunct/>
              <w:topLinePunct w:val="0"/>
              <w:autoSpaceDE/>
              <w:autoSpaceDN/>
              <w:bidi w:val="0"/>
              <w:snapToGrid/>
              <w:spacing w:line="400" w:lineRule="exact"/>
              <w:jc w:val="center"/>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7</w:t>
            </w:r>
          </w:p>
        </w:tc>
        <w:tc>
          <w:tcPr>
            <w:tcW w:w="2043" w:type="pct"/>
            <w:tcBorders>
              <w:top w:val="nil"/>
              <w:left w:val="nil"/>
              <w:bottom w:val="outset" w:color="auto" w:sz="6" w:space="0"/>
              <w:right w:val="outset" w:color="auto" w:sz="6" w:space="0"/>
            </w:tcBorders>
            <w:noWrap w:val="0"/>
            <w:tcMar>
              <w:top w:w="0" w:type="dxa"/>
              <w:left w:w="117" w:type="dxa"/>
              <w:bottom w:w="0" w:type="dxa"/>
              <w:right w:w="117" w:type="dxa"/>
            </w:tcMar>
            <w:vAlign w:val="top"/>
          </w:tcPr>
          <w:p>
            <w:pPr>
              <w:keepNext w:val="0"/>
              <w:keepLines w:val="0"/>
              <w:pageBreakBefore w:val="0"/>
              <w:widowControl/>
              <w:shd w:val="clear"/>
              <w:kinsoku/>
              <w:wordWrap/>
              <w:overflowPunct/>
              <w:topLinePunct w:val="0"/>
              <w:autoSpaceDE/>
              <w:autoSpaceDN/>
              <w:bidi w:val="0"/>
              <w:snapToGrid/>
              <w:spacing w:line="40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国道两侧</w:t>
            </w:r>
          </w:p>
        </w:tc>
        <w:tc>
          <w:tcPr>
            <w:tcW w:w="934" w:type="pct"/>
            <w:tcBorders>
              <w:top w:val="nil"/>
              <w:left w:val="nil"/>
              <w:bottom w:val="outset" w:color="auto" w:sz="6" w:space="0"/>
              <w:right w:val="outset" w:color="auto" w:sz="6" w:space="0"/>
            </w:tcBorders>
            <w:noWrap w:val="0"/>
            <w:tcMar>
              <w:top w:w="0" w:type="dxa"/>
              <w:left w:w="117" w:type="dxa"/>
              <w:bottom w:w="0" w:type="dxa"/>
              <w:right w:w="117" w:type="dxa"/>
            </w:tcMar>
            <w:vAlign w:val="top"/>
          </w:tcPr>
          <w:p>
            <w:pPr>
              <w:keepNext w:val="0"/>
              <w:keepLines w:val="0"/>
              <w:pageBreakBefore w:val="0"/>
              <w:widowControl/>
              <w:shd w:val="clear"/>
              <w:kinsoku/>
              <w:wordWrap/>
              <w:overflowPunct/>
              <w:topLinePunct w:val="0"/>
              <w:autoSpaceDE/>
              <w:autoSpaceDN/>
              <w:bidi w:val="0"/>
              <w:snapToGrid/>
              <w:spacing w:line="400" w:lineRule="exact"/>
              <w:jc w:val="center"/>
              <w:rPr>
                <w:rFonts w:ascii="宋体" w:hAnsi="宋体" w:eastAsia="宋体" w:cs="宋体"/>
                <w:color w:val="auto"/>
                <w:kern w:val="0"/>
                <w:sz w:val="24"/>
                <w:szCs w:val="24"/>
                <w:highlight w:val="none"/>
              </w:rPr>
            </w:pPr>
          </w:p>
        </w:tc>
        <w:tc>
          <w:tcPr>
            <w:tcW w:w="477" w:type="pct"/>
            <w:tcBorders>
              <w:top w:val="nil"/>
              <w:left w:val="nil"/>
              <w:bottom w:val="outset" w:color="auto" w:sz="6" w:space="0"/>
              <w:right w:val="outset" w:color="auto" w:sz="6" w:space="0"/>
            </w:tcBorders>
            <w:noWrap w:val="0"/>
            <w:tcMar>
              <w:top w:w="0" w:type="dxa"/>
              <w:left w:w="117" w:type="dxa"/>
              <w:bottom w:w="0" w:type="dxa"/>
              <w:right w:w="117" w:type="dxa"/>
            </w:tcMar>
            <w:vAlign w:val="top"/>
          </w:tcPr>
          <w:p>
            <w:pPr>
              <w:keepNext w:val="0"/>
              <w:keepLines w:val="0"/>
              <w:pageBreakBefore w:val="0"/>
              <w:widowControl/>
              <w:shd w:val="clear"/>
              <w:kinsoku/>
              <w:wordWrap/>
              <w:overflowPunct/>
              <w:topLinePunct w:val="0"/>
              <w:autoSpaceDE/>
              <w:autoSpaceDN/>
              <w:bidi w:val="0"/>
              <w:snapToGrid/>
              <w:spacing w:line="400" w:lineRule="exact"/>
              <w:jc w:val="center"/>
              <w:rPr>
                <w:rFonts w:ascii="宋体" w:hAnsi="宋体" w:eastAsia="宋体" w:cs="宋体"/>
                <w:color w:val="auto"/>
                <w:kern w:val="0"/>
                <w:sz w:val="24"/>
                <w:szCs w:val="24"/>
                <w:highlight w:val="none"/>
              </w:rPr>
            </w:pPr>
          </w:p>
        </w:tc>
        <w:tc>
          <w:tcPr>
            <w:tcW w:w="1125" w:type="pct"/>
            <w:tcBorders>
              <w:top w:val="nil"/>
              <w:left w:val="nil"/>
              <w:bottom w:val="outset" w:color="auto" w:sz="6" w:space="0"/>
              <w:right w:val="outset" w:color="auto" w:sz="6" w:space="0"/>
            </w:tcBorders>
            <w:noWrap w:val="0"/>
            <w:tcMar>
              <w:top w:w="0" w:type="dxa"/>
              <w:left w:w="117" w:type="dxa"/>
              <w:bottom w:w="0" w:type="dxa"/>
              <w:right w:w="117" w:type="dxa"/>
            </w:tcMar>
            <w:vAlign w:val="top"/>
          </w:tcPr>
          <w:p>
            <w:pPr>
              <w:keepNext w:val="0"/>
              <w:keepLines w:val="0"/>
              <w:pageBreakBefore w:val="0"/>
              <w:widowControl/>
              <w:shd w:val="clear"/>
              <w:kinsoku/>
              <w:wordWrap/>
              <w:overflowPunct/>
              <w:topLinePunct w:val="0"/>
              <w:autoSpaceDE/>
              <w:autoSpaceDN/>
              <w:bidi w:val="0"/>
              <w:snapToGrid/>
              <w:spacing w:line="40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450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419" w:type="pct"/>
            <w:tcBorders>
              <w:top w:val="nil"/>
              <w:left w:val="outset" w:color="auto" w:sz="6" w:space="0"/>
              <w:bottom w:val="outset" w:color="auto" w:sz="6" w:space="0"/>
              <w:right w:val="outset" w:color="auto" w:sz="6" w:space="0"/>
            </w:tcBorders>
            <w:noWrap w:val="0"/>
            <w:tcMar>
              <w:top w:w="0" w:type="dxa"/>
              <w:left w:w="117" w:type="dxa"/>
              <w:bottom w:w="0" w:type="dxa"/>
              <w:right w:w="117" w:type="dxa"/>
            </w:tcMar>
            <w:vAlign w:val="top"/>
          </w:tcPr>
          <w:p>
            <w:pPr>
              <w:keepNext w:val="0"/>
              <w:keepLines w:val="0"/>
              <w:pageBreakBefore w:val="0"/>
              <w:widowControl/>
              <w:shd w:val="clear"/>
              <w:kinsoku/>
              <w:wordWrap/>
              <w:overflowPunct/>
              <w:topLinePunct w:val="0"/>
              <w:autoSpaceDE/>
              <w:autoSpaceDN/>
              <w:bidi w:val="0"/>
              <w:snapToGrid/>
              <w:spacing w:line="400" w:lineRule="exact"/>
              <w:jc w:val="center"/>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8</w:t>
            </w:r>
          </w:p>
        </w:tc>
        <w:tc>
          <w:tcPr>
            <w:tcW w:w="2043" w:type="pct"/>
            <w:tcBorders>
              <w:top w:val="nil"/>
              <w:left w:val="nil"/>
              <w:bottom w:val="outset" w:color="auto" w:sz="6" w:space="0"/>
              <w:right w:val="outset" w:color="auto" w:sz="6" w:space="0"/>
            </w:tcBorders>
            <w:noWrap w:val="0"/>
            <w:tcMar>
              <w:top w:w="0" w:type="dxa"/>
              <w:left w:w="117" w:type="dxa"/>
              <w:bottom w:w="0" w:type="dxa"/>
              <w:right w:w="117" w:type="dxa"/>
            </w:tcMar>
            <w:vAlign w:val="top"/>
          </w:tcPr>
          <w:p>
            <w:pPr>
              <w:keepNext w:val="0"/>
              <w:keepLines w:val="0"/>
              <w:pageBreakBefore w:val="0"/>
              <w:widowControl/>
              <w:shd w:val="clear"/>
              <w:kinsoku/>
              <w:wordWrap/>
              <w:overflowPunct/>
              <w:topLinePunct w:val="0"/>
              <w:autoSpaceDE/>
              <w:autoSpaceDN/>
              <w:bidi w:val="0"/>
              <w:snapToGrid/>
              <w:spacing w:line="40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梅塘-东湖县道两侧</w:t>
            </w:r>
          </w:p>
        </w:tc>
        <w:tc>
          <w:tcPr>
            <w:tcW w:w="934" w:type="pct"/>
            <w:tcBorders>
              <w:top w:val="nil"/>
              <w:left w:val="nil"/>
              <w:bottom w:val="outset" w:color="auto" w:sz="6" w:space="0"/>
              <w:right w:val="outset" w:color="auto" w:sz="6" w:space="0"/>
            </w:tcBorders>
            <w:noWrap w:val="0"/>
            <w:tcMar>
              <w:top w:w="0" w:type="dxa"/>
              <w:left w:w="117" w:type="dxa"/>
              <w:bottom w:w="0" w:type="dxa"/>
              <w:right w:w="117" w:type="dxa"/>
            </w:tcMar>
            <w:vAlign w:val="top"/>
          </w:tcPr>
          <w:p>
            <w:pPr>
              <w:keepNext w:val="0"/>
              <w:keepLines w:val="0"/>
              <w:pageBreakBefore w:val="0"/>
              <w:widowControl/>
              <w:shd w:val="clear"/>
              <w:kinsoku/>
              <w:wordWrap/>
              <w:overflowPunct/>
              <w:topLinePunct w:val="0"/>
              <w:autoSpaceDE/>
              <w:autoSpaceDN/>
              <w:bidi w:val="0"/>
              <w:snapToGrid/>
              <w:spacing w:line="40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1700</w:t>
            </w:r>
          </w:p>
        </w:tc>
        <w:tc>
          <w:tcPr>
            <w:tcW w:w="477" w:type="pct"/>
            <w:tcBorders>
              <w:top w:val="nil"/>
              <w:left w:val="nil"/>
              <w:bottom w:val="outset" w:color="auto" w:sz="6" w:space="0"/>
              <w:right w:val="outset" w:color="auto" w:sz="6" w:space="0"/>
            </w:tcBorders>
            <w:noWrap w:val="0"/>
            <w:tcMar>
              <w:top w:w="0" w:type="dxa"/>
              <w:left w:w="117" w:type="dxa"/>
              <w:bottom w:w="0" w:type="dxa"/>
              <w:right w:w="117" w:type="dxa"/>
            </w:tcMar>
            <w:vAlign w:val="top"/>
          </w:tcPr>
          <w:p>
            <w:pPr>
              <w:keepNext w:val="0"/>
              <w:keepLines w:val="0"/>
              <w:pageBreakBefore w:val="0"/>
              <w:widowControl/>
              <w:shd w:val="clear"/>
              <w:kinsoku/>
              <w:wordWrap/>
              <w:overflowPunct/>
              <w:topLinePunct w:val="0"/>
              <w:autoSpaceDE/>
              <w:autoSpaceDN/>
              <w:bidi w:val="0"/>
              <w:snapToGrid/>
              <w:spacing w:line="400" w:lineRule="exact"/>
              <w:jc w:val="center"/>
              <w:rPr>
                <w:rFonts w:ascii="宋体" w:hAnsi="宋体" w:eastAsia="宋体" w:cs="宋体"/>
                <w:color w:val="auto"/>
                <w:kern w:val="0"/>
                <w:sz w:val="24"/>
                <w:szCs w:val="24"/>
                <w:highlight w:val="none"/>
              </w:rPr>
            </w:pPr>
          </w:p>
        </w:tc>
        <w:tc>
          <w:tcPr>
            <w:tcW w:w="1125" w:type="pct"/>
            <w:tcBorders>
              <w:top w:val="nil"/>
              <w:left w:val="nil"/>
              <w:bottom w:val="outset" w:color="auto" w:sz="6" w:space="0"/>
              <w:right w:val="outset" w:color="auto" w:sz="6" w:space="0"/>
            </w:tcBorders>
            <w:noWrap w:val="0"/>
            <w:tcMar>
              <w:top w:w="0" w:type="dxa"/>
              <w:left w:w="117" w:type="dxa"/>
              <w:bottom w:w="0" w:type="dxa"/>
              <w:right w:w="117" w:type="dxa"/>
            </w:tcMar>
            <w:vAlign w:val="top"/>
          </w:tcPr>
          <w:p>
            <w:pPr>
              <w:keepNext w:val="0"/>
              <w:keepLines w:val="0"/>
              <w:pageBreakBefore w:val="0"/>
              <w:widowControl/>
              <w:shd w:val="clear"/>
              <w:kinsoku/>
              <w:wordWrap/>
              <w:overflowPunct/>
              <w:topLinePunct w:val="0"/>
              <w:autoSpaceDE/>
              <w:autoSpaceDN/>
              <w:bidi w:val="0"/>
              <w:snapToGrid/>
              <w:spacing w:line="400" w:lineRule="exact"/>
              <w:jc w:val="center"/>
              <w:rPr>
                <w:rFonts w:ascii="宋体" w:hAnsi="宋体" w:eastAsia="宋体" w:cs="宋体"/>
                <w:color w:val="auto"/>
                <w:kern w:val="0"/>
                <w:sz w:val="24"/>
                <w:szCs w:val="24"/>
                <w:highlight w:val="none"/>
              </w:rPr>
            </w:pPr>
          </w:p>
        </w:tc>
      </w:tr>
    </w:tbl>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firstLine="482" w:firstLineChars="200"/>
        <w:textAlignment w:val="auto"/>
        <w:rPr>
          <w:rFonts w:hint="eastAsia" w:ascii="宋体" w:hAnsi="宋体" w:eastAsia="宋体" w:cs="宋体"/>
          <w:i w:val="0"/>
          <w:iCs w:val="0"/>
          <w:caps w:val="0"/>
          <w:color w:val="auto"/>
          <w:spacing w:val="0"/>
          <w:sz w:val="24"/>
          <w:szCs w:val="24"/>
          <w:highlight w:val="none"/>
        </w:rPr>
      </w:pPr>
      <w:r>
        <w:rPr>
          <w:rStyle w:val="9"/>
          <w:rFonts w:hint="eastAsia" w:ascii="宋体" w:hAnsi="宋体" w:eastAsia="宋体" w:cs="宋体"/>
          <w:i w:val="0"/>
          <w:iCs w:val="0"/>
          <w:caps w:val="0"/>
          <w:color w:val="auto"/>
          <w:spacing w:val="0"/>
          <w:sz w:val="24"/>
          <w:szCs w:val="24"/>
          <w:highlight w:val="none"/>
        </w:rPr>
        <w:t>3.6.4河道养护</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郊尾境内2条河道，总长18.2公里。主要工作内容为：日常河道巡逻、清理漂浮物、3p管网端口养护等，对于无法解决的问题及时上报镇有关部门及领导。</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firstLine="482" w:firstLineChars="200"/>
        <w:textAlignment w:val="auto"/>
        <w:rPr>
          <w:rFonts w:hint="eastAsia" w:ascii="宋体" w:hAnsi="宋体" w:eastAsia="宋体" w:cs="宋体"/>
          <w:i w:val="0"/>
          <w:iCs w:val="0"/>
          <w:caps w:val="0"/>
          <w:color w:val="auto"/>
          <w:spacing w:val="0"/>
          <w:sz w:val="24"/>
          <w:szCs w:val="24"/>
          <w:highlight w:val="none"/>
        </w:rPr>
      </w:pPr>
      <w:r>
        <w:rPr>
          <w:rStyle w:val="9"/>
          <w:rFonts w:hint="eastAsia" w:ascii="宋体" w:hAnsi="宋体" w:eastAsia="宋体" w:cs="宋体"/>
          <w:i w:val="0"/>
          <w:iCs w:val="0"/>
          <w:caps w:val="0"/>
          <w:color w:val="auto"/>
          <w:spacing w:val="0"/>
          <w:sz w:val="24"/>
          <w:szCs w:val="24"/>
          <w:highlight w:val="none"/>
        </w:rPr>
        <w:t>3.6.5生活垃圾转运站作业范围</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郊尾镇总人口85964人，常住人口62882人，按照每人每天日产0.75公斤垃圾计算，郊尾镇全镇日产生活垃圾共计</w:t>
      </w:r>
      <w:r>
        <w:rPr>
          <w:rFonts w:hint="eastAsia" w:ascii="宋体" w:hAnsi="宋体" w:cs="宋体"/>
          <w:i w:val="0"/>
          <w:iCs w:val="0"/>
          <w:caps w:val="0"/>
          <w:color w:val="auto"/>
          <w:spacing w:val="0"/>
          <w:sz w:val="24"/>
          <w:szCs w:val="24"/>
          <w:highlight w:val="none"/>
          <w:lang w:eastAsia="zh-CN"/>
        </w:rPr>
        <w:t>49</w:t>
      </w:r>
      <w:r>
        <w:rPr>
          <w:rFonts w:hint="eastAsia" w:ascii="宋体" w:hAnsi="宋体" w:eastAsia="宋体" w:cs="宋体"/>
          <w:i w:val="0"/>
          <w:iCs w:val="0"/>
          <w:caps w:val="0"/>
          <w:color w:val="auto"/>
          <w:spacing w:val="0"/>
          <w:sz w:val="24"/>
          <w:szCs w:val="24"/>
          <w:highlight w:val="none"/>
        </w:rPr>
        <w:t>t。全镇垃圾经镇转运站垃圾后，再转运至垃圾填埋场或焚烧发电厂，统一无害化处理。生活垃圾转运站作业标准如下：</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1、集镇和村收集生活垃圾后，统一送到镇生活</w:t>
      </w:r>
      <w:r>
        <w:rPr>
          <w:rFonts w:hint="eastAsia" w:ascii="宋体" w:hAnsi="宋体" w:cs="宋体"/>
          <w:i w:val="0"/>
          <w:iCs w:val="0"/>
          <w:caps w:val="0"/>
          <w:color w:val="auto"/>
          <w:spacing w:val="0"/>
          <w:sz w:val="24"/>
          <w:szCs w:val="24"/>
          <w:highlight w:val="none"/>
          <w:lang w:eastAsia="zh-CN"/>
        </w:rPr>
        <w:t>垃圾</w:t>
      </w:r>
      <w:r>
        <w:rPr>
          <w:rFonts w:hint="eastAsia" w:ascii="宋体" w:hAnsi="宋体" w:eastAsia="宋体" w:cs="宋体"/>
          <w:i w:val="0"/>
          <w:iCs w:val="0"/>
          <w:caps w:val="0"/>
          <w:color w:val="auto"/>
          <w:spacing w:val="0"/>
          <w:sz w:val="24"/>
          <w:szCs w:val="24"/>
          <w:highlight w:val="none"/>
        </w:rPr>
        <w:t>中转站密闭存放 ，存放时间不超过24小时，生活垃圾中转站内产生的渗滤液，</w:t>
      </w:r>
      <w:r>
        <w:rPr>
          <w:rFonts w:hint="eastAsia" w:ascii="宋体" w:hAnsi="宋体" w:cs="宋体"/>
          <w:i w:val="0"/>
          <w:iCs w:val="0"/>
          <w:caps w:val="0"/>
          <w:color w:val="auto"/>
          <w:spacing w:val="0"/>
          <w:sz w:val="24"/>
          <w:szCs w:val="24"/>
          <w:highlight w:val="none"/>
          <w:lang w:val="en-US" w:eastAsia="zh-CN"/>
        </w:rPr>
        <w:t>每周须进行一次抽污，</w:t>
      </w:r>
      <w:r>
        <w:rPr>
          <w:rFonts w:hint="eastAsia" w:ascii="宋体" w:hAnsi="宋体" w:eastAsia="宋体" w:cs="宋体"/>
          <w:i w:val="0"/>
          <w:iCs w:val="0"/>
          <w:caps w:val="0"/>
          <w:color w:val="auto"/>
          <w:spacing w:val="0"/>
          <w:sz w:val="24"/>
          <w:szCs w:val="24"/>
          <w:highlight w:val="none"/>
        </w:rPr>
        <w:t>经处理后方可排放。</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2、垃圾站房（桶）内垃圾做到日产日清；节假日、逢年过节等垃圾产生量高峰期，增加收集垃圾次数，确保不出现垃圾堆积。</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3、按照“环保、经济”的原则，生活</w:t>
      </w:r>
      <w:r>
        <w:rPr>
          <w:rFonts w:hint="eastAsia" w:ascii="宋体" w:hAnsi="宋体" w:cs="宋体"/>
          <w:i w:val="0"/>
          <w:iCs w:val="0"/>
          <w:caps w:val="0"/>
          <w:color w:val="auto"/>
          <w:spacing w:val="0"/>
          <w:sz w:val="24"/>
          <w:szCs w:val="24"/>
          <w:highlight w:val="none"/>
          <w:lang w:eastAsia="zh-CN"/>
        </w:rPr>
        <w:t>垃圾</w:t>
      </w:r>
      <w:r>
        <w:rPr>
          <w:rFonts w:hint="eastAsia" w:ascii="宋体" w:hAnsi="宋体" w:eastAsia="宋体" w:cs="宋体"/>
          <w:i w:val="0"/>
          <w:iCs w:val="0"/>
          <w:caps w:val="0"/>
          <w:color w:val="auto"/>
          <w:spacing w:val="0"/>
          <w:sz w:val="24"/>
          <w:szCs w:val="24"/>
          <w:highlight w:val="none"/>
        </w:rPr>
        <w:t>后送往垃圾卫生填埋厂或焚烧发电厂处理，确保镇镇、村生活垃圾无害化处理率达到98%以上。</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firstLine="482" w:firstLineChars="200"/>
        <w:textAlignment w:val="auto"/>
        <w:rPr>
          <w:rFonts w:hint="eastAsia" w:ascii="宋体" w:hAnsi="宋体" w:eastAsia="宋体" w:cs="宋体"/>
          <w:i w:val="0"/>
          <w:iCs w:val="0"/>
          <w:caps w:val="0"/>
          <w:color w:val="auto"/>
          <w:spacing w:val="0"/>
          <w:sz w:val="24"/>
          <w:szCs w:val="24"/>
          <w:highlight w:val="none"/>
        </w:rPr>
      </w:pPr>
      <w:r>
        <w:rPr>
          <w:rStyle w:val="9"/>
          <w:rFonts w:hint="eastAsia" w:ascii="宋体" w:hAnsi="宋体" w:eastAsia="宋体" w:cs="宋体"/>
          <w:i w:val="0"/>
          <w:iCs w:val="0"/>
          <w:caps w:val="0"/>
          <w:color w:val="auto"/>
          <w:spacing w:val="0"/>
          <w:sz w:val="24"/>
          <w:szCs w:val="24"/>
          <w:highlight w:val="none"/>
        </w:rPr>
        <w:t>3.7、作业人员及设备配置</w:t>
      </w:r>
      <w:r>
        <w:rPr>
          <w:rStyle w:val="9"/>
          <w:rFonts w:hint="eastAsia" w:ascii="宋体" w:hAnsi="宋体" w:cs="宋体"/>
          <w:i w:val="0"/>
          <w:iCs w:val="0"/>
          <w:caps w:val="0"/>
          <w:color w:val="auto"/>
          <w:spacing w:val="0"/>
          <w:sz w:val="24"/>
          <w:szCs w:val="24"/>
          <w:highlight w:val="none"/>
          <w:lang w:eastAsia="zh-CN"/>
        </w:rPr>
        <w:t>（</w:t>
      </w:r>
      <w:r>
        <w:rPr>
          <w:rStyle w:val="9"/>
          <w:rFonts w:hint="eastAsia" w:ascii="宋体" w:hAnsi="宋体" w:cs="宋体"/>
          <w:i w:val="0"/>
          <w:iCs w:val="0"/>
          <w:caps w:val="0"/>
          <w:color w:val="auto"/>
          <w:spacing w:val="0"/>
          <w:sz w:val="24"/>
          <w:szCs w:val="24"/>
          <w:highlight w:val="none"/>
          <w:lang w:val="en-US" w:eastAsia="zh-CN"/>
        </w:rPr>
        <w:t>评分第11项）</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配备人员原则应达到</w:t>
      </w:r>
      <w:r>
        <w:rPr>
          <w:rFonts w:hint="eastAsia" w:ascii="宋体" w:hAnsi="宋体" w:cs="宋体"/>
          <w:i w:val="0"/>
          <w:iCs w:val="0"/>
          <w:caps w:val="0"/>
          <w:color w:val="auto"/>
          <w:spacing w:val="0"/>
          <w:sz w:val="24"/>
          <w:szCs w:val="24"/>
          <w:highlight w:val="none"/>
          <w:lang w:eastAsia="zh-CN"/>
        </w:rPr>
        <w:t>173</w:t>
      </w:r>
      <w:r>
        <w:rPr>
          <w:rFonts w:hint="eastAsia" w:ascii="宋体" w:hAnsi="宋体" w:eastAsia="宋体" w:cs="宋体"/>
          <w:i w:val="0"/>
          <w:iCs w:val="0"/>
          <w:caps w:val="0"/>
          <w:color w:val="auto"/>
          <w:spacing w:val="0"/>
          <w:sz w:val="24"/>
          <w:szCs w:val="24"/>
          <w:highlight w:val="none"/>
        </w:rPr>
        <w:t>人以上（含轮休、补班人员）</w:t>
      </w:r>
      <w:r>
        <w:rPr>
          <w:rFonts w:hint="eastAsia" w:ascii="宋体" w:hAnsi="宋体" w:cs="宋体"/>
          <w:i w:val="0"/>
          <w:iCs w:val="0"/>
          <w:caps w:val="0"/>
          <w:color w:val="auto"/>
          <w:spacing w:val="0"/>
          <w:sz w:val="24"/>
          <w:szCs w:val="24"/>
          <w:highlight w:val="none"/>
          <w:lang w:eastAsia="zh-CN"/>
        </w:rPr>
        <w:t>，</w:t>
      </w:r>
      <w:r>
        <w:rPr>
          <w:rFonts w:hint="eastAsia" w:ascii="宋体" w:hAnsi="宋体" w:eastAsia="宋体" w:cs="宋体"/>
          <w:i w:val="0"/>
          <w:iCs w:val="0"/>
          <w:caps w:val="0"/>
          <w:color w:val="auto"/>
          <w:spacing w:val="0"/>
          <w:sz w:val="24"/>
          <w:szCs w:val="24"/>
          <w:highlight w:val="none"/>
        </w:rPr>
        <w:t>配置管理人员</w:t>
      </w:r>
      <w:r>
        <w:rPr>
          <w:rFonts w:hint="eastAsia" w:ascii="宋体" w:hAnsi="宋体" w:cs="宋体"/>
          <w:i w:val="0"/>
          <w:iCs w:val="0"/>
          <w:caps w:val="0"/>
          <w:color w:val="auto"/>
          <w:spacing w:val="0"/>
          <w:sz w:val="24"/>
          <w:szCs w:val="24"/>
          <w:highlight w:val="none"/>
          <w:lang w:val="en-US" w:eastAsia="zh-CN"/>
        </w:rPr>
        <w:t>5</w:t>
      </w:r>
      <w:r>
        <w:rPr>
          <w:rFonts w:hint="eastAsia" w:ascii="宋体" w:hAnsi="宋体" w:eastAsia="宋体" w:cs="宋体"/>
          <w:i w:val="0"/>
          <w:iCs w:val="0"/>
          <w:caps w:val="0"/>
          <w:color w:val="auto"/>
          <w:spacing w:val="0"/>
          <w:sz w:val="24"/>
          <w:szCs w:val="24"/>
          <w:highlight w:val="none"/>
        </w:rPr>
        <w:t>人</w:t>
      </w:r>
      <w:r>
        <w:rPr>
          <w:rFonts w:hint="eastAsia" w:ascii="宋体" w:hAnsi="宋体" w:cs="宋体"/>
          <w:i w:val="0"/>
          <w:iCs w:val="0"/>
          <w:caps w:val="0"/>
          <w:color w:val="auto"/>
          <w:spacing w:val="0"/>
          <w:sz w:val="24"/>
          <w:szCs w:val="24"/>
          <w:highlight w:val="none"/>
          <w:lang w:eastAsia="zh-CN"/>
        </w:rPr>
        <w:t>（</w:t>
      </w:r>
      <w:r>
        <w:rPr>
          <w:rFonts w:hint="eastAsia" w:ascii="宋体" w:hAnsi="宋体" w:cs="宋体"/>
          <w:i w:val="0"/>
          <w:iCs w:val="0"/>
          <w:caps w:val="0"/>
          <w:color w:val="auto"/>
          <w:spacing w:val="0"/>
          <w:sz w:val="24"/>
          <w:szCs w:val="24"/>
          <w:highlight w:val="none"/>
          <w:lang w:val="en-US" w:eastAsia="zh-CN"/>
        </w:rPr>
        <w:t>其中2名为驻郊尾镇政府管理人员）</w:t>
      </w:r>
      <w:r>
        <w:rPr>
          <w:rFonts w:hint="eastAsia" w:ascii="宋体" w:hAnsi="宋体" w:eastAsia="宋体" w:cs="宋体"/>
          <w:i w:val="0"/>
          <w:iCs w:val="0"/>
          <w:caps w:val="0"/>
          <w:color w:val="auto"/>
          <w:spacing w:val="0"/>
          <w:sz w:val="24"/>
          <w:szCs w:val="24"/>
          <w:highlight w:val="none"/>
        </w:rPr>
        <w:t>，作业车辆整合原有资产</w:t>
      </w:r>
      <w:r>
        <w:rPr>
          <w:rFonts w:hint="eastAsia" w:ascii="宋体" w:hAnsi="宋体" w:cs="宋体"/>
          <w:i w:val="0"/>
          <w:iCs w:val="0"/>
          <w:caps w:val="0"/>
          <w:color w:val="auto"/>
          <w:spacing w:val="0"/>
          <w:sz w:val="24"/>
          <w:szCs w:val="24"/>
          <w:highlight w:val="none"/>
          <w:lang w:val="en-US" w:eastAsia="zh-CN"/>
        </w:rPr>
        <w:t>9</w:t>
      </w:r>
      <w:r>
        <w:rPr>
          <w:rFonts w:hint="eastAsia" w:ascii="宋体" w:hAnsi="宋体" w:eastAsia="宋体" w:cs="宋体"/>
          <w:i w:val="0"/>
          <w:iCs w:val="0"/>
          <w:caps w:val="0"/>
          <w:color w:val="auto"/>
          <w:spacing w:val="0"/>
          <w:sz w:val="24"/>
          <w:szCs w:val="24"/>
          <w:highlight w:val="none"/>
        </w:rPr>
        <w:t>部小型勾臂车、车厢可卸式垃圾车、2部总质量8t压缩车及一辆洒水车、一辆扫路车</w:t>
      </w:r>
      <w:r>
        <w:rPr>
          <w:rFonts w:hint="eastAsia" w:ascii="宋体" w:hAnsi="宋体" w:cs="宋体"/>
          <w:i w:val="0"/>
          <w:iCs w:val="0"/>
          <w:caps w:val="0"/>
          <w:color w:val="auto"/>
          <w:spacing w:val="0"/>
          <w:sz w:val="24"/>
          <w:szCs w:val="24"/>
          <w:highlight w:val="none"/>
          <w:lang w:eastAsia="zh-CN"/>
        </w:rPr>
        <w:t>、</w:t>
      </w:r>
      <w:r>
        <w:rPr>
          <w:rFonts w:hint="eastAsia" w:ascii="宋体" w:hAnsi="宋体" w:eastAsia="宋体" w:cs="宋体"/>
          <w:i w:val="0"/>
          <w:iCs w:val="0"/>
          <w:caps w:val="0"/>
          <w:color w:val="auto"/>
          <w:spacing w:val="0"/>
          <w:sz w:val="24"/>
          <w:szCs w:val="24"/>
          <w:highlight w:val="none"/>
          <w:lang w:val="en-US" w:eastAsia="zh-CN"/>
        </w:rPr>
        <w:t>保洁三轮车25辆</w:t>
      </w:r>
      <w:r>
        <w:rPr>
          <w:rFonts w:hint="eastAsia" w:ascii="宋体" w:hAnsi="宋体" w:eastAsia="宋体" w:cs="宋体"/>
          <w:i w:val="0"/>
          <w:iCs w:val="0"/>
          <w:caps w:val="0"/>
          <w:color w:val="auto"/>
          <w:spacing w:val="0"/>
          <w:sz w:val="24"/>
          <w:szCs w:val="24"/>
          <w:highlight w:val="none"/>
        </w:rPr>
        <w:t>，</w:t>
      </w:r>
      <w:r>
        <w:rPr>
          <w:rFonts w:hint="eastAsia" w:ascii="宋体" w:hAnsi="宋体" w:cs="宋体"/>
          <w:i w:val="0"/>
          <w:iCs w:val="0"/>
          <w:caps w:val="0"/>
          <w:color w:val="auto"/>
          <w:spacing w:val="0"/>
          <w:sz w:val="24"/>
          <w:szCs w:val="24"/>
          <w:highlight w:val="none"/>
          <w:lang w:val="en-US" w:eastAsia="zh-CN"/>
        </w:rPr>
        <w:t>13</w:t>
      </w:r>
      <w:r>
        <w:rPr>
          <w:rFonts w:hint="eastAsia" w:ascii="宋体" w:hAnsi="宋体" w:eastAsia="宋体" w:cs="宋体"/>
          <w:i w:val="0"/>
          <w:iCs w:val="0"/>
          <w:caps w:val="0"/>
          <w:color w:val="auto"/>
          <w:spacing w:val="0"/>
          <w:sz w:val="24"/>
          <w:szCs w:val="24"/>
          <w:highlight w:val="none"/>
        </w:rPr>
        <w:t>名司机，2名压缩机操作工，2名辅助清理人员；配置集镇及国道、</w:t>
      </w:r>
      <w:r>
        <w:rPr>
          <w:rFonts w:hint="eastAsia" w:ascii="宋体" w:hAnsi="宋体" w:cs="宋体"/>
          <w:i w:val="0"/>
          <w:iCs w:val="0"/>
          <w:caps w:val="0"/>
          <w:color w:val="auto"/>
          <w:spacing w:val="0"/>
          <w:sz w:val="24"/>
          <w:szCs w:val="24"/>
          <w:highlight w:val="none"/>
          <w:lang w:eastAsia="zh-CN"/>
        </w:rPr>
        <w:t>省道道路43名保洁员、村级10</w:t>
      </w:r>
      <w:r>
        <w:rPr>
          <w:rFonts w:hint="eastAsia" w:ascii="宋体" w:hAnsi="宋体" w:cs="宋体"/>
          <w:i w:val="0"/>
          <w:iCs w:val="0"/>
          <w:caps w:val="0"/>
          <w:color w:val="auto"/>
          <w:spacing w:val="0"/>
          <w:sz w:val="24"/>
          <w:szCs w:val="24"/>
          <w:highlight w:val="none"/>
          <w:lang w:val="en-US" w:eastAsia="zh-CN"/>
        </w:rPr>
        <w:t>2</w:t>
      </w:r>
      <w:r>
        <w:rPr>
          <w:rFonts w:hint="eastAsia" w:ascii="宋体" w:hAnsi="宋体" w:cs="宋体"/>
          <w:i w:val="0"/>
          <w:iCs w:val="0"/>
          <w:caps w:val="0"/>
          <w:color w:val="auto"/>
          <w:spacing w:val="0"/>
          <w:sz w:val="24"/>
          <w:szCs w:val="24"/>
          <w:highlight w:val="none"/>
          <w:lang w:eastAsia="zh-CN"/>
        </w:rPr>
        <w:t>名保洁员</w:t>
      </w:r>
      <w:r>
        <w:rPr>
          <w:rFonts w:hint="eastAsia" w:ascii="宋体" w:hAnsi="宋体" w:eastAsia="宋体" w:cs="宋体"/>
          <w:i w:val="0"/>
          <w:iCs w:val="0"/>
          <w:caps w:val="0"/>
          <w:color w:val="auto"/>
          <w:spacing w:val="0"/>
          <w:sz w:val="24"/>
          <w:szCs w:val="24"/>
          <w:highlight w:val="none"/>
        </w:rPr>
        <w:t>，河道专管员6人；人员配置共</w:t>
      </w:r>
      <w:r>
        <w:rPr>
          <w:rFonts w:hint="eastAsia" w:ascii="宋体" w:hAnsi="宋体" w:cs="宋体"/>
          <w:i w:val="0"/>
          <w:iCs w:val="0"/>
          <w:caps w:val="0"/>
          <w:color w:val="auto"/>
          <w:spacing w:val="0"/>
          <w:sz w:val="24"/>
          <w:szCs w:val="24"/>
          <w:highlight w:val="none"/>
          <w:lang w:eastAsia="zh-CN"/>
        </w:rPr>
        <w:t>173</w:t>
      </w:r>
      <w:r>
        <w:rPr>
          <w:rFonts w:hint="eastAsia" w:ascii="宋体" w:hAnsi="宋体" w:eastAsia="宋体" w:cs="宋体"/>
          <w:i w:val="0"/>
          <w:iCs w:val="0"/>
          <w:caps w:val="0"/>
          <w:color w:val="auto"/>
          <w:spacing w:val="0"/>
          <w:sz w:val="24"/>
          <w:szCs w:val="24"/>
          <w:highlight w:val="none"/>
        </w:rPr>
        <w:t>人。</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s="宋体"/>
          <w:i w:val="0"/>
          <w:iCs w:val="0"/>
          <w:caps w:val="0"/>
          <w:color w:val="auto"/>
          <w:spacing w:val="0"/>
          <w:sz w:val="24"/>
          <w:szCs w:val="24"/>
          <w:highlight w:val="none"/>
          <w:lang w:val="en-US" w:eastAsia="zh-CN"/>
        </w:rPr>
      </w:pPr>
      <w:r>
        <w:rPr>
          <w:rFonts w:hint="eastAsia" w:ascii="宋体" w:hAnsi="宋体" w:cs="宋体"/>
          <w:i w:val="0"/>
          <w:iCs w:val="0"/>
          <w:caps w:val="0"/>
          <w:color w:val="auto"/>
          <w:spacing w:val="0"/>
          <w:sz w:val="24"/>
          <w:szCs w:val="24"/>
          <w:highlight w:val="none"/>
          <w:lang w:val="en-US" w:eastAsia="zh-CN"/>
        </w:rPr>
        <w:t>除采购人现有车辆外,还需配置</w:t>
      </w:r>
      <w:r>
        <w:rPr>
          <w:rFonts w:hint="eastAsia" w:ascii="宋体" w:hAnsi="宋体" w:eastAsia="宋体" w:cs="宋体"/>
          <w:i w:val="0"/>
          <w:iCs w:val="0"/>
          <w:color w:val="auto"/>
          <w:kern w:val="0"/>
          <w:sz w:val="24"/>
          <w:szCs w:val="24"/>
          <w:highlight w:val="none"/>
          <w:u w:val="none"/>
          <w:lang w:val="en-US" w:eastAsia="zh-CN" w:bidi="ar"/>
        </w:rPr>
        <w:t>垃圾清运车不少于2部</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道路巡查车（小汽车或工具车）不少于1部</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压缩式垃圾车不少于</w:t>
      </w:r>
      <w:r>
        <w:rPr>
          <w:rFonts w:hint="eastAsia" w:ascii="宋体" w:hAnsi="宋体" w:cs="宋体"/>
          <w:i w:val="0"/>
          <w:iCs w:val="0"/>
          <w:color w:val="auto"/>
          <w:kern w:val="0"/>
          <w:sz w:val="24"/>
          <w:szCs w:val="24"/>
          <w:highlight w:val="none"/>
          <w:u w:val="none"/>
          <w:lang w:val="en-US" w:eastAsia="zh-CN" w:bidi="ar"/>
        </w:rPr>
        <w:t>1</w:t>
      </w:r>
      <w:r>
        <w:rPr>
          <w:rFonts w:hint="eastAsia" w:ascii="宋体" w:hAnsi="宋体" w:eastAsia="宋体" w:cs="宋体"/>
          <w:i w:val="0"/>
          <w:iCs w:val="0"/>
          <w:color w:val="auto"/>
          <w:kern w:val="0"/>
          <w:sz w:val="24"/>
          <w:szCs w:val="24"/>
          <w:highlight w:val="none"/>
          <w:u w:val="none"/>
          <w:lang w:val="en-US" w:eastAsia="zh-CN" w:bidi="ar"/>
        </w:rPr>
        <w:t>部总质量须为15t或以上</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自装卸式垃圾车不少于1部</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电动保洁车不少于4部</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保洁三轮车不少于</w:t>
      </w:r>
      <w:r>
        <w:rPr>
          <w:rFonts w:hint="eastAsia" w:ascii="宋体" w:hAnsi="宋体" w:cs="宋体"/>
          <w:i w:val="0"/>
          <w:iCs w:val="0"/>
          <w:color w:val="auto"/>
          <w:kern w:val="0"/>
          <w:sz w:val="24"/>
          <w:szCs w:val="24"/>
          <w:highlight w:val="none"/>
          <w:u w:val="none"/>
          <w:lang w:val="en-US" w:eastAsia="zh-CN" w:bidi="ar"/>
        </w:rPr>
        <w:t>5</w:t>
      </w:r>
      <w:r>
        <w:rPr>
          <w:rFonts w:hint="eastAsia" w:ascii="宋体" w:hAnsi="宋体" w:eastAsia="宋体" w:cs="宋体"/>
          <w:i w:val="0"/>
          <w:iCs w:val="0"/>
          <w:color w:val="auto"/>
          <w:kern w:val="0"/>
          <w:sz w:val="24"/>
          <w:szCs w:val="24"/>
          <w:highlight w:val="none"/>
          <w:u w:val="none"/>
          <w:lang w:val="en-US" w:eastAsia="zh-CN" w:bidi="ar"/>
        </w:rPr>
        <w:t>辆</w:t>
      </w:r>
      <w:r>
        <w:rPr>
          <w:rFonts w:hint="eastAsia" w:ascii="宋体" w:hAnsi="宋体" w:cs="宋体"/>
          <w:i w:val="0"/>
          <w:iCs w:val="0"/>
          <w:color w:val="auto"/>
          <w:kern w:val="0"/>
          <w:sz w:val="24"/>
          <w:szCs w:val="24"/>
          <w:highlight w:val="none"/>
          <w:u w:val="none"/>
          <w:lang w:val="en-US" w:eastAsia="zh-CN" w:bidi="ar"/>
        </w:rPr>
        <w:t>。</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i w:val="0"/>
          <w:iCs w:val="0"/>
          <w:caps w:val="0"/>
          <w:color w:val="auto"/>
          <w:spacing w:val="0"/>
          <w:sz w:val="24"/>
          <w:szCs w:val="24"/>
          <w:highlight w:val="none"/>
          <w:lang w:val="en-US" w:eastAsia="zh-CN"/>
        </w:rPr>
      </w:pPr>
      <w:r>
        <w:rPr>
          <w:rFonts w:hint="eastAsia" w:ascii="宋体" w:hAnsi="宋体" w:cs="宋体"/>
          <w:i w:val="0"/>
          <w:iCs w:val="0"/>
          <w:caps w:val="0"/>
          <w:color w:val="auto"/>
          <w:spacing w:val="0"/>
          <w:sz w:val="24"/>
          <w:szCs w:val="24"/>
          <w:highlight w:val="none"/>
          <w:lang w:val="en-US" w:eastAsia="zh-CN"/>
        </w:rPr>
        <w:t>以上人员中</w:t>
      </w:r>
      <w:r>
        <w:rPr>
          <w:rFonts w:hint="eastAsia" w:ascii="宋体" w:hAnsi="宋体" w:cs="宋体"/>
          <w:i w:val="0"/>
          <w:iCs w:val="0"/>
          <w:caps w:val="0"/>
          <w:color w:val="auto"/>
          <w:spacing w:val="0"/>
          <w:sz w:val="24"/>
          <w:szCs w:val="24"/>
          <w:highlight w:val="none"/>
          <w:lang w:val="en-US" w:eastAsia="zh-CN"/>
        </w:rPr>
        <w:fldChar w:fldCharType="begin"/>
      </w:r>
      <w:r>
        <w:rPr>
          <w:rFonts w:hint="eastAsia" w:ascii="宋体" w:hAnsi="宋体" w:cs="宋体"/>
          <w:i w:val="0"/>
          <w:iCs w:val="0"/>
          <w:caps w:val="0"/>
          <w:color w:val="auto"/>
          <w:spacing w:val="0"/>
          <w:sz w:val="24"/>
          <w:szCs w:val="24"/>
          <w:highlight w:val="none"/>
          <w:lang w:val="en-US" w:eastAsia="zh-CN"/>
        </w:rPr>
        <w:instrText xml:space="preserve"> HYPERLINK "http://www.baidu.com/link?url=xYw7Vzf8Bw2w2Tkz3gCVJ5nK8hd5TMkr5IyKIr_X6J73vKqN6GijcmDhk89X04nPwQzTugQEzQRu-RsrkSN4aE4tsbryM6CgxXsd59kdM72TrLo2UU98TsMHbZvJKNIWkGEVhrsDsHmHTebdlWmAia" \t "https://www.baidu.com/_blank" </w:instrText>
      </w:r>
      <w:r>
        <w:rPr>
          <w:rFonts w:hint="eastAsia" w:ascii="宋体" w:hAnsi="宋体" w:cs="宋体"/>
          <w:i w:val="0"/>
          <w:iCs w:val="0"/>
          <w:caps w:val="0"/>
          <w:color w:val="auto"/>
          <w:spacing w:val="0"/>
          <w:sz w:val="24"/>
          <w:szCs w:val="24"/>
          <w:highlight w:val="none"/>
          <w:lang w:val="en-US" w:eastAsia="zh-CN"/>
        </w:rPr>
        <w:fldChar w:fldCharType="separate"/>
      </w:r>
      <w:r>
        <w:rPr>
          <w:rFonts w:hint="eastAsia" w:ascii="宋体" w:hAnsi="宋体" w:cs="宋体"/>
          <w:i w:val="0"/>
          <w:iCs w:val="0"/>
          <w:caps w:val="0"/>
          <w:color w:val="auto"/>
          <w:spacing w:val="0"/>
          <w:sz w:val="24"/>
          <w:szCs w:val="24"/>
          <w:highlight w:val="none"/>
          <w:lang w:val="en-US" w:eastAsia="zh-CN"/>
        </w:rPr>
        <w:t>,国家有强制规定必须“持证上岗”</w:t>
      </w:r>
      <w:r>
        <w:rPr>
          <w:rFonts w:hint="eastAsia" w:ascii="宋体" w:hAnsi="宋体" w:cs="宋体"/>
          <w:i w:val="0"/>
          <w:iCs w:val="0"/>
          <w:caps w:val="0"/>
          <w:color w:val="auto"/>
          <w:spacing w:val="0"/>
          <w:sz w:val="24"/>
          <w:szCs w:val="24"/>
          <w:highlight w:val="none"/>
          <w:lang w:val="en-US" w:eastAsia="zh-CN"/>
        </w:rPr>
        <w:fldChar w:fldCharType="end"/>
      </w:r>
      <w:r>
        <w:rPr>
          <w:rFonts w:hint="eastAsia" w:ascii="宋体" w:hAnsi="宋体" w:cs="宋体"/>
          <w:i w:val="0"/>
          <w:iCs w:val="0"/>
          <w:caps w:val="0"/>
          <w:color w:val="auto"/>
          <w:spacing w:val="0"/>
          <w:sz w:val="24"/>
          <w:szCs w:val="24"/>
          <w:highlight w:val="none"/>
          <w:lang w:val="en-US" w:eastAsia="zh-CN"/>
        </w:rPr>
        <w:t>的岗位，中标单位须按其规定</w:t>
      </w:r>
      <w:r>
        <w:rPr>
          <w:rFonts w:hint="eastAsia" w:ascii="宋体" w:hAnsi="宋体" w:eastAsia="宋体" w:cs="宋体"/>
          <w:i w:val="0"/>
          <w:iCs w:val="0"/>
          <w:caps w:val="0"/>
          <w:color w:val="auto"/>
          <w:spacing w:val="0"/>
          <w:sz w:val="24"/>
          <w:szCs w:val="24"/>
          <w:highlight w:val="none"/>
        </w:rPr>
        <w:t>配置</w:t>
      </w:r>
      <w:r>
        <w:rPr>
          <w:rFonts w:hint="eastAsia" w:ascii="宋体" w:hAnsi="宋体" w:eastAsia="宋体" w:cs="宋体"/>
          <w:i w:val="0"/>
          <w:iCs w:val="0"/>
          <w:caps w:val="0"/>
          <w:color w:val="auto"/>
          <w:spacing w:val="0"/>
          <w:sz w:val="24"/>
          <w:szCs w:val="24"/>
          <w:highlight w:val="none"/>
          <w:lang w:val="en-US" w:eastAsia="zh-CN"/>
        </w:rPr>
        <w:t>，否则产生不利后果由中标人自行承担责任。</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default" w:ascii="宋体" w:hAnsi="宋体" w:eastAsia="宋体" w:cs="宋体"/>
          <w:i w:val="0"/>
          <w:iCs w:val="0"/>
          <w:caps w:val="0"/>
          <w:color w:val="auto"/>
          <w:spacing w:val="0"/>
          <w:sz w:val="24"/>
          <w:szCs w:val="24"/>
          <w:highlight w:val="none"/>
          <w:lang w:val="en-US" w:eastAsia="zh-CN"/>
        </w:rPr>
      </w:pPr>
      <w:r>
        <w:rPr>
          <w:rFonts w:hint="eastAsia" w:ascii="宋体" w:hAnsi="宋体" w:eastAsia="宋体" w:cs="宋体"/>
          <w:i w:val="0"/>
          <w:iCs w:val="0"/>
          <w:caps w:val="0"/>
          <w:color w:val="auto"/>
          <w:spacing w:val="0"/>
          <w:sz w:val="24"/>
          <w:szCs w:val="24"/>
          <w:highlight w:val="none"/>
        </w:rPr>
        <w:t>上述车辆必须配备具备相应准驾证的驾驶员，必须配备GPS定位系统并按</w:t>
      </w:r>
      <w:r>
        <w:rPr>
          <w:rFonts w:hint="eastAsia" w:ascii="宋体" w:hAnsi="宋体" w:cs="宋体"/>
          <w:i w:val="0"/>
          <w:iCs w:val="0"/>
          <w:caps w:val="0"/>
          <w:color w:val="auto"/>
          <w:spacing w:val="0"/>
          <w:sz w:val="24"/>
          <w:szCs w:val="24"/>
          <w:highlight w:val="none"/>
          <w:lang w:val="en-US" w:eastAsia="zh-CN"/>
        </w:rPr>
        <w:t>采购人</w:t>
      </w:r>
      <w:r>
        <w:rPr>
          <w:rFonts w:hint="eastAsia" w:ascii="宋体" w:hAnsi="宋体" w:eastAsia="宋体" w:cs="宋体"/>
          <w:i w:val="0"/>
          <w:iCs w:val="0"/>
          <w:caps w:val="0"/>
          <w:color w:val="auto"/>
          <w:spacing w:val="0"/>
          <w:sz w:val="24"/>
          <w:szCs w:val="24"/>
          <w:highlight w:val="none"/>
        </w:rPr>
        <w:t>指定的地点定点定时停放，上述车辆要保证设备完好，确保清扫保洁正常运转。</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firstLine="482" w:firstLineChars="200"/>
        <w:textAlignment w:val="auto"/>
        <w:rPr>
          <w:rFonts w:hint="eastAsia" w:ascii="宋体" w:hAnsi="宋体" w:eastAsia="宋体" w:cs="宋体"/>
          <w:i w:val="0"/>
          <w:iCs w:val="0"/>
          <w:caps w:val="0"/>
          <w:color w:val="auto"/>
          <w:spacing w:val="0"/>
          <w:sz w:val="24"/>
          <w:szCs w:val="24"/>
          <w:highlight w:val="none"/>
        </w:rPr>
      </w:pPr>
      <w:r>
        <w:rPr>
          <w:rStyle w:val="9"/>
          <w:rFonts w:hint="eastAsia" w:ascii="宋体" w:hAnsi="宋体" w:eastAsia="宋体" w:cs="宋体"/>
          <w:i w:val="0"/>
          <w:iCs w:val="0"/>
          <w:caps w:val="0"/>
          <w:color w:val="auto"/>
          <w:spacing w:val="0"/>
          <w:sz w:val="24"/>
          <w:szCs w:val="24"/>
          <w:highlight w:val="none"/>
        </w:rPr>
        <w:t>3.7.1集镇作业、324国道、省道范围</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参考国家环卫劳动定额标准，结合郊尾镇集镇区环卫现状，作业人员及车辆配置：道路清扫总面积114360平方米，324国道、省道清扫总面积193200平方米，配置</w:t>
      </w:r>
      <w:r>
        <w:rPr>
          <w:rFonts w:hint="eastAsia" w:ascii="宋体" w:hAnsi="宋体" w:cs="宋体"/>
          <w:i w:val="0"/>
          <w:iCs w:val="0"/>
          <w:caps w:val="0"/>
          <w:color w:val="auto"/>
          <w:spacing w:val="0"/>
          <w:sz w:val="24"/>
          <w:szCs w:val="24"/>
          <w:highlight w:val="none"/>
          <w:lang w:eastAsia="zh-CN"/>
        </w:rPr>
        <w:t>43名保洁</w:t>
      </w:r>
      <w:r>
        <w:rPr>
          <w:rFonts w:hint="eastAsia" w:ascii="宋体" w:hAnsi="宋体" w:eastAsia="宋体" w:cs="宋体"/>
          <w:i w:val="0"/>
          <w:iCs w:val="0"/>
          <w:caps w:val="0"/>
          <w:color w:val="auto"/>
          <w:spacing w:val="0"/>
          <w:sz w:val="24"/>
          <w:szCs w:val="24"/>
          <w:highlight w:val="none"/>
        </w:rPr>
        <w:t>员；作业车辆整合原有资产25部三轮收集车，并配置相应的扫把、铁锹等工具及劳保用品。</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实行普扫与保洁相结合，每日普扫两次，洒水一次，夏季炎热天气下午增加一次洒水，其余时间进行保洁。镇区每天每一次垃圾清运必须在早8:00前结束，生活垃圾产量大的路段根据垃圾量情况增加清运次数。春夏季作业时间：4:30-21:30为分班保洁，并完成垃圾清运工作；秋冬季作业时间：5:00-22:00为分班保洁，并完成垃圾清运工作。实行定时清扫、清理、收集、转运、处置及一定时长的保洁制。</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firstLine="482" w:firstLineChars="200"/>
        <w:textAlignment w:val="auto"/>
        <w:rPr>
          <w:rFonts w:hint="eastAsia" w:ascii="宋体" w:hAnsi="宋体" w:eastAsia="宋体" w:cs="宋体"/>
          <w:i w:val="0"/>
          <w:iCs w:val="0"/>
          <w:caps w:val="0"/>
          <w:color w:val="auto"/>
          <w:spacing w:val="0"/>
          <w:sz w:val="24"/>
          <w:szCs w:val="24"/>
          <w:highlight w:val="none"/>
        </w:rPr>
      </w:pPr>
      <w:r>
        <w:rPr>
          <w:rStyle w:val="9"/>
          <w:rFonts w:hint="eastAsia" w:ascii="宋体" w:hAnsi="宋体" w:eastAsia="宋体" w:cs="宋体"/>
          <w:i w:val="0"/>
          <w:iCs w:val="0"/>
          <w:caps w:val="0"/>
          <w:color w:val="auto"/>
          <w:spacing w:val="0"/>
          <w:sz w:val="24"/>
          <w:szCs w:val="24"/>
          <w:highlight w:val="none"/>
        </w:rPr>
        <w:t>3.7.2村级作业</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参考国家环卫劳动定额标准，结合郊尾镇21个村、社区的环卫现状。具体作业人员及车辆配置：</w:t>
      </w:r>
      <w:r>
        <w:rPr>
          <w:rFonts w:hint="eastAsia" w:ascii="宋体" w:hAnsi="宋体" w:cs="宋体"/>
          <w:i w:val="0"/>
          <w:iCs w:val="0"/>
          <w:caps w:val="0"/>
          <w:color w:val="auto"/>
          <w:spacing w:val="0"/>
          <w:sz w:val="24"/>
          <w:szCs w:val="24"/>
          <w:highlight w:val="none"/>
          <w:lang w:eastAsia="zh-CN"/>
        </w:rPr>
        <w:t>104名保洁员</w:t>
      </w:r>
      <w:r>
        <w:rPr>
          <w:rFonts w:hint="eastAsia" w:ascii="宋体" w:hAnsi="宋体" w:eastAsia="宋体" w:cs="宋体"/>
          <w:i w:val="0"/>
          <w:iCs w:val="0"/>
          <w:caps w:val="0"/>
          <w:color w:val="auto"/>
          <w:spacing w:val="0"/>
          <w:sz w:val="24"/>
          <w:szCs w:val="24"/>
          <w:highlight w:val="none"/>
        </w:rPr>
        <w:t>（详见：《郊尾镇各村人口及道路明细表》），作业工具的配置扫把、铁锹及劳保用品等。负责每日村级保洁（含房前屋后）、生活垃圾清运。春夏季作业时间：4:30-21:30为分班保洁，并完成垃圾清运工作；秋冬季作业时间：5:00-22:00为分班保洁，并完成垃圾清运工作。</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firstLine="482" w:firstLineChars="200"/>
        <w:textAlignment w:val="auto"/>
        <w:rPr>
          <w:rFonts w:hint="eastAsia" w:ascii="宋体" w:hAnsi="宋体" w:eastAsia="宋体" w:cs="宋体"/>
          <w:i w:val="0"/>
          <w:iCs w:val="0"/>
          <w:caps w:val="0"/>
          <w:color w:val="auto"/>
          <w:spacing w:val="0"/>
          <w:sz w:val="24"/>
          <w:szCs w:val="24"/>
          <w:highlight w:val="none"/>
        </w:rPr>
      </w:pPr>
      <w:r>
        <w:rPr>
          <w:rStyle w:val="9"/>
          <w:rFonts w:hint="eastAsia" w:ascii="宋体" w:hAnsi="宋体" w:eastAsia="宋体" w:cs="宋体"/>
          <w:i w:val="0"/>
          <w:iCs w:val="0"/>
          <w:caps w:val="0"/>
          <w:color w:val="auto"/>
          <w:spacing w:val="0"/>
          <w:sz w:val="24"/>
          <w:szCs w:val="24"/>
          <w:highlight w:val="none"/>
        </w:rPr>
        <w:t>3.7.3转运站作业</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郊尾镇生活</w:t>
      </w:r>
      <w:r>
        <w:rPr>
          <w:rFonts w:hint="eastAsia" w:ascii="宋体" w:hAnsi="宋体" w:eastAsia="宋体" w:cs="宋体"/>
          <w:i w:val="0"/>
          <w:iCs w:val="0"/>
          <w:caps w:val="0"/>
          <w:color w:val="auto"/>
          <w:spacing w:val="0"/>
          <w:sz w:val="24"/>
          <w:szCs w:val="24"/>
          <w:highlight w:val="none"/>
          <w:lang w:eastAsia="zh-CN"/>
        </w:rPr>
        <w:t>垃圾</w:t>
      </w:r>
      <w:r>
        <w:rPr>
          <w:rFonts w:hint="eastAsia" w:ascii="宋体" w:hAnsi="宋体" w:eastAsia="宋体" w:cs="宋体"/>
          <w:i w:val="0"/>
          <w:iCs w:val="0"/>
          <w:caps w:val="0"/>
          <w:color w:val="auto"/>
          <w:spacing w:val="0"/>
          <w:sz w:val="24"/>
          <w:szCs w:val="24"/>
          <w:highlight w:val="none"/>
        </w:rPr>
        <w:t>转运站，共配置2人（压缩机操作工2人）。春夏季作业时间：4:30-21:30为分班保洁，并完成垃圾清运工作；秋冬季作业时间：5:00-22:00为分班保洁，并完成垃圾清运工作</w:t>
      </w:r>
      <w:r>
        <w:rPr>
          <w:rFonts w:hint="eastAsia" w:ascii="宋体" w:hAnsi="宋体" w:cs="宋体"/>
          <w:i w:val="0"/>
          <w:iCs w:val="0"/>
          <w:caps w:val="0"/>
          <w:color w:val="auto"/>
          <w:spacing w:val="0"/>
          <w:sz w:val="24"/>
          <w:szCs w:val="24"/>
          <w:highlight w:val="none"/>
          <w:lang w:eastAsia="zh-CN"/>
        </w:rPr>
        <w:t>；</w:t>
      </w:r>
      <w:r>
        <w:rPr>
          <w:rFonts w:hint="eastAsia" w:ascii="宋体" w:hAnsi="宋体" w:cs="宋体"/>
          <w:i w:val="0"/>
          <w:iCs w:val="0"/>
          <w:caps w:val="0"/>
          <w:color w:val="auto"/>
          <w:spacing w:val="0"/>
          <w:sz w:val="24"/>
          <w:szCs w:val="24"/>
          <w:highlight w:val="none"/>
          <w:lang w:val="en-US" w:eastAsia="zh-CN"/>
        </w:rPr>
        <w:t>每周进行一次抽污。</w:t>
      </w:r>
      <w:r>
        <w:rPr>
          <w:rFonts w:hint="eastAsia" w:ascii="宋体" w:hAnsi="宋体" w:eastAsia="宋体" w:cs="宋体"/>
          <w:i w:val="0"/>
          <w:iCs w:val="0"/>
          <w:caps w:val="0"/>
          <w:color w:val="auto"/>
          <w:spacing w:val="0"/>
          <w:sz w:val="24"/>
          <w:szCs w:val="24"/>
          <w:highlight w:val="none"/>
        </w:rPr>
        <w:t>实行定时清扫、清理、收集、转运、处置及一定时长的保洁制。</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firstLine="482" w:firstLineChars="200"/>
        <w:textAlignment w:val="auto"/>
        <w:rPr>
          <w:rFonts w:hint="eastAsia" w:ascii="宋体" w:hAnsi="宋体" w:eastAsia="宋体" w:cs="宋体"/>
          <w:i w:val="0"/>
          <w:iCs w:val="0"/>
          <w:caps w:val="0"/>
          <w:color w:val="auto"/>
          <w:spacing w:val="0"/>
          <w:sz w:val="24"/>
          <w:szCs w:val="24"/>
          <w:highlight w:val="none"/>
        </w:rPr>
      </w:pPr>
      <w:r>
        <w:rPr>
          <w:rStyle w:val="9"/>
          <w:rFonts w:hint="eastAsia" w:ascii="宋体" w:hAnsi="宋体" w:eastAsia="宋体" w:cs="宋体"/>
          <w:i w:val="0"/>
          <w:iCs w:val="0"/>
          <w:caps w:val="0"/>
          <w:color w:val="auto"/>
          <w:spacing w:val="0"/>
          <w:sz w:val="24"/>
          <w:szCs w:val="24"/>
          <w:highlight w:val="none"/>
        </w:rPr>
        <w:t>3.7.5河道专管员</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郊尾境内2条河道，总长18.2公里。共配置6人河道专管员。作业时间：8:30-17:00为分班保洁。主要作业为：日常河道巡逻、清理漂浮物、3p管网端口养护等，对于无法解决的问题及时上报镇有关部门及领导。</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firstLine="482" w:firstLineChars="200"/>
        <w:textAlignment w:val="auto"/>
        <w:rPr>
          <w:rFonts w:hint="eastAsia" w:ascii="宋体" w:hAnsi="宋体" w:eastAsia="宋体" w:cs="宋体"/>
          <w:i w:val="0"/>
          <w:iCs w:val="0"/>
          <w:caps w:val="0"/>
          <w:color w:val="auto"/>
          <w:spacing w:val="0"/>
          <w:sz w:val="24"/>
          <w:szCs w:val="24"/>
          <w:highlight w:val="none"/>
        </w:rPr>
      </w:pPr>
      <w:r>
        <w:rPr>
          <w:rStyle w:val="9"/>
          <w:rFonts w:hint="eastAsia" w:ascii="宋体" w:hAnsi="宋体" w:eastAsia="宋体" w:cs="宋体"/>
          <w:i w:val="0"/>
          <w:iCs w:val="0"/>
          <w:caps w:val="0"/>
          <w:color w:val="auto"/>
          <w:spacing w:val="0"/>
          <w:sz w:val="24"/>
          <w:szCs w:val="24"/>
          <w:highlight w:val="none"/>
        </w:rPr>
        <w:t>3.7.4设备配置情况</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1、项目机动车辆配备要求：</w:t>
      </w:r>
    </w:p>
    <w:tbl>
      <w:tblPr>
        <w:tblStyle w:val="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50"/>
        <w:gridCol w:w="1020"/>
        <w:gridCol w:w="960"/>
        <w:gridCol w:w="1560"/>
        <w:gridCol w:w="1950"/>
        <w:gridCol w:w="1185"/>
        <w:gridCol w:w="1005"/>
        <w:gridCol w:w="10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764" w:type="dxa"/>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snapToGrid/>
              <w:spacing w:line="40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机动车辆配备要求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snapToGrid/>
              <w:spacing w:line="40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垃圾清运车</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snapToGrid/>
              <w:spacing w:line="40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扫路车</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snapToGrid/>
              <w:spacing w:line="40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洒水车</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snapToGrid/>
              <w:spacing w:line="40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道路巡查车（小汽车或工具车）</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snapToGrid/>
              <w:spacing w:line="40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压缩式垃圾车</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snapToGrid/>
              <w:spacing w:line="40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自装卸式垃圾车</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snapToGrid/>
              <w:spacing w:line="40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电动保洁车</w:t>
            </w:r>
          </w:p>
        </w:tc>
        <w:tc>
          <w:tcPr>
            <w:tcW w:w="10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snapToGrid/>
              <w:spacing w:line="400" w:lineRule="exact"/>
              <w:jc w:val="center"/>
              <w:textAlignment w:val="center"/>
              <w:rPr>
                <w:color w:val="auto"/>
                <w:highlight w:val="none"/>
              </w:rPr>
            </w:pPr>
            <w:r>
              <w:rPr>
                <w:rFonts w:hint="eastAsia" w:ascii="宋体" w:hAnsi="宋体" w:eastAsia="宋体" w:cs="宋体"/>
                <w:i w:val="0"/>
                <w:iCs w:val="0"/>
                <w:color w:val="auto"/>
                <w:kern w:val="0"/>
                <w:sz w:val="24"/>
                <w:szCs w:val="24"/>
                <w:highlight w:val="none"/>
                <w:u w:val="none"/>
                <w:lang w:val="en-US" w:eastAsia="zh-CN" w:bidi="ar"/>
              </w:rPr>
              <w:t>保洁三轮车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snapToGrid/>
              <w:spacing w:line="40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不少于2部</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snapToGrid/>
              <w:spacing w:line="40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不少于1部</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snapToGrid/>
              <w:spacing w:line="40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不少于1部</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snapToGrid/>
              <w:spacing w:line="40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不少于1部</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snapToGrid/>
              <w:spacing w:line="40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不少于</w:t>
            </w:r>
            <w:r>
              <w:rPr>
                <w:rFonts w:hint="eastAsia" w:ascii="宋体" w:hAnsi="宋体" w:cs="宋体"/>
                <w:i w:val="0"/>
                <w:iCs w:val="0"/>
                <w:color w:val="auto"/>
                <w:kern w:val="0"/>
                <w:sz w:val="24"/>
                <w:szCs w:val="24"/>
                <w:highlight w:val="none"/>
                <w:u w:val="none"/>
                <w:lang w:val="en-US" w:eastAsia="zh-CN" w:bidi="ar"/>
              </w:rPr>
              <w:t>3</w:t>
            </w:r>
            <w:r>
              <w:rPr>
                <w:rFonts w:hint="eastAsia" w:ascii="宋体" w:hAnsi="宋体" w:eastAsia="宋体" w:cs="宋体"/>
                <w:i w:val="0"/>
                <w:iCs w:val="0"/>
                <w:color w:val="auto"/>
                <w:kern w:val="0"/>
                <w:sz w:val="24"/>
                <w:szCs w:val="24"/>
                <w:highlight w:val="none"/>
                <w:u w:val="none"/>
                <w:lang w:val="en-US" w:eastAsia="zh-CN" w:bidi="ar"/>
              </w:rPr>
              <w:t>部（其中1部总质量须为15t或以上）</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snapToGrid/>
              <w:spacing w:line="40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不少于1部</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snapToGrid/>
              <w:spacing w:line="40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不少于4部</w:t>
            </w:r>
          </w:p>
        </w:tc>
        <w:tc>
          <w:tcPr>
            <w:tcW w:w="10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snapToGrid/>
              <w:spacing w:line="400" w:lineRule="exact"/>
              <w:jc w:val="center"/>
              <w:textAlignment w:val="center"/>
              <w:rPr>
                <w:color w:val="auto"/>
                <w:highlight w:val="none"/>
              </w:rPr>
            </w:pPr>
            <w:r>
              <w:rPr>
                <w:rFonts w:hint="eastAsia" w:ascii="宋体" w:hAnsi="宋体" w:eastAsia="宋体" w:cs="宋体"/>
                <w:i w:val="0"/>
                <w:iCs w:val="0"/>
                <w:color w:val="auto"/>
                <w:kern w:val="0"/>
                <w:sz w:val="24"/>
                <w:szCs w:val="24"/>
                <w:highlight w:val="none"/>
                <w:u w:val="none"/>
                <w:lang w:val="en-US" w:eastAsia="zh-CN" w:bidi="ar"/>
              </w:rPr>
              <w:t>不少于30部</w:t>
            </w:r>
          </w:p>
        </w:tc>
      </w:tr>
    </w:tbl>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firstLine="480"/>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2、采购人现有车辆</w:t>
      </w:r>
      <w:r>
        <w:rPr>
          <w:rFonts w:hint="eastAsia" w:ascii="宋体" w:hAnsi="宋体" w:cs="宋体"/>
          <w:i w:val="0"/>
          <w:iCs w:val="0"/>
          <w:caps w:val="0"/>
          <w:color w:val="auto"/>
          <w:spacing w:val="0"/>
          <w:sz w:val="24"/>
          <w:szCs w:val="24"/>
          <w:highlight w:val="none"/>
          <w:lang w:val="en-US" w:eastAsia="zh-CN"/>
        </w:rPr>
        <w:t>移交</w:t>
      </w:r>
      <w:r>
        <w:rPr>
          <w:rFonts w:hint="eastAsia" w:ascii="宋体" w:hAnsi="宋体" w:eastAsia="宋体" w:cs="宋体"/>
          <w:i w:val="0"/>
          <w:iCs w:val="0"/>
          <w:caps w:val="0"/>
          <w:color w:val="auto"/>
          <w:spacing w:val="0"/>
          <w:sz w:val="24"/>
          <w:szCs w:val="24"/>
          <w:highlight w:val="none"/>
        </w:rPr>
        <w:t>：</w:t>
      </w:r>
    </w:p>
    <w:tbl>
      <w:tblPr>
        <w:tblStyle w:val="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951"/>
        <w:gridCol w:w="1951"/>
        <w:gridCol w:w="1952"/>
        <w:gridCol w:w="1952"/>
        <w:gridCol w:w="195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9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snapToGrid/>
              <w:spacing w:line="40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序号</w:t>
            </w:r>
          </w:p>
        </w:tc>
        <w:tc>
          <w:tcPr>
            <w:tcW w:w="19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snapToGrid/>
              <w:spacing w:line="40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车辆类型</w:t>
            </w:r>
          </w:p>
        </w:tc>
        <w:tc>
          <w:tcPr>
            <w:tcW w:w="1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snapToGrid/>
              <w:spacing w:line="40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车牌号</w:t>
            </w:r>
          </w:p>
        </w:tc>
        <w:tc>
          <w:tcPr>
            <w:tcW w:w="1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snapToGrid/>
              <w:spacing w:line="40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年租赁费（元）</w:t>
            </w:r>
          </w:p>
        </w:tc>
        <w:tc>
          <w:tcPr>
            <w:tcW w:w="1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snapToGrid/>
              <w:spacing w:line="40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9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snapToGrid/>
              <w:spacing w:line="40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9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snapToGrid/>
              <w:spacing w:line="40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压缩式垃圾车</w:t>
            </w:r>
          </w:p>
        </w:tc>
        <w:tc>
          <w:tcPr>
            <w:tcW w:w="1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snapToGrid/>
              <w:spacing w:line="40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闽B35186</w:t>
            </w:r>
          </w:p>
        </w:tc>
        <w:tc>
          <w:tcPr>
            <w:tcW w:w="1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snapToGrid/>
              <w:spacing w:line="40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bidi="ar"/>
              </w:rPr>
              <w:t>15</w:t>
            </w:r>
            <w:r>
              <w:rPr>
                <w:rFonts w:hint="eastAsia" w:ascii="宋体" w:hAnsi="宋体" w:eastAsia="宋体" w:cs="宋体"/>
                <w:i w:val="0"/>
                <w:iCs w:val="0"/>
                <w:color w:val="auto"/>
                <w:kern w:val="0"/>
                <w:sz w:val="24"/>
                <w:szCs w:val="24"/>
                <w:highlight w:val="none"/>
                <w:u w:val="none"/>
                <w:lang w:val="en-US" w:eastAsia="zh-CN" w:bidi="ar"/>
              </w:rPr>
              <w:t>000</w:t>
            </w:r>
          </w:p>
        </w:tc>
        <w:tc>
          <w:tcPr>
            <w:tcW w:w="1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hd w:val="clear"/>
              <w:kinsoku/>
              <w:wordWrap/>
              <w:overflowPunct/>
              <w:topLinePunct w:val="0"/>
              <w:autoSpaceDE/>
              <w:autoSpaceDN/>
              <w:bidi w:val="0"/>
              <w:snapToGrid/>
              <w:spacing w:line="400" w:lineRule="exact"/>
              <w:jc w:val="left"/>
              <w:rPr>
                <w:rFonts w:hint="default" w:ascii="宋体" w:hAnsi="宋体" w:eastAsia="宋体" w:cs="宋体"/>
                <w:i w:val="0"/>
                <w:iCs w:val="0"/>
                <w:color w:val="auto"/>
                <w:sz w:val="24"/>
                <w:szCs w:val="24"/>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9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snapToGrid/>
              <w:spacing w:line="40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19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snapToGrid/>
              <w:spacing w:line="40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车厢可卸式垃圾车（大</w:t>
            </w:r>
            <w:r>
              <w:rPr>
                <w:rFonts w:hint="eastAsia" w:ascii="宋体" w:hAnsi="宋体" w:cs="宋体"/>
                <w:i w:val="0"/>
                <w:iCs w:val="0"/>
                <w:color w:val="auto"/>
                <w:sz w:val="24"/>
                <w:szCs w:val="24"/>
                <w:highlight w:val="none"/>
                <w:u w:val="none"/>
                <w:lang w:val="en-US" w:eastAsia="zh-CN"/>
              </w:rPr>
              <w:t>转运车</w:t>
            </w:r>
            <w:r>
              <w:rPr>
                <w:rFonts w:hint="eastAsia" w:ascii="宋体" w:hAnsi="宋体" w:eastAsia="宋体" w:cs="宋体"/>
                <w:i w:val="0"/>
                <w:iCs w:val="0"/>
                <w:color w:val="auto"/>
                <w:kern w:val="0"/>
                <w:sz w:val="24"/>
                <w:szCs w:val="24"/>
                <w:highlight w:val="none"/>
                <w:u w:val="none"/>
                <w:lang w:val="en-US" w:eastAsia="zh-CN" w:bidi="ar"/>
              </w:rPr>
              <w:t>）</w:t>
            </w:r>
          </w:p>
        </w:tc>
        <w:tc>
          <w:tcPr>
            <w:tcW w:w="1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snapToGrid/>
              <w:spacing w:line="40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闽B-35722</w:t>
            </w:r>
          </w:p>
        </w:tc>
        <w:tc>
          <w:tcPr>
            <w:tcW w:w="1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snapToGrid/>
              <w:spacing w:line="40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bidi="ar"/>
              </w:rPr>
              <w:t>15</w:t>
            </w:r>
            <w:r>
              <w:rPr>
                <w:rFonts w:hint="eastAsia" w:ascii="宋体" w:hAnsi="宋体" w:eastAsia="宋体" w:cs="宋体"/>
                <w:i w:val="0"/>
                <w:iCs w:val="0"/>
                <w:color w:val="auto"/>
                <w:kern w:val="0"/>
                <w:sz w:val="24"/>
                <w:szCs w:val="24"/>
                <w:highlight w:val="none"/>
                <w:u w:val="none"/>
                <w:lang w:val="en-US" w:eastAsia="zh-CN" w:bidi="ar"/>
              </w:rPr>
              <w:t>000</w:t>
            </w:r>
          </w:p>
        </w:tc>
        <w:tc>
          <w:tcPr>
            <w:tcW w:w="1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hd w:val="clear"/>
              <w:kinsoku/>
              <w:wordWrap/>
              <w:overflowPunct/>
              <w:topLinePunct w:val="0"/>
              <w:autoSpaceDE/>
              <w:autoSpaceDN/>
              <w:bidi w:val="0"/>
              <w:snapToGrid/>
              <w:spacing w:line="400" w:lineRule="exact"/>
              <w:jc w:val="center"/>
              <w:rPr>
                <w:rFonts w:hint="default" w:ascii="宋体" w:hAnsi="宋体" w:eastAsia="宋体" w:cs="宋体"/>
                <w:i w:val="0"/>
                <w:iCs w:val="0"/>
                <w:color w:val="auto"/>
                <w:sz w:val="24"/>
                <w:szCs w:val="24"/>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9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snapToGrid/>
              <w:spacing w:line="40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19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snapToGrid/>
              <w:spacing w:line="40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压缩式垃圾车</w:t>
            </w:r>
          </w:p>
        </w:tc>
        <w:tc>
          <w:tcPr>
            <w:tcW w:w="1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snapToGrid/>
              <w:spacing w:line="40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闽B-33939</w:t>
            </w:r>
          </w:p>
        </w:tc>
        <w:tc>
          <w:tcPr>
            <w:tcW w:w="1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snapToGrid/>
              <w:spacing w:line="40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bidi="ar"/>
              </w:rPr>
              <w:t>15</w:t>
            </w:r>
            <w:r>
              <w:rPr>
                <w:rFonts w:hint="eastAsia" w:ascii="宋体" w:hAnsi="宋体" w:eastAsia="宋体" w:cs="宋体"/>
                <w:i w:val="0"/>
                <w:iCs w:val="0"/>
                <w:color w:val="auto"/>
                <w:kern w:val="0"/>
                <w:sz w:val="24"/>
                <w:szCs w:val="24"/>
                <w:highlight w:val="none"/>
                <w:u w:val="none"/>
                <w:lang w:val="en-US" w:eastAsia="zh-CN" w:bidi="ar"/>
              </w:rPr>
              <w:t>000</w:t>
            </w:r>
          </w:p>
        </w:tc>
        <w:tc>
          <w:tcPr>
            <w:tcW w:w="1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hd w:val="clear"/>
              <w:kinsoku/>
              <w:wordWrap/>
              <w:overflowPunct/>
              <w:topLinePunct w:val="0"/>
              <w:autoSpaceDE/>
              <w:autoSpaceDN/>
              <w:bidi w:val="0"/>
              <w:snapToGrid/>
              <w:spacing w:line="400" w:lineRule="exact"/>
              <w:jc w:val="left"/>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9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snapToGrid/>
              <w:spacing w:line="40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19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snapToGrid/>
              <w:spacing w:line="40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洒水车</w:t>
            </w:r>
          </w:p>
        </w:tc>
        <w:tc>
          <w:tcPr>
            <w:tcW w:w="1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snapToGrid/>
              <w:spacing w:line="40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闽B35111</w:t>
            </w:r>
          </w:p>
        </w:tc>
        <w:tc>
          <w:tcPr>
            <w:tcW w:w="1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snapToGrid/>
              <w:spacing w:line="40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bidi="ar"/>
              </w:rPr>
              <w:t>15</w:t>
            </w:r>
            <w:r>
              <w:rPr>
                <w:rFonts w:hint="eastAsia" w:ascii="宋体" w:hAnsi="宋体" w:eastAsia="宋体" w:cs="宋体"/>
                <w:i w:val="0"/>
                <w:iCs w:val="0"/>
                <w:color w:val="auto"/>
                <w:kern w:val="0"/>
                <w:sz w:val="24"/>
                <w:szCs w:val="24"/>
                <w:highlight w:val="none"/>
                <w:u w:val="none"/>
                <w:lang w:val="en-US" w:eastAsia="zh-CN" w:bidi="ar"/>
              </w:rPr>
              <w:t>000</w:t>
            </w:r>
          </w:p>
        </w:tc>
        <w:tc>
          <w:tcPr>
            <w:tcW w:w="1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hd w:val="clear"/>
              <w:kinsoku/>
              <w:wordWrap/>
              <w:overflowPunct/>
              <w:topLinePunct w:val="0"/>
              <w:autoSpaceDE/>
              <w:autoSpaceDN/>
              <w:bidi w:val="0"/>
              <w:snapToGrid/>
              <w:spacing w:line="400" w:lineRule="exact"/>
              <w:jc w:val="left"/>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9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snapToGrid/>
              <w:spacing w:line="40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19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snapToGrid/>
              <w:spacing w:line="40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扫路车</w:t>
            </w:r>
          </w:p>
        </w:tc>
        <w:tc>
          <w:tcPr>
            <w:tcW w:w="1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snapToGrid/>
              <w:spacing w:line="40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闽B35156</w:t>
            </w:r>
          </w:p>
        </w:tc>
        <w:tc>
          <w:tcPr>
            <w:tcW w:w="1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snapToGrid/>
              <w:spacing w:line="40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bidi="ar"/>
              </w:rPr>
              <w:t>15</w:t>
            </w:r>
            <w:r>
              <w:rPr>
                <w:rFonts w:hint="eastAsia" w:ascii="宋体" w:hAnsi="宋体" w:eastAsia="宋体" w:cs="宋体"/>
                <w:i w:val="0"/>
                <w:iCs w:val="0"/>
                <w:color w:val="auto"/>
                <w:kern w:val="0"/>
                <w:sz w:val="24"/>
                <w:szCs w:val="24"/>
                <w:highlight w:val="none"/>
                <w:u w:val="none"/>
                <w:lang w:val="en-US" w:eastAsia="zh-CN" w:bidi="ar"/>
              </w:rPr>
              <w:t>000</w:t>
            </w:r>
          </w:p>
        </w:tc>
        <w:tc>
          <w:tcPr>
            <w:tcW w:w="1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hd w:val="clear"/>
              <w:kinsoku/>
              <w:wordWrap/>
              <w:overflowPunct/>
              <w:topLinePunct w:val="0"/>
              <w:autoSpaceDE/>
              <w:autoSpaceDN/>
              <w:bidi w:val="0"/>
              <w:snapToGrid/>
              <w:spacing w:line="400" w:lineRule="exact"/>
              <w:jc w:val="left"/>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9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snapToGrid/>
              <w:spacing w:line="40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w:t>
            </w:r>
          </w:p>
        </w:tc>
        <w:tc>
          <w:tcPr>
            <w:tcW w:w="19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snapToGrid/>
              <w:spacing w:line="40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bidi="ar"/>
              </w:rPr>
              <w:t>小</w:t>
            </w:r>
            <w:r>
              <w:rPr>
                <w:rFonts w:hint="eastAsia" w:ascii="宋体" w:hAnsi="宋体" w:eastAsia="宋体" w:cs="宋体"/>
                <w:i w:val="0"/>
                <w:iCs w:val="0"/>
                <w:color w:val="auto"/>
                <w:kern w:val="0"/>
                <w:sz w:val="24"/>
                <w:szCs w:val="24"/>
                <w:highlight w:val="none"/>
                <w:u w:val="none"/>
                <w:lang w:val="en-US" w:eastAsia="zh-CN" w:bidi="ar"/>
              </w:rPr>
              <w:t>勾臂车</w:t>
            </w:r>
          </w:p>
        </w:tc>
        <w:tc>
          <w:tcPr>
            <w:tcW w:w="1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snapToGrid/>
              <w:spacing w:line="40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闽BDN163</w:t>
            </w:r>
          </w:p>
        </w:tc>
        <w:tc>
          <w:tcPr>
            <w:tcW w:w="1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snapToGrid/>
              <w:spacing w:line="40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bidi="ar"/>
              </w:rPr>
              <w:t>5</w:t>
            </w:r>
            <w:r>
              <w:rPr>
                <w:rFonts w:hint="eastAsia" w:ascii="宋体" w:hAnsi="宋体" w:eastAsia="宋体" w:cs="宋体"/>
                <w:i w:val="0"/>
                <w:iCs w:val="0"/>
                <w:color w:val="auto"/>
                <w:kern w:val="0"/>
                <w:sz w:val="24"/>
                <w:szCs w:val="24"/>
                <w:highlight w:val="none"/>
                <w:u w:val="none"/>
                <w:lang w:val="en-US" w:eastAsia="zh-CN" w:bidi="ar"/>
              </w:rPr>
              <w:t>000</w:t>
            </w:r>
          </w:p>
        </w:tc>
        <w:tc>
          <w:tcPr>
            <w:tcW w:w="1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hd w:val="clear"/>
              <w:kinsoku/>
              <w:wordWrap/>
              <w:overflowPunct/>
              <w:topLinePunct w:val="0"/>
              <w:autoSpaceDE/>
              <w:autoSpaceDN/>
              <w:bidi w:val="0"/>
              <w:snapToGrid/>
              <w:spacing w:line="400" w:lineRule="exact"/>
              <w:jc w:val="left"/>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9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snapToGrid/>
              <w:spacing w:line="40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w:t>
            </w:r>
          </w:p>
        </w:tc>
        <w:tc>
          <w:tcPr>
            <w:tcW w:w="19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snapToGrid/>
              <w:spacing w:line="40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bidi="ar"/>
              </w:rPr>
              <w:t>小</w:t>
            </w:r>
            <w:r>
              <w:rPr>
                <w:rFonts w:hint="eastAsia" w:ascii="宋体" w:hAnsi="宋体" w:eastAsia="宋体" w:cs="宋体"/>
                <w:i w:val="0"/>
                <w:iCs w:val="0"/>
                <w:color w:val="auto"/>
                <w:kern w:val="0"/>
                <w:sz w:val="24"/>
                <w:szCs w:val="24"/>
                <w:highlight w:val="none"/>
                <w:u w:val="none"/>
                <w:lang w:val="en-US" w:eastAsia="zh-CN" w:bidi="ar"/>
              </w:rPr>
              <w:t>勾臂车</w:t>
            </w:r>
          </w:p>
        </w:tc>
        <w:tc>
          <w:tcPr>
            <w:tcW w:w="1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snapToGrid/>
              <w:spacing w:line="40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闽BDH153</w:t>
            </w:r>
          </w:p>
        </w:tc>
        <w:tc>
          <w:tcPr>
            <w:tcW w:w="1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snapToGrid/>
              <w:spacing w:line="40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bidi="ar"/>
              </w:rPr>
              <w:t>5</w:t>
            </w:r>
            <w:r>
              <w:rPr>
                <w:rFonts w:hint="eastAsia" w:ascii="宋体" w:hAnsi="宋体" w:eastAsia="宋体" w:cs="宋体"/>
                <w:i w:val="0"/>
                <w:iCs w:val="0"/>
                <w:color w:val="auto"/>
                <w:kern w:val="0"/>
                <w:sz w:val="24"/>
                <w:szCs w:val="24"/>
                <w:highlight w:val="none"/>
                <w:u w:val="none"/>
                <w:lang w:val="en-US" w:eastAsia="zh-CN" w:bidi="ar"/>
              </w:rPr>
              <w:t>000</w:t>
            </w:r>
          </w:p>
        </w:tc>
        <w:tc>
          <w:tcPr>
            <w:tcW w:w="1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hd w:val="clear"/>
              <w:kinsoku/>
              <w:wordWrap/>
              <w:overflowPunct/>
              <w:topLinePunct w:val="0"/>
              <w:autoSpaceDE/>
              <w:autoSpaceDN/>
              <w:bidi w:val="0"/>
              <w:snapToGrid/>
              <w:spacing w:line="400" w:lineRule="exact"/>
              <w:jc w:val="left"/>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9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snapToGrid/>
              <w:spacing w:line="400" w:lineRule="exact"/>
              <w:jc w:val="center"/>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cs="宋体"/>
                <w:i w:val="0"/>
                <w:iCs w:val="0"/>
                <w:color w:val="auto"/>
                <w:sz w:val="24"/>
                <w:szCs w:val="24"/>
                <w:highlight w:val="none"/>
                <w:u w:val="none"/>
                <w:lang w:val="en-US" w:eastAsia="zh-CN"/>
              </w:rPr>
              <w:t>8</w:t>
            </w:r>
          </w:p>
        </w:tc>
        <w:tc>
          <w:tcPr>
            <w:tcW w:w="19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snapToGrid/>
              <w:spacing w:line="40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车厢可卸式垃圾车</w:t>
            </w:r>
            <w:r>
              <w:rPr>
                <w:rFonts w:hint="eastAsia" w:ascii="宋体" w:hAnsi="宋体" w:cs="宋体"/>
                <w:i w:val="0"/>
                <w:iCs w:val="0"/>
                <w:color w:val="auto"/>
                <w:kern w:val="0"/>
                <w:sz w:val="24"/>
                <w:szCs w:val="24"/>
                <w:highlight w:val="none"/>
                <w:u w:val="none"/>
                <w:lang w:val="en-US" w:eastAsia="zh-CN" w:bidi="ar"/>
              </w:rPr>
              <w:t>（小</w:t>
            </w:r>
            <w:r>
              <w:rPr>
                <w:rFonts w:hint="eastAsia" w:ascii="宋体" w:hAnsi="宋体" w:eastAsia="宋体" w:cs="宋体"/>
                <w:i w:val="0"/>
                <w:iCs w:val="0"/>
                <w:color w:val="auto"/>
                <w:kern w:val="0"/>
                <w:sz w:val="24"/>
                <w:szCs w:val="24"/>
                <w:highlight w:val="none"/>
                <w:u w:val="none"/>
                <w:lang w:val="en-US" w:eastAsia="zh-CN" w:bidi="ar"/>
              </w:rPr>
              <w:t>勾臂车</w:t>
            </w:r>
            <w:r>
              <w:rPr>
                <w:rFonts w:hint="eastAsia" w:ascii="宋体" w:hAnsi="宋体" w:cs="宋体"/>
                <w:i w:val="0"/>
                <w:iCs w:val="0"/>
                <w:color w:val="auto"/>
                <w:kern w:val="0"/>
                <w:sz w:val="24"/>
                <w:szCs w:val="24"/>
                <w:highlight w:val="none"/>
                <w:u w:val="none"/>
                <w:lang w:val="en-US" w:eastAsia="zh-CN" w:bidi="ar"/>
              </w:rPr>
              <w:t>）</w:t>
            </w:r>
          </w:p>
        </w:tc>
        <w:tc>
          <w:tcPr>
            <w:tcW w:w="1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snapToGrid/>
              <w:spacing w:line="40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闽BDL172</w:t>
            </w:r>
          </w:p>
        </w:tc>
        <w:tc>
          <w:tcPr>
            <w:tcW w:w="1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snapToGrid/>
              <w:spacing w:line="40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bidi="ar"/>
              </w:rPr>
              <w:t>5</w:t>
            </w:r>
            <w:r>
              <w:rPr>
                <w:rFonts w:hint="eastAsia" w:ascii="宋体" w:hAnsi="宋体" w:eastAsia="宋体" w:cs="宋体"/>
                <w:i w:val="0"/>
                <w:iCs w:val="0"/>
                <w:color w:val="auto"/>
                <w:kern w:val="0"/>
                <w:sz w:val="24"/>
                <w:szCs w:val="24"/>
                <w:highlight w:val="none"/>
                <w:u w:val="none"/>
                <w:lang w:val="en-US" w:eastAsia="zh-CN" w:bidi="ar"/>
              </w:rPr>
              <w:t>000</w:t>
            </w:r>
          </w:p>
        </w:tc>
        <w:tc>
          <w:tcPr>
            <w:tcW w:w="1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hd w:val="clear"/>
              <w:kinsoku/>
              <w:wordWrap/>
              <w:overflowPunct/>
              <w:topLinePunct w:val="0"/>
              <w:autoSpaceDE/>
              <w:autoSpaceDN/>
              <w:bidi w:val="0"/>
              <w:snapToGrid/>
              <w:spacing w:line="400" w:lineRule="exact"/>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9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snapToGrid/>
              <w:spacing w:line="40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bidi="ar"/>
              </w:rPr>
              <w:t>9</w:t>
            </w:r>
          </w:p>
        </w:tc>
        <w:tc>
          <w:tcPr>
            <w:tcW w:w="19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snapToGrid/>
              <w:spacing w:line="40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车厢可卸式垃圾车</w:t>
            </w:r>
            <w:r>
              <w:rPr>
                <w:rFonts w:hint="eastAsia" w:ascii="宋体" w:hAnsi="宋体" w:cs="宋体"/>
                <w:i w:val="0"/>
                <w:iCs w:val="0"/>
                <w:color w:val="auto"/>
                <w:kern w:val="0"/>
                <w:sz w:val="24"/>
                <w:szCs w:val="24"/>
                <w:highlight w:val="none"/>
                <w:u w:val="none"/>
                <w:lang w:val="en-US" w:eastAsia="zh-CN" w:bidi="ar"/>
              </w:rPr>
              <w:t>（小</w:t>
            </w:r>
            <w:r>
              <w:rPr>
                <w:rFonts w:hint="eastAsia" w:ascii="宋体" w:hAnsi="宋体" w:eastAsia="宋体" w:cs="宋体"/>
                <w:i w:val="0"/>
                <w:iCs w:val="0"/>
                <w:color w:val="auto"/>
                <w:kern w:val="0"/>
                <w:sz w:val="24"/>
                <w:szCs w:val="24"/>
                <w:highlight w:val="none"/>
                <w:u w:val="none"/>
                <w:lang w:val="en-US" w:eastAsia="zh-CN" w:bidi="ar"/>
              </w:rPr>
              <w:t>勾臂车</w:t>
            </w:r>
            <w:r>
              <w:rPr>
                <w:rFonts w:hint="eastAsia" w:ascii="宋体" w:hAnsi="宋体" w:cs="宋体"/>
                <w:i w:val="0"/>
                <w:iCs w:val="0"/>
                <w:color w:val="auto"/>
                <w:kern w:val="0"/>
                <w:sz w:val="24"/>
                <w:szCs w:val="24"/>
                <w:highlight w:val="none"/>
                <w:u w:val="none"/>
                <w:lang w:val="en-US" w:eastAsia="zh-CN" w:bidi="ar"/>
              </w:rPr>
              <w:t>）</w:t>
            </w:r>
          </w:p>
        </w:tc>
        <w:tc>
          <w:tcPr>
            <w:tcW w:w="1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snapToGrid/>
              <w:spacing w:line="40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闽B-DR723</w:t>
            </w:r>
          </w:p>
        </w:tc>
        <w:tc>
          <w:tcPr>
            <w:tcW w:w="1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snapToGrid/>
              <w:spacing w:line="40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bidi="ar"/>
              </w:rPr>
              <w:t>5</w:t>
            </w:r>
            <w:r>
              <w:rPr>
                <w:rFonts w:hint="eastAsia" w:ascii="宋体" w:hAnsi="宋体" w:eastAsia="宋体" w:cs="宋体"/>
                <w:i w:val="0"/>
                <w:iCs w:val="0"/>
                <w:color w:val="auto"/>
                <w:kern w:val="0"/>
                <w:sz w:val="24"/>
                <w:szCs w:val="24"/>
                <w:highlight w:val="none"/>
                <w:u w:val="none"/>
                <w:lang w:val="en-US" w:eastAsia="zh-CN" w:bidi="ar"/>
              </w:rPr>
              <w:t>000</w:t>
            </w:r>
          </w:p>
        </w:tc>
        <w:tc>
          <w:tcPr>
            <w:tcW w:w="1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hd w:val="clear"/>
              <w:kinsoku/>
              <w:wordWrap/>
              <w:overflowPunct/>
              <w:topLinePunct w:val="0"/>
              <w:autoSpaceDE/>
              <w:autoSpaceDN/>
              <w:bidi w:val="0"/>
              <w:snapToGrid/>
              <w:spacing w:line="400" w:lineRule="exact"/>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9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snapToGrid/>
              <w:spacing w:line="400" w:lineRule="exact"/>
              <w:jc w:val="center"/>
              <w:textAlignment w:val="center"/>
              <w:rPr>
                <w:rFonts w:hint="default" w:ascii="宋体" w:hAnsi="宋体" w:eastAsia="宋体" w:cs="宋体"/>
                <w:i w:val="0"/>
                <w:iCs w:val="0"/>
                <w:color w:val="auto"/>
                <w:sz w:val="24"/>
                <w:szCs w:val="24"/>
                <w:highlight w:val="none"/>
                <w:u w:val="none"/>
                <w:lang w:val="en-US"/>
              </w:rPr>
            </w:pPr>
            <w:r>
              <w:rPr>
                <w:rFonts w:hint="eastAsia" w:ascii="宋体" w:hAnsi="宋体" w:cs="宋体"/>
                <w:i w:val="0"/>
                <w:iCs w:val="0"/>
                <w:color w:val="auto"/>
                <w:kern w:val="0"/>
                <w:sz w:val="24"/>
                <w:szCs w:val="24"/>
                <w:highlight w:val="none"/>
                <w:u w:val="none"/>
                <w:lang w:val="en-US" w:eastAsia="zh-CN" w:bidi="ar"/>
              </w:rPr>
              <w:t>10</w:t>
            </w:r>
          </w:p>
        </w:tc>
        <w:tc>
          <w:tcPr>
            <w:tcW w:w="19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snapToGrid/>
              <w:spacing w:line="40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车厢可卸式垃圾车</w:t>
            </w:r>
            <w:r>
              <w:rPr>
                <w:rFonts w:hint="eastAsia" w:ascii="宋体" w:hAnsi="宋体" w:cs="宋体"/>
                <w:i w:val="0"/>
                <w:iCs w:val="0"/>
                <w:color w:val="auto"/>
                <w:kern w:val="0"/>
                <w:sz w:val="24"/>
                <w:szCs w:val="24"/>
                <w:highlight w:val="none"/>
                <w:u w:val="none"/>
                <w:lang w:val="en-US" w:eastAsia="zh-CN" w:bidi="ar"/>
              </w:rPr>
              <w:t>（小</w:t>
            </w:r>
            <w:r>
              <w:rPr>
                <w:rFonts w:hint="eastAsia" w:ascii="宋体" w:hAnsi="宋体" w:eastAsia="宋体" w:cs="宋体"/>
                <w:i w:val="0"/>
                <w:iCs w:val="0"/>
                <w:color w:val="auto"/>
                <w:kern w:val="0"/>
                <w:sz w:val="24"/>
                <w:szCs w:val="24"/>
                <w:highlight w:val="none"/>
                <w:u w:val="none"/>
                <w:lang w:val="en-US" w:eastAsia="zh-CN" w:bidi="ar"/>
              </w:rPr>
              <w:t>勾臂车</w:t>
            </w:r>
            <w:r>
              <w:rPr>
                <w:rFonts w:hint="eastAsia" w:ascii="宋体" w:hAnsi="宋体" w:cs="宋体"/>
                <w:i w:val="0"/>
                <w:iCs w:val="0"/>
                <w:color w:val="auto"/>
                <w:kern w:val="0"/>
                <w:sz w:val="24"/>
                <w:szCs w:val="24"/>
                <w:highlight w:val="none"/>
                <w:u w:val="none"/>
                <w:lang w:val="en-US" w:eastAsia="zh-CN" w:bidi="ar"/>
              </w:rPr>
              <w:t>）</w:t>
            </w:r>
          </w:p>
        </w:tc>
        <w:tc>
          <w:tcPr>
            <w:tcW w:w="1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snapToGrid/>
              <w:spacing w:line="40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闽B-DN713</w:t>
            </w:r>
          </w:p>
        </w:tc>
        <w:tc>
          <w:tcPr>
            <w:tcW w:w="1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snapToGrid/>
              <w:spacing w:line="40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bidi="ar"/>
              </w:rPr>
              <w:t>5</w:t>
            </w:r>
            <w:r>
              <w:rPr>
                <w:rFonts w:hint="eastAsia" w:ascii="宋体" w:hAnsi="宋体" w:eastAsia="宋体" w:cs="宋体"/>
                <w:i w:val="0"/>
                <w:iCs w:val="0"/>
                <w:color w:val="auto"/>
                <w:kern w:val="0"/>
                <w:sz w:val="24"/>
                <w:szCs w:val="24"/>
                <w:highlight w:val="none"/>
                <w:u w:val="none"/>
                <w:lang w:val="en-US" w:eastAsia="zh-CN" w:bidi="ar"/>
              </w:rPr>
              <w:t>000</w:t>
            </w:r>
          </w:p>
        </w:tc>
        <w:tc>
          <w:tcPr>
            <w:tcW w:w="1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hd w:val="clear"/>
              <w:kinsoku/>
              <w:wordWrap/>
              <w:overflowPunct/>
              <w:topLinePunct w:val="0"/>
              <w:autoSpaceDE/>
              <w:autoSpaceDN/>
              <w:bidi w:val="0"/>
              <w:snapToGrid/>
              <w:spacing w:line="400" w:lineRule="exact"/>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9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snapToGrid/>
              <w:spacing w:line="400" w:lineRule="exact"/>
              <w:jc w:val="center"/>
              <w:textAlignment w:val="center"/>
              <w:rPr>
                <w:rFonts w:hint="default" w:ascii="宋体" w:hAnsi="宋体" w:eastAsia="宋体" w:cs="宋体"/>
                <w:i w:val="0"/>
                <w:iCs w:val="0"/>
                <w:color w:val="auto"/>
                <w:sz w:val="24"/>
                <w:szCs w:val="24"/>
                <w:highlight w:val="none"/>
                <w:u w:val="none"/>
                <w:lang w:val="en-US"/>
              </w:rPr>
            </w:pPr>
            <w:r>
              <w:rPr>
                <w:rFonts w:hint="eastAsia" w:ascii="宋体" w:hAnsi="宋体" w:cs="宋体"/>
                <w:i w:val="0"/>
                <w:iCs w:val="0"/>
                <w:color w:val="auto"/>
                <w:kern w:val="0"/>
                <w:sz w:val="24"/>
                <w:szCs w:val="24"/>
                <w:highlight w:val="none"/>
                <w:u w:val="none"/>
                <w:lang w:val="en-US" w:eastAsia="zh-CN" w:bidi="ar"/>
              </w:rPr>
              <w:t>11</w:t>
            </w:r>
          </w:p>
        </w:tc>
        <w:tc>
          <w:tcPr>
            <w:tcW w:w="19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snapToGrid/>
              <w:spacing w:line="40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车厢可卸式垃圾车</w:t>
            </w:r>
            <w:r>
              <w:rPr>
                <w:rFonts w:hint="eastAsia" w:ascii="宋体" w:hAnsi="宋体" w:cs="宋体"/>
                <w:i w:val="0"/>
                <w:iCs w:val="0"/>
                <w:color w:val="auto"/>
                <w:kern w:val="0"/>
                <w:sz w:val="24"/>
                <w:szCs w:val="24"/>
                <w:highlight w:val="none"/>
                <w:u w:val="none"/>
                <w:lang w:val="en-US" w:eastAsia="zh-CN" w:bidi="ar"/>
              </w:rPr>
              <w:t>（小</w:t>
            </w:r>
            <w:r>
              <w:rPr>
                <w:rFonts w:hint="eastAsia" w:ascii="宋体" w:hAnsi="宋体" w:eastAsia="宋体" w:cs="宋体"/>
                <w:i w:val="0"/>
                <w:iCs w:val="0"/>
                <w:color w:val="auto"/>
                <w:kern w:val="0"/>
                <w:sz w:val="24"/>
                <w:szCs w:val="24"/>
                <w:highlight w:val="none"/>
                <w:u w:val="none"/>
                <w:lang w:val="en-US" w:eastAsia="zh-CN" w:bidi="ar"/>
              </w:rPr>
              <w:t>勾臂车</w:t>
            </w:r>
            <w:r>
              <w:rPr>
                <w:rFonts w:hint="eastAsia" w:ascii="宋体" w:hAnsi="宋体" w:cs="宋体"/>
                <w:i w:val="0"/>
                <w:iCs w:val="0"/>
                <w:color w:val="auto"/>
                <w:kern w:val="0"/>
                <w:sz w:val="24"/>
                <w:szCs w:val="24"/>
                <w:highlight w:val="none"/>
                <w:u w:val="none"/>
                <w:lang w:val="en-US" w:eastAsia="zh-CN" w:bidi="ar"/>
              </w:rPr>
              <w:t>）</w:t>
            </w:r>
          </w:p>
        </w:tc>
        <w:tc>
          <w:tcPr>
            <w:tcW w:w="1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snapToGrid/>
              <w:spacing w:line="40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闽B-DS290</w:t>
            </w:r>
          </w:p>
        </w:tc>
        <w:tc>
          <w:tcPr>
            <w:tcW w:w="1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snapToGrid/>
              <w:spacing w:line="40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bidi="ar"/>
              </w:rPr>
              <w:t>5</w:t>
            </w:r>
            <w:r>
              <w:rPr>
                <w:rFonts w:hint="eastAsia" w:ascii="宋体" w:hAnsi="宋体" w:eastAsia="宋体" w:cs="宋体"/>
                <w:i w:val="0"/>
                <w:iCs w:val="0"/>
                <w:color w:val="auto"/>
                <w:kern w:val="0"/>
                <w:sz w:val="24"/>
                <w:szCs w:val="24"/>
                <w:highlight w:val="none"/>
                <w:u w:val="none"/>
                <w:lang w:val="en-US" w:eastAsia="zh-CN" w:bidi="ar"/>
              </w:rPr>
              <w:t>000</w:t>
            </w:r>
          </w:p>
        </w:tc>
        <w:tc>
          <w:tcPr>
            <w:tcW w:w="1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hd w:val="clear"/>
              <w:kinsoku/>
              <w:wordWrap/>
              <w:overflowPunct/>
              <w:topLinePunct w:val="0"/>
              <w:autoSpaceDE/>
              <w:autoSpaceDN/>
              <w:bidi w:val="0"/>
              <w:snapToGrid/>
              <w:spacing w:line="400" w:lineRule="exact"/>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9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snapToGrid/>
              <w:spacing w:line="400" w:lineRule="exact"/>
              <w:jc w:val="center"/>
              <w:textAlignment w:val="center"/>
              <w:rPr>
                <w:rFonts w:hint="default" w:ascii="宋体" w:hAnsi="宋体" w:eastAsia="宋体" w:cs="宋体"/>
                <w:i w:val="0"/>
                <w:iCs w:val="0"/>
                <w:color w:val="auto"/>
                <w:sz w:val="24"/>
                <w:szCs w:val="24"/>
                <w:highlight w:val="none"/>
                <w:u w:val="none"/>
                <w:lang w:val="en-US"/>
              </w:rPr>
            </w:pPr>
            <w:r>
              <w:rPr>
                <w:rFonts w:hint="eastAsia" w:ascii="宋体" w:hAnsi="宋体" w:cs="宋体"/>
                <w:i w:val="0"/>
                <w:iCs w:val="0"/>
                <w:color w:val="auto"/>
                <w:kern w:val="0"/>
                <w:sz w:val="24"/>
                <w:szCs w:val="24"/>
                <w:highlight w:val="none"/>
                <w:u w:val="none"/>
                <w:lang w:val="en-US" w:eastAsia="zh-CN" w:bidi="ar"/>
              </w:rPr>
              <w:t>12</w:t>
            </w:r>
          </w:p>
        </w:tc>
        <w:tc>
          <w:tcPr>
            <w:tcW w:w="19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snapToGrid/>
              <w:spacing w:line="40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车厢可卸式垃圾车</w:t>
            </w:r>
            <w:r>
              <w:rPr>
                <w:rFonts w:hint="eastAsia" w:ascii="宋体" w:hAnsi="宋体" w:cs="宋体"/>
                <w:i w:val="0"/>
                <w:iCs w:val="0"/>
                <w:color w:val="auto"/>
                <w:kern w:val="0"/>
                <w:sz w:val="24"/>
                <w:szCs w:val="24"/>
                <w:highlight w:val="none"/>
                <w:u w:val="none"/>
                <w:lang w:val="en-US" w:eastAsia="zh-CN" w:bidi="ar"/>
              </w:rPr>
              <w:t>（小</w:t>
            </w:r>
            <w:r>
              <w:rPr>
                <w:rFonts w:hint="eastAsia" w:ascii="宋体" w:hAnsi="宋体" w:eastAsia="宋体" w:cs="宋体"/>
                <w:i w:val="0"/>
                <w:iCs w:val="0"/>
                <w:color w:val="auto"/>
                <w:kern w:val="0"/>
                <w:sz w:val="24"/>
                <w:szCs w:val="24"/>
                <w:highlight w:val="none"/>
                <w:u w:val="none"/>
                <w:lang w:val="en-US" w:eastAsia="zh-CN" w:bidi="ar"/>
              </w:rPr>
              <w:t>勾臂车</w:t>
            </w:r>
            <w:r>
              <w:rPr>
                <w:rFonts w:hint="eastAsia" w:ascii="宋体" w:hAnsi="宋体" w:cs="宋体"/>
                <w:i w:val="0"/>
                <w:iCs w:val="0"/>
                <w:color w:val="auto"/>
                <w:kern w:val="0"/>
                <w:sz w:val="24"/>
                <w:szCs w:val="24"/>
                <w:highlight w:val="none"/>
                <w:u w:val="none"/>
                <w:lang w:val="en-US" w:eastAsia="zh-CN" w:bidi="ar"/>
              </w:rPr>
              <w:t>）</w:t>
            </w:r>
          </w:p>
        </w:tc>
        <w:tc>
          <w:tcPr>
            <w:tcW w:w="1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snapToGrid/>
              <w:spacing w:line="40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闽B-DS355</w:t>
            </w:r>
          </w:p>
        </w:tc>
        <w:tc>
          <w:tcPr>
            <w:tcW w:w="1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snapToGrid/>
              <w:spacing w:line="40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bidi="ar"/>
              </w:rPr>
              <w:t>5</w:t>
            </w:r>
            <w:r>
              <w:rPr>
                <w:rFonts w:hint="eastAsia" w:ascii="宋体" w:hAnsi="宋体" w:eastAsia="宋体" w:cs="宋体"/>
                <w:i w:val="0"/>
                <w:iCs w:val="0"/>
                <w:color w:val="auto"/>
                <w:kern w:val="0"/>
                <w:sz w:val="24"/>
                <w:szCs w:val="24"/>
                <w:highlight w:val="none"/>
                <w:u w:val="none"/>
                <w:lang w:val="en-US" w:eastAsia="zh-CN" w:bidi="ar"/>
              </w:rPr>
              <w:t>000</w:t>
            </w:r>
          </w:p>
        </w:tc>
        <w:tc>
          <w:tcPr>
            <w:tcW w:w="1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hd w:val="clear"/>
              <w:kinsoku/>
              <w:wordWrap/>
              <w:overflowPunct/>
              <w:topLinePunct w:val="0"/>
              <w:autoSpaceDE/>
              <w:autoSpaceDN/>
              <w:bidi w:val="0"/>
              <w:snapToGrid/>
              <w:spacing w:line="400" w:lineRule="exact"/>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9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snapToGrid/>
              <w:spacing w:line="400" w:lineRule="exact"/>
              <w:jc w:val="center"/>
              <w:textAlignment w:val="center"/>
              <w:rPr>
                <w:rFonts w:hint="default" w:ascii="宋体" w:hAnsi="宋体" w:eastAsia="宋体" w:cs="宋体"/>
                <w:i w:val="0"/>
                <w:iCs w:val="0"/>
                <w:color w:val="auto"/>
                <w:sz w:val="24"/>
                <w:szCs w:val="24"/>
                <w:highlight w:val="none"/>
                <w:u w:val="none"/>
                <w:lang w:val="en-US"/>
              </w:rPr>
            </w:pPr>
            <w:r>
              <w:rPr>
                <w:rFonts w:hint="eastAsia" w:ascii="宋体" w:hAnsi="宋体" w:cs="宋体"/>
                <w:i w:val="0"/>
                <w:iCs w:val="0"/>
                <w:color w:val="auto"/>
                <w:kern w:val="0"/>
                <w:sz w:val="24"/>
                <w:szCs w:val="24"/>
                <w:highlight w:val="none"/>
                <w:u w:val="none"/>
                <w:lang w:val="en-US" w:eastAsia="zh-CN" w:bidi="ar"/>
              </w:rPr>
              <w:t>13</w:t>
            </w:r>
          </w:p>
        </w:tc>
        <w:tc>
          <w:tcPr>
            <w:tcW w:w="19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snapToGrid/>
              <w:spacing w:line="40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车厢可卸式垃圾车</w:t>
            </w:r>
            <w:r>
              <w:rPr>
                <w:rFonts w:hint="eastAsia" w:ascii="宋体" w:hAnsi="宋体" w:cs="宋体"/>
                <w:i w:val="0"/>
                <w:iCs w:val="0"/>
                <w:color w:val="auto"/>
                <w:kern w:val="0"/>
                <w:sz w:val="24"/>
                <w:szCs w:val="24"/>
                <w:highlight w:val="none"/>
                <w:u w:val="none"/>
                <w:lang w:val="en-US" w:eastAsia="zh-CN" w:bidi="ar"/>
              </w:rPr>
              <w:t>（小</w:t>
            </w:r>
            <w:r>
              <w:rPr>
                <w:rFonts w:hint="eastAsia" w:ascii="宋体" w:hAnsi="宋体" w:eastAsia="宋体" w:cs="宋体"/>
                <w:i w:val="0"/>
                <w:iCs w:val="0"/>
                <w:color w:val="auto"/>
                <w:kern w:val="0"/>
                <w:sz w:val="24"/>
                <w:szCs w:val="24"/>
                <w:highlight w:val="none"/>
                <w:u w:val="none"/>
                <w:lang w:val="en-US" w:eastAsia="zh-CN" w:bidi="ar"/>
              </w:rPr>
              <w:t>勾臂车</w:t>
            </w:r>
            <w:r>
              <w:rPr>
                <w:rFonts w:hint="eastAsia" w:ascii="宋体" w:hAnsi="宋体" w:cs="宋体"/>
                <w:i w:val="0"/>
                <w:iCs w:val="0"/>
                <w:color w:val="auto"/>
                <w:kern w:val="0"/>
                <w:sz w:val="24"/>
                <w:szCs w:val="24"/>
                <w:highlight w:val="none"/>
                <w:u w:val="none"/>
                <w:lang w:val="en-US" w:eastAsia="zh-CN" w:bidi="ar"/>
              </w:rPr>
              <w:t>）</w:t>
            </w:r>
          </w:p>
        </w:tc>
        <w:tc>
          <w:tcPr>
            <w:tcW w:w="1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snapToGrid/>
              <w:spacing w:line="40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闽B-DS702</w:t>
            </w:r>
          </w:p>
        </w:tc>
        <w:tc>
          <w:tcPr>
            <w:tcW w:w="1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snapToGrid/>
              <w:spacing w:line="40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bidi="ar"/>
              </w:rPr>
              <w:t>5</w:t>
            </w:r>
            <w:r>
              <w:rPr>
                <w:rFonts w:hint="eastAsia" w:ascii="宋体" w:hAnsi="宋体" w:eastAsia="宋体" w:cs="宋体"/>
                <w:i w:val="0"/>
                <w:iCs w:val="0"/>
                <w:color w:val="auto"/>
                <w:kern w:val="0"/>
                <w:sz w:val="24"/>
                <w:szCs w:val="24"/>
                <w:highlight w:val="none"/>
                <w:u w:val="none"/>
                <w:lang w:val="en-US" w:eastAsia="zh-CN" w:bidi="ar"/>
              </w:rPr>
              <w:t>000</w:t>
            </w:r>
          </w:p>
        </w:tc>
        <w:tc>
          <w:tcPr>
            <w:tcW w:w="1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hd w:val="clear"/>
              <w:kinsoku/>
              <w:wordWrap/>
              <w:overflowPunct/>
              <w:topLinePunct w:val="0"/>
              <w:autoSpaceDE/>
              <w:autoSpaceDN/>
              <w:bidi w:val="0"/>
              <w:snapToGrid/>
              <w:spacing w:line="400" w:lineRule="exact"/>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9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snapToGrid/>
              <w:spacing w:line="400" w:lineRule="exact"/>
              <w:jc w:val="center"/>
              <w:textAlignment w:val="center"/>
              <w:rPr>
                <w:rFonts w:hint="default" w:ascii="宋体" w:hAnsi="宋体" w:eastAsia="宋体" w:cs="宋体"/>
                <w:i w:val="0"/>
                <w:iCs w:val="0"/>
                <w:color w:val="auto"/>
                <w:sz w:val="24"/>
                <w:szCs w:val="24"/>
                <w:highlight w:val="none"/>
                <w:u w:val="none"/>
                <w:lang w:val="en-US"/>
              </w:rPr>
            </w:pPr>
            <w:r>
              <w:rPr>
                <w:rFonts w:hint="eastAsia" w:ascii="宋体" w:hAnsi="宋体" w:cs="宋体"/>
                <w:i w:val="0"/>
                <w:iCs w:val="0"/>
                <w:color w:val="auto"/>
                <w:kern w:val="0"/>
                <w:sz w:val="24"/>
                <w:szCs w:val="24"/>
                <w:highlight w:val="none"/>
                <w:u w:val="none"/>
                <w:lang w:val="en-US" w:eastAsia="zh-CN" w:bidi="ar"/>
              </w:rPr>
              <w:t>14</w:t>
            </w:r>
          </w:p>
        </w:tc>
        <w:tc>
          <w:tcPr>
            <w:tcW w:w="19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snapToGrid/>
              <w:spacing w:line="40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车厢可卸式垃圾车</w:t>
            </w:r>
            <w:r>
              <w:rPr>
                <w:rFonts w:hint="eastAsia" w:ascii="宋体" w:hAnsi="宋体" w:cs="宋体"/>
                <w:i w:val="0"/>
                <w:iCs w:val="0"/>
                <w:color w:val="auto"/>
                <w:kern w:val="0"/>
                <w:sz w:val="24"/>
                <w:szCs w:val="24"/>
                <w:highlight w:val="none"/>
                <w:u w:val="none"/>
                <w:lang w:val="en-US" w:eastAsia="zh-CN" w:bidi="ar"/>
              </w:rPr>
              <w:t>（小</w:t>
            </w:r>
            <w:r>
              <w:rPr>
                <w:rFonts w:hint="eastAsia" w:ascii="宋体" w:hAnsi="宋体" w:eastAsia="宋体" w:cs="宋体"/>
                <w:i w:val="0"/>
                <w:iCs w:val="0"/>
                <w:color w:val="auto"/>
                <w:kern w:val="0"/>
                <w:sz w:val="24"/>
                <w:szCs w:val="24"/>
                <w:highlight w:val="none"/>
                <w:u w:val="none"/>
                <w:lang w:val="en-US" w:eastAsia="zh-CN" w:bidi="ar"/>
              </w:rPr>
              <w:t>勾臂车</w:t>
            </w:r>
            <w:r>
              <w:rPr>
                <w:rFonts w:hint="eastAsia" w:ascii="宋体" w:hAnsi="宋体" w:cs="宋体"/>
                <w:i w:val="0"/>
                <w:iCs w:val="0"/>
                <w:color w:val="auto"/>
                <w:kern w:val="0"/>
                <w:sz w:val="24"/>
                <w:szCs w:val="24"/>
                <w:highlight w:val="none"/>
                <w:u w:val="none"/>
                <w:lang w:val="en-US" w:eastAsia="zh-CN" w:bidi="ar"/>
              </w:rPr>
              <w:t>）</w:t>
            </w:r>
          </w:p>
        </w:tc>
        <w:tc>
          <w:tcPr>
            <w:tcW w:w="1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snapToGrid/>
              <w:spacing w:line="40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闽B-DT073</w:t>
            </w:r>
          </w:p>
        </w:tc>
        <w:tc>
          <w:tcPr>
            <w:tcW w:w="1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snapToGrid/>
              <w:spacing w:line="40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bidi="ar"/>
              </w:rPr>
              <w:t>5</w:t>
            </w:r>
            <w:r>
              <w:rPr>
                <w:rFonts w:hint="eastAsia" w:ascii="宋体" w:hAnsi="宋体" w:eastAsia="宋体" w:cs="宋体"/>
                <w:i w:val="0"/>
                <w:iCs w:val="0"/>
                <w:color w:val="auto"/>
                <w:kern w:val="0"/>
                <w:sz w:val="24"/>
                <w:szCs w:val="24"/>
                <w:highlight w:val="none"/>
                <w:u w:val="none"/>
                <w:lang w:val="en-US" w:eastAsia="zh-CN" w:bidi="ar"/>
              </w:rPr>
              <w:t>000</w:t>
            </w:r>
          </w:p>
        </w:tc>
        <w:tc>
          <w:tcPr>
            <w:tcW w:w="1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hd w:val="clear"/>
              <w:kinsoku/>
              <w:wordWrap/>
              <w:overflowPunct/>
              <w:topLinePunct w:val="0"/>
              <w:autoSpaceDE/>
              <w:autoSpaceDN/>
              <w:bidi w:val="0"/>
              <w:snapToGrid/>
              <w:spacing w:line="400" w:lineRule="exact"/>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9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hd w:val="clear"/>
              <w:kinsoku/>
              <w:wordWrap/>
              <w:overflowPunct/>
              <w:topLinePunct w:val="0"/>
              <w:autoSpaceDE/>
              <w:autoSpaceDN/>
              <w:bidi w:val="0"/>
              <w:snapToGrid/>
              <w:spacing w:line="400" w:lineRule="exact"/>
              <w:jc w:val="left"/>
              <w:rPr>
                <w:rFonts w:hint="eastAsia" w:ascii="宋体" w:hAnsi="宋体" w:eastAsia="宋体" w:cs="宋体"/>
                <w:i w:val="0"/>
                <w:iCs w:val="0"/>
                <w:color w:val="auto"/>
                <w:sz w:val="24"/>
                <w:szCs w:val="24"/>
                <w:highlight w:val="none"/>
                <w:u w:val="none"/>
              </w:rPr>
            </w:pPr>
          </w:p>
        </w:tc>
        <w:tc>
          <w:tcPr>
            <w:tcW w:w="19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hd w:val="clear"/>
              <w:kinsoku/>
              <w:wordWrap/>
              <w:overflowPunct/>
              <w:topLinePunct w:val="0"/>
              <w:autoSpaceDE/>
              <w:autoSpaceDN/>
              <w:bidi w:val="0"/>
              <w:snapToGrid/>
              <w:spacing w:line="400" w:lineRule="exact"/>
              <w:jc w:val="left"/>
              <w:rPr>
                <w:rFonts w:hint="eastAsia" w:ascii="宋体" w:hAnsi="宋体" w:eastAsia="宋体" w:cs="宋体"/>
                <w:i w:val="0"/>
                <w:iCs w:val="0"/>
                <w:color w:val="auto"/>
                <w:sz w:val="24"/>
                <w:szCs w:val="24"/>
                <w:highlight w:val="none"/>
                <w:u w:val="none"/>
              </w:rPr>
            </w:pPr>
          </w:p>
        </w:tc>
        <w:tc>
          <w:tcPr>
            <w:tcW w:w="1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hd w:val="clear"/>
              <w:kinsoku/>
              <w:wordWrap/>
              <w:overflowPunct/>
              <w:topLinePunct w:val="0"/>
              <w:autoSpaceDE/>
              <w:autoSpaceDN/>
              <w:bidi w:val="0"/>
              <w:snapToGrid/>
              <w:spacing w:line="400" w:lineRule="exact"/>
              <w:jc w:val="left"/>
              <w:rPr>
                <w:rFonts w:hint="eastAsia" w:ascii="宋体" w:hAnsi="宋体" w:eastAsia="宋体" w:cs="宋体"/>
                <w:i w:val="0"/>
                <w:iCs w:val="0"/>
                <w:color w:val="auto"/>
                <w:sz w:val="24"/>
                <w:szCs w:val="24"/>
                <w:highlight w:val="none"/>
                <w:u w:val="none"/>
              </w:rPr>
            </w:pPr>
          </w:p>
        </w:tc>
        <w:tc>
          <w:tcPr>
            <w:tcW w:w="1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hd w:val="clear"/>
              <w:kinsoku/>
              <w:wordWrap/>
              <w:overflowPunct/>
              <w:topLinePunct w:val="0"/>
              <w:autoSpaceDE/>
              <w:autoSpaceDN/>
              <w:bidi w:val="0"/>
              <w:snapToGrid/>
              <w:spacing w:line="400" w:lineRule="exact"/>
              <w:jc w:val="left"/>
              <w:rPr>
                <w:rFonts w:hint="eastAsia" w:ascii="宋体" w:hAnsi="宋体" w:eastAsia="宋体" w:cs="宋体"/>
                <w:i w:val="0"/>
                <w:iCs w:val="0"/>
                <w:color w:val="auto"/>
                <w:sz w:val="24"/>
                <w:szCs w:val="24"/>
                <w:highlight w:val="none"/>
                <w:u w:val="none"/>
              </w:rPr>
            </w:pPr>
          </w:p>
        </w:tc>
        <w:tc>
          <w:tcPr>
            <w:tcW w:w="1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hd w:val="clear"/>
              <w:kinsoku/>
              <w:wordWrap/>
              <w:overflowPunct/>
              <w:topLinePunct w:val="0"/>
              <w:autoSpaceDE/>
              <w:autoSpaceDN/>
              <w:bidi w:val="0"/>
              <w:snapToGrid/>
              <w:spacing w:line="400" w:lineRule="exact"/>
              <w:jc w:val="left"/>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9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hd w:val="clear"/>
              <w:kinsoku/>
              <w:wordWrap/>
              <w:overflowPunct/>
              <w:topLinePunct w:val="0"/>
              <w:autoSpaceDE/>
              <w:autoSpaceDN/>
              <w:bidi w:val="0"/>
              <w:snapToGrid/>
              <w:spacing w:line="400" w:lineRule="exact"/>
              <w:jc w:val="left"/>
              <w:rPr>
                <w:rFonts w:hint="eastAsia" w:ascii="宋体" w:hAnsi="宋体" w:eastAsia="宋体" w:cs="宋体"/>
                <w:i w:val="0"/>
                <w:iCs w:val="0"/>
                <w:color w:val="auto"/>
                <w:sz w:val="24"/>
                <w:szCs w:val="24"/>
                <w:highlight w:val="none"/>
                <w:u w:val="none"/>
              </w:rPr>
            </w:pPr>
          </w:p>
        </w:tc>
        <w:tc>
          <w:tcPr>
            <w:tcW w:w="19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snapToGrid/>
              <w:spacing w:line="40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年租金合计</w:t>
            </w:r>
          </w:p>
        </w:tc>
        <w:tc>
          <w:tcPr>
            <w:tcW w:w="1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hd w:val="clear"/>
              <w:kinsoku/>
              <w:wordWrap/>
              <w:overflowPunct/>
              <w:topLinePunct w:val="0"/>
              <w:autoSpaceDE/>
              <w:autoSpaceDN/>
              <w:bidi w:val="0"/>
              <w:snapToGrid/>
              <w:spacing w:line="400" w:lineRule="exact"/>
              <w:jc w:val="left"/>
              <w:rPr>
                <w:rFonts w:hint="eastAsia" w:ascii="宋体" w:hAnsi="宋体" w:eastAsia="宋体" w:cs="宋体"/>
                <w:i w:val="0"/>
                <w:iCs w:val="0"/>
                <w:color w:val="auto"/>
                <w:sz w:val="24"/>
                <w:szCs w:val="24"/>
                <w:highlight w:val="none"/>
                <w:u w:val="none"/>
              </w:rPr>
            </w:pPr>
          </w:p>
        </w:tc>
        <w:tc>
          <w:tcPr>
            <w:tcW w:w="1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snapToGrid/>
              <w:spacing w:line="40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bidi="ar"/>
              </w:rPr>
              <w:t>12</w:t>
            </w:r>
            <w:r>
              <w:rPr>
                <w:rFonts w:hint="eastAsia" w:ascii="宋体" w:hAnsi="宋体" w:eastAsia="宋体" w:cs="宋体"/>
                <w:i w:val="0"/>
                <w:iCs w:val="0"/>
                <w:color w:val="auto"/>
                <w:kern w:val="0"/>
                <w:sz w:val="24"/>
                <w:szCs w:val="24"/>
                <w:highlight w:val="none"/>
                <w:u w:val="none"/>
                <w:lang w:val="en-US" w:eastAsia="zh-CN" w:bidi="ar"/>
              </w:rPr>
              <w:t>0000</w:t>
            </w:r>
          </w:p>
        </w:tc>
        <w:tc>
          <w:tcPr>
            <w:tcW w:w="1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hd w:val="clear"/>
              <w:kinsoku/>
              <w:wordWrap/>
              <w:overflowPunct/>
              <w:topLinePunct w:val="0"/>
              <w:autoSpaceDE/>
              <w:autoSpaceDN/>
              <w:bidi w:val="0"/>
              <w:snapToGrid/>
              <w:spacing w:line="400" w:lineRule="exact"/>
              <w:rPr>
                <w:rFonts w:hint="eastAsia" w:ascii="宋体" w:hAnsi="宋体" w:eastAsia="宋体" w:cs="宋体"/>
                <w:i w:val="0"/>
                <w:iCs w:val="0"/>
                <w:color w:val="auto"/>
                <w:sz w:val="22"/>
                <w:szCs w:val="22"/>
                <w:highlight w:val="none"/>
                <w:u w:val="none"/>
              </w:rPr>
            </w:pPr>
          </w:p>
        </w:tc>
      </w:tr>
    </w:tbl>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firstLine="480"/>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3、回购采购人现有车辆：</w:t>
      </w:r>
    </w:p>
    <w:tbl>
      <w:tblPr>
        <w:tblStyle w:val="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340"/>
        <w:gridCol w:w="1340"/>
        <w:gridCol w:w="1340"/>
        <w:gridCol w:w="1340"/>
        <w:gridCol w:w="1340"/>
        <w:gridCol w:w="1340"/>
        <w:gridCol w:w="17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snapToGrid/>
              <w:spacing w:line="40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序号</w:t>
            </w:r>
          </w:p>
        </w:tc>
        <w:tc>
          <w:tcPr>
            <w:tcW w:w="13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snapToGrid/>
              <w:spacing w:line="40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类型</w:t>
            </w:r>
          </w:p>
        </w:tc>
        <w:tc>
          <w:tcPr>
            <w:tcW w:w="13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snapToGrid/>
              <w:spacing w:line="40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原单价</w:t>
            </w:r>
          </w:p>
        </w:tc>
        <w:tc>
          <w:tcPr>
            <w:tcW w:w="13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snapToGrid/>
              <w:spacing w:line="40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原合价</w:t>
            </w:r>
          </w:p>
        </w:tc>
        <w:tc>
          <w:tcPr>
            <w:tcW w:w="13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snapToGrid/>
              <w:spacing w:line="40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折旧</w:t>
            </w:r>
          </w:p>
        </w:tc>
        <w:tc>
          <w:tcPr>
            <w:tcW w:w="13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snapToGrid/>
              <w:spacing w:line="40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现值</w:t>
            </w:r>
          </w:p>
        </w:tc>
        <w:tc>
          <w:tcPr>
            <w:tcW w:w="1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snapToGrid/>
              <w:spacing w:line="40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134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snapToGrid/>
              <w:spacing w:line="40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34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snapToGrid/>
              <w:spacing w:line="40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人力保洁三轮车（25辆）</w:t>
            </w:r>
          </w:p>
        </w:tc>
        <w:tc>
          <w:tcPr>
            <w:tcW w:w="134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snapToGrid/>
              <w:spacing w:line="40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1800元</w:t>
            </w:r>
          </w:p>
        </w:tc>
        <w:tc>
          <w:tcPr>
            <w:tcW w:w="134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snapToGrid/>
              <w:spacing w:line="40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45000元</w:t>
            </w:r>
          </w:p>
        </w:tc>
        <w:tc>
          <w:tcPr>
            <w:tcW w:w="134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snapToGrid/>
              <w:spacing w:line="40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bidi="ar"/>
              </w:rPr>
              <w:t>30</w:t>
            </w:r>
            <w:r>
              <w:rPr>
                <w:rFonts w:hint="eastAsia" w:ascii="宋体" w:hAnsi="宋体" w:eastAsia="宋体" w:cs="宋体"/>
                <w:i w:val="0"/>
                <w:iCs w:val="0"/>
                <w:color w:val="auto"/>
                <w:kern w:val="0"/>
                <w:sz w:val="24"/>
                <w:szCs w:val="24"/>
                <w:highlight w:val="none"/>
                <w:u w:val="none"/>
                <w:lang w:val="en-US" w:eastAsia="zh-CN" w:bidi="ar"/>
              </w:rPr>
              <w:t>%</w:t>
            </w:r>
          </w:p>
        </w:tc>
        <w:tc>
          <w:tcPr>
            <w:tcW w:w="134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snapToGrid/>
              <w:spacing w:line="40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bidi="ar"/>
              </w:rPr>
              <w:t>135</w:t>
            </w:r>
            <w:r>
              <w:rPr>
                <w:rFonts w:hint="eastAsia" w:ascii="宋体" w:hAnsi="宋体" w:eastAsia="宋体" w:cs="宋体"/>
                <w:i w:val="0"/>
                <w:iCs w:val="0"/>
                <w:color w:val="auto"/>
                <w:kern w:val="0"/>
                <w:sz w:val="24"/>
                <w:szCs w:val="24"/>
                <w:highlight w:val="none"/>
                <w:u w:val="none"/>
                <w:lang w:val="en-US" w:eastAsia="zh-CN" w:bidi="ar"/>
              </w:rPr>
              <w:t>00元</w:t>
            </w:r>
          </w:p>
        </w:tc>
        <w:tc>
          <w:tcPr>
            <w:tcW w:w="171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snapToGrid/>
              <w:spacing w:line="40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2016年10月购置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34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hd w:val="clear"/>
              <w:kinsoku/>
              <w:wordWrap/>
              <w:overflowPunct/>
              <w:topLinePunct w:val="0"/>
              <w:autoSpaceDE/>
              <w:autoSpaceDN/>
              <w:bidi w:val="0"/>
              <w:snapToGrid/>
              <w:spacing w:line="400" w:lineRule="exact"/>
              <w:jc w:val="center"/>
              <w:rPr>
                <w:rFonts w:hint="eastAsia" w:ascii="宋体" w:hAnsi="宋体" w:eastAsia="宋体" w:cs="宋体"/>
                <w:i w:val="0"/>
                <w:iCs w:val="0"/>
                <w:color w:val="auto"/>
                <w:sz w:val="24"/>
                <w:szCs w:val="24"/>
                <w:highlight w:val="none"/>
                <w:u w:val="none"/>
              </w:rPr>
            </w:pPr>
          </w:p>
        </w:tc>
        <w:tc>
          <w:tcPr>
            <w:tcW w:w="134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hd w:val="clear"/>
              <w:kinsoku/>
              <w:wordWrap/>
              <w:overflowPunct/>
              <w:topLinePunct w:val="0"/>
              <w:autoSpaceDE/>
              <w:autoSpaceDN/>
              <w:bidi w:val="0"/>
              <w:snapToGrid/>
              <w:spacing w:line="400" w:lineRule="exact"/>
              <w:jc w:val="center"/>
              <w:rPr>
                <w:rFonts w:hint="eastAsia" w:ascii="宋体" w:hAnsi="宋体" w:eastAsia="宋体" w:cs="宋体"/>
                <w:i w:val="0"/>
                <w:iCs w:val="0"/>
                <w:color w:val="auto"/>
                <w:sz w:val="24"/>
                <w:szCs w:val="24"/>
                <w:highlight w:val="none"/>
                <w:u w:val="none"/>
              </w:rPr>
            </w:pPr>
          </w:p>
        </w:tc>
        <w:tc>
          <w:tcPr>
            <w:tcW w:w="134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hd w:val="clear"/>
              <w:kinsoku/>
              <w:wordWrap/>
              <w:overflowPunct/>
              <w:topLinePunct w:val="0"/>
              <w:autoSpaceDE/>
              <w:autoSpaceDN/>
              <w:bidi w:val="0"/>
              <w:snapToGrid/>
              <w:spacing w:line="400" w:lineRule="exact"/>
              <w:jc w:val="center"/>
              <w:rPr>
                <w:rFonts w:hint="eastAsia" w:ascii="宋体" w:hAnsi="宋体" w:eastAsia="宋体" w:cs="宋体"/>
                <w:i w:val="0"/>
                <w:iCs w:val="0"/>
                <w:color w:val="auto"/>
                <w:sz w:val="24"/>
                <w:szCs w:val="24"/>
                <w:highlight w:val="none"/>
                <w:u w:val="none"/>
              </w:rPr>
            </w:pPr>
          </w:p>
        </w:tc>
        <w:tc>
          <w:tcPr>
            <w:tcW w:w="134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hd w:val="clear"/>
              <w:kinsoku/>
              <w:wordWrap/>
              <w:overflowPunct/>
              <w:topLinePunct w:val="0"/>
              <w:autoSpaceDE/>
              <w:autoSpaceDN/>
              <w:bidi w:val="0"/>
              <w:snapToGrid/>
              <w:spacing w:line="400" w:lineRule="exact"/>
              <w:jc w:val="center"/>
              <w:rPr>
                <w:rFonts w:hint="eastAsia" w:ascii="宋体" w:hAnsi="宋体" w:eastAsia="宋体" w:cs="宋体"/>
                <w:i w:val="0"/>
                <w:iCs w:val="0"/>
                <w:color w:val="auto"/>
                <w:sz w:val="24"/>
                <w:szCs w:val="24"/>
                <w:highlight w:val="none"/>
                <w:u w:val="none"/>
              </w:rPr>
            </w:pPr>
          </w:p>
        </w:tc>
        <w:tc>
          <w:tcPr>
            <w:tcW w:w="134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hd w:val="clear"/>
              <w:kinsoku/>
              <w:wordWrap/>
              <w:overflowPunct/>
              <w:topLinePunct w:val="0"/>
              <w:autoSpaceDE/>
              <w:autoSpaceDN/>
              <w:bidi w:val="0"/>
              <w:snapToGrid/>
              <w:spacing w:line="400" w:lineRule="exact"/>
              <w:jc w:val="center"/>
              <w:rPr>
                <w:rFonts w:hint="eastAsia" w:ascii="宋体" w:hAnsi="宋体" w:eastAsia="宋体" w:cs="宋体"/>
                <w:i w:val="0"/>
                <w:iCs w:val="0"/>
                <w:color w:val="auto"/>
                <w:sz w:val="24"/>
                <w:szCs w:val="24"/>
                <w:highlight w:val="none"/>
                <w:u w:val="none"/>
              </w:rPr>
            </w:pPr>
          </w:p>
        </w:tc>
        <w:tc>
          <w:tcPr>
            <w:tcW w:w="134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hd w:val="clear"/>
              <w:kinsoku/>
              <w:wordWrap/>
              <w:overflowPunct/>
              <w:topLinePunct w:val="0"/>
              <w:autoSpaceDE/>
              <w:autoSpaceDN/>
              <w:bidi w:val="0"/>
              <w:snapToGrid/>
              <w:spacing w:line="400" w:lineRule="exact"/>
              <w:jc w:val="center"/>
              <w:rPr>
                <w:rFonts w:hint="eastAsia" w:ascii="宋体" w:hAnsi="宋体" w:eastAsia="宋体" w:cs="宋体"/>
                <w:i w:val="0"/>
                <w:iCs w:val="0"/>
                <w:color w:val="auto"/>
                <w:sz w:val="24"/>
                <w:szCs w:val="24"/>
                <w:highlight w:val="none"/>
                <w:u w:val="none"/>
              </w:rPr>
            </w:pPr>
          </w:p>
        </w:tc>
        <w:tc>
          <w:tcPr>
            <w:tcW w:w="171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hd w:val="clear"/>
              <w:kinsoku/>
              <w:wordWrap/>
              <w:overflowPunct/>
              <w:topLinePunct w:val="0"/>
              <w:autoSpaceDE/>
              <w:autoSpaceDN/>
              <w:bidi w:val="0"/>
              <w:snapToGrid/>
              <w:spacing w:line="400" w:lineRule="exact"/>
              <w:jc w:val="center"/>
              <w:rPr>
                <w:rFonts w:hint="eastAsia" w:ascii="宋体" w:hAnsi="宋体" w:eastAsia="宋体" w:cs="宋体"/>
                <w:i w:val="0"/>
                <w:iCs w:val="0"/>
                <w:color w:val="auto"/>
                <w:sz w:val="24"/>
                <w:szCs w:val="24"/>
                <w:highlight w:val="none"/>
                <w:u w:val="none"/>
              </w:rPr>
            </w:pPr>
          </w:p>
        </w:tc>
      </w:tr>
    </w:tbl>
    <w:p>
      <w:pPr>
        <w:pStyle w:val="6"/>
        <w:keepNext w:val="0"/>
        <w:keepLines w:val="0"/>
        <w:pageBreakBefore w:val="0"/>
        <w:widowControl/>
        <w:suppressLineNumbers w:val="0"/>
        <w:shd w:val="clear"/>
        <w:kinsoku/>
        <w:wordWrap/>
        <w:overflowPunct/>
        <w:topLinePunct w:val="0"/>
        <w:autoSpaceDE/>
        <w:autoSpaceDN/>
        <w:bidi w:val="0"/>
        <w:adjustRightInd w:val="0"/>
        <w:snapToGrid/>
        <w:spacing w:before="0" w:beforeAutospacing="0" w:after="0" w:afterAutospacing="0" w:line="400" w:lineRule="exact"/>
        <w:ind w:left="0" w:right="0" w:firstLine="482" w:firstLineChars="200"/>
        <w:textAlignment w:val="auto"/>
        <w:rPr>
          <w:rFonts w:hint="eastAsia" w:ascii="宋体" w:hAnsi="宋体" w:eastAsia="宋体" w:cs="宋体"/>
          <w:i w:val="0"/>
          <w:iCs w:val="0"/>
          <w:caps w:val="0"/>
          <w:color w:val="auto"/>
          <w:spacing w:val="0"/>
          <w:sz w:val="24"/>
          <w:szCs w:val="24"/>
          <w:highlight w:val="none"/>
          <w:lang w:val="en-US" w:eastAsia="zh-CN"/>
        </w:rPr>
      </w:pPr>
      <w:r>
        <w:rPr>
          <w:rStyle w:val="9"/>
          <w:rFonts w:hint="eastAsia" w:ascii="宋体" w:hAnsi="宋体" w:eastAsia="宋体" w:cs="宋体"/>
          <w:i w:val="0"/>
          <w:iCs w:val="0"/>
          <w:caps w:val="0"/>
          <w:color w:val="auto"/>
          <w:spacing w:val="0"/>
          <w:sz w:val="24"/>
          <w:szCs w:val="24"/>
          <w:highlight w:val="none"/>
        </w:rPr>
        <w:t>3.8、人员接收、安置方案</w:t>
      </w:r>
      <w:r>
        <w:rPr>
          <w:rStyle w:val="9"/>
          <w:rFonts w:hint="eastAsia" w:ascii="宋体" w:hAnsi="宋体" w:cs="宋体"/>
          <w:i w:val="0"/>
          <w:iCs w:val="0"/>
          <w:caps w:val="0"/>
          <w:color w:val="auto"/>
          <w:spacing w:val="0"/>
          <w:sz w:val="24"/>
          <w:szCs w:val="24"/>
          <w:highlight w:val="none"/>
          <w:lang w:eastAsia="zh-CN"/>
        </w:rPr>
        <w:t>（</w:t>
      </w:r>
      <w:r>
        <w:rPr>
          <w:rStyle w:val="9"/>
          <w:rFonts w:hint="eastAsia" w:ascii="宋体" w:hAnsi="宋体" w:cs="宋体"/>
          <w:i w:val="0"/>
          <w:iCs w:val="0"/>
          <w:caps w:val="0"/>
          <w:color w:val="auto"/>
          <w:spacing w:val="0"/>
          <w:sz w:val="24"/>
          <w:szCs w:val="24"/>
          <w:highlight w:val="none"/>
          <w:lang w:val="en-US" w:eastAsia="zh-CN"/>
        </w:rPr>
        <w:t>评分第12项）</w:t>
      </w:r>
    </w:p>
    <w:p>
      <w:pPr>
        <w:pStyle w:val="6"/>
        <w:keepNext w:val="0"/>
        <w:keepLines w:val="0"/>
        <w:pageBreakBefore w:val="0"/>
        <w:widowControl/>
        <w:suppressLineNumbers w:val="0"/>
        <w:shd w:val="clear"/>
        <w:kinsoku/>
        <w:wordWrap/>
        <w:overflowPunct/>
        <w:topLinePunct w:val="0"/>
        <w:autoSpaceDE/>
        <w:autoSpaceDN/>
        <w:bidi w:val="0"/>
        <w:adjustRightInd w:val="0"/>
        <w:snapToGrid/>
        <w:spacing w:before="0" w:beforeAutospacing="0" w:after="0" w:afterAutospacing="0" w:line="400" w:lineRule="exact"/>
        <w:ind w:left="0" w:right="0" w:firstLine="480" w:firstLineChars="20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本着“员工自愿、积极稳妥、循序渐进、逐步推进”的原则，中标单位项目公司接收全部非事业编制职工。</w:t>
      </w:r>
    </w:p>
    <w:p>
      <w:pPr>
        <w:pStyle w:val="6"/>
        <w:keepNext w:val="0"/>
        <w:keepLines w:val="0"/>
        <w:pageBreakBefore w:val="0"/>
        <w:widowControl/>
        <w:suppressLineNumbers w:val="0"/>
        <w:shd w:val="clear"/>
        <w:kinsoku/>
        <w:wordWrap/>
        <w:overflowPunct/>
        <w:topLinePunct w:val="0"/>
        <w:autoSpaceDE/>
        <w:autoSpaceDN/>
        <w:bidi w:val="0"/>
        <w:adjustRightInd w:val="0"/>
        <w:snapToGrid/>
        <w:spacing w:before="0" w:beforeAutospacing="0" w:after="0" w:afterAutospacing="0" w:line="400" w:lineRule="exact"/>
        <w:ind w:left="0" w:right="0" w:firstLine="480" w:firstLineChars="20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1、自项目合同签订之日起，与中标单位项目公司建立劳动关系。根据个人实际情况，在平等自愿、协商一致的基础上，依法订劳动合同。符合以下条件的，中标单位与其签订无固定期限劳动合同时，在原单位连续工作满十年且距国家法定正常退休年龄不足十年的人员，本人提出订立无固定期劳动合同的。</w:t>
      </w:r>
    </w:p>
    <w:p>
      <w:pPr>
        <w:pStyle w:val="6"/>
        <w:keepNext w:val="0"/>
        <w:keepLines w:val="0"/>
        <w:pageBreakBefore w:val="0"/>
        <w:widowControl/>
        <w:suppressLineNumbers w:val="0"/>
        <w:shd w:val="clear"/>
        <w:kinsoku/>
        <w:wordWrap/>
        <w:overflowPunct/>
        <w:topLinePunct w:val="0"/>
        <w:autoSpaceDE/>
        <w:autoSpaceDN/>
        <w:bidi w:val="0"/>
        <w:adjustRightInd w:val="0"/>
        <w:snapToGrid/>
        <w:spacing w:before="0" w:beforeAutospacing="0" w:after="0" w:afterAutospacing="0" w:line="400" w:lineRule="exact"/>
        <w:ind w:left="0" w:right="0" w:firstLine="480" w:firstLineChars="20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2、不符合上述①所规定条件的其它人员，中标单位根据具体情况与其签订固定期限为2-5年的劳动合同。</w:t>
      </w:r>
    </w:p>
    <w:p>
      <w:pPr>
        <w:pStyle w:val="6"/>
        <w:keepNext w:val="0"/>
        <w:keepLines w:val="0"/>
        <w:pageBreakBefore w:val="0"/>
        <w:widowControl/>
        <w:suppressLineNumbers w:val="0"/>
        <w:shd w:val="clear"/>
        <w:kinsoku/>
        <w:wordWrap/>
        <w:overflowPunct/>
        <w:topLinePunct w:val="0"/>
        <w:autoSpaceDE/>
        <w:autoSpaceDN/>
        <w:bidi w:val="0"/>
        <w:adjustRightInd w:val="0"/>
        <w:snapToGrid/>
        <w:spacing w:before="0" w:beforeAutospacing="0" w:after="0" w:afterAutospacing="0" w:line="400" w:lineRule="exact"/>
        <w:ind w:left="0" w:right="0" w:firstLine="480" w:firstLineChars="20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自项目合同签订之日起，在平等自愿、协商一致的基础上，依法签订劳务协议，建立劳务关系。</w:t>
      </w:r>
    </w:p>
    <w:p>
      <w:pPr>
        <w:pStyle w:val="6"/>
        <w:keepNext w:val="0"/>
        <w:keepLines w:val="0"/>
        <w:pageBreakBefore w:val="0"/>
        <w:widowControl/>
        <w:suppressLineNumbers w:val="0"/>
        <w:shd w:val="clear"/>
        <w:kinsoku/>
        <w:wordWrap/>
        <w:overflowPunct/>
        <w:topLinePunct w:val="0"/>
        <w:autoSpaceDE/>
        <w:autoSpaceDN/>
        <w:bidi w:val="0"/>
        <w:adjustRightInd w:val="0"/>
        <w:snapToGrid/>
        <w:spacing w:before="0" w:beforeAutospacing="0" w:after="0" w:afterAutospacing="0" w:line="400" w:lineRule="exact"/>
        <w:ind w:left="0" w:right="0" w:firstLine="480" w:firstLineChars="20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3、结合中标单位项目公司组织架构，拟对原环卫系统的职能进行整体平移，根据“人随事走”的原则，原环卫系统进入中标单位项目公司的人员，基本仍履行原有职能和岗位职责（部分职能和岗位职责进行合并调整），平稳过渡后根据现代企业经营管理思路进行管理。</w:t>
      </w:r>
    </w:p>
    <w:p>
      <w:pPr>
        <w:pStyle w:val="6"/>
        <w:keepNext w:val="0"/>
        <w:keepLines w:val="0"/>
        <w:pageBreakBefore w:val="0"/>
        <w:widowControl/>
        <w:suppressLineNumbers w:val="0"/>
        <w:shd w:val="clear"/>
        <w:kinsoku/>
        <w:wordWrap/>
        <w:overflowPunct/>
        <w:topLinePunct w:val="0"/>
        <w:autoSpaceDE/>
        <w:autoSpaceDN/>
        <w:bidi w:val="0"/>
        <w:adjustRightInd w:val="0"/>
        <w:snapToGrid/>
        <w:spacing w:before="0" w:beforeAutospacing="0" w:after="0" w:afterAutospacing="0" w:line="400" w:lineRule="exact"/>
        <w:ind w:left="0" w:right="0" w:firstLine="482" w:firstLineChars="200"/>
        <w:textAlignment w:val="auto"/>
        <w:rPr>
          <w:rFonts w:hint="default" w:ascii="宋体" w:hAnsi="宋体" w:eastAsia="宋体" w:cs="宋体"/>
          <w:i w:val="0"/>
          <w:iCs w:val="0"/>
          <w:caps w:val="0"/>
          <w:color w:val="auto"/>
          <w:spacing w:val="0"/>
          <w:sz w:val="24"/>
          <w:szCs w:val="24"/>
          <w:highlight w:val="none"/>
          <w:lang w:val="en-US" w:eastAsia="zh-CN"/>
        </w:rPr>
      </w:pPr>
      <w:r>
        <w:rPr>
          <w:rStyle w:val="9"/>
          <w:rFonts w:hint="eastAsia" w:ascii="宋体" w:hAnsi="宋体" w:eastAsia="宋体" w:cs="宋体"/>
          <w:i w:val="0"/>
          <w:iCs w:val="0"/>
          <w:caps w:val="0"/>
          <w:color w:val="auto"/>
          <w:spacing w:val="0"/>
          <w:sz w:val="24"/>
          <w:szCs w:val="24"/>
          <w:highlight w:val="none"/>
        </w:rPr>
        <w:t>3.9、作业管理方式</w:t>
      </w:r>
      <w:r>
        <w:rPr>
          <w:rStyle w:val="9"/>
          <w:rFonts w:hint="eastAsia" w:ascii="宋体" w:hAnsi="宋体" w:cs="宋体"/>
          <w:i w:val="0"/>
          <w:iCs w:val="0"/>
          <w:caps w:val="0"/>
          <w:color w:val="auto"/>
          <w:spacing w:val="0"/>
          <w:sz w:val="24"/>
          <w:szCs w:val="24"/>
          <w:highlight w:val="none"/>
          <w:lang w:eastAsia="zh-CN"/>
        </w:rPr>
        <w:t>（</w:t>
      </w:r>
      <w:r>
        <w:rPr>
          <w:rStyle w:val="9"/>
          <w:rFonts w:hint="eastAsia" w:ascii="宋体" w:hAnsi="宋体" w:cs="宋体"/>
          <w:i w:val="0"/>
          <w:iCs w:val="0"/>
          <w:caps w:val="0"/>
          <w:color w:val="auto"/>
          <w:spacing w:val="0"/>
          <w:sz w:val="24"/>
          <w:szCs w:val="24"/>
          <w:highlight w:val="none"/>
          <w:lang w:val="en-US" w:eastAsia="zh-CN"/>
        </w:rPr>
        <w:t>评分第13项）</w:t>
      </w:r>
    </w:p>
    <w:p>
      <w:pPr>
        <w:pStyle w:val="6"/>
        <w:keepNext w:val="0"/>
        <w:keepLines w:val="0"/>
        <w:pageBreakBefore w:val="0"/>
        <w:widowControl/>
        <w:suppressLineNumbers w:val="0"/>
        <w:shd w:val="clear"/>
        <w:kinsoku/>
        <w:wordWrap/>
        <w:overflowPunct/>
        <w:topLinePunct w:val="0"/>
        <w:autoSpaceDE/>
        <w:autoSpaceDN/>
        <w:bidi w:val="0"/>
        <w:adjustRightInd w:val="0"/>
        <w:snapToGrid/>
        <w:spacing w:before="0" w:beforeAutospacing="0" w:after="0" w:afterAutospacing="0" w:line="400" w:lineRule="exact"/>
        <w:ind w:left="0" w:right="0" w:firstLine="480" w:firstLineChars="20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1、采用数字化管理系统，所有清运车辆配置GPS跟踪定位系统；</w:t>
      </w:r>
    </w:p>
    <w:p>
      <w:pPr>
        <w:pStyle w:val="6"/>
        <w:keepNext w:val="0"/>
        <w:keepLines w:val="0"/>
        <w:pageBreakBefore w:val="0"/>
        <w:widowControl/>
        <w:suppressLineNumbers w:val="0"/>
        <w:shd w:val="clear"/>
        <w:kinsoku/>
        <w:wordWrap/>
        <w:overflowPunct/>
        <w:topLinePunct w:val="0"/>
        <w:autoSpaceDE/>
        <w:autoSpaceDN/>
        <w:bidi w:val="0"/>
        <w:adjustRightInd w:val="0"/>
        <w:snapToGrid/>
        <w:spacing w:before="0" w:beforeAutospacing="0" w:after="0" w:afterAutospacing="0" w:line="400" w:lineRule="exact"/>
        <w:ind w:left="0" w:right="0" w:firstLine="480" w:firstLineChars="20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2、密闭运输，在运输过程中无垃圾扬、撒、拖挂和污水滴漏；</w:t>
      </w:r>
    </w:p>
    <w:p>
      <w:pPr>
        <w:pStyle w:val="6"/>
        <w:keepNext w:val="0"/>
        <w:keepLines w:val="0"/>
        <w:pageBreakBefore w:val="0"/>
        <w:widowControl/>
        <w:suppressLineNumbers w:val="0"/>
        <w:shd w:val="clear"/>
        <w:kinsoku/>
        <w:wordWrap/>
        <w:overflowPunct/>
        <w:topLinePunct w:val="0"/>
        <w:autoSpaceDE/>
        <w:autoSpaceDN/>
        <w:bidi w:val="0"/>
        <w:adjustRightInd w:val="0"/>
        <w:snapToGrid/>
        <w:spacing w:before="0" w:beforeAutospacing="0" w:after="0" w:afterAutospacing="0" w:line="400" w:lineRule="exact"/>
        <w:ind w:left="0" w:right="0" w:firstLine="480" w:firstLineChars="20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3、垃圾运输量应以车辆的额定荷载和有效容积为限，严禁超重、超高运输；</w:t>
      </w:r>
    </w:p>
    <w:p>
      <w:pPr>
        <w:pStyle w:val="6"/>
        <w:keepNext w:val="0"/>
        <w:keepLines w:val="0"/>
        <w:pageBreakBefore w:val="0"/>
        <w:widowControl/>
        <w:suppressLineNumbers w:val="0"/>
        <w:shd w:val="clear"/>
        <w:kinsoku/>
        <w:wordWrap/>
        <w:overflowPunct/>
        <w:topLinePunct w:val="0"/>
        <w:autoSpaceDE/>
        <w:autoSpaceDN/>
        <w:bidi w:val="0"/>
        <w:adjustRightInd w:val="0"/>
        <w:snapToGrid/>
        <w:spacing w:before="0" w:beforeAutospacing="0" w:after="0" w:afterAutospacing="0" w:line="400" w:lineRule="exact"/>
        <w:ind w:left="0" w:right="0" w:firstLine="480" w:firstLineChars="20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4、垃圾应清运至清运至指定的地点，严禁乱到、乱卸垃圾；</w:t>
      </w:r>
    </w:p>
    <w:p>
      <w:pPr>
        <w:pStyle w:val="6"/>
        <w:keepNext w:val="0"/>
        <w:keepLines w:val="0"/>
        <w:pageBreakBefore w:val="0"/>
        <w:widowControl/>
        <w:suppressLineNumbers w:val="0"/>
        <w:shd w:val="clear"/>
        <w:kinsoku/>
        <w:wordWrap/>
        <w:overflowPunct/>
        <w:topLinePunct w:val="0"/>
        <w:autoSpaceDE/>
        <w:autoSpaceDN/>
        <w:bidi w:val="0"/>
        <w:adjustRightInd w:val="0"/>
        <w:snapToGrid/>
        <w:spacing w:before="0" w:beforeAutospacing="0" w:after="0" w:afterAutospacing="0" w:line="400" w:lineRule="exact"/>
        <w:ind w:left="0" w:right="0" w:firstLine="480" w:firstLineChars="20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5、垃圾清运车辆运输作业结束，应将车辆清洗干净，保持车容整洁，车体外部无污染、灰垢，车牌号码与标志应清晰；</w:t>
      </w:r>
    </w:p>
    <w:p>
      <w:pPr>
        <w:pStyle w:val="6"/>
        <w:keepNext w:val="0"/>
        <w:keepLines w:val="0"/>
        <w:pageBreakBefore w:val="0"/>
        <w:widowControl/>
        <w:suppressLineNumbers w:val="0"/>
        <w:shd w:val="clear"/>
        <w:kinsoku/>
        <w:wordWrap/>
        <w:overflowPunct/>
        <w:topLinePunct w:val="0"/>
        <w:autoSpaceDE/>
        <w:autoSpaceDN/>
        <w:bidi w:val="0"/>
        <w:adjustRightInd w:val="0"/>
        <w:snapToGrid/>
        <w:spacing w:before="0" w:beforeAutospacing="0" w:after="0" w:afterAutospacing="0" w:line="400" w:lineRule="exact"/>
        <w:ind w:left="0" w:right="0" w:firstLine="480" w:firstLineChars="20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6、垃圾清运作业人员着职业装，运输车辆作业时，应注意交通安全，遵守交通法规和行业规范。</w:t>
      </w:r>
    </w:p>
    <w:p>
      <w:pPr>
        <w:pStyle w:val="6"/>
        <w:keepNext w:val="0"/>
        <w:keepLines w:val="0"/>
        <w:pageBreakBefore w:val="0"/>
        <w:widowControl/>
        <w:suppressLineNumbers w:val="0"/>
        <w:shd w:val="clear"/>
        <w:kinsoku/>
        <w:wordWrap/>
        <w:overflowPunct/>
        <w:topLinePunct w:val="0"/>
        <w:autoSpaceDE/>
        <w:autoSpaceDN/>
        <w:bidi w:val="0"/>
        <w:adjustRightInd w:val="0"/>
        <w:snapToGrid/>
        <w:spacing w:before="0" w:beforeAutospacing="0" w:after="0" w:afterAutospacing="0" w:line="400" w:lineRule="exact"/>
        <w:ind w:left="0" w:right="0" w:firstLine="480" w:firstLineChars="20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kern w:val="0"/>
          <w:sz w:val="24"/>
          <w:szCs w:val="24"/>
          <w:highlight w:val="none"/>
          <w:lang w:val="en-US" w:eastAsia="zh-CN" w:bidi="ar"/>
        </w:rPr>
        <w:t>★</w:t>
      </w:r>
      <w:r>
        <w:rPr>
          <w:rStyle w:val="9"/>
          <w:rFonts w:hint="eastAsia" w:ascii="宋体" w:hAnsi="宋体" w:eastAsia="宋体" w:cs="宋体"/>
          <w:i w:val="0"/>
          <w:iCs w:val="0"/>
          <w:caps w:val="0"/>
          <w:color w:val="auto"/>
          <w:spacing w:val="0"/>
          <w:sz w:val="24"/>
          <w:szCs w:val="24"/>
          <w:highlight w:val="none"/>
        </w:rPr>
        <w:t>3.10、中标单位配备人员及设备要求：</w:t>
      </w:r>
    </w:p>
    <w:p>
      <w:pPr>
        <w:pStyle w:val="6"/>
        <w:keepNext w:val="0"/>
        <w:keepLines w:val="0"/>
        <w:pageBreakBefore w:val="0"/>
        <w:widowControl/>
        <w:suppressLineNumbers w:val="0"/>
        <w:shd w:val="clear"/>
        <w:kinsoku/>
        <w:wordWrap/>
        <w:overflowPunct/>
        <w:topLinePunct w:val="0"/>
        <w:autoSpaceDE/>
        <w:autoSpaceDN/>
        <w:bidi w:val="0"/>
        <w:adjustRightInd w:val="0"/>
        <w:snapToGrid/>
        <w:spacing w:before="0" w:beforeAutospacing="0" w:after="0" w:afterAutospacing="0" w:line="400" w:lineRule="exact"/>
        <w:ind w:left="0" w:right="0" w:firstLine="482" w:firstLineChars="200"/>
        <w:textAlignment w:val="auto"/>
        <w:rPr>
          <w:rFonts w:hint="eastAsia" w:ascii="宋体" w:hAnsi="宋体" w:eastAsia="宋体" w:cs="宋体"/>
          <w:i w:val="0"/>
          <w:iCs w:val="0"/>
          <w:caps w:val="0"/>
          <w:color w:val="auto"/>
          <w:spacing w:val="0"/>
          <w:sz w:val="24"/>
          <w:szCs w:val="24"/>
          <w:highlight w:val="none"/>
        </w:rPr>
      </w:pPr>
      <w:r>
        <w:rPr>
          <w:rStyle w:val="9"/>
          <w:rFonts w:hint="eastAsia" w:ascii="宋体" w:hAnsi="宋体" w:eastAsia="宋体" w:cs="宋体"/>
          <w:i w:val="0"/>
          <w:iCs w:val="0"/>
          <w:caps w:val="0"/>
          <w:color w:val="auto"/>
          <w:spacing w:val="0"/>
          <w:sz w:val="24"/>
          <w:szCs w:val="24"/>
          <w:highlight w:val="none"/>
        </w:rPr>
        <w:t xml:space="preserve"> 3.10.1 作业人员工资、福利待遇水平</w:t>
      </w:r>
      <w:r>
        <w:rPr>
          <w:rStyle w:val="9"/>
          <w:rFonts w:hint="eastAsia" w:ascii="宋体" w:hAnsi="宋体" w:cs="宋体"/>
          <w:i w:val="0"/>
          <w:iCs w:val="0"/>
          <w:caps w:val="0"/>
          <w:color w:val="auto"/>
          <w:spacing w:val="0"/>
          <w:sz w:val="24"/>
          <w:szCs w:val="24"/>
          <w:highlight w:val="none"/>
          <w:lang w:eastAsia="zh-CN"/>
        </w:rPr>
        <w:t>及相关</w:t>
      </w:r>
      <w:r>
        <w:rPr>
          <w:rStyle w:val="9"/>
          <w:rFonts w:hint="eastAsia" w:ascii="宋体" w:hAnsi="宋体" w:eastAsia="宋体" w:cs="宋体"/>
          <w:i w:val="0"/>
          <w:iCs w:val="0"/>
          <w:caps w:val="0"/>
          <w:color w:val="auto"/>
          <w:spacing w:val="0"/>
          <w:sz w:val="24"/>
          <w:szCs w:val="24"/>
          <w:highlight w:val="none"/>
        </w:rPr>
        <w:t>要求：</w:t>
      </w:r>
    </w:p>
    <w:p>
      <w:pPr>
        <w:pStyle w:val="6"/>
        <w:keepNext w:val="0"/>
        <w:keepLines w:val="0"/>
        <w:pageBreakBefore w:val="0"/>
        <w:widowControl/>
        <w:suppressLineNumbers w:val="0"/>
        <w:shd w:val="clear"/>
        <w:kinsoku/>
        <w:wordWrap/>
        <w:overflowPunct/>
        <w:topLinePunct w:val="0"/>
        <w:autoSpaceDE/>
        <w:autoSpaceDN/>
        <w:bidi w:val="0"/>
        <w:adjustRightInd w:val="0"/>
        <w:snapToGrid/>
        <w:spacing w:before="0" w:beforeAutospacing="0" w:after="0" w:afterAutospacing="0" w:line="400" w:lineRule="exact"/>
        <w:ind w:left="0" w:right="0" w:firstLine="480" w:firstLineChars="200"/>
        <w:textAlignment w:val="auto"/>
        <w:rPr>
          <w:rFonts w:hint="eastAsia" w:ascii="宋体" w:hAnsi="宋体" w:eastAsia="宋体" w:cs="宋体"/>
          <w:i w:val="0"/>
          <w:iCs w:val="0"/>
          <w:caps w:val="0"/>
          <w:color w:val="auto"/>
          <w:spacing w:val="0"/>
          <w:sz w:val="24"/>
          <w:szCs w:val="24"/>
          <w:highlight w:val="none"/>
        </w:rPr>
      </w:pPr>
      <w:r>
        <w:rPr>
          <w:rFonts w:hint="eastAsia" w:ascii="宋体" w:hAnsi="宋体" w:cs="宋体"/>
          <w:i w:val="0"/>
          <w:iCs w:val="0"/>
          <w:caps w:val="0"/>
          <w:color w:val="auto"/>
          <w:spacing w:val="0"/>
          <w:sz w:val="24"/>
          <w:szCs w:val="24"/>
          <w:highlight w:val="none"/>
          <w:lang w:val="en-US" w:eastAsia="zh-CN"/>
        </w:rPr>
        <w:t>1</w:t>
      </w:r>
      <w:r>
        <w:rPr>
          <w:rFonts w:hint="eastAsia" w:ascii="宋体" w:hAnsi="宋体" w:eastAsia="宋体" w:cs="宋体"/>
          <w:i w:val="0"/>
          <w:iCs w:val="0"/>
          <w:caps w:val="0"/>
          <w:color w:val="auto"/>
          <w:spacing w:val="0"/>
          <w:sz w:val="24"/>
          <w:szCs w:val="24"/>
          <w:highlight w:val="none"/>
        </w:rPr>
        <w:t>、</w:t>
      </w:r>
      <w:r>
        <w:rPr>
          <w:rFonts w:hint="eastAsia" w:ascii="宋体" w:hAnsi="宋体" w:eastAsia="宋体" w:cs="宋体"/>
          <w:color w:val="auto"/>
          <w:sz w:val="24"/>
          <w:szCs w:val="24"/>
          <w:highlight w:val="none"/>
        </w:rPr>
        <w:t>投标人须针对本项目的作业人员工资、福利待遇水平不能低于《中华人民共和国劳动法》</w:t>
      </w:r>
      <w:r>
        <w:rPr>
          <w:rFonts w:hint="eastAsia" w:ascii="宋体" w:hAnsi="宋体" w:cs="宋体"/>
          <w:i w:val="0"/>
          <w:iCs w:val="0"/>
          <w:caps w:val="0"/>
          <w:color w:val="auto"/>
          <w:spacing w:val="0"/>
          <w:sz w:val="24"/>
          <w:szCs w:val="24"/>
          <w:highlight w:val="none"/>
          <w:lang w:eastAsia="zh-CN"/>
        </w:rPr>
        <w:t>、</w:t>
      </w:r>
      <w:r>
        <w:rPr>
          <w:rFonts w:hint="eastAsia" w:ascii="宋体" w:hAnsi="宋体" w:eastAsia="宋体" w:cs="宋体"/>
          <w:i w:val="0"/>
          <w:iCs w:val="0"/>
          <w:caps w:val="0"/>
          <w:color w:val="auto"/>
          <w:spacing w:val="0"/>
          <w:sz w:val="24"/>
          <w:szCs w:val="24"/>
          <w:highlight w:val="none"/>
        </w:rPr>
        <w:t>《关于进一步改善城镇环卫工人工作生活条件促进环卫事业健康持续发展的意见》（闽政办〔2010〕255号）、</w:t>
      </w:r>
      <w:r>
        <w:rPr>
          <w:rFonts w:hint="eastAsia" w:ascii="宋体" w:hAnsi="宋体" w:eastAsia="宋体" w:cs="宋体"/>
          <w:color w:val="auto"/>
          <w:sz w:val="24"/>
          <w:szCs w:val="24"/>
          <w:highlight w:val="none"/>
        </w:rPr>
        <w:t>《福建省人力资源和社会保障厅关于公布我省最低工资标准的通知》(闽人社文〔2021〕148号)</w:t>
      </w:r>
      <w:r>
        <w:rPr>
          <w:rFonts w:hint="eastAsia" w:ascii="宋体" w:hAnsi="宋体" w:eastAsia="宋体" w:cs="宋体"/>
          <w:i w:val="0"/>
          <w:iCs w:val="0"/>
          <w:caps w:val="0"/>
          <w:color w:val="auto"/>
          <w:spacing w:val="0"/>
          <w:sz w:val="24"/>
          <w:szCs w:val="24"/>
          <w:highlight w:val="none"/>
        </w:rPr>
        <w:t>（仙游县最低工资标准为</w:t>
      </w:r>
      <w:r>
        <w:rPr>
          <w:rFonts w:hint="eastAsia" w:ascii="宋体" w:hAnsi="宋体" w:cs="宋体"/>
          <w:i w:val="0"/>
          <w:iCs w:val="0"/>
          <w:caps w:val="0"/>
          <w:color w:val="auto"/>
          <w:spacing w:val="0"/>
          <w:sz w:val="24"/>
          <w:szCs w:val="24"/>
          <w:highlight w:val="none"/>
          <w:lang w:val="en-US" w:eastAsia="zh-CN"/>
        </w:rPr>
        <w:t>1810</w:t>
      </w:r>
      <w:r>
        <w:rPr>
          <w:rFonts w:hint="eastAsia" w:ascii="宋体" w:hAnsi="宋体" w:eastAsia="宋体" w:cs="宋体"/>
          <w:i w:val="0"/>
          <w:iCs w:val="0"/>
          <w:caps w:val="0"/>
          <w:color w:val="auto"/>
          <w:spacing w:val="0"/>
          <w:sz w:val="24"/>
          <w:szCs w:val="24"/>
          <w:highlight w:val="none"/>
        </w:rPr>
        <w:t>元/月）、</w:t>
      </w:r>
      <w:r>
        <w:rPr>
          <w:rFonts w:hint="eastAsia" w:ascii="宋体" w:hAnsi="宋体" w:eastAsia="宋体" w:cs="宋体"/>
          <w:color w:val="auto"/>
          <w:sz w:val="24"/>
          <w:szCs w:val="24"/>
          <w:highlight w:val="none"/>
        </w:rPr>
        <w:t>《福建省人力资源和社会保障厅等六部门关于调整夏季高温津贴标准的通知》（闽人社发[2019]3号）</w:t>
      </w:r>
      <w:r>
        <w:rPr>
          <w:rFonts w:hint="eastAsia" w:ascii="宋体" w:hAnsi="宋体" w:eastAsia="宋体" w:cs="宋体"/>
          <w:i w:val="0"/>
          <w:iCs w:val="0"/>
          <w:caps w:val="0"/>
          <w:color w:val="auto"/>
          <w:spacing w:val="0"/>
          <w:sz w:val="24"/>
          <w:szCs w:val="24"/>
          <w:highlight w:val="none"/>
        </w:rPr>
        <w:t>、</w:t>
      </w:r>
      <w:r>
        <w:rPr>
          <w:rFonts w:hint="eastAsia" w:ascii="宋体" w:hAnsi="宋体" w:eastAsia="宋体" w:cs="宋体"/>
          <w:color w:val="auto"/>
          <w:sz w:val="24"/>
          <w:szCs w:val="24"/>
          <w:highlight w:val="none"/>
        </w:rPr>
        <w:t>《福建省医疗保障局关于调整2022年职工医保缴费上下限基数的通知》(闽医保〔2022〕75号)</w:t>
      </w:r>
      <w:r>
        <w:rPr>
          <w:rFonts w:hint="eastAsia" w:ascii="宋体" w:hAnsi="宋体" w:eastAsia="宋体" w:cs="宋体"/>
          <w:color w:val="auto"/>
          <w:sz w:val="24"/>
          <w:szCs w:val="24"/>
          <w:highlight w:val="none"/>
          <w:lang w:eastAsia="zh-CN"/>
        </w:rPr>
        <w:t>、</w:t>
      </w:r>
      <w:r>
        <w:rPr>
          <w:rFonts w:hint="eastAsia" w:ascii="宋体" w:hAnsi="宋体" w:eastAsia="宋体" w:cs="宋体"/>
          <w:i w:val="0"/>
          <w:iCs w:val="0"/>
          <w:caps w:val="0"/>
          <w:color w:val="auto"/>
          <w:spacing w:val="0"/>
          <w:sz w:val="24"/>
          <w:szCs w:val="24"/>
          <w:highlight w:val="none"/>
        </w:rPr>
        <w:t>《福建省城镇道路清扫保洁作业指导价（试行）》的通知（闽建城[2014]7号）、《关于进一步保障环卫工人合法权益的若干意见》（闽建管[2019]1号）</w:t>
      </w:r>
      <w:r>
        <w:rPr>
          <w:rFonts w:hint="eastAsia" w:ascii="宋体" w:hAnsi="宋体" w:eastAsia="宋体" w:cs="宋体"/>
          <w:color w:val="auto"/>
          <w:sz w:val="24"/>
          <w:szCs w:val="24"/>
          <w:highlight w:val="none"/>
        </w:rPr>
        <w:t>等文件的规定。若在服务期限内相关法律法规、文件规定有变更的，按照最新的相关法律法规、文件规定标准执行</w:t>
      </w:r>
      <w:r>
        <w:rPr>
          <w:rFonts w:hint="eastAsia" w:ascii="宋体" w:hAnsi="宋体" w:eastAsia="宋体" w:cs="宋体"/>
          <w:i w:val="0"/>
          <w:iCs w:val="0"/>
          <w:caps w:val="0"/>
          <w:color w:val="auto"/>
          <w:spacing w:val="0"/>
          <w:sz w:val="24"/>
          <w:szCs w:val="24"/>
          <w:highlight w:val="none"/>
        </w:rPr>
        <w:t>：</w:t>
      </w:r>
    </w:p>
    <w:p>
      <w:pPr>
        <w:pStyle w:val="6"/>
        <w:keepNext w:val="0"/>
        <w:keepLines w:val="0"/>
        <w:pageBreakBefore w:val="0"/>
        <w:widowControl/>
        <w:suppressLineNumbers w:val="0"/>
        <w:shd w:val="clear"/>
        <w:kinsoku/>
        <w:wordWrap/>
        <w:overflowPunct/>
        <w:topLinePunct w:val="0"/>
        <w:autoSpaceDE/>
        <w:autoSpaceDN/>
        <w:bidi w:val="0"/>
        <w:adjustRightInd w:val="0"/>
        <w:snapToGrid/>
        <w:spacing w:before="0" w:beforeAutospacing="0" w:after="0" w:afterAutospacing="0" w:line="400" w:lineRule="exact"/>
        <w:ind w:left="0" w:right="0" w:firstLine="480" w:firstLineChars="20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（1）工资标准:工资不低于当地最低工资标准的130%；</w:t>
      </w:r>
    </w:p>
    <w:p>
      <w:pPr>
        <w:pStyle w:val="6"/>
        <w:keepNext w:val="0"/>
        <w:keepLines w:val="0"/>
        <w:pageBreakBefore w:val="0"/>
        <w:widowControl/>
        <w:suppressLineNumbers w:val="0"/>
        <w:shd w:val="clear"/>
        <w:kinsoku/>
        <w:wordWrap/>
        <w:overflowPunct/>
        <w:topLinePunct w:val="0"/>
        <w:autoSpaceDE/>
        <w:autoSpaceDN/>
        <w:bidi w:val="0"/>
        <w:adjustRightInd w:val="0"/>
        <w:snapToGrid/>
        <w:spacing w:before="0" w:beforeAutospacing="0" w:after="0" w:afterAutospacing="0" w:line="400" w:lineRule="exact"/>
        <w:ind w:left="0" w:right="0" w:firstLine="480" w:firstLineChars="20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w:t>
      </w:r>
      <w:r>
        <w:rPr>
          <w:rFonts w:hint="eastAsia" w:ascii="宋体" w:hAnsi="宋体" w:eastAsia="宋体" w:cs="宋体"/>
          <w:i w:val="0"/>
          <w:iCs w:val="0"/>
          <w:caps w:val="0"/>
          <w:color w:val="auto"/>
          <w:spacing w:val="0"/>
          <w:sz w:val="24"/>
          <w:szCs w:val="24"/>
          <w:highlight w:val="none"/>
          <w:lang w:val="en-US" w:eastAsia="zh-CN"/>
        </w:rPr>
        <w:t>2</w:t>
      </w:r>
      <w:r>
        <w:rPr>
          <w:rFonts w:hint="eastAsia" w:ascii="宋体" w:hAnsi="宋体" w:eastAsia="宋体" w:cs="宋体"/>
          <w:i w:val="0"/>
          <w:iCs w:val="0"/>
          <w:caps w:val="0"/>
          <w:color w:val="auto"/>
          <w:spacing w:val="0"/>
          <w:sz w:val="24"/>
          <w:szCs w:val="24"/>
          <w:highlight w:val="none"/>
        </w:rPr>
        <w:t>）高温补贴:每年5～9月份，对工人发放260元/人·月；</w:t>
      </w:r>
    </w:p>
    <w:p>
      <w:pPr>
        <w:pStyle w:val="6"/>
        <w:keepNext w:val="0"/>
        <w:keepLines w:val="0"/>
        <w:pageBreakBefore w:val="0"/>
        <w:widowControl/>
        <w:suppressLineNumbers w:val="0"/>
        <w:shd w:val="clear"/>
        <w:kinsoku/>
        <w:wordWrap/>
        <w:overflowPunct/>
        <w:topLinePunct w:val="0"/>
        <w:autoSpaceDE/>
        <w:autoSpaceDN/>
        <w:bidi w:val="0"/>
        <w:adjustRightInd w:val="0"/>
        <w:snapToGrid/>
        <w:spacing w:before="0" w:beforeAutospacing="0" w:after="0" w:afterAutospacing="0" w:line="400" w:lineRule="exact"/>
        <w:ind w:left="0" w:right="0" w:firstLine="480" w:firstLineChars="20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w:t>
      </w:r>
      <w:r>
        <w:rPr>
          <w:rFonts w:hint="eastAsia" w:ascii="宋体" w:hAnsi="宋体" w:eastAsia="宋体" w:cs="宋体"/>
          <w:i w:val="0"/>
          <w:iCs w:val="0"/>
          <w:caps w:val="0"/>
          <w:color w:val="auto"/>
          <w:spacing w:val="0"/>
          <w:sz w:val="24"/>
          <w:szCs w:val="24"/>
          <w:highlight w:val="none"/>
          <w:lang w:val="en-US" w:eastAsia="zh-CN"/>
        </w:rPr>
        <w:t>3</w:t>
      </w:r>
      <w:r>
        <w:rPr>
          <w:rFonts w:hint="eastAsia" w:ascii="宋体" w:hAnsi="宋体" w:eastAsia="宋体" w:cs="宋体"/>
          <w:i w:val="0"/>
          <w:iCs w:val="0"/>
          <w:caps w:val="0"/>
          <w:color w:val="auto"/>
          <w:spacing w:val="0"/>
          <w:sz w:val="24"/>
          <w:szCs w:val="24"/>
          <w:highlight w:val="none"/>
        </w:rPr>
        <w:t>）</w:t>
      </w:r>
      <w:r>
        <w:rPr>
          <w:rFonts w:hint="eastAsia" w:ascii="宋体" w:hAnsi="宋体" w:eastAsia="宋体" w:cs="宋体"/>
          <w:i w:val="0"/>
          <w:iCs w:val="0"/>
          <w:caps w:val="0"/>
          <w:color w:val="auto"/>
          <w:spacing w:val="0"/>
          <w:sz w:val="24"/>
          <w:szCs w:val="24"/>
          <w:highlight w:val="none"/>
          <w:lang w:val="en-US" w:eastAsia="zh-CN"/>
        </w:rPr>
        <w:t>落实</w:t>
      </w:r>
      <w:r>
        <w:rPr>
          <w:rFonts w:hint="eastAsia" w:ascii="宋体" w:hAnsi="宋体" w:eastAsia="宋体" w:cs="宋体"/>
          <w:i w:val="0"/>
          <w:iCs w:val="0"/>
          <w:caps w:val="0"/>
          <w:color w:val="auto"/>
          <w:spacing w:val="0"/>
          <w:sz w:val="24"/>
          <w:szCs w:val="24"/>
          <w:highlight w:val="none"/>
        </w:rPr>
        <w:t>五险</w:t>
      </w:r>
      <w:r>
        <w:rPr>
          <w:rFonts w:hint="eastAsia" w:ascii="宋体" w:hAnsi="宋体" w:cs="宋体"/>
          <w:i w:val="0"/>
          <w:iCs w:val="0"/>
          <w:caps w:val="0"/>
          <w:color w:val="auto"/>
          <w:spacing w:val="0"/>
          <w:sz w:val="24"/>
          <w:szCs w:val="24"/>
          <w:highlight w:val="none"/>
          <w:lang w:eastAsia="zh-CN"/>
        </w:rPr>
        <w:t>：</w:t>
      </w:r>
      <w:r>
        <w:rPr>
          <w:rFonts w:hint="eastAsia" w:ascii="宋体" w:hAnsi="宋体" w:eastAsia="宋体" w:cs="宋体"/>
          <w:i w:val="0"/>
          <w:iCs w:val="0"/>
          <w:caps w:val="0"/>
          <w:color w:val="auto"/>
          <w:spacing w:val="0"/>
          <w:sz w:val="24"/>
          <w:szCs w:val="24"/>
          <w:highlight w:val="none"/>
        </w:rPr>
        <w:t>按照</w:t>
      </w:r>
      <w:r>
        <w:rPr>
          <w:rFonts w:hint="eastAsia" w:ascii="宋体" w:hAnsi="宋体" w:cs="宋体"/>
          <w:i w:val="0"/>
          <w:iCs w:val="0"/>
          <w:caps w:val="0"/>
          <w:color w:val="auto"/>
          <w:spacing w:val="0"/>
          <w:sz w:val="24"/>
          <w:szCs w:val="24"/>
          <w:highlight w:val="none"/>
          <w:lang w:val="en-US" w:eastAsia="zh-CN"/>
        </w:rPr>
        <w:t>仙游县</w:t>
      </w:r>
      <w:r>
        <w:rPr>
          <w:rFonts w:hint="eastAsia" w:ascii="宋体" w:hAnsi="宋体" w:eastAsia="宋体" w:cs="宋体"/>
          <w:i w:val="0"/>
          <w:iCs w:val="0"/>
          <w:caps w:val="0"/>
          <w:color w:val="auto"/>
          <w:spacing w:val="0"/>
          <w:sz w:val="24"/>
          <w:szCs w:val="24"/>
          <w:highlight w:val="none"/>
        </w:rPr>
        <w:t>规定比例为作业人员缴纳五险。包含全员养老保险、医疗保险、失业保险、工伤保险、生育保险。</w:t>
      </w:r>
    </w:p>
    <w:p>
      <w:pPr>
        <w:pStyle w:val="6"/>
        <w:keepNext w:val="0"/>
        <w:keepLines w:val="0"/>
        <w:pageBreakBefore w:val="0"/>
        <w:widowControl/>
        <w:suppressLineNumbers w:val="0"/>
        <w:shd w:val="clear"/>
        <w:kinsoku/>
        <w:wordWrap/>
        <w:overflowPunct/>
        <w:topLinePunct w:val="0"/>
        <w:autoSpaceDE/>
        <w:autoSpaceDN/>
        <w:bidi w:val="0"/>
        <w:adjustRightInd w:val="0"/>
        <w:snapToGrid/>
        <w:spacing w:before="0" w:beforeAutospacing="0" w:after="0" w:afterAutospacing="0" w:line="400" w:lineRule="exact"/>
        <w:ind w:left="0" w:right="0" w:firstLine="480" w:firstLineChars="20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w:t>
      </w:r>
      <w:r>
        <w:rPr>
          <w:rFonts w:hint="eastAsia" w:ascii="宋体" w:hAnsi="宋体" w:eastAsia="宋体" w:cs="宋体"/>
          <w:i w:val="0"/>
          <w:iCs w:val="0"/>
          <w:caps w:val="0"/>
          <w:color w:val="auto"/>
          <w:spacing w:val="0"/>
          <w:sz w:val="24"/>
          <w:szCs w:val="24"/>
          <w:highlight w:val="none"/>
          <w:lang w:val="en-US" w:eastAsia="zh-CN"/>
        </w:rPr>
        <w:t>4</w:t>
      </w:r>
      <w:r>
        <w:rPr>
          <w:rFonts w:hint="eastAsia" w:ascii="宋体" w:hAnsi="宋体" w:eastAsia="宋体" w:cs="宋体"/>
          <w:i w:val="0"/>
          <w:iCs w:val="0"/>
          <w:caps w:val="0"/>
          <w:color w:val="auto"/>
          <w:spacing w:val="0"/>
          <w:sz w:val="24"/>
          <w:szCs w:val="24"/>
          <w:highlight w:val="none"/>
        </w:rPr>
        <w:t>）意外商业险补充（包括个人意外险或雇主责任险）</w:t>
      </w:r>
      <w:r>
        <w:rPr>
          <w:rFonts w:hint="eastAsia" w:ascii="宋体" w:hAnsi="宋体" w:cs="宋体"/>
          <w:i w:val="0"/>
          <w:iCs w:val="0"/>
          <w:caps w:val="0"/>
          <w:color w:val="auto"/>
          <w:spacing w:val="0"/>
          <w:sz w:val="24"/>
          <w:szCs w:val="24"/>
          <w:highlight w:val="none"/>
          <w:lang w:eastAsia="zh-CN"/>
        </w:rPr>
        <w:t>：</w:t>
      </w:r>
      <w:r>
        <w:rPr>
          <w:rFonts w:hint="eastAsia" w:ascii="宋体" w:hAnsi="宋体" w:eastAsia="宋体" w:cs="宋体"/>
          <w:i w:val="0"/>
          <w:iCs w:val="0"/>
          <w:caps w:val="0"/>
          <w:color w:val="auto"/>
          <w:spacing w:val="0"/>
          <w:sz w:val="24"/>
          <w:szCs w:val="24"/>
          <w:highlight w:val="none"/>
        </w:rPr>
        <w:t>中标服务单位应在工伤保险基础上保证补充保额不低于60万元(含)意外伤害商业保险（包括个人意外险或雇主责任险）。</w:t>
      </w:r>
    </w:p>
    <w:p>
      <w:pPr>
        <w:pStyle w:val="6"/>
        <w:keepNext w:val="0"/>
        <w:keepLines w:val="0"/>
        <w:pageBreakBefore w:val="0"/>
        <w:widowControl/>
        <w:suppressLineNumbers w:val="0"/>
        <w:shd w:val="clear"/>
        <w:kinsoku/>
        <w:wordWrap/>
        <w:overflowPunct/>
        <w:topLinePunct w:val="0"/>
        <w:autoSpaceDE/>
        <w:autoSpaceDN/>
        <w:bidi w:val="0"/>
        <w:adjustRightInd w:val="0"/>
        <w:snapToGrid/>
        <w:spacing w:before="0" w:beforeAutospacing="0" w:after="0" w:afterAutospacing="0" w:line="400" w:lineRule="exact"/>
        <w:ind w:left="0" w:right="0" w:firstLine="480" w:firstLineChars="20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w:t>
      </w:r>
      <w:r>
        <w:rPr>
          <w:rFonts w:hint="eastAsia" w:ascii="宋体" w:hAnsi="宋体" w:cs="宋体"/>
          <w:i w:val="0"/>
          <w:iCs w:val="0"/>
          <w:caps w:val="0"/>
          <w:color w:val="auto"/>
          <w:spacing w:val="0"/>
          <w:sz w:val="24"/>
          <w:szCs w:val="24"/>
          <w:highlight w:val="none"/>
          <w:lang w:val="en-US" w:eastAsia="zh-CN"/>
        </w:rPr>
        <w:t>5</w:t>
      </w:r>
      <w:r>
        <w:rPr>
          <w:rFonts w:hint="eastAsia" w:ascii="宋体" w:hAnsi="宋体" w:eastAsia="宋体" w:cs="宋体"/>
          <w:i w:val="0"/>
          <w:iCs w:val="0"/>
          <w:caps w:val="0"/>
          <w:color w:val="auto"/>
          <w:spacing w:val="0"/>
          <w:sz w:val="24"/>
          <w:szCs w:val="24"/>
          <w:highlight w:val="none"/>
        </w:rPr>
        <w:t>）每年定期免费体检:作业人员定期免费体检每年每人不得低于300元；</w:t>
      </w:r>
    </w:p>
    <w:p>
      <w:pPr>
        <w:pStyle w:val="6"/>
        <w:keepNext w:val="0"/>
        <w:keepLines w:val="0"/>
        <w:pageBreakBefore w:val="0"/>
        <w:widowControl/>
        <w:suppressLineNumbers w:val="0"/>
        <w:shd w:val="clear"/>
        <w:kinsoku/>
        <w:wordWrap/>
        <w:overflowPunct/>
        <w:topLinePunct w:val="0"/>
        <w:autoSpaceDE/>
        <w:autoSpaceDN/>
        <w:bidi w:val="0"/>
        <w:adjustRightInd w:val="0"/>
        <w:snapToGrid/>
        <w:spacing w:before="0" w:beforeAutospacing="0" w:after="0" w:afterAutospacing="0" w:line="400" w:lineRule="exact"/>
        <w:ind w:left="0" w:right="0" w:firstLine="480" w:firstLineChars="20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w:t>
      </w:r>
      <w:r>
        <w:rPr>
          <w:rFonts w:hint="eastAsia" w:ascii="宋体" w:hAnsi="宋体" w:cs="宋体"/>
          <w:i w:val="0"/>
          <w:iCs w:val="0"/>
          <w:caps w:val="0"/>
          <w:color w:val="auto"/>
          <w:spacing w:val="0"/>
          <w:sz w:val="24"/>
          <w:szCs w:val="24"/>
          <w:highlight w:val="none"/>
          <w:lang w:val="en-US" w:eastAsia="zh-CN"/>
        </w:rPr>
        <w:t>6</w:t>
      </w:r>
      <w:r>
        <w:rPr>
          <w:rFonts w:hint="eastAsia" w:ascii="宋体" w:hAnsi="宋体" w:eastAsia="宋体" w:cs="宋体"/>
          <w:i w:val="0"/>
          <w:iCs w:val="0"/>
          <w:caps w:val="0"/>
          <w:color w:val="auto"/>
          <w:spacing w:val="0"/>
          <w:sz w:val="24"/>
          <w:szCs w:val="24"/>
          <w:highlight w:val="none"/>
        </w:rPr>
        <w:t>）服装、劳保费用每年每人投入不得低于 200 元，工具材料费每年每人投入不得低于 150 元。</w:t>
      </w:r>
    </w:p>
    <w:p>
      <w:pPr>
        <w:pStyle w:val="6"/>
        <w:keepNext w:val="0"/>
        <w:keepLines w:val="0"/>
        <w:pageBreakBefore w:val="0"/>
        <w:widowControl/>
        <w:suppressLineNumbers w:val="0"/>
        <w:shd w:val="clear"/>
        <w:kinsoku/>
        <w:wordWrap/>
        <w:overflowPunct/>
        <w:topLinePunct w:val="0"/>
        <w:autoSpaceDE/>
        <w:autoSpaceDN/>
        <w:bidi w:val="0"/>
        <w:adjustRightInd w:val="0"/>
        <w:snapToGrid/>
        <w:spacing w:before="0" w:beforeAutospacing="0" w:after="0" w:afterAutospacing="0" w:line="400" w:lineRule="exact"/>
        <w:ind w:left="0" w:right="0" w:firstLine="480" w:firstLineChars="20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投标人在投标报价中，平均人员工资、福利低于以上标准的，按无效投标处理。</w:t>
      </w:r>
    </w:p>
    <w:p>
      <w:pPr>
        <w:pStyle w:val="6"/>
        <w:keepNext w:val="0"/>
        <w:keepLines w:val="0"/>
        <w:pageBreakBefore w:val="0"/>
        <w:widowControl/>
        <w:suppressLineNumbers w:val="0"/>
        <w:shd w:val="clear"/>
        <w:kinsoku/>
        <w:wordWrap/>
        <w:overflowPunct/>
        <w:topLinePunct w:val="0"/>
        <w:autoSpaceDE/>
        <w:autoSpaceDN/>
        <w:bidi w:val="0"/>
        <w:adjustRightInd w:val="0"/>
        <w:snapToGrid/>
        <w:spacing w:before="0" w:beforeAutospacing="0" w:after="0" w:afterAutospacing="0" w:line="400" w:lineRule="exact"/>
        <w:ind w:left="0" w:right="0" w:firstLine="480" w:firstLineChars="200"/>
        <w:textAlignment w:val="auto"/>
        <w:rPr>
          <w:rFonts w:hint="eastAsia" w:ascii="宋体" w:hAnsi="宋体" w:eastAsia="宋体" w:cs="宋体"/>
          <w:i w:val="0"/>
          <w:iCs w:val="0"/>
          <w:caps w:val="0"/>
          <w:color w:val="auto"/>
          <w:spacing w:val="0"/>
          <w:sz w:val="24"/>
          <w:szCs w:val="24"/>
          <w:highlight w:val="none"/>
        </w:rPr>
      </w:pPr>
      <w:r>
        <w:rPr>
          <w:rFonts w:hint="eastAsia" w:ascii="宋体" w:hAnsi="宋体" w:cs="宋体"/>
          <w:i w:val="0"/>
          <w:iCs w:val="0"/>
          <w:caps w:val="0"/>
          <w:color w:val="auto"/>
          <w:spacing w:val="0"/>
          <w:sz w:val="24"/>
          <w:szCs w:val="24"/>
          <w:highlight w:val="none"/>
          <w:lang w:val="en-US" w:eastAsia="zh-CN"/>
        </w:rPr>
        <w:t>2</w:t>
      </w:r>
      <w:r>
        <w:rPr>
          <w:rFonts w:hint="eastAsia" w:ascii="宋体" w:hAnsi="宋体" w:eastAsia="宋体" w:cs="宋体"/>
          <w:i w:val="0"/>
          <w:iCs w:val="0"/>
          <w:caps w:val="0"/>
          <w:color w:val="auto"/>
          <w:spacing w:val="0"/>
          <w:sz w:val="24"/>
          <w:szCs w:val="24"/>
          <w:highlight w:val="none"/>
        </w:rPr>
        <w:t>、项目负责人必须有上岗证且文化程度不得低于中专及以上文凭，必须专职管理，不能由保洁人员兼任，并常住在仙游城区；其他管理人员必须有上岗证，且必须专职管理，不能由保洁人员兼任。必须在项目承包期内长期居住在仙游城区。</w:t>
      </w:r>
    </w:p>
    <w:p>
      <w:pPr>
        <w:pStyle w:val="6"/>
        <w:keepNext w:val="0"/>
        <w:keepLines w:val="0"/>
        <w:pageBreakBefore w:val="0"/>
        <w:widowControl/>
        <w:suppressLineNumbers w:val="0"/>
        <w:shd w:val="clear"/>
        <w:kinsoku/>
        <w:wordWrap/>
        <w:overflowPunct/>
        <w:topLinePunct w:val="0"/>
        <w:autoSpaceDE/>
        <w:autoSpaceDN/>
        <w:bidi w:val="0"/>
        <w:adjustRightInd w:val="0"/>
        <w:snapToGrid/>
        <w:spacing w:before="0" w:beforeAutospacing="0" w:after="0" w:afterAutospacing="0" w:line="400" w:lineRule="exact"/>
        <w:ind w:left="0" w:right="0" w:firstLine="480" w:firstLineChars="200"/>
        <w:textAlignment w:val="auto"/>
        <w:rPr>
          <w:rFonts w:hint="eastAsia" w:ascii="宋体" w:hAnsi="宋体" w:eastAsia="宋体" w:cs="宋体"/>
          <w:i w:val="0"/>
          <w:iCs w:val="0"/>
          <w:caps w:val="0"/>
          <w:color w:val="auto"/>
          <w:spacing w:val="0"/>
          <w:sz w:val="24"/>
          <w:szCs w:val="24"/>
          <w:highlight w:val="none"/>
        </w:rPr>
      </w:pPr>
      <w:r>
        <w:rPr>
          <w:rFonts w:hint="eastAsia" w:ascii="宋体" w:hAnsi="宋体" w:cs="宋体"/>
          <w:i w:val="0"/>
          <w:iCs w:val="0"/>
          <w:caps w:val="0"/>
          <w:color w:val="auto"/>
          <w:spacing w:val="0"/>
          <w:sz w:val="24"/>
          <w:szCs w:val="24"/>
          <w:highlight w:val="none"/>
          <w:lang w:val="en-US" w:eastAsia="zh-CN"/>
        </w:rPr>
        <w:t>3</w:t>
      </w:r>
      <w:r>
        <w:rPr>
          <w:rFonts w:hint="eastAsia" w:ascii="宋体" w:hAnsi="宋体" w:eastAsia="宋体" w:cs="宋体"/>
          <w:i w:val="0"/>
          <w:iCs w:val="0"/>
          <w:caps w:val="0"/>
          <w:color w:val="auto"/>
          <w:spacing w:val="0"/>
          <w:sz w:val="24"/>
          <w:szCs w:val="24"/>
          <w:highlight w:val="none"/>
        </w:rPr>
        <w:t>、中标单位必须给采购人配备2名以上保洁管理人员</w:t>
      </w:r>
      <w:r>
        <w:rPr>
          <w:rFonts w:hint="eastAsia" w:ascii="宋体" w:hAnsi="宋体" w:cs="宋体"/>
          <w:i w:val="0"/>
          <w:iCs w:val="0"/>
          <w:caps w:val="0"/>
          <w:color w:val="auto"/>
          <w:spacing w:val="0"/>
          <w:sz w:val="24"/>
          <w:szCs w:val="24"/>
          <w:highlight w:val="none"/>
          <w:lang w:eastAsia="zh-CN"/>
        </w:rPr>
        <w:t>（</w:t>
      </w:r>
      <w:r>
        <w:rPr>
          <w:rFonts w:hint="eastAsia" w:ascii="宋体" w:hAnsi="宋体" w:cs="宋体"/>
          <w:i w:val="0"/>
          <w:iCs w:val="0"/>
          <w:caps w:val="0"/>
          <w:color w:val="auto"/>
          <w:spacing w:val="0"/>
          <w:sz w:val="24"/>
          <w:szCs w:val="24"/>
          <w:highlight w:val="none"/>
          <w:lang w:val="en-US" w:eastAsia="zh-CN"/>
        </w:rPr>
        <w:t>须在镇政府内上班，听从采购人派遣）</w:t>
      </w:r>
      <w:r>
        <w:rPr>
          <w:rFonts w:hint="eastAsia" w:ascii="宋体" w:hAnsi="宋体" w:eastAsia="宋体" w:cs="宋体"/>
          <w:i w:val="0"/>
          <w:iCs w:val="0"/>
          <w:caps w:val="0"/>
          <w:color w:val="auto"/>
          <w:spacing w:val="0"/>
          <w:sz w:val="24"/>
          <w:szCs w:val="24"/>
          <w:highlight w:val="none"/>
        </w:rPr>
        <w:t>，负责公司与各所属路段的环卫保洁工作</w:t>
      </w:r>
      <w:r>
        <w:rPr>
          <w:rFonts w:hint="eastAsia" w:ascii="宋体" w:hAnsi="宋体" w:cs="宋体"/>
          <w:i w:val="0"/>
          <w:iCs w:val="0"/>
          <w:caps w:val="0"/>
          <w:color w:val="auto"/>
          <w:spacing w:val="0"/>
          <w:sz w:val="24"/>
          <w:szCs w:val="24"/>
          <w:highlight w:val="none"/>
          <w:lang w:val="en-US" w:eastAsia="zh-CN"/>
        </w:rPr>
        <w:t>、内外业检查及日常协调工作</w:t>
      </w:r>
      <w:r>
        <w:rPr>
          <w:rFonts w:hint="eastAsia" w:ascii="宋体" w:hAnsi="宋体" w:eastAsia="宋体" w:cs="宋体"/>
          <w:i w:val="0"/>
          <w:iCs w:val="0"/>
          <w:caps w:val="0"/>
          <w:color w:val="auto"/>
          <w:spacing w:val="0"/>
          <w:sz w:val="24"/>
          <w:szCs w:val="24"/>
          <w:highlight w:val="none"/>
        </w:rPr>
        <w:t>。</w:t>
      </w:r>
    </w:p>
    <w:p>
      <w:pPr>
        <w:pStyle w:val="6"/>
        <w:keepNext w:val="0"/>
        <w:keepLines w:val="0"/>
        <w:pageBreakBefore w:val="0"/>
        <w:widowControl/>
        <w:suppressLineNumbers w:val="0"/>
        <w:shd w:val="clear"/>
        <w:kinsoku/>
        <w:wordWrap/>
        <w:overflowPunct/>
        <w:topLinePunct w:val="0"/>
        <w:autoSpaceDE/>
        <w:autoSpaceDN/>
        <w:bidi w:val="0"/>
        <w:adjustRightInd w:val="0"/>
        <w:snapToGrid/>
        <w:spacing w:before="0" w:beforeAutospacing="0" w:after="0" w:afterAutospacing="0" w:line="400" w:lineRule="exact"/>
        <w:ind w:left="0" w:right="0" w:firstLine="480" w:firstLineChars="200"/>
        <w:textAlignment w:val="auto"/>
        <w:rPr>
          <w:rFonts w:hint="eastAsia" w:ascii="宋体" w:hAnsi="宋体" w:eastAsia="宋体" w:cs="宋体"/>
          <w:i w:val="0"/>
          <w:iCs w:val="0"/>
          <w:caps w:val="0"/>
          <w:color w:val="auto"/>
          <w:spacing w:val="0"/>
          <w:sz w:val="24"/>
          <w:szCs w:val="24"/>
          <w:highlight w:val="none"/>
        </w:rPr>
      </w:pPr>
      <w:r>
        <w:rPr>
          <w:rFonts w:hint="eastAsia" w:ascii="宋体" w:hAnsi="宋体" w:cs="宋体"/>
          <w:i w:val="0"/>
          <w:iCs w:val="0"/>
          <w:caps w:val="0"/>
          <w:color w:val="auto"/>
          <w:spacing w:val="0"/>
          <w:sz w:val="24"/>
          <w:szCs w:val="24"/>
          <w:highlight w:val="none"/>
          <w:lang w:val="en-US" w:eastAsia="zh-CN"/>
        </w:rPr>
        <w:t>4</w:t>
      </w:r>
      <w:r>
        <w:rPr>
          <w:rFonts w:hint="eastAsia" w:ascii="宋体" w:hAnsi="宋体" w:eastAsia="宋体" w:cs="宋体"/>
          <w:i w:val="0"/>
          <w:iCs w:val="0"/>
          <w:caps w:val="0"/>
          <w:color w:val="auto"/>
          <w:spacing w:val="0"/>
          <w:sz w:val="24"/>
          <w:szCs w:val="24"/>
          <w:highlight w:val="none"/>
        </w:rPr>
        <w:t>、本项目中标单位在签定合同前须向采购人提供项目负责人岗位资格证书及毕业证书，采购人将保留核查的权利。若发现提供虚假材料，报相关主管部门追究其责任。</w:t>
      </w:r>
    </w:p>
    <w:p>
      <w:pPr>
        <w:pStyle w:val="6"/>
        <w:keepNext w:val="0"/>
        <w:keepLines w:val="0"/>
        <w:pageBreakBefore w:val="0"/>
        <w:widowControl/>
        <w:suppressLineNumbers w:val="0"/>
        <w:shd w:val="clear"/>
        <w:kinsoku/>
        <w:wordWrap/>
        <w:overflowPunct/>
        <w:topLinePunct w:val="0"/>
        <w:autoSpaceDE/>
        <w:autoSpaceDN/>
        <w:bidi w:val="0"/>
        <w:adjustRightInd w:val="0"/>
        <w:snapToGrid/>
        <w:spacing w:before="0" w:beforeAutospacing="0" w:after="0" w:afterAutospacing="0" w:line="400" w:lineRule="exact"/>
        <w:ind w:left="0" w:right="0" w:firstLine="480" w:firstLineChars="200"/>
        <w:textAlignment w:val="auto"/>
        <w:rPr>
          <w:rFonts w:hint="eastAsia" w:ascii="宋体" w:hAnsi="宋体" w:eastAsia="宋体" w:cs="宋体"/>
          <w:i w:val="0"/>
          <w:iCs w:val="0"/>
          <w:caps w:val="0"/>
          <w:color w:val="auto"/>
          <w:spacing w:val="0"/>
          <w:sz w:val="24"/>
          <w:szCs w:val="24"/>
          <w:highlight w:val="none"/>
        </w:rPr>
      </w:pPr>
      <w:r>
        <w:rPr>
          <w:rFonts w:hint="eastAsia" w:ascii="宋体" w:hAnsi="宋体" w:cs="宋体"/>
          <w:i w:val="0"/>
          <w:iCs w:val="0"/>
          <w:caps w:val="0"/>
          <w:color w:val="auto"/>
          <w:spacing w:val="0"/>
          <w:sz w:val="24"/>
          <w:szCs w:val="24"/>
          <w:highlight w:val="none"/>
          <w:lang w:val="en-US" w:eastAsia="zh-CN"/>
        </w:rPr>
        <w:t>5</w:t>
      </w:r>
      <w:r>
        <w:rPr>
          <w:rFonts w:hint="eastAsia" w:ascii="宋体" w:hAnsi="宋体" w:eastAsia="宋体" w:cs="宋体"/>
          <w:i w:val="0"/>
          <w:iCs w:val="0"/>
          <w:caps w:val="0"/>
          <w:color w:val="auto"/>
          <w:spacing w:val="0"/>
          <w:sz w:val="24"/>
          <w:szCs w:val="24"/>
          <w:highlight w:val="none"/>
        </w:rPr>
        <w:t>、中标单位在签订合同</w:t>
      </w:r>
      <w:r>
        <w:rPr>
          <w:rFonts w:hint="eastAsia" w:ascii="宋体" w:hAnsi="宋体" w:cs="宋体"/>
          <w:i w:val="0"/>
          <w:iCs w:val="0"/>
          <w:caps w:val="0"/>
          <w:color w:val="auto"/>
          <w:spacing w:val="0"/>
          <w:sz w:val="24"/>
          <w:szCs w:val="24"/>
          <w:highlight w:val="none"/>
          <w:lang w:val="en-US" w:eastAsia="zh-CN"/>
        </w:rPr>
        <w:t>且招标人要求进场作业</w:t>
      </w:r>
      <w:r>
        <w:rPr>
          <w:rFonts w:hint="eastAsia" w:ascii="宋体" w:hAnsi="宋体" w:eastAsia="宋体" w:cs="宋体"/>
          <w:i w:val="0"/>
          <w:iCs w:val="0"/>
          <w:caps w:val="0"/>
          <w:color w:val="auto"/>
          <w:spacing w:val="0"/>
          <w:sz w:val="24"/>
          <w:szCs w:val="24"/>
          <w:highlight w:val="none"/>
        </w:rPr>
        <w:t>之日起</w:t>
      </w:r>
      <w:r>
        <w:rPr>
          <w:rFonts w:hint="eastAsia" w:ascii="宋体" w:hAnsi="宋体" w:eastAsia="宋体" w:cs="宋体"/>
          <w:i w:val="0"/>
          <w:iCs w:val="0"/>
          <w:caps w:val="0"/>
          <w:color w:val="auto"/>
          <w:spacing w:val="0"/>
          <w:sz w:val="24"/>
          <w:szCs w:val="24"/>
          <w:highlight w:val="none"/>
          <w:lang w:val="en-US" w:eastAsia="zh-CN"/>
        </w:rPr>
        <w:t>7</w:t>
      </w:r>
      <w:r>
        <w:rPr>
          <w:rFonts w:hint="eastAsia" w:ascii="宋体" w:hAnsi="宋体" w:eastAsia="宋体" w:cs="宋体"/>
          <w:i w:val="0"/>
          <w:iCs w:val="0"/>
          <w:caps w:val="0"/>
          <w:color w:val="auto"/>
          <w:spacing w:val="0"/>
          <w:sz w:val="24"/>
          <w:szCs w:val="24"/>
          <w:highlight w:val="none"/>
        </w:rPr>
        <w:t>日内按要求完成作业人员、管理人员及车辆设备配置并投入使用，每逾期一天，应按每日2000元向采购人缴纳逾期违约金，超过7天视为弃标，并没收履约保证金。切实履行清扫保洁职责，确保辖区内道路达到“洁、亮、美”标准。</w:t>
      </w:r>
    </w:p>
    <w:p>
      <w:pPr>
        <w:pStyle w:val="6"/>
        <w:keepNext w:val="0"/>
        <w:keepLines w:val="0"/>
        <w:pageBreakBefore w:val="0"/>
        <w:widowControl/>
        <w:suppressLineNumbers w:val="0"/>
        <w:shd w:val="clear"/>
        <w:kinsoku/>
        <w:wordWrap/>
        <w:overflowPunct/>
        <w:topLinePunct w:val="0"/>
        <w:autoSpaceDE/>
        <w:autoSpaceDN/>
        <w:bidi w:val="0"/>
        <w:adjustRightInd w:val="0"/>
        <w:snapToGrid/>
        <w:spacing w:before="0" w:beforeAutospacing="0" w:after="0" w:afterAutospacing="0" w:line="400" w:lineRule="exact"/>
        <w:ind w:left="0" w:right="0" w:firstLine="480" w:firstLineChars="200"/>
        <w:textAlignment w:val="auto"/>
        <w:rPr>
          <w:rFonts w:hint="eastAsia" w:ascii="宋体" w:hAnsi="宋体" w:eastAsia="宋体" w:cs="宋体"/>
          <w:i w:val="0"/>
          <w:iCs w:val="0"/>
          <w:caps w:val="0"/>
          <w:color w:val="auto"/>
          <w:spacing w:val="0"/>
          <w:sz w:val="24"/>
          <w:szCs w:val="24"/>
          <w:highlight w:val="none"/>
        </w:rPr>
      </w:pPr>
      <w:r>
        <w:rPr>
          <w:rFonts w:hint="eastAsia" w:ascii="宋体" w:hAnsi="宋体" w:cs="宋体"/>
          <w:i w:val="0"/>
          <w:iCs w:val="0"/>
          <w:caps w:val="0"/>
          <w:color w:val="auto"/>
          <w:spacing w:val="0"/>
          <w:sz w:val="24"/>
          <w:szCs w:val="24"/>
          <w:highlight w:val="none"/>
          <w:lang w:val="en-US" w:eastAsia="zh-CN"/>
        </w:rPr>
        <w:t>6</w:t>
      </w:r>
      <w:r>
        <w:rPr>
          <w:rFonts w:hint="eastAsia" w:ascii="宋体" w:hAnsi="宋体" w:eastAsia="宋体" w:cs="宋体"/>
          <w:i w:val="0"/>
          <w:iCs w:val="0"/>
          <w:caps w:val="0"/>
          <w:color w:val="auto"/>
          <w:spacing w:val="0"/>
          <w:sz w:val="24"/>
          <w:szCs w:val="24"/>
          <w:highlight w:val="none"/>
        </w:rPr>
        <w:t>、投标单位服装、劳保费用每年每人投入不得低于200元，工具材料费每年每人投入不得低于150元。</w:t>
      </w:r>
    </w:p>
    <w:p>
      <w:pPr>
        <w:pStyle w:val="6"/>
        <w:keepNext w:val="0"/>
        <w:keepLines w:val="0"/>
        <w:pageBreakBefore w:val="0"/>
        <w:widowControl/>
        <w:suppressLineNumbers w:val="0"/>
        <w:shd w:val="clear"/>
        <w:kinsoku/>
        <w:wordWrap/>
        <w:overflowPunct/>
        <w:topLinePunct w:val="0"/>
        <w:autoSpaceDE/>
        <w:autoSpaceDN/>
        <w:bidi w:val="0"/>
        <w:adjustRightInd w:val="0"/>
        <w:snapToGrid/>
        <w:spacing w:before="0" w:beforeAutospacing="0" w:after="0" w:afterAutospacing="0" w:line="400" w:lineRule="exact"/>
        <w:ind w:left="0" w:right="0" w:firstLine="480" w:firstLineChars="200"/>
        <w:textAlignment w:val="auto"/>
        <w:rPr>
          <w:rFonts w:hint="eastAsia" w:ascii="宋体" w:hAnsi="宋体" w:eastAsia="宋体" w:cs="宋体"/>
          <w:i w:val="0"/>
          <w:iCs w:val="0"/>
          <w:caps w:val="0"/>
          <w:color w:val="auto"/>
          <w:spacing w:val="0"/>
          <w:sz w:val="24"/>
          <w:szCs w:val="24"/>
          <w:highlight w:val="none"/>
        </w:rPr>
      </w:pPr>
      <w:r>
        <w:rPr>
          <w:rFonts w:hint="eastAsia" w:ascii="宋体" w:hAnsi="宋体" w:cs="宋体"/>
          <w:i w:val="0"/>
          <w:iCs w:val="0"/>
          <w:caps w:val="0"/>
          <w:color w:val="auto"/>
          <w:spacing w:val="0"/>
          <w:kern w:val="0"/>
          <w:sz w:val="24"/>
          <w:szCs w:val="24"/>
          <w:highlight w:val="none"/>
          <w:lang w:val="en-US" w:eastAsia="zh-CN" w:bidi="ar"/>
        </w:rPr>
        <w:t>7、</w:t>
      </w:r>
      <w:r>
        <w:rPr>
          <w:rFonts w:hint="eastAsia" w:ascii="宋体" w:hAnsi="宋体" w:eastAsia="宋体" w:cs="宋体"/>
          <w:i w:val="0"/>
          <w:iCs w:val="0"/>
          <w:caps w:val="0"/>
          <w:color w:val="auto"/>
          <w:spacing w:val="0"/>
          <w:kern w:val="0"/>
          <w:sz w:val="24"/>
          <w:szCs w:val="24"/>
          <w:highlight w:val="none"/>
          <w:lang w:val="en-US" w:eastAsia="zh-CN" w:bidi="ar"/>
        </w:rPr>
        <w:t>采购人现有塑料垃圾桶1200个、铁桶300个，每年损耗约40%，采购人按1:1比例增补垃圾桶，每年损耗的垃圾桶由中标单位与</w:t>
      </w:r>
      <w:r>
        <w:rPr>
          <w:rFonts w:hint="eastAsia" w:ascii="宋体" w:hAnsi="宋体" w:cs="宋体"/>
          <w:i w:val="0"/>
          <w:iCs w:val="0"/>
          <w:caps w:val="0"/>
          <w:color w:val="auto"/>
          <w:spacing w:val="0"/>
          <w:kern w:val="0"/>
          <w:sz w:val="24"/>
          <w:szCs w:val="24"/>
          <w:highlight w:val="none"/>
          <w:lang w:val="en-US" w:eastAsia="zh-CN" w:bidi="ar"/>
        </w:rPr>
        <w:t>采购人</w:t>
      </w:r>
      <w:r>
        <w:rPr>
          <w:rFonts w:hint="eastAsia" w:ascii="宋体" w:hAnsi="宋体" w:eastAsia="宋体" w:cs="宋体"/>
          <w:i w:val="0"/>
          <w:iCs w:val="0"/>
          <w:caps w:val="0"/>
          <w:color w:val="auto"/>
          <w:spacing w:val="0"/>
          <w:kern w:val="0"/>
          <w:sz w:val="24"/>
          <w:szCs w:val="24"/>
          <w:highlight w:val="none"/>
          <w:lang w:val="en-US" w:eastAsia="zh-CN" w:bidi="ar"/>
        </w:rPr>
        <w:t>共同增补，增补数量各为50%。</w:t>
      </w:r>
    </w:p>
    <w:p>
      <w:pPr>
        <w:pStyle w:val="6"/>
        <w:keepNext w:val="0"/>
        <w:keepLines w:val="0"/>
        <w:pageBreakBefore w:val="0"/>
        <w:widowControl/>
        <w:suppressLineNumbers w:val="0"/>
        <w:shd w:val="clear"/>
        <w:kinsoku/>
        <w:wordWrap/>
        <w:overflowPunct/>
        <w:topLinePunct w:val="0"/>
        <w:autoSpaceDE/>
        <w:autoSpaceDN/>
        <w:bidi w:val="0"/>
        <w:adjustRightInd w:val="0"/>
        <w:snapToGrid/>
        <w:spacing w:before="0" w:beforeAutospacing="0" w:after="0" w:afterAutospacing="0" w:line="400" w:lineRule="exact"/>
        <w:ind w:left="0" w:right="0" w:firstLine="480" w:firstLineChars="20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kern w:val="0"/>
          <w:sz w:val="24"/>
          <w:szCs w:val="24"/>
          <w:highlight w:val="none"/>
          <w:lang w:val="en-US" w:eastAsia="zh-CN" w:bidi="ar"/>
        </w:rPr>
        <w:t>★</w:t>
      </w:r>
      <w:r>
        <w:rPr>
          <w:rStyle w:val="9"/>
          <w:rFonts w:hint="eastAsia" w:ascii="宋体" w:hAnsi="宋体" w:eastAsia="宋体" w:cs="宋体"/>
          <w:i w:val="0"/>
          <w:iCs w:val="0"/>
          <w:caps w:val="0"/>
          <w:color w:val="auto"/>
          <w:spacing w:val="0"/>
          <w:sz w:val="24"/>
          <w:szCs w:val="24"/>
          <w:highlight w:val="none"/>
        </w:rPr>
        <w:t>3.11、项目奖惩规定</w:t>
      </w:r>
    </w:p>
    <w:p>
      <w:pPr>
        <w:pStyle w:val="6"/>
        <w:keepNext w:val="0"/>
        <w:keepLines w:val="0"/>
        <w:pageBreakBefore w:val="0"/>
        <w:widowControl/>
        <w:suppressLineNumbers w:val="0"/>
        <w:shd w:val="clear"/>
        <w:kinsoku/>
        <w:wordWrap/>
        <w:overflowPunct/>
        <w:topLinePunct w:val="0"/>
        <w:autoSpaceDE/>
        <w:autoSpaceDN/>
        <w:bidi w:val="0"/>
        <w:adjustRightInd w:val="0"/>
        <w:snapToGrid/>
        <w:spacing w:before="0" w:beforeAutospacing="0" w:after="0" w:afterAutospacing="0" w:line="400" w:lineRule="exact"/>
        <w:ind w:left="0" w:right="0" w:firstLine="480" w:firstLineChars="20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1、采购人发现清扫不到位或未进行清扫的路段每处（路段长度50米以上）每次罚款100元，同一路段内如果发现多处未清扫或清扫不到位可累计扣罚。</w:t>
      </w:r>
    </w:p>
    <w:p>
      <w:pPr>
        <w:pStyle w:val="6"/>
        <w:keepNext w:val="0"/>
        <w:keepLines w:val="0"/>
        <w:pageBreakBefore w:val="0"/>
        <w:widowControl/>
        <w:suppressLineNumbers w:val="0"/>
        <w:shd w:val="clear"/>
        <w:kinsoku/>
        <w:wordWrap/>
        <w:overflowPunct/>
        <w:topLinePunct w:val="0"/>
        <w:autoSpaceDE/>
        <w:autoSpaceDN/>
        <w:bidi w:val="0"/>
        <w:adjustRightInd w:val="0"/>
        <w:snapToGrid/>
        <w:spacing w:before="0" w:beforeAutospacing="0" w:after="0" w:afterAutospacing="0" w:line="400" w:lineRule="exact"/>
        <w:ind w:left="0" w:right="0" w:firstLine="480" w:firstLineChars="20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2、保洁时间内采购人发现1处垃圾扣50元，发现成堆垃圾（垃圾包3个以上）的每堆每次扣100元；发现焚烧垃圾的每次扣罚300元；发现乱倒垃圾或将沙土扫至下水道和绿化带的每次扣罚200元；发现未合理配置清扫保洁作业工具的每人每次扣20元；发现未按规定穿工作服的每次扣罚20元。</w:t>
      </w:r>
    </w:p>
    <w:p>
      <w:pPr>
        <w:pStyle w:val="6"/>
        <w:keepNext w:val="0"/>
        <w:keepLines w:val="0"/>
        <w:pageBreakBefore w:val="0"/>
        <w:widowControl/>
        <w:suppressLineNumbers w:val="0"/>
        <w:shd w:val="clear"/>
        <w:kinsoku/>
        <w:wordWrap/>
        <w:overflowPunct/>
        <w:topLinePunct w:val="0"/>
        <w:autoSpaceDE/>
        <w:autoSpaceDN/>
        <w:bidi w:val="0"/>
        <w:adjustRightInd w:val="0"/>
        <w:snapToGrid/>
        <w:spacing w:before="0" w:beforeAutospacing="0" w:after="0" w:afterAutospacing="0" w:line="400" w:lineRule="exact"/>
        <w:ind w:left="0" w:right="0" w:firstLine="480" w:firstLineChars="20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3、每月三次将不定期对作业人员和机械设备配备情况进行抽查，发现作业人员每少一人的，扣罚100元/人；发现保洁车每少一部每次扣罚100元/部；发现机械扫路车、洒水车每少一部，扣罚500元/部；每天二次日常巡查时发现作业人员脱岗离岗等不在岗情况的每人每次扣罚100元；发现配备保洁车明显摆设或未正常使用的，每部每次扣罚100元；机械扫路车、洒水车明显摆设或未正常使用的，每部每次扣罚500元。若日均投入人员数达不到核定人数的90%时除按人数扣款外，本月考评结果定为不合格。</w:t>
      </w:r>
    </w:p>
    <w:p>
      <w:pPr>
        <w:pStyle w:val="6"/>
        <w:keepNext w:val="0"/>
        <w:keepLines w:val="0"/>
        <w:pageBreakBefore w:val="0"/>
        <w:widowControl/>
        <w:suppressLineNumbers w:val="0"/>
        <w:shd w:val="clear"/>
        <w:kinsoku/>
        <w:wordWrap/>
        <w:overflowPunct/>
        <w:topLinePunct w:val="0"/>
        <w:autoSpaceDE/>
        <w:autoSpaceDN/>
        <w:bidi w:val="0"/>
        <w:adjustRightInd w:val="0"/>
        <w:snapToGrid/>
        <w:spacing w:before="0" w:beforeAutospacing="0" w:after="0" w:afterAutospacing="0" w:line="400" w:lineRule="exact"/>
        <w:ind w:left="0" w:right="0" w:firstLine="480" w:firstLineChars="20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4、保洁三轮车、机械式扫路车、垃圾收集清运车应保持外观整洁卫生；垃圾桶（屋）、果皮箱等环卫设施应及时清掏，保持周边的卫生整洁，每周一接受定期检查。发现保洁三轮车、机械式扫路车、垃圾收集清运车外观不整洁的每次每辆扣罚50元/次；发现垃圾桶（屋）、果皮箱等环卫设施未及时清理造成外观不整洁的每个扣20元/次。</w:t>
      </w:r>
    </w:p>
    <w:p>
      <w:pPr>
        <w:pStyle w:val="6"/>
        <w:keepNext w:val="0"/>
        <w:keepLines w:val="0"/>
        <w:pageBreakBefore w:val="0"/>
        <w:widowControl/>
        <w:suppressLineNumbers w:val="0"/>
        <w:shd w:val="clear"/>
        <w:kinsoku/>
        <w:wordWrap/>
        <w:overflowPunct/>
        <w:topLinePunct w:val="0"/>
        <w:autoSpaceDE/>
        <w:autoSpaceDN/>
        <w:bidi w:val="0"/>
        <w:adjustRightInd w:val="0"/>
        <w:snapToGrid/>
        <w:spacing w:before="0" w:beforeAutospacing="0" w:after="0" w:afterAutospacing="0" w:line="400" w:lineRule="exact"/>
        <w:ind w:left="0" w:right="0" w:firstLine="480" w:firstLineChars="20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5、垃圾收集清运，每天适时进行垃圾的收集，确保垃圾的及时收集清运至指定的垃圾压缩站，春夏季作业时间：4:30-21:30为分班保洁，并完成垃圾清运工作；秋冬季作业时间：5:00-22:00为分班保洁，并完成垃圾清运工作。如遇到重要活动或节假日时应增加收集次数。若发现未能按规定时间完成收集清运的每次扣罚100元。</w:t>
      </w:r>
    </w:p>
    <w:p>
      <w:pPr>
        <w:pStyle w:val="6"/>
        <w:keepNext w:val="0"/>
        <w:keepLines w:val="0"/>
        <w:pageBreakBefore w:val="0"/>
        <w:widowControl/>
        <w:suppressLineNumbers w:val="0"/>
        <w:shd w:val="clear"/>
        <w:kinsoku/>
        <w:wordWrap/>
        <w:overflowPunct/>
        <w:topLinePunct w:val="0"/>
        <w:autoSpaceDE/>
        <w:autoSpaceDN/>
        <w:bidi w:val="0"/>
        <w:adjustRightInd w:val="0"/>
        <w:snapToGrid/>
        <w:spacing w:before="0" w:beforeAutospacing="0" w:after="0" w:afterAutospacing="0" w:line="400" w:lineRule="exact"/>
        <w:ind w:left="0" w:right="0" w:firstLine="480" w:firstLineChars="20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6、郊尾镇各主次干道垃圾桶，必须做到每周清洗一次，发现损坏的要及时报告。发现垃圾桶、果皮箱未清洗和损坏未报告的，每处每次扣罚100元。</w:t>
      </w:r>
    </w:p>
    <w:p>
      <w:pPr>
        <w:pStyle w:val="6"/>
        <w:keepNext w:val="0"/>
        <w:keepLines w:val="0"/>
        <w:pageBreakBefore w:val="0"/>
        <w:widowControl/>
        <w:suppressLineNumbers w:val="0"/>
        <w:shd w:val="clear"/>
        <w:kinsoku/>
        <w:wordWrap/>
        <w:overflowPunct/>
        <w:topLinePunct w:val="0"/>
        <w:autoSpaceDE/>
        <w:autoSpaceDN/>
        <w:bidi w:val="0"/>
        <w:adjustRightInd w:val="0"/>
        <w:snapToGrid/>
        <w:spacing w:before="0" w:beforeAutospacing="0" w:after="0" w:afterAutospacing="0" w:line="400" w:lineRule="exact"/>
        <w:ind w:left="0" w:right="0" w:firstLine="480" w:firstLineChars="20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7、监督员由县（镇）人大代表、政协委员、村（居）主干、卫生协管员组成每月定期或不定期召开环境卫生工作会议，项目负责人或法人接到通知后必须准时参加，未能按时参加的每次扣罚300元。</w:t>
      </w:r>
    </w:p>
    <w:p>
      <w:pPr>
        <w:pStyle w:val="6"/>
        <w:keepNext w:val="0"/>
        <w:keepLines w:val="0"/>
        <w:pageBreakBefore w:val="0"/>
        <w:widowControl/>
        <w:suppressLineNumbers w:val="0"/>
        <w:shd w:val="clear"/>
        <w:kinsoku/>
        <w:wordWrap/>
        <w:overflowPunct/>
        <w:topLinePunct w:val="0"/>
        <w:autoSpaceDE/>
        <w:autoSpaceDN/>
        <w:bidi w:val="0"/>
        <w:adjustRightInd w:val="0"/>
        <w:snapToGrid/>
        <w:spacing w:before="0" w:beforeAutospacing="0" w:after="0" w:afterAutospacing="0" w:line="400" w:lineRule="exact"/>
        <w:ind w:left="0" w:right="0" w:firstLine="480" w:firstLineChars="20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8、所有垃圾转运到由采购人指定的地点。</w:t>
      </w:r>
    </w:p>
    <w:p>
      <w:pPr>
        <w:pStyle w:val="6"/>
        <w:keepNext w:val="0"/>
        <w:keepLines w:val="0"/>
        <w:pageBreakBefore w:val="0"/>
        <w:widowControl/>
        <w:suppressLineNumbers w:val="0"/>
        <w:shd w:val="clear"/>
        <w:kinsoku/>
        <w:wordWrap/>
        <w:overflowPunct/>
        <w:topLinePunct w:val="0"/>
        <w:autoSpaceDE/>
        <w:autoSpaceDN/>
        <w:bidi w:val="0"/>
        <w:adjustRightInd w:val="0"/>
        <w:snapToGrid/>
        <w:spacing w:before="0" w:beforeAutospacing="0" w:after="0" w:afterAutospacing="0" w:line="400" w:lineRule="exact"/>
        <w:ind w:left="0" w:right="0" w:firstLine="480" w:firstLineChars="20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9、采购人日常巡查发现中标单位保洁或管理不到位等情况，发出口头或书面整改通知书要求限时整改，如中标单位未能按时完成整改的每次扣罚500元。</w:t>
      </w:r>
    </w:p>
    <w:p>
      <w:pPr>
        <w:pStyle w:val="6"/>
        <w:keepNext w:val="0"/>
        <w:keepLines w:val="0"/>
        <w:pageBreakBefore w:val="0"/>
        <w:widowControl/>
        <w:suppressLineNumbers w:val="0"/>
        <w:shd w:val="clear"/>
        <w:kinsoku/>
        <w:wordWrap/>
        <w:overflowPunct/>
        <w:topLinePunct w:val="0"/>
        <w:autoSpaceDE/>
        <w:autoSpaceDN/>
        <w:bidi w:val="0"/>
        <w:adjustRightInd w:val="0"/>
        <w:snapToGrid/>
        <w:spacing w:before="0" w:beforeAutospacing="0" w:after="0" w:afterAutospacing="0" w:line="400" w:lineRule="exact"/>
        <w:ind w:left="0" w:right="0" w:firstLine="480" w:firstLineChars="20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10、受上级主管部门通报批评或新闻媒体曝光及市民举报的，经核实是中标单位责任的每次扣罚500元。</w:t>
      </w:r>
    </w:p>
    <w:p>
      <w:pPr>
        <w:pStyle w:val="6"/>
        <w:keepNext w:val="0"/>
        <w:keepLines w:val="0"/>
        <w:pageBreakBefore w:val="0"/>
        <w:widowControl/>
        <w:suppressLineNumbers w:val="0"/>
        <w:shd w:val="clear"/>
        <w:kinsoku/>
        <w:wordWrap/>
        <w:overflowPunct/>
        <w:topLinePunct w:val="0"/>
        <w:autoSpaceDE/>
        <w:autoSpaceDN/>
        <w:bidi w:val="0"/>
        <w:adjustRightInd w:val="0"/>
        <w:snapToGrid/>
        <w:spacing w:before="0" w:beforeAutospacing="0" w:after="0" w:afterAutospacing="0" w:line="400" w:lineRule="exact"/>
        <w:ind w:left="0" w:right="0" w:firstLine="480" w:firstLineChars="20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11、在承包期内中标单位连续2个月或累计3个月被</w:t>
      </w:r>
      <w:r>
        <w:rPr>
          <w:rFonts w:hint="eastAsia" w:ascii="宋体" w:hAnsi="宋体" w:cs="宋体"/>
          <w:i w:val="0"/>
          <w:iCs w:val="0"/>
          <w:caps w:val="0"/>
          <w:color w:val="auto"/>
          <w:spacing w:val="0"/>
          <w:sz w:val="24"/>
          <w:szCs w:val="24"/>
          <w:highlight w:val="none"/>
          <w:lang w:val="en-US" w:eastAsia="zh-CN"/>
        </w:rPr>
        <w:t>采购人</w:t>
      </w:r>
      <w:r>
        <w:rPr>
          <w:rFonts w:hint="eastAsia" w:ascii="宋体" w:hAnsi="宋体" w:eastAsia="宋体" w:cs="宋体"/>
          <w:i w:val="0"/>
          <w:iCs w:val="0"/>
          <w:caps w:val="0"/>
          <w:color w:val="auto"/>
          <w:spacing w:val="0"/>
          <w:sz w:val="24"/>
          <w:szCs w:val="24"/>
          <w:highlight w:val="none"/>
        </w:rPr>
        <w:t>评为不合格，以及在重大活动期间因清扫保洁不到位造成恶劣影响的，采购人有权取消其承包资格，解除合同并不予退还履约保证金，由此造成的损失由中标单位负责。</w:t>
      </w:r>
    </w:p>
    <w:p>
      <w:pPr>
        <w:pStyle w:val="6"/>
        <w:keepNext w:val="0"/>
        <w:keepLines w:val="0"/>
        <w:pageBreakBefore w:val="0"/>
        <w:widowControl/>
        <w:suppressLineNumbers w:val="0"/>
        <w:shd w:val="clear"/>
        <w:kinsoku/>
        <w:wordWrap/>
        <w:overflowPunct/>
        <w:topLinePunct w:val="0"/>
        <w:autoSpaceDE/>
        <w:autoSpaceDN/>
        <w:bidi w:val="0"/>
        <w:adjustRightInd w:val="0"/>
        <w:snapToGrid/>
        <w:spacing w:before="0" w:beforeAutospacing="0" w:after="0" w:afterAutospacing="0" w:line="400" w:lineRule="exact"/>
        <w:ind w:left="0" w:right="0" w:firstLine="480" w:firstLineChars="20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12、创建文明城市、园林城市、卫生城区、城市综合管理、美丽乡村等重要活动的考评，中标单位应确保检查过关。发现因中标单位清扫保洁未到位，影响考评检查，采购人有权按区城市综合管理考评方案和美丽乡村考评方案相关规定进行经济上处罚或解除合同并不予退还履约保证金。</w:t>
      </w:r>
    </w:p>
    <w:p>
      <w:pPr>
        <w:pStyle w:val="6"/>
        <w:keepNext w:val="0"/>
        <w:keepLines w:val="0"/>
        <w:pageBreakBefore w:val="0"/>
        <w:widowControl/>
        <w:suppressLineNumbers w:val="0"/>
        <w:shd w:val="clear"/>
        <w:kinsoku/>
        <w:wordWrap/>
        <w:overflowPunct/>
        <w:topLinePunct w:val="0"/>
        <w:autoSpaceDE/>
        <w:autoSpaceDN/>
        <w:bidi w:val="0"/>
        <w:adjustRightInd w:val="0"/>
        <w:snapToGrid/>
        <w:spacing w:before="0" w:beforeAutospacing="0" w:after="0" w:afterAutospacing="0" w:line="400" w:lineRule="exact"/>
        <w:ind w:left="0" w:right="0" w:firstLine="480" w:firstLineChars="20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13、采购人成立相应路段清扫保洁质量专职考核小组（监督员由县（镇）人大代表、政协委员、村（居）主干、卫生协管员组成），实行定期与不定期、明查与暗访相结合，每月公布考评情况。考评结果作为向中标单位拨付承包经费和进行奖励的主要依据。</w:t>
      </w:r>
    </w:p>
    <w:p>
      <w:pPr>
        <w:pStyle w:val="6"/>
        <w:keepNext w:val="0"/>
        <w:keepLines w:val="0"/>
        <w:pageBreakBefore w:val="0"/>
        <w:widowControl/>
        <w:suppressLineNumbers w:val="0"/>
        <w:shd w:val="clear"/>
        <w:kinsoku/>
        <w:wordWrap/>
        <w:overflowPunct/>
        <w:topLinePunct w:val="0"/>
        <w:autoSpaceDE/>
        <w:autoSpaceDN/>
        <w:bidi w:val="0"/>
        <w:adjustRightInd w:val="0"/>
        <w:snapToGrid/>
        <w:spacing w:before="0" w:beforeAutospacing="0" w:after="0" w:afterAutospacing="0" w:line="400" w:lineRule="exact"/>
        <w:ind w:left="0" w:right="0" w:firstLine="480" w:firstLineChars="20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14、每月考评暗访发现一处扣款人民币300元，暗访日未发现问题的给予奖励1000元（含县级考评）；共建美丽乡村考评中：县每季度评比时，奖惩按县里兑现相应减半，对排名前五名分别奖励10万元、8万元、6万元、4万元、2万元，对排名后五名分别处罚7.5万元、6万元、4.5万元、3万元、1.5万元。季度考评名次连续2次最后三名的扣年中标金额的5%，连续3次最后三名的扣年中标金额的10%。（注：奖惩依据仙游县共建美丽乡村工作考评办法中金额相应减半；县级兑现奖惩时，镇级兑现相应奖惩。）</w:t>
      </w:r>
    </w:p>
    <w:p>
      <w:pPr>
        <w:pStyle w:val="10"/>
        <w:keepNext w:val="0"/>
        <w:keepLines w:val="0"/>
        <w:pageBreakBefore w:val="0"/>
        <w:shd w:val="clear"/>
        <w:kinsoku/>
        <w:wordWrap/>
        <w:overflowPunct/>
        <w:topLinePunct w:val="0"/>
        <w:autoSpaceDE/>
        <w:autoSpaceDN/>
        <w:bidi w:val="0"/>
        <w:snapToGrid/>
        <w:spacing w:line="400" w:lineRule="exact"/>
        <w:ind w:firstLine="480"/>
        <w:jc w:val="left"/>
        <w:rPr>
          <w:rFonts w:hint="eastAsia" w:ascii="宋体" w:hAnsi="宋体" w:eastAsia="宋体" w:cs="宋体"/>
          <w:b w:val="0"/>
          <w:bCs/>
          <w:color w:val="auto"/>
          <w:sz w:val="24"/>
          <w:szCs w:val="24"/>
          <w:highlight w:val="none"/>
          <w:lang w:eastAsia="zh-CN"/>
        </w:rPr>
      </w:pPr>
      <w:r>
        <w:rPr>
          <w:rFonts w:hint="eastAsia" w:ascii="宋体" w:hAnsi="宋体" w:eastAsia="宋体" w:cs="宋体"/>
          <w:i w:val="0"/>
          <w:iCs w:val="0"/>
          <w:caps w:val="0"/>
          <w:color w:val="auto"/>
          <w:spacing w:val="0"/>
          <w:sz w:val="24"/>
          <w:szCs w:val="24"/>
          <w:highlight w:val="none"/>
        </w:rPr>
        <w:t>15、在接到督查人员发现问题的通知后，中标单位未在规定时间内到达现场或未处理的，年累计达10次以上的；中标单位及下属人员进行罢工，造成辖区卫生脏乱差情况的等。中标单位有以上现象之一的，由采购人报县环卫处提请市环卫协会列入“黑名单”并禁止在本县范围内参与环卫项目经营活动，直至由采购人解除合同并不予退还履约保证金</w:t>
      </w:r>
      <w:r>
        <w:rPr>
          <w:rFonts w:hint="eastAsia" w:ascii="宋体" w:hAnsi="宋体" w:eastAsia="宋体" w:cs="宋体"/>
          <w:i w:val="0"/>
          <w:iCs w:val="0"/>
          <w:caps w:val="0"/>
          <w:color w:val="auto"/>
          <w:spacing w:val="0"/>
          <w:sz w:val="24"/>
          <w:szCs w:val="24"/>
          <w:highlight w:val="none"/>
          <w:lang w:eastAsia="zh-CN"/>
        </w:rPr>
        <w:t>。</w:t>
      </w:r>
    </w:p>
    <w:p>
      <w:pPr>
        <w:pStyle w:val="10"/>
        <w:keepNext w:val="0"/>
        <w:keepLines w:val="0"/>
        <w:pageBreakBefore w:val="0"/>
        <w:shd w:val="clear"/>
        <w:kinsoku/>
        <w:wordWrap/>
        <w:overflowPunct/>
        <w:topLinePunct w:val="0"/>
        <w:autoSpaceDE/>
        <w:autoSpaceDN/>
        <w:bidi w:val="0"/>
        <w:snapToGrid/>
        <w:spacing w:line="400" w:lineRule="exact"/>
        <w:jc w:val="both"/>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三、商务要求（以“★”标示的内容为不允许负偏离的实质性要求）</w:t>
      </w:r>
    </w:p>
    <w:p>
      <w:pPr>
        <w:pStyle w:val="10"/>
        <w:keepNext w:val="0"/>
        <w:keepLines w:val="0"/>
        <w:pageBreakBefore w:val="0"/>
        <w:shd w:val="clear"/>
        <w:kinsoku/>
        <w:wordWrap/>
        <w:overflowPunct/>
        <w:topLinePunct w:val="0"/>
        <w:autoSpaceDE/>
        <w:autoSpaceDN/>
        <w:bidi w:val="0"/>
        <w:snapToGrid/>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采购包1：</w:t>
      </w:r>
    </w:p>
    <w:tbl>
      <w:tblPr>
        <w:tblStyle w:val="7"/>
        <w:tblW w:w="5000"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89"/>
        <w:gridCol w:w="1354"/>
        <w:gridCol w:w="1321"/>
        <w:gridCol w:w="627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84" w:hRule="atLeast"/>
        </w:trPr>
        <w:tc>
          <w:tcPr>
            <w:tcW w:w="405" w:type="pct"/>
            <w:vAlign w:val="center"/>
          </w:tcPr>
          <w:p>
            <w:pPr>
              <w:keepNext w:val="0"/>
              <w:keepLines w:val="0"/>
              <w:pageBreakBefore w:val="0"/>
              <w:shd w:val="clear"/>
              <w:kinsoku/>
              <w:wordWrap/>
              <w:overflowPunct/>
              <w:topLinePunct w:val="0"/>
              <w:autoSpaceDE/>
              <w:autoSpaceDN/>
              <w:bidi w:val="0"/>
              <w:snapToGrid/>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695" w:type="pct"/>
            <w:vAlign w:val="center"/>
          </w:tcPr>
          <w:p>
            <w:pPr>
              <w:keepNext w:val="0"/>
              <w:keepLines w:val="0"/>
              <w:pageBreakBefore w:val="0"/>
              <w:shd w:val="clear"/>
              <w:kinsoku/>
              <w:wordWrap/>
              <w:overflowPunct/>
              <w:topLinePunct w:val="0"/>
              <w:autoSpaceDE/>
              <w:autoSpaceDN/>
              <w:bidi w:val="0"/>
              <w:snapToGrid/>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参数性质</w:t>
            </w:r>
          </w:p>
        </w:tc>
        <w:tc>
          <w:tcPr>
            <w:tcW w:w="678" w:type="pct"/>
            <w:vAlign w:val="center"/>
          </w:tcPr>
          <w:p>
            <w:pPr>
              <w:keepNext w:val="0"/>
              <w:keepLines w:val="0"/>
              <w:pageBreakBefore w:val="0"/>
              <w:shd w:val="clear"/>
              <w:kinsoku/>
              <w:wordWrap/>
              <w:overflowPunct/>
              <w:topLinePunct w:val="0"/>
              <w:autoSpaceDE/>
              <w:autoSpaceDN/>
              <w:bidi w:val="0"/>
              <w:snapToGrid/>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类型</w:t>
            </w:r>
          </w:p>
        </w:tc>
        <w:tc>
          <w:tcPr>
            <w:tcW w:w="3220" w:type="pct"/>
            <w:vAlign w:val="center"/>
          </w:tcPr>
          <w:p>
            <w:pPr>
              <w:keepNext w:val="0"/>
              <w:keepLines w:val="0"/>
              <w:pageBreakBefore w:val="0"/>
              <w:shd w:val="clear"/>
              <w:kinsoku/>
              <w:wordWrap/>
              <w:overflowPunct/>
              <w:topLinePunct w:val="0"/>
              <w:autoSpaceDE/>
              <w:autoSpaceDN/>
              <w:bidi w:val="0"/>
              <w:snapToGrid/>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05" w:type="pct"/>
            <w:vAlign w:val="center"/>
          </w:tcPr>
          <w:p>
            <w:pPr>
              <w:keepNext w:val="0"/>
              <w:keepLines w:val="0"/>
              <w:pageBreakBefore w:val="0"/>
              <w:shd w:val="clear"/>
              <w:kinsoku/>
              <w:wordWrap/>
              <w:overflowPunct/>
              <w:topLinePunct w:val="0"/>
              <w:autoSpaceDE/>
              <w:autoSpaceDN/>
              <w:bidi w:val="0"/>
              <w:snapToGrid/>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695" w:type="pct"/>
            <w:vAlign w:val="center"/>
          </w:tcPr>
          <w:p>
            <w:pPr>
              <w:keepNext w:val="0"/>
              <w:keepLines w:val="0"/>
              <w:pageBreakBefore w:val="0"/>
              <w:shd w:val="clear"/>
              <w:kinsoku/>
              <w:wordWrap/>
              <w:overflowPunct/>
              <w:topLinePunct w:val="0"/>
              <w:autoSpaceDE/>
              <w:autoSpaceDN/>
              <w:bidi w:val="0"/>
              <w:snapToGrid/>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678" w:type="pct"/>
            <w:vAlign w:val="center"/>
          </w:tcPr>
          <w:p>
            <w:pPr>
              <w:keepNext w:val="0"/>
              <w:keepLines w:val="0"/>
              <w:pageBreakBefore w:val="0"/>
              <w:shd w:val="clear"/>
              <w:kinsoku/>
              <w:wordWrap/>
              <w:overflowPunct/>
              <w:topLinePunct w:val="0"/>
              <w:autoSpaceDE/>
              <w:autoSpaceDN/>
              <w:bidi w:val="0"/>
              <w:snapToGrid/>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交货地点</w:t>
            </w:r>
          </w:p>
        </w:tc>
        <w:tc>
          <w:tcPr>
            <w:tcW w:w="3220" w:type="pct"/>
            <w:vAlign w:val="center"/>
          </w:tcPr>
          <w:p>
            <w:pPr>
              <w:keepNext w:val="0"/>
              <w:keepLines w:val="0"/>
              <w:pageBreakBefore w:val="0"/>
              <w:shd w:val="clear"/>
              <w:kinsoku/>
              <w:wordWrap/>
              <w:overflowPunct/>
              <w:topLinePunct w:val="0"/>
              <w:autoSpaceDE/>
              <w:autoSpaceDN/>
              <w:bidi w:val="0"/>
              <w:snapToGrid/>
              <w:spacing w:line="40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仙游县郊尾镇人民政府采购人指定地点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05" w:type="pct"/>
            <w:vAlign w:val="center"/>
          </w:tcPr>
          <w:p>
            <w:pPr>
              <w:keepNext w:val="0"/>
              <w:keepLines w:val="0"/>
              <w:pageBreakBefore w:val="0"/>
              <w:shd w:val="clear"/>
              <w:kinsoku/>
              <w:wordWrap/>
              <w:overflowPunct/>
              <w:topLinePunct w:val="0"/>
              <w:autoSpaceDE/>
              <w:autoSpaceDN/>
              <w:bidi w:val="0"/>
              <w:snapToGrid/>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695" w:type="pct"/>
            <w:vAlign w:val="center"/>
          </w:tcPr>
          <w:p>
            <w:pPr>
              <w:keepNext w:val="0"/>
              <w:keepLines w:val="0"/>
              <w:pageBreakBefore w:val="0"/>
              <w:shd w:val="clear"/>
              <w:kinsoku/>
              <w:wordWrap/>
              <w:overflowPunct/>
              <w:topLinePunct w:val="0"/>
              <w:autoSpaceDE/>
              <w:autoSpaceDN/>
              <w:bidi w:val="0"/>
              <w:snapToGrid/>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678" w:type="pct"/>
            <w:vAlign w:val="center"/>
          </w:tcPr>
          <w:p>
            <w:pPr>
              <w:keepNext w:val="0"/>
              <w:keepLines w:val="0"/>
              <w:pageBreakBefore w:val="0"/>
              <w:shd w:val="clear"/>
              <w:kinsoku/>
              <w:wordWrap/>
              <w:overflowPunct/>
              <w:topLinePunct w:val="0"/>
              <w:autoSpaceDE/>
              <w:autoSpaceDN/>
              <w:bidi w:val="0"/>
              <w:snapToGrid/>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交货时间</w:t>
            </w:r>
          </w:p>
        </w:tc>
        <w:tc>
          <w:tcPr>
            <w:tcW w:w="3220" w:type="pct"/>
            <w:vAlign w:val="center"/>
          </w:tcPr>
          <w:p>
            <w:pPr>
              <w:keepNext w:val="0"/>
              <w:keepLines w:val="0"/>
              <w:pageBreakBefore w:val="0"/>
              <w:shd w:val="clear"/>
              <w:kinsoku/>
              <w:wordWrap/>
              <w:overflowPunct/>
              <w:topLinePunct w:val="0"/>
              <w:autoSpaceDE/>
              <w:autoSpaceDN/>
              <w:bidi w:val="0"/>
              <w:snapToGrid/>
              <w:spacing w:line="40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合同签订后 (10) </w:t>
            </w:r>
            <w:r>
              <w:rPr>
                <w:rFonts w:hint="eastAsia" w:ascii="宋体" w:hAnsi="宋体" w:eastAsia="宋体" w:cs="宋体"/>
                <w:color w:val="auto"/>
                <w:sz w:val="24"/>
                <w:szCs w:val="24"/>
                <w:highlight w:val="none"/>
                <w:lang w:eastAsia="zh-CN"/>
              </w:rPr>
              <w:t>日</w:t>
            </w:r>
            <w:r>
              <w:rPr>
                <w:rFonts w:hint="eastAsia" w:ascii="宋体" w:hAnsi="宋体" w:eastAsia="宋体" w:cs="宋体"/>
                <w:color w:val="auto"/>
                <w:sz w:val="24"/>
                <w:szCs w:val="24"/>
                <w:highlight w:val="none"/>
              </w:rPr>
              <w:t>内交货</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05" w:type="pct"/>
            <w:vAlign w:val="center"/>
          </w:tcPr>
          <w:p>
            <w:pPr>
              <w:keepNext w:val="0"/>
              <w:keepLines w:val="0"/>
              <w:pageBreakBefore w:val="0"/>
              <w:shd w:val="clear"/>
              <w:kinsoku/>
              <w:wordWrap/>
              <w:overflowPunct/>
              <w:topLinePunct w:val="0"/>
              <w:autoSpaceDE/>
              <w:autoSpaceDN/>
              <w:bidi w:val="0"/>
              <w:snapToGrid/>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695" w:type="pct"/>
            <w:vAlign w:val="center"/>
          </w:tcPr>
          <w:p>
            <w:pPr>
              <w:keepNext w:val="0"/>
              <w:keepLines w:val="0"/>
              <w:pageBreakBefore w:val="0"/>
              <w:shd w:val="clear"/>
              <w:kinsoku/>
              <w:wordWrap/>
              <w:overflowPunct/>
              <w:topLinePunct w:val="0"/>
              <w:autoSpaceDE/>
              <w:autoSpaceDN/>
              <w:bidi w:val="0"/>
              <w:snapToGrid/>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678" w:type="pct"/>
            <w:vAlign w:val="center"/>
          </w:tcPr>
          <w:p>
            <w:pPr>
              <w:keepNext w:val="0"/>
              <w:keepLines w:val="0"/>
              <w:pageBreakBefore w:val="0"/>
              <w:shd w:val="clear"/>
              <w:kinsoku/>
              <w:wordWrap/>
              <w:overflowPunct/>
              <w:topLinePunct w:val="0"/>
              <w:autoSpaceDE/>
              <w:autoSpaceDN/>
              <w:bidi w:val="0"/>
              <w:snapToGrid/>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交货条件</w:t>
            </w:r>
          </w:p>
        </w:tc>
        <w:tc>
          <w:tcPr>
            <w:tcW w:w="3220" w:type="pct"/>
            <w:vAlign w:val="center"/>
          </w:tcPr>
          <w:p>
            <w:pPr>
              <w:keepNext w:val="0"/>
              <w:keepLines w:val="0"/>
              <w:pageBreakBefore w:val="0"/>
              <w:shd w:val="clear"/>
              <w:kinsoku/>
              <w:wordWrap/>
              <w:overflowPunct/>
              <w:topLinePunct w:val="0"/>
              <w:autoSpaceDE/>
              <w:autoSpaceDN/>
              <w:bidi w:val="0"/>
              <w:snapToGrid/>
              <w:spacing w:line="40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按招标文件及合同要求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05" w:type="pct"/>
            <w:vAlign w:val="center"/>
          </w:tcPr>
          <w:p>
            <w:pPr>
              <w:keepNext w:val="0"/>
              <w:keepLines w:val="0"/>
              <w:pageBreakBefore w:val="0"/>
              <w:shd w:val="clear"/>
              <w:kinsoku/>
              <w:wordWrap/>
              <w:overflowPunct/>
              <w:topLinePunct w:val="0"/>
              <w:autoSpaceDE/>
              <w:autoSpaceDN/>
              <w:bidi w:val="0"/>
              <w:snapToGrid/>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695" w:type="pct"/>
            <w:vAlign w:val="center"/>
          </w:tcPr>
          <w:p>
            <w:pPr>
              <w:keepNext w:val="0"/>
              <w:keepLines w:val="0"/>
              <w:pageBreakBefore w:val="0"/>
              <w:shd w:val="clear"/>
              <w:kinsoku/>
              <w:wordWrap/>
              <w:overflowPunct/>
              <w:topLinePunct w:val="0"/>
              <w:autoSpaceDE/>
              <w:autoSpaceDN/>
              <w:bidi w:val="0"/>
              <w:snapToGrid/>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678" w:type="pct"/>
            <w:vAlign w:val="center"/>
          </w:tcPr>
          <w:p>
            <w:pPr>
              <w:keepNext w:val="0"/>
              <w:keepLines w:val="0"/>
              <w:pageBreakBefore w:val="0"/>
              <w:shd w:val="clear"/>
              <w:kinsoku/>
              <w:wordWrap/>
              <w:overflowPunct/>
              <w:topLinePunct w:val="0"/>
              <w:autoSpaceDE/>
              <w:autoSpaceDN/>
              <w:bidi w:val="0"/>
              <w:snapToGrid/>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是否邀请投标人验收</w:t>
            </w:r>
          </w:p>
        </w:tc>
        <w:tc>
          <w:tcPr>
            <w:tcW w:w="3220" w:type="pct"/>
            <w:vAlign w:val="center"/>
          </w:tcPr>
          <w:p>
            <w:pPr>
              <w:keepNext w:val="0"/>
              <w:keepLines w:val="0"/>
              <w:pageBreakBefore w:val="0"/>
              <w:shd w:val="clear"/>
              <w:kinsoku/>
              <w:wordWrap/>
              <w:overflowPunct/>
              <w:topLinePunct w:val="0"/>
              <w:autoSpaceDE/>
              <w:autoSpaceDN/>
              <w:bidi w:val="0"/>
              <w:snapToGrid/>
              <w:spacing w:line="40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不邀请投标人验收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05" w:type="pct"/>
            <w:vAlign w:val="center"/>
          </w:tcPr>
          <w:p>
            <w:pPr>
              <w:keepNext w:val="0"/>
              <w:keepLines w:val="0"/>
              <w:pageBreakBefore w:val="0"/>
              <w:shd w:val="clear"/>
              <w:kinsoku/>
              <w:wordWrap/>
              <w:overflowPunct/>
              <w:topLinePunct w:val="0"/>
              <w:autoSpaceDE/>
              <w:autoSpaceDN/>
              <w:bidi w:val="0"/>
              <w:snapToGrid/>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695" w:type="pct"/>
            <w:vAlign w:val="center"/>
          </w:tcPr>
          <w:p>
            <w:pPr>
              <w:keepNext w:val="0"/>
              <w:keepLines w:val="0"/>
              <w:pageBreakBefore w:val="0"/>
              <w:shd w:val="clear"/>
              <w:kinsoku/>
              <w:wordWrap/>
              <w:overflowPunct/>
              <w:topLinePunct w:val="0"/>
              <w:autoSpaceDE/>
              <w:autoSpaceDN/>
              <w:bidi w:val="0"/>
              <w:snapToGrid/>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678" w:type="pct"/>
            <w:vAlign w:val="center"/>
          </w:tcPr>
          <w:p>
            <w:pPr>
              <w:keepNext w:val="0"/>
              <w:keepLines w:val="0"/>
              <w:pageBreakBefore w:val="0"/>
              <w:shd w:val="clear"/>
              <w:kinsoku/>
              <w:wordWrap/>
              <w:overflowPunct/>
              <w:topLinePunct w:val="0"/>
              <w:autoSpaceDE/>
              <w:autoSpaceDN/>
              <w:bidi w:val="0"/>
              <w:snapToGrid/>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履约验收方式</w:t>
            </w:r>
          </w:p>
        </w:tc>
        <w:tc>
          <w:tcPr>
            <w:tcW w:w="3220" w:type="pct"/>
            <w:vAlign w:val="center"/>
          </w:tcPr>
          <w:p>
            <w:pPr>
              <w:pStyle w:val="10"/>
              <w:keepNext w:val="0"/>
              <w:keepLines w:val="0"/>
              <w:pageBreakBefore w:val="0"/>
              <w:shd w:val="clear"/>
              <w:kinsoku/>
              <w:wordWrap/>
              <w:overflowPunct/>
              <w:topLinePunct w:val="0"/>
              <w:autoSpaceDE/>
              <w:autoSpaceDN/>
              <w:bidi w:val="0"/>
              <w:snapToGrid/>
              <w:spacing w:line="400" w:lineRule="exact"/>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kern w:val="2"/>
                <w:sz w:val="24"/>
                <w:szCs w:val="24"/>
                <w:highlight w:val="none"/>
                <w:lang w:val="en-US" w:eastAsia="zh-CN" w:bidi="ar-SA"/>
              </w:rPr>
              <w:t>、合同签订前，中标单位须向采购人交纳履约保证金，履约保证金为一年中标价的5%，中标人须以支票、汇票、本票或者金融机构、担保机构出具的保函等非现金形式向采购人支付履约保证金。履约保证金在承包合同期满后1个月内无息退还。</w:t>
            </w:r>
          </w:p>
          <w:p>
            <w:pPr>
              <w:pStyle w:val="10"/>
              <w:keepNext w:val="0"/>
              <w:keepLines w:val="0"/>
              <w:pageBreakBefore w:val="0"/>
              <w:shd w:val="clear"/>
              <w:kinsoku/>
              <w:wordWrap/>
              <w:overflowPunct/>
              <w:topLinePunct w:val="0"/>
              <w:autoSpaceDE/>
              <w:autoSpaceDN/>
              <w:bidi w:val="0"/>
              <w:snapToGrid/>
              <w:spacing w:line="400" w:lineRule="exact"/>
              <w:jc w:val="both"/>
              <w:rPr>
                <w:rFonts w:hint="default"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、期次</w:t>
            </w:r>
            <w:r>
              <w:rPr>
                <w:rFonts w:hint="eastAsia" w:ascii="宋体" w:hAnsi="宋体" w:eastAsia="宋体" w:cs="宋体"/>
                <w:color w:val="auto"/>
                <w:sz w:val="24"/>
                <w:szCs w:val="24"/>
                <w:highlight w:val="none"/>
                <w:lang w:val="en-US" w:eastAsia="zh-CN"/>
              </w:rPr>
              <w:t>36</w:t>
            </w:r>
            <w:r>
              <w:rPr>
                <w:rFonts w:hint="eastAsia" w:ascii="宋体" w:hAnsi="宋体" w:eastAsia="宋体" w:cs="宋体"/>
                <w:color w:val="auto"/>
                <w:sz w:val="24"/>
                <w:szCs w:val="24"/>
                <w:highlight w:val="none"/>
              </w:rPr>
              <w:t>，说明：</w:t>
            </w:r>
            <w:r>
              <w:rPr>
                <w:rFonts w:hint="eastAsia" w:ascii="宋体" w:hAnsi="宋体" w:eastAsia="宋体" w:cs="宋体"/>
                <w:i w:val="0"/>
                <w:iCs w:val="0"/>
                <w:caps w:val="0"/>
                <w:color w:val="auto"/>
                <w:spacing w:val="0"/>
                <w:kern w:val="0"/>
                <w:sz w:val="24"/>
                <w:szCs w:val="24"/>
                <w:highlight w:val="none"/>
                <w:lang w:val="en-US" w:eastAsia="zh-CN" w:bidi="ar"/>
              </w:rPr>
              <w:t>按每个月考核进行验收，符合验收标准（每年验收12次，共计3年）。</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05" w:type="pct"/>
            <w:vAlign w:val="center"/>
          </w:tcPr>
          <w:p>
            <w:pPr>
              <w:keepNext w:val="0"/>
              <w:keepLines w:val="0"/>
              <w:pageBreakBefore w:val="0"/>
              <w:shd w:val="clear"/>
              <w:kinsoku/>
              <w:wordWrap/>
              <w:overflowPunct/>
              <w:topLinePunct w:val="0"/>
              <w:autoSpaceDE/>
              <w:autoSpaceDN/>
              <w:bidi w:val="0"/>
              <w:snapToGrid/>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695" w:type="pct"/>
            <w:vAlign w:val="center"/>
          </w:tcPr>
          <w:p>
            <w:pPr>
              <w:keepNext w:val="0"/>
              <w:keepLines w:val="0"/>
              <w:pageBreakBefore w:val="0"/>
              <w:shd w:val="clear"/>
              <w:kinsoku/>
              <w:wordWrap/>
              <w:overflowPunct/>
              <w:topLinePunct w:val="0"/>
              <w:autoSpaceDE/>
              <w:autoSpaceDN/>
              <w:bidi w:val="0"/>
              <w:snapToGrid/>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678" w:type="pct"/>
            <w:vAlign w:val="center"/>
          </w:tcPr>
          <w:p>
            <w:pPr>
              <w:keepNext w:val="0"/>
              <w:keepLines w:val="0"/>
              <w:pageBreakBefore w:val="0"/>
              <w:shd w:val="clear"/>
              <w:kinsoku/>
              <w:wordWrap/>
              <w:overflowPunct/>
              <w:topLinePunct w:val="0"/>
              <w:autoSpaceDE/>
              <w:autoSpaceDN/>
              <w:bidi w:val="0"/>
              <w:snapToGrid/>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合同支付方式</w:t>
            </w:r>
          </w:p>
        </w:tc>
        <w:tc>
          <w:tcPr>
            <w:tcW w:w="3220" w:type="pct"/>
            <w:vAlign w:val="center"/>
          </w:tcPr>
          <w:p>
            <w:pPr>
              <w:pStyle w:val="10"/>
              <w:keepNext w:val="0"/>
              <w:keepLines w:val="0"/>
              <w:pageBreakBefore w:val="0"/>
              <w:shd w:val="clear"/>
              <w:kinsoku/>
              <w:wordWrap/>
              <w:overflowPunct/>
              <w:topLinePunct w:val="0"/>
              <w:autoSpaceDE/>
              <w:autoSpaceDN/>
              <w:bidi w:val="0"/>
              <w:snapToGrid/>
              <w:spacing w:line="400" w:lineRule="exact"/>
              <w:jc w:val="both"/>
              <w:rPr>
                <w:rFonts w:hint="default" w:ascii="宋体" w:hAnsi="宋体" w:eastAsia="宋体" w:cs="宋体"/>
                <w:color w:val="auto"/>
                <w:sz w:val="24"/>
                <w:szCs w:val="24"/>
                <w:highlight w:val="none"/>
                <w:lang w:val="en-US"/>
              </w:rPr>
            </w:pPr>
            <w:r>
              <w:rPr>
                <w:rFonts w:hint="eastAsia" w:ascii="宋体" w:hAnsi="宋体" w:eastAsia="宋体" w:cs="宋体"/>
                <w:color w:val="auto"/>
                <w:kern w:val="0"/>
                <w:sz w:val="24"/>
                <w:szCs w:val="24"/>
                <w:highlight w:val="none"/>
                <w:lang w:val="en-US" w:eastAsia="zh-CN" w:bidi="ar"/>
              </w:rPr>
              <w:t>实行绩效考核制进行付款：根据考核情况，按照不同等级进行付款，采购人在次月二十号(遇法定公休节假日顺延)前以转帐方式按月结算支付前一个月作业经费(经考核扣除相应环卫保洁经费后的剩余经费)。 (2)、承包经费采取包干制，包干内容包括机械设备投入费、员工工资、相关保险经费、员工的各种补贴、垃圾中转站中涉及的所有费用【包含设备维修和运营、垃圾收集清运（至县垃圾处理场）】、工具材料费、服装费、设备维修折旧费、机械化补助、税费、管理费、政策性事件规定以及合理利润等；支付比例按年中标金额的百分比计算。每年前10个月每个月支付年合同金额的8%，后面两个月支付年合同金额的10%。</w:t>
            </w:r>
          </w:p>
        </w:tc>
      </w:tr>
    </w:tbl>
    <w:p>
      <w:pPr>
        <w:pStyle w:val="10"/>
        <w:keepNext w:val="0"/>
        <w:keepLines w:val="0"/>
        <w:pageBreakBefore w:val="0"/>
        <w:shd w:val="clear"/>
        <w:kinsoku/>
        <w:wordWrap/>
        <w:overflowPunct/>
        <w:topLinePunct w:val="0"/>
        <w:autoSpaceDE/>
        <w:autoSpaceDN/>
        <w:bidi w:val="0"/>
        <w:snapToGrid/>
        <w:spacing w:line="400" w:lineRule="exact"/>
        <w:jc w:val="left"/>
        <w:rPr>
          <w:rFonts w:hint="eastAsia" w:ascii="宋体" w:hAnsi="宋体" w:eastAsia="宋体" w:cs="宋体"/>
          <w:b/>
          <w:color w:val="auto"/>
          <w:sz w:val="24"/>
          <w:szCs w:val="24"/>
          <w:highlight w:val="none"/>
        </w:rPr>
      </w:pPr>
    </w:p>
    <w:p>
      <w:pPr>
        <w:pStyle w:val="10"/>
        <w:keepNext w:val="0"/>
        <w:keepLines w:val="0"/>
        <w:pageBreakBefore w:val="0"/>
        <w:shd w:val="clear"/>
        <w:kinsoku/>
        <w:wordWrap/>
        <w:overflowPunct/>
        <w:topLinePunct w:val="0"/>
        <w:autoSpaceDE/>
        <w:autoSpaceDN/>
        <w:bidi w:val="0"/>
        <w:snapToGrid/>
        <w:spacing w:line="400" w:lineRule="exact"/>
        <w:jc w:val="left"/>
        <w:rPr>
          <w:rFonts w:hint="eastAsia" w:ascii="宋体" w:hAnsi="宋体" w:eastAsia="宋体" w:cs="宋体"/>
          <w:b/>
          <w:bCs/>
          <w:color w:val="auto"/>
          <w:sz w:val="24"/>
          <w:szCs w:val="24"/>
          <w:highlight w:val="none"/>
          <w:lang w:eastAsia="zh-CN"/>
        </w:rPr>
      </w:pPr>
      <w:r>
        <w:rPr>
          <w:rFonts w:hint="eastAsia" w:ascii="宋体" w:hAnsi="宋体" w:eastAsia="宋体" w:cs="宋体"/>
          <w:b/>
          <w:color w:val="auto"/>
          <w:sz w:val="24"/>
          <w:szCs w:val="24"/>
          <w:highlight w:val="none"/>
        </w:rPr>
        <w:t>其他商务要求</w:t>
      </w:r>
      <w:r>
        <w:rPr>
          <w:rFonts w:hint="eastAsia" w:ascii="宋体" w:hAnsi="宋体" w:eastAsia="宋体" w:cs="宋体"/>
          <w:b/>
          <w:color w:val="auto"/>
          <w:sz w:val="24"/>
          <w:szCs w:val="24"/>
          <w:highlight w:val="none"/>
          <w:lang w:eastAsia="zh-CN"/>
        </w:rPr>
        <w:t>：</w:t>
      </w:r>
    </w:p>
    <w:p>
      <w:pPr>
        <w:pStyle w:val="10"/>
        <w:keepNext w:val="0"/>
        <w:keepLines w:val="0"/>
        <w:pageBreakBefore w:val="0"/>
        <w:shd w:val="clear"/>
        <w:kinsoku/>
        <w:wordWrap/>
        <w:overflowPunct/>
        <w:topLinePunct w:val="0"/>
        <w:autoSpaceDE/>
        <w:autoSpaceDN/>
        <w:bidi w:val="0"/>
        <w:snapToGrid/>
        <w:spacing w:line="400" w:lineRule="exact"/>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7</w:t>
      </w:r>
      <w:r>
        <w:rPr>
          <w:rFonts w:hint="eastAsia" w:ascii="宋体" w:hAnsi="宋体" w:eastAsia="宋体" w:cs="宋体"/>
          <w:b/>
          <w:bCs/>
          <w:color w:val="auto"/>
          <w:sz w:val="24"/>
          <w:szCs w:val="24"/>
          <w:highlight w:val="none"/>
        </w:rPr>
        <w:t>、违约责任</w:t>
      </w:r>
    </w:p>
    <w:p>
      <w:pPr>
        <w:pStyle w:val="6"/>
        <w:keepNext w:val="0"/>
        <w:keepLines w:val="0"/>
        <w:pageBreakBefore w:val="0"/>
        <w:widowControl/>
        <w:suppressLineNumbers w:val="0"/>
        <w:shd w:val="clear"/>
        <w:kinsoku/>
        <w:wordWrap/>
        <w:overflowPunct/>
        <w:topLinePunct w:val="0"/>
        <w:autoSpaceDE/>
        <w:autoSpaceDN/>
        <w:bidi w:val="0"/>
        <w:snapToGrid/>
        <w:spacing w:before="0" w:beforeAutospacing="0" w:after="0" w:afterAutospacing="0" w:line="400" w:lineRule="exact"/>
        <w:ind w:left="0" w:right="0" w:firstLine="480"/>
        <w:rPr>
          <w:color w:val="auto"/>
          <w:highlight w:val="none"/>
        </w:rPr>
      </w:pPr>
      <w:r>
        <w:rPr>
          <w:rFonts w:hint="eastAsia" w:ascii="宋体" w:hAnsi="宋体" w:eastAsia="宋体" w:cs="宋体"/>
          <w:color w:val="auto"/>
          <w:sz w:val="24"/>
          <w:szCs w:val="24"/>
          <w:highlight w:val="none"/>
        </w:rPr>
        <w:t>（1）因投标人原因造成采购合同无法按时签订的，采购人将取消其中标资格并报行政主管部门进行处罚。</w:t>
      </w:r>
    </w:p>
    <w:p>
      <w:pPr>
        <w:pStyle w:val="6"/>
        <w:keepNext w:val="0"/>
        <w:keepLines w:val="0"/>
        <w:pageBreakBefore w:val="0"/>
        <w:widowControl/>
        <w:suppressLineNumbers w:val="0"/>
        <w:shd w:val="clear"/>
        <w:kinsoku/>
        <w:wordWrap/>
        <w:overflowPunct/>
        <w:topLinePunct w:val="0"/>
        <w:autoSpaceDE/>
        <w:autoSpaceDN/>
        <w:bidi w:val="0"/>
        <w:snapToGrid/>
        <w:spacing w:before="0" w:beforeAutospacing="0" w:after="0" w:afterAutospacing="0" w:line="400" w:lineRule="exact"/>
        <w:ind w:left="0" w:right="0" w:firstLine="480"/>
        <w:rPr>
          <w:color w:val="auto"/>
          <w:highlight w:val="none"/>
        </w:rPr>
      </w:pPr>
      <w:r>
        <w:rPr>
          <w:rFonts w:hint="eastAsia" w:ascii="宋体" w:hAnsi="宋体" w:eastAsia="宋体" w:cs="宋体"/>
          <w:color w:val="auto"/>
          <w:sz w:val="24"/>
          <w:szCs w:val="24"/>
          <w:highlight w:val="none"/>
        </w:rPr>
        <w:t>（2）在签定合同之后，中标人要求解除合同的，视为中标人违约，对采购人造成的损失的，中标人需支付相应的赔偿。</w:t>
      </w:r>
    </w:p>
    <w:p>
      <w:pPr>
        <w:pStyle w:val="6"/>
        <w:keepNext w:val="0"/>
        <w:keepLines w:val="0"/>
        <w:pageBreakBefore w:val="0"/>
        <w:widowControl/>
        <w:suppressLineNumbers w:val="0"/>
        <w:shd w:val="clear"/>
        <w:kinsoku/>
        <w:wordWrap/>
        <w:overflowPunct/>
        <w:topLinePunct w:val="0"/>
        <w:autoSpaceDE/>
        <w:autoSpaceDN/>
        <w:bidi w:val="0"/>
        <w:snapToGrid/>
        <w:spacing w:before="0" w:beforeAutospacing="0" w:after="0" w:afterAutospacing="0" w:line="400" w:lineRule="exact"/>
        <w:ind w:left="0" w:right="0" w:firstLine="480"/>
        <w:rPr>
          <w:color w:val="auto"/>
          <w:highlight w:val="none"/>
        </w:rPr>
      </w:pPr>
      <w:r>
        <w:rPr>
          <w:rFonts w:hint="eastAsia" w:ascii="宋体" w:hAnsi="宋体" w:eastAsia="宋体" w:cs="宋体"/>
          <w:color w:val="auto"/>
          <w:sz w:val="24"/>
          <w:szCs w:val="24"/>
          <w:highlight w:val="none"/>
        </w:rPr>
        <w:t>（3）因中标人原因发生重大事故，除依约承担赔偿责任外，还将按相关管理办法规定执行并报相关行政主管部门处罚。</w:t>
      </w:r>
    </w:p>
    <w:p>
      <w:pPr>
        <w:pStyle w:val="6"/>
        <w:keepNext w:val="0"/>
        <w:keepLines w:val="0"/>
        <w:pageBreakBefore w:val="0"/>
        <w:widowControl/>
        <w:suppressLineNumbers w:val="0"/>
        <w:shd w:val="clear"/>
        <w:kinsoku/>
        <w:wordWrap/>
        <w:overflowPunct/>
        <w:topLinePunct w:val="0"/>
        <w:autoSpaceDE/>
        <w:autoSpaceDN/>
        <w:bidi w:val="0"/>
        <w:snapToGrid/>
        <w:spacing w:before="0" w:beforeAutospacing="0" w:after="0" w:afterAutospacing="0" w:line="400" w:lineRule="exact"/>
        <w:ind w:left="0" w:right="0" w:firstLine="480"/>
        <w:rPr>
          <w:color w:val="auto"/>
          <w:highlight w:val="none"/>
        </w:rPr>
      </w:pPr>
      <w:r>
        <w:rPr>
          <w:rFonts w:hint="eastAsia" w:ascii="宋体" w:hAnsi="宋体" w:eastAsia="宋体" w:cs="宋体"/>
          <w:color w:val="auto"/>
          <w:sz w:val="24"/>
          <w:szCs w:val="24"/>
          <w:highlight w:val="none"/>
        </w:rPr>
        <w:t>（4）若发生死亡安全事故，除按国家有关安全管理规定及采购人有关安全管理办法执行外，还将报行政主管部门进行处罚；发生重大安全事故或特大安全事故，按国家有关安全管理规定及采购人有关安全管理办法执行。</w:t>
      </w:r>
    </w:p>
    <w:p>
      <w:pPr>
        <w:pStyle w:val="10"/>
        <w:keepNext w:val="0"/>
        <w:keepLines w:val="0"/>
        <w:pageBreakBefore w:val="0"/>
        <w:shd w:val="clear"/>
        <w:kinsoku/>
        <w:wordWrap/>
        <w:overflowPunct/>
        <w:topLinePunct w:val="0"/>
        <w:autoSpaceDE/>
        <w:autoSpaceDN/>
        <w:bidi w:val="0"/>
        <w:snapToGrid/>
        <w:spacing w:line="400" w:lineRule="exact"/>
        <w:ind w:firstLine="384"/>
        <w:jc w:val="left"/>
        <w:rPr>
          <w:rFonts w:hint="eastAsia" w:ascii="宋体" w:hAnsi="宋体" w:eastAsia="宋体" w:cs="宋体"/>
          <w:b w:val="0"/>
          <w:bCs w:val="0"/>
          <w:color w:val="auto"/>
          <w:sz w:val="24"/>
          <w:szCs w:val="24"/>
          <w:highlight w:val="none"/>
        </w:rPr>
      </w:pPr>
      <w:r>
        <w:rPr>
          <w:rFonts w:hint="eastAsia" w:ascii="宋体" w:hAnsi="宋体" w:eastAsia="宋体" w:cs="宋体"/>
          <w:color w:val="auto"/>
          <w:sz w:val="24"/>
          <w:szCs w:val="24"/>
          <w:highlight w:val="none"/>
        </w:rPr>
        <w:t>（5）在明确违约责任后，中标人应在接到书面通知书起七天内支付违约金、赔偿金等</w:t>
      </w:r>
      <w:r>
        <w:rPr>
          <w:rFonts w:hint="eastAsia" w:ascii="宋体" w:hAnsi="宋体" w:eastAsia="宋体" w:cs="宋体"/>
          <w:b w:val="0"/>
          <w:bCs w:val="0"/>
          <w:color w:val="auto"/>
          <w:sz w:val="24"/>
          <w:szCs w:val="24"/>
          <w:highlight w:val="none"/>
        </w:rPr>
        <w:t>。</w:t>
      </w:r>
    </w:p>
    <w:p>
      <w:pPr>
        <w:pStyle w:val="6"/>
        <w:keepNext w:val="0"/>
        <w:keepLines w:val="0"/>
        <w:pageBreakBefore w:val="0"/>
        <w:widowControl/>
        <w:suppressLineNumbers w:val="0"/>
        <w:shd w:val="clear"/>
        <w:kinsoku/>
        <w:wordWrap/>
        <w:overflowPunct/>
        <w:topLinePunct w:val="0"/>
        <w:autoSpaceDE/>
        <w:autoSpaceDN/>
        <w:bidi w:val="0"/>
        <w:snapToGrid/>
        <w:spacing w:before="0" w:beforeAutospacing="0" w:after="0" w:afterAutospacing="0" w:line="400" w:lineRule="exact"/>
        <w:ind w:left="0" w:right="0"/>
        <w:rPr>
          <w:color w:val="auto"/>
          <w:highlight w:val="none"/>
        </w:rPr>
      </w:pPr>
      <w:r>
        <w:rPr>
          <w:rStyle w:val="9"/>
          <w:rFonts w:hint="eastAsia" w:ascii="宋体" w:hAnsi="宋体" w:eastAsia="宋体" w:cs="宋体"/>
          <w:b/>
          <w:bCs/>
          <w:color w:val="auto"/>
          <w:sz w:val="24"/>
          <w:szCs w:val="24"/>
          <w:highlight w:val="none"/>
          <w:lang w:val="en-US" w:eastAsia="zh-CN"/>
        </w:rPr>
        <w:t>8</w:t>
      </w:r>
      <w:r>
        <w:rPr>
          <w:rStyle w:val="9"/>
          <w:rFonts w:hint="eastAsia" w:ascii="宋体" w:hAnsi="宋体" w:eastAsia="宋体" w:cs="宋体"/>
          <w:b/>
          <w:bCs/>
          <w:color w:val="auto"/>
          <w:sz w:val="24"/>
          <w:szCs w:val="24"/>
          <w:highlight w:val="none"/>
        </w:rPr>
        <w:t>、仲裁、诉讼条款</w:t>
      </w:r>
    </w:p>
    <w:p>
      <w:pPr>
        <w:pStyle w:val="6"/>
        <w:keepNext w:val="0"/>
        <w:keepLines w:val="0"/>
        <w:pageBreakBefore w:val="0"/>
        <w:widowControl/>
        <w:suppressLineNumbers w:val="0"/>
        <w:shd w:val="clear"/>
        <w:kinsoku/>
        <w:wordWrap/>
        <w:overflowPunct/>
        <w:topLinePunct w:val="0"/>
        <w:autoSpaceDE/>
        <w:autoSpaceDN/>
        <w:bidi w:val="0"/>
        <w:snapToGrid/>
        <w:spacing w:before="0" w:beforeAutospacing="0" w:after="0" w:afterAutospacing="0" w:line="400" w:lineRule="exact"/>
        <w:ind w:left="0" w:right="0" w:firstLine="480"/>
        <w:rPr>
          <w:color w:val="auto"/>
          <w:highlight w:val="none"/>
        </w:rPr>
      </w:pPr>
      <w:r>
        <w:rPr>
          <w:rFonts w:hint="eastAsia" w:ascii="宋体" w:hAnsi="宋体" w:eastAsia="宋体" w:cs="宋体"/>
          <w:color w:val="auto"/>
          <w:sz w:val="24"/>
          <w:szCs w:val="24"/>
          <w:highlight w:val="none"/>
        </w:rPr>
        <w:t>因采购或与采购合同有关的一切事项发生争议，由采购人和中 标人双方友好协商解决。协商不成的，任何一方均可选择以下方式解决：向</w:t>
      </w:r>
      <w:r>
        <w:rPr>
          <w:rFonts w:hint="eastAsia" w:ascii="宋体" w:hAnsi="宋体" w:eastAsia="宋体" w:cs="宋体"/>
          <w:color w:val="auto"/>
          <w:spacing w:val="0"/>
          <w:sz w:val="24"/>
          <w:szCs w:val="24"/>
          <w:highlight w:val="none"/>
        </w:rPr>
        <w:t>提交仲裁委员会仲裁</w:t>
      </w:r>
      <w:r>
        <w:rPr>
          <w:rFonts w:hint="eastAsia" w:ascii="宋体" w:hAnsi="宋体" w:eastAsia="宋体" w:cs="宋体"/>
          <w:color w:val="auto"/>
          <w:sz w:val="24"/>
          <w:szCs w:val="24"/>
          <w:highlight w:val="none"/>
        </w:rPr>
        <w:t>。</w:t>
      </w:r>
    </w:p>
    <w:p>
      <w:pPr>
        <w:pStyle w:val="6"/>
        <w:keepNext w:val="0"/>
        <w:keepLines w:val="0"/>
        <w:pageBreakBefore w:val="0"/>
        <w:widowControl/>
        <w:suppressLineNumbers w:val="0"/>
        <w:shd w:val="clear"/>
        <w:kinsoku/>
        <w:wordWrap/>
        <w:overflowPunct/>
        <w:topLinePunct w:val="0"/>
        <w:autoSpaceDE/>
        <w:autoSpaceDN/>
        <w:bidi w:val="0"/>
        <w:snapToGrid/>
        <w:spacing w:before="0" w:beforeAutospacing="0" w:after="0" w:afterAutospacing="0" w:line="400" w:lineRule="exact"/>
        <w:ind w:left="0" w:right="0"/>
        <w:rPr>
          <w:color w:val="auto"/>
          <w:highlight w:val="none"/>
        </w:rPr>
      </w:pPr>
      <w:r>
        <w:rPr>
          <w:rStyle w:val="9"/>
          <w:rFonts w:hint="eastAsia" w:ascii="宋体" w:hAnsi="宋体" w:eastAsia="宋体" w:cs="宋体"/>
          <w:b/>
          <w:bCs/>
          <w:color w:val="auto"/>
          <w:sz w:val="24"/>
          <w:szCs w:val="24"/>
          <w:highlight w:val="none"/>
          <w:lang w:val="en-US" w:eastAsia="zh-CN"/>
        </w:rPr>
        <w:t>9</w:t>
      </w:r>
      <w:r>
        <w:rPr>
          <w:rStyle w:val="9"/>
          <w:rFonts w:hint="eastAsia" w:ascii="宋体" w:hAnsi="宋体" w:eastAsia="宋体" w:cs="宋体"/>
          <w:b/>
          <w:bCs/>
          <w:color w:val="auto"/>
          <w:sz w:val="24"/>
          <w:szCs w:val="24"/>
          <w:highlight w:val="none"/>
        </w:rPr>
        <w:t>、知识产权</w:t>
      </w:r>
    </w:p>
    <w:p>
      <w:pPr>
        <w:pStyle w:val="10"/>
        <w:keepNext w:val="0"/>
        <w:keepLines w:val="0"/>
        <w:pageBreakBefore w:val="0"/>
        <w:shd w:val="clear"/>
        <w:kinsoku/>
        <w:wordWrap/>
        <w:overflowPunct/>
        <w:topLinePunct w:val="0"/>
        <w:autoSpaceDE/>
        <w:autoSpaceDN/>
        <w:bidi w:val="0"/>
        <w:snapToGrid/>
        <w:spacing w:line="400" w:lineRule="exact"/>
        <w:ind w:firstLine="480" w:firstLineChars="200"/>
        <w:jc w:val="both"/>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中标人必须保证在服务期间内使用的设备不受任何专 利或版权等方面的侵权困扰，如出现类似纠纷，中标人应对由此产生的后果负全部责任，并赔偿采购人由此而造成的全部损失。</w:t>
      </w:r>
    </w:p>
    <w:p>
      <w:pPr>
        <w:pStyle w:val="10"/>
        <w:keepNext w:val="0"/>
        <w:keepLines w:val="0"/>
        <w:pageBreakBefore w:val="0"/>
        <w:shd w:val="clear"/>
        <w:kinsoku/>
        <w:wordWrap/>
        <w:overflowPunct/>
        <w:topLinePunct w:val="0"/>
        <w:autoSpaceDE/>
        <w:autoSpaceDN/>
        <w:bidi w:val="0"/>
        <w:snapToGrid/>
        <w:spacing w:line="400" w:lineRule="exact"/>
        <w:jc w:val="both"/>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四、其他事项</w:t>
      </w:r>
    </w:p>
    <w:p>
      <w:pPr>
        <w:pStyle w:val="10"/>
        <w:keepNext w:val="0"/>
        <w:keepLines w:val="0"/>
        <w:pageBreakBefore w:val="0"/>
        <w:shd w:val="clear"/>
        <w:kinsoku/>
        <w:wordWrap/>
        <w:overflowPunct/>
        <w:topLinePunct w:val="0"/>
        <w:autoSpaceDE/>
        <w:autoSpaceDN/>
        <w:bidi w:val="0"/>
        <w:snapToGrid/>
        <w:spacing w:line="400" w:lineRule="exact"/>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1、除招标文件另有规定外，若出现有关法律、法规和规章有强制性规定但招标文件未列明的情形，则投标人应按照有关法律、法规和规章强制性规定执行。</w:t>
      </w:r>
    </w:p>
    <w:p>
      <w:pPr>
        <w:pStyle w:val="10"/>
        <w:keepNext w:val="0"/>
        <w:keepLines w:val="0"/>
        <w:pageBreakBefore w:val="0"/>
        <w:shd w:val="clear"/>
        <w:kinsoku/>
        <w:wordWrap/>
        <w:overflowPunct/>
        <w:topLinePunct w:val="0"/>
        <w:autoSpaceDE/>
        <w:autoSpaceDN/>
        <w:bidi w:val="0"/>
        <w:snapToGrid/>
        <w:spacing w:line="400" w:lineRule="exact"/>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2、其他：</w:t>
      </w:r>
      <w:r>
        <w:rPr>
          <w:rFonts w:hint="eastAsia" w:ascii="宋体" w:hAnsi="宋体" w:eastAsia="宋体" w:cs="宋体"/>
          <w:b w:val="0"/>
          <w:bCs/>
          <w:color w:val="auto"/>
          <w:sz w:val="24"/>
          <w:szCs w:val="24"/>
          <w:highlight w:val="none"/>
          <w:lang w:eastAsia="zh-CN"/>
        </w:rPr>
        <w:t>无</w:t>
      </w:r>
      <w:r>
        <w:rPr>
          <w:rFonts w:hint="eastAsia" w:ascii="宋体" w:hAnsi="宋体" w:eastAsia="宋体" w:cs="宋体"/>
          <w:b w:val="0"/>
          <w:bCs/>
          <w:color w:val="auto"/>
          <w:sz w:val="24"/>
          <w:szCs w:val="24"/>
          <w:highlight w:val="none"/>
        </w:rPr>
        <w:t>。</w:t>
      </w:r>
    </w:p>
    <w:p>
      <w:pPr>
        <w:pStyle w:val="10"/>
        <w:shd w:val="clear"/>
        <w:rPr>
          <w:rFonts w:hint="eastAsia" w:ascii="宋体" w:hAnsi="宋体" w:eastAsia="宋体" w:cs="宋体"/>
          <w:color w:val="auto"/>
          <w:sz w:val="24"/>
          <w:szCs w:val="24"/>
          <w:highlight w:val="none"/>
        </w:rPr>
      </w:pPr>
    </w:p>
    <w:p>
      <w:pPr>
        <w:pStyle w:val="10"/>
        <w:shd w:val="clear"/>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 xml:space="preserve"> </w:t>
      </w:r>
    </w:p>
    <w:p>
      <w:pPr>
        <w:shd w:val="clea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br w:type="page"/>
      </w:r>
    </w:p>
    <w:p>
      <w:pPr>
        <w:pStyle w:val="10"/>
        <w:shd w:val="clear"/>
        <w:jc w:val="center"/>
        <w:rPr>
          <w:rFonts w:hint="eastAsia" w:ascii="宋体" w:hAnsi="宋体" w:eastAsia="宋体" w:cs="宋体"/>
          <w:color w:val="auto"/>
          <w:sz w:val="28"/>
          <w:szCs w:val="28"/>
          <w:highlight w:val="none"/>
        </w:rPr>
      </w:pPr>
      <w:r>
        <w:rPr>
          <w:rFonts w:hint="eastAsia" w:ascii="宋体" w:hAnsi="宋体" w:eastAsia="宋体" w:cs="宋体"/>
          <w:b/>
          <w:color w:val="auto"/>
          <w:sz w:val="28"/>
          <w:szCs w:val="28"/>
          <w:highlight w:val="none"/>
        </w:rPr>
        <w:t>第六章 政府采购合同</w:t>
      </w:r>
    </w:p>
    <w:p>
      <w:pPr>
        <w:pStyle w:val="10"/>
        <w:shd w:val="clear"/>
        <w:jc w:val="center"/>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参考文本</w:t>
      </w:r>
    </w:p>
    <w:p>
      <w:pPr>
        <w:pStyle w:val="10"/>
        <w:shd w:val="clear"/>
        <w:rPr>
          <w:rFonts w:hint="eastAsia" w:ascii="宋体" w:hAnsi="宋体" w:eastAsia="宋体" w:cs="宋体"/>
          <w:color w:val="auto"/>
          <w:sz w:val="24"/>
          <w:szCs w:val="24"/>
          <w:highlight w:val="none"/>
        </w:rPr>
      </w:pPr>
    </w:p>
    <w:p>
      <w:pPr>
        <w:pStyle w:val="10"/>
        <w:shd w:val="clear"/>
        <w:rPr>
          <w:rFonts w:hint="eastAsia" w:ascii="宋体" w:hAnsi="宋体" w:eastAsia="宋体" w:cs="宋体"/>
          <w:color w:val="auto"/>
          <w:sz w:val="24"/>
          <w:szCs w:val="24"/>
          <w:highlight w:val="none"/>
        </w:rPr>
      </w:pPr>
    </w:p>
    <w:p>
      <w:pPr>
        <w:pStyle w:val="10"/>
        <w:keepNext w:val="0"/>
        <w:keepLines w:val="0"/>
        <w:pageBreakBefore w:val="0"/>
        <w:widowControl/>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合同编号：</w:t>
      </w:r>
    </w:p>
    <w:p>
      <w:pPr>
        <w:pStyle w:val="10"/>
        <w:keepNext w:val="0"/>
        <w:keepLines w:val="0"/>
        <w:pageBreakBefore w:val="0"/>
        <w:widowControl/>
        <w:shd w:val="clear"/>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福建省政府采购合同（服务类）</w:t>
      </w:r>
    </w:p>
    <w:p>
      <w:pPr>
        <w:pStyle w:val="10"/>
        <w:keepNext w:val="0"/>
        <w:keepLines w:val="0"/>
        <w:pageBreakBefore w:val="0"/>
        <w:widowControl/>
        <w:shd w:val="clear"/>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编制说明</w:t>
      </w:r>
      <w:r>
        <w:rPr>
          <w:rFonts w:hint="eastAsia" w:ascii="宋体" w:hAnsi="宋体" w:eastAsia="宋体" w:cs="宋体"/>
          <w:color w:val="auto"/>
          <w:sz w:val="24"/>
          <w:szCs w:val="24"/>
          <w:highlight w:val="none"/>
        </w:rPr>
        <w:br w:type="textWrapping"/>
      </w:r>
    </w:p>
    <w:p>
      <w:pPr>
        <w:pStyle w:val="10"/>
        <w:keepNext w:val="0"/>
        <w:keepLines w:val="0"/>
        <w:pageBreakBefore w:val="0"/>
        <w:widowControl/>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1.签订合同应遵守《中华人民共和国政府采购法》及其实施条例、《中华人民共和国民法典》等法律法规及其他有关规定。</w:t>
      </w:r>
    </w:p>
    <w:p>
      <w:pPr>
        <w:pStyle w:val="10"/>
        <w:keepNext w:val="0"/>
        <w:keepLines w:val="0"/>
        <w:pageBreakBefore w:val="0"/>
        <w:widowControl/>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2.签订合同时，采购人与中标(成交)人应结合采购文件规定填列相应内容。采购文件已有约定的，双方均不得对约定进行变更或调整；采购文件未作规定的，双方可通过友好协商进行约定。</w:t>
      </w:r>
    </w:p>
    <w:p>
      <w:pPr>
        <w:pStyle w:val="10"/>
        <w:keepNext w:val="0"/>
        <w:keepLines w:val="0"/>
        <w:pageBreakBefore w:val="0"/>
        <w:widowControl/>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3.政府有关主管部门对若干合同有规范文本的，可使用相应合同文本。</w:t>
      </w:r>
    </w:p>
    <w:p>
      <w:pPr>
        <w:pStyle w:val="10"/>
        <w:keepNext w:val="0"/>
        <w:keepLines w:val="0"/>
        <w:pageBreakBefore w:val="0"/>
        <w:widowControl/>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4.本合同范本仅供参考，采购人应当根据采购项目的实际需求对合同条款进行修改、补充。</w:t>
      </w:r>
    </w:p>
    <w:p>
      <w:pPr>
        <w:pStyle w:val="10"/>
        <w:keepNext w:val="0"/>
        <w:keepLines w:val="0"/>
        <w:pageBreakBefore w:val="0"/>
        <w:widowControl/>
        <w:shd w:val="clear"/>
        <w:kinsoku/>
        <w:wordWrap/>
        <w:overflowPunct/>
        <w:topLinePunct w:val="0"/>
        <w:autoSpaceDE/>
        <w:autoSpaceDN/>
        <w:bidi w:val="0"/>
        <w:adjustRightInd/>
        <w:snapToGrid/>
        <w:spacing w:line="400" w:lineRule="exact"/>
        <w:ind w:left="0"/>
        <w:textAlignment w:val="auto"/>
        <w:rPr>
          <w:rFonts w:hint="eastAsia" w:ascii="宋体" w:hAnsi="宋体" w:eastAsia="宋体" w:cs="宋体"/>
          <w:color w:val="auto"/>
          <w:sz w:val="24"/>
          <w:szCs w:val="24"/>
          <w:highlight w:val="none"/>
        </w:rPr>
      </w:pPr>
    </w:p>
    <w:p>
      <w:pPr>
        <w:pStyle w:val="10"/>
        <w:keepNext w:val="0"/>
        <w:keepLines w:val="0"/>
        <w:pageBreakBefore w:val="0"/>
        <w:widowControl/>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w:t>
      </w:r>
    </w:p>
    <w:p>
      <w:pPr>
        <w:pStyle w:val="10"/>
        <w:keepNext w:val="0"/>
        <w:keepLines w:val="0"/>
        <w:pageBreakBefore w:val="0"/>
        <w:widowControl/>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住所地：________________</w:t>
      </w:r>
    </w:p>
    <w:p>
      <w:pPr>
        <w:pStyle w:val="10"/>
        <w:keepNext w:val="0"/>
        <w:keepLines w:val="0"/>
        <w:pageBreakBefore w:val="0"/>
        <w:widowControl/>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联系人：________________</w:t>
      </w:r>
    </w:p>
    <w:p>
      <w:pPr>
        <w:pStyle w:val="10"/>
        <w:keepNext w:val="0"/>
        <w:keepLines w:val="0"/>
        <w:pageBreakBefore w:val="0"/>
        <w:widowControl/>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联系电话：______________</w:t>
      </w:r>
    </w:p>
    <w:p>
      <w:pPr>
        <w:pStyle w:val="10"/>
        <w:keepNext w:val="0"/>
        <w:keepLines w:val="0"/>
        <w:pageBreakBefore w:val="0"/>
        <w:widowControl/>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传真：________________</w:t>
      </w:r>
    </w:p>
    <w:p>
      <w:pPr>
        <w:pStyle w:val="10"/>
        <w:keepNext w:val="0"/>
        <w:keepLines w:val="0"/>
        <w:pageBreakBefore w:val="0"/>
        <w:widowControl/>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电子邮箱：________________</w:t>
      </w:r>
      <w:r>
        <w:rPr>
          <w:rFonts w:hint="eastAsia" w:ascii="宋体" w:hAnsi="宋体" w:eastAsia="宋体" w:cs="宋体"/>
          <w:color w:val="auto"/>
          <w:sz w:val="24"/>
          <w:szCs w:val="24"/>
          <w:highlight w:val="none"/>
        </w:rPr>
        <w:br w:type="textWrapping"/>
      </w:r>
    </w:p>
    <w:p>
      <w:pPr>
        <w:pStyle w:val="10"/>
        <w:keepNext w:val="0"/>
        <w:keepLines w:val="0"/>
        <w:pageBreakBefore w:val="0"/>
        <w:widowControl/>
        <w:shd w:val="clear"/>
        <w:kinsoku/>
        <w:wordWrap/>
        <w:overflowPunct/>
        <w:topLinePunct w:val="0"/>
        <w:autoSpaceDE/>
        <w:autoSpaceDN/>
        <w:bidi w:val="0"/>
        <w:adjustRightInd/>
        <w:snapToGrid/>
        <w:spacing w:line="400" w:lineRule="exact"/>
        <w:ind w:left="0"/>
        <w:textAlignment w:val="auto"/>
        <w:rPr>
          <w:rFonts w:hint="eastAsia" w:ascii="宋体" w:hAnsi="宋体" w:eastAsia="宋体" w:cs="宋体"/>
          <w:color w:val="auto"/>
          <w:sz w:val="24"/>
          <w:szCs w:val="24"/>
          <w:highlight w:val="none"/>
        </w:rPr>
      </w:pPr>
    </w:p>
    <w:p>
      <w:pPr>
        <w:pStyle w:val="10"/>
        <w:keepNext w:val="0"/>
        <w:keepLines w:val="0"/>
        <w:pageBreakBefore w:val="0"/>
        <w:widowControl/>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乙方：________________</w:t>
      </w:r>
    </w:p>
    <w:p>
      <w:pPr>
        <w:pStyle w:val="10"/>
        <w:keepNext w:val="0"/>
        <w:keepLines w:val="0"/>
        <w:pageBreakBefore w:val="0"/>
        <w:widowControl/>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住所地：________________</w:t>
      </w:r>
    </w:p>
    <w:p>
      <w:pPr>
        <w:pStyle w:val="10"/>
        <w:keepNext w:val="0"/>
        <w:keepLines w:val="0"/>
        <w:pageBreakBefore w:val="0"/>
        <w:widowControl/>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联系人：______________</w:t>
      </w:r>
    </w:p>
    <w:p>
      <w:pPr>
        <w:pStyle w:val="10"/>
        <w:keepNext w:val="0"/>
        <w:keepLines w:val="0"/>
        <w:pageBreakBefore w:val="0"/>
        <w:widowControl/>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联系电话：______________</w:t>
      </w:r>
    </w:p>
    <w:p>
      <w:pPr>
        <w:pStyle w:val="10"/>
        <w:keepNext w:val="0"/>
        <w:keepLines w:val="0"/>
        <w:pageBreakBefore w:val="0"/>
        <w:widowControl/>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传真：________________</w:t>
      </w:r>
    </w:p>
    <w:p>
      <w:pPr>
        <w:pStyle w:val="10"/>
        <w:keepNext w:val="0"/>
        <w:keepLines w:val="0"/>
        <w:pageBreakBefore w:val="0"/>
        <w:widowControl/>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电子邮箱：________________</w:t>
      </w:r>
    </w:p>
    <w:p>
      <w:pPr>
        <w:pStyle w:val="10"/>
        <w:keepNext w:val="0"/>
        <w:keepLines w:val="0"/>
        <w:pageBreakBefore w:val="0"/>
        <w:widowControl/>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根据项目编号为___________的__________项目（以下简称：“本项目”）的采购结果，遵循平等、自愿、公平和诚实信用的原则，双方签署本合同，具体内容如下：</w:t>
      </w:r>
    </w:p>
    <w:p>
      <w:pPr>
        <w:pStyle w:val="10"/>
        <w:keepNext w:val="0"/>
        <w:keepLines w:val="0"/>
        <w:pageBreakBefore w:val="0"/>
        <w:widowControl/>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一、合同组成部分</w:t>
      </w:r>
    </w:p>
    <w:p>
      <w:pPr>
        <w:pStyle w:val="10"/>
        <w:keepNext w:val="0"/>
        <w:keepLines w:val="0"/>
        <w:pageBreakBefore w:val="0"/>
        <w:widowControl/>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1.1本合同条款及附件；</w:t>
      </w:r>
    </w:p>
    <w:p>
      <w:pPr>
        <w:pStyle w:val="10"/>
        <w:keepNext w:val="0"/>
        <w:keepLines w:val="0"/>
        <w:pageBreakBefore w:val="0"/>
        <w:widowControl/>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1.2采购文件及其附件、补充文件；</w:t>
      </w:r>
    </w:p>
    <w:p>
      <w:pPr>
        <w:pStyle w:val="10"/>
        <w:keepNext w:val="0"/>
        <w:keepLines w:val="0"/>
        <w:pageBreakBefore w:val="0"/>
        <w:widowControl/>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1.3乙方的响应文件及其附件、补充文件；</w:t>
      </w:r>
    </w:p>
    <w:p>
      <w:pPr>
        <w:pStyle w:val="10"/>
        <w:keepNext w:val="0"/>
        <w:keepLines w:val="0"/>
        <w:pageBreakBefore w:val="0"/>
        <w:widowControl/>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1.4其他文件或材料：</w:t>
      </w:r>
    </w:p>
    <w:p>
      <w:pPr>
        <w:pStyle w:val="10"/>
        <w:keepNext w:val="0"/>
        <w:keepLines w:val="0"/>
        <w:pageBreakBefore w:val="0"/>
        <w:widowControl/>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二、合同标的</w:t>
      </w:r>
      <w:r>
        <w:rPr>
          <w:rFonts w:hint="eastAsia" w:ascii="宋体" w:hAnsi="宋体" w:eastAsia="宋体" w:cs="宋体"/>
          <w:color w:val="auto"/>
          <w:sz w:val="24"/>
          <w:szCs w:val="24"/>
          <w:highlight w:val="none"/>
        </w:rPr>
        <w:br w:type="textWrapping"/>
      </w:r>
    </w:p>
    <w:p>
      <w:pPr>
        <w:pStyle w:val="10"/>
        <w:keepNext w:val="0"/>
        <w:keepLines w:val="0"/>
        <w:pageBreakBefore w:val="0"/>
        <w:widowControl/>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三、价格形式及合同价款</w:t>
      </w:r>
    </w:p>
    <w:p>
      <w:pPr>
        <w:pStyle w:val="10"/>
        <w:keepNext w:val="0"/>
        <w:keepLines w:val="0"/>
        <w:pageBreakBefore w:val="0"/>
        <w:widowControl/>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3.1价格形式</w:t>
      </w:r>
    </w:p>
    <w:p>
      <w:pPr>
        <w:pStyle w:val="10"/>
        <w:keepNext w:val="0"/>
        <w:keepLines w:val="0"/>
        <w:pageBreakBefore w:val="0"/>
        <w:widowControl/>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p>
    <w:p>
      <w:pPr>
        <w:pStyle w:val="10"/>
        <w:keepNext w:val="0"/>
        <w:keepLines w:val="0"/>
        <w:pageBreakBefore w:val="0"/>
        <w:widowControl/>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固定单价合同。完成约定服务事项的含税合同单价为：人民币（大写）元（￥_________元）。</w:t>
      </w:r>
    </w:p>
    <w:p>
      <w:pPr>
        <w:pStyle w:val="10"/>
        <w:keepNext w:val="0"/>
        <w:keepLines w:val="0"/>
        <w:pageBreakBefore w:val="0"/>
        <w:widowControl/>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固定总价合同。完成约定服务事项的含税服务费用为：人民币（大写）元（￥_________元）。</w:t>
      </w:r>
    </w:p>
    <w:p>
      <w:pPr>
        <w:pStyle w:val="10"/>
        <w:keepNext w:val="0"/>
        <w:keepLines w:val="0"/>
        <w:pageBreakBefore w:val="0"/>
        <w:widowControl/>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其他方式。</w:t>
      </w:r>
    </w:p>
    <w:p>
      <w:pPr>
        <w:pStyle w:val="10"/>
        <w:keepNext w:val="0"/>
        <w:keepLines w:val="0"/>
        <w:pageBreakBefore w:val="0"/>
        <w:widowControl/>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p>
    <w:p>
      <w:pPr>
        <w:pStyle w:val="10"/>
        <w:keepNext w:val="0"/>
        <w:keepLines w:val="0"/>
        <w:pageBreakBefore w:val="0"/>
        <w:widowControl/>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3.2合同价款包含范围</w:t>
      </w:r>
    </w:p>
    <w:p>
      <w:pPr>
        <w:pStyle w:val="10"/>
        <w:keepNext w:val="0"/>
        <w:keepLines w:val="0"/>
        <w:pageBreakBefore w:val="0"/>
        <w:widowControl/>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3.3其他需说明的事项：</w:t>
      </w:r>
    </w:p>
    <w:p>
      <w:pPr>
        <w:pStyle w:val="10"/>
        <w:keepNext w:val="0"/>
        <w:keepLines w:val="0"/>
        <w:pageBreakBefore w:val="0"/>
        <w:widowControl/>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四、合同标的及服务范围、地点和时间</w:t>
      </w:r>
    </w:p>
    <w:p>
      <w:pPr>
        <w:pStyle w:val="10"/>
        <w:keepNext w:val="0"/>
        <w:keepLines w:val="0"/>
        <w:pageBreakBefore w:val="0"/>
        <w:widowControl/>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4.1项目名称：_____________</w:t>
      </w:r>
    </w:p>
    <w:p>
      <w:pPr>
        <w:pStyle w:val="10"/>
        <w:keepNext w:val="0"/>
        <w:keepLines w:val="0"/>
        <w:pageBreakBefore w:val="0"/>
        <w:widowControl/>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4.2服务范围：_____________</w:t>
      </w:r>
    </w:p>
    <w:p>
      <w:pPr>
        <w:pStyle w:val="10"/>
        <w:keepNext w:val="0"/>
        <w:keepLines w:val="0"/>
        <w:pageBreakBefore w:val="0"/>
        <w:widowControl/>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4.3服务地点：_____________</w:t>
      </w:r>
    </w:p>
    <w:p>
      <w:pPr>
        <w:pStyle w:val="10"/>
        <w:keepNext w:val="0"/>
        <w:keepLines w:val="0"/>
        <w:pageBreakBefore w:val="0"/>
        <w:widowControl/>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4.4服务完成时间：_____________</w:t>
      </w:r>
    </w:p>
    <w:p>
      <w:pPr>
        <w:pStyle w:val="10"/>
        <w:keepNext w:val="0"/>
        <w:keepLines w:val="0"/>
        <w:pageBreakBefore w:val="0"/>
        <w:widowControl/>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五、服务内容、质量标准和要求</w:t>
      </w:r>
    </w:p>
    <w:p>
      <w:pPr>
        <w:pStyle w:val="10"/>
        <w:keepNext w:val="0"/>
        <w:keepLines w:val="0"/>
        <w:pageBreakBefore w:val="0"/>
        <w:widowControl/>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5.1服务工作量的计量方式：_____________</w:t>
      </w:r>
    </w:p>
    <w:p>
      <w:pPr>
        <w:pStyle w:val="10"/>
        <w:keepNext w:val="0"/>
        <w:keepLines w:val="0"/>
        <w:pageBreakBefore w:val="0"/>
        <w:widowControl/>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5.2服务内容：_____________</w:t>
      </w:r>
    </w:p>
    <w:p>
      <w:pPr>
        <w:pStyle w:val="10"/>
        <w:keepNext w:val="0"/>
        <w:keepLines w:val="0"/>
        <w:pageBreakBefore w:val="0"/>
        <w:widowControl/>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5.3技术保障、服务人员组成、所涉及的货物的质量标准：</w:t>
      </w:r>
    </w:p>
    <w:p>
      <w:pPr>
        <w:pStyle w:val="10"/>
        <w:keepNext w:val="0"/>
        <w:keepLines w:val="0"/>
        <w:pageBreakBefore w:val="0"/>
        <w:widowControl/>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（1）服务技术保障：_____________</w:t>
      </w:r>
    </w:p>
    <w:p>
      <w:pPr>
        <w:pStyle w:val="10"/>
        <w:keepNext w:val="0"/>
        <w:keepLines w:val="0"/>
        <w:pageBreakBefore w:val="0"/>
        <w:widowControl/>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（2）服务人员组成：_____________</w:t>
      </w:r>
    </w:p>
    <w:p>
      <w:pPr>
        <w:pStyle w:val="10"/>
        <w:keepNext w:val="0"/>
        <w:keepLines w:val="0"/>
        <w:pageBreakBefore w:val="0"/>
        <w:widowControl/>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（3）服务设备及物资投入及质量标准：_____________</w:t>
      </w:r>
    </w:p>
    <w:p>
      <w:pPr>
        <w:pStyle w:val="10"/>
        <w:keepNext w:val="0"/>
        <w:keepLines w:val="0"/>
        <w:pageBreakBefore w:val="0"/>
        <w:widowControl/>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5.4服务质量标准及要求：</w:t>
      </w:r>
    </w:p>
    <w:p>
      <w:pPr>
        <w:pStyle w:val="10"/>
        <w:keepNext w:val="0"/>
        <w:keepLines w:val="0"/>
        <w:pageBreakBefore w:val="0"/>
        <w:widowControl/>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5.4.1乙方提供的服务或使用的产品、软件等应符合国家知识产权法律、法规的规定；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pPr>
        <w:pStyle w:val="10"/>
        <w:keepNext w:val="0"/>
        <w:keepLines w:val="0"/>
        <w:pageBreakBefore w:val="0"/>
        <w:widowControl/>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5.4.2若乙方提供的服务或使用的产品、软件等不符合国家知识产权法律、法规的规定或被有关主管机关认定为侵权或假冒伪劣品，则乙方中标或成交资格将被取消；甲方还将按照有关法律、法规和规章的规定进行处理，具体如下：</w:t>
      </w:r>
    </w:p>
    <w:p>
      <w:pPr>
        <w:pStyle w:val="10"/>
        <w:keepNext w:val="0"/>
        <w:keepLines w:val="0"/>
        <w:pageBreakBefore w:val="0"/>
        <w:widowControl/>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5.4.3其他要求：</w:t>
      </w:r>
    </w:p>
    <w:p>
      <w:pPr>
        <w:pStyle w:val="10"/>
        <w:keepNext w:val="0"/>
        <w:keepLines w:val="0"/>
        <w:pageBreakBefore w:val="0"/>
        <w:widowControl/>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六、服务履约验收或考核</w:t>
      </w:r>
    </w:p>
    <w:p>
      <w:pPr>
        <w:pStyle w:val="10"/>
        <w:keepNext w:val="0"/>
        <w:keepLines w:val="0"/>
        <w:pageBreakBefore w:val="0"/>
        <w:widowControl/>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甲方按照采购文件、乙方的投标或响应文件和本协议约定的服务内容及质量要求按次组织对乙方所提供服务进行验收，或定期进行服务考核，并根据验收或考核结果支付服务费用。具体如下：</w:t>
      </w:r>
    </w:p>
    <w:p>
      <w:pPr>
        <w:pStyle w:val="10"/>
        <w:keepNext w:val="0"/>
        <w:keepLines w:val="0"/>
        <w:pageBreakBefore w:val="0"/>
        <w:widowControl/>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七、甲方的权利与义务</w:t>
      </w:r>
    </w:p>
    <w:p>
      <w:pPr>
        <w:pStyle w:val="10"/>
        <w:keepNext w:val="0"/>
        <w:keepLines w:val="0"/>
        <w:pageBreakBefore w:val="0"/>
        <w:widowControl/>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7.1甲方委派___________为联系人，联系方式___________，负责与乙方联系。如甲方联系人发生变更，甲方应书面告知乙方。</w:t>
      </w:r>
    </w:p>
    <w:p>
      <w:pPr>
        <w:pStyle w:val="10"/>
        <w:keepNext w:val="0"/>
        <w:keepLines w:val="0"/>
        <w:pageBreakBefore w:val="0"/>
        <w:widowControl/>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7.2甲方应为乙方开展服务工作提供必要的工作条件，以及对内对外沟通和配合协助。</w:t>
      </w:r>
    </w:p>
    <w:p>
      <w:pPr>
        <w:pStyle w:val="10"/>
        <w:keepNext w:val="0"/>
        <w:keepLines w:val="0"/>
        <w:pageBreakBefore w:val="0"/>
        <w:widowControl/>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7.3甲方应于___________之前提供服务所需的全部资料，并对所提供材料真实性、完整性、合法性负责。</w:t>
      </w:r>
    </w:p>
    <w:p>
      <w:pPr>
        <w:pStyle w:val="10"/>
        <w:keepNext w:val="0"/>
        <w:keepLines w:val="0"/>
        <w:pageBreakBefore w:val="0"/>
        <w:widowControl/>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7.4甲方应对委托服务事项提出明确、合理的要求，并对乙方开展服务过程中需采购人确认事项及时予以确认。甲方根据乙方服务成果提出的建议、方案所做出的决定而导致的损失，非乙方及其委派人员的过错造成由甲方自行承担。</w:t>
      </w:r>
    </w:p>
    <w:p>
      <w:pPr>
        <w:pStyle w:val="10"/>
        <w:keepNext w:val="0"/>
        <w:keepLines w:val="0"/>
        <w:pageBreakBefore w:val="0"/>
        <w:widowControl/>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7.5甲方应按本合同约定及时足额支付服务费用及相关费用。</w:t>
      </w:r>
    </w:p>
    <w:p>
      <w:pPr>
        <w:pStyle w:val="10"/>
        <w:keepNext w:val="0"/>
        <w:keepLines w:val="0"/>
        <w:pageBreakBefore w:val="0"/>
        <w:widowControl/>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7.6其他</w:t>
      </w:r>
    </w:p>
    <w:p>
      <w:pPr>
        <w:pStyle w:val="10"/>
        <w:keepNext w:val="0"/>
        <w:keepLines w:val="0"/>
        <w:pageBreakBefore w:val="0"/>
        <w:widowControl/>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八、乙方的权利与义务</w:t>
      </w:r>
    </w:p>
    <w:p>
      <w:pPr>
        <w:pStyle w:val="10"/>
        <w:keepNext w:val="0"/>
        <w:keepLines w:val="0"/>
        <w:pageBreakBefore w:val="0"/>
        <w:widowControl/>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8.1乙方委派___________为联系人，联系方式___________，负责与甲方联系。如乙方联系人发生变更，乙方应书面告知甲方</w:t>
      </w:r>
    </w:p>
    <w:p>
      <w:pPr>
        <w:pStyle w:val="10"/>
        <w:keepNext w:val="0"/>
        <w:keepLines w:val="0"/>
        <w:pageBreakBefore w:val="0"/>
        <w:widowControl/>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8.2乙方应国家法律法规和{{乙方的权利与义务-响应要求-福建}}等要求开展{{乙方的权利与义务-开展服务-福建}}服务；</w:t>
      </w:r>
    </w:p>
    <w:p>
      <w:pPr>
        <w:pStyle w:val="10"/>
        <w:keepNext w:val="0"/>
        <w:keepLines w:val="0"/>
        <w:pageBreakBefore w:val="0"/>
        <w:widowControl/>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8.3乙方及其所委派服务人员应按标准或协议约定方式出具服务成果，对并其真实性和合法性负法律责任；</w:t>
      </w:r>
    </w:p>
    <w:p>
      <w:pPr>
        <w:pStyle w:val="10"/>
        <w:keepNext w:val="0"/>
        <w:keepLines w:val="0"/>
        <w:pageBreakBefore w:val="0"/>
        <w:widowControl/>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8.4乙方对执行业务过程中知悉的国家秘密或甲方的商业秘密保密。除非国家法律法规及行业规范另有规定,或经甲方同意,乙方不得将其知悉的商业秘密和甲方提供的资料对外泄露。</w:t>
      </w:r>
    </w:p>
    <w:p>
      <w:pPr>
        <w:pStyle w:val="10"/>
        <w:keepNext w:val="0"/>
        <w:keepLines w:val="0"/>
        <w:pageBreakBefore w:val="0"/>
        <w:widowControl/>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8.5乙方对服务业务应当单独建档，保存完整的工作记录，并对服务过程使用和暂存甲方的文件、材料和财物应当妥善保管。</w:t>
      </w:r>
    </w:p>
    <w:p>
      <w:pPr>
        <w:pStyle w:val="10"/>
        <w:keepNext w:val="0"/>
        <w:keepLines w:val="0"/>
        <w:pageBreakBefore w:val="0"/>
        <w:widowControl/>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8.6服务工作结束后,乙方将根据情况对甲方服务相关的管理制度及其他事项等提出改进意见。</w:t>
      </w:r>
    </w:p>
    <w:p>
      <w:pPr>
        <w:pStyle w:val="10"/>
        <w:keepNext w:val="0"/>
        <w:keepLines w:val="0"/>
        <w:pageBreakBefore w:val="0"/>
        <w:widowControl/>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8.7其他</w:t>
      </w:r>
    </w:p>
    <w:p>
      <w:pPr>
        <w:pStyle w:val="10"/>
        <w:keepNext w:val="0"/>
        <w:keepLines w:val="0"/>
        <w:pageBreakBefore w:val="0"/>
        <w:widowControl/>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九、资金支付方式、时间和条件</w:t>
      </w:r>
      <w:r>
        <w:rPr>
          <w:rFonts w:hint="eastAsia" w:ascii="宋体" w:hAnsi="宋体" w:eastAsia="宋体" w:cs="宋体"/>
          <w:color w:val="auto"/>
          <w:sz w:val="24"/>
          <w:szCs w:val="24"/>
          <w:highlight w:val="none"/>
        </w:rPr>
        <w:br w:type="textWrapping"/>
      </w:r>
    </w:p>
    <w:p>
      <w:pPr>
        <w:pStyle w:val="10"/>
        <w:keepNext w:val="0"/>
        <w:keepLines w:val="0"/>
        <w:pageBreakBefore w:val="0"/>
        <w:widowControl/>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十、履约保证金</w:t>
      </w:r>
    </w:p>
    <w:p>
      <w:pPr>
        <w:pStyle w:val="10"/>
        <w:keepNext w:val="0"/>
        <w:keepLines w:val="0"/>
        <w:pageBreakBefore w:val="0"/>
        <w:widowControl/>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□有，□无。具体如下：（按照采购文件规定填写）。</w:t>
      </w:r>
    </w:p>
    <w:p>
      <w:pPr>
        <w:pStyle w:val="10"/>
        <w:keepNext w:val="0"/>
        <w:keepLines w:val="0"/>
        <w:pageBreakBefore w:val="0"/>
        <w:widowControl/>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10.1乙方向甲方缴纳人民币 / 元作为本合同的履约保证金。</w:t>
      </w:r>
    </w:p>
    <w:p>
      <w:pPr>
        <w:pStyle w:val="10"/>
        <w:keepNext w:val="0"/>
        <w:keepLines w:val="0"/>
        <w:pageBreakBefore w:val="0"/>
        <w:widowControl/>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10.2履约保证金缴纳形式：支票/汇票/电汇/保函等非现金形式。</w:t>
      </w:r>
    </w:p>
    <w:p>
      <w:pPr>
        <w:pStyle w:val="10"/>
        <w:keepNext w:val="0"/>
        <w:keepLines w:val="0"/>
        <w:pageBreakBefore w:val="0"/>
        <w:widowControl/>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10.3履约保证金合同履行完毕前有效，合同履行完毕后一次性结清退还。</w:t>
      </w:r>
    </w:p>
    <w:p>
      <w:pPr>
        <w:pStyle w:val="10"/>
        <w:keepNext w:val="0"/>
        <w:keepLines w:val="0"/>
        <w:pageBreakBefore w:val="0"/>
        <w:widowControl/>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十一、合同期限</w:t>
      </w:r>
      <w:r>
        <w:rPr>
          <w:rFonts w:hint="eastAsia" w:ascii="宋体" w:hAnsi="宋体" w:eastAsia="宋体" w:cs="宋体"/>
          <w:color w:val="auto"/>
          <w:sz w:val="24"/>
          <w:szCs w:val="24"/>
          <w:highlight w:val="none"/>
        </w:rPr>
        <w:br w:type="textWrapping"/>
      </w:r>
    </w:p>
    <w:p>
      <w:pPr>
        <w:pStyle w:val="10"/>
        <w:keepNext w:val="0"/>
        <w:keepLines w:val="0"/>
        <w:pageBreakBefore w:val="0"/>
        <w:widowControl/>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十二、保密条款</w:t>
      </w:r>
    </w:p>
    <w:p>
      <w:pPr>
        <w:pStyle w:val="10"/>
        <w:keepNext w:val="0"/>
        <w:keepLines w:val="0"/>
        <w:pageBreakBefore w:val="0"/>
        <w:widowControl/>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12.1对于在采购和合同履行过程中所获悉的属于保密的内容，甲、乙双方均负有保密义务。</w:t>
      </w:r>
    </w:p>
    <w:p>
      <w:pPr>
        <w:pStyle w:val="10"/>
        <w:keepNext w:val="0"/>
        <w:keepLines w:val="0"/>
        <w:pageBreakBefore w:val="0"/>
        <w:widowControl/>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12.2其他</w:t>
      </w:r>
    </w:p>
    <w:p>
      <w:pPr>
        <w:pStyle w:val="10"/>
        <w:keepNext w:val="0"/>
        <w:keepLines w:val="0"/>
        <w:pageBreakBefore w:val="0"/>
        <w:widowControl/>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十三、违约责任</w:t>
      </w:r>
    </w:p>
    <w:p>
      <w:pPr>
        <w:pStyle w:val="10"/>
        <w:keepNext w:val="0"/>
        <w:keepLines w:val="0"/>
        <w:pageBreakBefore w:val="0"/>
        <w:widowControl/>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13.1甲方违约责任</w:t>
      </w:r>
    </w:p>
    <w:p>
      <w:pPr>
        <w:pStyle w:val="10"/>
        <w:keepNext w:val="0"/>
        <w:keepLines w:val="0"/>
        <w:pageBreakBefore w:val="0"/>
        <w:widowControl/>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（1）甲方无正当理由拒绝乙方提供合格服务的，甲方应向乙方偿付所拒收合同总价________的违约金</w:t>
      </w:r>
    </w:p>
    <w:p>
      <w:pPr>
        <w:pStyle w:val="10"/>
        <w:keepNext w:val="0"/>
        <w:keepLines w:val="0"/>
        <w:pageBreakBefore w:val="0"/>
        <w:widowControl/>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（2）甲方无故逾期验收和办理合同款项支付手续的,甲方应按逾期付款总额每日________向乙方支付违约金。</w:t>
      </w:r>
    </w:p>
    <w:p>
      <w:pPr>
        <w:pStyle w:val="10"/>
        <w:keepNext w:val="0"/>
        <w:keepLines w:val="0"/>
        <w:pageBreakBefore w:val="0"/>
        <w:widowControl/>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（3）其他违约情形</w:t>
      </w:r>
    </w:p>
    <w:p>
      <w:pPr>
        <w:pStyle w:val="10"/>
        <w:keepNext w:val="0"/>
        <w:keepLines w:val="0"/>
        <w:pageBreakBefore w:val="0"/>
        <w:widowControl/>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13.2乙方违约责任</w:t>
      </w:r>
    </w:p>
    <w:p>
      <w:pPr>
        <w:pStyle w:val="10"/>
        <w:keepNext w:val="0"/>
        <w:keepLines w:val="0"/>
        <w:pageBreakBefore w:val="0"/>
        <w:widowControl/>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（1）乙方逾期履行服务的，乙方应按逾期交付总额每日________向甲方支付违约金，由甲方从待付货款中扣除。乙方无正当理由逾期超过约定日期________仍不能交付的，视为“乙方不按合同约定履约”；</w:t>
      </w:r>
    </w:p>
    <w:p>
      <w:pPr>
        <w:pStyle w:val="10"/>
        <w:keepNext w:val="0"/>
        <w:keepLines w:val="0"/>
        <w:pageBreakBefore w:val="0"/>
        <w:widowControl/>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（2）乙方所履行的服务不符合合同规定及《采购文件》规定标准的，甲方有权拒绝，乙方愿意整改但逾期履行的，按乙方逾期履行处理。乙方拒绝整改的，视为“乙方不按合同约定履约”</w:t>
      </w:r>
    </w:p>
    <w:p>
      <w:pPr>
        <w:pStyle w:val="10"/>
        <w:keepNext w:val="0"/>
        <w:keepLines w:val="0"/>
        <w:pageBreakBefore w:val="0"/>
        <w:widowControl/>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（3）乙方不按合同约定履约的，甲方可以解除采购合同，并对乙方已缴纳的履约保证金作“不予退还”处理。同时，乙方须按以下约定向甲方支付违约金：</w:t>
      </w:r>
    </w:p>
    <w:p>
      <w:pPr>
        <w:pStyle w:val="10"/>
        <w:keepNext w:val="0"/>
        <w:keepLines w:val="0"/>
        <w:pageBreakBefore w:val="0"/>
        <w:widowControl/>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（4）其他违约情形</w:t>
      </w:r>
    </w:p>
    <w:p>
      <w:pPr>
        <w:pStyle w:val="10"/>
        <w:keepNext w:val="0"/>
        <w:keepLines w:val="0"/>
        <w:pageBreakBefore w:val="0"/>
        <w:widowControl/>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十四、不可抗力事件处理</w:t>
      </w:r>
    </w:p>
    <w:p>
      <w:pPr>
        <w:pStyle w:val="10"/>
        <w:keepNext w:val="0"/>
        <w:keepLines w:val="0"/>
        <w:pageBreakBefore w:val="0"/>
        <w:widowControl/>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条款中的不可抗力指不能预见、不能避免、不能克服的客观情况，包括但不限于：自然灾害如地震、台风、洪水、火灾及政府行为、法律规定或其适用的变化或其他任何无法预见、避免或控制的事件。因不可抗力造成违约的，遭受不可抗力一方应及时向对方通报不能履行或不能完全履行的理由，并提供相关证明材料。基于上述情况，遭受不可抗力一方延期履行、部分履行或不履行合同的，根据实际情况可部分或全部免于承担违约责任。</w:t>
      </w:r>
    </w:p>
    <w:p>
      <w:pPr>
        <w:pStyle w:val="10"/>
        <w:keepNext w:val="0"/>
        <w:keepLines w:val="0"/>
        <w:pageBreakBefore w:val="0"/>
        <w:widowControl/>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十五、解决争议的方法</w:t>
      </w:r>
    </w:p>
    <w:p>
      <w:pPr>
        <w:pStyle w:val="10"/>
        <w:keepNext w:val="0"/>
        <w:keepLines w:val="0"/>
        <w:pageBreakBefore w:val="0"/>
        <w:widowControl/>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12.1甲、乙双方协商解决。</w:t>
      </w:r>
    </w:p>
    <w:p>
      <w:pPr>
        <w:pStyle w:val="10"/>
        <w:keepNext w:val="0"/>
        <w:keepLines w:val="0"/>
        <w:pageBreakBefore w:val="0"/>
        <w:widowControl/>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12.2若协商解决不成，则通过下列途径之一解决：</w:t>
      </w:r>
    </w:p>
    <w:p>
      <w:pPr>
        <w:pStyle w:val="10"/>
        <w:keepNext w:val="0"/>
        <w:keepLines w:val="0"/>
        <w:pageBreakBefore w:val="0"/>
        <w:widowControl/>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p>
    <w:p>
      <w:pPr>
        <w:pStyle w:val="10"/>
        <w:keepNext w:val="0"/>
        <w:keepLines w:val="0"/>
        <w:pageBreakBefore w:val="0"/>
        <w:widowControl/>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□提交仲裁委员会仲裁，具体如下：</w:t>
      </w:r>
    </w:p>
    <w:p>
      <w:pPr>
        <w:pStyle w:val="10"/>
        <w:keepNext w:val="0"/>
        <w:keepLines w:val="0"/>
        <w:pageBreakBefore w:val="0"/>
        <w:widowControl/>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□向人民法院提起诉讼，具体如下：</w:t>
      </w:r>
    </w:p>
    <w:p>
      <w:pPr>
        <w:pStyle w:val="10"/>
        <w:keepNext w:val="0"/>
        <w:keepLines w:val="0"/>
        <w:pageBreakBefore w:val="0"/>
        <w:widowControl/>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十六、合同其他条款</w:t>
      </w:r>
      <w:r>
        <w:rPr>
          <w:rFonts w:hint="eastAsia" w:ascii="宋体" w:hAnsi="宋体" w:eastAsia="宋体" w:cs="宋体"/>
          <w:color w:val="auto"/>
          <w:sz w:val="24"/>
          <w:szCs w:val="24"/>
          <w:highlight w:val="none"/>
        </w:rPr>
        <w:br w:type="textWrapping"/>
      </w:r>
    </w:p>
    <w:p>
      <w:pPr>
        <w:pStyle w:val="10"/>
        <w:keepNext w:val="0"/>
        <w:keepLines w:val="0"/>
        <w:pageBreakBefore w:val="0"/>
        <w:widowControl/>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十七、其他约定</w:t>
      </w:r>
    </w:p>
    <w:p>
      <w:pPr>
        <w:pStyle w:val="10"/>
        <w:keepNext w:val="0"/>
        <w:keepLines w:val="0"/>
        <w:pageBreakBefore w:val="0"/>
        <w:widowControl/>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17.1合同文件与本合同具有同等法律效力。</w:t>
      </w:r>
    </w:p>
    <w:p>
      <w:pPr>
        <w:pStyle w:val="10"/>
        <w:keepNext w:val="0"/>
        <w:keepLines w:val="0"/>
        <w:pageBreakBefore w:val="0"/>
        <w:widowControl/>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17.2合同生效：合同经双方法定代表人或委托代理人签字并加盖单位公章后生效；通过福建省政府采购网上公开信息系统采用电子形式签订合同的，签订之日以系统记载的双方使用各自CA证书在合同上加盖单位公章或合同章的日期中的最晚时间为准。</w:t>
      </w:r>
    </w:p>
    <w:p>
      <w:pPr>
        <w:pStyle w:val="10"/>
        <w:keepNext w:val="0"/>
        <w:keepLines w:val="0"/>
        <w:pageBreakBefore w:val="0"/>
        <w:widowControl/>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17.3本合同未尽事宜，遵照《中华人民共和国民法典》有关条文执行。</w:t>
      </w:r>
    </w:p>
    <w:p>
      <w:pPr>
        <w:pStyle w:val="10"/>
        <w:keepNext w:val="0"/>
        <w:keepLines w:val="0"/>
        <w:pageBreakBefore w:val="0"/>
        <w:widowControl/>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17.4本合同正本一式_______份，具有同等法律效力，甲方、乙方各执_______份；副本_______份，_______</w:t>
      </w:r>
    </w:p>
    <w:p>
      <w:pPr>
        <w:pStyle w:val="10"/>
        <w:keepNext w:val="0"/>
        <w:keepLines w:val="0"/>
        <w:pageBreakBefore w:val="0"/>
        <w:widowControl/>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17.5本合同已用于政府采购合同融资，为本项目提供合同融资的金融机构为：_______，甲乙双方应当按照融资合同的约定进行资金使用及款项支付。</w:t>
      </w:r>
    </w:p>
    <w:p>
      <w:pPr>
        <w:pStyle w:val="10"/>
        <w:keepNext w:val="0"/>
        <w:keepLines w:val="0"/>
        <w:pageBreakBefore w:val="0"/>
        <w:widowControl/>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中标（成交）供应商应于采购合同签订之日起_______内，向发放政采贷的金融机构提交政府采购中标（成交）通知书和政府采购合同，贷款金额以政府采购合同金额为限。</w:t>
      </w:r>
    </w:p>
    <w:p>
      <w:pPr>
        <w:pStyle w:val="10"/>
        <w:keepNext w:val="0"/>
        <w:keepLines w:val="0"/>
        <w:pageBreakBefore w:val="0"/>
        <w:widowControl/>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17.6其他</w:t>
      </w:r>
    </w:p>
    <w:p>
      <w:pPr>
        <w:pStyle w:val="10"/>
        <w:keepNext w:val="0"/>
        <w:keepLines w:val="0"/>
        <w:pageBreakBefore w:val="0"/>
        <w:widowControl/>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十八、合同附件</w:t>
      </w:r>
      <w:r>
        <w:rPr>
          <w:rFonts w:hint="eastAsia" w:ascii="宋体" w:hAnsi="宋体" w:eastAsia="宋体" w:cs="宋体"/>
          <w:color w:val="auto"/>
          <w:sz w:val="24"/>
          <w:szCs w:val="24"/>
          <w:highlight w:val="none"/>
        </w:rPr>
        <w:br w:type="textWrapping"/>
      </w:r>
    </w:p>
    <w:p>
      <w:pPr>
        <w:pStyle w:val="10"/>
        <w:keepNext w:val="0"/>
        <w:keepLines w:val="0"/>
        <w:pageBreakBefore w:val="0"/>
        <w:widowControl/>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甲方（采购人）：</w:t>
      </w:r>
    </w:p>
    <w:p>
      <w:pPr>
        <w:pStyle w:val="10"/>
        <w:keepNext w:val="0"/>
        <w:keepLines w:val="0"/>
        <w:pageBreakBefore w:val="0"/>
        <w:widowControl/>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法定（授权）代表人：</w:t>
      </w:r>
    </w:p>
    <w:p>
      <w:pPr>
        <w:pStyle w:val="10"/>
        <w:keepNext w:val="0"/>
        <w:keepLines w:val="0"/>
        <w:pageBreakBefore w:val="0"/>
        <w:widowControl/>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纳税人识别号：</w:t>
      </w:r>
    </w:p>
    <w:p>
      <w:pPr>
        <w:pStyle w:val="10"/>
        <w:keepNext w:val="0"/>
        <w:keepLines w:val="0"/>
        <w:pageBreakBefore w:val="0"/>
        <w:widowControl/>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w:t>
      </w:r>
    </w:p>
    <w:p>
      <w:pPr>
        <w:pStyle w:val="10"/>
        <w:keepNext w:val="0"/>
        <w:keepLines w:val="0"/>
        <w:pageBreakBefore w:val="0"/>
        <w:widowControl/>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账号：</w:t>
      </w:r>
    </w:p>
    <w:p>
      <w:pPr>
        <w:pStyle w:val="10"/>
        <w:keepNext w:val="0"/>
        <w:keepLines w:val="0"/>
        <w:pageBreakBefore w:val="0"/>
        <w:widowControl/>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p>
    <w:p>
      <w:pPr>
        <w:pStyle w:val="10"/>
        <w:keepNext w:val="0"/>
        <w:keepLines w:val="0"/>
        <w:pageBreakBefore w:val="0"/>
        <w:widowControl/>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p>
    <w:p>
      <w:pPr>
        <w:pStyle w:val="10"/>
        <w:keepNext w:val="0"/>
        <w:keepLines w:val="0"/>
        <w:pageBreakBefore w:val="0"/>
        <w:widowControl/>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乙方（中标或成交人）：</w:t>
      </w:r>
    </w:p>
    <w:p>
      <w:pPr>
        <w:pStyle w:val="10"/>
        <w:keepNext w:val="0"/>
        <w:keepLines w:val="0"/>
        <w:pageBreakBefore w:val="0"/>
        <w:widowControl/>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法定（授权）代表人：</w:t>
      </w:r>
    </w:p>
    <w:p>
      <w:pPr>
        <w:pStyle w:val="10"/>
        <w:keepNext w:val="0"/>
        <w:keepLines w:val="0"/>
        <w:pageBreakBefore w:val="0"/>
        <w:widowControl/>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纳税人识别号：</w:t>
      </w:r>
    </w:p>
    <w:p>
      <w:pPr>
        <w:pStyle w:val="10"/>
        <w:keepNext w:val="0"/>
        <w:keepLines w:val="0"/>
        <w:pageBreakBefore w:val="0"/>
        <w:widowControl/>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w:t>
      </w:r>
    </w:p>
    <w:p>
      <w:pPr>
        <w:pStyle w:val="10"/>
        <w:keepNext w:val="0"/>
        <w:keepLines w:val="0"/>
        <w:pageBreakBefore w:val="0"/>
        <w:widowControl/>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账号：</w:t>
      </w:r>
    </w:p>
    <w:p>
      <w:pPr>
        <w:pStyle w:val="10"/>
        <w:keepNext w:val="0"/>
        <w:keepLines w:val="0"/>
        <w:pageBreakBefore w:val="0"/>
        <w:widowControl/>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p>
    <w:p>
      <w:pPr>
        <w:pStyle w:val="10"/>
        <w:keepNext w:val="0"/>
        <w:keepLines w:val="0"/>
        <w:pageBreakBefore w:val="0"/>
        <w:widowControl/>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签订地点：_____________</w:t>
      </w:r>
    </w:p>
    <w:p>
      <w:pPr>
        <w:pStyle w:val="10"/>
        <w:keepNext w:val="0"/>
        <w:keepLines w:val="0"/>
        <w:pageBreakBefore w:val="0"/>
        <w:widowControl/>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签订日期：____年___月___日</w:t>
      </w:r>
    </w:p>
    <w:p>
      <w:pPr>
        <w:pStyle w:val="10"/>
        <w:shd w:val="clear"/>
        <w:rPr>
          <w:rFonts w:hint="eastAsia" w:ascii="宋体" w:hAnsi="宋体" w:eastAsia="宋体" w:cs="宋体"/>
          <w:color w:val="auto"/>
          <w:sz w:val="24"/>
          <w:szCs w:val="24"/>
          <w:highlight w:val="none"/>
        </w:rPr>
      </w:pPr>
    </w:p>
    <w:p>
      <w:pPr>
        <w:pStyle w:val="10"/>
        <w:shd w:val="clea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pPr>
        <w:shd w:val="clear"/>
        <w:rPr>
          <w:rFonts w:hint="eastAsia" w:ascii="宋体" w:hAnsi="宋体" w:eastAsia="宋体" w:cs="宋体"/>
          <w:b/>
          <w:color w:val="auto"/>
          <w:sz w:val="24"/>
          <w:szCs w:val="24"/>
          <w:highlight w:val="none"/>
        </w:rPr>
      </w:pPr>
    </w:p>
    <w:p>
      <w:pP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br w:type="page"/>
      </w:r>
    </w:p>
    <w:p>
      <w:pPr>
        <w:pStyle w:val="10"/>
        <w:shd w:val="clear"/>
        <w:jc w:val="center"/>
        <w:rPr>
          <w:rFonts w:hint="eastAsia" w:ascii="宋体" w:hAnsi="宋体" w:eastAsia="宋体" w:cs="宋体"/>
          <w:color w:val="auto"/>
          <w:sz w:val="28"/>
          <w:szCs w:val="28"/>
          <w:highlight w:val="none"/>
        </w:rPr>
      </w:pPr>
      <w:r>
        <w:rPr>
          <w:rFonts w:hint="eastAsia" w:ascii="宋体" w:hAnsi="宋体" w:eastAsia="宋体" w:cs="宋体"/>
          <w:b/>
          <w:color w:val="auto"/>
          <w:sz w:val="28"/>
          <w:szCs w:val="28"/>
          <w:highlight w:val="none"/>
        </w:rPr>
        <w:t>第七章 电子投标文件格式</w:t>
      </w:r>
    </w:p>
    <w:p>
      <w:pPr>
        <w:pStyle w:val="10"/>
        <w:shd w:val="clear"/>
        <w:jc w:val="center"/>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编制说明</w:t>
      </w:r>
    </w:p>
    <w:p>
      <w:pPr>
        <w:pStyle w:val="10"/>
        <w:shd w:val="clear"/>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1、除招标文件另有规定外，本章中：</w:t>
      </w:r>
    </w:p>
    <w:p>
      <w:pPr>
        <w:pStyle w:val="10"/>
        <w:shd w:val="clear"/>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1.1涉及投标人的“全称”：</w:t>
      </w:r>
    </w:p>
    <w:p>
      <w:pPr>
        <w:pStyle w:val="10"/>
        <w:shd w:val="clear"/>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（1）不接受联合体投标的，指投标人的全称。</w:t>
      </w:r>
    </w:p>
    <w:p>
      <w:pPr>
        <w:pStyle w:val="10"/>
        <w:shd w:val="clear"/>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（2）接受联合体投标且投标人为联合体的，指牵头方的全称并加注（联合体牵头方），即应表述为：“牵头方的全称（联合体牵头方）”。</w:t>
      </w:r>
    </w:p>
    <w:p>
      <w:pPr>
        <w:pStyle w:val="10"/>
        <w:shd w:val="clear"/>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1.2涉及投标人“加盖单位公章”：</w:t>
      </w:r>
    </w:p>
    <w:p>
      <w:pPr>
        <w:pStyle w:val="10"/>
        <w:shd w:val="clear"/>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（1）不接受联合体投标的，指加盖投标人的单位公章。</w:t>
      </w:r>
    </w:p>
    <w:p>
      <w:pPr>
        <w:pStyle w:val="10"/>
        <w:shd w:val="clear"/>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（2）接受联合体投标且投标人为联合体的，指加盖联合体牵头方的单位公章。</w:t>
      </w:r>
    </w:p>
    <w:p>
      <w:pPr>
        <w:pStyle w:val="10"/>
        <w:shd w:val="clear"/>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1.3涉及“投标人代表签字”：</w:t>
      </w:r>
    </w:p>
    <w:p>
      <w:pPr>
        <w:pStyle w:val="10"/>
        <w:shd w:val="clear"/>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（1）不接受联合体投标的，指由投标人的单位负责人或其授权的委托代理人签字，由委托代理人签字的，应提供“单位授权书”。</w:t>
      </w:r>
    </w:p>
    <w:p>
      <w:pPr>
        <w:pStyle w:val="10"/>
        <w:shd w:val="clear"/>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（2）接受联合体投标且投标人为联合体的，指由联合体牵头方的单位负责人或其授权的委托代理人签字，由委托代理人签字的，应提供“单位授权书”。</w:t>
      </w:r>
    </w:p>
    <w:p>
      <w:pPr>
        <w:pStyle w:val="10"/>
        <w:shd w:val="clear"/>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1.4“其他组织”指合伙企业、非企业专业服务机构、个体工商户、农村承包经营户等。</w:t>
      </w:r>
    </w:p>
    <w:p>
      <w:pPr>
        <w:pStyle w:val="10"/>
        <w:shd w:val="clear"/>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1.5“自然人”指具有完全民事行为能力、能够承担民事责任和义务的中国公民。</w:t>
      </w:r>
    </w:p>
    <w:p>
      <w:pPr>
        <w:pStyle w:val="10"/>
        <w:shd w:val="clear"/>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2、除招标文件另有规定外，本章中“投标人的资格及资信证明文件”：</w:t>
      </w:r>
    </w:p>
    <w:p>
      <w:pPr>
        <w:pStyle w:val="10"/>
        <w:shd w:val="clear"/>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2.1投标人应按照招标文件第四章第1.3条第（2）款规定及本章规定进行编制，如有必要，可增加附页，附页作为资格及资信文件的组成部分。</w:t>
      </w:r>
    </w:p>
    <w:p>
      <w:pPr>
        <w:pStyle w:val="10"/>
        <w:shd w:val="clear"/>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2.2接受联合体投标且投标人为联合体的，联合体中的各方均应按照本章第2.1条规定提交相应的全部资料。</w:t>
      </w:r>
    </w:p>
    <w:p>
      <w:pPr>
        <w:pStyle w:val="10"/>
        <w:shd w:val="clear"/>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3、投标人对电子投标文件的索引应编制页码。</w:t>
      </w:r>
    </w:p>
    <w:p>
      <w:pPr>
        <w:pStyle w:val="10"/>
        <w:shd w:val="clear"/>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4、本章提供格式仅供参考，投标人应根据自身实际情况制作电子投标文件。</w:t>
      </w:r>
    </w:p>
    <w:p>
      <w:pPr>
        <w:pStyle w:val="10"/>
        <w:shd w:val="clear"/>
        <w:rPr>
          <w:rFonts w:hint="eastAsia" w:ascii="宋体" w:hAnsi="宋体" w:eastAsia="宋体" w:cs="宋体"/>
          <w:color w:val="auto"/>
          <w:sz w:val="24"/>
          <w:szCs w:val="24"/>
          <w:highlight w:val="none"/>
        </w:rPr>
      </w:pPr>
    </w:p>
    <w:p>
      <w:pPr>
        <w:pStyle w:val="10"/>
        <w:shd w:val="clea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pP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br w:type="page"/>
      </w:r>
    </w:p>
    <w:p>
      <w:pPr>
        <w:pStyle w:val="10"/>
        <w:keepNext w:val="0"/>
        <w:keepLines w:val="0"/>
        <w:pageBreakBefore w:val="0"/>
        <w:widowControl/>
        <w:shd w:val="clear"/>
        <w:kinsoku/>
        <w:wordWrap/>
        <w:overflowPunct/>
        <w:topLinePunct w:val="0"/>
        <w:autoSpaceDE/>
        <w:autoSpaceDN/>
        <w:bidi w:val="0"/>
        <w:adjustRightInd/>
        <w:snapToGrid/>
        <w:spacing w:line="500" w:lineRule="exact"/>
        <w:jc w:val="center"/>
        <w:textAlignment w:val="auto"/>
        <w:rPr>
          <w:rFonts w:hint="eastAsia" w:ascii="宋体" w:hAnsi="宋体" w:eastAsia="宋体" w:cs="宋体"/>
          <w:b/>
          <w:color w:val="auto"/>
          <w:sz w:val="40"/>
          <w:szCs w:val="40"/>
          <w:highlight w:val="none"/>
        </w:rPr>
      </w:pPr>
    </w:p>
    <w:p>
      <w:pPr>
        <w:pStyle w:val="10"/>
        <w:keepNext w:val="0"/>
        <w:keepLines w:val="0"/>
        <w:pageBreakBefore w:val="0"/>
        <w:widowControl/>
        <w:shd w:val="clear"/>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40"/>
          <w:szCs w:val="40"/>
          <w:highlight w:val="none"/>
        </w:rPr>
      </w:pPr>
      <w:r>
        <w:rPr>
          <w:rFonts w:hint="eastAsia" w:ascii="宋体" w:hAnsi="宋体" w:eastAsia="宋体" w:cs="宋体"/>
          <w:b/>
          <w:color w:val="auto"/>
          <w:sz w:val="40"/>
          <w:szCs w:val="40"/>
          <w:highlight w:val="none"/>
        </w:rPr>
        <w:t>封面格式(资格及资信证明部分)</w:t>
      </w:r>
    </w:p>
    <w:p>
      <w:pPr>
        <w:pStyle w:val="10"/>
        <w:keepNext w:val="0"/>
        <w:keepLines w:val="0"/>
        <w:pageBreakBefore w:val="0"/>
        <w:widowControl/>
        <w:shd w:val="clear"/>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40"/>
          <w:szCs w:val="40"/>
          <w:highlight w:val="none"/>
        </w:rPr>
      </w:pPr>
      <w:r>
        <w:rPr>
          <w:rFonts w:hint="eastAsia" w:ascii="宋体" w:hAnsi="宋体" w:eastAsia="宋体" w:cs="宋体"/>
          <w:b/>
          <w:color w:val="auto"/>
          <w:sz w:val="40"/>
          <w:szCs w:val="40"/>
          <w:highlight w:val="none"/>
        </w:rPr>
        <w:t>福建省政府采购投标文件</w:t>
      </w:r>
    </w:p>
    <w:p>
      <w:pPr>
        <w:pStyle w:val="10"/>
        <w:keepNext w:val="0"/>
        <w:keepLines w:val="0"/>
        <w:pageBreakBefore w:val="0"/>
        <w:widowControl/>
        <w:shd w:val="clear"/>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8"/>
          <w:szCs w:val="28"/>
          <w:highlight w:val="none"/>
        </w:rPr>
      </w:pPr>
      <w:r>
        <w:rPr>
          <w:rFonts w:hint="eastAsia" w:ascii="宋体" w:hAnsi="宋体" w:eastAsia="宋体" w:cs="宋体"/>
          <w:b/>
          <w:color w:val="auto"/>
          <w:sz w:val="40"/>
          <w:szCs w:val="40"/>
          <w:highlight w:val="none"/>
        </w:rPr>
        <w:t>（资格及资信证明部分）</w:t>
      </w:r>
      <w:r>
        <w:rPr>
          <w:rFonts w:hint="eastAsia" w:ascii="宋体" w:hAnsi="宋体" w:eastAsia="宋体" w:cs="宋体"/>
          <w:color w:val="auto"/>
          <w:sz w:val="28"/>
          <w:szCs w:val="28"/>
          <w:highlight w:val="none"/>
        </w:rPr>
        <w:br w:type="textWrapping"/>
      </w:r>
      <w:r>
        <w:rPr>
          <w:rFonts w:hint="eastAsia" w:ascii="宋体" w:hAnsi="宋体" w:eastAsia="宋体" w:cs="宋体"/>
          <w:color w:val="auto"/>
          <w:sz w:val="28"/>
          <w:szCs w:val="28"/>
          <w:highlight w:val="none"/>
        </w:rPr>
        <w:br w:type="textWrapping"/>
      </w:r>
      <w:r>
        <w:rPr>
          <w:rFonts w:hint="eastAsia" w:ascii="宋体" w:hAnsi="宋体" w:eastAsia="宋体" w:cs="宋体"/>
          <w:color w:val="auto"/>
          <w:sz w:val="28"/>
          <w:szCs w:val="28"/>
          <w:highlight w:val="none"/>
        </w:rPr>
        <w:br w:type="textWrapping"/>
      </w:r>
    </w:p>
    <w:p>
      <w:pPr>
        <w:pStyle w:val="10"/>
        <w:keepNext w:val="0"/>
        <w:keepLines w:val="0"/>
        <w:pageBreakBefore w:val="0"/>
        <w:widowControl/>
        <w:shd w:val="clear"/>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8"/>
          <w:szCs w:val="28"/>
          <w:highlight w:val="none"/>
        </w:rPr>
      </w:pPr>
      <w:r>
        <w:rPr>
          <w:rFonts w:hint="eastAsia" w:ascii="宋体" w:hAnsi="宋体" w:eastAsia="宋体" w:cs="宋体"/>
          <w:b/>
          <w:color w:val="auto"/>
          <w:sz w:val="28"/>
          <w:szCs w:val="28"/>
          <w:highlight w:val="none"/>
        </w:rPr>
        <w:t>（填写正本或副本）</w:t>
      </w:r>
      <w:r>
        <w:rPr>
          <w:rFonts w:hint="eastAsia" w:ascii="宋体" w:hAnsi="宋体" w:eastAsia="宋体" w:cs="宋体"/>
          <w:color w:val="auto"/>
          <w:sz w:val="28"/>
          <w:szCs w:val="28"/>
          <w:highlight w:val="none"/>
        </w:rPr>
        <w:br w:type="textWrapping"/>
      </w:r>
      <w:r>
        <w:rPr>
          <w:rFonts w:hint="eastAsia" w:ascii="宋体" w:hAnsi="宋体" w:eastAsia="宋体" w:cs="宋体"/>
          <w:color w:val="auto"/>
          <w:sz w:val="28"/>
          <w:szCs w:val="28"/>
          <w:highlight w:val="none"/>
        </w:rPr>
        <w:br w:type="textWrapping"/>
      </w:r>
      <w:r>
        <w:rPr>
          <w:rFonts w:hint="eastAsia" w:ascii="宋体" w:hAnsi="宋体" w:eastAsia="宋体" w:cs="宋体"/>
          <w:color w:val="auto"/>
          <w:sz w:val="28"/>
          <w:szCs w:val="28"/>
          <w:highlight w:val="none"/>
        </w:rPr>
        <w:br w:type="textWrapping"/>
      </w:r>
      <w:r>
        <w:rPr>
          <w:rFonts w:hint="eastAsia" w:ascii="宋体" w:hAnsi="宋体" w:eastAsia="宋体" w:cs="宋体"/>
          <w:color w:val="auto"/>
          <w:sz w:val="28"/>
          <w:szCs w:val="28"/>
          <w:highlight w:val="none"/>
        </w:rPr>
        <w:br w:type="textWrapping"/>
      </w:r>
      <w:r>
        <w:rPr>
          <w:rFonts w:hint="eastAsia" w:ascii="宋体" w:hAnsi="宋体" w:eastAsia="宋体" w:cs="宋体"/>
          <w:color w:val="auto"/>
          <w:sz w:val="28"/>
          <w:szCs w:val="28"/>
          <w:highlight w:val="none"/>
        </w:rPr>
        <w:br w:type="textWrapping"/>
      </w:r>
    </w:p>
    <w:p>
      <w:pPr>
        <w:pStyle w:val="10"/>
        <w:keepNext w:val="0"/>
        <w:keepLines w:val="0"/>
        <w:pageBreakBefore w:val="0"/>
        <w:widowControl/>
        <w:shd w:val="clear"/>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8"/>
          <w:szCs w:val="28"/>
          <w:highlight w:val="none"/>
        </w:rPr>
      </w:pPr>
      <w:r>
        <w:rPr>
          <w:rFonts w:hint="eastAsia" w:ascii="宋体" w:hAnsi="宋体" w:eastAsia="宋体" w:cs="宋体"/>
          <w:b/>
          <w:color w:val="auto"/>
          <w:sz w:val="28"/>
          <w:szCs w:val="28"/>
          <w:highlight w:val="none"/>
        </w:rPr>
        <w:t>（项目名称：（由投标人填写）</w:t>
      </w:r>
    </w:p>
    <w:p>
      <w:pPr>
        <w:pStyle w:val="10"/>
        <w:keepNext w:val="0"/>
        <w:keepLines w:val="0"/>
        <w:pageBreakBefore w:val="0"/>
        <w:widowControl/>
        <w:shd w:val="clear"/>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8"/>
          <w:szCs w:val="28"/>
          <w:highlight w:val="none"/>
        </w:rPr>
      </w:pPr>
      <w:r>
        <w:rPr>
          <w:rFonts w:hint="eastAsia" w:ascii="宋体" w:hAnsi="宋体" w:eastAsia="宋体" w:cs="宋体"/>
          <w:b/>
          <w:color w:val="auto"/>
          <w:sz w:val="28"/>
          <w:szCs w:val="28"/>
          <w:highlight w:val="none"/>
        </w:rPr>
        <w:t>（备案编号：（由投标人填写）</w:t>
      </w:r>
    </w:p>
    <w:p>
      <w:pPr>
        <w:pStyle w:val="10"/>
        <w:keepNext w:val="0"/>
        <w:keepLines w:val="0"/>
        <w:pageBreakBefore w:val="0"/>
        <w:widowControl/>
        <w:shd w:val="clear"/>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8"/>
          <w:szCs w:val="28"/>
          <w:highlight w:val="none"/>
        </w:rPr>
      </w:pPr>
      <w:r>
        <w:rPr>
          <w:rFonts w:hint="eastAsia" w:ascii="宋体" w:hAnsi="宋体" w:eastAsia="宋体" w:cs="宋体"/>
          <w:b/>
          <w:color w:val="auto"/>
          <w:sz w:val="28"/>
          <w:szCs w:val="28"/>
          <w:highlight w:val="none"/>
        </w:rPr>
        <w:t>（项目编号：（由投标人填写）</w:t>
      </w:r>
    </w:p>
    <w:p>
      <w:pPr>
        <w:pStyle w:val="10"/>
        <w:keepNext w:val="0"/>
        <w:keepLines w:val="0"/>
        <w:pageBreakBefore w:val="0"/>
        <w:widowControl/>
        <w:shd w:val="clear"/>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8"/>
          <w:szCs w:val="28"/>
          <w:highlight w:val="none"/>
        </w:rPr>
      </w:pPr>
      <w:r>
        <w:rPr>
          <w:rFonts w:hint="eastAsia" w:ascii="宋体" w:hAnsi="宋体" w:eastAsia="宋体" w:cs="宋体"/>
          <w:b/>
          <w:color w:val="auto"/>
          <w:sz w:val="28"/>
          <w:szCs w:val="28"/>
          <w:highlight w:val="none"/>
        </w:rPr>
        <w:t>（所投采购包：（由投标人填写）</w:t>
      </w:r>
      <w:r>
        <w:rPr>
          <w:rFonts w:hint="eastAsia" w:ascii="宋体" w:hAnsi="宋体" w:eastAsia="宋体" w:cs="宋体"/>
          <w:color w:val="auto"/>
          <w:sz w:val="28"/>
          <w:szCs w:val="28"/>
          <w:highlight w:val="none"/>
        </w:rPr>
        <w:br w:type="textWrapping"/>
      </w:r>
      <w:r>
        <w:rPr>
          <w:rFonts w:hint="eastAsia" w:ascii="宋体" w:hAnsi="宋体" w:eastAsia="宋体" w:cs="宋体"/>
          <w:color w:val="auto"/>
          <w:sz w:val="28"/>
          <w:szCs w:val="28"/>
          <w:highlight w:val="none"/>
        </w:rPr>
        <w:br w:type="textWrapping"/>
      </w:r>
    </w:p>
    <w:p>
      <w:pPr>
        <w:pStyle w:val="10"/>
        <w:keepNext w:val="0"/>
        <w:keepLines w:val="0"/>
        <w:pageBreakBefore w:val="0"/>
        <w:widowControl/>
        <w:shd w:val="clear"/>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8"/>
          <w:szCs w:val="28"/>
          <w:highlight w:val="none"/>
        </w:rPr>
      </w:pPr>
    </w:p>
    <w:p>
      <w:pPr>
        <w:pStyle w:val="10"/>
        <w:keepNext w:val="0"/>
        <w:keepLines w:val="0"/>
        <w:pageBreakBefore w:val="0"/>
        <w:widowControl/>
        <w:shd w:val="clear"/>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8"/>
          <w:szCs w:val="28"/>
          <w:highlight w:val="none"/>
        </w:rPr>
      </w:pPr>
    </w:p>
    <w:p>
      <w:pPr>
        <w:pStyle w:val="10"/>
        <w:keepNext w:val="0"/>
        <w:keepLines w:val="0"/>
        <w:pageBreakBefore w:val="0"/>
        <w:widowControl/>
        <w:shd w:val="clear"/>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8"/>
          <w:szCs w:val="28"/>
          <w:highlight w:val="none"/>
        </w:rPr>
      </w:pPr>
      <w:r>
        <w:rPr>
          <w:rFonts w:hint="eastAsia" w:ascii="宋体" w:hAnsi="宋体" w:eastAsia="宋体" w:cs="宋体"/>
          <w:b/>
          <w:color w:val="auto"/>
          <w:sz w:val="28"/>
          <w:szCs w:val="28"/>
          <w:highlight w:val="none"/>
        </w:rPr>
        <w:t>投标人：（填写“全称”）</w:t>
      </w:r>
    </w:p>
    <w:p>
      <w:pPr>
        <w:pStyle w:val="10"/>
        <w:keepNext w:val="0"/>
        <w:keepLines w:val="0"/>
        <w:pageBreakBefore w:val="0"/>
        <w:widowControl/>
        <w:shd w:val="clear"/>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8"/>
          <w:szCs w:val="28"/>
          <w:highlight w:val="none"/>
        </w:rPr>
      </w:pPr>
      <w:r>
        <w:rPr>
          <w:rFonts w:hint="eastAsia" w:ascii="宋体" w:hAnsi="宋体" w:eastAsia="宋体" w:cs="宋体"/>
          <w:b/>
          <w:color w:val="auto"/>
          <w:sz w:val="28"/>
          <w:szCs w:val="28"/>
          <w:highlight w:val="none"/>
        </w:rPr>
        <w:t>（由投标人填写）年（由投标人填写）月</w:t>
      </w:r>
    </w:p>
    <w:p>
      <w:pPr>
        <w:pStyle w:val="10"/>
        <w:shd w:val="clear"/>
        <w:rPr>
          <w:rFonts w:hint="eastAsia" w:ascii="宋体" w:hAnsi="宋体" w:eastAsia="宋体" w:cs="宋体"/>
          <w:color w:val="auto"/>
          <w:sz w:val="24"/>
          <w:szCs w:val="24"/>
          <w:highlight w:val="none"/>
        </w:rPr>
      </w:pPr>
    </w:p>
    <w:p>
      <w:pPr>
        <w:pStyle w:val="10"/>
        <w:shd w:val="clea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pP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br w:type="page"/>
      </w:r>
    </w:p>
    <w:p>
      <w:pPr>
        <w:pStyle w:val="10"/>
        <w:shd w:val="clear"/>
        <w:jc w:val="center"/>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索引</w:t>
      </w:r>
    </w:p>
    <w:p>
      <w:pPr>
        <w:pStyle w:val="10"/>
        <w:shd w:val="clear"/>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一、投标函</w:t>
      </w:r>
    </w:p>
    <w:p>
      <w:pPr>
        <w:pStyle w:val="10"/>
        <w:shd w:val="clear"/>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二、投标人的资格及资信证明文件</w:t>
      </w:r>
    </w:p>
    <w:p>
      <w:pPr>
        <w:pStyle w:val="10"/>
        <w:shd w:val="clear"/>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三、投标保证金</w:t>
      </w:r>
    </w:p>
    <w:p>
      <w:pPr>
        <w:pStyle w:val="10"/>
        <w:shd w:val="clear"/>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※注意</w:t>
      </w:r>
    </w:p>
    <w:p>
      <w:pPr>
        <w:pStyle w:val="10"/>
        <w:shd w:val="clear"/>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资格及资信证明部分中不得出现报价部分的全部或部分的投标报价信息（或组成资料），否则资格审查不合格。（联合体协议及分包意向协议中的比例规定，不适用本条款）</w:t>
      </w:r>
    </w:p>
    <w:p>
      <w:pPr>
        <w:pStyle w:val="10"/>
        <w:shd w:val="clear"/>
        <w:rPr>
          <w:rFonts w:hint="eastAsia" w:ascii="宋体" w:hAnsi="宋体" w:eastAsia="宋体" w:cs="宋体"/>
          <w:color w:val="auto"/>
          <w:sz w:val="24"/>
          <w:szCs w:val="24"/>
          <w:highlight w:val="none"/>
        </w:rPr>
      </w:pPr>
    </w:p>
    <w:p>
      <w:pPr>
        <w:pStyle w:val="10"/>
        <w:shd w:val="clea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pP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br w:type="page"/>
      </w:r>
    </w:p>
    <w:p>
      <w:pPr>
        <w:pStyle w:val="10"/>
        <w:keepNext w:val="0"/>
        <w:keepLines w:val="0"/>
        <w:pageBreakBefore w:val="0"/>
        <w:widowControl/>
        <w:shd w:val="clear"/>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一、投标函</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致：（采购人或采购代理机构）</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兹收到贵单位关于（填写“项目名称”）项目（项目编号：　　　　　）的投标邀请，本投标人代表（填写“全名”）已获得我方正式授权并代表投标人（填写“全称”）参加投标，并提交电子投标文件。我方提交的全部电子投标文件由下述部分组成：</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（1）资格及资信证明部分</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①投标函</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②投标人的资格及资信证明文件</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③投标保证金</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（2）报价部分</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①开标一览表</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②投标分项报价表</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③招标文件规定的价格扣除证明材料（若有）</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④招标文件规定的加分证明材料（若有）</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（3）技术商务部分</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①标的说明一览表</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②技术和服务要求响应表</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③商务条件响应表</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④投标人提交的其他资料（若有）</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根据本函，本投标人代表宣布我方保证遵守招标文件的全部规定，同时：</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1、确认：</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1.1所投采购包的投标报价详见“开标一览表”及“投标分项报价表”。</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1.2我方已详细审查全部招标文件[包括但不限于：有关附件（若有）、澄清或修改（若有）等]，并自行承担因对全部招标文件理解不正确或误解而产生的相应后果和责任。</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2、承诺及声明：</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2.1我方具备招标文件第一章载明的“投标人的资格要求”且符合招标文件第三章载明的“二、投标人”之规定，否则投标无效。</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2.2我方提交的电子投标文件各组成部分的全部内容及资料是不可割离且真实、有效、准确、完整和不具有任何误导性的，否则产生不利后果由我方承担责任。</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2.3我方提供的标的价格不高于同期市场价格，否则产生不利后果由我方承担责任。</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2.4投标保证金：若出现招标文件第三章规定的不予退还情形，同意贵单位不予退还。</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2.5投标有效期：按照招标文件第三章规定执行，并在招标文件第二章载明的期限内保持有效。</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2.6若中标，将按照招标文件、我方电子投标文件及政府采购合同履行责任和义务。</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2.7若贵单位要求，我方同意提供与本项目投标有关的一切资料、数据或文件，并完全理解贵单位不一定要接受最低的投标报价或收到的任何投标。</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2.8我方承诺电子投标文件所提供的全部资料真实可靠，并接受评标委员会、采购人、采购代理机构、监管部门进一步审查其中任何资料真实性的要求。</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2.9除招标文件另有规定外，对于贵单位按照下述联络方式发出的任何信息或通知，均视为我方已收悉前述信息或通知的全部内容：</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通信地址：             </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 xml:space="preserve">                          </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邮编：             </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 xml:space="preserve">                             </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联系方法：（包括但不限于：联系人、联系电话、手机、传真、电子邮箱等）</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投标人：（全称并加盖单位公章）</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    年   月   日</w:t>
      </w:r>
    </w:p>
    <w:p>
      <w:pPr>
        <w:pStyle w:val="10"/>
        <w:keepNext w:val="0"/>
        <w:keepLines w:val="0"/>
        <w:pageBreakBefore w:val="0"/>
        <w:widowControl/>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p>
    <w:p>
      <w:pPr>
        <w:pStyle w:val="10"/>
        <w:keepNext w:val="0"/>
        <w:keepLines w:val="0"/>
        <w:pageBreakBefore w:val="0"/>
        <w:widowControl/>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pPr>
        <w:pStyle w:val="10"/>
        <w:keepNext w:val="0"/>
        <w:keepLines w:val="0"/>
        <w:pageBreakBefore w:val="0"/>
        <w:widowControl/>
        <w:shd w:val="clear"/>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二、投标人的资格及资信证明文件</w:t>
      </w:r>
    </w:p>
    <w:p>
      <w:pPr>
        <w:pStyle w:val="10"/>
        <w:keepNext w:val="0"/>
        <w:keepLines w:val="0"/>
        <w:pageBreakBefore w:val="0"/>
        <w:widowControl/>
        <w:shd w:val="clear"/>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二-1单位授权书（若有）</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rPr>
        <w:t>（采购人或采购代理机构）</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我方的单位负责人</w:t>
      </w:r>
      <w:r>
        <w:rPr>
          <w:rFonts w:hint="eastAsia" w:ascii="宋体" w:hAnsi="宋体" w:eastAsia="宋体" w:cs="宋体"/>
          <w:color w:val="auto"/>
          <w:sz w:val="24"/>
          <w:szCs w:val="24"/>
          <w:highlight w:val="none"/>
          <w:u w:val="single"/>
        </w:rPr>
        <w:t>（填写“单位负责人全名”）</w:t>
      </w:r>
      <w:r>
        <w:rPr>
          <w:rFonts w:hint="eastAsia" w:ascii="宋体" w:hAnsi="宋体" w:eastAsia="宋体" w:cs="宋体"/>
          <w:color w:val="auto"/>
          <w:sz w:val="24"/>
          <w:szCs w:val="24"/>
          <w:highlight w:val="none"/>
        </w:rPr>
        <w:t>授权</w:t>
      </w:r>
      <w:r>
        <w:rPr>
          <w:rFonts w:hint="eastAsia" w:ascii="宋体" w:hAnsi="宋体" w:eastAsia="宋体" w:cs="宋体"/>
          <w:color w:val="auto"/>
          <w:sz w:val="24"/>
          <w:szCs w:val="24"/>
          <w:highlight w:val="none"/>
          <w:u w:val="single"/>
        </w:rPr>
        <w:t>（填写“投标人代表全名”）</w:t>
      </w:r>
      <w:r>
        <w:rPr>
          <w:rFonts w:hint="eastAsia" w:ascii="宋体" w:hAnsi="宋体" w:eastAsia="宋体" w:cs="宋体"/>
          <w:color w:val="auto"/>
          <w:sz w:val="24"/>
          <w:szCs w:val="24"/>
          <w:highlight w:val="none"/>
        </w:rPr>
        <w:t>为投标人代表，代表我方参加</w:t>
      </w:r>
      <w:r>
        <w:rPr>
          <w:rFonts w:hint="eastAsia" w:ascii="宋体" w:hAnsi="宋体" w:eastAsia="宋体" w:cs="宋体"/>
          <w:color w:val="auto"/>
          <w:sz w:val="24"/>
          <w:szCs w:val="24"/>
          <w:highlight w:val="none"/>
          <w:u w:val="single"/>
        </w:rPr>
        <w:t>（填写“项目名称”）</w:t>
      </w:r>
      <w:r>
        <w:rPr>
          <w:rFonts w:hint="eastAsia" w:ascii="宋体" w:hAnsi="宋体" w:eastAsia="宋体" w:cs="宋体"/>
          <w:color w:val="auto"/>
          <w:sz w:val="24"/>
          <w:szCs w:val="24"/>
          <w:highlight w:val="none"/>
        </w:rPr>
        <w:t>项目（项目编号：</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的投标，全权代表我方处理投标过程的一切事宜，包括但不限于：投标、参加开标、谈判、澄清、签约等。投标人代表在投标过程中所签署的一切文件和处理与之有关的一切事务，我方均予以认可并对此承担责任。</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投标人代表无转委权。特此授权。</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（以下无正文）</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单位负责人：</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身份证号：</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手机：</w:t>
      </w:r>
      <w:r>
        <w:rPr>
          <w:rFonts w:hint="eastAsia" w:ascii="宋体" w:hAnsi="宋体" w:eastAsia="宋体" w:cs="宋体"/>
          <w:color w:val="auto"/>
          <w:sz w:val="24"/>
          <w:szCs w:val="24"/>
          <w:highlight w:val="none"/>
          <w:u w:val="single"/>
        </w:rPr>
        <w:t>　　　　　</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投标人代表：</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身份证号：</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手机：</w:t>
      </w:r>
      <w:r>
        <w:rPr>
          <w:rFonts w:hint="eastAsia" w:ascii="宋体" w:hAnsi="宋体" w:eastAsia="宋体" w:cs="宋体"/>
          <w:color w:val="auto"/>
          <w:sz w:val="24"/>
          <w:szCs w:val="24"/>
          <w:highlight w:val="none"/>
          <w:u w:val="single"/>
        </w:rPr>
        <w:t>　　　　　</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授权方</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u w:val="single"/>
        </w:rPr>
        <w:t>（全称并加盖单位公章）</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单位负责人签字或盖章：</w:t>
      </w:r>
      <w:r>
        <w:rPr>
          <w:rFonts w:hint="eastAsia" w:ascii="宋体" w:hAnsi="宋体" w:eastAsia="宋体" w:cs="宋体"/>
          <w:color w:val="auto"/>
          <w:sz w:val="24"/>
          <w:szCs w:val="24"/>
          <w:highlight w:val="none"/>
          <w:u w:val="single"/>
        </w:rPr>
        <w:t>　　　　　</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接受授权方</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供应商代表签字</w:t>
      </w:r>
      <w:r>
        <w:rPr>
          <w:rFonts w:hint="eastAsia" w:ascii="宋体" w:hAnsi="宋体" w:eastAsia="宋体" w:cs="宋体"/>
          <w:color w:val="auto"/>
          <w:sz w:val="24"/>
          <w:szCs w:val="24"/>
          <w:highlight w:val="none"/>
          <w:u w:val="single"/>
        </w:rPr>
        <w:t>　　            　　　</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签署日期： 年 月 日</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附：单位负责人、投标人代表的身份证正反面复印件</w:t>
      </w:r>
    </w:p>
    <w:p>
      <w:pPr>
        <w:pStyle w:val="10"/>
        <w:keepNext w:val="0"/>
        <w:keepLines w:val="0"/>
        <w:pageBreakBefore w:val="0"/>
        <w:widowControl/>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p>
    <w:p>
      <w:pPr>
        <w:pStyle w:val="10"/>
        <w:keepNext w:val="0"/>
        <w:keepLines w:val="0"/>
        <w:pageBreakBefore w:val="0"/>
        <w:widowControl/>
        <w:pBdr>
          <w:top w:val="dashed" w:color="000000" w:sz="4" w:space="0"/>
          <w:left w:val="dashed" w:color="000000" w:sz="4" w:space="0"/>
          <w:bottom w:val="dashed" w:color="000000" w:sz="4" w:space="0"/>
          <w:right w:val="dashed" w:color="000000" w:sz="4" w:space="0"/>
        </w:pBdr>
        <w:shd w:val="clear"/>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p>
    <w:p>
      <w:pPr>
        <w:pStyle w:val="10"/>
        <w:keepNext w:val="0"/>
        <w:keepLines w:val="0"/>
        <w:pageBreakBefore w:val="0"/>
        <w:widowControl/>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要求：真实有效且内容完整、清晰、整洁。</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※注意：</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1、企业（银行、保险、石油石化、电力、电信等行业除外）、事业单位和社会团体法人的“单位负责人”指法定代表人，即与实际提交的“营业执照等证明文件”载明的一致。</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3、投标人（自然人除外）：若投标人代表为单位授权的委托代理人，应提供本授权书；若投标人代表为单位负责人，应在此项下提交其身份证正反面复印件，可不提供本授权书。</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4、投标人为自然人的，可不填写本授权书。</w:t>
      </w:r>
    </w:p>
    <w:p>
      <w:pPr>
        <w:pStyle w:val="10"/>
        <w:keepNext w:val="0"/>
        <w:keepLines w:val="0"/>
        <w:pageBreakBefore w:val="0"/>
        <w:widowControl/>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pPr>
        <w:pStyle w:val="10"/>
        <w:keepNext w:val="0"/>
        <w:keepLines w:val="0"/>
        <w:pageBreakBefore w:val="0"/>
        <w:widowControl/>
        <w:shd w:val="clear"/>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二-2营业执照等证明文件</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rPr>
        <w:t>（采购人或采购代理机构）</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）投标人为法人（包括企业、事业单位和社会团体）的</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现附上由</w:t>
      </w:r>
      <w:r>
        <w:rPr>
          <w:rFonts w:hint="eastAsia" w:ascii="宋体" w:hAnsi="宋体" w:eastAsia="宋体" w:cs="宋体"/>
          <w:color w:val="auto"/>
          <w:sz w:val="24"/>
          <w:szCs w:val="24"/>
          <w:highlight w:val="none"/>
          <w:u w:val="single"/>
        </w:rPr>
        <w:t>（（填写“签发机关全称”）</w:t>
      </w:r>
      <w:r>
        <w:rPr>
          <w:rFonts w:hint="eastAsia" w:ascii="宋体" w:hAnsi="宋体" w:eastAsia="宋体" w:cs="宋体"/>
          <w:color w:val="auto"/>
          <w:sz w:val="24"/>
          <w:szCs w:val="24"/>
          <w:highlight w:val="none"/>
        </w:rPr>
        <w:t>签发的我方统一社会信用代码（请填写法人的具体证照名称）复印件，该证明材料真实有效，否则我方负全部责任。</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）投标人为非法人（包括其他组织、自然人）的</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□现附上由</w:t>
      </w:r>
      <w:r>
        <w:rPr>
          <w:rFonts w:hint="eastAsia" w:ascii="宋体" w:hAnsi="宋体" w:eastAsia="宋体" w:cs="宋体"/>
          <w:color w:val="auto"/>
          <w:sz w:val="24"/>
          <w:szCs w:val="24"/>
          <w:highlight w:val="none"/>
          <w:u w:val="single"/>
        </w:rPr>
        <w:t>（（填写“签发机关全称”）</w:t>
      </w:r>
      <w:r>
        <w:rPr>
          <w:rFonts w:hint="eastAsia" w:ascii="宋体" w:hAnsi="宋体" w:eastAsia="宋体" w:cs="宋体"/>
          <w:color w:val="auto"/>
          <w:sz w:val="24"/>
          <w:szCs w:val="24"/>
          <w:highlight w:val="none"/>
        </w:rPr>
        <w:t>签发的我方（请填写非自然人的非法人的具体证照名称）复印件，该证明材料真实有效，否则我方负全部责任。</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□现附上由</w:t>
      </w:r>
      <w:r>
        <w:rPr>
          <w:rFonts w:hint="eastAsia" w:ascii="宋体" w:hAnsi="宋体" w:eastAsia="宋体" w:cs="宋体"/>
          <w:color w:val="auto"/>
          <w:sz w:val="24"/>
          <w:szCs w:val="24"/>
          <w:highlight w:val="none"/>
          <w:u w:val="single"/>
        </w:rPr>
        <w:t>（（填写“签发机关全称”）</w:t>
      </w:r>
      <w:r>
        <w:rPr>
          <w:rFonts w:hint="eastAsia" w:ascii="宋体" w:hAnsi="宋体" w:eastAsia="宋体" w:cs="宋体"/>
          <w:color w:val="auto"/>
          <w:sz w:val="24"/>
          <w:szCs w:val="24"/>
          <w:highlight w:val="none"/>
        </w:rPr>
        <w:t>签发的我方（请填写自然人的身份证件名称）复印件，该证明材料真实有效，否则我方负全部责任。</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※注意：</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1、请投标人按照实际情况编制填写，在相应的（）中打“√”并选择相应的“□”（若有）后，再按照本格式的要求提供相应证明材料的复印件。</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u w:val="single"/>
        </w:rPr>
        <w:t>（全称并加盖单位公章）</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年　　月　　日</w:t>
      </w:r>
    </w:p>
    <w:p>
      <w:pPr>
        <w:pStyle w:val="10"/>
        <w:keepNext w:val="0"/>
        <w:keepLines w:val="0"/>
        <w:pageBreakBefore w:val="0"/>
        <w:widowControl/>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pPr>
        <w:pStyle w:val="10"/>
        <w:keepNext w:val="0"/>
        <w:keepLines w:val="0"/>
        <w:pageBreakBefore w:val="0"/>
        <w:widowControl/>
        <w:shd w:val="clear"/>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二-3财务状况报告（财务报告、或资信证明）</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rPr>
        <w:t>（采购人或采购代理机构）</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）投标人提供财务报告的</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□企业适用：现附上我方</w:t>
      </w:r>
      <w:r>
        <w:rPr>
          <w:rFonts w:hint="eastAsia" w:ascii="宋体" w:hAnsi="宋体" w:eastAsia="宋体" w:cs="宋体"/>
          <w:color w:val="auto"/>
          <w:sz w:val="24"/>
          <w:szCs w:val="24"/>
          <w:highlight w:val="none"/>
          <w:u w:val="single"/>
        </w:rPr>
        <w:t>（填写“具体的年度、或半年度、季度”）</w:t>
      </w:r>
      <w:r>
        <w:rPr>
          <w:rFonts w:hint="eastAsia" w:ascii="宋体" w:hAnsi="宋体" w:eastAsia="宋体" w:cs="宋体"/>
          <w:color w:val="auto"/>
          <w:sz w:val="24"/>
          <w:szCs w:val="24"/>
          <w:highlight w:val="none"/>
        </w:rPr>
        <w:t>财务报告复印件，包括资产负债表、利润表、现金流量表、所有者权益变动表（若有）及其附注（若有）、会计师事务所营业执照和注册会计师资格证书，上述证明材料真实有效，否则我方负全部责任。</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□事业单位适用：现附上我方</w:t>
      </w:r>
      <w:r>
        <w:rPr>
          <w:rFonts w:hint="eastAsia" w:ascii="宋体" w:hAnsi="宋体" w:eastAsia="宋体" w:cs="宋体"/>
          <w:color w:val="auto"/>
          <w:sz w:val="24"/>
          <w:szCs w:val="24"/>
          <w:highlight w:val="none"/>
          <w:u w:val="single"/>
        </w:rPr>
        <w:t>（填写“具体的年度、或半年度、或季度”）</w:t>
      </w:r>
      <w:r>
        <w:rPr>
          <w:rFonts w:hint="eastAsia" w:ascii="宋体" w:hAnsi="宋体" w:eastAsia="宋体" w:cs="宋体"/>
          <w:color w:val="auto"/>
          <w:sz w:val="24"/>
          <w:szCs w:val="24"/>
          <w:highlight w:val="none"/>
        </w:rPr>
        <w:t>财务报告复印件，包括资产负债表、收入支出表（或收入费用表）、财政补助收入支出表（若有）、会计师事务所营业执照和注册会计师资格证书，上述证明材料真实有效，否则我方负全部责任。</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□社会团体、民办非企适用：现附上我方</w:t>
      </w:r>
      <w:r>
        <w:rPr>
          <w:rFonts w:hint="eastAsia" w:ascii="宋体" w:hAnsi="宋体" w:eastAsia="宋体" w:cs="宋体"/>
          <w:color w:val="auto"/>
          <w:sz w:val="24"/>
          <w:szCs w:val="24"/>
          <w:highlight w:val="none"/>
          <w:u w:val="single"/>
        </w:rPr>
        <w:t>（填写“具体的年度、或半年度、或季度”）</w:t>
      </w:r>
      <w:r>
        <w:rPr>
          <w:rFonts w:hint="eastAsia" w:ascii="宋体" w:hAnsi="宋体" w:eastAsia="宋体" w:cs="宋体"/>
          <w:color w:val="auto"/>
          <w:sz w:val="24"/>
          <w:szCs w:val="24"/>
          <w:highlight w:val="none"/>
        </w:rPr>
        <w:t>财务报告复印件，包括资产负债表、业务活动表、现金流量表、会计师事务所营业执照和注册会计师资格证书，上述证明材料真实有效，否则我方负全部责任。</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）投标人提供资信证明的</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□非自然人适用（包括企业、事业单位、社会团体和其他组织）：现附上我方银行：</w:t>
      </w:r>
      <w:r>
        <w:rPr>
          <w:rFonts w:hint="eastAsia" w:ascii="宋体" w:hAnsi="宋体" w:eastAsia="宋体" w:cs="宋体"/>
          <w:color w:val="auto"/>
          <w:sz w:val="24"/>
          <w:szCs w:val="24"/>
          <w:highlight w:val="none"/>
          <w:u w:val="single"/>
        </w:rPr>
        <w:t>（填写“开户银行全称”）</w:t>
      </w:r>
      <w:r>
        <w:rPr>
          <w:rFonts w:hint="eastAsia" w:ascii="宋体" w:hAnsi="宋体" w:eastAsia="宋体" w:cs="宋体"/>
          <w:color w:val="auto"/>
          <w:sz w:val="24"/>
          <w:szCs w:val="24"/>
          <w:highlight w:val="none"/>
        </w:rPr>
        <w:t>出具的资信证明复印件，上述证明材料真实有效，否则我方负全部责任。</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□自然人适用：现附上我方银行</w:t>
      </w:r>
      <w:r>
        <w:rPr>
          <w:rFonts w:hint="eastAsia" w:ascii="宋体" w:hAnsi="宋体" w:eastAsia="宋体" w:cs="宋体"/>
          <w:color w:val="auto"/>
          <w:sz w:val="24"/>
          <w:szCs w:val="24"/>
          <w:highlight w:val="none"/>
          <w:u w:val="single"/>
        </w:rPr>
        <w:t>：（填写自然人的“个人账户的开户银行全称”）</w:t>
      </w:r>
      <w:r>
        <w:rPr>
          <w:rFonts w:hint="eastAsia" w:ascii="宋体" w:hAnsi="宋体" w:eastAsia="宋体" w:cs="宋体"/>
          <w:color w:val="auto"/>
          <w:sz w:val="24"/>
          <w:szCs w:val="24"/>
          <w:highlight w:val="none"/>
        </w:rPr>
        <w:t>出具的资信证明复印件，上述证明材料真实有效，否则我方负全部责任。</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※注意：</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1、请投标人按照实际情况编制填写，在相应的（）中打“√”并选择相应的“□”（若有）后，再按照本格式的要求提供相应证明材料的复印件。</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2、投标人提供的财务报告复印件（成立年限按照投标截止时间推算）应符合下列规定：</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2.1成立年限满1年及以上的投标人，提供经审计的招标文件规定的年度财务报告。</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2.2成立年限满半年但不足1年的投标人，提供该半年度中任一季度的季度财务报告或该半年度的半年度财务报告。</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无法按照本格式第2.1、2.2条规定提供财务报告复印件的投标人（包括但不限于：成立年限满1年及以上的投标人、成立年限满半年但不足1年的投标人、成立年限不足半年的投标人），应按照本格式的要求选择提供资信证明复印件。</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u w:val="single"/>
        </w:rPr>
        <w:t>（全称并加盖单位公章）</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年　　月　　日</w:t>
      </w:r>
    </w:p>
    <w:p>
      <w:pPr>
        <w:pStyle w:val="10"/>
        <w:keepNext w:val="0"/>
        <w:keepLines w:val="0"/>
        <w:pageBreakBefore w:val="0"/>
        <w:widowControl/>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pPr>
        <w:pStyle w:val="10"/>
        <w:keepNext w:val="0"/>
        <w:keepLines w:val="0"/>
        <w:pageBreakBefore w:val="0"/>
        <w:widowControl/>
        <w:shd w:val="clear"/>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二-4依法缴纳税收证明材料</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rPr>
        <w:t>（采购人或采购代理机构）</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1、依法缴纳税收的投标人</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）法人（包括企业、事业单位和社会团体）的</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现附上自</w:t>
      </w:r>
      <w:r>
        <w:rPr>
          <w:rFonts w:hint="eastAsia" w:ascii="宋体" w:hAnsi="宋体" w:eastAsia="宋体" w:cs="宋体"/>
          <w:color w:val="auto"/>
          <w:sz w:val="24"/>
          <w:szCs w:val="24"/>
          <w:highlight w:val="none"/>
          <w:u w:val="single"/>
        </w:rPr>
        <w:t>　　年　　月　　日</w:t>
      </w:r>
      <w:r>
        <w:rPr>
          <w:rFonts w:hint="eastAsia" w:ascii="宋体" w:hAnsi="宋体" w:eastAsia="宋体" w:cs="宋体"/>
          <w:color w:val="auto"/>
          <w:sz w:val="24"/>
          <w:szCs w:val="24"/>
          <w:highlight w:val="none"/>
        </w:rPr>
        <w:t>至</w:t>
      </w:r>
      <w:r>
        <w:rPr>
          <w:rFonts w:hint="eastAsia" w:ascii="宋体" w:hAnsi="宋体" w:eastAsia="宋体" w:cs="宋体"/>
          <w:color w:val="auto"/>
          <w:sz w:val="24"/>
          <w:szCs w:val="24"/>
          <w:highlight w:val="none"/>
          <w:u w:val="single"/>
        </w:rPr>
        <w:t>　　年　　月　　日</w:t>
      </w:r>
      <w:r>
        <w:rPr>
          <w:rFonts w:hint="eastAsia" w:ascii="宋体" w:hAnsi="宋体" w:eastAsia="宋体" w:cs="宋体"/>
          <w:color w:val="auto"/>
          <w:sz w:val="24"/>
          <w:szCs w:val="24"/>
          <w:highlight w:val="none"/>
        </w:rPr>
        <w:t>期间我方缴纳（包括但不限于税务机关出具的专用收据、税收缴纳证明或税收代缴银行的缴款收讫凭证）等税收凭据复印件，上述证明材料真实有效，否则我方负全部责任。</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）非法人（包括其他组织、自然人）的</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现附上自</w:t>
      </w:r>
      <w:r>
        <w:rPr>
          <w:rFonts w:hint="eastAsia" w:ascii="宋体" w:hAnsi="宋体" w:eastAsia="宋体" w:cs="宋体"/>
          <w:color w:val="auto"/>
          <w:sz w:val="24"/>
          <w:szCs w:val="24"/>
          <w:highlight w:val="none"/>
          <w:u w:val="single"/>
        </w:rPr>
        <w:t>　　年　　月　　日</w:t>
      </w:r>
      <w:r>
        <w:rPr>
          <w:rFonts w:hint="eastAsia" w:ascii="宋体" w:hAnsi="宋体" w:eastAsia="宋体" w:cs="宋体"/>
          <w:color w:val="auto"/>
          <w:sz w:val="24"/>
          <w:szCs w:val="24"/>
          <w:highlight w:val="none"/>
        </w:rPr>
        <w:t>至</w:t>
      </w:r>
      <w:r>
        <w:rPr>
          <w:rFonts w:hint="eastAsia" w:ascii="宋体" w:hAnsi="宋体" w:eastAsia="宋体" w:cs="宋体"/>
          <w:color w:val="auto"/>
          <w:sz w:val="24"/>
          <w:szCs w:val="24"/>
          <w:highlight w:val="none"/>
          <w:u w:val="single"/>
        </w:rPr>
        <w:t>　　年　　月　　日</w:t>
      </w:r>
      <w:r>
        <w:rPr>
          <w:rFonts w:hint="eastAsia" w:ascii="宋体" w:hAnsi="宋体" w:eastAsia="宋体" w:cs="宋体"/>
          <w:color w:val="auto"/>
          <w:sz w:val="24"/>
          <w:szCs w:val="24"/>
          <w:highlight w:val="none"/>
        </w:rPr>
        <w:t>期间我方缴纳（包括但不限于税务机关出具的专用收据、税收缴纳证明或税收代缴银行的缴款收讫凭证）等税收凭据复印件，上述证明材料真实有效，否则我方负全部责任。</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2、依法免税的投标人</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）现附上我方依法免税的证明材料复印件，上述证明材料真实有效，否则我方负全部责任。</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※注意：</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1、请投标人按照实际情况编制填写，在相应的（）中打“√”，并按照本格式的要求提供相应证明材料的复印件。</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2、投标人提供的税收缴纳凭据复印件应符合下列规定：</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2.1投标截止时间前（不含投标截止时间的当月）已依法缴纳税收的投标人，提供投标截止时间前六个月（不含投标截止时间的当月）中任一月份的税收缴纳凭据复印件。</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2.2投标截止时间的当月成立的投标人，视同满足本项资格条件要求。</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3、若为依法免税范围的投标人，提供依法免税证明材料的，视同满足本项资格条件要求。</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u w:val="single"/>
        </w:rPr>
        <w:t>（全称并加盖单位公章）</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年　　月　　日</w:t>
      </w:r>
    </w:p>
    <w:p>
      <w:pPr>
        <w:pStyle w:val="10"/>
        <w:keepNext w:val="0"/>
        <w:keepLines w:val="0"/>
        <w:pageBreakBefore w:val="0"/>
        <w:widowControl/>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pPr>
        <w:pStyle w:val="10"/>
        <w:keepNext w:val="0"/>
        <w:keepLines w:val="0"/>
        <w:pageBreakBefore w:val="0"/>
        <w:widowControl/>
        <w:shd w:val="clear"/>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二-5依法缴纳社会保障资金证明材料</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rPr>
        <w:t>（采购人或采购代理机构）</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1、依法缴纳社会保障资金的投标人</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）法人（包括企业、事业单位和社会团体）的</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现附上自</w:t>
      </w:r>
      <w:r>
        <w:rPr>
          <w:rFonts w:hint="eastAsia" w:ascii="宋体" w:hAnsi="宋体" w:eastAsia="宋体" w:cs="宋体"/>
          <w:color w:val="auto"/>
          <w:sz w:val="24"/>
          <w:szCs w:val="24"/>
          <w:highlight w:val="none"/>
          <w:u w:val="single"/>
        </w:rPr>
        <w:t>　　年　　月　　日</w:t>
      </w:r>
      <w:r>
        <w:rPr>
          <w:rFonts w:hint="eastAsia" w:ascii="宋体" w:hAnsi="宋体" w:eastAsia="宋体" w:cs="宋体"/>
          <w:color w:val="auto"/>
          <w:sz w:val="24"/>
          <w:szCs w:val="24"/>
          <w:highlight w:val="none"/>
        </w:rPr>
        <w:t>至</w:t>
      </w:r>
      <w:r>
        <w:rPr>
          <w:rFonts w:hint="eastAsia" w:ascii="宋体" w:hAnsi="宋体" w:eastAsia="宋体" w:cs="宋体"/>
          <w:color w:val="auto"/>
          <w:sz w:val="24"/>
          <w:szCs w:val="24"/>
          <w:highlight w:val="none"/>
          <w:u w:val="single"/>
        </w:rPr>
        <w:t>　　年　　月　　日</w:t>
      </w:r>
      <w:r>
        <w:rPr>
          <w:rFonts w:hint="eastAsia" w:ascii="宋体" w:hAnsi="宋体" w:eastAsia="宋体" w:cs="宋体"/>
          <w:color w:val="auto"/>
          <w:sz w:val="24"/>
          <w:szCs w:val="24"/>
          <w:highlight w:val="none"/>
        </w:rPr>
        <w:t>我方缴纳的社会保险凭据（限：税务机关/社会保障资金管理机关的专用收据或社会保险缴纳清单，或社会保险的银行缴款收讫凭证）复印件，上述证明材料真实有效，否则我方负全部责任。</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）非法人（包括其他组织、自然人）的</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w:t>
      </w:r>
      <w:r>
        <w:rPr>
          <w:rFonts w:hint="eastAsia" w:ascii="宋体" w:hAnsi="宋体" w:eastAsia="宋体" w:cs="宋体"/>
          <w:color w:val="auto"/>
          <w:sz w:val="24"/>
          <w:szCs w:val="24"/>
          <w:highlight w:val="none"/>
          <w:u w:val="single"/>
        </w:rPr>
        <w:t>　　年　　月　　日</w:t>
      </w:r>
      <w:r>
        <w:rPr>
          <w:rFonts w:hint="eastAsia" w:ascii="宋体" w:hAnsi="宋体" w:eastAsia="宋体" w:cs="宋体"/>
          <w:color w:val="auto"/>
          <w:sz w:val="24"/>
          <w:szCs w:val="24"/>
          <w:highlight w:val="none"/>
        </w:rPr>
        <w:t>至</w:t>
      </w:r>
      <w:r>
        <w:rPr>
          <w:rFonts w:hint="eastAsia" w:ascii="宋体" w:hAnsi="宋体" w:eastAsia="宋体" w:cs="宋体"/>
          <w:color w:val="auto"/>
          <w:sz w:val="24"/>
          <w:szCs w:val="24"/>
          <w:highlight w:val="none"/>
          <w:u w:val="single"/>
        </w:rPr>
        <w:t>　　年　　月　　日</w:t>
      </w:r>
      <w:r>
        <w:rPr>
          <w:rFonts w:hint="eastAsia" w:ascii="宋体" w:hAnsi="宋体" w:eastAsia="宋体" w:cs="宋体"/>
          <w:color w:val="auto"/>
          <w:sz w:val="24"/>
          <w:szCs w:val="24"/>
          <w:highlight w:val="none"/>
        </w:rPr>
        <w:t>我方缴纳的社会保险凭据（限：税务机关/社会保障资金管理机关的专用收据或社会保险缴纳清单，或社会保险的银行缴款收讫凭证）复印件，上述证明材料真实有效，否则我方负全部责任。</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2、依法不需要缴纳或暂缓缴纳社会保障资金的投标人</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）现附上我方依法不需要缴纳或暂缓缴纳社会保障资金证明材料复印件，上述证明材料真实有效，否则我方负全部责任。</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※注意：</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1、请投标人按照实际情况编制填写，在相应的（）中打“√”，并按照本格式的要求提供相应证明材料的复印件。</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2、投标人提供的社会保障资金缴纳凭据复印件应符合下列规定：</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2.1投标截止时间前（不含投标截止时间的当月）已依法缴纳社会保障资金的投标人，提供投标截止时间前六个月（不含投标截止时间的当月）中任一月份的社会保障资金缴纳凭据复印件。</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2.2投标截止时间的当月成立的投标人，视同满足本项资格条件要求。</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3、若为依法不需要缴纳或暂缓缴纳社会保障资金的投标人，提供依法不需要缴纳或暂缓缴纳社会保障资金证明材料的，视同满足本项资格条件要求。</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u w:val="single"/>
        </w:rPr>
        <w:t>（全称并加盖单位公章）</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年　　月　　日</w:t>
      </w:r>
    </w:p>
    <w:p>
      <w:pPr>
        <w:pStyle w:val="10"/>
        <w:keepNext w:val="0"/>
        <w:keepLines w:val="0"/>
        <w:pageBreakBefore w:val="0"/>
        <w:widowControl/>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pPr>
        <w:pStyle w:val="10"/>
        <w:keepNext w:val="0"/>
        <w:keepLines w:val="0"/>
        <w:pageBreakBefore w:val="0"/>
        <w:widowControl/>
        <w:shd w:val="clear"/>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二-6具备履行合同所必需设备和专业技术能力的声明函（若有）</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rPr>
        <w:t>（采购人或采购代理机构）</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我方具备履行合同所必需的设备和专业技术能力，否则产生不利后果由我方承担责任。</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96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特此声明。</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※注意：</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1、招标文件未要求投标人提供“具备履行合同所必需的设备和专业技术能力专项证明材料”的，投标人应提供本声明函。</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2、招标文件要求投标人提供“具备履行合同所必需的设备和专业技术能力专项证明材料”的，投标人可不提供本声明函。</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3、请投标人根据实际情况如实声明，否则视为提供虚假材料。</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u w:val="single"/>
        </w:rPr>
        <w:t>（全称并加盖单位公章）</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年　　月　　日</w:t>
      </w:r>
    </w:p>
    <w:p>
      <w:pPr>
        <w:pStyle w:val="10"/>
        <w:keepNext w:val="0"/>
        <w:keepLines w:val="0"/>
        <w:pageBreakBefore w:val="0"/>
        <w:widowControl/>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pPr>
        <w:pStyle w:val="10"/>
        <w:keepNext w:val="0"/>
        <w:keepLines w:val="0"/>
        <w:pageBreakBefore w:val="0"/>
        <w:widowControl/>
        <w:shd w:val="clear"/>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二-7参加采购活动前三年内在经营活动中没有重大违法记录书面声明</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rPr>
        <w:t>（采购人或采购代理机构）</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参加采购活动前三年内，我方在经营活动中没有重大违法记录，即没有因违法经营受到刑事处罚或责令停产停业、吊销许可证或执照、较大数额罚款等行政处罚。否则产生不利后果由我方承担责任。</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96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特此声明。</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※注意：</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请投标人根据实际情况如实声明，否则视为提供虚假材料。</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u w:val="single"/>
        </w:rPr>
        <w:t>（全称并加盖单位公章）</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年　　月　　日</w:t>
      </w:r>
    </w:p>
    <w:p>
      <w:pPr>
        <w:pStyle w:val="10"/>
        <w:keepNext w:val="0"/>
        <w:keepLines w:val="0"/>
        <w:pageBreakBefore w:val="0"/>
        <w:widowControl/>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pP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br w:type="page"/>
      </w:r>
    </w:p>
    <w:p>
      <w:pPr>
        <w:pStyle w:val="10"/>
        <w:keepNext w:val="0"/>
        <w:keepLines w:val="0"/>
        <w:pageBreakBefore w:val="0"/>
        <w:widowControl/>
        <w:shd w:val="clear"/>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二-8信用记录查询提示</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1、由资格审查小组通过网站查询并打印投标人的信用记录。</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人应了解投标人自身的信用记录情况。当投标人受到200万以上罚款的行政处罚且该罚款不属较大数额罚款时，投标人应在电子投标文件中提供此项罚款不属于较大数额罚款的依据（如提供：相关法律制度的规定、行政执法机构对该罚款不属于较大数额罚款的认定或者其他有效依据）。</w:t>
      </w:r>
    </w:p>
    <w:p>
      <w:pPr>
        <w:pStyle w:val="10"/>
        <w:keepNext w:val="0"/>
        <w:keepLines w:val="0"/>
        <w:pageBreakBefore w:val="0"/>
        <w:widowControl/>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pPr>
        <w:pStyle w:val="10"/>
        <w:keepNext w:val="0"/>
        <w:keepLines w:val="0"/>
        <w:pageBreakBefore w:val="0"/>
        <w:widowControl/>
        <w:shd w:val="clear"/>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二-9中小企业声明函</w:t>
      </w:r>
    </w:p>
    <w:p>
      <w:pPr>
        <w:pStyle w:val="10"/>
        <w:keepNext w:val="0"/>
        <w:keepLines w:val="0"/>
        <w:pageBreakBefore w:val="0"/>
        <w:widowControl/>
        <w:shd w:val="clear"/>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（以资格条件落实中小企业扶持政策时适用，若有）</w:t>
      </w:r>
    </w:p>
    <w:p>
      <w:pPr>
        <w:pStyle w:val="10"/>
        <w:keepNext w:val="0"/>
        <w:keepLines w:val="0"/>
        <w:pageBreakBefore w:val="0"/>
        <w:widowControl/>
        <w:shd w:val="clear"/>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中小企业声明函（货物）</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本公司（联合体）郑重声明，根据《政府采购促进中小企业发展管理办法》（财库﹝2020﹞46 号）的规定，本公司（联合体）参加</w:t>
      </w:r>
      <w:r>
        <w:rPr>
          <w:rFonts w:hint="eastAsia" w:ascii="宋体" w:hAnsi="宋体" w:eastAsia="宋体" w:cs="宋体"/>
          <w:color w:val="auto"/>
          <w:sz w:val="24"/>
          <w:szCs w:val="24"/>
          <w:highlight w:val="none"/>
          <w:u w:val="single"/>
        </w:rPr>
        <w:t>（单位名称）</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u w:val="single"/>
        </w:rPr>
        <w:t>（项目名称）</w:t>
      </w:r>
      <w:r>
        <w:rPr>
          <w:rFonts w:hint="eastAsia" w:ascii="宋体" w:hAnsi="宋体" w:eastAsia="宋体" w:cs="宋体"/>
          <w:color w:val="auto"/>
          <w:sz w:val="24"/>
          <w:szCs w:val="24"/>
          <w:highlight w:val="none"/>
        </w:rPr>
        <w:t>采购活动，提供的货物全部由符合政策要求的中小企业制造。相关企业（含联合体中的中小企业、签订分包意向协议的中小企业）的具体情况如下：</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u w:val="single"/>
        </w:rPr>
        <w:t>（标的名称）</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（采购文件中明确的所属行业）</w:t>
      </w:r>
      <w:r>
        <w:rPr>
          <w:rFonts w:hint="eastAsia" w:ascii="宋体" w:hAnsi="宋体" w:eastAsia="宋体" w:cs="宋体"/>
          <w:color w:val="auto"/>
          <w:sz w:val="24"/>
          <w:szCs w:val="24"/>
          <w:highlight w:val="none"/>
        </w:rPr>
        <w:t>行业；制造商为</w:t>
      </w:r>
      <w:r>
        <w:rPr>
          <w:rFonts w:hint="eastAsia" w:ascii="宋体" w:hAnsi="宋体" w:eastAsia="宋体" w:cs="宋体"/>
          <w:color w:val="auto"/>
          <w:sz w:val="24"/>
          <w:szCs w:val="24"/>
          <w:highlight w:val="none"/>
          <w:u w:val="single"/>
        </w:rPr>
        <w:t>（企业名称）</w:t>
      </w:r>
      <w:r>
        <w:rPr>
          <w:rFonts w:hint="eastAsia" w:ascii="宋体" w:hAnsi="宋体" w:eastAsia="宋体" w:cs="宋体"/>
          <w:color w:val="auto"/>
          <w:sz w:val="24"/>
          <w:szCs w:val="24"/>
          <w:highlight w:val="none"/>
        </w:rPr>
        <w:t>，从业人员</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万元1，属于</w:t>
      </w:r>
      <w:r>
        <w:rPr>
          <w:rFonts w:hint="eastAsia" w:ascii="宋体" w:hAnsi="宋体" w:eastAsia="宋体" w:cs="宋体"/>
          <w:color w:val="auto"/>
          <w:sz w:val="24"/>
          <w:szCs w:val="24"/>
          <w:highlight w:val="none"/>
          <w:u w:val="single"/>
        </w:rPr>
        <w:t>（中型企业、小型企业、微型企业）</w:t>
      </w:r>
      <w:r>
        <w:rPr>
          <w:rFonts w:hint="eastAsia" w:ascii="宋体" w:hAnsi="宋体" w:eastAsia="宋体" w:cs="宋体"/>
          <w:color w:val="auto"/>
          <w:sz w:val="24"/>
          <w:szCs w:val="24"/>
          <w:highlight w:val="none"/>
        </w:rPr>
        <w:t>；</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u w:val="single"/>
        </w:rPr>
        <w:t>（标的名称）</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（采购文件中明确的所属行业）</w:t>
      </w:r>
      <w:r>
        <w:rPr>
          <w:rFonts w:hint="eastAsia" w:ascii="宋体" w:hAnsi="宋体" w:eastAsia="宋体" w:cs="宋体"/>
          <w:color w:val="auto"/>
          <w:sz w:val="24"/>
          <w:szCs w:val="24"/>
          <w:highlight w:val="none"/>
        </w:rPr>
        <w:t>行业；制造商为</w:t>
      </w:r>
      <w:r>
        <w:rPr>
          <w:rFonts w:hint="eastAsia" w:ascii="宋体" w:hAnsi="宋体" w:eastAsia="宋体" w:cs="宋体"/>
          <w:color w:val="auto"/>
          <w:sz w:val="24"/>
          <w:szCs w:val="24"/>
          <w:highlight w:val="none"/>
          <w:u w:val="single"/>
        </w:rPr>
        <w:t>（企业名称）</w:t>
      </w:r>
      <w:r>
        <w:rPr>
          <w:rFonts w:hint="eastAsia" w:ascii="宋体" w:hAnsi="宋体" w:eastAsia="宋体" w:cs="宋体"/>
          <w:color w:val="auto"/>
          <w:sz w:val="24"/>
          <w:szCs w:val="24"/>
          <w:highlight w:val="none"/>
        </w:rPr>
        <w:t>，从业人员</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万元，属于</w:t>
      </w:r>
      <w:r>
        <w:rPr>
          <w:rFonts w:hint="eastAsia" w:ascii="宋体" w:hAnsi="宋体" w:eastAsia="宋体" w:cs="宋体"/>
          <w:color w:val="auto"/>
          <w:sz w:val="24"/>
          <w:szCs w:val="24"/>
          <w:highlight w:val="none"/>
          <w:u w:val="single"/>
        </w:rPr>
        <w:t>（中型企业、小型企业、微型企业）</w:t>
      </w:r>
      <w:r>
        <w:rPr>
          <w:rFonts w:hint="eastAsia" w:ascii="宋体" w:hAnsi="宋体" w:eastAsia="宋体" w:cs="宋体"/>
          <w:color w:val="auto"/>
          <w:sz w:val="24"/>
          <w:szCs w:val="24"/>
          <w:highlight w:val="none"/>
        </w:rPr>
        <w:t>；</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以上企业，不属于大企业的分支机构，不存在控股股东为大企业的情形，也不存在与大企业的负责人为同一人的情形。</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本企业对上述声明内容的真实性负责。如有虚假，将依法承担相应责任。</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u w:val="single"/>
        </w:rPr>
        <w:t>（全称并加盖单位公章）</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年　　月　　日</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※注意：</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1、从业人员、营业收入、资产总额填报上一年度数据，无上一年度数据的新成立企业可不填报。</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10"/>
        <w:keepNext w:val="0"/>
        <w:keepLines w:val="0"/>
        <w:pageBreakBefore w:val="0"/>
        <w:widowControl/>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pPr>
        <w:pStyle w:val="10"/>
        <w:keepNext w:val="0"/>
        <w:keepLines w:val="0"/>
        <w:pageBreakBefore w:val="0"/>
        <w:widowControl/>
        <w:shd w:val="clear"/>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中小企业声明函（工程、服务）</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本公司（联合体）郑重声明，根据《政府采购促进中小企业发展管理办法》（财库﹝2020﹞46 号）的规定，本公司（联合体）参加</w:t>
      </w:r>
      <w:r>
        <w:rPr>
          <w:rFonts w:hint="eastAsia" w:ascii="宋体" w:hAnsi="宋体" w:eastAsia="宋体" w:cs="宋体"/>
          <w:color w:val="auto"/>
          <w:sz w:val="24"/>
          <w:szCs w:val="24"/>
          <w:highlight w:val="none"/>
          <w:u w:val="single"/>
        </w:rPr>
        <w:t>（单位名称）</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u w:val="single"/>
        </w:rPr>
        <w:t>（项目名称）</w:t>
      </w:r>
      <w:r>
        <w:rPr>
          <w:rFonts w:hint="eastAsia" w:ascii="宋体" w:hAnsi="宋体" w:eastAsia="宋体" w:cs="宋体"/>
          <w:color w:val="auto"/>
          <w:sz w:val="24"/>
          <w:szCs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u w:val="single"/>
        </w:rPr>
        <w:t>（标的名称）</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（采购文件中明确的所属行业）</w:t>
      </w:r>
      <w:r>
        <w:rPr>
          <w:rFonts w:hint="eastAsia" w:ascii="宋体" w:hAnsi="宋体" w:eastAsia="宋体" w:cs="宋体"/>
          <w:color w:val="auto"/>
          <w:sz w:val="24"/>
          <w:szCs w:val="24"/>
          <w:highlight w:val="none"/>
        </w:rPr>
        <w:t>；承建（承接）企业为</w:t>
      </w:r>
      <w:r>
        <w:rPr>
          <w:rFonts w:hint="eastAsia" w:ascii="宋体" w:hAnsi="宋体" w:eastAsia="宋体" w:cs="宋体"/>
          <w:color w:val="auto"/>
          <w:sz w:val="24"/>
          <w:szCs w:val="24"/>
          <w:highlight w:val="none"/>
          <w:u w:val="single"/>
        </w:rPr>
        <w:t>（企业名称）</w:t>
      </w:r>
      <w:r>
        <w:rPr>
          <w:rFonts w:hint="eastAsia" w:ascii="宋体" w:hAnsi="宋体" w:eastAsia="宋体" w:cs="宋体"/>
          <w:color w:val="auto"/>
          <w:sz w:val="24"/>
          <w:szCs w:val="24"/>
          <w:highlight w:val="none"/>
        </w:rPr>
        <w:t>，从业人员</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万元1，属于</w:t>
      </w:r>
      <w:r>
        <w:rPr>
          <w:rFonts w:hint="eastAsia" w:ascii="宋体" w:hAnsi="宋体" w:eastAsia="宋体" w:cs="宋体"/>
          <w:color w:val="auto"/>
          <w:sz w:val="24"/>
          <w:szCs w:val="24"/>
          <w:highlight w:val="none"/>
          <w:u w:val="single"/>
        </w:rPr>
        <w:t>（中型企业、小型企业、微型企业）</w:t>
      </w:r>
      <w:r>
        <w:rPr>
          <w:rFonts w:hint="eastAsia" w:ascii="宋体" w:hAnsi="宋体" w:eastAsia="宋体" w:cs="宋体"/>
          <w:color w:val="auto"/>
          <w:sz w:val="24"/>
          <w:szCs w:val="24"/>
          <w:highlight w:val="none"/>
        </w:rPr>
        <w:t>；</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u w:val="single"/>
        </w:rPr>
        <w:t>（标的名称）</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（采购文件中明确的所属行业）</w:t>
      </w:r>
      <w:r>
        <w:rPr>
          <w:rFonts w:hint="eastAsia" w:ascii="宋体" w:hAnsi="宋体" w:eastAsia="宋体" w:cs="宋体"/>
          <w:color w:val="auto"/>
          <w:sz w:val="24"/>
          <w:szCs w:val="24"/>
          <w:highlight w:val="none"/>
        </w:rPr>
        <w:t>；承建（承接）企业为</w:t>
      </w:r>
      <w:r>
        <w:rPr>
          <w:rFonts w:hint="eastAsia" w:ascii="宋体" w:hAnsi="宋体" w:eastAsia="宋体" w:cs="宋体"/>
          <w:color w:val="auto"/>
          <w:sz w:val="24"/>
          <w:szCs w:val="24"/>
          <w:highlight w:val="none"/>
          <w:u w:val="single"/>
        </w:rPr>
        <w:t>（企业名称）</w:t>
      </w:r>
      <w:r>
        <w:rPr>
          <w:rFonts w:hint="eastAsia" w:ascii="宋体" w:hAnsi="宋体" w:eastAsia="宋体" w:cs="宋体"/>
          <w:color w:val="auto"/>
          <w:sz w:val="24"/>
          <w:szCs w:val="24"/>
          <w:highlight w:val="none"/>
        </w:rPr>
        <w:t>，从业人员</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万元，属于</w:t>
      </w:r>
      <w:r>
        <w:rPr>
          <w:rFonts w:hint="eastAsia" w:ascii="宋体" w:hAnsi="宋体" w:eastAsia="宋体" w:cs="宋体"/>
          <w:color w:val="auto"/>
          <w:sz w:val="24"/>
          <w:szCs w:val="24"/>
          <w:highlight w:val="none"/>
          <w:u w:val="single"/>
        </w:rPr>
        <w:t>（中型企业、小型企业、微型企业）</w:t>
      </w:r>
      <w:r>
        <w:rPr>
          <w:rFonts w:hint="eastAsia" w:ascii="宋体" w:hAnsi="宋体" w:eastAsia="宋体" w:cs="宋体"/>
          <w:color w:val="auto"/>
          <w:sz w:val="24"/>
          <w:szCs w:val="24"/>
          <w:highlight w:val="none"/>
        </w:rPr>
        <w:t>；</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以上企业，不属于大企业的分支机构，不存在控股股东为大企业的情形，也不存在与大企业的负责人为同一人的情形。</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本企业对上述声明内容的真实性负责。如有虚假，将依法承担相应责任。</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u w:val="single"/>
        </w:rPr>
        <w:t>（全称并加盖单位公章）</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年　　月　　日</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※注意：</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1、从业人员、营业收入、资产总额填报上一年度数据，无上一年度数据的新成立企业可不填报。</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10"/>
        <w:keepNext w:val="0"/>
        <w:keepLines w:val="0"/>
        <w:pageBreakBefore w:val="0"/>
        <w:widowControl/>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pP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br w:type="page"/>
      </w:r>
    </w:p>
    <w:p>
      <w:pPr>
        <w:pStyle w:val="10"/>
        <w:keepNext w:val="0"/>
        <w:keepLines w:val="0"/>
        <w:pageBreakBefore w:val="0"/>
        <w:widowControl/>
        <w:shd w:val="clear"/>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残疾人福利性单位声明函</w:t>
      </w:r>
    </w:p>
    <w:p>
      <w:pPr>
        <w:pStyle w:val="10"/>
        <w:keepNext w:val="0"/>
        <w:keepLines w:val="0"/>
        <w:pageBreakBefore w:val="0"/>
        <w:widowControl/>
        <w:shd w:val="clear"/>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（以资格条件落实中小企业扶持政策时适用，若有）</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）由本投标人承建的（填写“所投采购包、品目号”）工程</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）由本投标人承接的（填写“所投采购包、品目号”）服务；</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本投标人对上述声明的真实性负责。如有虚假，将依法承担相应责任。</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1、请投标人按照实际情况编制填写本声明函，并在相应的（）中打“√”。</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2、若《残疾人福利性单位声明函》内容不真实，视为提供虚假材料。</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u w:val="single"/>
        </w:rPr>
        <w:t>（全称并加盖单位公章）</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年　　月　　日</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w:t>
      </w:r>
    </w:p>
    <w:p>
      <w:pPr>
        <w:pStyle w:val="10"/>
        <w:keepNext w:val="0"/>
        <w:keepLines w:val="0"/>
        <w:pageBreakBefore w:val="0"/>
        <w:widowControl/>
        <w:shd w:val="clear"/>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监狱企业证明材料</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投标人为监狱企业，提供本单位制造的货物（承接的服务），并在电子投标文件中提供省级以上监狱管理局、戒毒管理局（含新疆生产建设兵团）出具的属于监狱企业的证明文件。</w:t>
      </w:r>
    </w:p>
    <w:p>
      <w:pPr>
        <w:pStyle w:val="10"/>
        <w:keepNext w:val="0"/>
        <w:keepLines w:val="0"/>
        <w:pageBreakBefore w:val="0"/>
        <w:widowControl/>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pPr>
        <w:pStyle w:val="10"/>
        <w:keepNext w:val="0"/>
        <w:keepLines w:val="0"/>
        <w:pageBreakBefore w:val="0"/>
        <w:widowControl/>
        <w:shd w:val="clear"/>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二-10联合体协议（若有）</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rPr>
        <w:t>（采购人或采购代理机构）</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兹有</w:t>
      </w:r>
      <w:r>
        <w:rPr>
          <w:rFonts w:hint="eastAsia" w:ascii="宋体" w:hAnsi="宋体" w:eastAsia="宋体" w:cs="宋体"/>
          <w:color w:val="auto"/>
          <w:sz w:val="24"/>
          <w:szCs w:val="24"/>
          <w:highlight w:val="none"/>
          <w:u w:val="single"/>
        </w:rPr>
        <w:t>（填写“联合体中各方的全称”，各方的全称之间请用“、”分割）</w:t>
      </w:r>
      <w:r>
        <w:rPr>
          <w:rFonts w:hint="eastAsia" w:ascii="宋体" w:hAnsi="宋体" w:eastAsia="宋体" w:cs="宋体"/>
          <w:color w:val="auto"/>
          <w:sz w:val="24"/>
          <w:szCs w:val="24"/>
          <w:highlight w:val="none"/>
        </w:rPr>
        <w:t>自愿组成联合体，共同参加</w:t>
      </w:r>
      <w:r>
        <w:rPr>
          <w:rFonts w:hint="eastAsia" w:ascii="宋体" w:hAnsi="宋体" w:eastAsia="宋体" w:cs="宋体"/>
          <w:color w:val="auto"/>
          <w:sz w:val="24"/>
          <w:szCs w:val="24"/>
          <w:highlight w:val="none"/>
          <w:u w:val="single"/>
        </w:rPr>
        <w:t>（填写“项目名称”）</w:t>
      </w:r>
      <w:r>
        <w:rPr>
          <w:rFonts w:hint="eastAsia" w:ascii="宋体" w:hAnsi="宋体" w:eastAsia="宋体" w:cs="宋体"/>
          <w:color w:val="auto"/>
          <w:sz w:val="24"/>
          <w:szCs w:val="24"/>
          <w:highlight w:val="none"/>
        </w:rPr>
        <w:t>项目（项目编号：</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）的投标。现就联合体参加本项目投标的有关事宜达成下列协议：</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一、联合体各方应承担的工作和义务具体如下：</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1、牵头方（全称）：</w:t>
      </w:r>
      <w:r>
        <w:rPr>
          <w:rFonts w:hint="eastAsia" w:ascii="宋体" w:hAnsi="宋体" w:eastAsia="宋体" w:cs="宋体"/>
          <w:color w:val="auto"/>
          <w:sz w:val="24"/>
          <w:szCs w:val="24"/>
          <w:highlight w:val="none"/>
          <w:u w:val="single"/>
        </w:rPr>
        <w:t>（填写“工作及义务的具体内容”）</w:t>
      </w:r>
      <w:r>
        <w:rPr>
          <w:rFonts w:hint="eastAsia" w:ascii="宋体" w:hAnsi="宋体" w:eastAsia="宋体" w:cs="宋体"/>
          <w:color w:val="auto"/>
          <w:sz w:val="24"/>
          <w:szCs w:val="24"/>
          <w:highlight w:val="none"/>
        </w:rPr>
        <w:t>；</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2、成员方：</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2.1（成员一的全称）：</w:t>
      </w:r>
      <w:r>
        <w:rPr>
          <w:rFonts w:hint="eastAsia" w:ascii="宋体" w:hAnsi="宋体" w:eastAsia="宋体" w:cs="宋体"/>
          <w:color w:val="auto"/>
          <w:sz w:val="24"/>
          <w:szCs w:val="24"/>
          <w:highlight w:val="none"/>
          <w:u w:val="single"/>
        </w:rPr>
        <w:t>（填写“工作及义务的具体内容”）</w:t>
      </w:r>
      <w:r>
        <w:rPr>
          <w:rFonts w:hint="eastAsia" w:ascii="宋体" w:hAnsi="宋体" w:eastAsia="宋体" w:cs="宋体"/>
          <w:color w:val="auto"/>
          <w:sz w:val="24"/>
          <w:szCs w:val="24"/>
          <w:highlight w:val="none"/>
        </w:rPr>
        <w:t>；</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二、联合体各方的合同金额占比，具体如下：</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1.牵头方（</w:t>
      </w:r>
      <w:r>
        <w:rPr>
          <w:rFonts w:hint="eastAsia" w:ascii="宋体" w:hAnsi="宋体" w:eastAsia="宋体" w:cs="宋体"/>
          <w:color w:val="auto"/>
          <w:sz w:val="24"/>
          <w:szCs w:val="24"/>
          <w:highlight w:val="none"/>
          <w:u w:val="single"/>
        </w:rPr>
        <w:t>全称</w:t>
      </w:r>
      <w:r>
        <w:rPr>
          <w:rFonts w:hint="eastAsia" w:ascii="宋体" w:hAnsi="宋体" w:eastAsia="宋体" w:cs="宋体"/>
          <w:color w:val="auto"/>
          <w:sz w:val="24"/>
          <w:szCs w:val="24"/>
          <w:highlight w:val="none"/>
        </w:rPr>
        <w:t>）的合同金额占合同总额的</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2.成员方：</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w:t>
      </w:r>
      <w:r>
        <w:rPr>
          <w:rFonts w:hint="eastAsia" w:ascii="宋体" w:hAnsi="宋体" w:eastAsia="宋体" w:cs="宋体"/>
          <w:color w:val="auto"/>
          <w:sz w:val="24"/>
          <w:szCs w:val="24"/>
          <w:highlight w:val="none"/>
          <w:u w:val="single"/>
        </w:rPr>
        <w:t>成员1的全称</w:t>
      </w:r>
      <w:r>
        <w:rPr>
          <w:rFonts w:hint="eastAsia" w:ascii="宋体" w:hAnsi="宋体" w:eastAsia="宋体" w:cs="宋体"/>
          <w:color w:val="auto"/>
          <w:sz w:val="24"/>
          <w:szCs w:val="24"/>
          <w:highlight w:val="none"/>
        </w:rPr>
        <w:t>）的合同金额占合同总额的</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三、联合体各方约定：</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1、由</w:t>
      </w:r>
      <w:r>
        <w:rPr>
          <w:rFonts w:hint="eastAsia" w:ascii="宋体" w:hAnsi="宋体" w:eastAsia="宋体" w:cs="宋体"/>
          <w:color w:val="auto"/>
          <w:sz w:val="24"/>
          <w:szCs w:val="24"/>
          <w:highlight w:val="none"/>
          <w:u w:val="single"/>
        </w:rPr>
        <w:t>（填写“牵头方的全称”）代表联合体办理参加本项目投标的有关事宜（包括但不限于：注册账号、派出投标人代表、提交电子投标文件及参加开标、谈判、澄清等），在此过程中，投标人代表签字的一切文件和处理结果，联合体均予以认可并对此承担责任。</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2、联合体各方约定由</w:t>
      </w:r>
      <w:r>
        <w:rPr>
          <w:rFonts w:hint="eastAsia" w:ascii="宋体" w:hAnsi="宋体" w:eastAsia="宋体" w:cs="宋体"/>
          <w:color w:val="auto"/>
          <w:sz w:val="24"/>
          <w:szCs w:val="24"/>
          <w:highlight w:val="none"/>
          <w:u w:val="single"/>
        </w:rPr>
        <w:t>（填写“牵头方的全称”）代表联合体办理投标保证金事宜。</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根据福建省财政厅文件（闽财购[2008]10号）的规定，若本项目采用综合评分法，则联合体只能确定由其中一方的条件参与商务部分的评标。因此，联合体各方约定以（应填写“其中一方的全称”，如：联合体确定以成员一的条件参与商务部分的评标，则填写“成员一的全称”…；否则填写“无”）的条件参与商务部分的评标。</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四、若中标，牵头方将代表联合体与采购人就合同签订事宜进行协商；若协商一致，则联合体各方将共同与采购人签订政府采购合同，并就政府采购合同约定的事项对采购人承担连带责任。</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五、本协议自签署之日起生效，政府采购合同履行完毕后自动失效。</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六、本协议一式</w:t>
      </w:r>
      <w:r>
        <w:rPr>
          <w:rFonts w:hint="eastAsia" w:ascii="宋体" w:hAnsi="宋体" w:eastAsia="宋体" w:cs="宋体"/>
          <w:color w:val="auto"/>
          <w:sz w:val="24"/>
          <w:szCs w:val="24"/>
          <w:highlight w:val="none"/>
          <w:u w:val="single"/>
        </w:rPr>
        <w:t>（填写具体份数）</w:t>
      </w:r>
      <w:r>
        <w:rPr>
          <w:rFonts w:hint="eastAsia" w:ascii="宋体" w:hAnsi="宋体" w:eastAsia="宋体" w:cs="宋体"/>
          <w:color w:val="auto"/>
          <w:sz w:val="24"/>
          <w:szCs w:val="24"/>
          <w:highlight w:val="none"/>
        </w:rPr>
        <w:t>份，联合体各方各执一份，电子投标文件中提交一份。</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（以下无正文）</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牵头方：</w:t>
      </w:r>
      <w:r>
        <w:rPr>
          <w:rFonts w:hint="eastAsia" w:ascii="宋体" w:hAnsi="宋体" w:eastAsia="宋体" w:cs="宋体"/>
          <w:color w:val="auto"/>
          <w:sz w:val="24"/>
          <w:szCs w:val="24"/>
          <w:highlight w:val="none"/>
          <w:u w:val="single"/>
        </w:rPr>
        <w:t>（全称并加盖单位公章）</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法定代表人或其委托代理人：</w:t>
      </w:r>
      <w:r>
        <w:rPr>
          <w:rFonts w:hint="eastAsia" w:ascii="宋体" w:hAnsi="宋体" w:eastAsia="宋体" w:cs="宋体"/>
          <w:color w:val="auto"/>
          <w:sz w:val="24"/>
          <w:szCs w:val="24"/>
          <w:highlight w:val="none"/>
          <w:u w:val="single"/>
        </w:rPr>
        <w:t>（签字或盖章）</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成员一：</w:t>
      </w:r>
      <w:r>
        <w:rPr>
          <w:rFonts w:hint="eastAsia" w:ascii="宋体" w:hAnsi="宋体" w:eastAsia="宋体" w:cs="宋体"/>
          <w:color w:val="auto"/>
          <w:sz w:val="24"/>
          <w:szCs w:val="24"/>
          <w:highlight w:val="none"/>
          <w:u w:val="single"/>
        </w:rPr>
        <w:t>（全称并加盖成员一的单位公章）</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法定代表人或其委托代理人：</w:t>
      </w:r>
      <w:r>
        <w:rPr>
          <w:rFonts w:hint="eastAsia" w:ascii="宋体" w:hAnsi="宋体" w:eastAsia="宋体" w:cs="宋体"/>
          <w:color w:val="auto"/>
          <w:sz w:val="24"/>
          <w:szCs w:val="24"/>
          <w:highlight w:val="none"/>
          <w:u w:val="single"/>
        </w:rPr>
        <w:t>（签字或盖章）</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成员**：</w:t>
      </w:r>
      <w:r>
        <w:rPr>
          <w:rFonts w:hint="eastAsia" w:ascii="宋体" w:hAnsi="宋体" w:eastAsia="宋体" w:cs="宋体"/>
          <w:color w:val="auto"/>
          <w:sz w:val="24"/>
          <w:szCs w:val="24"/>
          <w:highlight w:val="none"/>
          <w:u w:val="single"/>
        </w:rPr>
        <w:t>（全称并加盖成员**的单位公章）</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法定代表人或其委托代理人：</w:t>
      </w:r>
      <w:r>
        <w:rPr>
          <w:rFonts w:hint="eastAsia" w:ascii="宋体" w:hAnsi="宋体" w:eastAsia="宋体" w:cs="宋体"/>
          <w:color w:val="auto"/>
          <w:sz w:val="24"/>
          <w:szCs w:val="24"/>
          <w:highlight w:val="none"/>
          <w:u w:val="single"/>
        </w:rPr>
        <w:t>（签字或盖章）</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签署日期：</w:t>
      </w:r>
      <w:r>
        <w:rPr>
          <w:rFonts w:hint="eastAsia" w:ascii="宋体" w:hAnsi="宋体" w:eastAsia="宋体" w:cs="宋体"/>
          <w:color w:val="auto"/>
          <w:sz w:val="24"/>
          <w:szCs w:val="24"/>
          <w:highlight w:val="none"/>
          <w:u w:val="single"/>
        </w:rPr>
        <w:t>　　年　　月　　日</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※注意：</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1、招标文件接受联合体投标且投标人为联合体的，投标人应提供本协议；否则无须提供。</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2、本协议由委托代理人签字或盖章的，应按照本章载明的格式提供“单位授权书”。</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3、在以联合体形式落实中小企业预留份额项目中，投标人除了要提供《中小企业声明函》，还需提供本协议。</w:t>
      </w:r>
    </w:p>
    <w:p>
      <w:pPr>
        <w:pStyle w:val="10"/>
        <w:keepNext w:val="0"/>
        <w:keepLines w:val="0"/>
        <w:pageBreakBefore w:val="0"/>
        <w:widowControl/>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pP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br w:type="page"/>
      </w:r>
    </w:p>
    <w:p>
      <w:pPr>
        <w:pStyle w:val="10"/>
        <w:keepNext w:val="0"/>
        <w:keepLines w:val="0"/>
        <w:pageBreakBefore w:val="0"/>
        <w:widowControl/>
        <w:shd w:val="clear"/>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二-11分包意向协议（若有）</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甲方（总包方）：</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（即本项目的投标人）</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乙方（分包方）：</w:t>
      </w:r>
      <w:r>
        <w:rPr>
          <w:rFonts w:hint="eastAsia" w:ascii="宋体" w:hAnsi="宋体" w:eastAsia="宋体" w:cs="宋体"/>
          <w:color w:val="auto"/>
          <w:sz w:val="24"/>
          <w:szCs w:val="24"/>
          <w:highlight w:val="none"/>
          <w:u w:val="single"/>
        </w:rPr>
        <w:t>　　　　　　　</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兹有甲方参加</w:t>
      </w:r>
      <w:r>
        <w:rPr>
          <w:rFonts w:hint="eastAsia" w:ascii="宋体" w:hAnsi="宋体" w:eastAsia="宋体" w:cs="宋体"/>
          <w:color w:val="auto"/>
          <w:sz w:val="24"/>
          <w:szCs w:val="24"/>
          <w:highlight w:val="none"/>
          <w:u w:val="single"/>
        </w:rPr>
        <w:t>（填写“项目名称”）</w:t>
      </w:r>
      <w:r>
        <w:rPr>
          <w:rFonts w:hint="eastAsia" w:ascii="宋体" w:hAnsi="宋体" w:eastAsia="宋体" w:cs="宋体"/>
          <w:color w:val="auto"/>
          <w:sz w:val="24"/>
          <w:szCs w:val="24"/>
          <w:highlight w:val="none"/>
        </w:rPr>
        <w:t>项目（项目编号：</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）的政府采购活动。甲方期望将采购项目的部分采购标的分包给乙方完成，而乙方保证能够向甲方提供本协议项下的采购标的，甲、乙双方就合同分包的有关事宜达成下列协议：</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一、分包标的</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（根据双方的意向填写，可以是表格或文字描述）。</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二、分包合同金额占比</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分包合同价占投标总价的比例：</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三、其他条款</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10"/>
              <w:keepNext w:val="0"/>
              <w:keepLines w:val="0"/>
              <w:pageBreakBefore w:val="0"/>
              <w:widowControl/>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w:t>
            </w:r>
          </w:p>
        </w:tc>
        <w:tc>
          <w:tcPr>
            <w:tcW w:w="4153" w:type="dxa"/>
          </w:tcPr>
          <w:p>
            <w:pPr>
              <w:pStyle w:val="10"/>
              <w:keepNext w:val="0"/>
              <w:keepLines w:val="0"/>
              <w:pageBreakBefore w:val="0"/>
              <w:widowControl/>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10"/>
              <w:keepNext w:val="0"/>
              <w:keepLines w:val="0"/>
              <w:pageBreakBefore w:val="0"/>
              <w:widowControl/>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住所：</w:t>
            </w:r>
          </w:p>
        </w:tc>
        <w:tc>
          <w:tcPr>
            <w:tcW w:w="4153" w:type="dxa"/>
          </w:tcPr>
          <w:p>
            <w:pPr>
              <w:pStyle w:val="10"/>
              <w:keepNext w:val="0"/>
              <w:keepLines w:val="0"/>
              <w:pageBreakBefore w:val="0"/>
              <w:widowControl/>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住所：</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10"/>
              <w:keepNext w:val="0"/>
              <w:keepLines w:val="0"/>
              <w:pageBreakBefore w:val="0"/>
              <w:widowControl/>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单位负责人或委托代理人：</w:t>
            </w:r>
          </w:p>
        </w:tc>
        <w:tc>
          <w:tcPr>
            <w:tcW w:w="4153" w:type="dxa"/>
          </w:tcPr>
          <w:p>
            <w:pPr>
              <w:pStyle w:val="10"/>
              <w:keepNext w:val="0"/>
              <w:keepLines w:val="0"/>
              <w:pageBreakBefore w:val="0"/>
              <w:widowControl/>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单位负责人或委托代理人：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10"/>
              <w:keepNext w:val="0"/>
              <w:keepLines w:val="0"/>
              <w:pageBreakBefore w:val="0"/>
              <w:widowControl/>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联系方法：</w:t>
            </w:r>
          </w:p>
        </w:tc>
        <w:tc>
          <w:tcPr>
            <w:tcW w:w="4153" w:type="dxa"/>
          </w:tcPr>
          <w:p>
            <w:pPr>
              <w:pStyle w:val="10"/>
              <w:keepNext w:val="0"/>
              <w:keepLines w:val="0"/>
              <w:pageBreakBefore w:val="0"/>
              <w:widowControl/>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联系方法：</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10"/>
              <w:keepNext w:val="0"/>
              <w:keepLines w:val="0"/>
              <w:pageBreakBefore w:val="0"/>
              <w:widowControl/>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w:t>
            </w:r>
          </w:p>
        </w:tc>
        <w:tc>
          <w:tcPr>
            <w:tcW w:w="4153" w:type="dxa"/>
          </w:tcPr>
          <w:p>
            <w:pPr>
              <w:pStyle w:val="10"/>
              <w:keepNext w:val="0"/>
              <w:keepLines w:val="0"/>
              <w:pageBreakBefore w:val="0"/>
              <w:widowControl/>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10"/>
              <w:keepNext w:val="0"/>
              <w:keepLines w:val="0"/>
              <w:pageBreakBefore w:val="0"/>
              <w:widowControl/>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账号：</w:t>
            </w:r>
          </w:p>
        </w:tc>
        <w:tc>
          <w:tcPr>
            <w:tcW w:w="4153" w:type="dxa"/>
          </w:tcPr>
          <w:p>
            <w:pPr>
              <w:pStyle w:val="10"/>
              <w:keepNext w:val="0"/>
              <w:keepLines w:val="0"/>
              <w:pageBreakBefore w:val="0"/>
              <w:widowControl/>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账号：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pPr>
              <w:pStyle w:val="10"/>
              <w:keepNext w:val="0"/>
              <w:keepLines w:val="0"/>
              <w:pageBreakBefore w:val="0"/>
              <w:widowControl/>
              <w:shd w:val="clear"/>
              <w:kinsoku/>
              <w:wordWrap/>
              <w:overflowPunct/>
              <w:topLinePunct w:val="0"/>
              <w:autoSpaceDE/>
              <w:autoSpaceDN/>
              <w:bidi w:val="0"/>
              <w:adjustRightInd/>
              <w:snapToGrid/>
              <w:spacing w:line="400" w:lineRule="exact"/>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签订地点：</w:t>
            </w:r>
            <w:r>
              <w:rPr>
                <w:rFonts w:hint="eastAsia" w:ascii="宋体" w:hAnsi="宋体" w:eastAsia="宋体" w:cs="宋体"/>
                <w:color w:val="auto"/>
                <w:sz w:val="24"/>
                <w:szCs w:val="24"/>
                <w:highlight w:val="none"/>
                <w:u w:val="single"/>
              </w:rPr>
              <w:t>　　　　　　　　　　</w:t>
            </w:r>
          </w:p>
          <w:p>
            <w:pPr>
              <w:pStyle w:val="10"/>
              <w:keepNext w:val="0"/>
              <w:keepLines w:val="0"/>
              <w:pageBreakBefore w:val="0"/>
              <w:widowControl/>
              <w:shd w:val="clear"/>
              <w:kinsoku/>
              <w:wordWrap/>
              <w:overflowPunct/>
              <w:topLinePunct w:val="0"/>
              <w:autoSpaceDE/>
              <w:autoSpaceDN/>
              <w:bidi w:val="0"/>
              <w:adjustRightInd/>
              <w:snapToGrid/>
              <w:spacing w:line="400" w:lineRule="exact"/>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签约日期：</w:t>
            </w:r>
            <w:r>
              <w:rPr>
                <w:rFonts w:hint="eastAsia" w:ascii="宋体" w:hAnsi="宋体" w:eastAsia="宋体" w:cs="宋体"/>
                <w:color w:val="auto"/>
                <w:sz w:val="24"/>
                <w:szCs w:val="24"/>
                <w:highlight w:val="none"/>
                <w:u w:val="single"/>
              </w:rPr>
              <w:t>　　年　　月　　日</w:t>
            </w:r>
          </w:p>
        </w:tc>
      </w:tr>
    </w:tbl>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※注意：</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1.招标文件接受合同分包且投标人拟将合同分包的，应提供本协议；否则无须提供。</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2.本协议由委托代理人签字或盖章的，应按照本章载明的格式提供“单位授权书”。</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3.在以合同分包形式落实中小企业预留份额项目中，投标人除了要提供《中小企业声明函》，还需提供本协议。</w:t>
      </w:r>
    </w:p>
    <w:p>
      <w:pPr>
        <w:pStyle w:val="10"/>
        <w:keepNext w:val="0"/>
        <w:keepLines w:val="0"/>
        <w:pageBreakBefore w:val="0"/>
        <w:widowControl/>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pPr>
        <w:pStyle w:val="10"/>
        <w:keepNext w:val="0"/>
        <w:keepLines w:val="0"/>
        <w:pageBreakBefore w:val="0"/>
        <w:widowControl/>
        <w:shd w:val="clear"/>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二-12其他资格证明文件（若有）</w:t>
      </w:r>
    </w:p>
    <w:p>
      <w:pPr>
        <w:pStyle w:val="10"/>
        <w:keepNext w:val="0"/>
        <w:keepLines w:val="0"/>
        <w:pageBreakBefore w:val="0"/>
        <w:widowControl/>
        <w:shd w:val="clear"/>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二-12-①具备履行合同所必需设备和专业技术能力专项证明材料（若有）</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rPr>
        <w:t>（采购人或采购代理机构）</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现附上我方具备履行合同所必需的设备和专业技术能力的专项证明材料复印件（具体附后），上述证明材料真实有效，否则我方负全部责任。</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※注意：</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1、招标文件要求投标人提供“具备履行合同所必需的设备和专业技术能力专项证明材料”的，投标人应按照招标文件规定在此项下提供相应证明材料复印件。</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2、投标人提供的相应证明材料复印件均应符合：内容完整、清晰、整洁，并由投标人加盖其单位公章。</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u w:val="single"/>
        </w:rPr>
        <w:t>（全称并加盖单位公章）</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年　　月　　日</w:t>
      </w:r>
    </w:p>
    <w:p>
      <w:pPr>
        <w:pStyle w:val="10"/>
        <w:keepNext w:val="0"/>
        <w:keepLines w:val="0"/>
        <w:pageBreakBefore w:val="0"/>
        <w:widowControl/>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pPr>
        <w:pStyle w:val="10"/>
        <w:keepNext w:val="0"/>
        <w:keepLines w:val="0"/>
        <w:pageBreakBefore w:val="0"/>
        <w:widowControl/>
        <w:shd w:val="clear"/>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二-12-②招标文件规定的其他资格证明文件（若有）</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编制说明</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除招标文件另有规定外，招标文件要求提交的除前述资格证明文件外的其他资格证明文件（若有）加盖投标人的单位公章后应在此项下提交。</w:t>
      </w:r>
    </w:p>
    <w:p>
      <w:pPr>
        <w:pStyle w:val="10"/>
        <w:keepNext w:val="0"/>
        <w:keepLines w:val="0"/>
        <w:pageBreakBefore w:val="0"/>
        <w:widowControl/>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p>
    <w:p>
      <w:pPr>
        <w:pStyle w:val="10"/>
        <w:keepNext w:val="0"/>
        <w:keepLines w:val="0"/>
        <w:pageBreakBefore w:val="0"/>
        <w:widowControl/>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pPr>
        <w:pStyle w:val="10"/>
        <w:keepNext w:val="0"/>
        <w:keepLines w:val="0"/>
        <w:pageBreakBefore w:val="0"/>
        <w:widowControl/>
        <w:shd w:val="clear"/>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三、投标保证金</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编制说明</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1、在此项下提交的“投标保证金”材料可使用转账凭证复印件或从福建省政府采购网上公开信息系统中下载的有关原始页面的打印件。</w:t>
      </w:r>
    </w:p>
    <w:p>
      <w:pPr>
        <w:pStyle w:val="10"/>
        <w:keepNext w:val="0"/>
        <w:keepLines w:val="0"/>
        <w:pageBreakBefore w:val="0"/>
        <w:widowControl/>
        <w:shd w:val="clear"/>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2、投标保证金是否已提交的认定按照招标文件第三章规定执行。</w:t>
      </w:r>
    </w:p>
    <w:p>
      <w:pPr>
        <w:pStyle w:val="10"/>
        <w:shd w:val="clear"/>
        <w:rPr>
          <w:rFonts w:hint="eastAsia" w:ascii="宋体" w:hAnsi="宋体" w:eastAsia="宋体" w:cs="宋体"/>
          <w:color w:val="auto"/>
          <w:sz w:val="24"/>
          <w:szCs w:val="24"/>
          <w:highlight w:val="none"/>
        </w:rPr>
      </w:pPr>
    </w:p>
    <w:p>
      <w:pPr>
        <w:pStyle w:val="10"/>
        <w:shd w:val="clea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pP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br w:type="page"/>
      </w:r>
    </w:p>
    <w:p>
      <w:pPr>
        <w:pStyle w:val="10"/>
        <w:shd w:val="clear"/>
        <w:jc w:val="center"/>
        <w:rPr>
          <w:rFonts w:hint="eastAsia" w:ascii="宋体" w:hAnsi="宋体" w:eastAsia="宋体" w:cs="宋体"/>
          <w:color w:val="auto"/>
          <w:sz w:val="44"/>
          <w:szCs w:val="44"/>
          <w:highlight w:val="none"/>
        </w:rPr>
      </w:pPr>
      <w:r>
        <w:rPr>
          <w:rFonts w:hint="eastAsia" w:ascii="宋体" w:hAnsi="宋体" w:eastAsia="宋体" w:cs="宋体"/>
          <w:b/>
          <w:color w:val="auto"/>
          <w:sz w:val="44"/>
          <w:szCs w:val="44"/>
          <w:highlight w:val="none"/>
        </w:rPr>
        <w:t>封面格式(报价部分)</w:t>
      </w:r>
    </w:p>
    <w:p>
      <w:pPr>
        <w:pStyle w:val="10"/>
        <w:shd w:val="clear"/>
        <w:jc w:val="center"/>
        <w:rPr>
          <w:rFonts w:hint="eastAsia" w:ascii="宋体" w:hAnsi="宋体" w:eastAsia="宋体" w:cs="宋体"/>
          <w:color w:val="auto"/>
          <w:sz w:val="44"/>
          <w:szCs w:val="44"/>
          <w:highlight w:val="none"/>
        </w:rPr>
      </w:pPr>
      <w:r>
        <w:rPr>
          <w:rFonts w:hint="eastAsia" w:ascii="宋体" w:hAnsi="宋体" w:eastAsia="宋体" w:cs="宋体"/>
          <w:b/>
          <w:color w:val="auto"/>
          <w:sz w:val="44"/>
          <w:szCs w:val="44"/>
          <w:highlight w:val="none"/>
        </w:rPr>
        <w:t>福建省政府采购投标文件</w:t>
      </w:r>
    </w:p>
    <w:p>
      <w:pPr>
        <w:pStyle w:val="10"/>
        <w:shd w:val="clear"/>
        <w:jc w:val="center"/>
        <w:rPr>
          <w:rFonts w:hint="eastAsia" w:ascii="宋体" w:hAnsi="宋体" w:eastAsia="宋体" w:cs="宋体"/>
          <w:color w:val="auto"/>
          <w:sz w:val="28"/>
          <w:szCs w:val="28"/>
          <w:highlight w:val="none"/>
        </w:rPr>
      </w:pPr>
      <w:r>
        <w:rPr>
          <w:rFonts w:hint="eastAsia" w:ascii="宋体" w:hAnsi="宋体" w:eastAsia="宋体" w:cs="宋体"/>
          <w:b/>
          <w:color w:val="auto"/>
          <w:sz w:val="44"/>
          <w:szCs w:val="44"/>
          <w:highlight w:val="none"/>
        </w:rPr>
        <w:t>（报价部分）</w:t>
      </w:r>
      <w:r>
        <w:rPr>
          <w:rFonts w:hint="eastAsia" w:ascii="宋体" w:hAnsi="宋体" w:eastAsia="宋体" w:cs="宋体"/>
          <w:color w:val="auto"/>
          <w:sz w:val="28"/>
          <w:szCs w:val="28"/>
          <w:highlight w:val="none"/>
        </w:rPr>
        <w:br w:type="textWrapping"/>
      </w:r>
      <w:r>
        <w:rPr>
          <w:rFonts w:hint="eastAsia" w:ascii="宋体" w:hAnsi="宋体" w:eastAsia="宋体" w:cs="宋体"/>
          <w:color w:val="auto"/>
          <w:sz w:val="28"/>
          <w:szCs w:val="28"/>
          <w:highlight w:val="none"/>
        </w:rPr>
        <w:br w:type="textWrapping"/>
      </w:r>
      <w:r>
        <w:rPr>
          <w:rFonts w:hint="eastAsia" w:ascii="宋体" w:hAnsi="宋体" w:eastAsia="宋体" w:cs="宋体"/>
          <w:b/>
          <w:color w:val="auto"/>
          <w:sz w:val="28"/>
          <w:szCs w:val="28"/>
          <w:highlight w:val="none"/>
        </w:rPr>
        <w:t>（填写正本或副本）</w:t>
      </w:r>
      <w:r>
        <w:rPr>
          <w:rFonts w:hint="eastAsia" w:ascii="宋体" w:hAnsi="宋体" w:eastAsia="宋体" w:cs="宋体"/>
          <w:color w:val="auto"/>
          <w:sz w:val="28"/>
          <w:szCs w:val="28"/>
          <w:highlight w:val="none"/>
        </w:rPr>
        <w:br w:type="textWrapping"/>
      </w:r>
      <w:r>
        <w:rPr>
          <w:rFonts w:hint="eastAsia" w:ascii="宋体" w:hAnsi="宋体" w:eastAsia="宋体" w:cs="宋体"/>
          <w:color w:val="auto"/>
          <w:sz w:val="28"/>
          <w:szCs w:val="28"/>
          <w:highlight w:val="none"/>
        </w:rPr>
        <w:br w:type="textWrapping"/>
      </w:r>
    </w:p>
    <w:p>
      <w:pPr>
        <w:pStyle w:val="10"/>
        <w:shd w:val="clear"/>
        <w:jc w:val="center"/>
        <w:rPr>
          <w:rFonts w:hint="eastAsia" w:ascii="宋体" w:hAnsi="宋体" w:eastAsia="宋体" w:cs="宋体"/>
          <w:color w:val="auto"/>
          <w:sz w:val="28"/>
          <w:szCs w:val="28"/>
          <w:highlight w:val="none"/>
        </w:rPr>
      </w:pPr>
    </w:p>
    <w:p>
      <w:pPr>
        <w:pStyle w:val="10"/>
        <w:shd w:val="clear"/>
        <w:jc w:val="center"/>
        <w:rPr>
          <w:rFonts w:hint="eastAsia" w:ascii="宋体" w:hAnsi="宋体" w:eastAsia="宋体" w:cs="宋体"/>
          <w:color w:val="auto"/>
          <w:sz w:val="28"/>
          <w:szCs w:val="28"/>
          <w:highlight w:val="none"/>
        </w:rPr>
      </w:pPr>
      <w:r>
        <w:rPr>
          <w:rFonts w:hint="eastAsia" w:ascii="宋体" w:hAnsi="宋体" w:eastAsia="宋体" w:cs="宋体"/>
          <w:b/>
          <w:color w:val="auto"/>
          <w:sz w:val="28"/>
          <w:szCs w:val="28"/>
          <w:highlight w:val="none"/>
        </w:rPr>
        <w:t>（项目名称：（由投标人填写）</w:t>
      </w:r>
    </w:p>
    <w:p>
      <w:pPr>
        <w:pStyle w:val="10"/>
        <w:shd w:val="clear"/>
        <w:jc w:val="center"/>
        <w:rPr>
          <w:rFonts w:hint="eastAsia" w:ascii="宋体" w:hAnsi="宋体" w:eastAsia="宋体" w:cs="宋体"/>
          <w:color w:val="auto"/>
          <w:sz w:val="28"/>
          <w:szCs w:val="28"/>
          <w:highlight w:val="none"/>
        </w:rPr>
      </w:pPr>
      <w:r>
        <w:rPr>
          <w:rFonts w:hint="eastAsia" w:ascii="宋体" w:hAnsi="宋体" w:eastAsia="宋体" w:cs="宋体"/>
          <w:b/>
          <w:color w:val="auto"/>
          <w:sz w:val="28"/>
          <w:szCs w:val="28"/>
          <w:highlight w:val="none"/>
        </w:rPr>
        <w:t>（备案编号：（由投标人填写）</w:t>
      </w:r>
    </w:p>
    <w:p>
      <w:pPr>
        <w:pStyle w:val="10"/>
        <w:shd w:val="clear"/>
        <w:jc w:val="center"/>
        <w:rPr>
          <w:rFonts w:hint="eastAsia" w:ascii="宋体" w:hAnsi="宋体" w:eastAsia="宋体" w:cs="宋体"/>
          <w:color w:val="auto"/>
          <w:sz w:val="28"/>
          <w:szCs w:val="28"/>
          <w:highlight w:val="none"/>
        </w:rPr>
      </w:pPr>
      <w:r>
        <w:rPr>
          <w:rFonts w:hint="eastAsia" w:ascii="宋体" w:hAnsi="宋体" w:eastAsia="宋体" w:cs="宋体"/>
          <w:b/>
          <w:color w:val="auto"/>
          <w:sz w:val="28"/>
          <w:szCs w:val="28"/>
          <w:highlight w:val="none"/>
        </w:rPr>
        <w:t>（项目编号：（由投标人填写）</w:t>
      </w:r>
    </w:p>
    <w:p>
      <w:pPr>
        <w:pStyle w:val="10"/>
        <w:shd w:val="clear"/>
        <w:jc w:val="center"/>
        <w:rPr>
          <w:rFonts w:hint="eastAsia" w:ascii="宋体" w:hAnsi="宋体" w:eastAsia="宋体" w:cs="宋体"/>
          <w:color w:val="auto"/>
          <w:sz w:val="28"/>
          <w:szCs w:val="28"/>
          <w:highlight w:val="none"/>
        </w:rPr>
      </w:pPr>
      <w:r>
        <w:rPr>
          <w:rFonts w:hint="eastAsia" w:ascii="宋体" w:hAnsi="宋体" w:eastAsia="宋体" w:cs="宋体"/>
          <w:b/>
          <w:color w:val="auto"/>
          <w:sz w:val="28"/>
          <w:szCs w:val="28"/>
          <w:highlight w:val="none"/>
        </w:rPr>
        <w:t>（所投采购包：（由投标人填写）</w:t>
      </w:r>
      <w:r>
        <w:rPr>
          <w:rFonts w:hint="eastAsia" w:ascii="宋体" w:hAnsi="宋体" w:eastAsia="宋体" w:cs="宋体"/>
          <w:color w:val="auto"/>
          <w:sz w:val="28"/>
          <w:szCs w:val="28"/>
          <w:highlight w:val="none"/>
        </w:rPr>
        <w:br w:type="textWrapping"/>
      </w:r>
      <w:r>
        <w:rPr>
          <w:rFonts w:hint="eastAsia" w:ascii="宋体" w:hAnsi="宋体" w:eastAsia="宋体" w:cs="宋体"/>
          <w:color w:val="auto"/>
          <w:sz w:val="28"/>
          <w:szCs w:val="28"/>
          <w:highlight w:val="none"/>
        </w:rPr>
        <w:br w:type="textWrapping"/>
      </w:r>
    </w:p>
    <w:p>
      <w:pPr>
        <w:pStyle w:val="10"/>
        <w:shd w:val="clear"/>
        <w:jc w:val="center"/>
        <w:rPr>
          <w:rFonts w:hint="eastAsia" w:ascii="宋体" w:hAnsi="宋体" w:eastAsia="宋体" w:cs="宋体"/>
          <w:color w:val="auto"/>
          <w:sz w:val="28"/>
          <w:szCs w:val="28"/>
          <w:highlight w:val="none"/>
        </w:rPr>
      </w:pPr>
    </w:p>
    <w:p>
      <w:pPr>
        <w:pStyle w:val="10"/>
        <w:shd w:val="clear"/>
        <w:jc w:val="center"/>
        <w:rPr>
          <w:rFonts w:hint="eastAsia" w:ascii="宋体" w:hAnsi="宋体" w:eastAsia="宋体" w:cs="宋体"/>
          <w:color w:val="auto"/>
          <w:sz w:val="28"/>
          <w:szCs w:val="28"/>
          <w:highlight w:val="none"/>
        </w:rPr>
      </w:pPr>
    </w:p>
    <w:p>
      <w:pPr>
        <w:pStyle w:val="10"/>
        <w:shd w:val="clear"/>
        <w:jc w:val="center"/>
        <w:rPr>
          <w:rFonts w:hint="eastAsia" w:ascii="宋体" w:hAnsi="宋体" w:eastAsia="宋体" w:cs="宋体"/>
          <w:color w:val="auto"/>
          <w:sz w:val="28"/>
          <w:szCs w:val="28"/>
          <w:highlight w:val="none"/>
        </w:rPr>
      </w:pPr>
    </w:p>
    <w:p>
      <w:pPr>
        <w:pStyle w:val="10"/>
        <w:shd w:val="clear"/>
        <w:jc w:val="center"/>
        <w:rPr>
          <w:rFonts w:hint="eastAsia" w:ascii="宋体" w:hAnsi="宋体" w:eastAsia="宋体" w:cs="宋体"/>
          <w:color w:val="auto"/>
          <w:sz w:val="28"/>
          <w:szCs w:val="28"/>
          <w:highlight w:val="none"/>
        </w:rPr>
      </w:pPr>
      <w:r>
        <w:rPr>
          <w:rFonts w:hint="eastAsia" w:ascii="宋体" w:hAnsi="宋体" w:eastAsia="宋体" w:cs="宋体"/>
          <w:b/>
          <w:color w:val="auto"/>
          <w:sz w:val="28"/>
          <w:szCs w:val="28"/>
          <w:highlight w:val="none"/>
        </w:rPr>
        <w:t>投标人：（填写“全称”）</w:t>
      </w:r>
    </w:p>
    <w:p>
      <w:pPr>
        <w:pStyle w:val="10"/>
        <w:shd w:val="clear"/>
        <w:jc w:val="center"/>
        <w:rPr>
          <w:rFonts w:hint="eastAsia" w:ascii="宋体" w:hAnsi="宋体" w:eastAsia="宋体" w:cs="宋体"/>
          <w:color w:val="auto"/>
          <w:sz w:val="28"/>
          <w:szCs w:val="28"/>
          <w:highlight w:val="none"/>
        </w:rPr>
      </w:pPr>
      <w:r>
        <w:rPr>
          <w:rFonts w:hint="eastAsia" w:ascii="宋体" w:hAnsi="宋体" w:eastAsia="宋体" w:cs="宋体"/>
          <w:b/>
          <w:color w:val="auto"/>
          <w:sz w:val="28"/>
          <w:szCs w:val="28"/>
          <w:highlight w:val="none"/>
        </w:rPr>
        <w:t>（由投标人填写）年（由投标人填写）月</w:t>
      </w:r>
    </w:p>
    <w:p>
      <w:pPr>
        <w:pStyle w:val="10"/>
        <w:shd w:val="clear"/>
        <w:rPr>
          <w:rFonts w:hint="eastAsia" w:ascii="宋体" w:hAnsi="宋体" w:eastAsia="宋体" w:cs="宋体"/>
          <w:color w:val="auto"/>
          <w:sz w:val="24"/>
          <w:szCs w:val="24"/>
          <w:highlight w:val="none"/>
        </w:rPr>
      </w:pPr>
    </w:p>
    <w:p>
      <w:pPr>
        <w:pStyle w:val="10"/>
        <w:shd w:val="clea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pP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br w:type="page"/>
      </w:r>
    </w:p>
    <w:p>
      <w:pPr>
        <w:pStyle w:val="10"/>
        <w:keepNext w:val="0"/>
        <w:keepLines w:val="0"/>
        <w:pageBreakBefore w:val="0"/>
        <w:shd w:val="clear"/>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索引</w:t>
      </w:r>
    </w:p>
    <w:p>
      <w:pPr>
        <w:pStyle w:val="10"/>
        <w:keepNext w:val="0"/>
        <w:keepLines w:val="0"/>
        <w:pageBreakBefore w:val="0"/>
        <w:shd w:val="clear"/>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一、开标一览表</w:t>
      </w:r>
    </w:p>
    <w:p>
      <w:pPr>
        <w:pStyle w:val="10"/>
        <w:keepNext w:val="0"/>
        <w:keepLines w:val="0"/>
        <w:pageBreakBefore w:val="0"/>
        <w:shd w:val="clear"/>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二、投标分项报价表</w:t>
      </w:r>
    </w:p>
    <w:p>
      <w:pPr>
        <w:pStyle w:val="10"/>
        <w:keepNext w:val="0"/>
        <w:keepLines w:val="0"/>
        <w:pageBreakBefore w:val="0"/>
        <w:shd w:val="clear"/>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三、招标文件规定的价格扣除证明材料（若有）</w:t>
      </w:r>
    </w:p>
    <w:p>
      <w:pPr>
        <w:pStyle w:val="10"/>
        <w:keepNext w:val="0"/>
        <w:keepLines w:val="0"/>
        <w:pageBreakBefore w:val="0"/>
        <w:shd w:val="clear"/>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四、招标文件规定的加分证明材料（若有）</w:t>
      </w:r>
    </w:p>
    <w:p>
      <w:pPr>
        <w:pStyle w:val="10"/>
        <w:keepNext w:val="0"/>
        <w:keepLines w:val="0"/>
        <w:pageBreakBefore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p>
    <w:p>
      <w:pPr>
        <w:pStyle w:val="10"/>
        <w:keepNext w:val="0"/>
        <w:keepLines w:val="0"/>
        <w:pageBreakBefore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br w:type="page"/>
      </w:r>
    </w:p>
    <w:p>
      <w:pPr>
        <w:pStyle w:val="10"/>
        <w:keepNext w:val="0"/>
        <w:keepLines w:val="0"/>
        <w:pageBreakBefore w:val="0"/>
        <w:shd w:val="clear"/>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一、开标一览表</w:t>
      </w:r>
    </w:p>
    <w:p>
      <w:pPr>
        <w:pStyle w:val="10"/>
        <w:keepNext w:val="0"/>
        <w:keepLines w:val="0"/>
        <w:pageBreakBefore w:val="0"/>
        <w:shd w:val="clear"/>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项目编号：　　　　　　　　</w:t>
      </w:r>
    </w:p>
    <w:p>
      <w:pPr>
        <w:pStyle w:val="10"/>
        <w:keepNext w:val="0"/>
        <w:keepLines w:val="0"/>
        <w:pageBreakBefore w:val="0"/>
        <w:shd w:val="clear"/>
        <w:kinsoku/>
        <w:wordWrap/>
        <w:overflowPunct/>
        <w:topLinePunct w:val="0"/>
        <w:autoSpaceDE/>
        <w:autoSpaceDN/>
        <w:bidi w:val="0"/>
        <w:adjustRightInd/>
        <w:snapToGrid/>
        <w:spacing w:line="400" w:lineRule="exact"/>
        <w:ind w:firstLine="480"/>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货币及单位：人民币元</w:t>
      </w:r>
    </w:p>
    <w:tbl>
      <w:tblPr>
        <w:tblStyle w:val="7"/>
        <w:tblW w:w="5000"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435"/>
        <w:gridCol w:w="2435"/>
        <w:gridCol w:w="2435"/>
        <w:gridCol w:w="2435"/>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53" w:hRule="atLeast"/>
        </w:trPr>
        <w:tc>
          <w:tcPr>
            <w:tcW w:w="1250" w:type="pct"/>
            <w:vAlign w:val="center"/>
          </w:tcPr>
          <w:p>
            <w:pPr>
              <w:pStyle w:val="10"/>
              <w:keepNext w:val="0"/>
              <w:keepLines w:val="0"/>
              <w:pageBreakBefore w:val="0"/>
              <w:shd w:val="clear"/>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采购包</w:t>
            </w:r>
          </w:p>
        </w:tc>
        <w:tc>
          <w:tcPr>
            <w:tcW w:w="1250" w:type="pct"/>
            <w:vAlign w:val="center"/>
          </w:tcPr>
          <w:p>
            <w:pPr>
              <w:pStyle w:val="10"/>
              <w:keepNext w:val="0"/>
              <w:keepLines w:val="0"/>
              <w:pageBreakBefore w:val="0"/>
              <w:shd w:val="clear"/>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投标报价</w:t>
            </w:r>
          </w:p>
        </w:tc>
        <w:tc>
          <w:tcPr>
            <w:tcW w:w="1250" w:type="pct"/>
            <w:vAlign w:val="center"/>
          </w:tcPr>
          <w:p>
            <w:pPr>
              <w:pStyle w:val="10"/>
              <w:keepNext w:val="0"/>
              <w:keepLines w:val="0"/>
              <w:pageBreakBefore w:val="0"/>
              <w:shd w:val="clear"/>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投标保证金</w:t>
            </w:r>
          </w:p>
        </w:tc>
        <w:tc>
          <w:tcPr>
            <w:tcW w:w="1250" w:type="pct"/>
            <w:vAlign w:val="center"/>
          </w:tcPr>
          <w:p>
            <w:pPr>
              <w:pStyle w:val="10"/>
              <w:keepNext w:val="0"/>
              <w:keepLines w:val="0"/>
              <w:pageBreakBefore w:val="0"/>
              <w:shd w:val="clear"/>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0" w:type="pct"/>
          </w:tcPr>
          <w:p>
            <w:pPr>
              <w:pStyle w:val="10"/>
              <w:keepNext w:val="0"/>
              <w:keepLines w:val="0"/>
              <w:pageBreakBefore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1250" w:type="pct"/>
          </w:tcPr>
          <w:p>
            <w:pPr>
              <w:pStyle w:val="10"/>
              <w:keepNext w:val="0"/>
              <w:keepLines w:val="0"/>
              <w:pageBreakBefore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投标总价（大写金额）：　　　　　　　　</w:t>
            </w:r>
          </w:p>
        </w:tc>
        <w:tc>
          <w:tcPr>
            <w:tcW w:w="1250" w:type="pct"/>
          </w:tcPr>
          <w:p>
            <w:pPr>
              <w:keepNext w:val="0"/>
              <w:keepLines w:val="0"/>
              <w:pageBreakBefore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p>
        </w:tc>
        <w:tc>
          <w:tcPr>
            <w:tcW w:w="1250" w:type="pct"/>
            <w:vMerge w:val="restart"/>
          </w:tcPr>
          <w:p>
            <w:pPr>
              <w:pStyle w:val="10"/>
              <w:keepNext w:val="0"/>
              <w:keepLines w:val="0"/>
              <w:pageBreakBefore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a.&gt;投标报价的明细：详见《投标分项报价表》。</w:t>
            </w:r>
          </w:p>
          <w:p>
            <w:pPr>
              <w:pStyle w:val="10"/>
              <w:keepNext w:val="0"/>
              <w:keepLines w:val="0"/>
              <w:pageBreakBefore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b.&gt;招标文件规定的价格扣除证明材料（若有）：详见报价部分。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0" w:type="pct"/>
          </w:tcPr>
          <w:p>
            <w:pPr>
              <w:pStyle w:val="10"/>
              <w:keepNext w:val="0"/>
              <w:keepLines w:val="0"/>
              <w:pageBreakBefore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1250" w:type="pct"/>
          </w:tcPr>
          <w:p>
            <w:pPr>
              <w:pStyle w:val="10"/>
              <w:keepNext w:val="0"/>
              <w:keepLines w:val="0"/>
              <w:pageBreakBefore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投标总价（大写金额）：　　　　　　　　</w:t>
            </w:r>
          </w:p>
        </w:tc>
        <w:tc>
          <w:tcPr>
            <w:tcW w:w="1250" w:type="pct"/>
          </w:tcPr>
          <w:p>
            <w:pPr>
              <w:keepNext w:val="0"/>
              <w:keepLines w:val="0"/>
              <w:pageBreakBefore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p>
        </w:tc>
        <w:tc>
          <w:tcPr>
            <w:tcW w:w="1250" w:type="pct"/>
            <w:vMerge w:val="continue"/>
          </w:tcPr>
          <w:p>
            <w:pPr>
              <w:keepNext w:val="0"/>
              <w:keepLines w:val="0"/>
              <w:pageBreakBefore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p>
        </w:tc>
      </w:tr>
    </w:tbl>
    <w:p>
      <w:pPr>
        <w:pStyle w:val="10"/>
        <w:keepNext w:val="0"/>
        <w:keepLines w:val="0"/>
        <w:pageBreakBefore w:val="0"/>
        <w:shd w:val="clear"/>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※注意：</w:t>
      </w:r>
    </w:p>
    <w:p>
      <w:pPr>
        <w:pStyle w:val="10"/>
        <w:keepNext w:val="0"/>
        <w:keepLines w:val="0"/>
        <w:pageBreakBefore w:val="0"/>
        <w:shd w:val="clear"/>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1、本表应按照下列规定填写：</w:t>
      </w:r>
    </w:p>
    <w:p>
      <w:pPr>
        <w:pStyle w:val="10"/>
        <w:keepNext w:val="0"/>
        <w:keepLines w:val="0"/>
        <w:pageBreakBefore w:val="0"/>
        <w:shd w:val="clear"/>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1.1投标人应按照本表格式填写所投的采购包的“投标报价”。</w:t>
      </w:r>
    </w:p>
    <w:p>
      <w:pPr>
        <w:pStyle w:val="10"/>
        <w:keepNext w:val="0"/>
        <w:keepLines w:val="0"/>
        <w:pageBreakBefore w:val="0"/>
        <w:shd w:val="clear"/>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1.2本表中列示的“采购包”应与《投标分项报价表》中列示的“采购包”保持一致，即：若本表中列示的“采购包”为“1”时，《投标分项报价表》中列示的“采购包”亦应为“1”，以此类推。</w:t>
      </w:r>
    </w:p>
    <w:p>
      <w:pPr>
        <w:pStyle w:val="10"/>
        <w:keepNext w:val="0"/>
        <w:keepLines w:val="0"/>
        <w:pageBreakBefore w:val="0"/>
        <w:shd w:val="clear"/>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1.3“大写金额”指“投标报价”应用“壹、贰、叁、肆、伍、陆、柒、捌、玖、拾、佰、仟、万、亿、元、角、分、零”等进行填写。</w:t>
      </w:r>
    </w:p>
    <w:p>
      <w:pPr>
        <w:pStyle w:val="10"/>
        <w:keepNext w:val="0"/>
        <w:keepLines w:val="0"/>
        <w:pageBreakBefore w:val="0"/>
        <w:shd w:val="clear"/>
        <w:kinsoku/>
        <w:wordWrap/>
        <w:overflowPunct/>
        <w:topLinePunct w:val="0"/>
        <w:autoSpaceDE/>
        <w:autoSpaceDN/>
        <w:bidi w:val="0"/>
        <w:adjustRightInd/>
        <w:snapToGrid/>
        <w:spacing w:line="400" w:lineRule="exact"/>
        <w:ind w:firstLine="480"/>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投标人：（全称并加盖单位公章）</w:t>
      </w:r>
    </w:p>
    <w:p>
      <w:pPr>
        <w:pStyle w:val="10"/>
        <w:keepNext w:val="0"/>
        <w:keepLines w:val="0"/>
        <w:pageBreakBefore w:val="0"/>
        <w:shd w:val="clear"/>
        <w:kinsoku/>
        <w:wordWrap/>
        <w:overflowPunct/>
        <w:topLinePunct w:val="0"/>
        <w:autoSpaceDE/>
        <w:autoSpaceDN/>
        <w:bidi w:val="0"/>
        <w:adjustRightInd/>
        <w:snapToGrid/>
        <w:spacing w:line="400" w:lineRule="exact"/>
        <w:ind w:firstLine="480"/>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　　年　　月　　日</w:t>
      </w:r>
    </w:p>
    <w:p>
      <w:pPr>
        <w:pStyle w:val="10"/>
        <w:keepNext w:val="0"/>
        <w:keepLines w:val="0"/>
        <w:pageBreakBefore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p>
    <w:p>
      <w:pPr>
        <w:pStyle w:val="10"/>
        <w:keepNext w:val="0"/>
        <w:keepLines w:val="0"/>
        <w:pageBreakBefore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br w:type="page"/>
      </w:r>
    </w:p>
    <w:p>
      <w:pPr>
        <w:pStyle w:val="10"/>
        <w:keepNext w:val="0"/>
        <w:keepLines w:val="0"/>
        <w:pageBreakBefore w:val="0"/>
        <w:shd w:val="clear"/>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二、投标分项报价表</w:t>
      </w:r>
    </w:p>
    <w:p>
      <w:pPr>
        <w:pStyle w:val="10"/>
        <w:keepNext w:val="0"/>
        <w:keepLines w:val="0"/>
        <w:pageBreakBefore w:val="0"/>
        <w:shd w:val="clear"/>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项目编号：　　　　　　　　</w:t>
      </w:r>
    </w:p>
    <w:p>
      <w:pPr>
        <w:pStyle w:val="10"/>
        <w:keepNext w:val="0"/>
        <w:keepLines w:val="0"/>
        <w:pageBreakBefore w:val="0"/>
        <w:shd w:val="clear"/>
        <w:kinsoku/>
        <w:wordWrap/>
        <w:overflowPunct/>
        <w:topLinePunct w:val="0"/>
        <w:autoSpaceDE/>
        <w:autoSpaceDN/>
        <w:bidi w:val="0"/>
        <w:adjustRightInd/>
        <w:snapToGrid/>
        <w:spacing w:line="400" w:lineRule="exact"/>
        <w:ind w:firstLine="480"/>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货币及单位：人民币元</w:t>
      </w:r>
    </w:p>
    <w:tbl>
      <w:tblPr>
        <w:tblStyle w:val="7"/>
        <w:tblW w:w="4998"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81"/>
        <w:gridCol w:w="1081"/>
        <w:gridCol w:w="1082"/>
        <w:gridCol w:w="1082"/>
        <w:gridCol w:w="1082"/>
        <w:gridCol w:w="1082"/>
        <w:gridCol w:w="1082"/>
        <w:gridCol w:w="1082"/>
        <w:gridCol w:w="108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55" w:type="pct"/>
          </w:tcPr>
          <w:p>
            <w:pPr>
              <w:pStyle w:val="10"/>
              <w:keepNext w:val="0"/>
              <w:keepLines w:val="0"/>
              <w:pageBreakBefore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采购包</w:t>
            </w:r>
          </w:p>
        </w:tc>
        <w:tc>
          <w:tcPr>
            <w:tcW w:w="555" w:type="pct"/>
          </w:tcPr>
          <w:p>
            <w:pPr>
              <w:pStyle w:val="10"/>
              <w:keepNext w:val="0"/>
              <w:keepLines w:val="0"/>
              <w:pageBreakBefore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品目号</w:t>
            </w:r>
          </w:p>
        </w:tc>
        <w:tc>
          <w:tcPr>
            <w:tcW w:w="555" w:type="pct"/>
          </w:tcPr>
          <w:p>
            <w:pPr>
              <w:pStyle w:val="10"/>
              <w:keepNext w:val="0"/>
              <w:keepLines w:val="0"/>
              <w:pageBreakBefore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投标标的</w:t>
            </w:r>
          </w:p>
        </w:tc>
        <w:tc>
          <w:tcPr>
            <w:tcW w:w="555" w:type="pct"/>
          </w:tcPr>
          <w:p>
            <w:pPr>
              <w:pStyle w:val="10"/>
              <w:keepNext w:val="0"/>
              <w:keepLines w:val="0"/>
              <w:pageBreakBefore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规格</w:t>
            </w:r>
          </w:p>
        </w:tc>
        <w:tc>
          <w:tcPr>
            <w:tcW w:w="555" w:type="pct"/>
          </w:tcPr>
          <w:p>
            <w:pPr>
              <w:pStyle w:val="10"/>
              <w:keepNext w:val="0"/>
              <w:keepLines w:val="0"/>
              <w:pageBreakBefore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来源地</w:t>
            </w:r>
          </w:p>
        </w:tc>
        <w:tc>
          <w:tcPr>
            <w:tcW w:w="555" w:type="pct"/>
          </w:tcPr>
          <w:p>
            <w:pPr>
              <w:pStyle w:val="10"/>
              <w:keepNext w:val="0"/>
              <w:keepLines w:val="0"/>
              <w:pageBreakBefore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单价（现场）</w:t>
            </w:r>
          </w:p>
        </w:tc>
        <w:tc>
          <w:tcPr>
            <w:tcW w:w="555" w:type="pct"/>
          </w:tcPr>
          <w:p>
            <w:pPr>
              <w:pStyle w:val="10"/>
              <w:keepNext w:val="0"/>
              <w:keepLines w:val="0"/>
              <w:pageBreakBefore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555" w:type="pct"/>
          </w:tcPr>
          <w:p>
            <w:pPr>
              <w:pStyle w:val="10"/>
              <w:keepNext w:val="0"/>
              <w:keepLines w:val="0"/>
              <w:pageBreakBefore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总价（现场）</w:t>
            </w:r>
          </w:p>
        </w:tc>
        <w:tc>
          <w:tcPr>
            <w:tcW w:w="555" w:type="pct"/>
          </w:tcPr>
          <w:p>
            <w:pPr>
              <w:pStyle w:val="10"/>
              <w:keepNext w:val="0"/>
              <w:keepLines w:val="0"/>
              <w:pageBreakBefore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55" w:type="pct"/>
            <w:vMerge w:val="restart"/>
          </w:tcPr>
          <w:p>
            <w:pPr>
              <w:pStyle w:val="10"/>
              <w:keepNext w:val="0"/>
              <w:keepLines w:val="0"/>
              <w:pageBreakBefore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555" w:type="pct"/>
          </w:tcPr>
          <w:p>
            <w:pPr>
              <w:pStyle w:val="10"/>
              <w:keepNext w:val="0"/>
              <w:keepLines w:val="0"/>
              <w:pageBreakBefore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555" w:type="pct"/>
          </w:tcPr>
          <w:p>
            <w:pPr>
              <w:keepNext w:val="0"/>
              <w:keepLines w:val="0"/>
              <w:pageBreakBefore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p>
        </w:tc>
        <w:tc>
          <w:tcPr>
            <w:tcW w:w="555" w:type="pct"/>
          </w:tcPr>
          <w:p>
            <w:pPr>
              <w:keepNext w:val="0"/>
              <w:keepLines w:val="0"/>
              <w:pageBreakBefore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p>
        </w:tc>
        <w:tc>
          <w:tcPr>
            <w:tcW w:w="555" w:type="pct"/>
          </w:tcPr>
          <w:p>
            <w:pPr>
              <w:keepNext w:val="0"/>
              <w:keepLines w:val="0"/>
              <w:pageBreakBefore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p>
        </w:tc>
        <w:tc>
          <w:tcPr>
            <w:tcW w:w="555" w:type="pct"/>
          </w:tcPr>
          <w:p>
            <w:pPr>
              <w:keepNext w:val="0"/>
              <w:keepLines w:val="0"/>
              <w:pageBreakBefore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p>
        </w:tc>
        <w:tc>
          <w:tcPr>
            <w:tcW w:w="555" w:type="pct"/>
          </w:tcPr>
          <w:p>
            <w:pPr>
              <w:keepNext w:val="0"/>
              <w:keepLines w:val="0"/>
              <w:pageBreakBefore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p>
        </w:tc>
        <w:tc>
          <w:tcPr>
            <w:tcW w:w="555" w:type="pct"/>
          </w:tcPr>
          <w:p>
            <w:pPr>
              <w:keepNext w:val="0"/>
              <w:keepLines w:val="0"/>
              <w:pageBreakBefore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p>
        </w:tc>
        <w:tc>
          <w:tcPr>
            <w:tcW w:w="555" w:type="pct"/>
          </w:tcPr>
          <w:p>
            <w:pPr>
              <w:keepNext w:val="0"/>
              <w:keepLines w:val="0"/>
              <w:pageBreakBefore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55" w:type="pct"/>
            <w:vMerge w:val="continue"/>
          </w:tcPr>
          <w:p>
            <w:pPr>
              <w:keepNext w:val="0"/>
              <w:keepLines w:val="0"/>
              <w:pageBreakBefore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p>
        </w:tc>
        <w:tc>
          <w:tcPr>
            <w:tcW w:w="555" w:type="pct"/>
          </w:tcPr>
          <w:p>
            <w:pPr>
              <w:pStyle w:val="10"/>
              <w:keepNext w:val="0"/>
              <w:keepLines w:val="0"/>
              <w:pageBreakBefore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555" w:type="pct"/>
          </w:tcPr>
          <w:p>
            <w:pPr>
              <w:keepNext w:val="0"/>
              <w:keepLines w:val="0"/>
              <w:pageBreakBefore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p>
        </w:tc>
        <w:tc>
          <w:tcPr>
            <w:tcW w:w="555" w:type="pct"/>
          </w:tcPr>
          <w:p>
            <w:pPr>
              <w:keepNext w:val="0"/>
              <w:keepLines w:val="0"/>
              <w:pageBreakBefore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p>
        </w:tc>
        <w:tc>
          <w:tcPr>
            <w:tcW w:w="555" w:type="pct"/>
          </w:tcPr>
          <w:p>
            <w:pPr>
              <w:keepNext w:val="0"/>
              <w:keepLines w:val="0"/>
              <w:pageBreakBefore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p>
        </w:tc>
        <w:tc>
          <w:tcPr>
            <w:tcW w:w="555" w:type="pct"/>
          </w:tcPr>
          <w:p>
            <w:pPr>
              <w:keepNext w:val="0"/>
              <w:keepLines w:val="0"/>
              <w:pageBreakBefore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p>
        </w:tc>
        <w:tc>
          <w:tcPr>
            <w:tcW w:w="555" w:type="pct"/>
          </w:tcPr>
          <w:p>
            <w:pPr>
              <w:keepNext w:val="0"/>
              <w:keepLines w:val="0"/>
              <w:pageBreakBefore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p>
        </w:tc>
        <w:tc>
          <w:tcPr>
            <w:tcW w:w="555" w:type="pct"/>
          </w:tcPr>
          <w:p>
            <w:pPr>
              <w:keepNext w:val="0"/>
              <w:keepLines w:val="0"/>
              <w:pageBreakBefore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p>
        </w:tc>
        <w:tc>
          <w:tcPr>
            <w:tcW w:w="555" w:type="pct"/>
          </w:tcPr>
          <w:p>
            <w:pPr>
              <w:keepNext w:val="0"/>
              <w:keepLines w:val="0"/>
              <w:pageBreakBefore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55" w:type="pct"/>
          </w:tcPr>
          <w:p>
            <w:pPr>
              <w:pStyle w:val="10"/>
              <w:keepNext w:val="0"/>
              <w:keepLines w:val="0"/>
              <w:pageBreakBefore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555" w:type="pct"/>
          </w:tcPr>
          <w:p>
            <w:pPr>
              <w:keepNext w:val="0"/>
              <w:keepLines w:val="0"/>
              <w:pageBreakBefore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p>
        </w:tc>
        <w:tc>
          <w:tcPr>
            <w:tcW w:w="555" w:type="pct"/>
          </w:tcPr>
          <w:p>
            <w:pPr>
              <w:keepNext w:val="0"/>
              <w:keepLines w:val="0"/>
              <w:pageBreakBefore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p>
        </w:tc>
        <w:tc>
          <w:tcPr>
            <w:tcW w:w="555" w:type="pct"/>
          </w:tcPr>
          <w:p>
            <w:pPr>
              <w:keepNext w:val="0"/>
              <w:keepLines w:val="0"/>
              <w:pageBreakBefore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p>
        </w:tc>
        <w:tc>
          <w:tcPr>
            <w:tcW w:w="555" w:type="pct"/>
          </w:tcPr>
          <w:p>
            <w:pPr>
              <w:keepNext w:val="0"/>
              <w:keepLines w:val="0"/>
              <w:pageBreakBefore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p>
        </w:tc>
        <w:tc>
          <w:tcPr>
            <w:tcW w:w="555" w:type="pct"/>
          </w:tcPr>
          <w:p>
            <w:pPr>
              <w:keepNext w:val="0"/>
              <w:keepLines w:val="0"/>
              <w:pageBreakBefore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p>
        </w:tc>
        <w:tc>
          <w:tcPr>
            <w:tcW w:w="555" w:type="pct"/>
          </w:tcPr>
          <w:p>
            <w:pPr>
              <w:keepNext w:val="0"/>
              <w:keepLines w:val="0"/>
              <w:pageBreakBefore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p>
        </w:tc>
        <w:tc>
          <w:tcPr>
            <w:tcW w:w="555" w:type="pct"/>
          </w:tcPr>
          <w:p>
            <w:pPr>
              <w:keepNext w:val="0"/>
              <w:keepLines w:val="0"/>
              <w:pageBreakBefore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p>
        </w:tc>
        <w:tc>
          <w:tcPr>
            <w:tcW w:w="555" w:type="pct"/>
          </w:tcPr>
          <w:p>
            <w:pPr>
              <w:keepNext w:val="0"/>
              <w:keepLines w:val="0"/>
              <w:pageBreakBefore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p>
        </w:tc>
      </w:tr>
    </w:tbl>
    <w:p>
      <w:pPr>
        <w:pStyle w:val="10"/>
        <w:keepNext w:val="0"/>
        <w:keepLines w:val="0"/>
        <w:pageBreakBefore w:val="0"/>
        <w:shd w:val="clear"/>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※注意：</w:t>
      </w:r>
    </w:p>
    <w:p>
      <w:pPr>
        <w:pStyle w:val="10"/>
        <w:keepNext w:val="0"/>
        <w:keepLines w:val="0"/>
        <w:pageBreakBefore w:val="0"/>
        <w:shd w:val="clear"/>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1、本表应按照下列规定填写：</w:t>
      </w:r>
    </w:p>
    <w:p>
      <w:pPr>
        <w:pStyle w:val="10"/>
        <w:keepNext w:val="0"/>
        <w:keepLines w:val="0"/>
        <w:pageBreakBefore w:val="0"/>
        <w:shd w:val="clear"/>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投标人应按照本表格式填写所投采购包的分项报价，其中：“采购包”、“品目号”、“投标标的”及“数量”应与招标文件《采购标的一览表》中的有关内容（“采购包”、“品目号”、“采购标的”及“数量”）保持一致，“采购包”还应与《开标一览表》中列示的“采购包”保持一致，即：若《开标一览表》中列示的“采购包”为“1”时，本表中列示的“采购包”亦应为“1”，以此类推。</w:t>
      </w:r>
    </w:p>
    <w:p>
      <w:pPr>
        <w:pStyle w:val="10"/>
        <w:keepNext w:val="0"/>
        <w:keepLines w:val="0"/>
        <w:pageBreakBefore w:val="0"/>
        <w:shd w:val="clear"/>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1.2“投标标的”为货物的：“规格”项下应填写货物制造厂商赋予的品牌（属于节能、环保清单产品的货物，填写的品牌名称应与清单载明的品牌名称保持一致）及具体型号。“来源地”应填写货物的原产地。</w:t>
      </w:r>
    </w:p>
    <w:p>
      <w:pPr>
        <w:pStyle w:val="10"/>
        <w:keepNext w:val="0"/>
        <w:keepLines w:val="0"/>
        <w:pageBreakBefore w:val="0"/>
        <w:shd w:val="clear"/>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1.3“投标标的”为服务的：“规格”项下应填写服务提供者提供的服务标准及品牌（若有）。“来源地”应填写服务提供者的所在地。</w:t>
      </w:r>
    </w:p>
    <w:p>
      <w:pPr>
        <w:pStyle w:val="10"/>
        <w:keepNext w:val="0"/>
        <w:keepLines w:val="0"/>
        <w:pageBreakBefore w:val="0"/>
        <w:shd w:val="clear"/>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1.4同一采购包中，“单价（现场）”×“数量”=“总价（现场）”，全部品目号“总价（现场）”的合计金额应与《开标一览表》中相应采购包列示的“投标总价”保持一致。</w:t>
      </w:r>
    </w:p>
    <w:p>
      <w:pPr>
        <w:pStyle w:val="10"/>
        <w:keepNext w:val="0"/>
        <w:keepLines w:val="0"/>
        <w:pageBreakBefore w:val="0"/>
        <w:shd w:val="clear"/>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1.5若招标文件要求投标人对“备品备件价格、专用工具价格、技术服务费、安装调试费、检验培训费、运输费、保险费、税收”等进行报价的，请在本表的“备注”项下填写。</w:t>
      </w:r>
    </w:p>
    <w:p>
      <w:pPr>
        <w:pStyle w:val="10"/>
        <w:keepNext w:val="0"/>
        <w:keepLines w:val="0"/>
        <w:pageBreakBefore w:val="0"/>
        <w:shd w:val="clear"/>
        <w:kinsoku/>
        <w:wordWrap/>
        <w:overflowPunct/>
        <w:topLinePunct w:val="0"/>
        <w:autoSpaceDE/>
        <w:autoSpaceDN/>
        <w:bidi w:val="0"/>
        <w:adjustRightInd/>
        <w:snapToGrid/>
        <w:spacing w:line="400" w:lineRule="exact"/>
        <w:ind w:firstLine="480"/>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投标人：（全称并加盖单位公章）</w:t>
      </w:r>
    </w:p>
    <w:p>
      <w:pPr>
        <w:pStyle w:val="10"/>
        <w:keepNext w:val="0"/>
        <w:keepLines w:val="0"/>
        <w:pageBreakBefore w:val="0"/>
        <w:shd w:val="clear"/>
        <w:kinsoku/>
        <w:wordWrap/>
        <w:overflowPunct/>
        <w:topLinePunct w:val="0"/>
        <w:autoSpaceDE/>
        <w:autoSpaceDN/>
        <w:bidi w:val="0"/>
        <w:adjustRightInd/>
        <w:snapToGrid/>
        <w:spacing w:line="400" w:lineRule="exact"/>
        <w:ind w:firstLine="480"/>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　　年　　月　　日</w:t>
      </w:r>
    </w:p>
    <w:p>
      <w:pPr>
        <w:pStyle w:val="10"/>
        <w:keepNext w:val="0"/>
        <w:keepLines w:val="0"/>
        <w:pageBreakBefore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p>
    <w:p>
      <w:pPr>
        <w:pStyle w:val="10"/>
        <w:keepNext w:val="0"/>
        <w:keepLines w:val="0"/>
        <w:pageBreakBefore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pP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br w:type="page"/>
      </w:r>
    </w:p>
    <w:p>
      <w:pPr>
        <w:pStyle w:val="10"/>
        <w:keepNext w:val="0"/>
        <w:keepLines w:val="0"/>
        <w:pageBreakBefore w:val="0"/>
        <w:shd w:val="clear"/>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三、招标文件规定的价格扣除证明材料（若有）</w:t>
      </w:r>
    </w:p>
    <w:p>
      <w:pPr>
        <w:pStyle w:val="10"/>
        <w:keepNext w:val="0"/>
        <w:keepLines w:val="0"/>
        <w:pageBreakBefore w:val="0"/>
        <w:shd w:val="clear"/>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三-1优先类节能产品、环境标志产品价格扣除证明材料（若有）</w:t>
      </w:r>
    </w:p>
    <w:p>
      <w:pPr>
        <w:pStyle w:val="10"/>
        <w:keepNext w:val="0"/>
        <w:keepLines w:val="0"/>
        <w:pageBreakBefore w:val="0"/>
        <w:shd w:val="clear"/>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三-1-①优先类节能产品、环境标志产品统计表（价格扣除适用，若有）</w:t>
      </w:r>
    </w:p>
    <w:p>
      <w:pPr>
        <w:pStyle w:val="10"/>
        <w:keepNext w:val="0"/>
        <w:keepLines w:val="0"/>
        <w:pageBreakBefore w:val="0"/>
        <w:shd w:val="clear"/>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项目编号：　　　　　　　　</w:t>
      </w:r>
    </w:p>
    <w:p>
      <w:pPr>
        <w:pStyle w:val="10"/>
        <w:keepNext w:val="0"/>
        <w:keepLines w:val="0"/>
        <w:pageBreakBefore w:val="0"/>
        <w:shd w:val="clear"/>
        <w:kinsoku/>
        <w:wordWrap/>
        <w:overflowPunct/>
        <w:topLinePunct w:val="0"/>
        <w:autoSpaceDE/>
        <w:autoSpaceDN/>
        <w:bidi w:val="0"/>
        <w:adjustRightInd/>
        <w:snapToGrid/>
        <w:spacing w:line="400" w:lineRule="exact"/>
        <w:ind w:firstLine="480"/>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货币及单位：人民币元</w:t>
      </w:r>
    </w:p>
    <w:tbl>
      <w:tblPr>
        <w:tblStyle w:val="7"/>
        <w:tblW w:w="4999"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390"/>
        <w:gridCol w:w="1391"/>
        <w:gridCol w:w="1391"/>
        <w:gridCol w:w="1391"/>
        <w:gridCol w:w="1391"/>
        <w:gridCol w:w="1391"/>
        <w:gridCol w:w="139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4" w:type="pct"/>
          </w:tcPr>
          <w:p>
            <w:pPr>
              <w:keepNext w:val="0"/>
              <w:keepLines w:val="0"/>
              <w:pageBreakBefore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p>
        </w:tc>
        <w:tc>
          <w:tcPr>
            <w:tcW w:w="4285" w:type="pct"/>
            <w:gridSpan w:val="6"/>
          </w:tcPr>
          <w:p>
            <w:pPr>
              <w:pStyle w:val="10"/>
              <w:keepNext w:val="0"/>
              <w:keepLines w:val="0"/>
              <w:pageBreakBefore w:val="0"/>
              <w:shd w:val="clear"/>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本采购包内属于节能、环境标志产品的情况</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4" w:type="pct"/>
          </w:tcPr>
          <w:p>
            <w:pPr>
              <w:pStyle w:val="10"/>
              <w:keepNext w:val="0"/>
              <w:keepLines w:val="0"/>
              <w:pageBreakBefore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采购包</w:t>
            </w:r>
          </w:p>
        </w:tc>
        <w:tc>
          <w:tcPr>
            <w:tcW w:w="714" w:type="pct"/>
          </w:tcPr>
          <w:p>
            <w:pPr>
              <w:pStyle w:val="10"/>
              <w:keepNext w:val="0"/>
              <w:keepLines w:val="0"/>
              <w:pageBreakBefore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品目号</w:t>
            </w:r>
          </w:p>
        </w:tc>
        <w:tc>
          <w:tcPr>
            <w:tcW w:w="714" w:type="pct"/>
          </w:tcPr>
          <w:p>
            <w:pPr>
              <w:pStyle w:val="10"/>
              <w:keepNext w:val="0"/>
              <w:keepLines w:val="0"/>
              <w:pageBreakBefore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货物名称</w:t>
            </w:r>
          </w:p>
        </w:tc>
        <w:tc>
          <w:tcPr>
            <w:tcW w:w="714" w:type="pct"/>
          </w:tcPr>
          <w:p>
            <w:pPr>
              <w:pStyle w:val="10"/>
              <w:keepNext w:val="0"/>
              <w:keepLines w:val="0"/>
              <w:pageBreakBefore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单价（现场）</w:t>
            </w:r>
          </w:p>
        </w:tc>
        <w:tc>
          <w:tcPr>
            <w:tcW w:w="714" w:type="pct"/>
          </w:tcPr>
          <w:p>
            <w:pPr>
              <w:pStyle w:val="10"/>
              <w:keepNext w:val="0"/>
              <w:keepLines w:val="0"/>
              <w:pageBreakBefore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714" w:type="pct"/>
          </w:tcPr>
          <w:p>
            <w:pPr>
              <w:pStyle w:val="10"/>
              <w:keepNext w:val="0"/>
              <w:keepLines w:val="0"/>
              <w:pageBreakBefore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总价（现场）</w:t>
            </w:r>
          </w:p>
        </w:tc>
        <w:tc>
          <w:tcPr>
            <w:tcW w:w="715" w:type="pct"/>
          </w:tcPr>
          <w:p>
            <w:pPr>
              <w:pStyle w:val="10"/>
              <w:keepNext w:val="0"/>
              <w:keepLines w:val="0"/>
              <w:pageBreakBefore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认证种类</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4" w:type="pct"/>
            <w:vMerge w:val="restart"/>
          </w:tcPr>
          <w:p>
            <w:pPr>
              <w:pStyle w:val="10"/>
              <w:keepNext w:val="0"/>
              <w:keepLines w:val="0"/>
              <w:pageBreakBefore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714" w:type="pct"/>
          </w:tcPr>
          <w:p>
            <w:pPr>
              <w:pStyle w:val="10"/>
              <w:keepNext w:val="0"/>
              <w:keepLines w:val="0"/>
              <w:pageBreakBefore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714" w:type="pct"/>
          </w:tcPr>
          <w:p>
            <w:pPr>
              <w:keepNext w:val="0"/>
              <w:keepLines w:val="0"/>
              <w:pageBreakBefore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p>
        </w:tc>
        <w:tc>
          <w:tcPr>
            <w:tcW w:w="714" w:type="pct"/>
          </w:tcPr>
          <w:p>
            <w:pPr>
              <w:keepNext w:val="0"/>
              <w:keepLines w:val="0"/>
              <w:pageBreakBefore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p>
        </w:tc>
        <w:tc>
          <w:tcPr>
            <w:tcW w:w="714" w:type="pct"/>
          </w:tcPr>
          <w:p>
            <w:pPr>
              <w:keepNext w:val="0"/>
              <w:keepLines w:val="0"/>
              <w:pageBreakBefore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p>
        </w:tc>
        <w:tc>
          <w:tcPr>
            <w:tcW w:w="714" w:type="pct"/>
          </w:tcPr>
          <w:p>
            <w:pPr>
              <w:keepNext w:val="0"/>
              <w:keepLines w:val="0"/>
              <w:pageBreakBefore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p>
        </w:tc>
        <w:tc>
          <w:tcPr>
            <w:tcW w:w="715" w:type="pct"/>
          </w:tcPr>
          <w:p>
            <w:pPr>
              <w:keepNext w:val="0"/>
              <w:keepLines w:val="0"/>
              <w:pageBreakBefore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4" w:type="pct"/>
            <w:vMerge w:val="continue"/>
          </w:tcPr>
          <w:p>
            <w:pPr>
              <w:keepNext w:val="0"/>
              <w:keepLines w:val="0"/>
              <w:pageBreakBefore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p>
        </w:tc>
        <w:tc>
          <w:tcPr>
            <w:tcW w:w="714" w:type="pct"/>
          </w:tcPr>
          <w:p>
            <w:pPr>
              <w:pStyle w:val="10"/>
              <w:keepNext w:val="0"/>
              <w:keepLines w:val="0"/>
              <w:pageBreakBefore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714" w:type="pct"/>
          </w:tcPr>
          <w:p>
            <w:pPr>
              <w:keepNext w:val="0"/>
              <w:keepLines w:val="0"/>
              <w:pageBreakBefore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p>
        </w:tc>
        <w:tc>
          <w:tcPr>
            <w:tcW w:w="714" w:type="pct"/>
          </w:tcPr>
          <w:p>
            <w:pPr>
              <w:keepNext w:val="0"/>
              <w:keepLines w:val="0"/>
              <w:pageBreakBefore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p>
        </w:tc>
        <w:tc>
          <w:tcPr>
            <w:tcW w:w="714" w:type="pct"/>
          </w:tcPr>
          <w:p>
            <w:pPr>
              <w:keepNext w:val="0"/>
              <w:keepLines w:val="0"/>
              <w:pageBreakBefore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p>
        </w:tc>
        <w:tc>
          <w:tcPr>
            <w:tcW w:w="714" w:type="pct"/>
          </w:tcPr>
          <w:p>
            <w:pPr>
              <w:keepNext w:val="0"/>
              <w:keepLines w:val="0"/>
              <w:pageBreakBefore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p>
        </w:tc>
        <w:tc>
          <w:tcPr>
            <w:tcW w:w="715" w:type="pct"/>
          </w:tcPr>
          <w:p>
            <w:pPr>
              <w:keepNext w:val="0"/>
              <w:keepLines w:val="0"/>
              <w:pageBreakBefore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4" w:type="pct"/>
          </w:tcPr>
          <w:p>
            <w:pPr>
              <w:pStyle w:val="10"/>
              <w:keepNext w:val="0"/>
              <w:keepLines w:val="0"/>
              <w:pageBreakBefore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c>
          <w:tcPr>
            <w:tcW w:w="4285" w:type="pct"/>
            <w:gridSpan w:val="6"/>
          </w:tcPr>
          <w:p>
            <w:pPr>
              <w:pStyle w:val="10"/>
              <w:keepNext w:val="0"/>
              <w:keepLines w:val="0"/>
              <w:pageBreakBefore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a.采购包内属于节能、环境标志产品的报价总金额：　　　　　；</w:t>
            </w:r>
          </w:p>
          <w:p>
            <w:pPr>
              <w:pStyle w:val="10"/>
              <w:keepNext w:val="0"/>
              <w:keepLines w:val="0"/>
              <w:pageBreakBefore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b.采购包投标总价（报价总金额）：　　　　　；</w:t>
            </w:r>
          </w:p>
          <w:p>
            <w:pPr>
              <w:pStyle w:val="10"/>
              <w:keepNext w:val="0"/>
              <w:keepLines w:val="0"/>
              <w:pageBreakBefore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c.“采购包内属于节能、环境标志产品的报价总金额”占“采购包投标总价（报价总金额）”的比例（以%列示）：　　　　　；</w:t>
            </w:r>
          </w:p>
        </w:tc>
      </w:tr>
    </w:tbl>
    <w:p>
      <w:pPr>
        <w:pStyle w:val="10"/>
        <w:keepNext w:val="0"/>
        <w:keepLines w:val="0"/>
        <w:pageBreakBefore w:val="0"/>
        <w:shd w:val="clear"/>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※注意：</w:t>
      </w:r>
    </w:p>
    <w:p>
      <w:pPr>
        <w:pStyle w:val="10"/>
        <w:keepNext w:val="0"/>
        <w:keepLines w:val="0"/>
        <w:pageBreakBefore w:val="0"/>
        <w:shd w:val="clear"/>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1、对节能、环境标志产品计算价格扣除时，只依据电子投标文件“三-1-②优先类节能产品、环境标志产品证明材料（价格扣除适用，若有）”。</w:t>
      </w:r>
    </w:p>
    <w:p>
      <w:pPr>
        <w:pStyle w:val="10"/>
        <w:keepNext w:val="0"/>
        <w:keepLines w:val="0"/>
        <w:pageBreakBefore w:val="0"/>
        <w:shd w:val="clear"/>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2、本表以采购包为单位，不同采购包请分别填写；同一采购包请按照其品目号顺序分别填写。</w:t>
      </w:r>
    </w:p>
    <w:p>
      <w:pPr>
        <w:pStyle w:val="10"/>
        <w:keepNext w:val="0"/>
        <w:keepLines w:val="0"/>
        <w:pageBreakBefore w:val="0"/>
        <w:shd w:val="clear"/>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3、具体统计、计算：</w:t>
      </w:r>
    </w:p>
    <w:p>
      <w:pPr>
        <w:pStyle w:val="10"/>
        <w:keepNext w:val="0"/>
        <w:keepLines w:val="0"/>
        <w:pageBreakBefore w:val="0"/>
        <w:shd w:val="clear"/>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3.1若节能、环境标志产品仅是构成投标产品的部件、组件或零件，则该投标产品不享受鼓励优惠政策。同一品目中各认证证书不重复计算价格扣除。强制类节能产品不享受价格扣除。</w:t>
      </w:r>
    </w:p>
    <w:p>
      <w:pPr>
        <w:pStyle w:val="10"/>
        <w:keepNext w:val="0"/>
        <w:keepLines w:val="0"/>
        <w:pageBreakBefore w:val="0"/>
        <w:shd w:val="clear"/>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3.2计算结果若除不尽，可四舍五入保留到小数点后两位。</w:t>
      </w:r>
    </w:p>
    <w:p>
      <w:pPr>
        <w:pStyle w:val="10"/>
        <w:keepNext w:val="0"/>
        <w:keepLines w:val="0"/>
        <w:pageBreakBefore w:val="0"/>
        <w:shd w:val="clear"/>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3.3投标人应按照招标文件要求认真统计、计算，否则评标委员会不予认定。</w:t>
      </w:r>
    </w:p>
    <w:p>
      <w:pPr>
        <w:pStyle w:val="10"/>
        <w:keepNext w:val="0"/>
        <w:keepLines w:val="0"/>
        <w:pageBreakBefore w:val="0"/>
        <w:shd w:val="clear"/>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3.4若无节能、环境标志产品，不填写本表，否则，视为提供虚假材料。</w:t>
      </w:r>
    </w:p>
    <w:p>
      <w:pPr>
        <w:pStyle w:val="10"/>
        <w:keepNext w:val="0"/>
        <w:keepLines w:val="0"/>
        <w:pageBreakBefore w:val="0"/>
        <w:shd w:val="clear"/>
        <w:kinsoku/>
        <w:wordWrap/>
        <w:overflowPunct/>
        <w:topLinePunct w:val="0"/>
        <w:autoSpaceDE/>
        <w:autoSpaceDN/>
        <w:bidi w:val="0"/>
        <w:adjustRightInd/>
        <w:snapToGrid/>
        <w:spacing w:line="400" w:lineRule="exact"/>
        <w:ind w:firstLine="480"/>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投标人：（全称并加盖单位公章）</w:t>
      </w:r>
    </w:p>
    <w:p>
      <w:pPr>
        <w:pStyle w:val="10"/>
        <w:keepNext w:val="0"/>
        <w:keepLines w:val="0"/>
        <w:pageBreakBefore w:val="0"/>
        <w:shd w:val="clear"/>
        <w:kinsoku/>
        <w:wordWrap/>
        <w:overflowPunct/>
        <w:topLinePunct w:val="0"/>
        <w:autoSpaceDE/>
        <w:autoSpaceDN/>
        <w:bidi w:val="0"/>
        <w:adjustRightInd/>
        <w:snapToGrid/>
        <w:spacing w:line="400" w:lineRule="exact"/>
        <w:ind w:firstLine="480"/>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　　年　　月　　日</w:t>
      </w:r>
    </w:p>
    <w:p>
      <w:pPr>
        <w:pStyle w:val="10"/>
        <w:keepNext w:val="0"/>
        <w:keepLines w:val="0"/>
        <w:pageBreakBefore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pP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br w:type="page"/>
      </w:r>
    </w:p>
    <w:p>
      <w:pPr>
        <w:pStyle w:val="10"/>
        <w:keepNext w:val="0"/>
        <w:keepLines w:val="0"/>
        <w:pageBreakBefore w:val="0"/>
        <w:shd w:val="clear"/>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三-1-②优先类节能产品、环境标志产品证明材料（价格扣除适用，若有）</w:t>
      </w:r>
    </w:p>
    <w:p>
      <w:pPr>
        <w:pStyle w:val="10"/>
        <w:keepNext w:val="0"/>
        <w:keepLines w:val="0"/>
        <w:pageBreakBefore w:val="0"/>
        <w:shd w:val="clear"/>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三-2小型、微型企业产品等价格扣除证明材料（若有）</w:t>
      </w:r>
    </w:p>
    <w:p>
      <w:pPr>
        <w:pStyle w:val="10"/>
        <w:keepNext w:val="0"/>
        <w:keepLines w:val="0"/>
        <w:pageBreakBefore w:val="0"/>
        <w:shd w:val="clear"/>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三-2-①中小企业声明函（价格扣除适用，若有）</w:t>
      </w:r>
    </w:p>
    <w:p>
      <w:pPr>
        <w:pStyle w:val="10"/>
        <w:keepNext w:val="0"/>
        <w:keepLines w:val="0"/>
        <w:pageBreakBefore w:val="0"/>
        <w:shd w:val="clear"/>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中小企业声明函（货物）</w:t>
      </w:r>
    </w:p>
    <w:p>
      <w:pPr>
        <w:pStyle w:val="10"/>
        <w:keepNext w:val="0"/>
        <w:keepLines w:val="0"/>
        <w:pageBreakBefore w:val="0"/>
        <w:shd w:val="clear"/>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本公司（联合体）郑重声明，根据《政府采购促进中小企业发展管理办法》（财库﹝2020﹞46</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 xml:space="preserve"> 号）的规定，本公司（联合体）参加（单位名称）的（项目名称）采购活动，提供的货物全部由符合政策要求的中小企业制造。相关企业（含联合体中的中小企业、签订分包意向协议的中小企业）的具体情况如下：</w:t>
      </w:r>
    </w:p>
    <w:p>
      <w:pPr>
        <w:pStyle w:val="10"/>
        <w:keepNext w:val="0"/>
        <w:keepLines w:val="0"/>
        <w:pageBreakBefore w:val="0"/>
        <w:shd w:val="clear"/>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1.（标的名称），属于（采购文件中明确的所属行业）行业；制造商为（企业名称），从业人员　　　　　人，营业收入为　　　　　万元，资产总额为　　　　　万元</w:t>
      </w:r>
      <w:r>
        <w:rPr>
          <w:rFonts w:hint="eastAsia" w:ascii="宋体" w:hAnsi="宋体" w:eastAsia="宋体" w:cs="宋体"/>
          <w:color w:val="auto"/>
          <w:sz w:val="24"/>
          <w:szCs w:val="24"/>
          <w:highlight w:val="none"/>
          <w:vertAlign w:val="superscript"/>
        </w:rPr>
        <w:t>1</w:t>
      </w:r>
      <w:r>
        <w:rPr>
          <w:rFonts w:hint="eastAsia" w:ascii="宋体" w:hAnsi="宋体" w:eastAsia="宋体" w:cs="宋体"/>
          <w:color w:val="auto"/>
          <w:sz w:val="24"/>
          <w:szCs w:val="24"/>
          <w:highlight w:val="none"/>
        </w:rPr>
        <w:t>，属于（中型企业、小型企业、微型企业）；</w:t>
      </w:r>
    </w:p>
    <w:p>
      <w:pPr>
        <w:pStyle w:val="10"/>
        <w:keepNext w:val="0"/>
        <w:keepLines w:val="0"/>
        <w:pageBreakBefore w:val="0"/>
        <w:shd w:val="clear"/>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2.（标的名称），属于（采购文件中明确的所属行业）行业；制造商为（企业名称），从业人员　　　　　人，营业收入为　　　　　万元，资产总额为　　　　　万元，属于（中型企业、小型企业、微型企业）；</w:t>
      </w:r>
    </w:p>
    <w:p>
      <w:pPr>
        <w:pStyle w:val="10"/>
        <w:keepNext w:val="0"/>
        <w:keepLines w:val="0"/>
        <w:pageBreakBefore w:val="0"/>
        <w:shd w:val="clear"/>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pPr>
        <w:pStyle w:val="10"/>
        <w:keepNext w:val="0"/>
        <w:keepLines w:val="0"/>
        <w:pageBreakBefore w:val="0"/>
        <w:shd w:val="clear"/>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以上企业，不属于大企业的分支机构，不存在控股股东为大企业的情形，也不存在与大企业的负责人为同一人的情形。</w:t>
      </w:r>
    </w:p>
    <w:p>
      <w:pPr>
        <w:pStyle w:val="10"/>
        <w:keepNext w:val="0"/>
        <w:keepLines w:val="0"/>
        <w:pageBreakBefore w:val="0"/>
        <w:shd w:val="clear"/>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本企业对上述声明内容的真实性负责。如有虚假，将依法承担相应责任。</w:t>
      </w:r>
    </w:p>
    <w:p>
      <w:pPr>
        <w:pStyle w:val="10"/>
        <w:keepNext w:val="0"/>
        <w:keepLines w:val="0"/>
        <w:pageBreakBefore w:val="0"/>
        <w:shd w:val="clear"/>
        <w:kinsoku/>
        <w:wordWrap/>
        <w:overflowPunct/>
        <w:topLinePunct w:val="0"/>
        <w:autoSpaceDE/>
        <w:autoSpaceDN/>
        <w:bidi w:val="0"/>
        <w:adjustRightInd/>
        <w:snapToGrid/>
        <w:spacing w:line="400" w:lineRule="exact"/>
        <w:ind w:firstLine="480"/>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投标人：（全称并加盖单位公章）</w:t>
      </w:r>
    </w:p>
    <w:p>
      <w:pPr>
        <w:pStyle w:val="10"/>
        <w:keepNext w:val="0"/>
        <w:keepLines w:val="0"/>
        <w:pageBreakBefore w:val="0"/>
        <w:shd w:val="clear"/>
        <w:kinsoku/>
        <w:wordWrap/>
        <w:overflowPunct/>
        <w:topLinePunct w:val="0"/>
        <w:autoSpaceDE/>
        <w:autoSpaceDN/>
        <w:bidi w:val="0"/>
        <w:adjustRightInd/>
        <w:snapToGrid/>
        <w:spacing w:line="400" w:lineRule="exact"/>
        <w:ind w:firstLine="480"/>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　　年　　月　　日</w:t>
      </w:r>
    </w:p>
    <w:p>
      <w:pPr>
        <w:pStyle w:val="10"/>
        <w:keepNext w:val="0"/>
        <w:keepLines w:val="0"/>
        <w:pageBreakBefore w:val="0"/>
        <w:shd w:val="clear"/>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※注意：</w:t>
      </w:r>
    </w:p>
    <w:p>
      <w:pPr>
        <w:pStyle w:val="10"/>
        <w:keepNext w:val="0"/>
        <w:keepLines w:val="0"/>
        <w:pageBreakBefore w:val="0"/>
        <w:shd w:val="clear"/>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1、从业人员、营业收入、资产总额填报上一年度数据，无上一年度数据的新成立企业可不填报。</w:t>
      </w:r>
    </w:p>
    <w:p>
      <w:pPr>
        <w:pStyle w:val="10"/>
        <w:keepNext w:val="0"/>
        <w:keepLines w:val="0"/>
        <w:pageBreakBefore w:val="0"/>
        <w:shd w:val="clear"/>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10"/>
        <w:keepNext w:val="0"/>
        <w:keepLines w:val="0"/>
        <w:pageBreakBefore w:val="0"/>
        <w:shd w:val="clear"/>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10"/>
        <w:keepNext w:val="0"/>
        <w:keepLines w:val="0"/>
        <w:pageBreakBefore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pP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br w:type="page"/>
      </w:r>
    </w:p>
    <w:p>
      <w:pPr>
        <w:pStyle w:val="10"/>
        <w:keepNext w:val="0"/>
        <w:keepLines w:val="0"/>
        <w:pageBreakBefore w:val="0"/>
        <w:shd w:val="clear"/>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中小企业声明函（工程、服务）</w:t>
      </w:r>
    </w:p>
    <w:p>
      <w:pPr>
        <w:pStyle w:val="10"/>
        <w:keepNext w:val="0"/>
        <w:keepLines w:val="0"/>
        <w:pageBreakBefore w:val="0"/>
        <w:shd w:val="clear"/>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本公司（联合体）郑重声明，根据《政府采购促进中小企业发展管理办法》（财库﹝2020﹞46</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 xml:space="preserve">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pPr>
        <w:pStyle w:val="10"/>
        <w:keepNext w:val="0"/>
        <w:keepLines w:val="0"/>
        <w:pageBreakBefore w:val="0"/>
        <w:shd w:val="clear"/>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1.（标的名称），属于（采购文件中明确的所属行业）；承建（承接）企业为（企业名称），从业人员　　　　　人，营业收入为　　　　　万元，资产总额为　　　　　万元</w:t>
      </w:r>
      <w:r>
        <w:rPr>
          <w:rFonts w:hint="eastAsia" w:ascii="宋体" w:hAnsi="宋体" w:eastAsia="宋体" w:cs="宋体"/>
          <w:color w:val="auto"/>
          <w:sz w:val="24"/>
          <w:szCs w:val="24"/>
          <w:highlight w:val="none"/>
          <w:vertAlign w:val="superscript"/>
        </w:rPr>
        <w:t>1</w:t>
      </w:r>
      <w:r>
        <w:rPr>
          <w:rFonts w:hint="eastAsia" w:ascii="宋体" w:hAnsi="宋体" w:eastAsia="宋体" w:cs="宋体"/>
          <w:color w:val="auto"/>
          <w:sz w:val="24"/>
          <w:szCs w:val="24"/>
          <w:highlight w:val="none"/>
        </w:rPr>
        <w:t>，属于（中型企业、小型企业、微型企业）；</w:t>
      </w:r>
    </w:p>
    <w:p>
      <w:pPr>
        <w:pStyle w:val="10"/>
        <w:keepNext w:val="0"/>
        <w:keepLines w:val="0"/>
        <w:pageBreakBefore w:val="0"/>
        <w:shd w:val="clear"/>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2.（标的名称），属于（采购文件中明确的所属行业）；承建（承接）企业为（企业名称），从业人员　　　　　人，营业收入为　　　　　万元，资产总额为　　　　　万元，属于（中型企业、小型企业、微型企业）；</w:t>
      </w:r>
    </w:p>
    <w:p>
      <w:pPr>
        <w:pStyle w:val="10"/>
        <w:keepNext w:val="0"/>
        <w:keepLines w:val="0"/>
        <w:pageBreakBefore w:val="0"/>
        <w:shd w:val="clear"/>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pPr>
        <w:pStyle w:val="10"/>
        <w:keepNext w:val="0"/>
        <w:keepLines w:val="0"/>
        <w:pageBreakBefore w:val="0"/>
        <w:shd w:val="clear"/>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以上企业，不属于大企业的分支机构，不存在控股股东为大企业的情形，也不存在与大企业的负责人为同一人的情形。</w:t>
      </w:r>
    </w:p>
    <w:p>
      <w:pPr>
        <w:pStyle w:val="10"/>
        <w:keepNext w:val="0"/>
        <w:keepLines w:val="0"/>
        <w:pageBreakBefore w:val="0"/>
        <w:shd w:val="clear"/>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本企业对上述声明内容的真实性负责。如有虚假，将依法承担相应责任。</w:t>
      </w:r>
    </w:p>
    <w:p>
      <w:pPr>
        <w:pStyle w:val="10"/>
        <w:keepNext w:val="0"/>
        <w:keepLines w:val="0"/>
        <w:pageBreakBefore w:val="0"/>
        <w:shd w:val="clear"/>
        <w:kinsoku/>
        <w:wordWrap/>
        <w:overflowPunct/>
        <w:topLinePunct w:val="0"/>
        <w:autoSpaceDE/>
        <w:autoSpaceDN/>
        <w:bidi w:val="0"/>
        <w:adjustRightInd/>
        <w:snapToGrid/>
        <w:spacing w:line="400" w:lineRule="exact"/>
        <w:ind w:firstLine="480"/>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投标人：（全称并加盖单位公章）</w:t>
      </w:r>
    </w:p>
    <w:p>
      <w:pPr>
        <w:pStyle w:val="10"/>
        <w:keepNext w:val="0"/>
        <w:keepLines w:val="0"/>
        <w:pageBreakBefore w:val="0"/>
        <w:shd w:val="clear"/>
        <w:kinsoku/>
        <w:wordWrap/>
        <w:overflowPunct/>
        <w:topLinePunct w:val="0"/>
        <w:autoSpaceDE/>
        <w:autoSpaceDN/>
        <w:bidi w:val="0"/>
        <w:adjustRightInd/>
        <w:snapToGrid/>
        <w:spacing w:line="400" w:lineRule="exact"/>
        <w:ind w:firstLine="480"/>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　　年　　月　　日</w:t>
      </w:r>
    </w:p>
    <w:p>
      <w:pPr>
        <w:pStyle w:val="10"/>
        <w:keepNext w:val="0"/>
        <w:keepLines w:val="0"/>
        <w:pageBreakBefore w:val="0"/>
        <w:shd w:val="clear"/>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※注意：</w:t>
      </w:r>
    </w:p>
    <w:p>
      <w:pPr>
        <w:pStyle w:val="10"/>
        <w:keepNext w:val="0"/>
        <w:keepLines w:val="0"/>
        <w:pageBreakBefore w:val="0"/>
        <w:shd w:val="clear"/>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1、从业人员、营业收入、资产总额填报上一年度数据，无上一年度数据的新成立企业可不填报。</w:t>
      </w:r>
    </w:p>
    <w:p>
      <w:pPr>
        <w:pStyle w:val="10"/>
        <w:keepNext w:val="0"/>
        <w:keepLines w:val="0"/>
        <w:pageBreakBefore w:val="0"/>
        <w:shd w:val="clear"/>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10"/>
        <w:keepNext w:val="0"/>
        <w:keepLines w:val="0"/>
        <w:pageBreakBefore w:val="0"/>
        <w:shd w:val="clear"/>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10"/>
        <w:keepNext w:val="0"/>
        <w:keepLines w:val="0"/>
        <w:pageBreakBefore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pP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br w:type="page"/>
      </w:r>
    </w:p>
    <w:p>
      <w:pPr>
        <w:pStyle w:val="10"/>
        <w:keepNext w:val="0"/>
        <w:keepLines w:val="0"/>
        <w:pageBreakBefore w:val="0"/>
        <w:shd w:val="clear"/>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三-2-②小型、微型企业等证明材料（价格扣除适用，若有）</w:t>
      </w:r>
    </w:p>
    <w:p>
      <w:pPr>
        <w:pStyle w:val="10"/>
        <w:keepNext w:val="0"/>
        <w:keepLines w:val="0"/>
        <w:pageBreakBefore w:val="0"/>
        <w:shd w:val="clear"/>
        <w:kinsoku/>
        <w:wordWrap/>
        <w:overflowPunct/>
        <w:topLinePunct w:val="0"/>
        <w:autoSpaceDE/>
        <w:autoSpaceDN/>
        <w:bidi w:val="0"/>
        <w:adjustRightInd/>
        <w:snapToGrid/>
        <w:spacing w:line="400" w:lineRule="exact"/>
        <w:ind w:firstLine="48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编制说明</w:t>
      </w:r>
    </w:p>
    <w:p>
      <w:pPr>
        <w:pStyle w:val="10"/>
        <w:keepNext w:val="0"/>
        <w:keepLines w:val="0"/>
        <w:pageBreakBefore w:val="0"/>
        <w:shd w:val="clear"/>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1、投标人应按照招标文件要求提供相应证明材料，证明材料应与《中小企业声明函》的内容相一致，否则视为《中小企业声明函》内容不真实。</w:t>
      </w:r>
    </w:p>
    <w:p>
      <w:pPr>
        <w:pStyle w:val="10"/>
        <w:keepNext w:val="0"/>
        <w:keepLines w:val="0"/>
        <w:pageBreakBefore w:val="0"/>
        <w:shd w:val="clear"/>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2、投标人为监狱企业的，根据其提供的由省级以上监狱管理局、戒毒管理局（含新疆生产建设兵团）出具的属于监狱企业的证明文件进行认定，监狱企业视同小型、微型企业。</w:t>
      </w:r>
    </w:p>
    <w:p>
      <w:pPr>
        <w:pStyle w:val="10"/>
        <w:keepNext w:val="0"/>
        <w:keepLines w:val="0"/>
        <w:pageBreakBefore w:val="0"/>
        <w:shd w:val="clear"/>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3、投标人为残疾人福利性单位的，根据其提供的《残疾人福利性单位声明函》（格式附后）进行认定，残疾人福利性单位视同小型、微型企业。残疾人福利性单位属于小型、微型企业的，不重复享受政策。</w:t>
      </w:r>
    </w:p>
    <w:p>
      <w:pPr>
        <w:pStyle w:val="10"/>
        <w:keepNext w:val="0"/>
        <w:keepLines w:val="0"/>
        <w:pageBreakBefore w:val="0"/>
        <w:shd w:val="clear"/>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w:t>
      </w:r>
    </w:p>
    <w:p>
      <w:pPr>
        <w:pStyle w:val="10"/>
        <w:keepNext w:val="0"/>
        <w:keepLines w:val="0"/>
        <w:pageBreakBefore w:val="0"/>
        <w:shd w:val="clear"/>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残疾人福利性单位声明函（价格扣除适用，若有）</w:t>
      </w:r>
    </w:p>
    <w:p>
      <w:pPr>
        <w:pStyle w:val="10"/>
        <w:keepNext w:val="0"/>
        <w:keepLines w:val="0"/>
        <w:pageBreakBefore w:val="0"/>
        <w:shd w:val="clear"/>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本投标人郑重声明，根据《财政部 民政部</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 xml:space="preserve">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pPr>
        <w:pStyle w:val="10"/>
        <w:keepNext w:val="0"/>
        <w:keepLines w:val="0"/>
        <w:pageBreakBefore w:val="0"/>
        <w:shd w:val="clear"/>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 xml:space="preserve">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pPr>
        <w:pStyle w:val="10"/>
        <w:keepNext w:val="0"/>
        <w:keepLines w:val="0"/>
        <w:pageBreakBefore w:val="0"/>
        <w:shd w:val="clear"/>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）由本投标人承建的（填写“所投采购包、品目号”）工程</w:t>
      </w:r>
    </w:p>
    <w:p>
      <w:pPr>
        <w:pStyle w:val="10"/>
        <w:keepNext w:val="0"/>
        <w:keepLines w:val="0"/>
        <w:pageBreakBefore w:val="0"/>
        <w:shd w:val="clear"/>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）由本投标人承接的（填写“所投采购包、品目号”）服务；</w:t>
      </w:r>
    </w:p>
    <w:p>
      <w:pPr>
        <w:pStyle w:val="10"/>
        <w:keepNext w:val="0"/>
        <w:keepLines w:val="0"/>
        <w:pageBreakBefore w:val="0"/>
        <w:shd w:val="clear"/>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本投标人对上述声明的真实性负责。如有虚假，将依法承担相应责任。</w:t>
      </w:r>
    </w:p>
    <w:p>
      <w:pPr>
        <w:pStyle w:val="10"/>
        <w:keepNext w:val="0"/>
        <w:keepLines w:val="0"/>
        <w:pageBreakBefore w:val="0"/>
        <w:shd w:val="clear"/>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p>
      <w:pPr>
        <w:pStyle w:val="10"/>
        <w:keepNext w:val="0"/>
        <w:keepLines w:val="0"/>
        <w:pageBreakBefore w:val="0"/>
        <w:shd w:val="clear"/>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1、请投标人按照实际情况编制填写本声明函，并在相应的（）中打“√”。</w:t>
      </w:r>
    </w:p>
    <w:p>
      <w:pPr>
        <w:pStyle w:val="10"/>
        <w:keepNext w:val="0"/>
        <w:keepLines w:val="0"/>
        <w:pageBreakBefore w:val="0"/>
        <w:shd w:val="clear"/>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2、若《残疾人福利性单位声明函》内容不真实，视为提供虚假材料。</w:t>
      </w:r>
    </w:p>
    <w:p>
      <w:pPr>
        <w:pStyle w:val="10"/>
        <w:keepNext w:val="0"/>
        <w:keepLines w:val="0"/>
        <w:pageBreakBefore w:val="0"/>
        <w:shd w:val="clear"/>
        <w:kinsoku/>
        <w:wordWrap/>
        <w:overflowPunct/>
        <w:topLinePunct w:val="0"/>
        <w:autoSpaceDE/>
        <w:autoSpaceDN/>
        <w:bidi w:val="0"/>
        <w:adjustRightInd/>
        <w:snapToGrid/>
        <w:spacing w:line="400" w:lineRule="exact"/>
        <w:ind w:firstLine="480"/>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投标人：（全称并加盖单位公章）</w:t>
      </w:r>
    </w:p>
    <w:p>
      <w:pPr>
        <w:pStyle w:val="10"/>
        <w:keepNext w:val="0"/>
        <w:keepLines w:val="0"/>
        <w:pageBreakBefore w:val="0"/>
        <w:shd w:val="clear"/>
        <w:kinsoku/>
        <w:wordWrap/>
        <w:overflowPunct/>
        <w:topLinePunct w:val="0"/>
        <w:autoSpaceDE/>
        <w:autoSpaceDN/>
        <w:bidi w:val="0"/>
        <w:adjustRightInd/>
        <w:snapToGrid/>
        <w:spacing w:line="400" w:lineRule="exact"/>
        <w:ind w:firstLine="480"/>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　　年　　月　　日</w:t>
      </w:r>
    </w:p>
    <w:p>
      <w:pPr>
        <w:pStyle w:val="10"/>
        <w:keepNext w:val="0"/>
        <w:keepLines w:val="0"/>
        <w:pageBreakBefore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pPr>
        <w:pStyle w:val="10"/>
        <w:keepNext w:val="0"/>
        <w:keepLines w:val="0"/>
        <w:pageBreakBefore w:val="0"/>
        <w:shd w:val="clear"/>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w:t>
      </w:r>
    </w:p>
    <w:p>
      <w:pPr>
        <w:pStyle w:val="10"/>
        <w:keepNext w:val="0"/>
        <w:keepLines w:val="0"/>
        <w:pageBreakBefore w:val="0"/>
        <w:shd w:val="clear"/>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监狱企业证明材料</w:t>
      </w:r>
    </w:p>
    <w:p>
      <w:pPr>
        <w:pStyle w:val="10"/>
        <w:keepNext w:val="0"/>
        <w:keepLines w:val="0"/>
        <w:pageBreakBefore w:val="0"/>
        <w:shd w:val="clear"/>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投标人为监狱企业，提供本单位制造的货物（承接的服务），并在电子投标文件中提供省级以上监狱管理局、戒毒管理局（含新疆生产建设兵团）出具的属于监狱企业的证明文件。</w:t>
      </w:r>
    </w:p>
    <w:p>
      <w:pPr>
        <w:pStyle w:val="10"/>
        <w:keepNext w:val="0"/>
        <w:keepLines w:val="0"/>
        <w:pageBreakBefore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pP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br w:type="page"/>
      </w:r>
    </w:p>
    <w:p>
      <w:pPr>
        <w:pStyle w:val="10"/>
        <w:keepNext w:val="0"/>
        <w:keepLines w:val="0"/>
        <w:pageBreakBefore w:val="0"/>
        <w:shd w:val="clear"/>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三-3招标文件规定的其他价格扣除证明材料（若有）</w:t>
      </w:r>
    </w:p>
    <w:p>
      <w:pPr>
        <w:pStyle w:val="10"/>
        <w:keepNext w:val="0"/>
        <w:keepLines w:val="0"/>
        <w:pageBreakBefore w:val="0"/>
        <w:shd w:val="clear"/>
        <w:kinsoku/>
        <w:wordWrap/>
        <w:overflowPunct/>
        <w:topLinePunct w:val="0"/>
        <w:autoSpaceDE/>
        <w:autoSpaceDN/>
        <w:bidi w:val="0"/>
        <w:adjustRightInd/>
        <w:snapToGrid/>
        <w:spacing w:line="400" w:lineRule="exact"/>
        <w:ind w:firstLine="48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编制说明</w:t>
      </w:r>
    </w:p>
    <w:p>
      <w:pPr>
        <w:pStyle w:val="10"/>
        <w:keepNext w:val="0"/>
        <w:keepLines w:val="0"/>
        <w:pageBreakBefore w:val="0"/>
        <w:shd w:val="clear"/>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若投标人可享受招标文件规定的除“节能（非强制类）、环境标志产品价格扣除”及“小型、微型企业产品等价格扣除”外的其他价格扣除优惠，则投标人应按照招标文件要求提供相应证明材料。</w:t>
      </w:r>
    </w:p>
    <w:p>
      <w:pPr>
        <w:pStyle w:val="10"/>
        <w:keepNext w:val="0"/>
        <w:keepLines w:val="0"/>
        <w:pageBreakBefore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p>
    <w:p>
      <w:pPr>
        <w:pStyle w:val="10"/>
        <w:keepNext w:val="0"/>
        <w:keepLines w:val="0"/>
        <w:pageBreakBefore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pPr>
        <w:pStyle w:val="10"/>
        <w:keepNext w:val="0"/>
        <w:keepLines w:val="0"/>
        <w:pageBreakBefore w:val="0"/>
        <w:shd w:val="clear"/>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四、招标文件规定的加分证明材料（若有）</w:t>
      </w:r>
    </w:p>
    <w:p>
      <w:pPr>
        <w:pStyle w:val="10"/>
        <w:keepNext w:val="0"/>
        <w:keepLines w:val="0"/>
        <w:pageBreakBefore w:val="0"/>
        <w:shd w:val="clear"/>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四-1优先类节能产品、环境标志产品加分证明材料（若有）</w:t>
      </w:r>
    </w:p>
    <w:p>
      <w:pPr>
        <w:pStyle w:val="10"/>
        <w:keepNext w:val="0"/>
        <w:keepLines w:val="0"/>
        <w:pageBreakBefore w:val="0"/>
        <w:shd w:val="clear"/>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四-1-①优先类节能产品、环境标志产品统计表（加分适用，若有）</w:t>
      </w:r>
    </w:p>
    <w:p>
      <w:pPr>
        <w:pStyle w:val="10"/>
        <w:keepNext w:val="0"/>
        <w:keepLines w:val="0"/>
        <w:pageBreakBefore w:val="0"/>
        <w:shd w:val="clear"/>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项目编号：　　　　　　　　</w:t>
      </w:r>
    </w:p>
    <w:p>
      <w:pPr>
        <w:pStyle w:val="10"/>
        <w:keepNext w:val="0"/>
        <w:keepLines w:val="0"/>
        <w:pageBreakBefore w:val="0"/>
        <w:shd w:val="clear"/>
        <w:kinsoku/>
        <w:wordWrap/>
        <w:overflowPunct/>
        <w:topLinePunct w:val="0"/>
        <w:autoSpaceDE/>
        <w:autoSpaceDN/>
        <w:bidi w:val="0"/>
        <w:adjustRightInd/>
        <w:snapToGrid/>
        <w:spacing w:line="400" w:lineRule="exact"/>
        <w:ind w:firstLine="480"/>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货币及单位：人民币元</w:t>
      </w:r>
    </w:p>
    <w:tbl>
      <w:tblPr>
        <w:tblStyle w:val="7"/>
        <w:tblW w:w="4999"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390"/>
        <w:gridCol w:w="1391"/>
        <w:gridCol w:w="1391"/>
        <w:gridCol w:w="1391"/>
        <w:gridCol w:w="1391"/>
        <w:gridCol w:w="1391"/>
        <w:gridCol w:w="139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4" w:type="pct"/>
          </w:tcPr>
          <w:p>
            <w:pPr>
              <w:keepNext w:val="0"/>
              <w:keepLines w:val="0"/>
              <w:pageBreakBefore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p>
        </w:tc>
        <w:tc>
          <w:tcPr>
            <w:tcW w:w="4285" w:type="pct"/>
            <w:gridSpan w:val="6"/>
          </w:tcPr>
          <w:p>
            <w:pPr>
              <w:pStyle w:val="10"/>
              <w:keepNext w:val="0"/>
              <w:keepLines w:val="0"/>
              <w:pageBreakBefore w:val="0"/>
              <w:shd w:val="clear"/>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本采购包内属于节能、环境标志产品的情况</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4" w:type="pct"/>
          </w:tcPr>
          <w:p>
            <w:pPr>
              <w:pStyle w:val="10"/>
              <w:keepNext w:val="0"/>
              <w:keepLines w:val="0"/>
              <w:pageBreakBefore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采购包</w:t>
            </w:r>
          </w:p>
        </w:tc>
        <w:tc>
          <w:tcPr>
            <w:tcW w:w="714" w:type="pct"/>
          </w:tcPr>
          <w:p>
            <w:pPr>
              <w:pStyle w:val="10"/>
              <w:keepNext w:val="0"/>
              <w:keepLines w:val="0"/>
              <w:pageBreakBefore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品目号</w:t>
            </w:r>
          </w:p>
        </w:tc>
        <w:tc>
          <w:tcPr>
            <w:tcW w:w="714" w:type="pct"/>
          </w:tcPr>
          <w:p>
            <w:pPr>
              <w:pStyle w:val="10"/>
              <w:keepNext w:val="0"/>
              <w:keepLines w:val="0"/>
              <w:pageBreakBefore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货物名称</w:t>
            </w:r>
          </w:p>
        </w:tc>
        <w:tc>
          <w:tcPr>
            <w:tcW w:w="714" w:type="pct"/>
          </w:tcPr>
          <w:p>
            <w:pPr>
              <w:pStyle w:val="10"/>
              <w:keepNext w:val="0"/>
              <w:keepLines w:val="0"/>
              <w:pageBreakBefore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单价（现场）</w:t>
            </w:r>
          </w:p>
        </w:tc>
        <w:tc>
          <w:tcPr>
            <w:tcW w:w="714" w:type="pct"/>
          </w:tcPr>
          <w:p>
            <w:pPr>
              <w:pStyle w:val="10"/>
              <w:keepNext w:val="0"/>
              <w:keepLines w:val="0"/>
              <w:pageBreakBefore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714" w:type="pct"/>
          </w:tcPr>
          <w:p>
            <w:pPr>
              <w:pStyle w:val="10"/>
              <w:keepNext w:val="0"/>
              <w:keepLines w:val="0"/>
              <w:pageBreakBefore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总价（现场）</w:t>
            </w:r>
          </w:p>
        </w:tc>
        <w:tc>
          <w:tcPr>
            <w:tcW w:w="715" w:type="pct"/>
          </w:tcPr>
          <w:p>
            <w:pPr>
              <w:pStyle w:val="10"/>
              <w:keepNext w:val="0"/>
              <w:keepLines w:val="0"/>
              <w:pageBreakBefore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认证种类</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4" w:type="pct"/>
            <w:vMerge w:val="restart"/>
          </w:tcPr>
          <w:p>
            <w:pPr>
              <w:pStyle w:val="10"/>
              <w:keepNext w:val="0"/>
              <w:keepLines w:val="0"/>
              <w:pageBreakBefore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714" w:type="pct"/>
          </w:tcPr>
          <w:p>
            <w:pPr>
              <w:pStyle w:val="10"/>
              <w:keepNext w:val="0"/>
              <w:keepLines w:val="0"/>
              <w:pageBreakBefore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714" w:type="pct"/>
          </w:tcPr>
          <w:p>
            <w:pPr>
              <w:keepNext w:val="0"/>
              <w:keepLines w:val="0"/>
              <w:pageBreakBefore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p>
        </w:tc>
        <w:tc>
          <w:tcPr>
            <w:tcW w:w="714" w:type="pct"/>
          </w:tcPr>
          <w:p>
            <w:pPr>
              <w:keepNext w:val="0"/>
              <w:keepLines w:val="0"/>
              <w:pageBreakBefore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p>
        </w:tc>
        <w:tc>
          <w:tcPr>
            <w:tcW w:w="714" w:type="pct"/>
          </w:tcPr>
          <w:p>
            <w:pPr>
              <w:keepNext w:val="0"/>
              <w:keepLines w:val="0"/>
              <w:pageBreakBefore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p>
        </w:tc>
        <w:tc>
          <w:tcPr>
            <w:tcW w:w="714" w:type="pct"/>
          </w:tcPr>
          <w:p>
            <w:pPr>
              <w:keepNext w:val="0"/>
              <w:keepLines w:val="0"/>
              <w:pageBreakBefore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p>
        </w:tc>
        <w:tc>
          <w:tcPr>
            <w:tcW w:w="715" w:type="pct"/>
          </w:tcPr>
          <w:p>
            <w:pPr>
              <w:keepNext w:val="0"/>
              <w:keepLines w:val="0"/>
              <w:pageBreakBefore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4" w:type="pct"/>
            <w:vMerge w:val="continue"/>
          </w:tcPr>
          <w:p>
            <w:pPr>
              <w:keepNext w:val="0"/>
              <w:keepLines w:val="0"/>
              <w:pageBreakBefore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p>
        </w:tc>
        <w:tc>
          <w:tcPr>
            <w:tcW w:w="714" w:type="pct"/>
          </w:tcPr>
          <w:p>
            <w:pPr>
              <w:pStyle w:val="10"/>
              <w:keepNext w:val="0"/>
              <w:keepLines w:val="0"/>
              <w:pageBreakBefore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714" w:type="pct"/>
          </w:tcPr>
          <w:p>
            <w:pPr>
              <w:keepNext w:val="0"/>
              <w:keepLines w:val="0"/>
              <w:pageBreakBefore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p>
        </w:tc>
        <w:tc>
          <w:tcPr>
            <w:tcW w:w="714" w:type="pct"/>
          </w:tcPr>
          <w:p>
            <w:pPr>
              <w:keepNext w:val="0"/>
              <w:keepLines w:val="0"/>
              <w:pageBreakBefore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p>
        </w:tc>
        <w:tc>
          <w:tcPr>
            <w:tcW w:w="714" w:type="pct"/>
          </w:tcPr>
          <w:p>
            <w:pPr>
              <w:keepNext w:val="0"/>
              <w:keepLines w:val="0"/>
              <w:pageBreakBefore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p>
        </w:tc>
        <w:tc>
          <w:tcPr>
            <w:tcW w:w="714" w:type="pct"/>
          </w:tcPr>
          <w:p>
            <w:pPr>
              <w:keepNext w:val="0"/>
              <w:keepLines w:val="0"/>
              <w:pageBreakBefore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p>
        </w:tc>
        <w:tc>
          <w:tcPr>
            <w:tcW w:w="715" w:type="pct"/>
          </w:tcPr>
          <w:p>
            <w:pPr>
              <w:keepNext w:val="0"/>
              <w:keepLines w:val="0"/>
              <w:pageBreakBefore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p>
        </w:tc>
      </w:tr>
    </w:tbl>
    <w:p>
      <w:pPr>
        <w:pStyle w:val="10"/>
        <w:keepNext w:val="0"/>
        <w:keepLines w:val="0"/>
        <w:pageBreakBefore w:val="0"/>
        <w:shd w:val="clear"/>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※注意：</w:t>
      </w:r>
    </w:p>
    <w:p>
      <w:pPr>
        <w:pStyle w:val="10"/>
        <w:keepNext w:val="0"/>
        <w:keepLines w:val="0"/>
        <w:pageBreakBefore w:val="0"/>
        <w:shd w:val="clear"/>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1、对节能、环境标志产品计算价格扣除时，只依据电子投标文件“四-1-②优先类节能产品、环境标志产品加分证明材料（加分适用，若有）”。</w:t>
      </w:r>
    </w:p>
    <w:p>
      <w:pPr>
        <w:pStyle w:val="10"/>
        <w:keepNext w:val="0"/>
        <w:keepLines w:val="0"/>
        <w:pageBreakBefore w:val="0"/>
        <w:shd w:val="clear"/>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2、本表以采购包为单位，不同采购包请分别填写；同一采购包请按照其品目号顺序分别填写。</w:t>
      </w:r>
    </w:p>
    <w:p>
      <w:pPr>
        <w:pStyle w:val="10"/>
        <w:keepNext w:val="0"/>
        <w:keepLines w:val="0"/>
        <w:pageBreakBefore w:val="0"/>
        <w:shd w:val="clear"/>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3、具体统计、计算：</w:t>
      </w:r>
    </w:p>
    <w:p>
      <w:pPr>
        <w:pStyle w:val="10"/>
        <w:keepNext w:val="0"/>
        <w:keepLines w:val="0"/>
        <w:pageBreakBefore w:val="0"/>
        <w:shd w:val="clear"/>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3.1若节能、环境标志产品仅是构成投标产品的部件、组件或零件，则该投标产品不享受鼓励优惠政策。同一品目中各认证证书不重复计算价格扣除。强制类节能产品不享受价格扣除。</w:t>
      </w:r>
    </w:p>
    <w:p>
      <w:pPr>
        <w:pStyle w:val="10"/>
        <w:keepNext w:val="0"/>
        <w:keepLines w:val="0"/>
        <w:pageBreakBefore w:val="0"/>
        <w:shd w:val="clear"/>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3.2计算结果若除不尽，可四舍五入保留到小数点后两位。</w:t>
      </w:r>
    </w:p>
    <w:p>
      <w:pPr>
        <w:pStyle w:val="10"/>
        <w:keepNext w:val="0"/>
        <w:keepLines w:val="0"/>
        <w:pageBreakBefore w:val="0"/>
        <w:shd w:val="clear"/>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3.3投标人应按照招标文件要求认真统计、计算，否则评标委员会不予认定。</w:t>
      </w:r>
    </w:p>
    <w:p>
      <w:pPr>
        <w:pStyle w:val="10"/>
        <w:keepNext w:val="0"/>
        <w:keepLines w:val="0"/>
        <w:pageBreakBefore w:val="0"/>
        <w:shd w:val="clear"/>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3.4若无节能、环境标志产品，不填写本表，否则，视为提供虚假材料。</w:t>
      </w:r>
    </w:p>
    <w:p>
      <w:pPr>
        <w:pStyle w:val="10"/>
        <w:keepNext w:val="0"/>
        <w:keepLines w:val="0"/>
        <w:pageBreakBefore w:val="0"/>
        <w:shd w:val="clear"/>
        <w:kinsoku/>
        <w:wordWrap/>
        <w:overflowPunct/>
        <w:topLinePunct w:val="0"/>
        <w:autoSpaceDE/>
        <w:autoSpaceDN/>
        <w:bidi w:val="0"/>
        <w:adjustRightInd/>
        <w:snapToGrid/>
        <w:spacing w:line="400" w:lineRule="exact"/>
        <w:ind w:firstLine="480"/>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投标人：（全称并加盖单位公章）</w:t>
      </w:r>
    </w:p>
    <w:p>
      <w:pPr>
        <w:pStyle w:val="10"/>
        <w:keepNext w:val="0"/>
        <w:keepLines w:val="0"/>
        <w:pageBreakBefore w:val="0"/>
        <w:shd w:val="clear"/>
        <w:kinsoku/>
        <w:wordWrap/>
        <w:overflowPunct/>
        <w:topLinePunct w:val="0"/>
        <w:autoSpaceDE/>
        <w:autoSpaceDN/>
        <w:bidi w:val="0"/>
        <w:adjustRightInd/>
        <w:snapToGrid/>
        <w:spacing w:line="400" w:lineRule="exact"/>
        <w:ind w:firstLine="480"/>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　　年　　月　　日</w:t>
      </w:r>
    </w:p>
    <w:p>
      <w:pPr>
        <w:pStyle w:val="10"/>
        <w:keepNext w:val="0"/>
        <w:keepLines w:val="0"/>
        <w:pageBreakBefore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pP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br w:type="page"/>
      </w:r>
    </w:p>
    <w:p>
      <w:pPr>
        <w:pStyle w:val="10"/>
        <w:keepNext w:val="0"/>
        <w:keepLines w:val="0"/>
        <w:pageBreakBefore w:val="0"/>
        <w:shd w:val="clear"/>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四-1-②优先类节能产品、环境标志产品证明材料（加分适用，若有）</w:t>
      </w:r>
    </w:p>
    <w:p>
      <w:pPr>
        <w:pStyle w:val="10"/>
        <w:keepNext w:val="0"/>
        <w:keepLines w:val="0"/>
        <w:pageBreakBefore w:val="0"/>
        <w:shd w:val="clear"/>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四-2招标文件规定的其他加分证明材料（若有）</w:t>
      </w:r>
    </w:p>
    <w:p>
      <w:pPr>
        <w:pStyle w:val="10"/>
        <w:keepNext w:val="0"/>
        <w:keepLines w:val="0"/>
        <w:pageBreakBefore w:val="0"/>
        <w:shd w:val="clear"/>
        <w:kinsoku/>
        <w:wordWrap/>
        <w:overflowPunct/>
        <w:topLinePunct w:val="0"/>
        <w:autoSpaceDE/>
        <w:autoSpaceDN/>
        <w:bidi w:val="0"/>
        <w:adjustRightInd/>
        <w:snapToGrid/>
        <w:spacing w:line="400" w:lineRule="exact"/>
        <w:ind w:firstLine="48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编制说明</w:t>
      </w:r>
    </w:p>
    <w:p>
      <w:pPr>
        <w:pStyle w:val="10"/>
        <w:keepNext w:val="0"/>
        <w:keepLines w:val="0"/>
        <w:pageBreakBefore w:val="0"/>
        <w:shd w:val="clear"/>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若投标人可享受招标文件规定的除“优先类节能产品、环境标志产品加分”外的其他加分优惠，则投标人应按照招标文件要求提供相应证明材料。</w:t>
      </w:r>
    </w:p>
    <w:p>
      <w:pPr>
        <w:pStyle w:val="10"/>
        <w:shd w:val="clear"/>
        <w:rPr>
          <w:rFonts w:hint="eastAsia" w:ascii="宋体" w:hAnsi="宋体" w:eastAsia="宋体" w:cs="宋体"/>
          <w:color w:val="auto"/>
          <w:sz w:val="24"/>
          <w:szCs w:val="24"/>
          <w:highlight w:val="none"/>
        </w:rPr>
      </w:pPr>
    </w:p>
    <w:p>
      <w:pPr>
        <w:pStyle w:val="10"/>
        <w:shd w:val="clea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pP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br w:type="page"/>
      </w:r>
    </w:p>
    <w:p>
      <w:pPr>
        <w:pStyle w:val="10"/>
        <w:shd w:val="clear"/>
        <w:jc w:val="center"/>
        <w:rPr>
          <w:rFonts w:hint="eastAsia" w:ascii="宋体" w:hAnsi="宋体" w:eastAsia="宋体" w:cs="宋体"/>
          <w:color w:val="auto"/>
          <w:sz w:val="44"/>
          <w:szCs w:val="44"/>
          <w:highlight w:val="none"/>
        </w:rPr>
      </w:pPr>
      <w:r>
        <w:rPr>
          <w:rFonts w:hint="eastAsia" w:ascii="宋体" w:hAnsi="宋体" w:eastAsia="宋体" w:cs="宋体"/>
          <w:b/>
          <w:color w:val="auto"/>
          <w:sz w:val="44"/>
          <w:szCs w:val="44"/>
          <w:highlight w:val="none"/>
        </w:rPr>
        <w:t>封面格式(技术商务部分)</w:t>
      </w:r>
    </w:p>
    <w:p>
      <w:pPr>
        <w:pStyle w:val="10"/>
        <w:shd w:val="clear"/>
        <w:jc w:val="center"/>
        <w:rPr>
          <w:rFonts w:hint="eastAsia" w:ascii="宋体" w:hAnsi="宋体" w:eastAsia="宋体" w:cs="宋体"/>
          <w:color w:val="auto"/>
          <w:sz w:val="44"/>
          <w:szCs w:val="44"/>
          <w:highlight w:val="none"/>
        </w:rPr>
      </w:pPr>
      <w:r>
        <w:rPr>
          <w:rFonts w:hint="eastAsia" w:ascii="宋体" w:hAnsi="宋体" w:eastAsia="宋体" w:cs="宋体"/>
          <w:b/>
          <w:color w:val="auto"/>
          <w:sz w:val="44"/>
          <w:szCs w:val="44"/>
          <w:highlight w:val="none"/>
        </w:rPr>
        <w:t>福建省政府采购投标文件</w:t>
      </w:r>
    </w:p>
    <w:p>
      <w:pPr>
        <w:pStyle w:val="10"/>
        <w:shd w:val="clear"/>
        <w:jc w:val="center"/>
        <w:rPr>
          <w:rFonts w:hint="eastAsia" w:ascii="宋体" w:hAnsi="宋体" w:eastAsia="宋体" w:cs="宋体"/>
          <w:color w:val="auto"/>
          <w:sz w:val="28"/>
          <w:szCs w:val="28"/>
          <w:highlight w:val="none"/>
        </w:rPr>
      </w:pPr>
      <w:r>
        <w:rPr>
          <w:rFonts w:hint="eastAsia" w:ascii="宋体" w:hAnsi="宋体" w:eastAsia="宋体" w:cs="宋体"/>
          <w:b/>
          <w:color w:val="auto"/>
          <w:sz w:val="44"/>
          <w:szCs w:val="44"/>
          <w:highlight w:val="none"/>
        </w:rPr>
        <w:t>（技术商务部分）</w:t>
      </w:r>
      <w:r>
        <w:rPr>
          <w:rFonts w:hint="eastAsia" w:ascii="宋体" w:hAnsi="宋体" w:eastAsia="宋体" w:cs="宋体"/>
          <w:color w:val="auto"/>
          <w:sz w:val="28"/>
          <w:szCs w:val="28"/>
          <w:highlight w:val="none"/>
        </w:rPr>
        <w:br w:type="textWrapping"/>
      </w:r>
      <w:r>
        <w:rPr>
          <w:rFonts w:hint="eastAsia" w:ascii="宋体" w:hAnsi="宋体" w:eastAsia="宋体" w:cs="宋体"/>
          <w:color w:val="auto"/>
          <w:sz w:val="28"/>
          <w:szCs w:val="28"/>
          <w:highlight w:val="none"/>
        </w:rPr>
        <w:br w:type="textWrapping"/>
      </w:r>
      <w:r>
        <w:rPr>
          <w:rFonts w:hint="eastAsia" w:ascii="宋体" w:hAnsi="宋体" w:eastAsia="宋体" w:cs="宋体"/>
          <w:b/>
          <w:color w:val="auto"/>
          <w:sz w:val="28"/>
          <w:szCs w:val="28"/>
          <w:highlight w:val="none"/>
        </w:rPr>
        <w:t>（填写正本或副本）</w:t>
      </w:r>
      <w:r>
        <w:rPr>
          <w:rFonts w:hint="eastAsia" w:ascii="宋体" w:hAnsi="宋体" w:eastAsia="宋体" w:cs="宋体"/>
          <w:color w:val="auto"/>
          <w:sz w:val="28"/>
          <w:szCs w:val="28"/>
          <w:highlight w:val="none"/>
        </w:rPr>
        <w:br w:type="textWrapping"/>
      </w:r>
      <w:r>
        <w:rPr>
          <w:rFonts w:hint="eastAsia" w:ascii="宋体" w:hAnsi="宋体" w:eastAsia="宋体" w:cs="宋体"/>
          <w:color w:val="auto"/>
          <w:sz w:val="28"/>
          <w:szCs w:val="28"/>
          <w:highlight w:val="none"/>
        </w:rPr>
        <w:br w:type="textWrapping"/>
      </w:r>
    </w:p>
    <w:p>
      <w:pPr>
        <w:pStyle w:val="10"/>
        <w:shd w:val="clear"/>
        <w:jc w:val="center"/>
        <w:rPr>
          <w:rFonts w:hint="eastAsia" w:ascii="宋体" w:hAnsi="宋体" w:eastAsia="宋体" w:cs="宋体"/>
          <w:color w:val="auto"/>
          <w:sz w:val="28"/>
          <w:szCs w:val="28"/>
          <w:highlight w:val="none"/>
        </w:rPr>
      </w:pPr>
      <w:r>
        <w:rPr>
          <w:rFonts w:hint="eastAsia" w:ascii="宋体" w:hAnsi="宋体" w:eastAsia="宋体" w:cs="宋体"/>
          <w:b/>
          <w:color w:val="auto"/>
          <w:sz w:val="28"/>
          <w:szCs w:val="28"/>
          <w:highlight w:val="none"/>
        </w:rPr>
        <w:t>（项目名称：（由投标人填写）</w:t>
      </w:r>
    </w:p>
    <w:p>
      <w:pPr>
        <w:pStyle w:val="10"/>
        <w:shd w:val="clear"/>
        <w:jc w:val="center"/>
        <w:rPr>
          <w:rFonts w:hint="eastAsia" w:ascii="宋体" w:hAnsi="宋体" w:eastAsia="宋体" w:cs="宋体"/>
          <w:color w:val="auto"/>
          <w:sz w:val="28"/>
          <w:szCs w:val="28"/>
          <w:highlight w:val="none"/>
        </w:rPr>
      </w:pPr>
      <w:r>
        <w:rPr>
          <w:rFonts w:hint="eastAsia" w:ascii="宋体" w:hAnsi="宋体" w:eastAsia="宋体" w:cs="宋体"/>
          <w:b/>
          <w:color w:val="auto"/>
          <w:sz w:val="28"/>
          <w:szCs w:val="28"/>
          <w:highlight w:val="none"/>
        </w:rPr>
        <w:t>（备案编号：（由投标人填写）</w:t>
      </w:r>
    </w:p>
    <w:p>
      <w:pPr>
        <w:pStyle w:val="10"/>
        <w:shd w:val="clear"/>
        <w:jc w:val="center"/>
        <w:rPr>
          <w:rFonts w:hint="eastAsia" w:ascii="宋体" w:hAnsi="宋体" w:eastAsia="宋体" w:cs="宋体"/>
          <w:color w:val="auto"/>
          <w:sz w:val="28"/>
          <w:szCs w:val="28"/>
          <w:highlight w:val="none"/>
        </w:rPr>
      </w:pPr>
      <w:r>
        <w:rPr>
          <w:rFonts w:hint="eastAsia" w:ascii="宋体" w:hAnsi="宋体" w:eastAsia="宋体" w:cs="宋体"/>
          <w:b/>
          <w:color w:val="auto"/>
          <w:sz w:val="28"/>
          <w:szCs w:val="28"/>
          <w:highlight w:val="none"/>
        </w:rPr>
        <w:t>（项目编号：（由投标人填写）</w:t>
      </w:r>
    </w:p>
    <w:p>
      <w:pPr>
        <w:pStyle w:val="10"/>
        <w:shd w:val="clear"/>
        <w:jc w:val="center"/>
        <w:rPr>
          <w:rFonts w:hint="eastAsia" w:ascii="宋体" w:hAnsi="宋体" w:eastAsia="宋体" w:cs="宋体"/>
          <w:color w:val="auto"/>
          <w:sz w:val="28"/>
          <w:szCs w:val="28"/>
          <w:highlight w:val="none"/>
        </w:rPr>
      </w:pPr>
      <w:r>
        <w:rPr>
          <w:rFonts w:hint="eastAsia" w:ascii="宋体" w:hAnsi="宋体" w:eastAsia="宋体" w:cs="宋体"/>
          <w:b/>
          <w:color w:val="auto"/>
          <w:sz w:val="28"/>
          <w:szCs w:val="28"/>
          <w:highlight w:val="none"/>
        </w:rPr>
        <w:t>（所投采购包：（由投标人填写）</w:t>
      </w:r>
      <w:r>
        <w:rPr>
          <w:rFonts w:hint="eastAsia" w:ascii="宋体" w:hAnsi="宋体" w:eastAsia="宋体" w:cs="宋体"/>
          <w:color w:val="auto"/>
          <w:sz w:val="28"/>
          <w:szCs w:val="28"/>
          <w:highlight w:val="none"/>
        </w:rPr>
        <w:br w:type="textWrapping"/>
      </w:r>
      <w:r>
        <w:rPr>
          <w:rFonts w:hint="eastAsia" w:ascii="宋体" w:hAnsi="宋体" w:eastAsia="宋体" w:cs="宋体"/>
          <w:color w:val="auto"/>
          <w:sz w:val="28"/>
          <w:szCs w:val="28"/>
          <w:highlight w:val="none"/>
        </w:rPr>
        <w:br w:type="textWrapping"/>
      </w:r>
    </w:p>
    <w:p>
      <w:pPr>
        <w:pStyle w:val="10"/>
        <w:shd w:val="clear"/>
        <w:jc w:val="center"/>
        <w:rPr>
          <w:rFonts w:hint="eastAsia" w:ascii="宋体" w:hAnsi="宋体" w:eastAsia="宋体" w:cs="宋体"/>
          <w:color w:val="auto"/>
          <w:sz w:val="28"/>
          <w:szCs w:val="28"/>
          <w:highlight w:val="none"/>
        </w:rPr>
      </w:pPr>
    </w:p>
    <w:p>
      <w:pPr>
        <w:pStyle w:val="10"/>
        <w:shd w:val="clear"/>
        <w:jc w:val="center"/>
        <w:rPr>
          <w:rFonts w:hint="eastAsia" w:ascii="宋体" w:hAnsi="宋体" w:eastAsia="宋体" w:cs="宋体"/>
          <w:color w:val="auto"/>
          <w:sz w:val="28"/>
          <w:szCs w:val="28"/>
          <w:highlight w:val="none"/>
        </w:rPr>
      </w:pPr>
    </w:p>
    <w:p>
      <w:pPr>
        <w:pStyle w:val="10"/>
        <w:shd w:val="clear"/>
        <w:jc w:val="center"/>
        <w:rPr>
          <w:rFonts w:hint="eastAsia" w:ascii="宋体" w:hAnsi="宋体" w:eastAsia="宋体" w:cs="宋体"/>
          <w:color w:val="auto"/>
          <w:sz w:val="28"/>
          <w:szCs w:val="28"/>
          <w:highlight w:val="none"/>
        </w:rPr>
      </w:pPr>
    </w:p>
    <w:p>
      <w:pPr>
        <w:pStyle w:val="10"/>
        <w:shd w:val="clear"/>
        <w:jc w:val="center"/>
        <w:rPr>
          <w:rFonts w:hint="eastAsia" w:ascii="宋体" w:hAnsi="宋体" w:eastAsia="宋体" w:cs="宋体"/>
          <w:color w:val="auto"/>
          <w:sz w:val="28"/>
          <w:szCs w:val="28"/>
          <w:highlight w:val="none"/>
        </w:rPr>
      </w:pPr>
      <w:r>
        <w:rPr>
          <w:rFonts w:hint="eastAsia" w:ascii="宋体" w:hAnsi="宋体" w:eastAsia="宋体" w:cs="宋体"/>
          <w:b/>
          <w:color w:val="auto"/>
          <w:sz w:val="28"/>
          <w:szCs w:val="28"/>
          <w:highlight w:val="none"/>
        </w:rPr>
        <w:t>投标人：（填写“全称”）</w:t>
      </w:r>
    </w:p>
    <w:p>
      <w:pPr>
        <w:pStyle w:val="10"/>
        <w:shd w:val="clear"/>
        <w:jc w:val="center"/>
        <w:rPr>
          <w:rFonts w:hint="eastAsia" w:ascii="宋体" w:hAnsi="宋体" w:eastAsia="宋体" w:cs="宋体"/>
          <w:color w:val="auto"/>
          <w:sz w:val="28"/>
          <w:szCs w:val="28"/>
          <w:highlight w:val="none"/>
        </w:rPr>
      </w:pPr>
      <w:r>
        <w:rPr>
          <w:rFonts w:hint="eastAsia" w:ascii="宋体" w:hAnsi="宋体" w:eastAsia="宋体" w:cs="宋体"/>
          <w:b/>
          <w:color w:val="auto"/>
          <w:sz w:val="28"/>
          <w:szCs w:val="28"/>
          <w:highlight w:val="none"/>
        </w:rPr>
        <w:t>（由投标人填写）年（由投标人填写）月</w:t>
      </w:r>
    </w:p>
    <w:p>
      <w:pPr>
        <w:pStyle w:val="10"/>
        <w:shd w:val="clear"/>
        <w:rPr>
          <w:rFonts w:hint="eastAsia" w:ascii="宋体" w:hAnsi="宋体" w:eastAsia="宋体" w:cs="宋体"/>
          <w:color w:val="auto"/>
          <w:sz w:val="24"/>
          <w:szCs w:val="24"/>
          <w:highlight w:val="none"/>
        </w:rPr>
      </w:pPr>
    </w:p>
    <w:p>
      <w:pPr>
        <w:pStyle w:val="10"/>
        <w:shd w:val="clea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pP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br w:type="page"/>
      </w:r>
    </w:p>
    <w:p>
      <w:pPr>
        <w:pStyle w:val="10"/>
        <w:keepNext w:val="0"/>
        <w:keepLines w:val="0"/>
        <w:pageBreakBefore w:val="0"/>
        <w:shd w:val="clear"/>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索引</w:t>
      </w:r>
    </w:p>
    <w:p>
      <w:pPr>
        <w:pStyle w:val="10"/>
        <w:keepNext w:val="0"/>
        <w:keepLines w:val="0"/>
        <w:pageBreakBefore w:val="0"/>
        <w:shd w:val="clear"/>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一、标的说明一览表</w:t>
      </w:r>
    </w:p>
    <w:p>
      <w:pPr>
        <w:pStyle w:val="10"/>
        <w:keepNext w:val="0"/>
        <w:keepLines w:val="0"/>
        <w:pageBreakBefore w:val="0"/>
        <w:shd w:val="clear"/>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二、技术和服务要求响应表</w:t>
      </w:r>
    </w:p>
    <w:p>
      <w:pPr>
        <w:pStyle w:val="10"/>
        <w:keepNext w:val="0"/>
        <w:keepLines w:val="0"/>
        <w:pageBreakBefore w:val="0"/>
        <w:shd w:val="clear"/>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三、商务条件响应表</w:t>
      </w:r>
    </w:p>
    <w:p>
      <w:pPr>
        <w:pStyle w:val="10"/>
        <w:keepNext w:val="0"/>
        <w:keepLines w:val="0"/>
        <w:pageBreakBefore w:val="0"/>
        <w:shd w:val="clear"/>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四、投标人提交的其他资料（若有）</w:t>
      </w:r>
    </w:p>
    <w:p>
      <w:pPr>
        <w:pStyle w:val="10"/>
        <w:keepNext w:val="0"/>
        <w:keepLines w:val="0"/>
        <w:pageBreakBefore w:val="0"/>
        <w:shd w:val="clear"/>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※注意</w:t>
      </w:r>
    </w:p>
    <w:p>
      <w:pPr>
        <w:pStyle w:val="10"/>
        <w:keepNext w:val="0"/>
        <w:keepLines w:val="0"/>
        <w:pageBreakBefore w:val="0"/>
        <w:shd w:val="clear"/>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技术商务部分中不得出现报价部分的全部或部分的投标报价信息（或组成资料），否则符合性审查不合格。</w:t>
      </w:r>
    </w:p>
    <w:p>
      <w:pPr>
        <w:pStyle w:val="10"/>
        <w:keepNext w:val="0"/>
        <w:keepLines w:val="0"/>
        <w:pageBreakBefore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p>
    <w:p>
      <w:pPr>
        <w:pStyle w:val="10"/>
        <w:keepNext w:val="0"/>
        <w:keepLines w:val="0"/>
        <w:pageBreakBefore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pP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br w:type="page"/>
      </w:r>
    </w:p>
    <w:p>
      <w:pPr>
        <w:pStyle w:val="10"/>
        <w:keepNext w:val="0"/>
        <w:keepLines w:val="0"/>
        <w:pageBreakBefore w:val="0"/>
        <w:shd w:val="clear"/>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一、标的说明一览表</w:t>
      </w:r>
    </w:p>
    <w:p>
      <w:pPr>
        <w:pStyle w:val="10"/>
        <w:keepNext w:val="0"/>
        <w:keepLines w:val="0"/>
        <w:pageBreakBefore w:val="0"/>
        <w:shd w:val="clear"/>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项目编号：　　　　　　　　</w:t>
      </w:r>
    </w:p>
    <w:tbl>
      <w:tblPr>
        <w:tblStyle w:val="7"/>
        <w:tblW w:w="4998"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22"/>
        <w:gridCol w:w="1622"/>
        <w:gridCol w:w="1623"/>
        <w:gridCol w:w="1623"/>
        <w:gridCol w:w="1623"/>
        <w:gridCol w:w="162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3" w:type="pct"/>
          </w:tcPr>
          <w:p>
            <w:pPr>
              <w:pStyle w:val="10"/>
              <w:keepNext w:val="0"/>
              <w:keepLines w:val="0"/>
              <w:pageBreakBefore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采购包</w:t>
            </w:r>
          </w:p>
        </w:tc>
        <w:tc>
          <w:tcPr>
            <w:tcW w:w="833" w:type="pct"/>
          </w:tcPr>
          <w:p>
            <w:pPr>
              <w:pStyle w:val="10"/>
              <w:keepNext w:val="0"/>
              <w:keepLines w:val="0"/>
              <w:pageBreakBefore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品目号</w:t>
            </w:r>
          </w:p>
        </w:tc>
        <w:tc>
          <w:tcPr>
            <w:tcW w:w="833" w:type="pct"/>
          </w:tcPr>
          <w:p>
            <w:pPr>
              <w:pStyle w:val="10"/>
              <w:keepNext w:val="0"/>
              <w:keepLines w:val="0"/>
              <w:pageBreakBefore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投标标的</w:t>
            </w:r>
          </w:p>
        </w:tc>
        <w:tc>
          <w:tcPr>
            <w:tcW w:w="833" w:type="pct"/>
          </w:tcPr>
          <w:p>
            <w:pPr>
              <w:pStyle w:val="10"/>
              <w:keepNext w:val="0"/>
              <w:keepLines w:val="0"/>
              <w:pageBreakBefore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规格</w:t>
            </w:r>
          </w:p>
        </w:tc>
        <w:tc>
          <w:tcPr>
            <w:tcW w:w="833" w:type="pct"/>
          </w:tcPr>
          <w:p>
            <w:pPr>
              <w:pStyle w:val="10"/>
              <w:keepNext w:val="0"/>
              <w:keepLines w:val="0"/>
              <w:pageBreakBefore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来源地</w:t>
            </w:r>
          </w:p>
        </w:tc>
        <w:tc>
          <w:tcPr>
            <w:tcW w:w="833" w:type="pct"/>
          </w:tcPr>
          <w:p>
            <w:pPr>
              <w:pStyle w:val="10"/>
              <w:keepNext w:val="0"/>
              <w:keepLines w:val="0"/>
              <w:pageBreakBefore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3" w:type="pct"/>
            <w:vMerge w:val="restart"/>
          </w:tcPr>
          <w:p>
            <w:pPr>
              <w:pStyle w:val="10"/>
              <w:keepNext w:val="0"/>
              <w:keepLines w:val="0"/>
              <w:pageBreakBefore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833" w:type="pct"/>
          </w:tcPr>
          <w:p>
            <w:pPr>
              <w:pStyle w:val="10"/>
              <w:keepNext w:val="0"/>
              <w:keepLines w:val="0"/>
              <w:pageBreakBefore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833" w:type="pct"/>
          </w:tcPr>
          <w:p>
            <w:pPr>
              <w:keepNext w:val="0"/>
              <w:keepLines w:val="0"/>
              <w:pageBreakBefore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p>
        </w:tc>
        <w:tc>
          <w:tcPr>
            <w:tcW w:w="833" w:type="pct"/>
          </w:tcPr>
          <w:p>
            <w:pPr>
              <w:keepNext w:val="0"/>
              <w:keepLines w:val="0"/>
              <w:pageBreakBefore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p>
        </w:tc>
        <w:tc>
          <w:tcPr>
            <w:tcW w:w="833" w:type="pct"/>
          </w:tcPr>
          <w:p>
            <w:pPr>
              <w:keepNext w:val="0"/>
              <w:keepLines w:val="0"/>
              <w:pageBreakBefore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p>
        </w:tc>
        <w:tc>
          <w:tcPr>
            <w:tcW w:w="833" w:type="pct"/>
          </w:tcPr>
          <w:p>
            <w:pPr>
              <w:keepNext w:val="0"/>
              <w:keepLines w:val="0"/>
              <w:pageBreakBefore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3" w:type="pct"/>
            <w:vMerge w:val="continue"/>
          </w:tcPr>
          <w:p>
            <w:pPr>
              <w:keepNext w:val="0"/>
              <w:keepLines w:val="0"/>
              <w:pageBreakBefore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p>
        </w:tc>
        <w:tc>
          <w:tcPr>
            <w:tcW w:w="833" w:type="pct"/>
          </w:tcPr>
          <w:p>
            <w:pPr>
              <w:pStyle w:val="10"/>
              <w:keepNext w:val="0"/>
              <w:keepLines w:val="0"/>
              <w:pageBreakBefore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833" w:type="pct"/>
          </w:tcPr>
          <w:p>
            <w:pPr>
              <w:keepNext w:val="0"/>
              <w:keepLines w:val="0"/>
              <w:pageBreakBefore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p>
        </w:tc>
        <w:tc>
          <w:tcPr>
            <w:tcW w:w="833" w:type="pct"/>
          </w:tcPr>
          <w:p>
            <w:pPr>
              <w:keepNext w:val="0"/>
              <w:keepLines w:val="0"/>
              <w:pageBreakBefore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p>
        </w:tc>
        <w:tc>
          <w:tcPr>
            <w:tcW w:w="833" w:type="pct"/>
          </w:tcPr>
          <w:p>
            <w:pPr>
              <w:keepNext w:val="0"/>
              <w:keepLines w:val="0"/>
              <w:pageBreakBefore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p>
        </w:tc>
        <w:tc>
          <w:tcPr>
            <w:tcW w:w="833" w:type="pct"/>
          </w:tcPr>
          <w:p>
            <w:pPr>
              <w:keepNext w:val="0"/>
              <w:keepLines w:val="0"/>
              <w:pageBreakBefore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3" w:type="pct"/>
          </w:tcPr>
          <w:p>
            <w:pPr>
              <w:pStyle w:val="10"/>
              <w:keepNext w:val="0"/>
              <w:keepLines w:val="0"/>
              <w:pageBreakBefore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833" w:type="pct"/>
          </w:tcPr>
          <w:p>
            <w:pPr>
              <w:keepNext w:val="0"/>
              <w:keepLines w:val="0"/>
              <w:pageBreakBefore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p>
        </w:tc>
        <w:tc>
          <w:tcPr>
            <w:tcW w:w="833" w:type="pct"/>
          </w:tcPr>
          <w:p>
            <w:pPr>
              <w:keepNext w:val="0"/>
              <w:keepLines w:val="0"/>
              <w:pageBreakBefore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p>
        </w:tc>
        <w:tc>
          <w:tcPr>
            <w:tcW w:w="833" w:type="pct"/>
          </w:tcPr>
          <w:p>
            <w:pPr>
              <w:keepNext w:val="0"/>
              <w:keepLines w:val="0"/>
              <w:pageBreakBefore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p>
        </w:tc>
        <w:tc>
          <w:tcPr>
            <w:tcW w:w="833" w:type="pct"/>
          </w:tcPr>
          <w:p>
            <w:pPr>
              <w:keepNext w:val="0"/>
              <w:keepLines w:val="0"/>
              <w:pageBreakBefore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p>
        </w:tc>
        <w:tc>
          <w:tcPr>
            <w:tcW w:w="833" w:type="pct"/>
          </w:tcPr>
          <w:p>
            <w:pPr>
              <w:keepNext w:val="0"/>
              <w:keepLines w:val="0"/>
              <w:pageBreakBefore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p>
        </w:tc>
      </w:tr>
    </w:tbl>
    <w:p>
      <w:pPr>
        <w:pStyle w:val="10"/>
        <w:keepNext w:val="0"/>
        <w:keepLines w:val="0"/>
        <w:pageBreakBefore w:val="0"/>
        <w:shd w:val="clear"/>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※注意：</w:t>
      </w:r>
    </w:p>
    <w:p>
      <w:pPr>
        <w:pStyle w:val="10"/>
        <w:keepNext w:val="0"/>
        <w:keepLines w:val="0"/>
        <w:pageBreakBefore w:val="0"/>
        <w:shd w:val="clear"/>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1、本表应按照下列规定填写：</w:t>
      </w:r>
    </w:p>
    <w:p>
      <w:pPr>
        <w:pStyle w:val="10"/>
        <w:keepNext w:val="0"/>
        <w:keepLines w:val="0"/>
        <w:pageBreakBefore w:val="0"/>
        <w:shd w:val="clear"/>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1.1“采购包”、“品目号”、“投标标的”及“数量”应与招标文件《采购标的一览表》中的有关内容（“采购包”、“品目号”、“采购标的”及“数量”）保持一致。</w:t>
      </w:r>
    </w:p>
    <w:p>
      <w:pPr>
        <w:pStyle w:val="10"/>
        <w:keepNext w:val="0"/>
        <w:keepLines w:val="0"/>
        <w:pageBreakBefore w:val="0"/>
        <w:shd w:val="clear"/>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投标标的”为货物的：“规格”项下应填写货物制造厂商赋予的品牌（属于节能、环保清单产品的货物，填写的品牌名称应与清单载明的品牌名称保持一致）及具体型号。“来源地”应填写货物的原产地。“备注”项下应填写货物的详细性能说明及供货范围清单（若有），其中供货范围清单包括但不限于：组成货物的主要件和关键件的名称、数量、原产地，专用工具（若有）的名称、数量、原产地，备品备件（若有）的名称、数量、原产地等。</w:t>
      </w:r>
    </w:p>
    <w:p>
      <w:pPr>
        <w:pStyle w:val="10"/>
        <w:keepNext w:val="0"/>
        <w:keepLines w:val="0"/>
        <w:pageBreakBefore w:val="0"/>
        <w:shd w:val="clear"/>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1.3“投标标的”为服务的：“规格”项下应填写服务提供者提供的服务标准及品牌（若有）。“来源地”应填写服务提供者的所在地。“备注”项下应填写关于服务标准所涵盖的具体项目或内容的说明等。</w:t>
      </w:r>
    </w:p>
    <w:p>
      <w:pPr>
        <w:pStyle w:val="10"/>
        <w:keepNext w:val="0"/>
        <w:keepLines w:val="0"/>
        <w:pageBreakBefore w:val="0"/>
        <w:shd w:val="clear"/>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2、投标人需要说明的内容若需特殊表达，应先在本表中进行相应说明，再另页应答，但应做好标注说明，方便评委查阅评审。未标注说明可能导致的不利的评审后果由投标人自行承担。</w:t>
      </w:r>
    </w:p>
    <w:p>
      <w:pPr>
        <w:pStyle w:val="10"/>
        <w:keepNext w:val="0"/>
        <w:keepLines w:val="0"/>
        <w:pageBreakBefore w:val="0"/>
        <w:shd w:val="clear"/>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3、电子投标文件中涉及“投标标的”、“数量”、“规格”、“来源地”的内容若不一致，应以本表为准。</w:t>
      </w:r>
    </w:p>
    <w:p>
      <w:pPr>
        <w:pStyle w:val="10"/>
        <w:keepNext w:val="0"/>
        <w:keepLines w:val="0"/>
        <w:pageBreakBefore w:val="0"/>
        <w:shd w:val="clear"/>
        <w:kinsoku/>
        <w:wordWrap/>
        <w:overflowPunct/>
        <w:topLinePunct w:val="0"/>
        <w:autoSpaceDE/>
        <w:autoSpaceDN/>
        <w:bidi w:val="0"/>
        <w:adjustRightInd/>
        <w:snapToGrid/>
        <w:spacing w:line="400" w:lineRule="exact"/>
        <w:ind w:firstLine="480"/>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投标人：（全称并加盖单位公章）</w:t>
      </w:r>
    </w:p>
    <w:p>
      <w:pPr>
        <w:pStyle w:val="10"/>
        <w:keepNext w:val="0"/>
        <w:keepLines w:val="0"/>
        <w:pageBreakBefore w:val="0"/>
        <w:shd w:val="clear"/>
        <w:kinsoku/>
        <w:wordWrap/>
        <w:overflowPunct/>
        <w:topLinePunct w:val="0"/>
        <w:autoSpaceDE/>
        <w:autoSpaceDN/>
        <w:bidi w:val="0"/>
        <w:adjustRightInd/>
        <w:snapToGrid/>
        <w:spacing w:line="400" w:lineRule="exact"/>
        <w:ind w:firstLine="480"/>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　　年　　月　　日</w:t>
      </w:r>
    </w:p>
    <w:p>
      <w:pPr>
        <w:pStyle w:val="10"/>
        <w:keepNext w:val="0"/>
        <w:keepLines w:val="0"/>
        <w:pageBreakBefore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p>
    <w:p>
      <w:pPr>
        <w:pStyle w:val="10"/>
        <w:keepNext w:val="0"/>
        <w:keepLines w:val="0"/>
        <w:pageBreakBefore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pP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br w:type="page"/>
      </w:r>
    </w:p>
    <w:p>
      <w:pPr>
        <w:pStyle w:val="10"/>
        <w:keepNext w:val="0"/>
        <w:keepLines w:val="0"/>
        <w:pageBreakBefore w:val="0"/>
        <w:shd w:val="clear"/>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二、技术和服务要求响应表</w:t>
      </w:r>
    </w:p>
    <w:p>
      <w:pPr>
        <w:pStyle w:val="10"/>
        <w:keepNext w:val="0"/>
        <w:keepLines w:val="0"/>
        <w:pageBreakBefore w:val="0"/>
        <w:shd w:val="clear"/>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项目编号：　　　　　　　　</w:t>
      </w:r>
    </w:p>
    <w:tbl>
      <w:tblPr>
        <w:tblStyle w:val="7"/>
        <w:tblW w:w="5000"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948"/>
        <w:gridCol w:w="1948"/>
        <w:gridCol w:w="1948"/>
        <w:gridCol w:w="1948"/>
        <w:gridCol w:w="194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00" w:type="pct"/>
          </w:tcPr>
          <w:p>
            <w:pPr>
              <w:pStyle w:val="10"/>
              <w:keepNext w:val="0"/>
              <w:keepLines w:val="0"/>
              <w:pageBreakBefore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采购包</w:t>
            </w:r>
          </w:p>
        </w:tc>
        <w:tc>
          <w:tcPr>
            <w:tcW w:w="1000" w:type="pct"/>
          </w:tcPr>
          <w:p>
            <w:pPr>
              <w:pStyle w:val="10"/>
              <w:keepNext w:val="0"/>
              <w:keepLines w:val="0"/>
              <w:pageBreakBefore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品目号</w:t>
            </w:r>
          </w:p>
        </w:tc>
        <w:tc>
          <w:tcPr>
            <w:tcW w:w="1000" w:type="pct"/>
          </w:tcPr>
          <w:p>
            <w:pPr>
              <w:pStyle w:val="10"/>
              <w:keepNext w:val="0"/>
              <w:keepLines w:val="0"/>
              <w:pageBreakBefore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技术和服务要求</w:t>
            </w:r>
          </w:p>
        </w:tc>
        <w:tc>
          <w:tcPr>
            <w:tcW w:w="1000" w:type="pct"/>
          </w:tcPr>
          <w:p>
            <w:pPr>
              <w:pStyle w:val="10"/>
              <w:keepNext w:val="0"/>
              <w:keepLines w:val="0"/>
              <w:pageBreakBefore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投标响应</w:t>
            </w:r>
          </w:p>
        </w:tc>
        <w:tc>
          <w:tcPr>
            <w:tcW w:w="1000" w:type="pct"/>
          </w:tcPr>
          <w:p>
            <w:pPr>
              <w:pStyle w:val="10"/>
              <w:keepNext w:val="0"/>
              <w:keepLines w:val="0"/>
              <w:pageBreakBefore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是否偏离及说明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00" w:type="pct"/>
            <w:vMerge w:val="restart"/>
          </w:tcPr>
          <w:p>
            <w:pPr>
              <w:pStyle w:val="10"/>
              <w:keepNext w:val="0"/>
              <w:keepLines w:val="0"/>
              <w:pageBreakBefore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1000" w:type="pct"/>
          </w:tcPr>
          <w:p>
            <w:pPr>
              <w:pStyle w:val="10"/>
              <w:keepNext w:val="0"/>
              <w:keepLines w:val="0"/>
              <w:pageBreakBefore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000" w:type="pct"/>
          </w:tcPr>
          <w:p>
            <w:pPr>
              <w:keepNext w:val="0"/>
              <w:keepLines w:val="0"/>
              <w:pageBreakBefore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p>
        </w:tc>
        <w:tc>
          <w:tcPr>
            <w:tcW w:w="1000" w:type="pct"/>
          </w:tcPr>
          <w:p>
            <w:pPr>
              <w:keepNext w:val="0"/>
              <w:keepLines w:val="0"/>
              <w:pageBreakBefore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p>
        </w:tc>
        <w:tc>
          <w:tcPr>
            <w:tcW w:w="1000" w:type="pct"/>
          </w:tcPr>
          <w:p>
            <w:pPr>
              <w:keepNext w:val="0"/>
              <w:keepLines w:val="0"/>
              <w:pageBreakBefore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00" w:type="pct"/>
            <w:vMerge w:val="continue"/>
          </w:tcPr>
          <w:p>
            <w:pPr>
              <w:keepNext w:val="0"/>
              <w:keepLines w:val="0"/>
              <w:pageBreakBefore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p>
        </w:tc>
        <w:tc>
          <w:tcPr>
            <w:tcW w:w="1000" w:type="pct"/>
          </w:tcPr>
          <w:p>
            <w:pPr>
              <w:pStyle w:val="10"/>
              <w:keepNext w:val="0"/>
              <w:keepLines w:val="0"/>
              <w:pageBreakBefore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1000" w:type="pct"/>
          </w:tcPr>
          <w:p>
            <w:pPr>
              <w:keepNext w:val="0"/>
              <w:keepLines w:val="0"/>
              <w:pageBreakBefore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p>
        </w:tc>
        <w:tc>
          <w:tcPr>
            <w:tcW w:w="1000" w:type="pct"/>
          </w:tcPr>
          <w:p>
            <w:pPr>
              <w:keepNext w:val="0"/>
              <w:keepLines w:val="0"/>
              <w:pageBreakBefore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p>
        </w:tc>
        <w:tc>
          <w:tcPr>
            <w:tcW w:w="1000" w:type="pct"/>
          </w:tcPr>
          <w:p>
            <w:pPr>
              <w:keepNext w:val="0"/>
              <w:keepLines w:val="0"/>
              <w:pageBreakBefore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00" w:type="pct"/>
          </w:tcPr>
          <w:p>
            <w:pPr>
              <w:pStyle w:val="10"/>
              <w:keepNext w:val="0"/>
              <w:keepLines w:val="0"/>
              <w:pageBreakBefore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1000" w:type="pct"/>
          </w:tcPr>
          <w:p>
            <w:pPr>
              <w:keepNext w:val="0"/>
              <w:keepLines w:val="0"/>
              <w:pageBreakBefore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p>
        </w:tc>
        <w:tc>
          <w:tcPr>
            <w:tcW w:w="1000" w:type="pct"/>
          </w:tcPr>
          <w:p>
            <w:pPr>
              <w:keepNext w:val="0"/>
              <w:keepLines w:val="0"/>
              <w:pageBreakBefore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p>
        </w:tc>
        <w:tc>
          <w:tcPr>
            <w:tcW w:w="1000" w:type="pct"/>
          </w:tcPr>
          <w:p>
            <w:pPr>
              <w:keepNext w:val="0"/>
              <w:keepLines w:val="0"/>
              <w:pageBreakBefore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p>
        </w:tc>
        <w:tc>
          <w:tcPr>
            <w:tcW w:w="1000" w:type="pct"/>
          </w:tcPr>
          <w:p>
            <w:pPr>
              <w:keepNext w:val="0"/>
              <w:keepLines w:val="0"/>
              <w:pageBreakBefore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p>
        </w:tc>
      </w:tr>
    </w:tbl>
    <w:p>
      <w:pPr>
        <w:pStyle w:val="10"/>
        <w:keepNext w:val="0"/>
        <w:keepLines w:val="0"/>
        <w:pageBreakBefore w:val="0"/>
        <w:shd w:val="clear"/>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※注意：</w:t>
      </w:r>
    </w:p>
    <w:p>
      <w:pPr>
        <w:pStyle w:val="10"/>
        <w:keepNext w:val="0"/>
        <w:keepLines w:val="0"/>
        <w:pageBreakBefore w:val="0"/>
        <w:shd w:val="clear"/>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1、本表应按照下列规定填写：</w:t>
      </w:r>
    </w:p>
    <w:p>
      <w:pPr>
        <w:pStyle w:val="10"/>
        <w:keepNext w:val="0"/>
        <w:keepLines w:val="0"/>
        <w:pageBreakBefore w:val="0"/>
        <w:shd w:val="clear"/>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1.1“技术和服务要求”项下填写的内容应与招标文件第五章“技术和服务要求”的内容保持一致。</w:t>
      </w:r>
    </w:p>
    <w:p>
      <w:pPr>
        <w:pStyle w:val="10"/>
        <w:keepNext w:val="0"/>
        <w:keepLines w:val="0"/>
        <w:pageBreakBefore w:val="0"/>
        <w:shd w:val="clear"/>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投标响应”项下应填写具体的响应内容并与“技术和服务要求”项下填写的内容逐项对应；对招标文件“技术和服务要求”项下涉及“≥或＞”、“≤或＜”及某个区间值范围内的内容，投标响应应填写具体的数值，但技术指标只能以范围作响应的除外。</w:t>
      </w:r>
    </w:p>
    <w:p>
      <w:pPr>
        <w:pStyle w:val="10"/>
        <w:keepNext w:val="0"/>
        <w:keepLines w:val="0"/>
        <w:pageBreakBefore w:val="0"/>
        <w:shd w:val="clear"/>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1.3“是否偏离及说明”项下应按下列规定填写：优于的，填写“正偏离”；符合的，填写“无偏离”；低于的，填写“负偏离”。</w:t>
      </w:r>
    </w:p>
    <w:p>
      <w:pPr>
        <w:pStyle w:val="10"/>
        <w:keepNext w:val="0"/>
        <w:keepLines w:val="0"/>
        <w:pageBreakBefore w:val="0"/>
        <w:shd w:val="clear"/>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2、投标人需要说明的内容若需特殊表达，应先在本表中进行相应说明，再另页应答，但应做好标注说明，方便评委查阅评审。未标注说明可能导致的不利的评审后果由投标人自行承担。</w:t>
      </w:r>
    </w:p>
    <w:p>
      <w:pPr>
        <w:pStyle w:val="10"/>
        <w:keepNext w:val="0"/>
        <w:keepLines w:val="0"/>
        <w:pageBreakBefore w:val="0"/>
        <w:shd w:val="clear"/>
        <w:kinsoku/>
        <w:wordWrap/>
        <w:overflowPunct/>
        <w:topLinePunct w:val="0"/>
        <w:autoSpaceDE/>
        <w:autoSpaceDN/>
        <w:bidi w:val="0"/>
        <w:adjustRightInd/>
        <w:snapToGrid/>
        <w:spacing w:line="400" w:lineRule="exact"/>
        <w:ind w:firstLine="480"/>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投标人：（全称并加盖单位公章）</w:t>
      </w:r>
    </w:p>
    <w:p>
      <w:pPr>
        <w:pStyle w:val="10"/>
        <w:keepNext w:val="0"/>
        <w:keepLines w:val="0"/>
        <w:pageBreakBefore w:val="0"/>
        <w:shd w:val="clear"/>
        <w:kinsoku/>
        <w:wordWrap/>
        <w:overflowPunct/>
        <w:topLinePunct w:val="0"/>
        <w:autoSpaceDE/>
        <w:autoSpaceDN/>
        <w:bidi w:val="0"/>
        <w:adjustRightInd/>
        <w:snapToGrid/>
        <w:spacing w:line="400" w:lineRule="exact"/>
        <w:ind w:firstLine="480"/>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　　年　　月　　日</w:t>
      </w:r>
    </w:p>
    <w:p>
      <w:pPr>
        <w:pStyle w:val="10"/>
        <w:keepNext w:val="0"/>
        <w:keepLines w:val="0"/>
        <w:pageBreakBefore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p>
    <w:p>
      <w:pPr>
        <w:pStyle w:val="10"/>
        <w:keepNext w:val="0"/>
        <w:keepLines w:val="0"/>
        <w:pageBreakBefore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pP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br w:type="page"/>
      </w:r>
    </w:p>
    <w:p>
      <w:pPr>
        <w:pStyle w:val="10"/>
        <w:keepNext w:val="0"/>
        <w:keepLines w:val="0"/>
        <w:pageBreakBefore w:val="0"/>
        <w:shd w:val="clear"/>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三、商务条件响应表</w:t>
      </w:r>
    </w:p>
    <w:p>
      <w:pPr>
        <w:pStyle w:val="10"/>
        <w:keepNext w:val="0"/>
        <w:keepLines w:val="0"/>
        <w:pageBreakBefore w:val="0"/>
        <w:shd w:val="clear"/>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项目编号：　　　　　　　　</w:t>
      </w:r>
    </w:p>
    <w:tbl>
      <w:tblPr>
        <w:tblStyle w:val="7"/>
        <w:tblW w:w="5000"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948"/>
        <w:gridCol w:w="1948"/>
        <w:gridCol w:w="1948"/>
        <w:gridCol w:w="1948"/>
        <w:gridCol w:w="194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00" w:type="pct"/>
          </w:tcPr>
          <w:p>
            <w:pPr>
              <w:pStyle w:val="10"/>
              <w:keepNext w:val="0"/>
              <w:keepLines w:val="0"/>
              <w:pageBreakBefore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采购包</w:t>
            </w:r>
          </w:p>
        </w:tc>
        <w:tc>
          <w:tcPr>
            <w:tcW w:w="1000" w:type="pct"/>
          </w:tcPr>
          <w:p>
            <w:pPr>
              <w:pStyle w:val="10"/>
              <w:keepNext w:val="0"/>
              <w:keepLines w:val="0"/>
              <w:pageBreakBefore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品目号</w:t>
            </w:r>
          </w:p>
        </w:tc>
        <w:tc>
          <w:tcPr>
            <w:tcW w:w="1000" w:type="pct"/>
          </w:tcPr>
          <w:p>
            <w:pPr>
              <w:pStyle w:val="10"/>
              <w:keepNext w:val="0"/>
              <w:keepLines w:val="0"/>
              <w:pageBreakBefore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商务条件</w:t>
            </w:r>
          </w:p>
        </w:tc>
        <w:tc>
          <w:tcPr>
            <w:tcW w:w="1000" w:type="pct"/>
          </w:tcPr>
          <w:p>
            <w:pPr>
              <w:pStyle w:val="10"/>
              <w:keepNext w:val="0"/>
              <w:keepLines w:val="0"/>
              <w:pageBreakBefore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投标响应</w:t>
            </w:r>
          </w:p>
        </w:tc>
        <w:tc>
          <w:tcPr>
            <w:tcW w:w="1000" w:type="pct"/>
          </w:tcPr>
          <w:p>
            <w:pPr>
              <w:pStyle w:val="10"/>
              <w:keepNext w:val="0"/>
              <w:keepLines w:val="0"/>
              <w:pageBreakBefore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是否偏离及说明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00" w:type="pct"/>
            <w:vMerge w:val="restart"/>
          </w:tcPr>
          <w:p>
            <w:pPr>
              <w:pStyle w:val="10"/>
              <w:keepNext w:val="0"/>
              <w:keepLines w:val="0"/>
              <w:pageBreakBefore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1000" w:type="pct"/>
          </w:tcPr>
          <w:p>
            <w:pPr>
              <w:pStyle w:val="10"/>
              <w:keepNext w:val="0"/>
              <w:keepLines w:val="0"/>
              <w:pageBreakBefore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000" w:type="pct"/>
          </w:tcPr>
          <w:p>
            <w:pPr>
              <w:keepNext w:val="0"/>
              <w:keepLines w:val="0"/>
              <w:pageBreakBefore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p>
        </w:tc>
        <w:tc>
          <w:tcPr>
            <w:tcW w:w="1000" w:type="pct"/>
          </w:tcPr>
          <w:p>
            <w:pPr>
              <w:keepNext w:val="0"/>
              <w:keepLines w:val="0"/>
              <w:pageBreakBefore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p>
        </w:tc>
        <w:tc>
          <w:tcPr>
            <w:tcW w:w="1000" w:type="pct"/>
          </w:tcPr>
          <w:p>
            <w:pPr>
              <w:keepNext w:val="0"/>
              <w:keepLines w:val="0"/>
              <w:pageBreakBefore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00" w:type="pct"/>
            <w:vMerge w:val="continue"/>
          </w:tcPr>
          <w:p>
            <w:pPr>
              <w:keepNext w:val="0"/>
              <w:keepLines w:val="0"/>
              <w:pageBreakBefore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p>
        </w:tc>
        <w:tc>
          <w:tcPr>
            <w:tcW w:w="1000" w:type="pct"/>
          </w:tcPr>
          <w:p>
            <w:pPr>
              <w:pStyle w:val="10"/>
              <w:keepNext w:val="0"/>
              <w:keepLines w:val="0"/>
              <w:pageBreakBefore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1000" w:type="pct"/>
          </w:tcPr>
          <w:p>
            <w:pPr>
              <w:keepNext w:val="0"/>
              <w:keepLines w:val="0"/>
              <w:pageBreakBefore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p>
        </w:tc>
        <w:tc>
          <w:tcPr>
            <w:tcW w:w="1000" w:type="pct"/>
          </w:tcPr>
          <w:p>
            <w:pPr>
              <w:keepNext w:val="0"/>
              <w:keepLines w:val="0"/>
              <w:pageBreakBefore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p>
        </w:tc>
        <w:tc>
          <w:tcPr>
            <w:tcW w:w="1000" w:type="pct"/>
          </w:tcPr>
          <w:p>
            <w:pPr>
              <w:keepNext w:val="0"/>
              <w:keepLines w:val="0"/>
              <w:pageBreakBefore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00" w:type="pct"/>
          </w:tcPr>
          <w:p>
            <w:pPr>
              <w:pStyle w:val="10"/>
              <w:keepNext w:val="0"/>
              <w:keepLines w:val="0"/>
              <w:pageBreakBefore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1000" w:type="pct"/>
          </w:tcPr>
          <w:p>
            <w:pPr>
              <w:keepNext w:val="0"/>
              <w:keepLines w:val="0"/>
              <w:pageBreakBefore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p>
        </w:tc>
        <w:tc>
          <w:tcPr>
            <w:tcW w:w="1000" w:type="pct"/>
          </w:tcPr>
          <w:p>
            <w:pPr>
              <w:keepNext w:val="0"/>
              <w:keepLines w:val="0"/>
              <w:pageBreakBefore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p>
        </w:tc>
        <w:tc>
          <w:tcPr>
            <w:tcW w:w="1000" w:type="pct"/>
          </w:tcPr>
          <w:p>
            <w:pPr>
              <w:keepNext w:val="0"/>
              <w:keepLines w:val="0"/>
              <w:pageBreakBefore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p>
        </w:tc>
        <w:tc>
          <w:tcPr>
            <w:tcW w:w="1000" w:type="pct"/>
          </w:tcPr>
          <w:p>
            <w:pPr>
              <w:keepNext w:val="0"/>
              <w:keepLines w:val="0"/>
              <w:pageBreakBefore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p>
        </w:tc>
      </w:tr>
    </w:tbl>
    <w:p>
      <w:pPr>
        <w:pStyle w:val="10"/>
        <w:keepNext w:val="0"/>
        <w:keepLines w:val="0"/>
        <w:pageBreakBefore w:val="0"/>
        <w:shd w:val="clear"/>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※注意：</w:t>
      </w:r>
    </w:p>
    <w:p>
      <w:pPr>
        <w:pStyle w:val="10"/>
        <w:keepNext w:val="0"/>
        <w:keepLines w:val="0"/>
        <w:pageBreakBefore w:val="0"/>
        <w:shd w:val="clear"/>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1、本表应按照下列规定填写：</w:t>
      </w:r>
    </w:p>
    <w:p>
      <w:pPr>
        <w:pStyle w:val="10"/>
        <w:keepNext w:val="0"/>
        <w:keepLines w:val="0"/>
        <w:pageBreakBefore w:val="0"/>
        <w:shd w:val="clear"/>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1.1“商务条件”项下填写的内容应与招标文件第五章“商务条件”的内容保持一致。</w:t>
      </w:r>
    </w:p>
    <w:p>
      <w:pPr>
        <w:pStyle w:val="10"/>
        <w:keepNext w:val="0"/>
        <w:keepLines w:val="0"/>
        <w:pageBreakBefore w:val="0"/>
        <w:shd w:val="clear"/>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1.2“投标响应”项下应填写具体的响应内容并与“商务条件”项下填写的内容逐项对应；对“商务条件”项下涉及“≥或＞”、“≤或＜”及某个区间值范围内的内容，应填写具体的数值。</w:t>
      </w:r>
    </w:p>
    <w:p>
      <w:pPr>
        <w:pStyle w:val="10"/>
        <w:keepNext w:val="0"/>
        <w:keepLines w:val="0"/>
        <w:pageBreakBefore w:val="0"/>
        <w:shd w:val="clear"/>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1.3“是否偏离及说明”项下应按下列规定填写：优于的，填写“正偏离”；符合的，填写“无偏离”；低于的，填写“负偏离”。</w:t>
      </w:r>
    </w:p>
    <w:p>
      <w:pPr>
        <w:pStyle w:val="10"/>
        <w:keepNext w:val="0"/>
        <w:keepLines w:val="0"/>
        <w:pageBreakBefore w:val="0"/>
        <w:shd w:val="clear"/>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2、投标人需要说明的内容若需特殊表达，应先在本表中进行相应说明，再另页应答，但应做好标注说明，方便评委查阅评审。未标注说明可能导致的不利的评审后果由投标人自行承担。</w:t>
      </w:r>
    </w:p>
    <w:p>
      <w:pPr>
        <w:pStyle w:val="10"/>
        <w:keepNext w:val="0"/>
        <w:keepLines w:val="0"/>
        <w:pageBreakBefore w:val="0"/>
        <w:shd w:val="clear"/>
        <w:kinsoku/>
        <w:wordWrap/>
        <w:overflowPunct/>
        <w:topLinePunct w:val="0"/>
        <w:autoSpaceDE/>
        <w:autoSpaceDN/>
        <w:bidi w:val="0"/>
        <w:adjustRightInd/>
        <w:snapToGrid/>
        <w:spacing w:line="400" w:lineRule="exact"/>
        <w:ind w:firstLine="480"/>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投标人：（全称并加盖单位公章）</w:t>
      </w:r>
    </w:p>
    <w:p>
      <w:pPr>
        <w:pStyle w:val="10"/>
        <w:keepNext w:val="0"/>
        <w:keepLines w:val="0"/>
        <w:pageBreakBefore w:val="0"/>
        <w:shd w:val="clear"/>
        <w:kinsoku/>
        <w:wordWrap/>
        <w:overflowPunct/>
        <w:topLinePunct w:val="0"/>
        <w:autoSpaceDE/>
        <w:autoSpaceDN/>
        <w:bidi w:val="0"/>
        <w:adjustRightInd/>
        <w:snapToGrid/>
        <w:spacing w:line="400" w:lineRule="exact"/>
        <w:ind w:firstLine="480"/>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　　年　　月　　日</w:t>
      </w:r>
    </w:p>
    <w:p>
      <w:pPr>
        <w:pStyle w:val="10"/>
        <w:keepNext w:val="0"/>
        <w:keepLines w:val="0"/>
        <w:pageBreakBefore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p>
    <w:p>
      <w:pPr>
        <w:pStyle w:val="10"/>
        <w:keepNext w:val="0"/>
        <w:keepLines w:val="0"/>
        <w:pageBreakBefore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pPr>
        <w:pStyle w:val="10"/>
        <w:keepNext w:val="0"/>
        <w:keepLines w:val="0"/>
        <w:pageBreakBefore w:val="0"/>
        <w:shd w:val="clear"/>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四、投标人提交的其他资料（若有）</w:t>
      </w:r>
    </w:p>
    <w:p>
      <w:pPr>
        <w:pStyle w:val="10"/>
        <w:keepNext w:val="0"/>
        <w:keepLines w:val="0"/>
        <w:pageBreakBefore w:val="0"/>
        <w:shd w:val="clear"/>
        <w:kinsoku/>
        <w:wordWrap/>
        <w:overflowPunct/>
        <w:topLinePunct w:val="0"/>
        <w:autoSpaceDE/>
        <w:autoSpaceDN/>
        <w:bidi w:val="0"/>
        <w:adjustRightInd/>
        <w:snapToGrid/>
        <w:spacing w:line="400" w:lineRule="exact"/>
        <w:ind w:firstLine="48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编制说明</w:t>
      </w:r>
    </w:p>
    <w:p>
      <w:pPr>
        <w:pStyle w:val="10"/>
        <w:keepNext w:val="0"/>
        <w:keepLines w:val="0"/>
        <w:pageBreakBefore w:val="0"/>
        <w:shd w:val="clear"/>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1、招标文件要求提交的除“资格及资信证明部分”、“报价部分”外的其他证明材料或资料加盖投标人的单位公章后应在此项下提交。</w:t>
      </w:r>
    </w:p>
    <w:p>
      <w:pPr>
        <w:pStyle w:val="10"/>
        <w:keepNext w:val="0"/>
        <w:keepLines w:val="0"/>
        <w:pageBreakBefore w:val="0"/>
        <w:shd w:val="clear"/>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2、招标文件要求投标人提供方案（包括但不限于：组织、实施、技术、服务方案等）的，投标人应在此项下提交。</w:t>
      </w:r>
    </w:p>
    <w:p>
      <w:pPr>
        <w:pStyle w:val="10"/>
        <w:keepNext w:val="0"/>
        <w:keepLines w:val="0"/>
        <w:pageBreakBefore w:val="0"/>
        <w:shd w:val="clear"/>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3、除招标文件另有规定外，投标人认为需要提交的其他证明材料或资料加盖投标人的单位公章后应在此项下提交。</w:t>
      </w:r>
    </w:p>
    <w:p>
      <w:pPr>
        <w:pStyle w:val="10"/>
        <w:keepNext w:val="0"/>
        <w:keepLines w:val="0"/>
        <w:pageBreakBefore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lang w:val="en-US" w:eastAsia="zh-Hans"/>
        </w:rPr>
      </w:pPr>
    </w:p>
    <w:sectPr>
      <w:footerReference r:id="rId3" w:type="default"/>
      <w:pgSz w:w="11906" w:h="16838"/>
      <w:pgMar w:top="1191" w:right="1191" w:bottom="1191" w:left="1191" w:header="851" w:footer="992" w:gutter="0"/>
      <w:pgNumType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RiMDBjMzU3ZjI3YjUxYzE5MzFjNzZkODhhMDdiZGIifQ=="/>
  </w:docVars>
  <w:rsids>
    <w:rsidRoot w:val="53B52B8D"/>
    <w:rsid w:val="02986F13"/>
    <w:rsid w:val="03287C8E"/>
    <w:rsid w:val="113329E6"/>
    <w:rsid w:val="177F50ED"/>
    <w:rsid w:val="2EA3017F"/>
    <w:rsid w:val="3CF27E51"/>
    <w:rsid w:val="42584767"/>
    <w:rsid w:val="46142F3D"/>
    <w:rsid w:val="46A1065F"/>
    <w:rsid w:val="49AB0203"/>
    <w:rsid w:val="4D8B1C45"/>
    <w:rsid w:val="4EC2357B"/>
    <w:rsid w:val="50253947"/>
    <w:rsid w:val="528E7D93"/>
    <w:rsid w:val="53AE613E"/>
    <w:rsid w:val="53B52B8D"/>
    <w:rsid w:val="556A6BBE"/>
    <w:rsid w:val="578A2893"/>
    <w:rsid w:val="605E7EA4"/>
    <w:rsid w:val="63A34463"/>
    <w:rsid w:val="65184477"/>
    <w:rsid w:val="6C127A96"/>
    <w:rsid w:val="7355750E"/>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spacing w:before="100" w:beforeAutospacing="1" w:after="100" w:afterAutospacing="1"/>
      <w:jc w:val="left"/>
      <w:outlineLvl w:val="3"/>
    </w:pPr>
    <w:rPr>
      <w:rFonts w:hint="eastAsia" w:ascii="宋体" w:hAnsi="宋体" w:eastAsia="宋体" w:cs="宋体"/>
      <w:b/>
      <w:bCs/>
      <w:kern w:val="0"/>
      <w:sz w:val="24"/>
      <w:szCs w:val="24"/>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9">
    <w:name w:val="Strong"/>
    <w:basedOn w:val="8"/>
    <w:qFormat/>
    <w:uiPriority w:val="0"/>
    <w:rPr>
      <w:b/>
    </w:rPr>
  </w:style>
  <w:style w:type="paragraph" w:customStyle="1" w:styleId="10">
    <w:name w:val="null3"/>
    <w:hidden/>
    <w:qFormat/>
    <w:uiPriority w:val="0"/>
    <w:rPr>
      <w:rFonts w:hint="eastAsia" w:asciiTheme="minorHAnsi" w:hAnsiTheme="minorHAnsi" w:eastAsiaTheme="minorEastAsia" w:cstheme="minorBidi"/>
      <w:lang w:val="en-US" w:eastAsia="zh-Hans"/>
    </w:rPr>
  </w:style>
  <w:style w:type="character" w:customStyle="1" w:styleId="11">
    <w:name w:val="font01"/>
    <w:basedOn w:val="8"/>
    <w:qFormat/>
    <w:uiPriority w:val="0"/>
    <w:rPr>
      <w:rFonts w:hint="eastAsia" w:ascii="宋体" w:hAnsi="宋体" w:eastAsia="宋体" w:cs="宋体"/>
      <w:color w:val="000000"/>
      <w:sz w:val="24"/>
      <w:szCs w:val="24"/>
      <w:u w:val="none"/>
    </w:rPr>
  </w:style>
  <w:style w:type="character" w:customStyle="1" w:styleId="12">
    <w:name w:val="font31"/>
    <w:basedOn w:val="8"/>
    <w:qFormat/>
    <w:uiPriority w:val="0"/>
    <w:rPr>
      <w:rFonts w:hint="eastAsia" w:ascii="宋体" w:hAnsi="宋体" w:eastAsia="宋体" w:cs="宋体"/>
      <w:color w:val="FF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106</Pages>
  <Words>74560</Words>
  <Characters>78206</Characters>
  <Lines>0</Lines>
  <Paragraphs>0</Paragraphs>
  <TotalTime>0</TotalTime>
  <ScaleCrop>false</ScaleCrop>
  <LinksUpToDate>false</LinksUpToDate>
  <CharactersWithSpaces>79044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五块钱</dc:creator>
  <cp:lastModifiedBy>彡彡3344</cp:lastModifiedBy>
  <dcterms:modified xsi:type="dcterms:W3CDTF">2023-01-27T15:57:16Z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079A647151B846D1B1EEA57D3426973A</vt:lpwstr>
  </property>
</Properties>
</file>