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widowControl/>
        <w:spacing w:before="75" w:beforeAutospacing="0" w:after="75" w:afterAutospacing="0"/>
        <w:jc w:val="center"/>
        <w:rPr>
          <w:color w:val="auto"/>
          <w:highlight w:val="none"/>
        </w:rPr>
      </w:pPr>
      <w:bookmarkStart w:id="0" w:name="_GoBack"/>
      <w:r>
        <w:rPr>
          <w:rStyle w:val="24"/>
          <w:rFonts w:ascii="宋体" w:hAnsi="宋体" w:eastAsia="宋体" w:cs="宋体"/>
          <w:color w:val="auto"/>
          <w:sz w:val="72"/>
          <w:szCs w:val="72"/>
          <w:highlight w:val="none"/>
        </w:rPr>
        <w:t>福建省政府采购</w:t>
      </w:r>
    </w:p>
    <w:p>
      <w:pPr>
        <w:pStyle w:val="16"/>
        <w:widowControl/>
        <w:spacing w:before="75" w:beforeAutospacing="0" w:after="75" w:afterAutospacing="0"/>
        <w:jc w:val="center"/>
        <w:rPr>
          <w:color w:val="auto"/>
          <w:highlight w:val="none"/>
        </w:rPr>
      </w:pPr>
      <w:r>
        <w:rPr>
          <w:rStyle w:val="24"/>
          <w:rFonts w:hint="eastAsia" w:ascii="宋体" w:hAnsi="宋体" w:eastAsia="宋体" w:cs="宋体"/>
          <w:color w:val="auto"/>
          <w:sz w:val="72"/>
          <w:szCs w:val="72"/>
          <w:highlight w:val="none"/>
        </w:rPr>
        <w:t>货物和服务项目</w:t>
      </w:r>
    </w:p>
    <w:p>
      <w:pPr>
        <w:pStyle w:val="16"/>
        <w:widowControl/>
        <w:spacing w:before="75" w:beforeAutospacing="0" w:after="75" w:afterAutospacing="0"/>
        <w:jc w:val="center"/>
        <w:rPr>
          <w:rStyle w:val="24"/>
          <w:rFonts w:hint="eastAsia" w:ascii="宋体" w:hAnsi="宋体" w:eastAsia="宋体" w:cs="宋体"/>
          <w:color w:val="auto"/>
          <w:sz w:val="72"/>
          <w:szCs w:val="72"/>
          <w:highlight w:val="none"/>
        </w:rPr>
      </w:pPr>
      <w:r>
        <w:rPr>
          <w:rStyle w:val="24"/>
          <w:rFonts w:hint="eastAsia" w:ascii="宋体" w:hAnsi="宋体" w:eastAsia="宋体" w:cs="宋体"/>
          <w:color w:val="auto"/>
          <w:sz w:val="72"/>
          <w:szCs w:val="72"/>
          <w:highlight w:val="none"/>
        </w:rPr>
        <w:t>公开征集文件</w:t>
      </w:r>
    </w:p>
    <w:p>
      <w:pPr>
        <w:pStyle w:val="2"/>
        <w:rPr>
          <w:color w:val="auto"/>
        </w:rPr>
      </w:pPr>
    </w:p>
    <w:p>
      <w:pPr>
        <w:pStyle w:val="16"/>
        <w:keepNext w:val="0"/>
        <w:keepLines w:val="0"/>
        <w:widowControl/>
        <w:suppressLineNumbers w:val="0"/>
        <w:spacing w:before="60" w:beforeAutospacing="0" w:after="60" w:afterAutospacing="0"/>
        <w:ind w:left="0" w:right="0" w:firstLine="0"/>
        <w:jc w:val="center"/>
        <w:rPr>
          <w:rStyle w:val="24"/>
          <w:rFonts w:hint="default" w:ascii="宋体" w:hAnsi="宋体" w:eastAsia="宋体" w:cs="宋体"/>
          <w:color w:val="auto"/>
          <w:spacing w:val="0"/>
          <w:sz w:val="56"/>
          <w:szCs w:val="56"/>
          <w:highlight w:val="none"/>
          <w:lang w:val="en-US"/>
        </w:rPr>
      </w:pPr>
    </w:p>
    <w:p>
      <w:pPr>
        <w:pStyle w:val="16"/>
        <w:widowControl/>
        <w:spacing w:before="75" w:beforeAutospacing="0" w:after="75" w:afterAutospacing="0"/>
        <w:rPr>
          <w:color w:val="auto"/>
          <w:highlight w:val="none"/>
        </w:rPr>
      </w:pPr>
    </w:p>
    <w:p>
      <w:pPr>
        <w:pStyle w:val="16"/>
        <w:widowControl/>
        <w:spacing w:before="75" w:beforeAutospacing="0" w:after="75" w:afterAutospacing="0"/>
        <w:rPr>
          <w:color w:val="auto"/>
          <w:highlight w:val="none"/>
        </w:rPr>
      </w:pPr>
      <w:r>
        <w:rPr>
          <w:color w:val="auto"/>
          <w:highlight w:val="none"/>
        </w:rPr>
        <w:t> </w:t>
      </w:r>
    </w:p>
    <w:p>
      <w:pPr>
        <w:rPr>
          <w:color w:val="auto"/>
        </w:rPr>
      </w:pPr>
    </w:p>
    <w:p>
      <w:pPr>
        <w:pStyle w:val="16"/>
        <w:widowControl/>
        <w:spacing w:before="75" w:beforeAutospacing="0" w:after="75" w:afterAutospacing="0"/>
        <w:jc w:val="center"/>
        <w:rPr>
          <w:color w:val="auto"/>
          <w:highlight w:val="none"/>
        </w:rPr>
      </w:pPr>
      <w:r>
        <w:rPr>
          <w:rStyle w:val="24"/>
          <w:rFonts w:hint="eastAsia" w:ascii="宋体" w:hAnsi="宋体" w:eastAsia="宋体" w:cs="宋体"/>
          <w:color w:val="auto"/>
          <w:sz w:val="36"/>
          <w:szCs w:val="36"/>
          <w:highlight w:val="none"/>
        </w:rPr>
        <w:t> </w:t>
      </w:r>
    </w:p>
    <w:p>
      <w:pPr>
        <w:pStyle w:val="16"/>
        <w:widowControl/>
        <w:spacing w:before="75" w:beforeAutospacing="0" w:after="75" w:afterAutospacing="0"/>
        <w:jc w:val="center"/>
        <w:rPr>
          <w:color w:val="auto"/>
          <w:highlight w:val="none"/>
        </w:rPr>
      </w:pPr>
      <w:r>
        <w:rPr>
          <w:rStyle w:val="24"/>
          <w:rFonts w:hint="eastAsia" w:ascii="宋体" w:hAnsi="宋体" w:eastAsia="宋体" w:cs="宋体"/>
          <w:color w:val="auto"/>
          <w:sz w:val="30"/>
          <w:szCs w:val="30"/>
          <w:highlight w:val="none"/>
        </w:rPr>
        <w:t> </w:t>
      </w:r>
    </w:p>
    <w:p>
      <w:pPr>
        <w:pStyle w:val="16"/>
        <w:widowControl/>
        <w:spacing w:before="75" w:beforeAutospacing="0" w:after="75" w:afterAutospacing="0"/>
        <w:ind w:firstLine="1807" w:firstLineChars="600"/>
        <w:rPr>
          <w:rFonts w:hint="eastAsia" w:eastAsia="宋体"/>
          <w:color w:val="auto"/>
          <w:w w:val="90"/>
          <w:highlight w:val="none"/>
          <w:lang w:eastAsia="zh-CN"/>
        </w:rPr>
      </w:pPr>
      <w:r>
        <w:rPr>
          <w:rStyle w:val="24"/>
          <w:rFonts w:hint="eastAsia" w:ascii="宋体" w:hAnsi="宋体" w:eastAsia="宋体" w:cs="宋体"/>
          <w:color w:val="auto"/>
          <w:sz w:val="30"/>
          <w:szCs w:val="30"/>
          <w:highlight w:val="none"/>
        </w:rPr>
        <w:t>项目名称：</w:t>
      </w:r>
      <w:r>
        <w:rPr>
          <w:rFonts w:hint="eastAsia" w:ascii="宋体" w:hAnsi="宋体" w:eastAsia="宋体" w:cs="宋体"/>
          <w:b/>
          <w:bCs/>
          <w:color w:val="auto"/>
          <w:w w:val="90"/>
          <w:sz w:val="30"/>
          <w:szCs w:val="30"/>
          <w:highlight w:val="none"/>
          <w:lang w:eastAsia="zh-CN"/>
        </w:rPr>
        <w:t>2023-2024年党政机关会议定点场所采购项目</w:t>
      </w:r>
    </w:p>
    <w:p>
      <w:pPr>
        <w:pStyle w:val="16"/>
        <w:widowControl/>
        <w:spacing w:before="75" w:beforeAutospacing="0" w:after="75" w:afterAutospacing="0"/>
        <w:rPr>
          <w:color w:val="auto"/>
          <w:highlight w:val="none"/>
        </w:rPr>
      </w:pPr>
      <w:r>
        <w:rPr>
          <w:color w:val="auto"/>
          <w:highlight w:val="none"/>
        </w:rPr>
        <w:t> </w:t>
      </w:r>
    </w:p>
    <w:p>
      <w:pPr>
        <w:pStyle w:val="16"/>
        <w:widowControl/>
        <w:spacing w:before="75" w:beforeAutospacing="0" w:after="75" w:afterAutospacing="0"/>
        <w:ind w:firstLine="1807" w:firstLineChars="600"/>
        <w:rPr>
          <w:rFonts w:hint="eastAsia" w:eastAsia="宋体"/>
          <w:color w:val="auto"/>
          <w:highlight w:val="none"/>
          <w:lang w:eastAsia="zh-CN"/>
        </w:rPr>
      </w:pPr>
      <w:r>
        <w:rPr>
          <w:rStyle w:val="24"/>
          <w:rFonts w:hint="eastAsia" w:ascii="宋体" w:hAnsi="宋体" w:eastAsia="宋体" w:cs="宋体"/>
          <w:color w:val="auto"/>
          <w:sz w:val="30"/>
          <w:szCs w:val="30"/>
          <w:highlight w:val="none"/>
        </w:rPr>
        <w:t>备案编号：A8-FQSCZJ-GK-202212-B2870-FJKT</w:t>
      </w:r>
      <w:r>
        <w:rPr>
          <w:rStyle w:val="24"/>
          <w:rFonts w:hint="eastAsia" w:ascii="宋体" w:hAnsi="宋体" w:eastAsia="宋体" w:cs="宋体"/>
          <w:color w:val="auto"/>
          <w:sz w:val="30"/>
          <w:szCs w:val="30"/>
          <w:highlight w:val="none"/>
          <w:lang w:eastAsia="zh-CN"/>
        </w:rPr>
        <w:t xml:space="preserve"> </w:t>
      </w:r>
    </w:p>
    <w:p>
      <w:pPr>
        <w:pStyle w:val="16"/>
        <w:widowControl/>
        <w:spacing w:before="75" w:beforeAutospacing="0" w:after="75" w:afterAutospacing="0"/>
        <w:rPr>
          <w:color w:val="auto"/>
          <w:highlight w:val="none"/>
        </w:rPr>
      </w:pPr>
      <w:r>
        <w:rPr>
          <w:color w:val="auto"/>
          <w:highlight w:val="none"/>
        </w:rPr>
        <w:t> </w:t>
      </w:r>
    </w:p>
    <w:p>
      <w:pPr>
        <w:pStyle w:val="16"/>
        <w:widowControl/>
        <w:spacing w:before="75" w:beforeAutospacing="0" w:after="75" w:afterAutospacing="0"/>
        <w:ind w:firstLine="1807" w:firstLineChars="600"/>
        <w:rPr>
          <w:rStyle w:val="24"/>
          <w:rFonts w:ascii="宋体" w:hAnsi="宋体" w:eastAsia="宋体" w:cs="宋体"/>
          <w:color w:val="auto"/>
          <w:sz w:val="30"/>
          <w:szCs w:val="30"/>
          <w:highlight w:val="none"/>
        </w:rPr>
      </w:pPr>
      <w:r>
        <w:rPr>
          <w:rStyle w:val="24"/>
          <w:rFonts w:hint="eastAsia" w:ascii="宋体" w:hAnsi="宋体" w:eastAsia="宋体" w:cs="宋体"/>
          <w:color w:val="auto"/>
          <w:sz w:val="30"/>
          <w:szCs w:val="30"/>
          <w:highlight w:val="none"/>
        </w:rPr>
        <w:t>项目编号：[350181]FJKT[GK]2022032</w:t>
      </w:r>
      <w:r>
        <w:rPr>
          <w:rStyle w:val="24"/>
          <w:rFonts w:hint="eastAsia" w:ascii="宋体" w:hAnsi="宋体" w:eastAsia="宋体" w:cs="宋体"/>
          <w:color w:val="auto"/>
          <w:sz w:val="30"/>
          <w:szCs w:val="30"/>
          <w:highlight w:val="none"/>
          <w:lang w:eastAsia="zh-CN"/>
        </w:rPr>
        <w:t xml:space="preserve"> </w:t>
      </w:r>
      <w:r>
        <w:rPr>
          <w:rStyle w:val="24"/>
          <w:rFonts w:hint="eastAsia" w:ascii="宋体" w:hAnsi="宋体" w:eastAsia="宋体" w:cs="宋体"/>
          <w:color w:val="auto"/>
          <w:sz w:val="30"/>
          <w:szCs w:val="30"/>
          <w:highlight w:val="none"/>
        </w:rPr>
        <w:t xml:space="preserve"> </w:t>
      </w:r>
    </w:p>
    <w:p>
      <w:pPr>
        <w:pStyle w:val="16"/>
        <w:widowControl/>
        <w:spacing w:before="75" w:beforeAutospacing="0" w:after="75" w:afterAutospacing="0"/>
        <w:ind w:firstLine="1050"/>
        <w:rPr>
          <w:color w:val="auto"/>
          <w:highlight w:val="none"/>
        </w:rPr>
      </w:pPr>
      <w:r>
        <w:rPr>
          <w:rStyle w:val="24"/>
          <w:rFonts w:hint="eastAsia" w:ascii="宋体" w:hAnsi="宋体" w:eastAsia="宋体" w:cs="宋体"/>
          <w:color w:val="auto"/>
          <w:sz w:val="30"/>
          <w:szCs w:val="30"/>
          <w:highlight w:val="none"/>
        </w:rPr>
        <w:t>                   </w:t>
      </w:r>
    </w:p>
    <w:p>
      <w:pPr>
        <w:pStyle w:val="16"/>
        <w:widowControl/>
        <w:spacing w:before="75" w:beforeAutospacing="0" w:after="75" w:afterAutospacing="0"/>
        <w:rPr>
          <w:color w:val="auto"/>
          <w:highlight w:val="none"/>
        </w:rPr>
      </w:pPr>
      <w:r>
        <w:rPr>
          <w:rStyle w:val="24"/>
          <w:rFonts w:hint="eastAsia" w:ascii="宋体" w:hAnsi="宋体" w:eastAsia="宋体" w:cs="宋体"/>
          <w:color w:val="auto"/>
          <w:sz w:val="28"/>
          <w:szCs w:val="28"/>
          <w:highlight w:val="none"/>
        </w:rPr>
        <w:t> </w:t>
      </w:r>
      <w:r>
        <w:rPr>
          <w:rFonts w:ascii="宋体" w:hAnsi="宋体" w:eastAsia="宋体" w:cs="宋体"/>
          <w:color w:val="auto"/>
          <w:kern w:val="0"/>
          <w:sz w:val="24"/>
          <w:highlight w:val="none"/>
        </w:rPr>
        <w:t> </w:t>
      </w:r>
    </w:p>
    <w:p>
      <w:pPr>
        <w:pStyle w:val="16"/>
        <w:widowControl/>
        <w:spacing w:before="75" w:beforeAutospacing="0" w:after="75" w:afterAutospacing="0"/>
        <w:rPr>
          <w:color w:val="auto"/>
          <w:highlight w:val="none"/>
        </w:rPr>
      </w:pPr>
      <w:r>
        <w:rPr>
          <w:color w:val="auto"/>
          <w:highlight w:val="none"/>
        </w:rPr>
        <w:t>                                                         </w:t>
      </w:r>
    </w:p>
    <w:p>
      <w:pPr>
        <w:rPr>
          <w:color w:val="auto"/>
          <w:highlight w:val="none"/>
        </w:rPr>
      </w:pPr>
    </w:p>
    <w:p>
      <w:pPr>
        <w:pStyle w:val="16"/>
        <w:widowControl/>
        <w:spacing w:before="75" w:beforeAutospacing="0" w:after="75" w:afterAutospacing="0"/>
        <w:rPr>
          <w:color w:val="auto"/>
          <w:highlight w:val="none"/>
        </w:rPr>
      </w:pPr>
    </w:p>
    <w:p>
      <w:pPr>
        <w:pStyle w:val="16"/>
        <w:widowControl/>
        <w:spacing w:before="75" w:beforeAutospacing="0" w:after="75" w:afterAutospacing="0"/>
        <w:jc w:val="center"/>
        <w:rPr>
          <w:rFonts w:hint="eastAsia" w:eastAsiaTheme="minorEastAsia"/>
          <w:b/>
          <w:bCs/>
          <w:color w:val="auto"/>
          <w:highlight w:val="none"/>
          <w:lang w:eastAsia="zh-CN"/>
        </w:rPr>
      </w:pPr>
      <w:r>
        <w:rPr>
          <w:rStyle w:val="24"/>
          <w:rFonts w:hint="eastAsia" w:ascii="宋体" w:hAnsi="宋体" w:eastAsia="宋体" w:cs="宋体"/>
          <w:b/>
          <w:bCs/>
          <w:color w:val="auto"/>
          <w:sz w:val="27"/>
          <w:szCs w:val="27"/>
          <w:highlight w:val="none"/>
        </w:rPr>
        <w:t>征集人：</w:t>
      </w:r>
      <w:r>
        <w:rPr>
          <w:b/>
          <w:bCs/>
          <w:color w:val="auto"/>
          <w:sz w:val="27"/>
          <w:szCs w:val="27"/>
          <w:highlight w:val="none"/>
        </w:rPr>
        <w:t> </w:t>
      </w:r>
      <w:r>
        <w:rPr>
          <w:rFonts w:hint="eastAsia" w:ascii="宋体" w:hAnsi="宋体" w:eastAsia="宋体" w:cs="宋体"/>
          <w:b/>
          <w:bCs/>
          <w:color w:val="auto"/>
          <w:sz w:val="28"/>
          <w:szCs w:val="28"/>
          <w:highlight w:val="none"/>
          <w:lang w:eastAsia="zh-CN"/>
        </w:rPr>
        <w:t>福清市财政局</w:t>
      </w:r>
    </w:p>
    <w:p>
      <w:pPr>
        <w:pStyle w:val="16"/>
        <w:widowControl/>
        <w:spacing w:before="75" w:beforeAutospacing="0" w:after="75" w:afterAutospacing="0"/>
        <w:jc w:val="center"/>
        <w:rPr>
          <w:rStyle w:val="24"/>
          <w:rFonts w:hint="eastAsia" w:ascii="宋体" w:hAnsi="宋体" w:eastAsia="宋体" w:cs="宋体"/>
          <w:b/>
          <w:bCs/>
          <w:color w:val="auto"/>
          <w:sz w:val="28"/>
          <w:szCs w:val="28"/>
          <w:highlight w:val="none"/>
        </w:rPr>
      </w:pPr>
    </w:p>
    <w:p>
      <w:pPr>
        <w:pStyle w:val="16"/>
        <w:widowControl/>
        <w:spacing w:before="75" w:beforeAutospacing="0" w:after="75" w:afterAutospacing="0"/>
        <w:jc w:val="center"/>
        <w:rPr>
          <w:rFonts w:hint="eastAsia" w:eastAsia="宋体"/>
          <w:b/>
          <w:bCs/>
          <w:color w:val="auto"/>
          <w:highlight w:val="none"/>
          <w:lang w:eastAsia="zh-CN"/>
        </w:rPr>
      </w:pPr>
      <w:r>
        <w:rPr>
          <w:rStyle w:val="24"/>
          <w:rFonts w:hint="eastAsia" w:ascii="宋体" w:hAnsi="宋体" w:eastAsia="宋体" w:cs="宋体"/>
          <w:b/>
          <w:bCs/>
          <w:color w:val="auto"/>
          <w:sz w:val="28"/>
          <w:szCs w:val="28"/>
          <w:highlight w:val="none"/>
        </w:rPr>
        <w:t>代理机构：</w:t>
      </w:r>
      <w:r>
        <w:rPr>
          <w:rFonts w:hint="eastAsia" w:ascii="宋体" w:hAnsi="宋体" w:eastAsia="宋体" w:cs="宋体"/>
          <w:b/>
          <w:bCs/>
          <w:color w:val="auto"/>
          <w:sz w:val="28"/>
          <w:szCs w:val="28"/>
          <w:highlight w:val="none"/>
          <w:lang w:eastAsia="zh-CN"/>
        </w:rPr>
        <w:t>福建康泰招标有限公司</w:t>
      </w:r>
    </w:p>
    <w:p>
      <w:pPr>
        <w:pStyle w:val="16"/>
        <w:widowControl/>
        <w:spacing w:before="75" w:beforeAutospacing="0" w:after="75" w:afterAutospacing="0"/>
        <w:jc w:val="center"/>
        <w:rPr>
          <w:color w:val="auto"/>
          <w:highlight w:val="none"/>
        </w:rPr>
      </w:pPr>
    </w:p>
    <w:p>
      <w:pPr>
        <w:rPr>
          <w:color w:val="auto"/>
          <w:highlight w:val="none"/>
        </w:rPr>
      </w:pPr>
    </w:p>
    <w:p>
      <w:pPr>
        <w:rPr>
          <w:color w:val="auto"/>
          <w:highlight w:val="none"/>
        </w:rPr>
      </w:pPr>
    </w:p>
    <w:p>
      <w:pPr>
        <w:pStyle w:val="16"/>
        <w:widowControl/>
        <w:spacing w:before="75" w:beforeAutospacing="0" w:after="75" w:afterAutospacing="0" w:line="360" w:lineRule="atLeast"/>
        <w:ind w:right="720"/>
        <w:jc w:val="center"/>
        <w:rPr>
          <w:rStyle w:val="24"/>
          <w:rFonts w:hint="eastAsia" w:ascii="宋体" w:hAnsi="宋体" w:eastAsia="宋体" w:cs="宋体"/>
          <w:color w:val="auto"/>
          <w:sz w:val="28"/>
          <w:szCs w:val="28"/>
          <w:highlight w:val="none"/>
        </w:rPr>
      </w:pPr>
      <w:r>
        <w:rPr>
          <w:rStyle w:val="24"/>
          <w:rFonts w:hint="eastAsia" w:ascii="宋体" w:hAnsi="宋体" w:eastAsia="宋体" w:cs="宋体"/>
          <w:color w:val="auto"/>
          <w:sz w:val="28"/>
          <w:szCs w:val="28"/>
          <w:highlight w:val="none"/>
        </w:rPr>
        <w:t>202</w:t>
      </w:r>
      <w:r>
        <w:rPr>
          <w:rStyle w:val="24"/>
          <w:rFonts w:hint="eastAsia" w:ascii="宋体" w:hAnsi="宋体" w:eastAsia="宋体" w:cs="宋体"/>
          <w:color w:val="auto"/>
          <w:sz w:val="28"/>
          <w:szCs w:val="28"/>
          <w:highlight w:val="none"/>
          <w:lang w:val="en-US" w:eastAsia="zh-CN"/>
        </w:rPr>
        <w:t>3</w:t>
      </w:r>
      <w:r>
        <w:rPr>
          <w:rStyle w:val="24"/>
          <w:rFonts w:hint="eastAsia" w:ascii="宋体" w:hAnsi="宋体" w:eastAsia="宋体" w:cs="宋体"/>
          <w:color w:val="auto"/>
          <w:sz w:val="28"/>
          <w:szCs w:val="28"/>
          <w:highlight w:val="none"/>
        </w:rPr>
        <w:t>年</w:t>
      </w:r>
      <w:r>
        <w:rPr>
          <w:rStyle w:val="24"/>
          <w:rFonts w:hint="eastAsia" w:ascii="宋体" w:hAnsi="宋体" w:eastAsia="宋体" w:cs="宋体"/>
          <w:color w:val="auto"/>
          <w:sz w:val="28"/>
          <w:szCs w:val="28"/>
          <w:highlight w:val="none"/>
          <w:lang w:val="en-US" w:eastAsia="zh-CN"/>
        </w:rPr>
        <w:t>1</w:t>
      </w:r>
      <w:r>
        <w:rPr>
          <w:rStyle w:val="24"/>
          <w:rFonts w:hint="eastAsia" w:ascii="宋体" w:hAnsi="宋体" w:eastAsia="宋体" w:cs="宋体"/>
          <w:color w:val="auto"/>
          <w:sz w:val="28"/>
          <w:szCs w:val="28"/>
          <w:highlight w:val="none"/>
        </w:rPr>
        <w:t>月</w:t>
      </w:r>
    </w:p>
    <w:p>
      <w:pPr>
        <w:rPr>
          <w:color w:val="auto"/>
        </w:rPr>
      </w:pPr>
    </w:p>
    <w:p>
      <w:pPr>
        <w:pStyle w:val="16"/>
        <w:widowControl/>
        <w:spacing w:before="75" w:beforeAutospacing="0" w:after="75" w:afterAutospacing="0"/>
        <w:jc w:val="center"/>
        <w:rPr>
          <w:rStyle w:val="24"/>
          <w:rFonts w:hint="eastAsia" w:ascii="宋体" w:hAnsi="宋体" w:eastAsia="宋体" w:cs="宋体"/>
          <w:color w:val="auto"/>
          <w:sz w:val="31"/>
          <w:szCs w:val="31"/>
          <w:highlight w:val="none"/>
        </w:rPr>
      </w:pPr>
      <w:r>
        <w:rPr>
          <w:rStyle w:val="24"/>
          <w:rFonts w:hint="eastAsia" w:ascii="宋体" w:hAnsi="宋体" w:eastAsia="宋体" w:cs="宋体"/>
          <w:color w:val="auto"/>
          <w:sz w:val="31"/>
          <w:szCs w:val="31"/>
          <w:highlight w:val="none"/>
        </w:rPr>
        <w:t>第一章</w:t>
      </w:r>
      <w:r>
        <w:rPr>
          <w:rStyle w:val="24"/>
          <w:color w:val="auto"/>
          <w:sz w:val="31"/>
          <w:szCs w:val="31"/>
          <w:highlight w:val="none"/>
        </w:rPr>
        <w:t>   </w:t>
      </w:r>
      <w:r>
        <w:rPr>
          <w:rStyle w:val="24"/>
          <w:rFonts w:hint="eastAsia" w:ascii="宋体" w:hAnsi="宋体" w:eastAsia="宋体" w:cs="宋体"/>
          <w:color w:val="auto"/>
          <w:sz w:val="31"/>
          <w:szCs w:val="31"/>
          <w:highlight w:val="none"/>
        </w:rPr>
        <w:t>征集邀请</w:t>
      </w:r>
    </w:p>
    <w:p>
      <w:pPr>
        <w:rPr>
          <w:color w:val="auto"/>
          <w:highlight w:val="none"/>
        </w:rPr>
      </w:pP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采用</w:t>
      </w:r>
      <w:r>
        <w:rPr>
          <w:rFonts w:hint="eastAsia" w:ascii="宋体" w:hAnsi="宋体" w:eastAsia="宋体" w:cs="宋体"/>
          <w:color w:val="auto"/>
          <w:highlight w:val="none"/>
          <w:u w:val="single"/>
        </w:rPr>
        <w:t>框架协议采购方式</w:t>
      </w:r>
      <w:r>
        <w:rPr>
          <w:rFonts w:hint="eastAsia" w:ascii="宋体" w:hAnsi="宋体" w:eastAsia="宋体" w:cs="宋体"/>
          <w:color w:val="auto"/>
          <w:highlight w:val="none"/>
        </w:rPr>
        <w:t>组织</w:t>
      </w:r>
      <w:r>
        <w:rPr>
          <w:rFonts w:hint="eastAsia" w:ascii="宋体" w:hAnsi="宋体" w:eastAsia="宋体" w:cs="宋体"/>
          <w:color w:val="auto"/>
          <w:highlight w:val="none"/>
          <w:lang w:eastAsia="zh-CN"/>
        </w:rPr>
        <w:t>2023-2024年党政机关会议定点场所采购项目</w:t>
      </w:r>
      <w:r>
        <w:rPr>
          <w:rFonts w:hint="eastAsia" w:ascii="宋体" w:hAnsi="宋体" w:eastAsia="宋体" w:cs="宋体"/>
          <w:color w:val="auto"/>
          <w:highlight w:val="none"/>
        </w:rPr>
        <w:t>（以下简称：“本项目”）的政府采购活动，现邀请供应商提交响应文件。</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1、备案编号：A8-FQSCZJ-GK-202212-B2870-FJKT。</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2、项目编号：</w:t>
      </w:r>
      <w:r>
        <w:rPr>
          <w:rFonts w:hint="eastAsia" w:ascii="宋体" w:hAnsi="宋体" w:eastAsia="宋体" w:cs="宋体"/>
          <w:color w:val="auto"/>
          <w:highlight w:val="none"/>
          <w:lang w:eastAsia="zh-CN"/>
        </w:rPr>
        <w:t>[350181]FJKT[GK]2022032</w:t>
      </w:r>
      <w:r>
        <w:rPr>
          <w:rFonts w:hint="eastAsia" w:ascii="宋体" w:hAnsi="宋体" w:eastAsia="宋体" w:cs="宋体"/>
          <w:color w:val="auto"/>
          <w:highlight w:val="none"/>
        </w:rPr>
        <w:t>。</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3、征集内容及要求：详见《采购标的一览表》及征集文件第五章。</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4、需要落实的政府采购政策： 进口产品，不适用于本项目。节能产品、环境标志产品、信息安全产品按本</w:t>
      </w:r>
      <w:r>
        <w:rPr>
          <w:rFonts w:hint="eastAsia" w:ascii="宋体" w:hAnsi="宋体" w:eastAsia="宋体" w:cs="宋体"/>
          <w:color w:val="auto"/>
          <w:highlight w:val="none"/>
          <w:lang w:eastAsia="zh-CN"/>
        </w:rPr>
        <w:t>征集文件</w:t>
      </w:r>
      <w:r>
        <w:rPr>
          <w:rFonts w:hint="eastAsia" w:ascii="宋体" w:hAnsi="宋体" w:eastAsia="宋体" w:cs="宋体"/>
          <w:color w:val="auto"/>
          <w:highlight w:val="none"/>
        </w:rPr>
        <w:t>规定执行。小型、微型企业、监狱企业按本</w:t>
      </w:r>
      <w:r>
        <w:rPr>
          <w:rFonts w:hint="eastAsia" w:ascii="宋体" w:hAnsi="宋体" w:eastAsia="宋体" w:cs="宋体"/>
          <w:color w:val="auto"/>
          <w:highlight w:val="none"/>
          <w:lang w:eastAsia="zh-CN"/>
        </w:rPr>
        <w:t>征集文件</w:t>
      </w:r>
      <w:r>
        <w:rPr>
          <w:rFonts w:hint="eastAsia" w:ascii="宋体" w:hAnsi="宋体" w:eastAsia="宋体" w:cs="宋体"/>
          <w:color w:val="auto"/>
          <w:highlight w:val="none"/>
        </w:rPr>
        <w:t>规定执行。（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必须提供由省级以上监狱管理局、戒毒管理局(含新疆生产建设兵团)出具的属于监狱企业的证明文件，否则评审时不予价格扣除优惠）。根据财库〔2017〕141号规定，符合条件的残疾人福利性单位在参加政府采购活动时，视同小型、微型企业，享受促进中小企业发展的政府采购政策，残疾人福利性单位须在</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中提供《残疾人福利性单位声明函》，否则不予认定。信用记录，（1）按照下列规定执行：（根据财库〔2016〕125号文件规定，供应商不得被列入失信被执行人、重大税收违法案件当事人名单、政府采购严重违法失信行为记录名单，</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针对“信用记录查询结果”可自主提供证明材料，未提供该证明材料的不视为</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无效。（2）查询结果的审查：①由资格审查小组通过上述网站查询并打印</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信用记录（以下简称：“资格审查小组的查询结果”）。②</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提供的查询结果与资格审查小组的查询结果不一致的，以资格审查小组的查询结果为准。③因上述网站原因导致资格审查小组无法查询</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信用记录的（资格审查小组应将通过上述网站查询</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信用记录时的原始页面打印后随</w:t>
      </w:r>
      <w:r>
        <w:rPr>
          <w:rFonts w:hint="eastAsia" w:ascii="宋体" w:hAnsi="宋体" w:eastAsia="宋体" w:cs="宋体"/>
          <w:color w:val="auto"/>
          <w:highlight w:val="none"/>
          <w:lang w:eastAsia="zh-CN"/>
        </w:rPr>
        <w:t>征集文件</w:t>
      </w:r>
      <w:r>
        <w:rPr>
          <w:rFonts w:hint="eastAsia" w:ascii="宋体" w:hAnsi="宋体" w:eastAsia="宋体" w:cs="宋体"/>
          <w:color w:val="auto"/>
          <w:highlight w:val="none"/>
        </w:rPr>
        <w:t>一并存档），视为查询结果未存在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应被拒绝参与政府采购活动相关的信息。④查询结果存在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应被拒绝参与政府采购活动相关信息的，其资格审查不合格。（3）若此项规定与</w:t>
      </w:r>
      <w:r>
        <w:rPr>
          <w:rFonts w:hint="eastAsia" w:ascii="宋体" w:hAnsi="宋体" w:eastAsia="宋体" w:cs="宋体"/>
          <w:color w:val="auto"/>
          <w:highlight w:val="none"/>
          <w:lang w:eastAsia="zh-CN"/>
        </w:rPr>
        <w:t>征集文件</w:t>
      </w:r>
      <w:r>
        <w:rPr>
          <w:rFonts w:hint="eastAsia" w:ascii="宋体" w:hAnsi="宋体" w:eastAsia="宋体" w:cs="宋体"/>
          <w:color w:val="auto"/>
          <w:highlight w:val="none"/>
        </w:rPr>
        <w:t>其他部分有矛盾的，以此项规定为准。</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5、供应商的资格要求</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5.1法定条件：符合政府采购法第二十二条第一款规定的条件。</w:t>
      </w:r>
    </w:p>
    <w:p>
      <w:pPr>
        <w:pStyle w:val="16"/>
        <w:widowControl/>
        <w:spacing w:before="75" w:beforeAutospacing="0" w:after="75" w:afterAutospacing="0"/>
        <w:ind w:firstLine="480"/>
        <w:rPr>
          <w:rFonts w:ascii="宋体" w:hAnsi="宋体" w:eastAsia="宋体" w:cs="宋体"/>
          <w:color w:val="auto"/>
          <w:highlight w:val="none"/>
        </w:rPr>
      </w:pPr>
      <w:r>
        <w:rPr>
          <w:rFonts w:hint="eastAsia" w:ascii="宋体" w:hAnsi="宋体" w:eastAsia="宋体" w:cs="宋体"/>
          <w:color w:val="auto"/>
          <w:highlight w:val="none"/>
        </w:rPr>
        <w:t>5.2特定条件：</w:t>
      </w:r>
    </w:p>
    <w:p>
      <w:pPr>
        <w:pStyle w:val="16"/>
        <w:widowControl/>
        <w:spacing w:before="75" w:beforeAutospacing="0" w:after="75" w:afterAutospacing="0"/>
        <w:ind w:firstLine="480"/>
        <w:rPr>
          <w:rFonts w:ascii="宋体" w:hAnsi="宋体" w:eastAsia="宋体" w:cs="宋体"/>
          <w:color w:val="auto"/>
          <w:highlight w:val="none"/>
        </w:rPr>
      </w:pPr>
      <w:r>
        <w:rPr>
          <w:rStyle w:val="24"/>
          <w:rFonts w:ascii="宋体" w:hAnsi="宋体" w:eastAsia="宋体" w:cs="宋体"/>
          <w:color w:val="auto"/>
          <w:highlight w:val="none"/>
        </w:rPr>
        <w:t>包：1</w:t>
      </w:r>
    </w:p>
    <w:tbl>
      <w:tblPr>
        <w:tblStyle w:val="20"/>
        <w:tblW w:w="500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061"/>
        <w:gridCol w:w="496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blHeader/>
        </w:trPr>
        <w:tc>
          <w:tcPr>
            <w:tcW w:w="2249"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color w:val="auto"/>
                <w:highlight w:val="none"/>
              </w:rPr>
            </w:pPr>
            <w:r>
              <w:rPr>
                <w:rFonts w:ascii="宋体" w:hAnsi="宋体" w:eastAsia="宋体" w:cs="宋体"/>
                <w:b/>
                <w:bCs/>
                <w:color w:val="auto"/>
                <w:kern w:val="0"/>
                <w:sz w:val="24"/>
                <w:szCs w:val="24"/>
                <w:highlight w:val="none"/>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color w:val="auto"/>
                <w:highlight w:val="none"/>
              </w:rPr>
            </w:pPr>
            <w:r>
              <w:rPr>
                <w:rFonts w:ascii="宋体" w:hAnsi="宋体" w:eastAsia="宋体" w:cs="宋体"/>
                <w:b/>
                <w:bCs/>
                <w:color w:val="auto"/>
                <w:kern w:val="0"/>
                <w:sz w:val="24"/>
                <w:szCs w:val="24"/>
                <w:highlight w:val="none"/>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简化资格证明材料（若有）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根据《福州市财政局关于进一步推进政府采购领域优化营商环境工作的通知 》（榕财采[2021]52号）规定，供应商在投标（响应）时，按照规定提供相关承诺函（详见采购文件相关附件“资格承诺函”）的，无需再提交财务状况、缴纳税收和社保资金缴纳等证明材料。【注意事项：采购人有权在签订合同前要求中标供应商提供相关证明材料以核实中标供应商承诺事项的真实性。供应商应当遵循诚实守信的原则，不得作出虚假</w:t>
            </w: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承诺，承诺不实的，属于提供虚假材料谋取中标、成交，依法追究相关的法律责任。】</w:t>
            </w:r>
          </w:p>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供应商可自行选择是否提供本承诺函，若不提供本承诺函的，应按征集文件要求提供相应的证明材料。供应商可删减承诺事项（例：如删去承诺第1项的，则应按征集文件要求提供财务状况报告。）征集文件其他地方要求与本条款要求不一致的，以本条款要求为准。</w:t>
            </w:r>
          </w:p>
        </w:tc>
      </w:tr>
    </w:tbl>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5.3是否接受联合体参与征集活动：不接受。</w:t>
      </w:r>
    </w:p>
    <w:p>
      <w:pPr>
        <w:pStyle w:val="16"/>
        <w:widowControl/>
        <w:spacing w:before="75" w:beforeAutospacing="0" w:after="75" w:afterAutospacing="0"/>
        <w:ind w:firstLine="480"/>
        <w:rPr>
          <w:color w:val="auto"/>
          <w:highlight w:val="none"/>
        </w:rPr>
      </w:pPr>
      <w:r>
        <w:rPr>
          <w:rStyle w:val="24"/>
          <w:rFonts w:hint="eastAsia" w:ascii="宋体" w:hAnsi="宋体" w:eastAsia="宋体" w:cs="宋体"/>
          <w:color w:val="auto"/>
          <w:highlight w:val="none"/>
        </w:rPr>
        <w:t>※根据上述资格要求，响应文件中应提交的“供应商的资格及资信证明文件”详见征集文件第四章。</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6、</w:t>
      </w:r>
      <w:r>
        <w:rPr>
          <w:rFonts w:hint="eastAsia"/>
          <w:color w:val="auto"/>
          <w:highlight w:val="none"/>
        </w:rPr>
        <w:t>征集文件的获取</w:t>
      </w:r>
    </w:p>
    <w:p>
      <w:pPr>
        <w:pStyle w:val="16"/>
        <w:widowControl/>
        <w:spacing w:before="75" w:beforeAutospacing="0" w:after="75" w:afterAutospacing="0"/>
        <w:ind w:firstLine="480"/>
        <w:rPr>
          <w:rFonts w:hint="eastAsia" w:asciiTheme="minorEastAsia" w:hAnsiTheme="minorEastAsia" w:eastAsiaTheme="minorEastAsia" w:cstheme="minorEastAsia"/>
          <w:color w:val="auto"/>
          <w:highlight w:val="none"/>
        </w:rPr>
      </w:pPr>
      <w:r>
        <w:rPr>
          <w:rFonts w:hint="eastAsia" w:ascii="宋体" w:hAnsi="宋体" w:eastAsia="宋体" w:cs="宋体"/>
          <w:color w:val="auto"/>
          <w:highlight w:val="none"/>
        </w:rPr>
        <w:t>6.1</w:t>
      </w:r>
      <w:r>
        <w:rPr>
          <w:rFonts w:hint="eastAsia"/>
          <w:color w:val="auto"/>
          <w:highlight w:val="none"/>
        </w:rPr>
        <w:t>征集文件获取</w:t>
      </w:r>
      <w:r>
        <w:rPr>
          <w:rFonts w:hint="eastAsia"/>
          <w:color w:val="auto"/>
          <w:highlight w:val="none"/>
          <w:lang w:val="en-US" w:eastAsia="zh-CN"/>
        </w:rPr>
        <w:t>期限</w:t>
      </w:r>
      <w:r>
        <w:rPr>
          <w:rFonts w:hint="eastAsia" w:ascii="宋体" w:hAnsi="宋体" w:eastAsia="宋体" w:cs="宋体"/>
          <w:color w:val="auto"/>
          <w:highlight w:val="none"/>
          <w:lang w:val="en-US" w:eastAsia="zh-CN"/>
        </w:rPr>
        <w:t>：</w:t>
      </w:r>
      <w:r>
        <w:rPr>
          <w:rFonts w:hint="eastAsia" w:asciiTheme="minorEastAsia" w:hAnsiTheme="minorEastAsia" w:eastAsiaTheme="minorEastAsia" w:cstheme="minorEastAsia"/>
          <w:color w:val="auto"/>
          <w:highlight w:val="none"/>
        </w:rPr>
        <w:t xml:space="preserve">2023年 </w:t>
      </w:r>
      <w:r>
        <w:rPr>
          <w:rFonts w:hint="eastAsia" w:asciiTheme="minorEastAsia" w:hAnsi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 xml:space="preserve"> 月 </w:t>
      </w:r>
      <w:r>
        <w:rPr>
          <w:rFonts w:hint="eastAsia" w:asciiTheme="minorEastAsia" w:hAnsiTheme="minorEastAsia" w:cstheme="minorEastAsia"/>
          <w:color w:val="auto"/>
          <w:highlight w:val="none"/>
          <w:lang w:val="en-US" w:eastAsia="zh-CN"/>
        </w:rPr>
        <w:t>28</w:t>
      </w:r>
      <w:r>
        <w:rPr>
          <w:rFonts w:hint="eastAsia" w:asciiTheme="minorEastAsia" w:hAnsiTheme="minorEastAsia" w:eastAsiaTheme="minorEastAsia" w:cstheme="minorEastAsia"/>
          <w:color w:val="auto"/>
          <w:highlight w:val="none"/>
        </w:rPr>
        <w:t xml:space="preserve"> 日至2023年 </w:t>
      </w:r>
      <w:r>
        <w:rPr>
          <w:rFonts w:hint="eastAsia" w:asciiTheme="minorEastAsia" w:hAnsi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 xml:space="preserve"> 月 </w:t>
      </w:r>
      <w:r>
        <w:rPr>
          <w:rFonts w:hint="eastAsia" w:asciiTheme="minorEastAsia" w:hAnsi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 xml:space="preserve"> 日</w:t>
      </w:r>
      <w:r>
        <w:rPr>
          <w:rFonts w:hint="eastAsia" w:asciiTheme="minorEastAsia" w:hAnsiTheme="minorEastAsia" w:eastAsiaTheme="minorEastAsia" w:cstheme="minorEastAsia"/>
          <w:color w:val="auto"/>
          <w:highlight w:val="none"/>
        </w:rPr>
        <w:t>，每日08:30至12:00，14:30至17:30(北京时间，法定公休日、法定节假日除外)。未在规定时间内</w:t>
      </w:r>
      <w:r>
        <w:rPr>
          <w:rFonts w:hint="eastAsia" w:asciiTheme="minorEastAsia" w:hAnsiTheme="minorEastAsia" w:cstheme="minorEastAsia"/>
          <w:color w:val="auto"/>
          <w:highlight w:val="none"/>
          <w:lang w:val="en-US" w:eastAsia="zh-CN"/>
        </w:rPr>
        <w:t>获取公开征集</w:t>
      </w:r>
      <w:r>
        <w:rPr>
          <w:rFonts w:hint="eastAsia" w:asciiTheme="minorEastAsia" w:hAnsiTheme="minorEastAsia" w:eastAsiaTheme="minorEastAsia" w:cstheme="minorEastAsia"/>
          <w:color w:val="auto"/>
          <w:highlight w:val="none"/>
        </w:rPr>
        <w:t>文件的潜在</w:t>
      </w:r>
      <w:r>
        <w:rPr>
          <w:rFonts w:hint="eastAsia" w:asciiTheme="minorEastAsia" w:hAnsiTheme="minorEastAsia" w:cstheme="minorEastAsia"/>
          <w:color w:val="auto"/>
          <w:highlight w:val="none"/>
          <w:lang w:val="en-US" w:eastAsia="zh-CN"/>
        </w:rPr>
        <w:t>供应商</w:t>
      </w:r>
      <w:r>
        <w:rPr>
          <w:rFonts w:hint="eastAsia" w:asciiTheme="minorEastAsia" w:hAnsiTheme="minorEastAsia" w:eastAsiaTheme="minorEastAsia" w:cstheme="minorEastAsia"/>
          <w:color w:val="auto"/>
          <w:highlight w:val="none"/>
        </w:rPr>
        <w:t>将失去投标资格。</w:t>
      </w:r>
    </w:p>
    <w:p>
      <w:pPr>
        <w:pStyle w:val="16"/>
        <w:keepNext w:val="0"/>
        <w:keepLines w:val="0"/>
        <w:pageBreakBefore w:val="0"/>
        <w:widowControl/>
        <w:kinsoku/>
        <w:wordWrap w:val="0"/>
        <w:overflowPunct/>
        <w:topLinePunct w:val="0"/>
        <w:autoSpaceDE/>
        <w:autoSpaceDN/>
        <w:bidi w:val="0"/>
        <w:adjustRightInd/>
        <w:snapToGrid/>
        <w:spacing w:before="75" w:beforeAutospacing="0" w:after="75" w:afterAutospacing="0"/>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6.2</w:t>
      </w:r>
      <w:r>
        <w:rPr>
          <w:rFonts w:hint="eastAsia" w:ascii="宋体" w:hAnsi="宋体" w:eastAsia="宋体" w:cs="宋体"/>
          <w:color w:val="auto"/>
          <w:highlight w:val="none"/>
          <w:lang w:val="en-US" w:eastAsia="zh-CN"/>
        </w:rPr>
        <w:t>征集文件获取方式：在</w:t>
      </w:r>
      <w:r>
        <w:rPr>
          <w:rFonts w:hint="eastAsia"/>
          <w:color w:val="auto"/>
          <w:highlight w:val="none"/>
        </w:rPr>
        <w:t>征集文件获取</w:t>
      </w:r>
      <w:r>
        <w:rPr>
          <w:rFonts w:hint="eastAsia" w:ascii="宋体" w:hAnsi="宋体" w:eastAsia="宋体" w:cs="宋体"/>
          <w:color w:val="auto"/>
          <w:highlight w:val="none"/>
          <w:lang w:val="en-US" w:eastAsia="zh-CN"/>
        </w:rPr>
        <w:t>期限</w:t>
      </w:r>
      <w:r>
        <w:rPr>
          <w:rFonts w:hint="eastAsia" w:ascii="宋体" w:hAnsi="宋体" w:eastAsia="宋体" w:cs="宋体"/>
          <w:color w:val="auto"/>
          <w:highlight w:val="none"/>
        </w:rPr>
        <w:t>内，</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可现场</w:t>
      </w:r>
      <w:r>
        <w:rPr>
          <w:rFonts w:hint="eastAsia" w:ascii="宋体" w:hAnsi="宋体" w:eastAsia="宋体" w:cs="宋体"/>
          <w:color w:val="auto"/>
          <w:highlight w:val="none"/>
          <w:lang w:val="en-US" w:eastAsia="zh-CN"/>
        </w:rPr>
        <w:t>获取</w:t>
      </w:r>
      <w:r>
        <w:rPr>
          <w:rFonts w:hint="eastAsia" w:ascii="宋体" w:hAnsi="宋体" w:eastAsia="宋体" w:cs="宋体"/>
          <w:color w:val="auto"/>
          <w:highlight w:val="none"/>
        </w:rPr>
        <w:t>或通过电子邮件</w:t>
      </w:r>
      <w:r>
        <w:rPr>
          <w:rFonts w:hint="eastAsia" w:ascii="宋体" w:hAnsi="宋体" w:eastAsia="宋体" w:cs="宋体"/>
          <w:color w:val="auto"/>
          <w:highlight w:val="none"/>
          <w:lang w:val="en-US" w:eastAsia="zh-CN"/>
        </w:rPr>
        <w:t>获取公开征集</w:t>
      </w:r>
      <w:r>
        <w:rPr>
          <w:rFonts w:hint="eastAsia" w:ascii="宋体" w:hAnsi="宋体" w:eastAsia="宋体" w:cs="宋体"/>
          <w:color w:val="auto"/>
          <w:highlight w:val="none"/>
        </w:rPr>
        <w:t>文件。现场</w:t>
      </w:r>
      <w:r>
        <w:rPr>
          <w:rFonts w:hint="eastAsia" w:ascii="宋体" w:hAnsi="宋体" w:eastAsia="宋体" w:cs="宋体"/>
          <w:color w:val="auto"/>
          <w:highlight w:val="none"/>
          <w:lang w:val="en-US" w:eastAsia="zh-CN"/>
        </w:rPr>
        <w:t>获取</w:t>
      </w:r>
      <w:r>
        <w:rPr>
          <w:rFonts w:hint="eastAsia" w:ascii="宋体" w:hAnsi="宋体" w:eastAsia="宋体" w:cs="宋体"/>
          <w:color w:val="auto"/>
          <w:highlight w:val="none"/>
        </w:rPr>
        <w:t>可直接前往福建康泰招标有限公司（福州市鼓楼区湖东路169号中闽天骜大厦13层财务室）。通过电子邮件</w:t>
      </w:r>
      <w:r>
        <w:rPr>
          <w:rFonts w:hint="eastAsia" w:ascii="宋体" w:hAnsi="宋体" w:eastAsia="宋体" w:cs="宋体"/>
          <w:color w:val="auto"/>
          <w:highlight w:val="none"/>
          <w:lang w:val="en-US" w:eastAsia="zh-CN"/>
        </w:rPr>
        <w:t>获取</w:t>
      </w:r>
      <w:r>
        <w:rPr>
          <w:rFonts w:hint="eastAsia" w:ascii="宋体" w:hAnsi="宋体" w:eastAsia="宋体" w:cs="宋体"/>
          <w:color w:val="auto"/>
          <w:highlight w:val="none"/>
          <w:lang w:eastAsia="zh-CN"/>
        </w:rPr>
        <w:t>公开征集文件</w:t>
      </w:r>
      <w:r>
        <w:rPr>
          <w:rFonts w:hint="eastAsia" w:ascii="宋体" w:hAnsi="宋体" w:eastAsia="宋体" w:cs="宋体"/>
          <w:color w:val="auto"/>
          <w:highlight w:val="none"/>
        </w:rPr>
        <w:t>的潜在</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须</w:t>
      </w:r>
      <w:r>
        <w:rPr>
          <w:rFonts w:hint="eastAsia" w:ascii="宋体" w:hAnsi="宋体" w:eastAsia="宋体" w:cs="宋体"/>
          <w:color w:val="auto"/>
          <w:highlight w:val="none"/>
          <w:lang w:val="en-US" w:eastAsia="zh-CN"/>
        </w:rPr>
        <w:t>将</w:t>
      </w:r>
      <w:r>
        <w:rPr>
          <w:rFonts w:hint="eastAsia" w:ascii="宋体" w:hAnsi="宋体" w:eastAsia="宋体" w:cs="宋体"/>
          <w:color w:val="auto"/>
          <w:highlight w:val="none"/>
        </w:rPr>
        <w:t>所要</w:t>
      </w:r>
      <w:r>
        <w:rPr>
          <w:rFonts w:hint="eastAsia" w:ascii="宋体" w:hAnsi="宋体" w:eastAsia="宋体" w:cs="宋体"/>
          <w:color w:val="auto"/>
          <w:highlight w:val="none"/>
          <w:lang w:val="en-US" w:eastAsia="zh-CN"/>
        </w:rPr>
        <w:t>获取的</w:t>
      </w:r>
      <w:r>
        <w:rPr>
          <w:rFonts w:hint="eastAsia" w:ascii="宋体" w:hAnsi="宋体" w:eastAsia="宋体" w:cs="宋体"/>
          <w:color w:val="auto"/>
          <w:highlight w:val="none"/>
          <w:lang w:eastAsia="zh-CN"/>
        </w:rPr>
        <w:t>公开征集文件</w:t>
      </w:r>
      <w:r>
        <w:rPr>
          <w:rFonts w:hint="eastAsia" w:ascii="宋体" w:hAnsi="宋体" w:eastAsia="宋体" w:cs="宋体"/>
          <w:color w:val="auto"/>
          <w:highlight w:val="none"/>
        </w:rPr>
        <w:t>的项目名称、</w:t>
      </w: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编号、公司名称、报名时间、联系人、联系电话、手机、电子信箱和公司地址填写清楚并加盖</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公章</w:t>
      </w:r>
      <w:r>
        <w:rPr>
          <w:rFonts w:hint="eastAsia" w:ascii="宋体" w:hAnsi="宋体" w:eastAsia="宋体" w:cs="宋体"/>
          <w:color w:val="auto"/>
          <w:highlight w:val="none"/>
          <w:lang w:val="en-US" w:eastAsia="zh-CN"/>
        </w:rPr>
        <w:t>扫描</w:t>
      </w:r>
      <w:r>
        <w:rPr>
          <w:rFonts w:hint="eastAsia" w:ascii="宋体" w:hAnsi="宋体" w:eastAsia="宋体" w:cs="宋体"/>
          <w:color w:val="auto"/>
          <w:highlight w:val="none"/>
        </w:rPr>
        <w:t>发送至</w:t>
      </w:r>
      <w:r>
        <w:rPr>
          <w:rFonts w:hint="eastAsia" w:ascii="宋体" w:hAnsi="宋体" w:eastAsia="宋体" w:cs="宋体"/>
          <w:color w:val="auto"/>
          <w:highlight w:val="none"/>
          <w:lang w:val="en-US" w:eastAsia="zh-CN"/>
        </w:rPr>
        <w:t>我公司</w:t>
      </w:r>
      <w:r>
        <w:rPr>
          <w:rFonts w:hint="eastAsia" w:ascii="宋体" w:hAnsi="宋体" w:eastAsia="宋体" w:cs="宋体"/>
          <w:color w:val="auto"/>
          <w:highlight w:val="none"/>
        </w:rPr>
        <w:t>电子信箱（2785972036@qq.com）。</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7、征集文件的获取</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7.1征集文件提供期限：</w:t>
      </w:r>
      <w:r>
        <w:rPr>
          <w:rFonts w:hint="eastAsia" w:ascii="宋体" w:hAnsi="宋体" w:eastAsia="宋体" w:cs="宋体"/>
          <w:color w:val="auto"/>
          <w:highlight w:val="none"/>
        </w:rPr>
        <w:t xml:space="preserve">2023年 </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 月 </w:t>
      </w:r>
      <w:r>
        <w:rPr>
          <w:rFonts w:hint="eastAsia" w:ascii="宋体" w:hAnsi="宋体" w:eastAsia="宋体" w:cs="宋体"/>
          <w:color w:val="auto"/>
          <w:highlight w:val="none"/>
          <w:lang w:val="en-US" w:eastAsia="zh-CN"/>
        </w:rPr>
        <w:t>28</w:t>
      </w:r>
      <w:r>
        <w:rPr>
          <w:rFonts w:hint="eastAsia" w:ascii="宋体" w:hAnsi="宋体" w:eastAsia="宋体" w:cs="宋体"/>
          <w:color w:val="auto"/>
          <w:highlight w:val="none"/>
        </w:rPr>
        <w:t xml:space="preserve"> 日至2023年</w:t>
      </w:r>
      <w:r>
        <w:rPr>
          <w:rFonts w:hint="eastAsia" w:ascii="宋体" w:hAnsi="宋体" w:eastAsia="宋体" w:cs="宋体"/>
          <w:color w:val="auto"/>
          <w:highlight w:val="none"/>
          <w:lang w:val="en-US" w:eastAsia="zh-CN"/>
        </w:rPr>
        <w:t xml:space="preserve"> 2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3 </w:t>
      </w:r>
      <w:r>
        <w:rPr>
          <w:rFonts w:hint="eastAsia" w:ascii="宋体" w:hAnsi="宋体" w:eastAsia="宋体" w:cs="宋体"/>
          <w:color w:val="auto"/>
          <w:highlight w:val="none"/>
        </w:rPr>
        <w:t>日</w:t>
      </w:r>
      <w:r>
        <w:rPr>
          <w:rFonts w:hint="eastAsia" w:ascii="宋体" w:hAnsi="宋体" w:eastAsia="宋体" w:cs="宋体"/>
          <w:color w:val="auto"/>
          <w:highlight w:val="none"/>
        </w:rPr>
        <w:t>，每日08:30至12:00，14:30至17:30(北京时间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法定公休日、法定节假日除外)。</w:t>
      </w:r>
    </w:p>
    <w:p>
      <w:pPr>
        <w:pStyle w:val="16"/>
        <w:widowControl/>
        <w:spacing w:before="75" w:beforeAutospacing="0" w:after="75" w:afterAutospacing="0"/>
        <w:ind w:firstLine="480"/>
        <w:rPr>
          <w:rFonts w:hint="default" w:eastAsia="宋体"/>
          <w:color w:val="auto"/>
          <w:highlight w:val="none"/>
          <w:lang w:val="en-US" w:eastAsia="zh-CN"/>
        </w:rPr>
      </w:pPr>
      <w:r>
        <w:rPr>
          <w:rFonts w:hint="eastAsia" w:ascii="宋体" w:hAnsi="宋体" w:eastAsia="宋体" w:cs="宋体"/>
          <w:color w:val="auto"/>
          <w:highlight w:val="none"/>
        </w:rPr>
        <w:t>7.2获取地点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福建康泰招标有限公司（福州市鼓楼区湖东路169号中闽天骜大厦13层财务室）。</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7.3、征集文件售价：</w:t>
      </w:r>
      <w:r>
        <w:rPr>
          <w:rFonts w:ascii="Times New Roman" w:hAnsi="Times New Roman"/>
          <w:color w:val="auto"/>
          <w:highlight w:val="none"/>
        </w:rPr>
        <w:t>0</w:t>
      </w:r>
      <w:r>
        <w:rPr>
          <w:rFonts w:hint="eastAsia" w:ascii="宋体" w:hAnsi="宋体" w:eastAsia="宋体" w:cs="宋体"/>
          <w:color w:val="auto"/>
          <w:highlight w:val="none"/>
        </w:rPr>
        <w:t>元。</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8、递交响应文件截止时间</w:t>
      </w:r>
    </w:p>
    <w:p>
      <w:pPr>
        <w:pStyle w:val="16"/>
        <w:widowControl/>
        <w:spacing w:before="75" w:beforeAutospacing="0" w:after="75" w:afterAutospacing="0"/>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8.1递交响应文件截止时间：</w:t>
      </w:r>
      <w:r>
        <w:rPr>
          <w:rFonts w:hint="eastAsia" w:ascii="宋体" w:hAnsi="宋体" w:eastAsia="宋体" w:cs="宋体"/>
          <w:color w:val="auto"/>
          <w:highlight w:val="none"/>
        </w:rPr>
        <w:t>2023年</w:t>
      </w:r>
      <w:r>
        <w:rPr>
          <w:rFonts w:hint="eastAsia" w:ascii="宋体" w:hAnsi="宋体" w:eastAsia="宋体" w:cs="宋体"/>
          <w:color w:val="auto"/>
          <w:highlight w:val="none"/>
          <w:lang w:val="en-US" w:eastAsia="zh-CN"/>
        </w:rPr>
        <w:t xml:space="preserve"> 2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21 </w:t>
      </w:r>
      <w:r>
        <w:rPr>
          <w:rFonts w:hint="eastAsia" w:ascii="宋体" w:hAnsi="宋体" w:eastAsia="宋体" w:cs="宋体"/>
          <w:color w:val="auto"/>
          <w:highlight w:val="none"/>
        </w:rPr>
        <w:t>日09:</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w:t>
      </w:r>
      <w:r>
        <w:rPr>
          <w:rFonts w:hint="eastAsia" w:ascii="宋体" w:hAnsi="宋体" w:eastAsia="宋体" w:cs="宋体"/>
          <w:color w:val="auto"/>
          <w:highlight w:val="none"/>
        </w:rPr>
        <w:t>（北京时间）</w:t>
      </w:r>
      <w:r>
        <w:rPr>
          <w:rFonts w:hint="eastAsia" w:ascii="宋体" w:hAnsi="宋体" w:eastAsia="宋体" w:cs="宋体"/>
          <w:color w:val="auto"/>
          <w:highlight w:val="none"/>
          <w:lang w:eastAsia="zh-CN"/>
        </w:rPr>
        <w:t>；</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8.2</w:t>
      </w:r>
      <w:r>
        <w:rPr>
          <w:rFonts w:hint="eastAsia" w:asciiTheme="minorEastAsia" w:hAnsiTheme="minorEastAsia" w:eastAsiaTheme="minorEastAsia" w:cstheme="minorEastAsia"/>
          <w:color w:val="auto"/>
          <w:highlight w:val="none"/>
        </w:rPr>
        <w:t>供应商应在递交响应文件截止时间前将</w:t>
      </w:r>
      <w:r>
        <w:rPr>
          <w:rStyle w:val="24"/>
          <w:rFonts w:hint="eastAsia" w:asciiTheme="minorEastAsia" w:hAnsiTheme="minorEastAsia" w:eastAsiaTheme="minorEastAsia" w:cstheme="minorEastAsia"/>
          <w:color w:val="auto"/>
          <w:highlight w:val="none"/>
        </w:rPr>
        <w:t>密封的纸质响应文件</w:t>
      </w:r>
      <w:r>
        <w:rPr>
          <w:rFonts w:hint="eastAsia" w:asciiTheme="minorEastAsia" w:hAnsiTheme="minorEastAsia" w:eastAsiaTheme="minorEastAsia" w:cstheme="minorEastAsia"/>
          <w:color w:val="auto"/>
          <w:highlight w:val="none"/>
        </w:rPr>
        <w:t>送达</w:t>
      </w:r>
      <w:r>
        <w:rPr>
          <w:rFonts w:hint="eastAsia" w:asciiTheme="minorEastAsia" w:hAnsiTheme="minorEastAsia" w:eastAsiaTheme="minorEastAsia" w:cstheme="minorEastAsia"/>
          <w:color w:val="auto"/>
          <w:highlight w:val="none"/>
          <w:u w:val="single"/>
        </w:rPr>
        <w:t>福建省福州市福清市音西街道福人路三农服务中心 - 4号开标室(福清市公共资源交易中心)</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szCs w:val="24"/>
          <w:highlight w:val="none"/>
        </w:rPr>
        <w:t>逾期收到的或不符合规定的</w:t>
      </w:r>
      <w:r>
        <w:rPr>
          <w:rFonts w:hint="eastAsia" w:asciiTheme="minorEastAsia" w:hAnsi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文件将被拒收，并将其原封不动地退回</w:t>
      </w:r>
      <w:r>
        <w:rPr>
          <w:rFonts w:hint="eastAsia" w:asciiTheme="minorEastAsia" w:hAnsi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9、开标时间及地点：</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应于</w:t>
      </w:r>
      <w:r>
        <w:rPr>
          <w:rFonts w:hint="eastAsia" w:ascii="宋体" w:hAnsi="宋体" w:eastAsia="宋体" w:cs="宋体"/>
          <w:color w:val="auto"/>
          <w:highlight w:val="none"/>
        </w:rPr>
        <w:t>2023年</w:t>
      </w:r>
      <w:r>
        <w:rPr>
          <w:rFonts w:hint="eastAsia" w:ascii="宋体" w:hAnsi="宋体" w:eastAsia="宋体" w:cs="宋体"/>
          <w:color w:val="auto"/>
          <w:highlight w:val="none"/>
          <w:lang w:val="en-US" w:eastAsia="zh-CN"/>
        </w:rPr>
        <w:t xml:space="preserve"> 2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21 </w:t>
      </w:r>
      <w:r>
        <w:rPr>
          <w:rFonts w:hint="eastAsia" w:ascii="宋体" w:hAnsi="宋体" w:eastAsia="宋体" w:cs="宋体"/>
          <w:color w:val="auto"/>
          <w:highlight w:val="none"/>
        </w:rPr>
        <w:t>日09</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w:t>
      </w:r>
      <w:r>
        <w:rPr>
          <w:rFonts w:hint="eastAsia" w:ascii="宋体" w:hAnsi="宋体" w:eastAsia="宋体" w:cs="宋体"/>
          <w:color w:val="auto"/>
          <w:highlight w:val="none"/>
        </w:rPr>
        <w:t>（北京时间）之前提交</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文件到</w:t>
      </w:r>
      <w:r>
        <w:rPr>
          <w:rFonts w:hint="eastAsia" w:asciiTheme="minorEastAsia" w:hAnsiTheme="minorEastAsia" w:eastAsiaTheme="minorEastAsia" w:cstheme="minorEastAsia"/>
          <w:color w:val="auto"/>
          <w:highlight w:val="none"/>
          <w:u w:val="single"/>
        </w:rPr>
        <w:t>福建省福州市福清市音西街道福人路三农服务中心 - 4号开标室(福清市公共资源交易中心)</w:t>
      </w:r>
      <w:r>
        <w:rPr>
          <w:rFonts w:hint="eastAsia" w:ascii="宋体" w:hAnsi="宋体" w:eastAsia="宋体" w:cs="宋体"/>
          <w:color w:val="auto"/>
          <w:highlight w:val="none"/>
        </w:rPr>
        <w:t>，逾期收到的或不符合规定的</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文件将被拒收，并将其原封不动地退回</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w:t>
      </w:r>
      <w:r>
        <w:rPr>
          <w:rStyle w:val="24"/>
          <w:rFonts w:hint="eastAsia" w:ascii="宋体" w:hAnsi="宋体" w:eastAsia="宋体" w:cs="宋体"/>
          <w:color w:val="auto"/>
          <w:highlight w:val="none"/>
        </w:rPr>
        <w:t> </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10、公告期限</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10.1征集公告的公告期限：自财政部和福建省财政厅指定的政府采购信息发布媒体最先发布公告之日起</w:t>
      </w:r>
      <w:r>
        <w:rPr>
          <w:rFonts w:ascii="Times New Roman" w:hAnsi="Times New Roman"/>
          <w:color w:val="auto"/>
          <w:highlight w:val="none"/>
        </w:rPr>
        <w:t>5</w:t>
      </w:r>
      <w:r>
        <w:rPr>
          <w:rFonts w:hint="eastAsia" w:ascii="宋体" w:hAnsi="宋体" w:eastAsia="宋体" w:cs="宋体"/>
          <w:color w:val="auto"/>
          <w:highlight w:val="none"/>
        </w:rPr>
        <w:t>个工作日。</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10.2征集文件公告期限：征集文件随同征集公告一并发布，其公告期限与本章第</w:t>
      </w:r>
      <w:r>
        <w:rPr>
          <w:rFonts w:ascii="Times New Roman" w:hAnsi="Times New Roman"/>
          <w:color w:val="auto"/>
          <w:highlight w:val="none"/>
        </w:rPr>
        <w:t>11.1</w:t>
      </w:r>
      <w:r>
        <w:rPr>
          <w:rFonts w:hint="eastAsia" w:ascii="宋体" w:hAnsi="宋体" w:eastAsia="宋体" w:cs="宋体"/>
          <w:color w:val="auto"/>
          <w:highlight w:val="none"/>
        </w:rPr>
        <w:t>条载明的期限保持一致。</w:t>
      </w:r>
    </w:p>
    <w:p>
      <w:pPr>
        <w:pStyle w:val="16"/>
        <w:widowControl/>
        <w:spacing w:before="75" w:beforeAutospacing="0" w:after="75" w:afterAutospacing="0"/>
        <w:ind w:firstLine="480"/>
        <w:rPr>
          <w:rFonts w:hint="eastAsia" w:eastAsia="宋体"/>
          <w:color w:val="auto"/>
          <w:highlight w:val="none"/>
          <w:lang w:eastAsia="zh-CN"/>
        </w:rPr>
      </w:pPr>
      <w:r>
        <w:rPr>
          <w:rFonts w:hint="eastAsia" w:ascii="宋体" w:hAnsi="宋体" w:eastAsia="宋体" w:cs="宋体"/>
          <w:color w:val="auto"/>
          <w:highlight w:val="none"/>
        </w:rPr>
        <w:t>11、征集人：</w:t>
      </w:r>
      <w:r>
        <w:rPr>
          <w:rFonts w:hint="eastAsia" w:ascii="宋体" w:hAnsi="宋体" w:eastAsia="宋体" w:cs="宋体"/>
          <w:color w:val="auto"/>
          <w:highlight w:val="none"/>
          <w:lang w:eastAsia="zh-CN"/>
        </w:rPr>
        <w:t>福清市财政局</w:t>
      </w:r>
    </w:p>
    <w:p>
      <w:pPr>
        <w:pStyle w:val="16"/>
        <w:widowControl/>
        <w:spacing w:before="75" w:beforeAutospacing="0" w:after="75" w:afterAutospacing="0"/>
        <w:ind w:firstLine="480"/>
        <w:rPr>
          <w:rFonts w:hint="eastAsia" w:eastAsia="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福清市福</w:t>
      </w:r>
      <w:r>
        <w:rPr>
          <w:rFonts w:hint="eastAsia" w:ascii="宋体" w:hAnsi="宋体" w:eastAsia="宋体" w:cs="宋体"/>
          <w:color w:val="auto"/>
          <w:highlight w:val="none"/>
          <w:lang w:val="en-US" w:eastAsia="zh-CN"/>
        </w:rPr>
        <w:t>唐</w:t>
      </w:r>
      <w:r>
        <w:rPr>
          <w:rFonts w:hint="eastAsia" w:ascii="宋体" w:hAnsi="宋体" w:eastAsia="宋体" w:cs="宋体"/>
          <w:color w:val="auto"/>
          <w:highlight w:val="none"/>
          <w:lang w:eastAsia="zh-CN"/>
        </w:rPr>
        <w:t>路财政大楼</w:t>
      </w:r>
    </w:p>
    <w:p>
      <w:pPr>
        <w:pStyle w:val="16"/>
        <w:widowControl/>
        <w:spacing w:before="75" w:beforeAutospacing="0" w:after="75" w:afterAutospacing="0"/>
        <w:ind w:firstLine="480"/>
        <w:rPr>
          <w:rFonts w:hint="eastAsia" w:eastAsia="宋体"/>
          <w:color w:val="auto"/>
          <w:highlight w:val="none"/>
          <w:lang w:val="en-US" w:eastAsia="zh-CN"/>
        </w:rPr>
      </w:pPr>
      <w:r>
        <w:rPr>
          <w:rFonts w:hint="eastAsia" w:ascii="宋体" w:hAnsi="宋体" w:eastAsia="宋体" w:cs="宋体"/>
          <w:color w:val="auto"/>
          <w:highlight w:val="none"/>
        </w:rPr>
        <w:t>联系方法：严秀兰</w:t>
      </w:r>
      <w:r>
        <w:rPr>
          <w:rFonts w:hint="eastAsia" w:ascii="宋体" w:hAnsi="宋体" w:eastAsia="宋体" w:cs="宋体"/>
          <w:color w:val="auto"/>
          <w:highlight w:val="none"/>
          <w:lang w:val="en-US" w:eastAsia="zh-CN"/>
        </w:rPr>
        <w:t xml:space="preserve"> 0591-85232431</w:t>
      </w:r>
    </w:p>
    <w:p>
      <w:pPr>
        <w:pStyle w:val="16"/>
        <w:widowControl/>
        <w:spacing w:before="75" w:beforeAutospacing="0" w:after="75" w:afterAutospacing="0"/>
        <w:ind w:firstLine="480"/>
        <w:rPr>
          <w:rFonts w:hint="eastAsia" w:eastAsia="宋体"/>
          <w:color w:val="auto"/>
          <w:highlight w:val="none"/>
          <w:lang w:eastAsia="zh-CN"/>
        </w:rPr>
      </w:pPr>
      <w:r>
        <w:rPr>
          <w:rFonts w:hint="eastAsia" w:ascii="宋体" w:hAnsi="宋体" w:eastAsia="宋体" w:cs="宋体"/>
          <w:color w:val="auto"/>
          <w:highlight w:val="none"/>
        </w:rPr>
        <w:t>12、代理机构：</w:t>
      </w:r>
      <w:r>
        <w:rPr>
          <w:rFonts w:hint="eastAsia" w:ascii="宋体" w:hAnsi="宋体" w:eastAsia="宋体" w:cs="宋体"/>
          <w:color w:val="auto"/>
          <w:highlight w:val="none"/>
          <w:lang w:eastAsia="zh-CN"/>
        </w:rPr>
        <w:t>福建康泰招标有限公司</w:t>
      </w:r>
    </w:p>
    <w:p>
      <w:pPr>
        <w:pStyle w:val="16"/>
        <w:widowControl/>
        <w:spacing w:before="75" w:beforeAutospacing="0" w:after="75" w:afterAutospacing="0"/>
        <w:ind w:firstLine="480"/>
        <w:rPr>
          <w:rFonts w:hint="eastAsia" w:eastAsia="宋体"/>
          <w:color w:val="auto"/>
          <w:highlight w:val="none"/>
          <w:lang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福州市鼓楼区湖东路169号中闽天骜大厦第十三层02A单元</w:t>
      </w:r>
    </w:p>
    <w:p>
      <w:pPr>
        <w:pStyle w:val="16"/>
        <w:widowControl/>
        <w:spacing w:before="75" w:beforeAutospacing="0" w:after="75" w:afterAutospacing="0"/>
        <w:ind w:firstLine="480"/>
        <w:rPr>
          <w:rFonts w:hint="default" w:eastAsia="宋体"/>
          <w:color w:val="auto"/>
          <w:highlight w:val="none"/>
          <w:lang w:val="en-US" w:eastAsia="zh-CN"/>
        </w:rPr>
      </w:pPr>
      <w:r>
        <w:rPr>
          <w:rFonts w:hint="eastAsia" w:ascii="宋体" w:hAnsi="宋体" w:eastAsia="宋体" w:cs="宋体"/>
          <w:color w:val="auto"/>
          <w:highlight w:val="none"/>
        </w:rPr>
        <w:t>联系方法：郑仲岳、陈东英</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059</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87803505</w:t>
      </w:r>
    </w:p>
    <w:p>
      <w:pPr>
        <w:pStyle w:val="16"/>
        <w:widowControl/>
        <w:spacing w:before="75" w:beforeAutospacing="0" w:after="75" w:afterAutospacing="0"/>
        <w:rPr>
          <w:color w:val="auto"/>
          <w:highlight w:val="none"/>
        </w:rPr>
      </w:pPr>
      <w:r>
        <w:rPr>
          <w:color w:val="auto"/>
          <w:highlight w:val="none"/>
        </w:rPr>
        <w:t> </w:t>
      </w:r>
    </w:p>
    <w:p>
      <w:pPr>
        <w:pStyle w:val="16"/>
        <w:widowControl/>
        <w:spacing w:before="75" w:beforeAutospacing="0" w:after="75" w:afterAutospacing="0"/>
        <w:rPr>
          <w:rFonts w:ascii="宋体" w:hAnsi="宋体" w:eastAsia="宋体" w:cs="宋体"/>
          <w:color w:val="auto"/>
          <w:highlight w:val="none"/>
        </w:rPr>
      </w:pP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附1：账户信息</w:t>
      </w:r>
    </w:p>
    <w:tbl>
      <w:tblPr>
        <w:tblStyle w:val="21"/>
        <w:tblW w:w="869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6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31" w:type="dxa"/>
          </w:tcPr>
          <w:p>
            <w:pPr>
              <w:pStyle w:val="16"/>
              <w:widowControl/>
              <w:spacing w:beforeAutospacing="0" w:afterAutospacing="0"/>
              <w:jc w:val="center"/>
              <w:rPr>
                <w:color w:val="auto"/>
                <w:highlight w:val="none"/>
              </w:rPr>
            </w:pPr>
            <w:r>
              <w:rPr>
                <w:rStyle w:val="24"/>
                <w:rFonts w:hint="eastAsia" w:ascii="宋体" w:hAnsi="宋体" w:eastAsia="宋体" w:cs="宋体"/>
                <w:color w:val="auto"/>
                <w:highlight w:val="none"/>
              </w:rPr>
              <w:t>响应保证金账户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31" w:type="dxa"/>
          </w:tcPr>
          <w:p>
            <w:pPr>
              <w:pStyle w:val="16"/>
              <w:widowControl/>
              <w:spacing w:beforeAutospacing="0" w:afterAutospacing="0"/>
              <w:rPr>
                <w:rFonts w:hint="eastAsia" w:eastAsia="宋体"/>
                <w:color w:val="auto"/>
                <w:highlight w:val="none"/>
                <w:lang w:eastAsia="zh-CN"/>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shd w:val="clear" w:color="auto" w:fill="FFFFFF"/>
                <w:lang w:eastAsia="zh-CN"/>
              </w:rPr>
              <w:t>福建康泰招标有限公司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31" w:type="dxa"/>
          </w:tcPr>
          <w:p>
            <w:pPr>
              <w:pStyle w:val="16"/>
              <w:widowControl/>
              <w:spacing w:beforeAutospacing="0" w:afterAutospacing="0"/>
              <w:rPr>
                <w:color w:val="auto"/>
                <w:highlight w:val="none"/>
              </w:rPr>
            </w:pPr>
            <w:r>
              <w:rPr>
                <w:rFonts w:hint="eastAsia" w:ascii="宋体" w:hAnsi="宋体" w:eastAsia="宋体" w:cs="宋体"/>
                <w:color w:val="auto"/>
                <w:highlight w:val="none"/>
              </w:rPr>
              <w:t>开户银行：恒丰银行股份有限公司福州分行营业部。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31" w:type="dxa"/>
          </w:tcPr>
          <w:p>
            <w:pPr>
              <w:pStyle w:val="16"/>
              <w:widowControl/>
              <w:spacing w:beforeAutospacing="0" w:afterAutospacing="0"/>
              <w:rPr>
                <w:color w:val="auto"/>
                <w:highlight w:val="none"/>
              </w:rPr>
            </w:pPr>
            <w:r>
              <w:rPr>
                <w:rFonts w:hint="eastAsia" w:ascii="宋体" w:hAnsi="宋体" w:eastAsia="宋体" w:cs="宋体"/>
                <w:color w:val="auto"/>
                <w:highlight w:val="none"/>
              </w:rPr>
              <w:t>银行账号：35050101100100000019。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31" w:type="dxa"/>
          </w:tcPr>
          <w:p>
            <w:pPr>
              <w:pStyle w:val="16"/>
              <w:widowControl/>
              <w:spacing w:beforeAutospacing="0" w:afterAutospacing="0"/>
              <w:jc w:val="center"/>
              <w:rPr>
                <w:color w:val="auto"/>
                <w:highlight w:val="none"/>
              </w:rPr>
            </w:pPr>
            <w:r>
              <w:rPr>
                <w:rStyle w:val="24"/>
                <w:rFonts w:hint="eastAsia" w:ascii="宋体" w:hAnsi="宋体" w:eastAsia="宋体" w:cs="宋体"/>
                <w:color w:val="auto"/>
                <w:highlight w:val="none"/>
              </w:rPr>
              <w:t>特别提示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31" w:type="dxa"/>
          </w:tcPr>
          <w:p>
            <w:pPr>
              <w:pStyle w:val="16"/>
              <w:widowControl/>
              <w:spacing w:beforeAutospacing="0" w:afterAutospacing="0"/>
              <w:rPr>
                <w:color w:val="auto"/>
                <w:highlight w:val="none"/>
              </w:rPr>
            </w:pPr>
            <w:r>
              <w:rPr>
                <w:rFonts w:hint="eastAsia" w:ascii="宋体" w:hAnsi="宋体" w:eastAsia="宋体" w:cs="宋体"/>
                <w:color w:val="auto"/>
                <w:highlight w:val="none"/>
              </w:rPr>
              <w:t>1、供应商应认真核对账户信息，将响应保证金汇入以上账户，并自行承担因汇错响应保证金而产生的一切后果。</w:t>
            </w:r>
          </w:p>
          <w:p>
            <w:pPr>
              <w:pStyle w:val="16"/>
              <w:widowControl/>
              <w:spacing w:beforeAutospacing="0" w:afterAutospacing="0"/>
              <w:rPr>
                <w:color w:val="auto"/>
                <w:highlight w:val="none"/>
              </w:rPr>
            </w:pPr>
            <w:r>
              <w:rPr>
                <w:rFonts w:hint="eastAsia" w:ascii="宋体" w:hAnsi="宋体" w:eastAsia="宋体" w:cs="宋体"/>
                <w:color w:val="auto"/>
                <w:highlight w:val="none"/>
              </w:rPr>
              <w:t>2、供应商在转账或电汇的凭证上应按照以下格式注明，以便核对：“（项目编号：</w:t>
            </w:r>
            <w:r>
              <w:rPr>
                <w:rFonts w:ascii="Times New Roman" w:hAnsi="Times New Roman"/>
                <w:color w:val="auto"/>
                <w:highlight w:val="none"/>
              </w:rPr>
              <w:t>***</w:t>
            </w:r>
            <w:r>
              <w:rPr>
                <w:rFonts w:hint="eastAsia" w:ascii="宋体" w:hAnsi="宋体" w:eastAsia="宋体" w:cs="宋体"/>
                <w:color w:val="auto"/>
                <w:highlight w:val="none"/>
              </w:rPr>
              <w:t>、合同包：</w:t>
            </w:r>
            <w:r>
              <w:rPr>
                <w:rFonts w:ascii="Times New Roman" w:hAnsi="Times New Roman"/>
                <w:color w:val="auto"/>
                <w:highlight w:val="none"/>
              </w:rPr>
              <w:t>***</w:t>
            </w:r>
            <w:r>
              <w:rPr>
                <w:rFonts w:hint="eastAsia" w:ascii="宋体" w:hAnsi="宋体" w:eastAsia="宋体" w:cs="宋体"/>
                <w:color w:val="auto"/>
                <w:highlight w:val="none"/>
              </w:rPr>
              <w:t>）的响应保证金”。</w:t>
            </w:r>
          </w:p>
        </w:tc>
      </w:tr>
    </w:tbl>
    <w:p>
      <w:pPr>
        <w:pStyle w:val="16"/>
        <w:widowControl/>
        <w:spacing w:before="75" w:beforeAutospacing="0" w:after="75" w:afterAutospacing="0"/>
        <w:rPr>
          <w:rFonts w:hint="eastAsia" w:ascii="宋体" w:hAnsi="宋体" w:eastAsia="宋体" w:cs="宋体"/>
          <w:color w:val="auto"/>
          <w:highlight w:val="none"/>
        </w:rPr>
      </w:pPr>
    </w:p>
    <w:p>
      <w:pPr>
        <w:pStyle w:val="16"/>
        <w:widowControl/>
        <w:spacing w:before="75" w:beforeAutospacing="0" w:after="75" w:afterAutospacing="0"/>
        <w:rPr>
          <w:rFonts w:hint="eastAsia" w:ascii="宋体" w:hAnsi="宋体" w:eastAsia="宋体" w:cs="宋体"/>
          <w:color w:val="auto"/>
          <w:highlight w:val="none"/>
        </w:rPr>
      </w:pP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附</w:t>
      </w:r>
      <w:r>
        <w:rPr>
          <w:color w:val="auto"/>
          <w:highlight w:val="none"/>
        </w:rPr>
        <w:t>2</w:t>
      </w:r>
      <w:r>
        <w:rPr>
          <w:rFonts w:hint="eastAsia" w:ascii="宋体" w:hAnsi="宋体" w:eastAsia="宋体" w:cs="宋体"/>
          <w:color w:val="auto"/>
          <w:highlight w:val="none"/>
        </w:rPr>
        <w:t>：采购标的一览表</w:t>
      </w:r>
    </w:p>
    <w:p>
      <w:pPr>
        <w:pStyle w:val="16"/>
        <w:widowControl/>
        <w:spacing w:before="75" w:beforeAutospacing="0" w:after="75" w:afterAutospacing="0"/>
        <w:rPr>
          <w:color w:val="auto"/>
          <w:highlight w:val="none"/>
        </w:rPr>
      </w:pPr>
      <w:r>
        <w:rPr>
          <w:color w:val="auto"/>
          <w:highlight w:val="none"/>
        </w:rPr>
        <w:t> </w:t>
      </w:r>
    </w:p>
    <w:p>
      <w:pPr>
        <w:pStyle w:val="16"/>
        <w:widowControl/>
        <w:jc w:val="right"/>
        <w:rPr>
          <w:color w:val="auto"/>
          <w:highlight w:val="none"/>
        </w:rPr>
      </w:pPr>
      <w:r>
        <w:rPr>
          <w:rFonts w:hint="eastAsia" w:ascii="宋体" w:hAnsi="宋体" w:eastAsia="宋体" w:cs="宋体"/>
          <w:color w:val="auto"/>
          <w:highlight w:val="none"/>
        </w:rPr>
        <w:t>金额单位：人民币元</w:t>
      </w:r>
    </w:p>
    <w:tbl>
      <w:tblPr>
        <w:tblStyle w:val="20"/>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91"/>
        <w:gridCol w:w="791"/>
        <w:gridCol w:w="1978"/>
        <w:gridCol w:w="1683"/>
        <w:gridCol w:w="1274"/>
        <w:gridCol w:w="1249"/>
        <w:gridCol w:w="12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43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highlight w:val="none"/>
              </w:rPr>
            </w:pPr>
            <w:r>
              <w:rPr>
                <w:rFonts w:ascii="宋体" w:hAnsi="宋体" w:eastAsia="宋体" w:cs="宋体"/>
                <w:color w:val="auto"/>
                <w:kern w:val="0"/>
                <w:sz w:val="24"/>
                <w:highlight w:val="none"/>
              </w:rPr>
              <w:t>合同包</w:t>
            </w:r>
          </w:p>
        </w:tc>
        <w:tc>
          <w:tcPr>
            <w:tcW w:w="43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highlight w:val="none"/>
              </w:rPr>
            </w:pPr>
            <w:r>
              <w:rPr>
                <w:rFonts w:ascii="宋体" w:hAnsi="宋体" w:eastAsia="宋体" w:cs="宋体"/>
                <w:color w:val="auto"/>
                <w:kern w:val="0"/>
                <w:sz w:val="24"/>
                <w:highlight w:val="none"/>
              </w:rPr>
              <w:t>品目号</w:t>
            </w:r>
          </w:p>
        </w:tc>
        <w:tc>
          <w:tcPr>
            <w:tcW w:w="1098"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highlight w:val="none"/>
              </w:rPr>
            </w:pPr>
            <w:r>
              <w:rPr>
                <w:rFonts w:ascii="宋体" w:hAnsi="宋体" w:eastAsia="宋体" w:cs="宋体"/>
                <w:color w:val="auto"/>
                <w:kern w:val="0"/>
                <w:sz w:val="24"/>
                <w:highlight w:val="none"/>
              </w:rPr>
              <w:t>采购标的</w:t>
            </w:r>
          </w:p>
        </w:tc>
        <w:tc>
          <w:tcPr>
            <w:tcW w:w="93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highlight w:val="none"/>
              </w:rPr>
            </w:pPr>
            <w:r>
              <w:rPr>
                <w:rFonts w:ascii="宋体" w:hAnsi="宋体" w:eastAsia="宋体" w:cs="宋体"/>
                <w:color w:val="auto"/>
                <w:kern w:val="0"/>
                <w:sz w:val="24"/>
                <w:highlight w:val="none"/>
              </w:rPr>
              <w:t>允许进口</w:t>
            </w:r>
          </w:p>
        </w:tc>
        <w:tc>
          <w:tcPr>
            <w:tcW w:w="70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highlight w:val="none"/>
              </w:rPr>
            </w:pPr>
            <w:r>
              <w:rPr>
                <w:rFonts w:ascii="宋体" w:hAnsi="宋体" w:eastAsia="宋体" w:cs="宋体"/>
                <w:color w:val="auto"/>
                <w:kern w:val="0"/>
                <w:sz w:val="24"/>
                <w:highlight w:val="none"/>
              </w:rPr>
              <w:t>数量</w:t>
            </w:r>
          </w:p>
        </w:tc>
        <w:tc>
          <w:tcPr>
            <w:tcW w:w="124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预算金额</w:t>
            </w:r>
          </w:p>
        </w:tc>
        <w:tc>
          <w:tcPr>
            <w:tcW w:w="6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color w:val="auto"/>
                <w:highlight w:val="none"/>
              </w:rPr>
            </w:pPr>
            <w:r>
              <w:rPr>
                <w:rFonts w:hint="eastAsia" w:ascii="宋体" w:hAnsi="宋体" w:eastAsia="宋体" w:cs="宋体"/>
                <w:color w:val="auto"/>
                <w:kern w:val="0"/>
                <w:sz w:val="24"/>
                <w:highlight w:val="none"/>
              </w:rPr>
              <w:t>响应保证金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43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43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w:t>
            </w:r>
          </w:p>
        </w:tc>
        <w:tc>
          <w:tcPr>
            <w:tcW w:w="1978" w:type="dxa"/>
            <w:tcBorders>
              <w:top w:val="outset" w:color="auto" w:sz="6" w:space="0"/>
              <w:left w:val="outset" w:color="auto" w:sz="6" w:space="0"/>
              <w:bottom w:val="outset" w:color="auto" w:sz="6" w:space="0"/>
              <w:right w:val="outset" w:color="auto" w:sz="6" w:space="0"/>
            </w:tcBorders>
            <w:shd w:val="clear" w:color="auto" w:fill="auto"/>
            <w:vAlign w:val="center"/>
          </w:tcPr>
          <w:p>
            <w:pPr>
              <w:spacing w:after="300"/>
              <w:jc w:val="center"/>
              <w:rPr>
                <w:rFonts w:ascii="宋体" w:hAnsi="宋体" w:eastAsia="宋体" w:cs="宋体"/>
                <w:b/>
                <w:bCs/>
                <w:color w:val="auto"/>
                <w:kern w:val="0"/>
                <w:sz w:val="24"/>
                <w:highlight w:val="none"/>
              </w:rPr>
            </w:pPr>
            <w:r>
              <w:rPr>
                <w:rFonts w:hint="eastAsia" w:ascii="微软雅黑" w:hAnsi="微软雅黑" w:eastAsia="微软雅黑"/>
                <w:color w:val="auto"/>
                <w:sz w:val="20"/>
                <w:szCs w:val="20"/>
                <w:highlight w:val="none"/>
              </w:rPr>
              <w:br w:type="textWrapping"/>
            </w:r>
            <w:r>
              <w:rPr>
                <w:rFonts w:hint="eastAsia" w:ascii="宋体" w:hAnsi="宋体" w:eastAsia="宋体" w:cs="宋体"/>
                <w:color w:val="auto"/>
                <w:kern w:val="0"/>
                <w:sz w:val="24"/>
                <w:highlight w:val="none"/>
                <w:lang w:eastAsia="zh-CN"/>
              </w:rPr>
              <w:t>[C22010200]一般会议服务</w:t>
            </w:r>
          </w:p>
        </w:tc>
        <w:tc>
          <w:tcPr>
            <w:tcW w:w="93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否</w:t>
            </w:r>
          </w:p>
        </w:tc>
        <w:tc>
          <w:tcPr>
            <w:tcW w:w="70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2（年）</w:t>
            </w:r>
          </w:p>
        </w:tc>
        <w:tc>
          <w:tcPr>
            <w:tcW w:w="124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auto"/>
                <w:kern w:val="0"/>
                <w:sz w:val="24"/>
                <w:highlight w:val="none"/>
              </w:rPr>
            </w:pPr>
            <w:r>
              <w:rPr>
                <w:rFonts w:ascii="宋体" w:hAnsi="宋体" w:eastAsia="宋体" w:cs="宋体"/>
                <w:color w:val="auto"/>
                <w:kern w:val="0"/>
                <w:sz w:val="24"/>
                <w:szCs w:val="24"/>
                <w:highlight w:val="none"/>
                <w:lang w:val="en-US" w:eastAsia="zh-CN" w:bidi="ar"/>
              </w:rPr>
              <w:t>3000000</w:t>
            </w:r>
            <w:r>
              <w:rPr>
                <w:rFonts w:hint="eastAsia" w:ascii="宋体" w:hAnsi="宋体" w:eastAsia="宋体" w:cs="宋体"/>
                <w:color w:val="auto"/>
                <w:kern w:val="0"/>
                <w:sz w:val="24"/>
                <w:highlight w:val="none"/>
                <w:lang w:val="en-US" w:eastAsia="zh-CN"/>
              </w:rPr>
              <w:t>元</w:t>
            </w:r>
          </w:p>
        </w:tc>
        <w:tc>
          <w:tcPr>
            <w:tcW w:w="69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0</w:t>
            </w:r>
          </w:p>
        </w:tc>
      </w:tr>
    </w:tbl>
    <w:p>
      <w:pPr>
        <w:pStyle w:val="16"/>
        <w:widowControl/>
        <w:spacing w:before="75" w:beforeAutospacing="0" w:after="75" w:afterAutospacing="0"/>
        <w:jc w:val="center"/>
        <w:rPr>
          <w:rStyle w:val="24"/>
          <w:rFonts w:ascii="宋体" w:hAnsi="宋体" w:eastAsia="宋体" w:cs="宋体"/>
          <w:color w:val="auto"/>
          <w:sz w:val="31"/>
          <w:szCs w:val="31"/>
          <w:highlight w:val="none"/>
        </w:rPr>
      </w:pPr>
    </w:p>
    <w:p>
      <w:pPr>
        <w:rPr>
          <w:rStyle w:val="24"/>
          <w:rFonts w:ascii="宋体" w:hAnsi="宋体" w:eastAsia="宋体" w:cs="宋体"/>
          <w:color w:val="auto"/>
          <w:kern w:val="0"/>
          <w:sz w:val="31"/>
          <w:szCs w:val="31"/>
          <w:highlight w:val="none"/>
        </w:rPr>
      </w:pPr>
      <w:r>
        <w:rPr>
          <w:rStyle w:val="24"/>
          <w:rFonts w:ascii="宋体" w:hAnsi="宋体" w:eastAsia="宋体" w:cs="宋体"/>
          <w:color w:val="auto"/>
          <w:sz w:val="31"/>
          <w:szCs w:val="31"/>
          <w:highlight w:val="none"/>
        </w:rPr>
        <w:br w:type="page"/>
      </w:r>
    </w:p>
    <w:p>
      <w:pPr>
        <w:pStyle w:val="16"/>
        <w:widowControl/>
        <w:spacing w:before="75" w:beforeAutospacing="0" w:after="75" w:afterAutospacing="0"/>
        <w:jc w:val="center"/>
        <w:rPr>
          <w:color w:val="auto"/>
          <w:highlight w:val="none"/>
        </w:rPr>
      </w:pPr>
      <w:r>
        <w:rPr>
          <w:rStyle w:val="24"/>
          <w:rFonts w:hint="eastAsia" w:ascii="宋体" w:hAnsi="宋体" w:eastAsia="宋体" w:cs="宋体"/>
          <w:color w:val="auto"/>
          <w:sz w:val="31"/>
          <w:szCs w:val="31"/>
          <w:highlight w:val="none"/>
        </w:rPr>
        <w:t>第二章</w:t>
      </w:r>
      <w:r>
        <w:rPr>
          <w:rStyle w:val="24"/>
          <w:color w:val="auto"/>
          <w:sz w:val="31"/>
          <w:szCs w:val="31"/>
          <w:highlight w:val="none"/>
        </w:rPr>
        <w:t>   </w:t>
      </w:r>
      <w:r>
        <w:rPr>
          <w:rStyle w:val="24"/>
          <w:rFonts w:hint="eastAsia" w:ascii="宋体" w:hAnsi="宋体" w:eastAsia="宋体" w:cs="宋体"/>
          <w:color w:val="auto"/>
          <w:sz w:val="31"/>
          <w:szCs w:val="31"/>
          <w:highlight w:val="none"/>
        </w:rPr>
        <w:t>供应商须知前附表（表1）</w:t>
      </w:r>
    </w:p>
    <w:p>
      <w:pPr>
        <w:pStyle w:val="16"/>
        <w:widowControl/>
        <w:spacing w:before="75" w:beforeAutospacing="0" w:after="75" w:afterAutospacing="0"/>
        <w:rPr>
          <w:color w:val="auto"/>
          <w:highlight w:val="none"/>
        </w:rPr>
      </w:pPr>
      <w:r>
        <w:rPr>
          <w:color w:val="auto"/>
          <w:highlight w:val="none"/>
        </w:rPr>
        <w:t> </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表</w:t>
      </w:r>
      <w:r>
        <w:rPr>
          <w:color w:val="auto"/>
          <w:highlight w:val="none"/>
        </w:rPr>
        <w:t>1</w:t>
      </w:r>
    </w:p>
    <w:tbl>
      <w:tblPr>
        <w:tblStyle w:val="21"/>
        <w:tblW w:w="869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1453"/>
        <w:gridCol w:w="67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91" w:type="dxa"/>
            <w:gridSpan w:val="3"/>
          </w:tcPr>
          <w:p>
            <w:pPr>
              <w:pStyle w:val="16"/>
              <w:widowControl/>
              <w:spacing w:beforeAutospacing="0" w:afterAutospacing="0"/>
              <w:jc w:val="center"/>
              <w:rPr>
                <w:color w:val="auto"/>
                <w:highlight w:val="none"/>
              </w:rPr>
            </w:pPr>
            <w:r>
              <w:rPr>
                <w:rStyle w:val="24"/>
                <w:rFonts w:hint="eastAsia" w:ascii="宋体" w:hAnsi="宋体" w:eastAsia="宋体" w:cs="宋体"/>
                <w:color w:val="auto"/>
                <w:highlight w:val="none"/>
              </w:rPr>
              <w:t>特别提示：本表与征集文件对应章节的内容若不一致，以本表为准。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pPr>
              <w:pStyle w:val="16"/>
              <w:widowControl/>
              <w:spacing w:beforeAutospacing="0" w:afterAutospacing="0"/>
              <w:jc w:val="center"/>
              <w:rPr>
                <w:color w:val="auto"/>
                <w:highlight w:val="none"/>
              </w:rPr>
            </w:pPr>
            <w:r>
              <w:rPr>
                <w:rFonts w:hint="eastAsia" w:ascii="宋体" w:hAnsi="宋体" w:eastAsia="宋体" w:cs="宋体"/>
                <w:color w:val="auto"/>
                <w:highlight w:val="none"/>
              </w:rPr>
              <w:t>项号</w:t>
            </w:r>
          </w:p>
        </w:tc>
        <w:tc>
          <w:tcPr>
            <w:tcW w:w="1453" w:type="dxa"/>
          </w:tcPr>
          <w:p>
            <w:pPr>
              <w:pStyle w:val="16"/>
              <w:widowControl/>
              <w:spacing w:beforeAutospacing="0" w:afterAutospacing="0"/>
              <w:jc w:val="center"/>
              <w:rPr>
                <w:color w:val="auto"/>
                <w:highlight w:val="none"/>
              </w:rPr>
            </w:pPr>
            <w:r>
              <w:rPr>
                <w:rFonts w:hint="eastAsia" w:ascii="宋体" w:hAnsi="宋体" w:eastAsia="宋体" w:cs="宋体"/>
                <w:color w:val="auto"/>
                <w:highlight w:val="none"/>
              </w:rPr>
              <w:t>征集文件</w:t>
            </w:r>
          </w:p>
          <w:p>
            <w:pPr>
              <w:pStyle w:val="16"/>
              <w:widowControl/>
              <w:spacing w:beforeAutospacing="0" w:afterAutospacing="0"/>
              <w:jc w:val="center"/>
              <w:rPr>
                <w:color w:val="auto"/>
                <w:highlight w:val="none"/>
              </w:rPr>
            </w:pPr>
            <w:r>
              <w:rPr>
                <w:rFonts w:hint="eastAsia" w:ascii="宋体" w:hAnsi="宋体" w:eastAsia="宋体" w:cs="宋体"/>
                <w:color w:val="auto"/>
                <w:highlight w:val="none"/>
              </w:rPr>
              <w:t>（第三章）</w:t>
            </w:r>
          </w:p>
        </w:tc>
        <w:tc>
          <w:tcPr>
            <w:tcW w:w="6704" w:type="dxa"/>
          </w:tcPr>
          <w:p>
            <w:pPr>
              <w:pStyle w:val="16"/>
              <w:widowControl/>
              <w:spacing w:beforeAutospacing="0" w:afterAutospacing="0"/>
              <w:jc w:val="center"/>
              <w:rPr>
                <w:color w:val="auto"/>
                <w:highlight w:val="none"/>
              </w:rPr>
            </w:pPr>
            <w:r>
              <w:rPr>
                <w:rFonts w:hint="eastAsia" w:ascii="宋体" w:hAnsi="宋体" w:eastAsia="宋体" w:cs="宋体"/>
                <w:color w:val="auto"/>
                <w:highlight w:val="none"/>
              </w:rPr>
              <w:t>编列内容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pPr>
              <w:pStyle w:val="16"/>
              <w:widowControl/>
              <w:spacing w:beforeAutospacing="0" w:afterAutospacing="0"/>
              <w:jc w:val="center"/>
              <w:rPr>
                <w:color w:val="auto"/>
                <w:highlight w:val="none"/>
              </w:rPr>
            </w:pPr>
            <w:r>
              <w:rPr>
                <w:rFonts w:hint="eastAsia" w:ascii="宋体" w:hAnsi="宋体" w:eastAsia="宋体" w:cs="宋体"/>
                <w:color w:val="auto"/>
                <w:highlight w:val="none"/>
              </w:rPr>
              <w:t>1</w:t>
            </w:r>
          </w:p>
        </w:tc>
        <w:tc>
          <w:tcPr>
            <w:tcW w:w="1453" w:type="dxa"/>
          </w:tcPr>
          <w:p>
            <w:pPr>
              <w:pStyle w:val="16"/>
              <w:widowControl/>
              <w:spacing w:beforeAutospacing="0" w:afterAutospacing="0"/>
              <w:jc w:val="center"/>
              <w:rPr>
                <w:color w:val="auto"/>
                <w:highlight w:val="none"/>
              </w:rPr>
            </w:pPr>
            <w:r>
              <w:rPr>
                <w:rFonts w:hint="eastAsia" w:ascii="宋体" w:hAnsi="宋体" w:eastAsia="宋体" w:cs="宋体"/>
                <w:color w:val="auto"/>
                <w:highlight w:val="none"/>
              </w:rPr>
              <w:t>6.1</w:t>
            </w:r>
          </w:p>
        </w:tc>
        <w:tc>
          <w:tcPr>
            <w:tcW w:w="6704" w:type="dxa"/>
          </w:tcPr>
          <w:p>
            <w:pPr>
              <w:pStyle w:val="16"/>
              <w:widowControl/>
              <w:spacing w:beforeAutospacing="0" w:afterAutospacing="0"/>
              <w:rPr>
                <w:color w:val="auto"/>
                <w:highlight w:val="none"/>
              </w:rPr>
            </w:pPr>
            <w:r>
              <w:rPr>
                <w:rStyle w:val="24"/>
                <w:rFonts w:hint="eastAsia" w:ascii="宋体" w:hAnsi="宋体" w:eastAsia="宋体" w:cs="宋体"/>
                <w:color w:val="auto"/>
                <w:highlight w:val="none"/>
              </w:rPr>
              <w:t>是否组织现场考察或召开开标前答疑会：</w:t>
            </w:r>
            <w:r>
              <w:rPr>
                <w:rFonts w:hint="eastAsia" w:ascii="宋体" w:hAnsi="宋体" w:eastAsia="宋体" w:cs="宋体"/>
                <w:color w:val="auto"/>
                <w:highlight w:val="none"/>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pPr>
              <w:pStyle w:val="16"/>
              <w:widowControl/>
              <w:spacing w:beforeAutospacing="0" w:afterAutospacing="0"/>
              <w:jc w:val="center"/>
              <w:rPr>
                <w:color w:val="auto"/>
                <w:highlight w:val="none"/>
              </w:rPr>
            </w:pPr>
            <w:r>
              <w:rPr>
                <w:rFonts w:hint="eastAsia" w:ascii="宋体" w:hAnsi="宋体" w:eastAsia="宋体" w:cs="宋体"/>
                <w:color w:val="auto"/>
                <w:highlight w:val="none"/>
              </w:rPr>
              <w:t>2</w:t>
            </w:r>
          </w:p>
        </w:tc>
        <w:tc>
          <w:tcPr>
            <w:tcW w:w="1453" w:type="dxa"/>
          </w:tcPr>
          <w:p>
            <w:pPr>
              <w:pStyle w:val="16"/>
              <w:widowControl/>
              <w:spacing w:beforeAutospacing="0" w:afterAutospacing="0"/>
              <w:jc w:val="center"/>
              <w:rPr>
                <w:color w:val="auto"/>
                <w:highlight w:val="none"/>
              </w:rPr>
            </w:pPr>
            <w:r>
              <w:rPr>
                <w:rFonts w:hint="eastAsia" w:ascii="宋体" w:hAnsi="宋体" w:eastAsia="宋体" w:cs="宋体"/>
                <w:color w:val="auto"/>
                <w:highlight w:val="none"/>
              </w:rPr>
              <w:t>10.4</w:t>
            </w:r>
          </w:p>
        </w:tc>
        <w:tc>
          <w:tcPr>
            <w:tcW w:w="6704" w:type="dxa"/>
          </w:tcPr>
          <w:p>
            <w:pPr>
              <w:pStyle w:val="16"/>
              <w:widowControl/>
              <w:spacing w:beforeAutospacing="0" w:afterAutospacing="0"/>
              <w:rPr>
                <w:color w:val="auto"/>
                <w:highlight w:val="none"/>
              </w:rPr>
            </w:pPr>
            <w:r>
              <w:rPr>
                <w:rStyle w:val="24"/>
                <w:rFonts w:hint="eastAsia" w:ascii="宋体" w:hAnsi="宋体" w:eastAsia="宋体" w:cs="宋体"/>
                <w:color w:val="auto"/>
                <w:highlight w:val="none"/>
              </w:rPr>
              <w:t>响应文件的份数：</w:t>
            </w:r>
          </w:p>
          <w:p>
            <w:pPr>
              <w:pStyle w:val="16"/>
              <w:widowControl/>
              <w:wordWrap w:val="0"/>
              <w:snapToGrid w:val="0"/>
              <w:spacing w:beforeAutospacing="0" w:afterAutospacing="0" w:line="360" w:lineRule="auto"/>
              <w:ind w:firstLine="480" w:firstLineChars="200"/>
              <w:rPr>
                <w:color w:val="auto"/>
                <w:highlight w:val="none"/>
              </w:rPr>
            </w:pPr>
            <w:r>
              <w:rPr>
                <w:color w:val="auto"/>
                <w:highlight w:val="none"/>
              </w:rPr>
              <w:t>（1）纸质</w:t>
            </w:r>
            <w:r>
              <w:rPr>
                <w:rFonts w:hint="eastAsia"/>
                <w:color w:val="auto"/>
                <w:highlight w:val="none"/>
              </w:rPr>
              <w:t>响应文件</w:t>
            </w:r>
            <w:r>
              <w:rPr>
                <w:color w:val="auto"/>
                <w:highlight w:val="none"/>
              </w:rPr>
              <w:t>：</w:t>
            </w:r>
            <w:r>
              <w:rPr>
                <w:rFonts w:hint="eastAsia"/>
                <w:color w:val="auto"/>
                <w:highlight w:val="none"/>
              </w:rPr>
              <w:t>资格及资信证明部分的正本1份、副本0份，报价部分的正本1份、副本0份，技术商务部分的正本1份、副本0份。</w:t>
            </w:r>
          </w:p>
          <w:p>
            <w:pPr>
              <w:pStyle w:val="16"/>
              <w:widowControl/>
              <w:wordWrap w:val="0"/>
              <w:snapToGrid w:val="0"/>
              <w:spacing w:beforeAutospacing="0" w:afterAutospacing="0" w:line="360" w:lineRule="auto"/>
              <w:ind w:firstLine="480" w:firstLineChars="200"/>
              <w:rPr>
                <w:color w:val="auto"/>
                <w:highlight w:val="none"/>
              </w:rPr>
            </w:pPr>
            <w:r>
              <w:rPr>
                <w:rFonts w:hint="eastAsia"/>
                <w:color w:val="auto"/>
                <w:highlight w:val="none"/>
              </w:rPr>
              <w:t>（2）电子响应文件：可读介质（光盘或</w:t>
            </w:r>
            <w:r>
              <w:rPr>
                <w:color w:val="auto"/>
                <w:highlight w:val="none"/>
              </w:rPr>
              <w:t>U</w:t>
            </w:r>
            <w:r>
              <w:rPr>
                <w:rFonts w:hint="eastAsia"/>
                <w:color w:val="auto"/>
                <w:highlight w:val="none"/>
              </w:rPr>
              <w:t>盘）1份，供应商应扫描纸质响应文件正本以</w:t>
            </w:r>
            <w:r>
              <w:rPr>
                <w:color w:val="auto"/>
                <w:highlight w:val="none"/>
              </w:rPr>
              <w:t>PDF</w:t>
            </w:r>
            <w:r>
              <w:rPr>
                <w:rFonts w:hint="eastAsia"/>
                <w:color w:val="auto"/>
                <w:highlight w:val="none"/>
              </w:rPr>
              <w:t>格式制作成电子文本，其中所有文件不做压缩处理、不留密码。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pPr>
              <w:pStyle w:val="16"/>
              <w:widowControl/>
              <w:spacing w:beforeAutospacing="0" w:afterAutospacing="0"/>
              <w:jc w:val="center"/>
              <w:rPr>
                <w:color w:val="auto"/>
                <w:highlight w:val="none"/>
              </w:rPr>
            </w:pPr>
            <w:r>
              <w:rPr>
                <w:rFonts w:hint="eastAsia" w:ascii="宋体" w:hAnsi="宋体" w:eastAsia="宋体" w:cs="宋体"/>
                <w:color w:val="auto"/>
                <w:highlight w:val="none"/>
              </w:rPr>
              <w:t>3</w:t>
            </w:r>
          </w:p>
        </w:tc>
        <w:tc>
          <w:tcPr>
            <w:tcW w:w="1453" w:type="dxa"/>
          </w:tcPr>
          <w:p>
            <w:pPr>
              <w:pStyle w:val="16"/>
              <w:widowControl/>
              <w:spacing w:beforeAutospacing="0" w:afterAutospacing="0"/>
              <w:rPr>
                <w:color w:val="auto"/>
                <w:highlight w:val="none"/>
              </w:rPr>
            </w:pPr>
            <w:r>
              <w:rPr>
                <w:rFonts w:hint="eastAsia" w:ascii="宋体" w:hAnsi="宋体" w:eastAsia="宋体" w:cs="宋体"/>
                <w:color w:val="auto"/>
                <w:highlight w:val="none"/>
              </w:rPr>
              <w:t>10.5-（</w:t>
            </w:r>
            <w:r>
              <w:rPr>
                <w:rFonts w:ascii="Times New Roman" w:hAnsi="Times New Roman"/>
                <w:color w:val="auto"/>
                <w:highlight w:val="none"/>
              </w:rPr>
              <w:t>2</w:t>
            </w:r>
            <w:r>
              <w:rPr>
                <w:rFonts w:hint="eastAsia" w:ascii="宋体" w:hAnsi="宋体" w:eastAsia="宋体" w:cs="宋体"/>
                <w:color w:val="auto"/>
                <w:highlight w:val="none"/>
              </w:rPr>
              <w:t>）</w:t>
            </w:r>
            <w:r>
              <w:rPr>
                <w:rFonts w:ascii="Times New Roman" w:hAnsi="Times New Roman"/>
                <w:color w:val="auto"/>
                <w:highlight w:val="none"/>
              </w:rPr>
              <w:t>-</w:t>
            </w:r>
            <w:r>
              <w:rPr>
                <w:rFonts w:hint="eastAsia" w:ascii="宋体" w:hAnsi="宋体" w:eastAsia="宋体" w:cs="宋体"/>
                <w:color w:val="auto"/>
                <w:highlight w:val="none"/>
              </w:rPr>
              <w:t>③</w:t>
            </w:r>
          </w:p>
        </w:tc>
        <w:tc>
          <w:tcPr>
            <w:tcW w:w="6704" w:type="dxa"/>
          </w:tcPr>
          <w:p>
            <w:pPr>
              <w:pStyle w:val="16"/>
              <w:widowControl/>
              <w:spacing w:beforeAutospacing="0" w:afterAutospacing="0"/>
              <w:rPr>
                <w:color w:val="auto"/>
                <w:highlight w:val="none"/>
              </w:rPr>
            </w:pPr>
            <w:r>
              <w:rPr>
                <w:rStyle w:val="24"/>
                <w:rFonts w:hint="eastAsia" w:ascii="宋体" w:hAnsi="宋体" w:eastAsia="宋体" w:cs="宋体"/>
                <w:color w:val="auto"/>
                <w:highlight w:val="none"/>
              </w:rPr>
              <w:t>允许散装或活页装订的内容或材料：</w:t>
            </w:r>
          </w:p>
          <w:p>
            <w:pPr>
              <w:pStyle w:val="16"/>
              <w:widowControl/>
              <w:spacing w:beforeAutospacing="0" w:afterAutospacing="0"/>
              <w:rPr>
                <w:color w:val="auto"/>
                <w:highlight w:val="none"/>
              </w:rPr>
            </w:pPr>
            <w:r>
              <w:rPr>
                <w:rFonts w:hint="eastAsia" w:ascii="宋体" w:hAnsi="宋体" w:eastAsia="宋体" w:cs="宋体"/>
                <w:color w:val="auto"/>
                <w:highlight w:val="none"/>
              </w:rPr>
              <w:t>（1）响应文件的补充、修改或撤回；</w:t>
            </w:r>
          </w:p>
          <w:p>
            <w:pPr>
              <w:pStyle w:val="16"/>
              <w:widowControl/>
              <w:spacing w:beforeAutospacing="0" w:afterAutospacing="0"/>
              <w:rPr>
                <w:color w:val="auto"/>
                <w:highlight w:val="none"/>
              </w:rPr>
            </w:pPr>
            <w:r>
              <w:rPr>
                <w:rFonts w:hint="eastAsia" w:ascii="宋体" w:hAnsi="宋体" w:eastAsia="宋体" w:cs="宋体"/>
                <w:color w:val="auto"/>
                <w:highlight w:val="none"/>
              </w:rPr>
              <w:t>（2）其他内容或材料：无。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pPr>
              <w:pStyle w:val="16"/>
              <w:widowControl/>
              <w:spacing w:beforeAutospacing="0" w:afterAutospacing="0"/>
              <w:jc w:val="center"/>
              <w:rPr>
                <w:color w:val="auto"/>
                <w:highlight w:val="none"/>
              </w:rPr>
            </w:pPr>
            <w:r>
              <w:rPr>
                <w:rFonts w:hint="eastAsia" w:ascii="宋体" w:hAnsi="宋体" w:eastAsia="宋体" w:cs="宋体"/>
                <w:color w:val="auto"/>
                <w:highlight w:val="none"/>
              </w:rPr>
              <w:t>4</w:t>
            </w:r>
          </w:p>
        </w:tc>
        <w:tc>
          <w:tcPr>
            <w:tcW w:w="1453" w:type="dxa"/>
          </w:tcPr>
          <w:p>
            <w:pPr>
              <w:pStyle w:val="16"/>
              <w:widowControl/>
              <w:spacing w:beforeAutospacing="0" w:afterAutospacing="0"/>
              <w:rPr>
                <w:color w:val="auto"/>
                <w:highlight w:val="none"/>
              </w:rPr>
            </w:pPr>
            <w:r>
              <w:rPr>
                <w:rFonts w:hint="eastAsia" w:ascii="宋体" w:hAnsi="宋体" w:eastAsia="宋体" w:cs="宋体"/>
                <w:color w:val="auto"/>
                <w:highlight w:val="none"/>
              </w:rPr>
              <w:t> 10.7-（</w:t>
            </w:r>
            <w:r>
              <w:rPr>
                <w:rFonts w:ascii="Times New Roman" w:hAnsi="Times New Roman"/>
                <w:color w:val="auto"/>
                <w:highlight w:val="none"/>
              </w:rPr>
              <w:t>1</w:t>
            </w:r>
            <w:r>
              <w:rPr>
                <w:rFonts w:hint="eastAsia" w:ascii="宋体" w:hAnsi="宋体" w:eastAsia="宋体" w:cs="宋体"/>
                <w:color w:val="auto"/>
                <w:highlight w:val="none"/>
              </w:rPr>
              <w:t>）</w:t>
            </w:r>
          </w:p>
        </w:tc>
        <w:tc>
          <w:tcPr>
            <w:tcW w:w="6704" w:type="dxa"/>
          </w:tcPr>
          <w:p>
            <w:pPr>
              <w:pStyle w:val="16"/>
              <w:widowControl/>
              <w:spacing w:beforeAutospacing="0" w:afterAutospacing="0"/>
              <w:rPr>
                <w:color w:val="auto"/>
                <w:highlight w:val="none"/>
              </w:rPr>
            </w:pPr>
            <w:r>
              <w:rPr>
                <w:rStyle w:val="24"/>
                <w:rFonts w:hint="eastAsia" w:ascii="宋体" w:hAnsi="宋体" w:eastAsia="宋体" w:cs="宋体"/>
                <w:color w:val="auto"/>
                <w:highlight w:val="none"/>
              </w:rPr>
              <w:t>是否允许入围供应商将本项目的非主体、非关键性工作进行分包：</w:t>
            </w:r>
          </w:p>
          <w:p>
            <w:pPr>
              <w:pStyle w:val="16"/>
              <w:widowControl/>
              <w:spacing w:beforeAutospacing="0" w:afterAutospacing="0"/>
              <w:rPr>
                <w:color w:val="auto"/>
                <w:highlight w:val="none"/>
              </w:rPr>
            </w:pPr>
            <w:r>
              <w:rPr>
                <w:rFonts w:hint="eastAsia" w:ascii="宋体" w:hAnsi="宋体" w:eastAsia="宋体" w:cs="宋体"/>
                <w:color w:val="auto"/>
                <w:highlight w:val="none"/>
              </w:rPr>
              <w:t>不允许。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pPr>
              <w:pStyle w:val="16"/>
              <w:widowControl/>
              <w:spacing w:beforeAutospacing="0" w:afterAutospacing="0"/>
              <w:jc w:val="center"/>
              <w:rPr>
                <w:color w:val="auto"/>
                <w:highlight w:val="none"/>
              </w:rPr>
            </w:pPr>
            <w:r>
              <w:rPr>
                <w:rFonts w:hint="eastAsia" w:ascii="宋体" w:hAnsi="宋体" w:eastAsia="宋体" w:cs="宋体"/>
                <w:color w:val="auto"/>
                <w:highlight w:val="none"/>
              </w:rPr>
              <w:t>5</w:t>
            </w:r>
          </w:p>
        </w:tc>
        <w:tc>
          <w:tcPr>
            <w:tcW w:w="1453" w:type="dxa"/>
          </w:tcPr>
          <w:p>
            <w:pPr>
              <w:pStyle w:val="16"/>
              <w:widowControl/>
              <w:spacing w:beforeAutospacing="0" w:afterAutospacing="0"/>
              <w:jc w:val="center"/>
              <w:rPr>
                <w:color w:val="auto"/>
                <w:highlight w:val="none"/>
              </w:rPr>
            </w:pPr>
            <w:r>
              <w:rPr>
                <w:rFonts w:hint="eastAsia" w:ascii="宋体" w:hAnsi="宋体" w:eastAsia="宋体" w:cs="宋体"/>
                <w:color w:val="auto"/>
                <w:highlight w:val="none"/>
              </w:rPr>
              <w:t>10.8-（</w:t>
            </w:r>
            <w:r>
              <w:rPr>
                <w:rFonts w:ascii="Calibri" w:hAnsi="Calibri" w:cs="Calibri"/>
                <w:color w:val="auto"/>
                <w:highlight w:val="none"/>
              </w:rPr>
              <w:t>1</w:t>
            </w:r>
            <w:r>
              <w:rPr>
                <w:rFonts w:hint="eastAsia" w:ascii="宋体" w:hAnsi="宋体" w:eastAsia="宋体" w:cs="宋体"/>
                <w:color w:val="auto"/>
                <w:highlight w:val="none"/>
              </w:rPr>
              <w:t>）</w:t>
            </w:r>
          </w:p>
        </w:tc>
        <w:tc>
          <w:tcPr>
            <w:tcW w:w="6704" w:type="dxa"/>
          </w:tcPr>
          <w:p>
            <w:pPr>
              <w:pStyle w:val="16"/>
              <w:widowControl/>
              <w:spacing w:beforeAutospacing="0" w:afterAutospacing="0"/>
              <w:rPr>
                <w:color w:val="auto"/>
                <w:highlight w:val="none"/>
              </w:rPr>
            </w:pPr>
            <w:r>
              <w:rPr>
                <w:rStyle w:val="24"/>
                <w:rFonts w:hint="eastAsia" w:ascii="宋体" w:hAnsi="宋体" w:eastAsia="宋体" w:cs="宋体"/>
                <w:color w:val="auto"/>
                <w:highlight w:val="none"/>
              </w:rPr>
              <w:t>响应文件有效期</w:t>
            </w:r>
            <w:r>
              <w:rPr>
                <w:rFonts w:hint="eastAsia" w:ascii="宋体" w:hAnsi="宋体" w:eastAsia="宋体" w:cs="宋体"/>
                <w:color w:val="auto"/>
                <w:highlight w:val="none"/>
              </w:rPr>
              <w:t>：递交响应文件截止时间起90个日历日。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pPr>
              <w:pStyle w:val="16"/>
              <w:widowControl/>
              <w:spacing w:beforeAutospacing="0" w:afterAutospacing="0"/>
              <w:jc w:val="center"/>
              <w:rPr>
                <w:color w:val="auto"/>
                <w:highlight w:val="none"/>
              </w:rPr>
            </w:pPr>
            <w:r>
              <w:rPr>
                <w:rFonts w:hint="eastAsia" w:ascii="宋体" w:hAnsi="宋体" w:eastAsia="宋体" w:cs="宋体"/>
                <w:color w:val="auto"/>
                <w:highlight w:val="none"/>
              </w:rPr>
              <w:t>6</w:t>
            </w:r>
          </w:p>
        </w:tc>
        <w:tc>
          <w:tcPr>
            <w:tcW w:w="1453" w:type="dxa"/>
          </w:tcPr>
          <w:p>
            <w:pPr>
              <w:pStyle w:val="16"/>
              <w:widowControl/>
              <w:spacing w:beforeAutospacing="0" w:afterAutospacing="0"/>
              <w:jc w:val="center"/>
              <w:rPr>
                <w:color w:val="auto"/>
                <w:highlight w:val="none"/>
              </w:rPr>
            </w:pPr>
            <w:r>
              <w:rPr>
                <w:rFonts w:hint="eastAsia" w:ascii="宋体" w:hAnsi="宋体" w:eastAsia="宋体" w:cs="宋体"/>
                <w:color w:val="auto"/>
                <w:highlight w:val="none"/>
              </w:rPr>
              <w:t>10.10-（</w:t>
            </w:r>
            <w:r>
              <w:rPr>
                <w:rFonts w:ascii="Calibri" w:hAnsi="Calibri" w:cs="Calibri"/>
                <w:color w:val="auto"/>
                <w:highlight w:val="none"/>
              </w:rPr>
              <w:t>2</w:t>
            </w:r>
            <w:r>
              <w:rPr>
                <w:rFonts w:hint="eastAsia" w:ascii="宋体" w:hAnsi="宋体" w:eastAsia="宋体" w:cs="宋体"/>
                <w:color w:val="auto"/>
                <w:highlight w:val="none"/>
              </w:rPr>
              <w:t>）</w:t>
            </w:r>
          </w:p>
        </w:tc>
        <w:tc>
          <w:tcPr>
            <w:tcW w:w="6704" w:type="dxa"/>
          </w:tcPr>
          <w:p>
            <w:pPr>
              <w:pStyle w:val="16"/>
              <w:widowControl/>
              <w:spacing w:beforeAutospacing="0" w:afterAutospacing="0"/>
              <w:rPr>
                <w:color w:val="auto"/>
                <w:highlight w:val="none"/>
              </w:rPr>
            </w:pPr>
            <w:r>
              <w:rPr>
                <w:rStyle w:val="24"/>
                <w:rFonts w:hint="eastAsia" w:ascii="宋体" w:hAnsi="宋体" w:eastAsia="宋体" w:cs="宋体"/>
                <w:color w:val="auto"/>
                <w:highlight w:val="none"/>
              </w:rPr>
              <w:t>密封及其标记的具体形式：</w:t>
            </w:r>
          </w:p>
          <w:p>
            <w:pPr>
              <w:pStyle w:val="16"/>
              <w:widowControl/>
              <w:spacing w:beforeAutospacing="0" w:afterAutospacing="0"/>
              <w:rPr>
                <w:rFonts w:ascii="宋体" w:hAnsi="宋体" w:eastAsia="宋体" w:cs="宋体"/>
                <w:color w:val="auto"/>
                <w:highlight w:val="none"/>
              </w:rPr>
            </w:pPr>
            <w:r>
              <w:rPr>
                <w:rFonts w:hint="eastAsia" w:ascii="宋体" w:hAnsi="宋体" w:eastAsia="宋体" w:cs="宋体"/>
                <w:color w:val="auto"/>
                <w:highlight w:val="none"/>
              </w:rPr>
              <w:t>（1）全部纸质响应文件。资格及资信证明部分、报价部分、技术商务部分应单独密封，电子文本（应在介质上张贴供应商及项目名称的标签）装在报价部分正本中。即响应文件至少分三个密封包封装，所有密封包应分别密封、同时提交。</w:t>
            </w:r>
          </w:p>
          <w:p>
            <w:pPr>
              <w:pStyle w:val="16"/>
              <w:widowControl/>
              <w:wordWrap w:val="0"/>
              <w:snapToGrid w:val="0"/>
              <w:spacing w:beforeAutospacing="0" w:afterAutospacing="0" w:line="360" w:lineRule="auto"/>
              <w:ind w:firstLine="482" w:firstLineChars="200"/>
              <w:rPr>
                <w:rFonts w:eastAsia="宋体"/>
                <w:b/>
                <w:bCs/>
                <w:color w:val="auto"/>
                <w:highlight w:val="none"/>
              </w:rPr>
            </w:pPr>
            <w:r>
              <w:rPr>
                <w:rFonts w:hint="eastAsia" w:eastAsia="宋体"/>
                <w:b/>
                <w:bCs/>
                <w:color w:val="auto"/>
                <w:highlight w:val="none"/>
              </w:rPr>
              <w:t>未按规定密封的响应文件，代理机构将予拒收。</w:t>
            </w:r>
          </w:p>
          <w:p>
            <w:pPr>
              <w:pStyle w:val="16"/>
              <w:widowControl/>
              <w:spacing w:beforeAutospacing="0" w:afterAutospacing="0"/>
              <w:rPr>
                <w:color w:val="auto"/>
                <w:highlight w:val="none"/>
              </w:rPr>
            </w:pPr>
            <w:r>
              <w:rPr>
                <w:rFonts w:hint="eastAsia" w:ascii="宋体" w:hAnsi="宋体" w:eastAsia="宋体" w:cs="宋体"/>
                <w:color w:val="auto"/>
                <w:highlight w:val="none"/>
              </w:rPr>
              <w:t>（2）密封的外包装应至少标记</w:t>
            </w:r>
            <w:r>
              <w:rPr>
                <w:rFonts w:hint="eastAsia" w:eastAsia="宋体"/>
                <w:color w:val="auto"/>
                <w:highlight w:val="none"/>
              </w:rPr>
              <w:t>“项目名称、项目编号、所投合同包、</w:t>
            </w:r>
            <w:r>
              <w:rPr>
                <w:rFonts w:hint="eastAsia"/>
                <w:color w:val="auto"/>
                <w:highlight w:val="none"/>
              </w:rPr>
              <w:t>供应商</w:t>
            </w:r>
            <w:r>
              <w:rPr>
                <w:rFonts w:hint="eastAsia" w:eastAsia="宋体"/>
                <w:color w:val="auto"/>
                <w:highlight w:val="none"/>
              </w:rPr>
              <w:t>的全称、正本”</w:t>
            </w:r>
            <w:r>
              <w:rPr>
                <w:rFonts w:hint="eastAsia" w:ascii="宋体" w:hAnsi="宋体" w:eastAsia="宋体" w:cs="宋体"/>
                <w:color w:val="auto"/>
                <w:highlight w:val="none"/>
              </w:rPr>
              <w:t>等内容，否则造成响应文件误投、遗漏或提前拆封的，</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不承担责任。</w:t>
            </w:r>
          </w:p>
          <w:p>
            <w:pPr>
              <w:pStyle w:val="16"/>
              <w:widowControl/>
              <w:spacing w:beforeAutospacing="0" w:afterAutospacing="0"/>
              <w:rPr>
                <w:color w:val="auto"/>
                <w:highlight w:val="none"/>
              </w:rPr>
            </w:pPr>
            <w:r>
              <w:rPr>
                <w:rFonts w:hint="eastAsia" w:ascii="宋体" w:hAnsi="宋体" w:eastAsia="宋体" w:cs="宋体"/>
                <w:color w:val="auto"/>
                <w:highlight w:val="none"/>
              </w:rPr>
              <w:t>（3）其他：递交响应文件时，供应商代表为法定代表人的需携带营业执照复印件及身份证复印件，供应商代表非法定代表人的需提供法人授权书及身份证复印件。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pPr>
              <w:pStyle w:val="16"/>
              <w:widowControl/>
              <w:spacing w:beforeAutospacing="0" w:afterAutospacing="0"/>
              <w:jc w:val="center"/>
              <w:rPr>
                <w:rFonts w:ascii="宋体" w:hAnsi="宋体" w:eastAsia="宋体" w:cs="宋体"/>
                <w:color w:val="auto"/>
                <w:highlight w:val="none"/>
              </w:rPr>
            </w:pPr>
            <w:r>
              <w:rPr>
                <w:rFonts w:hint="eastAsia" w:ascii="宋体" w:hAnsi="宋体" w:eastAsia="宋体" w:cs="宋体"/>
                <w:color w:val="auto"/>
                <w:highlight w:val="none"/>
              </w:rPr>
              <w:t>8</w:t>
            </w:r>
          </w:p>
        </w:tc>
        <w:tc>
          <w:tcPr>
            <w:tcW w:w="1453" w:type="dxa"/>
          </w:tcPr>
          <w:p>
            <w:pPr>
              <w:pStyle w:val="16"/>
              <w:widowControl/>
              <w:spacing w:beforeAutospacing="0" w:afterAutospacing="0"/>
              <w:jc w:val="center"/>
              <w:rPr>
                <w:rFonts w:ascii="宋体" w:hAnsi="宋体" w:eastAsia="宋体" w:cs="宋体"/>
                <w:color w:val="auto"/>
                <w:highlight w:val="none"/>
              </w:rPr>
            </w:pPr>
          </w:p>
        </w:tc>
        <w:tc>
          <w:tcPr>
            <w:tcW w:w="6704" w:type="dxa"/>
          </w:tcPr>
          <w:p>
            <w:pPr>
              <w:pStyle w:val="16"/>
              <w:widowControl/>
              <w:spacing w:beforeAutospacing="0" w:afterAutospacing="0"/>
              <w:rPr>
                <w:rFonts w:ascii="宋体" w:hAnsi="宋体" w:eastAsia="宋体" w:cs="宋体"/>
                <w:color w:val="auto"/>
                <w:highlight w:val="none"/>
              </w:rPr>
            </w:pPr>
            <w:r>
              <w:rPr>
                <w:rFonts w:hint="eastAsia" w:ascii="宋体" w:hAnsi="宋体" w:eastAsia="宋体" w:cs="宋体"/>
                <w:b/>
                <w:bCs/>
                <w:color w:val="auto"/>
                <w:highlight w:val="none"/>
              </w:rPr>
              <w:t>框架协议采购形式：</w:t>
            </w:r>
            <w:r>
              <w:rPr>
                <w:rFonts w:hint="eastAsia" w:ascii="宋体" w:hAnsi="宋体" w:eastAsia="宋体" w:cs="宋体"/>
                <w:color w:val="auto"/>
                <w:highlight w:val="none"/>
              </w:rPr>
              <w:t>封闭式框架协议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pPr>
              <w:pStyle w:val="16"/>
              <w:widowControl/>
              <w:spacing w:beforeAutospacing="0" w:afterAutospacing="0"/>
              <w:jc w:val="center"/>
              <w:rPr>
                <w:color w:val="auto"/>
                <w:highlight w:val="none"/>
              </w:rPr>
            </w:pPr>
            <w:r>
              <w:rPr>
                <w:rFonts w:hint="eastAsia" w:ascii="宋体" w:hAnsi="宋体" w:eastAsia="宋体" w:cs="宋体"/>
                <w:color w:val="auto"/>
                <w:highlight w:val="none"/>
              </w:rPr>
              <w:t>9</w:t>
            </w:r>
          </w:p>
        </w:tc>
        <w:tc>
          <w:tcPr>
            <w:tcW w:w="1453" w:type="dxa"/>
          </w:tcPr>
          <w:p>
            <w:pPr>
              <w:pStyle w:val="16"/>
              <w:widowControl/>
              <w:spacing w:beforeAutospacing="0" w:afterAutospacing="0"/>
              <w:jc w:val="center"/>
              <w:rPr>
                <w:color w:val="auto"/>
                <w:highlight w:val="none"/>
              </w:rPr>
            </w:pPr>
            <w:r>
              <w:rPr>
                <w:rFonts w:hint="eastAsia" w:ascii="宋体" w:hAnsi="宋体" w:eastAsia="宋体" w:cs="宋体"/>
                <w:color w:val="auto"/>
                <w:highlight w:val="none"/>
              </w:rPr>
              <w:t>12.1</w:t>
            </w:r>
          </w:p>
        </w:tc>
        <w:tc>
          <w:tcPr>
            <w:tcW w:w="6704" w:type="dxa"/>
          </w:tcPr>
          <w:p>
            <w:pPr>
              <w:pStyle w:val="16"/>
              <w:widowControl/>
              <w:spacing w:beforeAutospacing="0" w:afterAutospacing="0"/>
              <w:rPr>
                <w:rStyle w:val="24"/>
                <w:rFonts w:ascii="宋体" w:hAnsi="宋体" w:eastAsia="宋体" w:cs="宋体"/>
                <w:color w:val="auto"/>
                <w:highlight w:val="none"/>
              </w:rPr>
            </w:pPr>
            <w:r>
              <w:rPr>
                <w:rFonts w:hint="eastAsia" w:ascii="宋体" w:hAnsi="宋体" w:eastAsia="宋体" w:cs="宋体"/>
                <w:b/>
                <w:color w:val="auto"/>
                <w:highlight w:val="none"/>
              </w:rPr>
              <w:t>第一阶段：</w:t>
            </w:r>
            <w:r>
              <w:rPr>
                <w:rStyle w:val="24"/>
                <w:rFonts w:hint="eastAsia" w:ascii="宋体" w:hAnsi="宋体" w:eastAsia="宋体" w:cs="宋体"/>
                <w:color w:val="auto"/>
                <w:highlight w:val="none"/>
              </w:rPr>
              <w:t>本项目入围供应商的确定（以合同包为单位）：</w:t>
            </w:r>
          </w:p>
          <w:p>
            <w:pPr>
              <w:pStyle w:val="16"/>
              <w:widowControl/>
              <w:spacing w:beforeAutospacing="0" w:afterAutospacing="0"/>
              <w:rPr>
                <w:rFonts w:ascii="宋体" w:hAnsi="宋体" w:eastAsia="宋体" w:cs="宋体"/>
                <w:b/>
                <w:color w:val="auto"/>
                <w:highlight w:val="none"/>
              </w:rPr>
            </w:pPr>
            <w:r>
              <w:rPr>
                <w:rFonts w:hint="eastAsia" w:ascii="宋体" w:hAnsi="宋体" w:eastAsia="宋体" w:cs="宋体"/>
                <w:b/>
                <w:color w:val="auto"/>
                <w:highlight w:val="none"/>
              </w:rPr>
              <w:t>（1）第一阶段：</w:t>
            </w:r>
          </w:p>
          <w:p>
            <w:pPr>
              <w:pStyle w:val="16"/>
              <w:widowControl/>
              <w:spacing w:beforeAutospacing="0" w:afterAutospacing="0"/>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①确定第一阶段入围供应商的方式为：质量优先法；</w:t>
            </w:r>
          </w:p>
          <w:p>
            <w:pPr>
              <w:pStyle w:val="16"/>
              <w:widowControl/>
              <w:spacing w:beforeAutospacing="0" w:afterAutospacing="0"/>
              <w:ind w:firstLine="240" w:firstLineChars="100"/>
              <w:rPr>
                <w:rFonts w:ascii="宋体" w:hAnsi="宋体" w:cs="宋体"/>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rPr>
              <w:t>②</w:t>
            </w:r>
            <w:r>
              <w:rPr>
                <w:rFonts w:hint="eastAsia" w:asciiTheme="minorEastAsia" w:hAnsiTheme="minorEastAsia" w:eastAsiaTheme="minorEastAsia" w:cstheme="minorEastAsia"/>
                <w:b w:val="0"/>
                <w:bCs w:val="0"/>
                <w:color w:val="auto"/>
                <w:kern w:val="0"/>
                <w:sz w:val="24"/>
                <w:szCs w:val="24"/>
                <w:highlight w:val="none"/>
              </w:rPr>
              <w:t>确定入围供应商家数：</w:t>
            </w:r>
            <w:r>
              <w:rPr>
                <w:rFonts w:hint="eastAsia" w:asciiTheme="minorEastAsia" w:hAnsiTheme="minorEastAsia" w:eastAsiaTheme="minorEastAsia" w:cstheme="minorEastAsia"/>
                <w:b w:val="0"/>
                <w:bCs w:val="0"/>
                <w:color w:val="auto"/>
                <w:kern w:val="0"/>
                <w:sz w:val="24"/>
                <w:szCs w:val="24"/>
                <w:highlight w:val="none"/>
                <w:lang w:val="en-US" w:eastAsia="zh-CN"/>
              </w:rPr>
              <w:t>本次框架协议采购提交响应文件和符合资格条件、实质性要求的供应商（以下称为“有效投标人”）应当不少于3家，有效投标人为3家的取2家；有效投标人为4家的取3家；有效投标人为5家的取4家；有效投标人为6家的取4家；有效投标人为7家的取5家；有效投标人为8家的取6家；有效投标人为9家的取7家；有效投标人为10家的取8家；有效投标人为11家的取8家；有效投标人为12家的取9家；有效投标人为13家的取10家；有效投标人为14家的取11家；有效投标人为15家及以上的取12家；其余淘汰。按照评标总得分由高到低顺序排列。如出现有效投标人评标总得分相同的，采用随机抽取的方式决定入围供应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pPr>
              <w:pStyle w:val="16"/>
              <w:widowControl/>
              <w:spacing w:beforeAutospacing="0" w:afterAutospacing="0"/>
              <w:rPr>
                <w:rFonts w:asciiTheme="minorEastAsia" w:hAnsiTheme="minorEastAsia"/>
                <w:color w:val="auto"/>
                <w:highlight w:val="none"/>
              </w:rPr>
            </w:pPr>
            <w:r>
              <w:rPr>
                <w:rFonts w:hint="eastAsia" w:asciiTheme="minorEastAsia" w:hAnsiTheme="minorEastAsia"/>
                <w:color w:val="auto"/>
                <w:highlight w:val="none"/>
              </w:rPr>
              <w:t>10</w:t>
            </w:r>
          </w:p>
        </w:tc>
        <w:tc>
          <w:tcPr>
            <w:tcW w:w="1453" w:type="dxa"/>
          </w:tcPr>
          <w:p>
            <w:pPr>
              <w:pStyle w:val="16"/>
              <w:widowControl/>
              <w:spacing w:beforeAutospacing="0" w:afterAutospacing="0"/>
              <w:jc w:val="center"/>
              <w:rPr>
                <w:color w:val="auto"/>
                <w:highlight w:val="none"/>
              </w:rPr>
            </w:pPr>
            <w:r>
              <w:rPr>
                <w:rFonts w:hint="eastAsia" w:ascii="宋体" w:hAnsi="宋体" w:eastAsia="宋体" w:cs="宋体"/>
                <w:color w:val="auto"/>
                <w:highlight w:val="none"/>
              </w:rPr>
              <w:t>13.1</w:t>
            </w:r>
          </w:p>
        </w:tc>
        <w:tc>
          <w:tcPr>
            <w:tcW w:w="6704" w:type="dxa"/>
          </w:tcPr>
          <w:p>
            <w:pPr>
              <w:pStyle w:val="16"/>
              <w:widowControl/>
              <w:spacing w:beforeAutospacing="0" w:afterAutospacing="0"/>
              <w:rPr>
                <w:color w:val="auto"/>
                <w:highlight w:val="none"/>
              </w:rPr>
            </w:pPr>
            <w:r>
              <w:rPr>
                <w:rFonts w:hint="eastAsia" w:ascii="宋体" w:hAnsi="宋体" w:eastAsia="宋体" w:cs="宋体"/>
                <w:b/>
                <w:color w:val="auto"/>
                <w:highlight w:val="none"/>
              </w:rPr>
              <w:t>第二阶段：</w:t>
            </w:r>
            <w:r>
              <w:rPr>
                <w:rStyle w:val="24"/>
                <w:rFonts w:hint="eastAsia" w:ascii="宋体" w:hAnsi="宋体" w:eastAsia="宋体" w:cs="宋体"/>
                <w:color w:val="auto"/>
                <w:highlight w:val="none"/>
              </w:rPr>
              <w:t>本项目成交供应商的确定（以合同包为单位）：</w:t>
            </w:r>
          </w:p>
          <w:p>
            <w:pPr>
              <w:pStyle w:val="16"/>
              <w:widowControl/>
              <w:spacing w:beforeAutospacing="0" w:afterAutospacing="0"/>
              <w:rPr>
                <w:color w:val="auto"/>
                <w:highlight w:val="none"/>
              </w:rPr>
            </w:pPr>
            <w:r>
              <w:rPr>
                <w:rFonts w:hint="eastAsia" w:ascii="宋体" w:hAnsi="宋体" w:eastAsia="宋体" w:cs="宋体"/>
                <w:color w:val="auto"/>
                <w:highlight w:val="none"/>
              </w:rPr>
              <w:t>（1）确定第二阶段成交供应商的方式为：</w:t>
            </w:r>
            <w:r>
              <w:rPr>
                <w:rFonts w:hint="eastAsia" w:ascii="宋体" w:hAnsi="宋体" w:cs="宋体"/>
                <w:color w:val="auto"/>
                <w:highlight w:val="none"/>
              </w:rPr>
              <w:t>直接选定方式</w:t>
            </w:r>
            <w:r>
              <w:rPr>
                <w:rFonts w:hint="eastAsia" w:ascii="宋体" w:hAnsi="宋体" w:eastAsia="宋体" w:cs="宋体"/>
                <w:color w:val="auto"/>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pPr>
              <w:pStyle w:val="16"/>
              <w:widowControl/>
              <w:spacing w:beforeAutospacing="0" w:afterAutospacing="0"/>
              <w:jc w:val="center"/>
              <w:rPr>
                <w:color w:val="auto"/>
                <w:highlight w:val="none"/>
              </w:rPr>
            </w:pPr>
            <w:r>
              <w:rPr>
                <w:rFonts w:hint="eastAsia" w:ascii="宋体" w:hAnsi="宋体" w:eastAsia="宋体" w:cs="宋体"/>
                <w:color w:val="auto"/>
                <w:highlight w:val="none"/>
              </w:rPr>
              <w:t>11</w:t>
            </w:r>
          </w:p>
        </w:tc>
        <w:tc>
          <w:tcPr>
            <w:tcW w:w="1453" w:type="dxa"/>
          </w:tcPr>
          <w:p>
            <w:pPr>
              <w:pStyle w:val="16"/>
              <w:widowControl/>
              <w:spacing w:beforeAutospacing="0" w:afterAutospacing="0"/>
              <w:rPr>
                <w:color w:val="auto"/>
                <w:highlight w:val="none"/>
              </w:rPr>
            </w:pPr>
            <w:r>
              <w:rPr>
                <w:rFonts w:hint="eastAsia" w:ascii="宋体" w:hAnsi="宋体" w:eastAsia="宋体" w:cs="宋体"/>
                <w:color w:val="auto"/>
                <w:highlight w:val="none"/>
              </w:rPr>
              <w:t> 15.1-（</w:t>
            </w:r>
            <w:r>
              <w:rPr>
                <w:rFonts w:ascii="Times New Roman" w:hAnsi="Times New Roman"/>
                <w:color w:val="auto"/>
                <w:highlight w:val="none"/>
              </w:rPr>
              <w:t>2</w:t>
            </w:r>
            <w:r>
              <w:rPr>
                <w:rFonts w:hint="eastAsia" w:ascii="宋体" w:hAnsi="宋体" w:eastAsia="宋体" w:cs="宋体"/>
                <w:color w:val="auto"/>
                <w:highlight w:val="none"/>
              </w:rPr>
              <w:t>）</w:t>
            </w:r>
          </w:p>
        </w:tc>
        <w:tc>
          <w:tcPr>
            <w:tcW w:w="6704" w:type="dxa"/>
          </w:tcPr>
          <w:p>
            <w:pPr>
              <w:pStyle w:val="16"/>
              <w:widowControl/>
              <w:wordWrap w:val="0"/>
              <w:spacing w:beforeAutospacing="0" w:afterAutospacing="0"/>
              <w:rPr>
                <w:rFonts w:ascii="宋体" w:hAnsi="宋体" w:eastAsia="宋体" w:cs="宋体"/>
                <w:color w:val="auto"/>
                <w:highlight w:val="none"/>
              </w:rPr>
            </w:pPr>
            <w:r>
              <w:rPr>
                <w:rStyle w:val="24"/>
                <w:rFonts w:hint="eastAsia" w:ascii="宋体" w:hAnsi="宋体" w:eastAsia="宋体" w:cs="宋体"/>
                <w:color w:val="auto"/>
                <w:highlight w:val="none"/>
              </w:rPr>
              <w:t>质疑函原件应采用下列方式提交：</w:t>
            </w:r>
            <w:r>
              <w:rPr>
                <w:rFonts w:hint="eastAsia" w:ascii="宋体" w:hAnsi="宋体" w:eastAsia="宋体" w:cs="宋体"/>
                <w:color w:val="auto"/>
                <w:highlight w:val="none"/>
              </w:rPr>
              <w:t>书面形式。</w:t>
            </w:r>
          </w:p>
          <w:p>
            <w:pPr>
              <w:pStyle w:val="16"/>
              <w:widowControl/>
              <w:wordWrap w:val="0"/>
              <w:snapToGrid w:val="0"/>
              <w:spacing w:beforeAutospacing="0" w:afterAutospacing="0" w:line="360" w:lineRule="auto"/>
              <w:rPr>
                <w:rFonts w:ascii="宋体" w:hAnsi="宋体" w:eastAsia="宋体" w:cs="宋体"/>
                <w:color w:val="auto"/>
                <w:highlight w:val="none"/>
                <w:shd w:val="clear" w:color="auto" w:fill="FFFFFF"/>
              </w:rPr>
            </w:pPr>
            <w:r>
              <w:rPr>
                <w:rFonts w:ascii="宋体" w:hAnsi="宋体" w:eastAsia="宋体" w:cs="宋体"/>
                <w:b/>
                <w:bCs/>
                <w:color w:val="auto"/>
                <w:highlight w:val="none"/>
                <w:shd w:val="clear" w:color="auto" w:fill="FFFFFF"/>
              </w:rPr>
              <w:t>接收地</w:t>
            </w:r>
            <w:r>
              <w:rPr>
                <w:rFonts w:hint="eastAsia" w:ascii="宋体" w:hAnsi="宋体" w:eastAsia="宋体" w:cs="宋体"/>
                <w:b/>
                <w:bCs/>
                <w:color w:val="auto"/>
                <w:highlight w:val="none"/>
                <w:shd w:val="clear" w:color="auto" w:fill="FFFFFF"/>
              </w:rPr>
              <w:t>址</w:t>
            </w:r>
            <w:r>
              <w:rPr>
                <w:rFonts w:ascii="宋体" w:hAnsi="宋体" w:eastAsia="宋体" w:cs="宋体"/>
                <w:b/>
                <w:bCs/>
                <w:color w:val="auto"/>
                <w:highlight w:val="none"/>
                <w:shd w:val="clear" w:color="auto" w:fill="FFFFFF"/>
              </w:rPr>
              <w:t>：</w:t>
            </w:r>
            <w:r>
              <w:rPr>
                <w:rFonts w:hint="eastAsia" w:ascii="宋体" w:hAnsi="宋体" w:eastAsia="宋体" w:cs="宋体"/>
                <w:color w:val="auto"/>
                <w:highlight w:val="none"/>
                <w:u w:val="single"/>
                <w:shd w:val="clear" w:color="auto" w:fill="FFFFFF"/>
                <w:lang w:eastAsia="zh-CN"/>
              </w:rPr>
              <w:t>福州市鼓楼区湖东路169号中闽天骜大厦第十三层02A单元</w:t>
            </w:r>
            <w:r>
              <w:rPr>
                <w:rFonts w:hint="eastAsia" w:ascii="宋体" w:hAnsi="宋体" w:eastAsia="宋体" w:cs="宋体"/>
                <w:color w:val="auto"/>
                <w:highlight w:val="none"/>
                <w:shd w:val="clear" w:color="auto" w:fill="FFFFFF"/>
              </w:rPr>
              <w:t>；</w:t>
            </w:r>
          </w:p>
          <w:p>
            <w:pPr>
              <w:pStyle w:val="16"/>
              <w:widowControl/>
              <w:wordWrap w:val="0"/>
              <w:snapToGrid w:val="0"/>
              <w:spacing w:beforeAutospacing="0" w:afterAutospacing="0" w:line="360" w:lineRule="auto"/>
              <w:rPr>
                <w:color w:val="auto"/>
                <w:highlight w:val="none"/>
              </w:rPr>
            </w:pPr>
            <w:r>
              <w:rPr>
                <w:rFonts w:ascii="宋体" w:hAnsi="宋体" w:eastAsia="宋体" w:cs="宋体"/>
                <w:color w:val="auto"/>
                <w:highlight w:val="none"/>
                <w:shd w:val="clear" w:color="auto" w:fill="FFFFFF"/>
              </w:rPr>
              <w:t>电话：</w:t>
            </w:r>
            <w:r>
              <w:rPr>
                <w:rFonts w:hint="eastAsia" w:ascii="宋体" w:hAnsi="宋体" w:cs="宋体"/>
                <w:color w:val="auto"/>
                <w:highlight w:val="none"/>
                <w:u w:val="single"/>
                <w:shd w:val="clear" w:color="auto" w:fill="FFFFFF"/>
              </w:rPr>
              <w:t xml:space="preserve"> 0591-</w:t>
            </w:r>
            <w:r>
              <w:rPr>
                <w:rFonts w:hint="eastAsia" w:ascii="宋体" w:hAnsi="宋体" w:cs="宋体"/>
                <w:color w:val="auto"/>
                <w:highlight w:val="none"/>
                <w:u w:val="single"/>
                <w:shd w:val="clear" w:color="auto" w:fill="FFFFFF"/>
                <w:lang w:val="en-US" w:eastAsia="zh-CN"/>
              </w:rPr>
              <w:t>87803505</w:t>
            </w:r>
            <w:r>
              <w:rPr>
                <w:rFonts w:hint="eastAsia" w:ascii="宋体" w:hAnsi="宋体" w:cs="宋体"/>
                <w:color w:val="auto"/>
                <w:highlight w:val="none"/>
                <w:u w:val="single"/>
                <w:shd w:val="clear" w:color="auto" w:fill="FFFFFF"/>
              </w:rPr>
              <w:t xml:space="preserve"> </w:t>
            </w:r>
            <w:r>
              <w:rPr>
                <w:rFonts w:hint="eastAsia" w:ascii="宋体" w:hAnsi="宋体" w:eastAsia="宋体" w:cs="宋体"/>
                <w:color w:val="auto"/>
                <w:highlight w:val="none"/>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pPr>
              <w:pStyle w:val="16"/>
              <w:widowControl/>
              <w:spacing w:beforeAutospacing="0" w:afterAutospacing="0"/>
              <w:jc w:val="center"/>
              <w:rPr>
                <w:rFonts w:eastAsia="宋体"/>
                <w:color w:val="auto"/>
                <w:highlight w:val="none"/>
              </w:rPr>
            </w:pPr>
            <w:r>
              <w:rPr>
                <w:rFonts w:hint="eastAsia" w:ascii="宋体" w:hAnsi="宋体" w:eastAsia="宋体" w:cs="宋体"/>
                <w:color w:val="auto"/>
                <w:highlight w:val="none"/>
              </w:rPr>
              <w:t>12</w:t>
            </w:r>
          </w:p>
        </w:tc>
        <w:tc>
          <w:tcPr>
            <w:tcW w:w="1453" w:type="dxa"/>
          </w:tcPr>
          <w:p>
            <w:pPr>
              <w:pStyle w:val="16"/>
              <w:widowControl/>
              <w:spacing w:beforeAutospacing="0" w:afterAutospacing="0"/>
              <w:rPr>
                <w:color w:val="auto"/>
                <w:highlight w:val="none"/>
              </w:rPr>
            </w:pPr>
            <w:r>
              <w:rPr>
                <w:rFonts w:hint="eastAsia" w:ascii="宋体" w:hAnsi="宋体" w:eastAsia="宋体" w:cs="宋体"/>
                <w:color w:val="auto"/>
                <w:highlight w:val="none"/>
              </w:rPr>
              <w:t> </w:t>
            </w:r>
          </w:p>
          <w:p>
            <w:pPr>
              <w:pStyle w:val="16"/>
              <w:widowControl/>
              <w:spacing w:beforeAutospacing="0" w:afterAutospacing="0"/>
              <w:rPr>
                <w:color w:val="auto"/>
                <w:highlight w:val="none"/>
              </w:rPr>
            </w:pPr>
            <w:r>
              <w:rPr>
                <w:rFonts w:hint="eastAsia" w:ascii="宋体" w:hAnsi="宋体" w:eastAsia="宋体" w:cs="宋体"/>
                <w:color w:val="auto"/>
                <w:highlight w:val="none"/>
              </w:rPr>
              <w:t>   15.4</w:t>
            </w:r>
          </w:p>
          <w:p>
            <w:pPr>
              <w:pStyle w:val="16"/>
              <w:widowControl/>
              <w:spacing w:beforeAutospacing="0" w:afterAutospacing="0"/>
              <w:rPr>
                <w:color w:val="auto"/>
                <w:highlight w:val="none"/>
              </w:rPr>
            </w:pPr>
            <w:r>
              <w:rPr>
                <w:rFonts w:ascii="Calibri" w:hAnsi="Calibri" w:cs="Calibri"/>
                <w:color w:val="auto"/>
                <w:highlight w:val="none"/>
              </w:rPr>
              <w:t> </w:t>
            </w:r>
          </w:p>
          <w:p>
            <w:pPr>
              <w:pStyle w:val="16"/>
              <w:widowControl/>
              <w:spacing w:beforeAutospacing="0" w:afterAutospacing="0"/>
              <w:jc w:val="center"/>
              <w:rPr>
                <w:color w:val="auto"/>
                <w:highlight w:val="none"/>
              </w:rPr>
            </w:pPr>
            <w:r>
              <w:rPr>
                <w:rFonts w:ascii="Calibri" w:hAnsi="Calibri" w:cs="Calibri"/>
                <w:color w:val="auto"/>
                <w:highlight w:val="none"/>
              </w:rPr>
              <w:t> </w:t>
            </w:r>
          </w:p>
        </w:tc>
        <w:tc>
          <w:tcPr>
            <w:tcW w:w="6704" w:type="dxa"/>
            <w:vAlign w:val="top"/>
          </w:tcPr>
          <w:p>
            <w:pPr>
              <w:pStyle w:val="16"/>
              <w:widowControl/>
              <w:spacing w:beforeAutospacing="0" w:afterAutospacing="0"/>
              <w:rPr>
                <w:color w:val="auto"/>
                <w:highlight w:val="none"/>
              </w:rPr>
            </w:pPr>
            <w:r>
              <w:rPr>
                <w:rStyle w:val="24"/>
                <w:rFonts w:hint="eastAsia" w:ascii="宋体" w:hAnsi="宋体" w:eastAsia="宋体" w:cs="宋体"/>
                <w:color w:val="auto"/>
                <w:highlight w:val="none"/>
              </w:rPr>
              <w:t>征集文件的质疑</w:t>
            </w:r>
          </w:p>
          <w:p>
            <w:pPr>
              <w:pStyle w:val="16"/>
              <w:widowControl/>
              <w:spacing w:beforeAutospacing="0" w:afterAutospacing="0"/>
              <w:rPr>
                <w:color w:val="auto"/>
                <w:highlight w:val="none"/>
              </w:rPr>
            </w:pPr>
            <w:r>
              <w:rPr>
                <w:rFonts w:hint="eastAsia" w:ascii="宋体" w:hAnsi="宋体" w:eastAsia="宋体" w:cs="宋体"/>
                <w:color w:val="auto"/>
                <w:highlight w:val="none"/>
              </w:rPr>
              <w:t>（1）潜在供应商可在质疑时效期间内对征集文件以书面形式提出质疑。</w:t>
            </w:r>
          </w:p>
          <w:p>
            <w:pPr>
              <w:pStyle w:val="16"/>
              <w:widowControl/>
              <w:spacing w:beforeAutospacing="0" w:afterAutospacing="0"/>
              <w:rPr>
                <w:color w:val="auto"/>
                <w:highlight w:val="none"/>
              </w:rPr>
            </w:pPr>
            <w:r>
              <w:rPr>
                <w:rFonts w:hint="eastAsia" w:ascii="宋体" w:hAnsi="宋体" w:eastAsia="宋体" w:cs="宋体"/>
                <w:color w:val="auto"/>
                <w:highlight w:val="none"/>
              </w:rPr>
              <w:t>（2）质疑时效期间：</w:t>
            </w:r>
          </w:p>
          <w:p>
            <w:pPr>
              <w:pStyle w:val="16"/>
              <w:widowControl/>
              <w:spacing w:beforeAutospacing="0" w:afterAutospacing="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①在征集文件公告期限内：自征集文件</w:t>
            </w:r>
            <w:r>
              <w:rPr>
                <w:rFonts w:hint="eastAsia" w:asciiTheme="minorEastAsia" w:hAnsiTheme="minorEastAsia" w:eastAsiaTheme="minorEastAsia" w:cstheme="minorEastAsia"/>
                <w:color w:val="auto"/>
                <w:highlight w:val="none"/>
                <w:lang w:val="en-US" w:eastAsia="zh-CN"/>
              </w:rPr>
              <w:t>获取</w:t>
            </w:r>
            <w:r>
              <w:rPr>
                <w:rFonts w:hint="eastAsia" w:asciiTheme="minorEastAsia" w:hAnsiTheme="minorEastAsia" w:eastAsiaTheme="minorEastAsia" w:cstheme="minorEastAsia"/>
                <w:color w:val="auto"/>
                <w:highlight w:val="none"/>
              </w:rPr>
              <w:t>之日起7个工作日内向</w:t>
            </w:r>
            <w:r>
              <w:rPr>
                <w:rFonts w:hint="eastAsia" w:asciiTheme="minorEastAsia" w:hAnsiTheme="minorEastAsia" w:eastAsiaTheme="minorEastAsia" w:cstheme="minorEastAsia"/>
                <w:color w:val="auto"/>
                <w:highlight w:val="none"/>
                <w:u w:val="single"/>
                <w:lang w:eastAsia="zh-CN"/>
              </w:rPr>
              <w:t>福建康泰招标有限公司</w:t>
            </w:r>
            <w:r>
              <w:rPr>
                <w:rFonts w:hint="eastAsia" w:asciiTheme="minorEastAsia" w:hAnsiTheme="minorEastAsia" w:eastAsiaTheme="minorEastAsia" w:cstheme="minorEastAsia"/>
                <w:color w:val="auto"/>
                <w:highlight w:val="none"/>
              </w:rPr>
              <w:t>提出，</w:t>
            </w:r>
            <w:r>
              <w:rPr>
                <w:rFonts w:hint="eastAsia" w:asciiTheme="minorEastAsia" w:hAnsiTheme="minorEastAsia" w:eastAsiaTheme="minorEastAsia" w:cstheme="minorEastAsia"/>
                <w:color w:val="auto"/>
                <w:highlight w:val="none"/>
                <w:lang w:val="en-US" w:eastAsia="zh-CN"/>
              </w:rPr>
              <w:t>征集文件获取</w:t>
            </w:r>
            <w:r>
              <w:rPr>
                <w:rFonts w:hint="eastAsia" w:asciiTheme="minorEastAsia" w:hAnsiTheme="minorEastAsia" w:eastAsiaTheme="minorEastAsia" w:cstheme="minorEastAsia"/>
                <w:color w:val="auto"/>
                <w:highlight w:val="none"/>
              </w:rPr>
              <w:t>之日以福建康泰招标有限公司</w:t>
            </w:r>
            <w:r>
              <w:rPr>
                <w:rFonts w:hint="eastAsia" w:asciiTheme="minorEastAsia" w:hAnsiTheme="minorEastAsia" w:eastAsiaTheme="minorEastAsia" w:cstheme="minorEastAsia"/>
                <w:color w:val="auto"/>
                <w:highlight w:val="none"/>
                <w:lang w:val="en-US" w:eastAsia="zh-CN"/>
              </w:rPr>
              <w:t>登记</w:t>
            </w:r>
            <w:r>
              <w:rPr>
                <w:rFonts w:hint="eastAsia" w:asciiTheme="minorEastAsia" w:hAnsiTheme="minorEastAsia" w:eastAsiaTheme="minorEastAsia" w:cstheme="minorEastAsia"/>
                <w:color w:val="auto"/>
                <w:highlight w:val="none"/>
              </w:rPr>
              <w:t>的为准。</w:t>
            </w:r>
          </w:p>
          <w:p>
            <w:pPr>
              <w:pStyle w:val="16"/>
              <w:widowControl/>
              <w:spacing w:beforeAutospacing="0" w:afterAutospacing="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②在征集文件公告期限截止后至征集文件提供期限届满前的期间内：自征集文件公告期限届满之日起7个工作日内向</w:t>
            </w:r>
            <w:r>
              <w:rPr>
                <w:rFonts w:hint="eastAsia" w:asciiTheme="minorEastAsia" w:hAnsiTheme="minorEastAsia" w:eastAsiaTheme="minorEastAsia" w:cstheme="minorEastAsia"/>
                <w:color w:val="auto"/>
                <w:highlight w:val="none"/>
                <w:u w:val="single"/>
                <w:lang w:eastAsia="zh-CN"/>
              </w:rPr>
              <w:t>福建康泰招标有限公司</w:t>
            </w:r>
            <w:r>
              <w:rPr>
                <w:rFonts w:hint="eastAsia" w:asciiTheme="minorEastAsia" w:hAnsiTheme="minorEastAsia" w:eastAsiaTheme="minorEastAsia" w:cstheme="minorEastAsia"/>
                <w:color w:val="auto"/>
                <w:highlight w:val="none"/>
              </w:rPr>
              <w:t>提出。</w:t>
            </w:r>
          </w:p>
          <w:p>
            <w:pPr>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（3）质疑人提交书面质疑的，质疑书还应包括：a、质疑人依法获取征集文件的证明文件（体现获取征集文件时间，该时间以福建康泰招标有限公司登记</w:t>
            </w:r>
            <w:r>
              <w:rPr>
                <w:rFonts w:hint="eastAsia" w:asciiTheme="minorEastAsia" w:hAnsiTheme="minorEastAsia" w:eastAsiaTheme="minorEastAsia" w:cstheme="minorEastAsia"/>
                <w:color w:val="auto"/>
                <w:kern w:val="0"/>
                <w:sz w:val="24"/>
                <w:highlight w:val="none"/>
                <w:lang w:eastAsia="zh-CN"/>
              </w:rPr>
              <w:t>的</w:t>
            </w:r>
            <w:r>
              <w:rPr>
                <w:rFonts w:hint="eastAsia" w:asciiTheme="minorEastAsia" w:hAnsiTheme="minorEastAsia" w:eastAsiaTheme="minorEastAsia" w:cstheme="minorEastAsia"/>
                <w:color w:val="auto"/>
                <w:kern w:val="0"/>
                <w:sz w:val="24"/>
                <w:highlight w:val="none"/>
              </w:rPr>
              <w:t>为准），否则将不被认定为潜在供应商</w:t>
            </w:r>
            <w:r>
              <w:rPr>
                <w:rFonts w:hint="eastAsia" w:asciiTheme="minorEastAsia" w:hAnsiTheme="minorEastAsia" w:eastAsiaTheme="minorEastAsia" w:cstheme="minorEastAsia"/>
                <w:color w:val="auto"/>
                <w:kern w:val="0"/>
                <w:sz w:val="24"/>
                <w:highlight w:val="none"/>
                <w:lang w:eastAsia="zh-CN"/>
              </w:rPr>
              <w:t>。</w:t>
            </w:r>
          </w:p>
          <w:p>
            <w:pPr>
              <w:pStyle w:val="16"/>
              <w:widowControl/>
              <w:spacing w:beforeAutospacing="0" w:afterAutospacing="0"/>
              <w:rPr>
                <w:color w:val="auto"/>
                <w:highlight w:val="none"/>
              </w:rPr>
            </w:pPr>
            <w:r>
              <w:rPr>
                <w:rStyle w:val="24"/>
                <w:rFonts w:hint="eastAsia" w:ascii="宋体" w:hAnsi="宋体" w:eastAsia="宋体" w:cs="宋体"/>
                <w:color w:val="auto"/>
                <w:highlight w:val="none"/>
              </w:rPr>
              <w:t>※除上述规定外，对征集文件提出的质疑还应符合征集文件第三章第</w:t>
            </w:r>
            <w:r>
              <w:rPr>
                <w:rStyle w:val="24"/>
                <w:rFonts w:ascii="Times New Roman" w:hAnsi="Times New Roman"/>
                <w:color w:val="auto"/>
                <w:highlight w:val="none"/>
              </w:rPr>
              <w:t>15.1</w:t>
            </w:r>
            <w:r>
              <w:rPr>
                <w:rStyle w:val="24"/>
                <w:rFonts w:hint="eastAsia" w:ascii="宋体" w:hAnsi="宋体" w:eastAsia="宋体" w:cs="宋体"/>
                <w:color w:val="auto"/>
                <w:highlight w:val="none"/>
              </w:rPr>
              <w:t>条的有关规定。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pPr>
              <w:pStyle w:val="16"/>
              <w:widowControl/>
              <w:spacing w:beforeAutospacing="0" w:afterAutospacing="0"/>
              <w:jc w:val="center"/>
              <w:rPr>
                <w:rFonts w:eastAsia="宋体"/>
                <w:color w:val="auto"/>
                <w:highlight w:val="none"/>
              </w:rPr>
            </w:pPr>
            <w:r>
              <w:rPr>
                <w:rFonts w:hint="eastAsia" w:ascii="宋体" w:hAnsi="宋体" w:eastAsia="宋体" w:cs="宋体"/>
                <w:color w:val="auto"/>
                <w:highlight w:val="none"/>
              </w:rPr>
              <w:t>13</w:t>
            </w:r>
          </w:p>
        </w:tc>
        <w:tc>
          <w:tcPr>
            <w:tcW w:w="1453" w:type="dxa"/>
          </w:tcPr>
          <w:p>
            <w:pPr>
              <w:pStyle w:val="16"/>
              <w:widowControl/>
              <w:spacing w:beforeAutospacing="0" w:afterAutospacing="0"/>
              <w:jc w:val="center"/>
              <w:rPr>
                <w:color w:val="auto"/>
                <w:highlight w:val="none"/>
              </w:rPr>
            </w:pPr>
            <w:r>
              <w:rPr>
                <w:rFonts w:hint="eastAsia" w:ascii="宋体" w:hAnsi="宋体" w:eastAsia="宋体" w:cs="宋体"/>
                <w:color w:val="auto"/>
                <w:highlight w:val="none"/>
              </w:rPr>
              <w:t>16.1</w:t>
            </w:r>
          </w:p>
        </w:tc>
        <w:tc>
          <w:tcPr>
            <w:tcW w:w="6704" w:type="dxa"/>
          </w:tcPr>
          <w:p>
            <w:pPr>
              <w:pStyle w:val="16"/>
              <w:widowControl/>
              <w:spacing w:beforeAutospacing="0" w:afterAutospacing="0"/>
              <w:rPr>
                <w:color w:val="auto"/>
                <w:highlight w:val="none"/>
              </w:rPr>
            </w:pPr>
            <w:r>
              <w:rPr>
                <w:rStyle w:val="24"/>
                <w:rFonts w:hint="eastAsia" w:ascii="宋体" w:hAnsi="宋体" w:eastAsia="宋体" w:cs="宋体"/>
                <w:color w:val="auto"/>
                <w:highlight w:val="none"/>
              </w:rPr>
              <w:t>监督管理部门：</w:t>
            </w:r>
            <w:r>
              <w:rPr>
                <w:rFonts w:hint="eastAsia" w:ascii="宋体" w:hAnsi="宋体" w:eastAsia="宋体" w:cs="宋体"/>
                <w:color w:val="auto"/>
                <w:highlight w:val="none"/>
                <w:lang w:eastAsia="zh-CN"/>
              </w:rPr>
              <w:t>福清市财政局</w:t>
            </w:r>
            <w:r>
              <w:rPr>
                <w:rStyle w:val="24"/>
                <w:rFonts w:hint="eastAsia" w:ascii="宋体" w:hAnsi="宋体" w:eastAsia="宋体" w:cs="宋体"/>
                <w:color w:val="auto"/>
                <w:highlight w:val="none"/>
              </w:rPr>
              <w:t>（仅限依法进行政府采购的货物或服务类项目）</w:t>
            </w:r>
            <w:r>
              <w:rPr>
                <w:rFonts w:hint="eastAsia" w:ascii="宋体" w:hAnsi="宋体" w:eastAsia="宋体" w:cs="宋体"/>
                <w:color w:val="auto"/>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pPr>
              <w:pStyle w:val="16"/>
              <w:widowControl/>
              <w:spacing w:beforeAutospacing="0" w:afterAutospacing="0"/>
              <w:jc w:val="center"/>
              <w:rPr>
                <w:rFonts w:eastAsia="宋体"/>
                <w:color w:val="auto"/>
                <w:highlight w:val="none"/>
              </w:rPr>
            </w:pPr>
            <w:r>
              <w:rPr>
                <w:rFonts w:hint="eastAsia" w:ascii="宋体" w:hAnsi="宋体" w:eastAsia="宋体" w:cs="宋体"/>
                <w:color w:val="auto"/>
                <w:highlight w:val="none"/>
              </w:rPr>
              <w:t>14</w:t>
            </w:r>
          </w:p>
        </w:tc>
        <w:tc>
          <w:tcPr>
            <w:tcW w:w="1453" w:type="dxa"/>
          </w:tcPr>
          <w:p>
            <w:pPr>
              <w:pStyle w:val="16"/>
              <w:widowControl/>
              <w:spacing w:beforeAutospacing="0" w:afterAutospacing="0"/>
              <w:jc w:val="center"/>
              <w:rPr>
                <w:color w:val="auto"/>
                <w:highlight w:val="none"/>
              </w:rPr>
            </w:pPr>
            <w:r>
              <w:rPr>
                <w:rFonts w:hint="eastAsia" w:ascii="宋体" w:hAnsi="宋体" w:eastAsia="宋体" w:cs="宋体"/>
                <w:color w:val="auto"/>
                <w:highlight w:val="none"/>
              </w:rPr>
              <w:t>18.1</w:t>
            </w:r>
          </w:p>
        </w:tc>
        <w:tc>
          <w:tcPr>
            <w:tcW w:w="6704" w:type="dxa"/>
          </w:tcPr>
          <w:p>
            <w:pPr>
              <w:pStyle w:val="16"/>
              <w:widowControl/>
              <w:wordWrap w:val="0"/>
              <w:spacing w:beforeAutospacing="0" w:afterAutospacing="0"/>
              <w:rPr>
                <w:color w:val="auto"/>
                <w:highlight w:val="none"/>
              </w:rPr>
            </w:pPr>
            <w:r>
              <w:rPr>
                <w:rStyle w:val="24"/>
                <w:rFonts w:hint="eastAsia" w:ascii="宋体" w:hAnsi="宋体" w:eastAsia="宋体" w:cs="宋体"/>
                <w:color w:val="auto"/>
                <w:highlight w:val="none"/>
              </w:rPr>
              <w:t>财政部和福建省财政厅指定的政府采购信息发布媒体（以下简称：“指定媒体”）：</w:t>
            </w:r>
          </w:p>
          <w:p>
            <w:pPr>
              <w:pStyle w:val="16"/>
              <w:widowControl/>
              <w:wordWrap w:val="0"/>
              <w:spacing w:beforeAutospacing="0" w:afterAutospacing="0"/>
              <w:rPr>
                <w:color w:val="auto"/>
                <w:highlight w:val="none"/>
              </w:rPr>
            </w:pPr>
            <w:r>
              <w:rPr>
                <w:rFonts w:hint="eastAsia" w:ascii="宋体" w:hAnsi="宋体" w:eastAsia="宋体" w:cs="宋体"/>
                <w:color w:val="auto"/>
                <w:highlight w:val="none"/>
              </w:rPr>
              <w:t>（1）中国政府采购网，网址www.ccgp.gov.cn</w:t>
            </w:r>
            <w:r>
              <w:rPr>
                <w:color w:val="auto"/>
                <w:highlight w:val="none"/>
              </w:rPr>
              <w:t>。</w:t>
            </w:r>
          </w:p>
          <w:p>
            <w:pPr>
              <w:pStyle w:val="16"/>
              <w:widowControl/>
              <w:wordWrap w:val="0"/>
              <w:spacing w:beforeAutospacing="0" w:afterAutospacing="0"/>
              <w:rPr>
                <w:color w:val="auto"/>
                <w:highlight w:val="none"/>
              </w:rPr>
            </w:pPr>
            <w:r>
              <w:rPr>
                <w:rFonts w:hint="eastAsia" w:ascii="宋体" w:hAnsi="宋体" w:eastAsia="宋体" w:cs="宋体"/>
                <w:color w:val="auto"/>
                <w:highlight w:val="none"/>
              </w:rPr>
              <w:t>（2）中国政府采购网福建分网（福建省政府采购网），网址zfcg.czt.fujian.gov.cn</w:t>
            </w:r>
            <w:r>
              <w:rPr>
                <w:color w:val="auto"/>
                <w:highlight w:val="none"/>
              </w:rPr>
              <w:t>。</w:t>
            </w:r>
          </w:p>
          <w:p>
            <w:pPr>
              <w:pStyle w:val="16"/>
              <w:widowControl/>
              <w:wordWrap w:val="0"/>
              <w:spacing w:beforeAutospacing="0" w:afterAutospacing="0"/>
              <w:rPr>
                <w:color w:val="auto"/>
                <w:highlight w:val="none"/>
              </w:rPr>
            </w:pPr>
            <w:r>
              <w:rPr>
                <w:rStyle w:val="24"/>
                <w:rFonts w:hint="eastAsia" w:ascii="宋体" w:hAnsi="宋体" w:eastAsia="宋体" w:cs="宋体"/>
                <w:color w:val="auto"/>
                <w:highlight w:val="none"/>
              </w:rPr>
              <w:t>※除征集文件第一章第</w:t>
            </w:r>
            <w:r>
              <w:rPr>
                <w:rStyle w:val="24"/>
                <w:rFonts w:ascii="Times New Roman" w:hAnsi="Times New Roman"/>
                <w:color w:val="auto"/>
                <w:highlight w:val="none"/>
              </w:rPr>
              <w:t>11.1</w:t>
            </w:r>
            <w:r>
              <w:rPr>
                <w:rStyle w:val="24"/>
                <w:rFonts w:hint="eastAsia" w:ascii="宋体" w:hAnsi="宋体" w:eastAsia="宋体" w:cs="宋体"/>
                <w:color w:val="auto"/>
                <w:highlight w:val="none"/>
              </w:rPr>
              <w:t>条规定情形外，若出现上述指定媒体信息不一致情形，应以中国政府采购网福建分网（福建省政府采购网）发布的为准。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pPr>
              <w:pStyle w:val="16"/>
              <w:widowControl/>
              <w:spacing w:beforeAutospacing="0" w:afterAutospacing="0"/>
              <w:jc w:val="center"/>
              <w:rPr>
                <w:rFonts w:eastAsia="宋体"/>
                <w:color w:val="auto"/>
                <w:highlight w:val="none"/>
              </w:rPr>
            </w:pPr>
            <w:r>
              <w:rPr>
                <w:rFonts w:hint="eastAsia" w:ascii="宋体" w:hAnsi="宋体" w:eastAsia="宋体" w:cs="宋体"/>
                <w:color w:val="auto"/>
                <w:highlight w:val="none"/>
              </w:rPr>
              <w:t>15</w:t>
            </w:r>
          </w:p>
        </w:tc>
        <w:tc>
          <w:tcPr>
            <w:tcW w:w="1453" w:type="dxa"/>
          </w:tcPr>
          <w:p>
            <w:pPr>
              <w:pStyle w:val="16"/>
              <w:widowControl/>
              <w:spacing w:beforeAutospacing="0" w:afterAutospacing="0"/>
              <w:jc w:val="center"/>
              <w:rPr>
                <w:color w:val="auto"/>
                <w:highlight w:val="none"/>
              </w:rPr>
            </w:pPr>
            <w:r>
              <w:rPr>
                <w:rFonts w:hint="eastAsia" w:ascii="宋体" w:hAnsi="宋体" w:eastAsia="宋体" w:cs="宋体"/>
                <w:color w:val="auto"/>
                <w:highlight w:val="none"/>
              </w:rPr>
              <w:t>19</w:t>
            </w:r>
          </w:p>
        </w:tc>
        <w:tc>
          <w:tcPr>
            <w:tcW w:w="6704" w:type="dxa"/>
          </w:tcPr>
          <w:p>
            <w:pPr>
              <w:pStyle w:val="16"/>
              <w:widowControl/>
              <w:wordWrap w:val="0"/>
              <w:spacing w:beforeAutospacing="0" w:afterAutospacing="0"/>
              <w:rPr>
                <w:color w:val="auto"/>
                <w:highlight w:val="none"/>
              </w:rPr>
            </w:pPr>
            <w:r>
              <w:rPr>
                <w:rStyle w:val="24"/>
                <w:rFonts w:hint="eastAsia" w:ascii="宋体" w:hAnsi="宋体" w:eastAsia="宋体" w:cs="宋体"/>
                <w:color w:val="auto"/>
                <w:highlight w:val="none"/>
              </w:rPr>
              <w:t>其他事项：</w:t>
            </w:r>
          </w:p>
          <w:p>
            <w:pPr>
              <w:rPr>
                <w:rStyle w:val="24"/>
                <w:rFonts w:ascii="宋体" w:hAnsi="宋体" w:eastAsia="宋体" w:cs="宋体"/>
                <w:color w:val="auto"/>
                <w:sz w:val="24"/>
                <w:highlight w:val="none"/>
              </w:rPr>
            </w:pPr>
            <w:r>
              <w:rPr>
                <w:rStyle w:val="24"/>
                <w:rFonts w:hint="eastAsia" w:ascii="宋体" w:hAnsi="宋体" w:eastAsia="宋体" w:cs="宋体"/>
                <w:color w:val="auto"/>
                <w:sz w:val="24"/>
                <w:highlight w:val="none"/>
              </w:rPr>
              <w:t>(1)本项目代理服务费由</w:t>
            </w:r>
            <w:r>
              <w:rPr>
                <w:rFonts w:hint="eastAsia" w:ascii="宋体" w:hAnsi="宋体" w:eastAsia="宋体" w:cs="宋体"/>
                <w:color w:val="auto"/>
                <w:sz w:val="24"/>
                <w:highlight w:val="none"/>
              </w:rPr>
              <w:t>入围供应商</w:t>
            </w:r>
            <w:r>
              <w:rPr>
                <w:rStyle w:val="24"/>
                <w:rFonts w:hint="eastAsia" w:ascii="宋体" w:hAnsi="宋体" w:eastAsia="宋体" w:cs="宋体"/>
                <w:color w:val="auto"/>
                <w:sz w:val="24"/>
                <w:highlight w:val="none"/>
              </w:rPr>
              <w:t>支付。</w:t>
            </w:r>
          </w:p>
          <w:p>
            <w:pPr>
              <w:rPr>
                <w:rFonts w:eastAsia="宋体"/>
                <w:color w:val="auto"/>
                <w:highlight w:val="none"/>
              </w:rPr>
            </w:pPr>
            <w:r>
              <w:rPr>
                <w:rStyle w:val="24"/>
                <w:rFonts w:hint="eastAsia" w:ascii="宋体" w:hAnsi="宋体" w:eastAsia="宋体" w:cs="宋体"/>
                <w:color w:val="auto"/>
                <w:highlight w:val="none"/>
              </w:rPr>
              <w:t>(2)其他：</w:t>
            </w:r>
            <w:r>
              <w:rPr>
                <w:rFonts w:hint="eastAsia" w:ascii="宋体" w:hAnsi="宋体" w:eastAsia="宋体" w:cs="宋体"/>
                <w:color w:val="auto"/>
                <w:sz w:val="24"/>
                <w:highlight w:val="none"/>
              </w:rPr>
              <w:t>征集文件补充条款【与征集文件其它地方有不同表述的，以下述表述为准】：</w:t>
            </w: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 xml:space="preserve">响应文件应满足征集文件第七章响应文件格式“★注意”事项，否则不符之处将被视为不满足，（涉及资格、实质性条款的按响应无效处理；涉及价格评审优惠的，不予认定；涉及评分的相应评分项不得分）。征集文件有不同表述的以本条为准。 </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本项目招标代理服务费收取标准及收取方式：①收费标准：本项目招标代理服务费为</w:t>
            </w:r>
            <w:r>
              <w:rPr>
                <w:rFonts w:hint="eastAsia" w:ascii="宋体" w:hAnsi="宋体" w:eastAsia="宋体" w:cs="宋体"/>
                <w:color w:val="auto"/>
                <w:sz w:val="24"/>
                <w:highlight w:val="none"/>
                <w:lang w:val="en-US" w:eastAsia="zh-CN"/>
              </w:rPr>
              <w:t>3.1</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val="en-US" w:eastAsia="zh-CN"/>
              </w:rPr>
              <w:t>招标代理服务费由</w:t>
            </w:r>
            <w:r>
              <w:rPr>
                <w:rFonts w:hint="eastAsia" w:ascii="宋体" w:hAnsi="宋体" w:eastAsia="宋体" w:cs="宋体"/>
                <w:color w:val="auto"/>
                <w:sz w:val="24"/>
                <w:highlight w:val="none"/>
              </w:rPr>
              <w:t>各入围</w:t>
            </w:r>
            <w:r>
              <w:rPr>
                <w:rFonts w:hint="eastAsia" w:ascii="宋体" w:hAnsi="宋体" w:eastAsia="宋体" w:cs="宋体"/>
                <w:color w:val="auto"/>
                <w:sz w:val="24"/>
                <w:highlight w:val="none"/>
                <w:lang w:val="en-US" w:eastAsia="zh-CN"/>
              </w:rPr>
              <w:t>供应商均摊</w:t>
            </w:r>
            <w:r>
              <w:rPr>
                <w:rFonts w:hint="eastAsia" w:ascii="宋体" w:hAnsi="宋体" w:eastAsia="宋体" w:cs="宋体"/>
                <w:color w:val="auto"/>
                <w:sz w:val="24"/>
                <w:highlight w:val="none"/>
              </w:rPr>
              <w:t>。②收取方式：以转账或汇款方式一次性交纳。</w:t>
            </w:r>
            <w:r>
              <w:rPr>
                <w:rFonts w:hint="eastAsia" w:ascii="宋体" w:hAnsi="宋体" w:eastAsia="宋体" w:cs="宋体"/>
                <w:color w:val="auto"/>
                <w:sz w:val="24"/>
                <w:highlight w:val="none"/>
                <w:lang w:val="en-US" w:eastAsia="zh-CN"/>
              </w:rPr>
              <w:t>③</w:t>
            </w:r>
            <w:r>
              <w:rPr>
                <w:rFonts w:hint="eastAsia" w:ascii="宋体" w:hAnsi="宋体" w:eastAsia="宋体" w:cs="宋体"/>
                <w:color w:val="auto"/>
                <w:sz w:val="24"/>
                <w:highlight w:val="none"/>
              </w:rPr>
              <w:t>代理服务费缴纳信息：开户名：福建康泰招标有限公司 开户行：中信银行福州江滨路支行 账 号：7612110182600018475。</w:t>
            </w:r>
          </w:p>
        </w:tc>
      </w:tr>
    </w:tbl>
    <w:p>
      <w:pPr>
        <w:pStyle w:val="16"/>
        <w:widowControl/>
        <w:spacing w:before="75" w:beforeAutospacing="0" w:after="75" w:afterAutospacing="0"/>
        <w:jc w:val="center"/>
        <w:rPr>
          <w:rStyle w:val="24"/>
          <w:rFonts w:ascii="宋体" w:hAnsi="宋体" w:eastAsia="宋体" w:cs="宋体"/>
          <w:color w:val="auto"/>
          <w:sz w:val="31"/>
          <w:szCs w:val="31"/>
          <w:highlight w:val="none"/>
        </w:rPr>
      </w:pPr>
    </w:p>
    <w:p>
      <w:pPr>
        <w:rPr>
          <w:rStyle w:val="24"/>
          <w:rFonts w:ascii="宋体" w:hAnsi="宋体" w:eastAsia="宋体" w:cs="宋体"/>
          <w:color w:val="auto"/>
          <w:kern w:val="0"/>
          <w:sz w:val="31"/>
          <w:szCs w:val="31"/>
          <w:highlight w:val="none"/>
        </w:rPr>
      </w:pPr>
      <w:r>
        <w:rPr>
          <w:rStyle w:val="24"/>
          <w:rFonts w:ascii="宋体" w:hAnsi="宋体" w:eastAsia="宋体" w:cs="宋体"/>
          <w:color w:val="auto"/>
          <w:sz w:val="31"/>
          <w:szCs w:val="31"/>
          <w:highlight w:val="none"/>
        </w:rPr>
        <w:br w:type="page"/>
      </w:r>
    </w:p>
    <w:p>
      <w:pPr>
        <w:pStyle w:val="16"/>
        <w:widowControl/>
        <w:spacing w:before="75" w:beforeAutospacing="0" w:after="75" w:afterAutospacing="0"/>
        <w:jc w:val="center"/>
        <w:rPr>
          <w:color w:val="auto"/>
          <w:highlight w:val="none"/>
        </w:rPr>
      </w:pPr>
      <w:r>
        <w:rPr>
          <w:rStyle w:val="24"/>
          <w:rFonts w:hint="eastAsia" w:ascii="宋体" w:hAnsi="宋体" w:eastAsia="宋体" w:cs="宋体"/>
          <w:color w:val="auto"/>
          <w:sz w:val="31"/>
          <w:szCs w:val="31"/>
          <w:highlight w:val="none"/>
        </w:rPr>
        <w:t>第三章   供应商须知</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6"/>
        <w:widowControl/>
        <w:spacing w:before="75" w:beforeAutospacing="0" w:after="75" w:afterAutospacing="0"/>
        <w:jc w:val="center"/>
        <w:rPr>
          <w:color w:val="auto"/>
          <w:highlight w:val="none"/>
        </w:rPr>
      </w:pPr>
      <w:r>
        <w:rPr>
          <w:rStyle w:val="24"/>
          <w:rFonts w:hint="eastAsia" w:ascii="宋体" w:hAnsi="宋体" w:eastAsia="宋体" w:cs="宋体"/>
          <w:color w:val="auto"/>
          <w:highlight w:val="none"/>
        </w:rPr>
        <w:t>一、总则</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1、适用范围</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1.1适用于征集文件载明项目的政府采购活动（以下简称：“本次采购活动”）。</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2、定义</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2.1“采购标的”指征集文件载明的需要采购的货物或服务。</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2.2“潜在供应商”指按照征集文件第一章第</w:t>
      </w:r>
      <w:r>
        <w:rPr>
          <w:rFonts w:ascii="Calibri" w:hAnsi="Calibri" w:cs="Calibri"/>
          <w:color w:val="auto"/>
          <w:highlight w:val="none"/>
        </w:rPr>
        <w:t>7</w:t>
      </w:r>
      <w:r>
        <w:rPr>
          <w:rFonts w:hint="eastAsia" w:ascii="宋体" w:hAnsi="宋体" w:eastAsia="宋体" w:cs="宋体"/>
          <w:color w:val="auto"/>
          <w:highlight w:val="none"/>
        </w:rPr>
        <w:t>条规定获取征集文件且有意向参加本项目征集活动的供应商。</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2.3“供应商”指按照征集文件第一章第</w:t>
      </w:r>
      <w:r>
        <w:rPr>
          <w:rFonts w:ascii="Calibri" w:hAnsi="Calibri" w:cs="Calibri"/>
          <w:color w:val="auto"/>
          <w:highlight w:val="none"/>
        </w:rPr>
        <w:t>7</w:t>
      </w:r>
      <w:r>
        <w:rPr>
          <w:rFonts w:hint="eastAsia" w:ascii="宋体" w:hAnsi="宋体" w:eastAsia="宋体" w:cs="宋体"/>
          <w:color w:val="auto"/>
          <w:highlight w:val="none"/>
        </w:rPr>
        <w:t>条规定获取征集文件并参加本项目征集活动的供应商。</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2.4“单位负责人”指单位法定代表人或法律、法规规定代表单位行使职权的主要负责人。</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2.5“供应商代表”指供应商的单位负责人或“单位负责人授权书”中载明的接受授权方。</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6"/>
        <w:widowControl/>
        <w:spacing w:before="75" w:beforeAutospacing="0" w:after="75" w:afterAutospacing="0"/>
        <w:jc w:val="center"/>
        <w:rPr>
          <w:rFonts w:eastAsia="宋体"/>
          <w:color w:val="auto"/>
          <w:highlight w:val="none"/>
        </w:rPr>
      </w:pPr>
      <w:r>
        <w:rPr>
          <w:rStyle w:val="24"/>
          <w:rFonts w:hint="eastAsia" w:ascii="宋体" w:hAnsi="宋体" w:eastAsia="宋体" w:cs="宋体"/>
          <w:color w:val="auto"/>
          <w:highlight w:val="none"/>
        </w:rPr>
        <w:t>二、供应商</w:t>
      </w:r>
    </w:p>
    <w:p>
      <w:pPr>
        <w:pStyle w:val="16"/>
        <w:widowControl/>
        <w:spacing w:before="75" w:beforeAutospacing="0" w:after="75" w:afterAutospacing="0"/>
        <w:rPr>
          <w:rFonts w:eastAsia="宋体"/>
          <w:color w:val="auto"/>
          <w:highlight w:val="none"/>
        </w:rPr>
      </w:pPr>
      <w:r>
        <w:rPr>
          <w:rFonts w:hint="eastAsia" w:ascii="宋体" w:hAnsi="宋体" w:eastAsia="宋体" w:cs="宋体"/>
          <w:color w:val="auto"/>
          <w:highlight w:val="none"/>
        </w:rPr>
        <w:t>3、合格供应商</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3.1一般规定</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供应商应遵守政府采购法及实施条例、政府采购招投标管理办法、政府采购框架协议采购方式管理暂行办法、政府采购质疑和投诉办法及财政部、福建省财政厅有关政府采购文件的规定，同时还应遵守有关法律、法规和规章的强制性规定。</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（2）供应商的资格要求：详见征集文件第一章。</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3.2若本项目接受联合体征集活动且供应商为联合体，则联合体各方应遵守本章第3.1条规定，同时还应遵守下列规定：</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（1）联合体各方应提交联合体协议，联合体协议应符合征集文件规定。</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（2）联合体各方不得再单独参加或与其他供应商另外组成联合体参加同一合同项下的征集活动。</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（3）联合体各方应共同与征集人签订政府采购合同，就政府采购合同约定的事项对征集人承担连带责任。</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4、征集费用</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4.1除征集文件另有规定外，供应商应自行承担其参加本项目征集所涉及的一切费用。</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6"/>
        <w:widowControl/>
        <w:spacing w:before="75" w:beforeAutospacing="0" w:after="75" w:afterAutospacing="0"/>
        <w:jc w:val="center"/>
        <w:rPr>
          <w:color w:val="auto"/>
          <w:highlight w:val="none"/>
        </w:rPr>
      </w:pPr>
      <w:r>
        <w:rPr>
          <w:rStyle w:val="24"/>
          <w:rFonts w:hint="eastAsia" w:ascii="宋体" w:hAnsi="宋体" w:eastAsia="宋体" w:cs="宋体"/>
          <w:color w:val="auto"/>
          <w:highlight w:val="none"/>
        </w:rPr>
        <w:t>三、征集</w:t>
      </w:r>
    </w:p>
    <w:p>
      <w:pPr>
        <w:pStyle w:val="16"/>
        <w:widowControl/>
        <w:spacing w:before="75" w:beforeAutospacing="0" w:after="75" w:afterAutospacing="0"/>
        <w:rPr>
          <w:rFonts w:eastAsia="宋体"/>
          <w:color w:val="auto"/>
          <w:highlight w:val="none"/>
        </w:rPr>
      </w:pPr>
      <w:r>
        <w:rPr>
          <w:rFonts w:hint="eastAsia" w:ascii="宋体" w:hAnsi="宋体" w:eastAsia="宋体" w:cs="宋体"/>
          <w:color w:val="auto"/>
          <w:highlight w:val="none"/>
        </w:rPr>
        <w:t>5、征集文件</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5.1征集文件由下述部分组成：</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（1）征集邀请</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（2）供应商须知前附表（表</w:t>
      </w:r>
      <w:r>
        <w:rPr>
          <w:rFonts w:ascii="Calibri" w:hAnsi="Calibri" w:cs="Calibri"/>
          <w:color w:val="auto"/>
          <w:highlight w:val="none"/>
        </w:rPr>
        <w:t>1</w:t>
      </w:r>
      <w:r>
        <w:rPr>
          <w:rFonts w:hint="eastAsia" w:ascii="宋体" w:hAnsi="宋体" w:eastAsia="宋体" w:cs="宋体"/>
          <w:color w:val="auto"/>
          <w:highlight w:val="none"/>
        </w:rPr>
        <w:t>）</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（3）供应商须知</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（4）资格审查与评标</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（5）采购内容及要求</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（6）框架协议和采购合同（参考文本）</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（7）响应文件格式</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（8）按照征集文件规定作为征集文件组成部分的其他内容（若有）</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5.2征集文件的澄清或修改</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w:t>
      </w:r>
      <w:r>
        <w:rPr>
          <w:rFonts w:hint="eastAsia" w:eastAsia="宋体"/>
          <w:color w:val="auto"/>
          <w:highlight w:val="none"/>
          <w:u w:val="single"/>
          <w:lang w:eastAsia="zh-CN"/>
        </w:rPr>
        <w:t>福建康泰招标有限公司</w:t>
      </w:r>
      <w:r>
        <w:rPr>
          <w:rFonts w:hint="eastAsia" w:ascii="宋体" w:hAnsi="宋体" w:eastAsia="宋体" w:cs="宋体"/>
          <w:color w:val="auto"/>
          <w:highlight w:val="none"/>
        </w:rPr>
        <w:t>可对已发出的征集文件进行必要的澄清或修改，但不得对征集文件载明的采购标的和供应商的资格要求进行改变。</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（2）除本章第</w:t>
      </w:r>
      <w:r>
        <w:rPr>
          <w:rFonts w:ascii="Calibri" w:hAnsi="Calibri" w:cs="Calibri"/>
          <w:color w:val="auto"/>
          <w:highlight w:val="none"/>
        </w:rPr>
        <w:t>5.2</w:t>
      </w:r>
      <w:r>
        <w:rPr>
          <w:rFonts w:hint="eastAsia" w:ascii="宋体" w:hAnsi="宋体" w:eastAsia="宋体" w:cs="宋体"/>
          <w:color w:val="auto"/>
          <w:highlight w:val="none"/>
        </w:rPr>
        <w:t>条第（</w:t>
      </w:r>
      <w:r>
        <w:rPr>
          <w:rFonts w:ascii="Calibri" w:hAnsi="Calibri" w:cs="Calibri"/>
          <w:color w:val="auto"/>
          <w:highlight w:val="none"/>
        </w:rPr>
        <w:t>3</w:t>
      </w:r>
      <w:r>
        <w:rPr>
          <w:rFonts w:hint="eastAsia" w:ascii="宋体" w:hAnsi="宋体" w:eastAsia="宋体" w:cs="宋体"/>
          <w:color w:val="auto"/>
          <w:highlight w:val="none"/>
        </w:rPr>
        <w:t>）款规定情形外，澄清或修改的内容可能影响响应文件编制的，</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将在递交响应文件截止时间至少15个日历日前，在征集文件载明的指定媒体以更正公告的形式发布澄清或修改的内容。不足</w:t>
      </w:r>
      <w:r>
        <w:rPr>
          <w:rFonts w:ascii="Calibri" w:hAnsi="Calibri" w:cs="Calibri"/>
          <w:color w:val="auto"/>
          <w:highlight w:val="none"/>
        </w:rPr>
        <w:t>15</w:t>
      </w:r>
      <w:r>
        <w:rPr>
          <w:rFonts w:hint="eastAsia" w:ascii="宋体" w:hAnsi="宋体" w:eastAsia="宋体" w:cs="宋体"/>
          <w:color w:val="auto"/>
          <w:highlight w:val="none"/>
        </w:rPr>
        <w:t>个日历日的，</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将顺延递交响应文件截止时间及开标时间，</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和供应商受原递交响应文件截止时间及开标时间制约的所有权利和义务均延长至新的递交响应文件截止时间及开标时间。</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（3）澄清或修改的内容可能改变征集文件载明的采购标的和供应商的资格要求的，本次采购活动结束，</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将依法组织后续采购活动（包括但不限于：重新征集供应商、采用其他方式采购等）。</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6、现场考察或开标前答疑会</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6.1是否组织现场考察或召开开标前答疑会：详见征集文件第二章。</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7、更正公告</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7.1若</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发布更正公告，则更正公告及其所发布的内容或信息（包括但不限于：征集文件的澄清或修改、现场考察或答疑会的有关事宜等）</w:t>
      </w:r>
      <w:r>
        <w:rPr>
          <w:rStyle w:val="24"/>
          <w:rFonts w:hint="eastAsia" w:ascii="宋体" w:hAnsi="宋体" w:eastAsia="宋体" w:cs="宋体"/>
          <w:color w:val="auto"/>
          <w:highlight w:val="none"/>
        </w:rPr>
        <w:t>作为征集文件组成部分</w:t>
      </w:r>
      <w:r>
        <w:rPr>
          <w:rFonts w:hint="eastAsia" w:ascii="宋体" w:hAnsi="宋体" w:eastAsia="宋体" w:cs="宋体"/>
          <w:color w:val="auto"/>
          <w:highlight w:val="none"/>
        </w:rPr>
        <w:t>，对供应商具有约束力。</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7.2更正公告作为</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通知所有潜在供应商的书面形式。</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8、终止公告</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8.1若出现因重大变故导致采购任务取消情形，</w:t>
      </w:r>
      <w:r>
        <w:rPr>
          <w:rFonts w:hint="eastAsia" w:ascii="宋体" w:hAnsi="宋体" w:eastAsia="宋体" w:cs="宋体"/>
          <w:color w:val="auto"/>
          <w:highlight w:val="none"/>
          <w:lang w:eastAsia="zh-CN"/>
        </w:rPr>
        <w:t>福建康泰招标有限公司</w:t>
      </w:r>
      <w:r>
        <w:rPr>
          <w:rFonts w:hint="eastAsia" w:ascii="宋体" w:hAnsi="宋体" w:eastAsia="宋体" w:cs="宋体"/>
          <w:color w:val="auto"/>
          <w:highlight w:val="none"/>
        </w:rPr>
        <w:t>可终止征集活动并发布终止公告。</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8.2终止公告作为</w:t>
      </w:r>
      <w:r>
        <w:rPr>
          <w:rFonts w:hint="eastAsia" w:ascii="宋体" w:hAnsi="宋体" w:eastAsia="宋体" w:cs="宋体"/>
          <w:color w:val="auto"/>
          <w:highlight w:val="none"/>
          <w:lang w:eastAsia="zh-CN"/>
        </w:rPr>
        <w:t>福建康泰招标有限公司</w:t>
      </w:r>
      <w:r>
        <w:rPr>
          <w:rFonts w:hint="eastAsia" w:ascii="宋体" w:hAnsi="宋体" w:eastAsia="宋体" w:cs="宋体"/>
          <w:color w:val="auto"/>
          <w:highlight w:val="none"/>
        </w:rPr>
        <w:t>通知所有潜在供应商的书面形式。</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6"/>
        <w:widowControl/>
        <w:spacing w:before="75" w:beforeAutospacing="0" w:after="75" w:afterAutospacing="0"/>
        <w:jc w:val="center"/>
        <w:rPr>
          <w:color w:val="auto"/>
          <w:highlight w:val="none"/>
        </w:rPr>
      </w:pPr>
      <w:r>
        <w:rPr>
          <w:rStyle w:val="24"/>
          <w:rFonts w:hint="eastAsia" w:ascii="宋体" w:hAnsi="宋体" w:eastAsia="宋体" w:cs="宋体"/>
          <w:color w:val="auto"/>
          <w:highlight w:val="none"/>
        </w:rPr>
        <w:t>四、响应文件的编制</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9、响应要求</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9.1供应商可对征集文件载明的全部或部分合同包进行响应。</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9.2供应商应对同一个合同包内的所有内容进行完整响应，否则</w:t>
      </w:r>
      <w:r>
        <w:rPr>
          <w:rStyle w:val="24"/>
          <w:rFonts w:hint="eastAsia" w:ascii="宋体" w:hAnsi="宋体" w:eastAsia="宋体" w:cs="宋体"/>
          <w:color w:val="auto"/>
          <w:highlight w:val="none"/>
        </w:rPr>
        <w:t>响应无效</w:t>
      </w:r>
      <w:r>
        <w:rPr>
          <w:rFonts w:hint="eastAsia" w:ascii="宋体" w:hAnsi="宋体" w:eastAsia="宋体" w:cs="宋体"/>
          <w:color w:val="auto"/>
          <w:highlight w:val="none"/>
        </w:rPr>
        <w:t>。</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9.3供应商代表只能接受一个供应商的授权参加政府采购活动，否则</w:t>
      </w:r>
      <w:r>
        <w:rPr>
          <w:rStyle w:val="24"/>
          <w:rFonts w:hint="eastAsia" w:ascii="宋体" w:hAnsi="宋体" w:eastAsia="宋体" w:cs="宋体"/>
          <w:color w:val="auto"/>
          <w:highlight w:val="none"/>
        </w:rPr>
        <w:t>响应无效</w:t>
      </w:r>
      <w:r>
        <w:rPr>
          <w:rFonts w:hint="eastAsia" w:ascii="宋体" w:hAnsi="宋体" w:eastAsia="宋体" w:cs="宋体"/>
          <w:color w:val="auto"/>
          <w:highlight w:val="none"/>
        </w:rPr>
        <w:t>。</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9.4单位负责人为同一人或存在直接控股、管理关系的不同供应商，不得同时参加同一合同项下的政府采购活动，否则</w:t>
      </w:r>
      <w:r>
        <w:rPr>
          <w:rStyle w:val="24"/>
          <w:rFonts w:hint="eastAsia" w:ascii="宋体" w:hAnsi="宋体" w:eastAsia="宋体" w:cs="宋体"/>
          <w:color w:val="auto"/>
          <w:highlight w:val="none"/>
        </w:rPr>
        <w:t>响应无效</w:t>
      </w:r>
      <w:r>
        <w:rPr>
          <w:rFonts w:hint="eastAsia" w:ascii="宋体" w:hAnsi="宋体" w:eastAsia="宋体" w:cs="宋体"/>
          <w:color w:val="auto"/>
          <w:highlight w:val="none"/>
        </w:rPr>
        <w:t>。</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9.5为本项目提供整体设计、规范编制或项目管理、监理、检测等服务的供应商，不得参加本项目除整体设计、规范编制和项目管理、监理、检测等服务外的采购活动，否则</w:t>
      </w:r>
      <w:r>
        <w:rPr>
          <w:rStyle w:val="24"/>
          <w:rFonts w:hint="eastAsia" w:ascii="宋体" w:hAnsi="宋体" w:eastAsia="宋体" w:cs="宋体"/>
          <w:color w:val="auto"/>
          <w:highlight w:val="none"/>
        </w:rPr>
        <w:t>响应无效</w:t>
      </w:r>
      <w:r>
        <w:rPr>
          <w:rFonts w:hint="eastAsia" w:ascii="宋体" w:hAnsi="宋体" w:eastAsia="宋体" w:cs="宋体"/>
          <w:color w:val="auto"/>
          <w:highlight w:val="none"/>
        </w:rPr>
        <w:t>。</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9.6列入失信被执行人、重大税收违法失信主体、政府采购严重违法失信行为记录名单及其他不符合政府采购法第二十二条规定条件的供应商，不得参加</w:t>
      </w:r>
      <w:r>
        <w:rPr>
          <w:rFonts w:ascii="宋体" w:hAnsi="宋体"/>
          <w:color w:val="auto"/>
          <w:highlight w:val="none"/>
        </w:rPr>
        <w:t>政府采购活动</w:t>
      </w:r>
      <w:r>
        <w:rPr>
          <w:rFonts w:hint="eastAsia" w:ascii="宋体" w:hAnsi="宋体" w:eastAsia="宋体" w:cs="宋体"/>
          <w:color w:val="auto"/>
          <w:highlight w:val="none"/>
        </w:rPr>
        <w:t>，否则</w:t>
      </w:r>
      <w:r>
        <w:rPr>
          <w:rStyle w:val="24"/>
          <w:rFonts w:hint="eastAsia" w:ascii="宋体" w:hAnsi="宋体" w:eastAsia="宋体" w:cs="宋体"/>
          <w:color w:val="auto"/>
          <w:highlight w:val="none"/>
        </w:rPr>
        <w:t>响应无效</w:t>
      </w:r>
      <w:r>
        <w:rPr>
          <w:rFonts w:hint="eastAsia" w:ascii="宋体" w:hAnsi="宋体" w:eastAsia="宋体" w:cs="宋体"/>
          <w:color w:val="auto"/>
          <w:highlight w:val="none"/>
        </w:rPr>
        <w:t>。</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9.7有下列情形之一的，视为供应商串通投标，</w:t>
      </w:r>
      <w:r>
        <w:rPr>
          <w:rStyle w:val="24"/>
          <w:rFonts w:hint="eastAsia" w:ascii="宋体" w:hAnsi="宋体" w:eastAsia="宋体" w:cs="宋体"/>
          <w:color w:val="auto"/>
          <w:highlight w:val="none"/>
        </w:rPr>
        <w:t>其响应无效：</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（1）不同供应商的响应文件由同一单位或个人编制；</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（2）不同供应商委托同一单位或个人办理投标事宜；</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（3）不同供应商的响应文件载明的项目管理成员或联系人员为同一人；</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（4）不同供应商的响应文件异常一致或报价呈规律性差异；</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（5）不同供应商的响应文件相互混装；</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（6）不同供应商的响应保证金从同一单位或个人的账户转出；</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（7）有关法律、法规和规章及征集文件规定的其他串通投标情形。</w:t>
      </w:r>
    </w:p>
    <w:p>
      <w:pPr>
        <w:pStyle w:val="16"/>
        <w:widowControl/>
        <w:spacing w:before="75" w:beforeAutospacing="0" w:after="75" w:afterAutospacing="0"/>
        <w:rPr>
          <w:rFonts w:eastAsia="宋体"/>
          <w:color w:val="auto"/>
          <w:highlight w:val="none"/>
        </w:rPr>
      </w:pPr>
      <w:r>
        <w:rPr>
          <w:rFonts w:hint="eastAsia" w:ascii="宋体" w:hAnsi="宋体" w:eastAsia="宋体" w:cs="宋体"/>
          <w:color w:val="auto"/>
          <w:highlight w:val="none"/>
        </w:rPr>
        <w:t>10、响应文件</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10.1响应文件的编制</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（1）供应商应先仔细阅读征集文件的全部内容后，再进行响应文件的编制。</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（2）响应文件应按照本章第</w:t>
      </w:r>
      <w:r>
        <w:rPr>
          <w:rFonts w:ascii="Calibri" w:hAnsi="Calibri" w:cs="Calibri"/>
          <w:color w:val="auto"/>
          <w:highlight w:val="none"/>
        </w:rPr>
        <w:t>10.2</w:t>
      </w:r>
      <w:r>
        <w:rPr>
          <w:rFonts w:hint="eastAsia" w:ascii="宋体" w:hAnsi="宋体" w:eastAsia="宋体" w:cs="宋体"/>
          <w:color w:val="auto"/>
          <w:highlight w:val="none"/>
        </w:rPr>
        <w:t>条规定编制其组成部分。</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（3）响应文件应满足征集文件提出的实质性要求和条件，并保证其所提交的全部资料是不可割离且真实、有效、准确、完整和不具有任何误导性的，否则造成不利后果由供应商承担责任。</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10.2响应文件由下述部分组成：</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（1）资格及资信证明部分</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①响应函</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②供应商的资格及资信证明文件</w:t>
      </w:r>
    </w:p>
    <w:p>
      <w:pPr>
        <w:pStyle w:val="16"/>
        <w:widowControl/>
        <w:spacing w:before="75" w:beforeAutospacing="0" w:after="75" w:afterAutospacing="0"/>
        <w:ind w:firstLine="480"/>
        <w:rPr>
          <w:rFonts w:eastAsia="宋体"/>
          <w:color w:val="auto"/>
          <w:highlight w:val="none"/>
        </w:rPr>
      </w:pPr>
      <w:r>
        <w:rPr>
          <w:rFonts w:hint="eastAsia" w:ascii="宋体" w:hAnsi="宋体" w:eastAsia="宋体" w:cs="宋体"/>
          <w:color w:val="auto"/>
          <w:highlight w:val="none"/>
        </w:rPr>
        <w:t>③响应保证金</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（2）报价部分</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①开标一览表</w:t>
      </w:r>
    </w:p>
    <w:p>
      <w:pPr>
        <w:pStyle w:val="16"/>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②投标分项报价表</w:t>
      </w:r>
    </w:p>
    <w:p>
      <w:pPr>
        <w:pStyle w:val="16"/>
        <w:widowControl/>
        <w:spacing w:before="75" w:beforeAutospacing="0" w:after="75" w:afterAutospacing="0"/>
        <w:ind w:firstLine="480"/>
        <w:rPr>
          <w:rFonts w:hint="eastAsia" w:ascii="宋体" w:hAnsi="宋体" w:eastAsia="宋体" w:cs="宋体"/>
          <w:color w:val="auto"/>
          <w:highlight w:val="none"/>
        </w:rPr>
      </w:pPr>
      <w:r>
        <w:rPr>
          <w:rFonts w:hint="eastAsia" w:ascii="宋体" w:hAnsi="宋体" w:eastAsia="宋体" w:cs="宋体"/>
          <w:color w:val="auto"/>
          <w:highlight w:val="none"/>
        </w:rPr>
        <w:t>③征集文件规定的价格扣除证明材料（若有）</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（3）技术商务部分</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①标的说明一览表</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②技术和服务要求响应表</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③商务条件响应表</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④供应商提交的其他资料（若有）</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⑤征集文件规定作为响应文件组成部分的其他内容（若有）</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10.3响应文件的语言</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（1）除征集文件另有规定外，响应文件应使用中文文本，若有不同文本，以中文文本为准。</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10.4响应文件的份数：详见征集文件第二章。</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10.5响应文件的格式</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（1）除征集文件另有规定外，响应文件应使用征集文件第七章规定的格式。</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（2）除征集文件另有规定外，响应文件的正本和全部副本均应使用不能擦去的墨料或墨水打印、书写或复印，其中：</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①正本应用</w:t>
      </w:r>
      <w:r>
        <w:rPr>
          <w:rFonts w:ascii="Calibri" w:hAnsi="Calibri" w:cs="Calibri"/>
          <w:color w:val="auto"/>
          <w:highlight w:val="none"/>
        </w:rPr>
        <w:t>A4</w:t>
      </w:r>
      <w:r>
        <w:rPr>
          <w:rFonts w:hint="eastAsia" w:ascii="宋体" w:hAnsi="宋体" w:eastAsia="宋体" w:cs="宋体"/>
          <w:color w:val="auto"/>
          <w:highlight w:val="none"/>
        </w:rPr>
        <w:t>幅面纸张打印装订，编制封面（封面标明“正本”字样）、索引、页码，并用胶装装订成册。</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②副本应用</w:t>
      </w:r>
      <w:r>
        <w:rPr>
          <w:rFonts w:ascii="Calibri" w:hAnsi="Calibri" w:cs="Calibri"/>
          <w:color w:val="auto"/>
          <w:highlight w:val="none"/>
        </w:rPr>
        <w:t>A4</w:t>
      </w:r>
      <w:r>
        <w:rPr>
          <w:rFonts w:hint="eastAsia" w:ascii="宋体" w:hAnsi="宋体" w:eastAsia="宋体" w:cs="宋体"/>
          <w:color w:val="auto"/>
          <w:highlight w:val="none"/>
        </w:rPr>
        <w:t>幅面纸张打印装订，编制封面（封面标明“副本”字样）、索引、页码，并用胶装装订成册；副本可用正本的完整复印件，并与正本保持一致（若不一致，以正本为准）。</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③允许散装或活页装订的内容或材料：详见征集文件第二章。</w:t>
      </w:r>
    </w:p>
    <w:p>
      <w:pPr>
        <w:pStyle w:val="16"/>
        <w:widowControl/>
        <w:spacing w:before="75" w:beforeAutospacing="0" w:after="75" w:afterAutospacing="0"/>
        <w:ind w:firstLine="480"/>
        <w:rPr>
          <w:color w:val="auto"/>
          <w:highlight w:val="none"/>
        </w:rPr>
      </w:pPr>
      <w:r>
        <w:rPr>
          <w:rStyle w:val="24"/>
          <w:rFonts w:hint="eastAsia" w:ascii="宋体" w:hAnsi="宋体" w:eastAsia="宋体" w:cs="宋体"/>
          <w:color w:val="auto"/>
          <w:highlight w:val="none"/>
        </w:rPr>
        <w:t>※除本章第</w:t>
      </w:r>
      <w:r>
        <w:rPr>
          <w:rStyle w:val="24"/>
          <w:rFonts w:ascii="Calibri" w:hAnsi="Calibri" w:cs="Calibri"/>
          <w:color w:val="auto"/>
          <w:highlight w:val="none"/>
        </w:rPr>
        <w:t>10.5</w:t>
      </w:r>
      <w:r>
        <w:rPr>
          <w:rStyle w:val="24"/>
          <w:rFonts w:hint="eastAsia" w:ascii="宋体" w:hAnsi="宋体" w:eastAsia="宋体" w:cs="宋体"/>
          <w:color w:val="auto"/>
          <w:highlight w:val="none"/>
        </w:rPr>
        <w:t>条第（</w:t>
      </w:r>
      <w:r>
        <w:rPr>
          <w:rStyle w:val="24"/>
          <w:rFonts w:ascii="Calibri" w:hAnsi="Calibri" w:cs="Calibri"/>
          <w:color w:val="auto"/>
          <w:highlight w:val="none"/>
        </w:rPr>
        <w:t>2</w:t>
      </w:r>
      <w:r>
        <w:rPr>
          <w:rStyle w:val="24"/>
          <w:rFonts w:hint="eastAsia" w:ascii="宋体" w:hAnsi="宋体" w:eastAsia="宋体" w:cs="宋体"/>
          <w:color w:val="auto"/>
          <w:highlight w:val="none"/>
        </w:rPr>
        <w:t>）款第③点规定情形外，响应文件散装或活页装订将导致响应无效。</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（3）除征集文件另有规定外，响应文件应使用人民币作为计量货币。</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（4）除征集文件另有规定外，签署、盖章应遵守下列规定：</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①响应文件应由供应商代表签字并加盖供应商的单位公章。若供应商代表为单位负责人授权的委托代理人，应提供“单位负责人授权书”。</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②响应文件应没有涂改或行间插字，除非这些改动是根据</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的指示进行的，或是为改正供应商造成的应修改的错误而进行的。若有前述改动，应按照下列规定之一对改动处进行处理：</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a.供应商代表签字确认；</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b.加盖供应商的单位公章或校正章。</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10.6报价要求</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（1）最高限价由征集人根据价格测算情况，在预算金额的额度内合理设定。</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）除征集文件另有规定外，响应文件不能出现任何选择性的报价，即每一个合同包和品目号的采购标的都只能有一个报价。任何选择性的报价将导致</w:t>
      </w:r>
      <w:r>
        <w:rPr>
          <w:rStyle w:val="24"/>
          <w:rFonts w:hint="eastAsia" w:ascii="宋体" w:hAnsi="宋体" w:eastAsia="宋体" w:cs="宋体"/>
          <w:color w:val="auto"/>
          <w:highlight w:val="none"/>
        </w:rPr>
        <w:t>响应无效。</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10.7分包</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（1）是否允许入围供应商将本项目的非主体、非关键性工作进行分包：详见征集文件第二章。</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（2）若允许入围供应商将本项目的非主体、非关键性工作进行分包且供应商拟在入围后进行分包，则供应商应在响应文件中载明分包承担主体，分包承担主体应具备相应资质条件（若有）且不得再次分包。</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（3）征集文件允许入围供应商将非主体、非关键性工作进行分包的项目，有下列情形之一的，入围供应商不得分包：</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①响应文件中未载明分包承担主体；</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②响应文件载明的分包承担主体不具备相应资质条件；</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③响应文件载明的分包承担主体拟再次分包；</w:t>
      </w:r>
    </w:p>
    <w:p>
      <w:pPr>
        <w:pStyle w:val="16"/>
        <w:widowControl/>
        <w:rPr>
          <w:color w:val="auto"/>
          <w:highlight w:val="none"/>
        </w:rPr>
      </w:pPr>
      <w:r>
        <w:rPr>
          <w:rFonts w:hint="eastAsia" w:ascii="宋体" w:hAnsi="宋体" w:eastAsia="宋体" w:cs="宋体"/>
          <w:color w:val="auto"/>
          <w:highlight w:val="none"/>
        </w:rPr>
        <w:t>  ④享受中小企业扶持政策获得政府采购合同的，小微企业不得将合同分包给大中型企业，中型企业不得将合同分包给大型企业。</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10.8响应文件有效期</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（1）征集文件载明的响应文件有效期：详见征集文件第二章。</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（2）响应文件承诺的响应文件有效期不得少于征集文件载明的响应文件有效期，否则</w:t>
      </w:r>
      <w:r>
        <w:rPr>
          <w:rStyle w:val="24"/>
          <w:rFonts w:hint="eastAsia" w:ascii="宋体" w:hAnsi="宋体" w:eastAsia="宋体" w:cs="宋体"/>
          <w:color w:val="auto"/>
          <w:highlight w:val="none"/>
        </w:rPr>
        <w:t>响应无效</w:t>
      </w:r>
      <w:r>
        <w:rPr>
          <w:rFonts w:hint="eastAsia" w:ascii="宋体" w:hAnsi="宋体" w:eastAsia="宋体" w:cs="宋体"/>
          <w:color w:val="auto"/>
          <w:highlight w:val="none"/>
        </w:rPr>
        <w:t>。</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（3）根据本次采购活动的需要，</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可于响应文件有效期届满之前书面要求供应商延长响应文件有效期，供应商应在</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规定的期限内以书面形式予以答复。对于延长响应文件有效期的要求，供应商可以拒绝也可以接受，供应商答复不明确或逾期未答复的，均视为拒绝该要求。对于接受延长响应文件有效期的供应商，既不要求也不允许修改响应文件。</w:t>
      </w:r>
    </w:p>
    <w:p>
      <w:pPr>
        <w:pStyle w:val="16"/>
        <w:widowControl/>
        <w:spacing w:before="75" w:beforeAutospacing="0" w:after="75" w:afterAutospacing="0"/>
        <w:rPr>
          <w:rFonts w:eastAsia="宋体"/>
          <w:color w:val="auto"/>
          <w:highlight w:val="none"/>
        </w:rPr>
      </w:pPr>
      <w:r>
        <w:rPr>
          <w:rFonts w:hint="eastAsia" w:ascii="宋体" w:hAnsi="宋体" w:eastAsia="宋体" w:cs="宋体"/>
          <w:color w:val="auto"/>
          <w:highlight w:val="none"/>
        </w:rPr>
        <w:t>10.9响应保证金</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（1）响应保证金作为供应商按照征集文件规定履行相应响应文件责任、义务的约束及担保。</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（2）响应保证金的有效期应与响应文件承诺的响应文件有效期保持一致，否则</w:t>
      </w:r>
      <w:r>
        <w:rPr>
          <w:rStyle w:val="24"/>
          <w:rFonts w:hint="eastAsia" w:ascii="宋体" w:hAnsi="宋体" w:eastAsia="宋体" w:cs="宋体"/>
          <w:color w:val="auto"/>
          <w:highlight w:val="none"/>
        </w:rPr>
        <w:t>响应无效</w:t>
      </w:r>
      <w:r>
        <w:rPr>
          <w:rFonts w:hint="eastAsia" w:ascii="宋体" w:hAnsi="宋体" w:eastAsia="宋体" w:cs="宋体"/>
          <w:color w:val="auto"/>
          <w:highlight w:val="none"/>
        </w:rPr>
        <w:t>。</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（3）提交</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①供应商应从其银行账户</w:t>
      </w:r>
      <w:r>
        <w:rPr>
          <w:rStyle w:val="24"/>
          <w:rFonts w:hint="eastAsia" w:ascii="宋体" w:hAnsi="宋体" w:eastAsia="宋体" w:cs="宋体"/>
          <w:color w:val="auto"/>
          <w:highlight w:val="none"/>
        </w:rPr>
        <w:t>（基本存款账户）</w:t>
      </w:r>
      <w:r>
        <w:rPr>
          <w:rFonts w:hint="eastAsia" w:ascii="宋体" w:hAnsi="宋体" w:eastAsia="宋体" w:cs="宋体"/>
          <w:color w:val="auto"/>
          <w:highlight w:val="none"/>
        </w:rPr>
        <w:t>按照下列方式：</w:t>
      </w:r>
      <w:r>
        <w:rPr>
          <w:rStyle w:val="24"/>
          <w:rFonts w:hint="eastAsia" w:ascii="宋体" w:hAnsi="宋体" w:eastAsia="宋体" w:cs="宋体"/>
          <w:color w:val="auto"/>
          <w:highlight w:val="none"/>
        </w:rPr>
        <w:t>公对公转账方式</w:t>
      </w:r>
      <w:r>
        <w:rPr>
          <w:rFonts w:hint="eastAsia" w:ascii="宋体" w:hAnsi="宋体" w:eastAsia="宋体" w:cs="宋体"/>
          <w:color w:val="auto"/>
          <w:highlight w:val="none"/>
        </w:rPr>
        <w:t>向征集文件载明的响应保证金账户提交响应保证金，具体金额详见征集文件第一章。</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②响应保证金应于递交响应文件截止时间前到达征集文件载明的响应保证金账户，否则视为响应保证金未提交</w:t>
      </w:r>
      <w:r>
        <w:rPr>
          <w:rStyle w:val="24"/>
          <w:rFonts w:hint="eastAsia" w:ascii="宋体" w:hAnsi="宋体" w:eastAsia="宋体" w:cs="宋体"/>
          <w:color w:val="auto"/>
          <w:highlight w:val="none"/>
        </w:rPr>
        <w:t>。</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③若本项目接受联合体参与征集活动且供应商为联合体，则联合体中的牵头方应按照本章第</w:t>
      </w:r>
      <w:r>
        <w:rPr>
          <w:rFonts w:ascii="Calibri" w:hAnsi="Calibri" w:cs="Calibri"/>
          <w:color w:val="auto"/>
          <w:highlight w:val="none"/>
        </w:rPr>
        <w:t>10.9</w:t>
      </w:r>
      <w:r>
        <w:rPr>
          <w:rFonts w:hint="eastAsia" w:ascii="宋体" w:hAnsi="宋体" w:eastAsia="宋体" w:cs="宋体"/>
          <w:color w:val="auto"/>
          <w:highlight w:val="none"/>
        </w:rPr>
        <w:t>条第（</w:t>
      </w:r>
      <w:r>
        <w:rPr>
          <w:rFonts w:ascii="Calibri" w:hAnsi="Calibri" w:cs="Calibri"/>
          <w:color w:val="auto"/>
          <w:highlight w:val="none"/>
        </w:rPr>
        <w:t>3</w:t>
      </w:r>
      <w:r>
        <w:rPr>
          <w:rFonts w:hint="eastAsia" w:ascii="宋体" w:hAnsi="宋体" w:eastAsia="宋体" w:cs="宋体"/>
          <w:color w:val="auto"/>
          <w:highlight w:val="none"/>
        </w:rPr>
        <w:t>）款第①、②点规定提交响应保证金。</w:t>
      </w:r>
    </w:p>
    <w:p>
      <w:pPr>
        <w:pStyle w:val="16"/>
        <w:widowControl/>
        <w:spacing w:before="75" w:beforeAutospacing="0" w:after="75" w:afterAutospacing="0"/>
        <w:ind w:firstLine="480"/>
        <w:rPr>
          <w:color w:val="auto"/>
          <w:highlight w:val="none"/>
        </w:rPr>
      </w:pPr>
      <w:r>
        <w:rPr>
          <w:rStyle w:val="24"/>
          <w:rFonts w:hint="eastAsia" w:ascii="宋体" w:hAnsi="宋体" w:eastAsia="宋体" w:cs="宋体"/>
          <w:color w:val="auto"/>
          <w:highlight w:val="none"/>
        </w:rPr>
        <w:t>※除征集文件另有规定外，未按照上述规定提交响应保证金将导致资格审查不合格。</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（4）退还</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①在递交响应文件截止时间前撤回已提交的响应文件的供应商，其响应保证金将在</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收到供应商书面撤回通知之日起5个工作日内退回原账户。</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②未入围供应商的响应保证金将在入围通知书发出之日起</w:t>
      </w:r>
      <w:r>
        <w:rPr>
          <w:rFonts w:ascii="Calibri" w:hAnsi="Calibri" w:cs="Calibri"/>
          <w:color w:val="auto"/>
          <w:highlight w:val="none"/>
        </w:rPr>
        <w:t>5</w:t>
      </w:r>
      <w:r>
        <w:rPr>
          <w:rFonts w:hint="eastAsia" w:ascii="宋体" w:hAnsi="宋体" w:eastAsia="宋体" w:cs="宋体"/>
          <w:color w:val="auto"/>
          <w:highlight w:val="none"/>
        </w:rPr>
        <w:t>个工作日内退回原账户。</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③入围供应商的响应保证金将在政府采购合同签订之日起</w:t>
      </w:r>
      <w:r>
        <w:rPr>
          <w:rFonts w:ascii="Calibri" w:hAnsi="Calibri" w:cs="Calibri"/>
          <w:color w:val="auto"/>
          <w:highlight w:val="none"/>
        </w:rPr>
        <w:t>5</w:t>
      </w:r>
      <w:r>
        <w:rPr>
          <w:rFonts w:hint="eastAsia" w:ascii="宋体" w:hAnsi="宋体" w:eastAsia="宋体" w:cs="宋体"/>
          <w:color w:val="auto"/>
          <w:highlight w:val="none"/>
        </w:rPr>
        <w:t>个工作日内退回原账户</w:t>
      </w:r>
      <w:r>
        <w:rPr>
          <w:rStyle w:val="24"/>
          <w:rFonts w:hint="eastAsia" w:ascii="宋体" w:hAnsi="宋体" w:eastAsia="宋体" w:cs="宋体"/>
          <w:color w:val="auto"/>
          <w:highlight w:val="none"/>
        </w:rPr>
        <w:t>。</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④终止征集活动的，</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将在终止公告发布之日起5个工作日内退回已收取的响应保证金及其在银行产生的孳息。</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⑤除征集文件另有规定外，质疑或投诉涉及的供应商，若响应保证金尚未退还，则待质疑或投诉处理完毕后不计利息原额退还。</w:t>
      </w:r>
    </w:p>
    <w:p>
      <w:pPr>
        <w:pStyle w:val="16"/>
        <w:widowControl/>
        <w:spacing w:before="75" w:beforeAutospacing="0" w:after="75" w:afterAutospacing="0"/>
        <w:ind w:firstLine="480"/>
        <w:rPr>
          <w:color w:val="auto"/>
          <w:highlight w:val="none"/>
        </w:rPr>
      </w:pPr>
      <w:r>
        <w:rPr>
          <w:rStyle w:val="24"/>
          <w:rFonts w:hint="eastAsia" w:ascii="宋体" w:hAnsi="宋体" w:eastAsia="宋体" w:cs="宋体"/>
          <w:color w:val="auto"/>
          <w:highlight w:val="none"/>
        </w:rPr>
        <w:t>※本章第</w:t>
      </w:r>
      <w:r>
        <w:rPr>
          <w:rStyle w:val="24"/>
          <w:rFonts w:ascii="Calibri" w:hAnsi="Calibri" w:cs="Calibri"/>
          <w:color w:val="auto"/>
          <w:highlight w:val="none"/>
        </w:rPr>
        <w:t>10.9</w:t>
      </w:r>
      <w:r>
        <w:rPr>
          <w:rStyle w:val="24"/>
          <w:rFonts w:hint="eastAsia" w:ascii="宋体" w:hAnsi="宋体" w:eastAsia="宋体" w:cs="宋体"/>
          <w:color w:val="auto"/>
          <w:highlight w:val="none"/>
        </w:rPr>
        <w:t>条第（</w:t>
      </w:r>
      <w:r>
        <w:rPr>
          <w:rStyle w:val="24"/>
          <w:rFonts w:ascii="Calibri" w:hAnsi="Calibri" w:cs="Calibri"/>
          <w:color w:val="auto"/>
          <w:highlight w:val="none"/>
        </w:rPr>
        <w:t>4</w:t>
      </w:r>
      <w:r>
        <w:rPr>
          <w:rStyle w:val="24"/>
          <w:rFonts w:hint="eastAsia" w:ascii="宋体" w:hAnsi="宋体" w:eastAsia="宋体" w:cs="宋体"/>
          <w:color w:val="auto"/>
          <w:highlight w:val="none"/>
        </w:rPr>
        <w:t>）款第①、②、③点规定的响应保证金退还时限不包括因供应商自身原因导致无法及时退还而增加的时间。</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（5）若出现本章第</w:t>
      </w:r>
      <w:r>
        <w:rPr>
          <w:rFonts w:ascii="Calibri" w:hAnsi="Calibri" w:cs="Calibri"/>
          <w:color w:val="auto"/>
          <w:highlight w:val="none"/>
        </w:rPr>
        <w:t>10.8</w:t>
      </w:r>
      <w:r>
        <w:rPr>
          <w:rFonts w:hint="eastAsia" w:ascii="宋体" w:hAnsi="宋体" w:eastAsia="宋体" w:cs="宋体"/>
          <w:color w:val="auto"/>
          <w:highlight w:val="none"/>
        </w:rPr>
        <w:t>条第（</w:t>
      </w:r>
      <w:r>
        <w:rPr>
          <w:rFonts w:ascii="Calibri" w:hAnsi="Calibri" w:cs="Calibri"/>
          <w:color w:val="auto"/>
          <w:highlight w:val="none"/>
        </w:rPr>
        <w:t>3</w:t>
      </w:r>
      <w:r>
        <w:rPr>
          <w:rFonts w:hint="eastAsia" w:ascii="宋体" w:hAnsi="宋体" w:eastAsia="宋体" w:cs="宋体"/>
          <w:color w:val="auto"/>
          <w:highlight w:val="none"/>
        </w:rPr>
        <w:t>）款规定情形，对于拒绝延长响应文件有效期的供应商，响应保证金仍可退还。对于接受延长响应文件有效期的供应商，相应延长响应保证金有效期，征集文件关于退还和不予退还响应保证金的规定继续适用。</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（6）有下列情形之一的，响应保证金将不予退还：</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①供应商串通投标；</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②供应商提供虚假材料；</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③供应商采取不正当手段诋毁、排挤其他供应商；</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④递交响应文件截止时间后，供应商在响应文件有效期内撤销响应文件；</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⑤供应商不接受评审小组按照征集文件规定对报价错误之处进行修正；</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⑥供应商违反征集文件第三章第</w:t>
      </w:r>
      <w:r>
        <w:rPr>
          <w:rFonts w:ascii="Calibri" w:hAnsi="Calibri" w:cs="Calibri"/>
          <w:color w:val="auto"/>
          <w:highlight w:val="none"/>
        </w:rPr>
        <w:t>9.4</w:t>
      </w:r>
      <w:r>
        <w:rPr>
          <w:rFonts w:hint="eastAsia" w:ascii="宋体" w:hAnsi="宋体" w:eastAsia="宋体" w:cs="宋体"/>
          <w:color w:val="auto"/>
          <w:highlight w:val="none"/>
        </w:rPr>
        <w:t>、</w:t>
      </w:r>
      <w:r>
        <w:rPr>
          <w:rFonts w:ascii="Calibri" w:hAnsi="Calibri" w:cs="Calibri"/>
          <w:color w:val="auto"/>
          <w:highlight w:val="none"/>
        </w:rPr>
        <w:t>9.5</w:t>
      </w:r>
      <w:r>
        <w:rPr>
          <w:rFonts w:hint="eastAsia" w:ascii="宋体" w:hAnsi="宋体" w:eastAsia="宋体" w:cs="宋体"/>
          <w:color w:val="auto"/>
          <w:highlight w:val="none"/>
        </w:rPr>
        <w:t>、</w:t>
      </w:r>
      <w:r>
        <w:rPr>
          <w:rFonts w:ascii="Calibri" w:hAnsi="Calibri" w:cs="Calibri"/>
          <w:color w:val="auto"/>
          <w:highlight w:val="none"/>
        </w:rPr>
        <w:t>9.6</w:t>
      </w:r>
      <w:r>
        <w:rPr>
          <w:rFonts w:hint="eastAsia" w:ascii="宋体" w:hAnsi="宋体" w:eastAsia="宋体" w:cs="宋体"/>
          <w:color w:val="auto"/>
          <w:highlight w:val="none"/>
        </w:rPr>
        <w:t>条规定之一；</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⑦征集文件规定的其他不予退还情形；</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⑧入围供应商有下列情形之一的：</w:t>
      </w:r>
    </w:p>
    <w:p>
      <w:pPr>
        <w:pStyle w:val="16"/>
        <w:widowControl/>
        <w:spacing w:before="75" w:beforeAutospacing="0" w:after="75" w:afterAutospacing="0"/>
        <w:ind w:firstLine="480"/>
        <w:rPr>
          <w:color w:val="auto"/>
          <w:highlight w:val="none"/>
        </w:rPr>
      </w:pPr>
      <w:r>
        <w:rPr>
          <w:rFonts w:ascii="Calibri" w:hAnsi="Calibri" w:cs="Calibri"/>
          <w:color w:val="auto"/>
          <w:highlight w:val="none"/>
        </w:rPr>
        <w:t>a</w:t>
      </w:r>
      <w:r>
        <w:rPr>
          <w:rFonts w:hint="eastAsia" w:ascii="宋体" w:hAnsi="宋体" w:eastAsia="宋体" w:cs="宋体"/>
          <w:color w:val="auto"/>
          <w:highlight w:val="none"/>
        </w:rPr>
        <w:t>.除不可抗力外，因入围供应商自身原因未在入围通知书要求的期限内与征集人签订框架协议；</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b.未按照征集文件、响应文件的约定签订政府采购合同或提交履约保证金。</w:t>
      </w:r>
    </w:p>
    <w:p>
      <w:pPr>
        <w:pStyle w:val="16"/>
        <w:widowControl/>
        <w:spacing w:before="75" w:beforeAutospacing="0" w:after="75" w:afterAutospacing="0"/>
        <w:ind w:firstLine="480"/>
        <w:rPr>
          <w:color w:val="auto"/>
          <w:highlight w:val="none"/>
        </w:rPr>
      </w:pPr>
      <w:r>
        <w:rPr>
          <w:rStyle w:val="24"/>
          <w:rFonts w:hint="eastAsia" w:ascii="宋体" w:hAnsi="宋体" w:eastAsia="宋体" w:cs="宋体"/>
          <w:color w:val="auto"/>
          <w:highlight w:val="none"/>
        </w:rPr>
        <w:t>※若上述响应保证金不予退还情形给征集人（采购代理机构）造成损失，则供应商还要承担相应的赔偿责任。</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10.10响应文件的提交</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（1）一个供应商只能提交一个响应文件，并按照征集文件第一章规定将其送达。</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（2）密封及其标记的具体形式：详见征集文件第二章。</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10.11响应文件的补充、修改或撤回</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（1）递交响应文件截止时间前，供应商可对所提交的响应文件进行补充、修改或撤回，并书面通知</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（2）补充、修改的内容应按照本章第</w:t>
      </w:r>
      <w:r>
        <w:rPr>
          <w:rFonts w:ascii="Calibri" w:hAnsi="Calibri" w:cs="Calibri"/>
          <w:color w:val="auto"/>
          <w:highlight w:val="none"/>
        </w:rPr>
        <w:t>10.5</w:t>
      </w:r>
      <w:r>
        <w:rPr>
          <w:rFonts w:hint="eastAsia" w:ascii="宋体" w:hAnsi="宋体" w:eastAsia="宋体" w:cs="宋体"/>
          <w:color w:val="auto"/>
          <w:highlight w:val="none"/>
        </w:rPr>
        <w:t>条第（</w:t>
      </w:r>
      <w:r>
        <w:rPr>
          <w:rFonts w:ascii="Calibri" w:hAnsi="Calibri" w:cs="Calibri"/>
          <w:color w:val="auto"/>
          <w:highlight w:val="none"/>
        </w:rPr>
        <w:t>4</w:t>
      </w:r>
      <w:r>
        <w:rPr>
          <w:rFonts w:hint="eastAsia" w:ascii="宋体" w:hAnsi="宋体" w:eastAsia="宋体" w:cs="宋体"/>
          <w:color w:val="auto"/>
          <w:highlight w:val="none"/>
        </w:rPr>
        <w:t>）款规定进行签署、盖章，并按照本章第</w:t>
      </w:r>
      <w:r>
        <w:rPr>
          <w:rFonts w:ascii="Calibri" w:hAnsi="Calibri" w:cs="Calibri"/>
          <w:color w:val="auto"/>
          <w:highlight w:val="none"/>
        </w:rPr>
        <w:t>10.10</w:t>
      </w:r>
      <w:r>
        <w:rPr>
          <w:rFonts w:hint="eastAsia" w:ascii="宋体" w:hAnsi="宋体" w:eastAsia="宋体" w:cs="宋体"/>
          <w:color w:val="auto"/>
          <w:highlight w:val="none"/>
        </w:rPr>
        <w:t>条规定提交，</w:t>
      </w:r>
      <w:r>
        <w:rPr>
          <w:rStyle w:val="24"/>
          <w:rFonts w:hint="eastAsia" w:ascii="宋体" w:hAnsi="宋体" w:eastAsia="宋体" w:cs="宋体"/>
          <w:color w:val="auto"/>
          <w:highlight w:val="none"/>
        </w:rPr>
        <w:t>否则将被拒收。</w:t>
      </w:r>
    </w:p>
    <w:p>
      <w:pPr>
        <w:pStyle w:val="16"/>
        <w:widowControl/>
        <w:spacing w:before="75" w:beforeAutospacing="0" w:after="75" w:afterAutospacing="0"/>
        <w:ind w:firstLine="480"/>
        <w:rPr>
          <w:color w:val="auto"/>
          <w:highlight w:val="none"/>
        </w:rPr>
      </w:pPr>
      <w:r>
        <w:rPr>
          <w:rStyle w:val="24"/>
          <w:rFonts w:hint="eastAsia" w:ascii="宋体" w:hAnsi="宋体" w:eastAsia="宋体" w:cs="宋体"/>
          <w:color w:val="auto"/>
          <w:highlight w:val="none"/>
        </w:rPr>
        <w:t>※按照上述规定提交的补充、修改内容作为响应文件组成部分。</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10.12除征集文件另有规定外，有下列情形之一的，</w:t>
      </w:r>
      <w:r>
        <w:rPr>
          <w:rStyle w:val="24"/>
          <w:rFonts w:hint="eastAsia" w:ascii="宋体" w:hAnsi="宋体" w:eastAsia="宋体" w:cs="宋体"/>
          <w:color w:val="auto"/>
          <w:highlight w:val="none"/>
        </w:rPr>
        <w:t>响应无效</w:t>
      </w:r>
      <w:r>
        <w:rPr>
          <w:rFonts w:hint="eastAsia" w:ascii="宋体" w:hAnsi="宋体" w:eastAsia="宋体" w:cs="宋体"/>
          <w:color w:val="auto"/>
          <w:highlight w:val="none"/>
        </w:rPr>
        <w:t>：</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（1）响应文件未按照征集文件要求签署、盖章；</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（2）不符合征集文件中规定的资格要求；</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（3）响应文件含有征集人不能接受的附加条件；</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（4）有关法律、法规和规章及征集文件规定的其他无效情形。</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6"/>
        <w:widowControl/>
        <w:spacing w:before="75" w:beforeAutospacing="0" w:after="75" w:afterAutospacing="0"/>
        <w:jc w:val="center"/>
        <w:rPr>
          <w:color w:val="auto"/>
          <w:highlight w:val="none"/>
        </w:rPr>
      </w:pPr>
      <w:r>
        <w:rPr>
          <w:rStyle w:val="24"/>
          <w:rFonts w:hint="eastAsia" w:ascii="宋体" w:hAnsi="宋体" w:eastAsia="宋体" w:cs="宋体"/>
          <w:color w:val="auto"/>
          <w:highlight w:val="none"/>
        </w:rPr>
        <w:t>五、开标</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11、开标</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11.1</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将在征集文件载明的开标时间及地点主持召开开标会，并邀请供应商参加。</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11.2开标会的主持人、唱标人、记录人及其他工作人员（若有）均由</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派出，现场监督人员（若有）可由有关方面派出。</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11.3参加开标会的供应商应签到，非供应商不参加开标会。</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11.4开标会应遵守下列规定：</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（1）首先由主持人宣布开标会须知，然后由供应商代表对响应文件的密封情况进行检查，经确认无误后，由工作人员对密封的响应文件当众拆封。</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唱标时，唱标人将依次宣布“供应商名称”、“各供应商关于响应文件补充、修改或撤回的书面通知（若有）”、“各供应商的报价”和征集文件规定的需要宣布的其他内容（包括但不限于：开标一览表中的内容、唱标人认为需要宣布的内容等）。</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（3）记录人对唱标人宣布的内容作开标记录。</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4）唱标结束后，供应商代表应对开标记录进行签字确认。供应商代表的签字确认，视为供应商对开标过程和开标记录予以认可。供应商代表拒绝签字确认且无正当理由，亦视为供应商对开标过程和开标记录予以认可。</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（5）供应商代表对开标过程和开标记录有疑义，以及认为征集人（采购代理机构）相关工作人员有需要回避情形的，应当场提出询问或回避申请。否则，视为供应商对开标过程和开标记录予以认可。</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（6）若供应商未参加开标会（包括但不限于供应商派出的人员不是供应商代表），视同其对开标过程和开标记录予以认可。</w:t>
      </w:r>
    </w:p>
    <w:p>
      <w:pPr>
        <w:pStyle w:val="16"/>
        <w:widowControl/>
        <w:spacing w:before="75" w:beforeAutospacing="0" w:after="75" w:afterAutospacing="0"/>
        <w:ind w:firstLine="480"/>
        <w:rPr>
          <w:color w:val="auto"/>
          <w:highlight w:val="none"/>
        </w:rPr>
      </w:pPr>
      <w:r>
        <w:rPr>
          <w:rStyle w:val="24"/>
          <w:rFonts w:hint="eastAsia" w:ascii="宋体" w:hAnsi="宋体" w:eastAsia="宋体" w:cs="宋体"/>
          <w:color w:val="auto"/>
          <w:highlight w:val="none"/>
        </w:rPr>
        <w:t>※若出现本章第</w:t>
      </w:r>
      <w:r>
        <w:rPr>
          <w:rStyle w:val="24"/>
          <w:rFonts w:ascii="Calibri" w:hAnsi="Calibri" w:cs="Calibri"/>
          <w:color w:val="auto"/>
          <w:highlight w:val="none"/>
        </w:rPr>
        <w:t>11.4</w:t>
      </w:r>
      <w:r>
        <w:rPr>
          <w:rStyle w:val="24"/>
          <w:rFonts w:hint="eastAsia" w:ascii="宋体" w:hAnsi="宋体" w:eastAsia="宋体" w:cs="宋体"/>
          <w:color w:val="auto"/>
          <w:highlight w:val="none"/>
        </w:rPr>
        <w:t>条第（</w:t>
      </w:r>
      <w:r>
        <w:rPr>
          <w:rStyle w:val="24"/>
          <w:rFonts w:ascii="Calibri" w:hAnsi="Calibri" w:cs="Calibri"/>
          <w:color w:val="auto"/>
          <w:highlight w:val="none"/>
        </w:rPr>
        <w:t>4</w:t>
      </w:r>
      <w:r>
        <w:rPr>
          <w:rStyle w:val="24"/>
          <w:rFonts w:hint="eastAsia" w:ascii="宋体" w:hAnsi="宋体" w:eastAsia="宋体" w:cs="宋体"/>
          <w:color w:val="auto"/>
          <w:highlight w:val="none"/>
        </w:rPr>
        <w:t>）、（</w:t>
      </w:r>
      <w:r>
        <w:rPr>
          <w:rStyle w:val="24"/>
          <w:rFonts w:ascii="Calibri" w:hAnsi="Calibri" w:cs="Calibri"/>
          <w:color w:val="auto"/>
          <w:highlight w:val="none"/>
        </w:rPr>
        <w:t>5</w:t>
      </w:r>
      <w:r>
        <w:rPr>
          <w:rStyle w:val="24"/>
          <w:rFonts w:hint="eastAsia" w:ascii="宋体" w:hAnsi="宋体" w:eastAsia="宋体" w:cs="宋体"/>
          <w:color w:val="auto"/>
          <w:highlight w:val="none"/>
        </w:rPr>
        <w:t>）、（</w:t>
      </w:r>
      <w:r>
        <w:rPr>
          <w:rStyle w:val="24"/>
          <w:rFonts w:ascii="Calibri" w:hAnsi="Calibri" w:cs="Calibri"/>
          <w:color w:val="auto"/>
          <w:highlight w:val="none"/>
        </w:rPr>
        <w:t>6</w:t>
      </w:r>
      <w:r>
        <w:rPr>
          <w:rStyle w:val="24"/>
          <w:rFonts w:hint="eastAsia" w:ascii="宋体" w:hAnsi="宋体" w:eastAsia="宋体" w:cs="宋体"/>
          <w:color w:val="auto"/>
          <w:highlight w:val="none"/>
        </w:rPr>
        <w:t>）款规定情形之一</w:t>
      </w:r>
      <w:r>
        <w:rPr>
          <w:rFonts w:hint="eastAsia" w:ascii="宋体" w:hAnsi="宋体" w:eastAsia="宋体" w:cs="宋体"/>
          <w:color w:val="auto"/>
          <w:highlight w:val="none"/>
        </w:rPr>
        <w:t>，</w:t>
      </w:r>
      <w:r>
        <w:rPr>
          <w:rStyle w:val="24"/>
          <w:rFonts w:hint="eastAsia" w:ascii="宋体" w:hAnsi="宋体" w:eastAsia="宋体" w:cs="宋体"/>
          <w:color w:val="auto"/>
          <w:highlight w:val="none"/>
        </w:rPr>
        <w:t>则供应商不得在开标会后就开标过程和开标记录涉及或可能涉及的有关事由（包括但不限于：“报价”、“响应文件的格式”、“响应文件的提交”、“响应文件的补充、修改或撤回”等）向</w:t>
      </w:r>
      <w:r>
        <w:rPr>
          <w:rFonts w:hint="eastAsia" w:ascii="宋体" w:hAnsi="宋体" w:eastAsia="宋体" w:cs="宋体"/>
          <w:color w:val="auto"/>
          <w:highlight w:val="none"/>
          <w:u w:val="single"/>
          <w:lang w:eastAsia="zh-CN"/>
        </w:rPr>
        <w:t>福建康泰招标有限公司</w:t>
      </w:r>
      <w:r>
        <w:rPr>
          <w:rStyle w:val="24"/>
          <w:rFonts w:hint="eastAsia" w:ascii="宋体" w:hAnsi="宋体" w:eastAsia="宋体" w:cs="宋体"/>
          <w:color w:val="auto"/>
          <w:highlight w:val="none"/>
        </w:rPr>
        <w:t>提出任何疑义或要求（包括质疑）。</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11.5递交响应文件截止时间后，参加征集活动的供应商不足</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家的，不进行开标。同时，本次采购活动结束，</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将依法组织后续采购活动（包括但不限于：重新征集供应商、采用其他方式采购等）。</w:t>
      </w:r>
    </w:p>
    <w:p>
      <w:pPr>
        <w:tabs>
          <w:tab w:val="left" w:pos="2520"/>
        </w:tabs>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11.6递交响应文件截止时间后撤销响应文件的处理</w:t>
      </w:r>
    </w:p>
    <w:p>
      <w:pPr>
        <w:tabs>
          <w:tab w:val="left" w:pos="2520"/>
        </w:tabs>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递交响应文件截止时间后，供应商在响应文件有效期内撤销响应文件的，其撤销响应文件的行为无效。</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6"/>
        <w:widowControl/>
        <w:spacing w:before="75" w:beforeAutospacing="0" w:after="75" w:afterAutospacing="0"/>
        <w:jc w:val="center"/>
        <w:rPr>
          <w:color w:val="auto"/>
          <w:highlight w:val="none"/>
        </w:rPr>
      </w:pPr>
      <w:r>
        <w:rPr>
          <w:rStyle w:val="24"/>
          <w:rFonts w:hint="eastAsia" w:ascii="宋体" w:hAnsi="宋体" w:eastAsia="宋体" w:cs="宋体"/>
          <w:color w:val="auto"/>
          <w:highlight w:val="none"/>
        </w:rPr>
        <w:t>六、入围与框架协议</w:t>
      </w:r>
    </w:p>
    <w:p>
      <w:pPr>
        <w:pStyle w:val="16"/>
        <w:widowControl/>
        <w:spacing w:before="75" w:beforeAutospacing="0" w:after="75" w:afterAutospacing="0"/>
        <w:rPr>
          <w:rFonts w:ascii="宋体" w:hAnsi="宋体" w:eastAsia="宋体" w:cs="宋体"/>
          <w:color w:val="auto"/>
          <w:highlight w:val="none"/>
        </w:rPr>
      </w:pPr>
      <w:r>
        <w:rPr>
          <w:rStyle w:val="24"/>
          <w:rFonts w:hint="eastAsia" w:ascii="宋体" w:hAnsi="宋体" w:eastAsia="宋体" w:cs="宋体"/>
          <w:color w:val="auto"/>
          <w:highlight w:val="none"/>
        </w:rPr>
        <w:t>12、框架协议采购</w:t>
      </w:r>
      <w:r>
        <w:rPr>
          <w:rStyle w:val="24"/>
          <w:rFonts w:hint="eastAsia"/>
          <w:color w:val="auto"/>
          <w:highlight w:val="none"/>
        </w:rPr>
        <w:t>第一阶段：</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12.1确定第一阶段入围供应商</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12.1.1本项目推荐的入围候选供应商家数：详见征集文件第二章。</w:t>
      </w:r>
    </w:p>
    <w:p>
      <w:pP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12.1.2本项目确定入围供应商家数：详见征集文件第二章。</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12.2入围结果公告</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（1）入围供应商确定之日起</w:t>
      </w:r>
      <w:r>
        <w:rPr>
          <w:rFonts w:ascii="Calibri" w:hAnsi="Calibri" w:cs="Calibri"/>
          <w:color w:val="auto"/>
          <w:highlight w:val="none"/>
        </w:rPr>
        <w:t>2</w:t>
      </w:r>
      <w:r>
        <w:rPr>
          <w:rFonts w:hint="eastAsia" w:ascii="宋体" w:hAnsi="宋体" w:eastAsia="宋体" w:cs="宋体"/>
          <w:color w:val="auto"/>
          <w:highlight w:val="none"/>
        </w:rPr>
        <w:t>个工作日内，</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将在征集文件载明的指定媒体以入围结果公告的形式发布入围结果。</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（2）入围结果公告的公告期限为</w:t>
      </w:r>
      <w:r>
        <w:rPr>
          <w:rFonts w:ascii="Calibri" w:hAnsi="Calibri" w:cs="Calibri"/>
          <w:color w:val="auto"/>
          <w:highlight w:val="none"/>
        </w:rPr>
        <w:t>1</w:t>
      </w:r>
      <w:r>
        <w:rPr>
          <w:rFonts w:hint="eastAsia" w:ascii="宋体" w:hAnsi="宋体" w:eastAsia="宋体" w:cs="宋体"/>
          <w:color w:val="auto"/>
          <w:highlight w:val="none"/>
        </w:rPr>
        <w:t>个工作日。</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（3）入围结果公告同时作为</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通知除入围供应商外的其他供应商没有入围的书面形式。</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12.3入围通知书</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（1）入围结果公告发布的同时，</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将向入围供应商发出入围通知书。</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（2）入围通知书发出后，征集人不得违法改变入围结果，入围供应商无正当理由不得主动放弃入围资格。</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12.4 框架协议</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12.4.1签订框架协议应遵守政府采购法及实施条例、政府采购框架协议采购方式管理暂行办法的规定，不得对征集文件确定的事项以及入围供应商的响应文件作实质性修改。征集人不得向入围供应商提出任何不合理的要求作为框架协议的签订条件。</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12.4.2签订时限：自入围通知书发出之日起</w:t>
      </w:r>
      <w:r>
        <w:rPr>
          <w:rFonts w:ascii="Calibri" w:hAnsi="Calibri" w:cs="Calibri"/>
          <w:color w:val="auto"/>
          <w:highlight w:val="none"/>
        </w:rPr>
        <w:t>30</w:t>
      </w:r>
      <w:r>
        <w:rPr>
          <w:rFonts w:hint="eastAsia" w:ascii="宋体" w:hAnsi="宋体" w:eastAsia="宋体" w:cs="宋体"/>
          <w:color w:val="auto"/>
          <w:highlight w:val="none"/>
        </w:rPr>
        <w:t>个日历日内。</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12.4.3框架协议的履行、违约责任和解决争议的方法等适用民法典。</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12.4.4征集人与入围供应商应根据框架协议的约定依法履行合同义务。</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12.5入围供应商的清退和补充</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12.5.1封闭式框架协议入围供应商无正当理由，不得主动放弃入围资格或者退出框架协议。</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12.5.2入围供应商有下列情形之一，尚未签订框架协议的，取消其入围资格；已经签订框架协议的，解除与其签订的框架协议：</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（1）恶意串通谋取入围或者合同成交的；</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（2）提供虚假材料谋取入围或者合同成交的；</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（3）无正当理由拒不接受合同授予的；</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（4）不履行合同义务或者履行合同义务不符合约定，经征集人请求履行后仍不履行或者仍未按约定履行的；</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（5）框架协议有效期内，因违法行为被禁止或限制参加政府采购活动的；</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（6）框架协议约定的其他情形。</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被取消入围资格或者被解除框架协议的供应商不得参加同一封闭式框架协议补充征集。</w:t>
      </w:r>
    </w:p>
    <w:p>
      <w:pPr>
        <w:jc w:val="center"/>
        <w:rPr>
          <w:rStyle w:val="24"/>
          <w:rFonts w:ascii="宋体" w:hAnsi="宋体" w:eastAsia="宋体" w:cs="宋体"/>
          <w:color w:val="auto"/>
          <w:kern w:val="0"/>
          <w:sz w:val="24"/>
          <w:highlight w:val="none"/>
        </w:rPr>
      </w:pPr>
    </w:p>
    <w:p>
      <w:pPr>
        <w:jc w:val="center"/>
        <w:rPr>
          <w:rStyle w:val="24"/>
          <w:rFonts w:ascii="宋体" w:hAnsi="宋体" w:eastAsia="宋体" w:cs="宋体"/>
          <w:color w:val="auto"/>
          <w:kern w:val="0"/>
          <w:sz w:val="24"/>
          <w:highlight w:val="none"/>
        </w:rPr>
      </w:pPr>
      <w:r>
        <w:rPr>
          <w:rStyle w:val="24"/>
          <w:rFonts w:hint="eastAsia" w:ascii="宋体" w:hAnsi="宋体" w:eastAsia="宋体" w:cs="宋体"/>
          <w:color w:val="auto"/>
          <w:kern w:val="0"/>
          <w:sz w:val="24"/>
          <w:highlight w:val="none"/>
        </w:rPr>
        <w:t>七、采购合同</w:t>
      </w:r>
    </w:p>
    <w:p>
      <w:pPr>
        <w:pStyle w:val="17"/>
        <w:rPr>
          <w:color w:val="auto"/>
          <w:highlight w:val="none"/>
        </w:rPr>
      </w:pP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13、</w:t>
      </w:r>
      <w:r>
        <w:rPr>
          <w:rStyle w:val="24"/>
          <w:rFonts w:hint="eastAsia" w:ascii="宋体" w:hAnsi="宋体" w:eastAsia="宋体" w:cs="宋体"/>
          <w:color w:val="auto"/>
          <w:highlight w:val="none"/>
        </w:rPr>
        <w:t>框架协议采购</w:t>
      </w:r>
      <w:r>
        <w:rPr>
          <w:rStyle w:val="24"/>
          <w:rFonts w:hint="eastAsia"/>
          <w:color w:val="auto"/>
          <w:highlight w:val="none"/>
        </w:rPr>
        <w:t>第二阶段：</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13.1确定第二阶段成交供应商的方式：详见征集文件第二章。</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13.2</w:t>
      </w:r>
      <w:r>
        <w:rPr>
          <w:rFonts w:hint="eastAsia"/>
          <w:color w:val="auto"/>
          <w:highlight w:val="none"/>
        </w:rPr>
        <w:t>采购合同</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13.2.1合同授予标准</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13.2.1.1除框架协议另有规定外，采购人采购框架协议约定的货物、服务，应当将采购合同授予入围供应商，成交供应商选定方式在框架协议中规定。</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13.2.1.2合同在签订合同前，如果入围供应商的组织机构、经营、财务状况发生较大变化，可能造成不能履行框架协议或合同、无法按照征集文件要求提交履约保证金（如有）等情形，不符合入围条件或不满足供应商资格条件要求，应在签订合同前及时书面告知采购人，未主动告知，给采购人造成损失的，采购人有权要求其赔偿损失。</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13.2.2签订合同</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13.2.2.1如征集文件无特别规定，成交供应商按征集文件及框架协议确定的事项签订采购合同。</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13.2.2.2采购合同应当包括采购人与成交供应商的名称和住所、标的、数量、质量、价款或者报酬、履行期限及地点和方式、验收要求、违约责任、解决争议的方法等内容。框架协议、征集文件、成交供应商的响应文件及澄清文件等，均为签订采购合同的依据。</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13.2.3履行合同</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13.2.3.1采购人与成交供应商签订合同后，采购合同的履行、违约责任和解决争议的方法等适用《中华人民共和国民法典》。合同双方应严格执行合同条款，履行合同规定的义务，保证合同的顺利完成。双方均不得擅自变更、中止或者终止采购合同。</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13.2.3.2入围供应商在采购合同履行过程中应遵守有关法律、法规和规章的强制性规定（即使前述强制性规定有可能在征集文件中未予列明）。</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13.2.3.3对于双方解除合同的情况，应当按照《中华人民共和国政府采购法》、《中华人民共和国政府采购法实施条例》、《中华人民共和国民法典》合同编有关规定或者合同约定执行。</w:t>
      </w:r>
    </w:p>
    <w:p>
      <w:pPr>
        <w:pStyle w:val="17"/>
        <w:rPr>
          <w:color w:val="auto"/>
          <w:highlight w:val="none"/>
        </w:rPr>
      </w:pP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6"/>
        <w:widowControl/>
        <w:spacing w:before="75" w:beforeAutospacing="0" w:after="75" w:afterAutospacing="0"/>
        <w:jc w:val="center"/>
        <w:rPr>
          <w:color w:val="auto"/>
          <w:highlight w:val="none"/>
        </w:rPr>
      </w:pPr>
      <w:r>
        <w:rPr>
          <w:rStyle w:val="24"/>
          <w:rFonts w:hint="eastAsia" w:ascii="宋体" w:hAnsi="宋体" w:eastAsia="宋体" w:cs="宋体"/>
          <w:color w:val="auto"/>
          <w:highlight w:val="none"/>
        </w:rPr>
        <w:t>八、询问、质疑与投诉</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14、询问</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14.1潜在供应商或供应商对本次采购活动的有关事项若有疑问，可向</w:t>
      </w:r>
      <w:r>
        <w:rPr>
          <w:rFonts w:hint="eastAsia" w:ascii="宋体" w:hAnsi="宋体" w:eastAsia="宋体" w:cs="宋体"/>
          <w:color w:val="auto"/>
          <w:highlight w:val="none"/>
          <w:lang w:eastAsia="zh-CN"/>
        </w:rPr>
        <w:t>福建康泰招标有限公司</w:t>
      </w:r>
      <w:r>
        <w:rPr>
          <w:rFonts w:hint="eastAsia" w:ascii="宋体" w:hAnsi="宋体" w:eastAsia="宋体" w:cs="宋体"/>
          <w:color w:val="auto"/>
          <w:highlight w:val="none"/>
        </w:rPr>
        <w:t>提出询问，</w:t>
      </w:r>
      <w:r>
        <w:rPr>
          <w:rFonts w:hint="eastAsia" w:ascii="宋体" w:hAnsi="宋体" w:eastAsia="宋体" w:cs="宋体"/>
          <w:color w:val="auto"/>
          <w:highlight w:val="none"/>
          <w:lang w:eastAsia="zh-CN"/>
        </w:rPr>
        <w:t>福建康泰招标有限公司</w:t>
      </w:r>
      <w:r>
        <w:rPr>
          <w:rFonts w:hint="eastAsia" w:ascii="宋体" w:hAnsi="宋体" w:eastAsia="宋体" w:cs="宋体"/>
          <w:color w:val="auto"/>
          <w:highlight w:val="none"/>
        </w:rPr>
        <w:t>将按照政府采购法及实施条例的有关规定进行答复。</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15、质疑</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15.1针对同一采购程序环节的质疑应在政府采购法及实施条例规定的时限内一次性提出，并同时符合下列条件：</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（1）对征集文件提出质疑的，质疑人应为潜在供应商，且两者的身份、名称等均应保持一致。对采购过程、结果提出质疑的，质疑人应为供应商，且两者的身份、名称等均应保持一致。</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（2）质疑人应按照征集文件第二章规定方式提交质疑函。</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（3）质疑函应包括下列主要内容：</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①质疑人的基本信息，至少包括：全称、地址、邮政编码等；</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②所质疑项目的基本信息，至少包括：项目编号、项目名称等；</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③所质疑的具体事项（以下简称：“质疑事项”）；</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④针对质疑事项提出的明确请求，前述明确请求指质疑人提出质疑的目的以及希望</w:t>
      </w:r>
      <w:r>
        <w:rPr>
          <w:rFonts w:hint="eastAsia" w:ascii="宋体" w:hAnsi="宋体" w:eastAsia="宋体" w:cs="宋体"/>
          <w:color w:val="auto"/>
          <w:highlight w:val="none"/>
          <w:lang w:eastAsia="zh-CN"/>
        </w:rPr>
        <w:t>福建康泰招标有限公司</w:t>
      </w:r>
      <w:r>
        <w:rPr>
          <w:rFonts w:hint="eastAsia" w:ascii="宋体" w:hAnsi="宋体" w:eastAsia="宋体" w:cs="宋体"/>
          <w:color w:val="auto"/>
          <w:highlight w:val="none"/>
        </w:rPr>
        <w:t>对其质疑作出的处理结果，如：暂停征集活动、修改征集文件、停止或纠正违法违规行为、入围结果无效、废标、重新征集供应商等；</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⑤针对质疑事项导致质疑人自身权益受到损害的必要证明材料，至少包括：</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a.质疑人代表的身份证明材料：</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供应商的单位公章）和委托代理人的身份证复印件。</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a2若本项目接受自然人参与征集活动且质疑人为自然人的，提供本人的身份证复印件。</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b.其他证明材料（即事实依据和必要的法律依据）包括但不限于下列材料：</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b1所质疑的具体事项是与自已有利害关系的证明材料；</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b2质疑函所述事实存在的证明材料，如：采购文件、采购过程或入围结果违法违规或不符合采购文件要求等证明材料；</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b3依法应终止采购程序的证明材料；</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b4应重新采购的证明材料；</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b5采购文件、采购过程或入围结果损害自已合法权益的证明材料等；</w:t>
      </w:r>
    </w:p>
    <w:p>
      <w:pPr>
        <w:pStyle w:val="16"/>
        <w:widowControl/>
        <w:spacing w:before="75" w:beforeAutospacing="0" w:after="75" w:afterAutospacing="0"/>
        <w:ind w:firstLine="480"/>
        <w:rPr>
          <w:rFonts w:ascii="宋体" w:hAnsi="宋体" w:eastAsia="宋体" w:cs="宋体"/>
          <w:color w:val="auto"/>
          <w:highlight w:val="none"/>
        </w:rPr>
      </w:pPr>
      <w:r>
        <w:rPr>
          <w:rFonts w:hint="eastAsia" w:ascii="宋体" w:hAnsi="宋体" w:eastAsia="宋体" w:cs="宋体"/>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24"/>
          <w:rFonts w:hint="eastAsia" w:ascii="宋体" w:hAnsi="宋体" w:eastAsia="宋体" w:cs="宋体"/>
          <w:color w:val="auto"/>
          <w:highlight w:val="none"/>
        </w:rPr>
        <w:t>视为无效</w:t>
      </w:r>
      <w:r>
        <w:rPr>
          <w:rFonts w:hint="eastAsia" w:ascii="宋体" w:hAnsi="宋体" w:eastAsia="宋体" w:cs="宋体"/>
          <w:color w:val="auto"/>
          <w:highlight w:val="none"/>
        </w:rPr>
        <w:t>）。</w:t>
      </w:r>
    </w:p>
    <w:p>
      <w:pPr>
        <w:pStyle w:val="16"/>
        <w:widowControl/>
        <w:spacing w:before="75" w:beforeAutospacing="0" w:after="75" w:afterAutospacing="0"/>
        <w:ind w:firstLine="480"/>
        <w:rPr>
          <w:rFonts w:ascii="宋体" w:hAnsi="宋体" w:eastAsia="宋体" w:cs="宋体"/>
          <w:color w:val="auto"/>
          <w:highlight w:val="none"/>
        </w:rPr>
      </w:pPr>
      <w:r>
        <w:rPr>
          <w:rFonts w:hint="eastAsia" w:ascii="宋体" w:hAnsi="宋体" w:eastAsia="宋体" w:cs="宋体"/>
          <w:color w:val="auto"/>
          <w:highlight w:val="none"/>
        </w:rPr>
        <w:t>   ⑥质疑人代表及其联系方法的信息，至少包括：姓名、手机、电子信箱、邮寄地址等。</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   ⑦提出质疑的日期。</w:t>
      </w:r>
    </w:p>
    <w:p>
      <w:pPr>
        <w:pStyle w:val="16"/>
        <w:widowControl/>
        <w:ind w:firstLine="480"/>
        <w:rPr>
          <w:color w:val="auto"/>
          <w:highlight w:val="none"/>
        </w:rPr>
      </w:pPr>
      <w:r>
        <w:rPr>
          <w:rStyle w:val="24"/>
          <w:rFonts w:hint="eastAsia" w:ascii="宋体" w:hAnsi="宋体" w:eastAsia="宋体" w:cs="宋体"/>
          <w:color w:val="auto"/>
          <w:highlight w:val="none"/>
        </w:rPr>
        <w:t>※质疑人为法人或其他组织的，质疑函应由单位负责人或委托代理人签字或盖章，并</w:t>
      </w:r>
      <w:r>
        <w:rPr>
          <w:rStyle w:val="24"/>
          <w:rFonts w:hint="eastAsia" w:ascii="宋体" w:hAnsi="宋体" w:cs="宋体"/>
          <w:bCs/>
          <w:color w:val="auto"/>
          <w:highlight w:val="none"/>
        </w:rPr>
        <w:t>逐页</w:t>
      </w:r>
      <w:r>
        <w:rPr>
          <w:rStyle w:val="24"/>
          <w:rFonts w:hint="eastAsia" w:ascii="宋体" w:hAnsi="宋体" w:eastAsia="宋体" w:cs="宋体"/>
          <w:bCs/>
          <w:color w:val="auto"/>
          <w:highlight w:val="none"/>
        </w:rPr>
        <w:t>加盖</w:t>
      </w:r>
      <w:r>
        <w:rPr>
          <w:rStyle w:val="24"/>
          <w:rFonts w:hint="eastAsia" w:ascii="宋体" w:hAnsi="宋体" w:eastAsia="宋体" w:cs="宋体"/>
          <w:color w:val="auto"/>
          <w:highlight w:val="none"/>
        </w:rPr>
        <w:t>供应商的单位公章。质疑人为自然人的，质疑函应由本人签字。</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15.2对不符合本章第</w:t>
      </w:r>
      <w:r>
        <w:rPr>
          <w:rFonts w:ascii="Calibri" w:hAnsi="Calibri" w:cs="Calibri"/>
          <w:color w:val="auto"/>
          <w:highlight w:val="none"/>
        </w:rPr>
        <w:t>15.1</w:t>
      </w:r>
      <w:r>
        <w:rPr>
          <w:rFonts w:hint="eastAsia" w:ascii="宋体" w:hAnsi="宋体" w:eastAsia="宋体" w:cs="宋体"/>
          <w:color w:val="auto"/>
          <w:highlight w:val="none"/>
        </w:rPr>
        <w:t>条规定的质疑，将按照下列规定进行处理：</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（1）不符合其中第（</w:t>
      </w:r>
      <w:r>
        <w:rPr>
          <w:rFonts w:ascii="Calibri" w:hAnsi="Calibri" w:cs="Calibri"/>
          <w:color w:val="auto"/>
          <w:highlight w:val="none"/>
        </w:rPr>
        <w:t>1</w:t>
      </w:r>
      <w:r>
        <w:rPr>
          <w:rFonts w:hint="eastAsia" w:ascii="宋体" w:hAnsi="宋体" w:eastAsia="宋体" w:cs="宋体"/>
          <w:color w:val="auto"/>
          <w:highlight w:val="none"/>
        </w:rPr>
        <w:t>）、（</w:t>
      </w:r>
      <w:r>
        <w:rPr>
          <w:rFonts w:ascii="Calibri" w:hAnsi="Calibri" w:cs="Calibri"/>
          <w:color w:val="auto"/>
          <w:highlight w:val="none"/>
        </w:rPr>
        <w:t>2</w:t>
      </w:r>
      <w:r>
        <w:rPr>
          <w:rFonts w:hint="eastAsia" w:ascii="宋体" w:hAnsi="宋体" w:eastAsia="宋体" w:cs="宋体"/>
          <w:color w:val="auto"/>
          <w:highlight w:val="none"/>
        </w:rPr>
        <w:t>）条规定的，书面告知质疑人不予受理及其理由。</w:t>
      </w:r>
    </w:p>
    <w:p>
      <w:pPr>
        <w:pStyle w:val="16"/>
        <w:widowControl/>
        <w:spacing w:before="75" w:beforeAutospacing="0" w:after="75" w:afterAutospacing="0"/>
        <w:ind w:firstLine="480"/>
        <w:rPr>
          <w:rFonts w:ascii="宋体" w:hAnsi="宋体" w:eastAsia="宋体" w:cs="宋体"/>
          <w:color w:val="auto"/>
          <w:highlight w:val="none"/>
        </w:rPr>
      </w:pPr>
      <w:r>
        <w:rPr>
          <w:rFonts w:hint="eastAsia" w:ascii="宋体" w:hAnsi="宋体" w:eastAsia="宋体" w:cs="宋体"/>
          <w:color w:val="auto"/>
          <w:highlight w:val="none"/>
        </w:rPr>
        <w:t>（2）不符合其中第（</w:t>
      </w:r>
      <w:r>
        <w:rPr>
          <w:rFonts w:ascii="Calibri" w:hAnsi="Calibri" w:cs="Calibri"/>
          <w:color w:val="auto"/>
          <w:highlight w:val="none"/>
        </w:rPr>
        <w:t>3</w:t>
      </w:r>
      <w:r>
        <w:rPr>
          <w:rFonts w:hint="eastAsia" w:ascii="宋体" w:hAnsi="宋体" w:eastAsia="宋体" w:cs="宋体"/>
          <w:color w:val="auto"/>
          <w:highlight w:val="none"/>
        </w:rPr>
        <w:t>）条规定的，书面告知质疑人修改、补充后在规定时限内重新提交质疑函。</w:t>
      </w:r>
    </w:p>
    <w:p>
      <w:pPr>
        <w:pStyle w:val="16"/>
        <w:widowControl/>
        <w:snapToGrid w:val="0"/>
        <w:spacing w:beforeAutospacing="0" w:afterAutospacing="0" w:line="480" w:lineRule="exact"/>
        <w:ind w:firstLine="480"/>
        <w:rPr>
          <w:rFonts w:ascii="宋体" w:hAnsi="宋体" w:eastAsia="宋体" w:cs="宋体"/>
          <w:color w:val="auto"/>
          <w:highlight w:val="none"/>
        </w:rPr>
      </w:pPr>
      <w:r>
        <w:rPr>
          <w:rFonts w:hint="eastAsia" w:ascii="宋体" w:hAnsi="宋体" w:eastAsia="宋体" w:cs="宋体"/>
          <w:color w:val="auto"/>
          <w:highlight w:val="none"/>
        </w:rPr>
        <w:t>（3）在法定质疑期内供应商须一次性提出针对同一采购程序环节的质疑，二（多）次质疑不予受理，征集人（代理机构）只针对第一次有效质疑进行答复。</w:t>
      </w:r>
    </w:p>
    <w:p>
      <w:pPr>
        <w:rPr>
          <w:color w:val="auto"/>
          <w:highlight w:val="none"/>
        </w:rPr>
      </w:pP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15.3对符合本章第</w:t>
      </w:r>
      <w:r>
        <w:rPr>
          <w:rFonts w:ascii="Calibri" w:hAnsi="Calibri" w:cs="Calibri"/>
          <w:color w:val="auto"/>
          <w:highlight w:val="none"/>
        </w:rPr>
        <w:t>15.1</w:t>
      </w:r>
      <w:r>
        <w:rPr>
          <w:rFonts w:hint="eastAsia" w:ascii="宋体" w:hAnsi="宋体" w:eastAsia="宋体" w:cs="宋体"/>
          <w:color w:val="auto"/>
          <w:highlight w:val="none"/>
        </w:rPr>
        <w:t>条规定的质疑，将按照政府采购法及实施条例、政府采购质疑和投诉办法的有关规定进行答复。</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15.4征集文件的质疑：详见征集文件第二章。</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16、投诉</w:t>
      </w:r>
    </w:p>
    <w:p>
      <w:pPr>
        <w:pStyle w:val="16"/>
        <w:widowControl/>
        <w:rPr>
          <w:color w:val="auto"/>
          <w:highlight w:val="none"/>
        </w:rPr>
      </w:pPr>
      <w:r>
        <w:rPr>
          <w:rFonts w:hint="eastAsia" w:ascii="宋体" w:hAnsi="宋体" w:eastAsia="宋体" w:cs="宋体"/>
          <w:color w:val="auto"/>
          <w:highlight w:val="none"/>
        </w:rPr>
        <w:t>16.1若对质疑答复不满意或质疑答复未在答复期限内作出，质疑人可在答复期限届满之日起</w:t>
      </w:r>
      <w:r>
        <w:rPr>
          <w:rFonts w:ascii="Calibri" w:hAnsi="Calibri" w:eastAsia="宋体" w:cs="Calibri"/>
          <w:color w:val="auto"/>
          <w:highlight w:val="none"/>
        </w:rPr>
        <w:t>15</w:t>
      </w:r>
      <w:r>
        <w:rPr>
          <w:rFonts w:hint="eastAsia" w:ascii="宋体" w:hAnsi="宋体" w:eastAsia="宋体" w:cs="宋体"/>
          <w:color w:val="auto"/>
          <w:highlight w:val="none"/>
        </w:rPr>
        <w:t>个工作日内按照政府采购质疑和投诉办法的有关规定向征集文件第二章载明的本项目监督管理部门提起投诉。</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16.2投诉应有明确的请求和必要的证明材料，投诉的事项不得超出已质疑事项的范围。</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6"/>
        <w:widowControl/>
        <w:spacing w:before="75" w:beforeAutospacing="0" w:after="75" w:afterAutospacing="0"/>
        <w:jc w:val="center"/>
        <w:rPr>
          <w:color w:val="auto"/>
          <w:highlight w:val="none"/>
        </w:rPr>
      </w:pPr>
      <w:r>
        <w:rPr>
          <w:rStyle w:val="24"/>
          <w:rFonts w:hint="eastAsia" w:ascii="宋体" w:hAnsi="宋体" w:eastAsia="宋体" w:cs="宋体"/>
          <w:color w:val="auto"/>
          <w:highlight w:val="none"/>
        </w:rPr>
        <w:t>九、政府采购政策</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17、政府采购政策由财政部根据国家的经济和社会发展政策并会同国家有关部委制定，包括但不限于下列具体政策要求：</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17.1进口产品指通过中国海关报关验放进入中国境内且产自关境外的产品，其中：</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（2）凡在海关特殊监管区域内企业生产或加工（包括从境外进口料件）销往境内其他地区的产品，不作为政府采购项下进口产品。</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（3）对从境外进入海关特殊监管区域，再经办理报关手续后从海关特殊监管区进入境内其他地区的产品，认定为进口产品。</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（4）征集文件列明不允许或未列明允许进口产品参加征集活动的，均视为拒绝进口产品参加征集活动。</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征集人拟采购的产品属于品目清单范围的，征集人及其委托的采购代理机构应当依据国家确定的认证机构出具的、处于有效期之内的节能产品、环境标志产品认证证书，对获得证书的产品实施政府优先采购或强制采购。</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24"/>
          <w:rFonts w:hint="eastAsia" w:ascii="宋体" w:hAnsi="宋体" w:eastAsia="宋体" w:cs="宋体"/>
          <w:color w:val="auto"/>
          <w:highlight w:val="none"/>
        </w:rPr>
        <w:t>“残疾人福利性单位”</w:t>
      </w:r>
      <w:r>
        <w:rPr>
          <w:rFonts w:hint="eastAsia" w:ascii="宋体" w:hAnsi="宋体" w:eastAsia="宋体" w:cs="宋体"/>
          <w:color w:val="auto"/>
          <w:highlight w:val="none"/>
        </w:rPr>
        <w:t>）亦可享受前述扶持政策。其中：</w:t>
      </w:r>
    </w:p>
    <w:p>
      <w:pPr>
        <w:pStyle w:val="16"/>
        <w:widowControl/>
        <w:spacing w:before="75" w:beforeAutospacing="0" w:after="75" w:afterAutospacing="0"/>
        <w:ind w:firstLine="240"/>
        <w:rPr>
          <w:color w:val="auto"/>
          <w:highlight w:val="none"/>
        </w:rPr>
      </w:pPr>
      <w:r>
        <w:rPr>
          <w:rFonts w:hint="eastAsia" w:ascii="宋体" w:hAnsi="宋体" w:eastAsia="宋体" w:cs="宋体"/>
          <w:color w:val="auto"/>
          <w:highlight w:val="none"/>
        </w:rPr>
        <w:t>（1）中小企业指符合下列条件的中型、小型、微型企业：</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①符合《工业和信息化部、国家统计局、国家发展和改革委员会、财政部关于印发中小企业划型标准规定的通知》（工信部联企业</w:t>
      </w:r>
      <w:r>
        <w:rPr>
          <w:rFonts w:ascii="Calibri" w:hAnsi="Calibri" w:cs="Calibri"/>
          <w:color w:val="auto"/>
          <w:highlight w:val="none"/>
        </w:rPr>
        <w:t>[2011]300</w:t>
      </w:r>
      <w:r>
        <w:rPr>
          <w:rFonts w:hint="eastAsia" w:ascii="宋体" w:hAnsi="宋体" w:eastAsia="宋体" w:cs="宋体"/>
          <w:color w:val="auto"/>
          <w:highlight w:val="none"/>
        </w:rPr>
        <w:t>号）规定的划分标准，但与大企业的负责人为同一人，或者与大企业存在直接控股、管理关系的除外；；</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②符合中小企业划分标准的个体工商户，在政府采购活动中视同中小企业。</w:t>
      </w:r>
    </w:p>
    <w:p>
      <w:pPr>
        <w:pStyle w:val="16"/>
        <w:widowControl/>
        <w:spacing w:before="75" w:beforeAutospacing="0" w:after="75" w:afterAutospacing="0"/>
        <w:ind w:firstLine="240"/>
        <w:rPr>
          <w:color w:val="auto"/>
          <w:highlight w:val="none"/>
        </w:rPr>
      </w:pPr>
      <w:r>
        <w:rPr>
          <w:rFonts w:hint="eastAsia" w:ascii="宋体" w:hAnsi="宋体" w:eastAsia="宋体" w:cs="宋体"/>
          <w:color w:val="auto"/>
          <w:highlight w:val="none"/>
        </w:rPr>
        <w:t>（2）在政府采购活动中，供应商提供的货物、工程或者服务符合下列情形的，享受本办法规定的中小企业扶持政策：</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①在货物采购项目中，货物由中小企业制造，即货物由中小企业生产且使用该中小企业商号或者注册商标；</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②在工程采购项目中，工程由中小企业承建，即工程施工单位为中小企业；</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③在服务采购项目中，服务由中小企业承接，即提供服务的人员为中小企业依照《中华人民共和国劳动合同法》 订立劳动合同的从业人员。</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在货物采购项目中，供应商提供的货物既有中小企业制造货物，也有大型企业制造货物的，不享受本办法规定的中小企业扶持政策。</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pPr>
        <w:pStyle w:val="16"/>
        <w:widowControl/>
        <w:spacing w:before="75" w:beforeAutospacing="0" w:after="75" w:afterAutospacing="0"/>
        <w:ind w:firstLine="240"/>
        <w:rPr>
          <w:color w:val="auto"/>
          <w:highlight w:val="none"/>
        </w:rPr>
      </w:pPr>
      <w:r>
        <w:rPr>
          <w:rFonts w:hint="eastAsia" w:ascii="宋体" w:hAnsi="宋体" w:eastAsia="宋体" w:cs="宋体"/>
          <w:color w:val="auto"/>
          <w:highlight w:val="none"/>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①监狱企业参加采购活动时，应提供由省级以上监狱管理局、戒毒管理局（含新疆生产建设兵团）出具的属于监狱企业的证明文件。</w:t>
      </w:r>
    </w:p>
    <w:p>
      <w:pPr>
        <w:pStyle w:val="16"/>
        <w:widowControl/>
        <w:spacing w:before="75" w:beforeAutospacing="0" w:after="240" w:afterAutospacing="0"/>
        <w:ind w:firstLine="480"/>
        <w:rPr>
          <w:color w:val="auto"/>
          <w:highlight w:val="none"/>
        </w:rPr>
      </w:pPr>
      <w:r>
        <w:rPr>
          <w:rFonts w:hint="eastAsia" w:ascii="宋体" w:hAnsi="宋体" w:eastAsia="宋体" w:cs="宋体"/>
          <w:color w:val="auto"/>
          <w:highlight w:val="none"/>
        </w:rPr>
        <w:t>②监狱企业视同小型、微型企业。</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（4）残疾人福利性单位指同时符合下列条件的单位：</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①安置的残疾人占本单位在职职工人数的比例不低于</w:t>
      </w:r>
      <w:r>
        <w:rPr>
          <w:rFonts w:ascii="Calibri" w:hAnsi="Calibri" w:cs="Calibri"/>
          <w:color w:val="auto"/>
          <w:highlight w:val="none"/>
        </w:rPr>
        <w:t>25%</w:t>
      </w:r>
      <w:r>
        <w:rPr>
          <w:rFonts w:hint="eastAsia" w:ascii="宋体" w:hAnsi="宋体" w:eastAsia="宋体" w:cs="宋体"/>
          <w:color w:val="auto"/>
          <w:highlight w:val="none"/>
        </w:rPr>
        <w:t>（含</w:t>
      </w:r>
      <w:r>
        <w:rPr>
          <w:rFonts w:ascii="Calibri" w:hAnsi="Calibri" w:cs="Calibri"/>
          <w:color w:val="auto"/>
          <w:highlight w:val="none"/>
        </w:rPr>
        <w:t>25%</w:t>
      </w:r>
      <w:r>
        <w:rPr>
          <w:rFonts w:hint="eastAsia" w:ascii="宋体" w:hAnsi="宋体" w:eastAsia="宋体" w:cs="宋体"/>
          <w:color w:val="auto"/>
          <w:highlight w:val="none"/>
        </w:rPr>
        <w:t>），并且安置的残疾人人数不少于</w:t>
      </w:r>
      <w:r>
        <w:rPr>
          <w:rFonts w:ascii="Calibri" w:hAnsi="Calibri" w:cs="Calibri"/>
          <w:color w:val="auto"/>
          <w:highlight w:val="none"/>
        </w:rPr>
        <w:t>10</w:t>
      </w:r>
      <w:r>
        <w:rPr>
          <w:rFonts w:hint="eastAsia" w:ascii="宋体" w:hAnsi="宋体" w:eastAsia="宋体" w:cs="宋体"/>
          <w:color w:val="auto"/>
          <w:highlight w:val="none"/>
        </w:rPr>
        <w:t>人（含</w:t>
      </w:r>
      <w:r>
        <w:rPr>
          <w:rFonts w:ascii="Calibri" w:hAnsi="Calibri" w:cs="Calibri"/>
          <w:color w:val="auto"/>
          <w:highlight w:val="none"/>
        </w:rPr>
        <w:t>10</w:t>
      </w:r>
      <w:r>
        <w:rPr>
          <w:rFonts w:hint="eastAsia" w:ascii="宋体" w:hAnsi="宋体" w:eastAsia="宋体" w:cs="宋体"/>
          <w:color w:val="auto"/>
          <w:highlight w:val="none"/>
        </w:rPr>
        <w:t>人）；</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②依法与安置的每位残疾人签订了一年以上（含一年）的劳动合同或服务协议；</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③为安置的每位残疾人按月足额缴纳了基本养老保险、基本医疗保险、失业保险、工伤保险和生育保险等社会保险费；</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④通过银行等金融机构向安置的每位残疾人，按月支付了不低于单位所在区县适用的经省级人民政府批准的月最低工资标准的工资；</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⑤提供本单位制造的货物、承担的工程或服务，或提供其他残疾人福利性单位制造的货物（不包括使用非残疾人福利性单位注册商标的货物）。</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前款所称残疾人指法定劳动年龄内，持有《中华人民共和国残疾人证》或《中华人民共和国残疾军人证（1至</w:t>
      </w:r>
      <w:r>
        <w:rPr>
          <w:rFonts w:ascii="Calibri" w:hAnsi="Calibri" w:cs="Calibri"/>
          <w:color w:val="auto"/>
          <w:highlight w:val="none"/>
        </w:rPr>
        <w:t>8</w:t>
      </w:r>
      <w:r>
        <w:rPr>
          <w:rFonts w:hint="eastAsia" w:ascii="宋体" w:hAnsi="宋体" w:eastAsia="宋体" w:cs="宋体"/>
          <w:color w:val="auto"/>
          <w:highlight w:val="none"/>
        </w:rPr>
        <w:t>级）》的自然人，包括具有劳动条件和劳动意愿的精神残疾人。在职职工人数是指与残疾人福利性单位建立劳动关系并依法签订劳动合同或服务协议的雇员人数。</w:t>
      </w:r>
    </w:p>
    <w:p>
      <w:pPr>
        <w:pStyle w:val="16"/>
        <w:widowControl/>
        <w:spacing w:before="75" w:beforeAutospacing="0" w:after="75" w:afterAutospacing="0"/>
        <w:ind w:firstLine="480"/>
        <w:rPr>
          <w:color w:val="auto"/>
          <w:highlight w:val="none"/>
        </w:rPr>
      </w:pPr>
      <w:r>
        <w:rPr>
          <w:rStyle w:val="24"/>
          <w:rFonts w:hint="eastAsia" w:ascii="宋体" w:hAnsi="宋体" w:eastAsia="宋体" w:cs="宋体"/>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17.5信用记录指由财政部确定的有关网站提供的相关主体信用信息。信用记录的查询及使用应符合财政部文件（财库</w:t>
      </w:r>
      <w:r>
        <w:rPr>
          <w:rFonts w:ascii="Calibri" w:hAnsi="Calibri" w:cs="Calibri"/>
          <w:color w:val="auto"/>
          <w:highlight w:val="none"/>
        </w:rPr>
        <w:t>[2016]125</w:t>
      </w:r>
      <w:r>
        <w:rPr>
          <w:rFonts w:hint="eastAsia" w:ascii="宋体" w:hAnsi="宋体" w:eastAsia="宋体" w:cs="宋体"/>
          <w:color w:val="auto"/>
          <w:highlight w:val="none"/>
        </w:rPr>
        <w:t>号）规定。</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17.6为落实政府采购政策需满足的要求：详见征集文件第一章。</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6"/>
        <w:widowControl/>
        <w:spacing w:before="75" w:beforeAutospacing="0" w:after="75" w:afterAutospacing="0"/>
        <w:jc w:val="center"/>
        <w:rPr>
          <w:color w:val="auto"/>
          <w:highlight w:val="none"/>
        </w:rPr>
      </w:pPr>
      <w:r>
        <w:rPr>
          <w:rStyle w:val="24"/>
          <w:rFonts w:hint="eastAsia" w:ascii="宋体" w:hAnsi="宋体" w:eastAsia="宋体" w:cs="宋体"/>
          <w:color w:val="auto"/>
          <w:highlight w:val="none"/>
        </w:rPr>
        <w:t>十、本项目的有关信息</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18、本项目的有关信息，包括但不限于：征集公告、更正公告（若有）、征集文件、征集文件的澄清或修改（若有）、入围结果公告、终止公告（若有）、废标公告（若有）等都将在征集文件载明的指定媒体发布。</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18.1指定媒体：详见征集文件第二章。</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18.2本项目的潜在供应商或供应商应随时关注指定媒体，否则产生不利后果由其自行承担。</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6"/>
        <w:widowControl/>
        <w:spacing w:before="75" w:beforeAutospacing="0" w:after="75" w:afterAutospacing="0"/>
        <w:jc w:val="center"/>
        <w:rPr>
          <w:color w:val="auto"/>
          <w:highlight w:val="none"/>
        </w:rPr>
      </w:pPr>
      <w:r>
        <w:rPr>
          <w:rStyle w:val="24"/>
          <w:rFonts w:hint="eastAsia" w:ascii="宋体" w:hAnsi="宋体" w:eastAsia="宋体" w:cs="宋体"/>
          <w:color w:val="auto"/>
          <w:highlight w:val="none"/>
        </w:rPr>
        <w:t>十一、其他事项</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19、其他事项：详见征集文件第二章。</w:t>
      </w:r>
    </w:p>
    <w:p>
      <w:pPr>
        <w:pStyle w:val="16"/>
        <w:widowControl/>
        <w:spacing w:before="75" w:beforeAutospacing="0" w:after="75" w:afterAutospacing="0"/>
        <w:jc w:val="center"/>
        <w:rPr>
          <w:color w:val="auto"/>
          <w:highlight w:val="none"/>
        </w:rPr>
      </w:pPr>
      <w:r>
        <w:rPr>
          <w:color w:val="auto"/>
          <w:highlight w:val="none"/>
        </w:rPr>
        <w:t> </w:t>
      </w:r>
    </w:p>
    <w:p>
      <w:pPr>
        <w:pStyle w:val="16"/>
        <w:widowControl/>
        <w:spacing w:before="75" w:beforeAutospacing="0" w:after="75" w:afterAutospacing="0"/>
        <w:rPr>
          <w:color w:val="auto"/>
          <w:highlight w:val="none"/>
        </w:rPr>
      </w:pPr>
      <w:r>
        <w:rPr>
          <w:color w:val="auto"/>
          <w:highlight w:val="none"/>
        </w:rPr>
        <w:t> </w:t>
      </w:r>
    </w:p>
    <w:p>
      <w:pPr>
        <w:pStyle w:val="16"/>
        <w:widowControl/>
        <w:spacing w:before="75" w:beforeAutospacing="0" w:after="75" w:afterAutospacing="0"/>
        <w:rPr>
          <w:color w:val="auto"/>
          <w:highlight w:val="none"/>
        </w:rPr>
      </w:pPr>
      <w:r>
        <w:rPr>
          <w:rFonts w:ascii="Calibri" w:hAnsi="Calibri" w:cs="Calibri"/>
          <w:color w:val="auto"/>
          <w:highlight w:val="none"/>
        </w:rPr>
        <w:t> </w:t>
      </w:r>
    </w:p>
    <w:p>
      <w:pPr>
        <w:pStyle w:val="16"/>
        <w:widowControl/>
        <w:spacing w:before="75" w:beforeAutospacing="0" w:after="75" w:afterAutospacing="0"/>
        <w:jc w:val="center"/>
        <w:rPr>
          <w:color w:val="auto"/>
          <w:highlight w:val="none"/>
        </w:rPr>
      </w:pPr>
      <w:r>
        <w:rPr>
          <w:rStyle w:val="24"/>
          <w:rFonts w:hint="eastAsia" w:ascii="宋体" w:hAnsi="宋体" w:eastAsia="宋体" w:cs="宋体"/>
          <w:color w:val="auto"/>
          <w:sz w:val="31"/>
          <w:szCs w:val="31"/>
          <w:highlight w:val="none"/>
        </w:rPr>
        <w:t>第四章   资格审查与评标</w:t>
      </w:r>
    </w:p>
    <w:p>
      <w:pPr>
        <w:pStyle w:val="16"/>
        <w:widowControl/>
        <w:spacing w:before="75" w:beforeAutospacing="0" w:after="75" w:afterAutospacing="0"/>
        <w:jc w:val="center"/>
        <w:rPr>
          <w:color w:val="auto"/>
          <w:highlight w:val="none"/>
        </w:rPr>
      </w:pPr>
      <w:r>
        <w:rPr>
          <w:color w:val="auto"/>
          <w:highlight w:val="none"/>
        </w:rPr>
        <w:t> </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6"/>
        <w:widowControl/>
        <w:spacing w:before="75" w:beforeAutospacing="0" w:after="75" w:afterAutospacing="0"/>
        <w:jc w:val="center"/>
        <w:rPr>
          <w:color w:val="auto"/>
          <w:highlight w:val="none"/>
        </w:rPr>
      </w:pPr>
      <w:r>
        <w:rPr>
          <w:rStyle w:val="24"/>
          <w:rFonts w:hint="eastAsia" w:ascii="宋体" w:hAnsi="宋体" w:eastAsia="宋体" w:cs="宋体"/>
          <w:color w:val="auto"/>
          <w:highlight w:val="none"/>
        </w:rPr>
        <w:t>一、资格审查</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1、开标结束后，由</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负责资格审查小组的组建及资格审查工作的组织。</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1.1资格审查小组由</w:t>
      </w:r>
      <w:r>
        <w:rPr>
          <w:rFonts w:ascii="Calibri" w:hAnsi="Calibri" w:cs="Calibri"/>
          <w:color w:val="auto"/>
          <w:highlight w:val="none"/>
        </w:rPr>
        <w:t>3</w:t>
      </w:r>
      <w:r>
        <w:rPr>
          <w:rFonts w:hint="eastAsia" w:ascii="宋体" w:hAnsi="宋体" w:eastAsia="宋体" w:cs="宋体"/>
          <w:color w:val="auto"/>
          <w:highlight w:val="none"/>
        </w:rPr>
        <w:t>人组成，并负责具体审查事务，其中：由征集人派出的征集人代表至少</w:t>
      </w:r>
      <w:r>
        <w:rPr>
          <w:rFonts w:hint="eastAsia" w:ascii="宋体" w:hAnsi="宋体" w:eastAsia="宋体" w:cs="宋体"/>
          <w:color w:val="auto"/>
          <w:highlight w:val="none"/>
          <w:u w:val="single"/>
        </w:rPr>
        <w:t>1</w:t>
      </w:r>
      <w:r>
        <w:rPr>
          <w:rFonts w:hint="eastAsia" w:ascii="宋体" w:hAnsi="宋体" w:eastAsia="宋体" w:cs="宋体"/>
          <w:color w:val="auto"/>
          <w:highlight w:val="none"/>
        </w:rPr>
        <w:t>人，由</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派出的工作人员至少</w:t>
      </w:r>
      <w:r>
        <w:rPr>
          <w:rFonts w:hint="eastAsia" w:ascii="宋体" w:hAnsi="宋体" w:eastAsia="宋体" w:cs="宋体"/>
          <w:color w:val="auto"/>
          <w:highlight w:val="none"/>
          <w:u w:val="single"/>
        </w:rPr>
        <w:t>1</w:t>
      </w:r>
      <w:r>
        <w:rPr>
          <w:rFonts w:hint="eastAsia" w:ascii="宋体" w:hAnsi="宋体" w:eastAsia="宋体" w:cs="宋体"/>
          <w:color w:val="auto"/>
          <w:highlight w:val="none"/>
        </w:rPr>
        <w:t>人，其余</w:t>
      </w:r>
      <w:r>
        <w:rPr>
          <w:rFonts w:hint="eastAsia" w:ascii="宋体" w:hAnsi="宋体" w:eastAsia="宋体" w:cs="宋体"/>
          <w:color w:val="auto"/>
          <w:highlight w:val="none"/>
          <w:u w:val="single"/>
        </w:rPr>
        <w:t>1</w:t>
      </w:r>
      <w:r>
        <w:rPr>
          <w:rFonts w:hint="eastAsia" w:ascii="宋体" w:hAnsi="宋体" w:eastAsia="宋体" w:cs="宋体"/>
          <w:color w:val="auto"/>
          <w:highlight w:val="none"/>
        </w:rPr>
        <w:t>人可为征集人代表或</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的工作人员。</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1.2资格审查的依据是征集文件和响应文件。</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1.3资格审查的范围及内容：响应文件（资格及资信证明部分），具体如下：</w:t>
      </w:r>
    </w:p>
    <w:p>
      <w:pPr>
        <w:pStyle w:val="16"/>
        <w:widowControl/>
        <w:rPr>
          <w:rFonts w:ascii="宋体" w:hAnsi="宋体" w:eastAsia="宋体" w:cs="宋体"/>
          <w:color w:val="auto"/>
          <w:highlight w:val="none"/>
        </w:rPr>
      </w:pPr>
      <w:r>
        <w:rPr>
          <w:rFonts w:hint="eastAsia" w:ascii="宋体" w:hAnsi="宋体" w:eastAsia="宋体" w:cs="宋体"/>
          <w:color w:val="auto"/>
          <w:highlight w:val="none"/>
        </w:rPr>
        <w:t>  （1）“响应函”；</w:t>
      </w:r>
    </w:p>
    <w:p>
      <w:pPr>
        <w:pStyle w:val="16"/>
        <w:widowControl/>
        <w:rPr>
          <w:rFonts w:ascii="宋体" w:hAnsi="宋体" w:eastAsia="宋体" w:cs="宋体"/>
          <w:color w:val="auto"/>
          <w:highlight w:val="none"/>
        </w:rPr>
      </w:pPr>
      <w:r>
        <w:rPr>
          <w:rFonts w:hint="eastAsia" w:ascii="宋体" w:hAnsi="宋体" w:eastAsia="宋体" w:cs="宋体"/>
          <w:color w:val="auto"/>
          <w:highlight w:val="none"/>
        </w:rPr>
        <w:t>  （2）“供应商的资格及资信证明文件”</w:t>
      </w:r>
    </w:p>
    <w:p>
      <w:pPr>
        <w:pStyle w:val="16"/>
        <w:widowControl/>
        <w:rPr>
          <w:color w:val="auto"/>
          <w:highlight w:val="none"/>
        </w:rPr>
      </w:pPr>
      <w:r>
        <w:rPr>
          <w:rFonts w:hint="eastAsia" w:ascii="宋体" w:hAnsi="宋体" w:eastAsia="宋体" w:cs="宋体"/>
          <w:color w:val="auto"/>
          <w:highlight w:val="none"/>
        </w:rPr>
        <w:t>   ①一般资格证明文件：</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147"/>
        <w:gridCol w:w="50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50" w:type="pct"/>
          </w:tcPr>
          <w:p>
            <w:pPr>
              <w:widowControl/>
              <w:jc w:val="center"/>
              <w:rPr>
                <w:b/>
                <w:bCs/>
                <w:color w:val="auto"/>
                <w:highlight w:val="none"/>
              </w:rPr>
            </w:pPr>
            <w:r>
              <w:rPr>
                <w:rFonts w:ascii="宋体" w:hAnsi="宋体" w:eastAsia="宋体" w:cs="宋体"/>
                <w:b/>
                <w:bCs/>
                <w:color w:val="auto"/>
                <w:kern w:val="0"/>
                <w:sz w:val="24"/>
                <w:highlight w:val="none"/>
              </w:rPr>
              <w:t>明细</w:t>
            </w:r>
          </w:p>
        </w:tc>
        <w:tc>
          <w:tcPr>
            <w:tcW w:w="2749" w:type="pct"/>
          </w:tcPr>
          <w:p>
            <w:pPr>
              <w:widowControl/>
              <w:jc w:val="center"/>
              <w:rPr>
                <w:b/>
                <w:bCs/>
                <w:color w:val="auto"/>
                <w:highlight w:val="none"/>
              </w:rPr>
            </w:pPr>
            <w:r>
              <w:rPr>
                <w:rFonts w:ascii="宋体" w:hAnsi="宋体" w:eastAsia="宋体" w:cs="宋体"/>
                <w:b/>
                <w:bCs/>
                <w:color w:val="auto"/>
                <w:kern w:val="0"/>
                <w:sz w:val="24"/>
                <w:highlight w:val="none"/>
              </w:rPr>
              <w:t>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ascii="宋体" w:hAnsi="宋体" w:eastAsia="宋体" w:cs="宋体"/>
                <w:color w:val="auto"/>
                <w:kern w:val="0"/>
                <w:sz w:val="24"/>
                <w:highlight w:val="none"/>
              </w:rPr>
              <w:t>单位负责人授权书（若有）</w:t>
            </w:r>
          </w:p>
        </w:tc>
        <w:tc>
          <w:tcPr>
            <w:tcW w:w="0" w:type="auto"/>
          </w:tcPr>
          <w:p>
            <w:pPr>
              <w:widowControl/>
              <w:jc w:val="left"/>
              <w:rPr>
                <w:color w:val="auto"/>
                <w:highlight w:val="none"/>
              </w:rPr>
            </w:pPr>
            <w:r>
              <w:rPr>
                <w:rFonts w:hint="eastAsia" w:ascii="宋体" w:hAnsi="宋体" w:eastAsia="宋体" w:cs="宋体"/>
                <w:color w:val="auto"/>
                <w:kern w:val="0"/>
                <w:sz w:val="24"/>
                <w:highlight w:val="none"/>
              </w:rPr>
              <w:t>1、供应商（自然人除外）：若供应商代表为单位授权的委托代理人，应提供本授权书；若供应商代表为单位负责人，应在此项下提交其身份证正反面复印件，可不提供本授权书。 2、供应商为自然人的，可不填写本授权书。3</w:t>
            </w:r>
            <w:r>
              <w:rPr>
                <w:rFonts w:ascii="宋体" w:hAnsi="宋体" w:eastAsia="宋体" w:cs="宋体"/>
                <w:color w:val="auto"/>
                <w:kern w:val="0"/>
                <w:sz w:val="24"/>
                <w:highlight w:val="none"/>
              </w:rPr>
              <w:t>、纸质</w:t>
            </w:r>
            <w:r>
              <w:rPr>
                <w:rFonts w:hint="eastAsia" w:ascii="宋体" w:hAnsi="宋体" w:eastAsia="宋体" w:cs="宋体"/>
                <w:color w:val="auto"/>
                <w:kern w:val="0"/>
                <w:sz w:val="24"/>
                <w:highlight w:val="none"/>
              </w:rPr>
              <w:t>响应文件</w:t>
            </w:r>
            <w:r>
              <w:rPr>
                <w:rFonts w:ascii="宋体" w:hAnsi="宋体" w:eastAsia="宋体" w:cs="宋体"/>
                <w:color w:val="auto"/>
                <w:kern w:val="0"/>
                <w:sz w:val="24"/>
                <w:highlight w:val="none"/>
              </w:rPr>
              <w:t>正本中的本授权书（若有）应为原件。※</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应按照</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第七章规定提供。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ascii="宋体" w:hAnsi="宋体" w:eastAsia="宋体" w:cs="宋体"/>
                <w:color w:val="auto"/>
                <w:kern w:val="0"/>
                <w:sz w:val="24"/>
                <w:highlight w:val="none"/>
              </w:rPr>
              <w:t>营业执照等证明文件</w:t>
            </w:r>
          </w:p>
        </w:tc>
        <w:tc>
          <w:tcPr>
            <w:tcW w:w="0" w:type="auto"/>
          </w:tcPr>
          <w:p>
            <w:pPr>
              <w:widowControl/>
              <w:jc w:val="left"/>
              <w:rPr>
                <w:color w:val="auto"/>
                <w:highlight w:val="none"/>
              </w:rPr>
            </w:pPr>
            <w:r>
              <w:rPr>
                <w:rFonts w:ascii="宋体" w:hAnsi="宋体" w:eastAsia="宋体" w:cs="宋体"/>
                <w:color w:val="auto"/>
                <w:kern w:val="0"/>
                <w:sz w:val="24"/>
                <w:highlight w:val="none"/>
              </w:rPr>
              <w:t>1、</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为企业的，提供有效的营业执照复印件；</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为事业单位的，提供有效的事业单位法人证书复印件；</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为社会团体的，提供有效的社会团体法人登记证书复印件；</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为合伙企业、个体工商户的，提供有效的营业执照复印件；</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为非企业专业服务机构的，提供有效的执业许可证等证明材料复印件；</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为自然人的，提供有效的自然人身份证件复印件；其他</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应按照有关法律、法规和规章规定，提供有效的相应具体证照复印件。2、</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提供的相应证明材料复印件均应符合：内容完整、清晰、整洁，并由</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加盖其单位公章。※</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应按照</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第七章规定提供。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ascii="宋体" w:hAnsi="宋体" w:eastAsia="宋体" w:cs="宋体"/>
                <w:color w:val="auto"/>
                <w:kern w:val="0"/>
                <w:sz w:val="24"/>
                <w:highlight w:val="none"/>
              </w:rPr>
              <w:t>财务状况报告（财务报告、或资信证明）</w:t>
            </w:r>
          </w:p>
        </w:tc>
        <w:tc>
          <w:tcPr>
            <w:tcW w:w="5067" w:type="dxa"/>
            <w:vAlign w:val="top"/>
          </w:tcPr>
          <w:p>
            <w:pPr>
              <w:keepNext w:val="0"/>
              <w:keepLines w:val="0"/>
              <w:pageBreakBefore w:val="0"/>
              <w:widowControl/>
              <w:kinsoku/>
              <w:wordWrap w:val="0"/>
              <w:overflowPunct/>
              <w:topLinePunct w:val="0"/>
              <w:autoSpaceDE/>
              <w:autoSpaceDN/>
              <w:bidi w:val="0"/>
              <w:adjustRightInd/>
              <w:snapToGrid/>
              <w:jc w:val="left"/>
              <w:textAlignment w:val="auto"/>
              <w:rPr>
                <w:color w:val="auto"/>
                <w:highlight w:val="none"/>
              </w:rPr>
            </w:pPr>
            <w:r>
              <w:rPr>
                <w:rFonts w:ascii="宋体" w:hAnsi="宋体" w:eastAsia="宋体" w:cs="宋体"/>
                <w:color w:val="auto"/>
                <w:kern w:val="0"/>
                <w:sz w:val="24"/>
                <w:highlight w:val="none"/>
              </w:rPr>
              <w:t>1、</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提供的财务报告复印件（成立年限按照</w:t>
            </w:r>
            <w:r>
              <w:rPr>
                <w:rFonts w:hint="eastAsia" w:ascii="宋体" w:hAnsi="宋体" w:eastAsia="宋体" w:cs="宋体"/>
                <w:color w:val="auto"/>
                <w:kern w:val="0"/>
                <w:sz w:val="24"/>
                <w:highlight w:val="none"/>
              </w:rPr>
              <w:t>递交响应文件截止时间</w:t>
            </w:r>
            <w:r>
              <w:rPr>
                <w:rFonts w:ascii="宋体" w:hAnsi="宋体" w:eastAsia="宋体" w:cs="宋体"/>
                <w:color w:val="auto"/>
                <w:kern w:val="0"/>
                <w:sz w:val="24"/>
                <w:highlight w:val="none"/>
              </w:rPr>
              <w:t>推算）应符合下列规定：1.1 成立年限满1年及以上的</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，提供经审计的</w:t>
            </w:r>
            <w:r>
              <w:rPr>
                <w:rFonts w:hint="eastAsia" w:ascii="宋体" w:hAnsi="宋体" w:eastAsia="宋体" w:cs="宋体"/>
                <w:color w:val="auto"/>
                <w:kern w:val="0"/>
                <w:sz w:val="24"/>
                <w:highlight w:val="none"/>
                <w:lang w:val="en-US" w:eastAsia="zh-CN"/>
              </w:rPr>
              <w:t>2021</w:t>
            </w:r>
            <w:r>
              <w:rPr>
                <w:rFonts w:ascii="宋体" w:hAnsi="宋体" w:eastAsia="宋体" w:cs="宋体"/>
                <w:color w:val="auto"/>
                <w:kern w:val="0"/>
                <w:sz w:val="24"/>
                <w:highlight w:val="none"/>
              </w:rPr>
              <w:t>年</w:t>
            </w:r>
            <w:r>
              <w:rPr>
                <w:rFonts w:hint="eastAsia" w:ascii="宋体" w:hAnsi="宋体" w:eastAsia="宋体" w:cs="宋体"/>
                <w:color w:val="auto"/>
                <w:kern w:val="0"/>
                <w:sz w:val="24"/>
                <w:highlight w:val="none"/>
                <w:lang w:val="en-US" w:eastAsia="zh-CN"/>
              </w:rPr>
              <w:t>或2022年</w:t>
            </w:r>
            <w:r>
              <w:rPr>
                <w:rFonts w:ascii="宋体" w:hAnsi="宋体" w:eastAsia="宋体" w:cs="宋体"/>
                <w:color w:val="auto"/>
                <w:kern w:val="0"/>
                <w:sz w:val="24"/>
                <w:highlight w:val="none"/>
              </w:rPr>
              <w:t>的年度财务报告。1.2成立年限满半年但不足1年的</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，提供该半年度中任一季 度的季度财务报告或该半年度的半年度财务报告。※无法按照第1.1、1.2条规定提供财务报告复印件的</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（包括但不限于：成立年限满 1年及以上的</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、成立年限满半年但不足1年的</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、成立年限不足半年的</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 xml:space="preserve">），应选择提供资信证明复印件 。 </w:t>
            </w:r>
            <w:r>
              <w:rPr>
                <w:rFonts w:hint="eastAsia" w:ascii="宋体" w:hAnsi="宋体" w:eastAsia="宋体" w:cs="宋体"/>
                <w:color w:val="auto"/>
                <w:kern w:val="0"/>
                <w:sz w:val="24"/>
                <w:highlight w:val="none"/>
              </w:rPr>
              <w:t>2</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提供的相应证明材料复印件均应符合：内容完整、清晰、整洁，并由</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加盖其单位公章。※</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应按照</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第七章 规定提供。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ascii="宋体" w:hAnsi="宋体" w:eastAsia="宋体" w:cs="宋体"/>
                <w:color w:val="auto"/>
                <w:kern w:val="0"/>
                <w:sz w:val="24"/>
                <w:highlight w:val="none"/>
              </w:rPr>
              <w:t>依法缴纳税收证明材料</w:t>
            </w:r>
          </w:p>
        </w:tc>
        <w:tc>
          <w:tcPr>
            <w:tcW w:w="0" w:type="auto"/>
          </w:tcPr>
          <w:p>
            <w:pPr>
              <w:widowControl/>
              <w:jc w:val="left"/>
              <w:rPr>
                <w:color w:val="auto"/>
                <w:highlight w:val="none"/>
              </w:rPr>
            </w:pPr>
            <w:r>
              <w:rPr>
                <w:rFonts w:ascii="宋体" w:hAnsi="宋体" w:eastAsia="宋体" w:cs="宋体"/>
                <w:color w:val="auto"/>
                <w:kern w:val="0"/>
                <w:sz w:val="24"/>
                <w:highlight w:val="none"/>
              </w:rPr>
              <w:t>1、</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提供的税收凭据复印件应符合下列规定：1.1</w:t>
            </w:r>
            <w:r>
              <w:rPr>
                <w:rFonts w:hint="eastAsia" w:ascii="宋体" w:hAnsi="宋体" w:eastAsia="宋体" w:cs="宋体"/>
                <w:color w:val="auto"/>
                <w:kern w:val="0"/>
                <w:sz w:val="24"/>
                <w:highlight w:val="none"/>
              </w:rPr>
              <w:t>递交响应文件截止时间</w:t>
            </w:r>
            <w:r>
              <w:rPr>
                <w:rFonts w:ascii="宋体" w:hAnsi="宋体" w:eastAsia="宋体" w:cs="宋体"/>
                <w:color w:val="auto"/>
                <w:kern w:val="0"/>
                <w:sz w:val="24"/>
                <w:highlight w:val="none"/>
              </w:rPr>
              <w:t>前（不含</w:t>
            </w:r>
            <w:r>
              <w:rPr>
                <w:rFonts w:hint="eastAsia" w:ascii="宋体" w:hAnsi="宋体" w:eastAsia="宋体" w:cs="宋体"/>
                <w:color w:val="auto"/>
                <w:kern w:val="0"/>
                <w:sz w:val="24"/>
                <w:highlight w:val="none"/>
              </w:rPr>
              <w:t>递交响应文件截止时间</w:t>
            </w:r>
            <w:r>
              <w:rPr>
                <w:rFonts w:ascii="宋体" w:hAnsi="宋体" w:eastAsia="宋体" w:cs="宋体"/>
                <w:color w:val="auto"/>
                <w:kern w:val="0"/>
                <w:sz w:val="24"/>
                <w:highlight w:val="none"/>
              </w:rPr>
              <w:t>的当月）已依法缴纳税收的</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，提供</w:t>
            </w:r>
            <w:r>
              <w:rPr>
                <w:rFonts w:hint="eastAsia" w:ascii="宋体" w:hAnsi="宋体" w:eastAsia="宋体" w:cs="宋体"/>
                <w:color w:val="auto"/>
                <w:kern w:val="0"/>
                <w:sz w:val="24"/>
                <w:highlight w:val="none"/>
              </w:rPr>
              <w:t>递交响应文件截止时间</w:t>
            </w:r>
            <w:r>
              <w:rPr>
                <w:rFonts w:ascii="宋体" w:hAnsi="宋体" w:eastAsia="宋体" w:cs="宋体"/>
                <w:color w:val="auto"/>
                <w:kern w:val="0"/>
                <w:sz w:val="24"/>
                <w:highlight w:val="none"/>
              </w:rPr>
              <w:t>前六个月（不含</w:t>
            </w:r>
            <w:r>
              <w:rPr>
                <w:rFonts w:hint="eastAsia" w:ascii="宋体" w:hAnsi="宋体" w:eastAsia="宋体" w:cs="宋体"/>
                <w:color w:val="auto"/>
                <w:kern w:val="0"/>
                <w:sz w:val="24"/>
                <w:highlight w:val="none"/>
              </w:rPr>
              <w:t>递交响应文件截止时间</w:t>
            </w:r>
            <w:r>
              <w:rPr>
                <w:rFonts w:ascii="宋体" w:hAnsi="宋体" w:eastAsia="宋体" w:cs="宋体"/>
                <w:color w:val="auto"/>
                <w:kern w:val="0"/>
                <w:sz w:val="24"/>
                <w:highlight w:val="none"/>
              </w:rPr>
              <w:t>的当月）中任一月份的税收凭据复印件。1.2</w:t>
            </w:r>
            <w:r>
              <w:rPr>
                <w:rFonts w:hint="eastAsia" w:ascii="宋体" w:hAnsi="宋体" w:eastAsia="宋体" w:cs="宋体"/>
                <w:color w:val="auto"/>
                <w:kern w:val="0"/>
                <w:sz w:val="24"/>
                <w:highlight w:val="none"/>
              </w:rPr>
              <w:t>递交响应文件截止时间</w:t>
            </w:r>
            <w:r>
              <w:rPr>
                <w:rFonts w:ascii="宋体" w:hAnsi="宋体" w:eastAsia="宋体" w:cs="宋体"/>
                <w:color w:val="auto"/>
                <w:kern w:val="0"/>
                <w:sz w:val="24"/>
                <w:highlight w:val="none"/>
              </w:rPr>
              <w:t>的当月成立且已依法缴纳税收的</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，提供</w:t>
            </w:r>
            <w:r>
              <w:rPr>
                <w:rFonts w:hint="eastAsia" w:ascii="宋体" w:hAnsi="宋体" w:eastAsia="宋体" w:cs="宋体"/>
                <w:color w:val="auto"/>
                <w:kern w:val="0"/>
                <w:sz w:val="24"/>
                <w:highlight w:val="none"/>
              </w:rPr>
              <w:t>递交响应文件截止时间</w:t>
            </w:r>
            <w:r>
              <w:rPr>
                <w:rFonts w:ascii="宋体" w:hAnsi="宋体" w:eastAsia="宋体" w:cs="宋体"/>
                <w:color w:val="auto"/>
                <w:kern w:val="0"/>
                <w:sz w:val="24"/>
                <w:highlight w:val="none"/>
              </w:rPr>
              <w:t>当月的税收凭据复印件。1.3</w:t>
            </w:r>
            <w:r>
              <w:rPr>
                <w:rFonts w:hint="eastAsia" w:ascii="宋体" w:hAnsi="宋体" w:eastAsia="宋体" w:cs="宋体"/>
                <w:color w:val="auto"/>
                <w:kern w:val="0"/>
                <w:sz w:val="24"/>
                <w:highlight w:val="none"/>
              </w:rPr>
              <w:t>递交响应文件截止时间</w:t>
            </w:r>
            <w:r>
              <w:rPr>
                <w:rFonts w:ascii="宋体" w:hAnsi="宋体" w:eastAsia="宋体" w:cs="宋体"/>
                <w:color w:val="auto"/>
                <w:kern w:val="0"/>
                <w:sz w:val="24"/>
                <w:highlight w:val="none"/>
              </w:rPr>
              <w:t>的当月成立但因税务机关原因导致其尚未依法缴纳税收的</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，提供依法缴纳税收承诺书原件（格式自拟），该承诺书视同税收凭据。</w:t>
            </w:r>
            <w:r>
              <w:rPr>
                <w:rFonts w:hint="eastAsia" w:ascii="宋体" w:hAnsi="宋体" w:eastAsia="宋体" w:cs="宋体"/>
                <w:color w:val="auto"/>
                <w:kern w:val="0"/>
                <w:sz w:val="24"/>
                <w:highlight w:val="none"/>
              </w:rPr>
              <w:t>2</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提供的相应证明材料复印件均应符合：内容完整、清晰、整洁，并由</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加盖其单位公章。※</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应按照</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第七章规定提供。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ascii="宋体" w:hAnsi="宋体" w:eastAsia="宋体" w:cs="宋体"/>
                <w:color w:val="auto"/>
                <w:kern w:val="0"/>
                <w:sz w:val="24"/>
                <w:highlight w:val="none"/>
              </w:rPr>
              <w:t>依法缴纳社会保障资金证明材料</w:t>
            </w:r>
          </w:p>
        </w:tc>
        <w:tc>
          <w:tcPr>
            <w:tcW w:w="0" w:type="auto"/>
          </w:tcPr>
          <w:p>
            <w:pPr>
              <w:widowControl/>
              <w:jc w:val="left"/>
              <w:rPr>
                <w:color w:val="auto"/>
                <w:highlight w:val="none"/>
              </w:rPr>
            </w:pPr>
            <w:r>
              <w:rPr>
                <w:rFonts w:ascii="宋体" w:hAnsi="宋体" w:eastAsia="宋体" w:cs="宋体"/>
                <w:color w:val="auto"/>
                <w:kern w:val="0"/>
                <w:sz w:val="24"/>
                <w:highlight w:val="none"/>
              </w:rPr>
              <w:t>1、</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提供的社会保险凭据复印件应符合下列规定：1.1</w:t>
            </w:r>
            <w:r>
              <w:rPr>
                <w:rFonts w:hint="eastAsia" w:ascii="宋体" w:hAnsi="宋体" w:eastAsia="宋体" w:cs="宋体"/>
                <w:color w:val="auto"/>
                <w:kern w:val="0"/>
                <w:sz w:val="24"/>
                <w:highlight w:val="none"/>
              </w:rPr>
              <w:t>递交响应文件截止时间</w:t>
            </w:r>
            <w:r>
              <w:rPr>
                <w:rFonts w:ascii="宋体" w:hAnsi="宋体" w:eastAsia="宋体" w:cs="宋体"/>
                <w:color w:val="auto"/>
                <w:kern w:val="0"/>
                <w:sz w:val="24"/>
                <w:highlight w:val="none"/>
              </w:rPr>
              <w:t>前（不含</w:t>
            </w:r>
            <w:r>
              <w:rPr>
                <w:rFonts w:hint="eastAsia" w:ascii="宋体" w:hAnsi="宋体" w:eastAsia="宋体" w:cs="宋体"/>
                <w:color w:val="auto"/>
                <w:kern w:val="0"/>
                <w:sz w:val="24"/>
                <w:highlight w:val="none"/>
              </w:rPr>
              <w:t>递交响应文件截止时间</w:t>
            </w:r>
            <w:r>
              <w:rPr>
                <w:rFonts w:ascii="宋体" w:hAnsi="宋体" w:eastAsia="宋体" w:cs="宋体"/>
                <w:color w:val="auto"/>
                <w:kern w:val="0"/>
                <w:sz w:val="24"/>
                <w:highlight w:val="none"/>
              </w:rPr>
              <w:t>的当月）已依法缴纳社会保障资金的</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，提供</w:t>
            </w:r>
            <w:r>
              <w:rPr>
                <w:rFonts w:hint="eastAsia" w:ascii="宋体" w:hAnsi="宋体" w:eastAsia="宋体" w:cs="宋体"/>
                <w:color w:val="auto"/>
                <w:kern w:val="0"/>
                <w:sz w:val="24"/>
                <w:highlight w:val="none"/>
              </w:rPr>
              <w:t>递交响应文件截止时间</w:t>
            </w:r>
            <w:r>
              <w:rPr>
                <w:rFonts w:ascii="宋体" w:hAnsi="宋体" w:eastAsia="宋体" w:cs="宋体"/>
                <w:color w:val="auto"/>
                <w:kern w:val="0"/>
                <w:sz w:val="24"/>
                <w:highlight w:val="none"/>
              </w:rPr>
              <w:t>前六个月（不含</w:t>
            </w:r>
            <w:r>
              <w:rPr>
                <w:rFonts w:hint="eastAsia" w:ascii="宋体" w:hAnsi="宋体" w:eastAsia="宋体" w:cs="宋体"/>
                <w:color w:val="auto"/>
                <w:kern w:val="0"/>
                <w:sz w:val="24"/>
                <w:highlight w:val="none"/>
              </w:rPr>
              <w:t>递交响应文件截止时间</w:t>
            </w:r>
            <w:r>
              <w:rPr>
                <w:rFonts w:ascii="宋体" w:hAnsi="宋体" w:eastAsia="宋体" w:cs="宋体"/>
                <w:color w:val="auto"/>
                <w:kern w:val="0"/>
                <w:sz w:val="24"/>
                <w:highlight w:val="none"/>
              </w:rPr>
              <w:t>的当月）中任一月份的社会保险凭据复印件。1.2</w:t>
            </w:r>
            <w:r>
              <w:rPr>
                <w:rFonts w:hint="eastAsia" w:ascii="宋体" w:hAnsi="宋体" w:eastAsia="宋体" w:cs="宋体"/>
                <w:color w:val="auto"/>
                <w:kern w:val="0"/>
                <w:sz w:val="24"/>
                <w:highlight w:val="none"/>
              </w:rPr>
              <w:t>递交响应文件截止时间</w:t>
            </w:r>
            <w:r>
              <w:rPr>
                <w:rFonts w:ascii="宋体" w:hAnsi="宋体" w:eastAsia="宋体" w:cs="宋体"/>
                <w:color w:val="auto"/>
                <w:kern w:val="0"/>
                <w:sz w:val="24"/>
                <w:highlight w:val="none"/>
              </w:rPr>
              <w:t>的当月成立且已依法缴纳社会保障资金的</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，提供</w:t>
            </w:r>
            <w:r>
              <w:rPr>
                <w:rFonts w:hint="eastAsia" w:ascii="宋体" w:hAnsi="宋体" w:eastAsia="宋体" w:cs="宋体"/>
                <w:color w:val="auto"/>
                <w:kern w:val="0"/>
                <w:sz w:val="24"/>
                <w:highlight w:val="none"/>
              </w:rPr>
              <w:t>递交响应文件截止时间</w:t>
            </w:r>
            <w:r>
              <w:rPr>
                <w:rFonts w:ascii="宋体" w:hAnsi="宋体" w:eastAsia="宋体" w:cs="宋体"/>
                <w:color w:val="auto"/>
                <w:kern w:val="0"/>
                <w:sz w:val="24"/>
                <w:highlight w:val="none"/>
              </w:rPr>
              <w:t>当月的社会保险凭据复印件。1.3</w:t>
            </w:r>
            <w:r>
              <w:rPr>
                <w:rFonts w:hint="eastAsia" w:ascii="宋体" w:hAnsi="宋体" w:eastAsia="宋体" w:cs="宋体"/>
                <w:color w:val="auto"/>
                <w:kern w:val="0"/>
                <w:sz w:val="24"/>
                <w:highlight w:val="none"/>
              </w:rPr>
              <w:t>递交响应文件截止时间</w:t>
            </w:r>
            <w:r>
              <w:rPr>
                <w:rFonts w:ascii="宋体" w:hAnsi="宋体" w:eastAsia="宋体" w:cs="宋体"/>
                <w:color w:val="auto"/>
                <w:kern w:val="0"/>
                <w:sz w:val="24"/>
                <w:highlight w:val="none"/>
              </w:rPr>
              <w:t>的当月成立但因税务机关/社会保障资金管理机关原因导致其尚未依法缴纳社会保障资金的</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，提供依法缴纳社会保障资金承诺书原件（格式自拟），该承诺书视同社会保险凭据。</w:t>
            </w:r>
            <w:r>
              <w:rPr>
                <w:rFonts w:hint="eastAsia" w:ascii="宋体" w:hAnsi="宋体" w:eastAsia="宋体" w:cs="宋体"/>
                <w:color w:val="auto"/>
                <w:kern w:val="0"/>
                <w:sz w:val="24"/>
                <w:highlight w:val="none"/>
              </w:rPr>
              <w:t>2</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提供的相应证明材料复印件均应符合：内容完整、清晰、整洁，并由</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加盖其单位公章。※</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应按照</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第七章规定提供。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50" w:type="pct"/>
          </w:tcPr>
          <w:p>
            <w:pPr>
              <w:widowControl/>
              <w:jc w:val="left"/>
              <w:rPr>
                <w:color w:val="auto"/>
                <w:highlight w:val="none"/>
              </w:rPr>
            </w:pPr>
            <w:r>
              <w:rPr>
                <w:rFonts w:ascii="宋体" w:hAnsi="宋体" w:eastAsia="宋体" w:cs="宋体"/>
                <w:color w:val="auto"/>
                <w:kern w:val="0"/>
                <w:sz w:val="24"/>
                <w:highlight w:val="none"/>
              </w:rPr>
              <w:t>具备履行合同所必需设备和专业技术能力的声明函（若有）</w:t>
            </w:r>
          </w:p>
        </w:tc>
        <w:tc>
          <w:tcPr>
            <w:tcW w:w="2749" w:type="pct"/>
          </w:tcPr>
          <w:p>
            <w:pPr>
              <w:widowControl/>
              <w:jc w:val="left"/>
              <w:rPr>
                <w:color w:val="auto"/>
                <w:highlight w:val="none"/>
              </w:rPr>
            </w:pPr>
            <w:r>
              <w:rPr>
                <w:rFonts w:ascii="宋体" w:hAnsi="宋体" w:eastAsia="宋体" w:cs="宋体"/>
                <w:color w:val="auto"/>
                <w:kern w:val="0"/>
                <w:sz w:val="24"/>
                <w:highlight w:val="none"/>
              </w:rPr>
              <w:t>1、</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未要求</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提供“具备履行合同所必需的设备和专业技术能力专项证明材料”的，</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应提供本声明函。2、</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要求</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提供“具备履行合同所必需的设备和专业技术能力专项证明材料”的，</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可不提供本声明函。3、纸质</w:t>
            </w:r>
            <w:r>
              <w:rPr>
                <w:rFonts w:hint="eastAsia" w:ascii="宋体" w:hAnsi="宋体" w:eastAsia="宋体" w:cs="宋体"/>
                <w:color w:val="auto"/>
                <w:kern w:val="0"/>
                <w:sz w:val="24"/>
                <w:highlight w:val="none"/>
              </w:rPr>
              <w:t>响应文件</w:t>
            </w:r>
            <w:r>
              <w:rPr>
                <w:rFonts w:ascii="宋体" w:hAnsi="宋体" w:eastAsia="宋体" w:cs="宋体"/>
                <w:color w:val="auto"/>
                <w:kern w:val="0"/>
                <w:sz w:val="24"/>
                <w:highlight w:val="none"/>
              </w:rPr>
              <w:t>正本中的本声明函（若有）应为原件。※</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应按照</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第七章规定提供。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ascii="宋体" w:hAnsi="宋体" w:eastAsia="宋体" w:cs="宋体"/>
                <w:color w:val="auto"/>
                <w:kern w:val="0"/>
                <w:sz w:val="24"/>
                <w:highlight w:val="none"/>
              </w:rPr>
              <w:t>参加采购活动前三年内在经营活动中没有重大违法记录书面声明</w:t>
            </w:r>
          </w:p>
        </w:tc>
        <w:tc>
          <w:tcPr>
            <w:tcW w:w="0" w:type="auto"/>
          </w:tcPr>
          <w:p>
            <w:pPr>
              <w:widowControl/>
              <w:jc w:val="left"/>
              <w:rPr>
                <w:color w:val="auto"/>
                <w:highlight w:val="none"/>
              </w:rPr>
            </w:pPr>
            <w:r>
              <w:rPr>
                <w:rFonts w:ascii="宋体" w:hAnsi="宋体" w:eastAsia="宋体" w:cs="宋体"/>
                <w:color w:val="auto"/>
                <w:kern w:val="0"/>
                <w:sz w:val="24"/>
                <w:highlight w:val="none"/>
              </w:rPr>
              <w:t>1、</w:t>
            </w:r>
            <w:r>
              <w:rPr>
                <w:rFonts w:hint="eastAsia" w:ascii="宋体" w:hAnsi="宋体" w:eastAsia="宋体" w:cs="宋体"/>
                <w:color w:val="auto"/>
                <w:kern w:val="0"/>
                <w:sz w:val="24"/>
                <w:highlight w:val="none"/>
              </w:rPr>
              <w:t>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2</w:t>
            </w:r>
            <w:r>
              <w:rPr>
                <w:rFonts w:ascii="宋体" w:hAnsi="宋体" w:eastAsia="宋体" w:cs="宋体"/>
                <w:color w:val="auto"/>
                <w:kern w:val="0"/>
                <w:sz w:val="24"/>
                <w:highlight w:val="none"/>
              </w:rPr>
              <w:t>、纸质</w:t>
            </w:r>
            <w:r>
              <w:rPr>
                <w:rFonts w:hint="eastAsia" w:ascii="宋体" w:hAnsi="宋体" w:eastAsia="宋体" w:cs="宋体"/>
                <w:color w:val="auto"/>
                <w:kern w:val="0"/>
                <w:sz w:val="24"/>
                <w:highlight w:val="none"/>
              </w:rPr>
              <w:t>响应文件</w:t>
            </w:r>
            <w:r>
              <w:rPr>
                <w:rFonts w:ascii="宋体" w:hAnsi="宋体" w:eastAsia="宋体" w:cs="宋体"/>
                <w:color w:val="auto"/>
                <w:kern w:val="0"/>
                <w:sz w:val="24"/>
                <w:highlight w:val="none"/>
              </w:rPr>
              <w:t>正本中的本声明应为原件。※</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应按照</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第七章规定提供。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ascii="宋体" w:hAnsi="宋体" w:eastAsia="宋体" w:cs="宋体"/>
                <w:color w:val="auto"/>
                <w:kern w:val="0"/>
                <w:sz w:val="24"/>
                <w:highlight w:val="none"/>
              </w:rPr>
              <w:t>信用记录查询结果</w:t>
            </w:r>
          </w:p>
        </w:tc>
        <w:tc>
          <w:tcPr>
            <w:tcW w:w="0" w:type="auto"/>
          </w:tcPr>
          <w:p>
            <w:pPr>
              <w:widowControl/>
              <w:jc w:val="left"/>
              <w:rPr>
                <w:color w:val="auto"/>
                <w:highlight w:val="none"/>
              </w:rPr>
            </w:pPr>
            <w:r>
              <w:rPr>
                <w:rFonts w:hint="eastAsia" w:ascii="宋体" w:hAnsi="宋体" w:eastAsia="宋体" w:cs="宋体"/>
                <w:color w:val="auto"/>
                <w:kern w:val="0"/>
                <w:sz w:val="24"/>
                <w:highlight w:val="none"/>
              </w:rPr>
              <w:t>1、信用记录查询的截止时点：信用记录查询的截止时点为本项目递交响应文件截止时间当日。 2、信用记录查询渠道：信用中国（www.creditchina.gov.cn）、中国政府采购网（www.ccgp.gov.cn）。 3、信用记录的查询：由资格审查小组通过上述网站查询并打印供应商的信用记录。 4、经查询，供应商参加本项目采购活动(递交响应文件截止时间)前三年内被列入失信被执行人名单、重大税收违法失信主体、政府采购严重违法失信行为记录名单及其他重大违法记录且相关信用惩戒期限未满的，其资格审查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ascii="宋体" w:hAnsi="宋体" w:eastAsia="宋体" w:cs="宋体"/>
                <w:color w:val="auto"/>
                <w:kern w:val="0"/>
                <w:sz w:val="24"/>
                <w:highlight w:val="none"/>
              </w:rPr>
              <w:t>联合体协议（若有）</w:t>
            </w:r>
          </w:p>
        </w:tc>
        <w:tc>
          <w:tcPr>
            <w:tcW w:w="0" w:type="auto"/>
          </w:tcPr>
          <w:p>
            <w:pPr>
              <w:widowControl/>
              <w:jc w:val="left"/>
              <w:rPr>
                <w:color w:val="auto"/>
                <w:highlight w:val="none"/>
              </w:rPr>
            </w:pPr>
            <w:r>
              <w:rPr>
                <w:rFonts w:ascii="宋体" w:hAnsi="宋体" w:eastAsia="宋体" w:cs="宋体"/>
                <w:color w:val="auto"/>
                <w:kern w:val="0"/>
                <w:sz w:val="24"/>
                <w:highlight w:val="none"/>
              </w:rPr>
              <w:t>1、</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接受联合体</w:t>
            </w:r>
            <w:r>
              <w:rPr>
                <w:rFonts w:hint="eastAsia" w:ascii="宋体" w:hAnsi="宋体" w:eastAsia="宋体" w:cs="宋体"/>
                <w:color w:val="auto"/>
                <w:kern w:val="0"/>
                <w:sz w:val="24"/>
                <w:highlight w:val="none"/>
              </w:rPr>
              <w:t>参与征集活动</w:t>
            </w:r>
            <w:r>
              <w:rPr>
                <w:rFonts w:ascii="宋体" w:hAnsi="宋体" w:eastAsia="宋体" w:cs="宋体"/>
                <w:color w:val="auto"/>
                <w:kern w:val="0"/>
                <w:sz w:val="24"/>
                <w:highlight w:val="none"/>
              </w:rPr>
              <w:t>且</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为联合体的，</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应提供本协议；否则无须提供。2、本协议由委托代理人签字或盖章的，应按照</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第七章载明的格式提供“单位负责人授权书”。3、纸质</w:t>
            </w:r>
            <w:r>
              <w:rPr>
                <w:rFonts w:hint="eastAsia" w:ascii="宋体" w:hAnsi="宋体" w:eastAsia="宋体" w:cs="宋体"/>
                <w:color w:val="auto"/>
                <w:kern w:val="0"/>
                <w:sz w:val="24"/>
                <w:highlight w:val="none"/>
              </w:rPr>
              <w:t>响应文件</w:t>
            </w:r>
            <w:r>
              <w:rPr>
                <w:rFonts w:ascii="宋体" w:hAnsi="宋体" w:eastAsia="宋体" w:cs="宋体"/>
                <w:color w:val="auto"/>
                <w:kern w:val="0"/>
                <w:sz w:val="24"/>
                <w:highlight w:val="none"/>
              </w:rPr>
              <w:t>正本中的本协议（若有）应为原件。※</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应按照</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第七章规定提供。</w:t>
            </w:r>
          </w:p>
        </w:tc>
      </w:tr>
    </w:tbl>
    <w:p>
      <w:pPr>
        <w:widowControl/>
        <w:jc w:val="left"/>
        <w:rPr>
          <w:rFonts w:ascii="宋体" w:hAnsi="宋体" w:eastAsia="宋体" w:cs="宋体"/>
          <w:color w:val="auto"/>
          <w:kern w:val="0"/>
          <w:sz w:val="24"/>
          <w:highlight w:val="none"/>
        </w:rPr>
      </w:pPr>
    </w:p>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②.其他资格证明文件：</w:t>
      </w:r>
    </w:p>
    <w:p>
      <w:pPr>
        <w:pStyle w:val="1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包1</w:t>
      </w:r>
    </w:p>
    <w:tbl>
      <w:tblPr>
        <w:tblStyle w:val="20"/>
        <w:tblW w:w="5126" w:type="pct"/>
        <w:tblInd w:w="-111"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180"/>
        <w:gridCol w:w="506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61"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color w:val="auto"/>
                <w:highlight w:val="none"/>
              </w:rPr>
            </w:pPr>
            <w:r>
              <w:rPr>
                <w:rFonts w:ascii="宋体" w:hAnsi="宋体" w:eastAsia="宋体" w:cs="宋体"/>
                <w:b/>
                <w:bCs/>
                <w:color w:val="auto"/>
                <w:kern w:val="0"/>
                <w:sz w:val="24"/>
                <w:szCs w:val="24"/>
                <w:highlight w:val="none"/>
                <w:lang w:val="en-US" w:eastAsia="zh-CN" w:bidi="ar"/>
              </w:rPr>
              <w:t>明细</w:t>
            </w:r>
          </w:p>
        </w:tc>
        <w:tc>
          <w:tcPr>
            <w:tcW w:w="2738"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color w:val="auto"/>
                <w:highlight w:val="none"/>
              </w:rPr>
            </w:pPr>
            <w:r>
              <w:rPr>
                <w:rFonts w:ascii="宋体" w:hAnsi="宋体" w:eastAsia="宋体" w:cs="宋体"/>
                <w:b/>
                <w:bCs/>
                <w:color w:val="auto"/>
                <w:kern w:val="0"/>
                <w:sz w:val="24"/>
                <w:szCs w:val="24"/>
                <w:highlight w:val="none"/>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61"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简化资格证明材料（若有）</w:t>
            </w:r>
          </w:p>
        </w:tc>
        <w:tc>
          <w:tcPr>
            <w:tcW w:w="2738" w:type="pct"/>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20"/>
              <w:tblW w:w="500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3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根据《福州市财政局关于进一步推进政府采购领域优化营商环境工作的通知 》（榕财采[2021]52号）规定，供应商在投标（响应）时，按照规定提供相关承诺函（详见采购文件相关附件“资格承诺函”）的，无需再提交财务状况、缴纳税收和社保资金缴纳等证明材料。【注意事项：采购人有权在签订合同前要求中标供应商提供相关证明材料以核实中标供应商承诺事项的真实性。供应商应当遵循诚实守信的原则，不得作出虚假</w:t>
                  </w: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承诺，承诺不实的，属于提供虚假材料谋取中标、成交，依法追究相关的法律责任。】</w:t>
                  </w:r>
                </w:p>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供应商可自行选择是否提供本承诺函，若不提供本承诺函的，应按征集文件要求提供相应的证明材料。供应商可删减承诺事项（例：如删去承诺第1项的，则应按征集文件要求提供财务状况报告。）征集文件其他地方要求与本条款要求不一致的，以本条款要求为准。</w:t>
                  </w:r>
                </w:p>
              </w:tc>
            </w:tr>
          </w:tbl>
          <w:p>
            <w:pPr>
              <w:keepNext w:val="0"/>
              <w:keepLines w:val="0"/>
              <w:widowControl/>
              <w:suppressLineNumbers w:val="0"/>
              <w:jc w:val="left"/>
              <w:rPr>
                <w:color w:val="auto"/>
                <w:highlight w:val="none"/>
              </w:rPr>
            </w:pPr>
          </w:p>
        </w:tc>
      </w:tr>
    </w:tbl>
    <w:p>
      <w:pPr>
        <w:widowControl/>
        <w:jc w:val="left"/>
        <w:rPr>
          <w:color w:val="auto"/>
          <w:highlight w:val="none"/>
        </w:rPr>
      </w:pPr>
      <w:r>
        <w:rPr>
          <w:rFonts w:hint="eastAsia" w:ascii="宋体" w:hAnsi="宋体" w:eastAsia="宋体" w:cs="宋体"/>
          <w:color w:val="auto"/>
          <w:kern w:val="0"/>
          <w:sz w:val="24"/>
          <w:highlight w:val="none"/>
        </w:rPr>
        <w:t>  （3）响应保证金。</w:t>
      </w:r>
    </w:p>
    <w:p>
      <w:pPr>
        <w:pStyle w:val="16"/>
        <w:widowControl/>
        <w:spacing w:before="75" w:beforeAutospacing="0" w:after="75" w:afterAutospacing="0"/>
        <w:rPr>
          <w:rStyle w:val="24"/>
          <w:rFonts w:ascii="宋体" w:hAnsi="宋体" w:eastAsia="宋体" w:cs="宋体"/>
          <w:color w:val="auto"/>
          <w:highlight w:val="none"/>
        </w:rPr>
      </w:pPr>
      <w:r>
        <w:rPr>
          <w:rFonts w:hint="eastAsia" w:ascii="宋体" w:hAnsi="宋体" w:eastAsia="宋体" w:cs="宋体"/>
          <w:color w:val="auto"/>
          <w:highlight w:val="none"/>
        </w:rPr>
        <w:t>1.4有下列情形之一的，</w:t>
      </w:r>
      <w:r>
        <w:rPr>
          <w:rStyle w:val="24"/>
          <w:rFonts w:hint="eastAsia" w:ascii="宋体" w:hAnsi="宋体" w:eastAsia="宋体" w:cs="宋体"/>
          <w:color w:val="auto"/>
          <w:highlight w:val="none"/>
        </w:rPr>
        <w:t>资格审查不合格：</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  （1）一般情形：</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tcPr>
          <w:p>
            <w:pPr>
              <w:widowControl/>
              <w:jc w:val="center"/>
              <w:rPr>
                <w:b/>
                <w:bCs/>
                <w:color w:val="auto"/>
                <w:highlight w:val="none"/>
              </w:rPr>
            </w:pPr>
            <w:r>
              <w:rPr>
                <w:rFonts w:ascii="宋体" w:hAnsi="宋体" w:eastAsia="宋体" w:cs="宋体"/>
                <w:b/>
                <w:bCs/>
                <w:color w:val="auto"/>
                <w:kern w:val="0"/>
                <w:sz w:val="24"/>
                <w:highlight w:val="none"/>
              </w:rPr>
              <w:t>明细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ascii="宋体" w:hAnsi="宋体" w:eastAsia="宋体" w:cs="宋体"/>
                <w:color w:val="auto"/>
                <w:kern w:val="0"/>
                <w:sz w:val="24"/>
                <w:highlight w:val="none"/>
              </w:rPr>
              <w:t>未按照</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规定提交</w:t>
            </w:r>
            <w:r>
              <w:rPr>
                <w:rFonts w:hint="eastAsia" w:ascii="宋体" w:hAnsi="宋体" w:eastAsia="宋体" w:cs="宋体"/>
                <w:color w:val="auto"/>
                <w:kern w:val="0"/>
                <w:sz w:val="24"/>
                <w:highlight w:val="none"/>
              </w:rPr>
              <w:t>响应</w:t>
            </w:r>
            <w:r>
              <w:rPr>
                <w:rFonts w:ascii="宋体" w:hAnsi="宋体" w:eastAsia="宋体" w:cs="宋体"/>
                <w:color w:val="auto"/>
                <w:kern w:val="0"/>
                <w:sz w:val="24"/>
                <w:highlight w:val="none"/>
              </w:rPr>
              <w:t>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ascii="宋体" w:hAnsi="宋体" w:eastAsia="宋体" w:cs="宋体"/>
                <w:color w:val="auto"/>
                <w:kern w:val="0"/>
                <w:sz w:val="24"/>
                <w:highlight w:val="none"/>
              </w:rPr>
              <w:t>未按照</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规定提交</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的资格及资信文件</w:t>
            </w:r>
          </w:p>
        </w:tc>
      </w:tr>
    </w:tbl>
    <w:p>
      <w:pPr>
        <w:widowControl/>
        <w:jc w:val="left"/>
        <w:rPr>
          <w:rFonts w:ascii="宋体" w:hAnsi="宋体" w:eastAsia="宋体" w:cs="宋体"/>
          <w:color w:val="auto"/>
          <w:kern w:val="0"/>
          <w:sz w:val="24"/>
          <w:highlight w:val="none"/>
        </w:rPr>
      </w:pPr>
    </w:p>
    <w:p>
      <w:pPr>
        <w:widowControl/>
        <w:jc w:val="left"/>
        <w:rPr>
          <w:color w:val="auto"/>
          <w:highlight w:val="none"/>
        </w:rPr>
      </w:pPr>
      <w:r>
        <w:rPr>
          <w:rFonts w:hint="eastAsia" w:ascii="宋体" w:hAnsi="宋体" w:eastAsia="宋体" w:cs="宋体"/>
          <w:color w:val="auto"/>
          <w:kern w:val="0"/>
          <w:sz w:val="24"/>
          <w:highlight w:val="none"/>
        </w:rPr>
        <w:t>  （2）本项目规定的其他情形：</w:t>
      </w:r>
    </w:p>
    <w:p>
      <w:pPr>
        <w:pStyle w:val="16"/>
        <w:widowControl/>
        <w:ind w:firstLine="480"/>
        <w:rPr>
          <w:color w:val="auto"/>
          <w:highlight w:val="none"/>
        </w:rPr>
      </w:pPr>
      <w:r>
        <w:rPr>
          <w:rStyle w:val="24"/>
          <w:color w:val="auto"/>
          <w:highlight w:val="none"/>
        </w:rPr>
        <w:t>包：1</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tcPr>
          <w:p>
            <w:pPr>
              <w:widowControl/>
              <w:jc w:val="center"/>
              <w:rPr>
                <w:b/>
                <w:bCs/>
                <w:color w:val="auto"/>
                <w:highlight w:val="none"/>
              </w:rPr>
            </w:pPr>
            <w:r>
              <w:rPr>
                <w:rFonts w:ascii="宋体" w:hAnsi="宋体" w:eastAsia="宋体" w:cs="宋体"/>
                <w:b/>
                <w:bCs/>
                <w:color w:val="auto"/>
                <w:kern w:val="0"/>
                <w:sz w:val="24"/>
                <w:highlight w:val="none"/>
              </w:rPr>
              <w:t>明细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ascii="宋体" w:hAnsi="宋体" w:eastAsia="宋体" w:cs="宋体"/>
                <w:color w:val="auto"/>
                <w:kern w:val="0"/>
                <w:sz w:val="24"/>
                <w:highlight w:val="none"/>
              </w:rPr>
              <w:t>1、资格及资信证明部分中不得出现报价部分的全部或部分的报价信息（或组成资料），否则资格审查不合格。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ascii="宋体" w:hAnsi="宋体" w:eastAsia="宋体" w:cs="宋体"/>
                <w:color w:val="auto"/>
                <w:kern w:val="0"/>
                <w:sz w:val="24"/>
                <w:highlight w:val="none"/>
              </w:rPr>
              <w:t>2、所有资格证明文件应是最新、有效、完整、清晰。有年检要求的应符合规定。有变更事宜的，变更文件应附齐全，否则响应无效。资格审查小组对</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所提供的资格类文件仅负审核责任。即使</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所提交的资格类文件通过了审核，在评标过程中乃至确定</w:t>
            </w:r>
            <w:r>
              <w:rPr>
                <w:rFonts w:hint="eastAsia" w:ascii="宋体" w:hAnsi="宋体" w:eastAsia="宋体" w:cs="宋体"/>
                <w:color w:val="auto"/>
                <w:kern w:val="0"/>
                <w:sz w:val="24"/>
                <w:highlight w:val="none"/>
              </w:rPr>
              <w:t>入围供应商</w:t>
            </w:r>
            <w:r>
              <w:rPr>
                <w:rFonts w:ascii="宋体" w:hAnsi="宋体" w:eastAsia="宋体" w:cs="宋体"/>
                <w:color w:val="auto"/>
                <w:kern w:val="0"/>
                <w:sz w:val="24"/>
                <w:highlight w:val="none"/>
              </w:rPr>
              <w:t>后，如发现</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所提供的资格类文件不合法或不真实，仍可废除</w:t>
            </w:r>
            <w:r>
              <w:rPr>
                <w:rFonts w:hint="eastAsia" w:ascii="宋体" w:hAnsi="宋体" w:eastAsia="宋体" w:cs="宋体"/>
                <w:color w:val="auto"/>
                <w:kern w:val="0"/>
                <w:sz w:val="24"/>
                <w:highlight w:val="none"/>
              </w:rPr>
              <w:t>入围供应商</w:t>
            </w:r>
            <w:r>
              <w:rPr>
                <w:rFonts w:ascii="宋体" w:hAnsi="宋体" w:eastAsia="宋体" w:cs="宋体"/>
                <w:color w:val="auto"/>
                <w:kern w:val="0"/>
                <w:sz w:val="24"/>
                <w:highlight w:val="none"/>
              </w:rPr>
              <w:t>入围资格并追究</w:t>
            </w:r>
            <w:r>
              <w:rPr>
                <w:rFonts w:hint="eastAsia" w:ascii="宋体" w:hAnsi="宋体" w:eastAsia="宋体" w:cs="宋体"/>
                <w:color w:val="auto"/>
                <w:kern w:val="0"/>
                <w:sz w:val="24"/>
                <w:highlight w:val="none"/>
              </w:rPr>
              <w:t>入围供应商</w:t>
            </w:r>
            <w:r>
              <w:rPr>
                <w:rFonts w:ascii="宋体" w:hAnsi="宋体" w:eastAsia="宋体" w:cs="宋体"/>
                <w:color w:val="auto"/>
                <w:kern w:val="0"/>
                <w:sz w:val="24"/>
                <w:highlight w:val="none"/>
              </w:rPr>
              <w:t>的法律责任。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ascii="宋体" w:hAnsi="宋体" w:eastAsia="宋体" w:cs="宋体"/>
                <w:color w:val="auto"/>
                <w:kern w:val="0"/>
                <w:sz w:val="24"/>
                <w:highlight w:val="none"/>
              </w:rPr>
              <w:t>3、不满足</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第七章</w:t>
            </w:r>
            <w:r>
              <w:rPr>
                <w:rFonts w:hint="eastAsia" w:ascii="宋体" w:hAnsi="宋体" w:eastAsia="宋体" w:cs="宋体"/>
                <w:color w:val="auto"/>
                <w:kern w:val="0"/>
                <w:sz w:val="24"/>
                <w:highlight w:val="none"/>
              </w:rPr>
              <w:t>响应文件</w:t>
            </w:r>
            <w:r>
              <w:rPr>
                <w:rFonts w:ascii="宋体" w:hAnsi="宋体" w:eastAsia="宋体" w:cs="宋体"/>
                <w:color w:val="auto"/>
                <w:kern w:val="0"/>
                <w:sz w:val="24"/>
                <w:highlight w:val="none"/>
              </w:rPr>
              <w:t>格式“资格及资信证明部分”中“★注意”事项的。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ascii="宋体" w:hAnsi="宋体" w:eastAsia="宋体" w:cs="宋体"/>
                <w:color w:val="auto"/>
                <w:kern w:val="0"/>
                <w:sz w:val="24"/>
                <w:highlight w:val="none"/>
              </w:rPr>
              <w:t>4、</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规定的其他响应无效情形。</w:t>
            </w:r>
          </w:p>
        </w:tc>
      </w:tr>
    </w:tbl>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1.5若本项目接受联合体参与征集活动且供应商为联合体，联合体中有同类资质的供应商按照联合体分工承担相同工作的，应先按照资质等级较低的供应商确定资质等级，再按照本章第</w:t>
      </w:r>
      <w:r>
        <w:rPr>
          <w:rFonts w:ascii="Calibri" w:hAnsi="Calibri" w:cs="Calibri"/>
          <w:color w:val="auto"/>
          <w:highlight w:val="none"/>
        </w:rPr>
        <w:t>1.2</w:t>
      </w:r>
      <w:r>
        <w:rPr>
          <w:rFonts w:hint="eastAsia" w:ascii="宋体" w:hAnsi="宋体" w:eastAsia="宋体" w:cs="宋体"/>
          <w:color w:val="auto"/>
          <w:highlight w:val="none"/>
        </w:rPr>
        <w:t>、</w:t>
      </w:r>
      <w:r>
        <w:rPr>
          <w:rFonts w:ascii="Calibri" w:hAnsi="Calibri" w:cs="Calibri"/>
          <w:color w:val="auto"/>
          <w:highlight w:val="none"/>
        </w:rPr>
        <w:t>1.3</w:t>
      </w:r>
      <w:r>
        <w:rPr>
          <w:rFonts w:hint="eastAsia" w:ascii="宋体" w:hAnsi="宋体" w:eastAsia="宋体" w:cs="宋体"/>
          <w:color w:val="auto"/>
          <w:highlight w:val="none"/>
        </w:rPr>
        <w:t>、</w:t>
      </w:r>
      <w:r>
        <w:rPr>
          <w:rFonts w:ascii="Calibri" w:hAnsi="Calibri" w:cs="Calibri"/>
          <w:color w:val="auto"/>
          <w:highlight w:val="none"/>
        </w:rPr>
        <w:t>1.4</w:t>
      </w:r>
      <w:r>
        <w:rPr>
          <w:rFonts w:hint="eastAsia" w:ascii="宋体" w:hAnsi="宋体" w:eastAsia="宋体" w:cs="宋体"/>
          <w:color w:val="auto"/>
          <w:highlight w:val="none"/>
        </w:rPr>
        <w:t>条规定进行资格审查。</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2、资格审查情况不得私自外泄，有关信息由</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统一对外发布。</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3、资格审查合格的供应商不足</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家的，不进行评标。同时，本次采购活动结束，</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将依法组织后续采购活动（包括但不限于：重新征集供应商、采用其他方式采购等）。</w:t>
      </w:r>
    </w:p>
    <w:p>
      <w:pPr>
        <w:pStyle w:val="16"/>
        <w:widowControl/>
        <w:spacing w:before="75" w:beforeAutospacing="0" w:after="75" w:afterAutospacing="0"/>
        <w:rPr>
          <w:color w:val="auto"/>
          <w:highlight w:val="none"/>
        </w:rPr>
      </w:pPr>
      <w:r>
        <w:rPr>
          <w:color w:val="auto"/>
          <w:highlight w:val="none"/>
        </w:rPr>
        <w:t> </w:t>
      </w:r>
    </w:p>
    <w:p>
      <w:pPr>
        <w:pStyle w:val="16"/>
        <w:widowControl/>
        <w:spacing w:before="75" w:beforeAutospacing="0" w:after="75" w:afterAutospacing="0"/>
        <w:jc w:val="center"/>
        <w:rPr>
          <w:color w:val="auto"/>
          <w:highlight w:val="none"/>
        </w:rPr>
      </w:pPr>
      <w:r>
        <w:rPr>
          <w:rStyle w:val="24"/>
          <w:rFonts w:hint="eastAsia" w:ascii="宋体" w:hAnsi="宋体" w:eastAsia="宋体" w:cs="宋体"/>
          <w:color w:val="auto"/>
          <w:highlight w:val="none"/>
        </w:rPr>
        <w:t>二、评标</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4、资格审查结束后，由</w:t>
      </w:r>
      <w:r>
        <w:rPr>
          <w:rFonts w:hint="eastAsia" w:ascii="宋体" w:hAnsi="宋体" w:eastAsia="宋体" w:cs="宋体"/>
          <w:color w:val="auto"/>
          <w:highlight w:val="none"/>
          <w:lang w:eastAsia="zh-CN"/>
        </w:rPr>
        <w:t>福建康泰招标有限公司</w:t>
      </w:r>
      <w:r>
        <w:rPr>
          <w:rFonts w:hint="eastAsia" w:ascii="宋体" w:hAnsi="宋体" w:eastAsia="宋体" w:cs="宋体"/>
          <w:color w:val="auto"/>
          <w:highlight w:val="none"/>
        </w:rPr>
        <w:t>负责评审小组的组建及评标工作的组织。</w:t>
      </w:r>
    </w:p>
    <w:p>
      <w:pPr>
        <w:pStyle w:val="16"/>
        <w:widowControl/>
        <w:spacing w:before="75" w:beforeAutospacing="0" w:after="75" w:afterAutospacing="0"/>
        <w:rPr>
          <w:rFonts w:eastAsia="宋体"/>
          <w:color w:val="auto"/>
          <w:highlight w:val="none"/>
        </w:rPr>
      </w:pPr>
      <w:r>
        <w:rPr>
          <w:rFonts w:hint="eastAsia" w:ascii="宋体" w:hAnsi="宋体" w:eastAsia="宋体" w:cs="宋体"/>
          <w:color w:val="auto"/>
          <w:highlight w:val="none"/>
        </w:rPr>
        <w:t>5、评审小组</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5.1评审小组由征集人代表和评标专家两部分共</w:t>
      </w:r>
      <w:r>
        <w:rPr>
          <w:rFonts w:hint="eastAsia" w:ascii="宋体" w:hAnsi="宋体" w:eastAsia="宋体" w:cs="宋体"/>
          <w:color w:val="auto"/>
          <w:highlight w:val="none"/>
          <w:u w:val="single"/>
        </w:rPr>
        <w:t>5</w:t>
      </w:r>
      <w:r>
        <w:rPr>
          <w:rFonts w:hint="eastAsia" w:ascii="宋体" w:hAnsi="宋体" w:eastAsia="宋体" w:cs="宋体"/>
          <w:color w:val="auto"/>
          <w:highlight w:val="none"/>
        </w:rPr>
        <w:t>人（以下简称“评委”）组成，其中：由征集人派出的征集人代表</w:t>
      </w:r>
      <w:r>
        <w:rPr>
          <w:rFonts w:hint="eastAsia" w:ascii="宋体" w:hAnsi="宋体" w:eastAsia="宋体" w:cs="宋体"/>
          <w:color w:val="auto"/>
          <w:highlight w:val="none"/>
          <w:u w:val="single"/>
        </w:rPr>
        <w:t>1</w:t>
      </w:r>
      <w:r>
        <w:rPr>
          <w:rFonts w:hint="eastAsia" w:ascii="宋体" w:hAnsi="宋体" w:eastAsia="宋体" w:cs="宋体"/>
          <w:color w:val="auto"/>
          <w:highlight w:val="none"/>
        </w:rPr>
        <w:t>人，由福建省政府采购评审专家库产生的评标专家</w:t>
      </w:r>
      <w:r>
        <w:rPr>
          <w:rFonts w:hint="eastAsia" w:ascii="宋体" w:hAnsi="宋体" w:eastAsia="宋体" w:cs="宋体"/>
          <w:color w:val="auto"/>
          <w:highlight w:val="none"/>
          <w:u w:val="single"/>
        </w:rPr>
        <w:t>4</w:t>
      </w:r>
      <w:r>
        <w:rPr>
          <w:rFonts w:hint="eastAsia" w:ascii="宋体" w:hAnsi="宋体" w:eastAsia="宋体" w:cs="宋体"/>
          <w:color w:val="auto"/>
          <w:highlight w:val="none"/>
        </w:rPr>
        <w:t>人。</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5.2评审小组负责具体评标事务，并按照下列原则依法独立履行有关职责：</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（1）评标应保护国家利益、社会公共利益和各方当事人合法权益，提高采购效益，保证项目质量。</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（2）评标应遵循公平、公正、科学、严谨和择优原则。</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（3）评标的依据是征集文件和响应文件。</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（4）应按照征集文件规定推荐入围候选供应商或确定入围供应商。</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（5）评标应遵守下列评标纪律：</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①评标情况不得私自外泄，有关信息由</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统一对外发布。</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②对</w:t>
      </w:r>
      <w:r>
        <w:rPr>
          <w:rFonts w:hint="eastAsia" w:ascii="宋体" w:hAnsi="宋体" w:eastAsia="宋体" w:cs="宋体"/>
          <w:color w:val="auto"/>
          <w:highlight w:val="none"/>
          <w:u w:val="single"/>
          <w:lang w:eastAsia="zh-CN"/>
        </w:rPr>
        <w:t>福建康泰招标有限公司</w:t>
      </w:r>
      <w:r>
        <w:rPr>
          <w:rFonts w:hint="eastAsia" w:ascii="宋体" w:hAnsi="宋体" w:eastAsia="宋体" w:cs="宋体"/>
          <w:color w:val="auto"/>
          <w:highlight w:val="none"/>
        </w:rPr>
        <w:t>或供应商提供的要求保密的资料，不得摘记翻印和外传。</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③不得收受供应商或有关人员的任何礼物，不得串联鼓动其他人袒护某供应商。若与供应商存在利害关系，则应主动声明并回避。</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④全体评委应按照征集文件规定进行评标，一切认定事项应查有实据且不得弄虚作假。</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⑤评标中应充分发扬民主，推荐入围候选供应商或确定入围供应商后要服从评标报告。</w:t>
      </w:r>
    </w:p>
    <w:p>
      <w:pPr>
        <w:pStyle w:val="16"/>
        <w:widowControl/>
        <w:spacing w:before="75" w:beforeAutospacing="0" w:after="75" w:afterAutospacing="0"/>
        <w:ind w:firstLine="480"/>
        <w:rPr>
          <w:color w:val="auto"/>
          <w:highlight w:val="none"/>
        </w:rPr>
      </w:pPr>
      <w:r>
        <w:rPr>
          <w:rStyle w:val="24"/>
          <w:rFonts w:hint="eastAsia" w:ascii="宋体" w:hAnsi="宋体" w:eastAsia="宋体" w:cs="宋体"/>
          <w:color w:val="auto"/>
          <w:highlight w:val="none"/>
        </w:rPr>
        <w:t>※对违反评标纪律的评委，将取消其评委资格，对评标工作造成严重损失者将予以通报批评乃至追究法律责任。</w:t>
      </w:r>
    </w:p>
    <w:p>
      <w:pPr>
        <w:pStyle w:val="16"/>
        <w:widowControl/>
        <w:numPr>
          <w:ilvl w:val="0"/>
          <w:numId w:val="1"/>
        </w:numPr>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评标程序</w:t>
      </w:r>
    </w:p>
    <w:p>
      <w:pPr>
        <w:rPr>
          <w:color w:val="auto"/>
          <w:highlight w:val="none"/>
        </w:rPr>
      </w:pP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6.1评标前的准备工作</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（1）全体评委应认真审阅征集文件，了解评委应履行或遵守的职责、义务和评标纪律。</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（2）参加评审小组的征集人代表可对本项目的背景和采购需求进行介绍，介绍材料应以书面形式提交（随采购文件一并存档），介绍内容不得含有歧视性、倾向性意见，不得超出征集文件所述范围。</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6.2符合性审查</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（1）评审小组依据征集文件的实质性要求，对通过资格审查的响应文件进行符合性审查，以确定其是否满足征集文件的实质性要求。</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（2）满足征集文件的实质性要求指响应文件对征集文件实质性要求的响应不存在重大偏差或保留。</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3）重大偏差或保留指影响到征集文件规定的合同范围、合同履行及影响关键质量和性能，或限制了征集人的权利，或反对、减少供应商的义务，而纠正这些重大偏差或保留将影响到其他提交实质性响应征集活动的供应商的公平竞争地位。</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4）评审小组审查判断响应文件是否满足征集文件的实质性要求仅基于响应文件本身而不寻求其他的外部证据。未满足征集文件实质性要求的响应文件将被评审小组否决（即符合性审查不合格），被否决的响应文件不能通过补充、修改（澄清、说明或补正）等方式重新成为满足征集文件实质性要求的响应文件。</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（5）评审小组对所有供应商都执行相同的程序和标准。</w:t>
      </w:r>
    </w:p>
    <w:p>
      <w:pPr>
        <w:pStyle w:val="16"/>
        <w:widowControl/>
        <w:spacing w:before="75" w:beforeAutospacing="0" w:after="75" w:afterAutospacing="0"/>
        <w:ind w:firstLine="480"/>
        <w:rPr>
          <w:rStyle w:val="24"/>
          <w:rFonts w:ascii="宋体" w:hAnsi="宋体" w:eastAsia="宋体" w:cs="宋体"/>
          <w:color w:val="auto"/>
          <w:highlight w:val="none"/>
        </w:rPr>
      </w:pPr>
      <w:r>
        <w:rPr>
          <w:rFonts w:hint="eastAsia" w:ascii="宋体" w:hAnsi="宋体" w:eastAsia="宋体" w:cs="宋体"/>
          <w:color w:val="auto"/>
          <w:highlight w:val="none"/>
        </w:rPr>
        <w:t>（6）有下列情形之一的，</w:t>
      </w:r>
      <w:r>
        <w:rPr>
          <w:rStyle w:val="24"/>
          <w:rFonts w:hint="eastAsia" w:ascii="宋体" w:hAnsi="宋体" w:eastAsia="宋体" w:cs="宋体"/>
          <w:color w:val="auto"/>
          <w:highlight w:val="none"/>
        </w:rPr>
        <w:t>符合性审查不合格：</w:t>
      </w:r>
    </w:p>
    <w:p>
      <w:pPr>
        <w:rPr>
          <w:color w:val="auto"/>
          <w:highlight w:val="none"/>
        </w:rPr>
      </w:pP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①项目一般情形：</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000" w:type="pct"/>
          </w:tcPr>
          <w:p>
            <w:pPr>
              <w:widowControl/>
              <w:jc w:val="center"/>
              <w:rPr>
                <w:b/>
                <w:bCs/>
                <w:color w:val="auto"/>
                <w:highlight w:val="none"/>
              </w:rPr>
            </w:pPr>
            <w:r>
              <w:rPr>
                <w:rFonts w:ascii="宋体" w:hAnsi="宋体" w:eastAsia="宋体" w:cs="宋体"/>
                <w:b/>
                <w:bCs/>
                <w:color w:val="auto"/>
                <w:kern w:val="0"/>
                <w:sz w:val="24"/>
                <w:highlight w:val="none"/>
              </w:rPr>
              <w:t>明细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ascii="宋体" w:hAnsi="宋体" w:eastAsia="宋体" w:cs="宋体"/>
                <w:color w:val="auto"/>
                <w:kern w:val="0"/>
                <w:sz w:val="24"/>
                <w:highlight w:val="none"/>
              </w:rPr>
              <w:t>违反</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中载明“响应无效”条款的规定；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ascii="宋体" w:hAnsi="宋体" w:eastAsia="宋体" w:cs="宋体"/>
                <w:color w:val="auto"/>
                <w:kern w:val="0"/>
                <w:sz w:val="24"/>
                <w:highlight w:val="none"/>
              </w:rPr>
              <w:t>属于</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第三章第10.12条规定的响应无效情形；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hint="eastAsia" w:ascii="宋体" w:hAnsi="宋体" w:eastAsia="宋体" w:cs="宋体"/>
                <w:color w:val="auto"/>
                <w:kern w:val="0"/>
                <w:sz w:val="24"/>
                <w:highlight w:val="none"/>
              </w:rPr>
              <w:t>响应文件</w:t>
            </w:r>
            <w:r>
              <w:rPr>
                <w:rFonts w:ascii="宋体" w:hAnsi="宋体" w:eastAsia="宋体" w:cs="宋体"/>
                <w:color w:val="auto"/>
                <w:kern w:val="0"/>
                <w:sz w:val="24"/>
                <w:highlight w:val="none"/>
              </w:rPr>
              <w:t>对</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实质性要求的响应存在重大偏离或保留。</w:t>
            </w:r>
          </w:p>
        </w:tc>
      </w:tr>
    </w:tbl>
    <w:p>
      <w:pPr>
        <w:pStyle w:val="16"/>
        <w:widowControl/>
        <w:spacing w:before="75" w:beforeAutospacing="0" w:after="75" w:afterAutospacing="0"/>
        <w:ind w:firstLine="480"/>
        <w:rPr>
          <w:rFonts w:ascii="宋体" w:hAnsi="宋体" w:eastAsia="宋体" w:cs="宋体"/>
          <w:color w:val="auto"/>
          <w:highlight w:val="none"/>
        </w:rPr>
      </w:pPr>
      <w:r>
        <w:rPr>
          <w:rFonts w:hint="eastAsia" w:ascii="宋体" w:hAnsi="宋体" w:eastAsia="宋体" w:cs="宋体"/>
          <w:color w:val="auto"/>
          <w:highlight w:val="none"/>
        </w:rPr>
        <w:t>②本项目规定的其他情形：</w:t>
      </w:r>
    </w:p>
    <w:p>
      <w:pPr>
        <w:pStyle w:val="16"/>
        <w:widowControl/>
        <w:spacing w:before="75" w:beforeAutospacing="0" w:after="75" w:afterAutospacing="0"/>
        <w:ind w:firstLine="480"/>
        <w:rPr>
          <w:rFonts w:ascii="宋体" w:hAnsi="宋体" w:eastAsia="宋体" w:cs="宋体"/>
          <w:color w:val="auto"/>
          <w:highlight w:val="none"/>
        </w:rPr>
      </w:pPr>
      <w:r>
        <w:rPr>
          <w:rFonts w:hint="eastAsia" w:ascii="宋体" w:hAnsi="宋体" w:eastAsia="宋体" w:cs="宋体"/>
          <w:color w:val="auto"/>
          <w:highlight w:val="none"/>
        </w:rPr>
        <w:t>包：1</w:t>
      </w:r>
    </w:p>
    <w:p>
      <w:pPr>
        <w:pStyle w:val="16"/>
        <w:widowControl/>
        <w:spacing w:before="75" w:beforeAutospacing="0" w:after="75" w:afterAutospacing="0"/>
        <w:ind w:firstLine="480"/>
        <w:rPr>
          <w:rFonts w:ascii="宋体" w:hAnsi="宋体" w:eastAsia="宋体" w:cs="宋体"/>
          <w:color w:val="auto"/>
          <w:highlight w:val="none"/>
        </w:rPr>
      </w:pPr>
      <w:r>
        <w:rPr>
          <w:rFonts w:hint="eastAsia" w:ascii="宋体" w:hAnsi="宋体" w:eastAsia="宋体" w:cs="宋体"/>
          <w:color w:val="auto"/>
          <w:highlight w:val="none"/>
        </w:rPr>
        <w:t>包一般情形</w:t>
      </w:r>
    </w:p>
    <w:p>
      <w:pPr>
        <w:pStyle w:val="16"/>
        <w:widowControl/>
        <w:spacing w:before="75" w:beforeAutospacing="0" w:after="75" w:afterAutospacing="0"/>
        <w:ind w:firstLine="480"/>
        <w:rPr>
          <w:color w:val="auto"/>
          <w:highlight w:val="none"/>
        </w:rPr>
      </w:pPr>
      <w:r>
        <w:rPr>
          <w:rStyle w:val="24"/>
          <w:color w:val="auto"/>
          <w:highlight w:val="none"/>
        </w:rPr>
        <w:t>         无</w:t>
      </w:r>
    </w:p>
    <w:p>
      <w:pPr>
        <w:widowControl/>
        <w:jc w:val="left"/>
        <w:rPr>
          <w:color w:val="auto"/>
          <w:highlight w:val="none"/>
        </w:rPr>
      </w:pPr>
      <w:r>
        <w:rPr>
          <w:rFonts w:ascii="宋体" w:hAnsi="宋体" w:eastAsia="宋体" w:cs="宋体"/>
          <w:color w:val="auto"/>
          <w:kern w:val="0"/>
          <w:sz w:val="24"/>
          <w:highlight w:val="none"/>
        </w:rPr>
        <w:t>技术符合性</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tcPr>
          <w:p>
            <w:pPr>
              <w:widowControl/>
              <w:jc w:val="center"/>
              <w:rPr>
                <w:b/>
                <w:bCs/>
                <w:color w:val="auto"/>
                <w:highlight w:val="none"/>
              </w:rPr>
            </w:pPr>
            <w:r>
              <w:rPr>
                <w:rFonts w:ascii="宋体" w:hAnsi="宋体" w:eastAsia="宋体" w:cs="宋体"/>
                <w:b/>
                <w:bCs/>
                <w:color w:val="auto"/>
                <w:kern w:val="0"/>
                <w:sz w:val="24"/>
                <w:highlight w:val="none"/>
              </w:rPr>
              <w:t>明细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hint="eastAsia" w:ascii="宋体" w:hAnsi="宋体" w:eastAsia="宋体" w:cs="宋体"/>
                <w:color w:val="auto"/>
                <w:kern w:val="0"/>
                <w:sz w:val="24"/>
                <w:highlight w:val="none"/>
              </w:rPr>
              <w:t>1</w:t>
            </w:r>
            <w:r>
              <w:rPr>
                <w:rFonts w:ascii="宋体" w:hAnsi="宋体" w:eastAsia="宋体" w:cs="宋体"/>
                <w:color w:val="auto"/>
                <w:kern w:val="0"/>
                <w:sz w:val="24"/>
                <w:highlight w:val="none"/>
              </w:rPr>
              <w:t>、技术部分中出现报价部分的全部或部分的报价信息（或组成资料）的；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hint="eastAsia" w:ascii="宋体" w:hAnsi="宋体" w:eastAsia="宋体" w:cs="宋体"/>
                <w:color w:val="auto"/>
                <w:kern w:val="0"/>
                <w:sz w:val="24"/>
                <w:highlight w:val="none"/>
              </w:rPr>
              <w:t>2</w:t>
            </w:r>
            <w:r>
              <w:rPr>
                <w:rFonts w:ascii="宋体" w:hAnsi="宋体" w:eastAsia="宋体" w:cs="宋体"/>
                <w:color w:val="auto"/>
                <w:kern w:val="0"/>
                <w:sz w:val="24"/>
                <w:highlight w:val="none"/>
              </w:rPr>
              <w:t>、不满足</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第五章《采购内容及要求》中带★号条款的；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hint="eastAsia" w:ascii="宋体" w:hAnsi="宋体" w:eastAsia="宋体" w:cs="宋体"/>
                <w:color w:val="auto"/>
                <w:kern w:val="0"/>
                <w:sz w:val="24"/>
                <w:highlight w:val="none"/>
              </w:rPr>
              <w:t>3</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rPr>
              <w:t>供应商</w:t>
            </w:r>
            <w:r>
              <w:rPr>
                <w:rFonts w:ascii="宋体" w:hAnsi="宋体" w:eastAsia="宋体" w:cs="宋体"/>
                <w:color w:val="auto"/>
                <w:kern w:val="0"/>
                <w:sz w:val="24"/>
                <w:highlight w:val="none"/>
              </w:rPr>
              <w:t>技术部分的实际得分少于</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设定的技术部分总分50%的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hint="eastAsia" w:ascii="宋体" w:hAnsi="宋体" w:eastAsia="宋体" w:cs="宋体"/>
                <w:color w:val="auto"/>
                <w:kern w:val="0"/>
                <w:sz w:val="24"/>
                <w:highlight w:val="none"/>
              </w:rPr>
              <w:t>4</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rPr>
              <w:t>响应文件</w:t>
            </w:r>
            <w:r>
              <w:rPr>
                <w:rFonts w:ascii="宋体" w:hAnsi="宋体" w:eastAsia="宋体" w:cs="宋体"/>
                <w:color w:val="auto"/>
                <w:kern w:val="0"/>
                <w:sz w:val="24"/>
                <w:highlight w:val="none"/>
              </w:rPr>
              <w:t>中提供虚假或失实资料的；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hint="eastAsia" w:ascii="宋体" w:hAnsi="宋体" w:eastAsia="宋体" w:cs="宋体"/>
                <w:color w:val="auto"/>
                <w:kern w:val="0"/>
                <w:sz w:val="24"/>
                <w:highlight w:val="none"/>
              </w:rPr>
              <w:t>5</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规定的其他响应无效情形。</w:t>
            </w:r>
          </w:p>
        </w:tc>
      </w:tr>
    </w:tbl>
    <w:p>
      <w:pPr>
        <w:widowControl/>
        <w:jc w:val="left"/>
        <w:rPr>
          <w:rFonts w:ascii="宋体" w:hAnsi="宋体" w:eastAsia="宋体" w:cs="宋体"/>
          <w:color w:val="auto"/>
          <w:kern w:val="0"/>
          <w:sz w:val="24"/>
          <w:highlight w:val="none"/>
        </w:rPr>
      </w:pPr>
    </w:p>
    <w:p>
      <w:pPr>
        <w:widowControl/>
        <w:jc w:val="left"/>
        <w:rPr>
          <w:color w:val="auto"/>
          <w:highlight w:val="none"/>
        </w:rPr>
      </w:pPr>
      <w:r>
        <w:rPr>
          <w:rFonts w:ascii="宋体" w:hAnsi="宋体" w:eastAsia="宋体" w:cs="宋体"/>
          <w:color w:val="auto"/>
          <w:kern w:val="0"/>
          <w:sz w:val="24"/>
          <w:highlight w:val="none"/>
        </w:rPr>
        <w:t>商务符合性</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tcPr>
          <w:p>
            <w:pPr>
              <w:widowControl/>
              <w:jc w:val="center"/>
              <w:rPr>
                <w:b/>
                <w:bCs/>
                <w:color w:val="auto"/>
                <w:highlight w:val="none"/>
              </w:rPr>
            </w:pPr>
            <w:r>
              <w:rPr>
                <w:rFonts w:ascii="宋体" w:hAnsi="宋体" w:eastAsia="宋体" w:cs="宋体"/>
                <w:b/>
                <w:bCs/>
                <w:color w:val="auto"/>
                <w:kern w:val="0"/>
                <w:sz w:val="24"/>
                <w:highlight w:val="none"/>
              </w:rPr>
              <w:t>明细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ascii="宋体" w:hAnsi="宋体" w:eastAsia="宋体" w:cs="宋体"/>
                <w:color w:val="auto"/>
                <w:kern w:val="0"/>
                <w:sz w:val="24"/>
                <w:highlight w:val="none"/>
              </w:rPr>
              <w:t>1、商务部分中出现报价部分的全部或部分的报价信息（或组成资料）的；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ascii="宋体" w:hAnsi="宋体" w:eastAsia="宋体" w:cs="宋体"/>
                <w:color w:val="auto"/>
                <w:kern w:val="0"/>
                <w:sz w:val="24"/>
                <w:highlight w:val="none"/>
              </w:rPr>
              <w:t>2、不满足</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第五章《采购内容及要求》中“三、商务条件”任一条款的，响应无效，</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有不同表述的，以本条为准。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ascii="宋体" w:hAnsi="宋体" w:eastAsia="宋体" w:cs="宋体"/>
                <w:color w:val="auto"/>
                <w:kern w:val="0"/>
                <w:sz w:val="24"/>
                <w:highlight w:val="none"/>
              </w:rPr>
              <w:t>3、</w:t>
            </w:r>
            <w:r>
              <w:rPr>
                <w:rFonts w:hint="eastAsia" w:ascii="宋体" w:hAnsi="宋体" w:eastAsia="宋体" w:cs="宋体"/>
                <w:color w:val="auto"/>
                <w:kern w:val="0"/>
                <w:sz w:val="24"/>
                <w:highlight w:val="none"/>
              </w:rPr>
              <w:t>征集文件</w:t>
            </w:r>
            <w:r>
              <w:rPr>
                <w:rFonts w:ascii="宋体" w:hAnsi="宋体" w:eastAsia="宋体" w:cs="宋体"/>
                <w:color w:val="auto"/>
                <w:kern w:val="0"/>
                <w:sz w:val="24"/>
                <w:highlight w:val="none"/>
              </w:rPr>
              <w:t>规定的其他响应无效情形。</w:t>
            </w:r>
          </w:p>
        </w:tc>
      </w:tr>
    </w:tbl>
    <w:p>
      <w:pPr>
        <w:widowControl/>
        <w:jc w:val="left"/>
        <w:rPr>
          <w:rFonts w:ascii="宋体" w:hAnsi="宋体" w:eastAsia="宋体" w:cs="宋体"/>
          <w:color w:val="auto"/>
          <w:kern w:val="0"/>
          <w:sz w:val="24"/>
          <w:highlight w:val="none"/>
        </w:rPr>
      </w:pPr>
    </w:p>
    <w:p>
      <w:pPr>
        <w:widowControl/>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附加符合性</w:t>
      </w:r>
    </w:p>
    <w:p>
      <w:pPr>
        <w:widowControl/>
        <w:jc w:val="left"/>
        <w:rPr>
          <w:rStyle w:val="24"/>
          <w:rFonts w:ascii="宋体" w:hAnsi="宋体" w:eastAsia="宋体" w:cs="宋体"/>
          <w:color w:val="auto"/>
          <w:kern w:val="0"/>
          <w:sz w:val="24"/>
          <w:highlight w:val="none"/>
        </w:rPr>
      </w:pPr>
      <w:r>
        <w:rPr>
          <w:rStyle w:val="24"/>
          <w:rFonts w:ascii="宋体" w:hAnsi="宋体" w:eastAsia="宋体" w:cs="宋体"/>
          <w:color w:val="auto"/>
          <w:kern w:val="0"/>
          <w:sz w:val="24"/>
          <w:highlight w:val="none"/>
        </w:rPr>
        <w:t>  无</w:t>
      </w:r>
    </w:p>
    <w:p>
      <w:pPr>
        <w:pStyle w:val="2"/>
        <w:rPr>
          <w:color w:val="auto"/>
          <w:highlight w:val="none"/>
        </w:rPr>
      </w:pPr>
    </w:p>
    <w:p>
      <w:pPr>
        <w:widowControl/>
        <w:jc w:val="left"/>
        <w:rPr>
          <w:color w:val="auto"/>
          <w:highlight w:val="none"/>
        </w:rPr>
      </w:pPr>
      <w:r>
        <w:rPr>
          <w:rFonts w:ascii="宋体" w:hAnsi="宋体" w:eastAsia="宋体" w:cs="宋体"/>
          <w:color w:val="auto"/>
          <w:kern w:val="0"/>
          <w:sz w:val="24"/>
          <w:highlight w:val="none"/>
        </w:rPr>
        <w:t>价格符合性</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6.3澄清有关问题</w:t>
      </w:r>
    </w:p>
    <w:p>
      <w:pPr>
        <w:pStyle w:val="16"/>
        <w:widowControl/>
        <w:spacing w:before="75" w:beforeAutospacing="0" w:after="75" w:afterAutospacing="0"/>
        <w:ind w:firstLine="420"/>
        <w:rPr>
          <w:color w:val="auto"/>
          <w:highlight w:val="none"/>
        </w:rPr>
      </w:pPr>
      <w:r>
        <w:rPr>
          <w:rFonts w:hint="eastAsia" w:ascii="宋体" w:hAnsi="宋体" w:eastAsia="宋体" w:cs="宋体"/>
          <w:color w:val="auto"/>
          <w:highlight w:val="none"/>
        </w:rPr>
        <w:t>（1）对通过符合性审查的响应文件中含义不明确、同类问题表述不一致或有明显文字和计算错误的内容，评审小组将以书面形式要求供应商作出必要的澄清、说明或补正。</w:t>
      </w:r>
    </w:p>
    <w:p>
      <w:pPr>
        <w:pStyle w:val="16"/>
        <w:widowControl/>
        <w:spacing w:before="75" w:beforeAutospacing="0" w:after="75" w:afterAutospacing="0"/>
        <w:ind w:firstLine="420"/>
        <w:rPr>
          <w:color w:val="auto"/>
          <w:highlight w:val="none"/>
        </w:rPr>
      </w:pPr>
      <w:r>
        <w:rPr>
          <w:rFonts w:hint="eastAsia" w:ascii="宋体" w:hAnsi="宋体" w:eastAsia="宋体" w:cs="宋体"/>
          <w:color w:val="auto"/>
          <w:highlight w:val="none"/>
        </w:rPr>
        <w:t>（2）供应商的澄清、说明或补正应由供应商代表在评审小组规定的时间内（一般在半个小时左右，具体要求将根据实际情况在澄清通知中约定）以书面形式向评审小组提交，前述澄清、说明或补正不得超出响应文件的范围或改变响应文件的实质性内容。若供应商未按照前述规定向评审小组提交书面澄清、说明或补正，则评审小组将按照不利于供应商的内容进行认定。</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（3）响应文件报价出现前后不一致的，除征集文件另有规定外，按照下列规定修正：</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①开标一览表内容与响应文件中相应内容不一致的，以开标一览表为准；</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②大写金额和小写金额不一致的，以大写金额为准；</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③单价金额小数点或百分比有明显错位的，以开标一览表的总价为准，并修改单价；</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④总价金额与按照单价汇总金额不一致的，以单价金额计算结果为准。</w:t>
      </w:r>
    </w:p>
    <w:p>
      <w:pPr>
        <w:pStyle w:val="16"/>
        <w:widowControl/>
        <w:spacing w:before="75" w:beforeAutospacing="0" w:after="75" w:afterAutospacing="0"/>
        <w:ind w:firstLine="480"/>
        <w:rPr>
          <w:color w:val="auto"/>
          <w:highlight w:val="none"/>
        </w:rPr>
      </w:pPr>
      <w:r>
        <w:rPr>
          <w:rStyle w:val="24"/>
          <w:rFonts w:hint="eastAsia" w:ascii="宋体" w:hAnsi="宋体" w:eastAsia="宋体" w:cs="宋体"/>
          <w:color w:val="auto"/>
          <w:highlight w:val="none"/>
        </w:rPr>
        <w:t>※同时出现两种以上不一致的，按照前款规定的顺序修正。修正后的报价应按照本章第</w:t>
      </w:r>
      <w:r>
        <w:rPr>
          <w:rStyle w:val="24"/>
          <w:rFonts w:ascii="Calibri" w:hAnsi="Calibri" w:cs="Calibri"/>
          <w:color w:val="auto"/>
          <w:highlight w:val="none"/>
        </w:rPr>
        <w:t>6.3</w:t>
      </w:r>
      <w:r>
        <w:rPr>
          <w:rStyle w:val="24"/>
          <w:rFonts w:hint="eastAsia" w:ascii="宋体" w:hAnsi="宋体" w:eastAsia="宋体" w:cs="宋体"/>
          <w:color w:val="auto"/>
          <w:highlight w:val="none"/>
        </w:rPr>
        <w:t>条第（</w:t>
      </w:r>
      <w:r>
        <w:rPr>
          <w:rStyle w:val="24"/>
          <w:rFonts w:ascii="Calibri" w:hAnsi="Calibri" w:cs="Calibri"/>
          <w:color w:val="auto"/>
          <w:highlight w:val="none"/>
        </w:rPr>
        <w:t>1</w:t>
      </w:r>
      <w:r>
        <w:rPr>
          <w:rStyle w:val="24"/>
          <w:rFonts w:hint="eastAsia" w:ascii="宋体" w:hAnsi="宋体" w:eastAsia="宋体" w:cs="宋体"/>
          <w:color w:val="auto"/>
          <w:highlight w:val="none"/>
        </w:rPr>
        <w:t>）、（</w:t>
      </w:r>
      <w:r>
        <w:rPr>
          <w:rStyle w:val="24"/>
          <w:rFonts w:ascii="Calibri" w:hAnsi="Calibri" w:cs="Calibri"/>
          <w:color w:val="auto"/>
          <w:highlight w:val="none"/>
        </w:rPr>
        <w:t>2</w:t>
      </w:r>
      <w:r>
        <w:rPr>
          <w:rStyle w:val="24"/>
          <w:rFonts w:hint="eastAsia" w:ascii="宋体" w:hAnsi="宋体" w:eastAsia="宋体" w:cs="宋体"/>
          <w:color w:val="auto"/>
          <w:highlight w:val="none"/>
        </w:rPr>
        <w:t>）款规定经供应商确认后产生约束力，供应商不确认的，其响应无效。</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（4）关于细微偏差</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细微偏差指响应文件实质性响应征集文件要求，但在个别地方存在漏项或提供了不完整的技术信息和数据等情况，并且补正这些遗漏或不完整不会对其他供应商造成不公平的结果。细微偏差不影响响应文件的有效性。</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②评审小组将以书面形式要求存在细微偏差的供应商在评审小组规定的时间内予以补正。若无法补正，则评审小组将按照不利于供应商的内容进行认定。</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（5）响应文件中描述的内容</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①响应文件描述前后不一致且不涉及证明材料的：按照本章第</w:t>
      </w:r>
      <w:r>
        <w:rPr>
          <w:rFonts w:ascii="Calibri" w:hAnsi="Calibri" w:cs="Calibri"/>
          <w:color w:val="auto"/>
          <w:highlight w:val="none"/>
        </w:rPr>
        <w:t>6.3</w:t>
      </w:r>
      <w:r>
        <w:rPr>
          <w:rFonts w:hint="eastAsia" w:ascii="宋体" w:hAnsi="宋体" w:eastAsia="宋体" w:cs="宋体"/>
          <w:color w:val="auto"/>
          <w:highlight w:val="none"/>
        </w:rPr>
        <w:t>条第（</w:t>
      </w:r>
      <w:r>
        <w:rPr>
          <w:rFonts w:ascii="Calibri" w:hAnsi="Calibri" w:cs="Calibri"/>
          <w:color w:val="auto"/>
          <w:highlight w:val="none"/>
        </w:rPr>
        <w:t>1</w:t>
      </w:r>
      <w:r>
        <w:rPr>
          <w:rFonts w:hint="eastAsia" w:ascii="宋体" w:hAnsi="宋体" w:eastAsia="宋体" w:cs="宋体"/>
          <w:color w:val="auto"/>
          <w:highlight w:val="none"/>
        </w:rPr>
        <w:t>）、（</w:t>
      </w:r>
      <w:r>
        <w:rPr>
          <w:rFonts w:ascii="Calibri" w:hAnsi="Calibri" w:cs="Calibri"/>
          <w:color w:val="auto"/>
          <w:highlight w:val="none"/>
        </w:rPr>
        <w:t>2</w:t>
      </w:r>
      <w:r>
        <w:rPr>
          <w:rFonts w:hint="eastAsia" w:ascii="宋体" w:hAnsi="宋体" w:eastAsia="宋体" w:cs="宋体"/>
          <w:color w:val="auto"/>
          <w:highlight w:val="none"/>
        </w:rPr>
        <w:t>）款规定执行。</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②响应文件描述与证明材料不一致或多份证明材料之间不一致的：</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a.评审小组将要求供应商进行书面澄清，并按照不利于供应商的内容进行评标。</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b.供应商按照要求进行澄清的，征集人（采购人）以澄清内容为准进行验收；供应商未按照要求进行澄清的，征集人（采购人）以响应文件描述或证明材料中有利于征集人（采购人）的内容进行验收。供应商应对证明材料的真实性、有效性承担责任。</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③若入围供应商的响应文件描述存在前后不一致、与证明材料不一致或多份证明材料之间不一致情形之一但在评标中未能发现，则征集人（采购人）将以响应文件描述或证明材料中有利于征集人（采购人）的内容进行验收，入围供应商应自行承担由此产生的风险及费用。</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6.4比较与评价</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（1）按照本章第</w:t>
      </w:r>
      <w:r>
        <w:rPr>
          <w:rFonts w:ascii="Calibri" w:hAnsi="Calibri" w:cs="Calibri"/>
          <w:color w:val="auto"/>
          <w:highlight w:val="none"/>
        </w:rPr>
        <w:t>7</w:t>
      </w:r>
      <w:r>
        <w:rPr>
          <w:rFonts w:hint="eastAsia" w:ascii="宋体" w:hAnsi="宋体" w:eastAsia="宋体" w:cs="宋体"/>
          <w:color w:val="auto"/>
          <w:highlight w:val="none"/>
        </w:rPr>
        <w:t>条载明的评标方法和标准，对符合性审查合格的响应文件进行比较与评价。</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（2）关于相同品牌产品</w:t>
      </w:r>
      <w:r>
        <w:rPr>
          <w:rStyle w:val="24"/>
          <w:rFonts w:hint="eastAsia" w:ascii="宋体" w:hAnsi="宋体" w:eastAsia="宋体" w:cs="宋体"/>
          <w:color w:val="auto"/>
          <w:highlight w:val="none"/>
        </w:rPr>
        <w:t>（政府采购服务类项目不适用本条款规定）</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采用最低评标价法的，提供相同品牌产品的不同供应商参加同一合同项下征集活动的，以其中通过资格审查、符合性审查且报价最低的参加评标；报价相同的，由评审小组按照下列方式确定一个参加评标的供应商：</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a.征集文件规定的方式：</w:t>
      </w:r>
      <w:r>
        <w:rPr>
          <w:color w:val="auto"/>
          <w:highlight w:val="none"/>
          <w:u w:val="single"/>
        </w:rPr>
        <w:t>无。</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b.征集文件未规定的，采取随机抽取方式确定，其他</w:t>
      </w:r>
      <w:r>
        <w:rPr>
          <w:rStyle w:val="24"/>
          <w:rFonts w:hint="eastAsia" w:ascii="宋体" w:hAnsi="宋体" w:eastAsia="宋体" w:cs="宋体"/>
          <w:color w:val="auto"/>
          <w:highlight w:val="none"/>
        </w:rPr>
        <w:t>响应无效。</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采用综合评分法的，提供相同品牌产品且通过资格审查、符合性审查的不同供应商参加同一合同项下征集活动的，按一家供应商计算，评审后得分最高的同品牌供应商作为入围候选供应商推荐；评审得分相同的，由评审小组按照下列方式确定一个供应商作为入围候选供应商推荐：</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a.征集文件规定的方式：</w:t>
      </w:r>
      <w:r>
        <w:rPr>
          <w:color w:val="auto"/>
          <w:highlight w:val="none"/>
          <w:u w:val="single"/>
        </w:rPr>
        <w:t>无。</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b.征集文件未规定的，采取随机抽取方式确定，其他同品牌供应商不作为入围候选供应商。</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③非单一产品采购项目，多家供应商提供的核心产品品牌相同的，按照本章第</w:t>
      </w:r>
      <w:r>
        <w:rPr>
          <w:rFonts w:ascii="Calibri" w:hAnsi="Calibri" w:cs="Calibri"/>
          <w:color w:val="auto"/>
          <w:highlight w:val="none"/>
        </w:rPr>
        <w:t>6.4</w:t>
      </w:r>
      <w:r>
        <w:rPr>
          <w:rFonts w:hint="eastAsia" w:ascii="宋体" w:hAnsi="宋体" w:eastAsia="宋体" w:cs="宋体"/>
          <w:color w:val="auto"/>
          <w:highlight w:val="none"/>
        </w:rPr>
        <w:t>条第（</w:t>
      </w:r>
      <w:r>
        <w:rPr>
          <w:rFonts w:ascii="Calibri" w:hAnsi="Calibri" w:cs="Calibri"/>
          <w:color w:val="auto"/>
          <w:highlight w:val="none"/>
        </w:rPr>
        <w:t>2</w:t>
      </w:r>
      <w:r>
        <w:rPr>
          <w:rFonts w:hint="eastAsia" w:ascii="宋体" w:hAnsi="宋体" w:eastAsia="宋体" w:cs="宋体"/>
          <w:color w:val="auto"/>
          <w:highlight w:val="none"/>
        </w:rPr>
        <w:t>）款第①、②规定处理。</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（3）漏（缺）项</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①征集文件中要求列入报价的费用（含配置、功能），漏（缺）项的报价视为已经包括在响应总价中。</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②对多报项及赠送项的价格评标时不予核减，全部进入评标价评议。</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6.5推荐入围候选供应商：详见本章第</w:t>
      </w:r>
      <w:r>
        <w:rPr>
          <w:rFonts w:ascii="Calibri" w:hAnsi="Calibri" w:cs="Calibri"/>
          <w:color w:val="auto"/>
          <w:highlight w:val="none"/>
        </w:rPr>
        <w:t>7.2</w:t>
      </w:r>
      <w:r>
        <w:rPr>
          <w:rFonts w:hint="eastAsia" w:ascii="宋体" w:hAnsi="宋体" w:eastAsia="宋体" w:cs="宋体"/>
          <w:color w:val="auto"/>
          <w:highlight w:val="none"/>
        </w:rPr>
        <w:t>条规定。</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6.6编写评标报告</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（1）评标报告由评审小组负责编写。</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（2）评标报告应包括下列内容：</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①征集公告刊登的媒体名称、开标日期和地点；</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②供应商名单和评审小组成员名单；</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③评标方法和标准；</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④开标记录和评标情况及说明，包括无效供应商名单及原因；</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⑤评标结果，包括入围候选供应商名单或确定的入围供应商；</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⑥其他需要说明的情况，包括但不限于：评标过程中供应商的澄清、说明或补正，评委更换等。</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6.7评审小组认为供应商的报价明显低于其他通过符合性审查供应商的报价，有可能影响产品质量或不能诚信履约的，应要求其在评标现场合理的时间内提供书面说明，必要时还应要求其一并提交有关证明材料；供应商不能证明其报价合理性的，评审小组应将其作为</w:t>
      </w:r>
      <w:r>
        <w:rPr>
          <w:rStyle w:val="24"/>
          <w:rFonts w:hint="eastAsia" w:ascii="宋体" w:hAnsi="宋体" w:eastAsia="宋体" w:cs="宋体"/>
          <w:color w:val="auto"/>
          <w:highlight w:val="none"/>
        </w:rPr>
        <w:t>响应无效</w:t>
      </w:r>
      <w:r>
        <w:rPr>
          <w:rFonts w:hint="eastAsia" w:ascii="宋体" w:hAnsi="宋体" w:eastAsia="宋体" w:cs="宋体"/>
          <w:color w:val="auto"/>
          <w:highlight w:val="none"/>
        </w:rPr>
        <w:t>处理。</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6.8评委对需要共同认定的事项存在争议的，应按照少数服从多数的原则进行认定。</w:t>
      </w:r>
      <w:r>
        <w:rPr>
          <w:rStyle w:val="24"/>
          <w:rFonts w:hint="eastAsia" w:ascii="宋体" w:hAnsi="宋体" w:eastAsia="宋体" w:cs="宋体"/>
          <w:color w:val="auto"/>
          <w:highlight w:val="none"/>
        </w:rPr>
        <w:t>持不同意见的评委应在评标报告上签署不同意见及理由，否则视为同意评标报告。</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6.9在评标过程中发现供应商有下列情形之一的，评审小组应认定其</w:t>
      </w:r>
      <w:r>
        <w:rPr>
          <w:rStyle w:val="24"/>
          <w:rFonts w:hint="eastAsia" w:ascii="宋体" w:hAnsi="宋体" w:eastAsia="宋体" w:cs="宋体"/>
          <w:color w:val="auto"/>
          <w:highlight w:val="none"/>
        </w:rPr>
        <w:t>响应无效</w:t>
      </w:r>
      <w:r>
        <w:rPr>
          <w:rFonts w:hint="eastAsia" w:ascii="宋体" w:hAnsi="宋体" w:eastAsia="宋体" w:cs="宋体"/>
          <w:color w:val="auto"/>
          <w:highlight w:val="none"/>
        </w:rPr>
        <w:t>，并书面报告本项目监督管理部门：</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（1）恶意串通（包括但不限于征集文件第三章第</w:t>
      </w:r>
      <w:r>
        <w:rPr>
          <w:rFonts w:ascii="Calibri" w:hAnsi="Calibri" w:cs="Calibri"/>
          <w:color w:val="auto"/>
          <w:highlight w:val="none"/>
        </w:rPr>
        <w:t>9.7</w:t>
      </w:r>
      <w:r>
        <w:rPr>
          <w:rFonts w:hint="eastAsia" w:ascii="宋体" w:hAnsi="宋体" w:eastAsia="宋体" w:cs="宋体"/>
          <w:color w:val="auto"/>
          <w:highlight w:val="none"/>
        </w:rPr>
        <w:t>条规定情形）；</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（2）妨碍其他供应商的竞争行为；</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（3）损害采购人或其他供应商的合法权益。</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6.10评标过程中，有下列情形之一的，应予废标：</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（1）符合性审查合格的供应商不足</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家的；</w:t>
      </w:r>
    </w:p>
    <w:p>
      <w:pPr>
        <w:pStyle w:val="16"/>
        <w:widowControl/>
        <w:spacing w:before="75" w:beforeAutospacing="0" w:after="75" w:afterAutospacing="0"/>
        <w:ind w:firstLine="480"/>
        <w:rPr>
          <w:color w:val="auto"/>
          <w:highlight w:val="none"/>
        </w:rPr>
      </w:pPr>
      <w:r>
        <w:rPr>
          <w:rFonts w:hint="eastAsia" w:ascii="宋体" w:hAnsi="宋体" w:eastAsia="宋体" w:cs="宋体"/>
          <w:color w:val="auto"/>
          <w:highlight w:val="none"/>
        </w:rPr>
        <w:t>（2）有关法律、法规和规章规定废标的情形。</w:t>
      </w:r>
    </w:p>
    <w:p>
      <w:pPr>
        <w:pStyle w:val="16"/>
        <w:widowControl/>
        <w:spacing w:before="75" w:beforeAutospacing="0" w:after="75" w:afterAutospacing="0"/>
        <w:ind w:firstLine="480"/>
        <w:rPr>
          <w:color w:val="auto"/>
          <w:highlight w:val="none"/>
        </w:rPr>
      </w:pPr>
      <w:r>
        <w:rPr>
          <w:rStyle w:val="24"/>
          <w:rFonts w:hint="eastAsia" w:ascii="宋体" w:hAnsi="宋体" w:eastAsia="宋体" w:cs="宋体"/>
          <w:color w:val="auto"/>
          <w:highlight w:val="none"/>
        </w:rPr>
        <w:t>※若废标，则本次采购活动结束，</w:t>
      </w:r>
      <w:r>
        <w:rPr>
          <w:rFonts w:hint="eastAsia" w:ascii="宋体" w:hAnsi="宋体" w:eastAsia="宋体" w:cs="宋体"/>
          <w:color w:val="auto"/>
          <w:highlight w:val="none"/>
          <w:u w:val="single"/>
          <w:lang w:eastAsia="zh-CN"/>
        </w:rPr>
        <w:t>福建康泰招标有限公司</w:t>
      </w:r>
      <w:r>
        <w:rPr>
          <w:rStyle w:val="24"/>
          <w:rFonts w:hint="eastAsia" w:ascii="宋体" w:hAnsi="宋体" w:eastAsia="宋体" w:cs="宋体"/>
          <w:color w:val="auto"/>
          <w:highlight w:val="none"/>
        </w:rPr>
        <w:t>将依法组织后续采购活动（包括但不限于：重新征集供应商、采用其他方式采购等）。</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7、确定第一阶段入围供应商的评标方法和标准</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7.1评标方法：</w:t>
      </w:r>
      <w:r>
        <w:rPr>
          <w:color w:val="auto"/>
          <w:highlight w:val="none"/>
        </w:rPr>
        <w:t> 合同包1采用</w:t>
      </w:r>
      <w:r>
        <w:rPr>
          <w:rFonts w:hint="eastAsia"/>
          <w:color w:val="auto"/>
          <w:highlight w:val="none"/>
        </w:rPr>
        <w:t>质量优先法</w:t>
      </w:r>
      <w:r>
        <w:rPr>
          <w:color w:val="auto"/>
          <w:highlight w:val="none"/>
        </w:rPr>
        <w:t>。</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7.2评标标准</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6"/>
        <w:widowControl/>
        <w:shd w:val="clear" w:color="auto" w:fill="FFFFFF"/>
        <w:spacing w:beforeAutospacing="0" w:after="150" w:afterAutospacing="0"/>
        <w:rPr>
          <w:rFonts w:ascii="微软雅黑" w:hAnsi="微软雅黑" w:eastAsia="微软雅黑" w:cs="微软雅黑"/>
          <w:color w:val="auto"/>
          <w:sz w:val="19"/>
          <w:szCs w:val="19"/>
          <w:highlight w:val="none"/>
        </w:rPr>
      </w:pPr>
      <w:r>
        <w:rPr>
          <w:rStyle w:val="24"/>
          <w:rFonts w:hint="eastAsia" w:ascii="宋体" w:hAnsi="宋体" w:eastAsia="宋体" w:cs="宋体"/>
          <w:color w:val="auto"/>
          <w:highlight w:val="none"/>
          <w:shd w:val="clear" w:color="auto" w:fill="FFFFFF"/>
        </w:rPr>
        <w:t>合同包1采用</w:t>
      </w:r>
      <w:r>
        <w:rPr>
          <w:rFonts w:hint="eastAsia"/>
          <w:b/>
          <w:color w:val="auto"/>
          <w:highlight w:val="none"/>
        </w:rPr>
        <w:t>质量优先法</w:t>
      </w:r>
      <w:r>
        <w:rPr>
          <w:rFonts w:hint="eastAsia" w:ascii="宋体" w:hAnsi="宋体" w:eastAsia="宋体" w:cs="宋体"/>
          <w:color w:val="auto"/>
          <w:highlight w:val="none"/>
          <w:shd w:val="clear" w:color="auto" w:fill="FFFFFF"/>
        </w:rPr>
        <w:t>：</w:t>
      </w:r>
    </w:p>
    <w:p>
      <w:pPr>
        <w:pStyle w:val="16"/>
        <w:widowControl/>
        <w:spacing w:before="100" w:after="100"/>
        <w:ind w:firstLine="480"/>
        <w:rPr>
          <w:color w:val="auto"/>
          <w:highlight w:val="none"/>
        </w:rPr>
      </w:pPr>
      <w:r>
        <w:rPr>
          <w:rFonts w:hint="eastAsia" w:ascii="宋体" w:hAnsi="宋体" w:eastAsia="宋体" w:cs="宋体"/>
          <w:color w:val="auto"/>
          <w:highlight w:val="none"/>
        </w:rPr>
        <w:t>（1）</w:t>
      </w:r>
      <w:r>
        <w:rPr>
          <w:rFonts w:hint="eastAsia"/>
          <w:color w:val="auto"/>
          <w:highlight w:val="none"/>
        </w:rPr>
        <w:t>对满足采购需求且响应报价不超过最高限制单价的货物、服务进行质量综合评分，按照质量评分从高到低排序，根据征集文件规定的淘汰率或者入围供应商数量上限，确定入围供应商的评审方法。</w:t>
      </w:r>
    </w:p>
    <w:p>
      <w:pPr>
        <w:ind w:firstLine="480" w:firstLineChars="200"/>
        <w:rPr>
          <w:rFonts w:cs="Times New Roman"/>
          <w:color w:val="auto"/>
          <w:kern w:val="0"/>
          <w:sz w:val="24"/>
          <w:highlight w:val="none"/>
        </w:rPr>
      </w:pPr>
      <w:r>
        <w:rPr>
          <w:rFonts w:hint="eastAsia" w:cs="Times New Roman"/>
          <w:color w:val="auto"/>
          <w:kern w:val="0"/>
          <w:sz w:val="24"/>
          <w:highlight w:val="none"/>
        </w:rPr>
        <w:t>（2）根据《政府采购框架协议采购方式管理暂行办法》“确定第一阶段入围供应商时，提交响应文件和符合资格条件、实质性要求的供应商应当均不少于2家，淘汰比例一般不得低于20%，且至少淘汰一家供应商。”的原则，本项目提交响应文件和符合资格条件、实质性要求的供应商不得少于</w:t>
      </w:r>
      <w:r>
        <w:rPr>
          <w:rFonts w:hint="eastAsia" w:cs="Times New Roman"/>
          <w:color w:val="auto"/>
          <w:kern w:val="0"/>
          <w:sz w:val="24"/>
          <w:highlight w:val="none"/>
          <w:lang w:val="en-US" w:eastAsia="zh-CN"/>
        </w:rPr>
        <w:t>3</w:t>
      </w:r>
      <w:r>
        <w:rPr>
          <w:rFonts w:hint="eastAsia" w:cs="Times New Roman"/>
          <w:color w:val="auto"/>
          <w:kern w:val="0"/>
          <w:sz w:val="24"/>
          <w:highlight w:val="none"/>
        </w:rPr>
        <w:t>家，有效投标人为3家的取2家；有效投标人为4家的取3家；有效投标人为5家的取4家；有效投标人为6家的取4家；有效投标人为7家的取5家；有效投标人为8家的取6家；有效投标人为9家的取7家；有效投标人为10家的取8家；有效投标人为11家的取8家；有效投标人为12家的取9家；有效投标人为13家的取10家；有效投标人为14家的取11家；有效投标人为15家及以上的取12家</w:t>
      </w:r>
      <w:r>
        <w:rPr>
          <w:rFonts w:hint="eastAsia" w:cs="Times New Roman"/>
          <w:color w:val="auto"/>
          <w:kern w:val="0"/>
          <w:sz w:val="24"/>
          <w:highlight w:val="none"/>
          <w:lang w:val="en-US" w:eastAsia="zh-CN"/>
        </w:rPr>
        <w:t>；其余淘汰。</w:t>
      </w:r>
      <w:r>
        <w:rPr>
          <w:rFonts w:hint="eastAsia" w:cs="Times New Roman"/>
          <w:color w:val="auto"/>
          <w:kern w:val="0"/>
          <w:sz w:val="24"/>
          <w:highlight w:val="none"/>
        </w:rPr>
        <w:t>按照评标总得分（FA）由高到低顺序排列。如出现有效投标人评标总得分相同的，采用随机抽取的方式决定</w:t>
      </w:r>
      <w:r>
        <w:rPr>
          <w:rFonts w:hint="eastAsia" w:cs="Times New Roman"/>
          <w:color w:val="auto"/>
          <w:kern w:val="0"/>
          <w:sz w:val="24"/>
          <w:highlight w:val="none"/>
          <w:lang w:val="en-US" w:eastAsia="zh-CN"/>
        </w:rPr>
        <w:t>入围</w:t>
      </w:r>
      <w:r>
        <w:rPr>
          <w:rFonts w:hint="eastAsia" w:cs="Times New Roman"/>
          <w:color w:val="auto"/>
          <w:kern w:val="0"/>
          <w:sz w:val="24"/>
          <w:highlight w:val="none"/>
        </w:rPr>
        <w:t>候选人。</w:t>
      </w:r>
    </w:p>
    <w:p>
      <w:pPr>
        <w:pStyle w:val="16"/>
        <w:widowControl/>
        <w:spacing w:before="100" w:after="100"/>
        <w:ind w:firstLine="480"/>
        <w:rPr>
          <w:color w:val="auto"/>
          <w:highlight w:val="none"/>
        </w:rPr>
      </w:pPr>
      <w:r>
        <w:rPr>
          <w:rFonts w:hint="eastAsia"/>
          <w:color w:val="auto"/>
          <w:highlight w:val="none"/>
        </w:rPr>
        <w:t>（3）每个供应商的评标总得分</w:t>
      </w:r>
      <w:r>
        <w:rPr>
          <w:color w:val="auto"/>
          <w:highlight w:val="none"/>
        </w:rPr>
        <w:t>FA</w:t>
      </w:r>
      <w:r>
        <w:rPr>
          <w:rFonts w:hint="eastAsia"/>
          <w:color w:val="auto"/>
          <w:highlight w:val="none"/>
        </w:rPr>
        <w:t>＝</w:t>
      </w:r>
      <w:r>
        <w:rPr>
          <w:rFonts w:ascii="Calibri" w:hAnsi="Calibri" w:eastAsia="宋体" w:cs="Calibri"/>
          <w:color w:val="auto"/>
          <w:highlight w:val="none"/>
        </w:rPr>
        <w:t>F1</w:t>
      </w:r>
      <w:r>
        <w:rPr>
          <w:rFonts w:hint="eastAsia" w:ascii="宋体" w:hAnsi="宋体" w:eastAsia="宋体" w:cs="宋体"/>
          <w:color w:val="auto"/>
          <w:highlight w:val="none"/>
        </w:rPr>
        <w:t>×</w:t>
      </w:r>
      <w:r>
        <w:rPr>
          <w:rFonts w:ascii="Calibri" w:hAnsi="Calibri" w:eastAsia="宋体" w:cs="Calibri"/>
          <w:color w:val="auto"/>
          <w:highlight w:val="none"/>
        </w:rPr>
        <w:t>A1</w:t>
      </w:r>
      <w:r>
        <w:rPr>
          <w:rFonts w:hint="eastAsia" w:ascii="宋体" w:hAnsi="宋体" w:eastAsia="宋体" w:cs="宋体"/>
          <w:color w:val="auto"/>
          <w:highlight w:val="none"/>
        </w:rPr>
        <w:t>＋</w:t>
      </w:r>
      <w:r>
        <w:rPr>
          <w:rFonts w:ascii="Calibri" w:hAnsi="Calibri" w:eastAsia="宋体" w:cs="Calibri"/>
          <w:color w:val="auto"/>
          <w:highlight w:val="none"/>
        </w:rPr>
        <w:t>F2</w:t>
      </w:r>
      <w:r>
        <w:rPr>
          <w:rFonts w:hint="eastAsia" w:ascii="宋体" w:hAnsi="宋体" w:eastAsia="宋体" w:cs="宋体"/>
          <w:color w:val="auto"/>
          <w:highlight w:val="none"/>
        </w:rPr>
        <w:t>×</w:t>
      </w:r>
      <w:r>
        <w:rPr>
          <w:rFonts w:ascii="Calibri" w:hAnsi="Calibri" w:eastAsia="宋体" w:cs="Calibri"/>
          <w:color w:val="auto"/>
          <w:highlight w:val="none"/>
        </w:rPr>
        <w:t>A2</w:t>
      </w:r>
      <w:r>
        <w:rPr>
          <w:rFonts w:hint="eastAsia" w:ascii="宋体" w:hAnsi="宋体" w:eastAsia="宋体" w:cs="宋体"/>
          <w:color w:val="auto"/>
          <w:highlight w:val="none"/>
        </w:rPr>
        <w:t>＋</w:t>
      </w:r>
      <w:r>
        <w:rPr>
          <w:rFonts w:ascii="Calibri" w:hAnsi="Calibri" w:eastAsia="宋体" w:cs="Calibri"/>
          <w:color w:val="auto"/>
          <w:highlight w:val="none"/>
        </w:rPr>
        <w:t>F3</w:t>
      </w:r>
      <w:r>
        <w:rPr>
          <w:rFonts w:hint="eastAsia" w:ascii="宋体" w:hAnsi="宋体" w:eastAsia="宋体" w:cs="宋体"/>
          <w:color w:val="auto"/>
          <w:highlight w:val="none"/>
        </w:rPr>
        <w:t>×</w:t>
      </w:r>
      <w:r>
        <w:rPr>
          <w:rFonts w:ascii="Calibri" w:hAnsi="Calibri" w:eastAsia="宋体" w:cs="Calibri"/>
          <w:color w:val="auto"/>
          <w:highlight w:val="none"/>
        </w:rPr>
        <w:t>A3</w:t>
      </w:r>
      <w:r>
        <w:rPr>
          <w:rFonts w:hint="eastAsia" w:ascii="宋体" w:hAnsi="宋体" w:eastAsia="宋体" w:cs="宋体"/>
          <w:color w:val="auto"/>
          <w:highlight w:val="none"/>
        </w:rPr>
        <w:t>＋</w:t>
      </w:r>
      <w:r>
        <w:rPr>
          <w:rFonts w:ascii="Calibri" w:hAnsi="Calibri" w:eastAsia="宋体" w:cs="Calibri"/>
          <w:color w:val="auto"/>
          <w:highlight w:val="none"/>
        </w:rPr>
        <w:t>F4</w:t>
      </w:r>
      <w:r>
        <w:rPr>
          <w:rFonts w:hint="eastAsia" w:ascii="宋体" w:hAnsi="宋体" w:eastAsia="宋体" w:cs="宋体"/>
          <w:color w:val="auto"/>
          <w:highlight w:val="none"/>
        </w:rPr>
        <w:t>×</w:t>
      </w:r>
      <w:r>
        <w:rPr>
          <w:rFonts w:ascii="Calibri" w:hAnsi="Calibri" w:eastAsia="宋体" w:cs="Calibri"/>
          <w:color w:val="auto"/>
          <w:highlight w:val="none"/>
        </w:rPr>
        <w:t>A4</w:t>
      </w:r>
      <w:r>
        <w:rPr>
          <w:rFonts w:hint="eastAsia" w:ascii="宋体" w:hAnsi="宋体" w:eastAsia="宋体" w:cs="宋体"/>
          <w:color w:val="auto"/>
          <w:highlight w:val="none"/>
        </w:rPr>
        <w:t>（若有），其中：</w:t>
      </w:r>
      <w:r>
        <w:rPr>
          <w:rFonts w:ascii="Calibri" w:hAnsi="Calibri" w:eastAsia="宋体" w:cs="Calibri"/>
          <w:color w:val="auto"/>
          <w:highlight w:val="none"/>
        </w:rPr>
        <w:t>F1</w:t>
      </w:r>
      <w:r>
        <w:rPr>
          <w:rFonts w:hint="eastAsia" w:ascii="宋体" w:hAnsi="宋体" w:eastAsia="宋体" w:cs="宋体"/>
          <w:color w:val="auto"/>
          <w:highlight w:val="none"/>
        </w:rPr>
        <w:t>指价格项评审因素得分、</w:t>
      </w:r>
      <w:r>
        <w:rPr>
          <w:rFonts w:ascii="Calibri" w:hAnsi="Calibri" w:eastAsia="宋体" w:cs="Calibri"/>
          <w:color w:val="auto"/>
          <w:highlight w:val="none"/>
        </w:rPr>
        <w:t>F2</w:t>
      </w:r>
      <w:r>
        <w:rPr>
          <w:rFonts w:hint="eastAsia" w:ascii="宋体" w:hAnsi="宋体" w:eastAsia="宋体" w:cs="宋体"/>
          <w:color w:val="auto"/>
          <w:highlight w:val="none"/>
        </w:rPr>
        <w:t>指技术项评审因素得分、</w:t>
      </w:r>
      <w:r>
        <w:rPr>
          <w:rFonts w:ascii="Calibri" w:hAnsi="Calibri" w:eastAsia="宋体" w:cs="Calibri"/>
          <w:color w:val="auto"/>
          <w:highlight w:val="none"/>
        </w:rPr>
        <w:t>F3</w:t>
      </w:r>
      <w:r>
        <w:rPr>
          <w:rFonts w:hint="eastAsia" w:ascii="宋体" w:hAnsi="宋体" w:eastAsia="宋体" w:cs="宋体"/>
          <w:color w:val="auto"/>
          <w:highlight w:val="none"/>
        </w:rPr>
        <w:t>指商务项评审因素得分，</w:t>
      </w:r>
      <w:r>
        <w:rPr>
          <w:rFonts w:ascii="Calibri" w:hAnsi="Calibri" w:eastAsia="宋体" w:cs="Calibri"/>
          <w:color w:val="auto"/>
          <w:highlight w:val="none"/>
        </w:rPr>
        <w:t>A1</w:t>
      </w:r>
      <w:r>
        <w:rPr>
          <w:rFonts w:hint="eastAsia" w:ascii="宋体" w:hAnsi="宋体" w:eastAsia="宋体" w:cs="宋体"/>
          <w:color w:val="auto"/>
          <w:highlight w:val="none"/>
        </w:rPr>
        <w:t>指价格项评审因素所占的权重、</w:t>
      </w:r>
      <w:r>
        <w:rPr>
          <w:rFonts w:ascii="Calibri" w:hAnsi="Calibri" w:eastAsia="宋体" w:cs="Calibri"/>
          <w:color w:val="auto"/>
          <w:highlight w:val="none"/>
        </w:rPr>
        <w:t>A2</w:t>
      </w:r>
      <w:r>
        <w:rPr>
          <w:rFonts w:hint="eastAsia" w:ascii="宋体" w:hAnsi="宋体" w:eastAsia="宋体" w:cs="宋体"/>
          <w:color w:val="auto"/>
          <w:highlight w:val="none"/>
        </w:rPr>
        <w:t>指技术项评审因素所占的权重、</w:t>
      </w:r>
      <w:r>
        <w:rPr>
          <w:rFonts w:ascii="Calibri" w:hAnsi="Calibri" w:eastAsia="宋体" w:cs="Calibri"/>
          <w:color w:val="auto"/>
          <w:highlight w:val="none"/>
        </w:rPr>
        <w:t>A3</w:t>
      </w:r>
      <w:r>
        <w:rPr>
          <w:rFonts w:hint="eastAsia" w:ascii="宋体" w:hAnsi="宋体" w:eastAsia="宋体" w:cs="宋体"/>
          <w:color w:val="auto"/>
          <w:highlight w:val="none"/>
        </w:rPr>
        <w:t>指商务项评审因素所占的权重，</w:t>
      </w:r>
      <w:r>
        <w:rPr>
          <w:rFonts w:ascii="Calibri" w:hAnsi="Calibri" w:eastAsia="宋体" w:cs="Calibri"/>
          <w:color w:val="auto"/>
          <w:highlight w:val="none"/>
        </w:rPr>
        <w:t>A1+A2+A3=1</w:t>
      </w:r>
      <w:r>
        <w:rPr>
          <w:rFonts w:hint="eastAsia" w:ascii="宋体" w:hAnsi="宋体" w:eastAsia="宋体" w:cs="宋体"/>
          <w:color w:val="auto"/>
          <w:highlight w:val="none"/>
        </w:rPr>
        <w:t>、</w:t>
      </w:r>
      <w:r>
        <w:rPr>
          <w:rFonts w:ascii="Calibri" w:hAnsi="Calibri" w:eastAsia="宋体" w:cs="Calibri"/>
          <w:color w:val="auto"/>
          <w:highlight w:val="none"/>
        </w:rPr>
        <w:t>F1</w:t>
      </w:r>
      <w:r>
        <w:rPr>
          <w:rFonts w:hint="eastAsia" w:ascii="宋体" w:hAnsi="宋体" w:eastAsia="宋体" w:cs="宋体"/>
          <w:color w:val="auto"/>
          <w:highlight w:val="none"/>
        </w:rPr>
        <w:t>×</w:t>
      </w:r>
      <w:r>
        <w:rPr>
          <w:rFonts w:ascii="Calibri" w:hAnsi="Calibri" w:eastAsia="宋体" w:cs="Calibri"/>
          <w:color w:val="auto"/>
          <w:highlight w:val="none"/>
        </w:rPr>
        <w:t>A1</w:t>
      </w:r>
      <w:r>
        <w:rPr>
          <w:rFonts w:hint="eastAsia" w:ascii="宋体" w:hAnsi="宋体" w:eastAsia="宋体" w:cs="宋体"/>
          <w:color w:val="auto"/>
          <w:highlight w:val="none"/>
        </w:rPr>
        <w:t>＋</w:t>
      </w:r>
      <w:r>
        <w:rPr>
          <w:rFonts w:ascii="Calibri" w:hAnsi="Calibri" w:eastAsia="宋体" w:cs="Calibri"/>
          <w:color w:val="auto"/>
          <w:highlight w:val="none"/>
        </w:rPr>
        <w:t>F2</w:t>
      </w:r>
      <w:r>
        <w:rPr>
          <w:rFonts w:hint="eastAsia" w:ascii="宋体" w:hAnsi="宋体" w:eastAsia="宋体" w:cs="宋体"/>
          <w:color w:val="auto"/>
          <w:highlight w:val="none"/>
        </w:rPr>
        <w:t>×</w:t>
      </w:r>
      <w:r>
        <w:rPr>
          <w:rFonts w:ascii="Calibri" w:hAnsi="Calibri" w:eastAsia="宋体" w:cs="Calibri"/>
          <w:color w:val="auto"/>
          <w:highlight w:val="none"/>
        </w:rPr>
        <w:t>A2</w:t>
      </w:r>
      <w:r>
        <w:rPr>
          <w:rFonts w:hint="eastAsia" w:ascii="宋体" w:hAnsi="宋体" w:eastAsia="宋体" w:cs="宋体"/>
          <w:color w:val="auto"/>
          <w:highlight w:val="none"/>
        </w:rPr>
        <w:t>＋</w:t>
      </w:r>
      <w:r>
        <w:rPr>
          <w:rFonts w:ascii="Calibri" w:hAnsi="Calibri" w:eastAsia="宋体" w:cs="Calibri"/>
          <w:color w:val="auto"/>
          <w:highlight w:val="none"/>
        </w:rPr>
        <w:t>F3</w:t>
      </w:r>
      <w:r>
        <w:rPr>
          <w:rFonts w:hint="eastAsia" w:ascii="宋体" w:hAnsi="宋体" w:eastAsia="宋体" w:cs="宋体"/>
          <w:color w:val="auto"/>
          <w:highlight w:val="none"/>
        </w:rPr>
        <w:t>×</w:t>
      </w:r>
      <w:r>
        <w:rPr>
          <w:rFonts w:ascii="Calibri" w:hAnsi="Calibri" w:eastAsia="宋体" w:cs="Calibri"/>
          <w:color w:val="auto"/>
          <w:highlight w:val="none"/>
        </w:rPr>
        <w:t>A3=100</w:t>
      </w:r>
      <w:r>
        <w:rPr>
          <w:rFonts w:hint="eastAsia" w:ascii="宋体" w:hAnsi="宋体" w:eastAsia="宋体" w:cs="宋体"/>
          <w:color w:val="auto"/>
          <w:highlight w:val="none"/>
        </w:rPr>
        <w:t>分（满分时）。</w:t>
      </w:r>
    </w:p>
    <w:p>
      <w:pPr>
        <w:pStyle w:val="16"/>
        <w:widowControl/>
        <w:ind w:firstLine="480"/>
        <w:rPr>
          <w:color w:val="auto"/>
          <w:highlight w:val="none"/>
        </w:rPr>
      </w:pPr>
      <w:r>
        <w:rPr>
          <w:rFonts w:hint="eastAsia" w:ascii="宋体" w:hAnsi="宋体" w:eastAsia="宋体" w:cs="宋体"/>
          <w:color w:val="auto"/>
          <w:highlight w:val="none"/>
        </w:rPr>
        <w:t>（4）各项评审因素的设置如下：</w:t>
      </w:r>
    </w:p>
    <w:p>
      <w:pPr>
        <w:pStyle w:val="16"/>
        <w:widowControl/>
        <w:ind w:firstLine="480"/>
        <w:rPr>
          <w:color w:val="auto"/>
          <w:highlight w:val="none"/>
        </w:rPr>
      </w:pPr>
      <w:r>
        <w:rPr>
          <w:rFonts w:hint="eastAsia" w:ascii="宋体" w:hAnsi="宋体" w:eastAsia="宋体" w:cs="宋体"/>
          <w:color w:val="auto"/>
          <w:highlight w:val="none"/>
        </w:rPr>
        <w:t>①价格项（</w:t>
      </w:r>
      <w:r>
        <w:rPr>
          <w:rFonts w:ascii="Calibri" w:hAnsi="Calibri" w:eastAsia="宋体" w:cs="Calibri"/>
          <w:color w:val="auto"/>
          <w:highlight w:val="none"/>
        </w:rPr>
        <w:t>F1</w:t>
      </w:r>
      <w:r>
        <w:rPr>
          <w:rFonts w:hint="eastAsia" w:ascii="宋体" w:hAnsi="宋体" w:eastAsia="宋体" w:cs="宋体"/>
          <w:color w:val="auto"/>
          <w:highlight w:val="none"/>
        </w:rPr>
        <w:t>×</w:t>
      </w:r>
      <w:r>
        <w:rPr>
          <w:rFonts w:ascii="Calibri" w:hAnsi="Calibri" w:eastAsia="宋体" w:cs="Calibri"/>
          <w:color w:val="auto"/>
          <w:highlight w:val="none"/>
        </w:rPr>
        <w:t>A1</w:t>
      </w:r>
      <w:r>
        <w:rPr>
          <w:rFonts w:hint="eastAsia" w:ascii="宋体" w:hAnsi="宋体" w:eastAsia="宋体" w:cs="宋体"/>
          <w:color w:val="auto"/>
          <w:highlight w:val="none"/>
        </w:rPr>
        <w:t>）满分为</w:t>
      </w:r>
      <w:r>
        <w:rPr>
          <w:rFonts w:hint="eastAsia" w:ascii="宋体" w:hAnsi="宋体" w:eastAsia="宋体" w:cs="宋体"/>
          <w:color w:val="auto"/>
          <w:highlight w:val="none"/>
          <w:u w:val="single"/>
          <w:lang w:val="en-US" w:eastAsia="zh-CN"/>
        </w:rPr>
        <w:t>12.5</w:t>
      </w:r>
      <w:r>
        <w:rPr>
          <w:rFonts w:hint="eastAsia" w:ascii="宋体" w:hAnsi="宋体" w:eastAsia="宋体" w:cs="宋体"/>
          <w:color w:val="auto"/>
          <w:highlight w:val="none"/>
        </w:rPr>
        <w:t>分。</w:t>
      </w:r>
    </w:p>
    <w:p>
      <w:pPr>
        <w:pStyle w:val="16"/>
        <w:widowControl/>
        <w:ind w:firstLine="480"/>
        <w:rPr>
          <w:color w:val="auto"/>
          <w:highlight w:val="none"/>
        </w:rPr>
      </w:pPr>
      <w:r>
        <w:rPr>
          <w:rFonts w:hint="eastAsia" w:ascii="宋体" w:hAnsi="宋体" w:eastAsia="宋体" w:cs="宋体"/>
          <w:color w:val="auto"/>
          <w:highlight w:val="none"/>
        </w:rPr>
        <w:t>a.价格分采用低价优先法计算，即满足征集文件要求且响应价格最低的响应报价为评标基准价，其价格分为满分。其他供应商的</w:t>
      </w:r>
      <w:r>
        <w:rPr>
          <w:rFonts w:hint="eastAsia" w:ascii="宋体" w:hAnsi="宋体" w:eastAsia="宋体" w:cs="宋体"/>
          <w:color w:val="auto"/>
          <w:highlight w:val="none"/>
          <w:u w:val="single"/>
        </w:rPr>
        <w:t>价格分统一按照下列公式计算：</w:t>
      </w:r>
      <w:r>
        <w:rPr>
          <w:rFonts w:hint="eastAsia" w:ascii="宋体" w:hAnsi="宋体" w:eastAsia="宋体" w:cs="宋体"/>
          <w:color w:val="auto"/>
          <w:highlight w:val="none"/>
        </w:rPr>
        <w:t>响应</w:t>
      </w:r>
      <w:r>
        <w:rPr>
          <w:rFonts w:hint="eastAsia" w:ascii="宋体" w:hAnsi="宋体" w:eastAsia="宋体" w:cs="宋体"/>
          <w:color w:val="auto"/>
          <w:highlight w:val="none"/>
          <w:u w:val="single"/>
        </w:rPr>
        <w:t>报价得分=（评标基准价／响应报价）×价格权重×100</w:t>
      </w:r>
      <w:r>
        <w:rPr>
          <w:rFonts w:hint="eastAsia" w:ascii="宋体" w:hAnsi="宋体" w:eastAsia="宋体" w:cs="宋体"/>
          <w:color w:val="auto"/>
          <w:highlight w:val="none"/>
        </w:rPr>
        <w:t>。因落实政府采购政策需进行价格扣除的，以扣除后的价格计算评标基准价和响应报价。</w:t>
      </w:r>
    </w:p>
    <w:p>
      <w:pPr>
        <w:pStyle w:val="16"/>
        <w:widowControl/>
        <w:ind w:firstLine="480"/>
        <w:rPr>
          <w:color w:val="auto"/>
          <w:highlight w:val="none"/>
        </w:rPr>
      </w:pPr>
      <w:r>
        <w:rPr>
          <w:rFonts w:ascii="Calibri" w:hAnsi="Calibri" w:cs="Calibri"/>
          <w:color w:val="auto"/>
          <w:highlight w:val="none"/>
        </w:rPr>
        <w:t>b.</w:t>
      </w:r>
      <w:r>
        <w:rPr>
          <w:rFonts w:hint="eastAsia" w:ascii="宋体" w:hAnsi="宋体" w:eastAsia="宋体" w:cs="宋体"/>
          <w:color w:val="auto"/>
          <w:highlight w:val="none"/>
        </w:rPr>
        <w:t>价格扣除的规则如下：</w:t>
      </w:r>
    </w:p>
    <w:tbl>
      <w:tblPr>
        <w:tblStyle w:val="2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4"/>
        <w:gridCol w:w="77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ascii="宋体" w:hAnsi="宋体" w:eastAsia="宋体" w:cs="宋体"/>
                <w:color w:val="auto"/>
                <w:kern w:val="0"/>
                <w:sz w:val="24"/>
                <w:highlight w:val="none"/>
              </w:rPr>
              <w:t>评标项目</w:t>
            </w:r>
          </w:p>
        </w:tc>
        <w:tc>
          <w:tcPr>
            <w:tcW w:w="0" w:type="auto"/>
          </w:tcPr>
          <w:p>
            <w:pPr>
              <w:widowControl/>
              <w:jc w:val="left"/>
              <w:rPr>
                <w:color w:val="auto"/>
                <w:highlight w:val="none"/>
              </w:rPr>
            </w:pPr>
            <w:r>
              <w:rPr>
                <w:rFonts w:ascii="宋体" w:hAnsi="宋体" w:eastAsia="宋体" w:cs="宋体"/>
                <w:color w:val="auto"/>
                <w:kern w:val="0"/>
                <w:sz w:val="24"/>
                <w:highlight w:val="none"/>
              </w:rPr>
              <w:t>评标方法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jc w:val="left"/>
              <w:rPr>
                <w:color w:val="auto"/>
                <w:highlight w:val="none"/>
              </w:rPr>
            </w:pPr>
            <w:r>
              <w:rPr>
                <w:rFonts w:ascii="宋体" w:hAnsi="宋体" w:eastAsia="宋体" w:cs="宋体"/>
                <w:color w:val="auto"/>
                <w:kern w:val="0"/>
                <w:sz w:val="24"/>
                <w:highlight w:val="none"/>
              </w:rPr>
              <w:t>小型、微型企业，监狱企业，残疾人</w:t>
            </w:r>
          </w:p>
        </w:tc>
        <w:tc>
          <w:tcPr>
            <w:tcW w:w="0" w:type="auto"/>
          </w:tcPr>
          <w:p>
            <w:pPr>
              <w:rPr>
                <w:color w:val="auto"/>
                <w:highlight w:val="none"/>
              </w:rPr>
            </w:pPr>
            <w:r>
              <w:rPr>
                <w:rStyle w:val="24"/>
                <w:rFonts w:hint="eastAsia" w:asciiTheme="minorEastAsia" w:hAnsiTheme="minorEastAsia" w:eastAsiaTheme="minorEastAsia" w:cstheme="minorEastAsia"/>
                <w:b/>
                <w:bCs/>
                <w:i w:val="0"/>
                <w:iCs w:val="0"/>
                <w:caps w:val="0"/>
                <w:color w:val="auto"/>
                <w:spacing w:val="0"/>
                <w:sz w:val="24"/>
                <w:szCs w:val="24"/>
                <w:highlight w:val="none"/>
                <w:shd w:val="clear" w:fill="FFFFFF"/>
              </w:rPr>
              <w:t>一、《政府采购促进中小企业发展管理办法》、《关于进一步加大政府采购支持中小企业力度的通知》、《福建省财政厅关于进一步加大政府采购支持中小企业力度的通知》价格的扣除：1、根据《关于印发&lt;政府采购促进中小企业发展管理办法&gt;的通知》（财库〔2020〕46号）文件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根据《关于进一步加大政府采购支持中小企业力度的通知》（财库〔2022〕19号）、《福建省财政厅关于进一步加大政府采购支持中小企业力度的通知》（闽财规〔2022〕13号）等文件规定，本项目将对符合本办法规定的小微企业报价给予15%（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2%）的扣除，用扣除后的价格参加评审。中小企业适用价格扣除办法时应提供《中小企业声明函》，否则不予价格扣除。2、依据本办法规定享受扶持政策获得政府采购合同的，小微企业不得将合同分包给大中型企业，中型企业不得将合同分包给大型企业。3、本项目采购标的对应的中小企业划分标准所属行业为“</w:t>
            </w:r>
            <w:r>
              <w:rPr>
                <w:rStyle w:val="24"/>
                <w:rFonts w:hint="eastAsia" w:asciiTheme="minorEastAsia" w:hAnsiTheme="minorEastAsia" w:cstheme="minorEastAsia"/>
                <w:b/>
                <w:bCs/>
                <w:i w:val="0"/>
                <w:iCs w:val="0"/>
                <w:caps w:val="0"/>
                <w:color w:val="auto"/>
                <w:spacing w:val="0"/>
                <w:sz w:val="24"/>
                <w:szCs w:val="24"/>
                <w:highlight w:val="none"/>
                <w:shd w:val="clear" w:fill="FFFFFF"/>
                <w:lang w:val="en-US" w:eastAsia="zh-CN"/>
              </w:rPr>
              <w:t>租赁和商务服务业</w:t>
            </w:r>
            <w:r>
              <w:rPr>
                <w:rStyle w:val="24"/>
                <w:rFonts w:hint="eastAsia" w:asciiTheme="minorEastAsia" w:hAnsiTheme="minorEastAsia" w:eastAsiaTheme="minorEastAsia" w:cstheme="minorEastAsia"/>
                <w:b/>
                <w:bCs/>
                <w:i w:val="0"/>
                <w:iCs w:val="0"/>
                <w:caps w:val="0"/>
                <w:color w:val="auto"/>
                <w:spacing w:val="0"/>
                <w:sz w:val="24"/>
                <w:szCs w:val="24"/>
                <w:highlight w:val="none"/>
                <w:shd w:val="clear" w:fill="FFFFFF"/>
              </w:rPr>
              <w:t>”。二、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工程项目为5%）的评审价格扣除优惠。三、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中华人民共和国政府采购法》、《中华人民共和国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2、符合规定的残疾人福利性单位参加政府采购活动视同小型、微型企业，提供《残疾人福利性单位声明函》（详见第七章</w:t>
            </w:r>
            <w:r>
              <w:rPr>
                <w:rStyle w:val="24"/>
                <w:rFonts w:hint="eastAsia" w:asciiTheme="minorEastAsia" w:hAnsiTheme="minorEastAsia" w:cstheme="minorEastAsia"/>
                <w:b/>
                <w:bCs/>
                <w:i w:val="0"/>
                <w:iCs w:val="0"/>
                <w:caps w:val="0"/>
                <w:color w:val="auto"/>
                <w:spacing w:val="0"/>
                <w:sz w:val="24"/>
                <w:szCs w:val="24"/>
                <w:highlight w:val="none"/>
                <w:shd w:val="clear" w:fill="FFFFFF"/>
                <w:lang w:eastAsia="zh-CN"/>
              </w:rPr>
              <w:t>响应文件</w:t>
            </w:r>
            <w:r>
              <w:rPr>
                <w:rStyle w:val="24"/>
                <w:rFonts w:hint="eastAsia" w:asciiTheme="minorEastAsia" w:hAnsiTheme="minorEastAsia" w:eastAsiaTheme="minorEastAsia" w:cstheme="minorEastAsia"/>
                <w:b/>
                <w:bCs/>
                <w:i w:val="0"/>
                <w:iCs w:val="0"/>
                <w:caps w:val="0"/>
                <w:color w:val="auto"/>
                <w:spacing w:val="0"/>
                <w:sz w:val="24"/>
                <w:szCs w:val="24"/>
                <w:highlight w:val="none"/>
                <w:shd w:val="clear" w:fill="FFFFFF"/>
              </w:rPr>
              <w:t>格式）并对声明的真实性负责，其报价享受15%（工程项目为5%）的评审价格扣除优惠。对残疾人福利性单位与其他组织组成联合体参与政府采购活动的，残疾人福利性单位的协议合同金额占总合同金额30%以上的，给予联合体合同金额5%（工程项目为2%）的价格扣除。残疾人福利性单位属于小型、微型企业的，不重复享受政策，按残疾人福利性单位价格扣除标准执行。残疾人福利性单位参与货物项目的，须在</w:t>
            </w:r>
            <w:r>
              <w:rPr>
                <w:rStyle w:val="24"/>
                <w:rFonts w:hint="eastAsia" w:asciiTheme="minorEastAsia" w:hAnsiTheme="minorEastAsia" w:cstheme="minorEastAsia"/>
                <w:b/>
                <w:bCs/>
                <w:i w:val="0"/>
                <w:iCs w:val="0"/>
                <w:caps w:val="0"/>
                <w:color w:val="auto"/>
                <w:spacing w:val="0"/>
                <w:sz w:val="24"/>
                <w:szCs w:val="24"/>
                <w:highlight w:val="none"/>
                <w:shd w:val="clear" w:fill="FFFFFF"/>
                <w:lang w:eastAsia="zh-CN"/>
              </w:rPr>
              <w:t>响应文件</w:t>
            </w:r>
            <w:r>
              <w:rPr>
                <w:rStyle w:val="24"/>
                <w:rFonts w:hint="eastAsia" w:asciiTheme="minorEastAsia" w:hAnsiTheme="minorEastAsia" w:eastAsiaTheme="minorEastAsia" w:cstheme="minorEastAsia"/>
                <w:b/>
                <w:bCs/>
                <w:i w:val="0"/>
                <w:iCs w:val="0"/>
                <w:caps w:val="0"/>
                <w:color w:val="auto"/>
                <w:spacing w:val="0"/>
                <w:sz w:val="24"/>
                <w:szCs w:val="24"/>
                <w:highlight w:val="none"/>
                <w:shd w:val="clear" w:fill="FFFFFF"/>
              </w:rPr>
              <w:t>中写明具体哪些货物是由本单位制造，或者由其他残疾人福利性单位制造（不包括使用非残疾人福利性单位注册商标的货物），并对其进行标注。注：1、根据《财政部 民政部 中国残疾人联合会关于促进残疾人就业政府采购政策的通知》(财库〔2017〕 141号)的规定，中标供应商为残疾人福利性单位的，采购代理机构将随中标结果同时公告其《残疾人福利性单位声明函》，接受社会监督。供应商提供的《残疾人福利性单位声明函》与事实不符的，将依照《中华人民共和国政府采购法》第七十七条第一款的规定被追究法律责任。 (本文件中其他有关对小微企业及其报价扣除描述情况与此处不一致的，以此处为准) 。</w:t>
            </w:r>
          </w:p>
        </w:tc>
      </w:tr>
    </w:tbl>
    <w:p>
      <w:pPr>
        <w:pStyle w:val="16"/>
        <w:widowControl/>
        <w:ind w:firstLine="480"/>
        <w:rPr>
          <w:color w:val="auto"/>
          <w:highlight w:val="none"/>
        </w:rPr>
      </w:pPr>
      <w:r>
        <w:rPr>
          <w:rFonts w:hint="eastAsia" w:ascii="宋体" w:hAnsi="宋体" w:eastAsia="宋体" w:cs="宋体"/>
          <w:color w:val="auto"/>
          <w:highlight w:val="none"/>
        </w:rPr>
        <w:t>②技术项（</w:t>
      </w:r>
      <w:r>
        <w:rPr>
          <w:rFonts w:ascii="Calibri" w:hAnsi="Calibri" w:eastAsia="宋体" w:cs="Calibri"/>
          <w:color w:val="auto"/>
          <w:highlight w:val="none"/>
        </w:rPr>
        <w:t>F2</w:t>
      </w:r>
      <w:r>
        <w:rPr>
          <w:rFonts w:hint="eastAsia" w:ascii="宋体" w:hAnsi="宋体" w:eastAsia="宋体" w:cs="宋体"/>
          <w:color w:val="auto"/>
          <w:highlight w:val="none"/>
        </w:rPr>
        <w:t>×</w:t>
      </w:r>
      <w:r>
        <w:rPr>
          <w:rFonts w:ascii="Calibri" w:hAnsi="Calibri" w:eastAsia="宋体" w:cs="Calibri"/>
          <w:color w:val="auto"/>
          <w:highlight w:val="none"/>
        </w:rPr>
        <w:t>A2</w:t>
      </w:r>
      <w:r>
        <w:rPr>
          <w:rFonts w:hint="eastAsia" w:ascii="宋体" w:hAnsi="宋体" w:eastAsia="宋体" w:cs="宋体"/>
          <w:color w:val="auto"/>
          <w:highlight w:val="none"/>
        </w:rPr>
        <w:t>）满分为</w:t>
      </w:r>
      <w:r>
        <w:rPr>
          <w:rFonts w:hint="eastAsia" w:ascii="宋体" w:hAnsi="宋体" w:eastAsia="宋体" w:cs="宋体"/>
          <w:color w:val="auto"/>
          <w:highlight w:val="none"/>
          <w:u w:val="single"/>
          <w:lang w:val="en-US" w:eastAsia="zh-CN"/>
        </w:rPr>
        <w:t>79.5</w:t>
      </w:r>
      <w:r>
        <w:rPr>
          <w:rFonts w:hint="eastAsia" w:ascii="宋体" w:hAnsi="宋体" w:eastAsia="宋体" w:cs="宋体"/>
          <w:color w:val="auto"/>
          <w:highlight w:val="none"/>
        </w:rPr>
        <w:t>分。</w:t>
      </w:r>
    </w:p>
    <w:tbl>
      <w:tblPr>
        <w:tblStyle w:val="2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56"/>
        <w:gridCol w:w="750"/>
        <w:gridCol w:w="68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6" w:type="dxa"/>
            <w:noWrap/>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评标项目</w:t>
            </w:r>
          </w:p>
        </w:tc>
        <w:tc>
          <w:tcPr>
            <w:tcW w:w="750" w:type="dxa"/>
            <w:noWrap/>
            <w:vAlign w:val="center"/>
          </w:tcPr>
          <w:p>
            <w:pPr>
              <w:widowControl/>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评标分值</w:t>
            </w:r>
          </w:p>
        </w:tc>
        <w:tc>
          <w:tcPr>
            <w:tcW w:w="6879" w:type="dxa"/>
            <w:noWrap/>
            <w:vAlign w:val="center"/>
          </w:tcPr>
          <w:p>
            <w:pPr>
              <w:pStyle w:val="1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评标方法描述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6" w:type="dxa"/>
            <w:noWrap/>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bidi="ar"/>
              </w:rPr>
              <w:t>服务要求响应情况</w:t>
            </w:r>
          </w:p>
        </w:tc>
        <w:tc>
          <w:tcPr>
            <w:tcW w:w="750" w:type="dxa"/>
            <w:noWrap/>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34.5</w:t>
            </w:r>
          </w:p>
        </w:tc>
        <w:tc>
          <w:tcPr>
            <w:tcW w:w="6879" w:type="dxa"/>
            <w:noWrap/>
            <w:vAlign w:val="top"/>
          </w:tcPr>
          <w:p>
            <w:pPr>
              <w:pStyle w:val="1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根据供应商对公开征集文件第五章“招标内容及要求”二、技术和服务要求的各项要求的逐项响应情况进行评分：完全满足公开征集文件要求的</w:t>
            </w:r>
            <w:r>
              <w:rPr>
                <w:rFonts w:hint="eastAsia" w:ascii="宋体" w:hAnsi="宋体" w:eastAsia="宋体" w:cs="宋体"/>
                <w:color w:val="auto"/>
                <w:kern w:val="0"/>
                <w:sz w:val="24"/>
                <w:szCs w:val="24"/>
                <w:highlight w:val="none"/>
                <w:lang w:val="en-US" w:eastAsia="zh-CN" w:bidi="ar"/>
              </w:rPr>
              <w:t>得34.5分（合计41项），带★号条款（合计18项）一项不满足投标无效；未带符号条款（合计23项）每负偏离一项扣1.5分，正偏离不加分。【注：在“技术和服务要求”中若有要求供应商提供相应佐证材料的内容，供应商应在“技术和服务要求响应表”中明确响应或承诺并提供相应佐证材料，且在“技术和服务要求响应表”的“是否偏离及说明”中注明证明材料页码，未按要求提供相应佐证材料或者供应商的响应承诺与其佐证材料不一致的，评委将以不利于供应商的内容为准进行评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6" w:type="dxa"/>
            <w:noWrap/>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bidi="ar"/>
              </w:rPr>
              <w:t>装修情况</w:t>
            </w:r>
          </w:p>
        </w:tc>
        <w:tc>
          <w:tcPr>
            <w:tcW w:w="750" w:type="dxa"/>
            <w:noWrap/>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p>
        </w:tc>
        <w:tc>
          <w:tcPr>
            <w:tcW w:w="6879" w:type="dxa"/>
            <w:noWrap/>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供应商近五年酒店进行大规模装修的情况，由评委进行评分：内外装修采用高档材料，符合环保要求，工艺精致，整体氛围协调，风格突出的得3分；装饰设计有整体风格，色调协调，光线充足，整体视觉效果和谐的得1分。须提供装修合同及相关证明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6" w:type="dxa"/>
            <w:noWrap/>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bidi="ar"/>
              </w:rPr>
              <w:t>客房数量</w:t>
            </w:r>
          </w:p>
        </w:tc>
        <w:tc>
          <w:tcPr>
            <w:tcW w:w="750" w:type="dxa"/>
            <w:noWrap/>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p>
        </w:tc>
        <w:tc>
          <w:tcPr>
            <w:tcW w:w="6879" w:type="dxa"/>
            <w:noWrap/>
            <w:vAlign w:val="center"/>
          </w:tcPr>
          <w:p>
            <w:pPr>
              <w:keepNext w:val="0"/>
              <w:keepLines w:val="0"/>
              <w:widowControl/>
              <w:suppressLineNumbers w:val="0"/>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客房指符合要求的标准间、单人间、普通套房，由评委根据下列条款进行评分：客房间数在200间（含）以上的得3分；客房在150间（含）以上的得2分；客房在100间（含）以上的得1分；客房在50间以上的得0.5分；须提供客房数量的承诺函和平面布局图等相关证明材料，未提供的本项不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6" w:type="dxa"/>
            <w:noWrap/>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bidi="ar"/>
              </w:rPr>
              <w:t>客房情况方案</w:t>
            </w:r>
          </w:p>
        </w:tc>
        <w:tc>
          <w:tcPr>
            <w:tcW w:w="750" w:type="dxa"/>
            <w:noWrap/>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p>
        </w:tc>
        <w:tc>
          <w:tcPr>
            <w:tcW w:w="6879" w:type="dxa"/>
            <w:noWrap/>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供应商提交的客房配置清单、平面图和彩照以及相关说明等方面，标准间与单间的使用面积、主要电器设备、设施、卫生间配置和装修布局等情况，由评委进行评分：方案最合理、详实、具有可操作性的得3分；方案较合理、详实、具有可操作性的得2分；方案一般的得1分；未提供的本项不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6"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bidi="ar"/>
              </w:rPr>
              <w:t>会议室数量</w:t>
            </w:r>
          </w:p>
        </w:tc>
        <w:tc>
          <w:tcPr>
            <w:tcW w:w="750"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6879" w:type="dxa"/>
            <w:noWrap/>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会议室的数量和最大会议室面积情况，由评委进行评分：两项均达到要求方可得分，只达到一项的，则按就低原则评分。会议室的数量在10个（含）以上，且最大会议室面积在300㎡（含）以上的得3分；会议室的数量在6个（含）以上，且最大会议室面积在200㎡（含）以上的得2分；会议室的数量在4个（含）以上，且最大会议室面积在100㎡（含）以上的得1分；会议室的数量在2个（含）以上，且最大会议室面积在80㎡（有50个座位）的得0.5分。须提供会议室数量和面积的承诺函以及简图等相关证明材料，未提供的本项不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6"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bidi="ar"/>
              </w:rPr>
              <w:t>会议室配置情况方案</w:t>
            </w:r>
          </w:p>
        </w:tc>
        <w:tc>
          <w:tcPr>
            <w:tcW w:w="750"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6879" w:type="dxa"/>
            <w:noWrap/>
            <w:vAlign w:val="center"/>
          </w:tcPr>
          <w:p>
            <w:pPr>
              <w:keepNext w:val="0"/>
              <w:keepLines w:val="0"/>
              <w:widowControl/>
              <w:suppressLineNumbers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根据供应商提交的会议室设备设施配置清单、平面图和彩照以及相关说明等方面，由评委进行评分：说明条理清晰、且设备配置齐全，合理的得3分；说明较合理、且设备配置基本满足会议要求的得2分；说明不够完善的得1分；未提供的本项不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6"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bidi="ar"/>
              </w:rPr>
              <w:t>停车场情况</w:t>
            </w:r>
          </w:p>
        </w:tc>
        <w:tc>
          <w:tcPr>
            <w:tcW w:w="750"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6879" w:type="dxa"/>
            <w:noWrap/>
            <w:vAlign w:val="center"/>
          </w:tcPr>
          <w:p>
            <w:pPr>
              <w:keepNext w:val="0"/>
              <w:keepLines w:val="0"/>
              <w:widowControl/>
              <w:suppressLineNumbers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须有酒店专用停车场，为会议车辆提供免费停车服务，且距离酒店主楼或步行均不超过100米，应列出详细地址并提交车位图、产权证或租赁合同加产权证证明，由评委进行评分：两项均达到要求方可得分，只达到一项的，则按就低原则评分。停车场可停大客车5辆（含）以上，小轿车100辆（含）以上的得3分；停车场可停大客车5辆（含）以上，小轿车80辆（含）以上的得2.5分；停车场可停大客车3辆（含）以上，小轿车60辆（含）以上的得 2分；停车场可停小轿车50辆（含）以上的得1.5分；停车场可停小轿车30辆（含）以上的得1分。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6"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bidi="ar"/>
              </w:rPr>
              <w:t>总占地面积与绿化情况</w:t>
            </w:r>
          </w:p>
        </w:tc>
        <w:tc>
          <w:tcPr>
            <w:tcW w:w="750"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6879" w:type="dxa"/>
            <w:noWrap/>
            <w:vAlign w:val="center"/>
          </w:tcPr>
          <w:p>
            <w:pPr>
              <w:keepNext w:val="0"/>
              <w:keepLines w:val="0"/>
              <w:widowControl/>
              <w:suppressLineNumbers w:val="0"/>
              <w:spacing w:line="24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根据供应商所提供的总占地面积与绿化情况，提供相关产权证材料，由评委进行评分：总占地面积10000 ㎡及以上且绿化面积1500 ㎡及以上的得3分； 总占地面积5000 ㎡及以上且绿化面积800㎡及以上的得2分；总占地面积3000 ㎡及以上且有绿化的得1分。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6"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val="en-US" w:eastAsia="zh-CN" w:bidi="ar"/>
              </w:rPr>
              <w:t>星级情况</w:t>
            </w:r>
          </w:p>
        </w:tc>
        <w:tc>
          <w:tcPr>
            <w:tcW w:w="750"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6879" w:type="dxa"/>
            <w:noWrap/>
            <w:vAlign w:val="center"/>
          </w:tcPr>
          <w:p>
            <w:pPr>
              <w:keepNext w:val="0"/>
              <w:keepLines w:val="0"/>
              <w:widowControl/>
              <w:suppressLineNumbers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由评委根据各酒店的星级等级情况进行评分，具备五星级酒店水平的得3分；具备四星级酒店水平的得2分；其它不得分。须提供旅游主管部门颁发的星级证明复印件，否则不得分。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6"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bidi="ar"/>
              </w:rPr>
              <w:t>餐厅配置情况方案</w:t>
            </w:r>
          </w:p>
        </w:tc>
        <w:tc>
          <w:tcPr>
            <w:tcW w:w="750"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6879" w:type="dxa"/>
            <w:noWrap/>
            <w:vAlign w:val="center"/>
          </w:tcPr>
          <w:p>
            <w:pPr>
              <w:keepNext w:val="0"/>
              <w:keepLines w:val="0"/>
              <w:widowControl/>
              <w:suppressLineNumbers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根据供应商酒店内的餐厅（酒楼）硬件情况,根据其大厅餐桌数量与包厢数量、装修情况、设施配置等方面，由评委进行评分：总体硬件配置合理、布局整洁、科学的得3分；硬件配置较合理、较科学的得2分；硬件配置一般的得1分；未提供的本项不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6"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lang w:val="en-US" w:eastAsia="zh-CN" w:bidi="ar"/>
              </w:rPr>
              <w:t>安全保卫设施及方案</w:t>
            </w:r>
          </w:p>
        </w:tc>
        <w:tc>
          <w:tcPr>
            <w:tcW w:w="750"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6879" w:type="dxa"/>
            <w:noWrap/>
            <w:vAlign w:val="center"/>
          </w:tcPr>
          <w:p>
            <w:pPr>
              <w:keepNext w:val="0"/>
              <w:keepLines w:val="0"/>
              <w:widowControl/>
              <w:suppressLineNumbers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供应商有安保监控及录像、消防监测报警设备及较好保卫方案的，且每天24小时均有3名及以上保安人员巡逻值守的得3分；有安保监控及录像、消防设施等，但仅1名保安人员巡逻值守的得1分；没有安全保卫的不得分。供应商须在响应文件中提交相关证明或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6"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lang w:val="en-US" w:eastAsia="zh-CN" w:bidi="ar"/>
              </w:rPr>
              <w:t>附属设施、设备等情况</w:t>
            </w:r>
          </w:p>
        </w:tc>
        <w:tc>
          <w:tcPr>
            <w:tcW w:w="750"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6879" w:type="dxa"/>
            <w:noWrap/>
            <w:vAlign w:val="center"/>
          </w:tcPr>
          <w:p>
            <w:pPr>
              <w:keepNext w:val="0"/>
              <w:keepLines w:val="0"/>
              <w:widowControl/>
              <w:suppressLineNumbers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供应商的营业场所在具有健身场所、电视电话会议系统、多功能厅等服务及设施的基础上，每增加一项得1分,最高得3分。供应商须在响应文件中提供项目的具体位置、主要情况、照片等。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6"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lang w:val="en-US" w:eastAsia="zh-CN" w:bidi="ar"/>
              </w:rPr>
              <w:t>会议接待方案</w:t>
            </w:r>
          </w:p>
        </w:tc>
        <w:tc>
          <w:tcPr>
            <w:tcW w:w="750"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6879" w:type="dxa"/>
            <w:noWrap/>
            <w:vAlign w:val="center"/>
          </w:tcPr>
          <w:p>
            <w:pPr>
              <w:keepNext w:val="0"/>
              <w:keepLines w:val="0"/>
              <w:widowControl/>
              <w:suppressLineNumbers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根据供应商提交的方案，从其计划周密、服务措施、条件优惠（设备、设施等）、客房方案等角度，由评委进行评分：接待方案详细、周密且合理的得3分；接待方案较详细、合理的得2分；接待方案一般得1分；未提供的本项不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6"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lang w:val="en-US" w:eastAsia="zh-CN" w:bidi="ar"/>
              </w:rPr>
              <w:t>会议餐饮服务方案</w:t>
            </w:r>
          </w:p>
        </w:tc>
        <w:tc>
          <w:tcPr>
            <w:tcW w:w="750"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6879" w:type="dxa"/>
            <w:noWrap/>
            <w:vAlign w:val="center"/>
          </w:tcPr>
          <w:p>
            <w:pPr>
              <w:keepNext w:val="0"/>
              <w:keepLines w:val="0"/>
              <w:widowControl/>
              <w:suppressLineNumbers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根据供应商提供的每人每天午餐和晚餐标准的会议伙食方案（须至少有自助餐和桌餐二种供餐方案），由评委进行评分：方案品种多样化、饮食搭配合理的得3分；方案品种简单、饮食搭配相较合理的得2分；方案一般的得1分；未提供的本项不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6"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lang w:val="en-US" w:eastAsia="zh-CN" w:bidi="ar"/>
              </w:rPr>
              <w:t>电梯情况</w:t>
            </w:r>
          </w:p>
        </w:tc>
        <w:tc>
          <w:tcPr>
            <w:tcW w:w="750"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6879" w:type="dxa"/>
            <w:noWrap/>
            <w:vAlign w:val="center"/>
          </w:tcPr>
          <w:p>
            <w:pPr>
              <w:keepNext w:val="0"/>
              <w:keepLines w:val="0"/>
              <w:widowControl/>
              <w:suppressLineNumbers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根据供应商提供的电梯书面承诺、电梯经质量监管部门年检的证明及彩页/图片等情况，由评委根据下列条款进行评分：电梯数量在3部（含）以上的得3分；电梯数量2部的得2分；有1部电梯的得1分。须提供相应证明材料，未提供的本项不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6"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lang w:val="en-US" w:eastAsia="zh-CN" w:bidi="ar"/>
              </w:rPr>
              <w:t>医疗服务</w:t>
            </w:r>
          </w:p>
        </w:tc>
        <w:tc>
          <w:tcPr>
            <w:tcW w:w="750"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6879" w:type="dxa"/>
            <w:noWrap/>
            <w:vAlign w:val="center"/>
          </w:tcPr>
          <w:p>
            <w:pPr>
              <w:keepNext w:val="0"/>
              <w:keepLines w:val="0"/>
              <w:widowControl/>
              <w:suppressLineNumbers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有专门的医护人员或和附近医院（往返时间30分钟内）签有医疗服务合同（附合同复印件）的得3分；无专门医护人员或合作医院只是提供常规药物的得1分；须提供相关证明材料，未提供的本项不得分。</w:t>
            </w:r>
          </w:p>
        </w:tc>
      </w:tr>
    </w:tbl>
    <w:p>
      <w:pPr>
        <w:pStyle w:val="16"/>
        <w:widowControl/>
        <w:ind w:firstLine="480"/>
        <w:rPr>
          <w:color w:val="auto"/>
          <w:highlight w:val="none"/>
        </w:rPr>
      </w:pPr>
      <w:r>
        <w:rPr>
          <w:rFonts w:hint="eastAsia" w:ascii="宋体" w:hAnsi="宋体" w:eastAsia="宋体" w:cs="宋体"/>
          <w:color w:val="auto"/>
          <w:highlight w:val="none"/>
        </w:rPr>
        <w:t>③商务项（</w:t>
      </w:r>
      <w:r>
        <w:rPr>
          <w:rFonts w:ascii="Calibri" w:hAnsi="Calibri" w:eastAsia="宋体" w:cs="Calibri"/>
          <w:color w:val="auto"/>
          <w:highlight w:val="none"/>
        </w:rPr>
        <w:t>F3</w:t>
      </w:r>
      <w:r>
        <w:rPr>
          <w:rFonts w:hint="eastAsia" w:ascii="宋体" w:hAnsi="宋体" w:eastAsia="宋体" w:cs="宋体"/>
          <w:color w:val="auto"/>
          <w:highlight w:val="none"/>
        </w:rPr>
        <w:t>×</w:t>
      </w:r>
      <w:r>
        <w:rPr>
          <w:rFonts w:ascii="Calibri" w:hAnsi="Calibri" w:eastAsia="宋体" w:cs="Calibri"/>
          <w:color w:val="auto"/>
          <w:highlight w:val="none"/>
        </w:rPr>
        <w:t>A3</w:t>
      </w:r>
      <w:r>
        <w:rPr>
          <w:rFonts w:hint="eastAsia" w:ascii="宋体" w:hAnsi="宋体" w:eastAsia="宋体" w:cs="宋体"/>
          <w:color w:val="auto"/>
          <w:highlight w:val="none"/>
        </w:rPr>
        <w:t>）满分为</w:t>
      </w:r>
      <w:r>
        <w:rPr>
          <w:rFonts w:hint="eastAsia" w:ascii="宋体" w:hAnsi="宋体" w:eastAsia="宋体" w:cs="宋体"/>
          <w:color w:val="auto"/>
          <w:highlight w:val="none"/>
          <w:u w:val="single"/>
          <w:lang w:val="en-US" w:eastAsia="zh-CN"/>
        </w:rPr>
        <w:t>8</w:t>
      </w:r>
      <w:r>
        <w:rPr>
          <w:rFonts w:hint="eastAsia" w:ascii="宋体" w:hAnsi="宋体" w:eastAsia="宋体" w:cs="宋体"/>
          <w:color w:val="auto"/>
          <w:highlight w:val="none"/>
        </w:rPr>
        <w:t>分。</w:t>
      </w:r>
    </w:p>
    <w:tbl>
      <w:tblPr>
        <w:tblStyle w:val="20"/>
        <w:tblW w:w="9263" w:type="dxa"/>
        <w:tblCellSpacing w:w="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5"/>
        <w:gridCol w:w="811"/>
        <w:gridCol w:w="7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0" w:type="dxa"/>
        </w:trPr>
        <w:tc>
          <w:tcPr>
            <w:tcW w:w="1405" w:type="dxa"/>
            <w:noWrap/>
            <w:vAlign w:val="center"/>
          </w:tcPr>
          <w:p>
            <w:pPr>
              <w:widowControl/>
              <w:spacing w:line="360" w:lineRule="auto"/>
              <w:jc w:val="left"/>
              <w:rPr>
                <w:color w:val="auto"/>
                <w:highlight w:val="none"/>
              </w:rPr>
            </w:pPr>
            <w:r>
              <w:rPr>
                <w:rFonts w:ascii="宋体" w:hAnsi="宋体" w:eastAsia="宋体" w:cs="宋体"/>
                <w:color w:val="auto"/>
                <w:kern w:val="0"/>
                <w:sz w:val="24"/>
                <w:highlight w:val="none"/>
              </w:rPr>
              <w:t>评标项目</w:t>
            </w:r>
          </w:p>
        </w:tc>
        <w:tc>
          <w:tcPr>
            <w:tcW w:w="811" w:type="dxa"/>
            <w:noWrap/>
            <w:vAlign w:val="center"/>
          </w:tcPr>
          <w:p>
            <w:pPr>
              <w:widowControl/>
              <w:spacing w:line="360" w:lineRule="auto"/>
              <w:jc w:val="center"/>
              <w:rPr>
                <w:rFonts w:ascii="宋体" w:hAnsi="宋体" w:eastAsia="宋体" w:cs="宋体"/>
                <w:color w:val="auto"/>
                <w:kern w:val="0"/>
                <w:sz w:val="24"/>
                <w:highlight w:val="none"/>
              </w:rPr>
            </w:pPr>
            <w:r>
              <w:rPr>
                <w:rFonts w:ascii="宋体" w:hAnsi="宋体" w:eastAsia="宋体" w:cs="宋体"/>
                <w:color w:val="auto"/>
                <w:kern w:val="0"/>
                <w:sz w:val="24"/>
                <w:highlight w:val="none"/>
              </w:rPr>
              <w:t>评标</w:t>
            </w:r>
          </w:p>
          <w:p>
            <w:pPr>
              <w:widowControl/>
              <w:spacing w:line="360" w:lineRule="auto"/>
              <w:jc w:val="center"/>
              <w:rPr>
                <w:color w:val="auto"/>
                <w:highlight w:val="none"/>
              </w:rPr>
            </w:pPr>
            <w:r>
              <w:rPr>
                <w:rFonts w:ascii="宋体" w:hAnsi="宋体" w:eastAsia="宋体" w:cs="宋体"/>
                <w:color w:val="auto"/>
                <w:kern w:val="0"/>
                <w:sz w:val="24"/>
                <w:highlight w:val="none"/>
              </w:rPr>
              <w:t>分值</w:t>
            </w:r>
          </w:p>
        </w:tc>
        <w:tc>
          <w:tcPr>
            <w:tcW w:w="7047" w:type="dxa"/>
            <w:noWrap/>
            <w:vAlign w:val="center"/>
          </w:tcPr>
          <w:p>
            <w:pPr>
              <w:widowControl/>
              <w:spacing w:line="360" w:lineRule="auto"/>
              <w:jc w:val="left"/>
              <w:rPr>
                <w:color w:val="auto"/>
                <w:highlight w:val="none"/>
              </w:rPr>
            </w:pPr>
            <w:r>
              <w:rPr>
                <w:rFonts w:ascii="宋体" w:hAnsi="宋体" w:eastAsia="宋体" w:cs="宋体"/>
                <w:color w:val="auto"/>
                <w:kern w:val="0"/>
                <w:sz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05" w:type="dxa"/>
            <w:vMerge w:val="restart"/>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1.综合实力</w:t>
            </w:r>
          </w:p>
        </w:tc>
        <w:tc>
          <w:tcPr>
            <w:tcW w:w="811"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7047" w:type="dxa"/>
            <w:noWrap/>
            <w:vAlign w:val="center"/>
          </w:tcPr>
          <w:p>
            <w:pPr>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供应商具有有效期内的质量管理体系认证证书的得1分，须提供有效的证明材料，未提供的本项不得分。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05" w:type="dxa"/>
            <w:vMerge w:val="continue"/>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p>
        </w:tc>
        <w:tc>
          <w:tcPr>
            <w:tcW w:w="811"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7047" w:type="dxa"/>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供应商成为过党政机关定点场所的得1分；须提供相关证明材料，未提供的本项不得分。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05"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bidi="ar"/>
              </w:rPr>
              <w:t>荣誉情况</w:t>
            </w:r>
          </w:p>
        </w:tc>
        <w:tc>
          <w:tcPr>
            <w:tcW w:w="811"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7047" w:type="dxa"/>
            <w:noWrap/>
            <w:vAlign w:val="center"/>
          </w:tcPr>
          <w:p>
            <w:pPr>
              <w:keepNext w:val="0"/>
              <w:keepLines w:val="0"/>
              <w:widowControl/>
              <w:suppressLineNumbers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供应商获得过省、部级相关主管部门荣誉称号的，每提供1个的得1分，满分3分。须提供荣誉证书等相关证明材料，未提供的本项不得分。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405"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bidi="ar"/>
              </w:rPr>
              <w:t>项目经验</w:t>
            </w:r>
          </w:p>
        </w:tc>
        <w:tc>
          <w:tcPr>
            <w:tcW w:w="811" w:type="dxa"/>
            <w:noWrap/>
            <w:vAlign w:val="center"/>
          </w:tcPr>
          <w:p>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7047" w:type="dxa"/>
            <w:noWrap/>
            <w:vAlign w:val="center"/>
          </w:tcPr>
          <w:p>
            <w:pPr>
              <w:keepNext w:val="0"/>
              <w:keepLines w:val="0"/>
              <w:widowControl/>
              <w:suppressLineNumbers w:val="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根据各供应商所提供自2019年1月1日以来（以合同签订时间为准）承担过同类型项目经验情况进行评分，每五场会议的得1分，满分3分。无党政机关文件的一般会议，同一单位会议业绩每年最多按1次计算。【注：须提供与业主单位签订正式合同协议书以及发票复印件，未同时提供以上证明材料的本项不得分,合同履行过程发现本项有虚假者，取消其资格，并追究相应的法律责任和进行相应的赔偿。】</w:t>
            </w:r>
          </w:p>
        </w:tc>
      </w:tr>
    </w:tbl>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（5）入围候选供应商排列规则顺序如下：</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a.按照评标总得分（FA）由高到低顺序排列。</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b.评标总得分（FA）相同的，按照评标价（即价格扣除后的响应报价）由低到高顺序排列。</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c.评标总得分（FA）且评标价（即价格扣除后的响应报价）相同的并列。</w:t>
      </w:r>
    </w:p>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8、其他规定</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8.1评标应全程保密且不得透露给任一供应商或与评标工作无关的人员。</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8.2评标将进行全程实时录音录像，录音录像资料随采购文件一并存档。</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8.3若供应商有任何试图干扰具体评标事务，影响评审小组独立履行职责的行为，其响应无效且不予退还响应保证金。情节严重的，由财政部门列入不良行为记录。</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8.4其他：</w:t>
      </w:r>
      <w:r>
        <w:rPr>
          <w:color w:val="auto"/>
          <w:highlight w:val="none"/>
        </w:rPr>
        <w:t>无。</w:t>
      </w:r>
      <w:r>
        <w:rPr>
          <w:rFonts w:hint="eastAsia" w:ascii="宋体" w:hAnsi="宋体" w:eastAsia="宋体" w:cs="宋体"/>
          <w:color w:val="auto"/>
          <w:highlight w:val="none"/>
        </w:rPr>
        <w:t> </w:t>
      </w:r>
    </w:p>
    <w:p>
      <w:pPr>
        <w:widowControl/>
        <w:jc w:val="left"/>
        <w:rPr>
          <w:rStyle w:val="24"/>
          <w:rFonts w:ascii="宋体" w:hAnsi="宋体" w:eastAsia="宋体" w:cs="宋体"/>
          <w:color w:val="auto"/>
          <w:kern w:val="0"/>
          <w:sz w:val="31"/>
          <w:szCs w:val="31"/>
          <w:highlight w:val="none"/>
        </w:rPr>
      </w:pPr>
      <w:r>
        <w:rPr>
          <w:rStyle w:val="24"/>
          <w:rFonts w:ascii="宋体" w:hAnsi="宋体" w:eastAsia="宋体" w:cs="宋体"/>
          <w:color w:val="auto"/>
          <w:sz w:val="31"/>
          <w:szCs w:val="31"/>
          <w:highlight w:val="none"/>
        </w:rPr>
        <w:br w:type="page"/>
      </w:r>
    </w:p>
    <w:p>
      <w:pPr>
        <w:pStyle w:val="16"/>
        <w:widowControl/>
        <w:spacing w:before="75" w:beforeAutospacing="0" w:after="75" w:afterAutospacing="0"/>
        <w:jc w:val="center"/>
        <w:rPr>
          <w:color w:val="auto"/>
          <w:highlight w:val="none"/>
        </w:rPr>
      </w:pPr>
      <w:r>
        <w:rPr>
          <w:rStyle w:val="24"/>
          <w:rFonts w:hint="eastAsia" w:ascii="宋体" w:hAnsi="宋体" w:eastAsia="宋体" w:cs="宋体"/>
          <w:color w:val="auto"/>
          <w:sz w:val="31"/>
          <w:szCs w:val="31"/>
          <w:highlight w:val="none"/>
        </w:rPr>
        <w:t>第五章</w:t>
      </w:r>
      <w:r>
        <w:rPr>
          <w:rStyle w:val="24"/>
          <w:color w:val="auto"/>
          <w:sz w:val="31"/>
          <w:szCs w:val="31"/>
          <w:highlight w:val="none"/>
        </w:rPr>
        <w:t>   </w:t>
      </w:r>
      <w:r>
        <w:rPr>
          <w:rStyle w:val="24"/>
          <w:rFonts w:hint="eastAsia" w:ascii="宋体" w:hAnsi="宋体" w:eastAsia="宋体" w:cs="宋体"/>
          <w:color w:val="auto"/>
          <w:sz w:val="31"/>
          <w:szCs w:val="31"/>
          <w:highlight w:val="none"/>
        </w:rPr>
        <w:t>采购内容及要求</w:t>
      </w:r>
    </w:p>
    <w:p>
      <w:pPr>
        <w:pStyle w:val="16"/>
        <w:widowControl/>
        <w:spacing w:before="75" w:beforeAutospacing="0" w:after="75" w:afterAutospacing="0"/>
        <w:rPr>
          <w:color w:val="auto"/>
          <w:highlight w:val="none"/>
        </w:rPr>
      </w:pPr>
    </w:p>
    <w:p>
      <w:pPr>
        <w:spacing w:line="480" w:lineRule="auto"/>
        <w:jc w:val="left"/>
        <w:rPr>
          <w:rFonts w:ascii="宋体" w:hAnsi="宋体" w:cs="宋体"/>
          <w:color w:val="auto"/>
          <w:kern w:val="0"/>
          <w:sz w:val="24"/>
          <w:highlight w:val="none"/>
        </w:rPr>
      </w:pPr>
      <w:r>
        <w:rPr>
          <w:rFonts w:hint="eastAsia" w:ascii="宋体" w:hAnsi="宋体" w:cs="宋体"/>
          <w:color w:val="auto"/>
          <w:kern w:val="0"/>
          <w:sz w:val="24"/>
          <w:highlight w:val="none"/>
        </w:rPr>
        <w:t>一、项目概况（采购标的）</w:t>
      </w:r>
    </w:p>
    <w:p>
      <w:pPr>
        <w:pStyle w:val="16"/>
        <w:keepNext w:val="0"/>
        <w:keepLines w:val="0"/>
        <w:widowControl/>
        <w:suppressLineNumbers w:val="0"/>
        <w:spacing w:line="240" w:lineRule="auto"/>
        <w:rPr>
          <w:color w:val="auto"/>
          <w:sz w:val="24"/>
          <w:szCs w:val="24"/>
          <w:highlight w:val="none"/>
        </w:rPr>
      </w:pPr>
      <w:r>
        <w:rPr>
          <w:rFonts w:hint="eastAsia" w:ascii="宋体" w:hAnsi="宋体" w:eastAsia="宋体" w:cs="宋体"/>
          <w:color w:val="auto"/>
          <w:sz w:val="24"/>
          <w:szCs w:val="24"/>
          <w:highlight w:val="none"/>
        </w:rPr>
        <w:t>1.1本项目系采购在福清地区的会议定点场所。</w:t>
      </w:r>
    </w:p>
    <w:p>
      <w:pPr>
        <w:pStyle w:val="16"/>
        <w:keepNext w:val="0"/>
        <w:keepLines w:val="0"/>
        <w:widowControl/>
        <w:suppressLineNumbers w:val="0"/>
        <w:spacing w:line="240" w:lineRule="auto"/>
        <w:rPr>
          <w:color w:val="auto"/>
          <w:sz w:val="24"/>
          <w:szCs w:val="24"/>
          <w:highlight w:val="none"/>
        </w:rPr>
      </w:pPr>
      <w:r>
        <w:rPr>
          <w:rFonts w:hint="eastAsia" w:ascii="宋体" w:hAnsi="宋体" w:eastAsia="宋体" w:cs="宋体"/>
          <w:color w:val="auto"/>
          <w:sz w:val="24"/>
          <w:szCs w:val="24"/>
          <w:highlight w:val="none"/>
        </w:rPr>
        <w:t>1.2财政部、福建省财政厅、福州市财政局负责制定相关管理办法、确认定点场所及收费标准。福清市财政局负责福清地区定点场所的管理工作（含签订定点协议和对定点场所的日常监督管理等工作）。</w:t>
      </w:r>
    </w:p>
    <w:p>
      <w:pPr>
        <w:pStyle w:val="16"/>
        <w:keepNext w:val="0"/>
        <w:keepLines w:val="0"/>
        <w:widowControl/>
        <w:suppressLineNumbers w:val="0"/>
        <w:spacing w:line="240" w:lineRule="auto"/>
        <w:rPr>
          <w:color w:val="auto"/>
          <w:sz w:val="24"/>
          <w:szCs w:val="24"/>
          <w:highlight w:val="none"/>
        </w:rPr>
      </w:pPr>
      <w:r>
        <w:rPr>
          <w:rFonts w:hint="eastAsia" w:ascii="宋体" w:hAnsi="宋体" w:eastAsia="宋体" w:cs="宋体"/>
          <w:color w:val="auto"/>
          <w:sz w:val="24"/>
          <w:szCs w:val="24"/>
          <w:highlight w:val="none"/>
        </w:rPr>
        <w:t>1.3本次政府采购的定点场所有效期为：</w:t>
      </w:r>
      <w:r>
        <w:rPr>
          <w:rStyle w:val="24"/>
          <w:rFonts w:hint="eastAsia" w:ascii="宋体" w:hAnsi="宋体" w:eastAsia="宋体" w:cs="宋体"/>
          <w:color w:val="auto"/>
          <w:sz w:val="24"/>
          <w:szCs w:val="24"/>
          <w:highlight w:val="none"/>
        </w:rPr>
        <w:t>202</w:t>
      </w:r>
      <w:r>
        <w:rPr>
          <w:rStyle w:val="24"/>
          <w:rFonts w:hint="eastAsia" w:ascii="宋体" w:hAnsi="宋体" w:eastAsia="宋体" w:cs="宋体"/>
          <w:color w:val="auto"/>
          <w:sz w:val="24"/>
          <w:szCs w:val="24"/>
          <w:highlight w:val="none"/>
          <w:lang w:val="en-US" w:eastAsia="zh-CN"/>
        </w:rPr>
        <w:t>3</w:t>
      </w:r>
      <w:r>
        <w:rPr>
          <w:rStyle w:val="24"/>
          <w:rFonts w:hint="eastAsia" w:ascii="宋体" w:hAnsi="宋体" w:eastAsia="宋体" w:cs="宋体"/>
          <w:color w:val="auto"/>
          <w:sz w:val="24"/>
          <w:szCs w:val="24"/>
          <w:highlight w:val="none"/>
        </w:rPr>
        <w:t>年1月1日起至202</w:t>
      </w:r>
      <w:r>
        <w:rPr>
          <w:rStyle w:val="24"/>
          <w:rFonts w:hint="eastAsia" w:ascii="宋体" w:hAnsi="宋体" w:eastAsia="宋体" w:cs="宋体"/>
          <w:color w:val="auto"/>
          <w:sz w:val="24"/>
          <w:szCs w:val="24"/>
          <w:highlight w:val="none"/>
          <w:lang w:val="en-US" w:eastAsia="zh-CN"/>
        </w:rPr>
        <w:t>4</w:t>
      </w:r>
      <w:r>
        <w:rPr>
          <w:rStyle w:val="24"/>
          <w:rFonts w:hint="eastAsia" w:ascii="宋体" w:hAnsi="宋体" w:eastAsia="宋体" w:cs="宋体"/>
          <w:color w:val="auto"/>
          <w:sz w:val="24"/>
          <w:szCs w:val="24"/>
          <w:highlight w:val="none"/>
        </w:rPr>
        <w:t>年12月31日止</w:t>
      </w:r>
      <w:r>
        <w:rPr>
          <w:rFonts w:hint="eastAsia" w:ascii="宋体" w:hAnsi="宋体" w:eastAsia="宋体" w:cs="宋体"/>
          <w:color w:val="auto"/>
          <w:sz w:val="24"/>
          <w:szCs w:val="24"/>
          <w:highlight w:val="none"/>
        </w:rPr>
        <w:t>。</w:t>
      </w:r>
    </w:p>
    <w:p>
      <w:pPr>
        <w:pStyle w:val="16"/>
        <w:keepNext w:val="0"/>
        <w:keepLines w:val="0"/>
        <w:widowControl/>
        <w:suppressLineNumbers w:val="0"/>
        <w:spacing w:line="240" w:lineRule="auto"/>
        <w:rPr>
          <w:color w:val="auto"/>
          <w:sz w:val="24"/>
          <w:szCs w:val="24"/>
          <w:highlight w:val="none"/>
        </w:rPr>
      </w:pPr>
      <w:r>
        <w:rPr>
          <w:rFonts w:hint="eastAsia" w:ascii="宋体" w:hAnsi="宋体" w:eastAsia="宋体" w:cs="宋体"/>
          <w:color w:val="auto"/>
          <w:sz w:val="24"/>
          <w:szCs w:val="24"/>
          <w:highlight w:val="none"/>
        </w:rPr>
        <w:t>1.4本次确定的党政机关会议定点场所，全国各级党政机关工作人员会议均可以使用，并享受同等待遇。</w:t>
      </w:r>
    </w:p>
    <w:p>
      <w:pPr>
        <w:pStyle w:val="16"/>
        <w:keepNext w:val="0"/>
        <w:keepLines w:val="0"/>
        <w:widowControl/>
        <w:suppressLineNumbers w:val="0"/>
        <w:spacing w:line="240" w:lineRule="auto"/>
        <w:rPr>
          <w:color w:val="auto"/>
          <w:sz w:val="24"/>
          <w:szCs w:val="24"/>
          <w:highlight w:val="none"/>
        </w:rPr>
      </w:pPr>
      <w:r>
        <w:rPr>
          <w:rFonts w:hint="eastAsia" w:ascii="宋体" w:hAnsi="宋体" w:eastAsia="宋体" w:cs="宋体"/>
          <w:color w:val="auto"/>
          <w:sz w:val="24"/>
          <w:szCs w:val="24"/>
          <w:highlight w:val="none"/>
        </w:rPr>
        <w:t>1.5定点场所（</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）必须按不高于其投标报价的价格为党政机关会议提供饭店所有的标准间、单人间、会议室、餐饮。</w:t>
      </w:r>
    </w:p>
    <w:p>
      <w:pPr>
        <w:pStyle w:val="16"/>
        <w:keepNext w:val="0"/>
        <w:keepLines w:val="0"/>
        <w:widowControl/>
        <w:suppressLineNumbers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1.6定点场所应符合国家和福建省及福州市的相关规定。</w:t>
      </w:r>
    </w:p>
    <w:p>
      <w:pPr>
        <w:pStyle w:val="16"/>
        <w:widowControl/>
        <w:spacing w:before="75" w:beforeAutospacing="0" w:after="75" w:afterAutospacing="0" w:line="360" w:lineRule="auto"/>
        <w:rPr>
          <w:color w:val="auto"/>
          <w:highlight w:val="none"/>
        </w:rPr>
      </w:pPr>
      <w:r>
        <w:rPr>
          <w:rFonts w:hint="eastAsia" w:ascii="宋体" w:hAnsi="宋体" w:eastAsia="宋体" w:cs="宋体"/>
          <w:color w:val="auto"/>
          <w:highlight w:val="none"/>
        </w:rPr>
        <w:t>二、技术和服务要求</w:t>
      </w:r>
      <w:r>
        <w:rPr>
          <w:rStyle w:val="24"/>
          <w:rFonts w:hint="eastAsia" w:ascii="宋体" w:hAnsi="宋体" w:eastAsia="宋体" w:cs="宋体"/>
          <w:color w:val="auto"/>
          <w:highlight w:val="none"/>
        </w:rPr>
        <w:t>（以“★”标示的内容为不允许负偏离的实质性要求）</w:t>
      </w:r>
    </w:p>
    <w:p>
      <w:pPr>
        <w:pStyle w:val="16"/>
        <w:keepNext w:val="0"/>
        <w:keepLines w:val="0"/>
        <w:widowControl/>
        <w:suppressLineNumbers w:val="0"/>
        <w:spacing w:after="150" w:afterAutospacing="0" w:line="240" w:lineRule="auto"/>
        <w:jc w:val="both"/>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项号1</w:t>
      </w: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rPr>
        <w:t>★一、定点场所一览表</w:t>
      </w:r>
    </w:p>
    <w:tbl>
      <w:tblPr>
        <w:tblStyle w:val="20"/>
        <w:tblW w:w="8081"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757"/>
        <w:gridCol w:w="3387"/>
        <w:gridCol w:w="1608"/>
        <w:gridCol w:w="23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712"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0"/>
                <w:sz w:val="24"/>
                <w:szCs w:val="24"/>
                <w:highlight w:val="none"/>
              </w:rPr>
              <w:t>合同包</w:t>
            </w:r>
          </w:p>
        </w:tc>
        <w:tc>
          <w:tcPr>
            <w:tcW w:w="3357"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Style w:val="24"/>
                <w:rFonts w:hint="eastAsia" w:ascii="宋体" w:hAnsi="宋体" w:eastAsia="宋体" w:cs="宋体"/>
                <w:color w:val="auto"/>
                <w:spacing w:val="0"/>
                <w:sz w:val="24"/>
                <w:szCs w:val="24"/>
                <w:highlight w:val="none"/>
              </w:rPr>
              <w:t>采购内容</w:t>
            </w:r>
          </w:p>
        </w:tc>
        <w:tc>
          <w:tcPr>
            <w:tcW w:w="1578"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Style w:val="24"/>
                <w:rFonts w:hint="eastAsia" w:ascii="宋体" w:hAnsi="宋体" w:eastAsia="宋体" w:cs="宋体"/>
                <w:color w:val="auto"/>
                <w:spacing w:val="0"/>
                <w:sz w:val="24"/>
                <w:szCs w:val="24"/>
                <w:highlight w:val="none"/>
              </w:rPr>
              <w:t>房费最高限价</w:t>
            </w:r>
          </w:p>
        </w:tc>
        <w:tc>
          <w:tcPr>
            <w:tcW w:w="2284"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Style w:val="24"/>
                <w:rFonts w:hint="eastAsia" w:ascii="宋体" w:hAnsi="宋体" w:eastAsia="宋体" w:cs="宋体"/>
                <w:color w:val="auto"/>
                <w:spacing w:val="0"/>
                <w:sz w:val="24"/>
                <w:szCs w:val="24"/>
                <w:highlight w:val="none"/>
              </w:rPr>
              <w:t>经营场所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49" w:hRule="atLeast"/>
          <w:tblCellSpacing w:w="15" w:type="dxa"/>
        </w:trPr>
        <w:tc>
          <w:tcPr>
            <w:tcW w:w="712"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textAlignment w:val="baseline"/>
              <w:rPr>
                <w:rFonts w:hint="eastAsia" w:ascii="宋体" w:hAnsi="宋体" w:eastAsia="宋体" w:cs="宋体"/>
                <w:color w:val="auto"/>
                <w:sz w:val="24"/>
                <w:szCs w:val="24"/>
                <w:highlight w:val="none"/>
              </w:rPr>
            </w:pPr>
            <w:r>
              <w:rPr>
                <w:rStyle w:val="24"/>
                <w:rFonts w:hint="eastAsia" w:ascii="宋体" w:hAnsi="宋体" w:eastAsia="宋体" w:cs="宋体"/>
                <w:color w:val="auto"/>
                <w:spacing w:val="0"/>
                <w:sz w:val="24"/>
                <w:szCs w:val="24"/>
                <w:highlight w:val="none"/>
                <w:vertAlign w:val="baseline"/>
              </w:rPr>
              <w:t>1</w:t>
            </w:r>
          </w:p>
        </w:tc>
        <w:tc>
          <w:tcPr>
            <w:tcW w:w="3357"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2023-2024年党政机关会议定点场所采购项目</w:t>
            </w:r>
            <w:r>
              <w:rPr>
                <w:rFonts w:hint="eastAsia" w:ascii="宋体" w:hAnsi="宋体" w:eastAsia="宋体" w:cs="宋体"/>
                <w:color w:val="auto"/>
                <w:spacing w:val="0"/>
                <w:sz w:val="24"/>
                <w:szCs w:val="24"/>
                <w:highlight w:val="none"/>
              </w:rPr>
              <w:t> </w:t>
            </w:r>
          </w:p>
        </w:tc>
        <w:tc>
          <w:tcPr>
            <w:tcW w:w="1578"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标准间（单人间）</w:t>
            </w:r>
          </w:p>
          <w:p>
            <w:pPr>
              <w:pStyle w:val="16"/>
              <w:keepNext w:val="0"/>
              <w:keepLines w:val="0"/>
              <w:widowControl/>
              <w:suppressLineNumbers w:val="0"/>
              <w:spacing w:line="24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400元/天；</w:t>
            </w:r>
          </w:p>
        </w:tc>
        <w:tc>
          <w:tcPr>
            <w:tcW w:w="2284"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福清市</w:t>
            </w:r>
          </w:p>
        </w:tc>
      </w:tr>
    </w:tbl>
    <w:p>
      <w:pPr>
        <w:pStyle w:val="16"/>
        <w:keepNext w:val="0"/>
        <w:keepLines w:val="0"/>
        <w:widowControl/>
        <w:suppressLineNumbers w:val="0"/>
        <w:spacing w:line="240" w:lineRule="auto"/>
        <w:ind w:left="0" w:firstLine="0"/>
        <w:jc w:val="both"/>
        <w:rPr>
          <w:rFonts w:hint="eastAsia" w:ascii="宋体" w:hAnsi="宋体" w:eastAsia="宋体" w:cs="宋体"/>
          <w:color w:val="auto"/>
          <w:sz w:val="24"/>
          <w:szCs w:val="24"/>
          <w:highlight w:val="none"/>
        </w:rPr>
      </w:pPr>
      <w:r>
        <w:rPr>
          <w:rStyle w:val="24"/>
          <w:rFonts w:hint="eastAsia" w:ascii="宋体" w:hAnsi="宋体" w:eastAsia="宋体" w:cs="宋体"/>
          <w:color w:val="auto"/>
          <w:spacing w:val="0"/>
          <w:sz w:val="24"/>
          <w:szCs w:val="24"/>
          <w:highlight w:val="none"/>
        </w:rPr>
        <w:t>二、住宿费开支标准及</w:t>
      </w:r>
      <w:r>
        <w:rPr>
          <w:rStyle w:val="24"/>
          <w:rFonts w:hint="eastAsia" w:ascii="宋体" w:hAnsi="宋体" w:eastAsia="宋体" w:cs="宋体"/>
          <w:color w:val="auto"/>
          <w:spacing w:val="0"/>
          <w:sz w:val="24"/>
          <w:szCs w:val="24"/>
          <w:highlight w:val="none"/>
          <w:lang w:val="en-US" w:eastAsia="zh-CN"/>
        </w:rPr>
        <w:t>响应</w:t>
      </w:r>
      <w:r>
        <w:rPr>
          <w:rStyle w:val="24"/>
          <w:rFonts w:hint="eastAsia" w:ascii="宋体" w:hAnsi="宋体" w:eastAsia="宋体" w:cs="宋体"/>
          <w:color w:val="auto"/>
          <w:spacing w:val="0"/>
          <w:sz w:val="24"/>
          <w:szCs w:val="24"/>
          <w:highlight w:val="none"/>
        </w:rPr>
        <w:t>重要说明</w:t>
      </w:r>
    </w:p>
    <w:p>
      <w:pPr>
        <w:pStyle w:val="16"/>
        <w:keepNext w:val="0"/>
        <w:keepLines w:val="0"/>
        <w:widowControl/>
        <w:suppressLineNumbers w:val="0"/>
        <w:spacing w:line="240" w:lineRule="auto"/>
        <w:ind w:left="0" w:firstLine="24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项号2</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标准间或单人间的所有报价（包括任一单一标准间或单人间报价）均不得超过400元，否则其按无效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处理。（若</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在本项目</w:t>
      </w:r>
      <w:r>
        <w:rPr>
          <w:rFonts w:hint="eastAsia" w:ascii="宋体" w:hAnsi="宋体" w:eastAsia="宋体" w:cs="宋体"/>
          <w:color w:val="auto"/>
          <w:sz w:val="24"/>
          <w:szCs w:val="24"/>
          <w:highlight w:val="none"/>
          <w:lang w:val="en-US" w:eastAsia="zh-CN"/>
        </w:rPr>
        <w:t>征集</w:t>
      </w:r>
      <w:r>
        <w:rPr>
          <w:rFonts w:hint="eastAsia" w:ascii="宋体" w:hAnsi="宋体" w:eastAsia="宋体" w:cs="宋体"/>
          <w:color w:val="auto"/>
          <w:sz w:val="24"/>
          <w:szCs w:val="24"/>
          <w:highlight w:val="none"/>
        </w:rPr>
        <w:t>公告发布之前与党政机关签订会议酒店协议尚在协议期内的，本次报价不得高于之前协议价格且不得高于本项目最高限价。）</w:t>
      </w:r>
    </w:p>
    <w:p>
      <w:pPr>
        <w:pStyle w:val="16"/>
        <w:keepNext w:val="0"/>
        <w:keepLines w:val="0"/>
        <w:widowControl/>
        <w:suppressLineNumbers w:val="0"/>
        <w:spacing w:line="240" w:lineRule="auto"/>
        <w:ind w:left="0" w:firstLine="24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项号3</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szCs w:val="24"/>
          <w:highlight w:val="none"/>
        </w:rPr>
        <w:t>2、</w:t>
      </w:r>
      <w:r>
        <w:rPr>
          <w:rStyle w:val="24"/>
          <w:rFonts w:hint="eastAsia" w:ascii="宋体" w:hAnsi="宋体" w:eastAsia="宋体" w:cs="宋体"/>
          <w:color w:val="auto"/>
          <w:spacing w:val="0"/>
          <w:sz w:val="24"/>
          <w:szCs w:val="24"/>
          <w:highlight w:val="none"/>
          <w:lang w:val="en-US" w:eastAsia="zh-CN"/>
        </w:rPr>
        <w:t>供应商</w:t>
      </w:r>
      <w:r>
        <w:rPr>
          <w:rStyle w:val="24"/>
          <w:rFonts w:hint="eastAsia" w:ascii="宋体" w:hAnsi="宋体" w:eastAsia="宋体" w:cs="宋体"/>
          <w:color w:val="auto"/>
          <w:spacing w:val="0"/>
          <w:sz w:val="24"/>
          <w:szCs w:val="24"/>
          <w:highlight w:val="none"/>
        </w:rPr>
        <w:t>对标准间、单人间按同一价格报价、结算。</w:t>
      </w:r>
    </w:p>
    <w:p>
      <w:pPr>
        <w:pStyle w:val="16"/>
        <w:keepNext w:val="0"/>
        <w:keepLines w:val="0"/>
        <w:widowControl/>
        <w:suppressLineNumbers w:val="0"/>
        <w:spacing w:line="240" w:lineRule="auto"/>
        <w:ind w:left="0" w:firstLine="24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项号4</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3、</w:t>
      </w:r>
      <w:r>
        <w:rPr>
          <w:rStyle w:val="24"/>
          <w:rFonts w:hint="eastAsia" w:ascii="宋体" w:hAnsi="宋体" w:eastAsia="宋体" w:cs="宋体"/>
          <w:color w:val="auto"/>
          <w:spacing w:val="0"/>
          <w:sz w:val="24"/>
          <w:szCs w:val="24"/>
          <w:highlight w:val="none"/>
          <w:lang w:eastAsia="zh-CN"/>
        </w:rPr>
        <w:t>供应商</w:t>
      </w:r>
      <w:r>
        <w:rPr>
          <w:rStyle w:val="24"/>
          <w:rFonts w:hint="eastAsia" w:ascii="宋体" w:hAnsi="宋体" w:eastAsia="宋体" w:cs="宋体"/>
          <w:color w:val="auto"/>
          <w:spacing w:val="0"/>
          <w:sz w:val="24"/>
          <w:szCs w:val="24"/>
          <w:highlight w:val="none"/>
        </w:rPr>
        <w:t>的客房报价应包含自助早餐的费用。</w:t>
      </w:r>
      <w:r>
        <w:rPr>
          <w:rStyle w:val="24"/>
          <w:rFonts w:hint="eastAsia" w:ascii="宋体" w:hAnsi="宋体" w:eastAsia="宋体" w:cs="宋体"/>
          <w:color w:val="auto"/>
          <w:spacing w:val="0"/>
          <w:sz w:val="24"/>
          <w:szCs w:val="24"/>
          <w:highlight w:val="none"/>
          <w:lang w:eastAsia="zh-CN"/>
        </w:rPr>
        <w:t>供应商</w:t>
      </w:r>
      <w:r>
        <w:rPr>
          <w:rStyle w:val="24"/>
          <w:rFonts w:hint="eastAsia" w:ascii="宋体" w:hAnsi="宋体" w:eastAsia="宋体" w:cs="宋体"/>
          <w:color w:val="auto"/>
          <w:spacing w:val="0"/>
          <w:sz w:val="24"/>
          <w:szCs w:val="24"/>
          <w:highlight w:val="none"/>
        </w:rPr>
        <w:t>应对会议车辆提供免费车位。</w:t>
      </w:r>
    </w:p>
    <w:p>
      <w:pPr>
        <w:pStyle w:val="16"/>
        <w:keepNext w:val="0"/>
        <w:keepLines w:val="0"/>
        <w:widowControl/>
        <w:suppressLineNumbers w:val="0"/>
        <w:spacing w:line="240" w:lineRule="auto"/>
        <w:ind w:left="0" w:firstLine="24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项号5</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szCs w:val="24"/>
          <w:highlight w:val="none"/>
        </w:rPr>
        <w:t>4、</w:t>
      </w:r>
      <w:r>
        <w:rPr>
          <w:rFonts w:hint="eastAsia" w:ascii="宋体" w:hAnsi="宋体" w:eastAsia="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应在</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中提交按一、二类会议每人150元/天和三、四类会议每人130元/天标准的午餐和晚餐方案，且须有自助餐和桌餐二种供餐方案。</w:t>
      </w:r>
    </w:p>
    <w:p>
      <w:pPr>
        <w:pStyle w:val="16"/>
        <w:keepNext w:val="0"/>
        <w:keepLines w:val="0"/>
        <w:widowControl/>
        <w:suppressLineNumbers w:val="0"/>
        <w:spacing w:line="240" w:lineRule="auto"/>
        <w:ind w:left="0" w:firstLine="24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项号6</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应对本项目提供价格优惠。</w:t>
      </w:r>
    </w:p>
    <w:p>
      <w:pPr>
        <w:pStyle w:val="16"/>
        <w:keepNext w:val="0"/>
        <w:keepLines w:val="0"/>
        <w:widowControl/>
        <w:suppressLineNumbers w:val="0"/>
        <w:spacing w:line="240" w:lineRule="auto"/>
        <w:ind w:left="0" w:firstLine="24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项号7</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★6、根据工作实际需要，各党政机关在办会时可自行选择客房、会议室、伙食等具体服务项目的种类和数量，并按实际发生金额与定点场所进行结算。</w:t>
      </w:r>
    </w:p>
    <w:p>
      <w:pPr>
        <w:pStyle w:val="16"/>
        <w:keepNext w:val="0"/>
        <w:keepLines w:val="0"/>
        <w:widowControl/>
        <w:suppressLineNumbers w:val="0"/>
        <w:spacing w:line="240" w:lineRule="auto"/>
        <w:jc w:val="both"/>
        <w:rPr>
          <w:rFonts w:hint="eastAsia" w:ascii="宋体" w:hAnsi="宋体" w:eastAsia="宋体" w:cs="宋体"/>
          <w:color w:val="auto"/>
          <w:sz w:val="24"/>
          <w:szCs w:val="24"/>
          <w:highlight w:val="none"/>
        </w:rPr>
      </w:pPr>
      <w:r>
        <w:rPr>
          <w:rStyle w:val="24"/>
          <w:rFonts w:hint="eastAsia" w:ascii="宋体" w:hAnsi="宋体" w:eastAsia="宋体" w:cs="宋体"/>
          <w:color w:val="auto"/>
          <w:spacing w:val="0"/>
          <w:sz w:val="24"/>
          <w:szCs w:val="24"/>
          <w:highlight w:val="none"/>
        </w:rPr>
        <w:t>三、 定点场所的硬件和服务要求</w:t>
      </w:r>
    </w:p>
    <w:p>
      <w:pPr>
        <w:pStyle w:val="16"/>
        <w:keepNext w:val="0"/>
        <w:keepLines w:val="0"/>
        <w:widowControl/>
        <w:suppressLineNumbers w:val="0"/>
        <w:spacing w:after="0" w:afterAutospacing="0" w:line="240" w:lineRule="auto"/>
        <w:ind w:left="0" w:firstLine="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项号8</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szCs w:val="24"/>
          <w:highlight w:val="none"/>
        </w:rPr>
        <w:t>1、酒店布局合理，方便接待使用。</w:t>
      </w:r>
    </w:p>
    <w:p>
      <w:pPr>
        <w:pStyle w:val="16"/>
        <w:keepNext w:val="0"/>
        <w:keepLines w:val="0"/>
        <w:widowControl/>
        <w:suppressLineNumbers w:val="0"/>
        <w:spacing w:after="0" w:afterAutospacing="0" w:line="240" w:lineRule="auto"/>
        <w:ind w:left="0" w:firstLine="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项号9</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2、有空调设施，各区域通风良好，温湿度适宜。</w:t>
      </w:r>
    </w:p>
    <w:p>
      <w:pPr>
        <w:pStyle w:val="16"/>
        <w:keepNext w:val="0"/>
        <w:keepLines w:val="0"/>
        <w:widowControl/>
        <w:suppressLineNumbers w:val="0"/>
        <w:spacing w:after="0" w:afterAutospacing="0" w:line="240" w:lineRule="auto"/>
        <w:ind w:left="0" w:firstLine="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项号10</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3、参加</w:t>
      </w:r>
      <w:r>
        <w:rPr>
          <w:rFonts w:hint="eastAsia" w:ascii="宋体" w:hAnsi="宋体" w:eastAsia="宋体" w:cs="宋体"/>
          <w:color w:val="auto"/>
          <w:spacing w:val="0"/>
          <w:sz w:val="24"/>
          <w:szCs w:val="24"/>
          <w:highlight w:val="none"/>
          <w:lang w:val="en-US" w:eastAsia="zh-CN"/>
        </w:rPr>
        <w:t>响应</w:t>
      </w:r>
      <w:r>
        <w:rPr>
          <w:rFonts w:hint="eastAsia" w:ascii="宋体" w:hAnsi="宋体" w:eastAsia="宋体" w:cs="宋体"/>
          <w:color w:val="auto"/>
          <w:spacing w:val="0"/>
          <w:sz w:val="24"/>
          <w:szCs w:val="24"/>
          <w:highlight w:val="none"/>
        </w:rPr>
        <w:t>的，须分别提交会议合理的客房、配餐等接待方案。</w:t>
      </w:r>
    </w:p>
    <w:p>
      <w:pPr>
        <w:pStyle w:val="16"/>
        <w:keepNext w:val="0"/>
        <w:keepLines w:val="0"/>
        <w:widowControl/>
        <w:suppressLineNumbers w:val="0"/>
        <w:spacing w:after="0" w:afterAutospacing="0" w:line="240" w:lineRule="auto"/>
        <w:ind w:left="0" w:firstLine="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项号11</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4、有计算机管理系统，各种设备设施养护良好，使用安全、有效。</w:t>
      </w:r>
    </w:p>
    <w:p>
      <w:pPr>
        <w:pStyle w:val="16"/>
        <w:keepNext w:val="0"/>
        <w:keepLines w:val="0"/>
        <w:widowControl/>
        <w:suppressLineNumbers w:val="0"/>
        <w:spacing w:after="0" w:afterAutospacing="0" w:line="240" w:lineRule="auto"/>
        <w:ind w:left="0" w:firstLine="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项号12</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szCs w:val="24"/>
          <w:highlight w:val="none"/>
        </w:rPr>
        <w:t>5、各项管理规章制度健全。</w:t>
      </w:r>
    </w:p>
    <w:p>
      <w:pPr>
        <w:pStyle w:val="16"/>
        <w:keepNext w:val="0"/>
        <w:keepLines w:val="0"/>
        <w:widowControl/>
        <w:suppressLineNumbers w:val="0"/>
        <w:spacing w:after="0" w:afterAutospacing="0" w:line="24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6、前厅：</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项号13</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szCs w:val="24"/>
          <w:highlight w:val="none"/>
        </w:rPr>
        <w:t>6.1有与接待能力相适应的前厅，配有时钟、公用电话等，在非经营区设置客人休息场所，配备沙发或舒适的座椅。</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项号14</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6.2 设迎宾员，16(7:00—23:00)小时迎接客人；设大堂经理，16(7:00—23:00)小时服务；设值班经理，24小时服务。</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项号15</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szCs w:val="24"/>
          <w:highlight w:val="none"/>
        </w:rPr>
        <w:t>6.3提供小件行李和贵重物品寄存服务。有供客人使用的行李车，提供行李服务。</w:t>
      </w:r>
    </w:p>
    <w:p>
      <w:pPr>
        <w:pStyle w:val="16"/>
        <w:keepNext w:val="0"/>
        <w:keepLines w:val="0"/>
        <w:widowControl/>
        <w:suppressLineNumbers w:val="0"/>
        <w:spacing w:after="0" w:afterAutospacing="0" w:line="24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7、总服务台：</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项号16</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7.1总服务台分区段设置接待、问讯、结帐、留言等服务项目，提供24小时服务。</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项号17</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szCs w:val="24"/>
          <w:highlight w:val="none"/>
        </w:rPr>
        <w:t>7.2总服务台提供服务项目宣传品、价目表。</w:t>
      </w:r>
    </w:p>
    <w:p>
      <w:pPr>
        <w:pStyle w:val="16"/>
        <w:keepNext w:val="0"/>
        <w:keepLines w:val="0"/>
        <w:widowControl/>
        <w:suppressLineNumbers w:val="0"/>
        <w:spacing w:after="0" w:afterAutospacing="0" w:line="24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8、客房：</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项号18</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szCs w:val="24"/>
          <w:highlight w:val="none"/>
        </w:rPr>
        <w:t>8.1符合要求的标准间和单人间共计不少于30间，使用面积不小于15平方米（不含卫生间面积），卫生间面积不小于3平方米。</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项号19</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szCs w:val="24"/>
          <w:highlight w:val="none"/>
        </w:rPr>
        <w:t>8.2客房配备软垫床、沙发或扶手椅、茶几、衣橱、写字台（或梳妆台）、床头柜、床头灯、台灯、窗帘等配套家具和装饰用品。有空调、彩电、闭路电视系统，可通过总机拨通国内国际长途电话。备有信封、信纸、笔、服务指南、住宿须知、价目表等。</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项号20</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8.3卫生间装有抽水马桶、带台面的面盆、梳妆镜、带淋浴喷头的浴缸（或独立的淋浴间）、浴帘，配备浴巾、面巾、小方巾、卫生用品等。有良好的照明和排风设施。采取有效的防滑措施。24小时供应冷、热水。</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项号21</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szCs w:val="24"/>
          <w:highlight w:val="none"/>
        </w:rPr>
        <w:t>8.4提供开夜床、叫醒等服务，24小时供应开水（饮用水）并免费供应茶叶。</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项号22</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8.5客房、卫生间每天全面整理一次，每会或应客人要求更换床单、被罩和枕套，随时补充客用品、消耗品。</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项号23</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8.6客房应含免费早餐。</w:t>
      </w:r>
    </w:p>
    <w:p>
      <w:pPr>
        <w:pStyle w:val="16"/>
        <w:keepNext w:val="0"/>
        <w:keepLines w:val="0"/>
        <w:widowControl/>
        <w:suppressLineNumbers w:val="0"/>
        <w:spacing w:after="0" w:afterAutospacing="0" w:line="24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9、餐厅：</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项号24</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szCs w:val="24"/>
          <w:highlight w:val="none"/>
        </w:rPr>
        <w:t>9.1大餐厅至少能同时接待50人就餐，有3个以上中、小餐厅（包间）。</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项号25</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szCs w:val="24"/>
          <w:highlight w:val="none"/>
        </w:rPr>
        <w:t>9.2家具、餐具、酒具、用品配套完好，使用布料的桌布、口布、小毛巾。</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项号26</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9.3提供早、中、晚餐，晚餐客人点菜时间不得早于20时结束，并能根据客人需要提供桌餐和自助餐</w:t>
      </w:r>
      <w:r>
        <w:rPr>
          <w:rFonts w:hint="eastAsia" w:ascii="宋体" w:hAnsi="宋体" w:eastAsia="宋体" w:cs="宋体"/>
          <w:color w:val="auto"/>
          <w:spacing w:val="0"/>
          <w:sz w:val="24"/>
          <w:szCs w:val="24"/>
          <w:highlight w:val="none"/>
          <w:u w:val="single"/>
        </w:rPr>
        <w:t>（必须能够提供自助餐）</w:t>
      </w:r>
      <w:r>
        <w:rPr>
          <w:rFonts w:hint="eastAsia" w:ascii="宋体" w:hAnsi="宋体" w:eastAsia="宋体" w:cs="宋体"/>
          <w:color w:val="auto"/>
          <w:spacing w:val="0"/>
          <w:sz w:val="24"/>
          <w:szCs w:val="24"/>
          <w:highlight w:val="none"/>
        </w:rPr>
        <w:t>等服务</w:t>
      </w:r>
      <w:r>
        <w:rPr>
          <w:rFonts w:hint="eastAsia" w:ascii="宋体" w:hAnsi="宋体" w:eastAsia="宋体" w:cs="宋体"/>
          <w:color w:val="auto"/>
          <w:sz w:val="24"/>
          <w:szCs w:val="24"/>
          <w:highlight w:val="none"/>
        </w:rPr>
        <w:t>。</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项号27</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szCs w:val="24"/>
          <w:highlight w:val="none"/>
        </w:rPr>
        <w:t>9.4能提供3种以上风味菜系的菜肴，能提供宴会服务等。</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项号28</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szCs w:val="24"/>
          <w:highlight w:val="none"/>
        </w:rPr>
        <w:t>9.5</w:t>
      </w:r>
      <w:r>
        <w:rPr>
          <w:rFonts w:hint="eastAsia" w:ascii="宋体" w:hAnsi="宋体" w:eastAsia="宋体" w:cs="宋体"/>
          <w:color w:val="auto"/>
          <w:sz w:val="24"/>
          <w:szCs w:val="24"/>
          <w:highlight w:val="none"/>
        </w:rPr>
        <w:t>根据会议类别分别能够提供标准为130元/天·人和150元/天·人的自助餐及桌餐。</w:t>
      </w:r>
    </w:p>
    <w:p>
      <w:pPr>
        <w:pStyle w:val="16"/>
        <w:keepNext w:val="0"/>
        <w:keepLines w:val="0"/>
        <w:widowControl/>
        <w:suppressLineNumbers w:val="0"/>
        <w:spacing w:after="0" w:afterAutospacing="0" w:line="240" w:lineRule="auto"/>
        <w:ind w:left="0" w:firstLine="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项号29</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10、厨房：</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10.1有符合国家卫生标准的操作间，有足够的冷库。墙壁地面满铺瓷砖（或保洁材料），有地槽、吊顶。全部使用不锈钢工作台及优质的厨柜、厨具、用具，有洗刷、消毒设备。有封闭的垃圾箱。</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10.2冷荤间、面点间独立分隔，冷荤间有消毒保鲜设备。</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10.3厨房与餐厅之间有隔音、隔热、隔气味设施。</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10.4有防蚊蝇、防鼠、防蟑螂等有效措施。</w:t>
      </w:r>
    </w:p>
    <w:p>
      <w:pPr>
        <w:pStyle w:val="16"/>
        <w:keepNext w:val="0"/>
        <w:keepLines w:val="0"/>
        <w:widowControl/>
        <w:suppressLineNumbers w:val="0"/>
        <w:spacing w:after="0" w:afterAutospacing="0" w:line="24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11、会议室：</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项号30</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szCs w:val="24"/>
          <w:highlight w:val="none"/>
        </w:rPr>
        <w:t>11.1 至少有一个50座位以上的大会议室</w:t>
      </w:r>
      <w:r>
        <w:rPr>
          <w:rFonts w:hint="eastAsia" w:ascii="宋体" w:hAnsi="宋体" w:eastAsia="宋体" w:cs="宋体"/>
          <w:color w:val="auto"/>
          <w:sz w:val="24"/>
          <w:szCs w:val="24"/>
          <w:highlight w:val="none"/>
        </w:rPr>
        <w:t>，配有贵宾室、衣帽间（或存衣处）；</w:t>
      </w:r>
      <w:r>
        <w:rPr>
          <w:rFonts w:hint="eastAsia" w:ascii="宋体" w:hAnsi="宋体" w:eastAsia="宋体" w:cs="宋体"/>
          <w:color w:val="auto"/>
          <w:spacing w:val="0"/>
          <w:sz w:val="24"/>
          <w:szCs w:val="24"/>
          <w:highlight w:val="none"/>
        </w:rPr>
        <w:t>有2个以上不同风格的中小会议室（洽谈室）。室内配备冷暖空调、沙发、茶几、会议桌椅，茶具用具齐备。大会议室配备满足需要的音响设备，有供租用的多媒体演示设备（电脑、实物投影仪、多媒体投影仪）。</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项号31</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11.2有较宽敞的楼层厅堂和会间客人休息场所。</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项号32</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szCs w:val="24"/>
          <w:highlight w:val="none"/>
        </w:rPr>
        <w:t>11.3会议室所在楼层的适当位置设有公共电话，并设置相应数量的男女分设的卫生间。</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项号33</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szCs w:val="24"/>
          <w:highlight w:val="none"/>
        </w:rPr>
        <w:t>11.4会议室设专职服务员。</w:t>
      </w:r>
    </w:p>
    <w:p>
      <w:pPr>
        <w:pStyle w:val="16"/>
        <w:keepNext w:val="0"/>
        <w:keepLines w:val="0"/>
        <w:widowControl/>
        <w:suppressLineNumbers w:val="0"/>
        <w:spacing w:after="0" w:afterAutospacing="0" w:line="24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12、公共区域：</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项号34</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szCs w:val="24"/>
          <w:highlight w:val="none"/>
        </w:rPr>
        <w:t>12.1应有与酒店规模相适应的停车场，自备（免费）停车位不少于房间数的15%。</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项号35</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12.2有与酒店规模相适应的客用电梯。</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项号36</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szCs w:val="24"/>
          <w:highlight w:val="none"/>
        </w:rPr>
        <w:t>12.3室内公共区域有冷暖空调，设置应急照明设施和男女分设的公共卫生间。</w:t>
      </w:r>
    </w:p>
    <w:p>
      <w:pPr>
        <w:pStyle w:val="16"/>
        <w:keepNext w:val="0"/>
        <w:keepLines w:val="0"/>
        <w:widowControl/>
        <w:suppressLineNumbers w:val="0"/>
        <w:spacing w:after="0" w:afterAutospacing="0" w:line="24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13、综合服务：</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项号37</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szCs w:val="24"/>
          <w:highlight w:val="none"/>
        </w:rPr>
        <w:t>13.1提供打印、复印、发传真和电子邮件等商务服务。</w:t>
      </w:r>
    </w:p>
    <w:p>
      <w:pPr>
        <w:pStyle w:val="16"/>
        <w:keepNext w:val="0"/>
        <w:keepLines w:val="0"/>
        <w:widowControl/>
        <w:suppressLineNumbers w:val="0"/>
        <w:spacing w:after="0" w:afterAutospacing="0" w:line="240" w:lineRule="auto"/>
        <w:ind w:left="0" w:firstLine="48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项号38</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szCs w:val="24"/>
          <w:highlight w:val="none"/>
        </w:rPr>
        <w:t>13.2有方便客人投诉的措施。</w:t>
      </w:r>
    </w:p>
    <w:p>
      <w:pPr>
        <w:pStyle w:val="16"/>
        <w:keepNext w:val="0"/>
        <w:keepLines w:val="0"/>
        <w:widowControl/>
        <w:suppressLineNumbers w:val="0"/>
        <w:spacing w:after="0" w:afterAutospacing="0" w:line="24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14、安全</w:t>
      </w:r>
    </w:p>
    <w:p>
      <w:pPr>
        <w:pStyle w:val="16"/>
        <w:keepNext w:val="0"/>
        <w:keepLines w:val="0"/>
        <w:widowControl/>
        <w:suppressLineNumbers w:val="0"/>
        <w:spacing w:after="0" w:afterAutospacing="0" w:line="240" w:lineRule="auto"/>
        <w:ind w:left="0" w:firstLine="57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项号39</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pacing w:val="0"/>
          <w:sz w:val="24"/>
          <w:szCs w:val="24"/>
          <w:highlight w:val="none"/>
        </w:rPr>
        <w:t>14.1应具备合格的消防设备设施。</w:t>
      </w:r>
    </w:p>
    <w:p>
      <w:pPr>
        <w:pStyle w:val="16"/>
        <w:keepNext w:val="0"/>
        <w:keepLines w:val="0"/>
        <w:widowControl/>
        <w:suppressLineNumbers w:val="0"/>
        <w:spacing w:after="0" w:afterAutospacing="0" w:line="240" w:lineRule="auto"/>
        <w:ind w:left="0" w:firstLine="57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项号40</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14.2应具备对公共区域监控、录像24小时的设备设施。</w:t>
      </w:r>
    </w:p>
    <w:p>
      <w:pPr>
        <w:pStyle w:val="16"/>
        <w:keepNext w:val="0"/>
        <w:keepLines w:val="0"/>
        <w:widowControl/>
        <w:suppressLineNumbers w:val="0"/>
        <w:spacing w:after="0" w:afterAutospacing="0" w:line="240" w:lineRule="auto"/>
        <w:ind w:left="0" w:firstLine="600"/>
        <w:rPr>
          <w:rFonts w:hint="eastAsia" w:ascii="宋体" w:hAnsi="宋体" w:eastAsia="宋体" w:cs="宋体"/>
          <w:color w:val="auto"/>
          <w:spacing w:val="0"/>
          <w:sz w:val="24"/>
          <w:szCs w:val="24"/>
          <w:highlight w:val="none"/>
        </w:rPr>
      </w:pPr>
      <w:r>
        <w:rPr>
          <w:rStyle w:val="24"/>
          <w:rFonts w:hint="eastAsia" w:ascii="宋体" w:hAnsi="宋体" w:eastAsia="宋体" w:cs="宋体"/>
          <w:color w:val="auto"/>
          <w:sz w:val="24"/>
          <w:szCs w:val="24"/>
          <w:highlight w:val="none"/>
          <w:lang w:eastAsia="zh-CN"/>
        </w:rPr>
        <w:t>（</w:t>
      </w:r>
      <w:r>
        <w:rPr>
          <w:rStyle w:val="24"/>
          <w:rFonts w:hint="eastAsia" w:ascii="宋体" w:hAnsi="宋体" w:eastAsia="宋体" w:cs="宋体"/>
          <w:color w:val="auto"/>
          <w:sz w:val="24"/>
          <w:szCs w:val="24"/>
          <w:highlight w:val="none"/>
          <w:lang w:val="en-US" w:eastAsia="zh-CN"/>
        </w:rPr>
        <w:t>项号41</w:t>
      </w:r>
      <w:r>
        <w:rPr>
          <w:rStyle w:val="24"/>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14.3应具备相应的保安人员和保卫措施。</w:t>
      </w: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color w:val="auto"/>
          <w:highlight w:val="none"/>
        </w:rPr>
      </w:pPr>
    </w:p>
    <w:p>
      <w:pPr>
        <w:rPr>
          <w:rFonts w:hint="eastAsia"/>
          <w:color w:val="auto"/>
          <w:highlight w:val="none"/>
        </w:rPr>
      </w:pPr>
    </w:p>
    <w:p>
      <w:pPr>
        <w:pStyle w:val="16"/>
        <w:widowControl/>
        <w:spacing w:before="75" w:beforeAutospacing="0" w:after="75" w:afterAutospacing="0"/>
        <w:rPr>
          <w:rStyle w:val="24"/>
          <w:rFonts w:ascii="宋体" w:hAnsi="宋体" w:eastAsia="宋体" w:cs="宋体"/>
          <w:color w:val="auto"/>
          <w:highlight w:val="none"/>
        </w:rPr>
      </w:pPr>
      <w:r>
        <w:rPr>
          <w:rFonts w:hint="eastAsia" w:ascii="宋体" w:hAnsi="宋体" w:eastAsia="宋体" w:cs="宋体"/>
          <w:color w:val="auto"/>
          <w:highlight w:val="none"/>
        </w:rPr>
        <w:t>三、商务条件</w:t>
      </w:r>
      <w:r>
        <w:rPr>
          <w:rStyle w:val="24"/>
          <w:rFonts w:hint="eastAsia" w:ascii="宋体" w:hAnsi="宋体" w:eastAsia="宋体" w:cs="宋体"/>
          <w:color w:val="auto"/>
          <w:highlight w:val="none"/>
        </w:rPr>
        <w:t>（以“★”标示的内容为不允许负偏离的实质性要求）</w:t>
      </w:r>
    </w:p>
    <w:p>
      <w:pPr>
        <w:pStyle w:val="16"/>
        <w:widowControl/>
        <w:spacing w:before="75" w:beforeAutospacing="0" w:after="75" w:afterAutospacing="0" w:line="360" w:lineRule="auto"/>
        <w:rPr>
          <w:rStyle w:val="24"/>
          <w:rFonts w:ascii="宋体" w:hAnsi="宋体" w:eastAsia="宋体" w:cs="宋体"/>
          <w:color w:val="auto"/>
          <w:highlight w:val="none"/>
        </w:rPr>
      </w:pPr>
      <w:r>
        <w:rPr>
          <w:rStyle w:val="24"/>
          <w:rFonts w:hint="eastAsia" w:ascii="宋体" w:hAnsi="宋体" w:eastAsia="宋体" w:cs="宋体"/>
          <w:color w:val="auto"/>
          <w:highlight w:val="none"/>
        </w:rPr>
        <w:t>包：1</w:t>
      </w:r>
    </w:p>
    <w:p>
      <w:pPr>
        <w:pStyle w:val="16"/>
        <w:widowControl/>
        <w:spacing w:before="75" w:beforeAutospacing="0" w:after="75" w:afterAutospacing="0" w:line="360" w:lineRule="auto"/>
        <w:rPr>
          <w:rStyle w:val="24"/>
          <w:rFonts w:hint="eastAsia" w:ascii="宋体" w:hAnsi="宋体" w:eastAsia="宋体" w:cs="宋体"/>
          <w:color w:val="auto"/>
          <w:highlight w:val="none"/>
          <w:lang w:eastAsia="zh-CN"/>
        </w:rPr>
      </w:pPr>
      <w:r>
        <w:rPr>
          <w:rStyle w:val="24"/>
          <w:rFonts w:hint="eastAsia" w:ascii="宋体" w:hAnsi="宋体" w:eastAsia="宋体" w:cs="宋体"/>
          <w:color w:val="auto"/>
          <w:highlight w:val="none"/>
        </w:rPr>
        <w:t>1、交付地点：福建省福州市</w:t>
      </w:r>
      <w:r>
        <w:rPr>
          <w:rStyle w:val="24"/>
          <w:rFonts w:hint="eastAsia" w:ascii="宋体" w:hAnsi="宋体" w:eastAsia="宋体" w:cs="宋体"/>
          <w:color w:val="auto"/>
          <w:highlight w:val="none"/>
          <w:lang w:eastAsia="zh-CN"/>
        </w:rPr>
        <w:t>福清市财政局</w:t>
      </w:r>
    </w:p>
    <w:p>
      <w:pPr>
        <w:pStyle w:val="16"/>
        <w:widowControl/>
        <w:spacing w:before="75" w:beforeAutospacing="0" w:after="75" w:afterAutospacing="0" w:line="360" w:lineRule="auto"/>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2、</w:t>
      </w:r>
      <w:r>
        <w:rPr>
          <w:rStyle w:val="24"/>
          <w:rFonts w:hint="eastAsia" w:ascii="宋体" w:hAnsi="宋体" w:eastAsia="宋体" w:cs="宋体"/>
          <w:color w:val="auto"/>
          <w:highlight w:val="none"/>
          <w:lang w:eastAsia="zh-CN"/>
        </w:rPr>
        <w:t>交付</w:t>
      </w:r>
      <w:r>
        <w:rPr>
          <w:rStyle w:val="24"/>
          <w:rFonts w:hint="eastAsia" w:ascii="宋体" w:hAnsi="宋体" w:eastAsia="宋体" w:cs="宋体"/>
          <w:color w:val="auto"/>
          <w:highlight w:val="none"/>
        </w:rPr>
        <w:t>时间：自协议签订之日起至2024年12月31日止</w:t>
      </w:r>
    </w:p>
    <w:p>
      <w:pPr>
        <w:pStyle w:val="16"/>
        <w:widowControl/>
        <w:spacing w:before="75" w:beforeAutospacing="0" w:after="75" w:afterAutospacing="0" w:line="360" w:lineRule="auto"/>
        <w:rPr>
          <w:rStyle w:val="24"/>
          <w:rFonts w:hint="eastAsia" w:ascii="宋体" w:hAnsi="宋体" w:eastAsia="宋体" w:cs="宋体"/>
          <w:color w:val="auto"/>
          <w:highlight w:val="none"/>
          <w:lang w:val="en-US" w:eastAsia="zh-CN"/>
        </w:rPr>
      </w:pPr>
      <w:r>
        <w:rPr>
          <w:rStyle w:val="24"/>
          <w:rFonts w:hint="eastAsia" w:ascii="宋体" w:hAnsi="宋体" w:eastAsia="宋体" w:cs="宋体"/>
          <w:color w:val="auto"/>
          <w:highlight w:val="none"/>
        </w:rPr>
        <w:t>3、交付条件：</w:t>
      </w:r>
      <w:r>
        <w:rPr>
          <w:rStyle w:val="24"/>
          <w:rFonts w:hint="eastAsia" w:ascii="宋体" w:hAnsi="宋体" w:eastAsia="宋体" w:cs="宋体"/>
          <w:color w:val="auto"/>
          <w:spacing w:val="0"/>
          <w:sz w:val="24"/>
          <w:szCs w:val="24"/>
          <w:highlight w:val="none"/>
        </w:rPr>
        <w:t>按合同约定</w:t>
      </w:r>
    </w:p>
    <w:p>
      <w:pPr>
        <w:pStyle w:val="16"/>
        <w:widowControl/>
        <w:spacing w:before="75" w:beforeAutospacing="0" w:after="75" w:afterAutospacing="0" w:line="360" w:lineRule="auto"/>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4、是否收取履约保证金：否</w:t>
      </w:r>
    </w:p>
    <w:p>
      <w:pPr>
        <w:pStyle w:val="16"/>
        <w:widowControl/>
        <w:spacing w:before="75" w:beforeAutospacing="0" w:after="75" w:afterAutospacing="0" w:line="360" w:lineRule="auto"/>
        <w:rPr>
          <w:rStyle w:val="24"/>
          <w:rFonts w:hint="eastAsia" w:ascii="宋体" w:hAnsi="宋体" w:eastAsia="宋体" w:cs="宋体"/>
          <w:color w:val="auto"/>
          <w:highlight w:val="none"/>
        </w:rPr>
      </w:pPr>
      <w:r>
        <w:rPr>
          <w:rStyle w:val="24"/>
          <w:rFonts w:hint="eastAsia" w:ascii="宋体" w:hAnsi="宋体" w:eastAsia="宋体" w:cs="宋体"/>
          <w:color w:val="auto"/>
          <w:highlight w:val="none"/>
        </w:rPr>
        <w:t>5、是否邀请</w:t>
      </w:r>
      <w:r>
        <w:rPr>
          <w:rStyle w:val="24"/>
          <w:rFonts w:hint="eastAsia" w:ascii="宋体" w:hAnsi="宋体" w:eastAsia="宋体" w:cs="宋体"/>
          <w:color w:val="auto"/>
          <w:highlight w:val="none"/>
          <w:lang w:eastAsia="zh-CN"/>
        </w:rPr>
        <w:t>供应商</w:t>
      </w:r>
      <w:r>
        <w:rPr>
          <w:rStyle w:val="24"/>
          <w:rFonts w:hint="eastAsia" w:ascii="宋体" w:hAnsi="宋体" w:eastAsia="宋体" w:cs="宋体"/>
          <w:color w:val="auto"/>
          <w:highlight w:val="none"/>
        </w:rPr>
        <w:t>参与验收：否</w:t>
      </w:r>
    </w:p>
    <w:p>
      <w:pPr>
        <w:pStyle w:val="16"/>
        <w:widowControl/>
        <w:spacing w:before="75" w:beforeAutospacing="0" w:after="75" w:afterAutospacing="0" w:line="360" w:lineRule="auto"/>
        <w:rPr>
          <w:rFonts w:ascii="宋体" w:hAnsi="宋体" w:eastAsia="宋体" w:cs="宋体"/>
          <w:color w:val="auto"/>
          <w:highlight w:val="none"/>
        </w:rPr>
      </w:pPr>
      <w:r>
        <w:rPr>
          <w:rStyle w:val="24"/>
          <w:rFonts w:hint="eastAsia" w:ascii="宋体" w:hAnsi="宋体" w:eastAsia="宋体" w:cs="宋体"/>
          <w:color w:val="auto"/>
          <w:highlight w:val="none"/>
        </w:rPr>
        <w:t>6、验收方式数据表格</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43"/>
        <w:gridCol w:w="73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000" w:type="pct"/>
          </w:tcPr>
          <w:p>
            <w:pPr>
              <w:widowControl/>
              <w:spacing w:line="360" w:lineRule="auto"/>
              <w:jc w:val="left"/>
              <w:rPr>
                <w:rFonts w:ascii="宋体" w:hAnsi="宋体" w:eastAsia="宋体" w:cs="宋体"/>
                <w:color w:val="auto"/>
                <w:highlight w:val="none"/>
              </w:rPr>
            </w:pPr>
            <w:r>
              <w:rPr>
                <w:rFonts w:hint="eastAsia" w:ascii="宋体" w:hAnsi="宋体" w:eastAsia="宋体" w:cs="宋体"/>
                <w:color w:val="auto"/>
                <w:kern w:val="0"/>
                <w:sz w:val="24"/>
                <w:highlight w:val="none"/>
              </w:rPr>
              <w:t>验收期次</w:t>
            </w:r>
          </w:p>
        </w:tc>
        <w:tc>
          <w:tcPr>
            <w:tcW w:w="4000" w:type="pct"/>
          </w:tcPr>
          <w:p>
            <w:pPr>
              <w:widowControl/>
              <w:spacing w:line="360" w:lineRule="auto"/>
              <w:jc w:val="left"/>
              <w:rPr>
                <w:rFonts w:ascii="宋体" w:hAnsi="宋体" w:eastAsia="宋体" w:cs="宋体"/>
                <w:color w:val="auto"/>
                <w:highlight w:val="none"/>
              </w:rPr>
            </w:pPr>
            <w:r>
              <w:rPr>
                <w:rFonts w:hint="eastAsia" w:ascii="宋体" w:hAnsi="宋体" w:eastAsia="宋体" w:cs="宋体"/>
                <w:color w:val="auto"/>
                <w:kern w:val="0"/>
                <w:sz w:val="24"/>
                <w:highlight w:val="none"/>
              </w:rPr>
              <w:t>验收期次说明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spacing w:line="360" w:lineRule="auto"/>
              <w:jc w:val="left"/>
              <w:rPr>
                <w:rFonts w:ascii="宋体" w:hAnsi="宋体" w:eastAsia="宋体" w:cs="宋体"/>
                <w:color w:val="auto"/>
                <w:highlight w:val="none"/>
              </w:rPr>
            </w:pPr>
            <w:r>
              <w:rPr>
                <w:rFonts w:hint="eastAsia" w:ascii="宋体" w:hAnsi="宋体" w:eastAsia="宋体" w:cs="宋体"/>
                <w:color w:val="auto"/>
                <w:kern w:val="0"/>
                <w:sz w:val="24"/>
                <w:highlight w:val="none"/>
              </w:rPr>
              <w:t>1</w:t>
            </w:r>
          </w:p>
        </w:tc>
        <w:tc>
          <w:tcPr>
            <w:tcW w:w="0" w:type="auto"/>
          </w:tcPr>
          <w:p>
            <w:pPr>
              <w:widowControl/>
              <w:spacing w:line="360" w:lineRule="auto"/>
              <w:jc w:val="left"/>
              <w:rPr>
                <w:rFonts w:ascii="宋体" w:hAnsi="宋体" w:eastAsia="宋体" w:cs="宋体"/>
                <w:color w:val="auto"/>
                <w:highlight w:val="none"/>
              </w:rPr>
            </w:pPr>
            <w:r>
              <w:rPr>
                <w:rFonts w:hint="eastAsia" w:ascii="宋体" w:hAnsi="宋体" w:eastAsia="宋体" w:cs="宋体"/>
                <w:color w:val="auto"/>
                <w:kern w:val="0"/>
                <w:sz w:val="24"/>
                <w:highlight w:val="none"/>
              </w:rPr>
              <w:t>按</w:t>
            </w:r>
            <w:r>
              <w:rPr>
                <w:rFonts w:hint="eastAsia" w:ascii="宋体" w:hAnsi="宋体" w:eastAsia="宋体" w:cs="宋体"/>
                <w:color w:val="auto"/>
                <w:kern w:val="0"/>
                <w:sz w:val="24"/>
                <w:highlight w:val="none"/>
                <w:lang w:eastAsia="zh-CN"/>
              </w:rPr>
              <w:t>征集文件</w:t>
            </w:r>
            <w:r>
              <w:rPr>
                <w:rFonts w:hint="eastAsia" w:ascii="宋体" w:hAnsi="宋体" w:eastAsia="宋体" w:cs="宋体"/>
                <w:color w:val="auto"/>
                <w:kern w:val="0"/>
                <w:sz w:val="24"/>
                <w:highlight w:val="none"/>
              </w:rPr>
              <w:t>及合同要求</w:t>
            </w:r>
          </w:p>
        </w:tc>
      </w:tr>
    </w:tbl>
    <w:p>
      <w:pPr>
        <w:widowControl/>
        <w:spacing w:line="360" w:lineRule="auto"/>
        <w:jc w:val="left"/>
        <w:rPr>
          <w:rFonts w:ascii="宋体" w:hAnsi="宋体" w:eastAsia="宋体" w:cs="宋体"/>
          <w:color w:val="auto"/>
          <w:highlight w:val="none"/>
        </w:rPr>
      </w:pPr>
      <w:r>
        <w:rPr>
          <w:rStyle w:val="24"/>
          <w:rFonts w:hint="eastAsia" w:ascii="宋体" w:hAnsi="宋体" w:eastAsia="宋体" w:cs="宋体"/>
          <w:color w:val="auto"/>
          <w:kern w:val="0"/>
          <w:sz w:val="24"/>
          <w:highlight w:val="none"/>
        </w:rPr>
        <w:t>7、支付方式数据表格</w:t>
      </w:r>
    </w:p>
    <w:tbl>
      <w:tblPr>
        <w:tblStyle w:val="21"/>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43"/>
        <w:gridCol w:w="1843"/>
        <w:gridCol w:w="55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000" w:type="pct"/>
          </w:tcPr>
          <w:p>
            <w:pPr>
              <w:widowControl/>
              <w:spacing w:line="360" w:lineRule="auto"/>
              <w:jc w:val="left"/>
              <w:rPr>
                <w:rFonts w:ascii="宋体" w:hAnsi="宋体" w:eastAsia="宋体" w:cs="宋体"/>
                <w:color w:val="auto"/>
                <w:highlight w:val="none"/>
              </w:rPr>
            </w:pPr>
            <w:r>
              <w:rPr>
                <w:rFonts w:hint="eastAsia" w:ascii="宋体" w:hAnsi="宋体" w:eastAsia="宋体" w:cs="宋体"/>
                <w:color w:val="auto"/>
                <w:kern w:val="0"/>
                <w:sz w:val="24"/>
                <w:highlight w:val="none"/>
              </w:rPr>
              <w:t>支付期次</w:t>
            </w:r>
          </w:p>
        </w:tc>
        <w:tc>
          <w:tcPr>
            <w:tcW w:w="1000" w:type="pct"/>
          </w:tcPr>
          <w:p>
            <w:pPr>
              <w:widowControl/>
              <w:spacing w:line="360" w:lineRule="auto"/>
              <w:jc w:val="left"/>
              <w:rPr>
                <w:rFonts w:ascii="宋体" w:hAnsi="宋体" w:eastAsia="宋体" w:cs="宋体"/>
                <w:color w:val="auto"/>
                <w:highlight w:val="none"/>
              </w:rPr>
            </w:pPr>
            <w:r>
              <w:rPr>
                <w:rFonts w:hint="eastAsia" w:ascii="宋体" w:hAnsi="宋体" w:eastAsia="宋体" w:cs="宋体"/>
                <w:color w:val="auto"/>
                <w:kern w:val="0"/>
                <w:sz w:val="24"/>
                <w:highlight w:val="none"/>
              </w:rPr>
              <w:t>支付比例(%)</w:t>
            </w:r>
          </w:p>
        </w:tc>
        <w:tc>
          <w:tcPr>
            <w:tcW w:w="3000" w:type="pct"/>
          </w:tcPr>
          <w:p>
            <w:pPr>
              <w:widowControl/>
              <w:spacing w:line="360" w:lineRule="auto"/>
              <w:jc w:val="left"/>
              <w:rPr>
                <w:rFonts w:ascii="宋体" w:hAnsi="宋体" w:eastAsia="宋体" w:cs="宋体"/>
                <w:color w:val="auto"/>
                <w:highlight w:val="none"/>
              </w:rPr>
            </w:pPr>
            <w:r>
              <w:rPr>
                <w:rFonts w:hint="eastAsia" w:ascii="宋体" w:hAnsi="宋体" w:eastAsia="宋体" w:cs="宋体"/>
                <w:color w:val="auto"/>
                <w:kern w:val="0"/>
                <w:sz w:val="24"/>
                <w:highlight w:val="none"/>
              </w:rPr>
              <w:t>支付期次说明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tcPr>
          <w:p>
            <w:pPr>
              <w:widowControl/>
              <w:spacing w:line="360" w:lineRule="auto"/>
              <w:jc w:val="left"/>
              <w:rPr>
                <w:rFonts w:ascii="宋体" w:hAnsi="宋体" w:eastAsia="宋体" w:cs="宋体"/>
                <w:color w:val="auto"/>
                <w:highlight w:val="none"/>
              </w:rPr>
            </w:pPr>
            <w:r>
              <w:rPr>
                <w:rFonts w:hint="eastAsia" w:ascii="宋体" w:hAnsi="宋体" w:eastAsia="宋体" w:cs="宋体"/>
                <w:color w:val="auto"/>
                <w:kern w:val="0"/>
                <w:sz w:val="24"/>
                <w:highlight w:val="none"/>
              </w:rPr>
              <w:t>1</w:t>
            </w:r>
          </w:p>
        </w:tc>
        <w:tc>
          <w:tcPr>
            <w:tcW w:w="0" w:type="auto"/>
          </w:tcPr>
          <w:p>
            <w:pPr>
              <w:widowControl/>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100</w:t>
            </w:r>
          </w:p>
        </w:tc>
        <w:tc>
          <w:tcPr>
            <w:tcW w:w="5528" w:type="dxa"/>
            <w:vAlign w:val="center"/>
          </w:tcPr>
          <w:p>
            <w:pPr>
              <w:widowControl/>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根据工作实际需要，各党政机关在办会时可自行选择客房、会议室、伙食等具体服务项目的种类和数量，并按实际发生金额与定点场所进行结算。</w:t>
            </w:r>
          </w:p>
        </w:tc>
      </w:tr>
    </w:tbl>
    <w:p>
      <w:pPr>
        <w:pStyle w:val="16"/>
        <w:keepNext w:val="0"/>
        <w:keepLines w:val="0"/>
        <w:widowControl/>
        <w:suppressLineNumbers w:val="0"/>
        <w:spacing w:before="75" w:beforeAutospacing="0" w:after="75" w:afterAutospacing="0"/>
        <w:ind w:left="60" w:right="0"/>
        <w:rPr>
          <w:color w:val="auto"/>
          <w:sz w:val="24"/>
          <w:szCs w:val="24"/>
          <w:highlight w:val="none"/>
        </w:rPr>
      </w:pPr>
      <w:r>
        <w:rPr>
          <w:rFonts w:hint="default" w:ascii="Calibri" w:hAnsi="Calibri" w:eastAsia="宋体" w:cs="Calibri"/>
          <w:color w:val="auto"/>
          <w:spacing w:val="0"/>
          <w:sz w:val="24"/>
          <w:szCs w:val="24"/>
          <w:highlight w:val="none"/>
        </w:rPr>
        <w:t>★</w:t>
      </w:r>
      <w:r>
        <w:rPr>
          <w:rFonts w:hint="eastAsia" w:ascii="宋体" w:hAnsi="宋体" w:eastAsia="宋体" w:cs="宋体"/>
          <w:b/>
          <w:color w:val="auto"/>
          <w:highlight w:val="none"/>
          <w:lang w:val="en-US" w:eastAsia="zh-CN"/>
        </w:rPr>
        <w:t>8、</w:t>
      </w:r>
      <w:r>
        <w:rPr>
          <w:rFonts w:hint="eastAsia" w:ascii="Calibri" w:hAnsi="Calibri" w:eastAsia="宋体" w:cs="Calibri"/>
          <w:color w:val="auto"/>
          <w:spacing w:val="0"/>
          <w:sz w:val="24"/>
          <w:szCs w:val="24"/>
          <w:highlight w:val="none"/>
          <w:lang w:val="en-US" w:eastAsia="zh-CN"/>
        </w:rPr>
        <w:t>报价要求：</w:t>
      </w:r>
      <w:r>
        <w:rPr>
          <w:rFonts w:hint="eastAsia" w:ascii="宋体" w:hAnsi="宋体" w:eastAsia="宋体" w:cs="宋体"/>
          <w:color w:val="auto"/>
          <w:spacing w:val="0"/>
          <w:sz w:val="24"/>
          <w:szCs w:val="24"/>
          <w:highlight w:val="none"/>
        </w:rPr>
        <w:t>各投标人须在投标文件报价部分的</w:t>
      </w:r>
      <w:r>
        <w:rPr>
          <w:rFonts w:hint="eastAsia" w:ascii="Calibri" w:hAnsi="Calibri" w:eastAsia="宋体" w:cs="Calibri"/>
          <w:color w:val="auto"/>
          <w:spacing w:val="0"/>
          <w:sz w:val="24"/>
          <w:szCs w:val="24"/>
          <w:highlight w:val="none"/>
          <w:lang w:val="en-US" w:eastAsia="zh-CN"/>
        </w:rPr>
        <w:t>“开标一览表”中按</w:t>
      </w:r>
      <w:r>
        <w:rPr>
          <w:rFonts w:ascii="宋体" w:hAnsi="宋体" w:eastAsia="宋体" w:cs="宋体"/>
          <w:color w:val="auto"/>
          <w:kern w:val="0"/>
          <w:sz w:val="24"/>
          <w:szCs w:val="24"/>
          <w:highlight w:val="none"/>
          <w:lang w:val="en-US" w:eastAsia="zh-CN" w:bidi="ar"/>
        </w:rPr>
        <w:t>3000000</w:t>
      </w:r>
      <w:r>
        <w:rPr>
          <w:rFonts w:hint="eastAsia" w:ascii="宋体" w:hAnsi="宋体" w:eastAsia="宋体" w:cs="宋体"/>
          <w:color w:val="auto"/>
          <w:kern w:val="0"/>
          <w:sz w:val="24"/>
          <w:szCs w:val="24"/>
          <w:highlight w:val="none"/>
          <w:lang w:val="en-US" w:eastAsia="zh-CN" w:bidi="ar"/>
        </w:rPr>
        <w:t>元（预算金额）统一</w:t>
      </w:r>
      <w:r>
        <w:rPr>
          <w:rFonts w:hint="eastAsia" w:ascii="Calibri" w:hAnsi="Calibri" w:eastAsia="宋体" w:cs="Calibri"/>
          <w:color w:val="auto"/>
          <w:spacing w:val="0"/>
          <w:sz w:val="24"/>
          <w:szCs w:val="24"/>
          <w:highlight w:val="none"/>
          <w:lang w:val="en-US" w:eastAsia="zh-CN"/>
        </w:rPr>
        <w:t>报价，</w:t>
      </w:r>
      <w:r>
        <w:rPr>
          <w:rFonts w:hint="eastAsia" w:ascii="宋体" w:hAnsi="宋体" w:eastAsia="宋体" w:cs="宋体"/>
          <w:color w:val="auto"/>
          <w:spacing w:val="0"/>
          <w:sz w:val="24"/>
          <w:szCs w:val="24"/>
          <w:highlight w:val="none"/>
        </w:rPr>
        <w:t>在投标文件报价部分的“投标分项报价表”中提供详细分项报价</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逐个填写各项目的单价</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投标人的各项单价报价不得超过</w:t>
      </w:r>
      <w:r>
        <w:rPr>
          <w:rStyle w:val="24"/>
          <w:rFonts w:hint="eastAsia" w:ascii="宋体" w:hAnsi="宋体" w:eastAsia="宋体" w:cs="宋体"/>
          <w:b w:val="0"/>
          <w:bCs w:val="0"/>
          <w:color w:val="auto"/>
          <w:sz w:val="24"/>
          <w:szCs w:val="24"/>
          <w:highlight w:val="none"/>
          <w:lang w:val="en-US" w:eastAsia="zh-CN"/>
        </w:rPr>
        <w:t>单价最高</w:t>
      </w:r>
      <w:r>
        <w:rPr>
          <w:rStyle w:val="24"/>
          <w:rFonts w:hint="eastAsia" w:ascii="宋体" w:hAnsi="宋体" w:eastAsia="宋体" w:cs="宋体"/>
          <w:b w:val="0"/>
          <w:bCs w:val="0"/>
          <w:color w:val="auto"/>
          <w:sz w:val="24"/>
          <w:szCs w:val="24"/>
          <w:highlight w:val="none"/>
        </w:rPr>
        <w:t>限价</w:t>
      </w:r>
      <w:r>
        <w:rPr>
          <w:rFonts w:hint="eastAsia" w:ascii="宋体" w:hAnsi="宋体" w:eastAsia="宋体" w:cs="宋体"/>
          <w:color w:val="auto"/>
          <w:spacing w:val="0"/>
          <w:sz w:val="24"/>
          <w:szCs w:val="24"/>
          <w:highlight w:val="none"/>
        </w:rPr>
        <w:t>。未详细报价</w:t>
      </w:r>
      <w:r>
        <w:rPr>
          <w:rFonts w:hint="eastAsia" w:ascii="宋体" w:hAnsi="宋体" w:eastAsia="宋体" w:cs="宋体"/>
          <w:color w:val="auto"/>
          <w:sz w:val="24"/>
          <w:szCs w:val="24"/>
          <w:highlight w:val="none"/>
          <w:shd w:val="clear" w:fill="FFFFFF"/>
        </w:rPr>
        <w:t>、</w:t>
      </w:r>
      <w:r>
        <w:rPr>
          <w:rFonts w:hint="eastAsia" w:ascii="宋体" w:hAnsi="宋体" w:eastAsia="宋体" w:cs="宋体"/>
          <w:color w:val="auto"/>
          <w:spacing w:val="0"/>
          <w:sz w:val="24"/>
          <w:szCs w:val="24"/>
          <w:highlight w:val="none"/>
        </w:rPr>
        <w:t>报价超过限价或未按照规定</w:t>
      </w:r>
      <w:r>
        <w:rPr>
          <w:rFonts w:hint="eastAsia" w:ascii="宋体" w:hAnsi="宋体" w:eastAsia="宋体" w:cs="宋体"/>
          <w:color w:val="auto"/>
          <w:spacing w:val="0"/>
          <w:sz w:val="24"/>
          <w:szCs w:val="24"/>
          <w:highlight w:val="none"/>
          <w:lang w:val="en-US" w:eastAsia="zh-CN"/>
        </w:rPr>
        <w:t>报价</w:t>
      </w:r>
      <w:r>
        <w:rPr>
          <w:rFonts w:hint="eastAsia" w:ascii="宋体" w:hAnsi="宋体" w:eastAsia="宋体" w:cs="宋体"/>
          <w:color w:val="auto"/>
          <w:spacing w:val="0"/>
          <w:sz w:val="24"/>
          <w:szCs w:val="24"/>
          <w:highlight w:val="none"/>
        </w:rPr>
        <w:t>的，按无效投标处理。</w:t>
      </w:r>
    </w:p>
    <w:p>
      <w:pPr>
        <w:pStyle w:val="16"/>
        <w:widowControl/>
        <w:spacing w:before="75" w:beforeAutospacing="0" w:after="75" w:afterAutospacing="0"/>
        <w:rPr>
          <w:rFonts w:hint="eastAsia" w:ascii="宋体" w:hAnsi="宋体" w:eastAsia="宋体" w:cs="宋体"/>
          <w:b/>
          <w:color w:val="auto"/>
          <w:highlight w:val="none"/>
          <w:lang w:val="en-US" w:eastAsia="zh-CN"/>
        </w:rPr>
      </w:pPr>
    </w:p>
    <w:p>
      <w:pPr>
        <w:pStyle w:val="16"/>
        <w:widowControl/>
        <w:spacing w:before="75" w:beforeAutospacing="0" w:after="75" w:afterAutospacing="0"/>
        <w:rPr>
          <w:b/>
          <w:color w:val="auto"/>
          <w:highlight w:val="none"/>
        </w:rPr>
      </w:pPr>
      <w:r>
        <w:rPr>
          <w:rFonts w:hint="eastAsia" w:ascii="宋体" w:hAnsi="宋体" w:eastAsia="宋体" w:cs="宋体"/>
          <w:b/>
          <w:color w:val="auto"/>
          <w:highlight w:val="none"/>
        </w:rPr>
        <w:t>四、其他事项</w:t>
      </w:r>
    </w:p>
    <w:p>
      <w:pPr>
        <w:pStyle w:val="16"/>
        <w:widowControl/>
        <w:spacing w:before="75" w:beforeAutospacing="0" w:after="75"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（定点场所）必须按不高于其投标报价的价格为党政机关的会议提供酒店所有的标准间、单人间、会议室、餐饮。</w:t>
      </w:r>
    </w:p>
    <w:p>
      <w:pPr>
        <w:pStyle w:val="16"/>
        <w:widowControl/>
        <w:spacing w:before="75" w:beforeAutospacing="0" w:after="75"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（定点场所）有以下行为之一的，经调查属实，第一次予以书面警告；第二次取消会议定点场所资格，情节严重的不得参加下一轮次的会议定点场所政府采购：</w:t>
      </w:r>
    </w:p>
    <w:p>
      <w:pPr>
        <w:pStyle w:val="16"/>
        <w:widowControl/>
        <w:spacing w:before="75" w:beforeAutospacing="0" w:after="75"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（一）无正当理由拒绝接待党政机关会议的；</w:t>
      </w:r>
    </w:p>
    <w:p>
      <w:pPr>
        <w:pStyle w:val="16"/>
        <w:widowControl/>
        <w:spacing w:before="75" w:beforeAutospacing="0" w:after="75"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rPr>
        <w:t>（二）超过协议价格收取费用或采取减少服务项目等降低服务质量的；</w:t>
      </w:r>
    </w:p>
    <w:p>
      <w:pPr>
        <w:pStyle w:val="16"/>
        <w:widowControl/>
        <w:spacing w:before="75" w:beforeAutospacing="0" w:after="75"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rPr>
        <w:t>（三）提供虚假发票的；</w:t>
      </w:r>
    </w:p>
    <w:p>
      <w:pPr>
        <w:pStyle w:val="16"/>
        <w:widowControl/>
        <w:spacing w:before="75" w:beforeAutospacing="0" w:after="75"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rPr>
        <w:t>（四）未按规定提供发票、费用原始明细单据、电子结算单等凭证的；</w:t>
      </w:r>
    </w:p>
    <w:p>
      <w:pPr>
        <w:pStyle w:val="16"/>
        <w:widowControl/>
        <w:spacing w:before="75" w:beforeAutospacing="0" w:after="75"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rPr>
        <w:t>（五）不配合、甚至干扰阻挠财政部门正常核查工作的；</w:t>
      </w:r>
    </w:p>
    <w:p>
      <w:pPr>
        <w:pStyle w:val="16"/>
        <w:widowControl/>
        <w:spacing w:before="75" w:beforeAutospacing="0" w:after="75"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rPr>
        <w:t>（六）违反协议规定的其它事项。</w:t>
      </w:r>
    </w:p>
    <w:p>
      <w:pPr>
        <w:pStyle w:val="16"/>
        <w:widowControl/>
        <w:spacing w:before="75" w:beforeAutospacing="0" w:after="75"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rPr>
        <w:t>3. 若</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（定点场所）发生重大违法、违约行为或影响较大的恶性事件（如食品安全事件等），福建省财政厅、福州市财政局、福清市财政局可直接取消其定点场所资格。</w:t>
      </w:r>
    </w:p>
    <w:p>
      <w:pPr>
        <w:pStyle w:val="16"/>
        <w:widowControl/>
        <w:spacing w:before="75" w:beforeAutospacing="0" w:after="75"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rPr>
        <w:t>4. 福清市财政局、福清市机关事务服务中心可对</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（定点场所）的价格执行、服务、硬件设施等进行监督检查，</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（定点场所）应配合并提供便利条件</w:t>
      </w:r>
    </w:p>
    <w:p>
      <w:pPr>
        <w:pStyle w:val="16"/>
        <w:widowControl/>
        <w:spacing w:before="75" w:beforeAutospacing="0" w:after="75" w:afterAutospacing="0"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、除征集文件另有规定外，若出现有关法律、法规和规章有强制性规定但征集文件未列明的情形，则供应商应按照有关法律、法规和规章强制性规定执行。</w:t>
      </w:r>
    </w:p>
    <w:p>
      <w:pPr>
        <w:jc w:val="center"/>
        <w:rPr>
          <w:color w:val="auto"/>
          <w:highlight w:val="none"/>
        </w:rPr>
      </w:pPr>
      <w:r>
        <w:rPr>
          <w:rStyle w:val="24"/>
          <w:rFonts w:hint="eastAsia" w:ascii="宋体" w:hAnsi="宋体" w:eastAsia="宋体" w:cs="宋体"/>
          <w:color w:val="auto"/>
          <w:sz w:val="31"/>
          <w:szCs w:val="31"/>
          <w:highlight w:val="none"/>
        </w:rPr>
        <w:br w:type="page"/>
      </w:r>
      <w:r>
        <w:rPr>
          <w:rStyle w:val="24"/>
          <w:rFonts w:hint="eastAsia" w:ascii="宋体" w:hAnsi="宋体" w:eastAsia="宋体" w:cs="宋体"/>
          <w:color w:val="auto"/>
          <w:sz w:val="31"/>
          <w:szCs w:val="31"/>
          <w:highlight w:val="none"/>
        </w:rPr>
        <w:t>第六章   框架协议和采购合同（参考文本）</w:t>
      </w:r>
    </w:p>
    <w:p>
      <w:pPr>
        <w:pStyle w:val="16"/>
        <w:widowControl/>
        <w:spacing w:before="75" w:beforeAutospacing="0" w:after="75" w:afterAutospacing="0"/>
        <w:jc w:val="center"/>
        <w:rPr>
          <w:rStyle w:val="24"/>
          <w:rFonts w:hint="eastAsia" w:ascii="宋体" w:hAnsi="宋体" w:eastAsia="宋体" w:cs="宋体"/>
          <w:color w:val="auto"/>
          <w:sz w:val="32"/>
          <w:szCs w:val="32"/>
          <w:highlight w:val="none"/>
        </w:rPr>
      </w:pPr>
    </w:p>
    <w:p>
      <w:pPr>
        <w:pStyle w:val="16"/>
        <w:widowControl/>
        <w:spacing w:before="75" w:beforeAutospacing="0" w:after="75" w:afterAutospacing="0"/>
        <w:jc w:val="center"/>
        <w:rPr>
          <w:color w:val="auto"/>
          <w:highlight w:val="none"/>
        </w:rPr>
      </w:pPr>
      <w:r>
        <w:rPr>
          <w:rStyle w:val="24"/>
          <w:rFonts w:hint="eastAsia" w:ascii="宋体" w:hAnsi="宋体" w:eastAsia="宋体" w:cs="宋体"/>
          <w:color w:val="auto"/>
          <w:sz w:val="32"/>
          <w:szCs w:val="32"/>
          <w:highlight w:val="none"/>
        </w:rPr>
        <w:t>框架协议</w:t>
      </w:r>
    </w:p>
    <w:p>
      <w:pPr>
        <w:pStyle w:val="16"/>
        <w:widowControl/>
        <w:spacing w:before="75" w:beforeAutospacing="0" w:after="75" w:afterAutospacing="0"/>
        <w:jc w:val="center"/>
        <w:rPr>
          <w:color w:val="auto"/>
          <w:highlight w:val="none"/>
        </w:rPr>
      </w:pPr>
      <w:r>
        <w:rPr>
          <w:rStyle w:val="24"/>
          <w:rFonts w:hint="eastAsia" w:ascii="宋体" w:hAnsi="宋体" w:eastAsia="宋体" w:cs="宋体"/>
          <w:color w:val="auto"/>
          <w:highlight w:val="none"/>
        </w:rPr>
        <w:t>编制说明</w:t>
      </w:r>
    </w:p>
    <w:p>
      <w:pPr>
        <w:pStyle w:val="16"/>
        <w:widowControl/>
        <w:spacing w:before="75" w:beforeAutospacing="0" w:after="75" w:afterAutospacing="0"/>
        <w:rPr>
          <w:color w:val="auto"/>
          <w:highlight w:val="none"/>
        </w:rPr>
      </w:pPr>
      <w:r>
        <w:rPr>
          <w:rStyle w:val="24"/>
          <w:rFonts w:hint="eastAsia" w:ascii="宋体" w:hAnsi="宋体" w:eastAsia="宋体" w:cs="宋体"/>
          <w:color w:val="auto"/>
          <w:highlight w:val="none"/>
        </w:rPr>
        <w:t>1、签订合同应遵守政府采购法、政府采购框架协议采购方式管理暂行办法、民法典。</w:t>
      </w:r>
    </w:p>
    <w:p>
      <w:pPr>
        <w:pStyle w:val="16"/>
        <w:widowControl/>
        <w:spacing w:before="75" w:beforeAutospacing="0" w:after="75" w:afterAutospacing="0"/>
        <w:rPr>
          <w:color w:val="auto"/>
          <w:highlight w:val="none"/>
        </w:rPr>
      </w:pPr>
      <w:r>
        <w:rPr>
          <w:rStyle w:val="24"/>
          <w:rFonts w:hint="eastAsia" w:ascii="宋体" w:hAnsi="宋体" w:eastAsia="宋体" w:cs="宋体"/>
          <w:color w:val="auto"/>
          <w:highlight w:val="none"/>
        </w:rPr>
        <w:t>2、签订合同时，征集人与入围供应商应结合征集文件第五章规定填列相应内容。征集文件第五章已有规定的，双方均不得变更或调整；征集文件第五章未作规定的，双方可通过友好协商进行约定。</w:t>
      </w:r>
    </w:p>
    <w:p>
      <w:pPr>
        <w:pStyle w:val="16"/>
        <w:widowControl/>
        <w:spacing w:before="75" w:beforeAutospacing="0" w:after="75" w:afterAutospacing="0"/>
        <w:rPr>
          <w:color w:val="auto"/>
          <w:highlight w:val="none"/>
        </w:rPr>
      </w:pPr>
      <w:r>
        <w:rPr>
          <w:rStyle w:val="24"/>
          <w:rFonts w:hint="eastAsia" w:ascii="宋体" w:hAnsi="宋体" w:eastAsia="宋体" w:cs="宋体"/>
          <w:color w:val="auto"/>
          <w:highlight w:val="none"/>
        </w:rPr>
        <w:t>3、国家有关部门对若干合同有规范文本的，可使用相应合同文本。</w:t>
      </w:r>
    </w:p>
    <w:p>
      <w:pPr>
        <w:pStyle w:val="16"/>
        <w:widowControl/>
        <w:spacing w:before="75" w:beforeAutospacing="0" w:after="75" w:afterAutospacing="0"/>
        <w:rPr>
          <w:color w:val="auto"/>
          <w:highlight w:val="none"/>
        </w:rPr>
      </w:pP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w:t>
      </w:r>
      <w:r>
        <w:rPr>
          <w:rFonts w:hint="eastAsia"/>
          <w:color w:val="auto"/>
          <w:highlight w:val="none"/>
          <w:u w:val="single"/>
        </w:rPr>
        <w:t>征集人</w:t>
      </w:r>
      <w:r>
        <w:rPr>
          <w:rFonts w:hint="eastAsia" w:ascii="宋体" w:hAnsi="宋体" w:eastAsia="宋体" w:cs="宋体"/>
          <w:color w:val="auto"/>
          <w:highlight w:val="none"/>
          <w:u w:val="single"/>
        </w:rPr>
        <w:t>全称）</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（入围供应商全称）</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 </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根据项目编号为            的（填写“项目名称”）项目（以下简称：“本项目”）的征集结果，乙方为入围供应商。现经甲乙双方友好协商，就以下事项达成一致并签订本框架协议（以下简称“协议”）：</w:t>
      </w:r>
    </w:p>
    <w:p>
      <w:pPr>
        <w:pBdr>
          <w:top w:val="none" w:color="auto" w:sz="0" w:space="1"/>
          <w:left w:val="none" w:color="auto" w:sz="0" w:space="4"/>
          <w:bottom w:val="none" w:color="auto" w:sz="0" w:space="1"/>
          <w:right w:val="none" w:color="auto" w:sz="0" w:space="4"/>
        </w:pBdr>
        <w:spacing w:line="360" w:lineRule="auto"/>
        <w:ind w:firstLine="482"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一、下列合同文件是构成本协议不可分割的部分：</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1、入围通知书；</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2、征集文件、乙方的响应文件；</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3、其他文件或材料：□无。□。</w:t>
      </w:r>
    </w:p>
    <w:p>
      <w:pPr>
        <w:pBdr>
          <w:top w:val="none" w:color="auto" w:sz="0" w:space="1"/>
          <w:left w:val="none" w:color="auto" w:sz="0" w:space="4"/>
          <w:bottom w:val="none" w:color="auto" w:sz="0" w:space="1"/>
          <w:right w:val="none" w:color="auto" w:sz="0" w:space="4"/>
        </w:pBdr>
        <w:spacing w:line="360" w:lineRule="auto"/>
        <w:ind w:firstLine="482"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二、框架协议期限：</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框架协议期限：本协议有效期为</w:t>
      </w:r>
      <w:r>
        <w:rPr>
          <w:rFonts w:hint="eastAsia" w:asciiTheme="minorEastAsia" w:hAnsiTheme="minorEastAsia" w:cstheme="minorEastAsia"/>
          <w:bCs/>
          <w:color w:val="auto"/>
          <w:sz w:val="24"/>
          <w:highlight w:val="none"/>
          <w:u w:val="single"/>
        </w:rPr>
        <w:t>两</w:t>
      </w:r>
      <w:r>
        <w:rPr>
          <w:rFonts w:hint="eastAsia" w:asciiTheme="minorEastAsia" w:hAnsiTheme="minorEastAsia" w:cstheme="minorEastAsia"/>
          <w:bCs/>
          <w:color w:val="auto"/>
          <w:sz w:val="24"/>
          <w:highlight w:val="none"/>
        </w:rPr>
        <w:t>年；</w:t>
      </w:r>
      <w:r>
        <w:rPr>
          <w:rFonts w:hint="eastAsia" w:asciiTheme="minorEastAsia" w:hAnsiTheme="minorEastAsia" w:cstheme="minorEastAsia"/>
          <w:bCs/>
          <w:color w:val="auto"/>
          <w:sz w:val="24"/>
          <w:highlight w:val="none"/>
          <w:lang w:val="en-US" w:eastAsia="zh-CN"/>
        </w:rPr>
        <w:t xml:space="preserve">2023 </w:t>
      </w:r>
      <w:r>
        <w:rPr>
          <w:rFonts w:hint="eastAsia" w:asciiTheme="minorEastAsia" w:hAnsiTheme="minorEastAsia" w:cstheme="minorEastAsia"/>
          <w:bCs/>
          <w:color w:val="auto"/>
          <w:sz w:val="24"/>
          <w:highlight w:val="none"/>
        </w:rPr>
        <w:t>年</w:t>
      </w:r>
      <w:r>
        <w:rPr>
          <w:rFonts w:hint="eastAsia" w:asciiTheme="minorEastAsia" w:hAnsiTheme="minorEastAsia" w:cstheme="minorEastAsia"/>
          <w:bCs/>
          <w:color w:val="auto"/>
          <w:sz w:val="24"/>
          <w:highlight w:val="none"/>
          <w:lang w:val="en-US" w:eastAsia="zh-CN"/>
        </w:rPr>
        <w:t>1</w:t>
      </w:r>
      <w:r>
        <w:rPr>
          <w:rFonts w:hint="eastAsia" w:asciiTheme="minorEastAsia" w:hAnsiTheme="minorEastAsia" w:cstheme="minorEastAsia"/>
          <w:bCs/>
          <w:color w:val="auto"/>
          <w:sz w:val="24"/>
          <w:highlight w:val="none"/>
        </w:rPr>
        <w:t>月</w:t>
      </w:r>
      <w:r>
        <w:rPr>
          <w:rFonts w:hint="eastAsia" w:asciiTheme="minorEastAsia" w:hAnsiTheme="minorEastAsia" w:cstheme="minorEastAsia"/>
          <w:bCs/>
          <w:color w:val="auto"/>
          <w:sz w:val="24"/>
          <w:highlight w:val="none"/>
          <w:lang w:val="en-US" w:eastAsia="zh-CN"/>
        </w:rPr>
        <w:t>1</w:t>
      </w:r>
      <w:r>
        <w:rPr>
          <w:rFonts w:hint="eastAsia" w:asciiTheme="minorEastAsia" w:hAnsiTheme="minorEastAsia" w:cstheme="minorEastAsia"/>
          <w:bCs/>
          <w:color w:val="auto"/>
          <w:sz w:val="24"/>
          <w:highlight w:val="none"/>
        </w:rPr>
        <w:t>日至</w:t>
      </w:r>
      <w:r>
        <w:rPr>
          <w:rFonts w:hint="eastAsia" w:asciiTheme="minorEastAsia" w:hAnsiTheme="minorEastAsia" w:cstheme="minorEastAsia"/>
          <w:bCs/>
          <w:color w:val="auto"/>
          <w:sz w:val="24"/>
          <w:highlight w:val="none"/>
          <w:lang w:val="en-US" w:eastAsia="zh-CN"/>
        </w:rPr>
        <w:t>2024</w:t>
      </w:r>
      <w:r>
        <w:rPr>
          <w:rFonts w:hint="eastAsia" w:asciiTheme="minorEastAsia" w:hAnsiTheme="minorEastAsia" w:cstheme="minorEastAsia"/>
          <w:bCs/>
          <w:color w:val="auto"/>
          <w:sz w:val="24"/>
          <w:highlight w:val="none"/>
        </w:rPr>
        <w:t>年</w:t>
      </w:r>
      <w:r>
        <w:rPr>
          <w:rFonts w:hint="eastAsia" w:asciiTheme="minorEastAsia" w:hAnsiTheme="minorEastAsia" w:cstheme="minorEastAsia"/>
          <w:bCs/>
          <w:color w:val="auto"/>
          <w:sz w:val="24"/>
          <w:highlight w:val="none"/>
          <w:lang w:val="en-US" w:eastAsia="zh-CN"/>
        </w:rPr>
        <w:t>12</w:t>
      </w:r>
      <w:r>
        <w:rPr>
          <w:rFonts w:hint="eastAsia" w:asciiTheme="minorEastAsia" w:hAnsiTheme="minorEastAsia" w:cstheme="minorEastAsia"/>
          <w:bCs/>
          <w:color w:val="auto"/>
          <w:sz w:val="24"/>
          <w:highlight w:val="none"/>
        </w:rPr>
        <w:t>月</w:t>
      </w:r>
      <w:r>
        <w:rPr>
          <w:rFonts w:hint="eastAsia" w:asciiTheme="minorEastAsia" w:hAnsiTheme="minorEastAsia" w:cstheme="minorEastAsia"/>
          <w:bCs/>
          <w:color w:val="auto"/>
          <w:sz w:val="24"/>
          <w:highlight w:val="none"/>
          <w:lang w:val="en-US" w:eastAsia="zh-CN"/>
        </w:rPr>
        <w:t>31</w:t>
      </w:r>
      <w:r>
        <w:rPr>
          <w:rFonts w:hint="eastAsia" w:asciiTheme="minorEastAsia" w:hAnsiTheme="minorEastAsia" w:cstheme="minorEastAsia"/>
          <w:bCs/>
          <w:color w:val="auto"/>
          <w:sz w:val="24"/>
          <w:highlight w:val="none"/>
        </w:rPr>
        <w:t>日</w:t>
      </w:r>
      <w:r>
        <w:rPr>
          <w:rFonts w:hint="eastAsia" w:asciiTheme="minorEastAsia" w:hAnsiTheme="minorEastAsia" w:cstheme="minorEastAsia"/>
          <w:bCs/>
          <w:color w:val="auto"/>
          <w:sz w:val="24"/>
          <w:highlight w:val="none"/>
          <w:lang w:eastAsia="zh-CN"/>
        </w:rPr>
        <w:t>，</w:t>
      </w:r>
      <w:r>
        <w:rPr>
          <w:rFonts w:hint="eastAsia" w:asciiTheme="minorEastAsia" w:hAnsiTheme="minorEastAsia" w:cstheme="minorEastAsia"/>
          <w:bCs/>
          <w:color w:val="auto"/>
          <w:sz w:val="24"/>
          <w:highlight w:val="none"/>
        </w:rPr>
        <w:t>甲方与乙方根据入围结果签订本框架协议。</w:t>
      </w:r>
    </w:p>
    <w:p>
      <w:pPr>
        <w:pBdr>
          <w:top w:val="none" w:color="auto" w:sz="0" w:space="1"/>
          <w:left w:val="none" w:color="auto" w:sz="0" w:space="4"/>
          <w:bottom w:val="none" w:color="auto" w:sz="0" w:space="1"/>
          <w:right w:val="none" w:color="auto" w:sz="0" w:space="4"/>
        </w:pBdr>
        <w:spacing w:line="360" w:lineRule="auto"/>
        <w:ind w:firstLine="482"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三、协议内容：</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u w:val="single"/>
        </w:rPr>
      </w:pPr>
      <w:r>
        <w:rPr>
          <w:rFonts w:hint="eastAsia" w:asciiTheme="minorEastAsia" w:hAnsiTheme="minorEastAsia" w:cstheme="minorEastAsia"/>
          <w:bCs/>
          <w:color w:val="auto"/>
          <w:sz w:val="24"/>
          <w:highlight w:val="none"/>
        </w:rPr>
        <w:t>1、服务内容、服务标准：</w:t>
      </w:r>
      <w:r>
        <w:rPr>
          <w:rFonts w:hint="eastAsia" w:asciiTheme="minorEastAsia" w:hAnsiTheme="minorEastAsia" w:cstheme="minorEastAsia"/>
          <w:bCs/>
          <w:color w:val="auto"/>
          <w:sz w:val="24"/>
          <w:highlight w:val="none"/>
          <w:u w:val="single"/>
        </w:rPr>
        <w:t>（按照实际情况编制填写，可以是表格或文字描述）；</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2、入围候选供应商数量：</w:t>
      </w:r>
      <w:r>
        <w:rPr>
          <w:rFonts w:hint="eastAsia" w:asciiTheme="minorEastAsia" w:hAnsiTheme="minorEastAsia" w:cstheme="minorEastAsia"/>
          <w:bCs/>
          <w:color w:val="auto"/>
          <w:sz w:val="24"/>
          <w:highlight w:val="none"/>
          <w:u w:val="single"/>
          <w:lang w:val="en-US" w:eastAsia="zh-CN"/>
        </w:rPr>
        <w:t xml:space="preserve">     </w:t>
      </w:r>
      <w:r>
        <w:rPr>
          <w:rFonts w:hint="eastAsia" w:asciiTheme="minorEastAsia" w:hAnsiTheme="minorEastAsia" w:cstheme="minorEastAsia"/>
          <w:bCs/>
          <w:color w:val="auto"/>
          <w:sz w:val="24"/>
          <w:highlight w:val="none"/>
          <w:u w:val="single"/>
        </w:rPr>
        <w:t>家；</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3、框架协议形式：</w:t>
      </w:r>
      <w:r>
        <w:rPr>
          <w:rFonts w:hint="eastAsia" w:asciiTheme="minorEastAsia" w:hAnsiTheme="minorEastAsia" w:cstheme="minorEastAsia"/>
          <w:bCs/>
          <w:color w:val="auto"/>
          <w:sz w:val="24"/>
          <w:highlight w:val="none"/>
          <w:u w:val="single"/>
        </w:rPr>
        <w:t>封闭式框架协议；</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4、确定第二阶段成交供应商的方式：</w:t>
      </w:r>
      <w:r>
        <w:rPr>
          <w:rFonts w:hint="eastAsia" w:asciiTheme="minorEastAsia" w:hAnsiTheme="minorEastAsia" w:cstheme="minorEastAsia"/>
          <w:bCs/>
          <w:color w:val="auto"/>
          <w:sz w:val="24"/>
          <w:highlight w:val="none"/>
          <w:u w:val="single"/>
        </w:rPr>
        <w:t>直接选定</w:t>
      </w:r>
      <w:r>
        <w:rPr>
          <w:rFonts w:hint="eastAsia" w:asciiTheme="minorEastAsia" w:hAnsiTheme="minorEastAsia" w:cstheme="minorEastAsia"/>
          <w:bCs/>
          <w:color w:val="auto"/>
          <w:sz w:val="24"/>
          <w:highlight w:val="none"/>
        </w:rPr>
        <w:t>，具体方式如下：</w:t>
      </w:r>
      <w:r>
        <w:rPr>
          <w:rFonts w:hint="eastAsia" w:asciiTheme="minorEastAsia" w:hAnsiTheme="minorEastAsia" w:cstheme="minorEastAsia"/>
          <w:bCs/>
          <w:color w:val="auto"/>
          <w:sz w:val="24"/>
          <w:highlight w:val="none"/>
          <w:u w:val="single"/>
        </w:rPr>
        <w:t>（按照实际情况编制填写，可以是表格或文字描述）；</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5、协议价格：</w:t>
      </w:r>
      <w:r>
        <w:rPr>
          <w:rFonts w:hint="eastAsia" w:asciiTheme="minorEastAsia" w:hAnsiTheme="minorEastAsia" w:cstheme="minorEastAsia"/>
          <w:bCs/>
          <w:color w:val="auto"/>
          <w:sz w:val="24"/>
          <w:highlight w:val="none"/>
          <w:u w:val="single"/>
        </w:rPr>
        <w:t>（按各入围供应商报价填写）；</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6、履约保证金：</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□无。□有，具体如下：</w:t>
      </w:r>
      <w:r>
        <w:rPr>
          <w:rFonts w:hint="eastAsia" w:asciiTheme="minorEastAsia" w:hAnsiTheme="minorEastAsia" w:cstheme="minorEastAsia"/>
          <w:bCs/>
          <w:color w:val="auto"/>
          <w:sz w:val="24"/>
          <w:highlight w:val="none"/>
          <w:u w:val="single"/>
        </w:rPr>
        <w:t>（按照征集文件规定填写）</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7、入围供应商清退和补充规则：</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7.1入围供应商的清退：</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乙方在签订本框架协议前出现以下情形之一的，甲方将取消其入围资格；乙方在签订本框架协议后出现以下情形之一的，甲方将解除与其签订的框架协议：</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（1）恶意串通谋取入围或者合同成交的；</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（2）提供虚假材料谋取入围或者合同成交的；</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（3）无正当理由拒不接受合同授予的；</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（4）不履行合同义务或者履行合同义务不符合约定，经采购人请求履行后仍不履行或者仍未按约定履行的；</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（5）框架协议有效期内，因违法行为被禁止或限制参加政府采购活动的；</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（6）入围供应商的组织机构、经营、财务状况发生较大变化，可能造成不能履行框架协议或合同、无法按照征集文件要求提交履约保证金</w:t>
      </w:r>
      <w:r>
        <w:rPr>
          <w:rFonts w:hint="eastAsia" w:asciiTheme="minorEastAsia" w:hAnsiTheme="minorEastAsia" w:cstheme="minorEastAsia"/>
          <w:bCs/>
          <w:color w:val="auto"/>
          <w:sz w:val="24"/>
          <w:highlight w:val="none"/>
          <w:lang w:eastAsia="zh-CN"/>
        </w:rPr>
        <w:t>（</w:t>
      </w:r>
      <w:r>
        <w:rPr>
          <w:rFonts w:hint="eastAsia" w:asciiTheme="minorEastAsia" w:hAnsiTheme="minorEastAsia" w:cstheme="minorEastAsia"/>
          <w:bCs/>
          <w:color w:val="auto"/>
          <w:sz w:val="24"/>
          <w:highlight w:val="none"/>
          <w:lang w:val="en-US" w:eastAsia="zh-CN"/>
        </w:rPr>
        <w:t>若有</w:t>
      </w:r>
      <w:r>
        <w:rPr>
          <w:rFonts w:hint="eastAsia" w:asciiTheme="minorEastAsia" w:hAnsiTheme="minorEastAsia" w:cstheme="minorEastAsia"/>
          <w:bCs/>
          <w:color w:val="auto"/>
          <w:sz w:val="24"/>
          <w:highlight w:val="none"/>
          <w:lang w:eastAsia="zh-CN"/>
        </w:rPr>
        <w:t>）</w:t>
      </w:r>
      <w:r>
        <w:rPr>
          <w:rFonts w:hint="eastAsia" w:asciiTheme="minorEastAsia" w:hAnsiTheme="minorEastAsia" w:cstheme="minorEastAsia"/>
          <w:bCs/>
          <w:color w:val="auto"/>
          <w:sz w:val="24"/>
          <w:highlight w:val="none"/>
        </w:rPr>
        <w:t>的。</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（7）违反保密纪律或者回避规定，造成不良影响或损失的；</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（8）将审核情况、结果用于与审核事项无关目的；</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（9）违反廉政规定，索取、收受委托合同以外的酬金或其他财物，利用审核工作获取不正当利益的；</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（10）隐瞒审核发现的问题，有串通舞弊、弄虚作假等不诚实行为的；</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（11）未经同意转让、转包评审中心委托审核项目的；</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（12）与他人串通，损害国家利益、社会公共利益或者他人合法权益，背离职业道德，无原则附和被审核项目单位违法违规要求的；</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（13）因工作失误给被审核单位或者甲方带来重大不良影响或损失的；</w:t>
      </w:r>
    </w:p>
    <w:p>
      <w:pPr>
        <w:snapToGrid w:val="0"/>
        <w:spacing w:line="500" w:lineRule="exact"/>
        <w:ind w:firstLine="456" w:firstLineChars="190"/>
        <w:rPr>
          <w:rFonts w:ascii="仿宋_GB2312" w:eastAsia="仿宋_GB2312" w:cs="仿宋_GB2312"/>
          <w:color w:val="auto"/>
          <w:sz w:val="30"/>
          <w:szCs w:val="30"/>
          <w:highlight w:val="none"/>
        </w:rPr>
      </w:pPr>
      <w:r>
        <w:rPr>
          <w:rFonts w:hint="eastAsia" w:asciiTheme="minorEastAsia" w:hAnsiTheme="minorEastAsia" w:cstheme="minorEastAsia"/>
          <w:bCs/>
          <w:color w:val="auto"/>
          <w:sz w:val="24"/>
          <w:highlight w:val="none"/>
        </w:rPr>
        <w:t>（14）不履行征集文件、合同和有关评审管理办法条款，拒绝接受甲方业务指导和监督的；</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（15）法律、法规禁止的其他行为。</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7.2入围供应商的补充：</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7.2.1补充征集的程序：同原征集文件；</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7.2.2补充征集的评审方法：同原征集文件；</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7.2.3补充征集的淘汰比例：同原征集文件；</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7.2.4补充征集的框架协议有效期：同本协议有效期；</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7.2.5补充征集期间，本框架协议继续履行。被取消入围资格或者被解除框架协议的供应商不得参加同一封闭式框架协议补充征集。</w:t>
      </w:r>
    </w:p>
    <w:p>
      <w:pPr>
        <w:pBdr>
          <w:top w:val="none" w:color="auto" w:sz="0" w:space="1"/>
          <w:left w:val="none" w:color="auto" w:sz="0" w:space="4"/>
          <w:bottom w:val="none" w:color="auto" w:sz="0" w:space="1"/>
          <w:right w:val="none" w:color="auto" w:sz="0" w:space="4"/>
        </w:pBdr>
        <w:spacing w:line="360" w:lineRule="auto"/>
        <w:ind w:firstLine="482"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四、资金支付方式、时间和条件</w:t>
      </w:r>
    </w:p>
    <w:p>
      <w:pPr>
        <w:pBdr>
          <w:top w:val="none" w:color="auto" w:sz="0" w:space="1"/>
          <w:left w:val="none" w:color="auto" w:sz="0" w:space="4"/>
          <w:bottom w:val="none" w:color="auto" w:sz="0" w:space="1"/>
          <w:right w:val="none" w:color="auto" w:sz="0" w:space="4"/>
        </w:pBdr>
        <w:spacing w:line="360" w:lineRule="auto"/>
        <w:ind w:firstLine="480" w:firstLineChars="200"/>
        <w:rPr>
          <w:rFonts w:asciiTheme="minorEastAsia" w:hAnsiTheme="minorEastAsia" w:cstheme="minorEastAsia"/>
          <w:bCs/>
          <w:color w:val="auto"/>
          <w:sz w:val="24"/>
          <w:highlight w:val="none"/>
          <w:u w:val="single"/>
        </w:rPr>
      </w:pPr>
      <w:r>
        <w:rPr>
          <w:rFonts w:hint="eastAsia" w:asciiTheme="minorEastAsia" w:hAnsiTheme="minorEastAsia" w:cstheme="minorEastAsia"/>
          <w:bCs/>
          <w:color w:val="auto"/>
          <w:sz w:val="24"/>
          <w:highlight w:val="none"/>
          <w:u w:val="single"/>
        </w:rPr>
        <w:t>(按照实际情况编制填写，可以是表格或文字描述）；</w:t>
      </w:r>
    </w:p>
    <w:p>
      <w:pPr>
        <w:pBdr>
          <w:top w:val="none" w:color="auto" w:sz="0" w:space="1"/>
          <w:left w:val="none" w:color="auto" w:sz="0" w:space="4"/>
          <w:bottom w:val="none" w:color="auto" w:sz="0" w:space="1"/>
          <w:right w:val="none" w:color="auto" w:sz="0" w:space="4"/>
        </w:pBdr>
        <w:spacing w:line="360" w:lineRule="auto"/>
        <w:ind w:firstLine="482"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五、用户反馈和评价机制</w:t>
      </w:r>
    </w:p>
    <w:p>
      <w:pPr>
        <w:pBdr>
          <w:top w:val="none" w:color="auto" w:sz="0" w:space="1"/>
          <w:left w:val="none" w:color="auto" w:sz="0" w:space="4"/>
          <w:bottom w:val="none" w:color="auto" w:sz="0" w:space="1"/>
          <w:right w:val="none" w:color="auto" w:sz="0" w:space="4"/>
        </w:pBdr>
        <w:spacing w:line="360" w:lineRule="auto"/>
        <w:ind w:firstLine="480" w:firstLineChars="200"/>
        <w:rPr>
          <w:rFonts w:hint="eastAsia" w:asciiTheme="minorEastAsia" w:hAnsiTheme="minorEastAsia" w:cstheme="minorEastAsia"/>
          <w:bCs/>
          <w:color w:val="auto"/>
          <w:sz w:val="24"/>
          <w:highlight w:val="none"/>
          <w:u w:val="single"/>
        </w:rPr>
      </w:pPr>
      <w:r>
        <w:rPr>
          <w:rFonts w:hint="eastAsia" w:asciiTheme="minorEastAsia" w:hAnsiTheme="minorEastAsia" w:cstheme="minorEastAsia"/>
          <w:bCs/>
          <w:color w:val="auto"/>
          <w:sz w:val="24"/>
          <w:highlight w:val="none"/>
          <w:u w:val="single"/>
        </w:rPr>
        <w:t>(按照实际情况编制填写，可以是表格或文字描述）；</w:t>
      </w:r>
    </w:p>
    <w:p>
      <w:pPr>
        <w:pBdr>
          <w:top w:val="none" w:color="auto" w:sz="0" w:space="1"/>
          <w:left w:val="none" w:color="auto" w:sz="0" w:space="4"/>
          <w:bottom w:val="none" w:color="auto" w:sz="0" w:space="1"/>
          <w:right w:val="none" w:color="auto" w:sz="0" w:space="4"/>
        </w:pBdr>
        <w:spacing w:line="360" w:lineRule="auto"/>
        <w:ind w:firstLine="482"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lang w:val="en-US" w:eastAsia="zh-CN"/>
        </w:rPr>
        <w:t>六、</w:t>
      </w:r>
      <w:r>
        <w:rPr>
          <w:rFonts w:hint="eastAsia" w:ascii="宋体" w:hAnsi="宋体" w:eastAsia="宋体" w:cs="宋体"/>
          <w:i w:val="0"/>
          <w:iCs w:val="0"/>
          <w:caps w:val="0"/>
          <w:color w:val="auto"/>
          <w:spacing w:val="0"/>
          <w:sz w:val="24"/>
          <w:szCs w:val="24"/>
          <w:highlight w:val="none"/>
        </w:rPr>
        <w:t>甲方的权利</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1．对乙方承诺的服务和实际提供的服务以及相关事项进行监督检查；</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2．对乙方承诺的协议价格执行情况进行监督检查；</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有权要求乙方对不符合协议的行为进行调整，如服务对象对乙方无正当理由拒绝提供承诺的服务和价格或提供的服务质量问题向甲方投诉，甲方接到投诉后有权进行核查，如情况属实可要求乙方及时纠正，或根据《福建省党政机关会议定点管理实施办法》的有关规定，取消乙方的会议定点资格；</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4.甲方通过“党政机关会议定点场所管理系统”对乙方接待党政机关会议业绩自动统计，作为下一轮党政机关会议定点场所政府采购的参 考依据；</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5．有权在媒体上公布乙方履行协议情况。</w:t>
      </w:r>
    </w:p>
    <w:p>
      <w:pPr>
        <w:pStyle w:val="16"/>
        <w:keepNext w:val="0"/>
        <w:keepLines w:val="0"/>
        <w:widowControl/>
        <w:suppressLineNumbers w:val="0"/>
        <w:spacing w:before="0" w:beforeAutospacing="0" w:after="0" w:afterAutospacing="0" w:line="495" w:lineRule="atLeast"/>
        <w:ind w:left="0" w:right="0" w:firstLine="566" w:firstLineChars="235"/>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lang w:val="en-US" w:eastAsia="zh-CN"/>
        </w:rPr>
        <w:t>七</w:t>
      </w:r>
      <w:r>
        <w:rPr>
          <w:rFonts w:hint="eastAsia" w:ascii="宋体" w:hAnsi="宋体" w:eastAsia="宋体" w:cs="宋体"/>
          <w:b/>
          <w:bCs/>
          <w:i w:val="0"/>
          <w:iCs w:val="0"/>
          <w:caps w:val="0"/>
          <w:color w:val="auto"/>
          <w:spacing w:val="0"/>
          <w:sz w:val="24"/>
          <w:szCs w:val="24"/>
          <w:highlight w:val="none"/>
          <w:lang w:eastAsia="zh-CN"/>
        </w:rPr>
        <w:t>、</w:t>
      </w:r>
      <w:r>
        <w:rPr>
          <w:rFonts w:hint="eastAsia" w:ascii="宋体" w:hAnsi="宋体" w:eastAsia="宋体" w:cs="宋体"/>
          <w:b/>
          <w:bCs/>
          <w:i w:val="0"/>
          <w:iCs w:val="0"/>
          <w:caps w:val="0"/>
          <w:color w:val="auto"/>
          <w:spacing w:val="0"/>
          <w:sz w:val="24"/>
          <w:szCs w:val="24"/>
          <w:highlight w:val="none"/>
        </w:rPr>
        <w:t>甲方的义务</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1．公布定点场所的</w:t>
      </w:r>
      <w:r>
        <w:rPr>
          <w:rFonts w:hint="eastAsia" w:ascii="宋体" w:hAnsi="宋体" w:eastAsia="宋体" w:cs="宋体"/>
          <w:i w:val="0"/>
          <w:iCs w:val="0"/>
          <w:caps w:val="0"/>
          <w:color w:val="auto"/>
          <w:spacing w:val="0"/>
          <w:sz w:val="24"/>
          <w:szCs w:val="24"/>
          <w:highlight w:val="none"/>
          <w:lang w:eastAsia="zh-CN"/>
        </w:rPr>
        <w:t>名称</w:t>
      </w:r>
      <w:r>
        <w:rPr>
          <w:rFonts w:hint="eastAsia" w:ascii="宋体" w:hAnsi="宋体" w:eastAsia="宋体" w:cs="宋体"/>
          <w:i w:val="0"/>
          <w:iCs w:val="0"/>
          <w:caps w:val="0"/>
          <w:color w:val="auto"/>
          <w:spacing w:val="0"/>
          <w:sz w:val="24"/>
          <w:szCs w:val="24"/>
          <w:highlight w:val="none"/>
        </w:rPr>
        <w:t>、地理位置及协议价格等信息；</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2．依据党政机关会议定点管理制度以及国库集中支付和公务卡结算方式等财务管理手段，约束党政机关到定点场所开会。</w:t>
      </w:r>
    </w:p>
    <w:p>
      <w:pPr>
        <w:pStyle w:val="16"/>
        <w:keepNext w:val="0"/>
        <w:keepLines w:val="0"/>
        <w:widowControl/>
        <w:suppressLineNumbers w:val="0"/>
        <w:spacing w:before="0" w:beforeAutospacing="0" w:after="0" w:afterAutospacing="0" w:line="495" w:lineRule="atLeast"/>
        <w:ind w:left="0" w:right="0" w:firstLine="566" w:firstLineChars="235"/>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lang w:val="en-US" w:eastAsia="zh-CN"/>
        </w:rPr>
        <w:t>八</w:t>
      </w:r>
      <w:r>
        <w:rPr>
          <w:rFonts w:hint="eastAsia" w:ascii="宋体" w:hAnsi="宋体" w:eastAsia="宋体" w:cs="宋体"/>
          <w:b/>
          <w:bCs/>
          <w:i w:val="0"/>
          <w:iCs w:val="0"/>
          <w:caps w:val="0"/>
          <w:color w:val="auto"/>
          <w:spacing w:val="0"/>
          <w:sz w:val="24"/>
          <w:szCs w:val="24"/>
          <w:highlight w:val="none"/>
          <w:lang w:eastAsia="zh-CN"/>
        </w:rPr>
        <w:t>、</w:t>
      </w:r>
      <w:r>
        <w:rPr>
          <w:rFonts w:hint="eastAsia" w:ascii="宋体" w:hAnsi="宋体" w:eastAsia="宋体" w:cs="宋体"/>
          <w:b/>
          <w:bCs/>
          <w:i w:val="0"/>
          <w:iCs w:val="0"/>
          <w:caps w:val="0"/>
          <w:color w:val="auto"/>
          <w:spacing w:val="0"/>
          <w:sz w:val="24"/>
          <w:szCs w:val="24"/>
          <w:highlight w:val="none"/>
        </w:rPr>
        <w:t>乙方的权利</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1．会议举办单位不能出示有效证明，证明其属于协议服务范围的，乙方有权拒绝向其提供协议价格的服务；</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2．会议举办单位要求虚开发票、提取现金、开支与会议无关费用的，乙方有权拒绝。</w:t>
      </w:r>
    </w:p>
    <w:p>
      <w:pPr>
        <w:pStyle w:val="16"/>
        <w:keepNext w:val="0"/>
        <w:keepLines w:val="0"/>
        <w:widowControl/>
        <w:suppressLineNumbers w:val="0"/>
        <w:spacing w:before="0" w:beforeAutospacing="0" w:after="0" w:afterAutospacing="0" w:line="495" w:lineRule="atLeast"/>
        <w:ind w:left="0" w:right="0" w:firstLine="566"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lang w:eastAsia="zh-CN"/>
        </w:rPr>
        <w:t>九、</w:t>
      </w:r>
      <w:r>
        <w:rPr>
          <w:rFonts w:hint="eastAsia" w:ascii="宋体" w:hAnsi="宋体" w:eastAsia="宋体" w:cs="宋体"/>
          <w:b/>
          <w:bCs/>
          <w:i w:val="0"/>
          <w:iCs w:val="0"/>
          <w:caps w:val="0"/>
          <w:color w:val="auto"/>
          <w:spacing w:val="0"/>
          <w:sz w:val="24"/>
          <w:szCs w:val="24"/>
          <w:highlight w:val="none"/>
        </w:rPr>
        <w:t>乙方的义务</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1．乙方应按</w:t>
      </w:r>
      <w:r>
        <w:rPr>
          <w:rFonts w:hint="eastAsia" w:ascii="宋体" w:hAnsi="宋体" w:eastAsia="宋体" w:cs="宋体"/>
          <w:i w:val="0"/>
          <w:iCs w:val="0"/>
          <w:caps w:val="0"/>
          <w:color w:val="auto"/>
          <w:spacing w:val="0"/>
          <w:sz w:val="24"/>
          <w:szCs w:val="24"/>
          <w:highlight w:val="none"/>
          <w:lang w:eastAsia="zh-CN"/>
        </w:rPr>
        <w:t>征集文件</w:t>
      </w:r>
      <w:r>
        <w:rPr>
          <w:rFonts w:hint="eastAsia" w:ascii="宋体" w:hAnsi="宋体" w:eastAsia="宋体" w:cs="宋体"/>
          <w:i w:val="0"/>
          <w:iCs w:val="0"/>
          <w:caps w:val="0"/>
          <w:color w:val="auto"/>
          <w:spacing w:val="0"/>
          <w:sz w:val="24"/>
          <w:szCs w:val="24"/>
          <w:highlight w:val="none"/>
        </w:rPr>
        <w:t>的要求，提供本协议规定的会议接待服务。</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在协议期内，乙方必须持有和确保下列证照处于合法有效期内：营业执照、中华人民共和国组织机构代码证、客房、餐饮卫生许可证、特种行业许可证、消防安全检查合格证、锅炉、电梯（未安装使用的除外）安全检查合格证明。</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2．在协议期内，乙方要按照本协议的规定，接待党政机关举办会议，并执行协议价格。</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协议有效期内，乙方应保持各项设备、设施完好，具备履行协议的能力；如乙方设备、设施发生足以影响接待能力的重大变化，应在变化发生后3日内书面通知甲方，甲方根据实际情况决定是否继续履行协议。如甲方解除协议，应在乙方书面通知到达30日内书面通知乙方并与乙方签订解除协议确认书。</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3．乙方的设施设备、清洁卫生、服务质量等要符合国家规定标准，不得因价格优惠而减少服务项目、降低服务质量。</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4．乙方向单位举办会议提供如下协议价格：</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（1）各类客房（套间、单间、标准间）的价格（元/天）；</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（2）各种会议室（大、中、小）的价格（元/半天）；</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（3）伙食费的价格（元/天或单餐价格）。</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乙方承诺提供的协议价格不得随市场价格波动而提高。</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当服务对象与乙方在价格和服务方面发生争议时，乙方有义务主动出示本协议书。</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5．乙方的</w:t>
      </w:r>
      <w:r>
        <w:rPr>
          <w:rFonts w:hint="eastAsia" w:ascii="宋体" w:hAnsi="宋体" w:eastAsia="宋体" w:cs="宋体"/>
          <w:i w:val="0"/>
          <w:iCs w:val="0"/>
          <w:caps w:val="0"/>
          <w:color w:val="auto"/>
          <w:spacing w:val="0"/>
          <w:sz w:val="24"/>
          <w:szCs w:val="24"/>
          <w:highlight w:val="none"/>
          <w:lang w:eastAsia="zh-CN"/>
        </w:rPr>
        <w:t>名称</w:t>
      </w:r>
      <w:r>
        <w:rPr>
          <w:rFonts w:hint="eastAsia" w:ascii="宋体" w:hAnsi="宋体" w:eastAsia="宋体" w:cs="宋体"/>
          <w:i w:val="0"/>
          <w:iCs w:val="0"/>
          <w:caps w:val="0"/>
          <w:color w:val="auto"/>
          <w:spacing w:val="0"/>
          <w:sz w:val="24"/>
          <w:szCs w:val="24"/>
          <w:highlight w:val="none"/>
        </w:rPr>
        <w:t>（包括发票开具单位的</w:t>
      </w:r>
      <w:r>
        <w:rPr>
          <w:rFonts w:hint="eastAsia" w:ascii="宋体" w:hAnsi="宋体" w:eastAsia="宋体" w:cs="宋体"/>
          <w:i w:val="0"/>
          <w:iCs w:val="0"/>
          <w:caps w:val="0"/>
          <w:color w:val="auto"/>
          <w:spacing w:val="0"/>
          <w:sz w:val="24"/>
          <w:szCs w:val="24"/>
          <w:highlight w:val="none"/>
          <w:lang w:eastAsia="zh-CN"/>
        </w:rPr>
        <w:t>名称</w:t>
      </w:r>
      <w:r>
        <w:rPr>
          <w:rFonts w:hint="eastAsia" w:ascii="宋体" w:hAnsi="宋体" w:eastAsia="宋体" w:cs="宋体"/>
          <w:i w:val="0"/>
          <w:iCs w:val="0"/>
          <w:caps w:val="0"/>
          <w:color w:val="auto"/>
          <w:spacing w:val="0"/>
          <w:sz w:val="24"/>
          <w:szCs w:val="24"/>
          <w:highlight w:val="none"/>
        </w:rPr>
        <w:t>）、地址、联系方式等发生变化时，要及时通知甲方，并在“党政机关会议定点场所管理系统”上做相应更改。</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6．乙方应具备上网条件，应当在结算时通过“党政机关会议定点场所管理系统”打印电子结算单，供会议举办单位报销使用。</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7. 乙方应如实开具发票，提供费用原始明细单据，供会议举办单位报销使用。</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8．乙方应具备信用卡收款条件，方便使用公务卡结算。</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9．乙方应于本协议签署后的7个工作日内，在“党政机关会议定点场所管理系统”上完成饭店的注册、协议价格等信息填报、本协议的影印件、饭店位置图的上传等工作，并通知甲方进行审核。</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10．乙方在“党政机关会议定点场所管理系统”注册的饭店</w:t>
      </w:r>
      <w:r>
        <w:rPr>
          <w:rFonts w:hint="eastAsia" w:ascii="宋体" w:hAnsi="宋体" w:eastAsia="宋体" w:cs="宋体"/>
          <w:i w:val="0"/>
          <w:iCs w:val="0"/>
          <w:caps w:val="0"/>
          <w:color w:val="auto"/>
          <w:spacing w:val="0"/>
          <w:sz w:val="24"/>
          <w:szCs w:val="24"/>
          <w:highlight w:val="none"/>
          <w:lang w:eastAsia="zh-CN"/>
        </w:rPr>
        <w:t>名称</w:t>
      </w:r>
      <w:r>
        <w:rPr>
          <w:rFonts w:hint="eastAsia" w:ascii="宋体" w:hAnsi="宋体" w:eastAsia="宋体" w:cs="宋体"/>
          <w:i w:val="0"/>
          <w:iCs w:val="0"/>
          <w:caps w:val="0"/>
          <w:color w:val="auto"/>
          <w:spacing w:val="0"/>
          <w:sz w:val="24"/>
          <w:szCs w:val="24"/>
          <w:highlight w:val="none"/>
        </w:rPr>
        <w:t>与发票开具单位</w:t>
      </w:r>
      <w:r>
        <w:rPr>
          <w:rFonts w:hint="eastAsia" w:ascii="宋体" w:hAnsi="宋体" w:eastAsia="宋体" w:cs="宋体"/>
          <w:i w:val="0"/>
          <w:iCs w:val="0"/>
          <w:caps w:val="0"/>
          <w:color w:val="auto"/>
          <w:spacing w:val="0"/>
          <w:sz w:val="24"/>
          <w:szCs w:val="24"/>
          <w:highlight w:val="none"/>
          <w:lang w:eastAsia="zh-CN"/>
        </w:rPr>
        <w:t>名称</w:t>
      </w:r>
      <w:r>
        <w:rPr>
          <w:rFonts w:hint="eastAsia" w:ascii="宋体" w:hAnsi="宋体" w:eastAsia="宋体" w:cs="宋体"/>
          <w:i w:val="0"/>
          <w:iCs w:val="0"/>
          <w:caps w:val="0"/>
          <w:color w:val="auto"/>
          <w:spacing w:val="0"/>
          <w:sz w:val="24"/>
          <w:szCs w:val="24"/>
          <w:highlight w:val="none"/>
        </w:rPr>
        <w:t>不一致的，应在网上注明。</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11．乙方应接受甲方的监督检查，对甲方提出的意见及时进行整改。</w:t>
      </w:r>
    </w:p>
    <w:p>
      <w:pPr>
        <w:pStyle w:val="16"/>
        <w:keepNext w:val="0"/>
        <w:keepLines w:val="0"/>
        <w:widowControl/>
        <w:suppressLineNumbers w:val="0"/>
        <w:spacing w:before="0" w:beforeAutospacing="0" w:after="0" w:afterAutospacing="0" w:line="495" w:lineRule="atLeast"/>
        <w:ind w:left="0" w:right="0" w:firstLine="566" w:firstLineChars="235"/>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lang w:eastAsia="zh-CN"/>
        </w:rPr>
        <w:t>十、</w:t>
      </w:r>
      <w:r>
        <w:rPr>
          <w:rFonts w:hint="eastAsia" w:ascii="宋体" w:hAnsi="宋体" w:eastAsia="宋体" w:cs="宋体"/>
          <w:b/>
          <w:bCs/>
          <w:i w:val="0"/>
          <w:iCs w:val="0"/>
          <w:caps w:val="0"/>
          <w:color w:val="auto"/>
          <w:spacing w:val="0"/>
          <w:sz w:val="24"/>
          <w:szCs w:val="24"/>
          <w:highlight w:val="none"/>
        </w:rPr>
        <w:t>结算</w:t>
      </w:r>
    </w:p>
    <w:p>
      <w:pPr>
        <w:pStyle w:val="16"/>
        <w:keepNext w:val="0"/>
        <w:keepLines w:val="0"/>
        <w:widowControl/>
        <w:suppressLineNumbers w:val="0"/>
        <w:spacing w:before="0" w:beforeAutospacing="0" w:after="0" w:afterAutospacing="0" w:line="495" w:lineRule="atLeast"/>
        <w:ind w:left="0" w:right="0" w:firstLine="28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会议费用由会议举办单位按照会议费管理办法规定向乙方支付，乙方应保存好所有结算单据，甲方有权根据会议费管理办法等检验结算单据。</w:t>
      </w:r>
    </w:p>
    <w:p>
      <w:pPr>
        <w:pStyle w:val="16"/>
        <w:keepNext w:val="0"/>
        <w:keepLines w:val="0"/>
        <w:widowControl/>
        <w:suppressLineNumbers w:val="0"/>
        <w:spacing w:before="0" w:beforeAutospacing="0" w:after="0" w:afterAutospacing="0" w:line="495" w:lineRule="atLeast"/>
        <w:ind w:left="0" w:right="0" w:firstLine="566"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lang w:eastAsia="zh-CN"/>
        </w:rPr>
        <w:t>十一</w:t>
      </w:r>
      <w:r>
        <w:rPr>
          <w:rStyle w:val="24"/>
          <w:rFonts w:hint="eastAsia" w:ascii="宋体" w:hAnsi="宋体" w:eastAsia="宋体" w:cs="宋体"/>
          <w:i w:val="0"/>
          <w:iCs w:val="0"/>
          <w:caps w:val="0"/>
          <w:color w:val="auto"/>
          <w:spacing w:val="0"/>
          <w:sz w:val="24"/>
          <w:szCs w:val="24"/>
          <w:highlight w:val="none"/>
          <w:lang w:eastAsia="zh-CN"/>
        </w:rPr>
        <w:t>、</w:t>
      </w:r>
      <w:r>
        <w:rPr>
          <w:rStyle w:val="24"/>
          <w:rFonts w:hint="eastAsia" w:ascii="宋体" w:hAnsi="宋体" w:eastAsia="宋体" w:cs="宋体"/>
          <w:i w:val="0"/>
          <w:iCs w:val="0"/>
          <w:caps w:val="0"/>
          <w:color w:val="auto"/>
          <w:spacing w:val="0"/>
          <w:sz w:val="24"/>
          <w:szCs w:val="24"/>
          <w:highlight w:val="none"/>
        </w:rPr>
        <w:t>违约责任</w:t>
      </w:r>
    </w:p>
    <w:p>
      <w:pPr>
        <w:pStyle w:val="16"/>
        <w:keepNext w:val="0"/>
        <w:keepLines w:val="0"/>
        <w:widowControl/>
        <w:suppressLineNumbers w:val="0"/>
        <w:spacing w:before="0" w:beforeAutospacing="0" w:after="0" w:afterAutospacing="0" w:line="495" w:lineRule="atLeast"/>
        <w:ind w:left="0" w:right="0" w:firstLine="564" w:firstLineChars="23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乙方有以下违约行为的，经调查属实，第一次予以书面警告；第二次取消定点场所资格，并不得参加下一轮次的会议定点场所政府采购。</w:t>
      </w:r>
    </w:p>
    <w:p>
      <w:pPr>
        <w:pStyle w:val="16"/>
        <w:keepNext w:val="0"/>
        <w:keepLines w:val="0"/>
        <w:widowControl/>
        <w:suppressLineNumbers w:val="0"/>
        <w:spacing w:before="0" w:beforeAutospacing="0" w:after="0" w:afterAutospacing="0" w:line="495" w:lineRule="atLeast"/>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（一）无正当理由拒绝接待党政机关会议的；</w:t>
      </w:r>
    </w:p>
    <w:p>
      <w:pPr>
        <w:pStyle w:val="16"/>
        <w:keepNext w:val="0"/>
        <w:keepLines w:val="0"/>
        <w:widowControl/>
        <w:suppressLineNumbers w:val="0"/>
        <w:spacing w:before="0" w:beforeAutospacing="0" w:after="0" w:afterAutospacing="0" w:line="495" w:lineRule="atLeast"/>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（二）超过协议价格收取费用或采取减少服务项目等降低服务质量的；</w:t>
      </w:r>
    </w:p>
    <w:p>
      <w:pPr>
        <w:pStyle w:val="16"/>
        <w:keepNext w:val="0"/>
        <w:keepLines w:val="0"/>
        <w:widowControl/>
        <w:suppressLineNumbers w:val="0"/>
        <w:spacing w:before="0" w:beforeAutospacing="0" w:after="0" w:afterAutospacing="0" w:line="495" w:lineRule="atLeast"/>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（三）提供虚假发票的；</w:t>
      </w:r>
    </w:p>
    <w:p>
      <w:pPr>
        <w:pStyle w:val="16"/>
        <w:keepNext w:val="0"/>
        <w:keepLines w:val="0"/>
        <w:widowControl/>
        <w:suppressLineNumbers w:val="0"/>
        <w:spacing w:before="0" w:beforeAutospacing="0" w:after="0" w:afterAutospacing="0" w:line="495" w:lineRule="atLeast"/>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（四）未按规定提供发票、费用原始明细单据、电子结算单等凭证的；</w:t>
      </w:r>
    </w:p>
    <w:p>
      <w:pPr>
        <w:pStyle w:val="16"/>
        <w:keepNext w:val="0"/>
        <w:keepLines w:val="0"/>
        <w:widowControl/>
        <w:suppressLineNumbers w:val="0"/>
        <w:spacing w:before="0" w:beforeAutospacing="0" w:after="0" w:afterAutospacing="0" w:line="495" w:lineRule="atLeast"/>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（五）违反其他协议规定事项的。</w:t>
      </w:r>
    </w:p>
    <w:p>
      <w:pPr>
        <w:pStyle w:val="16"/>
        <w:keepNext w:val="0"/>
        <w:keepLines w:val="0"/>
        <w:widowControl/>
        <w:suppressLineNumbers w:val="0"/>
        <w:spacing w:before="0" w:beforeAutospacing="0" w:after="0" w:afterAutospacing="0" w:line="495" w:lineRule="atLeast"/>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乙方在协议期内未经批准单方面终止履行协议的，取消其会议定点场所资格，并不得参与下一轮次党政机关会议定点场所政府采购。</w:t>
      </w:r>
    </w:p>
    <w:p>
      <w:pPr>
        <w:pStyle w:val="16"/>
        <w:keepNext w:val="0"/>
        <w:keepLines w:val="0"/>
        <w:widowControl/>
        <w:suppressLineNumbers w:val="0"/>
        <w:spacing w:before="0" w:beforeAutospacing="0" w:after="0" w:afterAutospacing="0" w:line="495" w:lineRule="atLeast"/>
        <w:ind w:left="0" w:right="0" w:firstLine="482" w:firstLineChars="200"/>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lang w:eastAsia="zh-CN"/>
        </w:rPr>
        <w:t>十二、</w:t>
      </w:r>
      <w:r>
        <w:rPr>
          <w:rStyle w:val="24"/>
          <w:rFonts w:hint="eastAsia" w:ascii="宋体" w:hAnsi="宋体" w:eastAsia="宋体" w:cs="宋体"/>
          <w:b/>
          <w:bCs/>
          <w:i w:val="0"/>
          <w:iCs w:val="0"/>
          <w:caps w:val="0"/>
          <w:color w:val="auto"/>
          <w:spacing w:val="0"/>
          <w:sz w:val="24"/>
          <w:szCs w:val="24"/>
          <w:highlight w:val="none"/>
        </w:rPr>
        <w:t>不可抗力</w:t>
      </w:r>
    </w:p>
    <w:p>
      <w:pPr>
        <w:pStyle w:val="16"/>
        <w:keepNext w:val="0"/>
        <w:keepLines w:val="0"/>
        <w:widowControl/>
        <w:suppressLineNumbers w:val="0"/>
        <w:spacing w:before="0" w:beforeAutospacing="0" w:after="0" w:afterAutospacing="0" w:line="495" w:lineRule="atLeast"/>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一）不可抗力事件是指甲乙双方在缔结协议时所不能预见的，且它的发生及其后果是无法避免和无法克服的事故，诸如战争、骚乱、瘟疫、严重火灾、洪水、台风、地震等,包括乙方破产、解散、清算、停业以及其他原因无法提供接待服务。</w:t>
      </w:r>
    </w:p>
    <w:p>
      <w:pPr>
        <w:pStyle w:val="16"/>
        <w:keepNext w:val="0"/>
        <w:keepLines w:val="0"/>
        <w:widowControl/>
        <w:suppressLineNumbers w:val="0"/>
        <w:spacing w:before="0" w:beforeAutospacing="0" w:after="0" w:afterAutospacing="0" w:line="495" w:lineRule="atLeast"/>
        <w:ind w:left="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二）遭受不可抗力一方应在不可抗力事故发生后尽快以书面形式通知对方，并于事故发生后14日内将有关部门出具的证明文件、详细情况报告以及不可抗力对履行协议影响程度的说明用特快专递或挂号信寄给对方。</w:t>
      </w:r>
    </w:p>
    <w:p>
      <w:pPr>
        <w:pStyle w:val="16"/>
        <w:keepNext w:val="0"/>
        <w:keepLines w:val="0"/>
        <w:widowControl/>
        <w:suppressLineNumbers w:val="0"/>
        <w:spacing w:before="0" w:beforeAutospacing="0" w:after="0" w:afterAutospacing="0" w:line="495" w:lineRule="atLeast"/>
        <w:ind w:left="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三）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pStyle w:val="16"/>
        <w:keepNext w:val="0"/>
        <w:keepLines w:val="0"/>
        <w:widowControl/>
        <w:suppressLineNumbers w:val="0"/>
        <w:spacing w:before="0" w:beforeAutospacing="0" w:after="0" w:afterAutospacing="0" w:line="495" w:lineRule="atLeast"/>
        <w:ind w:left="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（四）一旦不可抗力事故的影响持续120天以上，甲乙双方通过友好协商，在合理的时间内达成进一步履行协议或终止协议的协议。</w:t>
      </w:r>
    </w:p>
    <w:p>
      <w:pPr>
        <w:pStyle w:val="16"/>
        <w:keepNext w:val="0"/>
        <w:keepLines w:val="0"/>
        <w:widowControl/>
        <w:suppressLineNumbers w:val="0"/>
        <w:spacing w:before="0" w:beforeAutospacing="0" w:after="0" w:afterAutospacing="0" w:line="495" w:lineRule="atLeast"/>
        <w:ind w:left="0" w:right="0" w:firstLine="566" w:firstLineChars="235"/>
        <w:rPr>
          <w:rFonts w:hint="eastAsia" w:ascii="宋体" w:hAnsi="宋体" w:eastAsia="宋体" w:cs="宋体"/>
          <w:i w:val="0"/>
          <w:iCs w:val="0"/>
          <w:caps w:val="0"/>
          <w:color w:val="auto"/>
          <w:spacing w:val="0"/>
          <w:sz w:val="24"/>
          <w:szCs w:val="24"/>
          <w:highlight w:val="none"/>
        </w:rPr>
      </w:pPr>
      <w:r>
        <w:rPr>
          <w:rStyle w:val="24"/>
          <w:rFonts w:hint="eastAsia" w:ascii="宋体" w:hAnsi="宋体" w:eastAsia="宋体" w:cs="宋体"/>
          <w:i w:val="0"/>
          <w:iCs w:val="0"/>
          <w:caps w:val="0"/>
          <w:color w:val="auto"/>
          <w:spacing w:val="0"/>
          <w:sz w:val="24"/>
          <w:szCs w:val="24"/>
          <w:highlight w:val="none"/>
          <w:lang w:eastAsia="zh-CN"/>
        </w:rPr>
        <w:t>十三、</w:t>
      </w:r>
      <w:r>
        <w:rPr>
          <w:rStyle w:val="24"/>
          <w:rFonts w:hint="eastAsia" w:ascii="宋体" w:hAnsi="宋体" w:eastAsia="宋体" w:cs="宋体"/>
          <w:i w:val="0"/>
          <w:iCs w:val="0"/>
          <w:caps w:val="0"/>
          <w:color w:val="auto"/>
          <w:spacing w:val="0"/>
          <w:sz w:val="24"/>
          <w:szCs w:val="24"/>
          <w:highlight w:val="none"/>
        </w:rPr>
        <w:t>保密条款</w:t>
      </w:r>
    </w:p>
    <w:p>
      <w:pPr>
        <w:pStyle w:val="16"/>
        <w:keepNext w:val="0"/>
        <w:keepLines w:val="0"/>
        <w:widowControl/>
        <w:suppressLineNumbers w:val="0"/>
        <w:spacing w:before="0" w:beforeAutospacing="0" w:after="0" w:afterAutospacing="0" w:line="495" w:lineRule="atLeast"/>
        <w:ind w:left="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一）除甲乙双方共同认可的信息发布外，任何一方对其获知的本协议涉及的所有有形、无形的信息及资料（包括但不限于甲乙双方的往来书面文字文件、电子邮件等）中另一方的商业秘密或国家秘密负有保密义务。</w:t>
      </w:r>
    </w:p>
    <w:p>
      <w:pPr>
        <w:pStyle w:val="16"/>
        <w:keepNext w:val="0"/>
        <w:keepLines w:val="0"/>
        <w:widowControl/>
        <w:suppressLineNumbers w:val="0"/>
        <w:spacing w:before="0" w:beforeAutospacing="0" w:after="0" w:afterAutospacing="0" w:line="495" w:lineRule="atLeast"/>
        <w:ind w:left="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二）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pStyle w:val="16"/>
        <w:keepNext w:val="0"/>
        <w:keepLines w:val="0"/>
        <w:widowControl/>
        <w:suppressLineNumbers w:val="0"/>
        <w:spacing w:before="0" w:beforeAutospacing="0" w:after="0" w:afterAutospacing="0" w:line="495" w:lineRule="atLeast"/>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xml:space="preserve">  </w:t>
      </w: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（三）乙方不得以任何形式向第三方泄露参加会议人员的个人信息。</w:t>
      </w:r>
    </w:p>
    <w:p>
      <w:pPr>
        <w:pStyle w:val="16"/>
        <w:keepNext w:val="0"/>
        <w:keepLines w:val="0"/>
        <w:widowControl/>
        <w:suppressLineNumbers w:val="0"/>
        <w:spacing w:before="0" w:beforeAutospacing="0" w:after="0" w:afterAutospacing="0" w:line="495" w:lineRule="atLeast"/>
        <w:ind w:right="0" w:firstLine="241" w:firstLineChars="1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lang w:eastAsia="zh-CN"/>
        </w:rPr>
        <w:t>十四</w:t>
      </w:r>
      <w:r>
        <w:rPr>
          <w:rStyle w:val="24"/>
          <w:rFonts w:hint="eastAsia" w:ascii="宋体" w:hAnsi="宋体" w:eastAsia="宋体" w:cs="宋体"/>
          <w:i w:val="0"/>
          <w:iCs w:val="0"/>
          <w:caps w:val="0"/>
          <w:color w:val="auto"/>
          <w:spacing w:val="0"/>
          <w:sz w:val="24"/>
          <w:szCs w:val="24"/>
          <w:highlight w:val="none"/>
          <w:lang w:eastAsia="zh-CN"/>
        </w:rPr>
        <w:t>、</w:t>
      </w:r>
      <w:r>
        <w:rPr>
          <w:rStyle w:val="24"/>
          <w:rFonts w:hint="eastAsia" w:ascii="宋体" w:hAnsi="宋体" w:eastAsia="宋体" w:cs="宋体"/>
          <w:i w:val="0"/>
          <w:iCs w:val="0"/>
          <w:caps w:val="0"/>
          <w:color w:val="auto"/>
          <w:spacing w:val="0"/>
          <w:sz w:val="24"/>
          <w:szCs w:val="24"/>
          <w:highlight w:val="none"/>
        </w:rPr>
        <w:t>协议的解释</w:t>
      </w:r>
    </w:p>
    <w:p>
      <w:pPr>
        <w:pStyle w:val="16"/>
        <w:keepNext w:val="0"/>
        <w:keepLines w:val="0"/>
        <w:widowControl/>
        <w:suppressLineNumbers w:val="0"/>
        <w:spacing w:before="0" w:beforeAutospacing="0" w:after="0" w:afterAutospacing="0" w:line="495" w:lineRule="atLeast"/>
        <w:ind w:left="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（一）任何一方对本协议及其附件的解释均应遵循诚实信用原则，依照本协议签订时有效的中华人民共和国的法律、法规以及人们通常的理解进行。</w:t>
      </w:r>
    </w:p>
    <w:p>
      <w:pPr>
        <w:pStyle w:val="16"/>
        <w:keepNext w:val="0"/>
        <w:keepLines w:val="0"/>
        <w:widowControl/>
        <w:suppressLineNumbers w:val="0"/>
        <w:spacing w:before="0" w:beforeAutospacing="0" w:after="0" w:afterAutospacing="0" w:line="495" w:lineRule="atLeast"/>
        <w:ind w:left="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（二）本协议标题仅供查阅方便，并非对本协议的诠释或解释，本协议中以日表述的时间期限均指公历日。</w:t>
      </w:r>
    </w:p>
    <w:p>
      <w:pPr>
        <w:pStyle w:val="16"/>
        <w:keepNext w:val="0"/>
        <w:keepLines w:val="0"/>
        <w:widowControl/>
        <w:suppressLineNumbers w:val="0"/>
        <w:spacing w:before="0" w:beforeAutospacing="0" w:after="0" w:afterAutospacing="0" w:line="495" w:lineRule="atLeast"/>
        <w:ind w:left="0" w:right="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（三）对本协议的任何解释均应以书面做出。</w:t>
      </w:r>
    </w:p>
    <w:p>
      <w:pPr>
        <w:pStyle w:val="16"/>
        <w:keepNext w:val="0"/>
        <w:keepLines w:val="0"/>
        <w:widowControl/>
        <w:suppressLineNumbers w:val="0"/>
        <w:spacing w:before="0" w:beforeAutospacing="0" w:after="0" w:afterAutospacing="0" w:line="495" w:lineRule="atLeast"/>
        <w:ind w:left="0" w:right="0" w:firstLine="285"/>
        <w:rPr>
          <w:rFonts w:hint="eastAsia" w:ascii="宋体" w:hAnsi="宋体" w:eastAsia="宋体" w:cs="宋体"/>
          <w:i w:val="0"/>
          <w:iCs w:val="0"/>
          <w:caps w:val="0"/>
          <w:color w:val="auto"/>
          <w:spacing w:val="0"/>
          <w:sz w:val="24"/>
          <w:szCs w:val="24"/>
          <w:highlight w:val="none"/>
        </w:rPr>
      </w:pPr>
      <w:r>
        <w:rPr>
          <w:rStyle w:val="24"/>
          <w:rFonts w:hint="eastAsia" w:ascii="宋体" w:hAnsi="宋体" w:eastAsia="宋体" w:cs="宋体"/>
          <w:i w:val="0"/>
          <w:iCs w:val="0"/>
          <w:caps w:val="0"/>
          <w:color w:val="auto"/>
          <w:spacing w:val="0"/>
          <w:sz w:val="24"/>
          <w:szCs w:val="24"/>
          <w:highlight w:val="none"/>
          <w:lang w:eastAsia="zh-CN"/>
        </w:rPr>
        <w:t>十五、</w:t>
      </w:r>
      <w:r>
        <w:rPr>
          <w:rStyle w:val="24"/>
          <w:rFonts w:hint="eastAsia" w:ascii="宋体" w:hAnsi="宋体" w:eastAsia="宋体" w:cs="宋体"/>
          <w:i w:val="0"/>
          <w:iCs w:val="0"/>
          <w:caps w:val="0"/>
          <w:color w:val="auto"/>
          <w:spacing w:val="0"/>
          <w:sz w:val="24"/>
          <w:szCs w:val="24"/>
          <w:highlight w:val="none"/>
        </w:rPr>
        <w:t>争议的解决</w:t>
      </w:r>
    </w:p>
    <w:p>
      <w:pPr>
        <w:pStyle w:val="16"/>
        <w:keepNext w:val="0"/>
        <w:keepLines w:val="0"/>
        <w:widowControl/>
        <w:suppressLineNumbers w:val="0"/>
        <w:spacing w:before="0" w:beforeAutospacing="0" w:after="0" w:afterAutospacing="0" w:line="495" w:lineRule="atLeast"/>
        <w:ind w:left="0" w:right="0" w:firstLine="28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一)在执行本协议中发生的与本协议有关的争端，甲乙双方应通过友好协商解决，经协商在60天内不能达成协议时，甲乙双方同意将争议递交XXX仲裁委员会按照该会仲裁规则进行仲裁。仲裁裁决是终局的，对双方均有约束力。</w:t>
      </w:r>
    </w:p>
    <w:p>
      <w:pPr>
        <w:pStyle w:val="16"/>
        <w:keepNext w:val="0"/>
        <w:keepLines w:val="0"/>
        <w:widowControl/>
        <w:suppressLineNumbers w:val="0"/>
        <w:spacing w:before="0" w:beforeAutospacing="0" w:after="0" w:afterAutospacing="0" w:line="495" w:lineRule="atLeast"/>
        <w:ind w:left="0" w:right="0" w:firstLine="21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（二）除另有裁决外，仲裁费用应由败诉方负担。</w:t>
      </w:r>
    </w:p>
    <w:p>
      <w:pPr>
        <w:pStyle w:val="16"/>
        <w:keepNext w:val="0"/>
        <w:keepLines w:val="0"/>
        <w:widowControl/>
        <w:suppressLineNumbers w:val="0"/>
        <w:spacing w:before="0" w:beforeAutospacing="0" w:after="0" w:afterAutospacing="0" w:line="495" w:lineRule="atLeast"/>
        <w:ind w:left="0" w:right="0" w:firstLine="21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（三）在仲裁期间，除正在进行的仲裁部分外，协议其他部分继续执行。</w:t>
      </w:r>
    </w:p>
    <w:p>
      <w:pPr>
        <w:pStyle w:val="16"/>
        <w:keepNext w:val="0"/>
        <w:keepLines w:val="0"/>
        <w:widowControl/>
        <w:suppressLineNumbers w:val="0"/>
        <w:spacing w:before="0" w:beforeAutospacing="0" w:after="0" w:afterAutospacing="0" w:line="495" w:lineRule="atLeast"/>
        <w:ind w:left="0" w:right="0" w:firstLine="285"/>
        <w:rPr>
          <w:rFonts w:hint="eastAsia" w:ascii="宋体" w:hAnsi="宋体" w:eastAsia="宋体" w:cs="宋体"/>
          <w:i w:val="0"/>
          <w:iCs w:val="0"/>
          <w:caps w:val="0"/>
          <w:color w:val="auto"/>
          <w:spacing w:val="0"/>
          <w:sz w:val="24"/>
          <w:szCs w:val="24"/>
          <w:highlight w:val="none"/>
        </w:rPr>
      </w:pPr>
      <w:r>
        <w:rPr>
          <w:rStyle w:val="24"/>
          <w:rFonts w:hint="eastAsia" w:ascii="宋体" w:hAnsi="宋体" w:eastAsia="宋体" w:cs="宋体"/>
          <w:i w:val="0"/>
          <w:iCs w:val="0"/>
          <w:caps w:val="0"/>
          <w:color w:val="auto"/>
          <w:spacing w:val="0"/>
          <w:sz w:val="24"/>
          <w:szCs w:val="24"/>
          <w:highlight w:val="none"/>
          <w:lang w:eastAsia="zh-CN"/>
        </w:rPr>
        <w:t>十六</w:t>
      </w:r>
      <w:r>
        <w:rPr>
          <w:rStyle w:val="24"/>
          <w:rFonts w:hint="eastAsia" w:ascii="宋体" w:hAnsi="宋体" w:eastAsia="宋体" w:cs="宋体"/>
          <w:i w:val="0"/>
          <w:iCs w:val="0"/>
          <w:caps w:val="0"/>
          <w:color w:val="auto"/>
          <w:spacing w:val="0"/>
          <w:sz w:val="24"/>
          <w:szCs w:val="24"/>
          <w:highlight w:val="none"/>
        </w:rPr>
        <w:t>、协议的终止</w:t>
      </w:r>
    </w:p>
    <w:p>
      <w:pPr>
        <w:pStyle w:val="16"/>
        <w:keepNext w:val="0"/>
        <w:keepLines w:val="0"/>
        <w:widowControl/>
        <w:suppressLineNumbers w:val="0"/>
        <w:spacing w:before="0" w:beforeAutospacing="0" w:after="0" w:afterAutospacing="0" w:line="495" w:lineRule="atLeast"/>
        <w:ind w:left="0" w:right="0" w:firstLine="21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（一）本协议有效期为202</w:t>
      </w: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年1月1日至202</w:t>
      </w: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年12月31日。协议期满后，经双方协商一致，本轮次的定点场所可以续签下一轮次的协议，继续保留定点场所资格；也可以自愿退出，定点场所资格自动取消。协议期内任何一方不得擅自终止协议，否则应承担所造成的一切损失。如一方因己方缘故需终止协议，必须提前3个月书面通知另一方，经双方达成一致意见后，方可终止。</w:t>
      </w:r>
    </w:p>
    <w:p>
      <w:pPr>
        <w:pStyle w:val="16"/>
        <w:keepNext w:val="0"/>
        <w:keepLines w:val="0"/>
        <w:widowControl/>
        <w:suppressLineNumbers w:val="0"/>
        <w:spacing w:before="0" w:beforeAutospacing="0" w:after="0" w:afterAutospacing="0" w:line="495" w:lineRule="atLeast"/>
        <w:ind w:left="0" w:right="0" w:firstLine="21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（二）出现下列情况时本协议自行终止：</w:t>
      </w:r>
    </w:p>
    <w:p>
      <w:pPr>
        <w:pStyle w:val="16"/>
        <w:keepNext w:val="0"/>
        <w:keepLines w:val="0"/>
        <w:widowControl/>
        <w:suppressLineNumbers w:val="0"/>
        <w:spacing w:before="0" w:beforeAutospacing="0" w:after="0" w:afterAutospacing="0" w:line="495" w:lineRule="atLeast"/>
        <w:ind w:left="0" w:right="0" w:firstLine="28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1.本协议正常履行完毕；</w:t>
      </w:r>
    </w:p>
    <w:p>
      <w:pPr>
        <w:pStyle w:val="16"/>
        <w:keepNext w:val="0"/>
        <w:keepLines w:val="0"/>
        <w:widowControl/>
        <w:suppressLineNumbers w:val="0"/>
        <w:spacing w:before="0" w:beforeAutospacing="0" w:after="0" w:afterAutospacing="0" w:line="495" w:lineRule="atLeast"/>
        <w:ind w:left="0" w:right="0" w:firstLine="28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2.甲乙双方协议终止本协议的履行；</w:t>
      </w:r>
    </w:p>
    <w:p>
      <w:pPr>
        <w:pStyle w:val="16"/>
        <w:keepNext w:val="0"/>
        <w:keepLines w:val="0"/>
        <w:widowControl/>
        <w:suppressLineNumbers w:val="0"/>
        <w:spacing w:before="0" w:beforeAutospacing="0" w:after="0" w:afterAutospacing="0" w:line="495" w:lineRule="atLeast"/>
        <w:ind w:left="0" w:right="0" w:firstLine="28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3.不可抗力导致本协议无法履行或履行不必要时；</w:t>
      </w:r>
    </w:p>
    <w:p>
      <w:pPr>
        <w:pStyle w:val="16"/>
        <w:keepNext w:val="0"/>
        <w:keepLines w:val="0"/>
        <w:widowControl/>
        <w:suppressLineNumbers w:val="0"/>
        <w:spacing w:before="0" w:beforeAutospacing="0" w:after="0" w:afterAutospacing="0" w:line="495" w:lineRule="atLeast"/>
        <w:ind w:left="0" w:right="0" w:firstLine="28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4.一方不履行协议条款，造成另一方无法执行协议，协商又不能求得解决，责任方赔偿损失后，协议终止。</w:t>
      </w:r>
    </w:p>
    <w:p>
      <w:pPr>
        <w:pStyle w:val="16"/>
        <w:keepNext w:val="0"/>
        <w:keepLines w:val="0"/>
        <w:widowControl/>
        <w:suppressLineNumbers w:val="0"/>
        <w:spacing w:before="0" w:beforeAutospacing="0" w:after="0" w:afterAutospacing="0" w:line="495" w:lineRule="atLeast"/>
        <w:ind w:left="0" w:right="0" w:firstLine="21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（三）除本协议另有约定外，发生任何以下一种情况，甲方有权解除本协议，对于由此给乙方造成的损失甲方不承担赔偿责任，对于由此给甲方造成的损失，乙方应负赔偿责任：</w:t>
      </w:r>
    </w:p>
    <w:p>
      <w:pPr>
        <w:pStyle w:val="16"/>
        <w:keepNext w:val="0"/>
        <w:keepLines w:val="0"/>
        <w:widowControl/>
        <w:suppressLineNumbers w:val="0"/>
        <w:spacing w:before="0" w:beforeAutospacing="0" w:after="0" w:afterAutospacing="0" w:line="495" w:lineRule="atLeast"/>
        <w:ind w:left="0" w:right="0" w:firstLine="28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1.乙方设备设施发生重大变化，不满足</w:t>
      </w:r>
      <w:r>
        <w:rPr>
          <w:rFonts w:hint="eastAsia" w:ascii="宋体" w:hAnsi="宋体" w:eastAsia="宋体" w:cs="宋体"/>
          <w:i w:val="0"/>
          <w:iCs w:val="0"/>
          <w:caps w:val="0"/>
          <w:color w:val="auto"/>
          <w:spacing w:val="0"/>
          <w:sz w:val="24"/>
          <w:szCs w:val="24"/>
          <w:highlight w:val="none"/>
          <w:lang w:eastAsia="zh-CN"/>
        </w:rPr>
        <w:t>征集文件</w:t>
      </w:r>
      <w:r>
        <w:rPr>
          <w:rFonts w:hint="eastAsia" w:ascii="宋体" w:hAnsi="宋体" w:eastAsia="宋体" w:cs="宋体"/>
          <w:i w:val="0"/>
          <w:iCs w:val="0"/>
          <w:caps w:val="0"/>
          <w:color w:val="auto"/>
          <w:spacing w:val="0"/>
          <w:sz w:val="24"/>
          <w:szCs w:val="24"/>
          <w:highlight w:val="none"/>
        </w:rPr>
        <w:t>提出的要求或者不具备接待能力的；</w:t>
      </w:r>
    </w:p>
    <w:p>
      <w:pPr>
        <w:pStyle w:val="16"/>
        <w:keepNext w:val="0"/>
        <w:keepLines w:val="0"/>
        <w:widowControl/>
        <w:suppressLineNumbers w:val="0"/>
        <w:spacing w:before="0" w:beforeAutospacing="0" w:after="0" w:afterAutospacing="0" w:line="495" w:lineRule="atLeast"/>
        <w:ind w:left="0" w:right="0" w:firstLine="285"/>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2.乙方发生“十</w:t>
      </w:r>
      <w:r>
        <w:rPr>
          <w:rFonts w:hint="eastAsia" w:ascii="宋体" w:hAnsi="宋体" w:eastAsia="宋体" w:cs="宋体"/>
          <w:i w:val="0"/>
          <w:iCs w:val="0"/>
          <w:caps w:val="0"/>
          <w:color w:val="auto"/>
          <w:spacing w:val="0"/>
          <w:sz w:val="24"/>
          <w:szCs w:val="24"/>
          <w:highlight w:val="none"/>
          <w:lang w:val="en-US" w:eastAsia="zh-CN"/>
        </w:rPr>
        <w:t>一</w:t>
      </w:r>
      <w:r>
        <w:rPr>
          <w:rFonts w:hint="eastAsia" w:ascii="宋体" w:hAnsi="宋体" w:eastAsia="宋体" w:cs="宋体"/>
          <w:i w:val="0"/>
          <w:iCs w:val="0"/>
          <w:caps w:val="0"/>
          <w:color w:val="auto"/>
          <w:spacing w:val="0"/>
          <w:sz w:val="24"/>
          <w:szCs w:val="24"/>
          <w:highlight w:val="none"/>
        </w:rPr>
        <w:t>、违约责任”所列违约行为达到2次以上的；</w:t>
      </w:r>
    </w:p>
    <w:p>
      <w:pPr>
        <w:pStyle w:val="16"/>
        <w:keepNext w:val="0"/>
        <w:keepLines w:val="0"/>
        <w:widowControl/>
        <w:suppressLineNumbers w:val="0"/>
        <w:spacing w:before="0" w:beforeAutospacing="0" w:after="0" w:afterAutospacing="0" w:line="495" w:lineRule="atLeast"/>
        <w:ind w:left="0" w:right="0" w:firstLine="285"/>
        <w:rPr>
          <w:rFonts w:hint="eastAsia" w:ascii="宋体" w:hAnsi="宋体" w:eastAsia="宋体" w:cs="宋体"/>
          <w:b/>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3.乙方出现组织卖淫嫖娼、赌博、贩卖毒品、危害国家安全等违法行为的。</w:t>
      </w:r>
    </w:p>
    <w:p>
      <w:pPr>
        <w:pBdr>
          <w:top w:val="none" w:color="auto" w:sz="0" w:space="1"/>
          <w:left w:val="none" w:color="auto" w:sz="0" w:space="4"/>
          <w:bottom w:val="none" w:color="auto" w:sz="0" w:space="1"/>
          <w:right w:val="none" w:color="auto" w:sz="0" w:space="4"/>
        </w:pBdr>
        <w:spacing w:line="360" w:lineRule="auto"/>
        <w:ind w:firstLine="241" w:firstLineChars="100"/>
        <w:rPr>
          <w:rFonts w:hint="eastAsia" w:ascii="宋体" w:hAnsi="宋体" w:eastAsia="宋体" w:cs="宋体"/>
          <w:bCs/>
          <w:color w:val="auto"/>
          <w:sz w:val="24"/>
          <w:szCs w:val="24"/>
          <w:highlight w:val="none"/>
        </w:rPr>
      </w:pPr>
      <w:r>
        <w:rPr>
          <w:rStyle w:val="24"/>
          <w:rFonts w:hint="eastAsia" w:ascii="宋体" w:hAnsi="宋体" w:eastAsia="宋体" w:cs="宋体"/>
          <w:i w:val="0"/>
          <w:iCs w:val="0"/>
          <w:caps w:val="0"/>
          <w:color w:val="auto"/>
          <w:spacing w:val="0"/>
          <w:sz w:val="24"/>
          <w:szCs w:val="24"/>
          <w:highlight w:val="none"/>
        </w:rPr>
        <w:t>十</w:t>
      </w:r>
      <w:r>
        <w:rPr>
          <w:rStyle w:val="24"/>
          <w:rFonts w:hint="eastAsia" w:ascii="宋体" w:hAnsi="宋体" w:eastAsia="宋体" w:cs="宋体"/>
          <w:i w:val="0"/>
          <w:iCs w:val="0"/>
          <w:caps w:val="0"/>
          <w:color w:val="auto"/>
          <w:spacing w:val="0"/>
          <w:sz w:val="24"/>
          <w:szCs w:val="24"/>
          <w:highlight w:val="none"/>
          <w:lang w:val="en-US" w:eastAsia="zh-CN"/>
        </w:rPr>
        <w:t>七</w:t>
      </w:r>
      <w:r>
        <w:rPr>
          <w:rFonts w:hint="eastAsia" w:ascii="宋体" w:hAnsi="宋体" w:eastAsia="宋体" w:cs="宋体"/>
          <w:b/>
          <w:color w:val="auto"/>
          <w:sz w:val="24"/>
          <w:szCs w:val="24"/>
          <w:highlight w:val="none"/>
        </w:rPr>
        <w:t>、其他约定</w:t>
      </w:r>
    </w:p>
    <w:p>
      <w:pPr>
        <w:pBdr>
          <w:top w:val="none" w:color="auto" w:sz="0" w:space="1"/>
          <w:left w:val="none" w:color="auto" w:sz="0" w:space="4"/>
          <w:bottom w:val="none" w:color="auto" w:sz="0" w:space="1"/>
          <w:right w:val="none" w:color="auto" w:sz="0" w:space="4"/>
        </w:pBd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1、合同文件与本协议具有同等法律效力；</w:t>
      </w:r>
    </w:p>
    <w:p>
      <w:pPr>
        <w:pBdr>
          <w:top w:val="none" w:color="auto" w:sz="0" w:space="1"/>
          <w:left w:val="none" w:color="auto" w:sz="0" w:space="4"/>
          <w:bottom w:val="none" w:color="auto" w:sz="0" w:space="1"/>
          <w:right w:val="none" w:color="auto" w:sz="0" w:space="4"/>
        </w:pBd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2、本协议未尽事宜，双方可另行补充；</w:t>
      </w:r>
    </w:p>
    <w:p>
      <w:pPr>
        <w:pBdr>
          <w:top w:val="none" w:color="auto" w:sz="0" w:space="1"/>
          <w:left w:val="none" w:color="auto" w:sz="0" w:space="4"/>
          <w:bottom w:val="none" w:color="auto" w:sz="0" w:space="1"/>
          <w:right w:val="none" w:color="auto" w:sz="0" w:space="4"/>
        </w:pBd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3、协议生效：自签订之日起生效；</w:t>
      </w:r>
    </w:p>
    <w:p>
      <w:pPr>
        <w:pBdr>
          <w:top w:val="none" w:color="auto" w:sz="0" w:space="1"/>
          <w:left w:val="none" w:color="auto" w:sz="0" w:space="4"/>
          <w:bottom w:val="none" w:color="auto" w:sz="0" w:space="1"/>
          <w:right w:val="none" w:color="auto" w:sz="0" w:space="4"/>
        </w:pBd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4、本协议一式</w:t>
      </w:r>
      <w:r>
        <w:rPr>
          <w:rFonts w:hint="eastAsia" w:ascii="宋体" w:hAnsi="宋体" w:eastAsia="宋体" w:cs="宋体"/>
          <w:bCs/>
          <w:color w:val="auto"/>
          <w:sz w:val="24"/>
          <w:szCs w:val="24"/>
          <w:highlight w:val="none"/>
          <w:u w:val="single"/>
        </w:rPr>
        <w:t>（填写具体份数）</w:t>
      </w:r>
      <w:r>
        <w:rPr>
          <w:rFonts w:hint="eastAsia" w:ascii="宋体" w:hAnsi="宋体" w:eastAsia="宋体" w:cs="宋体"/>
          <w:bCs/>
          <w:color w:val="auto"/>
          <w:sz w:val="24"/>
          <w:szCs w:val="24"/>
          <w:highlight w:val="none"/>
        </w:rPr>
        <w:t>份，经双方授权代表签字并盖章后生效。甲方、乙方各执</w:t>
      </w:r>
      <w:r>
        <w:rPr>
          <w:rFonts w:hint="eastAsia" w:ascii="宋体" w:hAnsi="宋体" w:eastAsia="宋体" w:cs="宋体"/>
          <w:bCs/>
          <w:color w:val="auto"/>
          <w:sz w:val="24"/>
          <w:szCs w:val="24"/>
          <w:highlight w:val="none"/>
          <w:u w:val="single"/>
        </w:rPr>
        <w:t>（填写具体份数）</w:t>
      </w:r>
      <w:r>
        <w:rPr>
          <w:rFonts w:hint="eastAsia" w:ascii="宋体" w:hAnsi="宋体" w:eastAsia="宋体" w:cs="宋体"/>
          <w:bCs/>
          <w:color w:val="auto"/>
          <w:sz w:val="24"/>
          <w:szCs w:val="24"/>
          <w:highlight w:val="none"/>
        </w:rPr>
        <w:t>份，送</w:t>
      </w:r>
      <w:r>
        <w:rPr>
          <w:rFonts w:hint="eastAsia" w:ascii="宋体" w:hAnsi="宋体" w:eastAsia="宋体" w:cs="宋体"/>
          <w:bCs/>
          <w:color w:val="auto"/>
          <w:sz w:val="24"/>
          <w:szCs w:val="24"/>
          <w:highlight w:val="none"/>
          <w:u w:val="single"/>
        </w:rPr>
        <w:t>（填写需要备案的监管部门的全称）</w:t>
      </w:r>
      <w:r>
        <w:rPr>
          <w:rFonts w:hint="eastAsia" w:ascii="宋体" w:hAnsi="宋体" w:eastAsia="宋体" w:cs="宋体"/>
          <w:bCs/>
          <w:color w:val="auto"/>
          <w:sz w:val="24"/>
          <w:szCs w:val="24"/>
          <w:highlight w:val="none"/>
        </w:rPr>
        <w:t>备案</w:t>
      </w:r>
      <w:r>
        <w:rPr>
          <w:rFonts w:hint="eastAsia" w:ascii="宋体" w:hAnsi="宋体" w:eastAsia="宋体" w:cs="宋体"/>
          <w:bCs/>
          <w:color w:val="auto"/>
          <w:sz w:val="24"/>
          <w:szCs w:val="24"/>
          <w:highlight w:val="none"/>
          <w:u w:val="single"/>
        </w:rPr>
        <w:t>（填写具体份数）</w:t>
      </w:r>
      <w:r>
        <w:rPr>
          <w:rFonts w:hint="eastAsia" w:ascii="宋体" w:hAnsi="宋体" w:eastAsia="宋体" w:cs="宋体"/>
          <w:bCs/>
          <w:color w:val="auto"/>
          <w:sz w:val="24"/>
          <w:szCs w:val="24"/>
          <w:highlight w:val="none"/>
        </w:rPr>
        <w:t>份，具有同等效力；</w:t>
      </w:r>
    </w:p>
    <w:p>
      <w:pPr>
        <w:pBdr>
          <w:top w:val="none" w:color="auto" w:sz="0" w:space="1"/>
          <w:left w:val="none" w:color="auto" w:sz="0" w:space="4"/>
          <w:bottom w:val="none" w:color="auto" w:sz="0" w:space="1"/>
          <w:right w:val="none" w:color="auto" w:sz="0" w:space="4"/>
        </w:pBd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5、具体项目时甲乙双方应签定具体采购合同，具体采购合同不能违背本协议的规定；</w:t>
      </w:r>
    </w:p>
    <w:p>
      <w:pPr>
        <w:pBdr>
          <w:top w:val="none" w:color="auto" w:sz="0" w:space="1"/>
          <w:left w:val="none" w:color="auto" w:sz="0" w:space="4"/>
          <w:bottom w:val="none" w:color="auto" w:sz="0" w:space="1"/>
          <w:right w:val="none" w:color="auto" w:sz="0" w:space="4"/>
        </w:pBd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6、其他：□无。□</w:t>
      </w:r>
      <w:r>
        <w:rPr>
          <w:rFonts w:hint="eastAsia" w:ascii="宋体" w:hAnsi="宋体" w:eastAsia="宋体" w:cs="宋体"/>
          <w:bCs/>
          <w:color w:val="auto"/>
          <w:sz w:val="24"/>
          <w:szCs w:val="24"/>
          <w:highlight w:val="none"/>
          <w:u w:val="single"/>
        </w:rPr>
        <w:t>（按照实际情况编制填写需要增加的内容）</w:t>
      </w:r>
      <w:r>
        <w:rPr>
          <w:rFonts w:hint="eastAsia" w:ascii="宋体" w:hAnsi="宋体" w:eastAsia="宋体" w:cs="宋体"/>
          <w:bCs/>
          <w:color w:val="auto"/>
          <w:sz w:val="24"/>
          <w:szCs w:val="24"/>
          <w:highlight w:val="none"/>
        </w:rPr>
        <w:t>。</w:t>
      </w:r>
    </w:p>
    <w:p>
      <w:pPr>
        <w:pStyle w:val="16"/>
        <w:widowControl/>
        <w:spacing w:before="75" w:beforeAutospacing="0" w:after="75" w:afterAutospacing="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pStyle w:val="16"/>
        <w:widowControl/>
        <w:spacing w:before="75" w:beforeAutospacing="0" w:after="75" w:afterAutospacing="0"/>
        <w:rPr>
          <w:color w:val="auto"/>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2239"/>
        <w:gridCol w:w="1650"/>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2" w:type="dxa"/>
          </w:tcPr>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甲方：</w:t>
            </w:r>
          </w:p>
        </w:tc>
        <w:tc>
          <w:tcPr>
            <w:tcW w:w="2239" w:type="dxa"/>
          </w:tcPr>
          <w:p>
            <w:pPr>
              <w:pStyle w:val="16"/>
              <w:widowControl/>
              <w:spacing w:before="75" w:beforeAutospacing="0" w:after="75" w:afterAutospacing="0"/>
              <w:rPr>
                <w:rFonts w:ascii="宋体" w:hAnsi="宋体" w:eastAsia="宋体" w:cs="宋体"/>
                <w:color w:val="auto"/>
                <w:highlight w:val="none"/>
              </w:rPr>
            </w:pPr>
          </w:p>
        </w:tc>
        <w:tc>
          <w:tcPr>
            <w:tcW w:w="1650" w:type="dxa"/>
          </w:tcPr>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乙方：</w:t>
            </w:r>
          </w:p>
        </w:tc>
        <w:tc>
          <w:tcPr>
            <w:tcW w:w="2355" w:type="dxa"/>
          </w:tcPr>
          <w:p>
            <w:pPr>
              <w:pStyle w:val="16"/>
              <w:widowControl/>
              <w:spacing w:before="75" w:beforeAutospacing="0" w:after="75" w:afterAutospacing="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住所：</w:t>
            </w:r>
          </w:p>
        </w:tc>
        <w:tc>
          <w:tcPr>
            <w:tcW w:w="2239" w:type="dxa"/>
          </w:tcPr>
          <w:p>
            <w:pPr>
              <w:pStyle w:val="16"/>
              <w:widowControl/>
              <w:spacing w:before="75" w:beforeAutospacing="0" w:after="75" w:afterAutospacing="0"/>
              <w:rPr>
                <w:rFonts w:ascii="宋体" w:hAnsi="宋体" w:eastAsia="宋体" w:cs="宋体"/>
                <w:color w:val="auto"/>
                <w:highlight w:val="none"/>
              </w:rPr>
            </w:pPr>
          </w:p>
        </w:tc>
        <w:tc>
          <w:tcPr>
            <w:tcW w:w="1650" w:type="dxa"/>
          </w:tcPr>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住所：</w:t>
            </w:r>
          </w:p>
        </w:tc>
        <w:tc>
          <w:tcPr>
            <w:tcW w:w="2355" w:type="dxa"/>
          </w:tcPr>
          <w:p>
            <w:pPr>
              <w:pStyle w:val="16"/>
              <w:widowControl/>
              <w:spacing w:before="75" w:beforeAutospacing="0" w:after="75" w:afterAutospacing="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单位负责人：</w:t>
            </w:r>
          </w:p>
        </w:tc>
        <w:tc>
          <w:tcPr>
            <w:tcW w:w="2239" w:type="dxa"/>
          </w:tcPr>
          <w:p>
            <w:pPr>
              <w:pStyle w:val="16"/>
              <w:widowControl/>
              <w:spacing w:before="75" w:beforeAutospacing="0" w:after="75" w:afterAutospacing="0"/>
              <w:rPr>
                <w:rFonts w:ascii="宋体" w:hAnsi="宋体" w:eastAsia="宋体" w:cs="宋体"/>
                <w:color w:val="auto"/>
                <w:highlight w:val="none"/>
              </w:rPr>
            </w:pPr>
          </w:p>
        </w:tc>
        <w:tc>
          <w:tcPr>
            <w:tcW w:w="1650" w:type="dxa"/>
          </w:tcPr>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单位负责人：</w:t>
            </w:r>
          </w:p>
        </w:tc>
        <w:tc>
          <w:tcPr>
            <w:tcW w:w="2355" w:type="dxa"/>
          </w:tcPr>
          <w:p>
            <w:pPr>
              <w:pStyle w:val="16"/>
              <w:widowControl/>
              <w:spacing w:before="75" w:beforeAutospacing="0" w:after="75" w:afterAutospacing="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委托代理人： </w:t>
            </w:r>
          </w:p>
        </w:tc>
        <w:tc>
          <w:tcPr>
            <w:tcW w:w="2239" w:type="dxa"/>
          </w:tcPr>
          <w:p>
            <w:pPr>
              <w:pStyle w:val="16"/>
              <w:widowControl/>
              <w:spacing w:before="75" w:beforeAutospacing="0" w:after="75" w:afterAutospacing="0"/>
              <w:rPr>
                <w:rFonts w:ascii="宋体" w:hAnsi="宋体" w:eastAsia="宋体" w:cs="宋体"/>
                <w:color w:val="auto"/>
                <w:highlight w:val="none"/>
              </w:rPr>
            </w:pPr>
          </w:p>
        </w:tc>
        <w:tc>
          <w:tcPr>
            <w:tcW w:w="1650" w:type="dxa"/>
          </w:tcPr>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委托代理人：</w:t>
            </w:r>
          </w:p>
        </w:tc>
        <w:tc>
          <w:tcPr>
            <w:tcW w:w="2355" w:type="dxa"/>
          </w:tcPr>
          <w:p>
            <w:pPr>
              <w:pStyle w:val="16"/>
              <w:widowControl/>
              <w:spacing w:before="75" w:beforeAutospacing="0" w:after="75" w:afterAutospacing="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联系方法：</w:t>
            </w:r>
          </w:p>
        </w:tc>
        <w:tc>
          <w:tcPr>
            <w:tcW w:w="2239" w:type="dxa"/>
          </w:tcPr>
          <w:p>
            <w:pPr>
              <w:pStyle w:val="16"/>
              <w:widowControl/>
              <w:spacing w:before="75" w:beforeAutospacing="0" w:after="75" w:afterAutospacing="0"/>
              <w:rPr>
                <w:rFonts w:ascii="宋体" w:hAnsi="宋体" w:eastAsia="宋体" w:cs="宋体"/>
                <w:color w:val="auto"/>
                <w:highlight w:val="none"/>
              </w:rPr>
            </w:pPr>
          </w:p>
        </w:tc>
        <w:tc>
          <w:tcPr>
            <w:tcW w:w="1650" w:type="dxa"/>
          </w:tcPr>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联系方法：</w:t>
            </w:r>
          </w:p>
        </w:tc>
        <w:tc>
          <w:tcPr>
            <w:tcW w:w="2355" w:type="dxa"/>
          </w:tcPr>
          <w:p>
            <w:pPr>
              <w:pStyle w:val="16"/>
              <w:widowControl/>
              <w:spacing w:before="75" w:beforeAutospacing="0" w:after="75" w:afterAutospacing="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开户银行：</w:t>
            </w:r>
          </w:p>
        </w:tc>
        <w:tc>
          <w:tcPr>
            <w:tcW w:w="2239" w:type="dxa"/>
          </w:tcPr>
          <w:p>
            <w:pPr>
              <w:pStyle w:val="16"/>
              <w:widowControl/>
              <w:spacing w:before="75" w:beforeAutospacing="0" w:after="75" w:afterAutospacing="0"/>
              <w:rPr>
                <w:rFonts w:ascii="宋体" w:hAnsi="宋体" w:eastAsia="宋体" w:cs="宋体"/>
                <w:color w:val="auto"/>
                <w:highlight w:val="none"/>
              </w:rPr>
            </w:pPr>
          </w:p>
        </w:tc>
        <w:tc>
          <w:tcPr>
            <w:tcW w:w="1650" w:type="dxa"/>
          </w:tcPr>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开户银行：</w:t>
            </w:r>
          </w:p>
        </w:tc>
        <w:tc>
          <w:tcPr>
            <w:tcW w:w="2355" w:type="dxa"/>
          </w:tcPr>
          <w:p>
            <w:pPr>
              <w:pStyle w:val="16"/>
              <w:widowControl/>
              <w:spacing w:before="75" w:beforeAutospacing="0" w:after="75" w:afterAutospacing="0"/>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账号：</w:t>
            </w:r>
          </w:p>
        </w:tc>
        <w:tc>
          <w:tcPr>
            <w:tcW w:w="2239" w:type="dxa"/>
          </w:tcPr>
          <w:p>
            <w:pPr>
              <w:pStyle w:val="16"/>
              <w:widowControl/>
              <w:spacing w:before="75" w:beforeAutospacing="0" w:after="75" w:afterAutospacing="0"/>
              <w:rPr>
                <w:rFonts w:ascii="宋体" w:hAnsi="宋体" w:eastAsia="宋体" w:cs="宋体"/>
                <w:color w:val="auto"/>
                <w:highlight w:val="none"/>
              </w:rPr>
            </w:pPr>
          </w:p>
        </w:tc>
        <w:tc>
          <w:tcPr>
            <w:tcW w:w="1650" w:type="dxa"/>
          </w:tcPr>
          <w:p>
            <w:pPr>
              <w:pStyle w:val="16"/>
              <w:widowControl/>
              <w:spacing w:before="75" w:beforeAutospacing="0" w:after="75" w:afterAutospacing="0"/>
              <w:rPr>
                <w:rFonts w:ascii="宋体" w:hAnsi="宋体" w:eastAsia="宋体" w:cs="宋体"/>
                <w:color w:val="auto"/>
                <w:highlight w:val="none"/>
              </w:rPr>
            </w:pPr>
            <w:r>
              <w:rPr>
                <w:rFonts w:hint="eastAsia" w:ascii="宋体" w:hAnsi="宋体" w:eastAsia="宋体" w:cs="宋体"/>
                <w:color w:val="auto"/>
                <w:highlight w:val="none"/>
              </w:rPr>
              <w:t>账号：</w:t>
            </w:r>
          </w:p>
        </w:tc>
        <w:tc>
          <w:tcPr>
            <w:tcW w:w="2355" w:type="dxa"/>
          </w:tcPr>
          <w:p>
            <w:pPr>
              <w:pStyle w:val="16"/>
              <w:widowControl/>
              <w:spacing w:before="75" w:beforeAutospacing="0" w:after="75" w:afterAutospacing="0"/>
              <w:rPr>
                <w:rFonts w:ascii="宋体" w:hAnsi="宋体" w:eastAsia="宋体" w:cs="宋体"/>
                <w:color w:val="auto"/>
                <w:highlight w:val="none"/>
              </w:rPr>
            </w:pPr>
          </w:p>
        </w:tc>
      </w:tr>
    </w:tbl>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   </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签订地点：</w:t>
      </w:r>
      <w:r>
        <w:rPr>
          <w:rFonts w:hint="eastAsia" w:ascii="宋体" w:hAnsi="宋体" w:eastAsia="宋体" w:cs="宋体"/>
          <w:color w:val="auto"/>
          <w:highlight w:val="none"/>
          <w:u w:val="single"/>
        </w:rPr>
        <w:t>                </w:t>
      </w:r>
    </w:p>
    <w:p>
      <w:pPr>
        <w:pStyle w:val="16"/>
        <w:widowControl/>
        <w:spacing w:before="75" w:beforeAutospacing="0" w:after="75" w:afterAutospacing="0"/>
        <w:rPr>
          <w:color w:val="auto"/>
          <w:highlight w:val="none"/>
        </w:rPr>
      </w:pPr>
      <w:r>
        <w:rPr>
          <w:rFonts w:hint="eastAsia" w:ascii="宋体" w:hAnsi="宋体" w:eastAsia="宋体" w:cs="宋体"/>
          <w:color w:val="auto"/>
          <w:highlight w:val="none"/>
        </w:rPr>
        <w:t>签订日期：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rPr>
          <w:color w:val="auto"/>
          <w:highlight w:val="none"/>
        </w:rPr>
      </w:pPr>
      <w:r>
        <w:rPr>
          <w:rFonts w:ascii="Calibri" w:hAnsi="Calibri" w:cs="Calibri"/>
          <w:color w:val="auto"/>
          <w:sz w:val="21"/>
          <w:szCs w:val="21"/>
          <w:highlight w:val="none"/>
        </w:rPr>
        <w:t>                                                    </w:t>
      </w:r>
      <w:r>
        <w:rPr>
          <w:rStyle w:val="24"/>
          <w:rFonts w:hint="eastAsia" w:ascii="宋体" w:hAnsi="宋体" w:eastAsia="宋体" w:cs="宋体"/>
          <w:color w:val="auto"/>
          <w:sz w:val="31"/>
          <w:szCs w:val="31"/>
          <w:highlight w:val="none"/>
        </w:rPr>
        <w:t>第七章   响应文件格式</w:t>
      </w:r>
    </w:p>
    <w:p>
      <w:pPr>
        <w:pStyle w:val="16"/>
        <w:widowControl/>
        <w:jc w:val="center"/>
        <w:rPr>
          <w:color w:val="auto"/>
          <w:highlight w:val="none"/>
        </w:rPr>
      </w:pPr>
      <w:r>
        <w:rPr>
          <w:rStyle w:val="24"/>
          <w:rFonts w:hint="eastAsia" w:ascii="宋体" w:hAnsi="宋体" w:eastAsia="宋体" w:cs="宋体"/>
          <w:color w:val="auto"/>
          <w:highlight w:val="none"/>
        </w:rPr>
        <w:t>编制说明</w:t>
      </w:r>
    </w:p>
    <w:p>
      <w:pPr>
        <w:pStyle w:val="16"/>
        <w:widowControl/>
        <w:rPr>
          <w:color w:val="auto"/>
          <w:highlight w:val="none"/>
        </w:rPr>
      </w:pPr>
      <w:r>
        <w:rPr>
          <w:rFonts w:hint="eastAsia" w:ascii="宋体" w:hAnsi="宋体" w:eastAsia="宋体" w:cs="宋体"/>
          <w:color w:val="auto"/>
          <w:highlight w:val="none"/>
        </w:rPr>
        <w:t> </w:t>
      </w:r>
    </w:p>
    <w:p>
      <w:pPr>
        <w:pStyle w:val="16"/>
        <w:widowControl/>
        <w:ind w:firstLine="480"/>
        <w:rPr>
          <w:color w:val="auto"/>
          <w:highlight w:val="none"/>
        </w:rPr>
      </w:pPr>
      <w:r>
        <w:rPr>
          <w:rFonts w:hint="eastAsia" w:ascii="宋体" w:hAnsi="宋体" w:eastAsia="宋体" w:cs="宋体"/>
          <w:color w:val="auto"/>
          <w:highlight w:val="none"/>
        </w:rPr>
        <w:t>1、除征集文件另有规定外，本章中：</w:t>
      </w:r>
    </w:p>
    <w:p>
      <w:pPr>
        <w:pStyle w:val="16"/>
        <w:widowControl/>
        <w:ind w:firstLine="480"/>
        <w:rPr>
          <w:color w:val="auto"/>
          <w:highlight w:val="none"/>
        </w:rPr>
      </w:pPr>
      <w:r>
        <w:rPr>
          <w:rFonts w:hint="eastAsia" w:ascii="宋体" w:hAnsi="宋体" w:eastAsia="宋体" w:cs="宋体"/>
          <w:color w:val="auto"/>
          <w:highlight w:val="none"/>
        </w:rPr>
        <w:t>1.1涉及供应商的</w:t>
      </w:r>
      <w:r>
        <w:rPr>
          <w:rStyle w:val="24"/>
          <w:rFonts w:hint="eastAsia" w:ascii="宋体" w:hAnsi="宋体" w:eastAsia="宋体" w:cs="宋体"/>
          <w:color w:val="auto"/>
          <w:highlight w:val="none"/>
        </w:rPr>
        <w:t>“全称”</w:t>
      </w:r>
      <w:r>
        <w:rPr>
          <w:rFonts w:hint="eastAsia" w:ascii="宋体" w:hAnsi="宋体" w:eastAsia="宋体" w:cs="宋体"/>
          <w:color w:val="auto"/>
          <w:highlight w:val="none"/>
        </w:rPr>
        <w:t>：</w:t>
      </w:r>
    </w:p>
    <w:p>
      <w:pPr>
        <w:pStyle w:val="16"/>
        <w:widowControl/>
        <w:ind w:firstLine="480"/>
        <w:rPr>
          <w:color w:val="auto"/>
          <w:highlight w:val="none"/>
        </w:rPr>
      </w:pPr>
      <w:r>
        <w:rPr>
          <w:rFonts w:hint="eastAsia" w:ascii="宋体" w:hAnsi="宋体" w:eastAsia="宋体" w:cs="宋体"/>
          <w:color w:val="auto"/>
          <w:highlight w:val="none"/>
        </w:rPr>
        <w:t>（1）不接受联合体参与征集活动的，指</w:t>
      </w:r>
      <w:r>
        <w:rPr>
          <w:rStyle w:val="24"/>
          <w:rFonts w:hint="eastAsia" w:ascii="宋体" w:hAnsi="宋体" w:eastAsia="宋体" w:cs="宋体"/>
          <w:color w:val="auto"/>
          <w:highlight w:val="none"/>
        </w:rPr>
        <w:t>供应商的全称</w:t>
      </w:r>
      <w:r>
        <w:rPr>
          <w:rFonts w:hint="eastAsia" w:ascii="宋体" w:hAnsi="宋体" w:eastAsia="宋体" w:cs="宋体"/>
          <w:color w:val="auto"/>
          <w:highlight w:val="none"/>
        </w:rPr>
        <w:t>。</w:t>
      </w:r>
    </w:p>
    <w:p>
      <w:pPr>
        <w:pStyle w:val="16"/>
        <w:widowControl/>
        <w:ind w:firstLine="480"/>
        <w:rPr>
          <w:color w:val="auto"/>
          <w:highlight w:val="none"/>
        </w:rPr>
      </w:pPr>
      <w:r>
        <w:rPr>
          <w:rFonts w:hint="eastAsia" w:ascii="宋体" w:hAnsi="宋体" w:eastAsia="宋体" w:cs="宋体"/>
          <w:color w:val="auto"/>
          <w:highlight w:val="none"/>
        </w:rPr>
        <w:t>1.2涉及供应商</w:t>
      </w:r>
      <w:r>
        <w:rPr>
          <w:rStyle w:val="24"/>
          <w:rFonts w:hint="eastAsia" w:ascii="宋体" w:hAnsi="宋体" w:eastAsia="宋体" w:cs="宋体"/>
          <w:color w:val="auto"/>
          <w:highlight w:val="none"/>
        </w:rPr>
        <w:t>“加盖单位公章”</w:t>
      </w:r>
      <w:r>
        <w:rPr>
          <w:rFonts w:hint="eastAsia" w:ascii="宋体" w:hAnsi="宋体" w:eastAsia="宋体" w:cs="宋体"/>
          <w:color w:val="auto"/>
          <w:highlight w:val="none"/>
        </w:rPr>
        <w:t>：</w:t>
      </w:r>
    </w:p>
    <w:p>
      <w:pPr>
        <w:pStyle w:val="16"/>
        <w:widowControl/>
        <w:ind w:firstLine="480"/>
        <w:rPr>
          <w:color w:val="auto"/>
          <w:highlight w:val="none"/>
        </w:rPr>
      </w:pPr>
      <w:r>
        <w:rPr>
          <w:rFonts w:hint="eastAsia" w:ascii="宋体" w:hAnsi="宋体" w:eastAsia="宋体" w:cs="宋体"/>
          <w:color w:val="auto"/>
          <w:highlight w:val="none"/>
        </w:rPr>
        <w:t>（1）不接受联合体参与征集活动的，指</w:t>
      </w:r>
      <w:r>
        <w:rPr>
          <w:rStyle w:val="24"/>
          <w:rFonts w:hint="eastAsia" w:ascii="宋体" w:hAnsi="宋体" w:eastAsia="宋体" w:cs="宋体"/>
          <w:color w:val="auto"/>
          <w:highlight w:val="none"/>
        </w:rPr>
        <w:t>加盖供应商的单位公章</w:t>
      </w:r>
      <w:r>
        <w:rPr>
          <w:rFonts w:hint="eastAsia" w:ascii="宋体" w:hAnsi="宋体" w:eastAsia="宋体" w:cs="宋体"/>
          <w:color w:val="auto"/>
          <w:highlight w:val="none"/>
        </w:rPr>
        <w:t>。</w:t>
      </w:r>
    </w:p>
    <w:p>
      <w:pPr>
        <w:pStyle w:val="16"/>
        <w:widowControl/>
        <w:ind w:firstLine="480"/>
        <w:rPr>
          <w:color w:val="auto"/>
          <w:highlight w:val="none"/>
        </w:rPr>
      </w:pPr>
      <w:r>
        <w:rPr>
          <w:rFonts w:hint="eastAsia" w:ascii="宋体" w:hAnsi="宋体" w:eastAsia="宋体" w:cs="宋体"/>
          <w:color w:val="auto"/>
          <w:highlight w:val="none"/>
        </w:rPr>
        <w:t>1.3涉及</w:t>
      </w:r>
      <w:r>
        <w:rPr>
          <w:rStyle w:val="24"/>
          <w:rFonts w:hint="eastAsia" w:ascii="宋体" w:hAnsi="宋体" w:eastAsia="宋体" w:cs="宋体"/>
          <w:color w:val="auto"/>
          <w:highlight w:val="none"/>
        </w:rPr>
        <w:t>“供应商代表签字”</w:t>
      </w:r>
      <w:r>
        <w:rPr>
          <w:rFonts w:hint="eastAsia" w:ascii="宋体" w:hAnsi="宋体" w:eastAsia="宋体" w:cs="宋体"/>
          <w:color w:val="auto"/>
          <w:highlight w:val="none"/>
        </w:rPr>
        <w:t>：</w:t>
      </w:r>
    </w:p>
    <w:p>
      <w:pPr>
        <w:pStyle w:val="16"/>
        <w:widowControl/>
        <w:ind w:firstLine="480"/>
        <w:rPr>
          <w:color w:val="auto"/>
          <w:highlight w:val="none"/>
        </w:rPr>
      </w:pPr>
      <w:r>
        <w:rPr>
          <w:rFonts w:hint="eastAsia" w:ascii="宋体" w:hAnsi="宋体" w:eastAsia="宋体" w:cs="宋体"/>
          <w:color w:val="auto"/>
          <w:highlight w:val="none"/>
        </w:rPr>
        <w:t>（1）不接受联合体参与征集活动的，指由</w:t>
      </w:r>
      <w:r>
        <w:rPr>
          <w:rStyle w:val="24"/>
          <w:rFonts w:hint="eastAsia" w:ascii="宋体" w:hAnsi="宋体" w:eastAsia="宋体" w:cs="宋体"/>
          <w:color w:val="auto"/>
          <w:highlight w:val="none"/>
        </w:rPr>
        <w:t>供应商的单位负责人或其授权的委托代理人签字</w:t>
      </w:r>
      <w:r>
        <w:rPr>
          <w:rFonts w:hint="eastAsia" w:ascii="宋体" w:hAnsi="宋体" w:eastAsia="宋体" w:cs="宋体"/>
          <w:color w:val="auto"/>
          <w:highlight w:val="none"/>
        </w:rPr>
        <w:t>，由委托代理人签字的，应提供“单位负责人授权书”。</w:t>
      </w:r>
    </w:p>
    <w:p>
      <w:pPr>
        <w:pStyle w:val="16"/>
        <w:widowControl/>
        <w:ind w:firstLine="480"/>
        <w:rPr>
          <w:color w:val="auto"/>
          <w:highlight w:val="none"/>
        </w:rPr>
      </w:pPr>
      <w:r>
        <w:rPr>
          <w:rFonts w:hint="eastAsia" w:ascii="宋体" w:hAnsi="宋体" w:eastAsia="宋体" w:cs="宋体"/>
          <w:color w:val="auto"/>
          <w:highlight w:val="none"/>
        </w:rPr>
        <w:t>1.4</w:t>
      </w:r>
      <w:r>
        <w:rPr>
          <w:rStyle w:val="24"/>
          <w:rFonts w:hint="eastAsia" w:ascii="宋体" w:hAnsi="宋体" w:eastAsia="宋体" w:cs="宋体"/>
          <w:color w:val="auto"/>
          <w:highlight w:val="none"/>
        </w:rPr>
        <w:t>“其他组织”</w:t>
      </w:r>
      <w:r>
        <w:rPr>
          <w:rFonts w:hint="eastAsia" w:ascii="宋体" w:hAnsi="宋体" w:eastAsia="宋体" w:cs="宋体"/>
          <w:color w:val="auto"/>
          <w:highlight w:val="none"/>
        </w:rPr>
        <w:t>指合伙企业、非企业专业服务机构、个体工商户、农村承包经营户等。</w:t>
      </w:r>
    </w:p>
    <w:p>
      <w:pPr>
        <w:pStyle w:val="16"/>
        <w:widowControl/>
        <w:ind w:firstLine="480"/>
        <w:rPr>
          <w:color w:val="auto"/>
          <w:highlight w:val="none"/>
        </w:rPr>
      </w:pPr>
      <w:r>
        <w:rPr>
          <w:rFonts w:hint="eastAsia" w:ascii="宋体" w:hAnsi="宋体" w:eastAsia="宋体" w:cs="宋体"/>
          <w:color w:val="auto"/>
          <w:highlight w:val="none"/>
        </w:rPr>
        <w:t>1.5</w:t>
      </w:r>
      <w:r>
        <w:rPr>
          <w:rStyle w:val="24"/>
          <w:rFonts w:hint="eastAsia" w:ascii="宋体" w:hAnsi="宋体" w:eastAsia="宋体" w:cs="宋体"/>
          <w:color w:val="auto"/>
          <w:highlight w:val="none"/>
        </w:rPr>
        <w:t>“自然人”</w:t>
      </w:r>
      <w:r>
        <w:rPr>
          <w:rFonts w:hint="eastAsia" w:ascii="宋体" w:hAnsi="宋体" w:eastAsia="宋体" w:cs="宋体"/>
          <w:color w:val="auto"/>
          <w:highlight w:val="none"/>
        </w:rPr>
        <w:t>指具有完全民事行为能力、能够承担民事责任和义务的中国公民。</w:t>
      </w:r>
    </w:p>
    <w:p>
      <w:pPr>
        <w:pStyle w:val="16"/>
        <w:widowControl/>
        <w:ind w:firstLine="480"/>
        <w:rPr>
          <w:color w:val="auto"/>
          <w:highlight w:val="none"/>
        </w:rPr>
      </w:pPr>
      <w:r>
        <w:rPr>
          <w:rFonts w:hint="eastAsia" w:ascii="宋体" w:hAnsi="宋体" w:eastAsia="宋体" w:cs="宋体"/>
          <w:color w:val="auto"/>
          <w:highlight w:val="none"/>
        </w:rPr>
        <w:t>2、除征集文件另有规定外，本章中</w:t>
      </w:r>
      <w:r>
        <w:rPr>
          <w:rStyle w:val="24"/>
          <w:rFonts w:hint="eastAsia" w:ascii="宋体" w:hAnsi="宋体" w:eastAsia="宋体" w:cs="宋体"/>
          <w:color w:val="auto"/>
          <w:highlight w:val="none"/>
        </w:rPr>
        <w:t>“供应商的资格及资信证明文件”</w:t>
      </w:r>
      <w:r>
        <w:rPr>
          <w:rFonts w:hint="eastAsia" w:ascii="宋体" w:hAnsi="宋体" w:eastAsia="宋体" w:cs="宋体"/>
          <w:color w:val="auto"/>
          <w:highlight w:val="none"/>
        </w:rPr>
        <w:t>：</w:t>
      </w:r>
    </w:p>
    <w:p>
      <w:pPr>
        <w:pStyle w:val="16"/>
        <w:widowControl/>
        <w:ind w:firstLine="480"/>
        <w:rPr>
          <w:color w:val="auto"/>
          <w:highlight w:val="none"/>
        </w:rPr>
      </w:pPr>
      <w:r>
        <w:rPr>
          <w:rFonts w:hint="eastAsia" w:ascii="宋体" w:hAnsi="宋体" w:eastAsia="宋体" w:cs="宋体"/>
          <w:color w:val="auto"/>
          <w:highlight w:val="none"/>
        </w:rPr>
        <w:t>2.1供应商应按照征集文件第四章第</w:t>
      </w:r>
      <w:r>
        <w:rPr>
          <w:rFonts w:ascii="Calibri" w:hAnsi="Calibri" w:eastAsia="宋体" w:cs="Calibri"/>
          <w:color w:val="auto"/>
          <w:highlight w:val="none"/>
        </w:rPr>
        <w:t>1.3</w:t>
      </w:r>
      <w:r>
        <w:rPr>
          <w:rFonts w:hint="eastAsia" w:ascii="宋体" w:hAnsi="宋体" w:eastAsia="宋体" w:cs="宋体"/>
          <w:color w:val="auto"/>
          <w:highlight w:val="none"/>
        </w:rPr>
        <w:t>条第（</w:t>
      </w:r>
      <w:r>
        <w:rPr>
          <w:rFonts w:ascii="Calibri" w:hAnsi="Calibri" w:eastAsia="宋体" w:cs="Calibri"/>
          <w:color w:val="auto"/>
          <w:highlight w:val="none"/>
        </w:rPr>
        <w:t>2</w:t>
      </w:r>
      <w:r>
        <w:rPr>
          <w:rFonts w:hint="eastAsia" w:ascii="宋体" w:hAnsi="宋体" w:eastAsia="宋体" w:cs="宋体"/>
          <w:color w:val="auto"/>
          <w:highlight w:val="none"/>
        </w:rPr>
        <w:t>）款规定及本章规定进行编制，如有必要，可增加附页，附页作为资格及资信文件的组成部分。</w:t>
      </w:r>
    </w:p>
    <w:p>
      <w:pPr>
        <w:pStyle w:val="16"/>
        <w:widowControl/>
        <w:ind w:firstLine="480"/>
        <w:rPr>
          <w:color w:val="auto"/>
          <w:highlight w:val="none"/>
        </w:rPr>
      </w:pPr>
      <w:r>
        <w:rPr>
          <w:rFonts w:hint="eastAsia" w:ascii="宋体" w:hAnsi="宋体" w:eastAsia="宋体" w:cs="宋体"/>
          <w:color w:val="auto"/>
          <w:highlight w:val="none"/>
        </w:rPr>
        <w:t>3、供应商对响应文件的索引应编制页码。</w:t>
      </w:r>
    </w:p>
    <w:p>
      <w:pPr>
        <w:pStyle w:val="16"/>
        <w:widowControl/>
        <w:ind w:firstLine="480"/>
        <w:rPr>
          <w:color w:val="auto"/>
          <w:highlight w:val="none"/>
        </w:rPr>
      </w:pPr>
      <w:r>
        <w:rPr>
          <w:rFonts w:hint="eastAsia" w:ascii="宋体" w:hAnsi="宋体" w:eastAsia="宋体" w:cs="宋体"/>
          <w:color w:val="auto"/>
          <w:highlight w:val="none"/>
        </w:rPr>
        <w:t>4、除征集文件另有规定外，本章中：</w:t>
      </w:r>
    </w:p>
    <w:p>
      <w:pPr>
        <w:pStyle w:val="16"/>
        <w:widowControl/>
        <w:ind w:firstLine="480"/>
        <w:rPr>
          <w:color w:val="auto"/>
          <w:highlight w:val="none"/>
        </w:rPr>
      </w:pPr>
      <w:r>
        <w:rPr>
          <w:rFonts w:hint="eastAsia" w:ascii="宋体" w:hAnsi="宋体" w:eastAsia="宋体" w:cs="宋体"/>
          <w:color w:val="auto"/>
          <w:highlight w:val="none"/>
        </w:rPr>
        <w:t>4.1征集文件要求原件的，供应商在纸质响应文件正本中应提供原件；征集文件要求复印件的，供应商在纸质响应文件中提供原件、复印件（含扫描件）皆可；征集文件对原件、复印件未作要求的，供应商在纸质响应文件中提供原件、复印件（含扫描件）皆可。</w:t>
      </w:r>
    </w:p>
    <w:p>
      <w:pPr>
        <w:pStyle w:val="16"/>
        <w:widowControl/>
        <w:ind w:firstLine="480"/>
        <w:rPr>
          <w:color w:val="auto"/>
          <w:highlight w:val="none"/>
        </w:rPr>
      </w:pPr>
      <w:r>
        <w:rPr>
          <w:rFonts w:hint="eastAsia" w:ascii="宋体" w:hAnsi="宋体" w:eastAsia="宋体" w:cs="宋体"/>
          <w:color w:val="auto"/>
          <w:highlight w:val="none"/>
        </w:rPr>
        <w:t>4.2若供应商提供注明“复印件无效”的证明材料或资料，其纸质响应文件正本中应提供原件。</w:t>
      </w:r>
    </w:p>
    <w:p>
      <w:pPr>
        <w:pStyle w:val="16"/>
        <w:widowControl/>
        <w:rPr>
          <w:color w:val="auto"/>
          <w:highlight w:val="none"/>
        </w:rPr>
      </w:pP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rStyle w:val="24"/>
          <w:rFonts w:ascii="宋体" w:hAnsi="宋体" w:eastAsia="宋体" w:cs="宋体"/>
          <w:color w:val="auto"/>
          <w:sz w:val="28"/>
          <w:szCs w:val="28"/>
          <w:highlight w:val="none"/>
        </w:rPr>
      </w:pPr>
      <w:r>
        <w:rPr>
          <w:rFonts w:hint="eastAsia" w:ascii="宋体" w:hAnsi="宋体" w:eastAsia="宋体" w:cs="宋体"/>
          <w:color w:val="auto"/>
          <w:sz w:val="21"/>
          <w:szCs w:val="21"/>
          <w:highlight w:val="none"/>
        </w:rPr>
        <w:t> </w:t>
      </w:r>
    </w:p>
    <w:p>
      <w:pPr>
        <w:pStyle w:val="16"/>
        <w:widowControl/>
        <w:jc w:val="center"/>
        <w:rPr>
          <w:color w:val="auto"/>
          <w:highlight w:val="none"/>
        </w:rPr>
      </w:pPr>
      <w:r>
        <w:rPr>
          <w:rStyle w:val="24"/>
          <w:rFonts w:hint="eastAsia" w:ascii="宋体" w:hAnsi="宋体" w:eastAsia="宋体" w:cs="宋体"/>
          <w:color w:val="auto"/>
          <w:sz w:val="28"/>
          <w:szCs w:val="28"/>
          <w:highlight w:val="none"/>
        </w:rPr>
        <w:t>封面格式</w:t>
      </w:r>
    </w:p>
    <w:p>
      <w:pPr>
        <w:pStyle w:val="16"/>
        <w:widowControl/>
        <w:rPr>
          <w:color w:val="auto"/>
          <w:highlight w:val="none"/>
        </w:rPr>
      </w:pPr>
    </w:p>
    <w:p>
      <w:pPr>
        <w:pStyle w:val="16"/>
        <w:widowControl/>
        <w:jc w:val="center"/>
        <w:rPr>
          <w:rFonts w:eastAsia="宋体"/>
          <w:color w:val="auto"/>
          <w:highlight w:val="none"/>
        </w:rPr>
      </w:pPr>
      <w:r>
        <w:rPr>
          <w:rStyle w:val="24"/>
          <w:rFonts w:hint="eastAsia" w:ascii="宋体" w:hAnsi="宋体" w:eastAsia="宋体" w:cs="宋体"/>
          <w:color w:val="auto"/>
          <w:sz w:val="48"/>
          <w:szCs w:val="48"/>
          <w:highlight w:val="none"/>
        </w:rPr>
        <w:t>福建省政府采购响应文件</w:t>
      </w:r>
    </w:p>
    <w:p>
      <w:pPr>
        <w:pStyle w:val="16"/>
        <w:widowControl/>
        <w:jc w:val="center"/>
        <w:rPr>
          <w:color w:val="auto"/>
          <w:highlight w:val="none"/>
        </w:rPr>
      </w:pPr>
      <w:r>
        <w:rPr>
          <w:rStyle w:val="24"/>
          <w:rFonts w:hint="eastAsia" w:ascii="宋体" w:hAnsi="宋体" w:eastAsia="宋体" w:cs="宋体"/>
          <w:color w:val="auto"/>
          <w:sz w:val="48"/>
          <w:szCs w:val="48"/>
          <w:highlight w:val="none"/>
        </w:rPr>
        <w:t>（资格及资信证明部分）</w:t>
      </w:r>
    </w:p>
    <w:p>
      <w:pPr>
        <w:pStyle w:val="16"/>
        <w:widowControl/>
        <w:rPr>
          <w:color w:val="auto"/>
          <w:highlight w:val="none"/>
        </w:rPr>
      </w:pPr>
      <w:r>
        <w:rPr>
          <w:rFonts w:hint="eastAsia" w:ascii="宋体" w:hAnsi="宋体" w:eastAsia="宋体" w:cs="宋体"/>
          <w:color w:val="auto"/>
          <w:sz w:val="36"/>
          <w:szCs w:val="36"/>
          <w:highlight w:val="none"/>
        </w:rPr>
        <w:t> </w:t>
      </w:r>
    </w:p>
    <w:p>
      <w:pPr>
        <w:pStyle w:val="16"/>
        <w:widowControl/>
        <w:jc w:val="center"/>
        <w:rPr>
          <w:color w:val="auto"/>
          <w:highlight w:val="none"/>
        </w:rPr>
      </w:pPr>
      <w:r>
        <w:rPr>
          <w:rStyle w:val="24"/>
          <w:rFonts w:hint="eastAsia" w:ascii="宋体" w:hAnsi="宋体" w:eastAsia="宋体" w:cs="宋体"/>
          <w:color w:val="auto"/>
          <w:sz w:val="36"/>
          <w:szCs w:val="36"/>
          <w:highlight w:val="none"/>
          <w:u w:val="single"/>
        </w:rPr>
        <w:t>（正本）</w:t>
      </w:r>
    </w:p>
    <w:p>
      <w:pPr>
        <w:pStyle w:val="16"/>
        <w:widowControl/>
        <w:rPr>
          <w:color w:val="auto"/>
          <w:highlight w:val="none"/>
        </w:rPr>
      </w:pPr>
      <w:r>
        <w:rPr>
          <w:rFonts w:hint="eastAsia" w:ascii="宋体" w:hAnsi="宋体" w:eastAsia="宋体" w:cs="宋体"/>
          <w:color w:val="auto"/>
          <w:sz w:val="36"/>
          <w:szCs w:val="36"/>
          <w:highlight w:val="none"/>
        </w:rPr>
        <w:t> </w:t>
      </w:r>
    </w:p>
    <w:p>
      <w:pPr>
        <w:pStyle w:val="16"/>
        <w:widowControl/>
        <w:ind w:firstLine="1920"/>
        <w:rPr>
          <w:color w:val="auto"/>
          <w:highlight w:val="none"/>
        </w:rPr>
      </w:pPr>
      <w:r>
        <w:rPr>
          <w:rStyle w:val="24"/>
          <w:rFonts w:hint="eastAsia" w:ascii="宋体" w:hAnsi="宋体" w:eastAsia="宋体" w:cs="宋体"/>
          <w:color w:val="auto"/>
          <w:sz w:val="31"/>
          <w:szCs w:val="31"/>
          <w:highlight w:val="none"/>
        </w:rPr>
        <w:t>项目名称：</w:t>
      </w:r>
      <w:r>
        <w:rPr>
          <w:rStyle w:val="24"/>
          <w:rFonts w:hint="eastAsia" w:ascii="宋体" w:hAnsi="宋体" w:eastAsia="宋体" w:cs="宋体"/>
          <w:color w:val="auto"/>
          <w:sz w:val="31"/>
          <w:szCs w:val="31"/>
          <w:highlight w:val="none"/>
          <w:u w:val="single"/>
        </w:rPr>
        <w:t>（由供应商填写）</w:t>
      </w:r>
    </w:p>
    <w:p>
      <w:pPr>
        <w:pStyle w:val="16"/>
        <w:widowControl/>
        <w:ind w:firstLine="1920"/>
        <w:rPr>
          <w:color w:val="auto"/>
          <w:highlight w:val="none"/>
        </w:rPr>
      </w:pPr>
      <w:r>
        <w:rPr>
          <w:rStyle w:val="24"/>
          <w:rFonts w:hint="eastAsia" w:ascii="宋体" w:hAnsi="宋体" w:eastAsia="宋体" w:cs="宋体"/>
          <w:color w:val="auto"/>
          <w:sz w:val="31"/>
          <w:szCs w:val="31"/>
          <w:highlight w:val="none"/>
        </w:rPr>
        <w:t>备案编号：</w:t>
      </w:r>
      <w:r>
        <w:rPr>
          <w:rStyle w:val="24"/>
          <w:rFonts w:hint="eastAsia" w:ascii="宋体" w:hAnsi="宋体" w:eastAsia="宋体" w:cs="宋体"/>
          <w:color w:val="auto"/>
          <w:sz w:val="31"/>
          <w:szCs w:val="31"/>
          <w:highlight w:val="none"/>
          <w:u w:val="single"/>
        </w:rPr>
        <w:t>（由供应商填写）</w:t>
      </w:r>
    </w:p>
    <w:p>
      <w:pPr>
        <w:pStyle w:val="16"/>
        <w:widowControl/>
        <w:ind w:firstLine="1920"/>
        <w:rPr>
          <w:color w:val="auto"/>
          <w:highlight w:val="none"/>
        </w:rPr>
      </w:pPr>
      <w:r>
        <w:rPr>
          <w:rStyle w:val="24"/>
          <w:rFonts w:hint="eastAsia" w:ascii="宋体" w:hAnsi="宋体" w:eastAsia="宋体" w:cs="宋体"/>
          <w:color w:val="auto"/>
          <w:sz w:val="31"/>
          <w:szCs w:val="31"/>
          <w:highlight w:val="none"/>
        </w:rPr>
        <w:t>项目编号：</w:t>
      </w:r>
      <w:r>
        <w:rPr>
          <w:rStyle w:val="24"/>
          <w:rFonts w:hint="eastAsia" w:ascii="宋体" w:hAnsi="宋体" w:eastAsia="宋体" w:cs="宋体"/>
          <w:color w:val="auto"/>
          <w:sz w:val="31"/>
          <w:szCs w:val="31"/>
          <w:highlight w:val="none"/>
          <w:u w:val="single"/>
        </w:rPr>
        <w:t>（由供应商填写）</w:t>
      </w:r>
    </w:p>
    <w:p>
      <w:pPr>
        <w:pStyle w:val="16"/>
        <w:widowControl/>
        <w:ind w:firstLine="1920"/>
        <w:rPr>
          <w:color w:val="auto"/>
          <w:highlight w:val="none"/>
        </w:rPr>
      </w:pPr>
      <w:r>
        <w:rPr>
          <w:rStyle w:val="24"/>
          <w:rFonts w:hint="eastAsia" w:ascii="宋体" w:hAnsi="宋体" w:eastAsia="宋体" w:cs="宋体"/>
          <w:color w:val="auto"/>
          <w:sz w:val="31"/>
          <w:szCs w:val="31"/>
          <w:highlight w:val="none"/>
        </w:rPr>
        <w:t>所投合同包：</w:t>
      </w:r>
      <w:r>
        <w:rPr>
          <w:rStyle w:val="24"/>
          <w:rFonts w:hint="eastAsia" w:ascii="宋体" w:hAnsi="宋体" w:eastAsia="宋体" w:cs="宋体"/>
          <w:color w:val="auto"/>
          <w:sz w:val="31"/>
          <w:szCs w:val="31"/>
          <w:highlight w:val="none"/>
          <w:u w:val="single"/>
        </w:rPr>
        <w:t>（由供应商填写）</w:t>
      </w:r>
    </w:p>
    <w:p>
      <w:pPr>
        <w:pStyle w:val="16"/>
        <w:widowControl/>
        <w:rPr>
          <w:color w:val="auto"/>
          <w:highlight w:val="none"/>
        </w:rPr>
      </w:pPr>
      <w:r>
        <w:rPr>
          <w:rFonts w:hint="eastAsia" w:ascii="宋体" w:hAnsi="宋体" w:eastAsia="宋体" w:cs="宋体"/>
          <w:color w:val="auto"/>
          <w:sz w:val="36"/>
          <w:szCs w:val="36"/>
          <w:highlight w:val="none"/>
        </w:rPr>
        <w:t> </w:t>
      </w:r>
    </w:p>
    <w:p>
      <w:pPr>
        <w:pStyle w:val="16"/>
        <w:widowControl/>
        <w:rPr>
          <w:color w:val="auto"/>
          <w:highlight w:val="none"/>
        </w:rPr>
      </w:pPr>
      <w:r>
        <w:rPr>
          <w:rFonts w:hint="eastAsia" w:ascii="宋体" w:hAnsi="宋体" w:eastAsia="宋体" w:cs="宋体"/>
          <w:color w:val="auto"/>
          <w:sz w:val="36"/>
          <w:szCs w:val="36"/>
          <w:highlight w:val="none"/>
        </w:rPr>
        <w:t> </w:t>
      </w:r>
    </w:p>
    <w:p>
      <w:pPr>
        <w:pStyle w:val="16"/>
        <w:widowControl/>
        <w:rPr>
          <w:color w:val="auto"/>
          <w:highlight w:val="none"/>
        </w:rPr>
      </w:pPr>
      <w:r>
        <w:rPr>
          <w:rFonts w:hint="eastAsia" w:ascii="宋体" w:hAnsi="宋体" w:eastAsia="宋体" w:cs="宋体"/>
          <w:color w:val="auto"/>
          <w:sz w:val="36"/>
          <w:szCs w:val="36"/>
          <w:highlight w:val="none"/>
        </w:rPr>
        <w:t> </w:t>
      </w:r>
    </w:p>
    <w:p>
      <w:pPr>
        <w:pStyle w:val="16"/>
        <w:widowControl/>
        <w:rPr>
          <w:color w:val="auto"/>
          <w:highlight w:val="none"/>
        </w:rPr>
      </w:pPr>
      <w:r>
        <w:rPr>
          <w:rFonts w:hint="eastAsia" w:ascii="宋体" w:hAnsi="宋体" w:eastAsia="宋体" w:cs="宋体"/>
          <w:color w:val="auto"/>
          <w:sz w:val="36"/>
          <w:szCs w:val="36"/>
          <w:highlight w:val="none"/>
        </w:rPr>
        <w:t> </w:t>
      </w:r>
    </w:p>
    <w:p>
      <w:pPr>
        <w:pStyle w:val="16"/>
        <w:widowControl/>
        <w:jc w:val="center"/>
        <w:rPr>
          <w:color w:val="auto"/>
          <w:highlight w:val="none"/>
        </w:rPr>
      </w:pPr>
      <w:r>
        <w:rPr>
          <w:rStyle w:val="24"/>
          <w:rFonts w:hint="eastAsia" w:ascii="宋体" w:hAnsi="宋体" w:eastAsia="宋体" w:cs="宋体"/>
          <w:color w:val="auto"/>
          <w:sz w:val="31"/>
          <w:szCs w:val="31"/>
          <w:highlight w:val="none"/>
        </w:rPr>
        <w:t>供应商：</w:t>
      </w:r>
      <w:r>
        <w:rPr>
          <w:rStyle w:val="24"/>
          <w:rFonts w:hint="eastAsia" w:ascii="宋体" w:hAnsi="宋体" w:eastAsia="宋体" w:cs="宋体"/>
          <w:color w:val="auto"/>
          <w:sz w:val="31"/>
          <w:szCs w:val="31"/>
          <w:highlight w:val="none"/>
          <w:u w:val="single"/>
        </w:rPr>
        <w:t>（填写“全称”）</w:t>
      </w:r>
    </w:p>
    <w:p>
      <w:pPr>
        <w:pStyle w:val="16"/>
        <w:widowControl/>
        <w:jc w:val="center"/>
        <w:rPr>
          <w:color w:val="auto"/>
          <w:highlight w:val="none"/>
        </w:rPr>
      </w:pPr>
      <w:r>
        <w:rPr>
          <w:rStyle w:val="24"/>
          <w:rFonts w:hint="eastAsia" w:ascii="宋体" w:hAnsi="宋体" w:eastAsia="宋体" w:cs="宋体"/>
          <w:color w:val="auto"/>
          <w:sz w:val="31"/>
          <w:szCs w:val="31"/>
          <w:highlight w:val="none"/>
          <w:u w:val="single"/>
        </w:rPr>
        <w:t>（由供应商填写）</w:t>
      </w:r>
      <w:r>
        <w:rPr>
          <w:rStyle w:val="24"/>
          <w:rFonts w:hint="eastAsia" w:ascii="宋体" w:hAnsi="宋体" w:eastAsia="宋体" w:cs="宋体"/>
          <w:color w:val="auto"/>
          <w:sz w:val="31"/>
          <w:szCs w:val="31"/>
          <w:highlight w:val="none"/>
        </w:rPr>
        <w:t>年</w:t>
      </w:r>
      <w:r>
        <w:rPr>
          <w:rStyle w:val="24"/>
          <w:rFonts w:hint="eastAsia" w:ascii="宋体" w:hAnsi="宋体" w:eastAsia="宋体" w:cs="宋体"/>
          <w:color w:val="auto"/>
          <w:sz w:val="31"/>
          <w:szCs w:val="31"/>
          <w:highlight w:val="none"/>
          <w:u w:val="single"/>
        </w:rPr>
        <w:t>（由供应商填写）</w:t>
      </w:r>
      <w:r>
        <w:rPr>
          <w:rStyle w:val="24"/>
          <w:rFonts w:hint="eastAsia" w:ascii="宋体" w:hAnsi="宋体" w:eastAsia="宋体" w:cs="宋体"/>
          <w:color w:val="auto"/>
          <w:sz w:val="31"/>
          <w:szCs w:val="31"/>
          <w:highlight w:val="none"/>
        </w:rPr>
        <w:t>月</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jc w:val="center"/>
        <w:rPr>
          <w:rStyle w:val="24"/>
          <w:rFonts w:ascii="宋体" w:hAnsi="宋体" w:eastAsia="宋体" w:cs="宋体"/>
          <w:color w:val="auto"/>
          <w:sz w:val="28"/>
          <w:szCs w:val="28"/>
          <w:highlight w:val="none"/>
        </w:rPr>
      </w:pPr>
    </w:p>
    <w:p>
      <w:pPr>
        <w:pStyle w:val="16"/>
        <w:widowControl/>
        <w:jc w:val="center"/>
        <w:rPr>
          <w:color w:val="auto"/>
          <w:highlight w:val="none"/>
        </w:rPr>
      </w:pPr>
      <w:r>
        <w:rPr>
          <w:rStyle w:val="24"/>
          <w:rFonts w:hint="eastAsia" w:ascii="宋体" w:hAnsi="宋体" w:eastAsia="宋体" w:cs="宋体"/>
          <w:color w:val="auto"/>
          <w:sz w:val="28"/>
          <w:szCs w:val="28"/>
          <w:highlight w:val="none"/>
        </w:rPr>
        <w:t>索引</w:t>
      </w:r>
    </w:p>
    <w:p>
      <w:pPr>
        <w:pStyle w:val="16"/>
        <w:widowControl/>
        <w:rPr>
          <w:color w:val="auto"/>
          <w:highlight w:val="none"/>
        </w:rPr>
      </w:pPr>
      <w:r>
        <w:rPr>
          <w:rFonts w:hint="eastAsia" w:ascii="宋体" w:hAnsi="宋体" w:eastAsia="宋体" w:cs="宋体"/>
          <w:color w:val="auto"/>
          <w:sz w:val="28"/>
          <w:szCs w:val="28"/>
          <w:highlight w:val="none"/>
        </w:rPr>
        <w:t>一、响应函</w:t>
      </w:r>
    </w:p>
    <w:p>
      <w:pPr>
        <w:pStyle w:val="16"/>
        <w:widowControl/>
        <w:rPr>
          <w:color w:val="auto"/>
          <w:highlight w:val="none"/>
        </w:rPr>
      </w:pPr>
      <w:r>
        <w:rPr>
          <w:rFonts w:hint="eastAsia" w:ascii="宋体" w:hAnsi="宋体" w:eastAsia="宋体" w:cs="宋体"/>
          <w:color w:val="auto"/>
          <w:sz w:val="28"/>
          <w:szCs w:val="28"/>
          <w:highlight w:val="none"/>
        </w:rPr>
        <w:t>二、供应商的资格及资信证明文件</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ind w:firstLine="420"/>
        <w:rPr>
          <w:color w:val="auto"/>
          <w:highlight w:val="none"/>
        </w:rPr>
      </w:pPr>
    </w:p>
    <w:p>
      <w:pPr>
        <w:pStyle w:val="16"/>
        <w:widowControl/>
        <w:rPr>
          <w:color w:val="auto"/>
          <w:highlight w:val="none"/>
        </w:rPr>
      </w:pPr>
    </w:p>
    <w:p>
      <w:pPr>
        <w:pStyle w:val="16"/>
        <w:widowControl/>
        <w:jc w:val="center"/>
        <w:rPr>
          <w:rFonts w:ascii="Calibri" w:hAnsi="Calibri" w:cs="Calibri"/>
          <w:color w:val="auto"/>
          <w:sz w:val="21"/>
          <w:szCs w:val="21"/>
          <w:highlight w:val="none"/>
        </w:rPr>
      </w:pPr>
    </w:p>
    <w:p>
      <w:pPr>
        <w:rPr>
          <w:color w:val="auto"/>
          <w:highlight w:val="none"/>
        </w:rPr>
      </w:pPr>
    </w:p>
    <w:p>
      <w:pPr>
        <w:rPr>
          <w:rFonts w:ascii="Calibri" w:hAnsi="Calibri" w:cs="Calibri"/>
          <w:color w:val="auto"/>
          <w:szCs w:val="21"/>
          <w:highlight w:val="none"/>
        </w:rPr>
      </w:pPr>
      <w:r>
        <w:rPr>
          <w:rFonts w:ascii="Calibri" w:hAnsi="Calibri" w:cs="Calibri"/>
          <w:color w:val="auto"/>
          <w:szCs w:val="21"/>
          <w:highlight w:val="none"/>
        </w:rPr>
        <w:br w:type="page"/>
      </w:r>
    </w:p>
    <w:p>
      <w:pPr>
        <w:pStyle w:val="16"/>
        <w:widowControl/>
        <w:jc w:val="center"/>
        <w:rPr>
          <w:color w:val="auto"/>
          <w:highlight w:val="none"/>
        </w:rPr>
      </w:pPr>
      <w:r>
        <w:rPr>
          <w:rStyle w:val="24"/>
          <w:rFonts w:hint="eastAsia" w:ascii="宋体" w:hAnsi="宋体" w:eastAsia="宋体" w:cs="宋体"/>
          <w:color w:val="auto"/>
          <w:sz w:val="21"/>
          <w:szCs w:val="21"/>
          <w:highlight w:val="none"/>
        </w:rPr>
        <w:t>一、响应函</w:t>
      </w:r>
    </w:p>
    <w:p>
      <w:pPr>
        <w:pStyle w:val="16"/>
        <w:widowControl/>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w:t>
      </w:r>
      <w:r>
        <w:rPr>
          <w:rFonts w:ascii="宋体" w:hAnsi="宋体" w:eastAsia="宋体" w:cs="宋体"/>
          <w:color w:val="auto"/>
          <w:sz w:val="21"/>
          <w:szCs w:val="21"/>
          <w:highlight w:val="none"/>
          <w:u w:val="single"/>
        </w:rPr>
        <w:t>（采购人或采购代理机构）</w:t>
      </w:r>
      <w:r>
        <w:rPr>
          <w:rFonts w:hint="eastAsia" w:ascii="宋体" w:hAnsi="宋体" w:eastAsia="宋体" w:cs="宋体"/>
          <w:color w:val="auto"/>
          <w:sz w:val="21"/>
          <w:szCs w:val="21"/>
          <w:highlight w:val="none"/>
          <w:u w:val="single"/>
        </w:rPr>
        <w:t>  </w:t>
      </w:r>
    </w:p>
    <w:p>
      <w:pPr>
        <w:pStyle w:val="16"/>
        <w:widowControl/>
        <w:ind w:firstLine="420"/>
        <w:rPr>
          <w:color w:val="auto"/>
          <w:highlight w:val="none"/>
        </w:rPr>
      </w:pPr>
      <w:r>
        <w:rPr>
          <w:rFonts w:hint="eastAsia" w:ascii="宋体" w:hAnsi="宋体" w:eastAsia="宋体" w:cs="宋体"/>
          <w:color w:val="auto"/>
          <w:sz w:val="21"/>
          <w:szCs w:val="21"/>
          <w:highlight w:val="none"/>
        </w:rPr>
        <w:t>兹收到贵单位关于</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）的征集邀请，本供应商代表</w:t>
      </w:r>
      <w:r>
        <w:rPr>
          <w:rFonts w:hint="eastAsia" w:ascii="宋体" w:hAnsi="宋体" w:eastAsia="宋体" w:cs="宋体"/>
          <w:color w:val="auto"/>
          <w:sz w:val="21"/>
          <w:szCs w:val="21"/>
          <w:highlight w:val="none"/>
          <w:u w:val="single"/>
        </w:rPr>
        <w:t>（填写“全名”）</w:t>
      </w:r>
      <w:r>
        <w:rPr>
          <w:rFonts w:hint="eastAsia" w:ascii="宋体" w:hAnsi="宋体" w:eastAsia="宋体" w:cs="宋体"/>
          <w:color w:val="auto"/>
          <w:sz w:val="21"/>
          <w:szCs w:val="21"/>
          <w:highlight w:val="none"/>
        </w:rPr>
        <w:t>已获得我方正式授权并代表供应商</w:t>
      </w:r>
      <w:r>
        <w:rPr>
          <w:rFonts w:hint="eastAsia" w:ascii="宋体" w:hAnsi="宋体" w:eastAsia="宋体" w:cs="宋体"/>
          <w:color w:val="auto"/>
          <w:sz w:val="21"/>
          <w:szCs w:val="21"/>
          <w:highlight w:val="none"/>
          <w:u w:val="single"/>
        </w:rPr>
        <w:t>（填写“全称”）</w:t>
      </w:r>
      <w:r>
        <w:rPr>
          <w:rFonts w:hint="eastAsia" w:ascii="宋体" w:hAnsi="宋体" w:eastAsia="宋体" w:cs="宋体"/>
          <w:color w:val="auto"/>
          <w:sz w:val="21"/>
          <w:szCs w:val="21"/>
          <w:highlight w:val="none"/>
        </w:rPr>
        <w:t>参加征集活动，并提交征集文件规定份数的响应文件正本和副本。我方提交的全部响应文件均由下述部分组成：</w:t>
      </w:r>
    </w:p>
    <w:p>
      <w:pPr>
        <w:pStyle w:val="16"/>
        <w:widowControl/>
        <w:ind w:firstLine="420"/>
        <w:rPr>
          <w:color w:val="auto"/>
          <w:highlight w:val="none"/>
        </w:rPr>
      </w:pPr>
      <w:r>
        <w:rPr>
          <w:rFonts w:hint="eastAsia" w:ascii="宋体" w:hAnsi="宋体" w:eastAsia="宋体" w:cs="宋体"/>
          <w:color w:val="auto"/>
          <w:sz w:val="21"/>
          <w:szCs w:val="21"/>
          <w:highlight w:val="none"/>
        </w:rPr>
        <w:t>（1）资格及资信证明部分</w:t>
      </w:r>
    </w:p>
    <w:p>
      <w:pPr>
        <w:pStyle w:val="16"/>
        <w:widowControl/>
        <w:ind w:firstLine="420"/>
        <w:rPr>
          <w:color w:val="auto"/>
          <w:highlight w:val="none"/>
        </w:rPr>
      </w:pPr>
      <w:r>
        <w:rPr>
          <w:rFonts w:hint="eastAsia" w:ascii="宋体" w:hAnsi="宋体" w:eastAsia="宋体" w:cs="宋体"/>
          <w:color w:val="auto"/>
          <w:sz w:val="21"/>
          <w:szCs w:val="21"/>
          <w:highlight w:val="none"/>
        </w:rPr>
        <w:t>①响应函</w:t>
      </w:r>
    </w:p>
    <w:p>
      <w:pPr>
        <w:pStyle w:val="16"/>
        <w:widowControl/>
        <w:ind w:firstLine="420"/>
        <w:rPr>
          <w:color w:val="auto"/>
          <w:highlight w:val="none"/>
        </w:rPr>
      </w:pPr>
      <w:r>
        <w:rPr>
          <w:rFonts w:hint="eastAsia" w:ascii="宋体" w:hAnsi="宋体" w:eastAsia="宋体" w:cs="宋体"/>
          <w:color w:val="auto"/>
          <w:sz w:val="21"/>
          <w:szCs w:val="21"/>
          <w:highlight w:val="none"/>
        </w:rPr>
        <w:t>②供应商的资格及资信证明文件</w:t>
      </w:r>
    </w:p>
    <w:p>
      <w:pPr>
        <w:pStyle w:val="16"/>
        <w:widowControl/>
        <w:ind w:firstLine="420"/>
        <w:rPr>
          <w:color w:val="auto"/>
          <w:highlight w:val="none"/>
        </w:rPr>
      </w:pPr>
      <w:r>
        <w:rPr>
          <w:rFonts w:hint="eastAsia" w:ascii="宋体" w:hAnsi="宋体" w:eastAsia="宋体" w:cs="宋体"/>
          <w:color w:val="auto"/>
          <w:sz w:val="21"/>
          <w:szCs w:val="21"/>
          <w:highlight w:val="none"/>
        </w:rPr>
        <w:t>（2）报价部分</w:t>
      </w:r>
    </w:p>
    <w:p>
      <w:pPr>
        <w:pStyle w:val="16"/>
        <w:widowControl/>
        <w:ind w:firstLine="420"/>
        <w:rPr>
          <w:color w:val="auto"/>
          <w:highlight w:val="none"/>
        </w:rPr>
      </w:pPr>
      <w:r>
        <w:rPr>
          <w:rFonts w:hint="eastAsia" w:ascii="宋体" w:hAnsi="宋体" w:eastAsia="宋体" w:cs="宋体"/>
          <w:color w:val="auto"/>
          <w:sz w:val="21"/>
          <w:szCs w:val="21"/>
          <w:highlight w:val="none"/>
        </w:rPr>
        <w:t>①开标一览表</w:t>
      </w:r>
    </w:p>
    <w:p>
      <w:pPr>
        <w:pStyle w:val="16"/>
        <w:widowControl/>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②投标分项报价表</w:t>
      </w:r>
    </w:p>
    <w:p>
      <w:pPr>
        <w:pStyle w:val="16"/>
        <w:widowControl/>
        <w:ind w:firstLine="420"/>
        <w:rPr>
          <w:color w:val="auto"/>
          <w:highlight w:val="none"/>
        </w:rPr>
      </w:pPr>
      <w:r>
        <w:rPr>
          <w:rFonts w:hint="eastAsia" w:ascii="宋体" w:hAnsi="宋体" w:eastAsia="宋体" w:cs="宋体"/>
          <w:color w:val="auto"/>
          <w:sz w:val="21"/>
          <w:szCs w:val="21"/>
          <w:highlight w:val="none"/>
        </w:rPr>
        <w:t>③征集文件规定的价格扣除证明材料（若有）</w:t>
      </w:r>
    </w:p>
    <w:p>
      <w:pPr>
        <w:pStyle w:val="16"/>
        <w:widowControl/>
        <w:ind w:firstLine="420"/>
        <w:rPr>
          <w:color w:val="auto"/>
          <w:highlight w:val="none"/>
        </w:rPr>
      </w:pPr>
      <w:r>
        <w:rPr>
          <w:rFonts w:hint="eastAsia" w:ascii="宋体" w:hAnsi="宋体" w:eastAsia="宋体" w:cs="宋体"/>
          <w:color w:val="auto"/>
          <w:sz w:val="21"/>
          <w:szCs w:val="21"/>
          <w:highlight w:val="none"/>
        </w:rPr>
        <w:t>（3）技术商务部分</w:t>
      </w:r>
    </w:p>
    <w:p>
      <w:pPr>
        <w:pStyle w:val="16"/>
        <w:widowControl/>
        <w:ind w:firstLine="420"/>
        <w:rPr>
          <w:color w:val="auto"/>
          <w:highlight w:val="none"/>
        </w:rPr>
      </w:pPr>
      <w:r>
        <w:rPr>
          <w:rFonts w:hint="eastAsia" w:ascii="宋体" w:hAnsi="宋体" w:eastAsia="宋体" w:cs="宋体"/>
          <w:color w:val="auto"/>
          <w:sz w:val="21"/>
          <w:szCs w:val="21"/>
          <w:highlight w:val="none"/>
        </w:rPr>
        <w:t>①标的说明一览表</w:t>
      </w:r>
    </w:p>
    <w:p>
      <w:pPr>
        <w:pStyle w:val="16"/>
        <w:widowControl/>
        <w:ind w:firstLine="420"/>
        <w:rPr>
          <w:color w:val="auto"/>
          <w:highlight w:val="none"/>
        </w:rPr>
      </w:pPr>
      <w:r>
        <w:rPr>
          <w:rFonts w:hint="eastAsia" w:ascii="宋体" w:hAnsi="宋体" w:eastAsia="宋体" w:cs="宋体"/>
          <w:color w:val="auto"/>
          <w:sz w:val="21"/>
          <w:szCs w:val="21"/>
          <w:highlight w:val="none"/>
        </w:rPr>
        <w:t>②技术和服务要求响应表</w:t>
      </w:r>
    </w:p>
    <w:p>
      <w:pPr>
        <w:pStyle w:val="16"/>
        <w:widowControl/>
        <w:ind w:firstLine="420"/>
        <w:rPr>
          <w:color w:val="auto"/>
          <w:highlight w:val="none"/>
        </w:rPr>
      </w:pPr>
      <w:r>
        <w:rPr>
          <w:rFonts w:hint="eastAsia" w:ascii="宋体" w:hAnsi="宋体" w:eastAsia="宋体" w:cs="宋体"/>
          <w:color w:val="auto"/>
          <w:sz w:val="21"/>
          <w:szCs w:val="21"/>
          <w:highlight w:val="none"/>
        </w:rPr>
        <w:t>③商务条件响应表</w:t>
      </w:r>
    </w:p>
    <w:p>
      <w:pPr>
        <w:pStyle w:val="16"/>
        <w:widowControl/>
        <w:ind w:firstLine="420"/>
        <w:rPr>
          <w:color w:val="auto"/>
          <w:highlight w:val="none"/>
        </w:rPr>
      </w:pPr>
      <w:r>
        <w:rPr>
          <w:rFonts w:hint="eastAsia" w:ascii="宋体" w:hAnsi="宋体" w:eastAsia="宋体" w:cs="宋体"/>
          <w:color w:val="auto"/>
          <w:sz w:val="21"/>
          <w:szCs w:val="21"/>
          <w:highlight w:val="none"/>
        </w:rPr>
        <w:t>④供应商提交的其他资料（若有）</w:t>
      </w:r>
    </w:p>
    <w:p>
      <w:pPr>
        <w:pStyle w:val="16"/>
        <w:widowControl/>
        <w:ind w:firstLine="420"/>
        <w:rPr>
          <w:color w:val="auto"/>
          <w:highlight w:val="none"/>
        </w:rPr>
      </w:pPr>
      <w:r>
        <w:rPr>
          <w:rFonts w:hint="eastAsia" w:ascii="宋体" w:hAnsi="宋体" w:eastAsia="宋体" w:cs="宋体"/>
          <w:color w:val="auto"/>
          <w:sz w:val="21"/>
          <w:szCs w:val="21"/>
          <w:highlight w:val="none"/>
        </w:rPr>
        <w:t>根据本函，本供应商代表宣布我方保证遵守征集文件的全部规定，同时：</w:t>
      </w:r>
    </w:p>
    <w:p>
      <w:pPr>
        <w:pStyle w:val="16"/>
        <w:widowControl/>
        <w:ind w:firstLine="420"/>
        <w:rPr>
          <w:color w:val="auto"/>
          <w:highlight w:val="none"/>
        </w:rPr>
      </w:pPr>
      <w:r>
        <w:rPr>
          <w:rFonts w:hint="eastAsia" w:ascii="宋体" w:hAnsi="宋体" w:eastAsia="宋体" w:cs="宋体"/>
          <w:color w:val="auto"/>
          <w:sz w:val="21"/>
          <w:szCs w:val="21"/>
          <w:highlight w:val="none"/>
        </w:rPr>
        <w:t>1、</w:t>
      </w:r>
      <w:r>
        <w:rPr>
          <w:rStyle w:val="24"/>
          <w:rFonts w:hint="eastAsia" w:ascii="宋体" w:hAnsi="宋体" w:eastAsia="宋体" w:cs="宋体"/>
          <w:color w:val="auto"/>
          <w:sz w:val="21"/>
          <w:szCs w:val="21"/>
          <w:highlight w:val="none"/>
        </w:rPr>
        <w:t>确认：</w:t>
      </w:r>
    </w:p>
    <w:p>
      <w:pPr>
        <w:pStyle w:val="16"/>
        <w:widowControl/>
        <w:ind w:firstLine="420"/>
        <w:rPr>
          <w:color w:val="auto"/>
          <w:highlight w:val="none"/>
        </w:rPr>
      </w:pPr>
      <w:r>
        <w:rPr>
          <w:rFonts w:hint="eastAsia" w:ascii="宋体" w:hAnsi="宋体" w:eastAsia="宋体" w:cs="宋体"/>
          <w:color w:val="auto"/>
          <w:sz w:val="21"/>
          <w:szCs w:val="21"/>
          <w:highlight w:val="none"/>
        </w:rPr>
        <w:t>1.1所投合同包的响应报价详见“开标一览表”。</w:t>
      </w:r>
    </w:p>
    <w:p>
      <w:pPr>
        <w:pStyle w:val="16"/>
        <w:widowControl/>
        <w:ind w:firstLine="420"/>
        <w:rPr>
          <w:color w:val="auto"/>
          <w:highlight w:val="none"/>
        </w:rPr>
      </w:pPr>
      <w:r>
        <w:rPr>
          <w:rFonts w:hint="eastAsia" w:ascii="宋体" w:hAnsi="宋体" w:eastAsia="宋体" w:cs="宋体"/>
          <w:color w:val="auto"/>
          <w:sz w:val="21"/>
          <w:szCs w:val="21"/>
          <w:highlight w:val="none"/>
        </w:rPr>
        <w:t>1.2我方已详细审查全部征集文件</w:t>
      </w:r>
      <w:r>
        <w:rPr>
          <w:rFonts w:ascii="Calibri" w:hAnsi="Calibri" w:eastAsia="宋体" w:cs="Calibri"/>
          <w:color w:val="auto"/>
          <w:sz w:val="21"/>
          <w:szCs w:val="21"/>
          <w:highlight w:val="none"/>
        </w:rPr>
        <w:t>[</w:t>
      </w:r>
      <w:r>
        <w:rPr>
          <w:rFonts w:hint="eastAsia" w:ascii="宋体" w:hAnsi="宋体" w:eastAsia="宋体" w:cs="宋体"/>
          <w:color w:val="auto"/>
          <w:sz w:val="21"/>
          <w:szCs w:val="21"/>
          <w:highlight w:val="none"/>
        </w:rPr>
        <w:t>包括但不限于：有关附件（若有）、澄清或修改（若有）等</w:t>
      </w:r>
      <w:r>
        <w:rPr>
          <w:rFonts w:ascii="Calibri" w:hAnsi="Calibri" w:eastAsia="宋体" w:cs="Calibri"/>
          <w:color w:val="auto"/>
          <w:sz w:val="21"/>
          <w:szCs w:val="21"/>
          <w:highlight w:val="none"/>
        </w:rPr>
        <w:t>]</w:t>
      </w:r>
      <w:r>
        <w:rPr>
          <w:rFonts w:hint="eastAsia" w:ascii="宋体" w:hAnsi="宋体" w:eastAsia="宋体" w:cs="宋体"/>
          <w:color w:val="auto"/>
          <w:sz w:val="21"/>
          <w:szCs w:val="21"/>
          <w:highlight w:val="none"/>
        </w:rPr>
        <w:t>，并自行承担因对全部征集文件理解不正确或误解而产生的相应后果和责任。</w:t>
      </w:r>
    </w:p>
    <w:p>
      <w:pPr>
        <w:pStyle w:val="16"/>
        <w:widowControl/>
        <w:ind w:firstLine="420"/>
        <w:rPr>
          <w:color w:val="auto"/>
          <w:highlight w:val="none"/>
        </w:rPr>
      </w:pPr>
      <w:r>
        <w:rPr>
          <w:rFonts w:hint="eastAsia" w:ascii="宋体" w:hAnsi="宋体" w:eastAsia="宋体" w:cs="宋体"/>
          <w:color w:val="auto"/>
          <w:sz w:val="21"/>
          <w:szCs w:val="21"/>
          <w:highlight w:val="none"/>
        </w:rPr>
        <w:t>2、</w:t>
      </w:r>
      <w:r>
        <w:rPr>
          <w:rStyle w:val="24"/>
          <w:rFonts w:hint="eastAsia" w:ascii="宋体" w:hAnsi="宋体" w:eastAsia="宋体" w:cs="宋体"/>
          <w:color w:val="auto"/>
          <w:sz w:val="21"/>
          <w:szCs w:val="21"/>
          <w:highlight w:val="none"/>
        </w:rPr>
        <w:t>承诺及声明：</w:t>
      </w:r>
    </w:p>
    <w:p>
      <w:pPr>
        <w:pStyle w:val="16"/>
        <w:widowControl/>
        <w:ind w:firstLine="420"/>
        <w:rPr>
          <w:color w:val="auto"/>
          <w:highlight w:val="none"/>
        </w:rPr>
      </w:pPr>
      <w:r>
        <w:rPr>
          <w:rFonts w:hint="eastAsia" w:ascii="宋体" w:hAnsi="宋体" w:eastAsia="宋体" w:cs="宋体"/>
          <w:color w:val="auto"/>
          <w:sz w:val="21"/>
          <w:szCs w:val="21"/>
          <w:highlight w:val="none"/>
        </w:rPr>
        <w:t>2.1我方具备征集文件第一章载明的“供应商的资格要求”且符合征集文件第三章载明的“二、供应商”之规定，否则</w:t>
      </w:r>
      <w:r>
        <w:rPr>
          <w:rStyle w:val="24"/>
          <w:rFonts w:hint="eastAsia" w:ascii="宋体" w:hAnsi="宋体" w:eastAsia="宋体" w:cs="宋体"/>
          <w:color w:val="auto"/>
          <w:sz w:val="21"/>
          <w:szCs w:val="21"/>
          <w:highlight w:val="none"/>
        </w:rPr>
        <w:t>响应无效。</w:t>
      </w:r>
    </w:p>
    <w:p>
      <w:pPr>
        <w:pStyle w:val="16"/>
        <w:widowControl/>
        <w:ind w:firstLine="420"/>
        <w:rPr>
          <w:color w:val="auto"/>
          <w:highlight w:val="none"/>
        </w:rPr>
      </w:pPr>
      <w:r>
        <w:rPr>
          <w:rFonts w:hint="eastAsia" w:ascii="宋体" w:hAnsi="宋体" w:eastAsia="宋体" w:cs="宋体"/>
          <w:color w:val="auto"/>
          <w:sz w:val="21"/>
          <w:szCs w:val="21"/>
          <w:highlight w:val="none"/>
        </w:rPr>
        <w:t>2.2我方提交的响应文件各组成部分的全部内容及资料是不可割离且真实、有效、准确、完整和不具有任何误导性的，否则产生不利后果由我方承担责任。</w:t>
      </w:r>
    </w:p>
    <w:p>
      <w:pPr>
        <w:pStyle w:val="16"/>
        <w:widowControl/>
        <w:ind w:firstLine="420"/>
        <w:rPr>
          <w:color w:val="auto"/>
          <w:highlight w:val="none"/>
        </w:rPr>
      </w:pPr>
      <w:r>
        <w:rPr>
          <w:rFonts w:hint="eastAsia" w:ascii="宋体" w:hAnsi="宋体" w:eastAsia="宋体" w:cs="宋体"/>
          <w:color w:val="auto"/>
          <w:sz w:val="21"/>
          <w:szCs w:val="21"/>
          <w:highlight w:val="none"/>
        </w:rPr>
        <w:t>2.3我方提供的标的价格不高于同期市场价格，否则产生不利后果由我方承担责任。</w:t>
      </w:r>
    </w:p>
    <w:p>
      <w:pPr>
        <w:pStyle w:val="16"/>
        <w:widowControl/>
        <w:ind w:firstLine="420"/>
        <w:rPr>
          <w:color w:val="auto"/>
          <w:highlight w:val="none"/>
        </w:rPr>
      </w:pPr>
      <w:r>
        <w:rPr>
          <w:rFonts w:hint="eastAsia" w:ascii="宋体" w:hAnsi="宋体" w:eastAsia="宋体" w:cs="宋体"/>
          <w:color w:val="auto"/>
          <w:sz w:val="21"/>
          <w:szCs w:val="21"/>
          <w:highlight w:val="none"/>
        </w:rPr>
        <w:t>2.4响应保证金：若出现征集文件第三章规定的不予退还情形，同意贵单位不予退还。</w:t>
      </w:r>
    </w:p>
    <w:p>
      <w:pPr>
        <w:pStyle w:val="16"/>
        <w:widowControl/>
        <w:ind w:firstLine="420"/>
        <w:rPr>
          <w:color w:val="auto"/>
          <w:highlight w:val="none"/>
        </w:rPr>
      </w:pPr>
      <w:r>
        <w:rPr>
          <w:rFonts w:hint="eastAsia" w:ascii="宋体" w:hAnsi="宋体" w:eastAsia="宋体" w:cs="宋体"/>
          <w:color w:val="auto"/>
          <w:sz w:val="21"/>
          <w:szCs w:val="21"/>
          <w:highlight w:val="none"/>
        </w:rPr>
        <w:t>2.5响应文件有效期：按照征集文件第三章规定执行，并在征集文件第二章载明的期限内保持有效。</w:t>
      </w:r>
    </w:p>
    <w:p>
      <w:pPr>
        <w:pStyle w:val="16"/>
        <w:widowControl/>
        <w:ind w:firstLine="420"/>
        <w:rPr>
          <w:color w:val="auto"/>
          <w:highlight w:val="none"/>
        </w:rPr>
      </w:pPr>
      <w:r>
        <w:rPr>
          <w:rFonts w:hint="eastAsia" w:ascii="宋体" w:hAnsi="宋体" w:eastAsia="宋体" w:cs="宋体"/>
          <w:color w:val="auto"/>
          <w:sz w:val="21"/>
          <w:szCs w:val="21"/>
          <w:highlight w:val="none"/>
        </w:rPr>
        <w:t>2.6若入围，将按照征集文件、我方响应文件及政府采购合同履行责任和义务。</w:t>
      </w:r>
    </w:p>
    <w:p>
      <w:pPr>
        <w:pStyle w:val="16"/>
        <w:widowControl/>
        <w:ind w:firstLine="420"/>
        <w:rPr>
          <w:color w:val="auto"/>
          <w:highlight w:val="none"/>
        </w:rPr>
      </w:pPr>
      <w:r>
        <w:rPr>
          <w:rFonts w:hint="eastAsia" w:ascii="宋体" w:hAnsi="宋体" w:eastAsia="宋体" w:cs="宋体"/>
          <w:color w:val="auto"/>
          <w:sz w:val="21"/>
          <w:szCs w:val="21"/>
          <w:highlight w:val="none"/>
        </w:rPr>
        <w:t>2.7若贵单位要求，我方同意提供与本项目征集活动有关的一切资料、数据或文件，并完全理解贵单位不一定要接受最低的报价。</w:t>
      </w:r>
    </w:p>
    <w:p>
      <w:pPr>
        <w:pStyle w:val="16"/>
        <w:widowControl/>
        <w:ind w:firstLine="420"/>
        <w:rPr>
          <w:color w:val="auto"/>
          <w:highlight w:val="none"/>
        </w:rPr>
      </w:pPr>
      <w:r>
        <w:rPr>
          <w:rFonts w:hint="eastAsia" w:ascii="宋体" w:hAnsi="宋体" w:eastAsia="宋体" w:cs="宋体"/>
          <w:color w:val="auto"/>
          <w:sz w:val="21"/>
          <w:szCs w:val="21"/>
          <w:highlight w:val="none"/>
        </w:rPr>
        <w:t>2.8除征集文件另有规定外，对于贵单位按照下述联络方式发出的任何信息或通知，均视为我方已收悉前述信息或通知的全部内容：</w:t>
      </w:r>
    </w:p>
    <w:p>
      <w:pPr>
        <w:pStyle w:val="16"/>
        <w:widowControl/>
        <w:ind w:firstLine="42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w:t>
      </w:r>
    </w:p>
    <w:p>
      <w:pPr>
        <w:pStyle w:val="16"/>
        <w:widowControl/>
        <w:ind w:firstLine="420"/>
        <w:rPr>
          <w:color w:val="auto"/>
          <w:highlight w:val="none"/>
        </w:rPr>
      </w:pP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single"/>
        </w:rPr>
        <w:t>                 </w:t>
      </w:r>
    </w:p>
    <w:p>
      <w:pPr>
        <w:pStyle w:val="16"/>
        <w:widowControl/>
        <w:ind w:firstLine="420"/>
        <w:rPr>
          <w:color w:val="auto"/>
          <w:highlight w:val="none"/>
        </w:rPr>
      </w:pPr>
      <w:r>
        <w:rPr>
          <w:rFonts w:hint="eastAsia" w:ascii="宋体" w:hAnsi="宋体" w:eastAsia="宋体" w:cs="宋体"/>
          <w:color w:val="auto"/>
          <w:sz w:val="21"/>
          <w:szCs w:val="21"/>
          <w:highlight w:val="none"/>
        </w:rPr>
        <w:t>联系方法：</w:t>
      </w:r>
      <w:r>
        <w:rPr>
          <w:rFonts w:hint="eastAsia" w:ascii="宋体" w:hAnsi="宋体" w:eastAsia="宋体" w:cs="宋体"/>
          <w:color w:val="auto"/>
          <w:sz w:val="21"/>
          <w:szCs w:val="21"/>
          <w:highlight w:val="none"/>
          <w:u w:val="single"/>
        </w:rPr>
        <w:t>（包括但不限于：联系人、联系电话、手机、传真、电子邮箱等）</w:t>
      </w:r>
    </w:p>
    <w:p>
      <w:pPr>
        <w:pStyle w:val="16"/>
        <w:widowControl/>
        <w:ind w:firstLine="420"/>
        <w:rPr>
          <w:color w:val="auto"/>
          <w:highlight w:val="none"/>
        </w:rPr>
      </w:pPr>
      <w:r>
        <w:rPr>
          <w:rFonts w:hint="eastAsia" w:ascii="宋体" w:hAnsi="宋体" w:eastAsia="宋体" w:cs="宋体"/>
          <w:color w:val="auto"/>
          <w:sz w:val="21"/>
          <w:szCs w:val="21"/>
          <w:highlight w:val="none"/>
        </w:rPr>
        <w:t> </w:t>
      </w:r>
    </w:p>
    <w:p>
      <w:pPr>
        <w:pStyle w:val="16"/>
        <w:widowControl/>
        <w:ind w:firstLine="420"/>
        <w:rPr>
          <w:color w:val="auto"/>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（全称并加盖单位公章）</w:t>
      </w:r>
    </w:p>
    <w:p>
      <w:pPr>
        <w:pStyle w:val="16"/>
        <w:widowControl/>
        <w:ind w:firstLine="420"/>
        <w:rPr>
          <w:color w:val="auto"/>
          <w:highlight w:val="none"/>
        </w:rPr>
      </w:pPr>
      <w:r>
        <w:rPr>
          <w:rFonts w:hint="eastAsia" w:ascii="宋体" w:hAnsi="宋体" w:eastAsia="宋体" w:cs="宋体"/>
          <w:color w:val="auto"/>
          <w:sz w:val="21"/>
          <w:szCs w:val="21"/>
          <w:highlight w:val="none"/>
        </w:rPr>
        <w:t>供应商代表签字：</w:t>
      </w:r>
      <w:r>
        <w:rPr>
          <w:rFonts w:hint="eastAsia" w:ascii="宋体" w:hAnsi="宋体" w:eastAsia="宋体" w:cs="宋体"/>
          <w:color w:val="auto"/>
          <w:sz w:val="21"/>
          <w:szCs w:val="21"/>
          <w:highlight w:val="none"/>
          <w:u w:val="single"/>
        </w:rPr>
        <w:t>                   </w:t>
      </w:r>
    </w:p>
    <w:p>
      <w:pPr>
        <w:pStyle w:val="16"/>
        <w:widowControl/>
        <w:ind w:firstLine="420"/>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6"/>
        <w:widowControl/>
        <w:jc w:val="center"/>
        <w:rPr>
          <w:rFonts w:ascii="Calibri" w:hAnsi="Calibri" w:cs="Calibri"/>
          <w:color w:val="auto"/>
          <w:sz w:val="21"/>
          <w:szCs w:val="21"/>
          <w:highlight w:val="none"/>
        </w:rPr>
      </w:pPr>
    </w:p>
    <w:p>
      <w:pPr>
        <w:rPr>
          <w:color w:val="auto"/>
          <w:highlight w:val="none"/>
        </w:rPr>
      </w:pPr>
    </w:p>
    <w:p>
      <w:pPr>
        <w:rPr>
          <w:rFonts w:ascii="Calibri" w:hAnsi="Calibri" w:cs="Calibri"/>
          <w:color w:val="auto"/>
          <w:szCs w:val="21"/>
          <w:highlight w:val="none"/>
        </w:rPr>
      </w:pPr>
      <w:r>
        <w:rPr>
          <w:rFonts w:ascii="Calibri" w:hAnsi="Calibri" w:cs="Calibri"/>
          <w:color w:val="auto"/>
          <w:szCs w:val="21"/>
          <w:highlight w:val="none"/>
        </w:rPr>
        <w:br w:type="page"/>
      </w:r>
    </w:p>
    <w:p>
      <w:pPr>
        <w:pStyle w:val="16"/>
        <w:widowControl/>
        <w:jc w:val="center"/>
        <w:rPr>
          <w:color w:val="auto"/>
          <w:highlight w:val="none"/>
        </w:rPr>
      </w:pPr>
      <w:r>
        <w:rPr>
          <w:rStyle w:val="24"/>
          <w:rFonts w:hint="eastAsia" w:ascii="宋体" w:hAnsi="宋体" w:eastAsia="宋体" w:cs="宋体"/>
          <w:color w:val="auto"/>
          <w:sz w:val="21"/>
          <w:szCs w:val="21"/>
          <w:highlight w:val="none"/>
        </w:rPr>
        <w:t>二、供应商的资格及资信证明文件</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jc w:val="center"/>
        <w:rPr>
          <w:color w:val="auto"/>
          <w:highlight w:val="none"/>
        </w:rPr>
      </w:pPr>
      <w:r>
        <w:rPr>
          <w:rStyle w:val="24"/>
          <w:rFonts w:hint="eastAsia" w:ascii="宋体" w:hAnsi="宋体" w:eastAsia="宋体" w:cs="宋体"/>
          <w:color w:val="auto"/>
          <w:sz w:val="21"/>
          <w:szCs w:val="21"/>
          <w:highlight w:val="none"/>
        </w:rPr>
        <w:t>二-1单位负责人授权书（若有）</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w:t>
      </w:r>
    </w:p>
    <w:p>
      <w:pPr>
        <w:pStyle w:val="16"/>
        <w:widowControl/>
        <w:ind w:firstLine="420"/>
        <w:rPr>
          <w:color w:val="auto"/>
          <w:highlight w:val="none"/>
        </w:rPr>
      </w:pPr>
      <w:r>
        <w:rPr>
          <w:rFonts w:hint="eastAsia" w:ascii="宋体" w:hAnsi="宋体" w:eastAsia="宋体" w:cs="宋体"/>
          <w:color w:val="auto"/>
          <w:sz w:val="21"/>
          <w:szCs w:val="21"/>
          <w:highlight w:val="none"/>
        </w:rPr>
        <w:t>我方的单位负责人</w:t>
      </w:r>
      <w:r>
        <w:rPr>
          <w:rFonts w:hint="eastAsia" w:ascii="宋体" w:hAnsi="宋体" w:eastAsia="宋体" w:cs="宋体"/>
          <w:color w:val="auto"/>
          <w:sz w:val="21"/>
          <w:szCs w:val="21"/>
          <w:highlight w:val="none"/>
          <w:u w:val="single"/>
        </w:rPr>
        <w:t>（填写“单位负责人全名”）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（填写“供应商代表全名”）</w:t>
      </w:r>
      <w:r>
        <w:rPr>
          <w:rFonts w:hint="eastAsia" w:ascii="宋体" w:hAnsi="宋体" w:eastAsia="宋体" w:cs="宋体"/>
          <w:color w:val="auto"/>
          <w:sz w:val="21"/>
          <w:szCs w:val="21"/>
          <w:highlight w:val="none"/>
        </w:rPr>
        <w:t>为供应商代表，代表我方参加</w:t>
      </w:r>
      <w:r>
        <w:rPr>
          <w:rFonts w:hint="eastAsia"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征集活动，全权代表我方处理征集活动中的一切事宜，包括但不限于：递交响应文件、参加开标、谈判、澄清、签约等。供应商代表在征集活动中所签署的一切文件和处理与之有关的一切事务，我方均予以认可并对此承担责任。</w:t>
      </w:r>
    </w:p>
    <w:p>
      <w:pPr>
        <w:pStyle w:val="16"/>
        <w:widowControl/>
        <w:ind w:firstLine="420"/>
        <w:rPr>
          <w:color w:val="auto"/>
          <w:highlight w:val="none"/>
        </w:rPr>
      </w:pPr>
      <w:r>
        <w:rPr>
          <w:rFonts w:hint="eastAsia" w:ascii="宋体" w:hAnsi="宋体" w:eastAsia="宋体" w:cs="宋体"/>
          <w:color w:val="auto"/>
          <w:sz w:val="21"/>
          <w:szCs w:val="21"/>
          <w:highlight w:val="none"/>
        </w:rPr>
        <w:t>供应商代表无转委权。特此授权。</w:t>
      </w:r>
    </w:p>
    <w:p>
      <w:pPr>
        <w:pStyle w:val="16"/>
        <w:widowControl/>
        <w:jc w:val="center"/>
        <w:rPr>
          <w:color w:val="auto"/>
          <w:highlight w:val="none"/>
        </w:rPr>
      </w:pPr>
      <w:r>
        <w:rPr>
          <w:rFonts w:hint="eastAsia" w:ascii="宋体" w:hAnsi="宋体" w:eastAsia="宋体" w:cs="宋体"/>
          <w:color w:val="auto"/>
          <w:sz w:val="21"/>
          <w:szCs w:val="21"/>
          <w:highlight w:val="none"/>
        </w:rPr>
        <w:t>（以下无正文）</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单位负责人：</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w:t>
      </w:r>
    </w:p>
    <w:p>
      <w:pPr>
        <w:pStyle w:val="16"/>
        <w:widowControl/>
        <w:rPr>
          <w:color w:val="auto"/>
          <w:highlight w:val="none"/>
        </w:rPr>
      </w:pPr>
      <w:r>
        <w:rPr>
          <w:rFonts w:hint="eastAsia" w:ascii="宋体" w:hAnsi="宋体" w:eastAsia="宋体" w:cs="宋体"/>
          <w:color w:val="auto"/>
          <w:sz w:val="21"/>
          <w:szCs w:val="21"/>
          <w:highlight w:val="none"/>
        </w:rPr>
        <w:t>手机：</w:t>
      </w:r>
      <w:r>
        <w:rPr>
          <w:rFonts w:hint="eastAsia" w:ascii="宋体" w:hAnsi="宋体" w:eastAsia="宋体" w:cs="宋体"/>
          <w:color w:val="auto"/>
          <w:sz w:val="21"/>
          <w:szCs w:val="21"/>
          <w:highlight w:val="none"/>
          <w:u w:val="single"/>
        </w:rPr>
        <w:t>              </w:t>
      </w:r>
    </w:p>
    <w:p>
      <w:pPr>
        <w:pStyle w:val="16"/>
        <w:widowControl/>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供应商代表：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w:t>
      </w:r>
    </w:p>
    <w:p>
      <w:pPr>
        <w:pStyle w:val="16"/>
        <w:widowControl/>
        <w:rPr>
          <w:color w:val="auto"/>
          <w:highlight w:val="none"/>
        </w:rPr>
      </w:pPr>
      <w:r>
        <w:rPr>
          <w:rFonts w:hint="eastAsia" w:ascii="宋体" w:hAnsi="宋体" w:eastAsia="宋体" w:cs="宋体"/>
          <w:color w:val="auto"/>
          <w:sz w:val="21"/>
          <w:szCs w:val="21"/>
          <w:highlight w:val="none"/>
        </w:rPr>
        <w:t>手机：</w:t>
      </w:r>
      <w:r>
        <w:rPr>
          <w:rFonts w:hint="eastAsia" w:ascii="宋体" w:hAnsi="宋体" w:eastAsia="宋体" w:cs="宋体"/>
          <w:color w:val="auto"/>
          <w:sz w:val="21"/>
          <w:szCs w:val="21"/>
          <w:highlight w:val="none"/>
          <w:u w:val="single"/>
        </w:rPr>
        <w:t>              </w:t>
      </w:r>
    </w:p>
    <w:p>
      <w:pPr>
        <w:pStyle w:val="16"/>
        <w:widowControl/>
        <w:rPr>
          <w:color w:val="auto"/>
          <w:highlight w:val="none"/>
        </w:rPr>
      </w:pPr>
      <w:r>
        <w:rPr>
          <w:rFonts w:ascii="Calibri" w:hAnsi="Calibri" w:cs="Calibri"/>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授权方</w:t>
      </w:r>
    </w:p>
    <w:p>
      <w:pPr>
        <w:pStyle w:val="16"/>
        <w:widowControl/>
        <w:rPr>
          <w:color w:val="auto"/>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（全称并加盖单位公章）</w:t>
      </w:r>
    </w:p>
    <w:p>
      <w:pPr>
        <w:pStyle w:val="16"/>
        <w:widowControl/>
        <w:rPr>
          <w:color w:val="auto"/>
          <w:highlight w:val="none"/>
        </w:rPr>
      </w:pPr>
      <w:r>
        <w:rPr>
          <w:rFonts w:hint="eastAsia" w:ascii="宋体" w:hAnsi="宋体" w:eastAsia="宋体" w:cs="宋体"/>
          <w:color w:val="auto"/>
          <w:sz w:val="21"/>
          <w:szCs w:val="21"/>
          <w:highlight w:val="none"/>
        </w:rPr>
        <w:t>单位负责人签字或盖章：</w:t>
      </w:r>
      <w:r>
        <w:rPr>
          <w:rFonts w:hint="eastAsia" w:ascii="宋体" w:hAnsi="宋体" w:eastAsia="宋体" w:cs="宋体"/>
          <w:color w:val="auto"/>
          <w:sz w:val="21"/>
          <w:szCs w:val="21"/>
          <w:highlight w:val="none"/>
          <w:u w:val="single"/>
        </w:rPr>
        <w:t>                   </w:t>
      </w:r>
    </w:p>
    <w:p>
      <w:pPr>
        <w:pStyle w:val="16"/>
        <w:widowControl/>
        <w:rPr>
          <w:color w:val="auto"/>
          <w:highlight w:val="none"/>
        </w:rPr>
      </w:pPr>
      <w:r>
        <w:rPr>
          <w:rFonts w:ascii="Calibri" w:hAnsi="Calibri" w:cs="Calibri"/>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接受授权方</w:t>
      </w:r>
    </w:p>
    <w:p>
      <w:pPr>
        <w:pStyle w:val="16"/>
        <w:widowControl/>
        <w:rPr>
          <w:color w:val="auto"/>
          <w:highlight w:val="none"/>
        </w:rPr>
      </w:pPr>
      <w:r>
        <w:rPr>
          <w:rFonts w:hint="eastAsia" w:ascii="宋体" w:hAnsi="宋体" w:eastAsia="宋体" w:cs="宋体"/>
          <w:color w:val="auto"/>
          <w:sz w:val="21"/>
          <w:szCs w:val="21"/>
          <w:highlight w:val="none"/>
        </w:rPr>
        <w:t>供应商代表签字：</w:t>
      </w:r>
      <w:r>
        <w:rPr>
          <w:rFonts w:hint="eastAsia" w:ascii="宋体" w:hAnsi="宋体" w:eastAsia="宋体" w:cs="宋体"/>
          <w:color w:val="auto"/>
          <w:sz w:val="21"/>
          <w:szCs w:val="21"/>
          <w:highlight w:val="none"/>
          <w:u w:val="single"/>
        </w:rPr>
        <w:t>                   </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jc w:val="right"/>
        <w:rPr>
          <w:color w:val="auto"/>
          <w:highlight w:val="none"/>
        </w:rPr>
      </w:pPr>
      <w:r>
        <w:rPr>
          <w:rFonts w:hint="eastAsia" w:ascii="宋体" w:hAnsi="宋体" w:eastAsia="宋体" w:cs="宋体"/>
          <w:color w:val="auto"/>
          <w:sz w:val="21"/>
          <w:szCs w:val="21"/>
          <w:highlight w:val="none"/>
        </w:rPr>
        <w:t>签署日期：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6"/>
        <w:widowControl/>
        <w:rPr>
          <w:color w:val="auto"/>
          <w:highlight w:val="none"/>
        </w:rPr>
      </w:pPr>
      <w:r>
        <w:rPr>
          <w:rFonts w:ascii="Calibri" w:hAnsi="Calibri" w:cs="Calibri"/>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附：单位负责人、供应商代表的身份证正反面复印件</w:t>
      </w:r>
    </w:p>
    <w:tbl>
      <w:tblPr>
        <w:tblStyle w:val="20"/>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jc w:val="center"/>
              <w:rPr>
                <w:color w:val="auto"/>
                <w:highlight w:val="none"/>
              </w:rPr>
            </w:pPr>
            <w:r>
              <w:rPr>
                <w:rStyle w:val="24"/>
                <w:rFonts w:hint="eastAsia" w:ascii="宋体" w:hAnsi="宋体" w:eastAsia="宋体" w:cs="宋体"/>
                <w:color w:val="auto"/>
                <w:sz w:val="21"/>
                <w:szCs w:val="21"/>
                <w:highlight w:val="none"/>
              </w:rPr>
              <w:t> </w:t>
            </w:r>
          </w:p>
          <w:p>
            <w:pPr>
              <w:pStyle w:val="16"/>
              <w:widowControl/>
              <w:jc w:val="center"/>
              <w:rPr>
                <w:color w:val="auto"/>
                <w:highlight w:val="none"/>
              </w:rPr>
            </w:pPr>
            <w:r>
              <w:rPr>
                <w:rStyle w:val="24"/>
                <w:rFonts w:hint="eastAsia" w:ascii="宋体" w:hAnsi="宋体" w:eastAsia="宋体" w:cs="宋体"/>
                <w:color w:val="auto"/>
                <w:sz w:val="21"/>
                <w:szCs w:val="21"/>
                <w:highlight w:val="none"/>
              </w:rPr>
              <w:t>要求：真实有效且内容完整、清晰、整洁。</w:t>
            </w:r>
          </w:p>
          <w:p>
            <w:pPr>
              <w:pStyle w:val="16"/>
              <w:widowControl/>
              <w:jc w:val="center"/>
              <w:rPr>
                <w:color w:val="auto"/>
                <w:highlight w:val="none"/>
              </w:rPr>
            </w:pPr>
            <w:r>
              <w:rPr>
                <w:rStyle w:val="24"/>
                <w:rFonts w:hint="eastAsia" w:ascii="宋体" w:hAnsi="宋体" w:eastAsia="宋体" w:cs="宋体"/>
                <w:color w:val="auto"/>
                <w:sz w:val="21"/>
                <w:szCs w:val="21"/>
                <w:highlight w:val="none"/>
              </w:rPr>
              <w:t> </w:t>
            </w:r>
          </w:p>
        </w:tc>
      </w:tr>
    </w:tbl>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★注意：</w:t>
      </w:r>
    </w:p>
    <w:p>
      <w:pPr>
        <w:pStyle w:val="16"/>
        <w:widowControl/>
        <w:rPr>
          <w:color w:val="auto"/>
          <w:highlight w:val="none"/>
        </w:rPr>
      </w:pPr>
      <w:r>
        <w:rPr>
          <w:rFonts w:hint="eastAsia" w:ascii="宋体" w:hAnsi="宋体" w:eastAsia="宋体" w:cs="宋体"/>
          <w:color w:val="auto"/>
          <w:sz w:val="21"/>
          <w:szCs w:val="21"/>
          <w:highlight w:val="none"/>
        </w:rPr>
        <w:t>1、企业（银行、保险、石油石化、电力、电信等行业除外）、事业单位和社会团体法人的“单位负责人”指</w:t>
      </w:r>
      <w:r>
        <w:rPr>
          <w:rStyle w:val="24"/>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rPr>
        <w:t>，即与实际提交的“营业执照等证明文件”载明的一致。</w:t>
      </w:r>
    </w:p>
    <w:p>
      <w:pPr>
        <w:pStyle w:val="16"/>
        <w:widowControl/>
        <w:rPr>
          <w:color w:val="auto"/>
          <w:highlight w:val="none"/>
        </w:rPr>
      </w:pPr>
      <w:r>
        <w:rPr>
          <w:rFonts w:hint="eastAsia" w:ascii="宋体" w:hAnsi="宋体" w:eastAsia="宋体" w:cs="宋体"/>
          <w:color w:val="auto"/>
          <w:sz w:val="21"/>
          <w:szCs w:val="21"/>
          <w:highlight w:val="none"/>
        </w:rPr>
        <w:t>2、银行、保险、石油石化、电力、电信等行业：以法人身份参加征集活动的，“单位负责人”指法定代表人，即与实际提交的“营业执照等证明文件”载明的一致；以非法人身份参加征集活动的，“单位负责人”指代表单位行使职权的主要负责人，即与实际提交的“营业执照等证明文件”载明的一致。</w:t>
      </w:r>
    </w:p>
    <w:p>
      <w:pPr>
        <w:pStyle w:val="16"/>
        <w:widowControl/>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3、供应商（自然人除外）：若供应商代表为单位负责人授权的委托代理人，应提供本授权书；若供应商代表为单位负责人，应在此项下提交其身份证正反面复印件，可不提供本授权书。</w:t>
      </w:r>
    </w:p>
    <w:p>
      <w:pPr>
        <w:pStyle w:val="16"/>
        <w:widowControl/>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4、供应商为自然人的，可不填写本授权书。</w:t>
      </w:r>
    </w:p>
    <w:p>
      <w:pPr>
        <w:pStyle w:val="16"/>
        <w:widowControl/>
        <w:rPr>
          <w:color w:val="auto"/>
          <w:highlight w:val="none"/>
        </w:rPr>
      </w:pPr>
      <w:r>
        <w:rPr>
          <w:rFonts w:hint="eastAsia" w:ascii="宋体" w:hAnsi="宋体" w:eastAsia="宋体" w:cs="宋体"/>
          <w:color w:val="auto"/>
          <w:sz w:val="21"/>
          <w:szCs w:val="21"/>
          <w:highlight w:val="none"/>
        </w:rPr>
        <w:t>5、纸质响应文件正本中的本授权书（若有）应为原件。</w:t>
      </w:r>
    </w:p>
    <w:p>
      <w:pPr>
        <w:pStyle w:val="16"/>
        <w:widowControl/>
        <w:rPr>
          <w:color w:val="auto"/>
          <w:highlight w:val="none"/>
        </w:rPr>
      </w:pP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jc w:val="center"/>
        <w:rPr>
          <w:rFonts w:ascii="Calibri" w:hAnsi="Calibri" w:cs="Calibri"/>
          <w:color w:val="auto"/>
          <w:sz w:val="21"/>
          <w:szCs w:val="21"/>
          <w:highlight w:val="none"/>
        </w:rPr>
      </w:pPr>
    </w:p>
    <w:p>
      <w:pPr>
        <w:rPr>
          <w:color w:val="auto"/>
          <w:highlight w:val="none"/>
        </w:rPr>
      </w:pPr>
    </w:p>
    <w:p>
      <w:pPr>
        <w:rPr>
          <w:rFonts w:ascii="Calibri" w:hAnsi="Calibri" w:cs="Calibri"/>
          <w:color w:val="auto"/>
          <w:szCs w:val="21"/>
          <w:highlight w:val="none"/>
        </w:rPr>
      </w:pPr>
      <w:r>
        <w:rPr>
          <w:rFonts w:ascii="Calibri" w:hAnsi="Calibri" w:cs="Calibri"/>
          <w:color w:val="auto"/>
          <w:szCs w:val="21"/>
          <w:highlight w:val="none"/>
        </w:rPr>
        <w:br w:type="page"/>
      </w:r>
    </w:p>
    <w:p>
      <w:pPr>
        <w:pStyle w:val="16"/>
        <w:widowControl/>
        <w:jc w:val="center"/>
        <w:rPr>
          <w:color w:val="auto"/>
          <w:highlight w:val="none"/>
        </w:rPr>
      </w:pPr>
      <w:r>
        <w:rPr>
          <w:rStyle w:val="24"/>
          <w:rFonts w:hint="eastAsia" w:ascii="宋体" w:hAnsi="宋体" w:eastAsia="宋体" w:cs="宋体"/>
          <w:color w:val="auto"/>
          <w:sz w:val="21"/>
          <w:szCs w:val="21"/>
          <w:highlight w:val="none"/>
        </w:rPr>
        <w:t>二-2营业执照等证明文件</w:t>
      </w:r>
    </w:p>
    <w:p>
      <w:pPr>
        <w:pStyle w:val="16"/>
        <w:widowControl/>
        <w:rPr>
          <w:color w:val="auto"/>
          <w:highlight w:val="none"/>
        </w:rPr>
      </w:pPr>
      <w:r>
        <w:rPr>
          <w:rFonts w:ascii="Calibri" w:hAnsi="Calibri" w:cs="Calibri"/>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w:t>
      </w:r>
      <w:r>
        <w:rPr>
          <w:rFonts w:ascii="宋体" w:hAnsi="宋体" w:eastAsia="宋体" w:cs="宋体"/>
          <w:color w:val="auto"/>
          <w:sz w:val="21"/>
          <w:szCs w:val="21"/>
          <w:highlight w:val="none"/>
          <w:u w:val="single"/>
        </w:rPr>
        <w:t>（采购人或采购代理机构）</w:t>
      </w:r>
      <w:r>
        <w:rPr>
          <w:rFonts w:hint="eastAsia" w:ascii="宋体" w:hAnsi="宋体" w:eastAsia="宋体" w:cs="宋体"/>
          <w:color w:val="auto"/>
          <w:sz w:val="21"/>
          <w:szCs w:val="21"/>
          <w:highlight w:val="none"/>
          <w:u w:val="single"/>
        </w:rPr>
        <w:t> </w:t>
      </w:r>
    </w:p>
    <w:p>
      <w:pPr>
        <w:pStyle w:val="16"/>
        <w:widowControl/>
        <w:ind w:firstLine="420"/>
        <w:rPr>
          <w:color w:val="auto"/>
          <w:highlight w:val="none"/>
        </w:rPr>
      </w:pPr>
      <w:r>
        <w:rPr>
          <w:rFonts w:hint="eastAsia" w:ascii="宋体" w:hAnsi="宋体" w:eastAsia="宋体" w:cs="宋体"/>
          <w:color w:val="auto"/>
          <w:sz w:val="21"/>
          <w:szCs w:val="21"/>
          <w:highlight w:val="none"/>
        </w:rPr>
        <w:t>（ ）供应商为法人（包括企业、事业单位和社会团体）的</w:t>
      </w:r>
    </w:p>
    <w:p>
      <w:pPr>
        <w:pStyle w:val="16"/>
        <w:widowControl/>
        <w:ind w:firstLine="420"/>
        <w:rPr>
          <w:color w:val="auto"/>
          <w:highlight w:val="none"/>
        </w:rPr>
      </w:pPr>
      <w:r>
        <w:rPr>
          <w:rFonts w:hint="eastAsia" w:ascii="宋体" w:hAnsi="宋体" w:eastAsia="宋体" w:cs="宋体"/>
          <w:color w:val="auto"/>
          <w:sz w:val="21"/>
          <w:szCs w:val="21"/>
          <w:highlight w:val="none"/>
        </w:rPr>
        <w:t>现附上由</w:t>
      </w:r>
      <w:r>
        <w:rPr>
          <w:rFonts w:hint="eastAsia" w:ascii="宋体" w:hAnsi="宋体" w:eastAsia="宋体" w:cs="宋体"/>
          <w:color w:val="auto"/>
          <w:sz w:val="21"/>
          <w:szCs w:val="21"/>
          <w:highlight w:val="none"/>
          <w:u w:val="single"/>
        </w:rPr>
        <w:t>（填写“签发机关全称”）</w:t>
      </w:r>
      <w:r>
        <w:rPr>
          <w:rFonts w:hint="eastAsia" w:ascii="宋体" w:hAnsi="宋体" w:eastAsia="宋体" w:cs="宋体"/>
          <w:color w:val="auto"/>
          <w:sz w:val="21"/>
          <w:szCs w:val="21"/>
          <w:highlight w:val="none"/>
        </w:rPr>
        <w:t>签发的我方统一社会信用代码</w:t>
      </w:r>
      <w:r>
        <w:rPr>
          <w:rFonts w:hint="eastAsia" w:ascii="宋体" w:hAnsi="宋体" w:eastAsia="宋体" w:cs="宋体"/>
          <w:color w:val="auto"/>
          <w:sz w:val="21"/>
          <w:szCs w:val="21"/>
          <w:highlight w:val="none"/>
          <w:u w:val="single"/>
        </w:rPr>
        <w:t>（请填写法人的具体证照名称）</w:t>
      </w:r>
      <w:r>
        <w:rPr>
          <w:rFonts w:hint="eastAsia" w:ascii="宋体" w:hAnsi="宋体" w:eastAsia="宋体" w:cs="宋体"/>
          <w:color w:val="auto"/>
          <w:sz w:val="21"/>
          <w:szCs w:val="21"/>
          <w:highlight w:val="none"/>
        </w:rPr>
        <w:t>复印件，该证明材料真实有效，否则我方负全部责任。</w:t>
      </w:r>
    </w:p>
    <w:p>
      <w:pPr>
        <w:pStyle w:val="16"/>
        <w:widowControl/>
        <w:ind w:firstLine="420"/>
        <w:rPr>
          <w:color w:val="auto"/>
          <w:highlight w:val="none"/>
        </w:rPr>
      </w:pPr>
      <w:r>
        <w:rPr>
          <w:rFonts w:hint="eastAsia" w:ascii="宋体" w:hAnsi="宋体" w:eastAsia="宋体" w:cs="宋体"/>
          <w:color w:val="auto"/>
          <w:sz w:val="21"/>
          <w:szCs w:val="21"/>
          <w:highlight w:val="none"/>
        </w:rPr>
        <w:t>（ ）供应商为非法人（包括其他组织、自然人）的</w:t>
      </w:r>
    </w:p>
    <w:p>
      <w:pPr>
        <w:pStyle w:val="16"/>
        <w:widowControl/>
        <w:ind w:firstLine="420"/>
        <w:rPr>
          <w:color w:val="auto"/>
          <w:highlight w:val="none"/>
        </w:rPr>
      </w:pPr>
      <w:r>
        <w:rPr>
          <w:rFonts w:hint="eastAsia" w:ascii="宋体" w:hAnsi="宋体" w:eastAsia="宋体" w:cs="宋体"/>
          <w:color w:val="auto"/>
          <w:sz w:val="21"/>
          <w:szCs w:val="21"/>
          <w:highlight w:val="none"/>
        </w:rPr>
        <w:t>□现附上由</w:t>
      </w:r>
      <w:r>
        <w:rPr>
          <w:rFonts w:hint="eastAsia" w:ascii="宋体" w:hAnsi="宋体" w:eastAsia="宋体" w:cs="宋体"/>
          <w:color w:val="auto"/>
          <w:sz w:val="21"/>
          <w:szCs w:val="21"/>
          <w:highlight w:val="none"/>
          <w:u w:val="single"/>
        </w:rPr>
        <w:t>（填写“签发机关全称”）</w:t>
      </w:r>
      <w:r>
        <w:rPr>
          <w:rFonts w:hint="eastAsia" w:ascii="宋体" w:hAnsi="宋体" w:eastAsia="宋体" w:cs="宋体"/>
          <w:color w:val="auto"/>
          <w:sz w:val="21"/>
          <w:szCs w:val="21"/>
          <w:highlight w:val="none"/>
        </w:rPr>
        <w:t>签发的我方</w:t>
      </w:r>
      <w:r>
        <w:rPr>
          <w:rFonts w:hint="eastAsia" w:ascii="宋体" w:hAnsi="宋体" w:eastAsia="宋体" w:cs="宋体"/>
          <w:color w:val="auto"/>
          <w:sz w:val="21"/>
          <w:szCs w:val="21"/>
          <w:highlight w:val="none"/>
          <w:u w:val="single"/>
        </w:rPr>
        <w:t>（请填写非自然人的非法人的具体证照名称）</w:t>
      </w:r>
      <w:r>
        <w:rPr>
          <w:rFonts w:hint="eastAsia" w:ascii="宋体" w:hAnsi="宋体" w:eastAsia="宋体" w:cs="宋体"/>
          <w:color w:val="auto"/>
          <w:sz w:val="21"/>
          <w:szCs w:val="21"/>
          <w:highlight w:val="none"/>
        </w:rPr>
        <w:t>复印件，该证明材料真实有效，否则我方负全部责任。</w:t>
      </w:r>
    </w:p>
    <w:p>
      <w:pPr>
        <w:pStyle w:val="16"/>
        <w:widowControl/>
        <w:ind w:firstLine="420"/>
        <w:rPr>
          <w:color w:val="auto"/>
          <w:highlight w:val="none"/>
        </w:rPr>
      </w:pPr>
      <w:r>
        <w:rPr>
          <w:rFonts w:hint="eastAsia" w:ascii="宋体" w:hAnsi="宋体" w:eastAsia="宋体" w:cs="宋体"/>
          <w:color w:val="auto"/>
          <w:sz w:val="21"/>
          <w:szCs w:val="21"/>
          <w:highlight w:val="none"/>
        </w:rPr>
        <w:t>□现附上由</w:t>
      </w:r>
      <w:r>
        <w:rPr>
          <w:rFonts w:hint="eastAsia" w:ascii="宋体" w:hAnsi="宋体" w:eastAsia="宋体" w:cs="宋体"/>
          <w:color w:val="auto"/>
          <w:sz w:val="21"/>
          <w:szCs w:val="21"/>
          <w:highlight w:val="none"/>
          <w:u w:val="single"/>
        </w:rPr>
        <w:t>（填写“签发机关全称”）</w:t>
      </w:r>
      <w:r>
        <w:rPr>
          <w:rFonts w:hint="eastAsia" w:ascii="宋体" w:hAnsi="宋体" w:eastAsia="宋体" w:cs="宋体"/>
          <w:color w:val="auto"/>
          <w:sz w:val="21"/>
          <w:szCs w:val="21"/>
          <w:highlight w:val="none"/>
        </w:rPr>
        <w:t>签发的我方</w:t>
      </w:r>
      <w:r>
        <w:rPr>
          <w:rFonts w:hint="eastAsia" w:ascii="宋体" w:hAnsi="宋体" w:eastAsia="宋体" w:cs="宋体"/>
          <w:color w:val="auto"/>
          <w:sz w:val="21"/>
          <w:szCs w:val="21"/>
          <w:highlight w:val="none"/>
          <w:u w:val="single"/>
        </w:rPr>
        <w:t>（请填写自然人的身份证件名称）</w:t>
      </w:r>
      <w:r>
        <w:rPr>
          <w:rFonts w:hint="eastAsia" w:ascii="宋体" w:hAnsi="宋体" w:eastAsia="宋体" w:cs="宋体"/>
          <w:color w:val="auto"/>
          <w:sz w:val="21"/>
          <w:szCs w:val="21"/>
          <w:highlight w:val="none"/>
        </w:rPr>
        <w:t>复印件，该证明材料真实有效，否则我方负全部责任。</w:t>
      </w:r>
    </w:p>
    <w:p>
      <w:pPr>
        <w:pStyle w:val="16"/>
        <w:widowControl/>
        <w:rPr>
          <w:color w:val="auto"/>
          <w:highlight w:val="none"/>
        </w:rPr>
      </w:pPr>
      <w:r>
        <w:rPr>
          <w:rFonts w:ascii="Calibri" w:hAnsi="Calibri" w:cs="Calibri"/>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★注意：</w:t>
      </w:r>
    </w:p>
    <w:p>
      <w:pPr>
        <w:pStyle w:val="16"/>
        <w:widowControl/>
        <w:rPr>
          <w:color w:val="auto"/>
          <w:highlight w:val="none"/>
        </w:rPr>
      </w:pPr>
      <w:r>
        <w:rPr>
          <w:rFonts w:hint="eastAsia" w:ascii="宋体" w:hAnsi="宋体" w:eastAsia="宋体" w:cs="宋体"/>
          <w:color w:val="auto"/>
          <w:sz w:val="21"/>
          <w:szCs w:val="21"/>
          <w:highlight w:val="none"/>
        </w:rPr>
        <w:t>1、请供应商按照实际情况编制填写，在相应的（）中打“√”并选择相应的“□”（若有）后，再按照本格式的要求提供相应证明材料的复印件。</w:t>
      </w:r>
    </w:p>
    <w:p>
      <w:pPr>
        <w:pStyle w:val="16"/>
        <w:widowControl/>
        <w:rPr>
          <w:color w:val="auto"/>
          <w:highlight w:val="none"/>
        </w:rPr>
      </w:pPr>
      <w:r>
        <w:rPr>
          <w:rFonts w:hint="eastAsia" w:ascii="宋体" w:hAnsi="宋体" w:eastAsia="宋体" w:cs="宋体"/>
          <w:color w:val="auto"/>
          <w:sz w:val="21"/>
          <w:szCs w:val="21"/>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6"/>
        <w:widowControl/>
        <w:rPr>
          <w:color w:val="auto"/>
          <w:highlight w:val="none"/>
        </w:rPr>
      </w:pPr>
      <w:r>
        <w:rPr>
          <w:rFonts w:hint="eastAsia" w:ascii="宋体" w:hAnsi="宋体" w:eastAsia="宋体" w:cs="宋体"/>
          <w:color w:val="auto"/>
          <w:sz w:val="21"/>
          <w:szCs w:val="21"/>
          <w:highlight w:val="none"/>
        </w:rPr>
        <w:t>3、供应商提供的相应证明材料复印件均应符合：内容完整、清晰、整洁，并由供应商加盖其单位公章。</w:t>
      </w:r>
    </w:p>
    <w:p>
      <w:pPr>
        <w:pStyle w:val="16"/>
        <w:widowControl/>
        <w:rPr>
          <w:color w:val="auto"/>
          <w:highlight w:val="none"/>
        </w:rPr>
      </w:pPr>
      <w:r>
        <w:rPr>
          <w:rFonts w:ascii="Calibri" w:hAnsi="Calibri" w:cs="Calibri"/>
          <w:color w:val="auto"/>
          <w:sz w:val="21"/>
          <w:szCs w:val="21"/>
          <w:highlight w:val="none"/>
        </w:rPr>
        <w:t> </w:t>
      </w:r>
    </w:p>
    <w:p>
      <w:pPr>
        <w:pStyle w:val="16"/>
        <w:widowControl/>
        <w:rPr>
          <w:color w:val="auto"/>
          <w:highlight w:val="none"/>
        </w:rPr>
      </w:pPr>
      <w:r>
        <w:rPr>
          <w:rFonts w:ascii="Calibri" w:hAnsi="Calibri" w:cs="Calibri"/>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（全称并加盖单位公章）</w:t>
      </w:r>
    </w:p>
    <w:p>
      <w:pPr>
        <w:pStyle w:val="16"/>
        <w:widowControl/>
        <w:rPr>
          <w:color w:val="auto"/>
          <w:highlight w:val="none"/>
        </w:rPr>
      </w:pPr>
      <w:r>
        <w:rPr>
          <w:rFonts w:hint="eastAsia" w:ascii="宋体" w:hAnsi="宋体" w:eastAsia="宋体" w:cs="宋体"/>
          <w:color w:val="auto"/>
          <w:sz w:val="21"/>
          <w:szCs w:val="21"/>
          <w:highlight w:val="none"/>
        </w:rPr>
        <w:t>供应商代表签字：</w:t>
      </w:r>
      <w:r>
        <w:rPr>
          <w:rFonts w:hint="eastAsia" w:ascii="宋体" w:hAnsi="宋体" w:eastAsia="宋体" w:cs="宋体"/>
          <w:color w:val="auto"/>
          <w:sz w:val="21"/>
          <w:szCs w:val="21"/>
          <w:highlight w:val="none"/>
          <w:u w:val="single"/>
        </w:rPr>
        <w:t>                   </w:t>
      </w:r>
    </w:p>
    <w:p>
      <w:pPr>
        <w:pStyle w:val="16"/>
        <w:widowControl/>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jc w:val="center"/>
        <w:rPr>
          <w:rFonts w:ascii="Calibri" w:hAnsi="Calibri" w:cs="Calibri"/>
          <w:color w:val="auto"/>
          <w:sz w:val="21"/>
          <w:szCs w:val="21"/>
          <w:highlight w:val="none"/>
        </w:rPr>
      </w:pPr>
    </w:p>
    <w:p>
      <w:pPr>
        <w:pStyle w:val="16"/>
        <w:widowControl/>
        <w:jc w:val="center"/>
        <w:rPr>
          <w:color w:val="auto"/>
          <w:highlight w:val="none"/>
        </w:rPr>
      </w:pPr>
      <w:r>
        <w:rPr>
          <w:rStyle w:val="24"/>
          <w:rFonts w:hint="eastAsia" w:ascii="宋体" w:hAnsi="宋体" w:eastAsia="宋体" w:cs="宋体"/>
          <w:color w:val="auto"/>
          <w:sz w:val="21"/>
          <w:szCs w:val="21"/>
          <w:highlight w:val="none"/>
        </w:rPr>
        <w:t>二-3财务状况报告（财务报告、或资信证明）</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w:t>
      </w:r>
      <w:r>
        <w:rPr>
          <w:rFonts w:ascii="宋体" w:hAnsi="宋体" w:eastAsia="宋体" w:cs="宋体"/>
          <w:color w:val="auto"/>
          <w:sz w:val="21"/>
          <w:szCs w:val="21"/>
          <w:highlight w:val="none"/>
          <w:u w:val="single"/>
        </w:rPr>
        <w:t>（采购人或采购代理机构）</w:t>
      </w:r>
      <w:r>
        <w:rPr>
          <w:rFonts w:hint="eastAsia" w:ascii="宋体" w:hAnsi="宋体" w:eastAsia="宋体" w:cs="宋体"/>
          <w:color w:val="auto"/>
          <w:sz w:val="21"/>
          <w:szCs w:val="21"/>
          <w:highlight w:val="none"/>
          <w:u w:val="single"/>
        </w:rPr>
        <w:t> </w:t>
      </w:r>
    </w:p>
    <w:p>
      <w:pPr>
        <w:pStyle w:val="16"/>
        <w:widowControl/>
        <w:ind w:firstLine="420"/>
        <w:rPr>
          <w:color w:val="auto"/>
          <w:highlight w:val="none"/>
        </w:rPr>
      </w:pPr>
      <w:r>
        <w:rPr>
          <w:rFonts w:hint="eastAsia" w:ascii="宋体" w:hAnsi="宋体" w:eastAsia="宋体" w:cs="宋体"/>
          <w:color w:val="auto"/>
          <w:sz w:val="21"/>
          <w:szCs w:val="21"/>
          <w:highlight w:val="none"/>
        </w:rPr>
        <w:t>（ ）供应商提供财务报告的</w:t>
      </w:r>
    </w:p>
    <w:p>
      <w:pPr>
        <w:pStyle w:val="16"/>
        <w:widowControl/>
        <w:ind w:firstLine="420"/>
        <w:rPr>
          <w:color w:val="auto"/>
          <w:highlight w:val="none"/>
        </w:rPr>
      </w:pPr>
      <w:r>
        <w:rPr>
          <w:rFonts w:hint="eastAsia" w:ascii="宋体" w:hAnsi="宋体" w:eastAsia="宋体" w:cs="宋体"/>
          <w:color w:val="auto"/>
          <w:sz w:val="21"/>
          <w:szCs w:val="21"/>
          <w:highlight w:val="none"/>
        </w:rPr>
        <w:t>□企业适用：现附上我方</w:t>
      </w:r>
      <w:r>
        <w:rPr>
          <w:rFonts w:hint="eastAsia" w:ascii="宋体" w:hAnsi="宋体" w:eastAsia="宋体" w:cs="宋体"/>
          <w:color w:val="auto"/>
          <w:sz w:val="21"/>
          <w:szCs w:val="21"/>
          <w:highlight w:val="none"/>
          <w:u w:val="single"/>
        </w:rPr>
        <w:t>（填写“具体的年度、或半年度、或季度”）</w:t>
      </w:r>
      <w:r>
        <w:rPr>
          <w:rFonts w:hint="eastAsia" w:ascii="宋体" w:hAnsi="宋体" w:eastAsia="宋体" w:cs="宋体"/>
          <w:color w:val="auto"/>
          <w:sz w:val="21"/>
          <w:szCs w:val="21"/>
          <w:highlight w:val="none"/>
        </w:rPr>
        <w:t>财务报告复印件，包括资产负债表、利润表、现金流量表、所有者权益变动表（若有）及其附注（若有）</w:t>
      </w:r>
      <w:r>
        <w:rPr>
          <w:rFonts w:ascii="宋体" w:hAnsi="宋体" w:eastAsia="宋体" w:cs="宋体"/>
          <w:color w:val="auto"/>
          <w:sz w:val="21"/>
          <w:szCs w:val="21"/>
          <w:highlight w:val="none"/>
        </w:rPr>
        <w:t>、会计师事务所营业执照和注册会计师资格证书</w:t>
      </w:r>
      <w:r>
        <w:rPr>
          <w:rFonts w:hint="eastAsia" w:ascii="宋体" w:hAnsi="宋体" w:eastAsia="宋体" w:cs="宋体"/>
          <w:color w:val="auto"/>
          <w:sz w:val="21"/>
          <w:szCs w:val="21"/>
          <w:highlight w:val="none"/>
        </w:rPr>
        <w:t>，上述证明材料真实有效，否则我方负全部责任。</w:t>
      </w:r>
    </w:p>
    <w:p>
      <w:pPr>
        <w:pStyle w:val="16"/>
        <w:widowControl/>
        <w:ind w:firstLine="420"/>
        <w:rPr>
          <w:color w:val="auto"/>
          <w:highlight w:val="none"/>
        </w:rPr>
      </w:pPr>
      <w:r>
        <w:rPr>
          <w:rFonts w:hint="eastAsia" w:ascii="宋体" w:hAnsi="宋体" w:eastAsia="宋体" w:cs="宋体"/>
          <w:color w:val="auto"/>
          <w:sz w:val="21"/>
          <w:szCs w:val="21"/>
          <w:highlight w:val="none"/>
        </w:rPr>
        <w:t>□事业单位适用：现附上我方</w:t>
      </w:r>
      <w:r>
        <w:rPr>
          <w:rFonts w:hint="eastAsia" w:ascii="宋体" w:hAnsi="宋体" w:eastAsia="宋体" w:cs="宋体"/>
          <w:color w:val="auto"/>
          <w:sz w:val="21"/>
          <w:szCs w:val="21"/>
          <w:highlight w:val="none"/>
          <w:u w:val="single"/>
        </w:rPr>
        <w:t>（填写“具体的年度、或半年度、或季度”）</w:t>
      </w:r>
      <w:r>
        <w:rPr>
          <w:rFonts w:hint="eastAsia" w:ascii="宋体" w:hAnsi="宋体" w:eastAsia="宋体" w:cs="宋体"/>
          <w:color w:val="auto"/>
          <w:sz w:val="21"/>
          <w:szCs w:val="21"/>
          <w:highlight w:val="none"/>
        </w:rPr>
        <w:t>财务报告复印件，包括资产负债表、收入支出表（或收入费用表）、财政补助收入支出表（若有）</w:t>
      </w:r>
      <w:r>
        <w:rPr>
          <w:rFonts w:ascii="宋体" w:hAnsi="宋体" w:eastAsia="宋体" w:cs="宋体"/>
          <w:color w:val="auto"/>
          <w:sz w:val="21"/>
          <w:szCs w:val="21"/>
          <w:highlight w:val="none"/>
        </w:rPr>
        <w:t>、会计师事务所营业执照和注册会计师资格证书</w:t>
      </w:r>
      <w:r>
        <w:rPr>
          <w:rFonts w:hint="eastAsia" w:ascii="宋体" w:hAnsi="宋体" w:eastAsia="宋体" w:cs="宋体"/>
          <w:color w:val="auto"/>
          <w:sz w:val="21"/>
          <w:szCs w:val="21"/>
          <w:highlight w:val="none"/>
        </w:rPr>
        <w:t>，上述证明材料真实有效，否则我方负全部责任。</w:t>
      </w:r>
    </w:p>
    <w:p>
      <w:pPr>
        <w:pStyle w:val="16"/>
        <w:widowControl/>
        <w:ind w:firstLine="420"/>
        <w:rPr>
          <w:color w:val="auto"/>
          <w:highlight w:val="none"/>
        </w:rPr>
      </w:pPr>
      <w:r>
        <w:rPr>
          <w:rFonts w:hint="eastAsia" w:ascii="宋体" w:hAnsi="宋体" w:eastAsia="宋体" w:cs="宋体"/>
          <w:color w:val="auto"/>
          <w:sz w:val="21"/>
          <w:szCs w:val="21"/>
          <w:highlight w:val="none"/>
        </w:rPr>
        <w:t>□社会团体适用：现附上我方</w:t>
      </w:r>
      <w:r>
        <w:rPr>
          <w:rFonts w:hint="eastAsia" w:ascii="宋体" w:hAnsi="宋体" w:eastAsia="宋体" w:cs="宋体"/>
          <w:color w:val="auto"/>
          <w:sz w:val="21"/>
          <w:szCs w:val="21"/>
          <w:highlight w:val="none"/>
          <w:u w:val="single"/>
        </w:rPr>
        <w:t>（填写“具体的年度、或半年度、或季度”）</w:t>
      </w:r>
      <w:r>
        <w:rPr>
          <w:rFonts w:hint="eastAsia" w:ascii="宋体" w:hAnsi="宋体" w:eastAsia="宋体" w:cs="宋体"/>
          <w:color w:val="auto"/>
          <w:sz w:val="21"/>
          <w:szCs w:val="21"/>
          <w:highlight w:val="none"/>
        </w:rPr>
        <w:t>财务报告复印件，包括资产负债表、业务活动表、现金流量表</w:t>
      </w:r>
      <w:r>
        <w:rPr>
          <w:rFonts w:ascii="宋体" w:hAnsi="宋体" w:eastAsia="宋体" w:cs="宋体"/>
          <w:color w:val="auto"/>
          <w:sz w:val="21"/>
          <w:szCs w:val="21"/>
          <w:highlight w:val="none"/>
        </w:rPr>
        <w:t>、会计师事务所营业执照和注册会计师资格证书</w:t>
      </w:r>
      <w:r>
        <w:rPr>
          <w:rFonts w:hint="eastAsia" w:ascii="宋体" w:hAnsi="宋体" w:eastAsia="宋体" w:cs="宋体"/>
          <w:color w:val="auto"/>
          <w:sz w:val="21"/>
          <w:szCs w:val="21"/>
          <w:highlight w:val="none"/>
        </w:rPr>
        <w:t>，上述证明材料真实有效，否则我方负全部责任。</w:t>
      </w:r>
    </w:p>
    <w:p>
      <w:pPr>
        <w:pStyle w:val="16"/>
        <w:widowControl/>
        <w:ind w:firstLine="420"/>
        <w:rPr>
          <w:color w:val="auto"/>
          <w:highlight w:val="none"/>
        </w:rPr>
      </w:pPr>
      <w:r>
        <w:rPr>
          <w:rFonts w:hint="eastAsia" w:ascii="宋体" w:hAnsi="宋体" w:eastAsia="宋体" w:cs="宋体"/>
          <w:color w:val="auto"/>
          <w:sz w:val="21"/>
          <w:szCs w:val="21"/>
          <w:highlight w:val="none"/>
        </w:rPr>
        <w:t>（ ）供应商提供资信证明的</w:t>
      </w:r>
    </w:p>
    <w:p>
      <w:pPr>
        <w:pStyle w:val="16"/>
        <w:widowControl/>
        <w:ind w:firstLine="420"/>
        <w:rPr>
          <w:color w:val="auto"/>
          <w:highlight w:val="none"/>
        </w:rPr>
      </w:pPr>
      <w:r>
        <w:rPr>
          <w:rFonts w:hint="eastAsia" w:ascii="宋体" w:hAnsi="宋体" w:eastAsia="宋体" w:cs="宋体"/>
          <w:color w:val="auto"/>
          <w:sz w:val="21"/>
          <w:szCs w:val="21"/>
          <w:highlight w:val="none"/>
        </w:rPr>
        <w:t>□非自然人适用（包括企业、事业单位、社会团体和其他组织）：现附上我方银行：（填写“开户银行全称”）出具的资信证明复印件，上述证明材料真实有效，否则我方负全部责任。</w:t>
      </w:r>
    </w:p>
    <w:p>
      <w:pPr>
        <w:pStyle w:val="16"/>
        <w:widowControl/>
        <w:ind w:firstLine="420"/>
        <w:rPr>
          <w:color w:val="auto"/>
          <w:highlight w:val="none"/>
        </w:rPr>
      </w:pPr>
      <w:r>
        <w:rPr>
          <w:rFonts w:hint="eastAsia" w:ascii="宋体" w:hAnsi="宋体" w:eastAsia="宋体" w:cs="宋体"/>
          <w:color w:val="auto"/>
          <w:sz w:val="21"/>
          <w:szCs w:val="21"/>
          <w:highlight w:val="none"/>
        </w:rPr>
        <w:t>□自然人适用：现附上我方银行：</w:t>
      </w:r>
      <w:r>
        <w:rPr>
          <w:rFonts w:hint="eastAsia" w:ascii="宋体" w:hAnsi="宋体" w:eastAsia="宋体" w:cs="宋体"/>
          <w:color w:val="auto"/>
          <w:sz w:val="21"/>
          <w:szCs w:val="21"/>
          <w:highlight w:val="none"/>
          <w:u w:val="single"/>
        </w:rPr>
        <w:t>（填写自然人的“个人账户的开户银行全称”）</w:t>
      </w:r>
      <w:r>
        <w:rPr>
          <w:rFonts w:hint="eastAsia" w:ascii="宋体" w:hAnsi="宋体" w:eastAsia="宋体" w:cs="宋体"/>
          <w:color w:val="auto"/>
          <w:sz w:val="21"/>
          <w:szCs w:val="21"/>
          <w:highlight w:val="none"/>
        </w:rPr>
        <w:t>出具的资信证明复印件，上述证明材料真实有效，否则我方负全部责任。</w:t>
      </w:r>
    </w:p>
    <w:p>
      <w:pPr>
        <w:pStyle w:val="16"/>
        <w:widowControl/>
        <w:rPr>
          <w:color w:val="auto"/>
          <w:highlight w:val="none"/>
        </w:rPr>
      </w:pPr>
      <w:r>
        <w:rPr>
          <w:rFonts w:ascii="Calibri" w:hAnsi="Calibri" w:cs="Calibri"/>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★注意：</w:t>
      </w:r>
    </w:p>
    <w:p>
      <w:pPr>
        <w:pStyle w:val="16"/>
        <w:widowControl/>
        <w:rPr>
          <w:color w:val="auto"/>
          <w:highlight w:val="none"/>
        </w:rPr>
      </w:pPr>
      <w:r>
        <w:rPr>
          <w:rFonts w:hint="eastAsia" w:ascii="宋体" w:hAnsi="宋体" w:eastAsia="宋体" w:cs="宋体"/>
          <w:color w:val="auto"/>
          <w:sz w:val="21"/>
          <w:szCs w:val="21"/>
          <w:highlight w:val="none"/>
        </w:rPr>
        <w:t>1、请供应商按照实际情况编制填写，在相应的（）中打“√”并选择相应的“□”（若有）后，再按照本格式的要求提供相应证明材料的复印件。</w:t>
      </w:r>
    </w:p>
    <w:p>
      <w:pPr>
        <w:pStyle w:val="16"/>
        <w:widowControl/>
        <w:rPr>
          <w:color w:val="auto"/>
          <w:highlight w:val="none"/>
        </w:rPr>
      </w:pPr>
      <w:r>
        <w:rPr>
          <w:rFonts w:hint="eastAsia" w:ascii="宋体" w:hAnsi="宋体" w:eastAsia="宋体" w:cs="宋体"/>
          <w:color w:val="auto"/>
          <w:sz w:val="21"/>
          <w:szCs w:val="21"/>
          <w:highlight w:val="none"/>
        </w:rPr>
        <w:t>2、供应商提供的财务报告复印件（成立年限按照递交响应文件截止时间推算）应符合下列规定：</w:t>
      </w:r>
    </w:p>
    <w:p>
      <w:pPr>
        <w:pStyle w:val="16"/>
        <w:widowControl/>
        <w:rPr>
          <w:color w:val="auto"/>
          <w:highlight w:val="none"/>
        </w:rPr>
      </w:pPr>
      <w:r>
        <w:rPr>
          <w:rFonts w:hint="eastAsia" w:ascii="宋体" w:hAnsi="宋体" w:eastAsia="宋体" w:cs="宋体"/>
          <w:color w:val="auto"/>
          <w:sz w:val="21"/>
          <w:szCs w:val="21"/>
          <w:highlight w:val="none"/>
        </w:rPr>
        <w:t>2.1成立年限满</w:t>
      </w:r>
      <w:r>
        <w:rPr>
          <w:rFonts w:ascii="Calibri" w:hAnsi="Calibri" w:eastAsia="宋体" w:cs="Calibri"/>
          <w:color w:val="auto"/>
          <w:sz w:val="21"/>
          <w:szCs w:val="21"/>
          <w:highlight w:val="none"/>
        </w:rPr>
        <w:t>1</w:t>
      </w:r>
      <w:r>
        <w:rPr>
          <w:rFonts w:hint="eastAsia" w:ascii="宋体" w:hAnsi="宋体" w:eastAsia="宋体" w:cs="宋体"/>
          <w:color w:val="auto"/>
          <w:sz w:val="21"/>
          <w:szCs w:val="21"/>
          <w:highlight w:val="none"/>
        </w:rPr>
        <w:t>年及以上的供应商，提供经审计的上一年度的年度财务报告。</w:t>
      </w:r>
    </w:p>
    <w:p>
      <w:pPr>
        <w:pStyle w:val="16"/>
        <w:widowControl/>
        <w:rPr>
          <w:color w:val="auto"/>
          <w:highlight w:val="none"/>
        </w:rPr>
      </w:pPr>
      <w:r>
        <w:rPr>
          <w:rFonts w:hint="eastAsia" w:ascii="宋体" w:hAnsi="宋体" w:eastAsia="宋体" w:cs="宋体"/>
          <w:color w:val="auto"/>
          <w:sz w:val="21"/>
          <w:szCs w:val="21"/>
          <w:highlight w:val="none"/>
        </w:rPr>
        <w:t>2.2成立年限满半年但不足</w:t>
      </w:r>
      <w:r>
        <w:rPr>
          <w:rFonts w:ascii="Calibri" w:hAnsi="Calibri" w:eastAsia="宋体" w:cs="Calibri"/>
          <w:color w:val="auto"/>
          <w:sz w:val="21"/>
          <w:szCs w:val="21"/>
          <w:highlight w:val="none"/>
        </w:rPr>
        <w:t>1</w:t>
      </w:r>
      <w:r>
        <w:rPr>
          <w:rFonts w:hint="eastAsia" w:ascii="宋体" w:hAnsi="宋体" w:eastAsia="宋体" w:cs="宋体"/>
          <w:color w:val="auto"/>
          <w:sz w:val="21"/>
          <w:szCs w:val="21"/>
          <w:highlight w:val="none"/>
        </w:rPr>
        <w:t>年的供应商，提供该半年度中任一季度的季度财务报告或该半年度的半年度财务报告。</w:t>
      </w:r>
    </w:p>
    <w:p>
      <w:pPr>
        <w:pStyle w:val="16"/>
        <w:widowControl/>
        <w:rPr>
          <w:color w:val="auto"/>
          <w:highlight w:val="none"/>
        </w:rPr>
      </w:pPr>
      <w:r>
        <w:rPr>
          <w:rStyle w:val="24"/>
          <w:rFonts w:hint="eastAsia" w:ascii="宋体" w:hAnsi="宋体" w:eastAsia="宋体" w:cs="宋体"/>
          <w:color w:val="auto"/>
          <w:highlight w:val="none"/>
        </w:rPr>
        <w:t>※无法按照本格式第2.1、2.2条规定提供财务报告复印件的供应商（包括但不限于：成立年限满1年及以上的供应商、成立年限满半年但不足1年的供应商、成立年限不足半年的供应商），应按照本格式的要求选择提供资信证明复印件。</w:t>
      </w:r>
    </w:p>
    <w:p>
      <w:pPr>
        <w:pStyle w:val="16"/>
        <w:widowControl/>
        <w:rPr>
          <w:color w:val="auto"/>
          <w:highlight w:val="none"/>
        </w:rPr>
      </w:pPr>
      <w:r>
        <w:rPr>
          <w:rFonts w:hint="eastAsia" w:ascii="宋体" w:hAnsi="宋体" w:eastAsia="宋体" w:cs="宋体"/>
          <w:color w:val="auto"/>
          <w:sz w:val="21"/>
          <w:szCs w:val="21"/>
          <w:highlight w:val="none"/>
        </w:rPr>
        <w:t>3、供应商提供的相应证明材料复印件均应符合：内容完整、清晰、整洁，并由供应商加盖其单位公章。</w:t>
      </w:r>
    </w:p>
    <w:p>
      <w:pPr>
        <w:pStyle w:val="16"/>
        <w:widowControl/>
        <w:rPr>
          <w:color w:val="auto"/>
          <w:highlight w:val="none"/>
        </w:rPr>
      </w:pPr>
      <w:r>
        <w:rPr>
          <w:rFonts w:ascii="Calibri" w:hAnsi="Calibri" w:cs="Calibri"/>
          <w:color w:val="auto"/>
          <w:sz w:val="21"/>
          <w:szCs w:val="21"/>
          <w:highlight w:val="none"/>
        </w:rPr>
        <w:t> </w:t>
      </w:r>
    </w:p>
    <w:p>
      <w:pPr>
        <w:pStyle w:val="16"/>
        <w:widowControl/>
        <w:rPr>
          <w:color w:val="auto"/>
          <w:highlight w:val="none"/>
        </w:rPr>
      </w:pPr>
      <w:r>
        <w:rPr>
          <w:rFonts w:ascii="Calibri" w:hAnsi="Calibri" w:cs="Calibri"/>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（全称并加盖单位公章）</w:t>
      </w:r>
    </w:p>
    <w:p>
      <w:pPr>
        <w:pStyle w:val="16"/>
        <w:widowControl/>
        <w:rPr>
          <w:color w:val="auto"/>
          <w:highlight w:val="none"/>
        </w:rPr>
      </w:pPr>
      <w:r>
        <w:rPr>
          <w:rFonts w:hint="eastAsia" w:ascii="宋体" w:hAnsi="宋体" w:eastAsia="宋体" w:cs="宋体"/>
          <w:color w:val="auto"/>
          <w:sz w:val="21"/>
          <w:szCs w:val="21"/>
          <w:highlight w:val="none"/>
        </w:rPr>
        <w:t>供应商代表签字：</w:t>
      </w:r>
      <w:r>
        <w:rPr>
          <w:rFonts w:hint="eastAsia" w:ascii="宋体" w:hAnsi="宋体" w:eastAsia="宋体" w:cs="宋体"/>
          <w:color w:val="auto"/>
          <w:sz w:val="21"/>
          <w:szCs w:val="21"/>
          <w:highlight w:val="none"/>
          <w:u w:val="single"/>
        </w:rPr>
        <w:t>                   </w:t>
      </w:r>
    </w:p>
    <w:p>
      <w:pPr>
        <w:pStyle w:val="16"/>
        <w:widowControl/>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jc w:val="center"/>
        <w:rPr>
          <w:rFonts w:ascii="Calibri" w:hAnsi="Calibri" w:cs="Calibri"/>
          <w:color w:val="auto"/>
          <w:sz w:val="21"/>
          <w:szCs w:val="21"/>
          <w:highlight w:val="none"/>
        </w:rPr>
      </w:pPr>
    </w:p>
    <w:p>
      <w:pPr>
        <w:rPr>
          <w:color w:val="auto"/>
          <w:highlight w:val="none"/>
        </w:rPr>
      </w:pPr>
    </w:p>
    <w:p>
      <w:pPr>
        <w:rPr>
          <w:rFonts w:ascii="Calibri" w:hAnsi="Calibri" w:cs="Calibri"/>
          <w:color w:val="auto"/>
          <w:szCs w:val="21"/>
          <w:highlight w:val="none"/>
        </w:rPr>
      </w:pPr>
      <w:r>
        <w:rPr>
          <w:rFonts w:ascii="Calibri" w:hAnsi="Calibri" w:cs="Calibri"/>
          <w:color w:val="auto"/>
          <w:szCs w:val="21"/>
          <w:highlight w:val="none"/>
        </w:rPr>
        <w:br w:type="page"/>
      </w:r>
    </w:p>
    <w:p>
      <w:pPr>
        <w:pStyle w:val="16"/>
        <w:widowControl/>
        <w:jc w:val="center"/>
        <w:rPr>
          <w:color w:val="auto"/>
          <w:highlight w:val="none"/>
        </w:rPr>
      </w:pPr>
      <w:r>
        <w:rPr>
          <w:rFonts w:hint="eastAsia" w:ascii="宋体" w:hAnsi="宋体" w:eastAsia="宋体" w:cs="宋体"/>
          <w:color w:val="auto"/>
          <w:sz w:val="21"/>
          <w:szCs w:val="21"/>
          <w:highlight w:val="none"/>
        </w:rPr>
        <w:t>二</w:t>
      </w:r>
      <w:r>
        <w:rPr>
          <w:rStyle w:val="24"/>
          <w:rFonts w:hint="eastAsia" w:ascii="宋体" w:hAnsi="宋体" w:eastAsia="宋体" w:cs="宋体"/>
          <w:color w:val="auto"/>
          <w:sz w:val="21"/>
          <w:szCs w:val="21"/>
          <w:highlight w:val="none"/>
        </w:rPr>
        <w:t>-4依法缴纳税收证明材料</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w:t>
      </w:r>
      <w:r>
        <w:rPr>
          <w:rFonts w:ascii="宋体" w:hAnsi="宋体" w:eastAsia="宋体" w:cs="宋体"/>
          <w:color w:val="auto"/>
          <w:sz w:val="21"/>
          <w:szCs w:val="21"/>
          <w:highlight w:val="none"/>
          <w:u w:val="single"/>
        </w:rPr>
        <w:t>（采购人或采购代理机构）</w:t>
      </w:r>
      <w:r>
        <w:rPr>
          <w:rFonts w:hint="eastAsia" w:ascii="宋体" w:hAnsi="宋体" w:eastAsia="宋体" w:cs="宋体"/>
          <w:color w:val="auto"/>
          <w:sz w:val="21"/>
          <w:szCs w:val="21"/>
          <w:highlight w:val="none"/>
          <w:u w:val="single"/>
        </w:rPr>
        <w:t> </w:t>
      </w:r>
    </w:p>
    <w:p>
      <w:pPr>
        <w:pStyle w:val="16"/>
        <w:widowControl/>
        <w:ind w:firstLine="420"/>
        <w:rPr>
          <w:rFonts w:eastAsia="宋体"/>
          <w:color w:val="auto"/>
          <w:highlight w:val="none"/>
        </w:rPr>
      </w:pPr>
      <w:r>
        <w:rPr>
          <w:rFonts w:hint="eastAsia" w:ascii="宋体" w:hAnsi="宋体" w:eastAsia="宋体" w:cs="宋体"/>
          <w:color w:val="auto"/>
          <w:sz w:val="21"/>
          <w:szCs w:val="21"/>
          <w:highlight w:val="none"/>
        </w:rPr>
        <w:t>1、依法缴纳税收的供应商</w:t>
      </w:r>
    </w:p>
    <w:p>
      <w:pPr>
        <w:pStyle w:val="16"/>
        <w:widowControl/>
        <w:ind w:firstLine="420"/>
        <w:rPr>
          <w:color w:val="auto"/>
          <w:highlight w:val="none"/>
        </w:rPr>
      </w:pPr>
      <w:r>
        <w:rPr>
          <w:rFonts w:hint="eastAsia" w:ascii="宋体" w:hAnsi="宋体" w:eastAsia="宋体" w:cs="宋体"/>
          <w:color w:val="auto"/>
          <w:sz w:val="21"/>
          <w:szCs w:val="21"/>
          <w:highlight w:val="none"/>
        </w:rPr>
        <w:t>（ ）法人（包括企业、事业单位和社会团体）的</w:t>
      </w:r>
    </w:p>
    <w:p>
      <w:pPr>
        <w:pStyle w:val="16"/>
        <w:widowControl/>
        <w:ind w:firstLine="420"/>
        <w:rPr>
          <w:color w:val="auto"/>
          <w:highlight w:val="none"/>
        </w:rPr>
      </w:pPr>
      <w:r>
        <w:rPr>
          <w:rFonts w:hint="eastAsia" w:ascii="宋体" w:hAnsi="宋体" w:eastAsia="宋体" w:cs="宋体"/>
          <w:color w:val="auto"/>
          <w:sz w:val="21"/>
          <w:szCs w:val="21"/>
          <w:highlight w:val="none"/>
        </w:rPr>
        <w:t>现附上自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日期间我方缴纳的</w:t>
      </w:r>
      <w:r>
        <w:rPr>
          <w:rFonts w:ascii="宋体" w:hAnsi="宋体" w:eastAsia="宋体" w:cs="宋体"/>
          <w:color w:val="auto"/>
          <w:sz w:val="21"/>
          <w:szCs w:val="21"/>
          <w:highlight w:val="none"/>
          <w:u w:val="single"/>
        </w:rPr>
        <w:t>（包括但不限于税务机关出具的专用收据、税收缴纳证明或税收代缴银行的缴款收讫凭证）</w:t>
      </w:r>
      <w:r>
        <w:rPr>
          <w:rFonts w:hint="eastAsia" w:ascii="宋体" w:hAnsi="宋体" w:eastAsia="宋体" w:cs="宋体"/>
          <w:color w:val="auto"/>
          <w:sz w:val="21"/>
          <w:szCs w:val="21"/>
          <w:highlight w:val="none"/>
          <w:u w:val="single"/>
        </w:rPr>
        <w:t>等</w:t>
      </w:r>
      <w:r>
        <w:rPr>
          <w:rFonts w:hint="eastAsia" w:ascii="宋体" w:hAnsi="宋体" w:eastAsia="宋体" w:cs="宋体"/>
          <w:color w:val="auto"/>
          <w:sz w:val="21"/>
          <w:szCs w:val="21"/>
          <w:highlight w:val="none"/>
        </w:rPr>
        <w:t>税收凭据复印件，上述证明材料真实有效，否则我方负全部责任。</w:t>
      </w:r>
    </w:p>
    <w:p>
      <w:pPr>
        <w:pStyle w:val="16"/>
        <w:widowControl/>
        <w:ind w:firstLine="420"/>
        <w:rPr>
          <w:color w:val="auto"/>
          <w:highlight w:val="none"/>
        </w:rPr>
      </w:pPr>
      <w:r>
        <w:rPr>
          <w:rFonts w:hint="eastAsia" w:ascii="宋体" w:hAnsi="宋体" w:eastAsia="宋体" w:cs="宋体"/>
          <w:color w:val="auto"/>
          <w:sz w:val="21"/>
          <w:szCs w:val="21"/>
          <w:highlight w:val="none"/>
        </w:rPr>
        <w:t>（ ）非法人（包括其他组织、自然人）的</w:t>
      </w:r>
    </w:p>
    <w:p>
      <w:pPr>
        <w:pStyle w:val="16"/>
        <w:widowControl/>
        <w:ind w:firstLine="420"/>
        <w:rPr>
          <w:color w:val="auto"/>
          <w:highlight w:val="none"/>
        </w:rPr>
      </w:pPr>
      <w:r>
        <w:rPr>
          <w:rFonts w:hint="eastAsia" w:ascii="宋体" w:hAnsi="宋体" w:eastAsia="宋体" w:cs="宋体"/>
          <w:color w:val="auto"/>
          <w:sz w:val="21"/>
          <w:szCs w:val="21"/>
          <w:highlight w:val="none"/>
        </w:rPr>
        <w:t>现附上自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日期间我方缴纳的</w:t>
      </w:r>
      <w:r>
        <w:rPr>
          <w:rFonts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包括但不限于税务机关出具的专用收据、税收缴纳证明或税收代缴银行的缴款收讫凭证）等</w:t>
      </w:r>
      <w:r>
        <w:rPr>
          <w:rFonts w:hint="eastAsia" w:ascii="宋体" w:hAnsi="宋体" w:eastAsia="宋体" w:cs="宋体"/>
          <w:color w:val="auto"/>
          <w:sz w:val="21"/>
          <w:szCs w:val="21"/>
          <w:highlight w:val="none"/>
        </w:rPr>
        <w:t>税收凭据复印件，上述证明材料真实有效，否则我方负全部责任。</w:t>
      </w:r>
    </w:p>
    <w:p>
      <w:pPr>
        <w:pStyle w:val="16"/>
        <w:widowControl/>
        <w:ind w:firstLine="420"/>
        <w:rPr>
          <w:rFonts w:eastAsia="宋体"/>
          <w:color w:val="auto"/>
          <w:highlight w:val="none"/>
        </w:rPr>
      </w:pPr>
      <w:r>
        <w:rPr>
          <w:rFonts w:hint="eastAsia" w:ascii="宋体" w:hAnsi="宋体" w:eastAsia="宋体" w:cs="宋体"/>
          <w:color w:val="auto"/>
          <w:sz w:val="21"/>
          <w:szCs w:val="21"/>
          <w:highlight w:val="none"/>
        </w:rPr>
        <w:t>2、依法免税的供应商</w:t>
      </w:r>
    </w:p>
    <w:p>
      <w:pPr>
        <w:pStyle w:val="16"/>
        <w:widowControl/>
        <w:ind w:firstLine="420"/>
        <w:rPr>
          <w:color w:val="auto"/>
          <w:highlight w:val="none"/>
        </w:rPr>
      </w:pPr>
      <w:r>
        <w:rPr>
          <w:rFonts w:hint="eastAsia" w:ascii="宋体" w:hAnsi="宋体" w:eastAsia="宋体" w:cs="宋体"/>
          <w:color w:val="auto"/>
          <w:sz w:val="21"/>
          <w:szCs w:val="21"/>
          <w:highlight w:val="none"/>
        </w:rPr>
        <w:t>（ ）现附上我方依法免税证明材料复印件，上述证明材料真实有效，否则我方负全部责任。</w:t>
      </w:r>
    </w:p>
    <w:p>
      <w:pPr>
        <w:pStyle w:val="16"/>
        <w:widowControl/>
        <w:rPr>
          <w:color w:val="auto"/>
          <w:highlight w:val="none"/>
        </w:rPr>
      </w:pPr>
      <w:r>
        <w:rPr>
          <w:rFonts w:hint="eastAsia" w:ascii="宋体" w:hAnsi="宋体" w:eastAsia="宋体" w:cs="宋体"/>
          <w:color w:val="auto"/>
          <w:sz w:val="21"/>
          <w:szCs w:val="21"/>
          <w:highlight w:val="none"/>
        </w:rPr>
        <w:t>★注意：</w:t>
      </w:r>
    </w:p>
    <w:p>
      <w:pPr>
        <w:pStyle w:val="16"/>
        <w:widowControl/>
        <w:rPr>
          <w:color w:val="auto"/>
          <w:highlight w:val="none"/>
        </w:rPr>
      </w:pPr>
      <w:r>
        <w:rPr>
          <w:rFonts w:hint="eastAsia" w:ascii="宋体" w:hAnsi="宋体" w:eastAsia="宋体" w:cs="宋体"/>
          <w:color w:val="auto"/>
          <w:sz w:val="21"/>
          <w:szCs w:val="21"/>
          <w:highlight w:val="none"/>
        </w:rPr>
        <w:t>1、请供应商按照实际情况编制填写，在相应的（）中打“√”，并按照本格式的要求提供相应证明材料的复印件。</w:t>
      </w:r>
    </w:p>
    <w:p>
      <w:pPr>
        <w:pStyle w:val="16"/>
        <w:widowControl/>
        <w:rPr>
          <w:color w:val="auto"/>
          <w:highlight w:val="none"/>
        </w:rPr>
      </w:pPr>
      <w:r>
        <w:rPr>
          <w:rFonts w:hint="eastAsia" w:ascii="宋体" w:hAnsi="宋体" w:eastAsia="宋体" w:cs="宋体"/>
          <w:color w:val="auto"/>
          <w:sz w:val="21"/>
          <w:szCs w:val="21"/>
          <w:highlight w:val="none"/>
        </w:rPr>
        <w:t>2、供应商提供的税收凭据复印件应符合下列规定：</w:t>
      </w:r>
    </w:p>
    <w:p>
      <w:pPr>
        <w:pStyle w:val="16"/>
        <w:widowControl/>
        <w:rPr>
          <w:color w:val="auto"/>
          <w:highlight w:val="none"/>
        </w:rPr>
      </w:pPr>
      <w:r>
        <w:rPr>
          <w:rFonts w:hint="eastAsia" w:ascii="宋体" w:hAnsi="宋体" w:eastAsia="宋体" w:cs="宋体"/>
          <w:color w:val="auto"/>
          <w:sz w:val="21"/>
          <w:szCs w:val="21"/>
          <w:highlight w:val="none"/>
        </w:rPr>
        <w:t>2.1递交响应文件截止时间前（不含递交响应文件截止时间的当月）已依法缴纳税收的供应商，提供递交响应文件截止时间前六个月（不含递交响应文件截止时间的当月）中任一月份的税收凭据复印件。</w:t>
      </w:r>
    </w:p>
    <w:p>
      <w:pPr>
        <w:pStyle w:val="16"/>
        <w:widowControl/>
        <w:rPr>
          <w:color w:val="auto"/>
          <w:highlight w:val="none"/>
        </w:rPr>
      </w:pPr>
      <w:r>
        <w:rPr>
          <w:rFonts w:hint="eastAsia" w:ascii="宋体" w:hAnsi="宋体" w:eastAsia="宋体" w:cs="宋体"/>
          <w:color w:val="auto"/>
          <w:sz w:val="21"/>
          <w:szCs w:val="21"/>
          <w:highlight w:val="none"/>
        </w:rPr>
        <w:t>2.2递交响应文件截止时间的当月成立且已依法缴纳税收的供应商，提供递交响应文件截止时间当月的税收凭据复印件。</w:t>
      </w:r>
    </w:p>
    <w:p>
      <w:pPr>
        <w:pStyle w:val="16"/>
        <w:widowControl/>
        <w:rPr>
          <w:color w:val="auto"/>
          <w:highlight w:val="none"/>
        </w:rPr>
      </w:pPr>
      <w:r>
        <w:rPr>
          <w:rFonts w:hint="eastAsia" w:ascii="宋体" w:hAnsi="宋体" w:eastAsia="宋体" w:cs="宋体"/>
          <w:color w:val="auto"/>
          <w:sz w:val="21"/>
          <w:szCs w:val="21"/>
          <w:highlight w:val="none"/>
        </w:rPr>
        <w:t>2.3递交响应文件截止时间的当月成立但因税务机关原因导致其尚未依法缴纳税收的供应商，提供依法缴纳税收承诺书原件（格式自拟），该承诺书视同税收凭据。</w:t>
      </w:r>
    </w:p>
    <w:p>
      <w:pPr>
        <w:pStyle w:val="16"/>
        <w:widowControl/>
        <w:rPr>
          <w:color w:val="auto"/>
          <w:highlight w:val="none"/>
        </w:rPr>
      </w:pPr>
      <w:r>
        <w:rPr>
          <w:rFonts w:hint="eastAsia" w:ascii="宋体" w:hAnsi="宋体" w:eastAsia="宋体" w:cs="宋体"/>
          <w:color w:val="auto"/>
          <w:sz w:val="21"/>
          <w:szCs w:val="21"/>
          <w:highlight w:val="none"/>
        </w:rPr>
        <w:t>3、供应商提供的相应证明材料复印件均应符合：内容完整、清晰、整洁，并由供应商加盖其单位公章。</w:t>
      </w:r>
    </w:p>
    <w:p>
      <w:pPr>
        <w:pStyle w:val="16"/>
        <w:widowControl/>
        <w:rPr>
          <w:color w:val="auto"/>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（全称并加盖单位公章）</w:t>
      </w:r>
    </w:p>
    <w:p>
      <w:pPr>
        <w:pStyle w:val="16"/>
        <w:widowControl/>
        <w:rPr>
          <w:color w:val="auto"/>
          <w:highlight w:val="none"/>
        </w:rPr>
      </w:pPr>
      <w:r>
        <w:rPr>
          <w:rFonts w:hint="eastAsia" w:ascii="宋体" w:hAnsi="宋体" w:eastAsia="宋体" w:cs="宋体"/>
          <w:color w:val="auto"/>
          <w:sz w:val="21"/>
          <w:szCs w:val="21"/>
          <w:highlight w:val="none"/>
        </w:rPr>
        <w:t>供应商代表签字：</w:t>
      </w:r>
      <w:r>
        <w:rPr>
          <w:rFonts w:hint="eastAsia" w:ascii="宋体" w:hAnsi="宋体" w:eastAsia="宋体" w:cs="宋体"/>
          <w:color w:val="auto"/>
          <w:sz w:val="21"/>
          <w:szCs w:val="21"/>
          <w:highlight w:val="none"/>
          <w:u w:val="single"/>
        </w:rPr>
        <w:t>                   </w:t>
      </w:r>
    </w:p>
    <w:p>
      <w:pPr>
        <w:pStyle w:val="16"/>
        <w:widowControl/>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6"/>
        <w:widowControl/>
        <w:jc w:val="center"/>
        <w:rPr>
          <w:color w:val="auto"/>
          <w:highlight w:val="none"/>
        </w:rPr>
      </w:pPr>
      <w:r>
        <w:rPr>
          <w:rStyle w:val="24"/>
          <w:rFonts w:hint="eastAsia" w:ascii="宋体" w:hAnsi="宋体" w:eastAsia="宋体" w:cs="宋体"/>
          <w:color w:val="auto"/>
          <w:sz w:val="21"/>
          <w:szCs w:val="21"/>
          <w:highlight w:val="none"/>
        </w:rPr>
        <w:t>二-5依法缴纳社会保障资金证明材料</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w:t>
      </w:r>
      <w:r>
        <w:rPr>
          <w:rFonts w:ascii="宋体" w:hAnsi="宋体" w:eastAsia="宋体" w:cs="宋体"/>
          <w:color w:val="auto"/>
          <w:sz w:val="21"/>
          <w:szCs w:val="21"/>
          <w:highlight w:val="none"/>
          <w:u w:val="single"/>
        </w:rPr>
        <w:t>（采购人或采购代理机构）</w:t>
      </w:r>
      <w:r>
        <w:rPr>
          <w:rFonts w:hint="eastAsia" w:ascii="宋体" w:hAnsi="宋体" w:eastAsia="宋体" w:cs="宋体"/>
          <w:color w:val="auto"/>
          <w:sz w:val="21"/>
          <w:szCs w:val="21"/>
          <w:highlight w:val="none"/>
          <w:u w:val="single"/>
        </w:rPr>
        <w:t> </w:t>
      </w:r>
    </w:p>
    <w:p>
      <w:pPr>
        <w:pStyle w:val="16"/>
        <w:widowControl/>
        <w:ind w:firstLine="420"/>
        <w:rPr>
          <w:rFonts w:eastAsia="宋体"/>
          <w:color w:val="auto"/>
          <w:highlight w:val="none"/>
        </w:rPr>
      </w:pPr>
      <w:r>
        <w:rPr>
          <w:rFonts w:hint="eastAsia" w:ascii="宋体" w:hAnsi="宋体" w:eastAsia="宋体" w:cs="宋体"/>
          <w:color w:val="auto"/>
          <w:sz w:val="21"/>
          <w:szCs w:val="21"/>
          <w:highlight w:val="none"/>
        </w:rPr>
        <w:t>1、依法缴纳社会保障资金的供应商</w:t>
      </w:r>
    </w:p>
    <w:p>
      <w:pPr>
        <w:pStyle w:val="16"/>
        <w:widowControl/>
        <w:ind w:firstLine="420"/>
        <w:rPr>
          <w:color w:val="auto"/>
          <w:highlight w:val="none"/>
        </w:rPr>
      </w:pPr>
      <w:r>
        <w:rPr>
          <w:rFonts w:hint="eastAsia" w:ascii="宋体" w:hAnsi="宋体" w:eastAsia="宋体" w:cs="宋体"/>
          <w:color w:val="auto"/>
          <w:sz w:val="21"/>
          <w:szCs w:val="21"/>
          <w:highlight w:val="none"/>
        </w:rPr>
        <w:t>（ ）法人（包括企业、事业单位和社会团体）的</w:t>
      </w:r>
    </w:p>
    <w:p>
      <w:pPr>
        <w:pStyle w:val="16"/>
        <w:widowControl/>
        <w:ind w:firstLine="420"/>
        <w:rPr>
          <w:color w:val="auto"/>
          <w:highlight w:val="none"/>
        </w:rPr>
      </w:pPr>
      <w:r>
        <w:rPr>
          <w:rFonts w:hint="eastAsia" w:ascii="宋体" w:hAnsi="宋体" w:eastAsia="宋体" w:cs="宋体"/>
          <w:color w:val="auto"/>
          <w:sz w:val="21"/>
          <w:szCs w:val="21"/>
          <w:highlight w:val="none"/>
        </w:rPr>
        <w:t>现附上自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6"/>
        <w:widowControl/>
        <w:ind w:firstLine="420"/>
        <w:rPr>
          <w:color w:val="auto"/>
          <w:highlight w:val="none"/>
        </w:rPr>
      </w:pPr>
      <w:r>
        <w:rPr>
          <w:rFonts w:hint="eastAsia" w:ascii="宋体" w:hAnsi="宋体" w:eastAsia="宋体" w:cs="宋体"/>
          <w:color w:val="auto"/>
          <w:sz w:val="21"/>
          <w:szCs w:val="21"/>
          <w:highlight w:val="none"/>
        </w:rPr>
        <w:t>（ ）非法人（包括其他组织、自然人）的</w:t>
      </w:r>
    </w:p>
    <w:p>
      <w:pPr>
        <w:pStyle w:val="16"/>
        <w:widowControl/>
        <w:ind w:firstLine="420"/>
        <w:rPr>
          <w:color w:val="auto"/>
          <w:highlight w:val="none"/>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6"/>
        <w:widowControl/>
        <w:ind w:firstLine="420"/>
        <w:rPr>
          <w:rFonts w:eastAsia="宋体"/>
          <w:color w:val="auto"/>
          <w:highlight w:val="none"/>
        </w:rPr>
      </w:pPr>
      <w:r>
        <w:rPr>
          <w:rFonts w:hint="eastAsia" w:ascii="宋体" w:hAnsi="宋体" w:eastAsia="宋体" w:cs="宋体"/>
          <w:color w:val="auto"/>
          <w:sz w:val="21"/>
          <w:szCs w:val="21"/>
          <w:highlight w:val="none"/>
        </w:rPr>
        <w:t>2、依法不需要缴纳社会保障资金的供应商</w:t>
      </w:r>
    </w:p>
    <w:p>
      <w:pPr>
        <w:pStyle w:val="16"/>
        <w:widowControl/>
        <w:ind w:firstLine="420"/>
        <w:rPr>
          <w:color w:val="auto"/>
          <w:highlight w:val="none"/>
        </w:rPr>
      </w:pPr>
      <w:r>
        <w:rPr>
          <w:rFonts w:hint="eastAsia" w:ascii="宋体" w:hAnsi="宋体" w:eastAsia="宋体" w:cs="宋体"/>
          <w:color w:val="auto"/>
          <w:sz w:val="21"/>
          <w:szCs w:val="21"/>
          <w:highlight w:val="none"/>
        </w:rPr>
        <w:t>（ ）现附上我方依法不需要缴纳社会保障资金证明材料复印件，上述证明材料真实有效，否则我方负全部责任。</w:t>
      </w:r>
    </w:p>
    <w:p>
      <w:pPr>
        <w:pStyle w:val="16"/>
        <w:widowControl/>
        <w:rPr>
          <w:color w:val="auto"/>
          <w:highlight w:val="none"/>
        </w:rPr>
      </w:pPr>
      <w:r>
        <w:rPr>
          <w:rFonts w:ascii="Calibri" w:hAnsi="Calibri" w:cs="Calibri"/>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★注意：</w:t>
      </w:r>
    </w:p>
    <w:p>
      <w:pPr>
        <w:pStyle w:val="16"/>
        <w:widowControl/>
        <w:rPr>
          <w:color w:val="auto"/>
          <w:highlight w:val="none"/>
        </w:rPr>
      </w:pPr>
      <w:r>
        <w:rPr>
          <w:rFonts w:hint="eastAsia" w:ascii="宋体" w:hAnsi="宋体" w:eastAsia="宋体" w:cs="宋体"/>
          <w:color w:val="auto"/>
          <w:sz w:val="21"/>
          <w:szCs w:val="21"/>
          <w:highlight w:val="none"/>
        </w:rPr>
        <w:t>1、请供应商按照实际情况编制填写，在相应的（）中打“√”，并按照本格式的要求提供相应证明材料的复印件。</w:t>
      </w:r>
    </w:p>
    <w:p>
      <w:pPr>
        <w:pStyle w:val="16"/>
        <w:widowControl/>
        <w:rPr>
          <w:color w:val="auto"/>
          <w:highlight w:val="none"/>
        </w:rPr>
      </w:pPr>
      <w:r>
        <w:rPr>
          <w:rFonts w:hint="eastAsia" w:ascii="宋体" w:hAnsi="宋体" w:eastAsia="宋体" w:cs="宋体"/>
          <w:color w:val="auto"/>
          <w:sz w:val="21"/>
          <w:szCs w:val="21"/>
          <w:highlight w:val="none"/>
        </w:rPr>
        <w:t>2、供应商提供的社会保险凭据复印件应符合下列规定：</w:t>
      </w:r>
    </w:p>
    <w:p>
      <w:pPr>
        <w:pStyle w:val="16"/>
        <w:widowControl/>
        <w:rPr>
          <w:color w:val="auto"/>
          <w:highlight w:val="none"/>
        </w:rPr>
      </w:pPr>
      <w:r>
        <w:rPr>
          <w:rFonts w:hint="eastAsia" w:ascii="宋体" w:hAnsi="宋体" w:eastAsia="宋体" w:cs="宋体"/>
          <w:color w:val="auto"/>
          <w:sz w:val="21"/>
          <w:szCs w:val="21"/>
          <w:highlight w:val="none"/>
        </w:rPr>
        <w:t>2.1递交响应文件截止时间前（不含递交响应文件截止时间的当月）已依法缴纳社会保障资金的供应商，提供递交响应文件截止时间前六个月（不含递交响应文件截止时间的当月）中任一月份的社会保险凭据复印件。</w:t>
      </w:r>
    </w:p>
    <w:p>
      <w:pPr>
        <w:pStyle w:val="16"/>
        <w:widowControl/>
        <w:rPr>
          <w:color w:val="auto"/>
          <w:highlight w:val="none"/>
        </w:rPr>
      </w:pPr>
      <w:r>
        <w:rPr>
          <w:rFonts w:hint="eastAsia" w:ascii="宋体" w:hAnsi="宋体" w:eastAsia="宋体" w:cs="宋体"/>
          <w:color w:val="auto"/>
          <w:sz w:val="21"/>
          <w:szCs w:val="21"/>
          <w:highlight w:val="none"/>
        </w:rPr>
        <w:t>2.2递交响应文件截止时间的当月成立且已依法缴纳社会保障资金的供应商，提供递交响应文件截止时间当月的社会保险凭据复印件。</w:t>
      </w:r>
    </w:p>
    <w:p>
      <w:pPr>
        <w:pStyle w:val="16"/>
        <w:widowControl/>
        <w:rPr>
          <w:color w:val="auto"/>
          <w:highlight w:val="none"/>
        </w:rPr>
      </w:pPr>
      <w:r>
        <w:rPr>
          <w:rFonts w:hint="eastAsia" w:ascii="宋体" w:hAnsi="宋体" w:eastAsia="宋体" w:cs="宋体"/>
          <w:color w:val="auto"/>
          <w:sz w:val="21"/>
          <w:szCs w:val="21"/>
          <w:highlight w:val="none"/>
        </w:rPr>
        <w:t>2.3递交响应文件截止时间的当月成立但因税务机关</w:t>
      </w:r>
      <w:r>
        <w:rPr>
          <w:rFonts w:ascii="Calibri" w:hAnsi="Calibri" w:eastAsia="宋体" w:cs="Calibri"/>
          <w:color w:val="auto"/>
          <w:sz w:val="21"/>
          <w:szCs w:val="21"/>
          <w:highlight w:val="none"/>
        </w:rPr>
        <w:t>/</w:t>
      </w:r>
      <w:r>
        <w:rPr>
          <w:rFonts w:hint="eastAsia" w:ascii="宋体" w:hAnsi="宋体" w:eastAsia="宋体" w:cs="宋体"/>
          <w:color w:val="auto"/>
          <w:sz w:val="21"/>
          <w:szCs w:val="21"/>
          <w:highlight w:val="none"/>
        </w:rPr>
        <w:t>社会保障资金管理机关原因导致其尚未依法缴纳社会保障资金的供应商，提供依法缴纳社会保障资金承诺书原件（格式自拟），该承诺书视同社会保险凭据。</w:t>
      </w:r>
    </w:p>
    <w:p>
      <w:pPr>
        <w:pStyle w:val="16"/>
        <w:widowControl/>
        <w:rPr>
          <w:color w:val="auto"/>
          <w:highlight w:val="none"/>
        </w:rPr>
      </w:pPr>
      <w:r>
        <w:rPr>
          <w:rFonts w:hint="eastAsia" w:ascii="宋体" w:hAnsi="宋体" w:eastAsia="宋体" w:cs="宋体"/>
          <w:color w:val="auto"/>
          <w:sz w:val="21"/>
          <w:szCs w:val="21"/>
          <w:highlight w:val="none"/>
        </w:rPr>
        <w:t>3、供应商提供的相应证明材料复印件均应符合：内容完整、清晰、整洁，并由供应商加盖其单位公章。</w:t>
      </w:r>
    </w:p>
    <w:p>
      <w:pPr>
        <w:pStyle w:val="16"/>
        <w:widowControl/>
        <w:rPr>
          <w:color w:val="auto"/>
          <w:highlight w:val="none"/>
        </w:rPr>
      </w:pPr>
      <w:r>
        <w:rPr>
          <w:rFonts w:ascii="Calibri" w:hAnsi="Calibri" w:cs="Calibri"/>
          <w:color w:val="auto"/>
          <w:sz w:val="21"/>
          <w:szCs w:val="21"/>
          <w:highlight w:val="none"/>
        </w:rPr>
        <w:t> </w:t>
      </w:r>
    </w:p>
    <w:p>
      <w:pPr>
        <w:pStyle w:val="16"/>
        <w:widowControl/>
        <w:rPr>
          <w:color w:val="auto"/>
          <w:highlight w:val="none"/>
        </w:rPr>
      </w:pPr>
      <w:r>
        <w:rPr>
          <w:rFonts w:ascii="Calibri" w:hAnsi="Calibri" w:cs="Calibri"/>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（全称并加盖单位公章）</w:t>
      </w:r>
    </w:p>
    <w:p>
      <w:pPr>
        <w:pStyle w:val="16"/>
        <w:widowControl/>
        <w:rPr>
          <w:color w:val="auto"/>
          <w:highlight w:val="none"/>
        </w:rPr>
      </w:pPr>
      <w:r>
        <w:rPr>
          <w:rFonts w:hint="eastAsia" w:ascii="宋体" w:hAnsi="宋体" w:eastAsia="宋体" w:cs="宋体"/>
          <w:color w:val="auto"/>
          <w:sz w:val="21"/>
          <w:szCs w:val="21"/>
          <w:highlight w:val="none"/>
        </w:rPr>
        <w:t>供应商代表签字：</w:t>
      </w:r>
      <w:r>
        <w:rPr>
          <w:rFonts w:hint="eastAsia" w:ascii="宋体" w:hAnsi="宋体" w:eastAsia="宋体" w:cs="宋体"/>
          <w:color w:val="auto"/>
          <w:sz w:val="21"/>
          <w:szCs w:val="21"/>
          <w:highlight w:val="none"/>
          <w:u w:val="single"/>
        </w:rPr>
        <w:t>                   </w:t>
      </w:r>
    </w:p>
    <w:p>
      <w:pPr>
        <w:pStyle w:val="16"/>
        <w:widowControl/>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 </w:t>
      </w:r>
    </w:p>
    <w:p>
      <w:pPr>
        <w:rPr>
          <w:rFonts w:ascii="Calibri" w:hAnsi="Calibri" w:cs="Calibri"/>
          <w:color w:val="auto"/>
          <w:szCs w:val="21"/>
          <w:highlight w:val="none"/>
        </w:rPr>
      </w:pPr>
      <w:r>
        <w:rPr>
          <w:rFonts w:ascii="Calibri" w:hAnsi="Calibri" w:cs="Calibri"/>
          <w:color w:val="auto"/>
          <w:szCs w:val="21"/>
          <w:highlight w:val="none"/>
        </w:rPr>
        <w:br w:type="page"/>
      </w:r>
    </w:p>
    <w:p>
      <w:pPr>
        <w:pStyle w:val="16"/>
        <w:widowControl/>
        <w:jc w:val="center"/>
        <w:rPr>
          <w:color w:val="auto"/>
          <w:highlight w:val="none"/>
        </w:rPr>
      </w:pPr>
      <w:r>
        <w:rPr>
          <w:rFonts w:hint="eastAsia" w:ascii="宋体" w:hAnsi="宋体" w:eastAsia="宋体" w:cs="宋体"/>
          <w:color w:val="auto"/>
          <w:sz w:val="21"/>
          <w:szCs w:val="21"/>
          <w:highlight w:val="none"/>
        </w:rPr>
        <w:t>二</w:t>
      </w:r>
      <w:r>
        <w:rPr>
          <w:rStyle w:val="24"/>
          <w:rFonts w:hint="eastAsia" w:ascii="宋体" w:hAnsi="宋体" w:eastAsia="宋体" w:cs="宋体"/>
          <w:color w:val="auto"/>
          <w:sz w:val="21"/>
          <w:szCs w:val="21"/>
          <w:highlight w:val="none"/>
        </w:rPr>
        <w:t>-6具备履行合同所必需设备和专业技术能力的声明函（若有）</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w:t>
      </w:r>
      <w:r>
        <w:rPr>
          <w:rFonts w:ascii="宋体" w:hAnsi="宋体" w:eastAsia="宋体" w:cs="宋体"/>
          <w:color w:val="auto"/>
          <w:sz w:val="21"/>
          <w:szCs w:val="21"/>
          <w:highlight w:val="none"/>
          <w:u w:val="single"/>
        </w:rPr>
        <w:t>（采购人或采购代理机构）</w:t>
      </w:r>
      <w:r>
        <w:rPr>
          <w:rFonts w:hint="eastAsia" w:ascii="宋体" w:hAnsi="宋体" w:eastAsia="宋体" w:cs="宋体"/>
          <w:color w:val="auto"/>
          <w:sz w:val="21"/>
          <w:szCs w:val="21"/>
          <w:highlight w:val="none"/>
          <w:u w:val="single"/>
        </w:rPr>
        <w:t>   </w:t>
      </w:r>
    </w:p>
    <w:p>
      <w:pPr>
        <w:pStyle w:val="16"/>
        <w:widowControl/>
        <w:ind w:firstLine="420"/>
        <w:rPr>
          <w:color w:val="auto"/>
          <w:highlight w:val="none"/>
        </w:rPr>
      </w:pPr>
      <w:r>
        <w:rPr>
          <w:rFonts w:hint="eastAsia" w:ascii="宋体" w:hAnsi="宋体" w:eastAsia="宋体" w:cs="宋体"/>
          <w:color w:val="auto"/>
          <w:sz w:val="21"/>
          <w:szCs w:val="21"/>
          <w:highlight w:val="none"/>
        </w:rPr>
        <w:t>我方具备履行合同所必需的设备和专业技术能力，否则产生不利后果由我方承担责任。</w:t>
      </w:r>
    </w:p>
    <w:p>
      <w:pPr>
        <w:pStyle w:val="16"/>
        <w:widowControl/>
        <w:ind w:firstLine="420"/>
        <w:rPr>
          <w:color w:val="auto"/>
          <w:highlight w:val="none"/>
        </w:rPr>
      </w:pPr>
      <w:r>
        <w:rPr>
          <w:rFonts w:hint="eastAsia" w:ascii="宋体" w:hAnsi="宋体" w:eastAsia="宋体" w:cs="宋体"/>
          <w:color w:val="auto"/>
          <w:sz w:val="21"/>
          <w:szCs w:val="21"/>
          <w:highlight w:val="none"/>
        </w:rPr>
        <w:t>特此声明。</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★注意：</w:t>
      </w:r>
    </w:p>
    <w:p>
      <w:pPr>
        <w:pStyle w:val="16"/>
        <w:widowControl/>
        <w:rPr>
          <w:color w:val="auto"/>
          <w:highlight w:val="none"/>
        </w:rPr>
      </w:pPr>
      <w:r>
        <w:rPr>
          <w:rFonts w:hint="eastAsia" w:ascii="宋体" w:hAnsi="宋体" w:eastAsia="宋体" w:cs="宋体"/>
          <w:color w:val="auto"/>
          <w:sz w:val="21"/>
          <w:szCs w:val="21"/>
          <w:highlight w:val="none"/>
        </w:rPr>
        <w:t>1、征集文件未要求供应商提供“具备履行合同所必需的设备和专业技术能力专项证明材料”的，供应商应提供本声明函。</w:t>
      </w:r>
    </w:p>
    <w:p>
      <w:pPr>
        <w:pStyle w:val="16"/>
        <w:widowControl/>
        <w:rPr>
          <w:color w:val="auto"/>
          <w:highlight w:val="none"/>
        </w:rPr>
      </w:pPr>
      <w:r>
        <w:rPr>
          <w:rFonts w:hint="eastAsia" w:ascii="宋体" w:hAnsi="宋体" w:eastAsia="宋体" w:cs="宋体"/>
          <w:color w:val="auto"/>
          <w:sz w:val="21"/>
          <w:szCs w:val="21"/>
          <w:highlight w:val="none"/>
        </w:rPr>
        <w:t>2、征集文件要求供应商提供“具备履行合同所必需的设备和专业技术能力专项证明材料”的，供应商可不提供本声明函。</w:t>
      </w:r>
    </w:p>
    <w:p>
      <w:pPr>
        <w:pStyle w:val="16"/>
        <w:widowControl/>
        <w:rPr>
          <w:color w:val="auto"/>
          <w:highlight w:val="none"/>
        </w:rPr>
      </w:pPr>
      <w:r>
        <w:rPr>
          <w:rFonts w:hint="eastAsia" w:ascii="宋体" w:hAnsi="宋体" w:eastAsia="宋体" w:cs="宋体"/>
          <w:color w:val="auto"/>
          <w:sz w:val="21"/>
          <w:szCs w:val="21"/>
          <w:highlight w:val="none"/>
        </w:rPr>
        <w:t>3、纸质响应文件正本中的本声明函（若有）应为原件。</w:t>
      </w:r>
    </w:p>
    <w:p>
      <w:pPr>
        <w:pStyle w:val="16"/>
        <w:widowControl/>
        <w:rPr>
          <w:color w:val="auto"/>
          <w:highlight w:val="none"/>
        </w:rPr>
      </w:pPr>
      <w:r>
        <w:rPr>
          <w:rFonts w:hint="eastAsia" w:ascii="宋体" w:hAnsi="宋体" w:eastAsia="宋体" w:cs="宋体"/>
          <w:color w:val="auto"/>
          <w:sz w:val="21"/>
          <w:szCs w:val="21"/>
          <w:highlight w:val="none"/>
        </w:rPr>
        <w:t>4、请供应商根据实际情况如实声明，否则</w:t>
      </w:r>
      <w:r>
        <w:rPr>
          <w:rStyle w:val="24"/>
          <w:rFonts w:hint="eastAsia" w:ascii="宋体" w:hAnsi="宋体" w:eastAsia="宋体" w:cs="宋体"/>
          <w:color w:val="auto"/>
          <w:sz w:val="21"/>
          <w:szCs w:val="21"/>
          <w:highlight w:val="none"/>
        </w:rPr>
        <w:t>视为提供虚假材料。</w:t>
      </w:r>
    </w:p>
    <w:p>
      <w:pPr>
        <w:pStyle w:val="16"/>
        <w:widowControl/>
        <w:rPr>
          <w:color w:val="auto"/>
          <w:highlight w:val="none"/>
        </w:rPr>
      </w:pPr>
      <w:r>
        <w:rPr>
          <w:rFonts w:ascii="Calibri" w:hAnsi="Calibri" w:cs="Calibri"/>
          <w:color w:val="auto"/>
          <w:sz w:val="21"/>
          <w:szCs w:val="21"/>
          <w:highlight w:val="none"/>
        </w:rPr>
        <w:t> </w:t>
      </w:r>
    </w:p>
    <w:p>
      <w:pPr>
        <w:pStyle w:val="16"/>
        <w:widowControl/>
        <w:rPr>
          <w:color w:val="auto"/>
          <w:highlight w:val="none"/>
        </w:rPr>
      </w:pPr>
      <w:r>
        <w:rPr>
          <w:rFonts w:ascii="Calibri" w:hAnsi="Calibri" w:cs="Calibri"/>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（全称并加盖单位公章）</w:t>
      </w:r>
    </w:p>
    <w:p>
      <w:pPr>
        <w:pStyle w:val="16"/>
        <w:widowControl/>
        <w:rPr>
          <w:color w:val="auto"/>
          <w:highlight w:val="none"/>
        </w:rPr>
      </w:pPr>
      <w:r>
        <w:rPr>
          <w:rFonts w:hint="eastAsia" w:ascii="宋体" w:hAnsi="宋体" w:eastAsia="宋体" w:cs="宋体"/>
          <w:color w:val="auto"/>
          <w:sz w:val="21"/>
          <w:szCs w:val="21"/>
          <w:highlight w:val="none"/>
        </w:rPr>
        <w:t>供应商代表签字：</w:t>
      </w:r>
      <w:r>
        <w:rPr>
          <w:rFonts w:hint="eastAsia" w:ascii="宋体" w:hAnsi="宋体" w:eastAsia="宋体" w:cs="宋体"/>
          <w:color w:val="auto"/>
          <w:sz w:val="21"/>
          <w:szCs w:val="21"/>
          <w:highlight w:val="none"/>
          <w:u w:val="single"/>
        </w:rPr>
        <w:t>                   </w:t>
      </w:r>
    </w:p>
    <w:p>
      <w:pPr>
        <w:pStyle w:val="16"/>
        <w:widowControl/>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jc w:val="center"/>
        <w:rPr>
          <w:rFonts w:ascii="Calibri" w:hAnsi="Calibri" w:cs="Calibri"/>
          <w:color w:val="auto"/>
          <w:sz w:val="21"/>
          <w:szCs w:val="21"/>
          <w:highlight w:val="none"/>
        </w:rPr>
      </w:pPr>
    </w:p>
    <w:p>
      <w:pPr>
        <w:rPr>
          <w:color w:val="auto"/>
          <w:highlight w:val="none"/>
        </w:rPr>
      </w:pPr>
    </w:p>
    <w:p>
      <w:pPr>
        <w:rPr>
          <w:rFonts w:ascii="Calibri" w:hAnsi="Calibri" w:cs="Calibri"/>
          <w:color w:val="auto"/>
          <w:szCs w:val="21"/>
          <w:highlight w:val="none"/>
        </w:rPr>
      </w:pPr>
      <w:r>
        <w:rPr>
          <w:rFonts w:ascii="Calibri" w:hAnsi="Calibri" w:cs="Calibri"/>
          <w:color w:val="auto"/>
          <w:szCs w:val="21"/>
          <w:highlight w:val="none"/>
        </w:rPr>
        <w:br w:type="page"/>
      </w:r>
    </w:p>
    <w:p>
      <w:pPr>
        <w:pStyle w:val="16"/>
        <w:widowControl/>
        <w:jc w:val="center"/>
        <w:rPr>
          <w:color w:val="auto"/>
          <w:highlight w:val="none"/>
        </w:rPr>
      </w:pPr>
      <w:r>
        <w:rPr>
          <w:rFonts w:hint="eastAsia" w:ascii="宋体" w:hAnsi="宋体" w:eastAsia="宋体" w:cs="宋体"/>
          <w:color w:val="auto"/>
          <w:sz w:val="21"/>
          <w:szCs w:val="21"/>
          <w:highlight w:val="none"/>
        </w:rPr>
        <w:t>二</w:t>
      </w:r>
      <w:r>
        <w:rPr>
          <w:rStyle w:val="24"/>
          <w:rFonts w:hint="eastAsia" w:ascii="宋体" w:hAnsi="宋体" w:eastAsia="宋体" w:cs="宋体"/>
          <w:color w:val="auto"/>
          <w:sz w:val="21"/>
          <w:szCs w:val="21"/>
          <w:highlight w:val="none"/>
        </w:rPr>
        <w:t>-7参加采购活动前三年内在经营活动中没有重大违法记录书面声明</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w:t>
      </w:r>
      <w:r>
        <w:rPr>
          <w:rFonts w:ascii="宋体" w:hAnsi="宋体" w:eastAsia="宋体" w:cs="宋体"/>
          <w:color w:val="auto"/>
          <w:sz w:val="21"/>
          <w:szCs w:val="21"/>
          <w:highlight w:val="none"/>
          <w:u w:val="single"/>
        </w:rPr>
        <w:t>（采购人或采购代理机构）</w:t>
      </w:r>
      <w:r>
        <w:rPr>
          <w:rFonts w:hint="eastAsia" w:ascii="宋体" w:hAnsi="宋体" w:eastAsia="宋体" w:cs="宋体"/>
          <w:color w:val="auto"/>
          <w:sz w:val="21"/>
          <w:szCs w:val="21"/>
          <w:highlight w:val="none"/>
          <w:u w:val="single"/>
        </w:rPr>
        <w:t> </w:t>
      </w:r>
    </w:p>
    <w:p>
      <w:pPr>
        <w:pStyle w:val="16"/>
        <w:widowControl/>
        <w:ind w:firstLine="420"/>
        <w:rPr>
          <w:color w:val="auto"/>
          <w:highlight w:val="none"/>
        </w:rPr>
      </w:pPr>
      <w:r>
        <w:rPr>
          <w:rFonts w:ascii="宋体" w:hAnsi="宋体" w:eastAsia="宋体" w:cs="宋体"/>
          <w:color w:val="auto"/>
          <w:sz w:val="21"/>
          <w:szCs w:val="21"/>
          <w:highlight w:val="none"/>
        </w:rPr>
        <w:t>参加采购活动前三年内，我方在经营活动中没有重大违法记录</w:t>
      </w:r>
      <w:r>
        <w:rPr>
          <w:rFonts w:hint="eastAsia" w:ascii="宋体" w:hAnsi="宋体" w:eastAsia="宋体" w:cs="宋体"/>
          <w:color w:val="auto"/>
          <w:sz w:val="21"/>
          <w:szCs w:val="21"/>
          <w:highlight w:val="none"/>
        </w:rPr>
        <w:t>，即没有因违法经营受到刑事处罚或责令停产停业、吊销许可证或执照、较大数额罚款等行政处罚。否则产生不利后果由我方承担责任。</w:t>
      </w:r>
    </w:p>
    <w:p>
      <w:pPr>
        <w:pStyle w:val="16"/>
        <w:widowControl/>
        <w:ind w:firstLine="420"/>
        <w:rPr>
          <w:color w:val="auto"/>
          <w:highlight w:val="none"/>
        </w:rPr>
      </w:pPr>
      <w:r>
        <w:rPr>
          <w:rFonts w:hint="eastAsia" w:ascii="宋体" w:hAnsi="宋体" w:eastAsia="宋体" w:cs="宋体"/>
          <w:color w:val="auto"/>
          <w:sz w:val="21"/>
          <w:szCs w:val="21"/>
          <w:highlight w:val="none"/>
        </w:rPr>
        <w:t>特此声明。</w:t>
      </w:r>
    </w:p>
    <w:p>
      <w:pPr>
        <w:pStyle w:val="16"/>
        <w:widowControl/>
        <w:rPr>
          <w:color w:val="auto"/>
          <w:highlight w:val="none"/>
        </w:rPr>
      </w:pPr>
      <w:r>
        <w:rPr>
          <w:rFonts w:ascii="Calibri" w:hAnsi="Calibri" w:cs="Calibri"/>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★注意：</w:t>
      </w:r>
    </w:p>
    <w:p>
      <w:pPr>
        <w:pStyle w:val="16"/>
        <w:widowControl/>
        <w:spacing w:before="100" w:after="100"/>
        <w:rPr>
          <w:color w:val="auto"/>
          <w:highlight w:val="none"/>
        </w:rPr>
      </w:pPr>
      <w:r>
        <w:rPr>
          <w:rFonts w:hint="eastAsia" w:ascii="宋体" w:hAnsi="宋体" w:eastAsia="宋体" w:cs="宋体"/>
          <w:color w:val="auto"/>
          <w:sz w:val="21"/>
          <w:szCs w:val="21"/>
          <w:highlight w:val="none"/>
        </w:rPr>
        <w:t>1、</w:t>
      </w:r>
      <w:r>
        <w:rPr>
          <w:rFonts w:ascii="宋体" w:hAnsi="宋体" w:eastAsia="宋体" w:cs="宋体"/>
          <w:color w:val="auto"/>
          <w:sz w:val="21"/>
          <w:szCs w:val="21"/>
          <w:highlight w:val="none"/>
        </w:rPr>
        <w:t>“重大违法记录”指</w:t>
      </w:r>
      <w:r>
        <w:rPr>
          <w:rFonts w:hint="eastAsia" w:ascii="宋体" w:hAnsi="宋体" w:eastAsia="宋体" w:cs="宋体"/>
          <w:color w:val="auto"/>
          <w:sz w:val="21"/>
          <w:szCs w:val="21"/>
          <w:highlight w:val="none"/>
        </w:rPr>
        <w:t>供应商</w:t>
      </w:r>
      <w:r>
        <w:rPr>
          <w:rFonts w:ascii="宋体" w:hAnsi="宋体" w:eastAsia="宋体" w:cs="宋体"/>
          <w:color w:val="auto"/>
          <w:sz w:val="21"/>
          <w:szCs w:val="21"/>
          <w:highlight w:val="none"/>
        </w:rP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6"/>
        <w:widowControl/>
        <w:rPr>
          <w:color w:val="auto"/>
          <w:highlight w:val="none"/>
        </w:rPr>
      </w:pPr>
      <w:r>
        <w:rPr>
          <w:rFonts w:hint="eastAsia" w:ascii="宋体" w:hAnsi="宋体" w:eastAsia="宋体" w:cs="宋体"/>
          <w:color w:val="auto"/>
          <w:sz w:val="21"/>
          <w:szCs w:val="21"/>
          <w:highlight w:val="none"/>
        </w:rPr>
        <w:t>2、纸质响应文件正本中的本声明应为原件。</w:t>
      </w:r>
    </w:p>
    <w:p>
      <w:pPr>
        <w:pStyle w:val="16"/>
        <w:widowControl/>
        <w:rPr>
          <w:color w:val="auto"/>
          <w:highlight w:val="none"/>
        </w:rPr>
      </w:pPr>
      <w:r>
        <w:rPr>
          <w:rFonts w:hint="eastAsia" w:ascii="宋体" w:hAnsi="宋体" w:eastAsia="宋体" w:cs="宋体"/>
          <w:color w:val="auto"/>
          <w:sz w:val="21"/>
          <w:szCs w:val="21"/>
          <w:highlight w:val="none"/>
        </w:rPr>
        <w:t>3、请供应商根据实际情况如实声明，否则</w:t>
      </w:r>
      <w:r>
        <w:rPr>
          <w:rStyle w:val="24"/>
          <w:rFonts w:hint="eastAsia" w:ascii="宋体" w:hAnsi="宋体" w:eastAsia="宋体" w:cs="宋体"/>
          <w:color w:val="auto"/>
          <w:sz w:val="21"/>
          <w:szCs w:val="21"/>
          <w:highlight w:val="none"/>
        </w:rPr>
        <w:t>视为提供虚假材料。</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（全称并加盖单位公章）</w:t>
      </w:r>
    </w:p>
    <w:p>
      <w:pPr>
        <w:pStyle w:val="16"/>
        <w:widowControl/>
        <w:rPr>
          <w:color w:val="auto"/>
          <w:highlight w:val="none"/>
        </w:rPr>
      </w:pPr>
      <w:r>
        <w:rPr>
          <w:rFonts w:hint="eastAsia" w:ascii="宋体" w:hAnsi="宋体" w:eastAsia="宋体" w:cs="宋体"/>
          <w:color w:val="auto"/>
          <w:sz w:val="21"/>
          <w:szCs w:val="21"/>
          <w:highlight w:val="none"/>
        </w:rPr>
        <w:t>供应商代表签字：</w:t>
      </w:r>
      <w:r>
        <w:rPr>
          <w:rFonts w:hint="eastAsia" w:ascii="宋体" w:hAnsi="宋体" w:eastAsia="宋体" w:cs="宋体"/>
          <w:color w:val="auto"/>
          <w:sz w:val="21"/>
          <w:szCs w:val="21"/>
          <w:highlight w:val="none"/>
          <w:u w:val="single"/>
        </w:rPr>
        <w:t>                   </w:t>
      </w:r>
    </w:p>
    <w:p>
      <w:pPr>
        <w:pStyle w:val="16"/>
        <w:widowControl/>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6"/>
        <w:widowControl/>
        <w:jc w:val="center"/>
        <w:rPr>
          <w:rFonts w:ascii="Calibri" w:hAnsi="Calibri" w:cs="Calibri"/>
          <w:color w:val="auto"/>
          <w:sz w:val="21"/>
          <w:szCs w:val="21"/>
          <w:highlight w:val="none"/>
        </w:rPr>
      </w:pPr>
    </w:p>
    <w:p>
      <w:pPr>
        <w:rPr>
          <w:color w:val="auto"/>
          <w:highlight w:val="none"/>
        </w:rPr>
      </w:pPr>
    </w:p>
    <w:p>
      <w:pPr>
        <w:rPr>
          <w:rFonts w:ascii="Calibri" w:hAnsi="Calibri" w:cs="Calibri"/>
          <w:color w:val="auto"/>
          <w:szCs w:val="21"/>
          <w:highlight w:val="none"/>
        </w:rPr>
      </w:pPr>
      <w:r>
        <w:rPr>
          <w:rFonts w:ascii="Calibri" w:hAnsi="Calibri" w:cs="Calibri"/>
          <w:color w:val="auto"/>
          <w:szCs w:val="21"/>
          <w:highlight w:val="none"/>
        </w:rPr>
        <w:br w:type="page"/>
      </w:r>
    </w:p>
    <w:p>
      <w:pPr>
        <w:pStyle w:val="16"/>
        <w:widowControl/>
        <w:jc w:val="center"/>
        <w:rPr>
          <w:color w:val="auto"/>
          <w:highlight w:val="none"/>
        </w:rPr>
      </w:pPr>
      <w:r>
        <w:rPr>
          <w:rFonts w:ascii="宋体" w:hAnsi="宋体" w:eastAsia="宋体" w:cs="宋体"/>
          <w:color w:val="auto"/>
          <w:sz w:val="21"/>
          <w:szCs w:val="21"/>
          <w:highlight w:val="none"/>
        </w:rPr>
        <w:t>二</w:t>
      </w:r>
      <w:r>
        <w:rPr>
          <w:rStyle w:val="24"/>
          <w:rFonts w:hint="eastAsia" w:ascii="宋体" w:hAnsi="宋体" w:eastAsia="宋体" w:cs="宋体"/>
          <w:color w:val="auto"/>
          <w:sz w:val="21"/>
          <w:szCs w:val="21"/>
          <w:highlight w:val="none"/>
        </w:rPr>
        <w:t>-8信用记录查询提示</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rFonts w:ascii="微软雅黑" w:hAnsi="微软雅黑" w:eastAsia="微软雅黑" w:cs="微软雅黑"/>
          <w:color w:val="auto"/>
          <w:sz w:val="21"/>
          <w:szCs w:val="21"/>
          <w:highlight w:val="none"/>
        </w:rPr>
      </w:pPr>
      <w:r>
        <w:rPr>
          <w:rFonts w:ascii="宋体" w:hAnsi="宋体" w:eastAsia="宋体" w:cs="宋体"/>
          <w:color w:val="auto"/>
          <w:sz w:val="21"/>
          <w:szCs w:val="21"/>
          <w:highlight w:val="none"/>
        </w:rPr>
        <w:t>1、由资格审查小组通过网站查询并打印</w:t>
      </w:r>
      <w:r>
        <w:rPr>
          <w:rFonts w:hint="eastAsia" w:ascii="宋体" w:hAnsi="宋体" w:eastAsia="宋体" w:cs="宋体"/>
          <w:color w:val="auto"/>
          <w:sz w:val="21"/>
          <w:szCs w:val="21"/>
          <w:highlight w:val="none"/>
        </w:rPr>
        <w:t>供应商</w:t>
      </w:r>
      <w:r>
        <w:rPr>
          <w:rFonts w:ascii="宋体" w:hAnsi="宋体" w:eastAsia="宋体" w:cs="宋体"/>
          <w:color w:val="auto"/>
          <w:sz w:val="21"/>
          <w:szCs w:val="21"/>
          <w:highlight w:val="none"/>
        </w:rPr>
        <w:t>的信用记录。</w:t>
      </w:r>
    </w:p>
    <w:p>
      <w:pPr>
        <w:pStyle w:val="16"/>
        <w:widowControl/>
        <w:rPr>
          <w:rFonts w:ascii="微软雅黑" w:hAnsi="微软雅黑" w:eastAsia="微软雅黑" w:cs="微软雅黑"/>
          <w:color w:val="auto"/>
          <w:sz w:val="21"/>
          <w:szCs w:val="21"/>
          <w:highlight w:val="none"/>
        </w:rPr>
      </w:pPr>
      <w:r>
        <w:rPr>
          <w:rFonts w:hint="eastAsia" w:ascii="宋体" w:hAnsi="宋体" w:eastAsia="宋体" w:cs="宋体"/>
          <w:color w:val="auto"/>
          <w:sz w:val="21"/>
          <w:szCs w:val="21"/>
          <w:highlight w:val="none"/>
        </w:rPr>
        <w:t>2、经查询，供应商参加本项目采购活动(递交响应文件截止时间)前三年内被列入失信被执行人名单、重大税收违法失信主体、政府采购严重违法失信行为记录名单及其他重大违法记录且相关信用惩戒期限未满的，其资格审查不合格。</w:t>
      </w:r>
    </w:p>
    <w:p>
      <w:pPr>
        <w:pStyle w:val="16"/>
        <w:widowControl/>
        <w:rPr>
          <w:rFonts w:ascii="微软雅黑" w:hAnsi="微软雅黑" w:eastAsia="微软雅黑" w:cs="微软雅黑"/>
          <w:color w:val="auto"/>
          <w:sz w:val="21"/>
          <w:szCs w:val="21"/>
          <w:highlight w:val="none"/>
        </w:rPr>
      </w:pPr>
      <w:r>
        <w:rPr>
          <w:rFonts w:hint="eastAsia" w:ascii="宋体" w:hAnsi="宋体" w:eastAsia="宋体" w:cs="宋体"/>
          <w:color w:val="auto"/>
          <w:sz w:val="21"/>
          <w:szCs w:val="21"/>
          <w:highlight w:val="none"/>
        </w:rPr>
        <w:t>3、供应商应了解供应商自身的信用记录情况。当供应商受到200万以上罚款的行政处罚且该罚款不属较大数额罚款时，供应商应在响应文件中提供此项罚款不属于较大数额罚款的依据（如提供：相关法律制度的规定、行政执法机构对该罚款不属于较大数额罚款的认定或者其他有效依据）。</w:t>
      </w:r>
    </w:p>
    <w:p>
      <w:pPr>
        <w:pStyle w:val="16"/>
        <w:widowControl/>
        <w:rPr>
          <w:color w:val="auto"/>
          <w:highlight w:val="none"/>
        </w:rPr>
      </w:pP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p>
    <w:p>
      <w:pPr>
        <w:rPr>
          <w:color w:val="auto"/>
          <w:highlight w:val="none"/>
        </w:rPr>
      </w:pPr>
    </w:p>
    <w:p>
      <w:pPr>
        <w:pStyle w:val="16"/>
        <w:widowControl/>
        <w:jc w:val="center"/>
        <w:rPr>
          <w:rFonts w:ascii="宋体" w:hAnsi="宋体" w:eastAsia="宋体" w:cs="宋体"/>
          <w:color w:val="auto"/>
          <w:sz w:val="21"/>
          <w:szCs w:val="21"/>
          <w:highlight w:val="none"/>
        </w:rPr>
      </w:pPr>
    </w:p>
    <w:p>
      <w:pPr>
        <w:rPr>
          <w:color w:val="auto"/>
          <w:highlight w:val="none"/>
        </w:rPr>
      </w:pP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16"/>
        <w:widowControl/>
        <w:jc w:val="center"/>
        <w:rPr>
          <w:color w:val="auto"/>
          <w:highlight w:val="none"/>
        </w:rPr>
      </w:pPr>
      <w:r>
        <w:rPr>
          <w:rStyle w:val="24"/>
          <w:rFonts w:hint="eastAsia" w:ascii="宋体" w:hAnsi="宋体" w:eastAsia="宋体" w:cs="宋体"/>
          <w:color w:val="auto"/>
          <w:sz w:val="21"/>
          <w:szCs w:val="21"/>
          <w:highlight w:val="none"/>
        </w:rPr>
        <w:t>二-9其他资格证明文件（若有）</w:t>
      </w:r>
    </w:p>
    <w:p>
      <w:pPr>
        <w:pStyle w:val="16"/>
        <w:widowControl/>
        <w:jc w:val="center"/>
        <w:rPr>
          <w:color w:val="auto"/>
          <w:highlight w:val="none"/>
        </w:rPr>
      </w:pPr>
      <w:r>
        <w:rPr>
          <w:rFonts w:hint="eastAsia" w:ascii="宋体" w:hAnsi="宋体" w:eastAsia="宋体" w:cs="宋体"/>
          <w:color w:val="auto"/>
          <w:sz w:val="21"/>
          <w:szCs w:val="21"/>
          <w:highlight w:val="none"/>
        </w:rPr>
        <w:t> </w:t>
      </w:r>
    </w:p>
    <w:p>
      <w:pPr>
        <w:pStyle w:val="16"/>
        <w:widowControl/>
        <w:jc w:val="center"/>
        <w:rPr>
          <w:color w:val="auto"/>
          <w:highlight w:val="none"/>
        </w:rPr>
      </w:pPr>
      <w:r>
        <w:rPr>
          <w:rFonts w:hint="eastAsia" w:ascii="宋体" w:hAnsi="宋体" w:eastAsia="宋体" w:cs="宋体"/>
          <w:color w:val="auto"/>
          <w:sz w:val="21"/>
          <w:szCs w:val="21"/>
          <w:highlight w:val="none"/>
        </w:rPr>
        <w:t>二</w:t>
      </w:r>
      <w:r>
        <w:rPr>
          <w:rStyle w:val="24"/>
          <w:rFonts w:hint="eastAsia" w:ascii="宋体" w:hAnsi="宋体" w:eastAsia="宋体" w:cs="宋体"/>
          <w:color w:val="auto"/>
          <w:sz w:val="21"/>
          <w:szCs w:val="21"/>
          <w:highlight w:val="none"/>
        </w:rPr>
        <w:t>-9-①具备履行合同所必需设备和专业技术能力专项证明材料（若有）</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w:t>
      </w:r>
      <w:r>
        <w:rPr>
          <w:rFonts w:ascii="宋体" w:hAnsi="宋体" w:eastAsia="宋体" w:cs="宋体"/>
          <w:color w:val="auto"/>
          <w:sz w:val="21"/>
          <w:szCs w:val="21"/>
          <w:highlight w:val="none"/>
          <w:u w:val="single"/>
        </w:rPr>
        <w:t>（采购人或采购代理机构）</w:t>
      </w:r>
      <w:r>
        <w:rPr>
          <w:rFonts w:hint="eastAsia" w:ascii="宋体" w:hAnsi="宋体" w:eastAsia="宋体" w:cs="宋体"/>
          <w:color w:val="auto"/>
          <w:sz w:val="21"/>
          <w:szCs w:val="21"/>
          <w:highlight w:val="none"/>
          <w:u w:val="single"/>
        </w:rPr>
        <w:t> </w:t>
      </w:r>
    </w:p>
    <w:p>
      <w:pPr>
        <w:pStyle w:val="16"/>
        <w:widowControl/>
        <w:ind w:firstLine="420"/>
        <w:rPr>
          <w:color w:val="auto"/>
          <w:highlight w:val="none"/>
        </w:rPr>
      </w:pPr>
      <w:r>
        <w:rPr>
          <w:rFonts w:hint="eastAsia" w:ascii="宋体" w:hAnsi="宋体" w:eastAsia="宋体" w:cs="宋体"/>
          <w:color w:val="auto"/>
          <w:sz w:val="21"/>
          <w:szCs w:val="21"/>
          <w:highlight w:val="none"/>
        </w:rPr>
        <w:t>现附上我方具备履行合同所必需的设备和专业技术能力的专项证明材料复印件（具体附后），上述证明材料真实有效，否则我方负全部责任。</w:t>
      </w:r>
    </w:p>
    <w:p>
      <w:pPr>
        <w:pStyle w:val="16"/>
        <w:widowControl/>
        <w:rPr>
          <w:color w:val="auto"/>
          <w:highlight w:val="none"/>
        </w:rPr>
      </w:pPr>
      <w:r>
        <w:rPr>
          <w:rFonts w:ascii="Calibri" w:hAnsi="Calibri" w:cs="Calibri"/>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★注意：</w:t>
      </w:r>
    </w:p>
    <w:p>
      <w:pPr>
        <w:pStyle w:val="16"/>
        <w:widowControl/>
        <w:rPr>
          <w:color w:val="auto"/>
          <w:highlight w:val="none"/>
        </w:rPr>
      </w:pPr>
      <w:r>
        <w:rPr>
          <w:rFonts w:hint="eastAsia" w:ascii="宋体" w:hAnsi="宋体" w:eastAsia="宋体" w:cs="宋体"/>
          <w:color w:val="auto"/>
          <w:sz w:val="21"/>
          <w:szCs w:val="21"/>
          <w:highlight w:val="none"/>
        </w:rPr>
        <w:t>1、征集文件要求供应商提供“具备履行合同所必需的设备和专业技术能力专项证明材料”的，供应商应按照征集文件规定在此项下提供相应证明材料复印件。</w:t>
      </w:r>
    </w:p>
    <w:p>
      <w:pPr>
        <w:pStyle w:val="16"/>
        <w:widowControl/>
        <w:rPr>
          <w:color w:val="auto"/>
          <w:highlight w:val="none"/>
        </w:rPr>
      </w:pPr>
      <w:r>
        <w:rPr>
          <w:rFonts w:hint="eastAsia" w:ascii="宋体" w:hAnsi="宋体" w:eastAsia="宋体" w:cs="宋体"/>
          <w:color w:val="auto"/>
          <w:sz w:val="21"/>
          <w:szCs w:val="21"/>
          <w:highlight w:val="none"/>
        </w:rPr>
        <w:t>2、供应商提供的相应证明材料复印件均应符合：内容完整、清晰、整洁，并由供应商加盖其单位公章。</w:t>
      </w:r>
    </w:p>
    <w:p>
      <w:pPr>
        <w:pStyle w:val="16"/>
        <w:widowControl/>
        <w:rPr>
          <w:color w:val="auto"/>
          <w:highlight w:val="none"/>
        </w:rPr>
      </w:pPr>
      <w:r>
        <w:rPr>
          <w:rFonts w:ascii="Calibri" w:hAnsi="Calibri" w:cs="Calibri"/>
          <w:color w:val="auto"/>
          <w:sz w:val="21"/>
          <w:szCs w:val="21"/>
          <w:highlight w:val="none"/>
        </w:rPr>
        <w:t> </w:t>
      </w:r>
    </w:p>
    <w:p>
      <w:pPr>
        <w:pStyle w:val="16"/>
        <w:widowControl/>
        <w:rPr>
          <w:color w:val="auto"/>
          <w:highlight w:val="none"/>
        </w:rPr>
      </w:pPr>
      <w:r>
        <w:rPr>
          <w:rFonts w:ascii="Calibri" w:hAnsi="Calibri" w:cs="Calibri"/>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（全称并加盖单位公章）</w:t>
      </w:r>
    </w:p>
    <w:p>
      <w:pPr>
        <w:pStyle w:val="16"/>
        <w:widowControl/>
        <w:rPr>
          <w:color w:val="auto"/>
          <w:highlight w:val="none"/>
        </w:rPr>
      </w:pPr>
      <w:r>
        <w:rPr>
          <w:rFonts w:hint="eastAsia" w:ascii="宋体" w:hAnsi="宋体" w:eastAsia="宋体" w:cs="宋体"/>
          <w:color w:val="auto"/>
          <w:sz w:val="21"/>
          <w:szCs w:val="21"/>
          <w:highlight w:val="none"/>
        </w:rPr>
        <w:t>供应商代表签字：</w:t>
      </w:r>
      <w:r>
        <w:rPr>
          <w:rFonts w:hint="eastAsia" w:ascii="宋体" w:hAnsi="宋体" w:eastAsia="宋体" w:cs="宋体"/>
          <w:color w:val="auto"/>
          <w:sz w:val="21"/>
          <w:szCs w:val="21"/>
          <w:highlight w:val="none"/>
          <w:u w:val="single"/>
        </w:rPr>
        <w:t>                   </w:t>
      </w:r>
    </w:p>
    <w:p>
      <w:pPr>
        <w:pStyle w:val="16"/>
        <w:widowControl/>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jc w:val="center"/>
        <w:rPr>
          <w:rFonts w:ascii="Calibri" w:hAnsi="Calibri" w:cs="Calibri"/>
          <w:color w:val="auto"/>
          <w:sz w:val="21"/>
          <w:szCs w:val="21"/>
          <w:highlight w:val="none"/>
        </w:rPr>
      </w:pPr>
    </w:p>
    <w:p>
      <w:pPr>
        <w:rPr>
          <w:color w:val="auto"/>
          <w:highlight w:val="none"/>
        </w:rPr>
      </w:pPr>
    </w:p>
    <w:p>
      <w:pPr>
        <w:rPr>
          <w:rFonts w:ascii="Calibri" w:hAnsi="Calibri" w:cs="Calibri"/>
          <w:color w:val="auto"/>
          <w:szCs w:val="21"/>
          <w:highlight w:val="none"/>
        </w:rPr>
      </w:pPr>
      <w:r>
        <w:rPr>
          <w:rFonts w:ascii="Calibri" w:hAnsi="Calibri" w:cs="Calibri"/>
          <w:color w:val="auto"/>
          <w:szCs w:val="21"/>
          <w:highlight w:val="none"/>
        </w:rPr>
        <w:br w:type="page"/>
      </w:r>
    </w:p>
    <w:p>
      <w:pPr>
        <w:pStyle w:val="16"/>
        <w:widowControl/>
        <w:jc w:val="center"/>
        <w:rPr>
          <w:color w:val="auto"/>
          <w:highlight w:val="none"/>
        </w:rPr>
      </w:pPr>
      <w:r>
        <w:rPr>
          <w:rStyle w:val="24"/>
          <w:rFonts w:hint="eastAsia" w:ascii="宋体" w:hAnsi="宋体" w:eastAsia="宋体" w:cs="宋体"/>
          <w:color w:val="auto"/>
          <w:sz w:val="21"/>
          <w:szCs w:val="21"/>
          <w:highlight w:val="none"/>
        </w:rPr>
        <w:t>二-9-②征集文件规定的其他资格证明文件（若有）</w:t>
      </w:r>
    </w:p>
    <w:p>
      <w:pPr>
        <w:pStyle w:val="16"/>
        <w:widowControl/>
        <w:rPr>
          <w:color w:val="auto"/>
          <w:highlight w:val="none"/>
        </w:rPr>
      </w:pPr>
      <w:r>
        <w:rPr>
          <w:rStyle w:val="24"/>
          <w:rFonts w:hint="eastAsia" w:ascii="宋体" w:hAnsi="宋体" w:eastAsia="宋体" w:cs="宋体"/>
          <w:color w:val="auto"/>
          <w:sz w:val="21"/>
          <w:szCs w:val="21"/>
          <w:highlight w:val="none"/>
        </w:rPr>
        <w:t> </w:t>
      </w:r>
    </w:p>
    <w:p>
      <w:pPr>
        <w:pStyle w:val="16"/>
        <w:widowControl/>
        <w:rPr>
          <w:color w:val="auto"/>
          <w:highlight w:val="none"/>
        </w:rPr>
      </w:pPr>
      <w:r>
        <w:rPr>
          <w:rStyle w:val="24"/>
          <w:rFonts w:hint="eastAsia" w:ascii="宋体" w:hAnsi="宋体" w:eastAsia="宋体" w:cs="宋体"/>
          <w:color w:val="auto"/>
          <w:sz w:val="21"/>
          <w:szCs w:val="21"/>
          <w:highlight w:val="none"/>
        </w:rPr>
        <w:t> </w:t>
      </w:r>
    </w:p>
    <w:p>
      <w:pPr>
        <w:pStyle w:val="16"/>
        <w:widowControl/>
        <w:jc w:val="center"/>
        <w:rPr>
          <w:color w:val="auto"/>
          <w:highlight w:val="none"/>
        </w:rPr>
      </w:pPr>
      <w:r>
        <w:rPr>
          <w:rFonts w:hint="eastAsia" w:ascii="宋体" w:hAnsi="宋体" w:eastAsia="宋体" w:cs="宋体"/>
          <w:color w:val="auto"/>
          <w:sz w:val="21"/>
          <w:szCs w:val="21"/>
          <w:highlight w:val="none"/>
        </w:rPr>
        <w:t>编制说明</w:t>
      </w:r>
    </w:p>
    <w:p>
      <w:pPr>
        <w:pStyle w:val="16"/>
        <w:widowControl/>
        <w:jc w:val="center"/>
        <w:rPr>
          <w:color w:val="auto"/>
          <w:highlight w:val="none"/>
        </w:rPr>
      </w:pPr>
      <w:r>
        <w:rPr>
          <w:rFonts w:hint="eastAsia" w:ascii="宋体" w:hAnsi="宋体" w:eastAsia="宋体" w:cs="宋体"/>
          <w:color w:val="auto"/>
          <w:sz w:val="21"/>
          <w:szCs w:val="21"/>
          <w:highlight w:val="none"/>
        </w:rPr>
        <w:t> </w:t>
      </w:r>
    </w:p>
    <w:p>
      <w:pPr>
        <w:pStyle w:val="16"/>
        <w:widowControl/>
        <w:ind w:firstLine="420"/>
        <w:rPr>
          <w:color w:val="auto"/>
          <w:highlight w:val="none"/>
        </w:rPr>
      </w:pPr>
      <w:r>
        <w:rPr>
          <w:rFonts w:hint="eastAsia" w:ascii="宋体" w:hAnsi="宋体" w:eastAsia="宋体" w:cs="宋体"/>
          <w:color w:val="auto"/>
          <w:sz w:val="21"/>
          <w:szCs w:val="21"/>
          <w:highlight w:val="none"/>
        </w:rPr>
        <w:t>除征集文件另有规定外，征集文件要求提交的除前述资格证明文件外的其他资格证明文件（若有）加盖供应商的单位公章后应在此项下提交。</w:t>
      </w:r>
    </w:p>
    <w:p>
      <w:pPr>
        <w:pStyle w:val="16"/>
        <w:widowControl/>
        <w:rPr>
          <w:color w:val="auto"/>
          <w:highlight w:val="none"/>
        </w:rPr>
      </w:pPr>
      <w:r>
        <w:rPr>
          <w:rStyle w:val="24"/>
          <w:rFonts w:hint="eastAsia" w:ascii="宋体" w:hAnsi="宋体" w:eastAsia="宋体" w:cs="宋体"/>
          <w:color w:val="auto"/>
          <w:sz w:val="21"/>
          <w:szCs w:val="21"/>
          <w:highlight w:val="none"/>
        </w:rPr>
        <w:t> </w:t>
      </w:r>
    </w:p>
    <w:p>
      <w:pPr>
        <w:pStyle w:val="16"/>
        <w:widowControl/>
        <w:rPr>
          <w:color w:val="auto"/>
          <w:highlight w:val="none"/>
        </w:rPr>
      </w:pPr>
      <w:r>
        <w:rPr>
          <w:rStyle w:val="24"/>
          <w:rFonts w:hint="eastAsia" w:ascii="宋体" w:hAnsi="宋体" w:eastAsia="宋体" w:cs="宋体"/>
          <w:color w:val="auto"/>
          <w:sz w:val="21"/>
          <w:szCs w:val="21"/>
          <w:highlight w:val="none"/>
        </w:rPr>
        <w:t> </w:t>
      </w:r>
    </w:p>
    <w:p>
      <w:pPr>
        <w:pStyle w:val="16"/>
        <w:widowControl/>
        <w:jc w:val="center"/>
        <w:rPr>
          <w:rFonts w:ascii="Calibri" w:hAnsi="Calibri" w:cs="Calibri"/>
          <w:color w:val="auto"/>
          <w:sz w:val="21"/>
          <w:szCs w:val="21"/>
          <w:highlight w:val="none"/>
        </w:rPr>
      </w:pPr>
    </w:p>
    <w:p>
      <w:pPr>
        <w:rPr>
          <w:color w:val="auto"/>
          <w:highlight w:val="none"/>
        </w:rPr>
      </w:pPr>
    </w:p>
    <w:p>
      <w:pPr>
        <w:rPr>
          <w:rFonts w:ascii="Calibri" w:hAnsi="Calibri" w:cs="Calibri"/>
          <w:color w:val="auto"/>
          <w:szCs w:val="21"/>
          <w:highlight w:val="none"/>
        </w:rPr>
      </w:pPr>
      <w:r>
        <w:rPr>
          <w:rFonts w:ascii="Calibri" w:hAnsi="Calibri" w:cs="Calibri"/>
          <w:color w:val="auto"/>
          <w:szCs w:val="21"/>
          <w:highlight w:val="none"/>
        </w:rPr>
        <w:br w:type="page"/>
      </w:r>
    </w:p>
    <w:p>
      <w:pPr>
        <w:pStyle w:val="16"/>
        <w:widowControl/>
        <w:rPr>
          <w:rStyle w:val="24"/>
          <w:rFonts w:ascii="宋体" w:hAnsi="宋体" w:eastAsia="宋体" w:cs="宋体"/>
          <w:color w:val="auto"/>
          <w:sz w:val="28"/>
          <w:szCs w:val="28"/>
          <w:highlight w:val="none"/>
        </w:rPr>
      </w:pPr>
      <w:r>
        <w:rPr>
          <w:rFonts w:hint="eastAsia" w:ascii="宋体" w:hAnsi="宋体" w:eastAsia="宋体" w:cs="宋体"/>
          <w:color w:val="auto"/>
          <w:sz w:val="21"/>
          <w:szCs w:val="21"/>
          <w:highlight w:val="none"/>
        </w:rPr>
        <w:t> </w:t>
      </w:r>
    </w:p>
    <w:p>
      <w:pPr>
        <w:pStyle w:val="16"/>
        <w:widowControl/>
        <w:jc w:val="center"/>
        <w:rPr>
          <w:color w:val="auto"/>
          <w:highlight w:val="none"/>
        </w:rPr>
      </w:pPr>
      <w:r>
        <w:rPr>
          <w:rStyle w:val="24"/>
          <w:rFonts w:hint="eastAsia" w:ascii="宋体" w:hAnsi="宋体" w:eastAsia="宋体" w:cs="宋体"/>
          <w:color w:val="auto"/>
          <w:sz w:val="28"/>
          <w:szCs w:val="28"/>
          <w:highlight w:val="none"/>
        </w:rPr>
        <w:t>封面格式</w:t>
      </w:r>
    </w:p>
    <w:p>
      <w:pPr>
        <w:pStyle w:val="16"/>
        <w:widowControl/>
        <w:rPr>
          <w:color w:val="auto"/>
          <w:highlight w:val="none"/>
        </w:rPr>
      </w:pPr>
    </w:p>
    <w:p>
      <w:pPr>
        <w:pStyle w:val="16"/>
        <w:widowControl/>
        <w:jc w:val="center"/>
        <w:rPr>
          <w:rFonts w:eastAsia="宋体"/>
          <w:color w:val="auto"/>
          <w:highlight w:val="none"/>
        </w:rPr>
      </w:pPr>
      <w:r>
        <w:rPr>
          <w:rStyle w:val="24"/>
          <w:rFonts w:hint="eastAsia" w:ascii="宋体" w:hAnsi="宋体" w:eastAsia="宋体" w:cs="宋体"/>
          <w:color w:val="auto"/>
          <w:sz w:val="48"/>
          <w:szCs w:val="48"/>
          <w:highlight w:val="none"/>
        </w:rPr>
        <w:t>福建省政府采购响应文件</w:t>
      </w:r>
    </w:p>
    <w:p>
      <w:pPr>
        <w:pStyle w:val="16"/>
        <w:widowControl/>
        <w:jc w:val="center"/>
        <w:rPr>
          <w:color w:val="auto"/>
          <w:highlight w:val="none"/>
        </w:rPr>
      </w:pPr>
      <w:r>
        <w:rPr>
          <w:rStyle w:val="24"/>
          <w:rFonts w:hint="eastAsia" w:ascii="宋体" w:hAnsi="宋体" w:eastAsia="宋体" w:cs="宋体"/>
          <w:color w:val="auto"/>
          <w:sz w:val="48"/>
          <w:szCs w:val="48"/>
          <w:highlight w:val="none"/>
        </w:rPr>
        <w:t>（报价部分）</w:t>
      </w:r>
    </w:p>
    <w:p>
      <w:pPr>
        <w:pStyle w:val="16"/>
        <w:widowControl/>
        <w:rPr>
          <w:color w:val="auto"/>
          <w:highlight w:val="none"/>
        </w:rPr>
      </w:pPr>
      <w:r>
        <w:rPr>
          <w:rFonts w:hint="eastAsia" w:ascii="宋体" w:hAnsi="宋体" w:eastAsia="宋体" w:cs="宋体"/>
          <w:color w:val="auto"/>
          <w:sz w:val="36"/>
          <w:szCs w:val="36"/>
          <w:highlight w:val="none"/>
        </w:rPr>
        <w:t> </w:t>
      </w:r>
    </w:p>
    <w:p>
      <w:pPr>
        <w:pStyle w:val="16"/>
        <w:widowControl/>
        <w:tabs>
          <w:tab w:val="left" w:pos="5245"/>
        </w:tabs>
        <w:jc w:val="center"/>
        <w:rPr>
          <w:color w:val="auto"/>
          <w:highlight w:val="none"/>
        </w:rPr>
      </w:pPr>
      <w:r>
        <w:rPr>
          <w:rStyle w:val="24"/>
          <w:rFonts w:hint="eastAsia" w:ascii="宋体" w:hAnsi="宋体" w:eastAsia="宋体" w:cs="宋体"/>
          <w:color w:val="auto"/>
          <w:sz w:val="36"/>
          <w:szCs w:val="36"/>
          <w:highlight w:val="none"/>
          <w:u w:val="single"/>
        </w:rPr>
        <w:t>（正本）</w:t>
      </w:r>
    </w:p>
    <w:p>
      <w:pPr>
        <w:pStyle w:val="16"/>
        <w:widowControl/>
        <w:rPr>
          <w:color w:val="auto"/>
          <w:highlight w:val="none"/>
        </w:rPr>
      </w:pPr>
      <w:r>
        <w:rPr>
          <w:rFonts w:hint="eastAsia" w:ascii="宋体" w:hAnsi="宋体" w:eastAsia="宋体" w:cs="宋体"/>
          <w:color w:val="auto"/>
          <w:sz w:val="36"/>
          <w:szCs w:val="36"/>
          <w:highlight w:val="none"/>
        </w:rPr>
        <w:t> </w:t>
      </w:r>
    </w:p>
    <w:p>
      <w:pPr>
        <w:pStyle w:val="16"/>
        <w:widowControl/>
        <w:ind w:firstLine="1920"/>
        <w:rPr>
          <w:color w:val="auto"/>
          <w:highlight w:val="none"/>
        </w:rPr>
      </w:pPr>
      <w:r>
        <w:rPr>
          <w:rStyle w:val="24"/>
          <w:rFonts w:hint="eastAsia" w:ascii="宋体" w:hAnsi="宋体" w:eastAsia="宋体" w:cs="宋体"/>
          <w:color w:val="auto"/>
          <w:sz w:val="31"/>
          <w:szCs w:val="31"/>
          <w:highlight w:val="none"/>
        </w:rPr>
        <w:t>项目名称：</w:t>
      </w:r>
      <w:r>
        <w:rPr>
          <w:rStyle w:val="24"/>
          <w:rFonts w:hint="eastAsia" w:ascii="宋体" w:hAnsi="宋体" w:eastAsia="宋体" w:cs="宋体"/>
          <w:color w:val="auto"/>
          <w:sz w:val="31"/>
          <w:szCs w:val="31"/>
          <w:highlight w:val="none"/>
          <w:u w:val="single"/>
        </w:rPr>
        <w:t>（由供应商填写）</w:t>
      </w:r>
    </w:p>
    <w:p>
      <w:pPr>
        <w:pStyle w:val="16"/>
        <w:widowControl/>
        <w:ind w:firstLine="1920"/>
        <w:rPr>
          <w:color w:val="auto"/>
          <w:highlight w:val="none"/>
        </w:rPr>
      </w:pPr>
      <w:r>
        <w:rPr>
          <w:rStyle w:val="24"/>
          <w:rFonts w:hint="eastAsia" w:ascii="宋体" w:hAnsi="宋体" w:eastAsia="宋体" w:cs="宋体"/>
          <w:color w:val="auto"/>
          <w:sz w:val="31"/>
          <w:szCs w:val="31"/>
          <w:highlight w:val="none"/>
        </w:rPr>
        <w:t>备案编号：</w:t>
      </w:r>
      <w:r>
        <w:rPr>
          <w:rStyle w:val="24"/>
          <w:rFonts w:hint="eastAsia" w:ascii="宋体" w:hAnsi="宋体" w:eastAsia="宋体" w:cs="宋体"/>
          <w:color w:val="auto"/>
          <w:sz w:val="31"/>
          <w:szCs w:val="31"/>
          <w:highlight w:val="none"/>
          <w:u w:val="single"/>
        </w:rPr>
        <w:t>（由供应商填写）</w:t>
      </w:r>
    </w:p>
    <w:p>
      <w:pPr>
        <w:pStyle w:val="16"/>
        <w:widowControl/>
        <w:ind w:firstLine="1920"/>
        <w:rPr>
          <w:color w:val="auto"/>
          <w:highlight w:val="none"/>
        </w:rPr>
      </w:pPr>
      <w:r>
        <w:rPr>
          <w:rStyle w:val="24"/>
          <w:rFonts w:hint="eastAsia" w:ascii="宋体" w:hAnsi="宋体" w:eastAsia="宋体" w:cs="宋体"/>
          <w:color w:val="auto"/>
          <w:sz w:val="31"/>
          <w:szCs w:val="31"/>
          <w:highlight w:val="none"/>
        </w:rPr>
        <w:t>项目编号：</w:t>
      </w:r>
      <w:r>
        <w:rPr>
          <w:rStyle w:val="24"/>
          <w:rFonts w:hint="eastAsia" w:ascii="宋体" w:hAnsi="宋体" w:eastAsia="宋体" w:cs="宋体"/>
          <w:color w:val="auto"/>
          <w:sz w:val="31"/>
          <w:szCs w:val="31"/>
          <w:highlight w:val="none"/>
          <w:u w:val="single"/>
        </w:rPr>
        <w:t>（由供应商填写）</w:t>
      </w:r>
    </w:p>
    <w:p>
      <w:pPr>
        <w:pStyle w:val="16"/>
        <w:widowControl/>
        <w:ind w:firstLine="1920"/>
        <w:rPr>
          <w:color w:val="auto"/>
          <w:highlight w:val="none"/>
        </w:rPr>
      </w:pPr>
      <w:r>
        <w:rPr>
          <w:rStyle w:val="24"/>
          <w:rFonts w:hint="eastAsia" w:ascii="宋体" w:hAnsi="宋体" w:eastAsia="宋体" w:cs="宋体"/>
          <w:color w:val="auto"/>
          <w:sz w:val="31"/>
          <w:szCs w:val="31"/>
          <w:highlight w:val="none"/>
        </w:rPr>
        <w:t>所投合同包：</w:t>
      </w:r>
      <w:r>
        <w:rPr>
          <w:rStyle w:val="24"/>
          <w:rFonts w:hint="eastAsia" w:ascii="宋体" w:hAnsi="宋体" w:eastAsia="宋体" w:cs="宋体"/>
          <w:color w:val="auto"/>
          <w:sz w:val="31"/>
          <w:szCs w:val="31"/>
          <w:highlight w:val="none"/>
          <w:u w:val="single"/>
        </w:rPr>
        <w:t>（由供应商填写）</w:t>
      </w:r>
    </w:p>
    <w:p>
      <w:pPr>
        <w:pStyle w:val="16"/>
        <w:widowControl/>
        <w:rPr>
          <w:color w:val="auto"/>
          <w:highlight w:val="none"/>
        </w:rPr>
      </w:pPr>
      <w:r>
        <w:rPr>
          <w:rFonts w:hint="eastAsia" w:ascii="宋体" w:hAnsi="宋体" w:eastAsia="宋体" w:cs="宋体"/>
          <w:color w:val="auto"/>
          <w:sz w:val="36"/>
          <w:szCs w:val="36"/>
          <w:highlight w:val="none"/>
        </w:rPr>
        <w:t> </w:t>
      </w:r>
    </w:p>
    <w:p>
      <w:pPr>
        <w:pStyle w:val="16"/>
        <w:widowControl/>
        <w:rPr>
          <w:color w:val="auto"/>
          <w:highlight w:val="none"/>
        </w:rPr>
      </w:pPr>
      <w:r>
        <w:rPr>
          <w:rFonts w:hint="eastAsia" w:ascii="宋体" w:hAnsi="宋体" w:eastAsia="宋体" w:cs="宋体"/>
          <w:color w:val="auto"/>
          <w:sz w:val="36"/>
          <w:szCs w:val="36"/>
          <w:highlight w:val="none"/>
        </w:rPr>
        <w:t>  </w:t>
      </w:r>
    </w:p>
    <w:p>
      <w:pPr>
        <w:pStyle w:val="16"/>
        <w:widowControl/>
        <w:rPr>
          <w:color w:val="auto"/>
          <w:highlight w:val="none"/>
        </w:rPr>
      </w:pPr>
      <w:r>
        <w:rPr>
          <w:rFonts w:hint="eastAsia" w:ascii="宋体" w:hAnsi="宋体" w:eastAsia="宋体" w:cs="宋体"/>
          <w:color w:val="auto"/>
          <w:sz w:val="36"/>
          <w:szCs w:val="36"/>
          <w:highlight w:val="none"/>
        </w:rPr>
        <w:t> </w:t>
      </w:r>
    </w:p>
    <w:p>
      <w:pPr>
        <w:pStyle w:val="16"/>
        <w:widowControl/>
        <w:jc w:val="center"/>
        <w:rPr>
          <w:color w:val="auto"/>
          <w:highlight w:val="none"/>
        </w:rPr>
      </w:pPr>
      <w:r>
        <w:rPr>
          <w:rStyle w:val="24"/>
          <w:rFonts w:hint="eastAsia" w:ascii="宋体" w:hAnsi="宋体" w:eastAsia="宋体" w:cs="宋体"/>
          <w:color w:val="auto"/>
          <w:sz w:val="31"/>
          <w:szCs w:val="31"/>
          <w:highlight w:val="none"/>
        </w:rPr>
        <w:t>供应商：</w:t>
      </w:r>
      <w:r>
        <w:rPr>
          <w:rStyle w:val="24"/>
          <w:rFonts w:hint="eastAsia" w:ascii="宋体" w:hAnsi="宋体" w:eastAsia="宋体" w:cs="宋体"/>
          <w:color w:val="auto"/>
          <w:sz w:val="31"/>
          <w:szCs w:val="31"/>
          <w:highlight w:val="none"/>
          <w:u w:val="single"/>
        </w:rPr>
        <w:t>（填写“全称”）</w:t>
      </w:r>
    </w:p>
    <w:p>
      <w:pPr>
        <w:pStyle w:val="16"/>
        <w:widowControl/>
        <w:jc w:val="center"/>
        <w:rPr>
          <w:color w:val="auto"/>
          <w:highlight w:val="none"/>
        </w:rPr>
      </w:pPr>
      <w:r>
        <w:rPr>
          <w:rStyle w:val="24"/>
          <w:rFonts w:hint="eastAsia" w:ascii="宋体" w:hAnsi="宋体" w:eastAsia="宋体" w:cs="宋体"/>
          <w:color w:val="auto"/>
          <w:sz w:val="31"/>
          <w:szCs w:val="31"/>
          <w:highlight w:val="none"/>
          <w:u w:val="single"/>
        </w:rPr>
        <w:t>（由供应商填写）</w:t>
      </w:r>
      <w:r>
        <w:rPr>
          <w:rStyle w:val="24"/>
          <w:rFonts w:hint="eastAsia" w:ascii="宋体" w:hAnsi="宋体" w:eastAsia="宋体" w:cs="宋体"/>
          <w:color w:val="auto"/>
          <w:sz w:val="31"/>
          <w:szCs w:val="31"/>
          <w:highlight w:val="none"/>
        </w:rPr>
        <w:t>年</w:t>
      </w:r>
      <w:r>
        <w:rPr>
          <w:rStyle w:val="24"/>
          <w:rFonts w:hint="eastAsia" w:ascii="宋体" w:hAnsi="宋体" w:eastAsia="宋体" w:cs="宋体"/>
          <w:color w:val="auto"/>
          <w:sz w:val="31"/>
          <w:szCs w:val="31"/>
          <w:highlight w:val="none"/>
          <w:u w:val="single"/>
        </w:rPr>
        <w:t>（由供应商填写）</w:t>
      </w:r>
      <w:r>
        <w:rPr>
          <w:rStyle w:val="24"/>
          <w:rFonts w:hint="eastAsia" w:ascii="宋体" w:hAnsi="宋体" w:eastAsia="宋体" w:cs="宋体"/>
          <w:color w:val="auto"/>
          <w:sz w:val="31"/>
          <w:szCs w:val="31"/>
          <w:highlight w:val="none"/>
        </w:rPr>
        <w:t>月</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 </w:t>
      </w:r>
    </w:p>
    <w:p>
      <w:pPr>
        <w:rPr>
          <w:color w:val="auto"/>
          <w:highlight w:val="none"/>
        </w:rPr>
      </w:pPr>
    </w:p>
    <w:p>
      <w:pPr>
        <w:rPr>
          <w:rFonts w:ascii="Calibri" w:hAnsi="Calibri" w:cs="Calibri"/>
          <w:color w:val="auto"/>
          <w:szCs w:val="21"/>
          <w:highlight w:val="none"/>
        </w:rPr>
      </w:pPr>
      <w:r>
        <w:rPr>
          <w:rFonts w:ascii="Calibri" w:hAnsi="Calibri" w:cs="Calibri"/>
          <w:color w:val="auto"/>
          <w:szCs w:val="21"/>
          <w:highlight w:val="none"/>
        </w:rPr>
        <w:br w:type="page"/>
      </w:r>
    </w:p>
    <w:p>
      <w:pPr>
        <w:pStyle w:val="16"/>
        <w:widowControl/>
        <w:jc w:val="center"/>
        <w:rPr>
          <w:color w:val="auto"/>
          <w:highlight w:val="none"/>
        </w:rPr>
      </w:pPr>
      <w:r>
        <w:rPr>
          <w:rStyle w:val="24"/>
          <w:rFonts w:hint="eastAsia" w:ascii="宋体" w:hAnsi="宋体" w:eastAsia="宋体" w:cs="宋体"/>
          <w:color w:val="auto"/>
          <w:sz w:val="28"/>
          <w:szCs w:val="28"/>
          <w:highlight w:val="none"/>
        </w:rPr>
        <w:t>索引</w:t>
      </w:r>
    </w:p>
    <w:p>
      <w:pPr>
        <w:pStyle w:val="16"/>
        <w:widowControl/>
        <w:rPr>
          <w:color w:val="auto"/>
          <w:highlight w:val="none"/>
        </w:rPr>
      </w:pPr>
      <w:r>
        <w:rPr>
          <w:rFonts w:hint="eastAsia" w:ascii="宋体" w:hAnsi="宋体" w:eastAsia="宋体" w:cs="宋体"/>
          <w:color w:val="auto"/>
          <w:sz w:val="28"/>
          <w:szCs w:val="28"/>
          <w:highlight w:val="none"/>
        </w:rPr>
        <w:t>一、开标一览表</w:t>
      </w:r>
    </w:p>
    <w:p>
      <w:pPr>
        <w:pStyle w:val="16"/>
        <w:widowControl/>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二、</w:t>
      </w:r>
      <w:r>
        <w:rPr>
          <w:rFonts w:hint="eastAsia" w:ascii="宋体" w:hAnsi="宋体" w:eastAsia="宋体" w:cs="宋体"/>
          <w:color w:val="auto"/>
          <w:sz w:val="28"/>
          <w:szCs w:val="28"/>
          <w:highlight w:val="none"/>
          <w:lang w:val="en-US" w:eastAsia="zh-CN"/>
        </w:rPr>
        <w:t>投标分项报价表</w:t>
      </w:r>
    </w:p>
    <w:p>
      <w:pPr>
        <w:pStyle w:val="16"/>
        <w:widowControl/>
        <w:rPr>
          <w:color w:val="auto"/>
          <w:highlight w:val="none"/>
        </w:rPr>
      </w:pP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、征集文件规定的价格扣除证明材料（若有）</w:t>
      </w:r>
    </w:p>
    <w:p>
      <w:pPr>
        <w:pStyle w:val="16"/>
        <w:widowControl/>
        <w:rPr>
          <w:color w:val="auto"/>
          <w:highlight w:val="none"/>
        </w:rPr>
      </w:pP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jc w:val="center"/>
        <w:rPr>
          <w:rFonts w:ascii="Calibri" w:hAnsi="Calibri" w:cs="Calibri"/>
          <w:color w:val="auto"/>
          <w:sz w:val="21"/>
          <w:szCs w:val="21"/>
          <w:highlight w:val="none"/>
        </w:rPr>
      </w:pPr>
    </w:p>
    <w:p>
      <w:pPr>
        <w:rPr>
          <w:color w:val="auto"/>
          <w:highlight w:val="none"/>
        </w:rPr>
      </w:pPr>
    </w:p>
    <w:p>
      <w:pPr>
        <w:rPr>
          <w:rFonts w:ascii="Calibri" w:hAnsi="Calibri" w:cs="Calibri"/>
          <w:color w:val="auto"/>
          <w:szCs w:val="21"/>
          <w:highlight w:val="none"/>
        </w:rPr>
      </w:pPr>
      <w:r>
        <w:rPr>
          <w:rFonts w:ascii="Calibri" w:hAnsi="Calibri" w:cs="Calibri"/>
          <w:color w:val="auto"/>
          <w:szCs w:val="21"/>
          <w:highlight w:val="none"/>
        </w:rPr>
        <w:br w:type="page"/>
      </w:r>
    </w:p>
    <w:p>
      <w:pPr>
        <w:pStyle w:val="16"/>
        <w:widowControl/>
        <w:jc w:val="center"/>
        <w:rPr>
          <w:color w:val="auto"/>
          <w:highlight w:val="none"/>
        </w:rPr>
      </w:pPr>
      <w:r>
        <w:rPr>
          <w:rStyle w:val="24"/>
          <w:rFonts w:hint="eastAsia" w:ascii="宋体" w:hAnsi="宋体" w:eastAsia="宋体" w:cs="宋体"/>
          <w:color w:val="auto"/>
          <w:sz w:val="21"/>
          <w:szCs w:val="21"/>
          <w:highlight w:val="none"/>
        </w:rPr>
        <w:t>一、开标一览表</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p>
      <w:pPr>
        <w:pStyle w:val="16"/>
        <w:widowControl/>
        <w:jc w:val="right"/>
        <w:rPr>
          <w:color w:val="auto"/>
          <w:highlight w:val="none"/>
        </w:rPr>
      </w:pPr>
    </w:p>
    <w:tbl>
      <w:tblPr>
        <w:tblStyle w:val="20"/>
        <w:tblW w:w="7818"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11"/>
        <w:gridCol w:w="572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6" w:type="dxa"/>
            <w:tcBorders>
              <w:tl2br w:val="nil"/>
              <w:tr2bl w:val="nil"/>
            </w:tcBorders>
            <w:shd w:val="clear" w:color="auto" w:fill="auto"/>
            <w:tcMar>
              <w:top w:w="0" w:type="dxa"/>
              <w:left w:w="105" w:type="dxa"/>
              <w:bottom w:w="0" w:type="dxa"/>
              <w:right w:w="105" w:type="dxa"/>
            </w:tcMar>
            <w:vAlign w:val="center"/>
          </w:tcPr>
          <w:p>
            <w:pPr>
              <w:pStyle w:val="16"/>
              <w:widowControl/>
              <w:jc w:val="center"/>
              <w:rPr>
                <w:color w:val="auto"/>
                <w:highlight w:val="none"/>
              </w:rPr>
            </w:pPr>
            <w:r>
              <w:rPr>
                <w:rFonts w:hint="eastAsia" w:ascii="宋体" w:hAnsi="宋体" w:eastAsia="宋体" w:cs="宋体"/>
                <w:color w:val="auto"/>
                <w:sz w:val="21"/>
                <w:szCs w:val="21"/>
                <w:highlight w:val="none"/>
              </w:rPr>
              <w:t>合同包</w:t>
            </w:r>
          </w:p>
        </w:tc>
        <w:tc>
          <w:tcPr>
            <w:tcW w:w="5690" w:type="dxa"/>
            <w:tcBorders>
              <w:tl2br w:val="nil"/>
              <w:tr2bl w:val="nil"/>
            </w:tcBorders>
            <w:shd w:val="clear" w:color="auto" w:fill="auto"/>
            <w:tcMar>
              <w:top w:w="0" w:type="dxa"/>
              <w:left w:w="105" w:type="dxa"/>
              <w:bottom w:w="0" w:type="dxa"/>
              <w:right w:w="105" w:type="dxa"/>
            </w:tcMar>
            <w:vAlign w:val="center"/>
          </w:tcPr>
          <w:p>
            <w:pPr>
              <w:pStyle w:val="16"/>
              <w:widowControl/>
              <w:spacing w:before="100" w:after="100"/>
              <w:jc w:val="center"/>
              <w:rPr>
                <w:rFonts w:hint="default" w:eastAsiaTheme="minorEastAsia"/>
                <w:color w:val="auto"/>
                <w:highlight w:val="none"/>
                <w:lang w:val="en-US" w:eastAsia="zh-CN"/>
              </w:rPr>
            </w:pPr>
            <w:r>
              <w:rPr>
                <w:rFonts w:hint="eastAsia" w:ascii="宋体" w:hAnsi="宋体" w:eastAsia="宋体" w:cs="宋体"/>
                <w:color w:val="auto"/>
                <w:sz w:val="21"/>
                <w:szCs w:val="21"/>
                <w:highlight w:val="none"/>
                <w:lang w:val="en-US" w:eastAsia="zh-CN"/>
              </w:rPr>
              <w:t>投标报价</w:t>
            </w:r>
          </w:p>
        </w:tc>
        <w:tc>
          <w:tcPr>
            <w:tcW w:w="1042" w:type="dxa"/>
            <w:tcBorders>
              <w:tl2br w:val="nil"/>
              <w:tr2bl w:val="nil"/>
            </w:tcBorders>
            <w:shd w:val="clear" w:color="auto" w:fill="auto"/>
            <w:tcMar>
              <w:top w:w="0" w:type="dxa"/>
              <w:left w:w="105" w:type="dxa"/>
              <w:bottom w:w="0" w:type="dxa"/>
              <w:right w:w="105" w:type="dxa"/>
            </w:tcMar>
            <w:vAlign w:val="center"/>
          </w:tcPr>
          <w:p>
            <w:pPr>
              <w:pStyle w:val="16"/>
              <w:widowControl/>
              <w:jc w:val="center"/>
              <w:rPr>
                <w:color w:val="auto"/>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0" w:hRule="atLeast"/>
          <w:tblCellSpacing w:w="15" w:type="dxa"/>
        </w:trPr>
        <w:tc>
          <w:tcPr>
            <w:tcW w:w="966" w:type="dxa"/>
            <w:tcBorders>
              <w:tl2br w:val="nil"/>
              <w:tr2bl w:val="nil"/>
            </w:tcBorders>
            <w:shd w:val="clear" w:color="auto" w:fill="auto"/>
            <w:tcMar>
              <w:top w:w="0" w:type="dxa"/>
              <w:left w:w="105" w:type="dxa"/>
              <w:bottom w:w="0" w:type="dxa"/>
              <w:right w:w="105" w:type="dxa"/>
            </w:tcMar>
            <w:vAlign w:val="center"/>
          </w:tcPr>
          <w:p>
            <w:pPr>
              <w:pStyle w:val="16"/>
              <w:widowControl/>
              <w:jc w:val="center"/>
              <w:rPr>
                <w:color w:val="auto"/>
                <w:highlight w:val="none"/>
              </w:rPr>
            </w:pPr>
            <w:r>
              <w:rPr>
                <w:rFonts w:hint="eastAsia" w:ascii="宋体" w:hAnsi="宋体" w:eastAsia="宋体" w:cs="宋体"/>
                <w:color w:val="auto"/>
                <w:sz w:val="21"/>
                <w:szCs w:val="21"/>
                <w:highlight w:val="none"/>
              </w:rPr>
              <w:t>1</w:t>
            </w:r>
          </w:p>
        </w:tc>
        <w:tc>
          <w:tcPr>
            <w:tcW w:w="5690" w:type="dxa"/>
            <w:tcBorders>
              <w:tl2br w:val="nil"/>
              <w:tr2bl w:val="nil"/>
            </w:tcBorders>
            <w:shd w:val="clear" w:color="auto" w:fill="auto"/>
            <w:tcMar>
              <w:top w:w="0" w:type="dxa"/>
              <w:left w:w="105" w:type="dxa"/>
              <w:bottom w:w="0" w:type="dxa"/>
              <w:right w:w="105" w:type="dxa"/>
            </w:tcMar>
            <w:vAlign w:val="center"/>
          </w:tcPr>
          <w:p>
            <w:pPr>
              <w:pStyle w:val="16"/>
              <w:widowControl/>
              <w:spacing w:before="100" w:after="100"/>
              <w:jc w:val="center"/>
              <w:rPr>
                <w:color w:val="auto"/>
                <w:highlight w:val="none"/>
              </w:rPr>
            </w:pPr>
          </w:p>
        </w:tc>
        <w:tc>
          <w:tcPr>
            <w:tcW w:w="1042" w:type="dxa"/>
            <w:tcBorders>
              <w:tl2br w:val="nil"/>
              <w:tr2bl w:val="nil"/>
            </w:tcBorders>
            <w:shd w:val="clear" w:color="auto" w:fill="auto"/>
            <w:tcMar>
              <w:top w:w="0" w:type="dxa"/>
              <w:left w:w="105" w:type="dxa"/>
              <w:bottom w:w="0" w:type="dxa"/>
              <w:right w:w="105" w:type="dxa"/>
            </w:tcMar>
            <w:vAlign w:val="center"/>
          </w:tcPr>
          <w:p>
            <w:pPr>
              <w:pStyle w:val="16"/>
              <w:widowControl/>
              <w:rPr>
                <w:color w:val="auto"/>
                <w:highlight w:val="none"/>
              </w:rPr>
            </w:pPr>
          </w:p>
        </w:tc>
      </w:tr>
    </w:tbl>
    <w:p>
      <w:pPr>
        <w:pStyle w:val="16"/>
        <w:widowControl/>
        <w:rPr>
          <w:color w:val="auto"/>
          <w:highlight w:val="none"/>
        </w:rPr>
      </w:pPr>
      <w:r>
        <w:rPr>
          <w:rFonts w:hint="eastAsia" w:ascii="宋体" w:hAnsi="宋体" w:eastAsia="宋体" w:cs="宋体"/>
          <w:color w:val="auto"/>
          <w:sz w:val="21"/>
          <w:szCs w:val="21"/>
          <w:highlight w:val="none"/>
        </w:rPr>
        <w:t>★注意：</w:t>
      </w:r>
    </w:p>
    <w:p>
      <w:pPr>
        <w:pStyle w:val="16"/>
        <w:widowControl/>
        <w:rPr>
          <w:color w:val="auto"/>
          <w:highlight w:val="none"/>
        </w:rPr>
      </w:pPr>
      <w:r>
        <w:rPr>
          <w:rFonts w:hint="eastAsia" w:ascii="宋体" w:hAnsi="宋体" w:eastAsia="宋体" w:cs="宋体"/>
          <w:color w:val="auto"/>
          <w:sz w:val="21"/>
          <w:szCs w:val="21"/>
          <w:highlight w:val="none"/>
        </w:rPr>
        <w:t>1、本表应按照下列规定填写：</w:t>
      </w:r>
    </w:p>
    <w:p>
      <w:pPr>
        <w:pStyle w:val="16"/>
        <w:widowControl/>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1.1供应商应按照本表格式填写所投的合同包的“</w:t>
      </w:r>
      <w:r>
        <w:rPr>
          <w:rFonts w:hint="eastAsia" w:ascii="宋体" w:hAnsi="宋体" w:eastAsia="宋体" w:cs="宋体"/>
          <w:color w:val="auto"/>
          <w:sz w:val="21"/>
          <w:szCs w:val="21"/>
          <w:highlight w:val="none"/>
          <w:lang w:val="en-US" w:eastAsia="zh-CN"/>
        </w:rPr>
        <w:t>投标报价</w:t>
      </w:r>
      <w:r>
        <w:rPr>
          <w:rFonts w:hint="eastAsia" w:ascii="宋体" w:hAnsi="宋体" w:eastAsia="宋体" w:cs="宋体"/>
          <w:color w:val="auto"/>
          <w:sz w:val="21"/>
          <w:szCs w:val="21"/>
          <w:highlight w:val="none"/>
        </w:rPr>
        <w:t>”。</w:t>
      </w:r>
    </w:p>
    <w:p>
      <w:pPr>
        <w:pStyle w:val="16"/>
        <w:widowControl/>
        <w:rPr>
          <w:color w:val="auto"/>
          <w:highlight w:val="none"/>
        </w:rPr>
      </w:pPr>
      <w:r>
        <w:rPr>
          <w:rFonts w:hint="eastAsia" w:ascii="宋体" w:hAnsi="宋体" w:eastAsia="宋体" w:cs="宋体"/>
          <w:color w:val="auto"/>
          <w:sz w:val="21"/>
          <w:szCs w:val="21"/>
          <w:highlight w:val="none"/>
        </w:rPr>
        <w:t>2、纸质响应文件正本中的本表应为原件。</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（全称并加盖单位公章）</w:t>
      </w:r>
    </w:p>
    <w:p>
      <w:pPr>
        <w:pStyle w:val="16"/>
        <w:widowControl/>
        <w:rPr>
          <w:color w:val="auto"/>
          <w:highlight w:val="none"/>
        </w:rPr>
      </w:pPr>
      <w:r>
        <w:rPr>
          <w:rFonts w:hint="eastAsia" w:ascii="宋体" w:hAnsi="宋体" w:eastAsia="宋体" w:cs="宋体"/>
          <w:color w:val="auto"/>
          <w:sz w:val="21"/>
          <w:szCs w:val="21"/>
          <w:highlight w:val="none"/>
        </w:rPr>
        <w:t>供应商代表签字：</w:t>
      </w:r>
      <w:r>
        <w:rPr>
          <w:rFonts w:hint="eastAsia" w:ascii="宋体" w:hAnsi="宋体" w:eastAsia="宋体" w:cs="宋体"/>
          <w:color w:val="auto"/>
          <w:sz w:val="21"/>
          <w:szCs w:val="21"/>
          <w:highlight w:val="none"/>
          <w:u w:val="single"/>
        </w:rPr>
        <w:t>                   </w:t>
      </w:r>
    </w:p>
    <w:p>
      <w:pPr>
        <w:pStyle w:val="16"/>
        <w:widowControl/>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6"/>
        <w:widowControl/>
        <w:rPr>
          <w:rStyle w:val="24"/>
          <w:rFonts w:ascii="Calibri" w:hAnsi="Calibri" w:cs="Calibri"/>
          <w:color w:val="auto"/>
          <w:sz w:val="21"/>
          <w:szCs w:val="21"/>
          <w:highlight w:val="none"/>
        </w:rPr>
      </w:pPr>
      <w:r>
        <w:rPr>
          <w:rStyle w:val="24"/>
          <w:rFonts w:ascii="Calibri" w:hAnsi="Calibri" w:cs="Calibri"/>
          <w:color w:val="auto"/>
          <w:sz w:val="21"/>
          <w:szCs w:val="21"/>
          <w:highlight w:val="none"/>
        </w:rPr>
        <w:br w:type="page"/>
      </w:r>
    </w:p>
    <w:p>
      <w:pPr>
        <w:pStyle w:val="16"/>
        <w:widowControl/>
        <w:numPr>
          <w:ilvl w:val="0"/>
          <w:numId w:val="2"/>
        </w:numPr>
        <w:ind w:left="3553" w:leftChars="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投标分项报价表</w:t>
      </w:r>
    </w:p>
    <w:p>
      <w:pPr>
        <w:rPr>
          <w:rStyle w:val="24"/>
          <w:rFonts w:hint="eastAsia" w:ascii="Calibri" w:hAnsi="Calibri" w:cs="Calibri"/>
          <w:color w:val="auto"/>
          <w:sz w:val="21"/>
          <w:szCs w:val="21"/>
          <w:highlight w:val="none"/>
          <w:lang w:val="en-US" w:eastAsia="zh-CN"/>
        </w:rPr>
      </w:pPr>
    </w:p>
    <w:p>
      <w:pPr>
        <w:pStyle w:val="16"/>
        <w:keepNext w:val="0"/>
        <w:keepLines w:val="0"/>
        <w:widowControl/>
        <w:suppressLineNumbers w:val="0"/>
        <w:spacing w:line="240" w:lineRule="auto"/>
        <w:ind w:left="0" w:firstLine="0"/>
        <w:rPr>
          <w:rFonts w:hint="eastAsia" w:ascii="宋体" w:hAnsi="宋体" w:eastAsia="宋体" w:cs="宋体"/>
          <w:color w:val="auto"/>
          <w:sz w:val="24"/>
          <w:szCs w:val="24"/>
          <w:highlight w:val="none"/>
        </w:rPr>
      </w:pPr>
      <w:r>
        <w:rPr>
          <w:rStyle w:val="24"/>
          <w:rFonts w:hint="eastAsia" w:ascii="宋体" w:hAnsi="宋体" w:eastAsia="宋体" w:cs="宋体"/>
          <w:color w:val="auto"/>
          <w:spacing w:val="0"/>
          <w:sz w:val="24"/>
          <w:szCs w:val="24"/>
          <w:highlight w:val="none"/>
          <w:shd w:val="clear" w:color="auto" w:fill="FFFFFF"/>
        </w:rPr>
        <w:t>附件</w:t>
      </w:r>
    </w:p>
    <w:p>
      <w:pPr>
        <w:pStyle w:val="16"/>
        <w:keepNext w:val="0"/>
        <w:keepLines w:val="0"/>
        <w:widowControl/>
        <w:suppressLineNumbers w:val="0"/>
        <w:spacing w:line="240" w:lineRule="auto"/>
        <w:ind w:left="630" w:right="0" w:firstLine="2250"/>
        <w:jc w:val="both"/>
        <w:rPr>
          <w:rFonts w:hint="eastAsia" w:ascii="宋体" w:hAnsi="宋体" w:eastAsia="宋体" w:cs="宋体"/>
          <w:color w:val="auto"/>
          <w:sz w:val="24"/>
          <w:szCs w:val="24"/>
          <w:highlight w:val="none"/>
        </w:rPr>
      </w:pPr>
      <w:r>
        <w:rPr>
          <w:rStyle w:val="24"/>
          <w:rFonts w:hint="eastAsia" w:ascii="宋体" w:hAnsi="宋体" w:eastAsia="宋体" w:cs="宋体"/>
          <w:color w:val="auto"/>
          <w:spacing w:val="0"/>
          <w:sz w:val="24"/>
          <w:szCs w:val="24"/>
          <w:highlight w:val="none"/>
        </w:rPr>
        <w:t>1、客房一览表</w:t>
      </w:r>
    </w:p>
    <w:p>
      <w:pPr>
        <w:pStyle w:val="16"/>
        <w:keepNext w:val="0"/>
        <w:keepLines w:val="0"/>
        <w:widowControl/>
        <w:suppressLineNumbers w:val="0"/>
        <w:spacing w:line="240" w:lineRule="auto"/>
        <w:ind w:right="0"/>
        <w:jc w:val="both"/>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名 称：（全称并加盖公章）     货币单位： 元</w:t>
      </w:r>
    </w:p>
    <w:tbl>
      <w:tblPr>
        <w:tblStyle w:val="20"/>
        <w:tblW w:w="939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035"/>
        <w:gridCol w:w="1440"/>
        <w:gridCol w:w="1065"/>
        <w:gridCol w:w="1485"/>
        <w:gridCol w:w="480"/>
        <w:gridCol w:w="765"/>
        <w:gridCol w:w="2235"/>
        <w:gridCol w:w="8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40" w:hRule="atLeast"/>
          <w:tblCellSpacing w:w="15" w:type="dxa"/>
        </w:trPr>
        <w:tc>
          <w:tcPr>
            <w:tcW w:w="99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序号</w:t>
            </w:r>
          </w:p>
        </w:tc>
        <w:tc>
          <w:tcPr>
            <w:tcW w:w="141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房间类型</w:t>
            </w:r>
          </w:p>
        </w:tc>
        <w:tc>
          <w:tcPr>
            <w:tcW w:w="1035"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门市价</w:t>
            </w:r>
          </w:p>
        </w:tc>
        <w:tc>
          <w:tcPr>
            <w:tcW w:w="1455"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after="0" w:afterAutospacing="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投标报价</w:t>
            </w:r>
          </w:p>
          <w:p>
            <w:pPr>
              <w:pStyle w:val="16"/>
              <w:keepNext w:val="0"/>
              <w:keepLines w:val="0"/>
              <w:widowControl/>
              <w:suppressLineNumbers w:val="0"/>
              <w:spacing w:after="0" w:afterAutospacing="0"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（每天每间）</w:t>
            </w:r>
          </w:p>
        </w:tc>
        <w:tc>
          <w:tcPr>
            <w:tcW w:w="435"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数量</w:t>
            </w:r>
          </w:p>
        </w:tc>
        <w:tc>
          <w:tcPr>
            <w:tcW w:w="735"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位置情况</w:t>
            </w:r>
          </w:p>
        </w:tc>
        <w:tc>
          <w:tcPr>
            <w:tcW w:w="2205"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基本情况（面积/设备配置等）</w:t>
            </w:r>
          </w:p>
        </w:tc>
        <w:tc>
          <w:tcPr>
            <w:tcW w:w="84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35" w:hRule="atLeast"/>
          <w:tblCellSpacing w:w="15" w:type="dxa"/>
        </w:trPr>
        <w:tc>
          <w:tcPr>
            <w:tcW w:w="99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1</w:t>
            </w:r>
          </w:p>
        </w:tc>
        <w:tc>
          <w:tcPr>
            <w:tcW w:w="141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标准间a</w:t>
            </w:r>
          </w:p>
        </w:tc>
        <w:tc>
          <w:tcPr>
            <w:tcW w:w="103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1455" w:type="dxa"/>
            <w:tcBorders>
              <w:top w:val="nil"/>
              <w:left w:val="nil"/>
              <w:bottom w:val="nil"/>
              <w:right w:val="nil"/>
            </w:tcBorders>
            <w:noWrap w:val="0"/>
            <w:tcMar>
              <w:top w:w="0" w:type="dxa"/>
              <w:left w:w="105" w:type="dxa"/>
              <w:bottom w:w="0" w:type="dxa"/>
              <w:right w:w="105" w:type="dxa"/>
            </w:tcMar>
            <w:vAlign w:val="top"/>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435" w:type="dxa"/>
            <w:tcBorders>
              <w:top w:val="nil"/>
              <w:left w:val="nil"/>
              <w:bottom w:val="nil"/>
              <w:right w:val="nil"/>
            </w:tcBorders>
            <w:noWrap w:val="0"/>
            <w:tcMar>
              <w:top w:w="0" w:type="dxa"/>
              <w:left w:w="105" w:type="dxa"/>
              <w:bottom w:w="0" w:type="dxa"/>
              <w:right w:w="105" w:type="dxa"/>
            </w:tcMar>
            <w:vAlign w:val="top"/>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73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220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84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5" w:hRule="atLeast"/>
          <w:tblCellSpacing w:w="15" w:type="dxa"/>
        </w:trPr>
        <w:tc>
          <w:tcPr>
            <w:tcW w:w="99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2</w:t>
            </w:r>
          </w:p>
        </w:tc>
        <w:tc>
          <w:tcPr>
            <w:tcW w:w="141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标准间b</w:t>
            </w:r>
          </w:p>
        </w:tc>
        <w:tc>
          <w:tcPr>
            <w:tcW w:w="103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1455" w:type="dxa"/>
            <w:tcBorders>
              <w:top w:val="nil"/>
              <w:left w:val="nil"/>
              <w:bottom w:val="nil"/>
              <w:right w:val="nil"/>
            </w:tcBorders>
            <w:noWrap w:val="0"/>
            <w:tcMar>
              <w:top w:w="0" w:type="dxa"/>
              <w:left w:w="105" w:type="dxa"/>
              <w:bottom w:w="0" w:type="dxa"/>
              <w:right w:w="105" w:type="dxa"/>
            </w:tcMar>
            <w:vAlign w:val="top"/>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435" w:type="dxa"/>
            <w:tcBorders>
              <w:top w:val="nil"/>
              <w:left w:val="nil"/>
              <w:bottom w:val="nil"/>
              <w:right w:val="nil"/>
            </w:tcBorders>
            <w:noWrap w:val="0"/>
            <w:tcMar>
              <w:top w:w="0" w:type="dxa"/>
              <w:left w:w="105" w:type="dxa"/>
              <w:bottom w:w="0" w:type="dxa"/>
              <w:right w:w="105" w:type="dxa"/>
            </w:tcMar>
            <w:vAlign w:val="top"/>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73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220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84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5" w:hRule="atLeast"/>
          <w:tblCellSpacing w:w="15" w:type="dxa"/>
        </w:trPr>
        <w:tc>
          <w:tcPr>
            <w:tcW w:w="99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3</w:t>
            </w:r>
          </w:p>
        </w:tc>
        <w:tc>
          <w:tcPr>
            <w:tcW w:w="141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标准间c</w:t>
            </w:r>
          </w:p>
        </w:tc>
        <w:tc>
          <w:tcPr>
            <w:tcW w:w="103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1455" w:type="dxa"/>
            <w:tcBorders>
              <w:top w:val="nil"/>
              <w:left w:val="nil"/>
              <w:bottom w:val="nil"/>
              <w:right w:val="nil"/>
            </w:tcBorders>
            <w:noWrap w:val="0"/>
            <w:tcMar>
              <w:top w:w="0" w:type="dxa"/>
              <w:left w:w="105" w:type="dxa"/>
              <w:bottom w:w="0" w:type="dxa"/>
              <w:right w:w="105" w:type="dxa"/>
            </w:tcMar>
            <w:vAlign w:val="top"/>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435" w:type="dxa"/>
            <w:tcBorders>
              <w:top w:val="nil"/>
              <w:left w:val="nil"/>
              <w:bottom w:val="nil"/>
              <w:right w:val="nil"/>
            </w:tcBorders>
            <w:noWrap w:val="0"/>
            <w:tcMar>
              <w:top w:w="0" w:type="dxa"/>
              <w:left w:w="105" w:type="dxa"/>
              <w:bottom w:w="0" w:type="dxa"/>
              <w:right w:w="105" w:type="dxa"/>
            </w:tcMar>
            <w:vAlign w:val="top"/>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73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220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84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5" w:hRule="atLeast"/>
          <w:tblCellSpacing w:w="15" w:type="dxa"/>
        </w:trPr>
        <w:tc>
          <w:tcPr>
            <w:tcW w:w="99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4</w:t>
            </w:r>
          </w:p>
        </w:tc>
        <w:tc>
          <w:tcPr>
            <w:tcW w:w="141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单 间a</w:t>
            </w:r>
          </w:p>
        </w:tc>
        <w:tc>
          <w:tcPr>
            <w:tcW w:w="103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1455" w:type="dxa"/>
            <w:tcBorders>
              <w:top w:val="nil"/>
              <w:left w:val="nil"/>
              <w:bottom w:val="nil"/>
              <w:right w:val="nil"/>
            </w:tcBorders>
            <w:noWrap w:val="0"/>
            <w:tcMar>
              <w:top w:w="0" w:type="dxa"/>
              <w:left w:w="105" w:type="dxa"/>
              <w:bottom w:w="0" w:type="dxa"/>
              <w:right w:w="105" w:type="dxa"/>
            </w:tcMar>
            <w:vAlign w:val="top"/>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435" w:type="dxa"/>
            <w:tcBorders>
              <w:top w:val="nil"/>
              <w:left w:val="nil"/>
              <w:bottom w:val="nil"/>
              <w:right w:val="nil"/>
            </w:tcBorders>
            <w:noWrap w:val="0"/>
            <w:tcMar>
              <w:top w:w="0" w:type="dxa"/>
              <w:left w:w="105" w:type="dxa"/>
              <w:bottom w:w="0" w:type="dxa"/>
              <w:right w:w="105" w:type="dxa"/>
            </w:tcMar>
            <w:vAlign w:val="top"/>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73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220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84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5" w:hRule="atLeast"/>
          <w:tblCellSpacing w:w="15" w:type="dxa"/>
        </w:trPr>
        <w:tc>
          <w:tcPr>
            <w:tcW w:w="99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5</w:t>
            </w:r>
          </w:p>
        </w:tc>
        <w:tc>
          <w:tcPr>
            <w:tcW w:w="141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单 间b</w:t>
            </w:r>
          </w:p>
        </w:tc>
        <w:tc>
          <w:tcPr>
            <w:tcW w:w="103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1455" w:type="dxa"/>
            <w:tcBorders>
              <w:top w:val="nil"/>
              <w:left w:val="nil"/>
              <w:bottom w:val="nil"/>
              <w:right w:val="nil"/>
            </w:tcBorders>
            <w:noWrap w:val="0"/>
            <w:tcMar>
              <w:top w:w="0" w:type="dxa"/>
              <w:left w:w="105" w:type="dxa"/>
              <w:bottom w:w="0" w:type="dxa"/>
              <w:right w:w="105" w:type="dxa"/>
            </w:tcMar>
            <w:vAlign w:val="top"/>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435" w:type="dxa"/>
            <w:tcBorders>
              <w:top w:val="nil"/>
              <w:left w:val="nil"/>
              <w:bottom w:val="nil"/>
              <w:right w:val="nil"/>
            </w:tcBorders>
            <w:noWrap w:val="0"/>
            <w:tcMar>
              <w:top w:w="0" w:type="dxa"/>
              <w:left w:w="105" w:type="dxa"/>
              <w:bottom w:w="0" w:type="dxa"/>
              <w:right w:w="105" w:type="dxa"/>
            </w:tcMar>
            <w:vAlign w:val="top"/>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73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220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84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90" w:hRule="atLeast"/>
          <w:tblCellSpacing w:w="15" w:type="dxa"/>
        </w:trPr>
        <w:tc>
          <w:tcPr>
            <w:tcW w:w="99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6</w:t>
            </w:r>
          </w:p>
        </w:tc>
        <w:tc>
          <w:tcPr>
            <w:tcW w:w="141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单 间c</w:t>
            </w:r>
          </w:p>
        </w:tc>
        <w:tc>
          <w:tcPr>
            <w:tcW w:w="103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1455" w:type="dxa"/>
            <w:tcBorders>
              <w:top w:val="nil"/>
              <w:left w:val="nil"/>
              <w:bottom w:val="nil"/>
              <w:right w:val="nil"/>
            </w:tcBorders>
            <w:noWrap w:val="0"/>
            <w:tcMar>
              <w:top w:w="0" w:type="dxa"/>
              <w:left w:w="105" w:type="dxa"/>
              <w:bottom w:w="0" w:type="dxa"/>
              <w:right w:w="105" w:type="dxa"/>
            </w:tcMar>
            <w:vAlign w:val="top"/>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435" w:type="dxa"/>
            <w:tcBorders>
              <w:top w:val="nil"/>
              <w:left w:val="nil"/>
              <w:bottom w:val="nil"/>
              <w:right w:val="nil"/>
            </w:tcBorders>
            <w:noWrap w:val="0"/>
            <w:tcMar>
              <w:top w:w="0" w:type="dxa"/>
              <w:left w:w="105" w:type="dxa"/>
              <w:bottom w:w="0" w:type="dxa"/>
              <w:right w:w="105" w:type="dxa"/>
            </w:tcMar>
            <w:vAlign w:val="top"/>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73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220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84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r>
    </w:tbl>
    <w:p>
      <w:pPr>
        <w:pStyle w:val="16"/>
        <w:widowControl/>
        <w:rPr>
          <w:color w:val="auto"/>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（全称并加盖单位公章）</w:t>
      </w:r>
    </w:p>
    <w:p>
      <w:pPr>
        <w:pStyle w:val="16"/>
        <w:widowControl/>
        <w:rPr>
          <w:color w:val="auto"/>
          <w:highlight w:val="none"/>
        </w:rPr>
      </w:pPr>
      <w:r>
        <w:rPr>
          <w:rFonts w:hint="eastAsia" w:ascii="宋体" w:hAnsi="宋体" w:eastAsia="宋体" w:cs="宋体"/>
          <w:color w:val="auto"/>
          <w:sz w:val="21"/>
          <w:szCs w:val="21"/>
          <w:highlight w:val="none"/>
        </w:rPr>
        <w:t>供应商代表签字：</w:t>
      </w:r>
      <w:r>
        <w:rPr>
          <w:rFonts w:hint="eastAsia" w:ascii="宋体" w:hAnsi="宋体" w:eastAsia="宋体" w:cs="宋体"/>
          <w:color w:val="auto"/>
          <w:sz w:val="21"/>
          <w:szCs w:val="21"/>
          <w:highlight w:val="none"/>
          <w:u w:val="single"/>
        </w:rPr>
        <w:t>                   </w:t>
      </w:r>
    </w:p>
    <w:p>
      <w:pPr>
        <w:pStyle w:val="16"/>
        <w:widowControl/>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6"/>
        <w:keepNext w:val="0"/>
        <w:keepLines w:val="0"/>
        <w:widowControl/>
        <w:suppressLineNumbers w:val="0"/>
        <w:spacing w:line="240" w:lineRule="auto"/>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color w:val="auto"/>
          <w:highlight w:val="none"/>
        </w:rPr>
      </w:pPr>
    </w:p>
    <w:p>
      <w:pPr>
        <w:rPr>
          <w:rFonts w:hint="eastAsia" w:ascii="宋体" w:hAnsi="宋体" w:eastAsia="宋体" w:cs="宋体"/>
          <w:color w:val="auto"/>
          <w:sz w:val="24"/>
          <w:szCs w:val="24"/>
          <w:highlight w:val="none"/>
        </w:rPr>
      </w:pPr>
    </w:p>
    <w:p>
      <w:pPr>
        <w:pStyle w:val="16"/>
        <w:keepNext w:val="0"/>
        <w:keepLines w:val="0"/>
        <w:widowControl/>
        <w:suppressLineNumbers w:val="0"/>
        <w:spacing w:line="240" w:lineRule="auto"/>
        <w:ind w:left="285" w:firstLine="0"/>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0"/>
          <w:sz w:val="24"/>
          <w:szCs w:val="24"/>
          <w:highlight w:val="none"/>
        </w:rPr>
        <w:t>2、</w:t>
      </w:r>
      <w:r>
        <w:rPr>
          <w:rStyle w:val="24"/>
          <w:rFonts w:hint="eastAsia" w:ascii="宋体" w:hAnsi="宋体" w:eastAsia="宋体" w:cs="宋体"/>
          <w:color w:val="auto"/>
          <w:spacing w:val="0"/>
          <w:sz w:val="24"/>
          <w:szCs w:val="24"/>
          <w:highlight w:val="none"/>
        </w:rPr>
        <w:t>会议室一览表 （如没有配备会议室，此表无须提供）</w:t>
      </w:r>
    </w:p>
    <w:p>
      <w:pPr>
        <w:pStyle w:val="16"/>
        <w:keepNext w:val="0"/>
        <w:keepLines w:val="0"/>
        <w:widowControl/>
        <w:suppressLineNumbers w:val="0"/>
        <w:spacing w:line="240" w:lineRule="auto"/>
        <w:ind w:left="285" w:right="0"/>
        <w:jc w:val="both"/>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名 称：（全称并加盖公章）   货币单位： 元</w:t>
      </w:r>
    </w:p>
    <w:tbl>
      <w:tblPr>
        <w:tblStyle w:val="20"/>
        <w:tblW w:w="855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92"/>
        <w:gridCol w:w="1920"/>
        <w:gridCol w:w="817"/>
        <w:gridCol w:w="1113"/>
        <w:gridCol w:w="522"/>
        <w:gridCol w:w="803"/>
        <w:gridCol w:w="2075"/>
        <w:gridCol w:w="6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55" w:hRule="atLeast"/>
          <w:tblCellSpacing w:w="15" w:type="dxa"/>
        </w:trPr>
        <w:tc>
          <w:tcPr>
            <w:tcW w:w="660" w:type="dxa"/>
            <w:vMerge w:val="restart"/>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序号</w:t>
            </w:r>
          </w:p>
        </w:tc>
        <w:tc>
          <w:tcPr>
            <w:tcW w:w="1695" w:type="dxa"/>
            <w:vMerge w:val="restart"/>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会议室类型</w:t>
            </w:r>
          </w:p>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（可坐人数）</w:t>
            </w:r>
          </w:p>
        </w:tc>
        <w:tc>
          <w:tcPr>
            <w:tcW w:w="810" w:type="dxa"/>
            <w:vMerge w:val="restart"/>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门市价</w:t>
            </w:r>
          </w:p>
        </w:tc>
        <w:tc>
          <w:tcPr>
            <w:tcW w:w="1110" w:type="dxa"/>
            <w:vMerge w:val="restart"/>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投标报价</w:t>
            </w:r>
          </w:p>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（半天每间）</w:t>
            </w:r>
          </w:p>
        </w:tc>
        <w:tc>
          <w:tcPr>
            <w:tcW w:w="495" w:type="dxa"/>
            <w:vMerge w:val="restart"/>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数量</w:t>
            </w:r>
          </w:p>
        </w:tc>
        <w:tc>
          <w:tcPr>
            <w:tcW w:w="795" w:type="dxa"/>
            <w:vMerge w:val="restart"/>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坐落情况</w:t>
            </w:r>
          </w:p>
        </w:tc>
        <w:tc>
          <w:tcPr>
            <w:tcW w:w="2145" w:type="dxa"/>
            <w:vMerge w:val="restart"/>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基本情况(面积/设施设备/配置等)</w:t>
            </w:r>
          </w:p>
        </w:tc>
        <w:tc>
          <w:tcPr>
            <w:tcW w:w="570" w:type="dxa"/>
            <w:vMerge w:val="restart"/>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25" w:hRule="atLeast"/>
          <w:tblCellSpacing w:w="15" w:type="dxa"/>
        </w:trPr>
        <w:tc>
          <w:tcPr>
            <w:tcW w:w="660" w:type="dxa"/>
            <w:vMerge w:val="continue"/>
            <w:tcBorders>
              <w:top w:val="nil"/>
              <w:left w:val="nil"/>
              <w:bottom w:val="nil"/>
              <w:right w:val="nil"/>
            </w:tcBorders>
            <w:noWrap w:val="0"/>
            <w:tcMar>
              <w:top w:w="0" w:type="dxa"/>
              <w:left w:w="105" w:type="dxa"/>
              <w:bottom w:w="0" w:type="dxa"/>
              <w:right w:w="105" w:type="dxa"/>
            </w:tcMar>
            <w:vAlign w:val="center"/>
          </w:tcPr>
          <w:p>
            <w:pPr>
              <w:spacing w:line="240" w:lineRule="auto"/>
              <w:rPr>
                <w:rFonts w:hint="eastAsia" w:ascii="宋体" w:hAnsi="宋体" w:eastAsia="宋体" w:cs="宋体"/>
                <w:color w:val="auto"/>
                <w:sz w:val="24"/>
                <w:szCs w:val="24"/>
                <w:highlight w:val="none"/>
              </w:rPr>
            </w:pPr>
          </w:p>
        </w:tc>
        <w:tc>
          <w:tcPr>
            <w:tcW w:w="1695" w:type="dxa"/>
            <w:vMerge w:val="continue"/>
            <w:tcBorders>
              <w:top w:val="nil"/>
              <w:left w:val="nil"/>
              <w:bottom w:val="nil"/>
              <w:right w:val="nil"/>
            </w:tcBorders>
            <w:noWrap w:val="0"/>
            <w:tcMar>
              <w:top w:w="0" w:type="dxa"/>
              <w:left w:w="105" w:type="dxa"/>
              <w:bottom w:w="0" w:type="dxa"/>
              <w:right w:w="105" w:type="dxa"/>
            </w:tcMar>
            <w:vAlign w:val="center"/>
          </w:tcPr>
          <w:p>
            <w:pPr>
              <w:spacing w:line="240" w:lineRule="auto"/>
              <w:rPr>
                <w:rFonts w:hint="eastAsia" w:ascii="宋体" w:hAnsi="宋体" w:eastAsia="宋体" w:cs="宋体"/>
                <w:color w:val="auto"/>
                <w:sz w:val="24"/>
                <w:szCs w:val="24"/>
                <w:highlight w:val="none"/>
              </w:rPr>
            </w:pPr>
          </w:p>
        </w:tc>
        <w:tc>
          <w:tcPr>
            <w:tcW w:w="810" w:type="dxa"/>
            <w:vMerge w:val="continue"/>
            <w:tcBorders>
              <w:top w:val="nil"/>
              <w:left w:val="nil"/>
              <w:bottom w:val="nil"/>
              <w:right w:val="nil"/>
            </w:tcBorders>
            <w:noWrap w:val="0"/>
            <w:tcMar>
              <w:top w:w="0" w:type="dxa"/>
              <w:left w:w="105" w:type="dxa"/>
              <w:bottom w:w="0" w:type="dxa"/>
              <w:right w:w="105" w:type="dxa"/>
            </w:tcMar>
            <w:vAlign w:val="center"/>
          </w:tcPr>
          <w:p>
            <w:pPr>
              <w:spacing w:line="240" w:lineRule="auto"/>
              <w:rPr>
                <w:rFonts w:hint="eastAsia" w:ascii="宋体" w:hAnsi="宋体" w:eastAsia="宋体" w:cs="宋体"/>
                <w:color w:val="auto"/>
                <w:sz w:val="24"/>
                <w:szCs w:val="24"/>
                <w:highlight w:val="none"/>
              </w:rPr>
            </w:pPr>
          </w:p>
        </w:tc>
        <w:tc>
          <w:tcPr>
            <w:tcW w:w="1110" w:type="dxa"/>
            <w:vMerge w:val="continue"/>
            <w:tcBorders>
              <w:top w:val="nil"/>
              <w:left w:val="nil"/>
              <w:bottom w:val="nil"/>
              <w:right w:val="nil"/>
            </w:tcBorders>
            <w:noWrap w:val="0"/>
            <w:tcMar>
              <w:top w:w="0" w:type="dxa"/>
              <w:left w:w="105" w:type="dxa"/>
              <w:bottom w:w="0" w:type="dxa"/>
              <w:right w:w="105" w:type="dxa"/>
            </w:tcMar>
            <w:vAlign w:val="center"/>
          </w:tcPr>
          <w:p>
            <w:pPr>
              <w:spacing w:line="240" w:lineRule="auto"/>
              <w:rPr>
                <w:rFonts w:hint="eastAsia" w:ascii="宋体" w:hAnsi="宋体" w:eastAsia="宋体" w:cs="宋体"/>
                <w:color w:val="auto"/>
                <w:sz w:val="24"/>
                <w:szCs w:val="24"/>
                <w:highlight w:val="none"/>
              </w:rPr>
            </w:pPr>
          </w:p>
        </w:tc>
        <w:tc>
          <w:tcPr>
            <w:tcW w:w="495" w:type="dxa"/>
            <w:vMerge w:val="continue"/>
            <w:tcBorders>
              <w:top w:val="nil"/>
              <w:left w:val="nil"/>
              <w:bottom w:val="nil"/>
              <w:right w:val="nil"/>
            </w:tcBorders>
            <w:noWrap w:val="0"/>
            <w:tcMar>
              <w:top w:w="0" w:type="dxa"/>
              <w:left w:w="105" w:type="dxa"/>
              <w:bottom w:w="0" w:type="dxa"/>
              <w:right w:w="105" w:type="dxa"/>
            </w:tcMar>
            <w:vAlign w:val="center"/>
          </w:tcPr>
          <w:p>
            <w:pPr>
              <w:spacing w:line="240" w:lineRule="auto"/>
              <w:rPr>
                <w:rFonts w:hint="eastAsia" w:ascii="宋体" w:hAnsi="宋体" w:eastAsia="宋体" w:cs="宋体"/>
                <w:color w:val="auto"/>
                <w:sz w:val="24"/>
                <w:szCs w:val="24"/>
                <w:highlight w:val="none"/>
              </w:rPr>
            </w:pPr>
          </w:p>
        </w:tc>
        <w:tc>
          <w:tcPr>
            <w:tcW w:w="795" w:type="dxa"/>
            <w:vMerge w:val="continue"/>
            <w:tcBorders>
              <w:top w:val="nil"/>
              <w:left w:val="nil"/>
              <w:bottom w:val="nil"/>
              <w:right w:val="nil"/>
            </w:tcBorders>
            <w:noWrap w:val="0"/>
            <w:tcMar>
              <w:top w:w="0" w:type="dxa"/>
              <w:left w:w="105" w:type="dxa"/>
              <w:bottom w:w="0" w:type="dxa"/>
              <w:right w:w="105" w:type="dxa"/>
            </w:tcMar>
            <w:vAlign w:val="center"/>
          </w:tcPr>
          <w:p>
            <w:pPr>
              <w:spacing w:line="240" w:lineRule="auto"/>
              <w:rPr>
                <w:rFonts w:hint="eastAsia" w:ascii="宋体" w:hAnsi="宋体" w:eastAsia="宋体" w:cs="宋体"/>
                <w:color w:val="auto"/>
                <w:sz w:val="24"/>
                <w:szCs w:val="24"/>
                <w:highlight w:val="none"/>
              </w:rPr>
            </w:pPr>
          </w:p>
        </w:tc>
        <w:tc>
          <w:tcPr>
            <w:tcW w:w="2145" w:type="dxa"/>
            <w:vMerge w:val="continue"/>
            <w:tcBorders>
              <w:top w:val="nil"/>
              <w:left w:val="nil"/>
              <w:bottom w:val="nil"/>
              <w:right w:val="nil"/>
            </w:tcBorders>
            <w:noWrap w:val="0"/>
            <w:tcMar>
              <w:top w:w="0" w:type="dxa"/>
              <w:left w:w="105" w:type="dxa"/>
              <w:bottom w:w="0" w:type="dxa"/>
              <w:right w:w="105" w:type="dxa"/>
            </w:tcMar>
            <w:vAlign w:val="center"/>
          </w:tcPr>
          <w:p>
            <w:pPr>
              <w:spacing w:line="240" w:lineRule="auto"/>
              <w:rPr>
                <w:rFonts w:hint="eastAsia" w:ascii="宋体" w:hAnsi="宋体" w:eastAsia="宋体" w:cs="宋体"/>
                <w:color w:val="auto"/>
                <w:sz w:val="24"/>
                <w:szCs w:val="24"/>
                <w:highlight w:val="none"/>
              </w:rPr>
            </w:pPr>
          </w:p>
        </w:tc>
        <w:tc>
          <w:tcPr>
            <w:tcW w:w="570" w:type="dxa"/>
            <w:vMerge w:val="continue"/>
            <w:tcBorders>
              <w:top w:val="nil"/>
              <w:left w:val="nil"/>
              <w:bottom w:val="nil"/>
              <w:right w:val="nil"/>
            </w:tcBorders>
            <w:noWrap w:val="0"/>
            <w:tcMar>
              <w:top w:w="0" w:type="dxa"/>
              <w:left w:w="105" w:type="dxa"/>
              <w:bottom w:w="0" w:type="dxa"/>
              <w:right w:w="105" w:type="dxa"/>
            </w:tcMar>
            <w:vAlign w:val="center"/>
          </w:tcPr>
          <w:p>
            <w:pPr>
              <w:spacing w:line="240" w:lineRule="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75" w:hRule="atLeast"/>
          <w:tblCellSpacing w:w="15" w:type="dxa"/>
        </w:trPr>
        <w:tc>
          <w:tcPr>
            <w:tcW w:w="66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1</w:t>
            </w:r>
          </w:p>
        </w:tc>
        <w:tc>
          <w:tcPr>
            <w:tcW w:w="1695"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会议室</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人</w:t>
            </w:r>
          </w:p>
        </w:tc>
        <w:tc>
          <w:tcPr>
            <w:tcW w:w="81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111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49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79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214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57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15" w:hRule="atLeast"/>
          <w:tblCellSpacing w:w="15" w:type="dxa"/>
        </w:trPr>
        <w:tc>
          <w:tcPr>
            <w:tcW w:w="66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2</w:t>
            </w:r>
          </w:p>
        </w:tc>
        <w:tc>
          <w:tcPr>
            <w:tcW w:w="1695"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会议室</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人</w:t>
            </w:r>
          </w:p>
        </w:tc>
        <w:tc>
          <w:tcPr>
            <w:tcW w:w="81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111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49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79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214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57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15" w:hRule="atLeast"/>
          <w:tblCellSpacing w:w="15" w:type="dxa"/>
        </w:trPr>
        <w:tc>
          <w:tcPr>
            <w:tcW w:w="66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3</w:t>
            </w:r>
          </w:p>
        </w:tc>
        <w:tc>
          <w:tcPr>
            <w:tcW w:w="1695"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会议室</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人</w:t>
            </w:r>
          </w:p>
        </w:tc>
        <w:tc>
          <w:tcPr>
            <w:tcW w:w="81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111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49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79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214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57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15" w:hRule="atLeast"/>
          <w:tblCellSpacing w:w="15" w:type="dxa"/>
        </w:trPr>
        <w:tc>
          <w:tcPr>
            <w:tcW w:w="66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4</w:t>
            </w:r>
          </w:p>
        </w:tc>
        <w:tc>
          <w:tcPr>
            <w:tcW w:w="1695"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会议室</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人</w:t>
            </w:r>
          </w:p>
        </w:tc>
        <w:tc>
          <w:tcPr>
            <w:tcW w:w="81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111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49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79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214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57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15" w:hRule="atLeast"/>
          <w:tblCellSpacing w:w="15" w:type="dxa"/>
        </w:trPr>
        <w:tc>
          <w:tcPr>
            <w:tcW w:w="66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5</w:t>
            </w:r>
          </w:p>
        </w:tc>
        <w:tc>
          <w:tcPr>
            <w:tcW w:w="1695"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会议室</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人</w:t>
            </w:r>
          </w:p>
        </w:tc>
        <w:tc>
          <w:tcPr>
            <w:tcW w:w="81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111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49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79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2145"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57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r>
    </w:tbl>
    <w:p>
      <w:pPr>
        <w:pStyle w:val="16"/>
        <w:widowControl/>
        <w:rPr>
          <w:color w:val="auto"/>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（全称并加盖单位公章）</w:t>
      </w:r>
    </w:p>
    <w:p>
      <w:pPr>
        <w:pStyle w:val="16"/>
        <w:widowControl/>
        <w:rPr>
          <w:color w:val="auto"/>
          <w:highlight w:val="none"/>
        </w:rPr>
      </w:pPr>
      <w:r>
        <w:rPr>
          <w:rFonts w:hint="eastAsia" w:ascii="宋体" w:hAnsi="宋体" w:eastAsia="宋体" w:cs="宋体"/>
          <w:color w:val="auto"/>
          <w:sz w:val="21"/>
          <w:szCs w:val="21"/>
          <w:highlight w:val="none"/>
        </w:rPr>
        <w:t>供应商代表签字：</w:t>
      </w:r>
      <w:r>
        <w:rPr>
          <w:rFonts w:hint="eastAsia" w:ascii="宋体" w:hAnsi="宋体" w:eastAsia="宋体" w:cs="宋体"/>
          <w:color w:val="auto"/>
          <w:sz w:val="21"/>
          <w:szCs w:val="21"/>
          <w:highlight w:val="none"/>
          <w:u w:val="single"/>
        </w:rPr>
        <w:t>                   </w:t>
      </w:r>
    </w:p>
    <w:p>
      <w:pPr>
        <w:pStyle w:val="16"/>
        <w:widowControl/>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6"/>
        <w:keepNext w:val="0"/>
        <w:keepLines w:val="0"/>
        <w:widowControl/>
        <w:suppressLineNumbers w:val="0"/>
        <w:spacing w:line="240" w:lineRule="auto"/>
        <w:ind w:left="0" w:firstLine="420"/>
        <w:rPr>
          <w:rFonts w:hint="eastAsia" w:ascii="宋体" w:hAnsi="宋体" w:eastAsia="宋体" w:cs="宋体"/>
          <w:color w:val="auto"/>
          <w:spacing w:val="0"/>
          <w:sz w:val="24"/>
          <w:szCs w:val="24"/>
          <w:highlight w:val="none"/>
        </w:rPr>
      </w:pPr>
    </w:p>
    <w:p>
      <w:pPr>
        <w:pStyle w:val="16"/>
        <w:keepNext w:val="0"/>
        <w:keepLines w:val="0"/>
        <w:widowControl/>
        <w:suppressLineNumbers w:val="0"/>
        <w:spacing w:line="240" w:lineRule="auto"/>
        <w:ind w:left="0" w:firstLine="420"/>
        <w:rPr>
          <w:rFonts w:hint="eastAsia" w:ascii="宋体" w:hAnsi="宋体" w:eastAsia="宋体" w:cs="宋体"/>
          <w:color w:val="auto"/>
          <w:spacing w:val="0"/>
          <w:sz w:val="24"/>
          <w:szCs w:val="24"/>
          <w:highlight w:val="none"/>
        </w:rPr>
      </w:pPr>
    </w:p>
    <w:p>
      <w:pPr>
        <w:pStyle w:val="16"/>
        <w:keepNext w:val="0"/>
        <w:keepLines w:val="0"/>
        <w:widowControl/>
        <w:suppressLineNumbers w:val="0"/>
        <w:spacing w:line="240" w:lineRule="auto"/>
        <w:ind w:left="0" w:firstLine="420"/>
        <w:rPr>
          <w:rFonts w:hint="eastAsia" w:ascii="宋体" w:hAnsi="宋体" w:eastAsia="宋体" w:cs="宋体"/>
          <w:color w:val="auto"/>
          <w:spacing w:val="0"/>
          <w:sz w:val="24"/>
          <w:szCs w:val="24"/>
          <w:highlight w:val="none"/>
        </w:rPr>
      </w:pPr>
    </w:p>
    <w:p>
      <w:pPr>
        <w:pStyle w:val="16"/>
        <w:keepNext w:val="0"/>
        <w:keepLines w:val="0"/>
        <w:widowControl/>
        <w:suppressLineNumbers w:val="0"/>
        <w:spacing w:line="240" w:lineRule="auto"/>
        <w:ind w:left="0" w:firstLine="420"/>
        <w:rPr>
          <w:rFonts w:hint="eastAsia" w:ascii="宋体" w:hAnsi="宋体" w:eastAsia="宋体" w:cs="宋体"/>
          <w:color w:val="auto"/>
          <w:spacing w:val="0"/>
          <w:sz w:val="24"/>
          <w:szCs w:val="24"/>
          <w:highlight w:val="none"/>
        </w:rPr>
      </w:pPr>
    </w:p>
    <w:p>
      <w:pPr>
        <w:pStyle w:val="16"/>
        <w:keepNext w:val="0"/>
        <w:keepLines w:val="0"/>
        <w:widowControl/>
        <w:suppressLineNumbers w:val="0"/>
        <w:spacing w:line="240" w:lineRule="auto"/>
        <w:ind w:left="0" w:firstLine="420"/>
        <w:rPr>
          <w:rFonts w:hint="eastAsia" w:ascii="宋体" w:hAnsi="宋体" w:eastAsia="宋体" w:cs="宋体"/>
          <w:color w:val="auto"/>
          <w:spacing w:val="0"/>
          <w:sz w:val="24"/>
          <w:szCs w:val="24"/>
          <w:highlight w:val="none"/>
        </w:rPr>
      </w:pPr>
    </w:p>
    <w:p>
      <w:pPr>
        <w:pStyle w:val="16"/>
        <w:keepNext w:val="0"/>
        <w:keepLines w:val="0"/>
        <w:widowControl/>
        <w:suppressLineNumbers w:val="0"/>
        <w:spacing w:line="240" w:lineRule="auto"/>
        <w:ind w:left="0" w:firstLine="420"/>
        <w:rPr>
          <w:rFonts w:hint="eastAsia" w:ascii="宋体" w:hAnsi="宋体" w:eastAsia="宋体" w:cs="宋体"/>
          <w:color w:val="auto"/>
          <w:spacing w:val="0"/>
          <w:sz w:val="24"/>
          <w:szCs w:val="24"/>
          <w:highlight w:val="none"/>
        </w:rPr>
      </w:pPr>
    </w:p>
    <w:p>
      <w:pPr>
        <w:pStyle w:val="16"/>
        <w:keepNext w:val="0"/>
        <w:keepLines w:val="0"/>
        <w:widowControl/>
        <w:suppressLineNumbers w:val="0"/>
        <w:spacing w:line="240" w:lineRule="auto"/>
        <w:ind w:left="0" w:firstLine="420"/>
        <w:rPr>
          <w:rFonts w:hint="eastAsia" w:ascii="宋体" w:hAnsi="宋体" w:eastAsia="宋体" w:cs="宋体"/>
          <w:color w:val="auto"/>
          <w:spacing w:val="0"/>
          <w:sz w:val="24"/>
          <w:szCs w:val="24"/>
          <w:highlight w:val="none"/>
        </w:rPr>
      </w:pPr>
    </w:p>
    <w:p>
      <w:pPr>
        <w:pStyle w:val="16"/>
        <w:keepNext w:val="0"/>
        <w:keepLines w:val="0"/>
        <w:widowControl/>
        <w:suppressLineNumbers w:val="0"/>
        <w:spacing w:line="240" w:lineRule="auto"/>
        <w:ind w:left="0" w:firstLine="420"/>
        <w:rPr>
          <w:rFonts w:hint="eastAsia" w:ascii="宋体" w:hAnsi="宋体" w:eastAsia="宋体" w:cs="宋体"/>
          <w:color w:val="auto"/>
          <w:spacing w:val="0"/>
          <w:sz w:val="24"/>
          <w:szCs w:val="24"/>
          <w:highlight w:val="none"/>
        </w:rPr>
      </w:pPr>
    </w:p>
    <w:p>
      <w:pPr>
        <w:pStyle w:val="16"/>
        <w:keepNext w:val="0"/>
        <w:keepLines w:val="0"/>
        <w:widowControl/>
        <w:suppressLineNumbers w:val="0"/>
        <w:spacing w:line="240" w:lineRule="auto"/>
        <w:ind w:left="0" w:firstLine="420"/>
        <w:rPr>
          <w:rFonts w:hint="eastAsia" w:ascii="宋体" w:hAnsi="宋体" w:eastAsia="宋体" w:cs="宋体"/>
          <w:color w:val="auto"/>
          <w:spacing w:val="0"/>
          <w:sz w:val="24"/>
          <w:szCs w:val="24"/>
          <w:highlight w:val="none"/>
        </w:rPr>
      </w:pPr>
    </w:p>
    <w:p>
      <w:pPr>
        <w:pStyle w:val="16"/>
        <w:keepNext w:val="0"/>
        <w:keepLines w:val="0"/>
        <w:widowControl/>
        <w:suppressLineNumbers w:val="0"/>
        <w:spacing w:line="240" w:lineRule="auto"/>
        <w:ind w:left="0" w:firstLine="420"/>
        <w:rPr>
          <w:rFonts w:hint="eastAsia" w:ascii="宋体" w:hAnsi="宋体" w:eastAsia="宋体" w:cs="宋体"/>
          <w:color w:val="auto"/>
          <w:spacing w:val="0"/>
          <w:sz w:val="24"/>
          <w:szCs w:val="24"/>
          <w:highlight w:val="none"/>
        </w:rPr>
      </w:pPr>
    </w:p>
    <w:p>
      <w:pPr>
        <w:pStyle w:val="16"/>
        <w:keepNext w:val="0"/>
        <w:keepLines w:val="0"/>
        <w:widowControl/>
        <w:suppressLineNumbers w:val="0"/>
        <w:spacing w:line="240" w:lineRule="auto"/>
        <w:ind w:left="0" w:firstLine="42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   </w:t>
      </w:r>
      <w:r>
        <w:rPr>
          <w:rStyle w:val="24"/>
          <w:rFonts w:hint="eastAsia" w:ascii="宋体" w:hAnsi="宋体" w:eastAsia="宋体" w:cs="宋体"/>
          <w:color w:val="auto"/>
          <w:spacing w:val="0"/>
          <w:sz w:val="24"/>
          <w:szCs w:val="24"/>
          <w:highlight w:val="none"/>
        </w:rPr>
        <w:t>  3、餐饮单价一览表</w:t>
      </w:r>
    </w:p>
    <w:p>
      <w:pPr>
        <w:pStyle w:val="16"/>
        <w:keepNext w:val="0"/>
        <w:keepLines w:val="0"/>
        <w:widowControl/>
        <w:suppressLineNumbers w:val="0"/>
        <w:spacing w:line="240" w:lineRule="auto"/>
        <w:ind w:left="285" w:right="0"/>
        <w:jc w:val="both"/>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名 称：（全称并加盖公章）    货币单位： 元</w:t>
      </w:r>
    </w:p>
    <w:tbl>
      <w:tblPr>
        <w:tblStyle w:val="20"/>
        <w:tblW w:w="853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91"/>
        <w:gridCol w:w="1728"/>
        <w:gridCol w:w="1202"/>
        <w:gridCol w:w="2524"/>
        <w:gridCol w:w="1533"/>
        <w:gridCol w:w="8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55" w:hRule="atLeast"/>
          <w:tblCellSpacing w:w="15" w:type="dxa"/>
        </w:trPr>
        <w:tc>
          <w:tcPr>
            <w:tcW w:w="645" w:type="dxa"/>
            <w:vMerge w:val="restart"/>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序号</w:t>
            </w:r>
          </w:p>
        </w:tc>
        <w:tc>
          <w:tcPr>
            <w:tcW w:w="1695" w:type="dxa"/>
            <w:vMerge w:val="restart"/>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餐饮类型</w:t>
            </w:r>
          </w:p>
        </w:tc>
        <w:tc>
          <w:tcPr>
            <w:tcW w:w="1170" w:type="dxa"/>
            <w:vMerge w:val="restart"/>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门市价</w:t>
            </w:r>
          </w:p>
        </w:tc>
        <w:tc>
          <w:tcPr>
            <w:tcW w:w="2490" w:type="dxa"/>
            <w:vMerge w:val="restart"/>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Style w:val="24"/>
                <w:rFonts w:hint="eastAsia" w:ascii="宋体" w:hAnsi="宋体" w:eastAsia="宋体" w:cs="宋体"/>
                <w:color w:val="auto"/>
                <w:spacing w:val="0"/>
                <w:sz w:val="24"/>
                <w:szCs w:val="24"/>
                <w:highlight w:val="none"/>
              </w:rPr>
              <w:t>一、二类会议</w:t>
            </w:r>
          </w:p>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投标报价</w:t>
            </w:r>
          </w:p>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（元/人/天）</w:t>
            </w:r>
          </w:p>
        </w:tc>
        <w:tc>
          <w:tcPr>
            <w:tcW w:w="1500" w:type="dxa"/>
            <w:vMerge w:val="restart"/>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Style w:val="24"/>
                <w:rFonts w:hint="eastAsia" w:ascii="宋体" w:hAnsi="宋体" w:eastAsia="宋体" w:cs="宋体"/>
                <w:color w:val="auto"/>
                <w:spacing w:val="0"/>
                <w:sz w:val="24"/>
                <w:szCs w:val="24"/>
                <w:highlight w:val="none"/>
              </w:rPr>
              <w:t>三、四类会议</w:t>
            </w:r>
            <w:r>
              <w:rPr>
                <w:rFonts w:hint="eastAsia" w:ascii="宋体" w:hAnsi="宋体" w:eastAsia="宋体" w:cs="宋体"/>
                <w:color w:val="auto"/>
                <w:spacing w:val="0"/>
                <w:sz w:val="24"/>
                <w:szCs w:val="24"/>
                <w:highlight w:val="none"/>
              </w:rPr>
              <w:t>投标报价</w:t>
            </w:r>
          </w:p>
          <w:p>
            <w:pPr>
              <w:pStyle w:val="16"/>
              <w:keepNext w:val="0"/>
              <w:keepLines w:val="0"/>
              <w:widowControl/>
              <w:suppressLineNumbers w:val="0"/>
              <w:spacing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（元/人/天）</w:t>
            </w:r>
          </w:p>
        </w:tc>
        <w:tc>
          <w:tcPr>
            <w:tcW w:w="810" w:type="dxa"/>
            <w:vMerge w:val="restart"/>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25" w:hRule="atLeast"/>
          <w:tblCellSpacing w:w="15" w:type="dxa"/>
        </w:trPr>
        <w:tc>
          <w:tcPr>
            <w:tcW w:w="645" w:type="dxa"/>
            <w:vMerge w:val="continue"/>
            <w:tcBorders>
              <w:top w:val="nil"/>
              <w:left w:val="nil"/>
              <w:bottom w:val="nil"/>
              <w:right w:val="nil"/>
            </w:tcBorders>
            <w:noWrap w:val="0"/>
            <w:tcMar>
              <w:top w:w="0" w:type="dxa"/>
              <w:left w:w="105" w:type="dxa"/>
              <w:bottom w:w="0" w:type="dxa"/>
              <w:right w:w="105" w:type="dxa"/>
            </w:tcMar>
            <w:vAlign w:val="center"/>
          </w:tcPr>
          <w:p>
            <w:pPr>
              <w:spacing w:line="240" w:lineRule="auto"/>
              <w:rPr>
                <w:rFonts w:hint="eastAsia" w:ascii="宋体" w:hAnsi="宋体" w:eastAsia="宋体" w:cs="宋体"/>
                <w:color w:val="auto"/>
                <w:sz w:val="24"/>
                <w:szCs w:val="24"/>
                <w:highlight w:val="none"/>
              </w:rPr>
            </w:pPr>
          </w:p>
        </w:tc>
        <w:tc>
          <w:tcPr>
            <w:tcW w:w="1695" w:type="dxa"/>
            <w:vMerge w:val="continue"/>
            <w:tcBorders>
              <w:top w:val="nil"/>
              <w:left w:val="nil"/>
              <w:bottom w:val="nil"/>
              <w:right w:val="nil"/>
            </w:tcBorders>
            <w:noWrap w:val="0"/>
            <w:tcMar>
              <w:top w:w="0" w:type="dxa"/>
              <w:left w:w="105" w:type="dxa"/>
              <w:bottom w:w="0" w:type="dxa"/>
              <w:right w:w="105" w:type="dxa"/>
            </w:tcMar>
            <w:vAlign w:val="center"/>
          </w:tcPr>
          <w:p>
            <w:pPr>
              <w:spacing w:line="240" w:lineRule="auto"/>
              <w:rPr>
                <w:rFonts w:hint="eastAsia" w:ascii="宋体" w:hAnsi="宋体" w:eastAsia="宋体" w:cs="宋体"/>
                <w:color w:val="auto"/>
                <w:sz w:val="24"/>
                <w:szCs w:val="24"/>
                <w:highlight w:val="none"/>
              </w:rPr>
            </w:pPr>
          </w:p>
        </w:tc>
        <w:tc>
          <w:tcPr>
            <w:tcW w:w="1170" w:type="dxa"/>
            <w:vMerge w:val="continue"/>
            <w:tcBorders>
              <w:top w:val="nil"/>
              <w:left w:val="nil"/>
              <w:bottom w:val="nil"/>
              <w:right w:val="nil"/>
            </w:tcBorders>
            <w:noWrap w:val="0"/>
            <w:tcMar>
              <w:top w:w="0" w:type="dxa"/>
              <w:left w:w="105" w:type="dxa"/>
              <w:bottom w:w="0" w:type="dxa"/>
              <w:right w:w="105" w:type="dxa"/>
            </w:tcMar>
            <w:vAlign w:val="center"/>
          </w:tcPr>
          <w:p>
            <w:pPr>
              <w:spacing w:line="240" w:lineRule="auto"/>
              <w:rPr>
                <w:rFonts w:hint="eastAsia" w:ascii="宋体" w:hAnsi="宋体" w:eastAsia="宋体" w:cs="宋体"/>
                <w:color w:val="auto"/>
                <w:sz w:val="24"/>
                <w:szCs w:val="24"/>
                <w:highlight w:val="none"/>
              </w:rPr>
            </w:pPr>
          </w:p>
        </w:tc>
        <w:tc>
          <w:tcPr>
            <w:tcW w:w="2490" w:type="dxa"/>
            <w:vMerge w:val="continue"/>
            <w:tcBorders>
              <w:top w:val="nil"/>
              <w:left w:val="nil"/>
              <w:bottom w:val="nil"/>
              <w:right w:val="nil"/>
            </w:tcBorders>
            <w:noWrap w:val="0"/>
            <w:tcMar>
              <w:top w:w="0" w:type="dxa"/>
              <w:left w:w="105" w:type="dxa"/>
              <w:bottom w:w="0" w:type="dxa"/>
              <w:right w:w="105" w:type="dxa"/>
            </w:tcMar>
            <w:vAlign w:val="center"/>
          </w:tcPr>
          <w:p>
            <w:pPr>
              <w:spacing w:line="240" w:lineRule="auto"/>
              <w:rPr>
                <w:rFonts w:hint="eastAsia" w:ascii="宋体" w:hAnsi="宋体" w:eastAsia="宋体" w:cs="宋体"/>
                <w:color w:val="auto"/>
                <w:sz w:val="24"/>
                <w:szCs w:val="24"/>
                <w:highlight w:val="none"/>
              </w:rPr>
            </w:pPr>
          </w:p>
        </w:tc>
        <w:tc>
          <w:tcPr>
            <w:tcW w:w="1500" w:type="dxa"/>
            <w:vMerge w:val="continue"/>
            <w:tcBorders>
              <w:top w:val="nil"/>
              <w:left w:val="nil"/>
              <w:bottom w:val="nil"/>
              <w:right w:val="nil"/>
            </w:tcBorders>
            <w:noWrap w:val="0"/>
            <w:tcMar>
              <w:top w:w="0" w:type="dxa"/>
              <w:left w:w="105" w:type="dxa"/>
              <w:bottom w:w="0" w:type="dxa"/>
              <w:right w:w="105" w:type="dxa"/>
            </w:tcMar>
            <w:vAlign w:val="center"/>
          </w:tcPr>
          <w:p>
            <w:pPr>
              <w:spacing w:line="240" w:lineRule="auto"/>
              <w:rPr>
                <w:rFonts w:hint="eastAsia" w:ascii="宋体" w:hAnsi="宋体" w:eastAsia="宋体" w:cs="宋体"/>
                <w:color w:val="auto"/>
                <w:sz w:val="24"/>
                <w:szCs w:val="24"/>
                <w:highlight w:val="none"/>
              </w:rPr>
            </w:pPr>
          </w:p>
        </w:tc>
        <w:tc>
          <w:tcPr>
            <w:tcW w:w="810" w:type="dxa"/>
            <w:vMerge w:val="continue"/>
            <w:tcBorders>
              <w:top w:val="nil"/>
              <w:left w:val="nil"/>
              <w:bottom w:val="nil"/>
              <w:right w:val="nil"/>
            </w:tcBorders>
            <w:noWrap w:val="0"/>
            <w:tcMar>
              <w:top w:w="0" w:type="dxa"/>
              <w:left w:w="105" w:type="dxa"/>
              <w:bottom w:w="0" w:type="dxa"/>
              <w:right w:w="105" w:type="dxa"/>
            </w:tcMar>
            <w:vAlign w:val="center"/>
          </w:tcPr>
          <w:p>
            <w:pPr>
              <w:spacing w:line="240" w:lineRule="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75" w:hRule="atLeast"/>
          <w:tblCellSpacing w:w="15" w:type="dxa"/>
        </w:trPr>
        <w:tc>
          <w:tcPr>
            <w:tcW w:w="645"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1</w:t>
            </w:r>
          </w:p>
        </w:tc>
        <w:tc>
          <w:tcPr>
            <w:tcW w:w="1695"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早餐</w:t>
            </w:r>
          </w:p>
        </w:tc>
        <w:tc>
          <w:tcPr>
            <w:tcW w:w="117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249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150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81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15" w:hRule="atLeast"/>
          <w:tblCellSpacing w:w="15" w:type="dxa"/>
        </w:trPr>
        <w:tc>
          <w:tcPr>
            <w:tcW w:w="645"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2</w:t>
            </w:r>
          </w:p>
        </w:tc>
        <w:tc>
          <w:tcPr>
            <w:tcW w:w="1695"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午餐</w:t>
            </w:r>
          </w:p>
        </w:tc>
        <w:tc>
          <w:tcPr>
            <w:tcW w:w="117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249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150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81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15" w:hRule="atLeast"/>
          <w:tblCellSpacing w:w="15" w:type="dxa"/>
        </w:trPr>
        <w:tc>
          <w:tcPr>
            <w:tcW w:w="645"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3</w:t>
            </w:r>
          </w:p>
        </w:tc>
        <w:tc>
          <w:tcPr>
            <w:tcW w:w="1695"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widowControl/>
              <w:suppressLineNumbers w:val="0"/>
              <w:spacing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晚餐</w:t>
            </w:r>
          </w:p>
        </w:tc>
        <w:tc>
          <w:tcPr>
            <w:tcW w:w="117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249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150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c>
          <w:tcPr>
            <w:tcW w:w="810" w:type="dxa"/>
            <w:tcBorders>
              <w:top w:val="nil"/>
              <w:left w:val="nil"/>
              <w:bottom w:val="nil"/>
              <w:right w:val="nil"/>
            </w:tcBorders>
            <w:noWrap w:val="0"/>
            <w:tcMar>
              <w:top w:w="0" w:type="dxa"/>
              <w:left w:w="105" w:type="dxa"/>
              <w:bottom w:w="0" w:type="dxa"/>
              <w:right w:w="105" w:type="dxa"/>
            </w:tcMar>
            <w:vAlign w:val="center"/>
          </w:tcPr>
          <w:p>
            <w:pPr>
              <w:keepNext w:val="0"/>
              <w:keepLines w:val="0"/>
              <w:widowControl/>
              <w:suppressLineNumbers w:val="0"/>
              <w:spacing w:line="240" w:lineRule="auto"/>
              <w:jc w:val="left"/>
              <w:rPr>
                <w:rFonts w:hint="eastAsia" w:ascii="宋体" w:hAnsi="宋体" w:eastAsia="宋体" w:cs="宋体"/>
                <w:color w:val="auto"/>
                <w:sz w:val="24"/>
                <w:szCs w:val="24"/>
                <w:highlight w:val="none"/>
              </w:rPr>
            </w:pPr>
          </w:p>
        </w:tc>
      </w:tr>
    </w:tbl>
    <w:p>
      <w:pPr>
        <w:pStyle w:val="16"/>
        <w:keepNext w:val="0"/>
        <w:keepLines w:val="0"/>
        <w:widowControl/>
        <w:suppressLineNumbers w:val="0"/>
        <w:spacing w:line="240" w:lineRule="auto"/>
        <w:rPr>
          <w:rFonts w:hint="eastAsia" w:ascii="宋体" w:hAnsi="宋体" w:eastAsia="宋体" w:cs="宋体"/>
          <w:color w:val="auto"/>
          <w:sz w:val="24"/>
          <w:szCs w:val="24"/>
          <w:highlight w:val="none"/>
        </w:rPr>
      </w:pPr>
      <w:r>
        <w:rPr>
          <w:rStyle w:val="24"/>
          <w:rFonts w:hint="eastAsia" w:ascii="宋体" w:hAnsi="宋体" w:eastAsia="宋体" w:cs="宋体"/>
          <w:color w:val="auto"/>
          <w:spacing w:val="0"/>
          <w:sz w:val="24"/>
          <w:szCs w:val="24"/>
          <w:highlight w:val="none"/>
        </w:rPr>
        <w:t>注：早餐免费，一、二类会议最高限价150元/人/天，三、四类会议最高限价130元/人/天。</w:t>
      </w:r>
    </w:p>
    <w:p>
      <w:pPr>
        <w:pStyle w:val="16"/>
        <w:widowControl/>
        <w:rPr>
          <w:color w:val="auto"/>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（全称并加盖单位公章）</w:t>
      </w:r>
    </w:p>
    <w:p>
      <w:pPr>
        <w:pStyle w:val="16"/>
        <w:widowControl/>
        <w:rPr>
          <w:color w:val="auto"/>
          <w:highlight w:val="none"/>
        </w:rPr>
      </w:pPr>
      <w:r>
        <w:rPr>
          <w:rFonts w:hint="eastAsia" w:ascii="宋体" w:hAnsi="宋体" w:eastAsia="宋体" w:cs="宋体"/>
          <w:color w:val="auto"/>
          <w:sz w:val="21"/>
          <w:szCs w:val="21"/>
          <w:highlight w:val="none"/>
        </w:rPr>
        <w:t>供应商代表签字：</w:t>
      </w:r>
      <w:r>
        <w:rPr>
          <w:rFonts w:hint="eastAsia" w:ascii="宋体" w:hAnsi="宋体" w:eastAsia="宋体" w:cs="宋体"/>
          <w:color w:val="auto"/>
          <w:sz w:val="21"/>
          <w:szCs w:val="21"/>
          <w:highlight w:val="none"/>
          <w:u w:val="single"/>
        </w:rPr>
        <w:t>                   </w:t>
      </w:r>
    </w:p>
    <w:p>
      <w:pPr>
        <w:pStyle w:val="16"/>
        <w:widowControl/>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6"/>
        <w:keepNext w:val="0"/>
        <w:keepLines w:val="0"/>
        <w:widowControl/>
        <w:suppressLineNumbers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  </w:t>
      </w:r>
    </w:p>
    <w:p>
      <w:pPr>
        <w:pStyle w:val="16"/>
        <w:keepNext w:val="0"/>
        <w:keepLines w:val="0"/>
        <w:widowControl/>
        <w:suppressLineNumbers w:val="0"/>
        <w:tabs>
          <w:tab w:val="left" w:pos="3393"/>
        </w:tabs>
        <w:spacing w:line="240" w:lineRule="auto"/>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pStyle w:val="2"/>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pStyle w:val="2"/>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pStyle w:val="2"/>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pStyle w:val="2"/>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pStyle w:val="2"/>
        <w:rPr>
          <w:rFonts w:hint="eastAsia" w:ascii="宋体" w:hAnsi="宋体" w:eastAsia="宋体" w:cs="宋体"/>
          <w:color w:val="auto"/>
          <w:sz w:val="24"/>
          <w:szCs w:val="24"/>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pStyle w:val="2"/>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pStyle w:val="16"/>
        <w:keepNext w:val="0"/>
        <w:keepLines w:val="0"/>
        <w:widowControl/>
        <w:suppressLineNumbers w:val="0"/>
        <w:spacing w:line="240" w:lineRule="auto"/>
        <w:ind w:left="0" w:firstLine="2535"/>
        <w:rPr>
          <w:rFonts w:hint="eastAsia" w:ascii="宋体" w:hAnsi="宋体" w:eastAsia="宋体" w:cs="宋体"/>
          <w:color w:val="auto"/>
          <w:sz w:val="24"/>
          <w:szCs w:val="24"/>
          <w:highlight w:val="none"/>
        </w:rPr>
      </w:pPr>
      <w:r>
        <w:rPr>
          <w:rStyle w:val="24"/>
          <w:rFonts w:hint="eastAsia" w:ascii="宋体" w:hAnsi="宋体" w:eastAsia="宋体" w:cs="宋体"/>
          <w:color w:val="auto"/>
          <w:spacing w:val="0"/>
          <w:sz w:val="24"/>
          <w:szCs w:val="24"/>
          <w:highlight w:val="none"/>
          <w:lang w:val="en-US" w:eastAsia="zh-CN"/>
        </w:rPr>
        <w:t>4、场</w:t>
      </w:r>
      <w:r>
        <w:rPr>
          <w:rStyle w:val="24"/>
          <w:rFonts w:hint="eastAsia" w:ascii="宋体" w:hAnsi="宋体" w:eastAsia="宋体" w:cs="宋体"/>
          <w:color w:val="auto"/>
          <w:spacing w:val="0"/>
          <w:sz w:val="24"/>
          <w:szCs w:val="24"/>
          <w:highlight w:val="none"/>
        </w:rPr>
        <w:t>所及协议价格的报送表</w:t>
      </w:r>
    </w:p>
    <w:tbl>
      <w:tblPr>
        <w:tblStyle w:val="20"/>
        <w:tblW w:w="889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05"/>
        <w:gridCol w:w="735"/>
        <w:gridCol w:w="285"/>
        <w:gridCol w:w="690"/>
        <w:gridCol w:w="330"/>
        <w:gridCol w:w="690"/>
        <w:gridCol w:w="125"/>
        <w:gridCol w:w="595"/>
        <w:gridCol w:w="1005"/>
        <w:gridCol w:w="120"/>
        <w:gridCol w:w="810"/>
        <w:gridCol w:w="285"/>
        <w:gridCol w:w="675"/>
        <w:gridCol w:w="765"/>
        <w:gridCol w:w="150"/>
        <w:gridCol w:w="9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blCellSpacing w:w="15" w:type="dxa"/>
        </w:trPr>
        <w:tc>
          <w:tcPr>
            <w:tcW w:w="8835" w:type="dxa"/>
            <w:gridSpan w:val="16"/>
            <w:tcBorders>
              <w:top w:val="nil"/>
              <w:left w:val="nil"/>
              <w:bottom w:val="nil"/>
              <w:right w:val="nil"/>
            </w:tcBorders>
            <w:noWrap w:val="0"/>
            <w:tcMar>
              <w:top w:w="0" w:type="dxa"/>
              <w:left w:w="105" w:type="dxa"/>
              <w:bottom w:w="0" w:type="dxa"/>
              <w:right w:w="105" w:type="dxa"/>
            </w:tcMar>
            <w:vAlign w:val="bottom"/>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名 称：（全称并加盖公章）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5" w:hRule="atLeast"/>
          <w:tblCellSpacing w:w="15" w:type="dxa"/>
        </w:trPr>
        <w:tc>
          <w:tcPr>
            <w:tcW w:w="660" w:type="dxa"/>
            <w:vMerge w:val="restart"/>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所在</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城市</w:t>
            </w:r>
          </w:p>
        </w:tc>
        <w:tc>
          <w:tcPr>
            <w:tcW w:w="990" w:type="dxa"/>
            <w:gridSpan w:val="2"/>
            <w:vMerge w:val="restart"/>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名 称</w:t>
            </w:r>
          </w:p>
        </w:tc>
        <w:tc>
          <w:tcPr>
            <w:tcW w:w="990" w:type="dxa"/>
            <w:gridSpan w:val="2"/>
            <w:vMerge w:val="restart"/>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发票开具</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单位名 称</w:t>
            </w:r>
          </w:p>
        </w:tc>
        <w:tc>
          <w:tcPr>
            <w:tcW w:w="660" w:type="dxa"/>
            <w:vMerge w:val="restart"/>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星级</w:t>
            </w:r>
          </w:p>
        </w:tc>
        <w:tc>
          <w:tcPr>
            <w:tcW w:w="1695" w:type="dxa"/>
            <w:gridSpan w:val="3"/>
            <w:vMerge w:val="restart"/>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地址</w:t>
            </w:r>
          </w:p>
        </w:tc>
        <w:tc>
          <w:tcPr>
            <w:tcW w:w="1185" w:type="dxa"/>
            <w:gridSpan w:val="3"/>
            <w:vMerge w:val="restart"/>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前台订房电话</w:t>
            </w:r>
          </w:p>
        </w:tc>
        <w:tc>
          <w:tcPr>
            <w:tcW w:w="1410" w:type="dxa"/>
            <w:gridSpan w:val="2"/>
            <w:vMerge w:val="restart"/>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联系人电话</w:t>
            </w:r>
          </w:p>
        </w:tc>
        <w:tc>
          <w:tcPr>
            <w:tcW w:w="1035" w:type="dxa"/>
            <w:gridSpan w:val="2"/>
            <w:vMerge w:val="restart"/>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5" w:hRule="atLeast"/>
          <w:tblCellSpacing w:w="15" w:type="dxa"/>
        </w:trPr>
        <w:tc>
          <w:tcPr>
            <w:tcW w:w="660" w:type="dxa"/>
            <w:vMerge w:val="continue"/>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color w:val="auto"/>
                <w:sz w:val="24"/>
                <w:szCs w:val="24"/>
                <w:highlight w:val="none"/>
              </w:rPr>
            </w:pPr>
          </w:p>
        </w:tc>
        <w:tc>
          <w:tcPr>
            <w:tcW w:w="990" w:type="dxa"/>
            <w:gridSpan w:val="2"/>
            <w:vMerge w:val="continue"/>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color w:val="auto"/>
                <w:sz w:val="24"/>
                <w:szCs w:val="24"/>
                <w:highlight w:val="none"/>
              </w:rPr>
            </w:pPr>
          </w:p>
        </w:tc>
        <w:tc>
          <w:tcPr>
            <w:tcW w:w="990" w:type="dxa"/>
            <w:gridSpan w:val="2"/>
            <w:vMerge w:val="continue"/>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color w:val="auto"/>
                <w:sz w:val="24"/>
                <w:szCs w:val="24"/>
                <w:highlight w:val="none"/>
              </w:rPr>
            </w:pPr>
          </w:p>
        </w:tc>
        <w:tc>
          <w:tcPr>
            <w:tcW w:w="660" w:type="dxa"/>
            <w:vMerge w:val="continue"/>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color w:val="auto"/>
                <w:sz w:val="24"/>
                <w:szCs w:val="24"/>
                <w:highlight w:val="none"/>
              </w:rPr>
            </w:pPr>
          </w:p>
        </w:tc>
        <w:tc>
          <w:tcPr>
            <w:tcW w:w="1695" w:type="dxa"/>
            <w:gridSpan w:val="3"/>
            <w:vMerge w:val="continue"/>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color w:val="auto"/>
                <w:sz w:val="24"/>
                <w:szCs w:val="24"/>
                <w:highlight w:val="none"/>
              </w:rPr>
            </w:pPr>
          </w:p>
        </w:tc>
        <w:tc>
          <w:tcPr>
            <w:tcW w:w="1185" w:type="dxa"/>
            <w:gridSpan w:val="3"/>
            <w:vMerge w:val="continue"/>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color w:val="auto"/>
                <w:sz w:val="24"/>
                <w:szCs w:val="24"/>
                <w:highlight w:val="none"/>
              </w:rPr>
            </w:pPr>
          </w:p>
        </w:tc>
        <w:tc>
          <w:tcPr>
            <w:tcW w:w="1410" w:type="dxa"/>
            <w:gridSpan w:val="2"/>
            <w:vMerge w:val="continue"/>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color w:val="auto"/>
                <w:sz w:val="24"/>
                <w:szCs w:val="24"/>
                <w:highlight w:val="none"/>
              </w:rPr>
            </w:pPr>
          </w:p>
        </w:tc>
        <w:tc>
          <w:tcPr>
            <w:tcW w:w="1035" w:type="dxa"/>
            <w:gridSpan w:val="2"/>
            <w:vMerge w:val="continue"/>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15" w:type="dxa"/>
        </w:trPr>
        <w:tc>
          <w:tcPr>
            <w:tcW w:w="660"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990"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990"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660"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1695" w:type="dxa"/>
            <w:gridSpan w:val="3"/>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1185" w:type="dxa"/>
            <w:gridSpan w:val="3"/>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1410"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1035"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61" w:hRule="atLeast"/>
          <w:tblCellSpacing w:w="15" w:type="dxa"/>
        </w:trPr>
        <w:tc>
          <w:tcPr>
            <w:tcW w:w="4110" w:type="dxa"/>
            <w:gridSpan w:val="8"/>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客房（单位：间；价格：元/天）</w:t>
            </w:r>
          </w:p>
        </w:tc>
        <w:tc>
          <w:tcPr>
            <w:tcW w:w="4695" w:type="dxa"/>
            <w:gridSpan w:val="8"/>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会议室</w:t>
            </w:r>
            <w:r>
              <w:rPr>
                <w:rFonts w:hint="eastAsia" w:ascii="宋体" w:hAnsi="宋体" w:eastAsia="宋体" w:cs="宋体"/>
                <w:color w:val="auto"/>
                <w:spacing w:val="0"/>
                <w:sz w:val="24"/>
                <w:szCs w:val="24"/>
                <w:highlight w:val="none"/>
              </w:rPr>
              <w:t>（单位：间；价格：元/半天）</w:t>
            </w:r>
            <w:r>
              <w:rPr>
                <w:rStyle w:val="24"/>
                <w:rFonts w:hint="eastAsia" w:ascii="宋体" w:hAnsi="宋体" w:eastAsia="宋体" w:cs="宋体"/>
                <w:color w:val="auto"/>
                <w:spacing w:val="0"/>
                <w:sz w:val="24"/>
                <w:szCs w:val="24"/>
                <w:highlight w:val="none"/>
              </w:rPr>
              <w:t>（如没有配备会议室，可不用填写）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35" w:hRule="atLeast"/>
          <w:tblCellSpacing w:w="15" w:type="dxa"/>
        </w:trPr>
        <w:tc>
          <w:tcPr>
            <w:tcW w:w="66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房型</w:t>
            </w:r>
          </w:p>
        </w:tc>
        <w:tc>
          <w:tcPr>
            <w:tcW w:w="705"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总间数</w:t>
            </w:r>
          </w:p>
        </w:tc>
        <w:tc>
          <w:tcPr>
            <w:tcW w:w="945" w:type="dxa"/>
            <w:gridSpan w:val="2"/>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协议</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间数</w:t>
            </w:r>
          </w:p>
        </w:tc>
        <w:tc>
          <w:tcPr>
            <w:tcW w:w="1115" w:type="dxa"/>
            <w:gridSpan w:val="3"/>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门市价</w:t>
            </w:r>
          </w:p>
        </w:tc>
        <w:tc>
          <w:tcPr>
            <w:tcW w:w="565"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协议价</w:t>
            </w:r>
          </w:p>
        </w:tc>
        <w:tc>
          <w:tcPr>
            <w:tcW w:w="1095" w:type="dxa"/>
            <w:gridSpan w:val="2"/>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类型</w:t>
            </w:r>
          </w:p>
        </w:tc>
        <w:tc>
          <w:tcPr>
            <w:tcW w:w="78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总间数</w:t>
            </w:r>
          </w:p>
        </w:tc>
        <w:tc>
          <w:tcPr>
            <w:tcW w:w="930" w:type="dxa"/>
            <w:gridSpan w:val="2"/>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协议</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间数</w:t>
            </w:r>
          </w:p>
        </w:tc>
        <w:tc>
          <w:tcPr>
            <w:tcW w:w="885" w:type="dxa"/>
            <w:gridSpan w:val="2"/>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门市价</w:t>
            </w:r>
          </w:p>
        </w:tc>
        <w:tc>
          <w:tcPr>
            <w:tcW w:w="885"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协议价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90" w:hRule="atLeast"/>
          <w:tblCellSpacing w:w="15" w:type="dxa"/>
        </w:trPr>
        <w:tc>
          <w:tcPr>
            <w:tcW w:w="66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单间</w:t>
            </w:r>
          </w:p>
        </w:tc>
        <w:tc>
          <w:tcPr>
            <w:tcW w:w="705"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945"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1115" w:type="dxa"/>
            <w:gridSpan w:val="3"/>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565"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1095" w:type="dxa"/>
            <w:gridSpan w:val="2"/>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大会议室</w:t>
            </w:r>
          </w:p>
        </w:tc>
        <w:tc>
          <w:tcPr>
            <w:tcW w:w="780"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930"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885"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885"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90" w:hRule="atLeast"/>
          <w:tblCellSpacing w:w="15" w:type="dxa"/>
        </w:trPr>
        <w:tc>
          <w:tcPr>
            <w:tcW w:w="66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标准间</w:t>
            </w:r>
          </w:p>
        </w:tc>
        <w:tc>
          <w:tcPr>
            <w:tcW w:w="705"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945"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1115" w:type="dxa"/>
            <w:gridSpan w:val="3"/>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565"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1095" w:type="dxa"/>
            <w:gridSpan w:val="2"/>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中会议室</w:t>
            </w:r>
          </w:p>
        </w:tc>
        <w:tc>
          <w:tcPr>
            <w:tcW w:w="780"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930"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885"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885"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15" w:type="dxa"/>
        </w:trPr>
        <w:tc>
          <w:tcPr>
            <w:tcW w:w="660"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705"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945"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1115" w:type="dxa"/>
            <w:gridSpan w:val="3"/>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565"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1095" w:type="dxa"/>
            <w:gridSpan w:val="2"/>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小会议室</w:t>
            </w:r>
          </w:p>
        </w:tc>
        <w:tc>
          <w:tcPr>
            <w:tcW w:w="780"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930"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885"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885"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15" w:type="dxa"/>
        </w:trPr>
        <w:tc>
          <w:tcPr>
            <w:tcW w:w="66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餐饮类型</w:t>
            </w:r>
          </w:p>
        </w:tc>
        <w:tc>
          <w:tcPr>
            <w:tcW w:w="705"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门市价</w:t>
            </w:r>
          </w:p>
        </w:tc>
        <w:tc>
          <w:tcPr>
            <w:tcW w:w="945" w:type="dxa"/>
            <w:gridSpan w:val="2"/>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Style w:val="24"/>
                <w:rFonts w:hint="eastAsia" w:ascii="宋体" w:hAnsi="宋体" w:eastAsia="宋体" w:cs="宋体"/>
                <w:color w:val="auto"/>
                <w:spacing w:val="0"/>
                <w:sz w:val="24"/>
                <w:szCs w:val="24"/>
                <w:highlight w:val="none"/>
              </w:rPr>
              <w:t>一、二类会议</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协议价（元/人/天）</w:t>
            </w:r>
          </w:p>
        </w:tc>
        <w:tc>
          <w:tcPr>
            <w:tcW w:w="1115" w:type="dxa"/>
            <w:gridSpan w:val="3"/>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auto"/>
                <w:sz w:val="24"/>
                <w:szCs w:val="24"/>
                <w:highlight w:val="none"/>
              </w:rPr>
            </w:pPr>
            <w:r>
              <w:rPr>
                <w:rStyle w:val="24"/>
                <w:rFonts w:hint="eastAsia" w:ascii="宋体" w:hAnsi="宋体" w:eastAsia="宋体" w:cs="宋体"/>
                <w:color w:val="auto"/>
                <w:spacing w:val="0"/>
                <w:sz w:val="24"/>
                <w:szCs w:val="24"/>
                <w:highlight w:val="none"/>
              </w:rPr>
              <w:t>三、四类会议</w:t>
            </w:r>
            <w:r>
              <w:rPr>
                <w:rFonts w:hint="eastAsia" w:ascii="宋体" w:hAnsi="宋体" w:eastAsia="宋体" w:cs="宋体"/>
                <w:color w:val="auto"/>
                <w:spacing w:val="0"/>
                <w:sz w:val="24"/>
                <w:szCs w:val="24"/>
                <w:highlight w:val="none"/>
              </w:rPr>
              <w:t>协议价</w:t>
            </w:r>
          </w:p>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（元/人/天）</w:t>
            </w:r>
          </w:p>
        </w:tc>
        <w:tc>
          <w:tcPr>
            <w:tcW w:w="565"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备注</w:t>
            </w:r>
          </w:p>
        </w:tc>
        <w:tc>
          <w:tcPr>
            <w:tcW w:w="1095"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780"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930"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885"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885"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8" w:hRule="atLeast"/>
          <w:tblCellSpacing w:w="15" w:type="dxa"/>
        </w:trPr>
        <w:tc>
          <w:tcPr>
            <w:tcW w:w="66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早餐</w:t>
            </w:r>
          </w:p>
        </w:tc>
        <w:tc>
          <w:tcPr>
            <w:tcW w:w="705"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945"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1115" w:type="dxa"/>
            <w:gridSpan w:val="3"/>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565"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1095"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780"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930"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885"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885"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15" w:type="dxa"/>
        </w:trPr>
        <w:tc>
          <w:tcPr>
            <w:tcW w:w="66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午餐</w:t>
            </w:r>
          </w:p>
        </w:tc>
        <w:tc>
          <w:tcPr>
            <w:tcW w:w="705"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945"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1115" w:type="dxa"/>
            <w:gridSpan w:val="3"/>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565"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1095"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780"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930"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885"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885"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5" w:hRule="atLeast"/>
          <w:tblCellSpacing w:w="15" w:type="dxa"/>
        </w:trPr>
        <w:tc>
          <w:tcPr>
            <w:tcW w:w="660" w:type="dxa"/>
            <w:tcBorders>
              <w:top w:val="nil"/>
              <w:left w:val="nil"/>
              <w:bottom w:val="nil"/>
              <w:right w:val="nil"/>
            </w:tcBorders>
            <w:noWrap w:val="0"/>
            <w:tcMar>
              <w:top w:w="0" w:type="dxa"/>
              <w:left w:w="105" w:type="dxa"/>
              <w:bottom w:w="0" w:type="dxa"/>
              <w:right w:w="105"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晚餐</w:t>
            </w:r>
          </w:p>
        </w:tc>
        <w:tc>
          <w:tcPr>
            <w:tcW w:w="705"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945"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1115" w:type="dxa"/>
            <w:gridSpan w:val="3"/>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565"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1095"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780"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930"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885" w:type="dxa"/>
            <w:gridSpan w:val="2"/>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c>
          <w:tcPr>
            <w:tcW w:w="885" w:type="dxa"/>
            <w:tcBorders>
              <w:top w:val="nil"/>
              <w:left w:val="nil"/>
              <w:bottom w:val="nil"/>
              <w:right w:val="nil"/>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color w:val="auto"/>
                <w:sz w:val="24"/>
                <w:szCs w:val="24"/>
                <w:highlight w:val="none"/>
              </w:rPr>
            </w:pPr>
          </w:p>
        </w:tc>
      </w:tr>
    </w:tbl>
    <w:p>
      <w:pPr>
        <w:pStyle w:val="16"/>
        <w:keepNext w:val="0"/>
        <w:keepLines w:val="0"/>
        <w:widowControl/>
        <w:suppressLineNumbers w:val="0"/>
        <w:spacing w:after="0" w:afterAutospacing="0" w:line="240" w:lineRule="auto"/>
        <w:ind w:left="0" w:firstLine="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注：1.表中客房、会议室、餐饮类型不能满足需要时，可以按实际情况进行细化，增加行次。</w:t>
      </w:r>
    </w:p>
    <w:p>
      <w:pPr>
        <w:rPr>
          <w:color w:val="auto"/>
          <w:highlight w:val="none"/>
        </w:rPr>
      </w:pP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名 称与发票开具单位名 称不一致的，需要填写“发票开具单位名 称”</w:t>
      </w:r>
    </w:p>
    <w:p>
      <w:pPr>
        <w:pStyle w:val="2"/>
        <w:rPr>
          <w:color w:val="auto"/>
          <w:highlight w:val="none"/>
        </w:rPr>
      </w:pPr>
    </w:p>
    <w:p>
      <w:pPr>
        <w:pStyle w:val="16"/>
        <w:widowControl/>
        <w:rPr>
          <w:color w:val="auto"/>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（全称并加盖单位公章）</w:t>
      </w:r>
    </w:p>
    <w:p>
      <w:pPr>
        <w:pStyle w:val="16"/>
        <w:widowControl/>
        <w:rPr>
          <w:color w:val="auto"/>
          <w:highlight w:val="none"/>
        </w:rPr>
      </w:pPr>
      <w:r>
        <w:rPr>
          <w:rFonts w:hint="eastAsia" w:ascii="宋体" w:hAnsi="宋体" w:eastAsia="宋体" w:cs="宋体"/>
          <w:color w:val="auto"/>
          <w:sz w:val="21"/>
          <w:szCs w:val="21"/>
          <w:highlight w:val="none"/>
        </w:rPr>
        <w:t>供应商代表签字：</w:t>
      </w:r>
      <w:r>
        <w:rPr>
          <w:rFonts w:hint="eastAsia" w:ascii="宋体" w:hAnsi="宋体" w:eastAsia="宋体" w:cs="宋体"/>
          <w:color w:val="auto"/>
          <w:sz w:val="21"/>
          <w:szCs w:val="21"/>
          <w:highlight w:val="none"/>
          <w:u w:val="single"/>
        </w:rPr>
        <w:t>                   </w:t>
      </w:r>
    </w:p>
    <w:p>
      <w:pPr>
        <w:pStyle w:val="16"/>
        <w:widowControl/>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rPr>
          <w:color w:val="auto"/>
          <w:highlight w:val="none"/>
        </w:rPr>
      </w:pPr>
    </w:p>
    <w:p>
      <w:pPr>
        <w:pStyle w:val="2"/>
        <w:rPr>
          <w:color w:val="auto"/>
          <w:highlight w:val="none"/>
        </w:rPr>
      </w:pPr>
    </w:p>
    <w:p>
      <w:pPr>
        <w:pStyle w:val="16"/>
        <w:widowControl/>
        <w:jc w:val="center"/>
        <w:rPr>
          <w:color w:val="auto"/>
          <w:highlight w:val="none"/>
        </w:rPr>
      </w:pPr>
      <w:r>
        <w:rPr>
          <w:rStyle w:val="24"/>
          <w:rFonts w:hint="eastAsia" w:ascii="宋体" w:hAnsi="宋体" w:eastAsia="宋体" w:cs="宋体"/>
          <w:color w:val="auto"/>
          <w:sz w:val="21"/>
          <w:szCs w:val="21"/>
          <w:highlight w:val="none"/>
          <w:lang w:val="en-US" w:eastAsia="zh-CN"/>
        </w:rPr>
        <w:t>三</w:t>
      </w:r>
      <w:r>
        <w:rPr>
          <w:rStyle w:val="24"/>
          <w:rFonts w:hint="eastAsia" w:ascii="宋体" w:hAnsi="宋体" w:eastAsia="宋体" w:cs="宋体"/>
          <w:color w:val="auto"/>
          <w:sz w:val="21"/>
          <w:szCs w:val="21"/>
          <w:highlight w:val="none"/>
        </w:rPr>
        <w:t>、征集文件规定的价格扣除证明材料（若有） </w:t>
      </w:r>
    </w:p>
    <w:p>
      <w:pPr>
        <w:pStyle w:val="16"/>
        <w:widowControl/>
        <w:jc w:val="center"/>
        <w:rPr>
          <w:rStyle w:val="24"/>
          <w:rFonts w:ascii="Calibri" w:hAnsi="Calibri" w:cs="Calibri"/>
          <w:color w:val="auto"/>
          <w:szCs w:val="21"/>
          <w:highlight w:val="none"/>
        </w:rPr>
      </w:pPr>
      <w:r>
        <w:rPr>
          <w:rStyle w:val="24"/>
          <w:rFonts w:hint="eastAsia" w:ascii="宋体" w:hAnsi="宋体" w:eastAsia="宋体" w:cs="宋体"/>
          <w:color w:val="auto"/>
          <w:sz w:val="21"/>
          <w:szCs w:val="21"/>
          <w:highlight w:val="none"/>
          <w:lang w:val="en-US" w:eastAsia="zh-CN"/>
        </w:rPr>
        <w:t>三</w:t>
      </w:r>
      <w:r>
        <w:rPr>
          <w:rStyle w:val="24"/>
          <w:rFonts w:hint="eastAsia" w:ascii="宋体" w:hAnsi="宋体" w:eastAsia="宋体" w:cs="宋体"/>
          <w:color w:val="auto"/>
          <w:sz w:val="21"/>
          <w:szCs w:val="21"/>
          <w:highlight w:val="none"/>
        </w:rPr>
        <w:t>-1小型、微型企业产品等价格扣除证明材料（若有）</w:t>
      </w:r>
    </w:p>
    <w:p>
      <w:pPr>
        <w:pStyle w:val="16"/>
        <w:widowControl/>
        <w:jc w:val="center"/>
        <w:rPr>
          <w:color w:val="auto"/>
          <w:highlight w:val="none"/>
        </w:rPr>
      </w:pPr>
      <w:r>
        <w:rPr>
          <w:rStyle w:val="24"/>
          <w:rFonts w:hint="eastAsia" w:ascii="宋体" w:hAnsi="宋体" w:eastAsia="宋体" w:cs="宋体"/>
          <w:color w:val="auto"/>
          <w:sz w:val="21"/>
          <w:szCs w:val="21"/>
          <w:highlight w:val="none"/>
          <w:lang w:val="en-US" w:eastAsia="zh-CN"/>
        </w:rPr>
        <w:t>三</w:t>
      </w:r>
      <w:r>
        <w:rPr>
          <w:rStyle w:val="24"/>
          <w:rFonts w:hint="eastAsia" w:ascii="宋体" w:hAnsi="宋体" w:eastAsia="宋体" w:cs="宋体"/>
          <w:color w:val="auto"/>
          <w:sz w:val="21"/>
          <w:szCs w:val="21"/>
          <w:highlight w:val="none"/>
        </w:rPr>
        <w:t>-1-</w:t>
      </w:r>
      <w:r>
        <w:rPr>
          <w:rFonts w:ascii="宋体" w:hAnsi="宋体" w:eastAsia="宋体" w:cs="宋体"/>
          <w:b/>
          <w:bCs/>
          <w:color w:val="auto"/>
          <w:kern w:val="2"/>
          <w:sz w:val="19"/>
          <w:highlight w:val="none"/>
        </w:rPr>
        <w:t>①</w:t>
      </w:r>
      <w:r>
        <w:rPr>
          <w:rStyle w:val="24"/>
          <w:rFonts w:hint="eastAsia" w:ascii="宋体" w:hAnsi="宋体" w:eastAsia="宋体" w:cs="宋体"/>
          <w:color w:val="auto"/>
          <w:sz w:val="21"/>
          <w:szCs w:val="21"/>
          <w:highlight w:val="none"/>
        </w:rPr>
        <w:t>中小企业声明函（价格扣除适用，若有）</w:t>
      </w:r>
    </w:p>
    <w:p>
      <w:pPr>
        <w:pStyle w:val="16"/>
        <w:widowControl/>
        <w:rPr>
          <w:color w:val="auto"/>
          <w:highlight w:val="none"/>
        </w:rPr>
      </w:pPr>
      <w:r>
        <w:rPr>
          <w:rStyle w:val="24"/>
          <w:rFonts w:hint="eastAsia" w:ascii="宋体" w:hAnsi="宋体" w:eastAsia="宋体" w:cs="宋体"/>
          <w:color w:val="auto"/>
          <w:sz w:val="21"/>
          <w:szCs w:val="21"/>
          <w:highlight w:val="none"/>
        </w:rPr>
        <w:t> </w:t>
      </w:r>
    </w:p>
    <w:p>
      <w:pPr>
        <w:pStyle w:val="8"/>
        <w:spacing w:before="136" w:beforeAutospacing="0" w:after="136" w:afterAutospacing="0"/>
        <w:jc w:val="center"/>
        <w:rPr>
          <w:rStyle w:val="24"/>
          <w:rFonts w:hint="default" w:asciiTheme="minorEastAsia" w:hAnsiTheme="minorEastAsia" w:eastAsiaTheme="minorEastAsia"/>
          <w:b/>
          <w:bCs w:val="0"/>
          <w:color w:val="auto"/>
          <w:sz w:val="21"/>
          <w:szCs w:val="21"/>
          <w:highlight w:val="none"/>
        </w:rPr>
      </w:pPr>
      <w:r>
        <w:rPr>
          <w:rStyle w:val="24"/>
          <w:rFonts w:asciiTheme="minorEastAsia" w:hAnsiTheme="minorEastAsia" w:eastAsiaTheme="minorEastAsia"/>
          <w:b/>
          <w:bCs w:val="0"/>
          <w:color w:val="auto"/>
          <w:sz w:val="21"/>
          <w:szCs w:val="21"/>
          <w:highlight w:val="none"/>
        </w:rPr>
        <w:t>中小企业声明函（工程、服务）</w:t>
      </w:r>
    </w:p>
    <w:p>
      <w:pPr>
        <w:rPr>
          <w:color w:val="auto"/>
          <w:highlight w:val="none"/>
        </w:rPr>
      </w:pPr>
    </w:p>
    <w:p>
      <w:pPr>
        <w:pStyle w:val="16"/>
        <w:spacing w:before="68" w:beforeAutospacing="0" w:after="68" w:afterAutospacing="0"/>
        <w:ind w:firstLine="380"/>
        <w:rPr>
          <w:rFonts w:asciiTheme="minorEastAsia" w:hAnsiTheme="minorEastAsia"/>
          <w:color w:val="auto"/>
          <w:sz w:val="21"/>
          <w:szCs w:val="21"/>
          <w:highlight w:val="none"/>
        </w:rPr>
      </w:pPr>
      <w:r>
        <w:rPr>
          <w:rFonts w:asciiTheme="minorEastAsia" w:hAnsiTheme="minorEastAsia"/>
          <w:color w:val="auto"/>
          <w:sz w:val="19"/>
          <w:szCs w:val="19"/>
          <w:highlight w:val="none"/>
        </w:rPr>
        <w:t>   </w:t>
      </w:r>
      <w:r>
        <w:rPr>
          <w:rFonts w:asciiTheme="minorEastAsia" w:hAnsiTheme="minorEastAsia"/>
          <w:color w:val="auto"/>
          <w:sz w:val="21"/>
          <w:szCs w:val="21"/>
          <w:highlight w:val="none"/>
        </w:rPr>
        <w:t xml:space="preserve"> 本公司（联合体）郑重声明，根据《政府采购促进中小企业发展管理办法》（财库﹝2020﹞46 号）的规定，本公司（联合体）参加</w:t>
      </w:r>
      <w:r>
        <w:rPr>
          <w:rFonts w:asciiTheme="minorEastAsia" w:hAnsiTheme="minorEastAsia"/>
          <w:color w:val="auto"/>
          <w:sz w:val="21"/>
          <w:szCs w:val="21"/>
          <w:highlight w:val="none"/>
          <w:u w:val="single"/>
        </w:rPr>
        <w:t>（单位名称）</w:t>
      </w:r>
      <w:r>
        <w:rPr>
          <w:rFonts w:asciiTheme="minorEastAsia" w:hAnsiTheme="minorEastAsia"/>
          <w:color w:val="auto"/>
          <w:sz w:val="21"/>
          <w:szCs w:val="21"/>
          <w:highlight w:val="none"/>
        </w:rPr>
        <w:t>的</w:t>
      </w:r>
      <w:r>
        <w:rPr>
          <w:rFonts w:asciiTheme="minorEastAsia" w:hAnsiTheme="minorEastAsia"/>
          <w:color w:val="auto"/>
          <w:sz w:val="21"/>
          <w:szCs w:val="21"/>
          <w:highlight w:val="none"/>
          <w:u w:val="single"/>
        </w:rPr>
        <w:t>（项目名称）</w:t>
      </w:r>
      <w:r>
        <w:rPr>
          <w:rFonts w:asciiTheme="minorEastAsia" w:hAnsiTheme="minorEastAsia"/>
          <w:color w:val="auto"/>
          <w:sz w:val="21"/>
          <w:szCs w:val="21"/>
          <w:highlight w:val="none"/>
        </w:rPr>
        <w:t>采购活动，工程的施工单位全部为符合政策要求的中小企业（或者：服务全部由符合政策要求的中小企业承接）。相关企业的具体情况如下：</w:t>
      </w:r>
    </w:p>
    <w:p>
      <w:pPr>
        <w:pStyle w:val="16"/>
        <w:spacing w:before="68" w:beforeAutospacing="0" w:after="68" w:afterAutospacing="0"/>
        <w:ind w:firstLine="380"/>
        <w:rPr>
          <w:rFonts w:asciiTheme="minorEastAsia" w:hAnsiTheme="minorEastAsia"/>
          <w:color w:val="auto"/>
          <w:sz w:val="21"/>
          <w:szCs w:val="21"/>
          <w:highlight w:val="none"/>
        </w:rPr>
      </w:pPr>
      <w:r>
        <w:rPr>
          <w:rFonts w:asciiTheme="minorEastAsia" w:hAnsiTheme="minorEastAsia"/>
          <w:color w:val="auto"/>
          <w:sz w:val="21"/>
          <w:szCs w:val="21"/>
          <w:highlight w:val="none"/>
        </w:rPr>
        <w:t>1.</w:t>
      </w:r>
      <w:r>
        <w:rPr>
          <w:rFonts w:asciiTheme="minorEastAsia" w:hAnsiTheme="minorEastAsia"/>
          <w:color w:val="auto"/>
          <w:sz w:val="21"/>
          <w:szCs w:val="21"/>
          <w:highlight w:val="none"/>
          <w:u w:val="single"/>
        </w:rPr>
        <w:t> （标的名称）</w:t>
      </w:r>
      <w:r>
        <w:rPr>
          <w:rFonts w:asciiTheme="minorEastAsia" w:hAnsiTheme="minorEastAsia"/>
          <w:color w:val="auto"/>
          <w:sz w:val="21"/>
          <w:szCs w:val="21"/>
          <w:highlight w:val="none"/>
        </w:rPr>
        <w:t>，属于</w:t>
      </w:r>
      <w:r>
        <w:rPr>
          <w:rFonts w:asciiTheme="minorEastAsia" w:hAnsiTheme="minorEastAsia"/>
          <w:color w:val="auto"/>
          <w:sz w:val="21"/>
          <w:szCs w:val="21"/>
          <w:highlight w:val="none"/>
          <w:u w:val="single"/>
        </w:rPr>
        <w:t>（采购文件中明确的所属行业）</w:t>
      </w:r>
      <w:r>
        <w:rPr>
          <w:rFonts w:asciiTheme="minorEastAsia" w:hAnsiTheme="minorEastAsia"/>
          <w:color w:val="auto"/>
          <w:sz w:val="21"/>
          <w:szCs w:val="21"/>
          <w:highlight w:val="none"/>
        </w:rPr>
        <w:t>；承建（承接）企业为</w:t>
      </w:r>
      <w:r>
        <w:rPr>
          <w:rFonts w:asciiTheme="minorEastAsia" w:hAnsiTheme="minorEastAsia"/>
          <w:color w:val="auto"/>
          <w:sz w:val="21"/>
          <w:szCs w:val="21"/>
          <w:highlight w:val="none"/>
          <w:u w:val="single"/>
        </w:rPr>
        <w:t>（企业名称）</w:t>
      </w:r>
      <w:r>
        <w:rPr>
          <w:rFonts w:asciiTheme="minorEastAsia" w:hAnsiTheme="minorEastAsia"/>
          <w:color w:val="auto"/>
          <w:sz w:val="21"/>
          <w:szCs w:val="21"/>
          <w:highlight w:val="none"/>
        </w:rPr>
        <w:t>，从业人员</w:t>
      </w:r>
      <w:r>
        <w:rPr>
          <w:rFonts w:asciiTheme="minorEastAsia" w:hAnsiTheme="minorEastAsia"/>
          <w:color w:val="auto"/>
          <w:sz w:val="21"/>
          <w:szCs w:val="21"/>
          <w:highlight w:val="none"/>
          <w:u w:val="single"/>
        </w:rPr>
        <w:t>  </w:t>
      </w:r>
      <w:r>
        <w:rPr>
          <w:rFonts w:asciiTheme="minorEastAsia" w:hAnsiTheme="minorEastAsia"/>
          <w:color w:val="auto"/>
          <w:sz w:val="21"/>
          <w:szCs w:val="21"/>
          <w:highlight w:val="none"/>
        </w:rPr>
        <w:t>人，营业收入为</w:t>
      </w:r>
      <w:r>
        <w:rPr>
          <w:rFonts w:asciiTheme="minorEastAsia" w:hAnsiTheme="minorEastAsia"/>
          <w:color w:val="auto"/>
          <w:sz w:val="21"/>
          <w:szCs w:val="21"/>
          <w:highlight w:val="none"/>
          <w:u w:val="single"/>
        </w:rPr>
        <w:t>  </w:t>
      </w:r>
      <w:r>
        <w:rPr>
          <w:rFonts w:asciiTheme="minorEastAsia" w:hAnsiTheme="minorEastAsia"/>
          <w:color w:val="auto"/>
          <w:sz w:val="21"/>
          <w:szCs w:val="21"/>
          <w:highlight w:val="none"/>
        </w:rPr>
        <w:t>万元，资产总额为</w:t>
      </w:r>
      <w:r>
        <w:rPr>
          <w:rFonts w:asciiTheme="minorEastAsia" w:hAnsiTheme="minorEastAsia"/>
          <w:color w:val="auto"/>
          <w:sz w:val="21"/>
          <w:szCs w:val="21"/>
          <w:highlight w:val="none"/>
          <w:u w:val="single"/>
        </w:rPr>
        <w:t>  </w:t>
      </w:r>
      <w:r>
        <w:rPr>
          <w:rFonts w:asciiTheme="minorEastAsia" w:hAnsiTheme="minorEastAsia"/>
          <w:color w:val="auto"/>
          <w:sz w:val="21"/>
          <w:szCs w:val="21"/>
          <w:highlight w:val="none"/>
        </w:rPr>
        <w:t>万元</w:t>
      </w:r>
      <w:r>
        <w:rPr>
          <w:rFonts w:asciiTheme="minorEastAsia" w:hAnsiTheme="minorEastAsia"/>
          <w:color w:val="auto"/>
          <w:sz w:val="21"/>
          <w:szCs w:val="21"/>
          <w:highlight w:val="none"/>
          <w:vertAlign w:val="superscript"/>
        </w:rPr>
        <w:t>1</w:t>
      </w:r>
      <w:r>
        <w:rPr>
          <w:rFonts w:asciiTheme="minorEastAsia" w:hAnsiTheme="minorEastAsia"/>
          <w:color w:val="auto"/>
          <w:sz w:val="21"/>
          <w:szCs w:val="21"/>
          <w:highlight w:val="none"/>
        </w:rPr>
        <w:t>，属于</w:t>
      </w:r>
      <w:r>
        <w:rPr>
          <w:rFonts w:asciiTheme="minorEastAsia" w:hAnsiTheme="minorEastAsia"/>
          <w:color w:val="auto"/>
          <w:sz w:val="21"/>
          <w:szCs w:val="21"/>
          <w:highlight w:val="none"/>
          <w:u w:val="single"/>
        </w:rPr>
        <w:t>（中型企业、小型企业、微型企业）</w:t>
      </w:r>
      <w:r>
        <w:rPr>
          <w:rFonts w:asciiTheme="minorEastAsia" w:hAnsiTheme="minorEastAsia"/>
          <w:color w:val="auto"/>
          <w:sz w:val="21"/>
          <w:szCs w:val="21"/>
          <w:highlight w:val="none"/>
        </w:rPr>
        <w:t>；</w:t>
      </w:r>
    </w:p>
    <w:p>
      <w:pPr>
        <w:pStyle w:val="16"/>
        <w:spacing w:before="68" w:beforeAutospacing="0" w:after="68" w:afterAutospacing="0"/>
        <w:rPr>
          <w:rFonts w:asciiTheme="minorEastAsia" w:hAnsiTheme="minorEastAsia"/>
          <w:color w:val="auto"/>
          <w:sz w:val="21"/>
          <w:szCs w:val="21"/>
          <w:highlight w:val="none"/>
        </w:rPr>
      </w:pPr>
      <w:r>
        <w:rPr>
          <w:rFonts w:asciiTheme="minorEastAsia" w:hAnsiTheme="minorEastAsia"/>
          <w:color w:val="auto"/>
          <w:sz w:val="21"/>
          <w:szCs w:val="21"/>
          <w:highlight w:val="none"/>
        </w:rPr>
        <w:t> 　2.</w:t>
      </w:r>
      <w:r>
        <w:rPr>
          <w:rFonts w:asciiTheme="minorEastAsia" w:hAnsiTheme="minorEastAsia"/>
          <w:color w:val="auto"/>
          <w:sz w:val="21"/>
          <w:szCs w:val="21"/>
          <w:highlight w:val="none"/>
          <w:u w:val="single"/>
        </w:rPr>
        <w:t> （标的名称）</w:t>
      </w:r>
      <w:r>
        <w:rPr>
          <w:rFonts w:asciiTheme="minorEastAsia" w:hAnsiTheme="minorEastAsia"/>
          <w:color w:val="auto"/>
          <w:sz w:val="21"/>
          <w:szCs w:val="21"/>
          <w:highlight w:val="none"/>
        </w:rPr>
        <w:t>，属于</w:t>
      </w:r>
      <w:r>
        <w:rPr>
          <w:rFonts w:asciiTheme="minorEastAsia" w:hAnsiTheme="minorEastAsia"/>
          <w:color w:val="auto"/>
          <w:sz w:val="21"/>
          <w:szCs w:val="21"/>
          <w:highlight w:val="none"/>
          <w:u w:val="single"/>
        </w:rPr>
        <w:t>（采购文件中明确的所属行业）</w:t>
      </w:r>
      <w:r>
        <w:rPr>
          <w:rFonts w:asciiTheme="minorEastAsia" w:hAnsiTheme="minorEastAsia"/>
          <w:color w:val="auto"/>
          <w:sz w:val="21"/>
          <w:szCs w:val="21"/>
          <w:highlight w:val="none"/>
        </w:rPr>
        <w:t>；承建（承接）企业为</w:t>
      </w:r>
      <w:r>
        <w:rPr>
          <w:rFonts w:asciiTheme="minorEastAsia" w:hAnsiTheme="minorEastAsia"/>
          <w:color w:val="auto"/>
          <w:sz w:val="21"/>
          <w:szCs w:val="21"/>
          <w:highlight w:val="none"/>
          <w:u w:val="single"/>
        </w:rPr>
        <w:t>（企业名称）</w:t>
      </w:r>
      <w:r>
        <w:rPr>
          <w:rFonts w:asciiTheme="minorEastAsia" w:hAnsiTheme="minorEastAsia"/>
          <w:color w:val="auto"/>
          <w:sz w:val="21"/>
          <w:szCs w:val="21"/>
          <w:highlight w:val="none"/>
        </w:rPr>
        <w:t>，从业人员</w:t>
      </w:r>
      <w:r>
        <w:rPr>
          <w:rFonts w:asciiTheme="minorEastAsia" w:hAnsiTheme="minorEastAsia"/>
          <w:color w:val="auto"/>
          <w:sz w:val="21"/>
          <w:szCs w:val="21"/>
          <w:highlight w:val="none"/>
          <w:u w:val="single"/>
        </w:rPr>
        <w:t>  </w:t>
      </w:r>
      <w:r>
        <w:rPr>
          <w:rFonts w:asciiTheme="minorEastAsia" w:hAnsiTheme="minorEastAsia"/>
          <w:color w:val="auto"/>
          <w:sz w:val="21"/>
          <w:szCs w:val="21"/>
          <w:highlight w:val="none"/>
        </w:rPr>
        <w:t>人，营业收入为</w:t>
      </w:r>
      <w:r>
        <w:rPr>
          <w:rFonts w:asciiTheme="minorEastAsia" w:hAnsiTheme="minorEastAsia"/>
          <w:color w:val="auto"/>
          <w:sz w:val="21"/>
          <w:szCs w:val="21"/>
          <w:highlight w:val="none"/>
          <w:u w:val="single"/>
        </w:rPr>
        <w:t>  </w:t>
      </w:r>
      <w:r>
        <w:rPr>
          <w:rFonts w:asciiTheme="minorEastAsia" w:hAnsiTheme="minorEastAsia"/>
          <w:color w:val="auto"/>
          <w:sz w:val="21"/>
          <w:szCs w:val="21"/>
          <w:highlight w:val="none"/>
        </w:rPr>
        <w:t>万元，资产总额为</w:t>
      </w:r>
      <w:r>
        <w:rPr>
          <w:rFonts w:asciiTheme="minorEastAsia" w:hAnsiTheme="minorEastAsia"/>
          <w:color w:val="auto"/>
          <w:sz w:val="21"/>
          <w:szCs w:val="21"/>
          <w:highlight w:val="none"/>
          <w:u w:val="single"/>
        </w:rPr>
        <w:t>  </w:t>
      </w:r>
      <w:r>
        <w:rPr>
          <w:rFonts w:asciiTheme="minorEastAsia" w:hAnsiTheme="minorEastAsia"/>
          <w:color w:val="auto"/>
          <w:sz w:val="21"/>
          <w:szCs w:val="21"/>
          <w:highlight w:val="none"/>
        </w:rPr>
        <w:t>万元，属于</w:t>
      </w:r>
      <w:r>
        <w:rPr>
          <w:rFonts w:asciiTheme="minorEastAsia" w:hAnsiTheme="minorEastAsia"/>
          <w:color w:val="auto"/>
          <w:sz w:val="21"/>
          <w:szCs w:val="21"/>
          <w:highlight w:val="none"/>
          <w:u w:val="single"/>
        </w:rPr>
        <w:t>（中型企业、小型企业、微型企业）</w:t>
      </w:r>
      <w:r>
        <w:rPr>
          <w:rFonts w:asciiTheme="minorEastAsia" w:hAnsiTheme="minorEastAsia"/>
          <w:color w:val="auto"/>
          <w:sz w:val="21"/>
          <w:szCs w:val="21"/>
          <w:highlight w:val="none"/>
        </w:rPr>
        <w:t>；</w:t>
      </w:r>
    </w:p>
    <w:p>
      <w:pPr>
        <w:pStyle w:val="16"/>
        <w:spacing w:before="68" w:beforeAutospacing="0" w:after="68" w:afterAutospacing="0"/>
        <w:rPr>
          <w:rFonts w:asciiTheme="minorEastAsia" w:hAnsiTheme="minorEastAsia"/>
          <w:color w:val="auto"/>
          <w:sz w:val="21"/>
          <w:szCs w:val="21"/>
          <w:highlight w:val="none"/>
        </w:rPr>
      </w:pPr>
      <w:r>
        <w:rPr>
          <w:rFonts w:asciiTheme="minorEastAsia" w:hAnsiTheme="minorEastAsia"/>
          <w:color w:val="auto"/>
          <w:sz w:val="21"/>
          <w:szCs w:val="21"/>
          <w:highlight w:val="none"/>
        </w:rPr>
        <w:t> </w:t>
      </w:r>
    </w:p>
    <w:p>
      <w:pPr>
        <w:pStyle w:val="16"/>
        <w:spacing w:before="68" w:beforeAutospacing="0" w:after="68" w:afterAutospacing="0"/>
        <w:rPr>
          <w:rFonts w:asciiTheme="minorEastAsia" w:hAnsiTheme="minorEastAsia"/>
          <w:color w:val="auto"/>
          <w:sz w:val="21"/>
          <w:szCs w:val="21"/>
          <w:highlight w:val="none"/>
        </w:rPr>
      </w:pPr>
      <w:r>
        <w:rPr>
          <w:rFonts w:asciiTheme="minorEastAsia" w:hAnsiTheme="minorEastAsia"/>
          <w:color w:val="auto"/>
          <w:sz w:val="21"/>
          <w:szCs w:val="21"/>
          <w:highlight w:val="none"/>
        </w:rPr>
        <w:t>……</w:t>
      </w:r>
    </w:p>
    <w:p>
      <w:pPr>
        <w:pStyle w:val="16"/>
        <w:spacing w:before="68" w:beforeAutospacing="0" w:after="68" w:afterAutospacing="0"/>
        <w:rPr>
          <w:rFonts w:asciiTheme="minorEastAsia" w:hAnsiTheme="minorEastAsia"/>
          <w:color w:val="auto"/>
          <w:sz w:val="21"/>
          <w:szCs w:val="21"/>
          <w:highlight w:val="none"/>
        </w:rPr>
      </w:pPr>
      <w:r>
        <w:rPr>
          <w:rFonts w:asciiTheme="minorEastAsia" w:hAnsiTheme="minorEastAsia"/>
          <w:color w:val="auto"/>
          <w:sz w:val="21"/>
          <w:szCs w:val="21"/>
          <w:highlight w:val="none"/>
        </w:rPr>
        <w:t> </w:t>
      </w:r>
    </w:p>
    <w:p>
      <w:pPr>
        <w:pStyle w:val="16"/>
        <w:spacing w:before="68" w:beforeAutospacing="0" w:after="68" w:afterAutospacing="0"/>
        <w:rPr>
          <w:rFonts w:asciiTheme="minorEastAsia" w:hAnsiTheme="minorEastAsia"/>
          <w:color w:val="auto"/>
          <w:sz w:val="21"/>
          <w:szCs w:val="21"/>
          <w:highlight w:val="none"/>
        </w:rPr>
      </w:pPr>
      <w:r>
        <w:rPr>
          <w:rFonts w:asciiTheme="minorEastAsia" w:hAnsiTheme="minorEastAsia"/>
          <w:color w:val="auto"/>
          <w:sz w:val="21"/>
          <w:szCs w:val="21"/>
          <w:highlight w:val="none"/>
        </w:rPr>
        <w:t>   以上企业，不属于大企业的分支机构，不存在控股股东为大企业的情形，也不存在与大企业的负责人为同一人的情形。</w:t>
      </w:r>
    </w:p>
    <w:p>
      <w:pPr>
        <w:pStyle w:val="16"/>
        <w:spacing w:before="68" w:beforeAutospacing="0" w:after="68" w:afterAutospacing="0"/>
        <w:rPr>
          <w:rFonts w:asciiTheme="minorEastAsia" w:hAnsiTheme="minorEastAsia"/>
          <w:color w:val="auto"/>
          <w:sz w:val="21"/>
          <w:szCs w:val="21"/>
          <w:highlight w:val="none"/>
        </w:rPr>
      </w:pPr>
      <w:r>
        <w:rPr>
          <w:rFonts w:asciiTheme="minorEastAsia" w:hAnsiTheme="minorEastAsia"/>
          <w:color w:val="auto"/>
          <w:sz w:val="21"/>
          <w:szCs w:val="21"/>
          <w:highlight w:val="none"/>
        </w:rPr>
        <w:t> </w:t>
      </w:r>
    </w:p>
    <w:p>
      <w:pPr>
        <w:pStyle w:val="16"/>
        <w:spacing w:before="68" w:beforeAutospacing="0" w:after="68" w:afterAutospacing="0"/>
        <w:rPr>
          <w:rFonts w:asciiTheme="minorEastAsia" w:hAnsiTheme="minorEastAsia"/>
          <w:color w:val="auto"/>
          <w:sz w:val="21"/>
          <w:szCs w:val="21"/>
          <w:highlight w:val="none"/>
        </w:rPr>
      </w:pPr>
      <w:r>
        <w:rPr>
          <w:rFonts w:asciiTheme="minorEastAsia" w:hAnsiTheme="minorEastAsia"/>
          <w:color w:val="auto"/>
          <w:sz w:val="21"/>
          <w:szCs w:val="21"/>
          <w:highlight w:val="none"/>
        </w:rPr>
        <w:t>   本企业对上述声明内容的真实性负责。如有虚假，将依法承担相应责任。</w:t>
      </w:r>
    </w:p>
    <w:p>
      <w:pPr>
        <w:pStyle w:val="16"/>
        <w:spacing w:before="68" w:beforeAutospacing="0" w:after="68" w:afterAutospacing="0"/>
        <w:rPr>
          <w:rFonts w:asciiTheme="minorEastAsia" w:hAnsiTheme="minorEastAsia"/>
          <w:color w:val="auto"/>
          <w:sz w:val="21"/>
          <w:szCs w:val="21"/>
          <w:highlight w:val="none"/>
        </w:rPr>
      </w:pPr>
      <w:r>
        <w:rPr>
          <w:rFonts w:asciiTheme="minorEastAsia" w:hAnsiTheme="minorEastAsia"/>
          <w:color w:val="auto"/>
          <w:sz w:val="21"/>
          <w:szCs w:val="21"/>
          <w:highlight w:val="none"/>
        </w:rPr>
        <w:t> </w:t>
      </w:r>
    </w:p>
    <w:p>
      <w:pPr>
        <w:pStyle w:val="16"/>
        <w:spacing w:before="68" w:beforeAutospacing="0" w:after="68" w:afterAutospacing="0"/>
        <w:rPr>
          <w:rFonts w:asciiTheme="minorEastAsia" w:hAnsiTheme="minorEastAsia"/>
          <w:color w:val="auto"/>
          <w:sz w:val="21"/>
          <w:szCs w:val="21"/>
          <w:highlight w:val="none"/>
        </w:rPr>
      </w:pPr>
      <w:r>
        <w:rPr>
          <w:rFonts w:asciiTheme="minorEastAsia" w:hAnsiTheme="minorEastAsia"/>
          <w:color w:val="auto"/>
          <w:sz w:val="21"/>
          <w:szCs w:val="21"/>
          <w:highlight w:val="none"/>
        </w:rPr>
        <w:t>                                                         　　　　　　　　　　　　　　　　　　　　企业名称（盖章）：   </w:t>
      </w:r>
    </w:p>
    <w:p>
      <w:pPr>
        <w:pStyle w:val="16"/>
        <w:spacing w:before="68" w:beforeAutospacing="0" w:after="68" w:afterAutospacing="0"/>
        <w:rPr>
          <w:rFonts w:asciiTheme="minorEastAsia" w:hAnsiTheme="minorEastAsia"/>
          <w:color w:val="auto"/>
          <w:sz w:val="21"/>
          <w:szCs w:val="21"/>
          <w:highlight w:val="none"/>
        </w:rPr>
      </w:pPr>
      <w:r>
        <w:rPr>
          <w:rFonts w:asciiTheme="minorEastAsia" w:hAnsiTheme="minorEastAsia"/>
          <w:color w:val="auto"/>
          <w:sz w:val="21"/>
          <w:szCs w:val="21"/>
          <w:highlight w:val="none"/>
        </w:rPr>
        <w:t>                            日期：</w:t>
      </w:r>
    </w:p>
    <w:p>
      <w:pPr>
        <w:pStyle w:val="16"/>
        <w:spacing w:before="68" w:beforeAutospacing="0" w:after="68" w:afterAutospacing="0"/>
        <w:rPr>
          <w:rFonts w:asciiTheme="minorEastAsia" w:hAnsiTheme="minorEastAsia"/>
          <w:color w:val="auto"/>
          <w:sz w:val="21"/>
          <w:szCs w:val="21"/>
          <w:highlight w:val="none"/>
        </w:rPr>
      </w:pPr>
      <w:r>
        <w:rPr>
          <w:rFonts w:asciiTheme="minorEastAsia" w:hAnsiTheme="minorEastAsia"/>
          <w:color w:val="auto"/>
          <w:sz w:val="21"/>
          <w:szCs w:val="21"/>
          <w:highlight w:val="none"/>
        </w:rPr>
        <w:t> </w:t>
      </w:r>
    </w:p>
    <w:p>
      <w:pPr>
        <w:pStyle w:val="16"/>
        <w:spacing w:before="68" w:beforeAutospacing="0" w:after="68" w:afterAutospacing="0"/>
        <w:ind w:firstLine="380"/>
        <w:rPr>
          <w:rFonts w:asciiTheme="minorEastAsia" w:hAnsiTheme="minorEastAsia"/>
          <w:color w:val="auto"/>
          <w:sz w:val="21"/>
          <w:szCs w:val="21"/>
          <w:highlight w:val="none"/>
        </w:rPr>
      </w:pPr>
      <w:r>
        <w:rPr>
          <w:rStyle w:val="24"/>
          <w:rFonts w:asciiTheme="minorEastAsia" w:hAnsiTheme="minorEastAsia"/>
          <w:color w:val="auto"/>
          <w:sz w:val="21"/>
          <w:szCs w:val="21"/>
          <w:highlight w:val="none"/>
        </w:rPr>
        <w:t>1、从业人员、营业收入、资产总额填报上一年度数据，无上一年度数据的新成立企业可不填报。</w:t>
      </w:r>
    </w:p>
    <w:p>
      <w:pPr>
        <w:pStyle w:val="16"/>
        <w:spacing w:before="68" w:beforeAutospacing="0" w:after="68" w:afterAutospacing="0"/>
        <w:ind w:firstLine="380"/>
        <w:rPr>
          <w:rFonts w:asciiTheme="minorEastAsia" w:hAnsiTheme="minorEastAsia"/>
          <w:color w:val="auto"/>
          <w:sz w:val="21"/>
          <w:szCs w:val="21"/>
          <w:highlight w:val="none"/>
        </w:rPr>
      </w:pPr>
      <w:r>
        <w:rPr>
          <w:rStyle w:val="24"/>
          <w:rFonts w:asciiTheme="minorEastAsia" w:hAnsiTheme="minorEastAsia"/>
          <w:color w:val="auto"/>
          <w:sz w:val="21"/>
          <w:szCs w:val="21"/>
          <w:highlight w:val="none"/>
        </w:rPr>
        <w:t>2、</w:t>
      </w:r>
      <w:r>
        <w:rPr>
          <w:rStyle w:val="24"/>
          <w:rFonts w:hint="eastAsia" w:asciiTheme="minorEastAsia" w:hAnsiTheme="minorEastAsia"/>
          <w:color w:val="auto"/>
          <w:sz w:val="21"/>
          <w:szCs w:val="21"/>
          <w:highlight w:val="none"/>
        </w:rPr>
        <w:t>供应商</w:t>
      </w:r>
      <w:r>
        <w:rPr>
          <w:rStyle w:val="24"/>
          <w:rFonts w:asciiTheme="minorEastAsia" w:hAnsiTheme="minorEastAsia"/>
          <w:color w:val="auto"/>
          <w:sz w:val="21"/>
          <w:szCs w:val="21"/>
          <w:highlight w:val="none"/>
        </w:rPr>
        <w:t>须按</w:t>
      </w:r>
      <w:r>
        <w:rPr>
          <w:rStyle w:val="24"/>
          <w:rFonts w:hint="eastAsia" w:asciiTheme="minorEastAsia" w:hAnsiTheme="minorEastAsia"/>
          <w:color w:val="auto"/>
          <w:sz w:val="21"/>
          <w:szCs w:val="21"/>
          <w:highlight w:val="none"/>
        </w:rPr>
        <w:t>征集</w:t>
      </w:r>
      <w:r>
        <w:rPr>
          <w:rStyle w:val="24"/>
          <w:rFonts w:asciiTheme="minorEastAsia" w:hAnsiTheme="minorEastAsia"/>
          <w:color w:val="auto"/>
          <w:sz w:val="21"/>
          <w:szCs w:val="21"/>
          <w:highlight w:val="none"/>
        </w:rPr>
        <w:t>文件第四章中明确的所属行业填列，多品目项目中须按上表要求逐条填列，否则，其提供的中小企业声明将被判定为无效声明函，由此造成的后果由</w:t>
      </w:r>
      <w:r>
        <w:rPr>
          <w:rStyle w:val="24"/>
          <w:rFonts w:hint="eastAsia" w:asciiTheme="minorEastAsia" w:hAnsiTheme="minorEastAsia"/>
          <w:color w:val="auto"/>
          <w:sz w:val="21"/>
          <w:szCs w:val="21"/>
          <w:highlight w:val="none"/>
        </w:rPr>
        <w:t>供应商</w:t>
      </w:r>
      <w:r>
        <w:rPr>
          <w:rStyle w:val="24"/>
          <w:rFonts w:asciiTheme="minorEastAsia" w:hAnsiTheme="minorEastAsia"/>
          <w:color w:val="auto"/>
          <w:sz w:val="21"/>
          <w:szCs w:val="21"/>
          <w:highlight w:val="none"/>
        </w:rPr>
        <w:t>自行承担（涉及资格的按无效</w:t>
      </w:r>
      <w:r>
        <w:rPr>
          <w:rStyle w:val="24"/>
          <w:rFonts w:hint="eastAsia" w:asciiTheme="minorEastAsia" w:hAnsiTheme="minorEastAsia"/>
          <w:color w:val="auto"/>
          <w:sz w:val="21"/>
          <w:szCs w:val="21"/>
          <w:highlight w:val="none"/>
        </w:rPr>
        <w:t>响应</w:t>
      </w:r>
      <w:r>
        <w:rPr>
          <w:rStyle w:val="24"/>
          <w:rFonts w:asciiTheme="minorEastAsia" w:hAnsiTheme="minorEastAsia"/>
          <w:color w:val="auto"/>
          <w:sz w:val="21"/>
          <w:szCs w:val="21"/>
          <w:highlight w:val="none"/>
        </w:rPr>
        <w:t>处理；涉及价格评审优惠的，不予认定）。</w:t>
      </w:r>
    </w:p>
    <w:p>
      <w:pPr>
        <w:pStyle w:val="16"/>
        <w:spacing w:before="68" w:beforeAutospacing="0" w:after="68" w:afterAutospacing="0"/>
        <w:ind w:firstLine="380"/>
        <w:rPr>
          <w:rFonts w:asciiTheme="minorEastAsia" w:hAnsiTheme="minorEastAsia"/>
          <w:color w:val="auto"/>
          <w:sz w:val="21"/>
          <w:szCs w:val="21"/>
          <w:highlight w:val="none"/>
        </w:rPr>
      </w:pPr>
      <w:r>
        <w:rPr>
          <w:rStyle w:val="24"/>
          <w:rFonts w:asciiTheme="minorEastAsia" w:hAnsiTheme="minorEastAsia"/>
          <w:color w:val="auto"/>
          <w:sz w:val="21"/>
          <w:szCs w:val="21"/>
          <w:highlight w:val="none"/>
        </w:rPr>
        <w:t>3、</w:t>
      </w:r>
      <w:r>
        <w:rPr>
          <w:rStyle w:val="24"/>
          <w:rFonts w:hint="eastAsia" w:asciiTheme="minorEastAsia" w:hAnsiTheme="minorEastAsia"/>
          <w:color w:val="auto"/>
          <w:sz w:val="21"/>
          <w:szCs w:val="21"/>
          <w:highlight w:val="none"/>
        </w:rPr>
        <w:t>供应商</w:t>
      </w:r>
      <w:r>
        <w:rPr>
          <w:rStyle w:val="24"/>
          <w:rFonts w:asciiTheme="minorEastAsia" w:hAnsiTheme="minorEastAsia"/>
          <w:color w:val="auto"/>
          <w:sz w:val="21"/>
          <w:szCs w:val="21"/>
          <w:highlight w:val="none"/>
        </w:rPr>
        <w:t>应当对其出具的《中小企业声明函》真实性负责，</w:t>
      </w:r>
      <w:r>
        <w:rPr>
          <w:rStyle w:val="24"/>
          <w:rFonts w:hint="eastAsia" w:asciiTheme="minorEastAsia" w:hAnsiTheme="minorEastAsia"/>
          <w:color w:val="auto"/>
          <w:sz w:val="21"/>
          <w:szCs w:val="21"/>
          <w:highlight w:val="none"/>
        </w:rPr>
        <w:t>供应商</w:t>
      </w:r>
      <w:r>
        <w:rPr>
          <w:rStyle w:val="24"/>
          <w:rFonts w:asciiTheme="minorEastAsia" w:hAnsiTheme="minorEastAsia"/>
          <w:color w:val="auto"/>
          <w:sz w:val="21"/>
          <w:szCs w:val="21"/>
          <w:highlight w:val="none"/>
        </w:rPr>
        <w:t>出具的《中小企业声明函》内容不实的，属于提供虚假材料谋取</w:t>
      </w:r>
      <w:r>
        <w:rPr>
          <w:rStyle w:val="24"/>
          <w:rFonts w:hint="eastAsia" w:asciiTheme="minorEastAsia" w:hAnsiTheme="minorEastAsia"/>
          <w:color w:val="auto"/>
          <w:sz w:val="21"/>
          <w:szCs w:val="21"/>
          <w:highlight w:val="none"/>
        </w:rPr>
        <w:t>入围资格</w:t>
      </w:r>
      <w:r>
        <w:rPr>
          <w:rStyle w:val="24"/>
          <w:rFonts w:asciiTheme="minorEastAsia" w:hAnsiTheme="minorEastAsia"/>
          <w:color w:val="auto"/>
          <w:sz w:val="21"/>
          <w:szCs w:val="21"/>
          <w:highlight w:val="none"/>
        </w:rPr>
        <w:t>。在实际操作中，项目属性为货物且</w:t>
      </w:r>
      <w:r>
        <w:rPr>
          <w:rStyle w:val="24"/>
          <w:rFonts w:hint="eastAsia" w:asciiTheme="minorEastAsia" w:hAnsiTheme="minorEastAsia"/>
          <w:color w:val="auto"/>
          <w:sz w:val="21"/>
          <w:szCs w:val="21"/>
          <w:highlight w:val="none"/>
        </w:rPr>
        <w:t>供应商</w:t>
      </w:r>
      <w:r>
        <w:rPr>
          <w:rStyle w:val="24"/>
          <w:rFonts w:asciiTheme="minorEastAsia" w:hAnsiTheme="minorEastAsia"/>
          <w:color w:val="auto"/>
          <w:sz w:val="21"/>
          <w:szCs w:val="21"/>
          <w:highlight w:val="none"/>
        </w:rPr>
        <w:t>希望获得中小企业政策支持的，应从制造商处获得充分、准确的信息。对相关制造商信息了解不充分，或者不能确定相关信息真实、准确的，不建议出具《中小企业声明函》。</w:t>
      </w:r>
    </w:p>
    <w:p>
      <w:pPr>
        <w:rPr>
          <w:rStyle w:val="24"/>
          <w:rFonts w:ascii="宋体" w:hAnsi="宋体" w:eastAsia="宋体" w:cs="宋体"/>
          <w:color w:val="auto"/>
          <w:szCs w:val="21"/>
          <w:highlight w:val="none"/>
        </w:rPr>
      </w:pPr>
      <w:r>
        <w:rPr>
          <w:rStyle w:val="24"/>
          <w:rFonts w:hint="eastAsia" w:ascii="宋体" w:hAnsi="宋体" w:eastAsia="宋体" w:cs="宋体"/>
          <w:color w:val="auto"/>
          <w:szCs w:val="21"/>
          <w:highlight w:val="none"/>
        </w:rPr>
        <w:br w:type="page"/>
      </w:r>
    </w:p>
    <w:p>
      <w:pPr>
        <w:pStyle w:val="16"/>
        <w:widowControl/>
        <w:jc w:val="center"/>
        <w:rPr>
          <w:color w:val="auto"/>
          <w:highlight w:val="none"/>
        </w:rPr>
      </w:pPr>
      <w:r>
        <w:rPr>
          <w:rStyle w:val="24"/>
          <w:rFonts w:hint="eastAsia" w:ascii="宋体" w:hAnsi="宋体" w:eastAsia="宋体" w:cs="宋体"/>
          <w:color w:val="auto"/>
          <w:sz w:val="21"/>
          <w:szCs w:val="21"/>
          <w:highlight w:val="none"/>
          <w:lang w:val="en-US" w:eastAsia="zh-CN"/>
        </w:rPr>
        <w:t>三</w:t>
      </w:r>
      <w:r>
        <w:rPr>
          <w:rStyle w:val="24"/>
          <w:rFonts w:hint="eastAsia" w:ascii="宋体" w:hAnsi="宋体" w:eastAsia="宋体" w:cs="宋体"/>
          <w:color w:val="auto"/>
          <w:sz w:val="21"/>
          <w:szCs w:val="21"/>
          <w:highlight w:val="none"/>
        </w:rPr>
        <w:t>-1-</w:t>
      </w:r>
      <w:r>
        <w:rPr>
          <w:rFonts w:ascii="宋体" w:hAnsi="宋体" w:eastAsia="宋体" w:cs="宋体"/>
          <w:b/>
          <w:bCs/>
          <w:color w:val="auto"/>
          <w:kern w:val="2"/>
          <w:sz w:val="19"/>
          <w:highlight w:val="none"/>
        </w:rPr>
        <w:t>②</w:t>
      </w:r>
      <w:r>
        <w:rPr>
          <w:rStyle w:val="24"/>
          <w:rFonts w:hint="eastAsia" w:ascii="宋体" w:hAnsi="宋体" w:eastAsia="宋体" w:cs="宋体"/>
          <w:color w:val="auto"/>
          <w:sz w:val="21"/>
          <w:szCs w:val="21"/>
          <w:highlight w:val="none"/>
        </w:rPr>
        <w:t>小型、微型企业等证明材料（价格扣除适用，若有）</w:t>
      </w:r>
    </w:p>
    <w:p>
      <w:pPr>
        <w:pStyle w:val="16"/>
        <w:widowControl/>
        <w:rPr>
          <w:color w:val="auto"/>
          <w:highlight w:val="none"/>
        </w:rPr>
      </w:pPr>
      <w:r>
        <w:rPr>
          <w:rStyle w:val="24"/>
          <w:rFonts w:hint="eastAsia" w:ascii="宋体" w:hAnsi="宋体" w:eastAsia="宋体" w:cs="宋体"/>
          <w:color w:val="auto"/>
          <w:sz w:val="21"/>
          <w:szCs w:val="21"/>
          <w:highlight w:val="none"/>
        </w:rPr>
        <w:t> </w:t>
      </w:r>
    </w:p>
    <w:p>
      <w:pPr>
        <w:pStyle w:val="16"/>
        <w:widowControl/>
        <w:rPr>
          <w:color w:val="auto"/>
          <w:highlight w:val="none"/>
        </w:rPr>
      </w:pPr>
      <w:r>
        <w:rPr>
          <w:rStyle w:val="24"/>
          <w:rFonts w:hint="eastAsia" w:ascii="宋体" w:hAnsi="宋体" w:eastAsia="宋体" w:cs="宋体"/>
          <w:color w:val="auto"/>
          <w:sz w:val="21"/>
          <w:szCs w:val="21"/>
          <w:highlight w:val="none"/>
        </w:rPr>
        <w:t> </w:t>
      </w:r>
    </w:p>
    <w:p>
      <w:pPr>
        <w:pStyle w:val="16"/>
        <w:widowControl/>
        <w:jc w:val="center"/>
        <w:rPr>
          <w:color w:val="auto"/>
          <w:highlight w:val="none"/>
        </w:rPr>
      </w:pPr>
      <w:r>
        <w:rPr>
          <w:rFonts w:hint="eastAsia" w:ascii="宋体" w:hAnsi="宋体" w:eastAsia="宋体" w:cs="宋体"/>
          <w:color w:val="auto"/>
          <w:sz w:val="21"/>
          <w:szCs w:val="21"/>
          <w:highlight w:val="none"/>
        </w:rPr>
        <w:t>编制说明</w:t>
      </w:r>
    </w:p>
    <w:p>
      <w:pPr>
        <w:pStyle w:val="16"/>
        <w:widowControl/>
        <w:jc w:val="center"/>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1、供应商应按照征集文件要求提供相应证明材料，证明材料应与《中小企业声明函》的内容相一致，否则视为《中小企业声明函》内容不真实。</w:t>
      </w:r>
    </w:p>
    <w:p>
      <w:pPr>
        <w:pStyle w:val="16"/>
        <w:widowControl/>
        <w:rPr>
          <w:color w:val="auto"/>
          <w:highlight w:val="none"/>
        </w:rPr>
      </w:pPr>
      <w:r>
        <w:rPr>
          <w:rFonts w:hint="eastAsia" w:ascii="宋体" w:hAnsi="宋体" w:eastAsia="宋体" w:cs="宋体"/>
          <w:color w:val="auto"/>
          <w:sz w:val="21"/>
          <w:szCs w:val="21"/>
          <w:highlight w:val="none"/>
        </w:rPr>
        <w:t>2、供应商为监狱企业的，根据其提供的由省级以上监狱管理局、戒毒管理局（含新疆生产建设兵团）出具的属于监狱企业的证明文件进行认定，监狱企业视同小型、微型企业。</w:t>
      </w:r>
    </w:p>
    <w:p>
      <w:pPr>
        <w:pStyle w:val="16"/>
        <w:widowControl/>
        <w:rPr>
          <w:color w:val="auto"/>
          <w:highlight w:val="none"/>
        </w:rPr>
      </w:pPr>
      <w:r>
        <w:rPr>
          <w:rFonts w:hint="eastAsia" w:ascii="宋体" w:hAnsi="宋体" w:eastAsia="宋体" w:cs="宋体"/>
          <w:color w:val="auto"/>
          <w:sz w:val="21"/>
          <w:szCs w:val="21"/>
          <w:highlight w:val="none"/>
        </w:rPr>
        <w:t>3、供应商为残疾人福利性单位的，根据其提供的《残疾人福利性单位声明函》（格式附后）进行认定，残疾人福利性单位视同小型、微型企业。残疾人福利性单位属于小型、微型企业的，不重复享受政策。</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rPr>
          <w:rFonts w:cs="宋体" w:asciiTheme="minorEastAsia" w:hAnsiTheme="minorEastAsia"/>
          <w:color w:val="auto"/>
          <w:sz w:val="21"/>
          <w:szCs w:val="21"/>
          <w:highlight w:val="none"/>
        </w:rPr>
      </w:pPr>
    </w:p>
    <w:p>
      <w:pPr>
        <w:rPr>
          <w:color w:val="auto"/>
          <w:highlight w:val="none"/>
        </w:rPr>
      </w:pPr>
    </w:p>
    <w:p>
      <w:pPr>
        <w:rPr>
          <w:color w:val="auto"/>
          <w:kern w:val="0"/>
          <w:highlight w:val="none"/>
        </w:rPr>
      </w:pPr>
      <w:r>
        <w:rPr>
          <w:color w:val="auto"/>
          <w:highlight w:val="none"/>
        </w:rPr>
        <w:br w:type="page"/>
      </w:r>
    </w:p>
    <w:p>
      <w:pPr>
        <w:pStyle w:val="16"/>
        <w:rPr>
          <w:rFonts w:cs="宋体" w:asciiTheme="minorEastAsia" w:hAnsiTheme="minorEastAsia"/>
          <w:color w:val="auto"/>
          <w:sz w:val="21"/>
          <w:szCs w:val="21"/>
          <w:highlight w:val="none"/>
        </w:rPr>
      </w:pPr>
      <w:r>
        <w:rPr>
          <w:rFonts w:cs="宋体" w:asciiTheme="minorEastAsia" w:hAnsiTheme="minorEastAsia"/>
          <w:color w:val="auto"/>
          <w:sz w:val="21"/>
          <w:szCs w:val="21"/>
          <w:highlight w:val="none"/>
        </w:rPr>
        <w:t>附：</w:t>
      </w:r>
    </w:p>
    <w:p>
      <w:pPr>
        <w:widowControl/>
        <w:spacing w:before="100" w:beforeAutospacing="1" w:after="100" w:afterAutospacing="1"/>
        <w:jc w:val="center"/>
        <w:rPr>
          <w:rFonts w:cs="宋体" w:asciiTheme="minorEastAsia" w:hAnsiTheme="minorEastAsia"/>
          <w:color w:val="auto"/>
          <w:kern w:val="0"/>
          <w:szCs w:val="21"/>
          <w:highlight w:val="none"/>
        </w:rPr>
      </w:pPr>
      <w:r>
        <w:rPr>
          <w:rFonts w:cs="宋体" w:asciiTheme="minorEastAsia" w:hAnsiTheme="minorEastAsia"/>
          <w:b/>
          <w:bCs/>
          <w:color w:val="auto"/>
          <w:kern w:val="0"/>
          <w:szCs w:val="21"/>
          <w:highlight w:val="none"/>
        </w:rPr>
        <w:t>残疾人福利性单位声明函（价格扣除适用，若有）</w:t>
      </w:r>
    </w:p>
    <w:p>
      <w:pPr>
        <w:widowControl/>
        <w:spacing w:before="100" w:beforeAutospacing="1" w:after="100" w:afterAutospacing="1"/>
        <w:jc w:val="left"/>
        <w:rPr>
          <w:rFonts w:cs="宋体" w:asciiTheme="minorEastAsia" w:hAnsiTheme="minorEastAsia"/>
          <w:color w:val="auto"/>
          <w:kern w:val="0"/>
          <w:szCs w:val="21"/>
          <w:highlight w:val="none"/>
        </w:rPr>
      </w:pPr>
      <w:r>
        <w:rPr>
          <w:rFonts w:cs="宋体" w:asciiTheme="minorEastAsia" w:hAnsiTheme="minorEastAsia"/>
          <w:b/>
          <w:bCs/>
          <w:color w:val="auto"/>
          <w:kern w:val="0"/>
          <w:szCs w:val="21"/>
          <w:highlight w:val="none"/>
        </w:rPr>
        <w:t> </w:t>
      </w:r>
    </w:p>
    <w:p>
      <w:pPr>
        <w:widowControl/>
        <w:spacing w:before="75" w:after="75"/>
        <w:ind w:firstLine="420"/>
        <w:jc w:val="left"/>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本</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郑重声明，根据《财政部 民政部 中国残疾人联合会关于促进残疾人就业政府采购政策的通知》（财库[2017]141号）、《政府采购促进中小企业发展管理办法》（财库〔2020〕46号）的规定，本</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为符合条件的残疾人福利性单位，且本</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参加贵单位的</w:t>
      </w:r>
      <w:r>
        <w:rPr>
          <w:rFonts w:cs="宋体" w:asciiTheme="minorEastAsia" w:hAnsiTheme="minorEastAsia"/>
          <w:color w:val="auto"/>
          <w:kern w:val="0"/>
          <w:szCs w:val="21"/>
          <w:highlight w:val="none"/>
          <w:u w:val="single"/>
        </w:rPr>
        <w:t>（填写“项目名称”）</w:t>
      </w:r>
      <w:r>
        <w:rPr>
          <w:rFonts w:cs="宋体" w:asciiTheme="minorEastAsia" w:hAnsiTheme="minorEastAsia"/>
          <w:color w:val="auto"/>
          <w:kern w:val="0"/>
          <w:szCs w:val="21"/>
          <w:highlight w:val="none"/>
        </w:rPr>
        <w:t>项目采购活动：</w:t>
      </w:r>
    </w:p>
    <w:p>
      <w:pPr>
        <w:widowControl/>
        <w:spacing w:before="75" w:after="75"/>
        <w:ind w:firstLine="420"/>
        <w:jc w:val="left"/>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 ）提供本</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制造的</w:t>
      </w:r>
      <w:r>
        <w:rPr>
          <w:rFonts w:cs="宋体" w:asciiTheme="minorEastAsia" w:hAnsiTheme="minorEastAsia"/>
          <w:color w:val="auto"/>
          <w:kern w:val="0"/>
          <w:szCs w:val="21"/>
          <w:highlight w:val="none"/>
          <w:u w:val="single"/>
        </w:rPr>
        <w:t>（填写“所投采购包、品目号”）</w:t>
      </w:r>
      <w:r>
        <w:rPr>
          <w:rFonts w:cs="宋体" w:asciiTheme="minorEastAsia" w:hAnsiTheme="minorEastAsia"/>
          <w:color w:val="auto"/>
          <w:kern w:val="0"/>
          <w:szCs w:val="21"/>
          <w:highlight w:val="none"/>
        </w:rPr>
        <w:t>货物，或提供其他残疾人福利性单位制造的</w:t>
      </w:r>
      <w:r>
        <w:rPr>
          <w:rFonts w:cs="宋体" w:asciiTheme="minorEastAsia" w:hAnsiTheme="minorEastAsia"/>
          <w:color w:val="auto"/>
          <w:kern w:val="0"/>
          <w:szCs w:val="21"/>
          <w:highlight w:val="none"/>
          <w:u w:val="single"/>
        </w:rPr>
        <w:t>（填写“所投采购包、品目号”）</w:t>
      </w:r>
      <w:r>
        <w:rPr>
          <w:rFonts w:cs="宋体" w:asciiTheme="minorEastAsia" w:hAnsiTheme="minorEastAsia"/>
          <w:color w:val="auto"/>
          <w:kern w:val="0"/>
          <w:szCs w:val="21"/>
          <w:highlight w:val="none"/>
        </w:rPr>
        <w:t>货物（不包括使用非残疾人福利性单位注册商标的货物）。（说明：只有部分货物由残疾人福利企业制造的，在该货物后标</w:t>
      </w:r>
      <w:r>
        <w:rPr>
          <w:rFonts w:cs="宋体" w:asciiTheme="minorEastAsia" w:hAnsiTheme="minorEastAsia"/>
          <w:color w:val="auto"/>
          <w:kern w:val="0"/>
          <w:szCs w:val="21"/>
          <w:highlight w:val="none"/>
          <w:shd w:val="clear" w:color="auto" w:fill="FFFFFF"/>
        </w:rPr>
        <w:t>★</w:t>
      </w:r>
      <w:r>
        <w:rPr>
          <w:rFonts w:cs="宋体" w:asciiTheme="minorEastAsia" w:hAnsiTheme="minorEastAsia"/>
          <w:color w:val="auto"/>
          <w:kern w:val="0"/>
          <w:szCs w:val="21"/>
          <w:highlight w:val="none"/>
        </w:rPr>
        <w:t>）</w:t>
      </w:r>
    </w:p>
    <w:p>
      <w:pPr>
        <w:widowControl/>
        <w:spacing w:before="75" w:after="75"/>
        <w:ind w:firstLine="420"/>
        <w:jc w:val="left"/>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 ）由本</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承建的</w:t>
      </w:r>
      <w:r>
        <w:rPr>
          <w:rFonts w:cs="宋体" w:asciiTheme="minorEastAsia" w:hAnsiTheme="minorEastAsia"/>
          <w:color w:val="auto"/>
          <w:kern w:val="0"/>
          <w:szCs w:val="21"/>
          <w:highlight w:val="none"/>
          <w:u w:val="single"/>
        </w:rPr>
        <w:t>（填写“所投采购包、品目号”）</w:t>
      </w:r>
      <w:r>
        <w:rPr>
          <w:rFonts w:cs="宋体" w:asciiTheme="minorEastAsia" w:hAnsiTheme="minorEastAsia"/>
          <w:color w:val="auto"/>
          <w:kern w:val="0"/>
          <w:szCs w:val="21"/>
          <w:highlight w:val="none"/>
        </w:rPr>
        <w:t>工程</w:t>
      </w:r>
    </w:p>
    <w:p>
      <w:pPr>
        <w:widowControl/>
        <w:spacing w:before="75" w:after="75"/>
        <w:ind w:firstLine="420"/>
        <w:jc w:val="left"/>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 ）由本</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承接的</w:t>
      </w:r>
      <w:r>
        <w:rPr>
          <w:rFonts w:cs="宋体" w:asciiTheme="minorEastAsia" w:hAnsiTheme="minorEastAsia"/>
          <w:color w:val="auto"/>
          <w:kern w:val="0"/>
          <w:szCs w:val="21"/>
          <w:highlight w:val="none"/>
          <w:u w:val="single"/>
        </w:rPr>
        <w:t>（填写“所投采购包、品目号”）</w:t>
      </w:r>
      <w:r>
        <w:rPr>
          <w:rFonts w:cs="宋体" w:asciiTheme="minorEastAsia" w:hAnsiTheme="minorEastAsia"/>
          <w:color w:val="auto"/>
          <w:kern w:val="0"/>
          <w:szCs w:val="21"/>
          <w:highlight w:val="none"/>
        </w:rPr>
        <w:t>服务；</w:t>
      </w:r>
    </w:p>
    <w:p>
      <w:pPr>
        <w:widowControl/>
        <w:spacing w:before="75" w:after="75"/>
        <w:ind w:firstLine="420"/>
        <w:jc w:val="left"/>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本</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对上述声明的真实性负责。如有虚假，将依法承担相应责任。</w:t>
      </w:r>
    </w:p>
    <w:p>
      <w:pPr>
        <w:widowControl/>
        <w:spacing w:before="75" w:after="75"/>
        <w:ind w:firstLine="420"/>
        <w:jc w:val="left"/>
        <w:rPr>
          <w:rFonts w:cs="宋体" w:asciiTheme="minorEastAsia" w:hAnsiTheme="minorEastAsia"/>
          <w:color w:val="auto"/>
          <w:kern w:val="0"/>
          <w:szCs w:val="21"/>
          <w:highlight w:val="none"/>
        </w:rPr>
      </w:pPr>
      <w:r>
        <w:rPr>
          <w:rFonts w:cs="Calibri" w:asciiTheme="minorEastAsia" w:hAnsiTheme="minorEastAsia"/>
          <w:color w:val="auto"/>
          <w:kern w:val="0"/>
          <w:szCs w:val="21"/>
          <w:highlight w:val="none"/>
        </w:rPr>
        <w:t> </w:t>
      </w:r>
    </w:p>
    <w:p>
      <w:pPr>
        <w:widowControl/>
        <w:spacing w:before="75" w:after="75"/>
        <w:jc w:val="left"/>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备注：</w:t>
      </w:r>
    </w:p>
    <w:p>
      <w:pPr>
        <w:widowControl/>
        <w:spacing w:before="75" w:after="75"/>
        <w:jc w:val="left"/>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1、请</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按照实际情况编制填写本声明函，并在相应的（）中打“√”。</w:t>
      </w:r>
    </w:p>
    <w:p>
      <w:pPr>
        <w:widowControl/>
        <w:spacing w:before="75" w:after="75"/>
        <w:jc w:val="left"/>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2、若《残疾人福利性单位声明函》内容不真实，</w:t>
      </w:r>
      <w:r>
        <w:rPr>
          <w:rFonts w:cs="宋体" w:asciiTheme="minorEastAsia" w:hAnsiTheme="minorEastAsia"/>
          <w:b/>
          <w:bCs/>
          <w:color w:val="auto"/>
          <w:kern w:val="0"/>
          <w:szCs w:val="21"/>
          <w:highlight w:val="none"/>
        </w:rPr>
        <w:t>视为提供虚假材料。</w:t>
      </w:r>
    </w:p>
    <w:p>
      <w:pPr>
        <w:widowControl/>
        <w:spacing w:before="75" w:after="75"/>
        <w:jc w:val="left"/>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 </w:t>
      </w:r>
    </w:p>
    <w:p>
      <w:pPr>
        <w:widowControl/>
        <w:spacing w:before="75" w:after="75"/>
        <w:jc w:val="left"/>
        <w:rPr>
          <w:rFonts w:cs="宋体" w:asciiTheme="minorEastAsia" w:hAnsiTheme="minorEastAsia"/>
          <w:color w:val="auto"/>
          <w:kern w:val="0"/>
          <w:szCs w:val="21"/>
          <w:highlight w:val="none"/>
        </w:rPr>
      </w:pPr>
      <w:r>
        <w:rPr>
          <w:rFonts w:cs="Calibri" w:asciiTheme="minorEastAsia" w:hAnsiTheme="minorEastAsia"/>
          <w:color w:val="auto"/>
          <w:kern w:val="0"/>
          <w:szCs w:val="21"/>
          <w:highlight w:val="none"/>
        </w:rPr>
        <w:t> </w:t>
      </w:r>
    </w:p>
    <w:p>
      <w:pPr>
        <w:widowControl/>
        <w:spacing w:before="75" w:after="75"/>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w:t>
      </w:r>
      <w:r>
        <w:rPr>
          <w:rFonts w:cs="宋体" w:asciiTheme="minorEastAsia" w:hAnsiTheme="minorEastAsia"/>
          <w:color w:val="auto"/>
          <w:kern w:val="0"/>
          <w:szCs w:val="21"/>
          <w:highlight w:val="none"/>
          <w:u w:val="single"/>
        </w:rPr>
        <w:t>（全称并加盖单位公章）</w:t>
      </w:r>
    </w:p>
    <w:p>
      <w:pPr>
        <w:widowControl/>
        <w:spacing w:before="75" w:after="270"/>
        <w:jc w:val="left"/>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日期：</w:t>
      </w:r>
      <w:r>
        <w:rPr>
          <w:rFonts w:cs="宋体" w:asciiTheme="minorEastAsia" w:hAnsiTheme="minorEastAsia"/>
          <w:color w:val="auto"/>
          <w:kern w:val="0"/>
          <w:szCs w:val="21"/>
          <w:highlight w:val="none"/>
          <w:u w:val="single"/>
        </w:rPr>
        <w:t>    </w:t>
      </w:r>
      <w:r>
        <w:rPr>
          <w:rFonts w:cs="宋体" w:asciiTheme="minorEastAsia" w:hAnsiTheme="minorEastAsia"/>
          <w:color w:val="auto"/>
          <w:kern w:val="0"/>
          <w:szCs w:val="21"/>
          <w:highlight w:val="none"/>
        </w:rPr>
        <w:t>年</w:t>
      </w:r>
      <w:r>
        <w:rPr>
          <w:rFonts w:cs="宋体" w:asciiTheme="minorEastAsia" w:hAnsiTheme="minorEastAsia"/>
          <w:color w:val="auto"/>
          <w:kern w:val="0"/>
          <w:szCs w:val="21"/>
          <w:highlight w:val="none"/>
          <w:u w:val="single"/>
        </w:rPr>
        <w:t>   </w:t>
      </w:r>
      <w:r>
        <w:rPr>
          <w:rFonts w:cs="宋体" w:asciiTheme="minorEastAsia" w:hAnsiTheme="minorEastAsia"/>
          <w:color w:val="auto"/>
          <w:kern w:val="0"/>
          <w:szCs w:val="21"/>
          <w:highlight w:val="none"/>
        </w:rPr>
        <w:t>月</w:t>
      </w:r>
      <w:r>
        <w:rPr>
          <w:rFonts w:cs="宋体" w:asciiTheme="minorEastAsia" w:hAnsiTheme="minorEastAsia"/>
          <w:color w:val="auto"/>
          <w:kern w:val="0"/>
          <w:szCs w:val="21"/>
          <w:highlight w:val="none"/>
          <w:u w:val="single"/>
        </w:rPr>
        <w:t>   </w:t>
      </w:r>
      <w:r>
        <w:rPr>
          <w:rFonts w:cs="宋体" w:asciiTheme="minorEastAsia" w:hAnsiTheme="minorEastAsia"/>
          <w:color w:val="auto"/>
          <w:kern w:val="0"/>
          <w:szCs w:val="21"/>
          <w:highlight w:val="none"/>
        </w:rPr>
        <w:t>日</w:t>
      </w:r>
    </w:p>
    <w:p>
      <w:pPr>
        <w:widowControl/>
        <w:ind w:firstLine="420"/>
        <w:jc w:val="left"/>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附：</w:t>
      </w:r>
    </w:p>
    <w:p>
      <w:pPr>
        <w:widowControl/>
        <w:spacing w:before="75" w:after="75"/>
        <w:jc w:val="center"/>
        <w:rPr>
          <w:rFonts w:cs="宋体" w:asciiTheme="minorEastAsia" w:hAnsiTheme="minorEastAsia"/>
          <w:color w:val="auto"/>
          <w:kern w:val="0"/>
          <w:szCs w:val="21"/>
          <w:highlight w:val="none"/>
        </w:rPr>
      </w:pPr>
      <w:r>
        <w:rPr>
          <w:rFonts w:cs="Calibri" w:asciiTheme="minorEastAsia" w:hAnsiTheme="minorEastAsia"/>
          <w:b/>
          <w:bCs/>
          <w:color w:val="auto"/>
          <w:kern w:val="0"/>
          <w:szCs w:val="21"/>
          <w:highlight w:val="none"/>
        </w:rPr>
        <w:t>监狱企业证明材料</w:t>
      </w:r>
    </w:p>
    <w:p>
      <w:pPr>
        <w:widowControl/>
        <w:spacing w:before="75" w:after="75"/>
        <w:jc w:val="center"/>
        <w:rPr>
          <w:rFonts w:cs="宋体" w:asciiTheme="minorEastAsia" w:hAnsiTheme="minorEastAsia"/>
          <w:color w:val="auto"/>
          <w:kern w:val="0"/>
          <w:szCs w:val="21"/>
          <w:highlight w:val="none"/>
        </w:rPr>
      </w:pPr>
      <w:r>
        <w:rPr>
          <w:rFonts w:cs="宋体" w:asciiTheme="minorEastAsia" w:hAnsiTheme="minorEastAsia"/>
          <w:b/>
          <w:bCs/>
          <w:color w:val="auto"/>
          <w:kern w:val="0"/>
          <w:szCs w:val="21"/>
          <w:highlight w:val="none"/>
        </w:rPr>
        <w:t> </w:t>
      </w:r>
    </w:p>
    <w:p>
      <w:pPr>
        <w:widowControl/>
        <w:spacing w:before="100" w:beforeAutospacing="1" w:after="100" w:afterAutospacing="1"/>
        <w:jc w:val="left"/>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 </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为监狱企业，提供本单位制造的货物（承接的服务），并在</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文件中提供省级以上监狱管理局、戒毒管理局（含新疆生产建设兵团）出具的属于监狱企业的证明文件。</w:t>
      </w:r>
    </w:p>
    <w:p>
      <w:pPr>
        <w:pStyle w:val="16"/>
        <w:widowControl/>
        <w:rPr>
          <w:color w:val="auto"/>
          <w:highlight w:val="none"/>
        </w:rPr>
      </w:pP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jc w:val="center"/>
        <w:rPr>
          <w:rStyle w:val="24"/>
          <w:rFonts w:ascii="宋体" w:hAnsi="宋体" w:eastAsia="宋体" w:cs="宋体"/>
          <w:color w:val="auto"/>
          <w:sz w:val="28"/>
          <w:szCs w:val="28"/>
          <w:highlight w:val="none"/>
        </w:rPr>
      </w:pPr>
    </w:p>
    <w:p>
      <w:pPr>
        <w:rPr>
          <w:color w:val="auto"/>
          <w:highlight w:val="none"/>
        </w:rPr>
      </w:pPr>
    </w:p>
    <w:p>
      <w:pPr>
        <w:widowControl/>
        <w:jc w:val="left"/>
        <w:rPr>
          <w:rStyle w:val="24"/>
          <w:rFonts w:ascii="宋体" w:hAnsi="宋体" w:eastAsia="宋体" w:cs="宋体"/>
          <w:color w:val="auto"/>
          <w:kern w:val="0"/>
          <w:sz w:val="28"/>
          <w:szCs w:val="28"/>
          <w:highlight w:val="none"/>
        </w:rPr>
      </w:pPr>
      <w:r>
        <w:rPr>
          <w:rStyle w:val="24"/>
          <w:rFonts w:ascii="宋体" w:hAnsi="宋体" w:eastAsia="宋体" w:cs="宋体"/>
          <w:color w:val="auto"/>
          <w:sz w:val="28"/>
          <w:szCs w:val="28"/>
          <w:highlight w:val="none"/>
        </w:rPr>
        <w:br w:type="page"/>
      </w:r>
    </w:p>
    <w:p>
      <w:pPr>
        <w:pStyle w:val="16"/>
        <w:widowControl/>
        <w:jc w:val="center"/>
        <w:rPr>
          <w:color w:val="auto"/>
          <w:highlight w:val="none"/>
        </w:rPr>
      </w:pPr>
      <w:r>
        <w:rPr>
          <w:rStyle w:val="24"/>
          <w:rFonts w:hint="eastAsia" w:ascii="宋体" w:hAnsi="宋体" w:eastAsia="宋体" w:cs="宋体"/>
          <w:color w:val="auto"/>
          <w:sz w:val="28"/>
          <w:szCs w:val="28"/>
          <w:highlight w:val="none"/>
        </w:rPr>
        <w:t>封面格式</w:t>
      </w:r>
    </w:p>
    <w:p>
      <w:pPr>
        <w:pStyle w:val="16"/>
        <w:widowControl/>
        <w:rPr>
          <w:color w:val="auto"/>
          <w:highlight w:val="none"/>
        </w:rPr>
      </w:pPr>
    </w:p>
    <w:p>
      <w:pPr>
        <w:pStyle w:val="16"/>
        <w:widowControl/>
        <w:jc w:val="center"/>
        <w:rPr>
          <w:rFonts w:eastAsia="宋体"/>
          <w:color w:val="auto"/>
          <w:highlight w:val="none"/>
        </w:rPr>
      </w:pPr>
      <w:r>
        <w:rPr>
          <w:rStyle w:val="24"/>
          <w:rFonts w:hint="eastAsia" w:ascii="宋体" w:hAnsi="宋体" w:eastAsia="宋体" w:cs="宋体"/>
          <w:color w:val="auto"/>
          <w:sz w:val="48"/>
          <w:szCs w:val="48"/>
          <w:highlight w:val="none"/>
        </w:rPr>
        <w:t>福建省政府采购响应文件</w:t>
      </w:r>
    </w:p>
    <w:p>
      <w:pPr>
        <w:pStyle w:val="16"/>
        <w:widowControl/>
        <w:jc w:val="center"/>
        <w:rPr>
          <w:color w:val="auto"/>
          <w:highlight w:val="none"/>
        </w:rPr>
      </w:pPr>
      <w:r>
        <w:rPr>
          <w:rStyle w:val="24"/>
          <w:rFonts w:hint="eastAsia" w:ascii="宋体" w:hAnsi="宋体" w:eastAsia="宋体" w:cs="宋体"/>
          <w:color w:val="auto"/>
          <w:sz w:val="48"/>
          <w:szCs w:val="48"/>
          <w:highlight w:val="none"/>
        </w:rPr>
        <w:t>（技术商务部分）</w:t>
      </w:r>
    </w:p>
    <w:p>
      <w:pPr>
        <w:pStyle w:val="16"/>
        <w:widowControl/>
        <w:rPr>
          <w:color w:val="auto"/>
          <w:highlight w:val="none"/>
        </w:rPr>
      </w:pPr>
      <w:r>
        <w:rPr>
          <w:rFonts w:hint="eastAsia" w:ascii="宋体" w:hAnsi="宋体" w:eastAsia="宋体" w:cs="宋体"/>
          <w:color w:val="auto"/>
          <w:sz w:val="36"/>
          <w:szCs w:val="36"/>
          <w:highlight w:val="none"/>
        </w:rPr>
        <w:t> </w:t>
      </w:r>
    </w:p>
    <w:p>
      <w:pPr>
        <w:pStyle w:val="16"/>
        <w:widowControl/>
        <w:jc w:val="center"/>
        <w:rPr>
          <w:color w:val="auto"/>
          <w:highlight w:val="none"/>
        </w:rPr>
      </w:pPr>
      <w:r>
        <w:rPr>
          <w:rStyle w:val="24"/>
          <w:rFonts w:hint="eastAsia" w:ascii="宋体" w:hAnsi="宋体" w:eastAsia="宋体" w:cs="宋体"/>
          <w:color w:val="auto"/>
          <w:sz w:val="36"/>
          <w:szCs w:val="36"/>
          <w:highlight w:val="none"/>
          <w:u w:val="single"/>
        </w:rPr>
        <w:t>（正本）</w:t>
      </w:r>
    </w:p>
    <w:p>
      <w:pPr>
        <w:pStyle w:val="16"/>
        <w:widowControl/>
        <w:rPr>
          <w:color w:val="auto"/>
          <w:highlight w:val="none"/>
        </w:rPr>
      </w:pPr>
      <w:r>
        <w:rPr>
          <w:rFonts w:hint="eastAsia" w:ascii="宋体" w:hAnsi="宋体" w:eastAsia="宋体" w:cs="宋体"/>
          <w:color w:val="auto"/>
          <w:sz w:val="36"/>
          <w:szCs w:val="36"/>
          <w:highlight w:val="none"/>
        </w:rPr>
        <w:t> </w:t>
      </w:r>
    </w:p>
    <w:p>
      <w:pPr>
        <w:pStyle w:val="16"/>
        <w:widowControl/>
        <w:ind w:firstLine="1920"/>
        <w:rPr>
          <w:color w:val="auto"/>
          <w:highlight w:val="none"/>
        </w:rPr>
      </w:pPr>
      <w:r>
        <w:rPr>
          <w:rStyle w:val="24"/>
          <w:rFonts w:hint="eastAsia" w:ascii="宋体" w:hAnsi="宋体" w:eastAsia="宋体" w:cs="宋体"/>
          <w:color w:val="auto"/>
          <w:sz w:val="31"/>
          <w:szCs w:val="31"/>
          <w:highlight w:val="none"/>
        </w:rPr>
        <w:t>项目名称：</w:t>
      </w:r>
      <w:r>
        <w:rPr>
          <w:rStyle w:val="24"/>
          <w:rFonts w:hint="eastAsia" w:ascii="宋体" w:hAnsi="宋体" w:eastAsia="宋体" w:cs="宋体"/>
          <w:color w:val="auto"/>
          <w:sz w:val="31"/>
          <w:szCs w:val="31"/>
          <w:highlight w:val="none"/>
          <w:u w:val="single"/>
        </w:rPr>
        <w:t>（由供应商填写）</w:t>
      </w:r>
    </w:p>
    <w:p>
      <w:pPr>
        <w:pStyle w:val="16"/>
        <w:widowControl/>
        <w:ind w:firstLine="1920"/>
        <w:rPr>
          <w:color w:val="auto"/>
          <w:highlight w:val="none"/>
        </w:rPr>
      </w:pPr>
      <w:r>
        <w:rPr>
          <w:rStyle w:val="24"/>
          <w:rFonts w:hint="eastAsia" w:ascii="宋体" w:hAnsi="宋体" w:eastAsia="宋体" w:cs="宋体"/>
          <w:color w:val="auto"/>
          <w:sz w:val="31"/>
          <w:szCs w:val="31"/>
          <w:highlight w:val="none"/>
        </w:rPr>
        <w:t>备案编号：</w:t>
      </w:r>
      <w:r>
        <w:rPr>
          <w:rStyle w:val="24"/>
          <w:rFonts w:hint="eastAsia" w:ascii="宋体" w:hAnsi="宋体" w:eastAsia="宋体" w:cs="宋体"/>
          <w:color w:val="auto"/>
          <w:sz w:val="31"/>
          <w:szCs w:val="31"/>
          <w:highlight w:val="none"/>
          <w:u w:val="single"/>
        </w:rPr>
        <w:t>（由供应商填写）</w:t>
      </w:r>
    </w:p>
    <w:p>
      <w:pPr>
        <w:pStyle w:val="16"/>
        <w:widowControl/>
        <w:ind w:firstLine="1920"/>
        <w:rPr>
          <w:color w:val="auto"/>
          <w:highlight w:val="none"/>
        </w:rPr>
      </w:pPr>
      <w:r>
        <w:rPr>
          <w:rStyle w:val="24"/>
          <w:rFonts w:hint="eastAsia" w:ascii="宋体" w:hAnsi="宋体" w:eastAsia="宋体" w:cs="宋体"/>
          <w:color w:val="auto"/>
          <w:sz w:val="31"/>
          <w:szCs w:val="31"/>
          <w:highlight w:val="none"/>
        </w:rPr>
        <w:t>项目编号：</w:t>
      </w:r>
      <w:r>
        <w:rPr>
          <w:rStyle w:val="24"/>
          <w:rFonts w:hint="eastAsia" w:ascii="宋体" w:hAnsi="宋体" w:eastAsia="宋体" w:cs="宋体"/>
          <w:color w:val="auto"/>
          <w:sz w:val="31"/>
          <w:szCs w:val="31"/>
          <w:highlight w:val="none"/>
          <w:u w:val="single"/>
        </w:rPr>
        <w:t>（由供应商填写）</w:t>
      </w:r>
    </w:p>
    <w:p>
      <w:pPr>
        <w:pStyle w:val="16"/>
        <w:widowControl/>
        <w:ind w:firstLine="1920"/>
        <w:rPr>
          <w:color w:val="auto"/>
          <w:highlight w:val="none"/>
        </w:rPr>
      </w:pPr>
      <w:r>
        <w:rPr>
          <w:rStyle w:val="24"/>
          <w:rFonts w:hint="eastAsia" w:ascii="宋体" w:hAnsi="宋体" w:eastAsia="宋体" w:cs="宋体"/>
          <w:color w:val="auto"/>
          <w:sz w:val="31"/>
          <w:szCs w:val="31"/>
          <w:highlight w:val="none"/>
        </w:rPr>
        <w:t>所投合同包：</w:t>
      </w:r>
      <w:r>
        <w:rPr>
          <w:rStyle w:val="24"/>
          <w:rFonts w:hint="eastAsia" w:ascii="宋体" w:hAnsi="宋体" w:eastAsia="宋体" w:cs="宋体"/>
          <w:color w:val="auto"/>
          <w:sz w:val="31"/>
          <w:szCs w:val="31"/>
          <w:highlight w:val="none"/>
          <w:u w:val="single"/>
        </w:rPr>
        <w:t>（由供应商填写）</w:t>
      </w:r>
    </w:p>
    <w:p>
      <w:pPr>
        <w:pStyle w:val="16"/>
        <w:widowControl/>
        <w:rPr>
          <w:color w:val="auto"/>
          <w:highlight w:val="none"/>
        </w:rPr>
      </w:pPr>
      <w:r>
        <w:rPr>
          <w:rFonts w:hint="eastAsia" w:ascii="宋体" w:hAnsi="宋体" w:eastAsia="宋体" w:cs="宋体"/>
          <w:color w:val="auto"/>
          <w:sz w:val="36"/>
          <w:szCs w:val="36"/>
          <w:highlight w:val="none"/>
        </w:rPr>
        <w:t> </w:t>
      </w:r>
    </w:p>
    <w:p>
      <w:pPr>
        <w:pStyle w:val="16"/>
        <w:widowControl/>
        <w:rPr>
          <w:color w:val="auto"/>
          <w:highlight w:val="none"/>
        </w:rPr>
      </w:pPr>
      <w:r>
        <w:rPr>
          <w:rFonts w:hint="eastAsia" w:ascii="宋体" w:hAnsi="宋体" w:eastAsia="宋体" w:cs="宋体"/>
          <w:color w:val="auto"/>
          <w:sz w:val="36"/>
          <w:szCs w:val="36"/>
          <w:highlight w:val="none"/>
        </w:rPr>
        <w:t> </w:t>
      </w:r>
    </w:p>
    <w:p>
      <w:pPr>
        <w:pStyle w:val="16"/>
        <w:widowControl/>
        <w:rPr>
          <w:color w:val="auto"/>
          <w:highlight w:val="none"/>
        </w:rPr>
      </w:pPr>
      <w:r>
        <w:rPr>
          <w:rFonts w:hint="eastAsia" w:ascii="宋体" w:hAnsi="宋体" w:eastAsia="宋体" w:cs="宋体"/>
          <w:color w:val="auto"/>
          <w:sz w:val="36"/>
          <w:szCs w:val="36"/>
          <w:highlight w:val="none"/>
        </w:rPr>
        <w:t> </w:t>
      </w:r>
    </w:p>
    <w:p>
      <w:pPr>
        <w:pStyle w:val="16"/>
        <w:widowControl/>
        <w:rPr>
          <w:color w:val="auto"/>
          <w:highlight w:val="none"/>
        </w:rPr>
      </w:pPr>
      <w:r>
        <w:rPr>
          <w:rFonts w:hint="eastAsia" w:ascii="宋体" w:hAnsi="宋体" w:eastAsia="宋体" w:cs="宋体"/>
          <w:color w:val="auto"/>
          <w:sz w:val="36"/>
          <w:szCs w:val="36"/>
          <w:highlight w:val="none"/>
        </w:rPr>
        <w:t> </w:t>
      </w:r>
    </w:p>
    <w:p>
      <w:pPr>
        <w:pStyle w:val="16"/>
        <w:widowControl/>
        <w:jc w:val="center"/>
        <w:rPr>
          <w:color w:val="auto"/>
          <w:highlight w:val="none"/>
        </w:rPr>
      </w:pPr>
      <w:r>
        <w:rPr>
          <w:rStyle w:val="24"/>
          <w:rFonts w:hint="eastAsia" w:ascii="宋体" w:hAnsi="宋体" w:eastAsia="宋体" w:cs="宋体"/>
          <w:color w:val="auto"/>
          <w:sz w:val="31"/>
          <w:szCs w:val="31"/>
          <w:highlight w:val="none"/>
        </w:rPr>
        <w:t>供应商：</w:t>
      </w:r>
      <w:r>
        <w:rPr>
          <w:rStyle w:val="24"/>
          <w:rFonts w:hint="eastAsia" w:ascii="宋体" w:hAnsi="宋体" w:eastAsia="宋体" w:cs="宋体"/>
          <w:color w:val="auto"/>
          <w:sz w:val="31"/>
          <w:szCs w:val="31"/>
          <w:highlight w:val="none"/>
          <w:u w:val="single"/>
        </w:rPr>
        <w:t>（填写“全称”）</w:t>
      </w:r>
    </w:p>
    <w:p>
      <w:pPr>
        <w:pStyle w:val="16"/>
        <w:widowControl/>
        <w:jc w:val="center"/>
        <w:rPr>
          <w:color w:val="auto"/>
          <w:highlight w:val="none"/>
        </w:rPr>
      </w:pPr>
      <w:r>
        <w:rPr>
          <w:rStyle w:val="24"/>
          <w:rFonts w:hint="eastAsia" w:ascii="宋体" w:hAnsi="宋体" w:eastAsia="宋体" w:cs="宋体"/>
          <w:color w:val="auto"/>
          <w:sz w:val="31"/>
          <w:szCs w:val="31"/>
          <w:highlight w:val="none"/>
          <w:u w:val="single"/>
        </w:rPr>
        <w:t>（由供应商填写）</w:t>
      </w:r>
      <w:r>
        <w:rPr>
          <w:rStyle w:val="24"/>
          <w:rFonts w:hint="eastAsia" w:ascii="宋体" w:hAnsi="宋体" w:eastAsia="宋体" w:cs="宋体"/>
          <w:color w:val="auto"/>
          <w:sz w:val="31"/>
          <w:szCs w:val="31"/>
          <w:highlight w:val="none"/>
        </w:rPr>
        <w:t>年</w:t>
      </w:r>
      <w:r>
        <w:rPr>
          <w:rStyle w:val="24"/>
          <w:rFonts w:hint="eastAsia" w:ascii="宋体" w:hAnsi="宋体" w:eastAsia="宋体" w:cs="宋体"/>
          <w:color w:val="auto"/>
          <w:sz w:val="31"/>
          <w:szCs w:val="31"/>
          <w:highlight w:val="none"/>
          <w:u w:val="single"/>
        </w:rPr>
        <w:t>（由供应商填写）</w:t>
      </w:r>
      <w:r>
        <w:rPr>
          <w:rStyle w:val="24"/>
          <w:rFonts w:hint="eastAsia" w:ascii="宋体" w:hAnsi="宋体" w:eastAsia="宋体" w:cs="宋体"/>
          <w:color w:val="auto"/>
          <w:sz w:val="31"/>
          <w:szCs w:val="31"/>
          <w:highlight w:val="none"/>
        </w:rPr>
        <w:t>月</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jc w:val="center"/>
        <w:rPr>
          <w:rStyle w:val="24"/>
          <w:rFonts w:ascii="宋体" w:hAnsi="宋体" w:eastAsia="宋体" w:cs="宋体"/>
          <w:color w:val="auto"/>
          <w:sz w:val="28"/>
          <w:szCs w:val="28"/>
          <w:highlight w:val="none"/>
        </w:rPr>
      </w:pPr>
    </w:p>
    <w:p>
      <w:pPr>
        <w:pStyle w:val="16"/>
        <w:widowControl/>
        <w:jc w:val="center"/>
        <w:rPr>
          <w:color w:val="auto"/>
          <w:highlight w:val="none"/>
        </w:rPr>
      </w:pPr>
      <w:r>
        <w:rPr>
          <w:rStyle w:val="24"/>
          <w:rFonts w:hint="eastAsia" w:ascii="宋体" w:hAnsi="宋体" w:eastAsia="宋体" w:cs="宋体"/>
          <w:color w:val="auto"/>
          <w:sz w:val="28"/>
          <w:szCs w:val="28"/>
          <w:highlight w:val="none"/>
        </w:rPr>
        <w:t>索引</w:t>
      </w:r>
    </w:p>
    <w:p>
      <w:pP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一、技术与商务评分项点对点应答表</w:t>
      </w:r>
    </w:p>
    <w:p>
      <w:pPr>
        <w:pStyle w:val="16"/>
        <w:widowControl/>
        <w:rPr>
          <w:color w:val="auto"/>
          <w:highlight w:val="none"/>
        </w:rPr>
      </w:pPr>
      <w:r>
        <w:rPr>
          <w:rFonts w:hint="eastAsia" w:ascii="宋体" w:hAnsi="宋体" w:eastAsia="宋体" w:cs="宋体"/>
          <w:color w:val="auto"/>
          <w:sz w:val="28"/>
          <w:szCs w:val="28"/>
          <w:highlight w:val="none"/>
        </w:rPr>
        <w:t>二、技术和服务要求响应表</w:t>
      </w:r>
    </w:p>
    <w:p>
      <w:pPr>
        <w:pStyle w:val="16"/>
        <w:widowControl/>
        <w:rPr>
          <w:color w:val="auto"/>
          <w:highlight w:val="none"/>
        </w:rPr>
      </w:pPr>
      <w:r>
        <w:rPr>
          <w:rFonts w:hint="eastAsia" w:ascii="宋体" w:hAnsi="宋体" w:eastAsia="宋体" w:cs="宋体"/>
          <w:color w:val="auto"/>
          <w:sz w:val="28"/>
          <w:szCs w:val="28"/>
          <w:highlight w:val="none"/>
        </w:rPr>
        <w:t>三、商务条件响应表</w:t>
      </w:r>
    </w:p>
    <w:p>
      <w:pPr>
        <w:pStyle w:val="16"/>
        <w:widowControl/>
        <w:rPr>
          <w:color w:val="auto"/>
          <w:highlight w:val="none"/>
        </w:rPr>
      </w:pPr>
      <w:r>
        <w:rPr>
          <w:rFonts w:hint="eastAsia" w:ascii="宋体" w:hAnsi="宋体" w:eastAsia="宋体" w:cs="宋体"/>
          <w:color w:val="auto"/>
          <w:sz w:val="28"/>
          <w:szCs w:val="28"/>
          <w:highlight w:val="none"/>
        </w:rPr>
        <w:t>四、供应商提交的其他资料（若有）</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jc w:val="center"/>
        <w:rPr>
          <w:color w:val="auto"/>
          <w:highlight w:val="none"/>
        </w:rPr>
      </w:pPr>
      <w:r>
        <w:rPr>
          <w:rFonts w:hint="eastAsia" w:ascii="宋体" w:hAnsi="宋体" w:eastAsia="宋体" w:cs="宋体"/>
          <w:color w:val="auto"/>
          <w:sz w:val="21"/>
          <w:szCs w:val="21"/>
          <w:highlight w:val="none"/>
        </w:rPr>
        <w:t>★注意</w:t>
      </w:r>
    </w:p>
    <w:p>
      <w:pPr>
        <w:pStyle w:val="16"/>
        <w:widowControl/>
        <w:ind w:firstLine="420"/>
        <w:rPr>
          <w:color w:val="auto"/>
          <w:highlight w:val="none"/>
        </w:rPr>
      </w:pPr>
      <w:r>
        <w:rPr>
          <w:rFonts w:hint="eastAsia" w:ascii="宋体" w:hAnsi="宋体" w:eastAsia="宋体" w:cs="宋体"/>
          <w:color w:val="auto"/>
          <w:sz w:val="21"/>
          <w:szCs w:val="21"/>
          <w:highlight w:val="none"/>
        </w:rPr>
        <w:t>技术商务部分中不得出现报价部分的全部或部分的报价信息（或组成资料），否则</w:t>
      </w:r>
      <w:r>
        <w:rPr>
          <w:rStyle w:val="24"/>
          <w:rFonts w:hint="eastAsia" w:ascii="宋体" w:hAnsi="宋体" w:eastAsia="宋体" w:cs="宋体"/>
          <w:color w:val="auto"/>
          <w:sz w:val="21"/>
          <w:szCs w:val="21"/>
          <w:highlight w:val="none"/>
        </w:rPr>
        <w:t>符合性审查不合格</w:t>
      </w:r>
      <w:r>
        <w:rPr>
          <w:rFonts w:hint="eastAsia" w:ascii="宋体" w:hAnsi="宋体" w:eastAsia="宋体" w:cs="宋体"/>
          <w:color w:val="auto"/>
          <w:sz w:val="21"/>
          <w:szCs w:val="21"/>
          <w:highlight w:val="none"/>
        </w:rPr>
        <w:t>。</w:t>
      </w:r>
    </w:p>
    <w:p>
      <w:pPr>
        <w:pStyle w:val="16"/>
        <w:widowControl/>
        <w:ind w:firstLine="420"/>
        <w:rPr>
          <w:color w:val="auto"/>
          <w:highlight w:val="none"/>
        </w:rPr>
      </w:pPr>
      <w:r>
        <w:rPr>
          <w:rFonts w:hint="eastAsia" w:ascii="宋体" w:hAnsi="宋体" w:eastAsia="宋体" w:cs="宋体"/>
          <w:color w:val="auto"/>
          <w:sz w:val="21"/>
          <w:szCs w:val="21"/>
          <w:highlight w:val="none"/>
        </w:rPr>
        <w:t> </w:t>
      </w:r>
    </w:p>
    <w:p>
      <w:pPr>
        <w:pStyle w:val="16"/>
        <w:widowControl/>
        <w:ind w:firstLine="420"/>
        <w:rPr>
          <w:color w:val="auto"/>
          <w:highlight w:val="none"/>
        </w:rPr>
      </w:pPr>
      <w:r>
        <w:rPr>
          <w:rFonts w:hint="eastAsia" w:ascii="宋体" w:hAnsi="宋体" w:eastAsia="宋体" w:cs="宋体"/>
          <w:color w:val="auto"/>
          <w:sz w:val="21"/>
          <w:szCs w:val="21"/>
          <w:highlight w:val="none"/>
        </w:rPr>
        <w:t> </w:t>
      </w:r>
    </w:p>
    <w:p>
      <w:pPr>
        <w:pStyle w:val="16"/>
        <w:widowControl/>
        <w:jc w:val="center"/>
        <w:rPr>
          <w:rStyle w:val="24"/>
          <w:rFonts w:ascii="宋体" w:hAnsi="宋体" w:eastAsia="宋体" w:cs="宋体"/>
          <w:color w:val="auto"/>
          <w:sz w:val="21"/>
          <w:szCs w:val="21"/>
          <w:highlight w:val="none"/>
        </w:rPr>
      </w:pPr>
    </w:p>
    <w:p>
      <w:pPr>
        <w:rPr>
          <w:color w:val="auto"/>
          <w:highlight w:val="none"/>
        </w:rPr>
      </w:pPr>
    </w:p>
    <w:p>
      <w:pPr>
        <w:rPr>
          <w:rStyle w:val="24"/>
          <w:rFonts w:ascii="宋体" w:hAnsi="宋体" w:eastAsia="宋体" w:cs="宋体"/>
          <w:color w:val="auto"/>
          <w:kern w:val="0"/>
          <w:szCs w:val="21"/>
          <w:highlight w:val="none"/>
        </w:rPr>
      </w:pPr>
      <w:r>
        <w:rPr>
          <w:rStyle w:val="24"/>
          <w:rFonts w:ascii="宋体" w:hAnsi="宋体" w:eastAsia="宋体" w:cs="宋体"/>
          <w:color w:val="auto"/>
          <w:szCs w:val="21"/>
          <w:highlight w:val="none"/>
        </w:rPr>
        <w:br w:type="page"/>
      </w:r>
    </w:p>
    <w:p>
      <w:pPr>
        <w:widowControl/>
        <w:jc w:val="left"/>
        <w:rPr>
          <w:rStyle w:val="24"/>
          <w:rFonts w:ascii="宋体" w:hAnsi="宋体" w:eastAsia="宋体" w:cs="宋体"/>
          <w:color w:val="auto"/>
          <w:kern w:val="0"/>
          <w:szCs w:val="21"/>
          <w:highlight w:val="none"/>
        </w:rPr>
      </w:pPr>
    </w:p>
    <w:p>
      <w:pPr>
        <w:spacing w:line="360" w:lineRule="auto"/>
        <w:jc w:val="center"/>
        <w:rPr>
          <w:rStyle w:val="24"/>
          <w:rFonts w:ascii="宋体" w:hAnsi="宋体" w:eastAsia="宋体" w:cs="宋体"/>
          <w:color w:val="auto"/>
          <w:kern w:val="0"/>
          <w:szCs w:val="21"/>
          <w:highlight w:val="none"/>
        </w:rPr>
      </w:pPr>
      <w:r>
        <w:rPr>
          <w:rStyle w:val="24"/>
          <w:rFonts w:hint="eastAsia" w:ascii="宋体" w:hAnsi="宋体" w:eastAsia="宋体" w:cs="宋体"/>
          <w:color w:val="auto"/>
          <w:kern w:val="0"/>
          <w:szCs w:val="21"/>
          <w:highlight w:val="none"/>
        </w:rPr>
        <w:t>一、技术与商务评分项点对点应答表</w:t>
      </w:r>
    </w:p>
    <w:p>
      <w:pPr>
        <w:spacing w:line="360" w:lineRule="auto"/>
        <w:jc w:val="center"/>
        <w:rPr>
          <w:rFonts w:asciiTheme="minorEastAsia" w:hAnsiTheme="minorEastAsia" w:cstheme="minorEastAsia"/>
          <w:b/>
          <w:bCs/>
          <w:color w:val="auto"/>
          <w:szCs w:val="21"/>
          <w:highlight w:val="none"/>
        </w:rPr>
      </w:pPr>
    </w:p>
    <w:p>
      <w:pPr>
        <w:spacing w:line="360" w:lineRule="auto"/>
        <w:ind w:firstLine="315" w:firstLineChars="150"/>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项目名称：                                     项目编号：</w:t>
      </w:r>
    </w:p>
    <w:tbl>
      <w:tblPr>
        <w:tblStyle w:val="20"/>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4326"/>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3" w:type="dxa"/>
            <w:noWrap/>
            <w:vAlign w:val="center"/>
          </w:tcPr>
          <w:p>
            <w:pPr>
              <w:jc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PT项、技术部分评分内容</w:t>
            </w:r>
          </w:p>
        </w:tc>
        <w:tc>
          <w:tcPr>
            <w:tcW w:w="4326" w:type="dxa"/>
            <w:noWrap/>
            <w:vAlign w:val="center"/>
          </w:tcPr>
          <w:p>
            <w:pPr>
              <w:jc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响应情况</w:t>
            </w:r>
          </w:p>
        </w:tc>
        <w:tc>
          <w:tcPr>
            <w:tcW w:w="1360" w:type="dxa"/>
            <w:noWrap/>
            <w:vAlign w:val="center"/>
          </w:tcPr>
          <w:p>
            <w:pPr>
              <w:jc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3" w:type="dxa"/>
            <w:noWrap/>
            <w:vAlign w:val="center"/>
          </w:tcPr>
          <w:p>
            <w:pPr>
              <w:jc w:val="center"/>
              <w:rPr>
                <w:rFonts w:asciiTheme="minorEastAsia" w:hAnsiTheme="minorEastAsia" w:cstheme="minorEastAsia"/>
                <w:color w:val="auto"/>
                <w:szCs w:val="21"/>
                <w:highlight w:val="none"/>
              </w:rPr>
            </w:pPr>
          </w:p>
        </w:tc>
        <w:tc>
          <w:tcPr>
            <w:tcW w:w="4326" w:type="dxa"/>
            <w:noWrap/>
            <w:vAlign w:val="center"/>
          </w:tcPr>
          <w:p>
            <w:pPr>
              <w:jc w:val="center"/>
              <w:rPr>
                <w:rFonts w:asciiTheme="minorEastAsia" w:hAnsiTheme="minorEastAsia" w:cstheme="minorEastAsia"/>
                <w:color w:val="auto"/>
                <w:szCs w:val="21"/>
                <w:highlight w:val="none"/>
              </w:rPr>
            </w:pPr>
          </w:p>
        </w:tc>
        <w:tc>
          <w:tcPr>
            <w:tcW w:w="1360" w:type="dxa"/>
            <w:noWrap/>
            <w:vAlign w:val="center"/>
          </w:tcPr>
          <w:p>
            <w:pPr>
              <w:jc w:val="center"/>
              <w:rPr>
                <w:rFonts w:asciiTheme="minorEastAsia" w:hAnsi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3" w:type="dxa"/>
            <w:noWrap/>
            <w:vAlign w:val="center"/>
          </w:tcPr>
          <w:p>
            <w:pPr>
              <w:jc w:val="center"/>
              <w:rPr>
                <w:rFonts w:asciiTheme="minorEastAsia" w:hAnsiTheme="minorEastAsia" w:cstheme="minorEastAsia"/>
                <w:color w:val="auto"/>
                <w:szCs w:val="21"/>
                <w:highlight w:val="none"/>
              </w:rPr>
            </w:pPr>
          </w:p>
        </w:tc>
        <w:tc>
          <w:tcPr>
            <w:tcW w:w="4326" w:type="dxa"/>
            <w:noWrap/>
            <w:vAlign w:val="center"/>
          </w:tcPr>
          <w:p>
            <w:pPr>
              <w:jc w:val="center"/>
              <w:rPr>
                <w:rFonts w:asciiTheme="minorEastAsia" w:hAnsiTheme="minorEastAsia" w:cstheme="minorEastAsia"/>
                <w:color w:val="auto"/>
                <w:szCs w:val="21"/>
                <w:highlight w:val="none"/>
              </w:rPr>
            </w:pPr>
          </w:p>
        </w:tc>
        <w:tc>
          <w:tcPr>
            <w:tcW w:w="1360" w:type="dxa"/>
            <w:noWrap/>
            <w:vAlign w:val="center"/>
          </w:tcPr>
          <w:p>
            <w:pPr>
              <w:jc w:val="center"/>
              <w:rPr>
                <w:rFonts w:asciiTheme="minorEastAsia" w:hAnsi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3" w:type="dxa"/>
            <w:noWrap/>
            <w:vAlign w:val="center"/>
          </w:tcPr>
          <w:p>
            <w:pPr>
              <w:jc w:val="center"/>
              <w:rPr>
                <w:rFonts w:asciiTheme="minorEastAsia" w:hAnsiTheme="minorEastAsia" w:cstheme="minorEastAsia"/>
                <w:color w:val="auto"/>
                <w:szCs w:val="21"/>
                <w:highlight w:val="none"/>
              </w:rPr>
            </w:pPr>
          </w:p>
        </w:tc>
        <w:tc>
          <w:tcPr>
            <w:tcW w:w="4326" w:type="dxa"/>
            <w:noWrap/>
            <w:vAlign w:val="center"/>
          </w:tcPr>
          <w:p>
            <w:pPr>
              <w:jc w:val="center"/>
              <w:rPr>
                <w:rFonts w:asciiTheme="minorEastAsia" w:hAnsiTheme="minorEastAsia" w:cstheme="minorEastAsia"/>
                <w:color w:val="auto"/>
                <w:szCs w:val="21"/>
                <w:highlight w:val="none"/>
              </w:rPr>
            </w:pPr>
          </w:p>
        </w:tc>
        <w:tc>
          <w:tcPr>
            <w:tcW w:w="1360" w:type="dxa"/>
            <w:noWrap/>
            <w:vAlign w:val="center"/>
          </w:tcPr>
          <w:p>
            <w:pPr>
              <w:jc w:val="center"/>
              <w:rPr>
                <w:rFonts w:asciiTheme="minorEastAsia" w:hAnsi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3" w:type="dxa"/>
            <w:noWrap/>
            <w:vAlign w:val="center"/>
          </w:tcPr>
          <w:p>
            <w:pPr>
              <w:jc w:val="center"/>
              <w:rPr>
                <w:rFonts w:asciiTheme="minorEastAsia" w:hAnsiTheme="minorEastAsia" w:cstheme="minorEastAsia"/>
                <w:color w:val="auto"/>
                <w:szCs w:val="21"/>
                <w:highlight w:val="none"/>
              </w:rPr>
            </w:pPr>
          </w:p>
        </w:tc>
        <w:tc>
          <w:tcPr>
            <w:tcW w:w="4326" w:type="dxa"/>
            <w:noWrap/>
            <w:vAlign w:val="center"/>
          </w:tcPr>
          <w:p>
            <w:pPr>
              <w:jc w:val="center"/>
              <w:rPr>
                <w:rFonts w:asciiTheme="minorEastAsia" w:hAnsiTheme="minorEastAsia" w:cstheme="minorEastAsia"/>
                <w:color w:val="auto"/>
                <w:szCs w:val="21"/>
                <w:highlight w:val="none"/>
              </w:rPr>
            </w:pPr>
          </w:p>
        </w:tc>
        <w:tc>
          <w:tcPr>
            <w:tcW w:w="1360" w:type="dxa"/>
            <w:noWrap/>
            <w:vAlign w:val="center"/>
          </w:tcPr>
          <w:p>
            <w:pPr>
              <w:jc w:val="center"/>
              <w:rPr>
                <w:rFonts w:asciiTheme="minorEastAsia" w:hAnsi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3" w:type="dxa"/>
            <w:noWrap/>
            <w:vAlign w:val="center"/>
          </w:tcPr>
          <w:p>
            <w:pPr>
              <w:jc w:val="center"/>
              <w:rPr>
                <w:rFonts w:asciiTheme="minorEastAsia" w:hAnsiTheme="minorEastAsia" w:cstheme="minorEastAsia"/>
                <w:color w:val="auto"/>
                <w:szCs w:val="21"/>
                <w:highlight w:val="none"/>
              </w:rPr>
            </w:pPr>
          </w:p>
        </w:tc>
        <w:tc>
          <w:tcPr>
            <w:tcW w:w="4326" w:type="dxa"/>
            <w:noWrap/>
            <w:vAlign w:val="center"/>
          </w:tcPr>
          <w:p>
            <w:pPr>
              <w:jc w:val="center"/>
              <w:rPr>
                <w:rFonts w:asciiTheme="minorEastAsia" w:hAnsiTheme="minorEastAsia" w:cstheme="minorEastAsia"/>
                <w:color w:val="auto"/>
                <w:szCs w:val="21"/>
                <w:highlight w:val="none"/>
              </w:rPr>
            </w:pPr>
          </w:p>
        </w:tc>
        <w:tc>
          <w:tcPr>
            <w:tcW w:w="1360" w:type="dxa"/>
            <w:noWrap/>
            <w:vAlign w:val="center"/>
          </w:tcPr>
          <w:p>
            <w:pPr>
              <w:jc w:val="center"/>
              <w:rPr>
                <w:rFonts w:asciiTheme="minorEastAsia" w:hAnsi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3" w:type="dxa"/>
            <w:noWrap/>
            <w:vAlign w:val="center"/>
          </w:tcPr>
          <w:p>
            <w:pPr>
              <w:jc w:val="center"/>
              <w:rPr>
                <w:rFonts w:asciiTheme="minorEastAsia" w:hAnsiTheme="minorEastAsia" w:cstheme="minorEastAsia"/>
                <w:color w:val="auto"/>
                <w:szCs w:val="21"/>
                <w:highlight w:val="none"/>
              </w:rPr>
            </w:pPr>
          </w:p>
        </w:tc>
        <w:tc>
          <w:tcPr>
            <w:tcW w:w="4326" w:type="dxa"/>
            <w:noWrap/>
            <w:vAlign w:val="center"/>
          </w:tcPr>
          <w:p>
            <w:pPr>
              <w:jc w:val="center"/>
              <w:rPr>
                <w:rFonts w:asciiTheme="minorEastAsia" w:hAnsiTheme="minorEastAsia" w:cstheme="minorEastAsia"/>
                <w:color w:val="auto"/>
                <w:szCs w:val="21"/>
                <w:highlight w:val="none"/>
              </w:rPr>
            </w:pPr>
          </w:p>
        </w:tc>
        <w:tc>
          <w:tcPr>
            <w:tcW w:w="1360" w:type="dxa"/>
            <w:noWrap/>
            <w:vAlign w:val="center"/>
          </w:tcPr>
          <w:p>
            <w:pPr>
              <w:jc w:val="center"/>
              <w:rPr>
                <w:rFonts w:asciiTheme="minorEastAsia" w:hAnsi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3" w:type="dxa"/>
            <w:noWrap/>
            <w:vAlign w:val="center"/>
          </w:tcPr>
          <w:p>
            <w:pPr>
              <w:jc w:val="center"/>
              <w:rPr>
                <w:rFonts w:asciiTheme="minorEastAsia" w:hAnsiTheme="minorEastAsia" w:cstheme="minorEastAsia"/>
                <w:color w:val="auto"/>
                <w:szCs w:val="21"/>
                <w:highlight w:val="none"/>
              </w:rPr>
            </w:pPr>
          </w:p>
        </w:tc>
        <w:tc>
          <w:tcPr>
            <w:tcW w:w="4326" w:type="dxa"/>
            <w:noWrap/>
            <w:vAlign w:val="center"/>
          </w:tcPr>
          <w:p>
            <w:pPr>
              <w:jc w:val="center"/>
              <w:rPr>
                <w:rFonts w:asciiTheme="minorEastAsia" w:hAnsiTheme="minorEastAsia" w:cstheme="minorEastAsia"/>
                <w:color w:val="auto"/>
                <w:szCs w:val="21"/>
                <w:highlight w:val="none"/>
              </w:rPr>
            </w:pPr>
          </w:p>
        </w:tc>
        <w:tc>
          <w:tcPr>
            <w:tcW w:w="1360" w:type="dxa"/>
            <w:noWrap/>
            <w:vAlign w:val="center"/>
          </w:tcPr>
          <w:p>
            <w:pPr>
              <w:jc w:val="center"/>
              <w:rPr>
                <w:rFonts w:asciiTheme="minorEastAsia" w:hAnsiTheme="minorEastAsia" w:cstheme="minorEastAsia"/>
                <w:color w:val="auto"/>
                <w:szCs w:val="21"/>
                <w:highlight w:val="none"/>
              </w:rPr>
            </w:pPr>
          </w:p>
        </w:tc>
      </w:tr>
    </w:tbl>
    <w:p>
      <w:pPr>
        <w:spacing w:line="360" w:lineRule="auto"/>
        <w:jc w:val="center"/>
        <w:rPr>
          <w:rFonts w:asciiTheme="minorEastAsia" w:hAnsiTheme="minorEastAsia" w:cstheme="minorEastAsia"/>
          <w:color w:val="auto"/>
          <w:szCs w:val="21"/>
          <w:highlight w:val="none"/>
        </w:rPr>
      </w:pPr>
    </w:p>
    <w:tbl>
      <w:tblPr>
        <w:tblStyle w:val="20"/>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4326"/>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3" w:type="dxa"/>
            <w:noWrap/>
            <w:vAlign w:val="center"/>
          </w:tcPr>
          <w:p>
            <w:pPr>
              <w:jc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pacing w:val="-12"/>
                <w:szCs w:val="21"/>
                <w:highlight w:val="none"/>
              </w:rPr>
              <w:t>PB项、商务部分评分</w:t>
            </w:r>
            <w:r>
              <w:rPr>
                <w:rFonts w:hint="eastAsia" w:asciiTheme="minorEastAsia" w:hAnsiTheme="minorEastAsia" w:cstheme="minorEastAsia"/>
                <w:b/>
                <w:bCs/>
                <w:color w:val="auto"/>
                <w:szCs w:val="21"/>
                <w:highlight w:val="none"/>
              </w:rPr>
              <w:t>内容</w:t>
            </w:r>
          </w:p>
        </w:tc>
        <w:tc>
          <w:tcPr>
            <w:tcW w:w="4326" w:type="dxa"/>
            <w:noWrap/>
            <w:vAlign w:val="center"/>
          </w:tcPr>
          <w:p>
            <w:pPr>
              <w:jc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响应情况</w:t>
            </w:r>
          </w:p>
        </w:tc>
        <w:tc>
          <w:tcPr>
            <w:tcW w:w="1360" w:type="dxa"/>
            <w:noWrap/>
            <w:vAlign w:val="center"/>
          </w:tcPr>
          <w:p>
            <w:pPr>
              <w:jc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3" w:type="dxa"/>
            <w:noWrap/>
            <w:vAlign w:val="center"/>
          </w:tcPr>
          <w:p>
            <w:pPr>
              <w:jc w:val="center"/>
              <w:rPr>
                <w:rFonts w:asciiTheme="minorEastAsia" w:hAnsiTheme="minorEastAsia" w:cstheme="minorEastAsia"/>
                <w:color w:val="auto"/>
                <w:szCs w:val="21"/>
                <w:highlight w:val="none"/>
              </w:rPr>
            </w:pPr>
          </w:p>
        </w:tc>
        <w:tc>
          <w:tcPr>
            <w:tcW w:w="4326" w:type="dxa"/>
            <w:noWrap/>
            <w:vAlign w:val="center"/>
          </w:tcPr>
          <w:p>
            <w:pPr>
              <w:jc w:val="center"/>
              <w:rPr>
                <w:rFonts w:asciiTheme="minorEastAsia" w:hAnsiTheme="minorEastAsia" w:cstheme="minorEastAsia"/>
                <w:color w:val="auto"/>
                <w:szCs w:val="21"/>
                <w:highlight w:val="none"/>
              </w:rPr>
            </w:pPr>
          </w:p>
        </w:tc>
        <w:tc>
          <w:tcPr>
            <w:tcW w:w="1360" w:type="dxa"/>
            <w:noWrap/>
            <w:vAlign w:val="center"/>
          </w:tcPr>
          <w:p>
            <w:pPr>
              <w:jc w:val="center"/>
              <w:rPr>
                <w:rFonts w:asciiTheme="minorEastAsia" w:hAnsi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3" w:type="dxa"/>
            <w:noWrap/>
            <w:vAlign w:val="center"/>
          </w:tcPr>
          <w:p>
            <w:pPr>
              <w:jc w:val="center"/>
              <w:rPr>
                <w:rFonts w:asciiTheme="minorEastAsia" w:hAnsiTheme="minorEastAsia" w:cstheme="minorEastAsia"/>
                <w:color w:val="auto"/>
                <w:szCs w:val="21"/>
                <w:highlight w:val="none"/>
              </w:rPr>
            </w:pPr>
          </w:p>
        </w:tc>
        <w:tc>
          <w:tcPr>
            <w:tcW w:w="4326" w:type="dxa"/>
            <w:noWrap/>
            <w:vAlign w:val="center"/>
          </w:tcPr>
          <w:p>
            <w:pPr>
              <w:jc w:val="center"/>
              <w:rPr>
                <w:rFonts w:asciiTheme="minorEastAsia" w:hAnsiTheme="minorEastAsia" w:cstheme="minorEastAsia"/>
                <w:color w:val="auto"/>
                <w:szCs w:val="21"/>
                <w:highlight w:val="none"/>
              </w:rPr>
            </w:pPr>
          </w:p>
        </w:tc>
        <w:tc>
          <w:tcPr>
            <w:tcW w:w="1360" w:type="dxa"/>
            <w:noWrap/>
            <w:vAlign w:val="center"/>
          </w:tcPr>
          <w:p>
            <w:pPr>
              <w:jc w:val="center"/>
              <w:rPr>
                <w:rFonts w:asciiTheme="minorEastAsia" w:hAnsi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3" w:type="dxa"/>
            <w:noWrap/>
            <w:vAlign w:val="center"/>
          </w:tcPr>
          <w:p>
            <w:pPr>
              <w:jc w:val="center"/>
              <w:rPr>
                <w:rFonts w:asciiTheme="minorEastAsia" w:hAnsiTheme="minorEastAsia" w:cstheme="minorEastAsia"/>
                <w:color w:val="auto"/>
                <w:szCs w:val="21"/>
                <w:highlight w:val="none"/>
              </w:rPr>
            </w:pPr>
          </w:p>
        </w:tc>
        <w:tc>
          <w:tcPr>
            <w:tcW w:w="4326" w:type="dxa"/>
            <w:noWrap/>
            <w:vAlign w:val="center"/>
          </w:tcPr>
          <w:p>
            <w:pPr>
              <w:jc w:val="center"/>
              <w:rPr>
                <w:rFonts w:asciiTheme="minorEastAsia" w:hAnsiTheme="minorEastAsia" w:cstheme="minorEastAsia"/>
                <w:color w:val="auto"/>
                <w:szCs w:val="21"/>
                <w:highlight w:val="none"/>
              </w:rPr>
            </w:pPr>
          </w:p>
        </w:tc>
        <w:tc>
          <w:tcPr>
            <w:tcW w:w="1360" w:type="dxa"/>
            <w:noWrap/>
            <w:vAlign w:val="center"/>
          </w:tcPr>
          <w:p>
            <w:pPr>
              <w:jc w:val="center"/>
              <w:rPr>
                <w:rFonts w:asciiTheme="minorEastAsia" w:hAnsi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3" w:type="dxa"/>
            <w:noWrap/>
            <w:vAlign w:val="center"/>
          </w:tcPr>
          <w:p>
            <w:pPr>
              <w:jc w:val="center"/>
              <w:rPr>
                <w:rFonts w:asciiTheme="minorEastAsia" w:hAnsiTheme="minorEastAsia" w:cstheme="minorEastAsia"/>
                <w:color w:val="auto"/>
                <w:szCs w:val="21"/>
                <w:highlight w:val="none"/>
              </w:rPr>
            </w:pPr>
          </w:p>
        </w:tc>
        <w:tc>
          <w:tcPr>
            <w:tcW w:w="4326" w:type="dxa"/>
            <w:noWrap/>
            <w:vAlign w:val="center"/>
          </w:tcPr>
          <w:p>
            <w:pPr>
              <w:jc w:val="center"/>
              <w:rPr>
                <w:rFonts w:asciiTheme="minorEastAsia" w:hAnsiTheme="minorEastAsia" w:cstheme="minorEastAsia"/>
                <w:color w:val="auto"/>
                <w:szCs w:val="21"/>
                <w:highlight w:val="none"/>
              </w:rPr>
            </w:pPr>
          </w:p>
        </w:tc>
        <w:tc>
          <w:tcPr>
            <w:tcW w:w="1360" w:type="dxa"/>
            <w:noWrap/>
            <w:vAlign w:val="center"/>
          </w:tcPr>
          <w:p>
            <w:pPr>
              <w:jc w:val="center"/>
              <w:rPr>
                <w:rFonts w:asciiTheme="minorEastAsia" w:hAnsi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3" w:type="dxa"/>
            <w:noWrap/>
            <w:vAlign w:val="center"/>
          </w:tcPr>
          <w:p>
            <w:pPr>
              <w:jc w:val="center"/>
              <w:rPr>
                <w:rFonts w:asciiTheme="minorEastAsia" w:hAnsiTheme="minorEastAsia" w:cstheme="minorEastAsia"/>
                <w:color w:val="auto"/>
                <w:szCs w:val="21"/>
                <w:highlight w:val="none"/>
              </w:rPr>
            </w:pPr>
          </w:p>
        </w:tc>
        <w:tc>
          <w:tcPr>
            <w:tcW w:w="4326" w:type="dxa"/>
            <w:noWrap/>
            <w:vAlign w:val="center"/>
          </w:tcPr>
          <w:p>
            <w:pPr>
              <w:jc w:val="center"/>
              <w:rPr>
                <w:rFonts w:asciiTheme="minorEastAsia" w:hAnsiTheme="minorEastAsia" w:cstheme="minorEastAsia"/>
                <w:color w:val="auto"/>
                <w:szCs w:val="21"/>
                <w:highlight w:val="none"/>
              </w:rPr>
            </w:pPr>
          </w:p>
        </w:tc>
        <w:tc>
          <w:tcPr>
            <w:tcW w:w="1360" w:type="dxa"/>
            <w:noWrap/>
            <w:vAlign w:val="center"/>
          </w:tcPr>
          <w:p>
            <w:pPr>
              <w:jc w:val="center"/>
              <w:rPr>
                <w:rFonts w:asciiTheme="minorEastAsia" w:hAnsi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3" w:type="dxa"/>
            <w:noWrap/>
            <w:vAlign w:val="center"/>
          </w:tcPr>
          <w:p>
            <w:pPr>
              <w:jc w:val="center"/>
              <w:rPr>
                <w:rFonts w:asciiTheme="minorEastAsia" w:hAnsiTheme="minorEastAsia" w:cstheme="minorEastAsia"/>
                <w:color w:val="auto"/>
                <w:szCs w:val="21"/>
                <w:highlight w:val="none"/>
              </w:rPr>
            </w:pPr>
          </w:p>
        </w:tc>
        <w:tc>
          <w:tcPr>
            <w:tcW w:w="4326" w:type="dxa"/>
            <w:noWrap/>
            <w:vAlign w:val="center"/>
          </w:tcPr>
          <w:p>
            <w:pPr>
              <w:jc w:val="center"/>
              <w:rPr>
                <w:rFonts w:asciiTheme="minorEastAsia" w:hAnsiTheme="minorEastAsia" w:cstheme="minorEastAsia"/>
                <w:color w:val="auto"/>
                <w:szCs w:val="21"/>
                <w:highlight w:val="none"/>
              </w:rPr>
            </w:pPr>
          </w:p>
        </w:tc>
        <w:tc>
          <w:tcPr>
            <w:tcW w:w="1360" w:type="dxa"/>
            <w:noWrap/>
            <w:vAlign w:val="center"/>
          </w:tcPr>
          <w:p>
            <w:pPr>
              <w:jc w:val="center"/>
              <w:rPr>
                <w:rFonts w:asciiTheme="minorEastAsia" w:hAnsi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3" w:type="dxa"/>
            <w:noWrap/>
            <w:vAlign w:val="center"/>
          </w:tcPr>
          <w:p>
            <w:pPr>
              <w:jc w:val="center"/>
              <w:rPr>
                <w:rFonts w:asciiTheme="minorEastAsia" w:hAnsiTheme="minorEastAsia" w:cstheme="minorEastAsia"/>
                <w:color w:val="auto"/>
                <w:szCs w:val="21"/>
                <w:highlight w:val="none"/>
              </w:rPr>
            </w:pPr>
          </w:p>
        </w:tc>
        <w:tc>
          <w:tcPr>
            <w:tcW w:w="4326" w:type="dxa"/>
            <w:noWrap/>
            <w:vAlign w:val="center"/>
          </w:tcPr>
          <w:p>
            <w:pPr>
              <w:jc w:val="center"/>
              <w:rPr>
                <w:rFonts w:asciiTheme="minorEastAsia" w:hAnsiTheme="minorEastAsia" w:cstheme="minorEastAsia"/>
                <w:color w:val="auto"/>
                <w:szCs w:val="21"/>
                <w:highlight w:val="none"/>
              </w:rPr>
            </w:pPr>
          </w:p>
        </w:tc>
        <w:tc>
          <w:tcPr>
            <w:tcW w:w="1360" w:type="dxa"/>
            <w:noWrap/>
            <w:vAlign w:val="center"/>
          </w:tcPr>
          <w:p>
            <w:pPr>
              <w:jc w:val="center"/>
              <w:rPr>
                <w:rFonts w:asciiTheme="minorEastAsia" w:hAnsiTheme="minorEastAsia" w:cstheme="minorEastAsia"/>
                <w:color w:val="auto"/>
                <w:szCs w:val="21"/>
                <w:highlight w:val="none"/>
              </w:rPr>
            </w:pPr>
          </w:p>
        </w:tc>
      </w:tr>
    </w:tbl>
    <w:p>
      <w:pPr>
        <w:spacing w:line="380" w:lineRule="exact"/>
        <w:rPr>
          <w:rFonts w:ascii="宋体"/>
          <w:color w:val="auto"/>
          <w:sz w:val="24"/>
          <w:highlight w:val="none"/>
        </w:rPr>
      </w:pPr>
    </w:p>
    <w:p>
      <w:pPr>
        <w:spacing w:line="380" w:lineRule="exact"/>
        <w:rPr>
          <w:rFonts w:ascii="宋体"/>
          <w:color w:val="auto"/>
          <w:highlight w:val="none"/>
        </w:rPr>
      </w:pPr>
      <w:r>
        <w:rPr>
          <w:rFonts w:hint="eastAsia" w:ascii="宋体" w:hAnsi="宋体" w:cs="宋体"/>
          <w:color w:val="auto"/>
          <w:highlight w:val="none"/>
        </w:rPr>
        <w:t>注：</w:t>
      </w:r>
    </w:p>
    <w:p>
      <w:pPr>
        <w:spacing w:line="380" w:lineRule="exact"/>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、本表仅为供应商对征集文件评分标准应答提供目录、索引，其偏离情况仅做为评委评分时的参考，评委在充分比对征集文件、响应文件之后自行判定并打分。</w:t>
      </w:r>
    </w:p>
    <w:p>
      <w:pPr>
        <w:spacing w:line="380" w:lineRule="exact"/>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、本表如有多页，应逐页加盖公章。</w:t>
      </w:r>
    </w:p>
    <w:p>
      <w:pPr>
        <w:spacing w:line="380" w:lineRule="exact"/>
        <w:ind w:firstLine="5460" w:firstLineChars="2600"/>
        <w:rPr>
          <w:rFonts w:ascii="宋体"/>
          <w:color w:val="auto"/>
          <w:highlight w:val="none"/>
        </w:rPr>
      </w:pPr>
    </w:p>
    <w:p>
      <w:pPr>
        <w:spacing w:line="380" w:lineRule="exact"/>
        <w:ind w:firstLine="3045" w:firstLineChars="1450"/>
        <w:rPr>
          <w:rFonts w:ascii="宋体"/>
          <w:color w:val="auto"/>
          <w:highlight w:val="none"/>
        </w:rPr>
      </w:pPr>
      <w:r>
        <w:rPr>
          <w:rFonts w:hint="eastAsia" w:ascii="宋体" w:hAnsi="宋体" w:cs="宋体"/>
          <w:color w:val="auto"/>
          <w:highlight w:val="none"/>
        </w:rPr>
        <w:t>供应商（全称并加盖公章）：</w:t>
      </w:r>
    </w:p>
    <w:p>
      <w:pPr>
        <w:spacing w:line="380" w:lineRule="exact"/>
        <w:ind w:firstLine="3045" w:firstLineChars="1450"/>
        <w:rPr>
          <w:rFonts w:ascii="宋体"/>
          <w:color w:val="auto"/>
          <w:highlight w:val="none"/>
          <w:u w:val="single"/>
        </w:rPr>
      </w:pPr>
      <w:r>
        <w:rPr>
          <w:rFonts w:hint="eastAsia" w:ascii="宋体" w:hAnsi="宋体" w:cs="宋体"/>
          <w:color w:val="auto"/>
          <w:highlight w:val="none"/>
        </w:rPr>
        <w:t>供应商代表签字：</w:t>
      </w:r>
    </w:p>
    <w:p>
      <w:pPr>
        <w:spacing w:line="380" w:lineRule="exact"/>
        <w:ind w:firstLine="3045" w:firstLineChars="1450"/>
        <w:rPr>
          <w:rFonts w:ascii="宋体"/>
          <w:color w:val="auto"/>
          <w:highlight w:val="none"/>
          <w:u w:val="single"/>
        </w:rPr>
      </w:pPr>
      <w:r>
        <w:rPr>
          <w:rFonts w:hint="eastAsia" w:ascii="宋体" w:hAnsi="宋体" w:cs="宋体"/>
          <w:color w:val="auto"/>
          <w:highlight w:val="none"/>
        </w:rPr>
        <w:t>日期：</w:t>
      </w:r>
    </w:p>
    <w:p>
      <w:pPr>
        <w:rPr>
          <w:rFonts w:ascii="宋体"/>
          <w:color w:val="auto"/>
          <w:highlight w:val="none"/>
        </w:rPr>
        <w:sectPr>
          <w:footerReference r:id="rId3" w:type="default"/>
          <w:pgSz w:w="11907" w:h="16840"/>
          <w:pgMar w:top="1361" w:right="1469" w:bottom="1440" w:left="1440" w:header="851" w:footer="992" w:gutter="0"/>
          <w:pgNumType w:start="1"/>
          <w:cols w:space="720" w:num="1"/>
          <w:docGrid w:linePitch="323" w:charSpace="-2"/>
        </w:sectPr>
      </w:pPr>
    </w:p>
    <w:p>
      <w:pPr>
        <w:pStyle w:val="16"/>
        <w:widowControl/>
        <w:jc w:val="center"/>
        <w:rPr>
          <w:color w:val="auto"/>
          <w:highlight w:val="none"/>
        </w:rPr>
      </w:pPr>
      <w:r>
        <w:rPr>
          <w:rStyle w:val="24"/>
          <w:rFonts w:hint="eastAsia" w:ascii="宋体" w:hAnsi="宋体" w:eastAsia="宋体" w:cs="宋体"/>
          <w:color w:val="auto"/>
          <w:sz w:val="21"/>
          <w:szCs w:val="21"/>
          <w:highlight w:val="none"/>
        </w:rPr>
        <w:t>二、技术和服务要求响应表</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tbl>
      <w:tblPr>
        <w:tblStyle w:val="21"/>
        <w:tblW w:w="85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60"/>
        <w:gridCol w:w="855"/>
        <w:gridCol w:w="2970"/>
        <w:gridCol w:w="1845"/>
        <w:gridCol w:w="18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55" w:hRule="atLeast"/>
        </w:trPr>
        <w:tc>
          <w:tcPr>
            <w:tcW w:w="960" w:type="dxa"/>
          </w:tcPr>
          <w:p>
            <w:pPr>
              <w:pStyle w:val="16"/>
              <w:widowControl/>
              <w:jc w:val="center"/>
              <w:rPr>
                <w:color w:val="auto"/>
                <w:highlight w:val="none"/>
              </w:rPr>
            </w:pPr>
            <w:r>
              <w:rPr>
                <w:rFonts w:hint="eastAsia" w:ascii="宋体" w:hAnsi="宋体" w:eastAsia="宋体" w:cs="宋体"/>
                <w:color w:val="auto"/>
                <w:sz w:val="21"/>
                <w:szCs w:val="21"/>
                <w:highlight w:val="none"/>
              </w:rPr>
              <w:t>合同包</w:t>
            </w:r>
          </w:p>
        </w:tc>
        <w:tc>
          <w:tcPr>
            <w:tcW w:w="855" w:type="dxa"/>
          </w:tcPr>
          <w:p>
            <w:pPr>
              <w:pStyle w:val="16"/>
              <w:widowControl/>
              <w:jc w:val="center"/>
              <w:rPr>
                <w:color w:val="auto"/>
                <w:highlight w:val="none"/>
              </w:rPr>
            </w:pPr>
            <w:r>
              <w:rPr>
                <w:rFonts w:hint="eastAsia" w:ascii="宋体" w:hAnsi="宋体" w:eastAsia="宋体" w:cs="宋体"/>
                <w:color w:val="auto"/>
                <w:sz w:val="21"/>
                <w:szCs w:val="21"/>
                <w:highlight w:val="none"/>
              </w:rPr>
              <w:t>品目号</w:t>
            </w:r>
          </w:p>
        </w:tc>
        <w:tc>
          <w:tcPr>
            <w:tcW w:w="2970" w:type="dxa"/>
          </w:tcPr>
          <w:p>
            <w:pPr>
              <w:pStyle w:val="16"/>
              <w:widowControl/>
              <w:jc w:val="center"/>
              <w:rPr>
                <w:color w:val="auto"/>
                <w:highlight w:val="none"/>
              </w:rPr>
            </w:pPr>
            <w:r>
              <w:rPr>
                <w:rFonts w:hint="eastAsia" w:ascii="宋体" w:hAnsi="宋体" w:eastAsia="宋体" w:cs="宋体"/>
                <w:color w:val="auto"/>
                <w:sz w:val="21"/>
                <w:szCs w:val="21"/>
                <w:highlight w:val="none"/>
              </w:rPr>
              <w:t>技术和服务要求</w:t>
            </w:r>
          </w:p>
        </w:tc>
        <w:tc>
          <w:tcPr>
            <w:tcW w:w="1845" w:type="dxa"/>
          </w:tcPr>
          <w:p>
            <w:pPr>
              <w:pStyle w:val="16"/>
              <w:widowControl/>
              <w:jc w:val="center"/>
              <w:rPr>
                <w:color w:val="auto"/>
                <w:highlight w:val="none"/>
              </w:rPr>
            </w:pPr>
            <w:r>
              <w:rPr>
                <w:rFonts w:hint="eastAsia" w:ascii="宋体" w:hAnsi="宋体" w:eastAsia="宋体" w:cs="宋体"/>
                <w:color w:val="auto"/>
                <w:sz w:val="21"/>
                <w:szCs w:val="21"/>
                <w:highlight w:val="none"/>
              </w:rPr>
              <w:t>响应文件应答</w:t>
            </w:r>
          </w:p>
        </w:tc>
        <w:tc>
          <w:tcPr>
            <w:tcW w:w="1890" w:type="dxa"/>
          </w:tcPr>
          <w:p>
            <w:pPr>
              <w:pStyle w:val="16"/>
              <w:widowControl/>
              <w:jc w:val="center"/>
              <w:rPr>
                <w:color w:val="auto"/>
                <w:highlight w:val="none"/>
              </w:rPr>
            </w:pPr>
            <w:r>
              <w:rPr>
                <w:rFonts w:hint="eastAsia" w:ascii="宋体" w:hAnsi="宋体" w:eastAsia="宋体" w:cs="宋体"/>
                <w:color w:val="auto"/>
                <w:sz w:val="21"/>
                <w:szCs w:val="21"/>
                <w:highlight w:val="none"/>
              </w:rPr>
              <w:t>是否偏离及说明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0" w:type="dxa"/>
            <w:vMerge w:val="restart"/>
          </w:tcPr>
          <w:p>
            <w:pPr>
              <w:pStyle w:val="16"/>
              <w:widowControl/>
              <w:jc w:val="center"/>
              <w:rPr>
                <w:color w:val="auto"/>
                <w:highlight w:val="none"/>
              </w:rPr>
            </w:pPr>
            <w:r>
              <w:rPr>
                <w:rFonts w:hint="eastAsia" w:ascii="宋体" w:hAnsi="宋体" w:eastAsia="宋体" w:cs="宋体"/>
                <w:color w:val="auto"/>
                <w:sz w:val="21"/>
                <w:szCs w:val="21"/>
                <w:highlight w:val="none"/>
              </w:rPr>
              <w:t>*</w:t>
            </w:r>
          </w:p>
        </w:tc>
        <w:tc>
          <w:tcPr>
            <w:tcW w:w="855" w:type="dxa"/>
          </w:tcPr>
          <w:p>
            <w:pPr>
              <w:pStyle w:val="16"/>
              <w:widowControl/>
              <w:jc w:val="center"/>
              <w:rPr>
                <w:color w:val="auto"/>
                <w:highlight w:val="none"/>
              </w:rPr>
            </w:pPr>
            <w:r>
              <w:rPr>
                <w:rFonts w:hint="eastAsia" w:ascii="宋体" w:hAnsi="宋体" w:eastAsia="宋体" w:cs="宋体"/>
                <w:color w:val="auto"/>
                <w:sz w:val="21"/>
                <w:szCs w:val="21"/>
                <w:highlight w:val="none"/>
              </w:rPr>
              <w:t>*-1</w:t>
            </w:r>
          </w:p>
        </w:tc>
        <w:tc>
          <w:tcPr>
            <w:tcW w:w="2970" w:type="dxa"/>
          </w:tcPr>
          <w:p>
            <w:pPr>
              <w:widowControl/>
              <w:jc w:val="left"/>
              <w:rPr>
                <w:color w:val="auto"/>
                <w:highlight w:val="none"/>
              </w:rPr>
            </w:pPr>
          </w:p>
        </w:tc>
        <w:tc>
          <w:tcPr>
            <w:tcW w:w="1845" w:type="dxa"/>
          </w:tcPr>
          <w:p>
            <w:pPr>
              <w:widowControl/>
              <w:jc w:val="left"/>
              <w:rPr>
                <w:color w:val="auto"/>
                <w:highlight w:val="none"/>
              </w:rPr>
            </w:pPr>
          </w:p>
        </w:tc>
        <w:tc>
          <w:tcPr>
            <w:tcW w:w="1890" w:type="dxa"/>
          </w:tcPr>
          <w:p>
            <w:pPr>
              <w:widowControl/>
              <w:jc w:val="left"/>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60" w:type="dxa"/>
            <w:vMerge w:val="continue"/>
          </w:tcPr>
          <w:p>
            <w:pPr>
              <w:rPr>
                <w:rFonts w:ascii="宋体"/>
                <w:color w:val="auto"/>
                <w:sz w:val="24"/>
                <w:highlight w:val="none"/>
              </w:rPr>
            </w:pPr>
          </w:p>
        </w:tc>
        <w:tc>
          <w:tcPr>
            <w:tcW w:w="855" w:type="dxa"/>
          </w:tcPr>
          <w:p>
            <w:pPr>
              <w:pStyle w:val="16"/>
              <w:widowControl/>
              <w:jc w:val="center"/>
              <w:rPr>
                <w:color w:val="auto"/>
                <w:highlight w:val="none"/>
              </w:rPr>
            </w:pPr>
            <w:r>
              <w:rPr>
                <w:rFonts w:ascii="Calibri" w:hAnsi="Calibri" w:cs="Calibri"/>
                <w:color w:val="auto"/>
                <w:sz w:val="21"/>
                <w:szCs w:val="21"/>
                <w:highlight w:val="none"/>
              </w:rPr>
              <w:t>…</w:t>
            </w:r>
          </w:p>
        </w:tc>
        <w:tc>
          <w:tcPr>
            <w:tcW w:w="2970" w:type="dxa"/>
          </w:tcPr>
          <w:p>
            <w:pPr>
              <w:widowControl/>
              <w:jc w:val="left"/>
              <w:rPr>
                <w:color w:val="auto"/>
                <w:highlight w:val="none"/>
              </w:rPr>
            </w:pPr>
          </w:p>
        </w:tc>
        <w:tc>
          <w:tcPr>
            <w:tcW w:w="1845" w:type="dxa"/>
          </w:tcPr>
          <w:p>
            <w:pPr>
              <w:widowControl/>
              <w:jc w:val="left"/>
              <w:rPr>
                <w:color w:val="auto"/>
                <w:highlight w:val="none"/>
              </w:rPr>
            </w:pPr>
          </w:p>
        </w:tc>
        <w:tc>
          <w:tcPr>
            <w:tcW w:w="1890" w:type="dxa"/>
          </w:tcPr>
          <w:p>
            <w:pPr>
              <w:widowControl/>
              <w:jc w:val="left"/>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0" w:type="dxa"/>
          </w:tcPr>
          <w:p>
            <w:pPr>
              <w:pStyle w:val="16"/>
              <w:widowControl/>
              <w:jc w:val="center"/>
              <w:rPr>
                <w:color w:val="auto"/>
                <w:highlight w:val="none"/>
              </w:rPr>
            </w:pPr>
            <w:r>
              <w:rPr>
                <w:rFonts w:ascii="Calibri" w:hAnsi="Calibri" w:cs="Calibri"/>
                <w:color w:val="auto"/>
                <w:sz w:val="21"/>
                <w:szCs w:val="21"/>
                <w:highlight w:val="none"/>
              </w:rPr>
              <w:t>…</w:t>
            </w:r>
          </w:p>
        </w:tc>
        <w:tc>
          <w:tcPr>
            <w:tcW w:w="855" w:type="dxa"/>
          </w:tcPr>
          <w:p>
            <w:pPr>
              <w:widowControl/>
              <w:jc w:val="left"/>
              <w:rPr>
                <w:color w:val="auto"/>
                <w:highlight w:val="none"/>
              </w:rPr>
            </w:pPr>
          </w:p>
        </w:tc>
        <w:tc>
          <w:tcPr>
            <w:tcW w:w="2970" w:type="dxa"/>
          </w:tcPr>
          <w:p>
            <w:pPr>
              <w:widowControl/>
              <w:jc w:val="left"/>
              <w:rPr>
                <w:color w:val="auto"/>
                <w:highlight w:val="none"/>
              </w:rPr>
            </w:pPr>
          </w:p>
        </w:tc>
        <w:tc>
          <w:tcPr>
            <w:tcW w:w="1845" w:type="dxa"/>
          </w:tcPr>
          <w:p>
            <w:pPr>
              <w:widowControl/>
              <w:jc w:val="left"/>
              <w:rPr>
                <w:color w:val="auto"/>
                <w:highlight w:val="none"/>
              </w:rPr>
            </w:pPr>
          </w:p>
        </w:tc>
        <w:tc>
          <w:tcPr>
            <w:tcW w:w="1890" w:type="dxa"/>
          </w:tcPr>
          <w:p>
            <w:pPr>
              <w:widowControl/>
              <w:jc w:val="left"/>
              <w:rPr>
                <w:color w:val="auto"/>
                <w:highlight w:val="none"/>
              </w:rPr>
            </w:pPr>
          </w:p>
        </w:tc>
      </w:tr>
    </w:tbl>
    <w:p>
      <w:pPr>
        <w:pStyle w:val="16"/>
        <w:widowControl/>
        <w:rPr>
          <w:color w:val="auto"/>
          <w:highlight w:val="none"/>
        </w:rPr>
      </w:pPr>
      <w:r>
        <w:rPr>
          <w:rFonts w:hint="eastAsia" w:ascii="宋体" w:hAnsi="宋体" w:eastAsia="宋体" w:cs="宋体"/>
          <w:color w:val="auto"/>
          <w:sz w:val="21"/>
          <w:szCs w:val="21"/>
          <w:highlight w:val="none"/>
        </w:rPr>
        <w:t>★注意：</w:t>
      </w:r>
    </w:p>
    <w:p>
      <w:pPr>
        <w:pStyle w:val="16"/>
        <w:widowControl/>
        <w:rPr>
          <w:color w:val="auto"/>
          <w:highlight w:val="none"/>
        </w:rPr>
      </w:pPr>
      <w:r>
        <w:rPr>
          <w:rFonts w:hint="eastAsia" w:ascii="宋体" w:hAnsi="宋体" w:eastAsia="宋体" w:cs="宋体"/>
          <w:color w:val="auto"/>
          <w:sz w:val="21"/>
          <w:szCs w:val="21"/>
          <w:highlight w:val="none"/>
        </w:rPr>
        <w:t>1、本表应按照下列规定填写：</w:t>
      </w:r>
    </w:p>
    <w:p>
      <w:pPr>
        <w:pStyle w:val="16"/>
        <w:widowControl/>
        <w:rPr>
          <w:color w:val="auto"/>
          <w:highlight w:val="none"/>
        </w:rPr>
      </w:pPr>
      <w:r>
        <w:rPr>
          <w:rFonts w:hint="eastAsia" w:ascii="宋体" w:hAnsi="宋体" w:eastAsia="宋体" w:cs="宋体"/>
          <w:color w:val="auto"/>
          <w:sz w:val="21"/>
          <w:szCs w:val="21"/>
          <w:highlight w:val="none"/>
        </w:rPr>
        <w:t>1.1“技术和服务要求”项下填写的内容应与征集文件第五章“技术和服务要求”的内容保持一致。</w:t>
      </w:r>
    </w:p>
    <w:p>
      <w:pPr>
        <w:pStyle w:val="16"/>
        <w:widowControl/>
        <w:rPr>
          <w:color w:val="auto"/>
          <w:highlight w:val="none"/>
        </w:rPr>
      </w:pPr>
      <w:r>
        <w:rPr>
          <w:rFonts w:hint="eastAsia" w:ascii="宋体" w:hAnsi="宋体" w:eastAsia="宋体" w:cs="宋体"/>
          <w:color w:val="auto"/>
          <w:sz w:val="21"/>
          <w:szCs w:val="21"/>
          <w:highlight w:val="none"/>
        </w:rPr>
        <w:t>1.2“响应文件应答”项下应填写具体的响应内容并与“技术和服务要求”项下填写的内容逐项对应；对征集文件“技术和服务要求”项下涉及“≥或＞”、“≤或＜”及某个区间值范围内的内容，响应文件应答应填写具体的数值，但技术指标只能以范围作响应的除外。</w:t>
      </w:r>
    </w:p>
    <w:p>
      <w:pPr>
        <w:pStyle w:val="16"/>
        <w:widowControl/>
        <w:rPr>
          <w:color w:val="auto"/>
          <w:highlight w:val="none"/>
        </w:rPr>
      </w:pPr>
      <w:r>
        <w:rPr>
          <w:rFonts w:hint="eastAsia" w:ascii="宋体" w:hAnsi="宋体" w:eastAsia="宋体" w:cs="宋体"/>
          <w:color w:val="auto"/>
          <w:sz w:val="21"/>
          <w:szCs w:val="21"/>
          <w:highlight w:val="none"/>
        </w:rPr>
        <w:t>1.3“是否偏离及说明”项下应按下列规定填写：优于的，填写“正偏离”；符合的，填写“无偏离”；低于的，填写“负偏离”。</w:t>
      </w:r>
    </w:p>
    <w:p>
      <w:pPr>
        <w:pStyle w:val="16"/>
        <w:widowControl/>
        <w:rPr>
          <w:color w:val="auto"/>
          <w:highlight w:val="none"/>
        </w:rPr>
      </w:pPr>
      <w:r>
        <w:rPr>
          <w:rFonts w:hint="eastAsia" w:ascii="宋体" w:hAnsi="宋体" w:eastAsia="宋体" w:cs="宋体"/>
          <w:color w:val="auto"/>
          <w:sz w:val="21"/>
          <w:szCs w:val="21"/>
          <w:highlight w:val="none"/>
        </w:rPr>
        <w:t>2、供应商需要说明的内容若需特殊表达，应先在本表中进行相应说明，再另页应答，但应做好标注说明，方便评委查阅评审。未标注说明可能导致的不利的评审后果由供应商自行承担。</w:t>
      </w:r>
    </w:p>
    <w:p>
      <w:pPr>
        <w:pStyle w:val="16"/>
        <w:widowControl/>
        <w:rPr>
          <w:color w:val="auto"/>
          <w:highlight w:val="none"/>
        </w:rPr>
      </w:pPr>
      <w:r>
        <w:rPr>
          <w:rFonts w:hint="eastAsia" w:ascii="宋体" w:hAnsi="宋体" w:eastAsia="宋体" w:cs="宋体"/>
          <w:color w:val="auto"/>
          <w:sz w:val="21"/>
          <w:szCs w:val="21"/>
          <w:highlight w:val="none"/>
        </w:rPr>
        <w:t>3、纸质响应文件正本中的本表应为原件。</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（全称并加盖单位公章）</w:t>
      </w:r>
    </w:p>
    <w:p>
      <w:pPr>
        <w:pStyle w:val="16"/>
        <w:widowControl/>
        <w:rPr>
          <w:color w:val="auto"/>
          <w:highlight w:val="none"/>
        </w:rPr>
      </w:pPr>
      <w:r>
        <w:rPr>
          <w:rFonts w:hint="eastAsia" w:ascii="宋体" w:hAnsi="宋体" w:eastAsia="宋体" w:cs="宋体"/>
          <w:color w:val="auto"/>
          <w:sz w:val="21"/>
          <w:szCs w:val="21"/>
          <w:highlight w:val="none"/>
        </w:rPr>
        <w:t>供应商代表签字：</w:t>
      </w:r>
      <w:r>
        <w:rPr>
          <w:rFonts w:hint="eastAsia" w:ascii="宋体" w:hAnsi="宋体" w:eastAsia="宋体" w:cs="宋体"/>
          <w:color w:val="auto"/>
          <w:sz w:val="21"/>
          <w:szCs w:val="21"/>
          <w:highlight w:val="none"/>
          <w:u w:val="single"/>
        </w:rPr>
        <w:t>                   </w:t>
      </w:r>
    </w:p>
    <w:p>
      <w:pPr>
        <w:pStyle w:val="16"/>
        <w:widowControl/>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jc w:val="center"/>
        <w:rPr>
          <w:rStyle w:val="24"/>
          <w:rFonts w:ascii="宋体" w:hAnsi="宋体" w:eastAsia="宋体" w:cs="宋体"/>
          <w:color w:val="auto"/>
          <w:sz w:val="21"/>
          <w:szCs w:val="21"/>
          <w:highlight w:val="none"/>
        </w:rPr>
      </w:pPr>
    </w:p>
    <w:p>
      <w:pPr>
        <w:pStyle w:val="16"/>
        <w:widowControl/>
        <w:jc w:val="center"/>
        <w:rPr>
          <w:color w:val="auto"/>
          <w:highlight w:val="none"/>
        </w:rPr>
      </w:pPr>
      <w:r>
        <w:rPr>
          <w:rStyle w:val="24"/>
          <w:rFonts w:hint="eastAsia" w:ascii="宋体" w:hAnsi="宋体" w:eastAsia="宋体" w:cs="宋体"/>
          <w:color w:val="auto"/>
          <w:sz w:val="21"/>
          <w:szCs w:val="21"/>
          <w:highlight w:val="none"/>
        </w:rPr>
        <w:t>三、商务条件响应表</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w:t>
      </w:r>
    </w:p>
    <w:tbl>
      <w:tblPr>
        <w:tblStyle w:val="21"/>
        <w:tblW w:w="85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60"/>
        <w:gridCol w:w="855"/>
        <w:gridCol w:w="2970"/>
        <w:gridCol w:w="1845"/>
        <w:gridCol w:w="18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60" w:type="dxa"/>
          </w:tcPr>
          <w:p>
            <w:pPr>
              <w:pStyle w:val="16"/>
              <w:widowControl/>
              <w:jc w:val="center"/>
              <w:rPr>
                <w:color w:val="auto"/>
                <w:highlight w:val="none"/>
              </w:rPr>
            </w:pPr>
            <w:r>
              <w:rPr>
                <w:rFonts w:hint="eastAsia" w:ascii="宋体" w:hAnsi="宋体" w:eastAsia="宋体" w:cs="宋体"/>
                <w:color w:val="auto"/>
                <w:sz w:val="21"/>
                <w:szCs w:val="21"/>
                <w:highlight w:val="none"/>
              </w:rPr>
              <w:t>合同包</w:t>
            </w:r>
          </w:p>
        </w:tc>
        <w:tc>
          <w:tcPr>
            <w:tcW w:w="855" w:type="dxa"/>
          </w:tcPr>
          <w:p>
            <w:pPr>
              <w:pStyle w:val="16"/>
              <w:widowControl/>
              <w:jc w:val="center"/>
              <w:rPr>
                <w:color w:val="auto"/>
                <w:highlight w:val="none"/>
              </w:rPr>
            </w:pPr>
            <w:r>
              <w:rPr>
                <w:rFonts w:hint="eastAsia" w:ascii="宋体" w:hAnsi="宋体" w:eastAsia="宋体" w:cs="宋体"/>
                <w:color w:val="auto"/>
                <w:sz w:val="21"/>
                <w:szCs w:val="21"/>
                <w:highlight w:val="none"/>
              </w:rPr>
              <w:t>品目号</w:t>
            </w:r>
          </w:p>
        </w:tc>
        <w:tc>
          <w:tcPr>
            <w:tcW w:w="2970" w:type="dxa"/>
          </w:tcPr>
          <w:p>
            <w:pPr>
              <w:pStyle w:val="16"/>
              <w:widowControl/>
              <w:jc w:val="center"/>
              <w:rPr>
                <w:color w:val="auto"/>
                <w:highlight w:val="none"/>
              </w:rPr>
            </w:pPr>
            <w:r>
              <w:rPr>
                <w:rFonts w:hint="eastAsia" w:ascii="宋体" w:hAnsi="宋体" w:eastAsia="宋体" w:cs="宋体"/>
                <w:color w:val="auto"/>
                <w:sz w:val="21"/>
                <w:szCs w:val="21"/>
                <w:highlight w:val="none"/>
              </w:rPr>
              <w:t>商务条件</w:t>
            </w:r>
          </w:p>
        </w:tc>
        <w:tc>
          <w:tcPr>
            <w:tcW w:w="1845" w:type="dxa"/>
          </w:tcPr>
          <w:p>
            <w:pPr>
              <w:pStyle w:val="16"/>
              <w:widowControl/>
              <w:jc w:val="center"/>
              <w:rPr>
                <w:color w:val="auto"/>
                <w:highlight w:val="none"/>
              </w:rPr>
            </w:pPr>
            <w:r>
              <w:rPr>
                <w:rFonts w:hint="eastAsia" w:ascii="宋体" w:hAnsi="宋体" w:eastAsia="宋体" w:cs="宋体"/>
                <w:color w:val="auto"/>
                <w:sz w:val="21"/>
                <w:szCs w:val="21"/>
                <w:highlight w:val="none"/>
              </w:rPr>
              <w:t>响应文件应答</w:t>
            </w:r>
          </w:p>
        </w:tc>
        <w:tc>
          <w:tcPr>
            <w:tcW w:w="1890" w:type="dxa"/>
          </w:tcPr>
          <w:p>
            <w:pPr>
              <w:pStyle w:val="16"/>
              <w:widowControl/>
              <w:jc w:val="center"/>
              <w:rPr>
                <w:color w:val="auto"/>
                <w:highlight w:val="none"/>
              </w:rPr>
            </w:pPr>
            <w:r>
              <w:rPr>
                <w:rFonts w:hint="eastAsia" w:ascii="宋体" w:hAnsi="宋体" w:eastAsia="宋体" w:cs="宋体"/>
                <w:color w:val="auto"/>
                <w:sz w:val="21"/>
                <w:szCs w:val="21"/>
                <w:highlight w:val="none"/>
              </w:rPr>
              <w:t>是否偏离及说明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0" w:type="dxa"/>
            <w:vMerge w:val="restart"/>
          </w:tcPr>
          <w:p>
            <w:pPr>
              <w:pStyle w:val="16"/>
              <w:widowControl/>
              <w:jc w:val="center"/>
              <w:rPr>
                <w:color w:val="auto"/>
                <w:highlight w:val="none"/>
              </w:rPr>
            </w:pPr>
            <w:r>
              <w:rPr>
                <w:rFonts w:hint="eastAsia" w:ascii="宋体" w:hAnsi="宋体" w:eastAsia="宋体" w:cs="宋体"/>
                <w:color w:val="auto"/>
                <w:sz w:val="21"/>
                <w:szCs w:val="21"/>
                <w:highlight w:val="none"/>
              </w:rPr>
              <w:t>*</w:t>
            </w:r>
          </w:p>
        </w:tc>
        <w:tc>
          <w:tcPr>
            <w:tcW w:w="855" w:type="dxa"/>
          </w:tcPr>
          <w:p>
            <w:pPr>
              <w:pStyle w:val="16"/>
              <w:widowControl/>
              <w:jc w:val="center"/>
              <w:rPr>
                <w:color w:val="auto"/>
                <w:highlight w:val="none"/>
              </w:rPr>
            </w:pPr>
            <w:r>
              <w:rPr>
                <w:rFonts w:hint="eastAsia" w:ascii="宋体" w:hAnsi="宋体" w:eastAsia="宋体" w:cs="宋体"/>
                <w:color w:val="auto"/>
                <w:sz w:val="21"/>
                <w:szCs w:val="21"/>
                <w:highlight w:val="none"/>
              </w:rPr>
              <w:t>*-1</w:t>
            </w:r>
          </w:p>
        </w:tc>
        <w:tc>
          <w:tcPr>
            <w:tcW w:w="2970" w:type="dxa"/>
          </w:tcPr>
          <w:p>
            <w:pPr>
              <w:widowControl/>
              <w:jc w:val="left"/>
              <w:rPr>
                <w:color w:val="auto"/>
                <w:highlight w:val="none"/>
              </w:rPr>
            </w:pPr>
          </w:p>
        </w:tc>
        <w:tc>
          <w:tcPr>
            <w:tcW w:w="1845" w:type="dxa"/>
          </w:tcPr>
          <w:p>
            <w:pPr>
              <w:widowControl/>
              <w:jc w:val="left"/>
              <w:rPr>
                <w:color w:val="auto"/>
                <w:highlight w:val="none"/>
              </w:rPr>
            </w:pPr>
          </w:p>
        </w:tc>
        <w:tc>
          <w:tcPr>
            <w:tcW w:w="1890" w:type="dxa"/>
          </w:tcPr>
          <w:p>
            <w:pPr>
              <w:widowControl/>
              <w:jc w:val="left"/>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0" w:type="dxa"/>
            <w:vMerge w:val="continue"/>
          </w:tcPr>
          <w:p>
            <w:pPr>
              <w:rPr>
                <w:rFonts w:ascii="宋体"/>
                <w:color w:val="auto"/>
                <w:sz w:val="24"/>
                <w:highlight w:val="none"/>
              </w:rPr>
            </w:pPr>
          </w:p>
        </w:tc>
        <w:tc>
          <w:tcPr>
            <w:tcW w:w="855" w:type="dxa"/>
          </w:tcPr>
          <w:p>
            <w:pPr>
              <w:pStyle w:val="16"/>
              <w:widowControl/>
              <w:jc w:val="center"/>
              <w:rPr>
                <w:color w:val="auto"/>
                <w:highlight w:val="none"/>
              </w:rPr>
            </w:pPr>
            <w:r>
              <w:rPr>
                <w:rFonts w:ascii="Calibri" w:hAnsi="Calibri" w:cs="Calibri"/>
                <w:color w:val="auto"/>
                <w:sz w:val="21"/>
                <w:szCs w:val="21"/>
                <w:highlight w:val="none"/>
              </w:rPr>
              <w:t>…</w:t>
            </w:r>
          </w:p>
        </w:tc>
        <w:tc>
          <w:tcPr>
            <w:tcW w:w="2970" w:type="dxa"/>
          </w:tcPr>
          <w:p>
            <w:pPr>
              <w:widowControl/>
              <w:jc w:val="left"/>
              <w:rPr>
                <w:color w:val="auto"/>
                <w:highlight w:val="none"/>
              </w:rPr>
            </w:pPr>
          </w:p>
        </w:tc>
        <w:tc>
          <w:tcPr>
            <w:tcW w:w="1845" w:type="dxa"/>
          </w:tcPr>
          <w:p>
            <w:pPr>
              <w:widowControl/>
              <w:jc w:val="left"/>
              <w:rPr>
                <w:color w:val="auto"/>
                <w:highlight w:val="none"/>
              </w:rPr>
            </w:pPr>
          </w:p>
        </w:tc>
        <w:tc>
          <w:tcPr>
            <w:tcW w:w="1890" w:type="dxa"/>
          </w:tcPr>
          <w:p>
            <w:pPr>
              <w:widowControl/>
              <w:jc w:val="left"/>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0" w:type="dxa"/>
          </w:tcPr>
          <w:p>
            <w:pPr>
              <w:pStyle w:val="16"/>
              <w:widowControl/>
              <w:jc w:val="center"/>
              <w:rPr>
                <w:color w:val="auto"/>
                <w:highlight w:val="none"/>
              </w:rPr>
            </w:pPr>
            <w:r>
              <w:rPr>
                <w:rFonts w:ascii="Calibri" w:hAnsi="Calibri" w:cs="Calibri"/>
                <w:color w:val="auto"/>
                <w:sz w:val="21"/>
                <w:szCs w:val="21"/>
                <w:highlight w:val="none"/>
              </w:rPr>
              <w:t>…</w:t>
            </w:r>
          </w:p>
        </w:tc>
        <w:tc>
          <w:tcPr>
            <w:tcW w:w="855" w:type="dxa"/>
          </w:tcPr>
          <w:p>
            <w:pPr>
              <w:widowControl/>
              <w:jc w:val="left"/>
              <w:rPr>
                <w:color w:val="auto"/>
                <w:highlight w:val="none"/>
              </w:rPr>
            </w:pPr>
          </w:p>
        </w:tc>
        <w:tc>
          <w:tcPr>
            <w:tcW w:w="2970" w:type="dxa"/>
          </w:tcPr>
          <w:p>
            <w:pPr>
              <w:widowControl/>
              <w:jc w:val="left"/>
              <w:rPr>
                <w:color w:val="auto"/>
                <w:highlight w:val="none"/>
              </w:rPr>
            </w:pPr>
          </w:p>
        </w:tc>
        <w:tc>
          <w:tcPr>
            <w:tcW w:w="1845" w:type="dxa"/>
          </w:tcPr>
          <w:p>
            <w:pPr>
              <w:widowControl/>
              <w:jc w:val="left"/>
              <w:rPr>
                <w:color w:val="auto"/>
                <w:highlight w:val="none"/>
              </w:rPr>
            </w:pPr>
          </w:p>
        </w:tc>
        <w:tc>
          <w:tcPr>
            <w:tcW w:w="1890" w:type="dxa"/>
          </w:tcPr>
          <w:p>
            <w:pPr>
              <w:widowControl/>
              <w:jc w:val="left"/>
              <w:rPr>
                <w:color w:val="auto"/>
                <w:highlight w:val="none"/>
              </w:rPr>
            </w:pPr>
          </w:p>
        </w:tc>
      </w:tr>
    </w:tbl>
    <w:p>
      <w:pPr>
        <w:pStyle w:val="16"/>
        <w:widowControl/>
        <w:rPr>
          <w:color w:val="auto"/>
          <w:highlight w:val="none"/>
        </w:rPr>
      </w:pPr>
      <w:r>
        <w:rPr>
          <w:rFonts w:hint="eastAsia" w:ascii="宋体" w:hAnsi="宋体" w:eastAsia="宋体" w:cs="宋体"/>
          <w:color w:val="auto"/>
          <w:sz w:val="21"/>
          <w:szCs w:val="21"/>
          <w:highlight w:val="none"/>
        </w:rPr>
        <w:t>★注意：</w:t>
      </w:r>
    </w:p>
    <w:p>
      <w:pPr>
        <w:pStyle w:val="16"/>
        <w:widowControl/>
        <w:rPr>
          <w:color w:val="auto"/>
          <w:highlight w:val="none"/>
        </w:rPr>
      </w:pPr>
      <w:r>
        <w:rPr>
          <w:rFonts w:hint="eastAsia" w:ascii="宋体" w:hAnsi="宋体" w:eastAsia="宋体" w:cs="宋体"/>
          <w:color w:val="auto"/>
          <w:sz w:val="21"/>
          <w:szCs w:val="21"/>
          <w:highlight w:val="none"/>
        </w:rPr>
        <w:t>1、本表应按照下列规定填写：</w:t>
      </w:r>
    </w:p>
    <w:p>
      <w:pPr>
        <w:pStyle w:val="16"/>
        <w:widowControl/>
        <w:rPr>
          <w:color w:val="auto"/>
          <w:highlight w:val="none"/>
        </w:rPr>
      </w:pPr>
      <w:r>
        <w:rPr>
          <w:rFonts w:hint="eastAsia" w:ascii="宋体" w:hAnsi="宋体" w:eastAsia="宋体" w:cs="宋体"/>
          <w:color w:val="auto"/>
          <w:sz w:val="21"/>
          <w:szCs w:val="21"/>
          <w:highlight w:val="none"/>
        </w:rPr>
        <w:t>1.1“商务条件”项下填写的内容应与征集文件第五章“商务条件”的内容保持一致。</w:t>
      </w:r>
    </w:p>
    <w:p>
      <w:pPr>
        <w:pStyle w:val="16"/>
        <w:widowControl/>
        <w:rPr>
          <w:color w:val="auto"/>
          <w:highlight w:val="none"/>
        </w:rPr>
      </w:pPr>
      <w:r>
        <w:rPr>
          <w:rFonts w:hint="eastAsia" w:ascii="宋体" w:hAnsi="宋体" w:eastAsia="宋体" w:cs="宋体"/>
          <w:color w:val="auto"/>
          <w:sz w:val="21"/>
          <w:szCs w:val="21"/>
          <w:highlight w:val="none"/>
        </w:rPr>
        <w:t>1.2“响应文件应答”项下应填写具体的响应内容并与“商务条件”项下填写的内容逐项对应；对“商务条件”项下涉及“≥或＞”、“≤或＜”及某个区间值范围内的内容，应填写具体的数值。</w:t>
      </w:r>
    </w:p>
    <w:p>
      <w:pPr>
        <w:pStyle w:val="16"/>
        <w:widowControl/>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1.3“是否偏离及说明”项下应按下列规定填写：优于的，填写“正偏离”；符合的，填写“无偏离”；低于的，填写“负偏离”。</w:t>
      </w:r>
    </w:p>
    <w:p>
      <w:pPr>
        <w:pStyle w:val="16"/>
        <w:widowControl/>
        <w:rPr>
          <w:rFonts w:ascii="宋体" w:hAnsi="宋体" w:eastAsia="宋体" w:cs="宋体"/>
          <w:color w:val="auto"/>
          <w:sz w:val="21"/>
          <w:szCs w:val="21"/>
          <w:highlight w:val="none"/>
        </w:rPr>
      </w:pP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供应商</w:t>
      </w:r>
      <w:r>
        <w:rPr>
          <w:rFonts w:ascii="宋体" w:hAnsi="宋体" w:eastAsia="宋体" w:cs="宋体"/>
          <w:color w:val="auto"/>
          <w:sz w:val="21"/>
          <w:szCs w:val="21"/>
          <w:highlight w:val="none"/>
        </w:rPr>
        <w:t>需要说明的内容若需特殊表达，应先在本表中进行相应说明，再另页应答，但应做好标注说明，方便评委查阅评审。未标注说明可能导致的不利的评审后果由</w:t>
      </w:r>
      <w:r>
        <w:rPr>
          <w:rFonts w:hint="eastAsia" w:ascii="宋体" w:hAnsi="宋体" w:eastAsia="宋体" w:cs="宋体"/>
          <w:color w:val="auto"/>
          <w:sz w:val="21"/>
          <w:szCs w:val="21"/>
          <w:highlight w:val="none"/>
        </w:rPr>
        <w:t>供应商</w:t>
      </w:r>
      <w:r>
        <w:rPr>
          <w:rFonts w:ascii="宋体" w:hAnsi="宋体" w:eastAsia="宋体" w:cs="宋体"/>
          <w:color w:val="auto"/>
          <w:sz w:val="21"/>
          <w:szCs w:val="21"/>
          <w:highlight w:val="none"/>
        </w:rPr>
        <w:t>自行承担。</w:t>
      </w:r>
    </w:p>
    <w:p>
      <w:pPr>
        <w:pStyle w:val="16"/>
        <w:widowControl/>
        <w:rPr>
          <w:color w:val="auto"/>
          <w:highlight w:val="none"/>
        </w:rPr>
      </w:pPr>
      <w:r>
        <w:rPr>
          <w:rFonts w:hint="eastAsia" w:ascii="宋体" w:hAnsi="宋体" w:eastAsia="宋体" w:cs="宋体"/>
          <w:color w:val="auto"/>
          <w:sz w:val="21"/>
          <w:szCs w:val="21"/>
          <w:highlight w:val="none"/>
        </w:rPr>
        <w:t>3、纸质响应文件正本中的本表应为原件。</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（全称并加盖单位公章）</w:t>
      </w:r>
    </w:p>
    <w:p>
      <w:pPr>
        <w:pStyle w:val="16"/>
        <w:widowControl/>
        <w:rPr>
          <w:color w:val="auto"/>
          <w:highlight w:val="none"/>
        </w:rPr>
      </w:pPr>
      <w:r>
        <w:rPr>
          <w:rFonts w:hint="eastAsia" w:ascii="宋体" w:hAnsi="宋体" w:eastAsia="宋体" w:cs="宋体"/>
          <w:color w:val="auto"/>
          <w:sz w:val="21"/>
          <w:szCs w:val="21"/>
          <w:highlight w:val="none"/>
        </w:rPr>
        <w:t>供应商代表签字：</w:t>
      </w:r>
      <w:r>
        <w:rPr>
          <w:rFonts w:hint="eastAsia" w:ascii="宋体" w:hAnsi="宋体" w:eastAsia="宋体" w:cs="宋体"/>
          <w:color w:val="auto"/>
          <w:sz w:val="21"/>
          <w:szCs w:val="21"/>
          <w:highlight w:val="none"/>
          <w:u w:val="single"/>
        </w:rPr>
        <w:t>                   </w:t>
      </w:r>
    </w:p>
    <w:p>
      <w:pPr>
        <w:pStyle w:val="16"/>
        <w:widowControl/>
        <w:rPr>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jc w:val="center"/>
        <w:rPr>
          <w:rStyle w:val="24"/>
          <w:rFonts w:ascii="宋体" w:hAnsi="宋体" w:eastAsia="宋体" w:cs="宋体"/>
          <w:color w:val="auto"/>
          <w:sz w:val="21"/>
          <w:szCs w:val="21"/>
          <w:highlight w:val="none"/>
        </w:rPr>
      </w:pPr>
    </w:p>
    <w:p>
      <w:pPr>
        <w:pStyle w:val="16"/>
        <w:widowControl/>
        <w:jc w:val="center"/>
        <w:rPr>
          <w:color w:val="auto"/>
          <w:highlight w:val="none"/>
        </w:rPr>
      </w:pPr>
      <w:r>
        <w:rPr>
          <w:rStyle w:val="24"/>
          <w:rFonts w:hint="eastAsia" w:ascii="宋体" w:hAnsi="宋体" w:eastAsia="宋体" w:cs="宋体"/>
          <w:color w:val="auto"/>
          <w:sz w:val="21"/>
          <w:szCs w:val="21"/>
          <w:highlight w:val="none"/>
        </w:rPr>
        <w:t>四、供应商提交的其他资料（若有）</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jc w:val="center"/>
        <w:rPr>
          <w:color w:val="auto"/>
          <w:highlight w:val="none"/>
        </w:rPr>
      </w:pPr>
      <w:r>
        <w:rPr>
          <w:rFonts w:hint="eastAsia" w:ascii="宋体" w:hAnsi="宋体" w:eastAsia="宋体" w:cs="宋体"/>
          <w:color w:val="auto"/>
          <w:sz w:val="21"/>
          <w:szCs w:val="21"/>
          <w:highlight w:val="none"/>
        </w:rPr>
        <w:t>编制说明</w:t>
      </w:r>
    </w:p>
    <w:p>
      <w:pPr>
        <w:pStyle w:val="16"/>
        <w:widowControl/>
        <w:rPr>
          <w:color w:val="auto"/>
          <w:highlight w:val="none"/>
        </w:rPr>
      </w:pPr>
      <w:r>
        <w:rPr>
          <w:rFonts w:hint="eastAsia" w:ascii="宋体" w:hAnsi="宋体" w:eastAsia="宋体" w:cs="宋体"/>
          <w:color w:val="auto"/>
          <w:sz w:val="21"/>
          <w:szCs w:val="21"/>
          <w:highlight w:val="none"/>
        </w:rPr>
        <w:t> </w:t>
      </w:r>
    </w:p>
    <w:p>
      <w:pPr>
        <w:pStyle w:val="16"/>
        <w:widowControl/>
        <w:rPr>
          <w:color w:val="auto"/>
          <w:highlight w:val="none"/>
        </w:rPr>
      </w:pPr>
      <w:r>
        <w:rPr>
          <w:rFonts w:hint="eastAsia" w:ascii="宋体" w:hAnsi="宋体" w:eastAsia="宋体" w:cs="宋体"/>
          <w:color w:val="auto"/>
          <w:sz w:val="21"/>
          <w:szCs w:val="21"/>
          <w:highlight w:val="none"/>
        </w:rPr>
        <w:t>1、征集文件要求提交的除</w:t>
      </w:r>
      <w:r>
        <w:rPr>
          <w:rStyle w:val="24"/>
          <w:rFonts w:hint="eastAsia" w:ascii="宋体" w:hAnsi="宋体" w:eastAsia="宋体" w:cs="宋体"/>
          <w:color w:val="auto"/>
          <w:sz w:val="21"/>
          <w:szCs w:val="21"/>
          <w:highlight w:val="none"/>
        </w:rPr>
        <w:t>“资格及资信证明部分”、“报价部分”</w:t>
      </w:r>
      <w:r>
        <w:rPr>
          <w:rFonts w:hint="eastAsia" w:ascii="宋体" w:hAnsi="宋体" w:eastAsia="宋体" w:cs="宋体"/>
          <w:color w:val="auto"/>
          <w:sz w:val="21"/>
          <w:szCs w:val="21"/>
          <w:highlight w:val="none"/>
        </w:rPr>
        <w:t>外的其他证明材料或资料加盖供应商的单位公章后应在此项下提交。</w:t>
      </w:r>
    </w:p>
    <w:p>
      <w:pPr>
        <w:pStyle w:val="16"/>
        <w:widowControl/>
        <w:rPr>
          <w:color w:val="auto"/>
          <w:highlight w:val="none"/>
        </w:rPr>
      </w:pPr>
      <w:r>
        <w:rPr>
          <w:rFonts w:hint="eastAsia" w:ascii="宋体" w:hAnsi="宋体" w:eastAsia="宋体" w:cs="宋体"/>
          <w:color w:val="auto"/>
          <w:sz w:val="21"/>
          <w:szCs w:val="21"/>
          <w:highlight w:val="none"/>
        </w:rPr>
        <w:t>2、征集文件要求供应商提供方案（包括但不限于：组织、实施、技术、服务方案等）的，供应商应在此项下提交。</w:t>
      </w:r>
    </w:p>
    <w:p>
      <w:pPr>
        <w:pStyle w:val="16"/>
        <w:widowControl/>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3、除征集文件另有规定外，供应商认为需要提交的其他证明材料或资料加盖供应商的单位公章后应在此项下提交。</w:t>
      </w:r>
    </w:p>
    <w:p>
      <w:pPr>
        <w:rPr>
          <w:b/>
          <w:bCs/>
          <w:color w:val="auto"/>
          <w:sz w:val="24"/>
          <w:highlight w:val="none"/>
        </w:rPr>
      </w:pPr>
    </w:p>
    <w:p>
      <w:pPr>
        <w:pStyle w:val="2"/>
        <w:rPr>
          <w:b/>
          <w:bCs/>
          <w:color w:val="auto"/>
          <w:sz w:val="24"/>
          <w:highlight w:val="none"/>
        </w:rPr>
      </w:pPr>
    </w:p>
    <w:p>
      <w:pPr>
        <w:pStyle w:val="5"/>
        <w:keepNext w:val="0"/>
        <w:keepLines w:val="0"/>
        <w:widowControl/>
        <w:suppressLineNumbers w:val="0"/>
        <w:rPr>
          <w:color w:val="auto"/>
          <w:sz w:val="24"/>
          <w:szCs w:val="24"/>
          <w:highlight w:val="none"/>
        </w:rPr>
      </w:pPr>
      <w:r>
        <w:rPr>
          <w:color w:val="auto"/>
          <w:sz w:val="24"/>
          <w:szCs w:val="24"/>
          <w:highlight w:val="none"/>
        </w:rPr>
        <w:t>采购文件相关附件</w:t>
      </w:r>
    </w:p>
    <w:p>
      <w:pPr>
        <w:keepNext w:val="0"/>
        <w:keepLines w:val="0"/>
        <w:widowControl/>
        <w:numPr>
          <w:ilvl w:val="0"/>
          <w:numId w:val="3"/>
        </w:numPr>
        <w:suppressLineNumbers w:val="0"/>
        <w:spacing w:before="0" w:beforeAutospacing="1" w:after="0" w:afterAutospacing="1"/>
        <w:ind w:left="720" w:hanging="360"/>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"http://zfcg.fuzhou.gov.cn/gpmsqx/ExpertChange/downloadShare?id=8def46bbd69744e7bb587ca23efbec10" </w:instrText>
      </w:r>
      <w:r>
        <w:rPr>
          <w:color w:val="auto"/>
          <w:sz w:val="24"/>
          <w:szCs w:val="24"/>
          <w:highlight w:val="none"/>
        </w:rPr>
        <w:fldChar w:fldCharType="separate"/>
      </w:r>
      <w:r>
        <w:rPr>
          <w:rStyle w:val="26"/>
          <w:color w:val="auto"/>
          <w:sz w:val="24"/>
          <w:szCs w:val="24"/>
          <w:highlight w:val="none"/>
        </w:rPr>
        <w:t>资格承诺函</w:t>
      </w:r>
      <w:r>
        <w:rPr>
          <w:color w:val="auto"/>
          <w:sz w:val="24"/>
          <w:szCs w:val="24"/>
          <w:highlight w:val="none"/>
        </w:rPr>
        <w:fldChar w:fldCharType="end"/>
      </w: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资格承诺函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致：</w:t>
      </w:r>
      <w:r>
        <w:rPr>
          <w:rFonts w:hint="eastAsia" w:ascii="宋体" w:hAnsi="宋体" w:eastAsia="宋体" w:cs="宋体"/>
          <w:color w:val="auto"/>
          <w:sz w:val="28"/>
          <w:szCs w:val="28"/>
          <w:highlight w:val="none"/>
          <w:u w:val="single"/>
          <w:lang w:val="en-US" w:eastAsia="zh-CN"/>
        </w:rPr>
        <w:t>（采购人、采购代理机构）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我单位参与</w:t>
      </w:r>
      <w:r>
        <w:rPr>
          <w:rFonts w:hint="eastAsia" w:ascii="宋体" w:hAnsi="宋体" w:eastAsia="宋体" w:cs="宋体"/>
          <w:color w:val="auto"/>
          <w:sz w:val="28"/>
          <w:szCs w:val="28"/>
          <w:highlight w:val="none"/>
          <w:u w:val="single"/>
          <w:lang w:val="en-US" w:eastAsia="zh-CN"/>
        </w:rPr>
        <w:t>（项目名称）（项目编号：）</w:t>
      </w:r>
      <w:r>
        <w:rPr>
          <w:rFonts w:hint="eastAsia" w:ascii="宋体" w:hAnsi="宋体" w:eastAsia="宋体" w:cs="宋体"/>
          <w:color w:val="auto"/>
          <w:sz w:val="28"/>
          <w:szCs w:val="28"/>
          <w:highlight w:val="none"/>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1.我单位具有符合采购文件资格要求的财务状况报告。</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2.我单位具有符合采购文件资格要求的依法缴纳税收证明材料。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3.我单位具有符合采购文件资格要求的依法缴纳社会保障资金证明材料。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若我单位承诺不实，自愿承担提供虚假材料谋取中标、成交的法律责任。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承诺供应商（全称并加盖公章）：</w:t>
      </w:r>
      <w:r>
        <w:rPr>
          <w:rFonts w:hint="eastAsia" w:ascii="宋体" w:hAnsi="宋体" w:eastAsia="宋体" w:cs="宋体"/>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单位负责人或授权代表（签字）：</w:t>
      </w:r>
      <w:r>
        <w:rPr>
          <w:rFonts w:hint="eastAsia" w:ascii="宋体" w:hAnsi="宋体" w:eastAsia="宋体" w:cs="宋体"/>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日期：</w:t>
      </w:r>
      <w:r>
        <w:rPr>
          <w:rFonts w:hint="eastAsia" w:ascii="宋体" w:hAnsi="宋体" w:eastAsia="宋体" w:cs="宋体"/>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u w:val="single"/>
          <w:lang w:val="en-US" w:eastAsia="zh-CN"/>
        </w:rPr>
      </w:pPr>
      <w:r>
        <w:rPr>
          <w:rFonts w:ascii="Calibri" w:hAnsi="Calibri"/>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146685</wp:posOffset>
                </wp:positionV>
                <wp:extent cx="5323840" cy="0"/>
                <wp:effectExtent l="0" t="0" r="0" b="0"/>
                <wp:wrapNone/>
                <wp:docPr id="2" name="直接连接符 2"/>
                <wp:cNvGraphicFramePr/>
                <a:graphic xmlns:a="http://schemas.openxmlformats.org/drawingml/2006/main">
                  <a:graphicData uri="http://schemas.microsoft.com/office/word/2010/wordprocessingShape">
                    <wps:wsp>
                      <wps:cNvCnPr/>
                      <wps:spPr>
                        <a:xfrm>
                          <a:off x="1137920" y="6509385"/>
                          <a:ext cx="532384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1.55pt;height:0pt;width:419.2pt;z-index:251660288;mso-width-relative:page;mso-height-relative:page;" filled="f" stroked="t" coordsize="21600,21600" o:gfxdata="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aSvsNMAAAAHAQAADwAAAAAAAAABACAAAAAiAAAAZHJzL2Rvd25y&#10;ZXYueG1sUEsBAhQAFAAAAAgAh07iQBrCyHADAgAA3wMAAA4AAAAAAAAAAQAgAAAAIgEAAGRycy9l&#10;Mm9Eb2MueG1sUEsFBgAAAAAGAAYAWQEAAJcFAAAAAA==&#10;">
                <v:fill on="f" focussize="0,0"/>
                <v:stroke weight="0.5pt" color="#000000" miterlimit="8" joinstyle="miter"/>
                <v:imagedata o:title=""/>
                <o:lock v:ext="edit" aspectratio="f"/>
              </v:line>
            </w:pict>
          </mc:Fallback>
        </mc:AlternateContent>
      </w:r>
    </w:p>
    <w:p>
      <w:pPr>
        <w:rPr>
          <w:color w:val="auto"/>
          <w:highlight w:val="none"/>
        </w:rPr>
      </w:pPr>
      <w:r>
        <w:rPr>
          <w:rFonts w:hint="eastAsia" w:ascii="宋体" w:hAnsi="宋体" w:eastAsia="宋体" w:cs="宋体"/>
          <w:color w:val="auto"/>
          <w:sz w:val="28"/>
          <w:szCs w:val="28"/>
          <w:highlight w:val="none"/>
          <w:lang w:val="en-US" w:eastAsia="zh-CN"/>
        </w:rPr>
        <w:t>说明：1.供应商可自行选择是否提供本承诺函，若不提供本承诺函的，应按采购文件要求提供响应的证明材料。2.供应商可删减承诺事项，如删去承诺第1项的，则应按采购文件要求提供财务状况报告。</w:t>
      </w:r>
      <w:r>
        <w:rPr>
          <w:rFonts w:hint="eastAsia" w:ascii="宋体" w:hAnsi="宋体" w:cs="宋体"/>
          <w:color w:val="auto"/>
          <w:sz w:val="28"/>
          <w:szCs w:val="28"/>
          <w:highlight w:val="none"/>
          <w:lang w:val="en-US" w:eastAsia="zh-CN"/>
        </w:rPr>
        <w:t>3.根据《福州市财政局关于进一步推进政府采购领域优化营商环境工作的通知 》（榕财采[2021]52号）规定，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ECF55"/>
    <w:multiLevelType w:val="singleLevel"/>
    <w:tmpl w:val="806ECF55"/>
    <w:lvl w:ilvl="0" w:tentative="0">
      <w:start w:val="2"/>
      <w:numFmt w:val="chineseCounting"/>
      <w:suff w:val="nothing"/>
      <w:lvlText w:val="%1、"/>
      <w:lvlJc w:val="left"/>
      <w:rPr>
        <w:rFonts w:hint="eastAsia"/>
      </w:rPr>
    </w:lvl>
  </w:abstractNum>
  <w:abstractNum w:abstractNumId="1">
    <w:nsid w:val="F2183761"/>
    <w:multiLevelType w:val="singleLevel"/>
    <w:tmpl w:val="F2183761"/>
    <w:lvl w:ilvl="0" w:tentative="0">
      <w:start w:val="6"/>
      <w:numFmt w:val="decimal"/>
      <w:suff w:val="nothing"/>
      <w:lvlText w:val="%1、"/>
      <w:lvlJc w:val="left"/>
    </w:lvl>
  </w:abstractNum>
  <w:abstractNum w:abstractNumId="2">
    <w:nsid w:val="54409F55"/>
    <w:multiLevelType w:val="multilevel"/>
    <w:tmpl w:val="54409F5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OTkwZjI4YjlmZDg2OGJlYTg3ZDYzYjQ1YTg2NzAifQ=="/>
  </w:docVars>
  <w:rsids>
    <w:rsidRoot w:val="76031289"/>
    <w:rsid w:val="000063E1"/>
    <w:rsid w:val="00011388"/>
    <w:rsid w:val="00021D7F"/>
    <w:rsid w:val="0002371C"/>
    <w:rsid w:val="00024BE2"/>
    <w:rsid w:val="00052CD3"/>
    <w:rsid w:val="00077984"/>
    <w:rsid w:val="0008195E"/>
    <w:rsid w:val="000A6A8D"/>
    <w:rsid w:val="000C663C"/>
    <w:rsid w:val="000D6AB0"/>
    <w:rsid w:val="000E2650"/>
    <w:rsid w:val="00103ECB"/>
    <w:rsid w:val="00145270"/>
    <w:rsid w:val="00154A64"/>
    <w:rsid w:val="00160B1D"/>
    <w:rsid w:val="001C048E"/>
    <w:rsid w:val="001D29EC"/>
    <w:rsid w:val="001D6A10"/>
    <w:rsid w:val="001E2CB2"/>
    <w:rsid w:val="00211FC5"/>
    <w:rsid w:val="00222542"/>
    <w:rsid w:val="00235F04"/>
    <w:rsid w:val="0023607E"/>
    <w:rsid w:val="002409D1"/>
    <w:rsid w:val="002458D5"/>
    <w:rsid w:val="00253E7E"/>
    <w:rsid w:val="00280E5C"/>
    <w:rsid w:val="00280F21"/>
    <w:rsid w:val="0029240C"/>
    <w:rsid w:val="00294E3C"/>
    <w:rsid w:val="00295ACC"/>
    <w:rsid w:val="002A36AF"/>
    <w:rsid w:val="002C15EF"/>
    <w:rsid w:val="002F5783"/>
    <w:rsid w:val="00320646"/>
    <w:rsid w:val="00326D1B"/>
    <w:rsid w:val="00354618"/>
    <w:rsid w:val="00355A32"/>
    <w:rsid w:val="00373627"/>
    <w:rsid w:val="003778B2"/>
    <w:rsid w:val="00381E86"/>
    <w:rsid w:val="00384C8A"/>
    <w:rsid w:val="003877D8"/>
    <w:rsid w:val="003A149E"/>
    <w:rsid w:val="00402841"/>
    <w:rsid w:val="004410F3"/>
    <w:rsid w:val="00443515"/>
    <w:rsid w:val="00460436"/>
    <w:rsid w:val="00466D96"/>
    <w:rsid w:val="00494CCF"/>
    <w:rsid w:val="004B166D"/>
    <w:rsid w:val="004B49E7"/>
    <w:rsid w:val="004C289D"/>
    <w:rsid w:val="004F08B4"/>
    <w:rsid w:val="004F50F3"/>
    <w:rsid w:val="00544AAA"/>
    <w:rsid w:val="00560B9D"/>
    <w:rsid w:val="005768C8"/>
    <w:rsid w:val="005868A6"/>
    <w:rsid w:val="005A16C9"/>
    <w:rsid w:val="005A3CD4"/>
    <w:rsid w:val="005B042D"/>
    <w:rsid w:val="005B0518"/>
    <w:rsid w:val="005B204C"/>
    <w:rsid w:val="005D63D2"/>
    <w:rsid w:val="005D799A"/>
    <w:rsid w:val="0060342B"/>
    <w:rsid w:val="00621493"/>
    <w:rsid w:val="00627E80"/>
    <w:rsid w:val="00640A9C"/>
    <w:rsid w:val="00685D00"/>
    <w:rsid w:val="006908ED"/>
    <w:rsid w:val="006C46A9"/>
    <w:rsid w:val="006E4977"/>
    <w:rsid w:val="00700E97"/>
    <w:rsid w:val="007031BB"/>
    <w:rsid w:val="00711FD0"/>
    <w:rsid w:val="0072177F"/>
    <w:rsid w:val="00727849"/>
    <w:rsid w:val="00757329"/>
    <w:rsid w:val="007626D4"/>
    <w:rsid w:val="007751D9"/>
    <w:rsid w:val="007A2A04"/>
    <w:rsid w:val="007D0FB3"/>
    <w:rsid w:val="007E6092"/>
    <w:rsid w:val="007F1853"/>
    <w:rsid w:val="007F7F07"/>
    <w:rsid w:val="0081086A"/>
    <w:rsid w:val="0081250C"/>
    <w:rsid w:val="0082028B"/>
    <w:rsid w:val="00820DFB"/>
    <w:rsid w:val="0082439D"/>
    <w:rsid w:val="008408DB"/>
    <w:rsid w:val="008471EC"/>
    <w:rsid w:val="008672CF"/>
    <w:rsid w:val="008A2668"/>
    <w:rsid w:val="008A5A70"/>
    <w:rsid w:val="008C0E37"/>
    <w:rsid w:val="008C48FA"/>
    <w:rsid w:val="008C5F97"/>
    <w:rsid w:val="008D56DF"/>
    <w:rsid w:val="008D6C9F"/>
    <w:rsid w:val="00901A30"/>
    <w:rsid w:val="00940418"/>
    <w:rsid w:val="009A43DE"/>
    <w:rsid w:val="009B10E0"/>
    <w:rsid w:val="009D0FD4"/>
    <w:rsid w:val="009E514F"/>
    <w:rsid w:val="009E7A31"/>
    <w:rsid w:val="00A05BF1"/>
    <w:rsid w:val="00A31FAE"/>
    <w:rsid w:val="00A33CE2"/>
    <w:rsid w:val="00A520BA"/>
    <w:rsid w:val="00A85C76"/>
    <w:rsid w:val="00AB0512"/>
    <w:rsid w:val="00AD74D0"/>
    <w:rsid w:val="00AF323F"/>
    <w:rsid w:val="00AF411D"/>
    <w:rsid w:val="00B30FE2"/>
    <w:rsid w:val="00B33648"/>
    <w:rsid w:val="00B4263A"/>
    <w:rsid w:val="00B568AE"/>
    <w:rsid w:val="00B67A22"/>
    <w:rsid w:val="00B80F3F"/>
    <w:rsid w:val="00BB6558"/>
    <w:rsid w:val="00BB6635"/>
    <w:rsid w:val="00BB690B"/>
    <w:rsid w:val="00BC06E5"/>
    <w:rsid w:val="00BD1B7F"/>
    <w:rsid w:val="00BF53BC"/>
    <w:rsid w:val="00BF61B2"/>
    <w:rsid w:val="00C4395A"/>
    <w:rsid w:val="00C55090"/>
    <w:rsid w:val="00CA640E"/>
    <w:rsid w:val="00CA6F7E"/>
    <w:rsid w:val="00CB4407"/>
    <w:rsid w:val="00CD5A21"/>
    <w:rsid w:val="00CF6E41"/>
    <w:rsid w:val="00D133B9"/>
    <w:rsid w:val="00D57EAD"/>
    <w:rsid w:val="00D63959"/>
    <w:rsid w:val="00D678D4"/>
    <w:rsid w:val="00DD7C40"/>
    <w:rsid w:val="00DE0BA9"/>
    <w:rsid w:val="00DF76C4"/>
    <w:rsid w:val="00E135A0"/>
    <w:rsid w:val="00E42D3D"/>
    <w:rsid w:val="00E4340B"/>
    <w:rsid w:val="00E47A29"/>
    <w:rsid w:val="00E5733D"/>
    <w:rsid w:val="00EB0FBB"/>
    <w:rsid w:val="00EB56D5"/>
    <w:rsid w:val="00EC29D6"/>
    <w:rsid w:val="00EC72C2"/>
    <w:rsid w:val="00F061EA"/>
    <w:rsid w:val="00F33247"/>
    <w:rsid w:val="00F35D6F"/>
    <w:rsid w:val="00F437BD"/>
    <w:rsid w:val="00F64104"/>
    <w:rsid w:val="00F76E29"/>
    <w:rsid w:val="00FC300C"/>
    <w:rsid w:val="00FF3FC0"/>
    <w:rsid w:val="012B13DD"/>
    <w:rsid w:val="01443943"/>
    <w:rsid w:val="01561AF4"/>
    <w:rsid w:val="01AC7D42"/>
    <w:rsid w:val="01CE15B8"/>
    <w:rsid w:val="023758F4"/>
    <w:rsid w:val="024A5A7C"/>
    <w:rsid w:val="02BE750F"/>
    <w:rsid w:val="031C69F7"/>
    <w:rsid w:val="039919EC"/>
    <w:rsid w:val="03F359AA"/>
    <w:rsid w:val="04B52C5F"/>
    <w:rsid w:val="04CA1BFD"/>
    <w:rsid w:val="05070317"/>
    <w:rsid w:val="05220C63"/>
    <w:rsid w:val="05BE55DF"/>
    <w:rsid w:val="05DB0A63"/>
    <w:rsid w:val="05DF3552"/>
    <w:rsid w:val="0681314D"/>
    <w:rsid w:val="06840B3B"/>
    <w:rsid w:val="06921A38"/>
    <w:rsid w:val="06AF634A"/>
    <w:rsid w:val="07736C2C"/>
    <w:rsid w:val="07924E1E"/>
    <w:rsid w:val="07AD2313"/>
    <w:rsid w:val="07B13964"/>
    <w:rsid w:val="08181E21"/>
    <w:rsid w:val="083B3867"/>
    <w:rsid w:val="08821EF4"/>
    <w:rsid w:val="08CC67C9"/>
    <w:rsid w:val="09453B49"/>
    <w:rsid w:val="098705F9"/>
    <w:rsid w:val="099F64EF"/>
    <w:rsid w:val="09B77E4B"/>
    <w:rsid w:val="0A624A10"/>
    <w:rsid w:val="0A676848"/>
    <w:rsid w:val="0A680E2B"/>
    <w:rsid w:val="0A70727C"/>
    <w:rsid w:val="0A7146CE"/>
    <w:rsid w:val="0A8A6C7E"/>
    <w:rsid w:val="0B1E3145"/>
    <w:rsid w:val="0B2359E2"/>
    <w:rsid w:val="0B922265"/>
    <w:rsid w:val="0BE37AE3"/>
    <w:rsid w:val="0C0F0EA7"/>
    <w:rsid w:val="0CC31C91"/>
    <w:rsid w:val="0CD31AF6"/>
    <w:rsid w:val="0D0F7087"/>
    <w:rsid w:val="0D501A4E"/>
    <w:rsid w:val="0D796FD9"/>
    <w:rsid w:val="0D911E41"/>
    <w:rsid w:val="0E2C024F"/>
    <w:rsid w:val="0E2F541A"/>
    <w:rsid w:val="0EFE4532"/>
    <w:rsid w:val="0F445C91"/>
    <w:rsid w:val="0F786126"/>
    <w:rsid w:val="0F7A62EE"/>
    <w:rsid w:val="0FB33053"/>
    <w:rsid w:val="0FDD4431"/>
    <w:rsid w:val="10334236"/>
    <w:rsid w:val="1090499F"/>
    <w:rsid w:val="10955C73"/>
    <w:rsid w:val="109700E7"/>
    <w:rsid w:val="10CD1330"/>
    <w:rsid w:val="11590FEE"/>
    <w:rsid w:val="11812C2C"/>
    <w:rsid w:val="11977813"/>
    <w:rsid w:val="121865DB"/>
    <w:rsid w:val="12336C2A"/>
    <w:rsid w:val="136075A0"/>
    <w:rsid w:val="13906D71"/>
    <w:rsid w:val="13B47455"/>
    <w:rsid w:val="13F42133"/>
    <w:rsid w:val="140E7C96"/>
    <w:rsid w:val="14476776"/>
    <w:rsid w:val="14601892"/>
    <w:rsid w:val="15122144"/>
    <w:rsid w:val="152D77B0"/>
    <w:rsid w:val="1587248C"/>
    <w:rsid w:val="158E6BC9"/>
    <w:rsid w:val="15D31236"/>
    <w:rsid w:val="160B34F9"/>
    <w:rsid w:val="16404BF0"/>
    <w:rsid w:val="164A6B7F"/>
    <w:rsid w:val="165206C0"/>
    <w:rsid w:val="16BA36E5"/>
    <w:rsid w:val="16E0667E"/>
    <w:rsid w:val="16ED3463"/>
    <w:rsid w:val="17245A4F"/>
    <w:rsid w:val="17607510"/>
    <w:rsid w:val="17A534A6"/>
    <w:rsid w:val="17AC7B31"/>
    <w:rsid w:val="188B108C"/>
    <w:rsid w:val="19544C1D"/>
    <w:rsid w:val="196977CD"/>
    <w:rsid w:val="19E54C91"/>
    <w:rsid w:val="1A4729C7"/>
    <w:rsid w:val="1AB56AD0"/>
    <w:rsid w:val="1AC550A5"/>
    <w:rsid w:val="1AC67053"/>
    <w:rsid w:val="1B282BFE"/>
    <w:rsid w:val="1B9370A5"/>
    <w:rsid w:val="1C5841A4"/>
    <w:rsid w:val="1C7C5E99"/>
    <w:rsid w:val="1C9F6277"/>
    <w:rsid w:val="1CF7740B"/>
    <w:rsid w:val="1D190631"/>
    <w:rsid w:val="1D254150"/>
    <w:rsid w:val="1D4247B4"/>
    <w:rsid w:val="1D5408DC"/>
    <w:rsid w:val="1D7B5625"/>
    <w:rsid w:val="1DA72A2E"/>
    <w:rsid w:val="1DAB6617"/>
    <w:rsid w:val="1DAF40AE"/>
    <w:rsid w:val="1E065526"/>
    <w:rsid w:val="1E1E141D"/>
    <w:rsid w:val="1E6D7CAF"/>
    <w:rsid w:val="1ECE462E"/>
    <w:rsid w:val="1F256949"/>
    <w:rsid w:val="1F7E7D75"/>
    <w:rsid w:val="1F8649EA"/>
    <w:rsid w:val="1FDF1F1B"/>
    <w:rsid w:val="1FE168F0"/>
    <w:rsid w:val="1FF22B46"/>
    <w:rsid w:val="200A456A"/>
    <w:rsid w:val="203C5599"/>
    <w:rsid w:val="204373EA"/>
    <w:rsid w:val="2048550F"/>
    <w:rsid w:val="20627430"/>
    <w:rsid w:val="20673947"/>
    <w:rsid w:val="20D579F1"/>
    <w:rsid w:val="21537630"/>
    <w:rsid w:val="21694BF3"/>
    <w:rsid w:val="22293578"/>
    <w:rsid w:val="222F27F7"/>
    <w:rsid w:val="225731AE"/>
    <w:rsid w:val="22ED5DB9"/>
    <w:rsid w:val="23294712"/>
    <w:rsid w:val="23807B6F"/>
    <w:rsid w:val="23E272D4"/>
    <w:rsid w:val="23F437C8"/>
    <w:rsid w:val="251D7B84"/>
    <w:rsid w:val="254C1C54"/>
    <w:rsid w:val="257E0C9C"/>
    <w:rsid w:val="25A43FF3"/>
    <w:rsid w:val="25AB4F81"/>
    <w:rsid w:val="25D1393A"/>
    <w:rsid w:val="25D725DE"/>
    <w:rsid w:val="261371E6"/>
    <w:rsid w:val="26D1392F"/>
    <w:rsid w:val="26D577FA"/>
    <w:rsid w:val="26DA79A9"/>
    <w:rsid w:val="26EC0E05"/>
    <w:rsid w:val="270976ED"/>
    <w:rsid w:val="27CB5FB7"/>
    <w:rsid w:val="27F7073E"/>
    <w:rsid w:val="2827759D"/>
    <w:rsid w:val="28496A3C"/>
    <w:rsid w:val="28981C97"/>
    <w:rsid w:val="28CC333F"/>
    <w:rsid w:val="28FE44BF"/>
    <w:rsid w:val="29EF13F1"/>
    <w:rsid w:val="2A223C80"/>
    <w:rsid w:val="2A746468"/>
    <w:rsid w:val="2ACA34C8"/>
    <w:rsid w:val="2AE83B8F"/>
    <w:rsid w:val="2B11210D"/>
    <w:rsid w:val="2B324728"/>
    <w:rsid w:val="2B677BFF"/>
    <w:rsid w:val="2B7349D8"/>
    <w:rsid w:val="2B860F7C"/>
    <w:rsid w:val="2C0969FF"/>
    <w:rsid w:val="2C1125C1"/>
    <w:rsid w:val="2C3B1B1B"/>
    <w:rsid w:val="2C681F1F"/>
    <w:rsid w:val="2C8C7149"/>
    <w:rsid w:val="2C9E52AA"/>
    <w:rsid w:val="2DC07DFB"/>
    <w:rsid w:val="2DEC5731"/>
    <w:rsid w:val="2DFC6C43"/>
    <w:rsid w:val="2E52696C"/>
    <w:rsid w:val="2E8C7BEE"/>
    <w:rsid w:val="2F086FC0"/>
    <w:rsid w:val="2F466EAD"/>
    <w:rsid w:val="2F5B0F30"/>
    <w:rsid w:val="2FE35D38"/>
    <w:rsid w:val="2FFB581B"/>
    <w:rsid w:val="301349D9"/>
    <w:rsid w:val="302B1118"/>
    <w:rsid w:val="30603C65"/>
    <w:rsid w:val="30B05B70"/>
    <w:rsid w:val="30C46B43"/>
    <w:rsid w:val="30E07611"/>
    <w:rsid w:val="30EE07A4"/>
    <w:rsid w:val="311956BC"/>
    <w:rsid w:val="315E0E80"/>
    <w:rsid w:val="321672A4"/>
    <w:rsid w:val="321E564D"/>
    <w:rsid w:val="322F74CA"/>
    <w:rsid w:val="32847E36"/>
    <w:rsid w:val="32ED1B36"/>
    <w:rsid w:val="32F10505"/>
    <w:rsid w:val="32FD775A"/>
    <w:rsid w:val="332364E3"/>
    <w:rsid w:val="334D6CAF"/>
    <w:rsid w:val="33C5616B"/>
    <w:rsid w:val="3424729F"/>
    <w:rsid w:val="34584A72"/>
    <w:rsid w:val="34751BC9"/>
    <w:rsid w:val="34920EBF"/>
    <w:rsid w:val="34AE6BFF"/>
    <w:rsid w:val="34B24DBE"/>
    <w:rsid w:val="34BD65FA"/>
    <w:rsid w:val="358D1FBD"/>
    <w:rsid w:val="35D94F5B"/>
    <w:rsid w:val="36274EBB"/>
    <w:rsid w:val="36637BEB"/>
    <w:rsid w:val="36835E11"/>
    <w:rsid w:val="368708D6"/>
    <w:rsid w:val="36907F99"/>
    <w:rsid w:val="36B656A2"/>
    <w:rsid w:val="37176935"/>
    <w:rsid w:val="377346DB"/>
    <w:rsid w:val="379B6232"/>
    <w:rsid w:val="37B2796A"/>
    <w:rsid w:val="37D2215F"/>
    <w:rsid w:val="37D7722F"/>
    <w:rsid w:val="380E4984"/>
    <w:rsid w:val="385D008D"/>
    <w:rsid w:val="38973312"/>
    <w:rsid w:val="38A543DF"/>
    <w:rsid w:val="38AC5B4C"/>
    <w:rsid w:val="391C1396"/>
    <w:rsid w:val="39487705"/>
    <w:rsid w:val="394E09B1"/>
    <w:rsid w:val="39602568"/>
    <w:rsid w:val="397B595B"/>
    <w:rsid w:val="39B36A66"/>
    <w:rsid w:val="39BB1996"/>
    <w:rsid w:val="3A3931FD"/>
    <w:rsid w:val="3A432B25"/>
    <w:rsid w:val="3A8672EB"/>
    <w:rsid w:val="3AAB4D86"/>
    <w:rsid w:val="3ACD3642"/>
    <w:rsid w:val="3AE01ADD"/>
    <w:rsid w:val="3B29395E"/>
    <w:rsid w:val="3B60638A"/>
    <w:rsid w:val="3BFA1838"/>
    <w:rsid w:val="3C550648"/>
    <w:rsid w:val="3C597D99"/>
    <w:rsid w:val="3C9E11E2"/>
    <w:rsid w:val="3CE506E2"/>
    <w:rsid w:val="3D0233C4"/>
    <w:rsid w:val="3D3E6E50"/>
    <w:rsid w:val="3D472FE9"/>
    <w:rsid w:val="3D5305FE"/>
    <w:rsid w:val="3DBB14AF"/>
    <w:rsid w:val="3DC47715"/>
    <w:rsid w:val="3DD0505D"/>
    <w:rsid w:val="3DD27E42"/>
    <w:rsid w:val="3E3963F4"/>
    <w:rsid w:val="3E4C7A2B"/>
    <w:rsid w:val="3EB20EA7"/>
    <w:rsid w:val="3F122481"/>
    <w:rsid w:val="3F51413E"/>
    <w:rsid w:val="3F84068E"/>
    <w:rsid w:val="3F895F34"/>
    <w:rsid w:val="3FB829D4"/>
    <w:rsid w:val="3FDC3B23"/>
    <w:rsid w:val="401B2F3B"/>
    <w:rsid w:val="40565C55"/>
    <w:rsid w:val="406238EE"/>
    <w:rsid w:val="408B7171"/>
    <w:rsid w:val="41A977C9"/>
    <w:rsid w:val="42204EB5"/>
    <w:rsid w:val="423E3D11"/>
    <w:rsid w:val="426931BD"/>
    <w:rsid w:val="429733C9"/>
    <w:rsid w:val="42F02E93"/>
    <w:rsid w:val="436456F5"/>
    <w:rsid w:val="43733968"/>
    <w:rsid w:val="44431501"/>
    <w:rsid w:val="44466BD7"/>
    <w:rsid w:val="4472378B"/>
    <w:rsid w:val="447F5EC2"/>
    <w:rsid w:val="44EC4671"/>
    <w:rsid w:val="44F92520"/>
    <w:rsid w:val="45237BB1"/>
    <w:rsid w:val="452438BF"/>
    <w:rsid w:val="456B0DBB"/>
    <w:rsid w:val="456D319A"/>
    <w:rsid w:val="45886C08"/>
    <w:rsid w:val="45F23770"/>
    <w:rsid w:val="46C67F6A"/>
    <w:rsid w:val="46D75158"/>
    <w:rsid w:val="470E59CC"/>
    <w:rsid w:val="471A1424"/>
    <w:rsid w:val="4748015E"/>
    <w:rsid w:val="47693840"/>
    <w:rsid w:val="47927509"/>
    <w:rsid w:val="48142DC6"/>
    <w:rsid w:val="48523C68"/>
    <w:rsid w:val="487F6A9B"/>
    <w:rsid w:val="4898159E"/>
    <w:rsid w:val="4916234A"/>
    <w:rsid w:val="4991687B"/>
    <w:rsid w:val="49C34DD7"/>
    <w:rsid w:val="4A1449B7"/>
    <w:rsid w:val="4A272004"/>
    <w:rsid w:val="4A294639"/>
    <w:rsid w:val="4A63474C"/>
    <w:rsid w:val="4B6847A9"/>
    <w:rsid w:val="4B6A130B"/>
    <w:rsid w:val="4BE55EEE"/>
    <w:rsid w:val="4C401863"/>
    <w:rsid w:val="4CA25B52"/>
    <w:rsid w:val="4CEB39CB"/>
    <w:rsid w:val="4CF04803"/>
    <w:rsid w:val="4D0A6441"/>
    <w:rsid w:val="4D7C6527"/>
    <w:rsid w:val="4D83352D"/>
    <w:rsid w:val="4D852E94"/>
    <w:rsid w:val="4EA61C80"/>
    <w:rsid w:val="4ECB579F"/>
    <w:rsid w:val="4ED24A28"/>
    <w:rsid w:val="4F3039C4"/>
    <w:rsid w:val="4F3B3238"/>
    <w:rsid w:val="4F767730"/>
    <w:rsid w:val="4F802315"/>
    <w:rsid w:val="4F842A19"/>
    <w:rsid w:val="4F8B1D0B"/>
    <w:rsid w:val="4F9176A8"/>
    <w:rsid w:val="4FA44D8B"/>
    <w:rsid w:val="50223786"/>
    <w:rsid w:val="50280821"/>
    <w:rsid w:val="50537E7C"/>
    <w:rsid w:val="50845C1D"/>
    <w:rsid w:val="50C437B9"/>
    <w:rsid w:val="50D91D9C"/>
    <w:rsid w:val="510065DD"/>
    <w:rsid w:val="51594607"/>
    <w:rsid w:val="51F06651"/>
    <w:rsid w:val="51FD517F"/>
    <w:rsid w:val="522E717A"/>
    <w:rsid w:val="523D42E5"/>
    <w:rsid w:val="52A952BE"/>
    <w:rsid w:val="52BB415A"/>
    <w:rsid w:val="52FD389F"/>
    <w:rsid w:val="53156D10"/>
    <w:rsid w:val="537F324E"/>
    <w:rsid w:val="53A75F83"/>
    <w:rsid w:val="53ED0E1F"/>
    <w:rsid w:val="53FA3218"/>
    <w:rsid w:val="541829F9"/>
    <w:rsid w:val="54C51142"/>
    <w:rsid w:val="554E4E0D"/>
    <w:rsid w:val="556D6A89"/>
    <w:rsid w:val="5617528F"/>
    <w:rsid w:val="56297262"/>
    <w:rsid w:val="565E5E3A"/>
    <w:rsid w:val="566B44F9"/>
    <w:rsid w:val="56DF30C0"/>
    <w:rsid w:val="570220EA"/>
    <w:rsid w:val="579E7E02"/>
    <w:rsid w:val="57C049B1"/>
    <w:rsid w:val="57CA34A1"/>
    <w:rsid w:val="57E7243B"/>
    <w:rsid w:val="57F523B1"/>
    <w:rsid w:val="58156E12"/>
    <w:rsid w:val="583A390A"/>
    <w:rsid w:val="583C29E5"/>
    <w:rsid w:val="599504DA"/>
    <w:rsid w:val="59BE7035"/>
    <w:rsid w:val="5A063515"/>
    <w:rsid w:val="5A10113B"/>
    <w:rsid w:val="5A5A4C51"/>
    <w:rsid w:val="5A684883"/>
    <w:rsid w:val="5ADE2363"/>
    <w:rsid w:val="5AF744DA"/>
    <w:rsid w:val="5B0D421C"/>
    <w:rsid w:val="5B851AA9"/>
    <w:rsid w:val="5BB22E23"/>
    <w:rsid w:val="5BE20E76"/>
    <w:rsid w:val="5C5617A7"/>
    <w:rsid w:val="5C69773E"/>
    <w:rsid w:val="5C790EE0"/>
    <w:rsid w:val="5C7E7F84"/>
    <w:rsid w:val="5C814BED"/>
    <w:rsid w:val="5C88437B"/>
    <w:rsid w:val="5C9A76DD"/>
    <w:rsid w:val="5CE665D8"/>
    <w:rsid w:val="5D01733F"/>
    <w:rsid w:val="5D211DB5"/>
    <w:rsid w:val="5D504448"/>
    <w:rsid w:val="5DFE70FF"/>
    <w:rsid w:val="5E040897"/>
    <w:rsid w:val="5E2461E2"/>
    <w:rsid w:val="5E4953DF"/>
    <w:rsid w:val="5E561777"/>
    <w:rsid w:val="5E7303EE"/>
    <w:rsid w:val="5F1D7246"/>
    <w:rsid w:val="5F397EDE"/>
    <w:rsid w:val="5F4678B1"/>
    <w:rsid w:val="5F944DAC"/>
    <w:rsid w:val="5FEA25DF"/>
    <w:rsid w:val="5FF21D02"/>
    <w:rsid w:val="600C0AFA"/>
    <w:rsid w:val="60363DC9"/>
    <w:rsid w:val="605E571B"/>
    <w:rsid w:val="60B45F67"/>
    <w:rsid w:val="60E5134B"/>
    <w:rsid w:val="60ED58C3"/>
    <w:rsid w:val="61126A35"/>
    <w:rsid w:val="61594480"/>
    <w:rsid w:val="61763C25"/>
    <w:rsid w:val="61BD6AF5"/>
    <w:rsid w:val="625579F8"/>
    <w:rsid w:val="625B18E2"/>
    <w:rsid w:val="62B611F1"/>
    <w:rsid w:val="63435725"/>
    <w:rsid w:val="636874DE"/>
    <w:rsid w:val="63A25979"/>
    <w:rsid w:val="63D22468"/>
    <w:rsid w:val="646369B1"/>
    <w:rsid w:val="64975DBB"/>
    <w:rsid w:val="64A84B6A"/>
    <w:rsid w:val="650F70B0"/>
    <w:rsid w:val="654B623A"/>
    <w:rsid w:val="657C227E"/>
    <w:rsid w:val="65A94FDD"/>
    <w:rsid w:val="673B1CC5"/>
    <w:rsid w:val="67664B56"/>
    <w:rsid w:val="67713939"/>
    <w:rsid w:val="67DF4F11"/>
    <w:rsid w:val="680F2729"/>
    <w:rsid w:val="685703E9"/>
    <w:rsid w:val="68CD19CD"/>
    <w:rsid w:val="68EF1E86"/>
    <w:rsid w:val="68F5236A"/>
    <w:rsid w:val="68FE04CC"/>
    <w:rsid w:val="694B09ED"/>
    <w:rsid w:val="69E2467A"/>
    <w:rsid w:val="6ACA54A5"/>
    <w:rsid w:val="6B165E5E"/>
    <w:rsid w:val="6B4E0D76"/>
    <w:rsid w:val="6B6306B5"/>
    <w:rsid w:val="6B966E4C"/>
    <w:rsid w:val="6BBF0303"/>
    <w:rsid w:val="6C0B516E"/>
    <w:rsid w:val="6C2E6E78"/>
    <w:rsid w:val="6CC64C65"/>
    <w:rsid w:val="6CFD79CF"/>
    <w:rsid w:val="6D512E81"/>
    <w:rsid w:val="6E25131E"/>
    <w:rsid w:val="6E4F22A0"/>
    <w:rsid w:val="6E6F7FAE"/>
    <w:rsid w:val="6EB034E3"/>
    <w:rsid w:val="6ED547AD"/>
    <w:rsid w:val="6EF30AE2"/>
    <w:rsid w:val="6F0D4F8F"/>
    <w:rsid w:val="6F9A13B6"/>
    <w:rsid w:val="6FA253E1"/>
    <w:rsid w:val="70B0152B"/>
    <w:rsid w:val="710F4704"/>
    <w:rsid w:val="716A40CD"/>
    <w:rsid w:val="71816096"/>
    <w:rsid w:val="719C7804"/>
    <w:rsid w:val="72035AD5"/>
    <w:rsid w:val="72451B11"/>
    <w:rsid w:val="725170DD"/>
    <w:rsid w:val="725A2509"/>
    <w:rsid w:val="72835E44"/>
    <w:rsid w:val="7292340F"/>
    <w:rsid w:val="729924A8"/>
    <w:rsid w:val="72A83A22"/>
    <w:rsid w:val="72B82A08"/>
    <w:rsid w:val="73B205E3"/>
    <w:rsid w:val="73CD3073"/>
    <w:rsid w:val="73F751C6"/>
    <w:rsid w:val="741D2769"/>
    <w:rsid w:val="7460030C"/>
    <w:rsid w:val="749A211F"/>
    <w:rsid w:val="74DE4FB2"/>
    <w:rsid w:val="75191A00"/>
    <w:rsid w:val="751E4B8B"/>
    <w:rsid w:val="759F7DF7"/>
    <w:rsid w:val="75AE18A9"/>
    <w:rsid w:val="76031289"/>
    <w:rsid w:val="760E5630"/>
    <w:rsid w:val="76481A85"/>
    <w:rsid w:val="7705555B"/>
    <w:rsid w:val="772A6E95"/>
    <w:rsid w:val="77D4129C"/>
    <w:rsid w:val="780A5D66"/>
    <w:rsid w:val="782C6DE3"/>
    <w:rsid w:val="78393FFF"/>
    <w:rsid w:val="78A07BDA"/>
    <w:rsid w:val="78E4738A"/>
    <w:rsid w:val="79136F07"/>
    <w:rsid w:val="79611BE6"/>
    <w:rsid w:val="79A04C9D"/>
    <w:rsid w:val="79B50E56"/>
    <w:rsid w:val="79CB3682"/>
    <w:rsid w:val="79DB6D31"/>
    <w:rsid w:val="7A131692"/>
    <w:rsid w:val="7A37302C"/>
    <w:rsid w:val="7AB60EE3"/>
    <w:rsid w:val="7ADE0F85"/>
    <w:rsid w:val="7B023029"/>
    <w:rsid w:val="7B451DEC"/>
    <w:rsid w:val="7BC10593"/>
    <w:rsid w:val="7BFB7EC5"/>
    <w:rsid w:val="7C1F5A17"/>
    <w:rsid w:val="7CE24569"/>
    <w:rsid w:val="7D252D0D"/>
    <w:rsid w:val="7D513F3A"/>
    <w:rsid w:val="7D5E4220"/>
    <w:rsid w:val="7D6D11A6"/>
    <w:rsid w:val="7D6E43C6"/>
    <w:rsid w:val="7DA939D5"/>
    <w:rsid w:val="7DB32999"/>
    <w:rsid w:val="7DDB1071"/>
    <w:rsid w:val="7E20158C"/>
    <w:rsid w:val="7E226F1F"/>
    <w:rsid w:val="7E475032"/>
    <w:rsid w:val="7E4D7910"/>
    <w:rsid w:val="7E56207C"/>
    <w:rsid w:val="7E9729E4"/>
    <w:rsid w:val="7EC25454"/>
    <w:rsid w:val="7F0B225B"/>
    <w:rsid w:val="7F10538E"/>
    <w:rsid w:val="7F332A69"/>
    <w:rsid w:val="7F3E5CD3"/>
    <w:rsid w:val="7FA170DF"/>
    <w:rsid w:val="DF7F9A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7">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paragraph" w:styleId="8">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23">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tabs>
        <w:tab w:val="left" w:pos="8100"/>
      </w:tabs>
      <w:adjustRightInd w:val="0"/>
      <w:snapToGrid w:val="0"/>
      <w:spacing w:line="400" w:lineRule="exact"/>
    </w:pPr>
    <w:rPr>
      <w:rFonts w:ascii="仿宋_GB2312" w:hAnsi="宋体" w:eastAsia="仿宋_GB2312" w:cs="仿宋_GB2312"/>
      <w:spacing w:val="-12"/>
      <w:sz w:val="24"/>
    </w:rPr>
  </w:style>
  <w:style w:type="paragraph" w:styleId="9">
    <w:name w:val="table of authorities"/>
    <w:basedOn w:val="1"/>
    <w:next w:val="1"/>
    <w:qFormat/>
    <w:uiPriority w:val="0"/>
    <w:pPr>
      <w:ind w:left="420" w:leftChars="200"/>
    </w:pPr>
  </w:style>
  <w:style w:type="paragraph" w:styleId="10">
    <w:name w:val="annotation text"/>
    <w:basedOn w:val="1"/>
    <w:link w:val="29"/>
    <w:qFormat/>
    <w:uiPriority w:val="0"/>
    <w:pPr>
      <w:jc w:val="left"/>
    </w:pPr>
    <w:rPr>
      <w:rFonts w:ascii="Calibri" w:hAnsi="Calibri" w:eastAsia="宋体" w:cs="Times New Roman"/>
    </w:rPr>
  </w:style>
  <w:style w:type="paragraph" w:styleId="11">
    <w:name w:val="Body Text Indent"/>
    <w:basedOn w:val="1"/>
    <w:qFormat/>
    <w:uiPriority w:val="0"/>
    <w:pPr>
      <w:spacing w:after="120" w:afterLines="0" w:afterAutospacing="0"/>
      <w:ind w:left="420" w:leftChars="200"/>
    </w:pPr>
  </w:style>
  <w:style w:type="paragraph" w:styleId="12">
    <w:name w:val="Plain Text"/>
    <w:basedOn w:val="1"/>
    <w:next w:val="1"/>
    <w:link w:val="28"/>
    <w:qFormat/>
    <w:uiPriority w:val="0"/>
    <w:rPr>
      <w:rFonts w:ascii="宋体" w:hAnsi="Courier New" w:eastAsia="宋体" w:cs="Times New Roman"/>
      <w:szCs w:val="20"/>
    </w:rPr>
  </w:style>
  <w:style w:type="paragraph" w:styleId="13">
    <w:name w:val="Balloon Text"/>
    <w:basedOn w:val="1"/>
    <w:link w:val="30"/>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
    <w:qFormat/>
    <w:uiPriority w:val="0"/>
    <w:pPr>
      <w:spacing w:beforeAutospacing="1" w:afterAutospacing="1"/>
      <w:jc w:val="left"/>
    </w:pPr>
    <w:rPr>
      <w:rFonts w:cs="Times New Roman"/>
      <w:kern w:val="0"/>
      <w:sz w:val="24"/>
    </w:rPr>
  </w:style>
  <w:style w:type="paragraph" w:styleId="17">
    <w:name w:val="Title"/>
    <w:basedOn w:val="1"/>
    <w:next w:val="1"/>
    <w:qFormat/>
    <w:uiPriority w:val="99"/>
    <w:pPr>
      <w:jc w:val="center"/>
      <w:outlineLvl w:val="0"/>
    </w:pPr>
    <w:rPr>
      <w:rFonts w:ascii="Arial" w:hAnsi="Arial"/>
      <w:b/>
      <w:bCs/>
      <w:sz w:val="32"/>
      <w:szCs w:val="32"/>
    </w:rPr>
  </w:style>
  <w:style w:type="paragraph" w:styleId="18">
    <w:name w:val="annotation subject"/>
    <w:basedOn w:val="10"/>
    <w:next w:val="10"/>
    <w:link w:val="32"/>
    <w:qFormat/>
    <w:uiPriority w:val="0"/>
    <w:rPr>
      <w:rFonts w:asciiTheme="minorHAnsi" w:hAnsiTheme="minorHAnsi" w:eastAsiaTheme="minorEastAsia" w:cstheme="minorBidi"/>
      <w:b/>
      <w:bCs/>
    </w:rPr>
  </w:style>
  <w:style w:type="paragraph" w:styleId="19">
    <w:name w:val="Body Text First Indent 2"/>
    <w:basedOn w:val="11"/>
    <w:qFormat/>
    <w:uiPriority w:val="0"/>
    <w:pPr>
      <w:ind w:firstLine="420" w:firstLineChars="200"/>
    </w:pPr>
  </w:style>
  <w:style w:type="table" w:styleId="21">
    <w:name w:val="Table Grid"/>
    <w:basedOn w:val="2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22">
    <w:name w:val="Table Theme"/>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FollowedHyperlink"/>
    <w:basedOn w:val="23"/>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纯文本 Char"/>
    <w:basedOn w:val="23"/>
    <w:link w:val="12"/>
    <w:qFormat/>
    <w:uiPriority w:val="0"/>
    <w:rPr>
      <w:rFonts w:ascii="宋体" w:hAnsi="Courier New"/>
      <w:kern w:val="2"/>
      <w:sz w:val="21"/>
    </w:rPr>
  </w:style>
  <w:style w:type="character" w:customStyle="1" w:styleId="29">
    <w:name w:val="批注文字 Char"/>
    <w:basedOn w:val="23"/>
    <w:link w:val="10"/>
    <w:qFormat/>
    <w:uiPriority w:val="0"/>
    <w:rPr>
      <w:rFonts w:ascii="Calibri" w:hAnsi="Calibri"/>
      <w:kern w:val="2"/>
      <w:sz w:val="21"/>
      <w:szCs w:val="24"/>
    </w:rPr>
  </w:style>
  <w:style w:type="character" w:customStyle="1" w:styleId="30">
    <w:name w:val="批注框文本 Char"/>
    <w:basedOn w:val="23"/>
    <w:link w:val="13"/>
    <w:qFormat/>
    <w:uiPriority w:val="0"/>
    <w:rPr>
      <w:rFonts w:asciiTheme="minorHAnsi" w:hAnsiTheme="minorHAnsi" w:eastAsiaTheme="minorEastAsia" w:cstheme="minorBidi"/>
      <w:kern w:val="2"/>
      <w:sz w:val="18"/>
      <w:szCs w:val="18"/>
    </w:rPr>
  </w:style>
  <w:style w:type="paragraph" w:customStyle="1" w:styleId="31">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32">
    <w:name w:val="批注主题 Char"/>
    <w:basedOn w:val="29"/>
    <w:link w:val="18"/>
    <w:qFormat/>
    <w:uiPriority w:val="0"/>
    <w:rPr>
      <w:rFonts w:asciiTheme="minorHAnsi" w:hAnsiTheme="minorHAnsi" w:eastAsiaTheme="minorEastAsia" w:cstheme="minorBidi"/>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81</Pages>
  <Words>47299</Words>
  <Characters>48943</Characters>
  <Lines>379</Lines>
  <Paragraphs>106</Paragraphs>
  <TotalTime>5</TotalTime>
  <ScaleCrop>false</ScaleCrop>
  <LinksUpToDate>false</LinksUpToDate>
  <CharactersWithSpaces>50640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2022-09-22T04:42:00Z</dcterms:created>
  <dc:creator>Administrator</dc:creator>
  <cp:lastModifiedBy>Administrator</cp:lastModifiedBy>
  <cp:lastPrinted>2023-01-17T09:59:00Z</cp:lastPrinted>
  <dcterms:modified xsi:type="dcterms:W3CDTF">2023-01-28T03:04:34Z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58AFF1F617C44486AF93AF336168AAF6</vt:lpwstr>
  </property>
</Properties>
</file>